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BD0" w:rsidRPr="00CD7DF8" w:rsidRDefault="00873BD0" w:rsidP="00873BD0">
      <w:pPr>
        <w:jc w:val="center"/>
        <w:rPr>
          <w:rFonts w:ascii="CG Times" w:hAnsi="CG Times"/>
          <w:b/>
          <w:sz w:val="22"/>
          <w:szCs w:val="22"/>
        </w:rPr>
      </w:pPr>
      <w:r>
        <w:rPr>
          <w:rFonts w:ascii="CG Times" w:hAnsi="CG Times"/>
          <w:b/>
          <w:sz w:val="22"/>
          <w:szCs w:val="22"/>
        </w:rPr>
        <w:t>VENDI</w:t>
      </w:r>
      <w:r w:rsidRPr="00CD7DF8">
        <w:rPr>
          <w:rFonts w:ascii="CG Times" w:hAnsi="CG Times"/>
          <w:b/>
          <w:sz w:val="22"/>
          <w:szCs w:val="22"/>
        </w:rPr>
        <w:t>M</w:t>
      </w:r>
    </w:p>
    <w:p w:rsidR="00873BD0" w:rsidRDefault="00873BD0" w:rsidP="00873BD0">
      <w:pPr>
        <w:jc w:val="center"/>
        <w:rPr>
          <w:rFonts w:ascii="CG Times" w:hAnsi="CG Times"/>
          <w:b/>
          <w:sz w:val="22"/>
          <w:szCs w:val="22"/>
        </w:rPr>
      </w:pPr>
      <w:r w:rsidRPr="00CD7DF8">
        <w:rPr>
          <w:rFonts w:ascii="CG Times" w:hAnsi="CG Times"/>
          <w:b/>
          <w:sz w:val="22"/>
          <w:szCs w:val="22"/>
        </w:rPr>
        <w:t>Nr.</w:t>
      </w:r>
      <w:r>
        <w:rPr>
          <w:rFonts w:ascii="CG Times" w:hAnsi="CG Times"/>
          <w:b/>
          <w:sz w:val="22"/>
          <w:szCs w:val="22"/>
        </w:rPr>
        <w:t xml:space="preserve"> </w:t>
      </w:r>
      <w:r w:rsidRPr="00CD7DF8">
        <w:rPr>
          <w:rFonts w:ascii="CG Times" w:hAnsi="CG Times"/>
          <w:b/>
          <w:sz w:val="22"/>
          <w:szCs w:val="22"/>
        </w:rPr>
        <w:t>5, datë 5.2.2014</w:t>
      </w:r>
    </w:p>
    <w:p w:rsidR="00873BD0" w:rsidRPr="00CD7DF8" w:rsidRDefault="00873BD0" w:rsidP="00873BD0">
      <w:pPr>
        <w:jc w:val="center"/>
        <w:rPr>
          <w:rFonts w:ascii="CG Times" w:hAnsi="CG Times"/>
          <w:b/>
          <w:sz w:val="22"/>
          <w:szCs w:val="22"/>
        </w:rPr>
      </w:pPr>
    </w:p>
    <w:p w:rsidR="00873BD0" w:rsidRPr="00BB51A5" w:rsidRDefault="00873BD0" w:rsidP="00873BD0">
      <w:pPr>
        <w:jc w:val="center"/>
        <w:rPr>
          <w:rFonts w:ascii="CG Times" w:hAnsi="CG Times"/>
          <w:b/>
          <w:bCs/>
          <w:sz w:val="22"/>
          <w:szCs w:val="22"/>
        </w:rPr>
      </w:pPr>
      <w:r w:rsidRPr="00BB51A5">
        <w:rPr>
          <w:rFonts w:ascii="CG Times" w:hAnsi="CG Times"/>
          <w:b/>
          <w:bCs/>
          <w:sz w:val="22"/>
          <w:szCs w:val="22"/>
        </w:rPr>
        <w:t>NË EMËR TË REPUBLIKËS SË SHQIPËRISË</w:t>
      </w:r>
    </w:p>
    <w:p w:rsidR="00873BD0" w:rsidRPr="00CD7DF8" w:rsidRDefault="00873BD0" w:rsidP="00873BD0">
      <w:pPr>
        <w:ind w:firstLine="720"/>
        <w:jc w:val="center"/>
        <w:rPr>
          <w:rFonts w:ascii="CG Times" w:hAnsi="CG Times"/>
          <w:b/>
          <w:sz w:val="22"/>
          <w:szCs w:val="22"/>
          <w:u w:val="single"/>
        </w:rPr>
      </w:pPr>
    </w:p>
    <w:p w:rsidR="00873BD0" w:rsidRPr="00CD7DF8" w:rsidRDefault="00873BD0" w:rsidP="00873BD0">
      <w:pPr>
        <w:ind w:firstLine="720"/>
        <w:jc w:val="both"/>
        <w:rPr>
          <w:rFonts w:ascii="CG Times" w:hAnsi="CG Times"/>
          <w:sz w:val="22"/>
          <w:szCs w:val="22"/>
        </w:rPr>
      </w:pPr>
      <w:r w:rsidRPr="00CD7DF8">
        <w:rPr>
          <w:rFonts w:ascii="CG Times" w:hAnsi="CG Times"/>
          <w:sz w:val="22"/>
          <w:szCs w:val="22"/>
        </w:rPr>
        <w:t>Gjykata Kushtetuese e Republikës së Shqipërisë, e përbërë nga:</w:t>
      </w:r>
    </w:p>
    <w:p w:rsidR="00873BD0" w:rsidRPr="00CD7DF8" w:rsidRDefault="00873BD0" w:rsidP="00873BD0">
      <w:pPr>
        <w:ind w:firstLine="720"/>
        <w:jc w:val="both"/>
        <w:rPr>
          <w:rFonts w:ascii="CG Times" w:hAnsi="CG Times"/>
          <w:sz w:val="22"/>
          <w:szCs w:val="22"/>
        </w:rPr>
      </w:pPr>
      <w:r>
        <w:rPr>
          <w:rFonts w:ascii="CG Times" w:hAnsi="CG Times"/>
          <w:sz w:val="22"/>
          <w:szCs w:val="22"/>
        </w:rPr>
        <w:t>Bashkim Dedja</w:t>
      </w:r>
      <w:r w:rsidRPr="00CD7DF8">
        <w:rPr>
          <w:rFonts w:ascii="CG Times" w:hAnsi="CG Times"/>
          <w:sz w:val="22"/>
          <w:szCs w:val="22"/>
        </w:rPr>
        <w:tab/>
      </w:r>
      <w:r>
        <w:rPr>
          <w:rFonts w:ascii="CG Times" w:hAnsi="CG Times"/>
          <w:sz w:val="22"/>
          <w:szCs w:val="22"/>
        </w:rPr>
        <w:tab/>
      </w:r>
      <w:r w:rsidRPr="00CD7DF8">
        <w:rPr>
          <w:rFonts w:ascii="CG Times" w:hAnsi="CG Times"/>
          <w:sz w:val="22"/>
          <w:szCs w:val="22"/>
        </w:rPr>
        <w:t>Kryetar  i Gjykatës Kushtetuese</w:t>
      </w:r>
    </w:p>
    <w:p w:rsidR="00873BD0" w:rsidRPr="00CD7DF8" w:rsidRDefault="00873BD0" w:rsidP="00873BD0">
      <w:pPr>
        <w:ind w:firstLine="720"/>
        <w:jc w:val="both"/>
        <w:rPr>
          <w:rFonts w:ascii="CG Times" w:hAnsi="CG Times"/>
          <w:sz w:val="22"/>
          <w:szCs w:val="22"/>
        </w:rPr>
      </w:pPr>
      <w:r>
        <w:rPr>
          <w:rFonts w:ascii="CG Times" w:hAnsi="CG Times"/>
          <w:sz w:val="22"/>
          <w:szCs w:val="22"/>
        </w:rPr>
        <w:t>Vladimir Kristo</w:t>
      </w:r>
      <w:r w:rsidRPr="00CD7DF8">
        <w:rPr>
          <w:rFonts w:ascii="CG Times" w:hAnsi="CG Times"/>
          <w:sz w:val="22"/>
          <w:szCs w:val="22"/>
        </w:rPr>
        <w:tab/>
      </w:r>
      <w:r>
        <w:rPr>
          <w:rFonts w:ascii="CG Times" w:hAnsi="CG Times"/>
          <w:sz w:val="22"/>
          <w:szCs w:val="22"/>
        </w:rPr>
        <w:tab/>
      </w:r>
      <w:r w:rsidRPr="00CD7DF8">
        <w:rPr>
          <w:rFonts w:ascii="CG Times" w:hAnsi="CG Times"/>
          <w:sz w:val="22"/>
          <w:szCs w:val="22"/>
        </w:rPr>
        <w:t>Anëtar   i</w:t>
      </w:r>
      <w:r w:rsidRPr="00CD7DF8">
        <w:rPr>
          <w:rFonts w:ascii="CG Times" w:hAnsi="CG Times"/>
          <w:sz w:val="22"/>
          <w:szCs w:val="22"/>
        </w:rPr>
        <w:tab/>
        <w:t>“</w:t>
      </w:r>
      <w:r w:rsidRPr="00CD7DF8">
        <w:rPr>
          <w:rFonts w:ascii="CG Times" w:hAnsi="CG Times"/>
          <w:sz w:val="22"/>
          <w:szCs w:val="22"/>
        </w:rPr>
        <w:tab/>
        <w:t>“</w:t>
      </w:r>
    </w:p>
    <w:p w:rsidR="00873BD0" w:rsidRPr="00CD7DF8" w:rsidRDefault="00873BD0" w:rsidP="00873BD0">
      <w:pPr>
        <w:ind w:firstLine="720"/>
        <w:jc w:val="both"/>
        <w:rPr>
          <w:rFonts w:ascii="CG Times" w:hAnsi="CG Times"/>
          <w:sz w:val="22"/>
          <w:szCs w:val="22"/>
        </w:rPr>
      </w:pPr>
      <w:r>
        <w:rPr>
          <w:rFonts w:ascii="CG Times" w:hAnsi="CG Times"/>
          <w:sz w:val="22"/>
          <w:szCs w:val="22"/>
        </w:rPr>
        <w:t>Sokol Berberi</w:t>
      </w:r>
      <w:r w:rsidRPr="00CD7DF8">
        <w:rPr>
          <w:rFonts w:ascii="CG Times" w:hAnsi="CG Times"/>
          <w:sz w:val="22"/>
          <w:szCs w:val="22"/>
        </w:rPr>
        <w:tab/>
      </w:r>
      <w:r w:rsidRPr="00CD7DF8">
        <w:rPr>
          <w:rFonts w:ascii="CG Times" w:hAnsi="CG Times"/>
          <w:sz w:val="22"/>
          <w:szCs w:val="22"/>
        </w:rPr>
        <w:tab/>
        <w:t>Anëtar   i</w:t>
      </w:r>
      <w:r w:rsidRPr="00CD7DF8">
        <w:rPr>
          <w:rFonts w:ascii="CG Times" w:hAnsi="CG Times"/>
          <w:sz w:val="22"/>
          <w:szCs w:val="22"/>
        </w:rPr>
        <w:tab/>
        <w:t>“</w:t>
      </w:r>
      <w:r w:rsidRPr="00CD7DF8">
        <w:rPr>
          <w:rFonts w:ascii="CG Times" w:hAnsi="CG Times"/>
          <w:sz w:val="22"/>
          <w:szCs w:val="22"/>
        </w:rPr>
        <w:tab/>
        <w:t>“</w:t>
      </w:r>
    </w:p>
    <w:p w:rsidR="00873BD0" w:rsidRPr="00CD7DF8" w:rsidRDefault="00873BD0" w:rsidP="00873BD0">
      <w:pPr>
        <w:ind w:firstLine="720"/>
        <w:jc w:val="both"/>
        <w:rPr>
          <w:rFonts w:ascii="CG Times" w:hAnsi="CG Times"/>
          <w:sz w:val="22"/>
          <w:szCs w:val="22"/>
        </w:rPr>
      </w:pPr>
      <w:r>
        <w:rPr>
          <w:rFonts w:ascii="CG Times" w:hAnsi="CG Times"/>
          <w:sz w:val="22"/>
          <w:szCs w:val="22"/>
        </w:rPr>
        <w:t>Altina Xhoxhaj</w:t>
      </w:r>
      <w:r w:rsidRPr="00CD7DF8">
        <w:rPr>
          <w:rFonts w:ascii="CG Times" w:hAnsi="CG Times"/>
          <w:sz w:val="22"/>
          <w:szCs w:val="22"/>
        </w:rPr>
        <w:t xml:space="preserve"> </w:t>
      </w:r>
      <w:r w:rsidRPr="00CD7DF8">
        <w:rPr>
          <w:rFonts w:ascii="CG Times" w:hAnsi="CG Times"/>
          <w:sz w:val="22"/>
          <w:szCs w:val="22"/>
        </w:rPr>
        <w:tab/>
      </w:r>
      <w:r>
        <w:rPr>
          <w:rFonts w:ascii="CG Times" w:hAnsi="CG Times"/>
          <w:sz w:val="22"/>
          <w:szCs w:val="22"/>
        </w:rPr>
        <w:tab/>
      </w:r>
      <w:r w:rsidRPr="00CD7DF8">
        <w:rPr>
          <w:rFonts w:ascii="CG Times" w:hAnsi="CG Times"/>
          <w:sz w:val="22"/>
          <w:szCs w:val="22"/>
        </w:rPr>
        <w:t xml:space="preserve">Anëtare e </w:t>
      </w:r>
      <w:r w:rsidRPr="00CD7DF8">
        <w:rPr>
          <w:rFonts w:ascii="CG Times" w:hAnsi="CG Times"/>
          <w:sz w:val="22"/>
          <w:szCs w:val="22"/>
        </w:rPr>
        <w:tab/>
        <w:t>“</w:t>
      </w:r>
      <w:r w:rsidRPr="00CD7DF8">
        <w:rPr>
          <w:rFonts w:ascii="CG Times" w:hAnsi="CG Times"/>
          <w:sz w:val="22"/>
          <w:szCs w:val="22"/>
        </w:rPr>
        <w:tab/>
        <w:t>“</w:t>
      </w:r>
    </w:p>
    <w:p w:rsidR="00873BD0" w:rsidRPr="00CD7DF8" w:rsidRDefault="00873BD0" w:rsidP="00873BD0">
      <w:pPr>
        <w:ind w:firstLine="720"/>
        <w:jc w:val="both"/>
        <w:rPr>
          <w:rFonts w:ascii="CG Times" w:hAnsi="CG Times"/>
          <w:sz w:val="22"/>
          <w:szCs w:val="22"/>
        </w:rPr>
      </w:pPr>
      <w:r>
        <w:rPr>
          <w:rFonts w:ascii="CG Times" w:hAnsi="CG Times"/>
          <w:sz w:val="22"/>
          <w:szCs w:val="22"/>
        </w:rPr>
        <w:t>Fatmir Hoxha</w:t>
      </w:r>
      <w:r w:rsidRPr="00CD7DF8">
        <w:rPr>
          <w:rFonts w:ascii="CG Times" w:hAnsi="CG Times"/>
          <w:sz w:val="22"/>
          <w:szCs w:val="22"/>
        </w:rPr>
        <w:t xml:space="preserve"> </w:t>
      </w:r>
      <w:r w:rsidRPr="00CD7DF8">
        <w:rPr>
          <w:rFonts w:ascii="CG Times" w:hAnsi="CG Times"/>
          <w:sz w:val="22"/>
          <w:szCs w:val="22"/>
        </w:rPr>
        <w:tab/>
      </w:r>
      <w:r>
        <w:rPr>
          <w:rFonts w:ascii="CG Times" w:hAnsi="CG Times"/>
          <w:sz w:val="22"/>
          <w:szCs w:val="22"/>
        </w:rPr>
        <w:tab/>
      </w:r>
      <w:r w:rsidRPr="00CD7DF8">
        <w:rPr>
          <w:rFonts w:ascii="CG Times" w:hAnsi="CG Times"/>
          <w:sz w:val="22"/>
          <w:szCs w:val="22"/>
        </w:rPr>
        <w:t xml:space="preserve">Anëtar   i </w:t>
      </w:r>
      <w:r w:rsidRPr="00CD7DF8">
        <w:rPr>
          <w:rFonts w:ascii="CG Times" w:hAnsi="CG Times"/>
          <w:sz w:val="22"/>
          <w:szCs w:val="22"/>
        </w:rPr>
        <w:tab/>
        <w:t>“</w:t>
      </w:r>
      <w:r w:rsidRPr="00CD7DF8">
        <w:rPr>
          <w:rFonts w:ascii="CG Times" w:hAnsi="CG Times"/>
          <w:sz w:val="22"/>
          <w:szCs w:val="22"/>
        </w:rPr>
        <w:tab/>
        <w:t>“</w:t>
      </w:r>
    </w:p>
    <w:p w:rsidR="00873BD0" w:rsidRPr="00CD7DF8" w:rsidRDefault="00873BD0" w:rsidP="00873BD0">
      <w:pPr>
        <w:ind w:firstLine="720"/>
        <w:jc w:val="both"/>
        <w:rPr>
          <w:rFonts w:ascii="CG Times" w:hAnsi="CG Times"/>
          <w:sz w:val="22"/>
          <w:szCs w:val="22"/>
        </w:rPr>
      </w:pPr>
      <w:r>
        <w:rPr>
          <w:rFonts w:ascii="CG Times" w:hAnsi="CG Times"/>
          <w:sz w:val="22"/>
          <w:szCs w:val="22"/>
        </w:rPr>
        <w:t>Gani Dizdari</w:t>
      </w:r>
      <w:r w:rsidRPr="00CD7DF8">
        <w:rPr>
          <w:rFonts w:ascii="CG Times" w:hAnsi="CG Times"/>
          <w:sz w:val="22"/>
          <w:szCs w:val="22"/>
        </w:rPr>
        <w:tab/>
      </w:r>
      <w:r w:rsidRPr="00CD7DF8">
        <w:rPr>
          <w:rFonts w:ascii="CG Times" w:hAnsi="CG Times"/>
          <w:sz w:val="22"/>
          <w:szCs w:val="22"/>
        </w:rPr>
        <w:tab/>
        <w:t>Anëtar   i</w:t>
      </w:r>
      <w:r w:rsidRPr="00CD7DF8">
        <w:rPr>
          <w:rFonts w:ascii="CG Times" w:hAnsi="CG Times"/>
          <w:sz w:val="22"/>
          <w:szCs w:val="22"/>
        </w:rPr>
        <w:tab/>
        <w:t>“</w:t>
      </w:r>
      <w:r w:rsidRPr="00CD7DF8">
        <w:rPr>
          <w:rFonts w:ascii="CG Times" w:hAnsi="CG Times"/>
          <w:sz w:val="22"/>
          <w:szCs w:val="22"/>
        </w:rPr>
        <w:tab/>
        <w:t>“</w:t>
      </w:r>
    </w:p>
    <w:p w:rsidR="00873BD0" w:rsidRPr="00CD7DF8" w:rsidRDefault="00873BD0" w:rsidP="00873BD0">
      <w:pPr>
        <w:ind w:firstLine="720"/>
        <w:jc w:val="both"/>
        <w:rPr>
          <w:rFonts w:ascii="CG Times" w:hAnsi="CG Times"/>
          <w:sz w:val="22"/>
          <w:szCs w:val="22"/>
        </w:rPr>
      </w:pPr>
      <w:r>
        <w:rPr>
          <w:rFonts w:ascii="CG Times" w:hAnsi="CG Times"/>
          <w:sz w:val="22"/>
          <w:szCs w:val="22"/>
        </w:rPr>
        <w:t>Besnik Imeraj</w:t>
      </w:r>
      <w:r w:rsidRPr="00CD7DF8">
        <w:rPr>
          <w:rFonts w:ascii="CG Times" w:hAnsi="CG Times"/>
          <w:sz w:val="22"/>
          <w:szCs w:val="22"/>
        </w:rPr>
        <w:tab/>
      </w:r>
      <w:r w:rsidRPr="00CD7DF8">
        <w:rPr>
          <w:rFonts w:ascii="CG Times" w:hAnsi="CG Times"/>
          <w:sz w:val="22"/>
          <w:szCs w:val="22"/>
        </w:rPr>
        <w:tab/>
        <w:t>Anëtar   i</w:t>
      </w:r>
      <w:r w:rsidRPr="00CD7DF8">
        <w:rPr>
          <w:rFonts w:ascii="CG Times" w:hAnsi="CG Times"/>
          <w:sz w:val="22"/>
          <w:szCs w:val="22"/>
        </w:rPr>
        <w:tab/>
        <w:t>“</w:t>
      </w:r>
      <w:r w:rsidRPr="00CD7DF8">
        <w:rPr>
          <w:rFonts w:ascii="CG Times" w:hAnsi="CG Times"/>
          <w:sz w:val="22"/>
          <w:szCs w:val="22"/>
        </w:rPr>
        <w:tab/>
        <w:t>“</w:t>
      </w:r>
    </w:p>
    <w:p w:rsidR="00873BD0" w:rsidRPr="00CD7DF8" w:rsidRDefault="00873BD0" w:rsidP="00873BD0">
      <w:pPr>
        <w:ind w:firstLine="720"/>
        <w:jc w:val="both"/>
        <w:rPr>
          <w:rFonts w:ascii="CG Times" w:hAnsi="CG Times"/>
          <w:sz w:val="22"/>
          <w:szCs w:val="22"/>
        </w:rPr>
      </w:pPr>
      <w:r>
        <w:rPr>
          <w:rFonts w:ascii="CG Times" w:hAnsi="CG Times"/>
          <w:sz w:val="22"/>
          <w:szCs w:val="22"/>
        </w:rPr>
        <w:t>Fatos Lulo</w:t>
      </w:r>
      <w:r w:rsidRPr="00CD7DF8">
        <w:rPr>
          <w:rFonts w:ascii="CG Times" w:hAnsi="CG Times"/>
          <w:sz w:val="22"/>
          <w:szCs w:val="22"/>
        </w:rPr>
        <w:t xml:space="preserve"> </w:t>
      </w:r>
      <w:r w:rsidRPr="00CD7DF8">
        <w:rPr>
          <w:rFonts w:ascii="CG Times" w:hAnsi="CG Times"/>
          <w:sz w:val="22"/>
          <w:szCs w:val="22"/>
        </w:rPr>
        <w:tab/>
      </w:r>
      <w:r w:rsidRPr="00CD7DF8">
        <w:rPr>
          <w:rFonts w:ascii="CG Times" w:hAnsi="CG Times"/>
          <w:sz w:val="22"/>
          <w:szCs w:val="22"/>
        </w:rPr>
        <w:tab/>
        <w:t>Anëtar   i</w:t>
      </w:r>
      <w:r w:rsidRPr="00CD7DF8">
        <w:rPr>
          <w:rFonts w:ascii="CG Times" w:hAnsi="CG Times"/>
          <w:sz w:val="22"/>
          <w:szCs w:val="22"/>
        </w:rPr>
        <w:tab/>
        <w:t>“</w:t>
      </w:r>
      <w:r w:rsidRPr="00CD7DF8">
        <w:rPr>
          <w:rFonts w:ascii="CG Times" w:hAnsi="CG Times"/>
          <w:sz w:val="22"/>
          <w:szCs w:val="22"/>
        </w:rPr>
        <w:tab/>
        <w:t>“</w:t>
      </w:r>
      <w:r w:rsidRPr="00CD7DF8">
        <w:rPr>
          <w:rFonts w:ascii="CG Times" w:hAnsi="CG Times"/>
          <w:sz w:val="22"/>
          <w:szCs w:val="22"/>
        </w:rPr>
        <w:tab/>
      </w:r>
    </w:p>
    <w:p w:rsidR="00873BD0" w:rsidRPr="00CD7DF8" w:rsidRDefault="00873BD0" w:rsidP="00873BD0">
      <w:pPr>
        <w:ind w:firstLine="720"/>
        <w:jc w:val="both"/>
        <w:rPr>
          <w:rFonts w:ascii="CG Times" w:hAnsi="CG Times"/>
          <w:sz w:val="22"/>
          <w:szCs w:val="22"/>
        </w:rPr>
      </w:pPr>
      <w:r>
        <w:rPr>
          <w:rFonts w:ascii="CG Times" w:hAnsi="CG Times"/>
          <w:sz w:val="22"/>
          <w:szCs w:val="22"/>
        </w:rPr>
        <w:t>Vitore Tusha</w:t>
      </w:r>
      <w:r w:rsidRPr="00CD7DF8">
        <w:rPr>
          <w:rFonts w:ascii="CG Times" w:hAnsi="CG Times"/>
          <w:sz w:val="22"/>
          <w:szCs w:val="22"/>
        </w:rPr>
        <w:t xml:space="preserve"> </w:t>
      </w:r>
      <w:r w:rsidRPr="00CD7DF8">
        <w:rPr>
          <w:rFonts w:ascii="CG Times" w:hAnsi="CG Times"/>
          <w:sz w:val="22"/>
          <w:szCs w:val="22"/>
        </w:rPr>
        <w:tab/>
      </w:r>
      <w:r w:rsidRPr="00CD7DF8">
        <w:rPr>
          <w:rFonts w:ascii="CG Times" w:hAnsi="CG Times"/>
          <w:sz w:val="22"/>
          <w:szCs w:val="22"/>
        </w:rPr>
        <w:tab/>
        <w:t>Anëtare e</w:t>
      </w:r>
      <w:r w:rsidRPr="00CD7DF8">
        <w:rPr>
          <w:rFonts w:ascii="CG Times" w:hAnsi="CG Times"/>
          <w:sz w:val="22"/>
          <w:szCs w:val="22"/>
        </w:rPr>
        <w:tab/>
        <w:t>“</w:t>
      </w:r>
      <w:r w:rsidRPr="00CD7DF8">
        <w:rPr>
          <w:rFonts w:ascii="CG Times" w:hAnsi="CG Times"/>
          <w:sz w:val="22"/>
          <w:szCs w:val="22"/>
        </w:rPr>
        <w:tab/>
        <w:t>“</w:t>
      </w:r>
    </w:p>
    <w:p w:rsidR="00873BD0" w:rsidRPr="00CD7DF8" w:rsidRDefault="00873BD0" w:rsidP="00873BD0">
      <w:pPr>
        <w:ind w:firstLine="720"/>
        <w:jc w:val="both"/>
        <w:rPr>
          <w:rFonts w:ascii="CG Times" w:hAnsi="CG Times"/>
          <w:sz w:val="22"/>
          <w:szCs w:val="22"/>
        </w:rPr>
      </w:pPr>
      <w:r w:rsidRPr="00CD7DF8">
        <w:rPr>
          <w:rFonts w:ascii="CG Times" w:hAnsi="CG Times"/>
          <w:sz w:val="22"/>
          <w:szCs w:val="22"/>
        </w:rPr>
        <w:t xml:space="preserve">me sekretare Blerina Basha, në datën 26.11.2013, mori në shqyrtim, në seancë gjyqësore me dyer të hapura, çështjen nr. 46/18 Akti, që i përket: </w:t>
      </w:r>
    </w:p>
    <w:p w:rsidR="00873BD0" w:rsidRPr="00BB51A5" w:rsidRDefault="00873BD0" w:rsidP="00873BD0">
      <w:pPr>
        <w:ind w:firstLine="720"/>
        <w:jc w:val="both"/>
        <w:rPr>
          <w:rFonts w:ascii="CG Times" w:eastAsia="Times New Roman" w:hAnsi="CG Times"/>
          <w:iCs/>
          <w:sz w:val="22"/>
          <w:szCs w:val="22"/>
        </w:rPr>
      </w:pPr>
      <w:r>
        <w:rPr>
          <w:rFonts w:ascii="CG Times" w:eastAsia="Times New Roman" w:hAnsi="CG Times"/>
          <w:sz w:val="22"/>
          <w:szCs w:val="22"/>
        </w:rPr>
        <w:t>KËRKUE</w:t>
      </w:r>
      <w:r w:rsidRPr="00BB51A5">
        <w:rPr>
          <w:rFonts w:ascii="CG Times" w:eastAsia="Times New Roman" w:hAnsi="CG Times"/>
          <w:sz w:val="22"/>
          <w:szCs w:val="22"/>
        </w:rPr>
        <w:t>S:</w:t>
      </w:r>
      <w:r>
        <w:rPr>
          <w:rFonts w:ascii="CG Times" w:eastAsia="Times New Roman" w:hAnsi="CG Times"/>
          <w:sz w:val="22"/>
          <w:szCs w:val="22"/>
        </w:rPr>
        <w:t xml:space="preserve"> </w:t>
      </w:r>
      <w:r w:rsidRPr="00BB51A5">
        <w:rPr>
          <w:rFonts w:ascii="CG Times" w:eastAsia="Times New Roman" w:hAnsi="CG Times"/>
          <w:sz w:val="22"/>
          <w:szCs w:val="22"/>
        </w:rPr>
        <w:t>Një grup prej 36 deputetësh të Kuvendit të Republikës së Shqipërisë</w:t>
      </w:r>
      <w:r w:rsidRPr="00BB51A5">
        <w:rPr>
          <w:rFonts w:ascii="CG Times" w:eastAsia="Times New Roman" w:hAnsi="CG Times"/>
          <w:iCs/>
          <w:sz w:val="22"/>
          <w:szCs w:val="22"/>
        </w:rPr>
        <w:t>, përfaqësuar në gjykim nga z. Ivi Kaso, me autorizim.</w:t>
      </w:r>
    </w:p>
    <w:p w:rsidR="00873BD0" w:rsidRDefault="00873BD0" w:rsidP="00873BD0">
      <w:pPr>
        <w:ind w:firstLine="720"/>
        <w:jc w:val="both"/>
        <w:rPr>
          <w:rFonts w:ascii="CG Times" w:eastAsia="Times New Roman" w:hAnsi="CG Times"/>
          <w:sz w:val="22"/>
          <w:szCs w:val="22"/>
        </w:rPr>
      </w:pPr>
      <w:r w:rsidRPr="00BB51A5">
        <w:rPr>
          <w:rFonts w:ascii="CG Times" w:eastAsia="Times New Roman" w:hAnsi="CG Times"/>
          <w:sz w:val="22"/>
          <w:szCs w:val="22"/>
        </w:rPr>
        <w:t>SUBJEKTE TË INTERESUARA:</w:t>
      </w:r>
      <w:r>
        <w:rPr>
          <w:rFonts w:ascii="CG Times" w:eastAsia="Times New Roman" w:hAnsi="CG Times"/>
          <w:sz w:val="22"/>
          <w:szCs w:val="22"/>
        </w:rPr>
        <w:t xml:space="preserve"> </w:t>
      </w:r>
    </w:p>
    <w:p w:rsidR="00873BD0" w:rsidRDefault="00873BD0" w:rsidP="00873BD0">
      <w:pPr>
        <w:ind w:firstLine="720"/>
        <w:jc w:val="both"/>
        <w:rPr>
          <w:rFonts w:ascii="CG Times" w:eastAsia="Times New Roman" w:hAnsi="CG Times"/>
          <w:bCs/>
          <w:sz w:val="22"/>
          <w:szCs w:val="22"/>
        </w:rPr>
      </w:pPr>
      <w:r w:rsidRPr="00BB51A5">
        <w:rPr>
          <w:rFonts w:ascii="CG Times" w:eastAsia="Times New Roman" w:hAnsi="CG Times"/>
          <w:bCs/>
          <w:sz w:val="22"/>
          <w:szCs w:val="22"/>
        </w:rPr>
        <w:t xml:space="preserve">Kuvendi i Republikës </w:t>
      </w:r>
      <w:r>
        <w:rPr>
          <w:rFonts w:ascii="CG Times" w:eastAsia="Times New Roman" w:hAnsi="CG Times"/>
          <w:bCs/>
          <w:sz w:val="22"/>
          <w:szCs w:val="22"/>
        </w:rPr>
        <w:t>së Sh</w:t>
      </w:r>
      <w:r w:rsidRPr="00BB51A5">
        <w:rPr>
          <w:rFonts w:ascii="CG Times" w:eastAsia="Times New Roman" w:hAnsi="CG Times"/>
          <w:bCs/>
          <w:sz w:val="22"/>
          <w:szCs w:val="22"/>
        </w:rPr>
        <w:t>qipërisë, përfaqësuar ng</w:t>
      </w:r>
      <w:r>
        <w:rPr>
          <w:rFonts w:ascii="CG Times" w:eastAsia="Times New Roman" w:hAnsi="CG Times"/>
          <w:bCs/>
          <w:sz w:val="22"/>
          <w:szCs w:val="22"/>
        </w:rPr>
        <w:t xml:space="preserve">a z.Bledar Miloti, me autorizim; </w:t>
      </w:r>
    </w:p>
    <w:p w:rsidR="00873BD0" w:rsidRPr="00BB51A5" w:rsidRDefault="00873BD0" w:rsidP="00873BD0">
      <w:pPr>
        <w:ind w:firstLine="720"/>
        <w:jc w:val="both"/>
        <w:rPr>
          <w:rFonts w:ascii="CG Times" w:eastAsia="Times New Roman" w:hAnsi="CG Times"/>
          <w:sz w:val="22"/>
          <w:szCs w:val="22"/>
        </w:rPr>
      </w:pPr>
      <w:r w:rsidRPr="00BB51A5">
        <w:rPr>
          <w:rFonts w:ascii="CG Times" w:eastAsia="Times New Roman" w:hAnsi="CG Times"/>
          <w:bCs/>
          <w:sz w:val="22"/>
          <w:szCs w:val="22"/>
        </w:rPr>
        <w:t>Këshilli i Ministrave, përfaqësuar nga znj. Edlira Jorgaqi dhe z.Sokol Pasho, me autorizim.</w:t>
      </w:r>
    </w:p>
    <w:p w:rsidR="00873BD0" w:rsidRPr="00B20103" w:rsidRDefault="00873BD0" w:rsidP="00873BD0">
      <w:pPr>
        <w:ind w:firstLine="720"/>
        <w:jc w:val="both"/>
        <w:rPr>
          <w:rFonts w:ascii="CG Times" w:eastAsia="Times New Roman" w:hAnsi="CG Times"/>
          <w:bCs/>
          <w:sz w:val="22"/>
          <w:szCs w:val="22"/>
        </w:rPr>
      </w:pPr>
      <w:r>
        <w:rPr>
          <w:rFonts w:ascii="CG Times" w:eastAsia="Times New Roman" w:hAnsi="CG Times"/>
          <w:bCs/>
          <w:sz w:val="22"/>
          <w:szCs w:val="22"/>
        </w:rPr>
        <w:t xml:space="preserve">OBJEKTI:  </w:t>
      </w:r>
      <w:r w:rsidRPr="00BB51A5">
        <w:rPr>
          <w:rFonts w:ascii="CG Times" w:eastAsia="Times New Roman" w:hAnsi="CG Times"/>
          <w:sz w:val="22"/>
          <w:szCs w:val="22"/>
        </w:rPr>
        <w:t>Shfuqizimi, si i papajtueshëm me Kushtetutën, i aktit normativ të   Këshillit të Ministrave nr.5, datë 30.09</w:t>
      </w:r>
      <w:r>
        <w:rPr>
          <w:rFonts w:ascii="CG Times" w:eastAsia="Times New Roman" w:hAnsi="CG Times"/>
          <w:sz w:val="22"/>
          <w:szCs w:val="22"/>
        </w:rPr>
        <w:t xml:space="preserve">.2013 “Për disa ndryshime në </w:t>
      </w:r>
      <w:r w:rsidRPr="00BB51A5">
        <w:rPr>
          <w:rFonts w:ascii="CG Times" w:eastAsia="Times New Roman" w:hAnsi="CG Times"/>
          <w:sz w:val="22"/>
          <w:szCs w:val="22"/>
        </w:rPr>
        <w:t>ligjin nr.152/2013 “Për nëpunësin civil””;</w:t>
      </w:r>
    </w:p>
    <w:p w:rsidR="00873BD0" w:rsidRPr="00BB51A5" w:rsidRDefault="00873BD0" w:rsidP="00873BD0">
      <w:pPr>
        <w:ind w:firstLine="720"/>
        <w:jc w:val="both"/>
        <w:rPr>
          <w:rFonts w:ascii="CG Times" w:eastAsia="Times New Roman" w:hAnsi="CG Times"/>
          <w:sz w:val="22"/>
          <w:szCs w:val="22"/>
        </w:rPr>
      </w:pPr>
      <w:r w:rsidRPr="00BB51A5">
        <w:rPr>
          <w:rFonts w:ascii="CG Times" w:eastAsia="Times New Roman" w:hAnsi="CG Times"/>
          <w:sz w:val="22"/>
          <w:szCs w:val="22"/>
        </w:rPr>
        <w:t>Shfuqizimi i ligjit nr.161/2013 “Për miratimin e aktit normativ nr.5, datë 30.09.2013 “Për disa ndryshime në ligjin nr.152/2013 “Për nëpunësin civil””;</w:t>
      </w:r>
    </w:p>
    <w:p w:rsidR="00873BD0" w:rsidRPr="00BB51A5" w:rsidRDefault="00873BD0" w:rsidP="00873BD0">
      <w:pPr>
        <w:ind w:firstLine="720"/>
        <w:jc w:val="both"/>
        <w:rPr>
          <w:rFonts w:ascii="CG Times" w:eastAsia="Times New Roman" w:hAnsi="CG Times"/>
          <w:sz w:val="22"/>
          <w:szCs w:val="22"/>
        </w:rPr>
      </w:pPr>
      <w:r w:rsidRPr="00BB51A5">
        <w:rPr>
          <w:rFonts w:ascii="CG Times" w:eastAsia="Times New Roman" w:hAnsi="CG Times"/>
          <w:sz w:val="22"/>
          <w:szCs w:val="22"/>
        </w:rPr>
        <w:t>Pezullimi i aktit normativ me fuqin</w:t>
      </w:r>
      <w:r>
        <w:rPr>
          <w:rFonts w:ascii="CG Times" w:eastAsia="Times New Roman" w:hAnsi="CG Times"/>
          <w:sz w:val="22"/>
          <w:szCs w:val="22"/>
        </w:rPr>
        <w:t xml:space="preserve">ë e ligjit deri në marrjen e </w:t>
      </w:r>
      <w:r w:rsidRPr="00BB51A5">
        <w:rPr>
          <w:rFonts w:ascii="CG Times" w:eastAsia="Times New Roman" w:hAnsi="CG Times"/>
          <w:sz w:val="22"/>
          <w:szCs w:val="22"/>
        </w:rPr>
        <w:t>vendimit nga Gjykata Kushtetuese</w:t>
      </w:r>
      <w:r>
        <w:rPr>
          <w:rFonts w:ascii="CG Times" w:eastAsia="Times New Roman" w:hAnsi="CG Times"/>
          <w:sz w:val="22"/>
          <w:szCs w:val="22"/>
        </w:rPr>
        <w:t>.</w:t>
      </w:r>
    </w:p>
    <w:p w:rsidR="00873BD0" w:rsidRPr="00CD7DF8" w:rsidRDefault="00873BD0" w:rsidP="00873BD0">
      <w:pPr>
        <w:ind w:firstLine="720"/>
        <w:jc w:val="both"/>
        <w:rPr>
          <w:rFonts w:ascii="CG Times" w:eastAsia="Times New Roman" w:hAnsi="CG Times"/>
          <w:sz w:val="22"/>
          <w:szCs w:val="22"/>
        </w:rPr>
      </w:pPr>
      <w:r w:rsidRPr="002B6CC5">
        <w:rPr>
          <w:rFonts w:ascii="CG Times" w:eastAsia="Times New Roman" w:hAnsi="CG Times"/>
          <w:sz w:val="22"/>
          <w:szCs w:val="22"/>
        </w:rPr>
        <w:t>BAZA LIGJORE:</w:t>
      </w:r>
      <w:r>
        <w:rPr>
          <w:rFonts w:ascii="CG Times" w:eastAsia="Times New Roman" w:hAnsi="CG Times"/>
          <w:b/>
          <w:sz w:val="22"/>
          <w:szCs w:val="22"/>
        </w:rPr>
        <w:t xml:space="preserve"> </w:t>
      </w:r>
      <w:r w:rsidRPr="00CD7DF8">
        <w:rPr>
          <w:rFonts w:ascii="CG Times" w:eastAsia="Times New Roman" w:hAnsi="CG Times"/>
          <w:sz w:val="22"/>
          <w:szCs w:val="22"/>
        </w:rPr>
        <w:t>Nenet 7, 101, 131, shkronja “a”, 134, pika 2, shkronja “c”, të Kushtetutës së Republikës së Shqipërisë; ligji nr.8577, datë 10.2.2000 “Për organizimin dhe funksionimin e Gjykatës Kushtetuese të Republikës së Shqipërisë”.</w:t>
      </w:r>
    </w:p>
    <w:p w:rsidR="00873BD0" w:rsidRDefault="00873BD0" w:rsidP="00873BD0">
      <w:pPr>
        <w:ind w:firstLine="720"/>
        <w:jc w:val="both"/>
        <w:rPr>
          <w:rFonts w:ascii="CG Times" w:hAnsi="CG Times"/>
          <w:b/>
          <w:sz w:val="22"/>
          <w:szCs w:val="22"/>
        </w:rPr>
      </w:pPr>
    </w:p>
    <w:p w:rsidR="00873BD0" w:rsidRPr="00CD7DF8" w:rsidRDefault="00873BD0" w:rsidP="00873BD0">
      <w:pPr>
        <w:ind w:firstLine="720"/>
        <w:jc w:val="both"/>
        <w:rPr>
          <w:rFonts w:ascii="CG Times" w:hAnsi="CG Times"/>
          <w:b/>
          <w:sz w:val="22"/>
          <w:szCs w:val="22"/>
        </w:rPr>
      </w:pPr>
    </w:p>
    <w:p w:rsidR="00873BD0" w:rsidRPr="002B6CC5" w:rsidRDefault="00873BD0" w:rsidP="00873BD0">
      <w:pPr>
        <w:jc w:val="center"/>
        <w:outlineLvl w:val="8"/>
        <w:rPr>
          <w:rFonts w:ascii="CG Times" w:hAnsi="CG Times"/>
          <w:bCs/>
          <w:sz w:val="22"/>
          <w:szCs w:val="22"/>
        </w:rPr>
      </w:pPr>
      <w:r w:rsidRPr="002B6CC5">
        <w:rPr>
          <w:rFonts w:ascii="CG Times" w:hAnsi="CG Times"/>
          <w:bCs/>
          <w:sz w:val="22"/>
          <w:szCs w:val="22"/>
        </w:rPr>
        <w:t>GJYKATA KUSHTETUESE,</w:t>
      </w:r>
    </w:p>
    <w:p w:rsidR="00873BD0" w:rsidRPr="000B2A02" w:rsidRDefault="00873BD0" w:rsidP="00873BD0">
      <w:pPr>
        <w:ind w:firstLine="720"/>
        <w:jc w:val="both"/>
        <w:rPr>
          <w:rFonts w:ascii="CG Times" w:eastAsia="Times New Roman" w:hAnsi="CG Times"/>
          <w:bCs/>
          <w:sz w:val="16"/>
          <w:szCs w:val="22"/>
        </w:rPr>
      </w:pPr>
    </w:p>
    <w:p w:rsidR="00873BD0" w:rsidRPr="00CD7DF8" w:rsidRDefault="00873BD0" w:rsidP="00873BD0">
      <w:pPr>
        <w:ind w:firstLine="720"/>
        <w:jc w:val="both"/>
        <w:rPr>
          <w:rFonts w:ascii="CG Times" w:hAnsi="CG Times"/>
          <w:sz w:val="22"/>
          <w:szCs w:val="22"/>
        </w:rPr>
      </w:pPr>
      <w:r w:rsidRPr="00CD7DF8">
        <w:rPr>
          <w:rFonts w:ascii="CG Times" w:eastAsia="Times New Roman" w:hAnsi="CG Times"/>
          <w:bCs/>
          <w:sz w:val="22"/>
          <w:szCs w:val="22"/>
        </w:rPr>
        <w:t xml:space="preserve">pasi dëgjoi relatoren e çështjes, Vitore Tusha; </w:t>
      </w:r>
      <w:r w:rsidRPr="00CD7DF8">
        <w:rPr>
          <w:rFonts w:ascii="CG Times" w:eastAsia="Times New Roman" w:hAnsi="CG Times"/>
          <w:sz w:val="22"/>
          <w:szCs w:val="22"/>
        </w:rPr>
        <w:t>përfaqësuesin e kërkuesit, një grup prej 36 deputetësh të Kuvendit të Shqipërisë, që kërkoi pranimin e kërkesës; përfaqësuesit e subjekteve të interesuara, Kuvendi dhe Këshilli i Ministrave, që kërkuan rrëzimin e kërkesës, si dhe pasi bisedoi çështjen në tërësi</w:t>
      </w:r>
      <w:r w:rsidRPr="00CD7DF8">
        <w:rPr>
          <w:rFonts w:ascii="CG Times" w:hAnsi="CG Times"/>
          <w:sz w:val="22"/>
          <w:szCs w:val="22"/>
        </w:rPr>
        <w:t>,</w:t>
      </w:r>
    </w:p>
    <w:p w:rsidR="00873BD0" w:rsidRPr="000B2A02" w:rsidRDefault="00873BD0" w:rsidP="00873BD0">
      <w:pPr>
        <w:ind w:firstLine="720"/>
        <w:jc w:val="center"/>
        <w:rPr>
          <w:rFonts w:ascii="CG Times" w:hAnsi="CG Times"/>
          <w:b/>
          <w:bCs/>
          <w:sz w:val="16"/>
          <w:szCs w:val="22"/>
        </w:rPr>
      </w:pPr>
    </w:p>
    <w:p w:rsidR="00873BD0" w:rsidRPr="002B6CC5" w:rsidRDefault="00873BD0" w:rsidP="00873BD0">
      <w:pPr>
        <w:jc w:val="center"/>
        <w:rPr>
          <w:rFonts w:ascii="CG Times" w:hAnsi="CG Times"/>
          <w:sz w:val="22"/>
          <w:szCs w:val="22"/>
        </w:rPr>
      </w:pPr>
      <w:r>
        <w:rPr>
          <w:rFonts w:ascii="CG Times" w:hAnsi="CG Times"/>
          <w:bCs/>
          <w:sz w:val="22"/>
          <w:szCs w:val="22"/>
        </w:rPr>
        <w:t>VËRE</w:t>
      </w:r>
      <w:r w:rsidRPr="002B6CC5">
        <w:rPr>
          <w:rFonts w:ascii="CG Times" w:hAnsi="CG Times"/>
          <w:bCs/>
          <w:sz w:val="22"/>
          <w:szCs w:val="22"/>
        </w:rPr>
        <w:t>N:</w:t>
      </w:r>
    </w:p>
    <w:p w:rsidR="00873BD0" w:rsidRPr="00CD7DF8" w:rsidRDefault="00873BD0" w:rsidP="00873BD0">
      <w:pPr>
        <w:jc w:val="center"/>
        <w:rPr>
          <w:rFonts w:ascii="CG Times" w:hAnsi="CG Times"/>
          <w:b/>
          <w:bCs/>
          <w:sz w:val="22"/>
          <w:szCs w:val="22"/>
        </w:rPr>
      </w:pPr>
      <w:r w:rsidRPr="00CD7DF8">
        <w:rPr>
          <w:rFonts w:ascii="CG Times" w:hAnsi="CG Times"/>
          <w:b/>
          <w:bCs/>
          <w:sz w:val="22"/>
          <w:szCs w:val="22"/>
        </w:rPr>
        <w:t>I</w:t>
      </w:r>
    </w:p>
    <w:p w:rsidR="00873BD0" w:rsidRPr="00CD7DF8" w:rsidRDefault="00873BD0" w:rsidP="00873BD0">
      <w:pPr>
        <w:pStyle w:val="Paragrafi"/>
      </w:pPr>
      <w:r>
        <w:t xml:space="preserve">1. </w:t>
      </w:r>
      <w:r w:rsidRPr="00CD7DF8">
        <w:t>Këshilli i Ministrave, në mbështetje të nenit 101 të Kushtetutës dhe me propozimin e Ministrit të Punëve të Brendshme dhe të Ministrit të Shtetit për Inovacionin dhe Administratën Publike, ka miratuar aktin normativ nr.5, datë 30.09.2013 “Për disa n</w:t>
      </w:r>
      <w:r>
        <w:t>dryshime në ligjin nr.152/2013 “Për nëpunësin civil</w:t>
      </w:r>
      <w:r w:rsidRPr="00CD7DF8">
        <w:t>” (</w:t>
      </w:r>
      <w:r w:rsidRPr="00CD7DF8">
        <w:rPr>
          <w:i/>
        </w:rPr>
        <w:t>në vijim “akti normativ”</w:t>
      </w:r>
      <w:r w:rsidRPr="00CD7DF8">
        <w:t xml:space="preserve">). </w:t>
      </w:r>
    </w:p>
    <w:p w:rsidR="00873BD0" w:rsidRPr="00CD7DF8" w:rsidRDefault="00873BD0" w:rsidP="00873BD0">
      <w:pPr>
        <w:pStyle w:val="Paragrafi"/>
      </w:pPr>
      <w:r>
        <w:t xml:space="preserve">2. </w:t>
      </w:r>
      <w:r w:rsidRPr="00CD7DF8">
        <w:t>Ligji nr.152/2013 “Për nëpunësin civil”, i cili është miratuar nga Kuvendi në datën 30.5.2013 dhe është s</w:t>
      </w:r>
      <w:r w:rsidRPr="00CD7DF8">
        <w:rPr>
          <w:bCs/>
        </w:rPr>
        <w:t>hpallur me dekretin e Presidentit të Republikës nr.8215, datë 4.6.2013, parashikonte datën 1 tetor 2013 si momentin e hyrjes në fuqi (neni 72). Hyrja në fuqi e ligjit</w:t>
      </w:r>
      <w:r w:rsidRPr="00CD7DF8">
        <w:t xml:space="preserve"> të ri sillte </w:t>
      </w:r>
      <w:r w:rsidRPr="00CD7DF8">
        <w:lastRenderedPageBreak/>
        <w:t>si pasojë shfuqizimin e ligjit nr.8549, datë 11.11.1</w:t>
      </w:r>
      <w:r>
        <w:t>999 “Statusi i nëpunësit civil”</w:t>
      </w:r>
      <w:r w:rsidRPr="00CD7DF8">
        <w:t xml:space="preserve"> dhe çdo dispozitë tjetër në kundërshtim me të </w:t>
      </w:r>
      <w:r w:rsidRPr="00CD7DF8">
        <w:rPr>
          <w:bCs/>
        </w:rPr>
        <w:t>(neni 70).</w:t>
      </w:r>
    </w:p>
    <w:p w:rsidR="00873BD0" w:rsidRPr="00CD7DF8" w:rsidRDefault="00873BD0" w:rsidP="00873BD0">
      <w:pPr>
        <w:pStyle w:val="Paragrafi"/>
      </w:pPr>
      <w:r>
        <w:t xml:space="preserve">3. </w:t>
      </w:r>
      <w:r w:rsidRPr="00CD7DF8">
        <w:t>Akti normativ ka hyrë në fuqi menjëherë dhe është botuar në Fletoren Zyrtare nr.159, datë 30.09.2013. Në preambulën e aktit normativ renditen si arsye për miratimin e tij, pazbatueshmëria e ligjit të mësipërm për shkak të mungesës së akteve nënligjore dhe të natyrës së përgjithshme të ligjit, koha e pamjaftueshme për të bërë rregullime ligjore sipas procesit legjislativ, nevoja për organizimin institucional, efektet financiare mbi buxhetin e shtetit dhe gjendja ekonomike financiare.</w:t>
      </w:r>
    </w:p>
    <w:p w:rsidR="00873BD0" w:rsidRPr="00CD7DF8" w:rsidRDefault="00873BD0" w:rsidP="00873BD0">
      <w:pPr>
        <w:pStyle w:val="Paragrafi"/>
      </w:pPr>
      <w:r>
        <w:t xml:space="preserve">4. </w:t>
      </w:r>
      <w:r w:rsidRPr="00CD7DF8">
        <w:t>Miratimi i aktit normativ ka sjellë ndryshimin e neneve 70 dhe 72 të ligjit nr152/2013, përmbajtja e të cilave, pas ndryshimit, rezulton, përkatësisht, si vijon: “</w:t>
      </w:r>
      <w:r w:rsidRPr="00CD7DF8">
        <w:rPr>
          <w:i/>
        </w:rPr>
        <w:t xml:space="preserve">Ligji nr.8549, datë 11.11.1999, “Statusi i nëpunësit civil”, dhe çdo dispozitë tjetër në kundërshtim me këtë ligj, shfuqizohen nga data e fillimit të shtrirjes së efekteve të këtij ligji.” </w:t>
      </w:r>
      <w:r w:rsidRPr="00CD7DF8">
        <w:t>dhe</w:t>
      </w:r>
      <w:r w:rsidRPr="00CD7DF8">
        <w:rPr>
          <w:i/>
        </w:rPr>
        <w:t xml:space="preserve"> “Ky ligj hyn në fuqi në 1 tetor 2013 dhe i fillon efektet e tij 6 muaj pas hyrjes në fuqi. Deri në datën e fillimit të efekteve të këtij ligji zbatohet l</w:t>
      </w:r>
      <w:r>
        <w:rPr>
          <w:i/>
        </w:rPr>
        <w:t>igji nr.8549, datë 11.11.1999, “Statusi i nëpunësit civil”</w:t>
      </w:r>
      <w:r w:rsidRPr="00CD7DF8">
        <w:rPr>
          <w:i/>
        </w:rPr>
        <w:t xml:space="preserve"> </w:t>
      </w:r>
      <w:r w:rsidRPr="00CD7DF8">
        <w:t xml:space="preserve">”.    </w:t>
      </w:r>
    </w:p>
    <w:p w:rsidR="00873BD0" w:rsidRPr="00CD7DF8" w:rsidRDefault="00873BD0" w:rsidP="00873BD0">
      <w:pPr>
        <w:pStyle w:val="Paragrafi"/>
      </w:pPr>
      <w:r>
        <w:t xml:space="preserve">5. </w:t>
      </w:r>
      <w:r w:rsidRPr="00CD7DF8">
        <w:t>Kuvendi i Shqipërisë, në mbështetje të nenit 81, pika 2, shkronja “e” dhe nenit 101 të Kushtetutës, në seancën plenare të datës 17.10.2013 ka vendosur miratimin e aktit normativ me ligjin nr.161/2013 (</w:t>
      </w:r>
      <w:r w:rsidRPr="00CD7DF8">
        <w:rPr>
          <w:i/>
        </w:rPr>
        <w:t>në vijim “ligji miratues”)</w:t>
      </w:r>
      <w:r w:rsidRPr="00CD7DF8">
        <w:t xml:space="preserve">.  </w:t>
      </w:r>
    </w:p>
    <w:p w:rsidR="00873BD0" w:rsidRPr="000B2A02" w:rsidRDefault="00873BD0" w:rsidP="00873BD0">
      <w:pPr>
        <w:pStyle w:val="Paragrafi"/>
        <w:rPr>
          <w:b/>
          <w:sz w:val="16"/>
        </w:rPr>
      </w:pPr>
      <w:r w:rsidRPr="00CD7DF8">
        <w:t xml:space="preserve">  </w:t>
      </w:r>
    </w:p>
    <w:p w:rsidR="00873BD0" w:rsidRPr="00CD7DF8" w:rsidRDefault="00873BD0" w:rsidP="00873BD0">
      <w:pPr>
        <w:jc w:val="center"/>
        <w:rPr>
          <w:rFonts w:ascii="CG Times" w:hAnsi="CG Times"/>
          <w:b/>
          <w:sz w:val="22"/>
          <w:szCs w:val="22"/>
        </w:rPr>
      </w:pPr>
      <w:r w:rsidRPr="00CD7DF8">
        <w:rPr>
          <w:rFonts w:ascii="CG Times" w:hAnsi="CG Times"/>
          <w:b/>
          <w:sz w:val="22"/>
          <w:szCs w:val="22"/>
        </w:rPr>
        <w:t>II</w:t>
      </w:r>
    </w:p>
    <w:p w:rsidR="00873BD0" w:rsidRPr="00CD7DF8" w:rsidRDefault="00873BD0" w:rsidP="00873BD0">
      <w:pPr>
        <w:pStyle w:val="Paragrafi"/>
        <w:rPr>
          <w:i/>
        </w:rPr>
      </w:pPr>
      <w:r>
        <w:rPr>
          <w:b/>
          <w:i/>
        </w:rPr>
        <w:t xml:space="preserve">6. </w:t>
      </w:r>
      <w:r w:rsidRPr="00CD7DF8">
        <w:rPr>
          <w:b/>
          <w:i/>
        </w:rPr>
        <w:t>Kërkuesi, një grup prej 36 deputetësh të Kuvendit të Shqipërisë</w:t>
      </w:r>
      <w:r w:rsidRPr="00CD7DF8">
        <w:t>, i është drejtuar Gjykatës Kushtetuese me kërkesë për pezullimin dhe shfuqizimin e aktit normativ dhe të ligjit miratues, duke parashtruar, në mënyrë të përmbledhur, këto argumente:</w:t>
      </w:r>
    </w:p>
    <w:p w:rsidR="00873BD0" w:rsidRPr="00CD7DF8" w:rsidRDefault="00873BD0" w:rsidP="00873BD0">
      <w:pPr>
        <w:pStyle w:val="Paragrafi"/>
        <w:rPr>
          <w:b/>
          <w:i/>
        </w:rPr>
      </w:pPr>
      <w:r>
        <w:rPr>
          <w:b/>
          <w:i/>
        </w:rPr>
        <w:t xml:space="preserve">A. </w:t>
      </w:r>
      <w:r w:rsidRPr="00CD7DF8">
        <w:rPr>
          <w:b/>
          <w:i/>
        </w:rPr>
        <w:t>Në lidhje me legjitimimin</w:t>
      </w:r>
    </w:p>
    <w:p w:rsidR="00873BD0" w:rsidRPr="00CD7DF8" w:rsidRDefault="00873BD0" w:rsidP="00873BD0">
      <w:pPr>
        <w:pStyle w:val="Paragrafi"/>
      </w:pPr>
      <w:r>
        <w:t xml:space="preserve">6.1 </w:t>
      </w:r>
      <w:r w:rsidRPr="00CD7DF8">
        <w:t>Grupi prej 36 deputetësh të Kuvendit të Shqipërisë legjitimohet në paraqitjen e kërkesës për shfuqizimin e aktit normativ dhe të ligjit miratues, pasi plotëson kriterin numerik të parashikuar nga neni 134, pika 1, germa “c”, që parashikon se: “</w:t>
      </w:r>
      <w:r w:rsidRPr="00CD7DF8">
        <w:rPr>
          <w:i/>
        </w:rPr>
        <w:t>Gjykata Kushtetuese vihet në lëvizje vetëm me kërkesë të ...c) jo më pak se 1/5 e deputetëve</w:t>
      </w:r>
      <w:r w:rsidRPr="00CD7DF8">
        <w:t xml:space="preserve">”. </w:t>
      </w:r>
    </w:p>
    <w:p w:rsidR="00873BD0" w:rsidRPr="00CD7DF8" w:rsidRDefault="00873BD0" w:rsidP="00873BD0">
      <w:pPr>
        <w:pStyle w:val="Paragrafi"/>
      </w:pPr>
      <w:r>
        <w:t xml:space="preserve">6.2 </w:t>
      </w:r>
      <w:r w:rsidRPr="00CD7DF8">
        <w:t>Po ashtu, grupi prej 36 deputetësh plotëson edhe kriterin tjetër që ka të bëjë me pasjen e qëllimit dhe nxitjes konkrete për të kërkuar kontrollin abstrakt të normës, pasi Këshilli i Ministrave, nëpërmjet miratimit të aktit normativ, jashtë kushteve të parashikuara nga neni 101 i Kushtetutës, cenon parimin e ndarjes dhe balancimit të pushteteve, garantuar nga neni 7 i Kushtetutës, duke cenuar funksionin kushtetues të deputetit dhe ushtrimin prej tij të të drejtave dhe kompetencave të njohura nga Kushtetuta dhe Rregullorja e Kuvendit.</w:t>
      </w:r>
    </w:p>
    <w:p w:rsidR="00873BD0" w:rsidRPr="00CD7DF8" w:rsidRDefault="00873BD0" w:rsidP="00873BD0">
      <w:pPr>
        <w:pStyle w:val="Paragrafi"/>
        <w:rPr>
          <w:b/>
          <w:i/>
        </w:rPr>
      </w:pPr>
      <w:r w:rsidRPr="00CD7DF8">
        <w:rPr>
          <w:b/>
        </w:rPr>
        <w:t>B.</w:t>
      </w:r>
      <w:r w:rsidRPr="00CD7DF8">
        <w:t xml:space="preserve"> </w:t>
      </w:r>
      <w:r w:rsidRPr="00CD7DF8">
        <w:rPr>
          <w:b/>
          <w:i/>
        </w:rPr>
        <w:t>Në lidhje me themelin e kërkesës:</w:t>
      </w:r>
    </w:p>
    <w:p w:rsidR="00873BD0" w:rsidRPr="00CD7DF8" w:rsidRDefault="00873BD0" w:rsidP="00873BD0">
      <w:pPr>
        <w:pStyle w:val="Paragrafi"/>
        <w:rPr>
          <w:b/>
          <w:i/>
        </w:rPr>
      </w:pPr>
      <w:r w:rsidRPr="00CD7DF8">
        <w:rPr>
          <w:b/>
          <w:i/>
        </w:rPr>
        <w:t xml:space="preserve">B.1 Pretendimet mbi aktin normativ </w:t>
      </w:r>
    </w:p>
    <w:p w:rsidR="00873BD0" w:rsidRPr="00CD7DF8" w:rsidRDefault="00873BD0" w:rsidP="00873BD0">
      <w:pPr>
        <w:pStyle w:val="Paragrafi"/>
      </w:pPr>
      <w:r>
        <w:t xml:space="preserve">6.3 </w:t>
      </w:r>
      <w:r w:rsidRPr="00CD7DF8">
        <w:t>Akti normativ është miratuar në shkelje të parimeve kushtetuese, konkretisht parimit të ndarjes dhe balancimit të pushteteve, të sanksionuar nga neni 7 i Kushtetutës, të kritereve kushtetuese të nevojës dhe urgjencës, të përcaktuara në nenin 101, si dhe të konsensusit politik të arritur në Kuvend në maj 2013.</w:t>
      </w:r>
    </w:p>
    <w:p w:rsidR="00873BD0" w:rsidRPr="00CD7DF8" w:rsidRDefault="00873BD0" w:rsidP="00873BD0">
      <w:pPr>
        <w:pStyle w:val="Paragrafi"/>
      </w:pPr>
      <w:r>
        <w:t xml:space="preserve">6.4 </w:t>
      </w:r>
      <w:r w:rsidRPr="00CD7DF8">
        <w:t xml:space="preserve">Ligji i ri, në ndryshim nga ligji nr.8549/1999, rregullon në mënyrë tërësore statusin civil, nuk përmban dispozita me natyrë të përgjithshme, por zbërthen qartësisht parimet që udhëheqin shërbimin civil, duke ngarkuar Këshillin e Ministrave për miratimin e akteve nënligjore. Arsyet e parashtruara në preambulën e aktit normativ mbi pazbatueshmërinë e ligjit nr.152/2013, si pasojë e mungesës së akteve nënligjore dhe natyrës së përgjithshme të ligjit, nuk përmbushin kriteret e nenit 101 të Kushtetutës, kjo për faktin se sipas nenit 118 të Kushtetutës, aktet nënligjore dalin në bazë dhe për zbatim të ligjit dhe, në asnjë rast, nuk i paraprijnë miratimit dhe hyrjes në fuqi të tij. Gjithashtu, bazuar në nenin 84 të Kushtetutës, termi “ligj” nënkupton aktin e miratuar nga Kuvendi, të botuar në Fletoren Zyrtare, si kusht për hyrjen në fuqi me kalimin e jo më pak se 15 ditëve nga botimi. </w:t>
      </w:r>
    </w:p>
    <w:p w:rsidR="00873BD0" w:rsidRPr="00CD7DF8" w:rsidRDefault="00873BD0" w:rsidP="00873BD0">
      <w:pPr>
        <w:pStyle w:val="Paragrafi"/>
      </w:pPr>
      <w:r>
        <w:t xml:space="preserve">6.5 </w:t>
      </w:r>
      <w:r w:rsidRPr="00CD7DF8">
        <w:t xml:space="preserve">Edhe arsyet e tjera të tilla si nevoja për organizimin institucional, efektet financiare mbi buxhetin e shtetit dhe gjendja ekonomike financiare, të paraqitura nga Këshilli i Ministrave si shkak për </w:t>
      </w:r>
      <w:r w:rsidRPr="00CD7DF8">
        <w:lastRenderedPageBreak/>
        <w:t>miratimin e aktit normativ, nuk lidhen me përmbajtjen e ligjit nr.152/2013, i cili rregullon marrëdhënien juridike ndërmjet shtetit dhe nëpunësit civil, ndërkohë që aspektet e organizimit institucional janë objekt rregullimi nga ligji nr.90/2012 “Për organizimin dhe funksionimin e administratës shtetërore”. Po ashtu, në referim të ligjit të ri, procesi i mbylljes apo ristrukturimit nuk shoqërohet me shpenzime shtesë për buxhetin e shtetit, çka e bën të pabazuar edhe pretendimin për efekte financiare shtesë apo pamundësinë e përballimit për shkak të gjendjes ekonomike. Përkundrazi, këto efekte do të ishin të pranishme në rast të zbatimit të ligjit nr.8549/1999.</w:t>
      </w:r>
    </w:p>
    <w:p w:rsidR="00873BD0" w:rsidRPr="00CD7DF8" w:rsidRDefault="00873BD0" w:rsidP="00873BD0">
      <w:pPr>
        <w:pStyle w:val="Paragrafi"/>
        <w:rPr>
          <w:b/>
          <w:i/>
        </w:rPr>
      </w:pPr>
      <w:r w:rsidRPr="00CD7DF8">
        <w:rPr>
          <w:b/>
          <w:i/>
        </w:rPr>
        <w:t xml:space="preserve">B.2 Pretendimet për ligjin miratues të aktit normativ </w:t>
      </w:r>
    </w:p>
    <w:p w:rsidR="00873BD0" w:rsidRPr="00CD7DF8" w:rsidRDefault="00873BD0" w:rsidP="00873BD0">
      <w:pPr>
        <w:pStyle w:val="Paragrafi"/>
      </w:pPr>
      <w:r>
        <w:t xml:space="preserve">6.6  </w:t>
      </w:r>
      <w:r w:rsidRPr="00CD7DF8">
        <w:t>Kuvendi, në referim të Kushtetutës dhe jurisprudencës kushtetuese, nuk ka përmbushur detyrimet kushtetuese që kanë të bëjnë me vlerësimin në formë dhe në përmbajtje të aktit normativ, duke e miratuar atë në kundërshtim me nenet 7 dhe 101 të Kushtetutës. Në këtë kuptim, miratimi i aktit normativ që nuk ka përmbushur kriteret kushtetuese, passjell antikushtetutshmërinë edhe të ligjit miratues.</w:t>
      </w:r>
    </w:p>
    <w:p w:rsidR="00873BD0" w:rsidRPr="00CD7DF8" w:rsidRDefault="00873BD0" w:rsidP="00873BD0">
      <w:pPr>
        <w:pStyle w:val="Paragrafi"/>
      </w:pPr>
      <w:r>
        <w:t xml:space="preserve">6.7  </w:t>
      </w:r>
      <w:r w:rsidRPr="00CD7DF8">
        <w:t xml:space="preserve">Kërkuesi argumenton se, në referim të nenit 81 të Kushtetutës, ligji për statusin e funksionarëve publikë miratohet me tri të pestat e votave të të gjithë anëtarëve të Kuvendit. Nisur nga një interpretim sistematik i Kushtetutës, konstatohet se kushtetutëbërësi i ka përjashtuar ligjet që parashikon neni 81 i Kushtetutës nga fusha e veprimit të nenit 101 (përveç rastit të gjendjes së jashtëzakonshme). Ky parashikim përforcohet edhe nga neni 83, sipas të cilit këto ligje nuk mund të miratohen me procedurë të përshpejtuar. </w:t>
      </w:r>
    </w:p>
    <w:p w:rsidR="00873BD0" w:rsidRPr="00CD7DF8" w:rsidRDefault="00873BD0" w:rsidP="00873BD0">
      <w:pPr>
        <w:pStyle w:val="Paragrafi"/>
      </w:pPr>
      <w:r>
        <w:t xml:space="preserve">6.8 </w:t>
      </w:r>
      <w:r w:rsidRPr="00CD7DF8">
        <w:t>Ligji miratues cenon parimin e sigurisë juridike, të të drejtave të fituara dhe pritshmërive të ligjshme të të gjithë nëpunësve publikë (me status civil ose jo), të cilët nga data 1.10.2013 do të gëzonin garancitë e ligjit nr.152/2013, veçanërisht në drejtim të përfitimit gjerësisht të statusit të nëpunësit civil. Miratimi i aktit normativ dhe i ligjit miratues, duke e shtyrë me 6 muaj përfitimin e garancive ligjore për nëpunësit publikë, e ka përkeqësuar në mënyrë të paarsyeshme gjendjen ligjore të nëpunësve, pasi u ka mohuar atyre të drejtat e fituara dhe ka injoruar interesat e tyre legjitime, duke dhunuar haptazi parimin e barazisë në të drejta, dhe duke rrezikuar edhe arritjen e qëllimit madhor të ndërtimit të shtetit të së drejtës.</w:t>
      </w:r>
    </w:p>
    <w:p w:rsidR="00873BD0" w:rsidRPr="00CD7DF8" w:rsidRDefault="00873BD0" w:rsidP="00873BD0">
      <w:pPr>
        <w:pStyle w:val="Paragrafi"/>
      </w:pPr>
      <w:r>
        <w:rPr>
          <w:b/>
          <w:i/>
        </w:rPr>
        <w:t xml:space="preserve">7. </w:t>
      </w:r>
      <w:r w:rsidRPr="00CD7DF8">
        <w:rPr>
          <w:b/>
          <w:i/>
        </w:rPr>
        <w:t xml:space="preserve">Subjekti i interesuar, Këshilli i Ministrave, </w:t>
      </w:r>
      <w:r w:rsidRPr="00CD7DF8">
        <w:t xml:space="preserve">në mënyrë të përmbledhur, ka prapësuar si vijon: </w:t>
      </w:r>
    </w:p>
    <w:p w:rsidR="00873BD0" w:rsidRDefault="00873BD0" w:rsidP="00873BD0">
      <w:pPr>
        <w:pStyle w:val="Paragrafi"/>
        <w:rPr>
          <w:b/>
          <w:i/>
        </w:rPr>
      </w:pPr>
    </w:p>
    <w:p w:rsidR="00873BD0" w:rsidRDefault="00873BD0" w:rsidP="00873BD0">
      <w:pPr>
        <w:pStyle w:val="Paragrafi"/>
        <w:rPr>
          <w:b/>
          <w:i/>
        </w:rPr>
      </w:pPr>
    </w:p>
    <w:p w:rsidR="00873BD0" w:rsidRPr="00CD7DF8" w:rsidRDefault="00873BD0" w:rsidP="00873BD0">
      <w:pPr>
        <w:pStyle w:val="Paragrafi"/>
        <w:rPr>
          <w:b/>
          <w:i/>
        </w:rPr>
      </w:pPr>
      <w:r>
        <w:rPr>
          <w:b/>
          <w:i/>
        </w:rPr>
        <w:t xml:space="preserve">A. </w:t>
      </w:r>
      <w:r w:rsidRPr="00CD7DF8">
        <w:rPr>
          <w:b/>
          <w:i/>
        </w:rPr>
        <w:t>Mbi legjitimimin e kërkuesit</w:t>
      </w:r>
    </w:p>
    <w:p w:rsidR="00873BD0" w:rsidRPr="00CD7DF8" w:rsidRDefault="00873BD0" w:rsidP="00873BD0">
      <w:pPr>
        <w:pStyle w:val="Paragrafi"/>
        <w:rPr>
          <w:i/>
        </w:rPr>
      </w:pPr>
      <w:r>
        <w:t xml:space="preserve">7.1 </w:t>
      </w:r>
      <w:r w:rsidRPr="00CD7DF8">
        <w:t xml:space="preserve">Kërkuesi duhet të provojë interesin dhe qëllimin kur kërkon një kontroll të normës juridike, por argumentet mbi të cilat ai mbështet ekzistencën e nxitjes dhe qëllimit janë të pabazuara, pasi nuk justifikojnë, në asnjë rast, se në çfarë mënyre miratimi i aktit normativ me fuqinë e ligjit ka cenuar funksionin kushtetues të deputetit për të ushtruar funksion ligjvënës. Përkundrazi, kërkuesi jo vetëm nuk është penguar të ushtrojë pushtetin ligjvënës, në kuptim të nenit 81/1 të Kushtetutës, </w:t>
      </w:r>
      <w:r w:rsidRPr="00CD7DF8">
        <w:rPr>
          <w:rFonts w:eastAsia="Times New Roman"/>
        </w:rPr>
        <w:t>por ai vetë, duke bojkotuar dhe duke mos marrë pjesë me vullnetin e tij në shqyrtimin e aktit normativ në komisionet parlamentare dhe në seancë plenare, ka pranuar që të mos e ushtrojë funksionin e tij kushtetues.</w:t>
      </w:r>
      <w:r w:rsidRPr="00CD7DF8">
        <w:rPr>
          <w:i/>
        </w:rPr>
        <w:t xml:space="preserve"> </w:t>
      </w:r>
      <w:r w:rsidRPr="00CD7DF8">
        <w:t xml:space="preserve">Për më tepër, </w:t>
      </w:r>
      <w:r w:rsidRPr="00CD7DF8">
        <w:rPr>
          <w:rFonts w:eastAsia="Times New Roman"/>
        </w:rPr>
        <w:t>miratimi nga Kuvendi i ligjit nr.161/2013 tregon se nuk janë cenuar kompetencat legjislative të anëtarëve të tij.</w:t>
      </w:r>
    </w:p>
    <w:p w:rsidR="00873BD0" w:rsidRPr="00CD7DF8" w:rsidRDefault="00873BD0" w:rsidP="00873BD0">
      <w:pPr>
        <w:pStyle w:val="Paragrafi"/>
        <w:rPr>
          <w:b/>
          <w:i/>
        </w:rPr>
      </w:pPr>
      <w:r>
        <w:rPr>
          <w:b/>
          <w:i/>
        </w:rPr>
        <w:t xml:space="preserve">B. </w:t>
      </w:r>
      <w:r w:rsidRPr="00CD7DF8">
        <w:rPr>
          <w:b/>
          <w:i/>
        </w:rPr>
        <w:t xml:space="preserve">Mbi juridiksionin e Gjykatës Kushtetuese </w:t>
      </w:r>
    </w:p>
    <w:p w:rsidR="00873BD0" w:rsidRPr="00CD7DF8" w:rsidRDefault="00873BD0" w:rsidP="00873BD0">
      <w:pPr>
        <w:pStyle w:val="Paragrafi"/>
        <w:rPr>
          <w:i/>
        </w:rPr>
      </w:pPr>
      <w:r>
        <w:rPr>
          <w:rFonts w:eastAsia="Times New Roman"/>
        </w:rPr>
        <w:t xml:space="preserve">7.2 </w:t>
      </w:r>
      <w:r w:rsidRPr="00CD7DF8">
        <w:rPr>
          <w:rFonts w:eastAsia="Times New Roman"/>
        </w:rPr>
        <w:t xml:space="preserve">Gjykata Kushtetuese  nuk ka juridiksionin për shqyrtimin e çështjes, pasi kërkesa është pa objekt, për faktin se akti normativ me fuqinë e ligjit, duke u miratuar </w:t>
      </w:r>
      <w:r>
        <w:rPr>
          <w:rFonts w:eastAsia="Times New Roman"/>
        </w:rPr>
        <w:t>nga Kuvendi brenda periudhës 45-</w:t>
      </w:r>
      <w:r w:rsidRPr="00CD7DF8">
        <w:rPr>
          <w:rFonts w:eastAsia="Times New Roman"/>
        </w:rPr>
        <w:t>ditore të parashikuar nga Kushtetuta, ka pushuar së ekzistuari, pasi është shndërruar në ligj. Kjo përbën një “rinovim” të burimit të së drejtës, nga një akt normativ i ekzekutivit në një ligj të parlamentit, i cili e ka përthithur përmbajtjen e aktit normativ, duke i dhënë atij tashmë fuqi të pakufizuar.</w:t>
      </w:r>
    </w:p>
    <w:p w:rsidR="00873BD0" w:rsidRPr="00CD7DF8" w:rsidRDefault="00873BD0" w:rsidP="00873BD0">
      <w:pPr>
        <w:pStyle w:val="Paragrafi"/>
        <w:rPr>
          <w:i/>
        </w:rPr>
      </w:pPr>
      <w:r>
        <w:t xml:space="preserve">7.3 </w:t>
      </w:r>
      <w:r w:rsidRPr="00CD7DF8">
        <w:t xml:space="preserve">Kontrolli kushtetues mund të ushtrohet vetëm në ato raste kur “nevoja” dhe “urgjenca” janë </w:t>
      </w:r>
      <w:r w:rsidRPr="00CD7DF8">
        <w:lastRenderedPageBreak/>
        <w:t xml:space="preserve">haptazi inekzistente. Në raste të tjera, Gjykata nuk mund t’i vlerësojë këto kushte, nëse ekzistojnë ose jo, pasi do të ndërhynte në prerogativat kushtetuese të organeve të tjera, fillimisht të Këshillit të Ministrave dhe të Kuvendit, që bën vlerësimin e mëvonshëm. </w:t>
      </w:r>
    </w:p>
    <w:p w:rsidR="00873BD0" w:rsidRPr="00CD7DF8" w:rsidRDefault="00873BD0" w:rsidP="00873BD0">
      <w:pPr>
        <w:pStyle w:val="Paragrafi"/>
        <w:rPr>
          <w:b/>
          <w:i/>
        </w:rPr>
      </w:pPr>
      <w:r w:rsidRPr="00CD7DF8">
        <w:rPr>
          <w:b/>
        </w:rPr>
        <w:t xml:space="preserve">C. </w:t>
      </w:r>
      <w:r w:rsidRPr="00CD7DF8">
        <w:rPr>
          <w:b/>
          <w:i/>
        </w:rPr>
        <w:t xml:space="preserve">Mbi themelin e kërkesës </w:t>
      </w:r>
    </w:p>
    <w:p w:rsidR="00873BD0" w:rsidRPr="00CD7DF8" w:rsidRDefault="00873BD0" w:rsidP="00873BD0">
      <w:pPr>
        <w:pStyle w:val="Paragrafi"/>
        <w:rPr>
          <w:b/>
        </w:rPr>
      </w:pPr>
      <w:r w:rsidRPr="00CD7DF8">
        <w:rPr>
          <w:b/>
          <w:i/>
        </w:rPr>
        <w:t>C.1</w:t>
      </w:r>
      <w:r w:rsidRPr="00CD7DF8">
        <w:rPr>
          <w:b/>
        </w:rPr>
        <w:t xml:space="preserve"> </w:t>
      </w:r>
      <w:r w:rsidRPr="00CD7DF8">
        <w:rPr>
          <w:b/>
          <w:i/>
        </w:rPr>
        <w:t>Prapësime për cenimin e parimit të ndarjes së pushteteve, sipas nenit 7</w:t>
      </w:r>
    </w:p>
    <w:p w:rsidR="00873BD0" w:rsidRPr="00CD7DF8" w:rsidRDefault="00873BD0" w:rsidP="00873BD0">
      <w:pPr>
        <w:pStyle w:val="Paragrafi"/>
      </w:pPr>
      <w:r>
        <w:t xml:space="preserve">7.4 </w:t>
      </w:r>
      <w:r w:rsidRPr="00CD7DF8">
        <w:t xml:space="preserve">Akti normativ me fuqinë e ligjit është një instrument që ka për qëllim përshpejtimin e procedurave për formimin e ligjit, në mungesë të kohës së nevojshme për të filluar një procedurë normale të miratimit të një propozimi për të ndryshuar ligjin. Në këto kushte, ekzekutivi, duke ushtruar të drejtën e tij kushtetuese, iu drejtua instrumentit të aktit normativ me fuqinë e ligjit duke imponuar, nën iniciativën e tij, një afat të shpejtë dhe më të shkurtër sesa një afat mesatar që është i nevojshëm për miratimin e ligjit nga Kuvendi. </w:t>
      </w:r>
    </w:p>
    <w:p w:rsidR="00873BD0" w:rsidRPr="00CD7DF8" w:rsidRDefault="00873BD0" w:rsidP="00873BD0">
      <w:pPr>
        <w:pStyle w:val="Paragrafi"/>
      </w:pPr>
      <w:r>
        <w:rPr>
          <w:bCs/>
          <w:iCs/>
          <w:color w:val="000000"/>
          <w:spacing w:val="-2"/>
        </w:rPr>
        <w:t xml:space="preserve">7.5 </w:t>
      </w:r>
      <w:r w:rsidRPr="00CD7DF8">
        <w:rPr>
          <w:bCs/>
          <w:iCs/>
          <w:color w:val="000000"/>
          <w:spacing w:val="-2"/>
        </w:rPr>
        <w:t xml:space="preserve">Neni 81/1 i Kushtetutës e parashikon Këshillin e Ministrave si nismëtar në propozimin e ligjeve dhe, për rrjedhojë, mund të propozojë ndryshime edhe në ligje që kanë shumicë të cilësuar, pasi Kushtetuta nuk vendos asnjë kufizim në lidhje me këtë pikë. Në këtë kuptim, pretendimi i kërkuesit se kushtetutëbërësi ka përjashtuar nga fusha e veprimit të nenit 101 të Kushtetutës listën e akteve të parashikuara nga neni 81, është haptazi i pabazuar. Për sa kohë neni 101 i Kushtetutës përcakton se Këshilli i Ministrave nxjerr akte normative me fuqinë e ligjit dhe neni 116 i Kushtetutës nuk bën asnjë dallim midis ligjeve që përmend kjo dispozitë, nuk ka asnjë pengesë që të ndërhyhet me akt normativ me fuqinë e ligjit edhe në akte që kërkojnë shumicë të cilësuar. </w:t>
      </w:r>
    </w:p>
    <w:p w:rsidR="00873BD0" w:rsidRPr="00CD7DF8" w:rsidRDefault="00873BD0" w:rsidP="00873BD0">
      <w:pPr>
        <w:pStyle w:val="Paragrafi"/>
        <w:rPr>
          <w:b/>
          <w:bCs/>
          <w:i/>
          <w:iCs/>
          <w:color w:val="000000"/>
          <w:spacing w:val="-2"/>
        </w:rPr>
      </w:pPr>
      <w:r>
        <w:t xml:space="preserve">7.6 </w:t>
      </w:r>
      <w:r w:rsidRPr="00CD7DF8">
        <w:t xml:space="preserve">Akti normativ me fuqinë e ligjit mund të vendosë edhe kufizime të lirive e të të drejtave të njeriut, nën dritën e nenit 17 të Kushtetutës. Nëse kushtetutëbërësi ka lejuar që kjo të ndodhë në një fushë me ndjeshmëri kaq të madhe, përse nuk duhet ta lejonte në lidhje me marrëdhënie shoqërore, rregullimin e të cilave ia ka rezervuar ligjeve organike (apo të përforcuara), gjë që nuk e ka shprehur në mënyrë eksplicite.  </w:t>
      </w:r>
    </w:p>
    <w:p w:rsidR="00873BD0" w:rsidRDefault="00873BD0" w:rsidP="00873BD0">
      <w:pPr>
        <w:pStyle w:val="Paragrafi"/>
      </w:pPr>
      <w:r>
        <w:rPr>
          <w:bCs/>
          <w:iCs/>
          <w:color w:val="000000"/>
          <w:spacing w:val="-2"/>
        </w:rPr>
        <w:t xml:space="preserve">7.7 </w:t>
      </w:r>
      <w:r w:rsidRPr="00CD7DF8">
        <w:rPr>
          <w:bCs/>
          <w:iCs/>
          <w:color w:val="000000"/>
          <w:spacing w:val="-2"/>
        </w:rPr>
        <w:t>Këshilli i Ministrave ka ndërhyrë edhe në raste të tjera me akt normativ në ligje që kërkojnë shumicë të cilësuar, si për shembull a</w:t>
      </w:r>
      <w:r>
        <w:rPr>
          <w:bCs/>
          <w:iCs/>
        </w:rPr>
        <w:t>kti normativ nr.101, datë 5.</w:t>
      </w:r>
      <w:r w:rsidRPr="00CD7DF8">
        <w:rPr>
          <w:bCs/>
          <w:iCs/>
        </w:rPr>
        <w:t xml:space="preserve">3.1999, me të cilin është ndërhyrë në Kodin Doganor; </w:t>
      </w:r>
      <w:r w:rsidRPr="00CD7DF8">
        <w:t>akti normativ me fuqinë e ligjit nr.2, datë</w:t>
      </w:r>
      <w:r>
        <w:t xml:space="preserve"> 8.</w:t>
      </w:r>
      <w:r w:rsidRPr="00CD7DF8">
        <w:t>4.2009, për ratifikimin e</w:t>
      </w:r>
      <w:r w:rsidRPr="00CD7DF8">
        <w:rPr>
          <w:i/>
        </w:rPr>
        <w:t xml:space="preserve"> “Memorandumit të mirëkuptimit ndërmjet Kombeve të Bashkuara dhe Këshillit të Ministrave të Republikës së Shqipërisë për kontributin në burimet e misionit të Kombeve të Bashkuara në Republikën Afrikane Qendrore dhe Çad (MINURCAT)”</w:t>
      </w:r>
      <w:r w:rsidRPr="00CD7DF8">
        <w:t>.</w:t>
      </w:r>
    </w:p>
    <w:p w:rsidR="00873BD0" w:rsidRDefault="00873BD0" w:rsidP="00873BD0">
      <w:pPr>
        <w:pStyle w:val="Paragrafi"/>
      </w:pPr>
    </w:p>
    <w:p w:rsidR="00873BD0" w:rsidRPr="00CD7DF8" w:rsidRDefault="00873BD0" w:rsidP="00873BD0">
      <w:pPr>
        <w:pStyle w:val="Paragrafi"/>
        <w:rPr>
          <w:b/>
          <w:bCs/>
          <w:i/>
          <w:iCs/>
          <w:color w:val="000000"/>
          <w:spacing w:val="-2"/>
        </w:rPr>
      </w:pPr>
      <w:r>
        <w:t xml:space="preserve">7.8 </w:t>
      </w:r>
      <w:r w:rsidRPr="00CD7DF8">
        <w:rPr>
          <w:bCs/>
          <w:iCs/>
        </w:rPr>
        <w:t xml:space="preserve">Për sa kohë asnjë dispozitë kushtetuese nuk ka një ndalim të shprehur për këtë rast, </w:t>
      </w:r>
      <w:r w:rsidRPr="00CD7DF8">
        <w:t>Gjykata Kushtetuese nuk mund të prodhojë një normë juridike kushtetuese që nuk ekziston, pasi do të vepronte në kundërshtim me nenin 132 të Kushtetutës.</w:t>
      </w:r>
    </w:p>
    <w:p w:rsidR="00873BD0" w:rsidRPr="00CD7DF8" w:rsidRDefault="00873BD0" w:rsidP="00873BD0">
      <w:pPr>
        <w:widowControl w:val="0"/>
        <w:ind w:firstLine="720"/>
        <w:jc w:val="both"/>
        <w:rPr>
          <w:rFonts w:ascii="CG Times" w:hAnsi="CG Times"/>
          <w:b/>
          <w:i/>
          <w:sz w:val="22"/>
          <w:szCs w:val="22"/>
        </w:rPr>
      </w:pPr>
      <w:r w:rsidRPr="00CD7DF8">
        <w:rPr>
          <w:rFonts w:ascii="CG Times" w:hAnsi="CG Times"/>
          <w:b/>
          <w:i/>
          <w:sz w:val="22"/>
          <w:szCs w:val="22"/>
        </w:rPr>
        <w:t>C.2</w:t>
      </w:r>
      <w:r w:rsidRPr="00CD7DF8">
        <w:rPr>
          <w:rFonts w:ascii="CG Times" w:hAnsi="CG Times"/>
          <w:b/>
          <w:sz w:val="22"/>
          <w:szCs w:val="22"/>
        </w:rPr>
        <w:t xml:space="preserve"> </w:t>
      </w:r>
      <w:r w:rsidRPr="00CD7DF8">
        <w:rPr>
          <w:rFonts w:ascii="CG Times" w:hAnsi="CG Times"/>
          <w:b/>
          <w:i/>
          <w:sz w:val="22"/>
          <w:szCs w:val="22"/>
        </w:rPr>
        <w:t>Mbi ekzistencën e kritereve kushtetuese të “nevojës” dhe “urgjencës”, sipas nenit 101</w:t>
      </w:r>
    </w:p>
    <w:p w:rsidR="00873BD0" w:rsidRPr="00CD7DF8" w:rsidRDefault="00873BD0" w:rsidP="00873BD0">
      <w:pPr>
        <w:pStyle w:val="Paragrafi"/>
        <w:rPr>
          <w:b/>
          <w:bCs/>
          <w:i/>
          <w:iCs/>
          <w:color w:val="000000"/>
          <w:spacing w:val="-2"/>
        </w:rPr>
      </w:pPr>
      <w:r>
        <w:t xml:space="preserve">7.9 </w:t>
      </w:r>
      <w:r w:rsidRPr="00CD7DF8">
        <w:t>Për shkak të natyrës së ligjit nr.152/2013 “Për nëpunësin civil”, si ligj delegues, me natyrë të përgjithshme dhe jo të posaçme, hyrja e tij në fuqi do të shoqërohej me krijimin e boshllëkut ligjor, pasi mungojnë aktet nënligjore për rregullimin e situatave të veçanta, ndërkohë</w:t>
      </w:r>
      <w:r w:rsidRPr="00CD7DF8">
        <w:rPr>
          <w:color w:val="000000"/>
          <w:spacing w:val="-2"/>
        </w:rPr>
        <w:t xml:space="preserve"> që, referuar nenit 118 të Kushtetutës, krahas shfuqizimit të </w:t>
      </w:r>
      <w:r w:rsidRPr="00CD7DF8">
        <w:rPr>
          <w:bCs/>
          <w:iCs/>
          <w:spacing w:val="-2"/>
        </w:rPr>
        <w:t xml:space="preserve">ligjit </w:t>
      </w:r>
      <w:r w:rsidRPr="00CD7DF8">
        <w:rPr>
          <w:color w:val="000000"/>
          <w:spacing w:val="-2"/>
        </w:rPr>
        <w:t>nr.8549/1999, humbasin fuqinë edhe aktet nënligjore të dala në bazë dhe për zbatim të tij.</w:t>
      </w:r>
      <w:r w:rsidRPr="00CD7DF8">
        <w:t xml:space="preserve"> Boshllëku legjislativ është evidentuar nga jurisprudenca kushtetuese si situatë faktike nevoje dhe nënkupton jo vetëm mungesën e akteve ligjore, por dhe të akteve nënligjore. </w:t>
      </w:r>
    </w:p>
    <w:p w:rsidR="00873BD0" w:rsidRPr="00CD7DF8" w:rsidRDefault="00873BD0" w:rsidP="00873BD0">
      <w:pPr>
        <w:pStyle w:val="Paragrafi"/>
        <w:rPr>
          <w:b/>
          <w:bCs/>
          <w:i/>
          <w:iCs/>
          <w:color w:val="000000"/>
          <w:spacing w:val="-2"/>
        </w:rPr>
      </w:pPr>
      <w:r>
        <w:rPr>
          <w:color w:val="000000"/>
        </w:rPr>
        <w:t xml:space="preserve">7.10 </w:t>
      </w:r>
      <w:r w:rsidRPr="00CD7DF8">
        <w:rPr>
          <w:color w:val="000000"/>
        </w:rPr>
        <w:t xml:space="preserve">Edhe pretendimi tjetër i kërkuesit mbi mosekzistencën e nevojës për organizimin institucional, nuk gjen asnjë bazë juridike dhe faktike, pasi në strukturën e re të administratës shtetërore janë shtuar 6 ministri, organika e të cilave përmban pozicione që nuk mund të plotësohen me ngritje në detyrë, lëvizje paralele, apo rekrutim, pasi dispozitat ligjore që rregullojnë këto raste kërkojnë rregullim me akte nënligjore. Për rrjedhojë, fillimi i efekteve të ligjit nga data 1.10.2013, do të kishte pasoja bllokuese për veprimtarinë e së paku 6 ministrive, të cilat do të ishin për disa muaj pa staf mbështetës. </w:t>
      </w:r>
    </w:p>
    <w:p w:rsidR="00873BD0" w:rsidRPr="00CD7DF8" w:rsidRDefault="00873BD0" w:rsidP="00873BD0">
      <w:pPr>
        <w:pStyle w:val="Paragrafi"/>
        <w:rPr>
          <w:b/>
          <w:bCs/>
          <w:i/>
          <w:iCs/>
          <w:color w:val="000000"/>
          <w:spacing w:val="-2"/>
        </w:rPr>
      </w:pPr>
      <w:r>
        <w:rPr>
          <w:color w:val="000000"/>
        </w:rPr>
        <w:t xml:space="preserve">7.11 </w:t>
      </w:r>
      <w:r w:rsidRPr="00CD7DF8">
        <w:rPr>
          <w:color w:val="000000"/>
        </w:rPr>
        <w:t xml:space="preserve">Gjithashtu, i pabazuar është edhe pretendimi për mosndikimin e ligjit të ri në buxhetin e </w:t>
      </w:r>
      <w:r w:rsidRPr="00CD7DF8">
        <w:rPr>
          <w:color w:val="000000"/>
        </w:rPr>
        <w:lastRenderedPageBreak/>
        <w:t xml:space="preserve">shtetit dhe në gjendjen ekonomike të vendit. Elementet më të dukshme të këtij ndikimi janë hapja e Shkollës së Administratës Publike dhe </w:t>
      </w:r>
      <w:r w:rsidRPr="00CD7DF8">
        <w:rPr>
          <w:bCs/>
          <w:color w:val="000000"/>
        </w:rPr>
        <w:t xml:space="preserve">shtrirja e </w:t>
      </w:r>
      <w:r w:rsidRPr="00CD7DF8">
        <w:rPr>
          <w:color w:val="000000"/>
        </w:rPr>
        <w:t xml:space="preserve">statusit të nëpunësit civil edhe për nëpunës të tjerë të administratës që më parë nuk e gëzonin atë. </w:t>
      </w:r>
      <w:r w:rsidRPr="00CD7DF8">
        <w:rPr>
          <w:bCs/>
          <w:color w:val="000000"/>
        </w:rPr>
        <w:t xml:space="preserve">Trajtimi i ndryshëm në paga i nëpunësve civilë  do të sillte cenimin e parimit të barazisë dhe parimin e sigurisë juridike. </w:t>
      </w:r>
    </w:p>
    <w:p w:rsidR="00873BD0" w:rsidRPr="00CD7DF8" w:rsidRDefault="00873BD0" w:rsidP="00873BD0">
      <w:pPr>
        <w:pStyle w:val="Paragrafi"/>
        <w:rPr>
          <w:b/>
          <w:bCs/>
          <w:i/>
          <w:iCs/>
          <w:color w:val="000000"/>
          <w:spacing w:val="-2"/>
        </w:rPr>
      </w:pPr>
      <w:r>
        <w:rPr>
          <w:color w:val="000000"/>
        </w:rPr>
        <w:t xml:space="preserve">7.12 </w:t>
      </w:r>
      <w:r w:rsidRPr="00CD7DF8">
        <w:rPr>
          <w:color w:val="000000"/>
        </w:rPr>
        <w:t>Një tjetër element i nevojës është edhe harmonizimi i legjislacionit, qëllim i shprehur në nenin 71/1 të ligjit nr.152/2013, pasi përfshirja në shërbimin civil të mbi 95 institucioneve, të cilat rregullohen me ligje të ndryshme, kërkon domosdoshmërisht harmonizimin e tyre me ligjin e ri.</w:t>
      </w:r>
    </w:p>
    <w:p w:rsidR="00873BD0" w:rsidRPr="00CD7DF8" w:rsidRDefault="00873BD0" w:rsidP="00873BD0">
      <w:pPr>
        <w:pStyle w:val="Paragrafi"/>
        <w:rPr>
          <w:b/>
          <w:bCs/>
          <w:i/>
          <w:iCs/>
          <w:color w:val="000000"/>
          <w:spacing w:val="-2"/>
        </w:rPr>
      </w:pPr>
      <w:r>
        <w:rPr>
          <w:color w:val="000000"/>
        </w:rPr>
        <w:t xml:space="preserve">7.13 </w:t>
      </w:r>
      <w:r w:rsidRPr="00CD7DF8">
        <w:rPr>
          <w:color w:val="000000"/>
        </w:rPr>
        <w:t xml:space="preserve">Akti normativ plotëson elementin </w:t>
      </w:r>
      <w:r w:rsidRPr="00CD7DF8">
        <w:rPr>
          <w:i/>
          <w:color w:val="000000"/>
        </w:rPr>
        <w:t>“urgjencë”,</w:t>
      </w:r>
      <w:r w:rsidRPr="00CD7DF8">
        <w:rPr>
          <w:color w:val="000000"/>
        </w:rPr>
        <w:t xml:space="preserve"> pasi, kur </w:t>
      </w:r>
      <w:r w:rsidRPr="00CD7DF8">
        <w:rPr>
          <w:bCs/>
          <w:iCs/>
          <w:color w:val="000000"/>
        </w:rPr>
        <w:t>situata e krijuar vlerësohet e pamundur të presë aq kohë sa nevojitet për nxjerrjen e ligjit të nevojshëm nga organi ligjvënës, qoftë edhe nëpërmjet procedurave të përshpejtuara, iniciativa ligjvënëse mund t’i kalojë qeverisë. Për shkak të pamundësisë për miratimin me procedurë të përshpejtuar të ligjit nr.152/2013, si ligj i cilësuar dhe, po ashtu, duke marrë në konsideratë datën 16.09.2013, kur Këshilli i Ministrave ka bërë betimin, nga pikëpamja kohore ishte e pamundur ndërhyrja në ligj përpara datës 01.10.2013. Për rrjedhojë, çdo ndërhyrje pas kësaj date do të cenonte parimin e sigurisë juridike.</w:t>
      </w:r>
      <w:r w:rsidRPr="00CD7DF8">
        <w:rPr>
          <w:color w:val="000000"/>
        </w:rPr>
        <w:t xml:space="preserve"> </w:t>
      </w:r>
    </w:p>
    <w:p w:rsidR="00873BD0" w:rsidRPr="00CD7DF8" w:rsidRDefault="00873BD0" w:rsidP="00873BD0">
      <w:pPr>
        <w:pStyle w:val="Paragrafi"/>
        <w:rPr>
          <w:b/>
          <w:i/>
        </w:rPr>
      </w:pPr>
      <w:r>
        <w:rPr>
          <w:b/>
          <w:i/>
        </w:rPr>
        <w:t xml:space="preserve">8. </w:t>
      </w:r>
      <w:r w:rsidRPr="00CD7DF8">
        <w:rPr>
          <w:b/>
          <w:i/>
        </w:rPr>
        <w:t>Subjekti i interesuar, Kuvendi i Shqipërisë</w:t>
      </w:r>
      <w:r w:rsidRPr="00CD7DF8">
        <w:rPr>
          <w:b/>
        </w:rPr>
        <w:t xml:space="preserve">, </w:t>
      </w:r>
      <w:r w:rsidRPr="00CD7DF8">
        <w:t>prapëson në mënyrë të përmbledhur se:</w:t>
      </w:r>
      <w:r w:rsidRPr="00CD7DF8">
        <w:rPr>
          <w:i/>
        </w:rPr>
        <w:t xml:space="preserve"> </w:t>
      </w:r>
      <w:r w:rsidRPr="00CD7DF8">
        <w:rPr>
          <w:b/>
          <w:i/>
        </w:rPr>
        <w:t xml:space="preserve"> </w:t>
      </w:r>
    </w:p>
    <w:p w:rsidR="00873BD0" w:rsidRPr="00CD7DF8" w:rsidRDefault="00873BD0" w:rsidP="00873BD0">
      <w:pPr>
        <w:pStyle w:val="Paragrafi"/>
      </w:pPr>
      <w:r>
        <w:t xml:space="preserve">8.1 </w:t>
      </w:r>
      <w:r w:rsidRPr="00CD7DF8">
        <w:t xml:space="preserve">Pretendimet e kërkuesit, në lidhje me papajtueshmërinë me Kushtetutën të ligjit miratues të aktit normativ, janë të pabazuara për faktin se Kuvendi, në përfundim të analizës dhe vlerësimit, formalisht dhe thelbësisht, të kritereve kushtetuese të nevojës, urgjencës dhe përkohshmërisë, ka arritur në përfundimin se akti normativ me fuqinë e ligjit është në pajtueshmëri me Kushtetutën dhe kuadrin ligjor në fuqi. </w:t>
      </w:r>
    </w:p>
    <w:p w:rsidR="00873BD0" w:rsidRPr="00CD7DF8" w:rsidRDefault="00873BD0" w:rsidP="00873BD0">
      <w:pPr>
        <w:pStyle w:val="Paragrafi"/>
      </w:pPr>
      <w:r>
        <w:t xml:space="preserve">8.2 </w:t>
      </w:r>
      <w:r w:rsidRPr="00CD7DF8">
        <w:t>Po ashtu, i pabazuar është edhe pretendimi tjetër i kërkuesit se ligjet të cilat kërkojnë miratimin me shumicë të cilësuar, nuk mund të ndryshohen me akt normativ me fuqinë e ligjit, për faktin se nuk ekziston ndonjë pengesë ligjore në këtë drejtim, mjafton që të plotësohet kërkesa që ligji, i cili miratohet me shumicë të cilësuar</w:t>
      </w:r>
      <w:r>
        <w:t>,</w:t>
      </w:r>
      <w:r w:rsidRPr="00CD7DF8">
        <w:t xml:space="preserve"> të ndryshohet po me të njëjtën shumicë.</w:t>
      </w:r>
    </w:p>
    <w:p w:rsidR="00873BD0" w:rsidRPr="00CD7DF8" w:rsidRDefault="00873BD0" w:rsidP="00873BD0">
      <w:pPr>
        <w:pStyle w:val="Paragrafi"/>
      </w:pPr>
    </w:p>
    <w:p w:rsidR="00873BD0" w:rsidRPr="00CD7DF8" w:rsidRDefault="00873BD0" w:rsidP="00873BD0">
      <w:pPr>
        <w:pStyle w:val="NeniTitull"/>
      </w:pPr>
      <w:r w:rsidRPr="00CD7DF8">
        <w:t>III</w:t>
      </w:r>
    </w:p>
    <w:p w:rsidR="00873BD0" w:rsidRPr="00CD7DF8" w:rsidRDefault="00873BD0" w:rsidP="00873BD0">
      <w:pPr>
        <w:pStyle w:val="Paragrafi"/>
        <w:rPr>
          <w:bCs/>
          <w:i/>
          <w:lang w:eastAsia="fr-FR"/>
        </w:rPr>
      </w:pPr>
      <w:r>
        <w:rPr>
          <w:bCs/>
          <w:i/>
          <w:lang w:eastAsia="fr-FR"/>
        </w:rPr>
        <w:t xml:space="preserve">A. </w:t>
      </w:r>
      <w:r w:rsidRPr="00CD7DF8">
        <w:rPr>
          <w:bCs/>
          <w:i/>
          <w:lang w:eastAsia="fr-FR"/>
        </w:rPr>
        <w:t>Lidhur me kërkesën për pezullimin e zbatimit të aktit normativ</w:t>
      </w:r>
    </w:p>
    <w:p w:rsidR="00873BD0" w:rsidRPr="00CD7DF8" w:rsidRDefault="00873BD0" w:rsidP="00873BD0">
      <w:pPr>
        <w:pStyle w:val="Paragrafi"/>
        <w:rPr>
          <w:b/>
          <w:i/>
        </w:rPr>
      </w:pPr>
      <w:r>
        <w:t xml:space="preserve">9. </w:t>
      </w:r>
      <w:r w:rsidRPr="00CD7DF8">
        <w:t xml:space="preserve">Gjykata konstaton se kërkuesi ka kërkuar pezullimin e zbatimit të aktit normativ objekt kundërshtimi, duke parashtruar në mënyrë të përmbledhur se ligji nr.152/2013 “Për nëpunësin civil”, i cili ka dalë në përputhje me parashikimet e nenit 107 të Kushtetutës, parashikon garanci kushtetuese që kanë të bëjnë me </w:t>
      </w:r>
      <w:r w:rsidRPr="00CD7DF8">
        <w:rPr>
          <w:i/>
        </w:rPr>
        <w:t xml:space="preserve">përfshirjen në shërbimin civil të të gjithë nëpunësve që kryejnë funksione për ushtrimin e autoritetit administrativ publik; me vazhdimësinë në karrierë dhe qëndrueshmërinë në detyrë; me parimin e paanësisë politike; mosabuzimin me përgjegjësinë disiplinore të nëpunësve civilë, etj. </w:t>
      </w:r>
      <w:r w:rsidRPr="00CD7DF8">
        <w:t>Po ashtu, sipas kërkuesit, shtyrja e datës së shtrirjes së efekteve të ligjit të ri dhe zbatimi i ligjit nr.8549/1999, i cili nuk parashikon garancitë e mjaftueshme për të siguruar parimet mbi të cilat duhet të funksionojë administrata publike, cenon të drejtat ligjore të nëpunësve civilë, veçanërisht, parimin e barazisë, të mosdiskriminimit, qëndrueshmërinë në detyrë dhe vazhdimësinë e shërbimit civil</w:t>
      </w:r>
      <w:r>
        <w:t>,</w:t>
      </w:r>
      <w:r w:rsidRPr="00CD7DF8">
        <w:t xml:space="preserve"> si dhe trajtimin dinjitoz ligjor të tyre. Për këtë arsye, akti normativ duhet të pezullohet deri në dhënien e vendimit përfundimtar nga Gjykata Kushtetuese. </w:t>
      </w:r>
    </w:p>
    <w:p w:rsidR="00873BD0" w:rsidRPr="00CD7DF8" w:rsidRDefault="00873BD0" w:rsidP="00873BD0">
      <w:pPr>
        <w:pStyle w:val="Paragrafi"/>
        <w:rPr>
          <w:b/>
          <w:i/>
        </w:rPr>
      </w:pPr>
      <w:r>
        <w:t xml:space="preserve">10. </w:t>
      </w:r>
      <w:r w:rsidRPr="00CD7DF8">
        <w:t>Subjekti i interesuar, Këshilli i Ministrave, në lidhje me kërkesën për pezullimin e aktit normativ</w:t>
      </w:r>
      <w:r>
        <w:t>,</w:t>
      </w:r>
      <w:r w:rsidRPr="00CD7DF8">
        <w:t xml:space="preserve"> ka prapësuar se akti i nxjerrë nga Këshilli i Ministrave është marrë në shqyrtim nga Kuvendi, i cili nuk ka konstatuar tejkalim të pushtetit ekzekutiv, por ka konfirmuar ekzistencën e nevojës edhe urgjencës, duke miratuar ligjin nr. 161/2013. Në këtë kuptim, kërkesa për pezullimin e aktit normativ, </w:t>
      </w:r>
      <w:r w:rsidRPr="00CD7DF8">
        <w:rPr>
          <w:i/>
        </w:rPr>
        <w:t xml:space="preserve">de jure </w:t>
      </w:r>
      <w:r w:rsidRPr="00CD7DF8">
        <w:t xml:space="preserve">dhe </w:t>
      </w:r>
      <w:r w:rsidRPr="00CD7DF8">
        <w:rPr>
          <w:i/>
        </w:rPr>
        <w:t>de facto</w:t>
      </w:r>
      <w:r w:rsidRPr="00CD7DF8">
        <w:t xml:space="preserve"> është pa objekt.</w:t>
      </w:r>
      <w:r w:rsidRPr="00CD7DF8">
        <w:rPr>
          <w:b/>
          <w:i/>
        </w:rPr>
        <w:t xml:space="preserve"> </w:t>
      </w:r>
      <w:r w:rsidRPr="00CD7DF8">
        <w:t>Marrja e masës së pezullimit do të zhvlerësonte komponentët kushtetues të “nevojës” dhe “urgjencës”, duke sjellë ato pasoja të dëmshme që u shmangën nëpërmjet miratimit të aktit normativ me fuqinë e ligjit. Qëllimi i Këshillit të Ministrave dhe, më pas i Kuvendit, ka qenë krijimi i sigurisë juridike</w:t>
      </w:r>
      <w:r>
        <w:t>,</w:t>
      </w:r>
      <w:r w:rsidRPr="00CD7DF8">
        <w:t xml:space="preserve"> si dhe eliminimi i efekteve financiare negative në buxhetin e shtetit, çka nënkupton se interesi publik garantohet nga zbatimi i aktit dhe jo përmes pezullimit të tij. Në këtë kuptim, shtyrja e </w:t>
      </w:r>
      <w:r>
        <w:t>efekteve të ligjit nr. 152/2013</w:t>
      </w:r>
      <w:r w:rsidRPr="00CD7DF8">
        <w:t xml:space="preserve"> nuk cenon nëpunësit e administratës publike, pasi ata </w:t>
      </w:r>
      <w:r w:rsidRPr="00CD7DF8">
        <w:lastRenderedPageBreak/>
        <w:t xml:space="preserve">garantohen nga ligji nr.8549/1999, i cili ka mbi 14 vjet që zbatohet, duke krijuar praktika administrative dhe gjyqësore të qarta dhe që bëjnë të mundur zbatimin e tij në mënyrën më korrekte të mundshme. </w:t>
      </w:r>
    </w:p>
    <w:p w:rsidR="00873BD0" w:rsidRPr="00CD7DF8" w:rsidRDefault="00873BD0" w:rsidP="00873BD0">
      <w:pPr>
        <w:pStyle w:val="Paragrafi"/>
        <w:rPr>
          <w:b/>
        </w:rPr>
      </w:pPr>
      <w:r>
        <w:rPr>
          <w:rFonts w:eastAsia="Times New Roman"/>
        </w:rPr>
        <w:t xml:space="preserve">11. </w:t>
      </w:r>
      <w:r w:rsidRPr="00CD7DF8">
        <w:rPr>
          <w:rFonts w:eastAsia="Times New Roman"/>
        </w:rPr>
        <w:t>Gjykata Kushtetuese vlerëson se kërkesa për pezullimin e zbatimit të aktit normativ objekt shqyrtimi, nuk gjen mbështetje në kërkesat e nenit</w:t>
      </w:r>
      <w:r>
        <w:rPr>
          <w:rFonts w:eastAsia="Times New Roman"/>
        </w:rPr>
        <w:t xml:space="preserve"> 45 të ligjit nr.8577, datë 10.</w:t>
      </w:r>
      <w:r w:rsidRPr="00CD7DF8">
        <w:rPr>
          <w:rFonts w:eastAsia="Times New Roman"/>
        </w:rPr>
        <w:t>2.2000 “Për organizimin dhe funksionimin e Gjykatës Kushtetuese të Republikës së Shqipërisë”. Për rrjedhojë, Gjykata vendosi rrëzimin e kësaj kërkese si të pabazuar.</w:t>
      </w:r>
    </w:p>
    <w:p w:rsidR="00873BD0" w:rsidRPr="000B2A02" w:rsidRDefault="00873BD0" w:rsidP="00873BD0">
      <w:pPr>
        <w:ind w:firstLine="720"/>
        <w:jc w:val="both"/>
        <w:rPr>
          <w:rFonts w:ascii="CG Times" w:hAnsi="CG Times"/>
          <w:b/>
          <w:sz w:val="16"/>
          <w:szCs w:val="22"/>
        </w:rPr>
      </w:pPr>
    </w:p>
    <w:p w:rsidR="00873BD0" w:rsidRPr="00CD7DF8" w:rsidRDefault="00873BD0" w:rsidP="00873BD0">
      <w:pPr>
        <w:pStyle w:val="NeniTitull"/>
      </w:pPr>
      <w:r w:rsidRPr="00CD7DF8">
        <w:t>IV</w:t>
      </w:r>
    </w:p>
    <w:p w:rsidR="00873BD0" w:rsidRPr="00CD7DF8" w:rsidRDefault="00873BD0" w:rsidP="00873BD0">
      <w:pPr>
        <w:pStyle w:val="NeniTitull"/>
      </w:pPr>
      <w:r w:rsidRPr="00CD7DF8">
        <w:t>Vlerësimi i Gjykatës Kushtetuese</w:t>
      </w:r>
    </w:p>
    <w:p w:rsidR="00873BD0" w:rsidRPr="000B2A02" w:rsidRDefault="00873BD0" w:rsidP="00873BD0">
      <w:pPr>
        <w:ind w:firstLine="720"/>
        <w:jc w:val="center"/>
        <w:rPr>
          <w:rFonts w:ascii="CG Times" w:hAnsi="CG Times"/>
          <w:b/>
          <w:sz w:val="14"/>
          <w:szCs w:val="22"/>
        </w:rPr>
      </w:pPr>
    </w:p>
    <w:p w:rsidR="00873BD0" w:rsidRPr="00CD7DF8" w:rsidRDefault="00873BD0" w:rsidP="00873BD0">
      <w:pPr>
        <w:pStyle w:val="Paragrafi"/>
        <w:rPr>
          <w:b/>
        </w:rPr>
      </w:pPr>
      <w:r>
        <w:t xml:space="preserve">12. </w:t>
      </w:r>
      <w:r w:rsidRPr="00CD7DF8">
        <w:t xml:space="preserve">Gjykata, përpara shqyrtimit të pretendimeve të kërkuesit mbi themelin e çështjes, vlerëson të shprehet në lidhje me prapësimet e parashtruara nga subjekti i interesuar, Këshilli i Ministrave, mbi moslegjitimimin e kërkuesit për vënien në lëvizje të gjykimit kushtetues dhe mungesën e juridiksionit të Gjykatës Kushtetuese për shqyrtimin e aktit normativ me fuqinë e ligjit. </w:t>
      </w:r>
    </w:p>
    <w:p w:rsidR="00873BD0" w:rsidRPr="00CD7DF8" w:rsidRDefault="00873BD0" w:rsidP="00873BD0">
      <w:pPr>
        <w:pStyle w:val="Paragrafi"/>
        <w:rPr>
          <w:i/>
        </w:rPr>
      </w:pPr>
      <w:r>
        <w:rPr>
          <w:i/>
        </w:rPr>
        <w:t xml:space="preserve">B. </w:t>
      </w:r>
      <w:r w:rsidRPr="00CD7DF8">
        <w:rPr>
          <w:i/>
        </w:rPr>
        <w:t xml:space="preserve">Mbi legjitimimin e kërkuesit </w:t>
      </w:r>
    </w:p>
    <w:p w:rsidR="00873BD0" w:rsidRPr="00CD7DF8" w:rsidRDefault="00873BD0" w:rsidP="00873BD0">
      <w:pPr>
        <w:pStyle w:val="Paragrafi"/>
      </w:pPr>
      <w:r>
        <w:t xml:space="preserve">13. </w:t>
      </w:r>
      <w:r w:rsidRPr="00CD7DF8">
        <w:t xml:space="preserve">Kushtetuta e Republikës së Shqipërisë, në nenin 134, pika 1, ka përcaktuar në mënyrë shteruese rrethin e subjekteve kushtetuese, të cilat legjitimohen të vënë në lëvizje juridiksionin kushtetues. Kriteri kushtetues i “detyrimit për të justifikuar interesin”, i përcaktuar në pikën 2 të nenit të mësipërm, është interpretuar nga jurisprudenca kushtetuese, si përcaktues i ndarjes së rrethit të subjekteve kushtetuese në dy kategori, subjektet e kushtëzuara dhe subjektet e pakushtëzuara. Në këtë kuptim, subjektet e parashikuara në pikat </w:t>
      </w:r>
      <w:r>
        <w:t>“</w:t>
      </w:r>
      <w:r w:rsidRPr="00CD7DF8">
        <w:t>dh</w:t>
      </w:r>
      <w:r>
        <w:t>”</w:t>
      </w:r>
      <w:r w:rsidRPr="00CD7DF8">
        <w:t xml:space="preserve">, </w:t>
      </w:r>
      <w:r>
        <w:t>“</w:t>
      </w:r>
      <w:r w:rsidRPr="00CD7DF8">
        <w:t>e</w:t>
      </w:r>
      <w:r>
        <w:t>”</w:t>
      </w:r>
      <w:r w:rsidRPr="00CD7DF8">
        <w:t xml:space="preserve">, </w:t>
      </w:r>
      <w:r>
        <w:t>“</w:t>
      </w:r>
      <w:r w:rsidRPr="00CD7DF8">
        <w:t>ë</w:t>
      </w:r>
      <w:r>
        <w:t>”</w:t>
      </w:r>
      <w:r w:rsidRPr="00CD7DF8">
        <w:t xml:space="preserve">, </w:t>
      </w:r>
      <w:r>
        <w:t>“</w:t>
      </w:r>
      <w:r w:rsidRPr="00CD7DF8">
        <w:t>f</w:t>
      </w:r>
      <w:r>
        <w:t>”</w:t>
      </w:r>
      <w:r w:rsidRPr="00CD7DF8">
        <w:t xml:space="preserve"> dhe </w:t>
      </w:r>
      <w:r>
        <w:t>“</w:t>
      </w:r>
      <w:r w:rsidRPr="00CD7DF8">
        <w:t>g</w:t>
      </w:r>
      <w:r>
        <w:t>”</w:t>
      </w:r>
      <w:r w:rsidRPr="00CD7DF8">
        <w:t xml:space="preserve"> të paragrafit 1, të cilat mund të bëjnë kërkesë vetëm për çështje që lidhen me interesat e tyre, janë subjekte të kushtëzuara. Parashikimi i këtij kriteri kushtetues vetëm për një numër të kufizuar subjektesh kushtetuese, në një interpretim </w:t>
      </w:r>
      <w:r w:rsidRPr="00CD7DF8">
        <w:rPr>
          <w:i/>
        </w:rPr>
        <w:t>a contrario</w:t>
      </w:r>
      <w:r w:rsidRPr="00CD7DF8">
        <w:t xml:space="preserve">, do të thotë se ai nuk është i zbatueshëm për subjektet e tjera të parashikuara në pikat </w:t>
      </w:r>
      <w:r>
        <w:t>“</w:t>
      </w:r>
      <w:r w:rsidRPr="00CD7DF8">
        <w:t>a</w:t>
      </w:r>
      <w:r>
        <w:t>”</w:t>
      </w:r>
      <w:r w:rsidRPr="00CD7DF8">
        <w:t xml:space="preserve">, </w:t>
      </w:r>
      <w:r>
        <w:t>“</w:t>
      </w:r>
      <w:r w:rsidRPr="00CD7DF8">
        <w:t>b</w:t>
      </w:r>
      <w:r>
        <w:t>”</w:t>
      </w:r>
      <w:r w:rsidRPr="00CD7DF8">
        <w:t xml:space="preserve">, </w:t>
      </w:r>
      <w:r>
        <w:t>“</w:t>
      </w:r>
      <w:r w:rsidRPr="00CD7DF8">
        <w:t>c</w:t>
      </w:r>
      <w:r>
        <w:t>”</w:t>
      </w:r>
      <w:r w:rsidRPr="00CD7DF8">
        <w:t xml:space="preserve">, </w:t>
      </w:r>
      <w:r>
        <w:t>“</w:t>
      </w:r>
      <w:r w:rsidRPr="00CD7DF8">
        <w:t>ç</w:t>
      </w:r>
      <w:r>
        <w:t>”</w:t>
      </w:r>
      <w:r w:rsidRPr="00CD7DF8">
        <w:t xml:space="preserve"> të pikës 1, të nenit 134 të Kushtetutës, të cilat nuk kanë detyrimin për të justifikuar interesin në rast se i drejtohen me kërkesë Gjykatës Kushtetuese. </w:t>
      </w:r>
    </w:p>
    <w:p w:rsidR="00873BD0" w:rsidRPr="00CD7DF8" w:rsidRDefault="00873BD0" w:rsidP="00873BD0">
      <w:pPr>
        <w:pStyle w:val="Paragrafi"/>
      </w:pPr>
      <w:r>
        <w:rPr>
          <w:rFonts w:eastAsia="Times New Roman"/>
        </w:rPr>
        <w:t xml:space="preserve">14. </w:t>
      </w:r>
      <w:r w:rsidRPr="00CD7DF8">
        <w:rPr>
          <w:rFonts w:eastAsia="Times New Roman"/>
        </w:rPr>
        <w:t xml:space="preserve">Çështja e </w:t>
      </w:r>
      <w:r w:rsidRPr="00CD7DF8">
        <w:t>legjitimimit (</w:t>
      </w:r>
      <w:r w:rsidRPr="00CD7DF8">
        <w:rPr>
          <w:i/>
        </w:rPr>
        <w:t>locus standi)</w:t>
      </w:r>
      <w:r w:rsidRPr="00CD7DF8">
        <w:t xml:space="preserve"> të një të pestës së deputetëve ka qenë objekt i shqyrtimit nga kjo Gjykatë edhe në raste të tjera, në të cilat ajo, në mënyrë të vazhdueshme, ka vlerësuar se një e pesta e deputetëve përfaqëson një nga subjektet e listuara në nenin 134, pika 1, shkronja “c” të Kushtetutës, të cilat kanë të drejtë të vënë në lëvizje juridiksionin kushtetues për arsye të një interesi publik, pa u kushtëzuar me një interes subjektiv konkret </w:t>
      </w:r>
      <w:r w:rsidRPr="00CD7DF8">
        <w:rPr>
          <w:i/>
        </w:rPr>
        <w:t>(shih vendimin</w:t>
      </w:r>
      <w:r w:rsidRPr="00CD7DF8">
        <w:rPr>
          <w:rFonts w:eastAsia="Times New Roman"/>
          <w:i/>
        </w:rPr>
        <w:t xml:space="preserve"> nr.9, datë 2</w:t>
      </w:r>
      <w:r>
        <w:rPr>
          <w:rFonts w:eastAsia="Times New Roman"/>
          <w:i/>
        </w:rPr>
        <w:t>3.</w:t>
      </w:r>
      <w:r w:rsidRPr="00CD7DF8">
        <w:rPr>
          <w:rFonts w:eastAsia="Times New Roman"/>
          <w:i/>
        </w:rPr>
        <w:t>3.2010, të</w:t>
      </w:r>
      <w:r w:rsidRPr="00CD7DF8">
        <w:rPr>
          <w:bCs/>
          <w:i/>
        </w:rPr>
        <w:t xml:space="preserve">  Gjykatës Kushtetuese</w:t>
      </w:r>
      <w:r w:rsidRPr="00CD7DF8">
        <w:rPr>
          <w:rFonts w:eastAsia="Times New Roman"/>
          <w:i/>
        </w:rPr>
        <w:t xml:space="preserve">). </w:t>
      </w:r>
      <w:r w:rsidRPr="00CD7DF8">
        <w:t>Interesi i këtyre bartësve të funksionit publik për të mbrojtur sist</w:t>
      </w:r>
      <w:r>
        <w:t>emin normativ dhe parimet shtet</w:t>
      </w:r>
      <w:r w:rsidRPr="00CD7DF8">
        <w:t>formuese</w:t>
      </w:r>
      <w:r>
        <w:t>,</w:t>
      </w:r>
      <w:r w:rsidRPr="00CD7DF8">
        <w:t xml:space="preserve"> si konstitucionalizmi, shteti i së drejtës, demokracia, dinjiteti njerëzor, barazia sociale etj., të shpalosura në Kushtetutë, nuk është i kushtëzuar (</w:t>
      </w:r>
      <w:r w:rsidRPr="00CD7DF8">
        <w:rPr>
          <w:i/>
        </w:rPr>
        <w:t>shih v</w:t>
      </w:r>
      <w:r>
        <w:rPr>
          <w:bCs/>
          <w:i/>
        </w:rPr>
        <w:t>endimin nr.18, datë 29.</w:t>
      </w:r>
      <w:r w:rsidRPr="00CD7DF8">
        <w:rPr>
          <w:bCs/>
          <w:i/>
        </w:rPr>
        <w:t>7.2008, të Gjykatës Kushtetuese</w:t>
      </w:r>
      <w:r w:rsidRPr="00CD7DF8">
        <w:rPr>
          <w:bCs/>
        </w:rPr>
        <w:t>)</w:t>
      </w:r>
      <w:r w:rsidRPr="00CD7DF8">
        <w:t xml:space="preserve">. </w:t>
      </w:r>
    </w:p>
    <w:p w:rsidR="00873BD0" w:rsidRPr="00CD7DF8" w:rsidRDefault="00873BD0" w:rsidP="00873BD0">
      <w:pPr>
        <w:pStyle w:val="Paragrafi"/>
      </w:pPr>
      <w:r>
        <w:t xml:space="preserve">15. </w:t>
      </w:r>
      <w:r w:rsidRPr="00CD7DF8">
        <w:t xml:space="preserve">Gjykata, në asnjë rast, nuk e ka vënë në dyshim legjitimimin e një të pestës së deputetëve kur ata i janë drejtuar kësaj Gjykate për kontrollin abstrakt të normës juridike. Në këtë kuptim, referimi nga ana e </w:t>
      </w:r>
      <w:r w:rsidRPr="00CD7DF8">
        <w:rPr>
          <w:bCs/>
        </w:rPr>
        <w:t xml:space="preserve">subjektit të interesuar, Këshilli i Ministrave, në </w:t>
      </w:r>
      <w:r>
        <w:rPr>
          <w:lang w:eastAsia="ja-JP"/>
        </w:rPr>
        <w:t>vendimin nr.25, datë 8.</w:t>
      </w:r>
      <w:r w:rsidRPr="00CD7DF8">
        <w:rPr>
          <w:lang w:eastAsia="ja-JP"/>
        </w:rPr>
        <w:t>5.2012, të Gjykatës Ku</w:t>
      </w:r>
      <w:r>
        <w:rPr>
          <w:lang w:eastAsia="ja-JP"/>
        </w:rPr>
        <w:t>shtetuese, është i gabuar, pasi në atë vendim</w:t>
      </w:r>
      <w:r w:rsidRPr="00CD7DF8">
        <w:rPr>
          <w:lang w:eastAsia="ja-JP"/>
        </w:rPr>
        <w:t xml:space="preserve"> Gjykata ka marrë në shqyrtim </w:t>
      </w:r>
      <w:r w:rsidRPr="00CD7DF8">
        <w:rPr>
          <w:bCs/>
        </w:rPr>
        <w:t xml:space="preserve">kontrollin e pajtueshmërisë me Kushtetutën të ligjit nr. 10 449, datë 14.7.2011 “Për rregullat dhe procedurat e ndërtimit të kompleksit të ri parlamentar të Kuvendit të Shqipërisë”, që kishte për objekt përcaktimin e rregullave dhe procedurave, të drejtat, detyrimet dhe afatet në dispozicion të institucioneve respektive për ndërtimin e kompleksit të ri parlamentar. </w:t>
      </w:r>
      <w:r w:rsidRPr="00CD7DF8">
        <w:rPr>
          <w:lang w:eastAsia="ja-JP"/>
        </w:rPr>
        <w:t>Gjykata arriti në përfundimin se ndodhej përpara një mosmarrëveshjeje kompetencash nd</w:t>
      </w:r>
      <w:r w:rsidRPr="00CD7DF8">
        <w:rPr>
          <w:bCs/>
          <w:spacing w:val="-2"/>
        </w:rPr>
        <w:t>ë</w:t>
      </w:r>
      <w:r w:rsidRPr="00CD7DF8">
        <w:rPr>
          <w:lang w:eastAsia="ja-JP"/>
        </w:rPr>
        <w:t>rmjet një organi të pushtetit q</w:t>
      </w:r>
      <w:r w:rsidRPr="00CD7DF8">
        <w:rPr>
          <w:bCs/>
          <w:spacing w:val="-2"/>
        </w:rPr>
        <w:t>e</w:t>
      </w:r>
      <w:r w:rsidRPr="00CD7DF8">
        <w:rPr>
          <w:lang w:eastAsia="ja-JP"/>
        </w:rPr>
        <w:t>ndror, Kuvendit të Shqipërisë, dhe një organi të qeverisjes vendore, Bashkisë Tiranë, dhe, për këtë arsye, nuk e legjitimoi një të pestën e deputetëve.</w:t>
      </w:r>
    </w:p>
    <w:p w:rsidR="00873BD0" w:rsidRPr="00CD7DF8" w:rsidRDefault="00873BD0" w:rsidP="00873BD0">
      <w:pPr>
        <w:pStyle w:val="Paragrafi"/>
        <w:rPr>
          <w:i/>
        </w:rPr>
      </w:pPr>
      <w:r>
        <w:t xml:space="preserve">16. </w:t>
      </w:r>
      <w:r w:rsidRPr="00CD7DF8">
        <w:t>N</w:t>
      </w:r>
      <w:r w:rsidRPr="00CD7DF8">
        <w:rPr>
          <w:bCs/>
        </w:rPr>
        <w:t xml:space="preserve">ë vështrim të sa më sipër, Gjykata arrin në përfundimin se prapësimi i subjektit të interesuar, Këshilli i Ministrave, në lidhje me mungesën e legjitimimit të kërkuesit është i pabazuar </w:t>
      </w:r>
      <w:r w:rsidRPr="00CD7DF8">
        <w:rPr>
          <w:bCs/>
        </w:rPr>
        <w:lastRenderedPageBreak/>
        <w:t>pasi, në referim të nenit 134, pika 2, germa “c”, grupi</w:t>
      </w:r>
      <w:r>
        <w:rPr>
          <w:bCs/>
        </w:rPr>
        <w:t xml:space="preserve"> prej 36 deputetësh të Kuvendit</w:t>
      </w:r>
      <w:r w:rsidRPr="00CD7DF8">
        <w:rPr>
          <w:bCs/>
        </w:rPr>
        <w:t xml:space="preserve"> përfaqëson një subjekt me legjitimitet të pakushtëzuar dhe, si i tillë, ka të drejtë të kërkojë kontrollin abstrakt të kushtetutshmërisë së aktit normativ me fuqinë e ligjit, dhe të ligjit të tij miratues.</w:t>
      </w:r>
      <w:r w:rsidRPr="00CD7DF8">
        <w:rPr>
          <w:rStyle w:val="FootnoteReference"/>
          <w:bCs/>
        </w:rPr>
        <w:footnoteReference w:id="1"/>
      </w:r>
      <w:r w:rsidRPr="00CD7DF8">
        <w:rPr>
          <w:bCs/>
          <w:i/>
        </w:rPr>
        <w:t xml:space="preserve"> </w:t>
      </w:r>
    </w:p>
    <w:p w:rsidR="00873BD0" w:rsidRPr="00651168" w:rsidRDefault="00873BD0" w:rsidP="00873BD0">
      <w:pPr>
        <w:pStyle w:val="Paragrafi"/>
        <w:rPr>
          <w:b/>
          <w:i/>
        </w:rPr>
      </w:pPr>
      <w:r w:rsidRPr="00651168">
        <w:rPr>
          <w:b/>
          <w:i/>
        </w:rPr>
        <w:t>C. Mbi juridiksionin e Gjykatës Kushtetuese</w:t>
      </w:r>
    </w:p>
    <w:p w:rsidR="00873BD0" w:rsidRPr="00CD7DF8" w:rsidRDefault="00873BD0" w:rsidP="00873BD0">
      <w:pPr>
        <w:pStyle w:val="Paragrafi"/>
        <w:rPr>
          <w:i/>
        </w:rPr>
      </w:pPr>
      <w:r>
        <w:rPr>
          <w:rFonts w:eastAsia="Times New Roman"/>
        </w:rPr>
        <w:t xml:space="preserve">17. </w:t>
      </w:r>
      <w:r w:rsidRPr="00CD7DF8">
        <w:rPr>
          <w:rFonts w:eastAsia="Times New Roman"/>
        </w:rPr>
        <w:t>Subjekti i interesuar, Këshilli i Ministrave, ka prapësuar se Gjykata Kushtetuese nuk ka juridiksionin për shqyrtimin e çështjes, pasi kërkesa është pa objekt, për faktin se akti normativ me fuqinë e ligjit, duke u miratuar nga Kuvendi brenda periudhës 45 ditore të parashikuar nga Kushtetuta, ka pushuar së ekzistuari, duke u shndërruar në ligj me fuqi të pakufizuar.</w:t>
      </w:r>
      <w:r w:rsidRPr="00CD7DF8">
        <w:rPr>
          <w:i/>
        </w:rPr>
        <w:t xml:space="preserve"> </w:t>
      </w:r>
    </w:p>
    <w:p w:rsidR="00873BD0" w:rsidRPr="00CD7DF8" w:rsidRDefault="00873BD0" w:rsidP="00873BD0">
      <w:pPr>
        <w:pStyle w:val="Paragrafi"/>
        <w:rPr>
          <w:i/>
        </w:rPr>
      </w:pPr>
      <w:r>
        <w:rPr>
          <w:lang w:eastAsia="ja-JP"/>
        </w:rPr>
        <w:t xml:space="preserve">18. </w:t>
      </w:r>
      <w:r w:rsidRPr="00CD7DF8">
        <w:rPr>
          <w:lang w:eastAsia="ja-JP"/>
        </w:rPr>
        <w:t>Gjykata Kushtetuese edhe më parë ka marrë në shqyrtim çështjen e pajtueshmërisë me Kushtetutën të aktit normativ të miratuar më ligj. Çështja e kufijve të juridiksionit kushtetues nuk është vënë në diskutim gjatë gjykimit të këtyre çështjeve, as në rastin kur Kuvendi kishte shprehur vullnetin e tij me ligj miratues, por ky i fundit nuk është bërë objekt kundërshtimi</w:t>
      </w:r>
      <w:r w:rsidRPr="00CD7DF8">
        <w:rPr>
          <w:vertAlign w:val="superscript"/>
          <w:lang w:eastAsia="ja-JP"/>
        </w:rPr>
        <w:footnoteReference w:id="2"/>
      </w:r>
      <w:r w:rsidRPr="00CD7DF8">
        <w:rPr>
          <w:lang w:eastAsia="ja-JP"/>
        </w:rPr>
        <w:t>, dhe as në rastin kur objekt kundërshtimi ka qenë njëkohësisht si akti normativ, ashtu dhe ligji miratues.</w:t>
      </w:r>
      <w:r w:rsidRPr="00CD7DF8">
        <w:rPr>
          <w:vertAlign w:val="superscript"/>
          <w:lang w:eastAsia="ja-JP"/>
        </w:rPr>
        <w:footnoteReference w:id="3"/>
      </w:r>
      <w:r w:rsidRPr="00CD7DF8">
        <w:rPr>
          <w:lang w:eastAsia="ja-JP"/>
        </w:rPr>
        <w:t xml:space="preserve"> Gjykata ka theksuar se ajo </w:t>
      </w:r>
      <w:r w:rsidRPr="00CD7DF8">
        <w:rPr>
          <w:rFonts w:eastAsia="Times New Roman"/>
        </w:rPr>
        <w:t>përfaqëson, gjithashtu, autoritetin që ka kompetencë të vlerësojë këto akte në përgjithësi dhe</w:t>
      </w:r>
      <w:r>
        <w:rPr>
          <w:rFonts w:eastAsia="Times New Roman"/>
        </w:rPr>
        <w:t xml:space="preserve"> nevojën e urgjencën si elemente të veçanta</w:t>
      </w:r>
      <w:r w:rsidRPr="00CD7DF8">
        <w:rPr>
          <w:rFonts w:eastAsia="Times New Roman"/>
        </w:rPr>
        <w:t xml:space="preserve"> të tyre, por vetëm nëse një prej subjekteve të legjitimuara i është drejtuar me kërkesë për këtë qëllim </w:t>
      </w:r>
      <w:r w:rsidRPr="00CD7DF8">
        <w:rPr>
          <w:rFonts w:eastAsia="Times New Roman"/>
          <w:i/>
        </w:rPr>
        <w:t>(shih vendimet nr.24, datë 1</w:t>
      </w:r>
      <w:r>
        <w:rPr>
          <w:rFonts w:eastAsia="Times New Roman"/>
          <w:i/>
        </w:rPr>
        <w:t>0.11.2006; nr.1, datë 6.2.2013,</w:t>
      </w:r>
      <w:r w:rsidRPr="00CD7DF8">
        <w:rPr>
          <w:rFonts w:eastAsia="Times New Roman"/>
          <w:i/>
        </w:rPr>
        <w:t xml:space="preserve"> të Gjykatës Kushtetuese).</w:t>
      </w:r>
    </w:p>
    <w:p w:rsidR="00873BD0" w:rsidRPr="00CD7DF8" w:rsidRDefault="00873BD0" w:rsidP="00873BD0">
      <w:pPr>
        <w:pStyle w:val="Paragrafi"/>
        <w:rPr>
          <w:i/>
        </w:rPr>
      </w:pPr>
      <w:r>
        <w:rPr>
          <w:lang w:eastAsia="ja-JP"/>
        </w:rPr>
        <w:t xml:space="preserve">19. </w:t>
      </w:r>
      <w:r w:rsidRPr="00CD7DF8">
        <w:rPr>
          <w:lang w:eastAsia="ja-JP"/>
        </w:rPr>
        <w:t xml:space="preserve">Jurisprudenca kushtetuese, në përcaktimin e natyrës së procesit ligjvënës për miratimin e aktit normativ, është ndalur në trajtimin e </w:t>
      </w:r>
      <w:r w:rsidRPr="00CD7DF8">
        <w:rPr>
          <w:rFonts w:eastAsia="Times New Roman"/>
        </w:rPr>
        <w:t>elementeve</w:t>
      </w:r>
      <w:r>
        <w:rPr>
          <w:rFonts w:eastAsia="Times New Roman"/>
        </w:rPr>
        <w:t>,</w:t>
      </w:r>
      <w:r w:rsidRPr="00CD7DF8">
        <w:rPr>
          <w:rFonts w:eastAsia="Times New Roman"/>
        </w:rPr>
        <w:t xml:space="preserve"> të tilla si forma juridike me të cilën duhet të shprehet vullneti i Kuvendit për këtë qëllim, kompetencat e këtij organi lidhur me vlerësimin e aktit normativ me fuqinë e ligjit të nxjerrë nga qeveria, si dhe karakteri i shqyrtimit që ky organ i bën aktit normativ të qeverisë.</w:t>
      </w:r>
      <w:r w:rsidRPr="00CD7DF8">
        <w:rPr>
          <w:i/>
        </w:rPr>
        <w:t xml:space="preserve"> </w:t>
      </w:r>
    </w:p>
    <w:p w:rsidR="00873BD0" w:rsidRPr="00CD7DF8" w:rsidRDefault="00873BD0" w:rsidP="00873BD0">
      <w:pPr>
        <w:pStyle w:val="Paragrafi"/>
        <w:rPr>
          <w:i/>
        </w:rPr>
      </w:pPr>
      <w:r>
        <w:rPr>
          <w:lang w:eastAsia="ja-JP"/>
        </w:rPr>
        <w:t xml:space="preserve">20. </w:t>
      </w:r>
      <w:r w:rsidRPr="00CD7DF8">
        <w:rPr>
          <w:lang w:eastAsia="ja-JP"/>
        </w:rPr>
        <w:t xml:space="preserve">Gjykata rithekson se kompetenca e Kuvendit për miratimin e aktit normativ konsiston në vlerësimin në formë dhe përmbajtje të normës dhe elementeve përbërëse të saj, si dhe në shprehjen e mendimit përfundimtar lidhur me aktin normativ. Natyra e këtij vlerësimi është politike, por dhe juridike. </w:t>
      </w:r>
      <w:r w:rsidRPr="00CD7DF8">
        <w:t xml:space="preserve">Ai shqyrton praninë e të gjitha elementeve të përcaktuara shprehimisht për aktin normativ me fuqinë e ligjit në Kushtetutë, si dhe pajtueshmërinë e përmbajtjes së tij me Kushtetutën dhe ligjet e tjera në fuqi. Kuvendi i Shqipërisë është organi që bën vlerësimin dhe kontrollin e nevojës dhe urgjencës, sepse Kushtetuta e ka ngarkuar në mënyrë të drejtpërdrejtë për këtë qëllim. </w:t>
      </w:r>
      <w:r w:rsidRPr="00CD7DF8">
        <w:rPr>
          <w:lang w:eastAsia="ja-JP"/>
        </w:rPr>
        <w:t>Kuvendi, gjatë miratimit të aktit normativ, ka diskrecion të zgjedhë një nga tri alternativat e mëposhtme: (i) të marrë në shqyrtim dhe ta miratojë aktin e nxjerrë nga Këshilli i Ministrave, (ii) ta marrë në shqyrtim dhe të mos e miratojë atë, (iii) të hesht</w:t>
      </w:r>
      <w:r>
        <w:rPr>
          <w:lang w:eastAsia="ja-JP"/>
        </w:rPr>
        <w:t>ë derisa të plotësohet afati 45-</w:t>
      </w:r>
      <w:r w:rsidRPr="00CD7DF8">
        <w:rPr>
          <w:lang w:eastAsia="ja-JP"/>
        </w:rPr>
        <w:t xml:space="preserve">ditor që dispozita kushtetuese i ka lënë në dispozicion për t’u shprehur lidhur me aktin. </w:t>
      </w:r>
      <w:r w:rsidRPr="00CD7DF8">
        <w:t>Vlerësimi dhe m</w:t>
      </w:r>
      <w:r w:rsidRPr="00CD7DF8">
        <w:rPr>
          <w:rFonts w:eastAsia="Arial Unicode MS"/>
        </w:rPr>
        <w:t xml:space="preserve">iratimi i aktit normativ me fuqinë e ligjit, të nxjerrë nga qeveria, dhe dhënia fuqi të mëtejshme atij nuk mund të bëhet ndryshe veçse me anë të një norme që ka të njëjtat vlera, pra me ligj </w:t>
      </w:r>
      <w:r w:rsidRPr="00CD7DF8">
        <w:t>(</w:t>
      </w:r>
      <w:r w:rsidRPr="00CD7DF8">
        <w:rPr>
          <w:i/>
        </w:rPr>
        <w:t>shih vendimin nr.24, datë 10.11.2006 të Gjykatës Kushtetuese)</w:t>
      </w:r>
      <w:r w:rsidRPr="00CD7DF8">
        <w:t>.</w:t>
      </w:r>
    </w:p>
    <w:p w:rsidR="00873BD0" w:rsidRPr="00CD7DF8" w:rsidRDefault="00873BD0" w:rsidP="00873BD0">
      <w:pPr>
        <w:pStyle w:val="Paragrafi"/>
        <w:rPr>
          <w:i/>
        </w:rPr>
      </w:pPr>
      <w:r>
        <w:rPr>
          <w:rFonts w:eastAsia="Times New Roman"/>
        </w:rPr>
        <w:t xml:space="preserve">21. </w:t>
      </w:r>
      <w:r w:rsidRPr="00CD7DF8">
        <w:rPr>
          <w:rFonts w:eastAsia="Times New Roman"/>
        </w:rPr>
        <w:t xml:space="preserve">Të njëjtin qëndrim ka mbajtur edhe jurisprudenca kushtetuese e vendeve që kanë rregullim </w:t>
      </w:r>
      <w:r w:rsidRPr="00CD7DF8">
        <w:rPr>
          <w:rFonts w:eastAsia="Times New Roman"/>
        </w:rPr>
        <w:lastRenderedPageBreak/>
        <w:t>kushtetues të aktit normativ me fuqinë e ligjit të përafërt me Kushtetutën e  Shqipërisë, si Italia</w:t>
      </w:r>
      <w:r w:rsidRPr="00CD7DF8">
        <w:rPr>
          <w:rFonts w:eastAsia="Times New Roman"/>
          <w:vertAlign w:val="superscript"/>
        </w:rPr>
        <w:footnoteReference w:id="4"/>
      </w:r>
      <w:r w:rsidRPr="00CD7DF8">
        <w:rPr>
          <w:rFonts w:eastAsia="Times New Roman"/>
        </w:rPr>
        <w:t xml:space="preserve"> apo Spanja</w:t>
      </w:r>
      <w:r w:rsidRPr="00CD7DF8">
        <w:rPr>
          <w:rFonts w:eastAsia="Times New Roman"/>
          <w:vertAlign w:val="superscript"/>
        </w:rPr>
        <w:footnoteReference w:id="5"/>
      </w:r>
      <w:r w:rsidRPr="00CD7DF8">
        <w:rPr>
          <w:rFonts w:eastAsia="Times New Roman"/>
        </w:rPr>
        <w:t>, Kushtetutat e të cilave parashikojnë kompetencën e Këshillit të Ministrave për nxjerrjen e këtyre akteve, dhe të Kuvendit për miratimin e ligjit konvertues.</w:t>
      </w:r>
    </w:p>
    <w:p w:rsidR="00873BD0" w:rsidRPr="00CD7DF8" w:rsidRDefault="00873BD0" w:rsidP="00873BD0">
      <w:pPr>
        <w:pStyle w:val="Paragrafi"/>
        <w:rPr>
          <w:i/>
        </w:rPr>
      </w:pPr>
      <w:r>
        <w:t xml:space="preserve">22. </w:t>
      </w:r>
      <w:r w:rsidRPr="00CD7DF8">
        <w:t>Kështu, Gjykata Kushtetuese e Italisë, e cila duke filluar nga viti 1995, rregullisht, e ka bërë pjesë të juridiksionit kushtetues vlerësimin e kushtetutshmërisë së dekretligjeve, edhe në rastet kur ato janë konvertuar në ligje nga Dhomat e Parlamentit, ka zgjidhur përfundimisht çështjen nëse konvertimi i aktit normativ nga Parlamenti shëron të metat e dekretligjit, duke u shprehur se t</w:t>
      </w:r>
      <w:r w:rsidRPr="00CD7DF8">
        <w:rPr>
          <w:rFonts w:eastAsia="Times New Roman"/>
        </w:rPr>
        <w:t xml:space="preserve">ë afirmosh që ligji që konverton dekretligjin riparon në çdo rast të metat e dekretligjit, do të thotë t’i atribuohet ligjvënësit të zakonshëm kompetenca që të ndryshojë ndarjen kushtetuese ndërmjet pushteteve, pra ndërmjet kompetencave të Parlamentit dhe Qeverisë, në nxjerrjen e burimeve primare të së drejtës. Për këtë arsye, kontrolli që ushtron Gjykata Kushtetuese nuk zëvendëson dhe nuk i mbivendoset kontrollit fillestar të Qeverisë dhe kontrollit të mëtejshëm të Parlamentit në momentin e konvertimit – në të cilin vlerësimet politike mund të mbizotërojnë – por duhet të kryhet në një aspekt tjetër, në funksion të ruajtjes së strukturës së burimeve të së drejtës dhe, bashkë me të, të respektimit të vlerave për mbrojtjen e të cilave ajo është përcaktuar </w:t>
      </w:r>
      <w:r w:rsidRPr="00CD7DF8">
        <w:rPr>
          <w:i/>
          <w:color w:val="231F20"/>
        </w:rPr>
        <w:t>(shih vendimet nr.171/2007, nr.</w:t>
      </w:r>
      <w:r w:rsidRPr="00CD7DF8">
        <w:rPr>
          <w:i/>
        </w:rPr>
        <w:t>128/2008</w:t>
      </w:r>
      <w:r w:rsidRPr="00CD7DF8">
        <w:rPr>
          <w:i/>
          <w:color w:val="231F20"/>
        </w:rPr>
        <w:t>, nr.</w:t>
      </w:r>
      <w:r w:rsidRPr="00CD7DF8">
        <w:rPr>
          <w:i/>
        </w:rPr>
        <w:t>22/2012 dhe nr.34/2013</w:t>
      </w:r>
      <w:r>
        <w:rPr>
          <w:i/>
        </w:rPr>
        <w:t>,</w:t>
      </w:r>
      <w:r w:rsidRPr="00CD7DF8">
        <w:rPr>
          <w:i/>
        </w:rPr>
        <w:t xml:space="preserve"> të Gjykatës Kushtetuese italiane).</w:t>
      </w:r>
    </w:p>
    <w:p w:rsidR="00873BD0" w:rsidRPr="00CD7DF8" w:rsidRDefault="00873BD0" w:rsidP="00873BD0">
      <w:pPr>
        <w:pStyle w:val="Paragrafi"/>
        <w:rPr>
          <w:i/>
        </w:rPr>
      </w:pPr>
      <w:r>
        <w:rPr>
          <w:rFonts w:eastAsia="Times New Roman"/>
        </w:rPr>
        <w:t xml:space="preserve">23. </w:t>
      </w:r>
      <w:r w:rsidRPr="00CD7DF8">
        <w:rPr>
          <w:rFonts w:eastAsia="Times New Roman"/>
        </w:rPr>
        <w:t>Në një republikë parlamentare duhet marrë në konsideratë që Qeveria duhet të fitojë besimin e Parlamentit dhe, po ashtu, që dekretligji passjell një marrje të veçantë përgjegjësie. Për këtë arsye, dispozitat e ligjit të konvertimit nuk mund të vlerësohen, në aspektin e kushtetutshmërisë së tyre, në mënyrë të pavarur nga ato të vetë dekretligjit. Për më tepër, fakti që ky i fundit hyn menjëherë në fuqi, bën që dekretligji të sjellë ndryshime edhe të pakthyeshme si në aspektin material, ashtu edhe në rendin juridik dhe, nga ana tjetër, bën të qartë arsyen e dispozitës kushtetuese që i atribuon Qeverisë përgjegjësinë e nxjerrjes së dekretligjit</w:t>
      </w:r>
      <w:r>
        <w:rPr>
          <w:rFonts w:eastAsia="Times New Roman"/>
        </w:rPr>
        <w:t>,</w:t>
      </w:r>
      <w:r w:rsidRPr="00CD7DF8">
        <w:rPr>
          <w:rFonts w:eastAsia="Times New Roman"/>
        </w:rPr>
        <w:t xml:space="preserve"> si dhe kushtëzon në kohë aktivitetin e Parlamentit, në veçanti ndaj funksionit normal ligjvënës. Parlamenti bën vlerësimet përkatëse dhe vendos duke u gjendur përpara një situate të ndryshuar nga norma të nxjerra nga një organ, që normalisht i përket pushteti ekzekutiv, që nuk ka kompetencën për të nxjerrë dispozita ligjore</w:t>
      </w:r>
      <w:r w:rsidRPr="00CD7DF8">
        <w:rPr>
          <w:rFonts w:eastAsia="Times New Roman"/>
          <w:i/>
        </w:rPr>
        <w:t xml:space="preserve"> </w:t>
      </w:r>
      <w:r w:rsidRPr="00CD7DF8">
        <w:rPr>
          <w:i/>
          <w:color w:val="231F20"/>
        </w:rPr>
        <w:t>(shih vendimet nr.171/2007, nr.</w:t>
      </w:r>
      <w:r w:rsidRPr="00CD7DF8">
        <w:rPr>
          <w:i/>
        </w:rPr>
        <w:t>128/2008</w:t>
      </w:r>
      <w:r w:rsidRPr="00CD7DF8">
        <w:rPr>
          <w:i/>
          <w:color w:val="231F20"/>
        </w:rPr>
        <w:t>, nr.</w:t>
      </w:r>
      <w:r w:rsidRPr="00CD7DF8">
        <w:rPr>
          <w:i/>
        </w:rPr>
        <w:t>22/2012 dhe nr.34/2013</w:t>
      </w:r>
      <w:r>
        <w:rPr>
          <w:i/>
        </w:rPr>
        <w:t xml:space="preserve">, </w:t>
      </w:r>
      <w:r w:rsidRPr="00CD7DF8">
        <w:rPr>
          <w:i/>
        </w:rPr>
        <w:t>të Gjykatës Kushtetuese italiane).</w:t>
      </w:r>
    </w:p>
    <w:p w:rsidR="00873BD0" w:rsidRPr="00CD7DF8" w:rsidRDefault="00873BD0" w:rsidP="00873BD0">
      <w:pPr>
        <w:pStyle w:val="Paragrafi"/>
        <w:rPr>
          <w:i/>
        </w:rPr>
      </w:pPr>
      <w:r>
        <w:t xml:space="preserve">24. </w:t>
      </w:r>
      <w:r w:rsidRPr="00CD7DF8">
        <w:t xml:space="preserve">Dhënia e pushtetit ligjvënës Qeverisë ka karakter përjashtues ndaj pushtetit të Parlamentit për të miratuar normat primare. Megjithatë, ky transferim justifikohet nisur nga fakti se në disa situata ose për disa fusha të veçanta, ushtrimi normal i pushtetit ligjvënës kërkon një kohë të caktuar teknike, </w:t>
      </w:r>
      <w:r w:rsidRPr="00CD7DF8">
        <w:lastRenderedPageBreak/>
        <w:t>ose duke konsideruar kompleksitetin e disiplinës në disa sektorë të caktuar, ndërhyrja e ligjvënësit mund të bëhet në një moment të dytë</w:t>
      </w:r>
      <w:r w:rsidRPr="00CD7DF8">
        <w:rPr>
          <w:color w:val="231F20"/>
        </w:rPr>
        <w:t xml:space="preserve"> </w:t>
      </w:r>
      <w:r w:rsidRPr="00CD7DF8">
        <w:rPr>
          <w:i/>
          <w:color w:val="231F20"/>
        </w:rPr>
        <w:t>(shih vendimet nr.171/2007, nr.</w:t>
      </w:r>
      <w:r w:rsidRPr="00CD7DF8">
        <w:rPr>
          <w:i/>
        </w:rPr>
        <w:t>128/2008</w:t>
      </w:r>
      <w:r w:rsidRPr="00CD7DF8">
        <w:rPr>
          <w:i/>
          <w:color w:val="231F20"/>
        </w:rPr>
        <w:t>, nr.</w:t>
      </w:r>
      <w:r w:rsidRPr="00CD7DF8">
        <w:rPr>
          <w:i/>
        </w:rPr>
        <w:t>22/2012 dhe nr.34/2013</w:t>
      </w:r>
      <w:r>
        <w:rPr>
          <w:i/>
        </w:rPr>
        <w:t>,</w:t>
      </w:r>
      <w:r w:rsidRPr="00CD7DF8">
        <w:rPr>
          <w:i/>
        </w:rPr>
        <w:t xml:space="preserve"> të Gjykatës Kushtetuese italiane)</w:t>
      </w:r>
    </w:p>
    <w:p w:rsidR="00873BD0" w:rsidRPr="00CD7DF8" w:rsidRDefault="00873BD0" w:rsidP="00873BD0">
      <w:pPr>
        <w:pStyle w:val="Paragrafi"/>
        <w:rPr>
          <w:i/>
        </w:rPr>
      </w:pPr>
      <w:r>
        <w:rPr>
          <w:color w:val="231F20"/>
        </w:rPr>
        <w:t xml:space="preserve">25. </w:t>
      </w:r>
      <w:r w:rsidRPr="00CD7DF8">
        <w:rPr>
          <w:color w:val="231F20"/>
        </w:rPr>
        <w:t xml:space="preserve">Të njëjtin qëndrim ka mbajtur edhe Tribunali Kushtetues i Spanjës, duke theksuar se </w:t>
      </w:r>
      <w:bookmarkStart w:id="0" w:name="_MailEndCompose"/>
      <w:r w:rsidRPr="00CD7DF8">
        <w:rPr>
          <w:color w:val="231F20"/>
        </w:rPr>
        <w:t xml:space="preserve">kontrolli parlamentar i dekretligjit ka thellësisht natyrë politike, kurse Gjykata Kushtetuese ndërhyn në situata abuzimi që karakterizohen nga “mungesa e dukshme” e kritereve kushtetuese </w:t>
      </w:r>
      <w:r w:rsidRPr="00CD7DF8">
        <w:rPr>
          <w:i/>
          <w:iCs/>
          <w:color w:val="231F20"/>
        </w:rPr>
        <w:t xml:space="preserve">(shih vendimet nr. 29/1982; nr.68, </w:t>
      </w:r>
      <w:r>
        <w:rPr>
          <w:i/>
          <w:iCs/>
          <w:color w:val="231F20"/>
        </w:rPr>
        <w:t>datë 28.</w:t>
      </w:r>
      <w:r w:rsidRPr="00CD7DF8">
        <w:rPr>
          <w:i/>
          <w:iCs/>
          <w:color w:val="231F20"/>
        </w:rPr>
        <w:t xml:space="preserve">3.2007, të Tribunalit Kushtetues Spanjoll). </w:t>
      </w:r>
      <w:bookmarkEnd w:id="0"/>
    </w:p>
    <w:p w:rsidR="00873BD0" w:rsidRPr="00CD7DF8" w:rsidRDefault="00873BD0" w:rsidP="00873BD0">
      <w:pPr>
        <w:pStyle w:val="Paragrafi"/>
        <w:rPr>
          <w:i/>
        </w:rPr>
      </w:pPr>
      <w:r>
        <w:rPr>
          <w:rFonts w:eastAsia="Times New Roman"/>
        </w:rPr>
        <w:t xml:space="preserve">26. </w:t>
      </w:r>
      <w:r w:rsidRPr="00CD7DF8">
        <w:rPr>
          <w:rFonts w:eastAsia="Times New Roman"/>
        </w:rPr>
        <w:t xml:space="preserve">Në vështrim të sa më sipër, Gjykata vlerëson se është detyrë dhe pjesë e natyrshme e juridiksionit të saj vlerësimi i kushtetutshmërisë së aktit normativ, ashtu dhe </w:t>
      </w:r>
      <w:r>
        <w:rPr>
          <w:rFonts w:eastAsia="Times New Roman"/>
        </w:rPr>
        <w:t xml:space="preserve">i </w:t>
      </w:r>
      <w:r w:rsidRPr="00CD7DF8">
        <w:rPr>
          <w:rFonts w:eastAsia="Times New Roman"/>
        </w:rPr>
        <w:t xml:space="preserve">ligjit miratues të Kuvendit, përderisa lidhet me respektimin e  parimit të ndarjes së pushteteve, që buron nga neni 7 i Kushtetutës, dhe me strukturën e burimeve të së drejtës, të përcaktuara në nenin 116 të Kushtetutës. </w:t>
      </w:r>
    </w:p>
    <w:p w:rsidR="00873BD0" w:rsidRPr="00CD7DF8" w:rsidRDefault="00873BD0" w:rsidP="00873BD0">
      <w:pPr>
        <w:pStyle w:val="Paragrafi"/>
        <w:rPr>
          <w:i/>
        </w:rPr>
      </w:pPr>
      <w:r>
        <w:t xml:space="preserve">27. </w:t>
      </w:r>
      <w:r w:rsidRPr="00CD7DF8">
        <w:t xml:space="preserve">Për rrjedhojë, Gjykata arrin në përfundimin se </w:t>
      </w:r>
      <w:r w:rsidRPr="00CD7DF8">
        <w:rPr>
          <w:rFonts w:eastAsia="Times New Roman"/>
          <w:lang w:eastAsia="ja-JP"/>
        </w:rPr>
        <w:t xml:space="preserve">pretendimi i subjektit të interesuar, Këshilli i Ministrave, se </w:t>
      </w:r>
      <w:r w:rsidRPr="00CD7DF8">
        <w:rPr>
          <w:rFonts w:eastAsia="Times New Roman"/>
        </w:rPr>
        <w:t xml:space="preserve">kërkesa, objekt gjykimi, ka mbetur pa objekt dhe, si e tillë, ajo nuk hyn në juridiksionin kushtetues, është i pabazuar, pasi kontrolli mbi </w:t>
      </w:r>
      <w:r w:rsidRPr="00CD7DF8">
        <w:rPr>
          <w:rFonts w:eastAsia="Times New Roman"/>
          <w:lang w:eastAsia="ja-JP"/>
        </w:rPr>
        <w:t>pajtueshm</w:t>
      </w:r>
      <w:r w:rsidRPr="00CD7DF8">
        <w:rPr>
          <w:rFonts w:eastAsia="Times New Roman"/>
        </w:rPr>
        <w:t>ë</w:t>
      </w:r>
      <w:r w:rsidRPr="00CD7DF8">
        <w:rPr>
          <w:rFonts w:eastAsia="Times New Roman"/>
          <w:lang w:eastAsia="ja-JP"/>
        </w:rPr>
        <w:t>rin</w:t>
      </w:r>
      <w:r w:rsidRPr="00CD7DF8">
        <w:rPr>
          <w:rFonts w:eastAsia="Times New Roman"/>
        </w:rPr>
        <w:t>ë</w:t>
      </w:r>
      <w:r w:rsidRPr="00CD7DF8">
        <w:rPr>
          <w:rFonts w:eastAsia="Times New Roman"/>
          <w:lang w:eastAsia="ja-JP"/>
        </w:rPr>
        <w:t xml:space="preserve"> me Kushtetutën të aktit normativ me fuqinë e ligjit shtrihet edhe mbi ligjin miratues, në referim të nenit 131, shkronja “a”, të Kushtetutës.</w:t>
      </w:r>
    </w:p>
    <w:p w:rsidR="00873BD0" w:rsidRPr="00CD7DF8" w:rsidRDefault="00873BD0" w:rsidP="00873BD0">
      <w:pPr>
        <w:tabs>
          <w:tab w:val="left" w:pos="851"/>
          <w:tab w:val="left" w:pos="993"/>
        </w:tabs>
        <w:autoSpaceDE w:val="0"/>
        <w:autoSpaceDN w:val="0"/>
        <w:adjustRightInd w:val="0"/>
        <w:ind w:firstLine="720"/>
        <w:jc w:val="both"/>
        <w:rPr>
          <w:rFonts w:ascii="CG Times" w:hAnsi="CG Times"/>
          <w:i/>
          <w:sz w:val="22"/>
          <w:szCs w:val="22"/>
        </w:rPr>
      </w:pPr>
    </w:p>
    <w:p w:rsidR="00873BD0" w:rsidRPr="00CD7DF8" w:rsidRDefault="00873BD0" w:rsidP="00873BD0">
      <w:pPr>
        <w:pStyle w:val="NeniTitull"/>
      </w:pPr>
      <w:r w:rsidRPr="00CD7DF8">
        <w:t>V</w:t>
      </w:r>
    </w:p>
    <w:p w:rsidR="00873BD0" w:rsidRPr="00CD7DF8" w:rsidRDefault="00873BD0" w:rsidP="00873BD0">
      <w:pPr>
        <w:numPr>
          <w:ilvl w:val="0"/>
          <w:numId w:val="1"/>
        </w:numPr>
        <w:tabs>
          <w:tab w:val="left" w:pos="900"/>
        </w:tabs>
        <w:autoSpaceDE w:val="0"/>
        <w:autoSpaceDN w:val="0"/>
        <w:adjustRightInd w:val="0"/>
        <w:jc w:val="both"/>
        <w:rPr>
          <w:rFonts w:ascii="CG Times" w:hAnsi="CG Times"/>
          <w:b/>
          <w:i/>
          <w:color w:val="231F20"/>
          <w:sz w:val="22"/>
          <w:szCs w:val="22"/>
        </w:rPr>
      </w:pPr>
      <w:r w:rsidRPr="00CD7DF8">
        <w:rPr>
          <w:rFonts w:ascii="CG Times" w:hAnsi="CG Times"/>
          <w:b/>
          <w:i/>
          <w:color w:val="231F20"/>
          <w:sz w:val="22"/>
          <w:szCs w:val="22"/>
        </w:rPr>
        <w:t>Vështrim krahasues mbi aktin normativ me fuqinë e ligjit</w:t>
      </w:r>
    </w:p>
    <w:p w:rsidR="00873BD0" w:rsidRPr="00CD7DF8" w:rsidRDefault="00873BD0" w:rsidP="00873BD0">
      <w:pPr>
        <w:pStyle w:val="Paragrafi"/>
        <w:rPr>
          <w:i/>
        </w:rPr>
      </w:pPr>
      <w:r>
        <w:t xml:space="preserve">28. </w:t>
      </w:r>
      <w:r w:rsidRPr="00CD7DF8">
        <w:t xml:space="preserve">Gjykata, me qëllim qartësimin e raportit të veçantë, të kontrollit dhe </w:t>
      </w:r>
      <w:r>
        <w:t xml:space="preserve">të </w:t>
      </w:r>
      <w:r w:rsidRPr="00CD7DF8">
        <w:t>balancës, që krijohet midis pushtetit legjislativ dhe ekzekutiv, në rastin kur ky i fundit ushtron përjashtimisht funksionin legjislativ të nxjerrjes së aktit normativ me fuqinë e ligjit, vlerëson të arsyeshme të analizojë, fillimisht, nën dritën e një këndvështrimi krahasues, q</w:t>
      </w:r>
      <w:r w:rsidRPr="00CD7DF8">
        <w:rPr>
          <w:color w:val="231F20"/>
        </w:rPr>
        <w:t xml:space="preserve">ëndrimin e kushtetutave të disa prej </w:t>
      </w:r>
      <w:r w:rsidRPr="00CD7DF8">
        <w:t xml:space="preserve">rendeve juridike, në lidhje me aktin normativ me fuqinë e ligjit. </w:t>
      </w:r>
    </w:p>
    <w:p w:rsidR="00873BD0" w:rsidRPr="00CD7DF8" w:rsidRDefault="00873BD0" w:rsidP="00873BD0">
      <w:pPr>
        <w:pStyle w:val="Paragrafi"/>
        <w:rPr>
          <w:i/>
        </w:rPr>
      </w:pPr>
      <w:r>
        <w:rPr>
          <w:color w:val="231F20"/>
        </w:rPr>
        <w:t xml:space="preserve">29. </w:t>
      </w:r>
      <w:r w:rsidRPr="00CD7DF8">
        <w:rPr>
          <w:color w:val="231F20"/>
        </w:rPr>
        <w:t>Qëndrimi i kushtetutave ndaj këtij akti juridik është i ndryshëm: Kushtetuta e Irlandës parashikon ndalimin në mënyrë të shprehur</w:t>
      </w:r>
      <w:r w:rsidRPr="00CD7DF8">
        <w:rPr>
          <w:rStyle w:val="FootnoteReference"/>
          <w:color w:val="231F20"/>
        </w:rPr>
        <w:footnoteReference w:id="6"/>
      </w:r>
      <w:r w:rsidRPr="00CD7DF8">
        <w:rPr>
          <w:color w:val="231F20"/>
        </w:rPr>
        <w:t xml:space="preserve">; Kushtetutat e Australisë, Zvicrës, Finlandës, Belgjikës, Luksemburgut, Holandës, Norvegjisë ose Japonisë nuk shprehen në lidhje me këtë nocion. Kjo “heshtje”, në disa rende juridike, është interpretuar si ndalim i nënkuptuar, ndërsa në disa të tjera si lejim; Kushtetutat e Italisë, Danimarkës, Greqisë, Islandës, Rumanisë, Estonisë ose Spanjës e lejojnë nxjerrjen e këtyre akteve, por me disa kufizime; nxjerrja e këtij akti parashikohet edhe në rendin juridik të Britanisë së Madhe dhe të Shteteve të Bashkuara të Amerikës; Kushtetutat  </w:t>
      </w:r>
      <w:r>
        <w:rPr>
          <w:color w:val="231F20"/>
        </w:rPr>
        <w:t>e disa vendeve latino-amerikane</w:t>
      </w:r>
      <w:r w:rsidRPr="00CD7DF8">
        <w:rPr>
          <w:color w:val="231F20"/>
        </w:rPr>
        <w:t xml:space="preserve"> përcaktojnë një disiplinë të gjendjes së luftës dhe të shtetrrethimit, pas deklarimit të të cilave Presidenti i Republikës ose Qeveria mund të veprojnë në përjashtim nga parimi i ndarjes së pushteteve. </w:t>
      </w:r>
    </w:p>
    <w:p w:rsidR="00873BD0" w:rsidRPr="00CD7DF8" w:rsidRDefault="00873BD0" w:rsidP="00873BD0">
      <w:pPr>
        <w:pStyle w:val="Paragrafi"/>
        <w:rPr>
          <w:color w:val="231F20"/>
        </w:rPr>
      </w:pPr>
      <w:r>
        <w:rPr>
          <w:lang w:eastAsia="ja-JP"/>
        </w:rPr>
        <w:t xml:space="preserve">30. </w:t>
      </w:r>
      <w:r w:rsidRPr="00CD7DF8">
        <w:rPr>
          <w:lang w:eastAsia="ja-JP"/>
        </w:rPr>
        <w:t xml:space="preserve">Përveç sa më sipër, Gjykata konstaton se në kategorinë e vendeve, kushtetutat e të cilave nuk shprehen mbi aktin normativ me fuqinë e ligjit përfshihet edhe </w:t>
      </w:r>
      <w:r w:rsidRPr="00CD7DF8">
        <w:rPr>
          <w:color w:val="231F20"/>
        </w:rPr>
        <w:t>Gjermania, ku abuzimet e Republikës</w:t>
      </w:r>
      <w:r w:rsidRPr="00CD7DF8">
        <w:t xml:space="preserve"> së Vajmarit, ishin shkak që Ligji Themelor i vitit 1949 të mos parashikonte aktin normativ.</w:t>
      </w:r>
      <w:r w:rsidRPr="00CD7DF8">
        <w:rPr>
          <w:rStyle w:val="FootnoteReference"/>
        </w:rPr>
        <w:footnoteReference w:id="7"/>
      </w:r>
      <w:r w:rsidRPr="00CD7DF8">
        <w:t xml:space="preserve"> Ndërsa në Francë, p</w:t>
      </w:r>
      <w:r w:rsidRPr="00CD7DF8">
        <w:rPr>
          <w:color w:val="231F20"/>
        </w:rPr>
        <w:t>as ngjarjeve të Luftës së Dytë Botërore,</w:t>
      </w:r>
      <w:r w:rsidRPr="00CD7DF8">
        <w:rPr>
          <w:b/>
          <w:color w:val="231F20"/>
        </w:rPr>
        <w:t xml:space="preserve"> </w:t>
      </w:r>
      <w:r w:rsidRPr="00CD7DF8">
        <w:rPr>
          <w:color w:val="231F20"/>
        </w:rPr>
        <w:t xml:space="preserve">Kushtetuta franceze e Republikës së IV (1946) kishte ndaluar në mënyrë eksplicite aktet normative, duke i atribuuar vetëm Asamblesë pushtetin legjislativ dhe duke ndaluar delegimin. Aktet normative nuk parashikoheshin as në Kushtetutën e </w:t>
      </w:r>
      <w:r w:rsidRPr="00CD7DF8">
        <w:rPr>
          <w:color w:val="231F20"/>
        </w:rPr>
        <w:lastRenderedPageBreak/>
        <w:t>Republikës së V (1958) dhe nuk u sanksionuan as më vonë, prandaj në ditët e sotme është pothuajse e pamundur të gjesh në sistemin francez një institut ekuivalent me atë të aktit normativ me fuqinë e ligjit</w:t>
      </w:r>
      <w:r w:rsidRPr="00CD7DF8">
        <w:rPr>
          <w:rStyle w:val="FootnoteReference"/>
          <w:color w:val="231F20"/>
        </w:rPr>
        <w:footnoteReference w:id="8"/>
      </w:r>
      <w:r w:rsidRPr="00CD7DF8">
        <w:rPr>
          <w:color w:val="231F20"/>
        </w:rPr>
        <w:t>. Po ashtu edhe Kushtetuta e Irlandës, në nenin 15, paragrafi 2, parashikon se asnjë autoritet, përveç Parlamentit, nuk mund të nxjerrë ligje shtetërore.</w:t>
      </w:r>
    </w:p>
    <w:p w:rsidR="00873BD0" w:rsidRPr="00CD7DF8" w:rsidRDefault="00873BD0" w:rsidP="00873BD0">
      <w:pPr>
        <w:pStyle w:val="Paragrafi"/>
        <w:rPr>
          <w:color w:val="231F20"/>
        </w:rPr>
      </w:pPr>
      <w:r>
        <w:t xml:space="preserve">31. </w:t>
      </w:r>
      <w:r w:rsidRPr="00CD7DF8">
        <w:t xml:space="preserve">Nga ana tjetër, </w:t>
      </w:r>
      <w:r w:rsidRPr="00CD7DF8">
        <w:rPr>
          <w:color w:val="231F20"/>
        </w:rPr>
        <w:t xml:space="preserve">Gjykata vëren se </w:t>
      </w:r>
      <w:r w:rsidRPr="00CD7DF8">
        <w:t xml:space="preserve">kushtetutat që e lejojnë transferimin e ndonjë kompetence që i përket pushtetit legjislativ drejt ekzekutivit, ia nënshtrojnë këtë proces edhe kufizimeve kushtetuese përkatëse, të cilat janë trajtuar edhe nga jurisprudenca kushtetuese. Po ashtu, </w:t>
      </w:r>
      <w:r w:rsidRPr="00CD7DF8">
        <w:rPr>
          <w:color w:val="231F20"/>
        </w:rPr>
        <w:t xml:space="preserve">instituti i aktit normativ me fuqinë e ligjit gjendet i parashikuar si në sistemet ligjore që i përkasin familjes së </w:t>
      </w:r>
      <w:r w:rsidRPr="00CD7DF8">
        <w:rPr>
          <w:i/>
          <w:color w:val="231F20"/>
        </w:rPr>
        <w:t xml:space="preserve">common law, </w:t>
      </w:r>
      <w:r w:rsidRPr="00CD7DF8">
        <w:rPr>
          <w:color w:val="231F20"/>
        </w:rPr>
        <w:t>ashtu dhe në ato që i përkasin</w:t>
      </w:r>
      <w:r w:rsidRPr="00CD7DF8">
        <w:rPr>
          <w:i/>
          <w:color w:val="231F20"/>
        </w:rPr>
        <w:t xml:space="preserve"> civil law</w:t>
      </w:r>
      <w:r w:rsidRPr="00CD7DF8">
        <w:rPr>
          <w:color w:val="231F20"/>
        </w:rPr>
        <w:t xml:space="preserve">. </w:t>
      </w:r>
    </w:p>
    <w:p w:rsidR="00873BD0" w:rsidRPr="00CD7DF8" w:rsidRDefault="00873BD0" w:rsidP="00873BD0">
      <w:pPr>
        <w:pStyle w:val="Paragrafi"/>
        <w:rPr>
          <w:color w:val="231F20"/>
        </w:rPr>
      </w:pPr>
      <w:r>
        <w:rPr>
          <w:color w:val="231F20"/>
        </w:rPr>
        <w:t xml:space="preserve">32. </w:t>
      </w:r>
      <w:r w:rsidRPr="00CD7DF8">
        <w:rPr>
          <w:color w:val="231F20"/>
        </w:rPr>
        <w:t>Kështu, në Britani</w:t>
      </w:r>
      <w:r w:rsidRPr="00CD7DF8">
        <w:rPr>
          <w:b/>
          <w:color w:val="231F20"/>
        </w:rPr>
        <w:t xml:space="preserve"> </w:t>
      </w:r>
      <w:r w:rsidRPr="00CD7DF8">
        <w:rPr>
          <w:color w:val="231F20"/>
        </w:rPr>
        <w:t>ekziston i</w:t>
      </w:r>
      <w:r w:rsidRPr="00CD7DF8">
        <w:rPr>
          <w:b/>
          <w:color w:val="231F20"/>
        </w:rPr>
        <w:t xml:space="preserve"> </w:t>
      </w:r>
      <w:r w:rsidRPr="00CD7DF8">
        <w:rPr>
          <w:color w:val="231F20"/>
        </w:rPr>
        <w:t>ashtuquajturi “</w:t>
      </w:r>
      <w:r w:rsidRPr="00CD7DF8">
        <w:rPr>
          <w:i/>
          <w:iCs/>
          <w:color w:val="231F20"/>
        </w:rPr>
        <w:t>subordinate legislation</w:t>
      </w:r>
      <w:r w:rsidRPr="00CD7DF8">
        <w:rPr>
          <w:color w:val="231F20"/>
        </w:rPr>
        <w:t xml:space="preserve">”, që ka të bëjë me skemën e gjerë të autorizimit të ekzekutivit nga ana e legjislativit për të nxjerrë akte me fuqinë e ligjit, si dhe të ratifikimit (me efekte prapavepruese) nga ky i fundit i akteve të ekzekutivit të nxjerra në sferën e kompetencave që realisht i takojnë ligjit. Modeli britanik i referohet atyre rasteve kur, brenda funksioneve të tij autonome, Parlamenti mund t’u transferojë pushtet ligjbërës subjekteve të tjera shtetërore, duke u lejuar atyre të prodhojnë norma me fuqinë e ligjit, të cilat mund të jenë në formën e urdhrit, të rregulloreve ose </w:t>
      </w:r>
      <w:r>
        <w:rPr>
          <w:color w:val="231F20"/>
        </w:rPr>
        <w:t xml:space="preserve">të </w:t>
      </w:r>
      <w:r w:rsidRPr="00CD7DF8">
        <w:rPr>
          <w:color w:val="231F20"/>
        </w:rPr>
        <w:t>vendimeve. Modeli në fjalë nga njëra anë parashikon praninë e kontrolleve që ushtrohen nga Parlamenti ndaj legjislacionit të deleguar, ndërkohë nga ana tjetër, në të nuk gjenden parakushte të tilla si “nevoja” ose “urgjenca”. Gjithsesi, në raste të emergjencës, pasi është njoftuar Lordi Kancelar dhe Kryetari i Dhomës së Komunëve (</w:t>
      </w:r>
      <w:r w:rsidRPr="00CD7DF8">
        <w:rPr>
          <w:i/>
          <w:iCs/>
          <w:color w:val="231F20"/>
        </w:rPr>
        <w:t>Speaker</w:t>
      </w:r>
      <w:r w:rsidRPr="00CD7DF8">
        <w:rPr>
          <w:color w:val="231F20"/>
        </w:rPr>
        <w:t xml:space="preserve">), parapëlqehet që norma të hyjë në fuqi që nga momenti i nxjerrjes (pra, edhe nëse ende nuk i është nënshtruar kontrollit parlamentar </w:t>
      </w:r>
      <w:r w:rsidRPr="00CD7DF8">
        <w:rPr>
          <w:i/>
          <w:iCs/>
          <w:color w:val="231F20"/>
        </w:rPr>
        <w:t>a posteriori</w:t>
      </w:r>
      <w:r w:rsidRPr="00CD7DF8">
        <w:rPr>
          <w:color w:val="231F20"/>
        </w:rPr>
        <w:t>).</w:t>
      </w:r>
    </w:p>
    <w:p w:rsidR="00873BD0" w:rsidRPr="00CD7DF8" w:rsidRDefault="00873BD0" w:rsidP="00873BD0">
      <w:pPr>
        <w:pStyle w:val="Paragrafi"/>
        <w:rPr>
          <w:color w:val="231F20"/>
        </w:rPr>
      </w:pPr>
      <w:r>
        <w:t xml:space="preserve">33. </w:t>
      </w:r>
      <w:r w:rsidRPr="00CD7DF8">
        <w:t xml:space="preserve">Në Shtetet e Bashkuara të Amerikës (SHBA), Kongresi (legjislativi) mund të atribuojë një lloj pushteti ndaj organeve të tjera të shtetit, i cili konkretizohet përmes akteve që kanë forcën dhe efektin e ligjit dhe që kanë vlerë </w:t>
      </w:r>
      <w:r w:rsidRPr="00CD7DF8">
        <w:rPr>
          <w:i/>
          <w:iCs/>
        </w:rPr>
        <w:t>erga omnes</w:t>
      </w:r>
      <w:r w:rsidRPr="00CD7DF8">
        <w:t>. Q</w:t>
      </w:r>
      <w:r w:rsidRPr="00CD7DF8">
        <w:rPr>
          <w:iCs/>
        </w:rPr>
        <w:t xml:space="preserve">ëllimi </w:t>
      </w:r>
      <w:r w:rsidRPr="00CD7DF8">
        <w:t xml:space="preserve">dhe </w:t>
      </w:r>
      <w:r w:rsidRPr="00CD7DF8">
        <w:rPr>
          <w:iCs/>
        </w:rPr>
        <w:t xml:space="preserve">kriteret e veprimit </w:t>
      </w:r>
      <w:r w:rsidRPr="00CD7DF8">
        <w:t xml:space="preserve">të normës me fuqinë e ligjit janë qartësisht të specifikuara në delegimin e bërë nga Kongresi. Gjithsesi, parashikohen kufizime, të paktën në vija të përgjithshme, së pari mbi </w:t>
      </w:r>
      <w:r w:rsidRPr="00CD7DF8">
        <w:rPr>
          <w:i/>
          <w:iCs/>
        </w:rPr>
        <w:t xml:space="preserve">lëndën </w:t>
      </w:r>
      <w:r w:rsidRPr="00CD7DF8">
        <w:t>ku do të bëhen rregullimet, kjo për faktin se për disa çështje, Kushtetuta ka specifikuar në mënyrë të shprehur se i takon vetëm Kongresit për të vendosur në lidhje me to. Kufizime të tjera rezultojnë edhe nga jurisprudenca kushtetuese e Gjykatës Supreme të SHBA-së.</w:t>
      </w:r>
    </w:p>
    <w:p w:rsidR="00873BD0" w:rsidRPr="00CD7DF8" w:rsidRDefault="00873BD0" w:rsidP="00873BD0">
      <w:pPr>
        <w:pStyle w:val="Paragrafi"/>
        <w:rPr>
          <w:color w:val="231F20"/>
        </w:rPr>
      </w:pPr>
      <w:r>
        <w:t xml:space="preserve">34. </w:t>
      </w:r>
      <w:r w:rsidRPr="00CD7DF8">
        <w:t xml:space="preserve">Në lidhje me sistemet që i përkasin </w:t>
      </w:r>
      <w:r w:rsidRPr="00CD7DF8">
        <w:rPr>
          <w:i/>
        </w:rPr>
        <w:t>civil law</w:t>
      </w:r>
      <w:r>
        <w:t>, Gjykata</w:t>
      </w:r>
      <w:r w:rsidRPr="00CD7DF8">
        <w:t xml:space="preserve"> konstaton se një numër vendesh jo vetëm e kanë të parashikuar shprehimisht në Kushtetutë nxjerrjen e aktit normativ me fuqinë e ligjit nga pushteti ekzekutiv (Kushtetuta italiane, neni 77; daneze, neni 23; greke, neni 44; islandeze-neni 28; rumune, neni 114; estoneze, nenet 104, 109, 110 ose spanjolle, neni 86), por  ia kanë nënshtruar nxjerrjen e këtyre akteve kufizimeve kushtetuese. Gjykata vëren se kufizimet në fjalë kanë të bëjnë krahas ekzistencës së situatave të jashtëzakonshme, apo rasteve të nevojës dhe urgjencës, edhe me kufizime të natyrës lëndore, duke përjashtuar ndërhyrjen nëpërmjet këtij akti</w:t>
      </w:r>
      <w:r>
        <w:t>,</w:t>
      </w:r>
      <w:r w:rsidRPr="00CD7DF8">
        <w:t xml:space="preserve"> në fusha si</w:t>
      </w:r>
      <w:r>
        <w:t>:</w:t>
      </w:r>
      <w:r w:rsidRPr="00CD7DF8">
        <w:t xml:space="preserve"> ligjet kushtetuese, statusin e institucioneve themelore të Shtetit, të drejtat dhe liritë themelore të individit, të drejtat zgjedhore, delegimin ligjvënës, autorizimin për ratifikim traktatesh ndërkombëtarë, etj. </w:t>
      </w:r>
    </w:p>
    <w:p w:rsidR="00873BD0" w:rsidRPr="00CD7DF8" w:rsidRDefault="00873BD0" w:rsidP="00873BD0">
      <w:pPr>
        <w:pStyle w:val="Paragrafi"/>
        <w:rPr>
          <w:color w:val="231F20"/>
        </w:rPr>
      </w:pPr>
      <w:r>
        <w:rPr>
          <w:lang w:eastAsia="sq-AL"/>
        </w:rPr>
        <w:t xml:space="preserve">35. </w:t>
      </w:r>
      <w:r w:rsidRPr="00CD7DF8">
        <w:rPr>
          <w:lang w:eastAsia="sq-AL"/>
        </w:rPr>
        <w:t xml:space="preserve">Në përfundim të analizës së mësipërme, Gjykata vëren se dhënia e pushtetit ligjvënës Qeverisë ka karakter përjashtues ndaj pushtetit të Parlamentit për të miratuar normat primare të së drejtës. Kjo është arsyeja që, në vende te ndryshme, përfshirë edhe ato me demokraci të konsoliduar, </w:t>
      </w:r>
      <w:r w:rsidRPr="00CD7DF8">
        <w:rPr>
          <w:lang w:eastAsia="sq-AL"/>
        </w:rPr>
        <w:lastRenderedPageBreak/>
        <w:t xml:space="preserve">kushtetutëbërësi është treguar i përmbajtur në delegimin e pushtetit ligjvënës qeverisë, në respekt të parimit të sovranitetit, të ndarjes së pushteteve dhe të hierarkisë së burimeve të së drejtës. </w:t>
      </w:r>
    </w:p>
    <w:p w:rsidR="00873BD0" w:rsidRPr="00CD7DF8" w:rsidRDefault="00873BD0" w:rsidP="00873BD0">
      <w:pPr>
        <w:pStyle w:val="Paragrafi"/>
        <w:rPr>
          <w:color w:val="231F20"/>
        </w:rPr>
      </w:pPr>
    </w:p>
    <w:p w:rsidR="00873BD0" w:rsidRPr="00CD7DF8" w:rsidRDefault="00873BD0" w:rsidP="00873BD0">
      <w:pPr>
        <w:pStyle w:val="NeniTitull"/>
      </w:pPr>
      <w:r w:rsidRPr="00CD7DF8">
        <w:t>VI</w:t>
      </w:r>
    </w:p>
    <w:p w:rsidR="00873BD0" w:rsidRPr="00CD7DF8" w:rsidRDefault="00873BD0" w:rsidP="00873BD0">
      <w:pPr>
        <w:pStyle w:val="Paragrafi"/>
        <w:rPr>
          <w:b/>
          <w:i/>
        </w:rPr>
      </w:pPr>
      <w:r>
        <w:rPr>
          <w:b/>
          <w:i/>
        </w:rPr>
        <w:t xml:space="preserve">E. </w:t>
      </w:r>
      <w:r w:rsidRPr="00CD7DF8">
        <w:rPr>
          <w:b/>
          <w:i/>
        </w:rPr>
        <w:t>Mbi pretendimin për cenimin e parimit të ndarjes së pushteteve</w:t>
      </w:r>
    </w:p>
    <w:p w:rsidR="00873BD0" w:rsidRPr="00CD7DF8" w:rsidRDefault="00873BD0" w:rsidP="00873BD0">
      <w:pPr>
        <w:pStyle w:val="Paragrafi"/>
        <w:rPr>
          <w:b/>
          <w:bCs/>
          <w:i/>
          <w:iCs/>
          <w:color w:val="000000"/>
          <w:spacing w:val="-2"/>
        </w:rPr>
      </w:pPr>
      <w:r>
        <w:rPr>
          <w:bCs/>
          <w:iCs/>
          <w:color w:val="000000"/>
          <w:spacing w:val="-2"/>
        </w:rPr>
        <w:t xml:space="preserve">36. </w:t>
      </w:r>
      <w:r w:rsidRPr="00CD7DF8">
        <w:rPr>
          <w:bCs/>
          <w:iCs/>
          <w:color w:val="000000"/>
          <w:spacing w:val="-2"/>
        </w:rPr>
        <w:t xml:space="preserve">Gjykata konstaton se pretendimet e kërkuesit kanë të bëjnë në thelb me cenimin e parimit të ndarjes së pushteteve. Kërkuesi argumenton se </w:t>
      </w:r>
      <w:r w:rsidRPr="00CD7DF8">
        <w:t>ligji për statusin e funksionarëve publikë miratohet me 3/5 e votave të të gjithë anëtarëve të Kuvendit, sipas parashikimeve të nenit 81, pika 2 të Kushtetutës. Sipas kërkuesit, nga interpretimi sistematik i Kushtetutës, referuar edhe nenit 83 të saj, rezulton se kushtetutëbërësi i ka përjashtuar ligjet</w:t>
      </w:r>
      <w:r>
        <w:t xml:space="preserve"> që parashikon neni 81, pika 2 i</w:t>
      </w:r>
      <w:r w:rsidRPr="00CD7DF8">
        <w:t xml:space="preserve"> Kushtetutës nga sfera e ndërhyrjes së qeverisë nëpërmjet akteve normative.</w:t>
      </w:r>
    </w:p>
    <w:p w:rsidR="00873BD0" w:rsidRPr="00CD7DF8" w:rsidRDefault="00873BD0" w:rsidP="00873BD0">
      <w:pPr>
        <w:pStyle w:val="Paragrafi"/>
        <w:rPr>
          <w:b/>
          <w:bCs/>
          <w:i/>
          <w:iCs/>
          <w:color w:val="000000"/>
          <w:spacing w:val="-2"/>
        </w:rPr>
      </w:pPr>
      <w:r>
        <w:t xml:space="preserve">37. </w:t>
      </w:r>
      <w:r w:rsidRPr="00CD7DF8">
        <w:t xml:space="preserve"> S</w:t>
      </w:r>
      <w:r w:rsidRPr="00CD7DF8">
        <w:rPr>
          <w:bCs/>
          <w:iCs/>
          <w:color w:val="000000"/>
          <w:spacing w:val="-2"/>
        </w:rPr>
        <w:t>ubjekti i interesuar, Këshilli i Ministrave, e ka prapësuar si të pabazuar</w:t>
      </w:r>
      <w:r w:rsidRPr="00CD7DF8">
        <w:t xml:space="preserve"> pretendimin e mësipërm</w:t>
      </w:r>
      <w:r w:rsidRPr="00CD7DF8">
        <w:rPr>
          <w:bCs/>
          <w:iCs/>
          <w:color w:val="000000"/>
          <w:spacing w:val="-2"/>
        </w:rPr>
        <w:t xml:space="preserve">, duke argumentuar se, për sa kohë neni 101 i Kushtetutës përcakton se Këshilli i Ministrave nxjerr akte normative me fuqinë e ligjit dhe neni 116 i Kushtetutës nuk bën asnjë dallim midis ligjeve që përmend kjo dispozitë, nuk ka asnjë pengesë që të ndërhyhet me akt normativ me fuqinë e ligjit edhe në akte që kërkojnë shumicë të cilësuar. </w:t>
      </w:r>
    </w:p>
    <w:p w:rsidR="00873BD0" w:rsidRPr="00CD7DF8" w:rsidRDefault="00873BD0" w:rsidP="00873BD0">
      <w:pPr>
        <w:pStyle w:val="Paragrafi"/>
        <w:rPr>
          <w:b/>
          <w:bCs/>
          <w:i/>
          <w:iCs/>
          <w:color w:val="000000"/>
          <w:spacing w:val="-2"/>
        </w:rPr>
      </w:pPr>
      <w:r w:rsidRPr="00CD7DF8">
        <w:t xml:space="preserve"> </w:t>
      </w:r>
      <w:r>
        <w:t xml:space="preserve">38. </w:t>
      </w:r>
      <w:r w:rsidRPr="00CD7DF8">
        <w:t>Gjykata, në jurisprudencën e saj, duke iu referuar nenit 7 të Kushtetutës që parashikon parimin e ndarjes së pushteteve, ka theksuar se ky parim, në demokraci, si formë e qeverisjes, synon kryesisht të mënjanojë rrezikun e</w:t>
      </w:r>
      <w:r w:rsidRPr="00CD7DF8">
        <w:rPr>
          <w:bCs/>
          <w:iCs/>
          <w:spacing w:val="-2"/>
        </w:rPr>
        <w:t xml:space="preserve"> përqendrimit të pushtetit në duart e një organi apo të personave të caktuar, gjë që praktikisht mbart me vete rrezikun e shpërdorimit të tij. Për këtë qëllim, pavarësisht se pushteti shtetëror në tërësi është një dhe i pandarë, brenda tij ka</w:t>
      </w:r>
      <w:r w:rsidRPr="00CD7DF8">
        <w:t xml:space="preserve"> një sërë ndërthurjesh dhe raportesh të ndërsjella që Kushtetuta krijon ndërmjet segmenteve të caktuara të tij. Pra, në thelb, në bazë të këtij parimi, tri pushtetet qendrore duhet të ushtrohen jo vetëm në mënyrë të pavarur, por</w:t>
      </w:r>
      <w:r w:rsidRPr="00CD7DF8">
        <w:rPr>
          <w:bCs/>
          <w:iCs/>
          <w:spacing w:val="-2"/>
        </w:rPr>
        <w:t xml:space="preserve"> edhe</w:t>
      </w:r>
      <w:r w:rsidRPr="00CD7DF8">
        <w:t xml:space="preserve"> në mënyrë të balancuar. Kjo gjë arrihet nëpërmjet zgjidhjeve kushtetuese që garantojnë kontroll të ndërsjellë dhe ekuilibër të mjaftueshëm midis pushteteve, pa cenuar dhe pa ndërhyrë në kompetencat e njëri-tjetrit</w:t>
      </w:r>
      <w:r w:rsidRPr="00CD7DF8">
        <w:rPr>
          <w:i/>
          <w:lang w:eastAsia="ko-KR"/>
        </w:rPr>
        <w:t xml:space="preserve"> (shih</w:t>
      </w:r>
      <w:r w:rsidRPr="00CD7DF8">
        <w:rPr>
          <w:bCs/>
          <w:i/>
          <w:lang w:eastAsia="ko-KR"/>
        </w:rPr>
        <w:t xml:space="preserve"> vendimet nr.24, datë 10.11.2006</w:t>
      </w:r>
      <w:r>
        <w:rPr>
          <w:bCs/>
          <w:i/>
          <w:lang w:eastAsia="ko-KR"/>
        </w:rPr>
        <w:t>; nr.19, datë 3.5.2007,</w:t>
      </w:r>
      <w:r w:rsidRPr="00CD7DF8">
        <w:rPr>
          <w:bCs/>
          <w:i/>
          <w:lang w:eastAsia="ko-KR"/>
        </w:rPr>
        <w:t xml:space="preserve"> të</w:t>
      </w:r>
      <w:r w:rsidRPr="00CD7DF8">
        <w:rPr>
          <w:i/>
          <w:lang w:eastAsia="ko-KR"/>
        </w:rPr>
        <w:t xml:space="preserve"> Gjykatës Kushtetuese</w:t>
      </w:r>
      <w:r w:rsidRPr="00CD7DF8">
        <w:rPr>
          <w:bCs/>
          <w:i/>
          <w:iCs/>
          <w:color w:val="000000"/>
          <w:spacing w:val="-2"/>
          <w:lang w:eastAsia="ko-KR"/>
        </w:rPr>
        <w:t>)</w:t>
      </w:r>
      <w:r w:rsidRPr="00CD7DF8">
        <w:rPr>
          <w:bCs/>
          <w:iCs/>
          <w:color w:val="000000"/>
          <w:spacing w:val="-2"/>
          <w:lang w:eastAsia="ko-KR"/>
        </w:rPr>
        <w:t>.</w:t>
      </w:r>
    </w:p>
    <w:p w:rsidR="00873BD0" w:rsidRPr="00CD7DF8" w:rsidRDefault="00873BD0" w:rsidP="00873BD0">
      <w:pPr>
        <w:pStyle w:val="Paragrafi"/>
        <w:rPr>
          <w:b/>
          <w:bCs/>
          <w:i/>
          <w:iCs/>
          <w:color w:val="000000"/>
          <w:spacing w:val="-2"/>
        </w:rPr>
      </w:pPr>
      <w:r w:rsidRPr="00174DD8">
        <w:rPr>
          <w:bCs/>
          <w:iCs/>
          <w:color w:val="000000"/>
          <w:spacing w:val="-2"/>
          <w:lang w:eastAsia="ko-KR"/>
        </w:rPr>
        <w:t>39.</w:t>
      </w:r>
      <w:r w:rsidRPr="00CD7DF8">
        <w:rPr>
          <w:b/>
          <w:bCs/>
          <w:i/>
          <w:iCs/>
          <w:color w:val="000000"/>
          <w:spacing w:val="-2"/>
          <w:lang w:eastAsia="ko-KR"/>
        </w:rPr>
        <w:t xml:space="preserve"> </w:t>
      </w:r>
      <w:r w:rsidRPr="00CD7DF8">
        <w:rPr>
          <w:lang w:eastAsia="ko-KR"/>
        </w:rPr>
        <w:t>Parimi i ndarjes së pushteteve nuk duhet kuptuar që çdo pushtet është i mbyllur dhe i pakontrolluar nga askush. Ndarja e pushteteve midis tri degëve të qeverisjes garantohet vetëm nëpërmjet sistemit të kontrolleve dhe ekuilibrave. Në këtë mënyrë, sipas Kushtetutës, aq sa flitet për ndarje</w:t>
      </w:r>
      <w:r>
        <w:rPr>
          <w:lang w:eastAsia="ko-KR"/>
        </w:rPr>
        <w:t>,</w:t>
      </w:r>
      <w:r w:rsidRPr="00CD7DF8">
        <w:rPr>
          <w:lang w:eastAsia="ko-KR"/>
        </w:rPr>
        <w:t xml:space="preserve"> bëhet fjalë edhe për ekuilibër të pushteteve. Qëllimi i një koncepti të tillë kushtetues siguron që të parandalojë çdo degë të qeverisjes për të ushtruar një pushtet të pakufizuar. Kontrollet dhe ekuilibrat që njeh Kushtetuta, i japin se</w:t>
      </w:r>
      <w:r>
        <w:rPr>
          <w:lang w:eastAsia="ko-KR"/>
        </w:rPr>
        <w:t>cilës degë</w:t>
      </w:r>
      <w:r w:rsidRPr="00CD7DF8">
        <w:rPr>
          <w:lang w:eastAsia="ko-KR"/>
        </w:rPr>
        <w:t xml:space="preserve"> pushtete që kompensojnë apo zbusin ato të degëve të tjer</w:t>
      </w:r>
      <w:r w:rsidRPr="00CD7DF8">
        <w:rPr>
          <w:i/>
          <w:lang w:eastAsia="ko-KR"/>
        </w:rPr>
        <w:t>a (shih</w:t>
      </w:r>
      <w:r>
        <w:rPr>
          <w:bCs/>
          <w:i/>
          <w:lang w:eastAsia="ko-KR"/>
        </w:rPr>
        <w:t xml:space="preserve"> vendimin nr.11, datë 27.5.2004</w:t>
      </w:r>
      <w:r w:rsidRPr="00CD7DF8">
        <w:rPr>
          <w:bCs/>
          <w:i/>
          <w:lang w:eastAsia="ko-KR"/>
        </w:rPr>
        <w:t xml:space="preserve"> të Gjykatës Kushtetuese)</w:t>
      </w:r>
      <w:r w:rsidRPr="00CD7DF8">
        <w:rPr>
          <w:rFonts w:eastAsia="Batang"/>
          <w:bCs/>
          <w:i/>
          <w:lang w:eastAsia="ko-KR"/>
        </w:rPr>
        <w:t>.</w:t>
      </w:r>
      <w:r w:rsidRPr="00CD7DF8">
        <w:rPr>
          <w:rFonts w:eastAsia="Batang"/>
          <w:lang w:eastAsia="ko-KR"/>
        </w:rPr>
        <w:t xml:space="preserve"> Ndonëse renditen njëri pas tjetrit, tri pushtetet e përmendura nuk qëndrojnë në varësi hierarkike nga njëri-tjetri dhe as nuk dominojnë apo i nënshtrohen ndikimeve reciprok</w:t>
      </w:r>
      <w:r w:rsidRPr="00CD7DF8">
        <w:rPr>
          <w:rFonts w:eastAsia="Batang"/>
          <w:i/>
          <w:iCs/>
          <w:lang w:eastAsia="ko-KR"/>
        </w:rPr>
        <w:t>e extra ligjore (</w:t>
      </w:r>
      <w:r w:rsidRPr="00CD7DF8">
        <w:rPr>
          <w:i/>
          <w:lang w:eastAsia="ko-KR"/>
        </w:rPr>
        <w:t xml:space="preserve">shih </w:t>
      </w:r>
      <w:r>
        <w:rPr>
          <w:i/>
          <w:lang w:eastAsia="ko-KR"/>
        </w:rPr>
        <w:t>vendimin nr.11, datë 6.4.2010,</w:t>
      </w:r>
      <w:r w:rsidRPr="00CD7DF8">
        <w:rPr>
          <w:i/>
          <w:lang w:eastAsia="ko-KR"/>
        </w:rPr>
        <w:t xml:space="preserve"> të Gjykatës Kushtetues</w:t>
      </w:r>
      <w:r w:rsidRPr="00CD7DF8">
        <w:rPr>
          <w:rFonts w:eastAsia="Batang"/>
          <w:i/>
          <w:lang w:eastAsia="ko-KR"/>
        </w:rPr>
        <w:t>e</w:t>
      </w:r>
      <w:r w:rsidRPr="00CD7DF8">
        <w:rPr>
          <w:bCs/>
          <w:i/>
          <w:iCs/>
          <w:color w:val="000000"/>
          <w:spacing w:val="-2"/>
          <w:lang w:eastAsia="ko-KR"/>
        </w:rPr>
        <w:t>)</w:t>
      </w:r>
      <w:r w:rsidRPr="00CD7DF8">
        <w:rPr>
          <w:b/>
          <w:bCs/>
          <w:i/>
          <w:iCs/>
          <w:color w:val="000000"/>
          <w:spacing w:val="-2"/>
          <w:lang w:eastAsia="ko-KR"/>
        </w:rPr>
        <w:t>.</w:t>
      </w:r>
      <w:r w:rsidRPr="00CD7DF8">
        <w:rPr>
          <w:bCs/>
          <w:iCs/>
          <w:color w:val="000000"/>
          <w:spacing w:val="-2"/>
          <w:lang w:eastAsia="ja-JP"/>
        </w:rPr>
        <w:t xml:space="preserve"> </w:t>
      </w:r>
    </w:p>
    <w:p w:rsidR="00873BD0" w:rsidRPr="00CD7DF8" w:rsidRDefault="00873BD0" w:rsidP="00873BD0">
      <w:pPr>
        <w:pStyle w:val="Paragrafi"/>
        <w:rPr>
          <w:bCs/>
          <w:i/>
          <w:iCs/>
          <w:color w:val="000000"/>
          <w:spacing w:val="-2"/>
        </w:rPr>
      </w:pPr>
      <w:r w:rsidRPr="00174DD8">
        <w:rPr>
          <w:bCs/>
          <w:iCs/>
          <w:color w:val="000000"/>
          <w:spacing w:val="-2"/>
          <w:lang w:eastAsia="ko-KR"/>
        </w:rPr>
        <w:t>40.</w:t>
      </w:r>
      <w:r w:rsidRPr="00CD7DF8">
        <w:rPr>
          <w:b/>
          <w:bCs/>
          <w:i/>
          <w:iCs/>
          <w:color w:val="000000"/>
          <w:spacing w:val="-2"/>
          <w:lang w:eastAsia="ko-KR"/>
        </w:rPr>
        <w:t xml:space="preserve"> </w:t>
      </w:r>
      <w:r w:rsidRPr="00CD7DF8">
        <w:rPr>
          <w:b/>
          <w:bCs/>
          <w:i/>
          <w:iCs/>
          <w:color w:val="000000"/>
          <w:spacing w:val="-2"/>
        </w:rPr>
        <w:t xml:space="preserve"> </w:t>
      </w:r>
      <w:r w:rsidRPr="00CD7DF8">
        <w:rPr>
          <w:bCs/>
          <w:iCs/>
          <w:color w:val="000000"/>
          <w:spacing w:val="-2"/>
        </w:rPr>
        <w:t xml:space="preserve">Midis tri degëve të qeverisjes, </w:t>
      </w:r>
      <w:r w:rsidRPr="00CD7DF8">
        <w:t>Kuvendi, si organi më i lartë përfaqësues dhe mbartës i sovranitetit të popullit, është padyshim organi qendror dhe më i rëndësishëm i pushtetit shtetëror. Në veprimtarinë që lidhet me</w:t>
      </w:r>
      <w:r w:rsidRPr="00CD7DF8">
        <w:rPr>
          <w:i/>
          <w:iCs/>
        </w:rPr>
        <w:t xml:space="preserve"> funksionin e tij ligjvënës (</w:t>
      </w:r>
      <w:r w:rsidRPr="00CD7DF8">
        <w:t>miratimi i ligjeve dhe plotësimi i kuadrit kushtetues dhe ligjor të nevojshëm për funksionimin demokratik të shtetit dhe jetës shoqërore); me</w:t>
      </w:r>
      <w:r w:rsidRPr="00CD7DF8">
        <w:rPr>
          <w:i/>
          <w:iCs/>
        </w:rPr>
        <w:t xml:space="preserve"> funksionin e tij zgjedhës (</w:t>
      </w:r>
      <w:r w:rsidRPr="00CD7DF8">
        <w:t>zgjedhja e disa prej funksionarëve më të lartë të shtetit, ku përfshihet edhe dhënia e pëlqimit për anëtarët e Gjykatës së Lartë); si dhe me</w:t>
      </w:r>
      <w:r w:rsidRPr="00CD7DF8">
        <w:rPr>
          <w:i/>
          <w:iCs/>
        </w:rPr>
        <w:t xml:space="preserve"> funksionin e formimit të vullnetit politik </w:t>
      </w:r>
      <w:r w:rsidRPr="00CD7DF8">
        <w:t xml:space="preserve">(përplasja e vullneteve politike të forcave të ndryshme parlamentare), Kuvendi duhet të udhëhiqet nga parimet kryesore të shtetit të së drejtës, një nga të cilat është edhe domosdoshmëria e nxjerrjes së akteve juridike sipas procedurave kushtetuese e ligjore. Respektimi i këtyre procedurave është një parakusht për legjitimitetin e këtyre akteve </w:t>
      </w:r>
      <w:r w:rsidRPr="00CD7DF8">
        <w:rPr>
          <w:i/>
        </w:rPr>
        <w:t>(shih v</w:t>
      </w:r>
      <w:r>
        <w:rPr>
          <w:i/>
        </w:rPr>
        <w:t>endimin nr. 29, datë 21.10.2009,</w:t>
      </w:r>
      <w:r w:rsidRPr="00CD7DF8">
        <w:rPr>
          <w:i/>
        </w:rPr>
        <w:t xml:space="preserve"> të Gjykatës Kushtetuese).</w:t>
      </w:r>
      <w:r w:rsidRPr="00CD7DF8">
        <w:rPr>
          <w:bCs/>
          <w:i/>
          <w:iCs/>
          <w:color w:val="000000"/>
          <w:spacing w:val="-2"/>
        </w:rPr>
        <w:t xml:space="preserve"> </w:t>
      </w:r>
    </w:p>
    <w:p w:rsidR="00873BD0" w:rsidRPr="00CD7DF8" w:rsidRDefault="00873BD0" w:rsidP="00873BD0">
      <w:pPr>
        <w:pStyle w:val="Paragrafi"/>
        <w:rPr>
          <w:bCs/>
          <w:i/>
          <w:iCs/>
          <w:color w:val="000000"/>
          <w:spacing w:val="-2"/>
        </w:rPr>
      </w:pPr>
      <w:r>
        <w:t xml:space="preserve">41. </w:t>
      </w:r>
      <w:r w:rsidRPr="00CD7DF8">
        <w:t xml:space="preserve">Në themel të procesit ligjvënës qëndron nxjerrja e akteve juridike, të cilat duhet të karakterizohen nga vijueshmëria dhe stabiliteti. Vendimi i Kuvendit është rezultat përfundimtar i diskutimeve parlamentare dhe miratimi i tij duhet të arrihet vetëm nëpërmjet një procesi të rregullt </w:t>
      </w:r>
      <w:r w:rsidRPr="00CD7DF8">
        <w:lastRenderedPageBreak/>
        <w:t xml:space="preserve">procedural. Mekanizmi kushtetues dhe ligjor që përdoret nga ligjvënësi për të arritur në vendimmarrje është votimi dhe, për këtë arsye, procedurave në procesin e vendimmarrjes iu duhet kushtuar vëmendje e veçantë </w:t>
      </w:r>
      <w:r w:rsidRPr="00CD7DF8">
        <w:rPr>
          <w:i/>
        </w:rPr>
        <w:t>(shih v</w:t>
      </w:r>
      <w:r>
        <w:rPr>
          <w:i/>
        </w:rPr>
        <w:t>endimin nr. 29, datë 21.10.2009,</w:t>
      </w:r>
      <w:r w:rsidRPr="00CD7DF8">
        <w:rPr>
          <w:i/>
        </w:rPr>
        <w:t xml:space="preserve"> të Gjykatës Kushtetuese).</w:t>
      </w:r>
      <w:r w:rsidRPr="00CD7DF8">
        <w:rPr>
          <w:bCs/>
          <w:i/>
          <w:iCs/>
          <w:color w:val="000000"/>
          <w:spacing w:val="-2"/>
        </w:rPr>
        <w:t xml:space="preserve"> </w:t>
      </w:r>
    </w:p>
    <w:p w:rsidR="00873BD0" w:rsidRPr="00CD7DF8" w:rsidRDefault="00873BD0" w:rsidP="00873BD0">
      <w:pPr>
        <w:pStyle w:val="Paragrafi"/>
        <w:rPr>
          <w:b/>
          <w:bCs/>
          <w:i/>
          <w:iCs/>
          <w:color w:val="000000"/>
          <w:spacing w:val="-2"/>
        </w:rPr>
      </w:pPr>
      <w:r w:rsidRPr="00CD7DF8">
        <w:t xml:space="preserve"> </w:t>
      </w:r>
      <w:r>
        <w:t xml:space="preserve">42. </w:t>
      </w:r>
      <w:r w:rsidRPr="00CD7DF8">
        <w:rPr>
          <w:lang w:eastAsia="sq-AL"/>
        </w:rPr>
        <w:t xml:space="preserve">Gjykata, në jurisprudencën e saj, është shprehur se parimi i shtetit të së drejtës detyron të gjitha organet e pushtetit publik që t’i ushtrojnë kompetencat e tyre vetëm në kuadër dhe në bazë të normave kushtetuese </w:t>
      </w:r>
      <w:r>
        <w:rPr>
          <w:i/>
          <w:iCs/>
          <w:lang w:eastAsia="sq-AL"/>
        </w:rPr>
        <w:t>(shih vendimin nr. 1, datë 12.</w:t>
      </w:r>
      <w:r w:rsidRPr="00CD7DF8">
        <w:rPr>
          <w:i/>
          <w:iCs/>
          <w:lang w:eastAsia="sq-AL"/>
        </w:rPr>
        <w:t>1.2011</w:t>
      </w:r>
      <w:r>
        <w:rPr>
          <w:i/>
          <w:iCs/>
          <w:lang w:eastAsia="sq-AL"/>
        </w:rPr>
        <w:t>,</w:t>
      </w:r>
      <w:r w:rsidRPr="00CD7DF8">
        <w:rPr>
          <w:i/>
          <w:iCs/>
          <w:lang w:eastAsia="sq-AL"/>
        </w:rPr>
        <w:t xml:space="preserve"> të Gjykatës Kushtetuese).</w:t>
      </w:r>
      <w:r w:rsidRPr="00CD7DF8">
        <w:rPr>
          <w:lang w:eastAsia="sq-AL"/>
        </w:rPr>
        <w:t xml:space="preserve"> Aktet juridike, që nxirren nga këto organe, duhet të jenë në pajtim  me aktet juridike më të larta, si në kuptimin formal, ashtu edhe atë material (</w:t>
      </w:r>
      <w:r>
        <w:rPr>
          <w:i/>
          <w:iCs/>
          <w:lang w:eastAsia="sq-AL"/>
        </w:rPr>
        <w:t>vendimi nr. 23, datë 8.6.2011</w:t>
      </w:r>
      <w:r w:rsidRPr="00CD7DF8">
        <w:rPr>
          <w:i/>
          <w:iCs/>
          <w:lang w:eastAsia="sq-AL"/>
        </w:rPr>
        <w:t xml:space="preserve"> i Gjykatës Kushtetuese)</w:t>
      </w:r>
      <w:r w:rsidRPr="00CD7DF8">
        <w:rPr>
          <w:lang w:eastAsia="sq-AL"/>
        </w:rPr>
        <w:t xml:space="preserve">. </w:t>
      </w:r>
      <w:r w:rsidRPr="00CD7DF8">
        <w:t>Respektimi i hierarkisë së akteve normative është një detyrim që rrjedh nga parimi i shtetit të së drejtës dhe i koherencës në sistemin ligjor (</w:t>
      </w:r>
      <w:r>
        <w:rPr>
          <w:i/>
        </w:rPr>
        <w:t>shih vendimin nr.2, datë 3.2.2010,</w:t>
      </w:r>
      <w:r w:rsidRPr="00CD7DF8">
        <w:rPr>
          <w:i/>
        </w:rPr>
        <w:t xml:space="preserve"> të Gjykatës Kushtetuese)</w:t>
      </w:r>
      <w:r w:rsidRPr="00CD7DF8">
        <w:t>.</w:t>
      </w:r>
      <w:r w:rsidRPr="00CD7DF8">
        <w:rPr>
          <w:bCs/>
          <w:iCs/>
          <w:color w:val="000000"/>
          <w:spacing w:val="-2"/>
          <w:lang w:eastAsia="ja-JP"/>
        </w:rPr>
        <w:t xml:space="preserve"> P</w:t>
      </w:r>
      <w:r w:rsidRPr="00CD7DF8">
        <w:rPr>
          <w:bCs/>
          <w:iCs/>
          <w:color w:val="000000"/>
          <w:spacing w:val="-2"/>
        </w:rPr>
        <w:t>iramida e akteve normative, e sanksionuar në n</w:t>
      </w:r>
      <w:r w:rsidRPr="00CD7DF8">
        <w:t>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Pr>
          <w:i/>
        </w:rPr>
        <w:t>shih vendimin nr.3, datë 20.</w:t>
      </w:r>
      <w:r w:rsidRPr="00CD7DF8">
        <w:rPr>
          <w:i/>
        </w:rPr>
        <w:t>2.2006, të Gjykatës Kushtetuese</w:t>
      </w:r>
      <w:r w:rsidRPr="00CD7DF8">
        <w:t xml:space="preserve">). </w:t>
      </w:r>
    </w:p>
    <w:p w:rsidR="00873BD0" w:rsidRPr="00CD7DF8" w:rsidRDefault="00873BD0" w:rsidP="00873BD0">
      <w:pPr>
        <w:pStyle w:val="Paragrafi"/>
        <w:rPr>
          <w:b/>
          <w:bCs/>
          <w:i/>
          <w:iCs/>
          <w:color w:val="000000"/>
          <w:spacing w:val="-2"/>
          <w:lang w:eastAsia="ja-JP"/>
        </w:rPr>
      </w:pPr>
      <w:r w:rsidRPr="00915F58">
        <w:rPr>
          <w:bCs/>
          <w:iCs/>
          <w:color w:val="000000"/>
          <w:spacing w:val="-2"/>
          <w:lang w:eastAsia="ja-JP"/>
        </w:rPr>
        <w:t>43.</w:t>
      </w:r>
      <w:r>
        <w:rPr>
          <w:b/>
          <w:bCs/>
          <w:i/>
          <w:iCs/>
          <w:color w:val="000000"/>
          <w:spacing w:val="-2"/>
          <w:lang w:eastAsia="ja-JP"/>
        </w:rPr>
        <w:t xml:space="preserve"> </w:t>
      </w:r>
      <w:r w:rsidRPr="00CD7DF8">
        <w:rPr>
          <w:bCs/>
          <w:iCs/>
          <w:color w:val="000000"/>
          <w:spacing w:val="-2"/>
          <w:lang w:eastAsia="ja-JP"/>
        </w:rPr>
        <w:t>Bazuar në standardet e mësipërme dhe nisur nga natyra e pretendimeve të kërkuesit, grupit prej 36 deputetësh të Kuvendit, dhe prapësimeve të subjektit të interesuar, Këshilli i Ministrave,</w:t>
      </w:r>
      <w:r w:rsidRPr="00CD7DF8">
        <w:rPr>
          <w:bCs/>
          <w:iCs/>
          <w:color w:val="000000"/>
          <w:spacing w:val="-2"/>
          <w:lang w:eastAsia="sq-AL"/>
        </w:rPr>
        <w:t xml:space="preserve"> </w:t>
      </w:r>
      <w:r w:rsidRPr="00CD7DF8">
        <w:rPr>
          <w:bCs/>
          <w:iCs/>
          <w:color w:val="000000"/>
          <w:spacing w:val="-2"/>
          <w:lang w:eastAsia="ja-JP"/>
        </w:rPr>
        <w:t xml:space="preserve">Gjykata vlerëson se </w:t>
      </w:r>
      <w:r w:rsidRPr="00CD7DF8">
        <w:t>normat kushtetuese që përcaktojnë rregullat për vendimmarrjen e Kuvendit nuk mund të interpretohen si norma të izoluara, por duhen parë në harmoni me normat që sanksionojnë parimin e sovranitetit të popullit dhe shtetit të së drejtës. Një qëndrim i tillë bazohet në faktin se a</w:t>
      </w:r>
      <w:r w:rsidRPr="00CD7DF8">
        <w:rPr>
          <w:iCs/>
          <w:color w:val="000000"/>
          <w:lang w:eastAsia="sq-AL"/>
        </w:rPr>
        <w:t>snjë dispozitë e Kushtetutës nuk mund të nxirret jashtë kontekstit të saj dhe të interpretohet më vete, pasi çdo dispozitë kushtetuese duhet të interpretohet në mënyrë që të jetë e pajtueshme me par</w:t>
      </w:r>
      <w:r>
        <w:rPr>
          <w:iCs/>
          <w:color w:val="000000"/>
          <w:lang w:eastAsia="sq-AL"/>
        </w:rPr>
        <w:t>imet themelore kushtetuese, kjo</w:t>
      </w:r>
      <w:r w:rsidRPr="00CD7DF8">
        <w:rPr>
          <w:iCs/>
          <w:color w:val="000000"/>
          <w:lang w:eastAsia="sq-AL"/>
        </w:rPr>
        <w:t xml:space="preserve"> për arsye se të gjitha normat dhe parimet kushtetuese formojnë një sistem harmonik, pa kontradikta të brendshme</w:t>
      </w:r>
      <w:r>
        <w:rPr>
          <w:i/>
          <w:iCs/>
          <w:color w:val="000000"/>
          <w:lang w:eastAsia="sq-AL"/>
        </w:rPr>
        <w:t xml:space="preserve"> (shih vendimin nr.25, datë 24.7.2009,</w:t>
      </w:r>
      <w:r w:rsidRPr="00CD7DF8">
        <w:rPr>
          <w:i/>
          <w:iCs/>
          <w:color w:val="000000"/>
          <w:lang w:eastAsia="sq-AL"/>
        </w:rPr>
        <w:t xml:space="preserve"> të Gjykatës Kushtetuese).</w:t>
      </w:r>
    </w:p>
    <w:p w:rsidR="00873BD0" w:rsidRPr="00CD7DF8" w:rsidRDefault="00873BD0" w:rsidP="00873BD0">
      <w:pPr>
        <w:pStyle w:val="Paragrafi"/>
        <w:rPr>
          <w:b/>
          <w:bCs/>
          <w:i/>
          <w:iCs/>
          <w:color w:val="000000"/>
          <w:spacing w:val="-2"/>
        </w:rPr>
      </w:pPr>
      <w:r w:rsidRPr="00915F58">
        <w:rPr>
          <w:bCs/>
          <w:iCs/>
          <w:color w:val="000000"/>
          <w:spacing w:val="-2"/>
          <w:lang w:eastAsia="ja-JP"/>
        </w:rPr>
        <w:t>44.</w:t>
      </w:r>
      <w:r>
        <w:rPr>
          <w:b/>
          <w:bCs/>
          <w:i/>
          <w:iCs/>
          <w:color w:val="000000"/>
          <w:spacing w:val="-2"/>
          <w:lang w:eastAsia="ja-JP"/>
        </w:rPr>
        <w:t xml:space="preserve"> </w:t>
      </w:r>
      <w:r w:rsidRPr="00CD7DF8">
        <w:t>Në këtë kuptim, Gjykata i shqyrton pretendimet e kërkuesve në përputhje me parimet kushtetuese të shtetit të së drejtës, të s</w:t>
      </w:r>
      <w:r>
        <w:t>anksionuara në nenin 1, pika 1 të</w:t>
      </w:r>
      <w:r w:rsidRPr="00CD7DF8">
        <w:t xml:space="preserve"> Kushtetutës</w:t>
      </w:r>
      <w:r>
        <w:t>,</w:t>
      </w:r>
      <w:r w:rsidRPr="00CD7DF8">
        <w:t xml:space="preserve"> që përcakton se:</w:t>
      </w:r>
      <w:r w:rsidRPr="00CD7DF8">
        <w:rPr>
          <w:i/>
          <w:iCs/>
        </w:rPr>
        <w:t xml:space="preserve"> “Shqipëria është Republikë parlamentare”; </w:t>
      </w:r>
      <w:r w:rsidRPr="00CD7DF8">
        <w:t>në nenin 2, ku përcaktohet se:</w:t>
      </w:r>
      <w:r w:rsidRPr="00CD7DF8">
        <w:rPr>
          <w:i/>
          <w:iCs/>
        </w:rPr>
        <w:t xml:space="preserve"> “1. Sovraniteti në Republikën e Shqipërisë i përket popullit. 2. Populli e ushtron sovranitetin nëpërmjet përfaqësuesve të tij ose drejtpërdrejt”</w:t>
      </w:r>
      <w:r w:rsidRPr="00CD7DF8">
        <w:rPr>
          <w:iCs/>
        </w:rPr>
        <w:t>; në nenin 4/1 ku përcaktohet se:</w:t>
      </w:r>
      <w:r w:rsidRPr="00CD7DF8">
        <w:rPr>
          <w:i/>
          <w:iCs/>
        </w:rPr>
        <w:t xml:space="preserve"> “E drejta përbën bazën dhe kufijtë e veprimtarisë së shtetit"; </w:t>
      </w:r>
      <w:r w:rsidRPr="00CD7DF8">
        <w:rPr>
          <w:iCs/>
        </w:rPr>
        <w:t>në nenin 116 që përcakton hierarkinë e burimeve të së drejtës.</w:t>
      </w:r>
      <w:r w:rsidRPr="00CD7DF8">
        <w:rPr>
          <w:i/>
          <w:iCs/>
        </w:rPr>
        <w:t xml:space="preserve"> </w:t>
      </w:r>
    </w:p>
    <w:p w:rsidR="00873BD0" w:rsidRPr="00CD7DF8" w:rsidRDefault="00873BD0" w:rsidP="00873BD0">
      <w:pPr>
        <w:pStyle w:val="Paragrafi"/>
        <w:rPr>
          <w:bCs/>
          <w:i/>
          <w:iCs/>
          <w:color w:val="000000"/>
          <w:spacing w:val="-2"/>
        </w:rPr>
      </w:pPr>
      <w:r w:rsidRPr="00915F58">
        <w:rPr>
          <w:iCs/>
        </w:rPr>
        <w:t>45.</w:t>
      </w:r>
      <w:r>
        <w:rPr>
          <w:i/>
          <w:iCs/>
        </w:rPr>
        <w:t xml:space="preserve"> </w:t>
      </w:r>
      <w:r w:rsidRPr="00CD7DF8">
        <w:rPr>
          <w:bCs/>
          <w:iCs/>
          <w:color w:val="000000"/>
          <w:spacing w:val="-2"/>
          <w:lang w:eastAsia="ja-JP"/>
        </w:rPr>
        <w:t xml:space="preserve">Kushtetuta, në </w:t>
      </w:r>
      <w:r w:rsidRPr="00CD7DF8">
        <w:t>nenin 78 parashikon se Kuvendi vendos me shumicën e votave, në prani të më shumë se gjysmës së të gjithë anëtarëve, përveç rasteve kur Kushtetuta parashikon një shumicë të cilësuar. Në mbështetje të kësaj dispozite është miratuar neni 55/1 i Rregullores së Kuvendit, sipas të cilit</w:t>
      </w:r>
      <w:r w:rsidRPr="00CD7DF8">
        <w:rPr>
          <w:i/>
        </w:rPr>
        <w:t xml:space="preserve"> “ligjet, vendimet, deklaratat dhe rezolutat konsiderohen të miratuara nga Kuvendi, kur për to kanë votuar pro shumica e deputetëve, në prani të më shumë se gjysmës së të gjithë anëtarëve të Kuvendit, me përjashtim të rasteve kur në Kushtetutë parashikohet shumicë e cilësuar për miratimin e tyre”</w:t>
      </w:r>
      <w:r w:rsidRPr="00CD7DF8">
        <w:t xml:space="preserve">. Në jurisprudencën kushtetuese, koncepti i shumicës së votave lidhet, në kuptimin primar të saj, me votimin pro ose kundër të gjysmës së votave të anëtarëve të organit që voton plus një votë, ndryshe e njohur si “shumicë e thjeshtë” </w:t>
      </w:r>
      <w:r w:rsidRPr="00CD7DF8">
        <w:rPr>
          <w:i/>
        </w:rPr>
        <w:t>(shih vendimet nr. 29, datë 21.10.2009;</w:t>
      </w:r>
      <w:r w:rsidRPr="00CD7DF8">
        <w:rPr>
          <w:b/>
          <w:i/>
        </w:rPr>
        <w:t xml:space="preserve"> </w:t>
      </w:r>
      <w:r w:rsidRPr="00CD7DF8">
        <w:rPr>
          <w:i/>
        </w:rPr>
        <w:t>nr. 44, da</w:t>
      </w:r>
      <w:r>
        <w:rPr>
          <w:bCs/>
          <w:i/>
        </w:rPr>
        <w:t xml:space="preserve">të </w:t>
      </w:r>
      <w:r w:rsidRPr="00CD7DF8">
        <w:rPr>
          <w:bCs/>
          <w:i/>
        </w:rPr>
        <w:t>7.10.2011,</w:t>
      </w:r>
      <w:r w:rsidRPr="00CD7DF8">
        <w:rPr>
          <w:i/>
          <w:iCs/>
          <w:color w:val="000000"/>
          <w:lang w:eastAsia="sq-AL"/>
        </w:rPr>
        <w:t xml:space="preserve"> të Gjykatës Kushtetuese</w:t>
      </w:r>
      <w:r w:rsidRPr="00CD7DF8">
        <w:rPr>
          <w:bCs/>
          <w:i/>
        </w:rPr>
        <w:t>)</w:t>
      </w:r>
      <w:r w:rsidRPr="00CD7DF8">
        <w:rPr>
          <w:bCs/>
        </w:rPr>
        <w:t>.</w:t>
      </w:r>
      <w:r w:rsidRPr="00CD7DF8">
        <w:rPr>
          <w:bCs/>
          <w:iCs/>
          <w:color w:val="000000"/>
          <w:spacing w:val="-2"/>
        </w:rPr>
        <w:t xml:space="preserve"> </w:t>
      </w:r>
    </w:p>
    <w:p w:rsidR="00873BD0" w:rsidRPr="00CD7DF8" w:rsidRDefault="00873BD0" w:rsidP="00873BD0">
      <w:pPr>
        <w:pStyle w:val="Paragrafi"/>
        <w:rPr>
          <w:b/>
          <w:bCs/>
          <w:i/>
          <w:iCs/>
          <w:color w:val="000000"/>
          <w:spacing w:val="-2"/>
        </w:rPr>
      </w:pPr>
      <w:r>
        <w:rPr>
          <w:bCs/>
        </w:rPr>
        <w:t xml:space="preserve">46. </w:t>
      </w:r>
      <w:r w:rsidRPr="00CD7DF8">
        <w:rPr>
          <w:bCs/>
        </w:rPr>
        <w:t>Në vështrim të përmbajtjes së normës kushtetuese, Gjykata konstaton se nga rregulli i përgjithshëm i vendimmarrjes me shumicë të thjeshtë nga Kuvendi bëjnë përjashtim tërësia e</w:t>
      </w:r>
      <w:r w:rsidRPr="00CD7DF8">
        <w:t xml:space="preserve"> ligjeve</w:t>
      </w:r>
      <w:r>
        <w:t>, në lidhje me të cilat</w:t>
      </w:r>
      <w:r w:rsidRPr="00CD7DF8">
        <w:t xml:space="preserve"> normat kushtetuese, shprehimisht</w:t>
      </w:r>
      <w:r w:rsidRPr="00CD7DF8">
        <w:rPr>
          <w:i/>
        </w:rPr>
        <w:t>,</w:t>
      </w:r>
      <w:r w:rsidRPr="00CD7DF8">
        <w:t xml:space="preserve"> parashikojnë një shumicë të cilësuar për miratimin e tyre. Konkretisht, hartuesit e Kushtetutës, këtë tërësi ligjesh e kanë renditur në trajtën e një liste shteruese, në nenin 81, pika 2, që përfshin: “a) ligjet për organizimin dhe funksionimin e institucioneve, të parashikuara nga Kushtetuta”; b) ligjin për shtetësinë; c) ligjin për zgjedhjet e përgjithshme dhe vendore”; ç) ligjin për referendumet; d) kodet; dh) ligjin për gjendjen e jashtëzakonshme; e) ligjin për statusin e funksionarëve publikë; ë) ligjin për amnistinë; f) ligjin për </w:t>
      </w:r>
      <w:r w:rsidRPr="00CD7DF8">
        <w:lastRenderedPageBreak/>
        <w:t>ndarjen administrative të Republikës së Shqipërisë”</w:t>
      </w:r>
      <w:r>
        <w:rPr>
          <w:i/>
        </w:rPr>
        <w:t xml:space="preserve"> (shih vendimin nr.9, datë 23.</w:t>
      </w:r>
      <w:r w:rsidRPr="00CD7DF8">
        <w:rPr>
          <w:i/>
        </w:rPr>
        <w:t>3.2010, të Gjykatës Kushtetuese)</w:t>
      </w:r>
      <w:r w:rsidRPr="00CD7DF8">
        <w:t xml:space="preserve"> .</w:t>
      </w:r>
    </w:p>
    <w:p w:rsidR="00873BD0" w:rsidRPr="00CD7DF8" w:rsidRDefault="00873BD0" w:rsidP="00873BD0">
      <w:pPr>
        <w:pStyle w:val="Paragrafi"/>
        <w:rPr>
          <w:bCs/>
          <w:iCs/>
          <w:color w:val="000000"/>
          <w:spacing w:val="-2"/>
          <w:lang w:eastAsia="ja-JP"/>
        </w:rPr>
      </w:pPr>
      <w:r>
        <w:rPr>
          <w:iCs/>
          <w:color w:val="000000"/>
          <w:lang w:eastAsia="sq-AL"/>
        </w:rPr>
        <w:t xml:space="preserve">47. </w:t>
      </w:r>
      <w:r w:rsidRPr="00CD7DF8">
        <w:rPr>
          <w:iCs/>
          <w:color w:val="000000"/>
          <w:lang w:eastAsia="sq-AL"/>
        </w:rPr>
        <w:t>Gjykata konstaton se neni 81, pika 2, i Kushtetutës parashikon dy kritere që duhet të merren në konsideratë nga Kuv</w:t>
      </w:r>
      <w:r>
        <w:rPr>
          <w:iCs/>
          <w:color w:val="000000"/>
          <w:lang w:eastAsia="sq-AL"/>
        </w:rPr>
        <w:t>endi gjatë procesit legjislativ:</w:t>
      </w:r>
      <w:r w:rsidRPr="00CD7DF8">
        <w:rPr>
          <w:iCs/>
          <w:color w:val="000000"/>
          <w:lang w:eastAsia="sq-AL"/>
        </w:rPr>
        <w:t xml:space="preserve"> i pari është i natyrës procedurale dhe konsiston në detyrimin që ka Kuvendi për miratimin e këtyre ligjeve me tri të pestat e të gjithë anëtarëve të tij, kurse kriteri i dytë është i natyrës lëndore, i përcaktuar nga fusha objekt rregullimi nga ligjet konkrete të parashikuara në shkronjat “a” deri në “f”. Bazuar në këto konstatime, dhe po ashtu nisur nga natyra harmonike e normave kushtetuese, Gjykata vlerëson se parashikimi i </w:t>
      </w:r>
      <w:r w:rsidRPr="00CD7DF8">
        <w:rPr>
          <w:lang w:eastAsia="sq-AL"/>
        </w:rPr>
        <w:t xml:space="preserve">nenit 81, pika 2, germa “e”, duhet analizuar edhe në raport me rregullimet e nenit 83, pikat 2 dhe 3, të Kushtetutës, dhe me nenet përkatëse të Rregullores së Kuvendit, që parashikojnë procedurat për miratimin e projektligjeve dhe përjashtimet në lidhje me to. </w:t>
      </w:r>
    </w:p>
    <w:p w:rsidR="00873BD0" w:rsidRPr="00CD7DF8" w:rsidRDefault="00873BD0" w:rsidP="00873BD0">
      <w:pPr>
        <w:pStyle w:val="Paragrafi"/>
        <w:rPr>
          <w:b/>
          <w:bCs/>
          <w:i/>
          <w:iCs/>
          <w:color w:val="000000"/>
          <w:spacing w:val="-2"/>
          <w:lang w:eastAsia="ja-JP"/>
        </w:rPr>
      </w:pPr>
      <w:r>
        <w:rPr>
          <w:lang w:eastAsia="sq-AL"/>
        </w:rPr>
        <w:t xml:space="preserve">48. </w:t>
      </w:r>
      <w:r w:rsidRPr="00CD7DF8">
        <w:rPr>
          <w:lang w:eastAsia="sq-AL"/>
        </w:rPr>
        <w:t xml:space="preserve">Neni 83, në pikën 2 parashikon kushtet dhe kriteret për shqyrtimin dhe miratimin e një projektligji me procedurë të përshpejtuar. Po ashtu, norma evidenton edhe subjektet që legjitimohen t’i drejtohen me kërkesë Kuvendit, të cilat janë </w:t>
      </w:r>
      <w:r w:rsidRPr="00CD7DF8">
        <w:rPr>
          <w:bCs/>
          <w:iCs/>
          <w:color w:val="000000"/>
          <w:spacing w:val="-2"/>
          <w:lang w:eastAsia="ja-JP"/>
        </w:rPr>
        <w:t>Këshilli i Ministrave ose një e pesta e të gjithë numrit të deputetëve</w:t>
      </w:r>
      <w:r w:rsidRPr="00CD7DF8">
        <w:rPr>
          <w:lang w:eastAsia="sq-AL"/>
        </w:rPr>
        <w:t>. Për sa i përket aspektit kohor të zbatimit të kësaj procedure, norma kushtetuese vendos kufij kohorë, duke sanksionuar se “</w:t>
      </w:r>
      <w:r w:rsidRPr="00CD7DF8">
        <w:rPr>
          <w:i/>
          <w:lang w:eastAsia="sq-AL"/>
        </w:rPr>
        <w:t>Kuvendi... mund të miratojë një projektligj me procedurë të përshpejtuar, por jo më parë se një javë nga fillimi i procedurës së shqyrtimit</w:t>
      </w:r>
      <w:r w:rsidRPr="00CD7DF8">
        <w:rPr>
          <w:lang w:eastAsia="sq-AL"/>
        </w:rPr>
        <w:t xml:space="preserve">”. </w:t>
      </w:r>
    </w:p>
    <w:p w:rsidR="00873BD0" w:rsidRPr="00CD7DF8" w:rsidRDefault="00873BD0" w:rsidP="00873BD0">
      <w:pPr>
        <w:pStyle w:val="Paragrafi"/>
        <w:rPr>
          <w:b/>
          <w:bCs/>
          <w:i/>
          <w:iCs/>
          <w:color w:val="000000"/>
          <w:spacing w:val="-2"/>
          <w:lang w:eastAsia="ja-JP"/>
        </w:rPr>
      </w:pPr>
      <w:r>
        <w:rPr>
          <w:lang w:eastAsia="sq-AL"/>
        </w:rPr>
        <w:t xml:space="preserve">49. </w:t>
      </w:r>
      <w:r w:rsidRPr="00CD7DF8">
        <w:rPr>
          <w:lang w:eastAsia="sq-AL"/>
        </w:rPr>
        <w:t xml:space="preserve">Duke iu referuar pikës 3 të nenit 83, Gjykata konstaton se rregullimi kushtetues e ndalon zbatimin e procedurës së përshpejtuar për shqyrtimin e projektligjeve të renditura në nenin 81/2, me përjashtim të parashikimit të pikës “dh) ligji për gjendjen e jashtëzakonshme”. Ky parashikim kushtetues detajohet edhe në </w:t>
      </w:r>
      <w:r w:rsidRPr="00CD7DF8">
        <w:t xml:space="preserve">Rregulloren e Kuvendit, e cila në nenin 55, ndërsa e përforcon kërkesën për arritjen e kuorumit dhe </w:t>
      </w:r>
      <w:r>
        <w:t xml:space="preserve">të </w:t>
      </w:r>
      <w:r w:rsidRPr="00CD7DF8">
        <w:t xml:space="preserve">vendimmarrjes në seancë plenare “me tri të pestat e të gjithë anëtarëve të Kuvendit” për miratimin e ligjeve të cilësuara, parashikon edhe disa rregulla procedurale të ndryshme nga ato që zbatohen gjatë miratimit të ligjeve të zakonshme, konkretisht, koha e diskutimeve dhe koha në dispozicion gjatë shqyrtimit nen për nen, dyfishohen në rastin e ligjeve të cilësuara (nenet 48 dhe 75). </w:t>
      </w:r>
    </w:p>
    <w:p w:rsidR="00873BD0" w:rsidRPr="00CD7DF8" w:rsidRDefault="00873BD0" w:rsidP="00873BD0">
      <w:pPr>
        <w:pStyle w:val="Paragrafi"/>
        <w:rPr>
          <w:b/>
          <w:bCs/>
          <w:i/>
          <w:iCs/>
          <w:color w:val="000000"/>
          <w:spacing w:val="-2"/>
          <w:lang w:eastAsia="ja-JP"/>
        </w:rPr>
      </w:pPr>
      <w:r>
        <w:t xml:space="preserve">50. </w:t>
      </w:r>
      <w:r w:rsidRPr="00CD7DF8">
        <w:t xml:space="preserve">Në vështrim të këtyre rregullimeve, Gjykata vlerëson se </w:t>
      </w:r>
      <w:r w:rsidRPr="00CD7DF8">
        <w:rPr>
          <w:lang w:eastAsia="sq-AL"/>
        </w:rPr>
        <w:t>procedura parlamentare</w:t>
      </w:r>
      <w:r w:rsidRPr="00CD7DF8">
        <w:t xml:space="preserve"> për shqyrtimin dhe miratimin e ligjeve të cilësuara, ndjek rrjedhën e procedurës normale ligjvënëse, të përcaktuar në Rregulloren e Kuvendit, e </w:t>
      </w:r>
      <w:r w:rsidRPr="00CD7DF8">
        <w:rPr>
          <w:lang w:eastAsia="sq-AL"/>
        </w:rPr>
        <w:t>cila përfshin propozimin e ligjeve, shpërndarjen e projektligjeve, ra</w:t>
      </w:r>
      <w:r w:rsidRPr="00CD7DF8">
        <w:t>portin e komisionit përgjegjës dhe mendimet e komisioneve të tjera, propozimin e amendamenteve, tërheqjen e nismës, shqyrtimin e projektligjit në seancë plenare, përfshi diskutimin në parim për projektligjin dhe shqyrtimin nen për nen të tij, radhën e votimit të amendamenteve dhe votimin në tërësi të projektligjit (</w:t>
      </w:r>
      <w:r w:rsidRPr="00CD7DF8">
        <w:rPr>
          <w:i/>
          <w:lang w:eastAsia="sq-AL"/>
        </w:rPr>
        <w:t>pjesa II, kreu I dhe II, nenet  68 -77</w:t>
      </w:r>
      <w:r w:rsidRPr="00CD7DF8">
        <w:rPr>
          <w:lang w:eastAsia="sq-AL"/>
        </w:rPr>
        <w:t>).</w:t>
      </w:r>
    </w:p>
    <w:p w:rsidR="00873BD0" w:rsidRPr="003C5789" w:rsidRDefault="00873BD0" w:rsidP="00873BD0">
      <w:pPr>
        <w:pStyle w:val="Paragrafi"/>
        <w:rPr>
          <w:bCs/>
          <w:iCs/>
          <w:color w:val="000000"/>
          <w:lang w:eastAsia="ja-JP"/>
        </w:rPr>
      </w:pPr>
      <w:r w:rsidRPr="003C5789">
        <w:t>51. Krahas procedurës normale legjislative, Gjykata konstaton se Rregullorja e Kuvendit,</w:t>
      </w:r>
      <w:r w:rsidRPr="003C5789">
        <w:rPr>
          <w:bCs/>
          <w:iCs/>
          <w:color w:val="000000"/>
          <w:lang w:eastAsia="ja-JP"/>
        </w:rPr>
        <w:t xml:space="preserve"> në nenin 28, përshkruan në mënyrë të detajuar rregullimin kushtetues të nenit 83, pikat 2, duke evidentuar një tërësi veprimesh procedurale që duhet të zbatohen gjatë shqyrtimit dhe miratimit të një projektligji me procedurë të përshpejtuar. Konkretisht, kërkesa e Këshillit të Ministrave ose e një të pestës së deputetëve, i paraqitet me shkrim Kryetarit të Kuvendit, i cili ia njofton Kuvendit në seancën plenare më të parë. Pas njoftimit të Kryetarit, dëgjohet një folës pro dhe një folës kundër për jo më shumë se 10 minuta. Kryetari i Kuvendit i paraqet Kuvendit për votim projektvendimin përkatës, në të cilin përcaktohet data e shqyrtimit të projektligjit në komisionin përgjegjës, afati brenda të cilit mund të propozohen amendamente dhe data e shqyrtimit në seancë plenare. Konferenca e Kryetarëve mund të përcaktojë kohën e debatit në seancë plenare, duke respektuar rregullin e parashikuar në nenin 48, pika 3, të kësaj Rregulloreje, por në asnjë rast jo më pak se 10 minuta për çdo grup parlamentar. Afati, brenda të cilit duhet të shqyrtohet çështja në komision dhe në seancë plenare, nuk mund të jetë më pak se një javë nga data e paraqitjes së kërkesës nga Kryetari i Kuvendit në seancë plenare. Kuvendi nuk mund të shqyrtojë më shumë se tri projektligje me procedurë të përshpejtuar për programin 12-javor të punës së Kuvendit dhe një projektligj për programin 3-javor të punës së tij.</w:t>
      </w:r>
    </w:p>
    <w:p w:rsidR="00873BD0" w:rsidRPr="00CD7DF8" w:rsidRDefault="00873BD0" w:rsidP="00873BD0">
      <w:pPr>
        <w:pStyle w:val="Paragrafi"/>
        <w:rPr>
          <w:b/>
          <w:bCs/>
          <w:i/>
          <w:iCs/>
          <w:color w:val="000000"/>
          <w:spacing w:val="-2"/>
          <w:lang w:eastAsia="ja-JP"/>
        </w:rPr>
      </w:pPr>
      <w:r>
        <w:rPr>
          <w:bCs/>
          <w:iCs/>
          <w:color w:val="000000"/>
          <w:spacing w:val="-2"/>
          <w:lang w:eastAsia="ja-JP"/>
        </w:rPr>
        <w:t xml:space="preserve">52. </w:t>
      </w:r>
      <w:r w:rsidRPr="00CD7DF8">
        <w:rPr>
          <w:bCs/>
          <w:iCs/>
          <w:color w:val="000000"/>
          <w:spacing w:val="-2"/>
          <w:lang w:eastAsia="ja-JP"/>
        </w:rPr>
        <w:t>Përveç sa më sipër, Gjykata vëren se Rregullorja e Ku</w:t>
      </w:r>
      <w:r>
        <w:rPr>
          <w:bCs/>
          <w:iCs/>
          <w:color w:val="000000"/>
          <w:spacing w:val="-2"/>
          <w:lang w:eastAsia="ja-JP"/>
        </w:rPr>
        <w:t>vendit, në k</w:t>
      </w:r>
      <w:r w:rsidRPr="00CD7DF8">
        <w:rPr>
          <w:bCs/>
          <w:iCs/>
          <w:color w:val="000000"/>
          <w:spacing w:val="-2"/>
          <w:lang w:eastAsia="ja-JP"/>
        </w:rPr>
        <w:t xml:space="preserve">reun IV “Procedura të </w:t>
      </w:r>
      <w:r w:rsidRPr="00CD7DF8">
        <w:rPr>
          <w:bCs/>
          <w:iCs/>
          <w:color w:val="000000"/>
          <w:spacing w:val="-2"/>
          <w:lang w:eastAsia="ja-JP"/>
        </w:rPr>
        <w:lastRenderedPageBreak/>
        <w:t xml:space="preserve">veçanta”, parashikon në nenin 88 se këto procedura </w:t>
      </w:r>
      <w:r w:rsidRPr="00CD7DF8">
        <w:t xml:space="preserve">zbatohen, për aq sa është e mundur, edhe për shqyrtimin, midis të tjerash, të akteve normative me fuqinë e ligjit të nxjerra nga Këshilli i Ministrave, shqyrtimi i të cilave, në referim të nenit 26 të Rregullores, përfshihet automatikisht në programin e punës së Kuvendit.  </w:t>
      </w:r>
    </w:p>
    <w:p w:rsidR="00873BD0" w:rsidRPr="00E45003" w:rsidRDefault="00873BD0" w:rsidP="00873BD0">
      <w:pPr>
        <w:pStyle w:val="Paragrafi"/>
        <w:rPr>
          <w:b/>
          <w:bCs/>
          <w:i/>
          <w:iCs/>
          <w:color w:val="000000"/>
          <w:lang w:eastAsia="sq-AL"/>
        </w:rPr>
      </w:pPr>
      <w:r>
        <w:rPr>
          <w:bCs/>
          <w:iCs/>
          <w:color w:val="000000"/>
          <w:spacing w:val="-2"/>
          <w:lang w:eastAsia="ja-JP"/>
        </w:rPr>
        <w:t xml:space="preserve">53. </w:t>
      </w:r>
      <w:r w:rsidRPr="00E45003">
        <w:rPr>
          <w:bCs/>
          <w:iCs/>
          <w:color w:val="000000"/>
          <w:lang w:eastAsia="ja-JP"/>
        </w:rPr>
        <w:t xml:space="preserve">Në vështrim të parashikimeve të mësipërme, Gjykata çmon se rregullat që zbatohen gjatë procedurave normale legjislative janë thelbësisht të ndryshme nga ato të procedurave të përshpejtuara dhe, akoma më të dallueshme, nga ato që gjejnë zbatim për miratimin e akteve normative me fuqinë e ligjit. Gjykata vlerëson se dallimet konceptuale midis këtyre procedurave, apo edhe ndalimet përkatëse për zbatimin e tyre mbi një numër të caktuar ligjesh, kushtëzohet, veçanërisht, nga natyra e ligjeve, objekt miratimi, e përcaktuar në qëllimin dhe objektin e tyre. </w:t>
      </w:r>
    </w:p>
    <w:p w:rsidR="00873BD0" w:rsidRPr="00CD7DF8" w:rsidRDefault="00873BD0" w:rsidP="00873BD0">
      <w:pPr>
        <w:pStyle w:val="Paragrafi"/>
        <w:rPr>
          <w:b/>
          <w:bCs/>
          <w:i/>
          <w:iCs/>
          <w:color w:val="000000"/>
          <w:spacing w:val="-2"/>
          <w:lang w:eastAsia="sq-AL"/>
        </w:rPr>
      </w:pPr>
      <w:r>
        <w:rPr>
          <w:bCs/>
          <w:iCs/>
          <w:color w:val="000000"/>
          <w:spacing w:val="-2"/>
          <w:lang w:eastAsia="ja-JP"/>
        </w:rPr>
        <w:t xml:space="preserve">54. </w:t>
      </w:r>
      <w:r w:rsidRPr="00CD7DF8">
        <w:rPr>
          <w:bCs/>
          <w:iCs/>
          <w:color w:val="000000"/>
          <w:spacing w:val="-2"/>
          <w:lang w:eastAsia="ja-JP"/>
        </w:rPr>
        <w:t>Gjykata, në jurisprudencën e saj, është shprehur në mënyrë të vazhdueshme se l</w:t>
      </w:r>
      <w:r w:rsidRPr="00CD7DF8">
        <w:t xml:space="preserve">igjet e </w:t>
      </w:r>
      <w:r>
        <w:t>z</w:t>
      </w:r>
      <w:r w:rsidRPr="00CD7DF8">
        <w:t>akonshme nuk mund të trajtojnë çështje që janë parashikuar të trajtohen nga kodet apo ligjet organike. Nëse kushtetutëbërësi do të kishte dëshiruar një trajtim të njëjtë të tyre, neni 81, pika 2, i Kushtetutës nuk do të ekzistonte. Përkundrazi, hartuesit e Kushtetutës, pavarësisht se në formë, neni 81, pika 2, shkronja “a”, i Kushtetutës, është normë me natyrë procedurale, e përfshinë parashikimin kushtetues në fjalë, pasi në thelb ajo mbetet një dispozitë që synon mbrojtjen e institucioneve të parashikuara nga Kushtetu</w:t>
      </w:r>
      <w:r>
        <w:t>ta, për shkak të rëndësisë s</w:t>
      </w:r>
      <w:r w:rsidRPr="00CD7DF8">
        <w:t xml:space="preserve">ë fushave që rregullojnë ligjet e cilësuara, me qëllim për t’i bërë ato sa më të qëndrueshme, për të kërkuar një konsensus më të gjerë nga forcat politike të përfaqësuara në Kuvend dhe për të shmangur mundësinë që forca politike që ka shumicën, të mund të cenojë parime themelore për funksionimin e një shoqërie demokratike </w:t>
      </w:r>
      <w:r w:rsidRPr="00CD7DF8">
        <w:rPr>
          <w:i/>
        </w:rPr>
        <w:t xml:space="preserve">(shih vendimet nr.25, </w:t>
      </w:r>
      <w:r w:rsidRPr="00CD7DF8">
        <w:rPr>
          <w:i/>
          <w:iCs/>
          <w:lang w:eastAsia="sq-AL"/>
        </w:rPr>
        <w:t>datë 5.12.2008;</w:t>
      </w:r>
      <w:r w:rsidRPr="00CD7DF8">
        <w:rPr>
          <w:i/>
        </w:rPr>
        <w:t xml:space="preserve"> </w:t>
      </w:r>
      <w:r>
        <w:rPr>
          <w:i/>
          <w:iCs/>
          <w:lang w:eastAsia="sq-AL"/>
        </w:rPr>
        <w:t>nr.1, datë 12.1.2011,</w:t>
      </w:r>
      <w:r w:rsidRPr="00CD7DF8">
        <w:rPr>
          <w:i/>
          <w:iCs/>
          <w:lang w:eastAsia="sq-AL"/>
        </w:rPr>
        <w:t xml:space="preserve"> të  Gjykatës Kushtetuese</w:t>
      </w:r>
      <w:r w:rsidRPr="00CD7DF8">
        <w:rPr>
          <w:i/>
        </w:rPr>
        <w:t xml:space="preserve">). </w:t>
      </w:r>
      <w:r w:rsidRPr="00CD7DF8">
        <w:t>Për më tepër, respektimi i kriterit kushtetues “shumicë e cilësuar” është edhe në funksion të parimit të sigurisë juridike, parim që ka si kërkesë të domosdoshme faktin që ligjet në tërësi duhet të garantojnë qartësi, parashikueshmëri dhe kuptueshmëri për individin</w:t>
      </w:r>
      <w:r w:rsidRPr="00CD7DF8">
        <w:rPr>
          <w:i/>
        </w:rPr>
        <w:t xml:space="preserve"> (shih </w:t>
      </w:r>
      <w:r>
        <w:rPr>
          <w:i/>
        </w:rPr>
        <w:t>vendimin nr.23, datë 8.6.2011,</w:t>
      </w:r>
      <w:r w:rsidRPr="00CD7DF8">
        <w:rPr>
          <w:i/>
        </w:rPr>
        <w:t xml:space="preserve"> të Gjykatës Kushtetuese). </w:t>
      </w:r>
    </w:p>
    <w:p w:rsidR="00873BD0" w:rsidRPr="00CD7DF8" w:rsidRDefault="00873BD0" w:rsidP="00873BD0">
      <w:pPr>
        <w:pStyle w:val="Paragrafi"/>
        <w:rPr>
          <w:b/>
          <w:bCs/>
          <w:i/>
          <w:iCs/>
          <w:color w:val="000000"/>
          <w:spacing w:val="-2"/>
          <w:lang w:eastAsia="ja-JP"/>
        </w:rPr>
      </w:pPr>
      <w:r>
        <w:rPr>
          <w:bCs/>
          <w:iCs/>
          <w:color w:val="000000"/>
          <w:spacing w:val="-2"/>
          <w:lang w:eastAsia="ja-JP"/>
        </w:rPr>
        <w:t xml:space="preserve">55. </w:t>
      </w:r>
      <w:r w:rsidRPr="00CD7DF8">
        <w:rPr>
          <w:bCs/>
          <w:iCs/>
          <w:color w:val="000000"/>
          <w:spacing w:val="-2"/>
          <w:lang w:eastAsia="ja-JP"/>
        </w:rPr>
        <w:t xml:space="preserve">Gjykata rithekson se </w:t>
      </w:r>
      <w:r w:rsidRPr="00CD7DF8">
        <w:rPr>
          <w:lang w:eastAsia="sq-AL"/>
        </w:rPr>
        <w:t>respektimi i kritereve formale dhe</w:t>
      </w:r>
      <w:r>
        <w:rPr>
          <w:lang w:eastAsia="sq-AL"/>
        </w:rPr>
        <w:t xml:space="preserve"> materiale që vendos Kushtetuta</w:t>
      </w:r>
      <w:r w:rsidRPr="00CD7DF8">
        <w:rPr>
          <w:lang w:eastAsia="sq-AL"/>
        </w:rPr>
        <w:t xml:space="preserve"> gjatë procedurës ligjvënëse</w:t>
      </w:r>
      <w:r w:rsidRPr="00CD7DF8">
        <w:t xml:space="preserve"> përbën një domosdoshmëri në shtetin e së drejtës. Referimi i drejtpërdrejtë nga Kushtetuta i mënyrës së miratimit të ligjeve organike u jep atyre fuqi të veçantë juridike në krahasim me aktet e zakonshme të ligjvënësit. Për këtë arsye,</w:t>
      </w:r>
      <w:r w:rsidRPr="00CD7DF8">
        <w:rPr>
          <w:color w:val="FF0000"/>
        </w:rPr>
        <w:t xml:space="preserve"> </w:t>
      </w:r>
      <w:r w:rsidRPr="00CD7DF8">
        <w:t>në hierarkinë e akteve, ato renditen pas Kushtetutës dhe para ligjeve të zakonshme të Kuvendit (</w:t>
      </w:r>
      <w:r>
        <w:rPr>
          <w:i/>
        </w:rPr>
        <w:t>shih vendimet nr.19, datë 3.5.2007; nr.9, datë 23.3.2010; nr.23, datë 8.</w:t>
      </w:r>
      <w:r w:rsidRPr="00CD7DF8">
        <w:rPr>
          <w:i/>
        </w:rPr>
        <w:t>6.201</w:t>
      </w:r>
      <w:r>
        <w:rPr>
          <w:i/>
        </w:rPr>
        <w:t>1,</w:t>
      </w:r>
      <w:r w:rsidRPr="00CD7DF8">
        <w:rPr>
          <w:i/>
        </w:rPr>
        <w:t xml:space="preserve"> të Gjykatës Kushtetuese).</w:t>
      </w:r>
      <w:r w:rsidRPr="00CD7DF8">
        <w:rPr>
          <w:b/>
          <w:bCs/>
          <w:i/>
          <w:iCs/>
          <w:color w:val="000000"/>
          <w:spacing w:val="-2"/>
          <w:lang w:eastAsia="sq-AL"/>
        </w:rPr>
        <w:t xml:space="preserve"> </w:t>
      </w:r>
    </w:p>
    <w:p w:rsidR="00873BD0" w:rsidRPr="00CD7DF8" w:rsidRDefault="00873BD0" w:rsidP="00873BD0">
      <w:pPr>
        <w:pStyle w:val="Paragrafi"/>
        <w:rPr>
          <w:b/>
          <w:bCs/>
          <w:i/>
          <w:iCs/>
          <w:color w:val="000000"/>
          <w:spacing w:val="-2"/>
          <w:lang w:eastAsia="ja-JP"/>
        </w:rPr>
      </w:pPr>
      <w:r>
        <w:rPr>
          <w:bCs/>
          <w:iCs/>
          <w:color w:val="000000"/>
          <w:spacing w:val="-2"/>
          <w:lang w:eastAsia="ja-JP"/>
        </w:rPr>
        <w:t xml:space="preserve">56. </w:t>
      </w:r>
      <w:r w:rsidRPr="00CD7DF8">
        <w:rPr>
          <w:bCs/>
          <w:iCs/>
          <w:color w:val="000000"/>
          <w:spacing w:val="-2"/>
          <w:lang w:eastAsia="ja-JP"/>
        </w:rPr>
        <w:t>R</w:t>
      </w:r>
      <w:r w:rsidRPr="00CD7DF8">
        <w:t>aporti midis ligjeve organike, ose të miratuara me një shumicë të cilësuar të Kuvendit, dhe ligjeve të zakonshme, ose të miratuara sipas rregullit të përgjithshëm, mund të shihet nga dy këndvështrime: si marrëdhënie midis burimeve të së drejtës, të vendosura në nivele të ndryshme në hierarkinë e normave - ligjet që miratohen me shumicë të cilësuar qëndrojnë më lart se ato të miratuara me shumicë të thjeshtë-, ose si një marrëdhënie e bazuar mbi parimin e shpërndarjes së kompetencës legjislative. Është, pikërisht, ky raport që përcakton rregullin se Kuvendi nuk mund të miratojë me “shumicë të thjeshtë” një ligj të ri ose shtesa në një ligj të mëparshëm, të cilat kërkojnë “shumicë të cilësuar”, sepse në këtë mënyrë ligjet që kërkojnë “shumicë të cilësuar” mund ta humbasin rëndësinë e tyre. Kjo gjë arsyetohet me faktin e thjeshtë se rendi juridik nuk përbëhet nga norma juridike të barasvlershme apo me të njëjtën fuqi juridike, përkundrazi ai është një sistem i shkallëzuar, ku normat e të drejtës renditen në bazë të fuqisë juridike që kanë</w:t>
      </w:r>
      <w:r w:rsidRPr="00CD7DF8">
        <w:rPr>
          <w:i/>
        </w:rPr>
        <w:t xml:space="preserve"> (shih </w:t>
      </w:r>
      <w:r>
        <w:rPr>
          <w:i/>
        </w:rPr>
        <w:t>vendimin nr.19, datë 03.05.2007,</w:t>
      </w:r>
      <w:r w:rsidRPr="00CD7DF8">
        <w:rPr>
          <w:i/>
        </w:rPr>
        <w:t xml:space="preserve"> të Gjykatës Kushtetuese)</w:t>
      </w:r>
      <w:r w:rsidRPr="00CD7DF8">
        <w:t>.</w:t>
      </w:r>
      <w:r w:rsidRPr="00CD7DF8">
        <w:rPr>
          <w:b/>
          <w:bCs/>
          <w:i/>
          <w:iCs/>
          <w:color w:val="000000"/>
          <w:spacing w:val="-2"/>
          <w:lang w:eastAsia="ja-JP"/>
        </w:rPr>
        <w:t xml:space="preserve"> </w:t>
      </w:r>
    </w:p>
    <w:p w:rsidR="00873BD0" w:rsidRPr="00CD7DF8" w:rsidRDefault="00873BD0" w:rsidP="00873BD0">
      <w:pPr>
        <w:pStyle w:val="Paragrafi"/>
        <w:rPr>
          <w:b/>
          <w:bCs/>
          <w:i/>
          <w:iCs/>
          <w:color w:val="000000"/>
          <w:spacing w:val="-2"/>
          <w:lang w:eastAsia="ja-JP"/>
        </w:rPr>
      </w:pPr>
      <w:r>
        <w:t xml:space="preserve">57. </w:t>
      </w:r>
      <w:r w:rsidRPr="00CD7DF8">
        <w:t>Mbështetur në këto konsiderime</w:t>
      </w:r>
      <w:r w:rsidRPr="00CD7DF8">
        <w:rPr>
          <w:color w:val="0000FF"/>
        </w:rPr>
        <w:t xml:space="preserve">, </w:t>
      </w:r>
      <w:r w:rsidRPr="00CD7DF8">
        <w:t>Gjykata rithekson se ligjet e zakonshme duhet të nxirren jo vetëm në bazë dhe për zbatim të Kushtetutës, por duhet treguar kujdes i veçantë që ato të mos prekin</w:t>
      </w:r>
      <w:r w:rsidRPr="00CD7DF8">
        <w:rPr>
          <w:color w:val="0000FF"/>
        </w:rPr>
        <w:t xml:space="preserve"> </w:t>
      </w:r>
      <w:r w:rsidRPr="00CD7DF8">
        <w:t>rregullimet që përfshihen natyrshëm në sferën ekskluzive të ligjeve organike, përndryshe ato do të binin në kundërshtim me nenin 81, pika 2, shkronja “a” të Kushtetutës (</w:t>
      </w:r>
      <w:r w:rsidRPr="00CD7DF8">
        <w:rPr>
          <w:i/>
        </w:rPr>
        <w:t xml:space="preserve">shih vendimin nr.19, </w:t>
      </w:r>
      <w:r>
        <w:rPr>
          <w:i/>
        </w:rPr>
        <w:t>datë 3.5.2007; nr.9, datë 23.3.2010; nr.23, datë 8.</w:t>
      </w:r>
      <w:r w:rsidRPr="00CD7DF8">
        <w:rPr>
          <w:i/>
        </w:rPr>
        <w:t>6.2011, të Gjykatës Kushtetuese).</w:t>
      </w:r>
      <w:r w:rsidRPr="00CD7DF8">
        <w:rPr>
          <w:b/>
          <w:bCs/>
          <w:i/>
          <w:iCs/>
          <w:color w:val="000000"/>
          <w:spacing w:val="-2"/>
          <w:lang w:eastAsia="sq-AL"/>
        </w:rPr>
        <w:t xml:space="preserve"> </w:t>
      </w:r>
    </w:p>
    <w:p w:rsidR="00873BD0" w:rsidRPr="00CD7DF8" w:rsidRDefault="00873BD0" w:rsidP="00873BD0">
      <w:pPr>
        <w:pStyle w:val="Paragrafi"/>
        <w:rPr>
          <w:b/>
          <w:bCs/>
          <w:i/>
          <w:iCs/>
          <w:color w:val="000000"/>
          <w:spacing w:val="-2"/>
        </w:rPr>
      </w:pPr>
      <w:r>
        <w:rPr>
          <w:bCs/>
          <w:iCs/>
          <w:color w:val="000000"/>
          <w:spacing w:val="-2"/>
        </w:rPr>
        <w:t xml:space="preserve">58. </w:t>
      </w:r>
      <w:r w:rsidRPr="00CD7DF8">
        <w:rPr>
          <w:bCs/>
          <w:iCs/>
          <w:color w:val="000000"/>
          <w:spacing w:val="-2"/>
        </w:rPr>
        <w:t>Duke iu rikthyer</w:t>
      </w:r>
      <w:r w:rsidRPr="00CD7DF8">
        <w:rPr>
          <w:b/>
          <w:bCs/>
          <w:i/>
          <w:iCs/>
          <w:color w:val="000000"/>
          <w:spacing w:val="-2"/>
        </w:rPr>
        <w:t xml:space="preserve"> </w:t>
      </w:r>
      <w:r w:rsidRPr="00CD7DF8">
        <w:t>rastit konkret, Gjykata konstaton se Këshilli i Ministrave, përmes miratimit të</w:t>
      </w:r>
      <w:r w:rsidRPr="00CD7DF8">
        <w:rPr>
          <w:color w:val="231F20"/>
        </w:rPr>
        <w:t xml:space="preserve"> aktit normativ me fuqinë e ligjit, </w:t>
      </w:r>
      <w:r w:rsidRPr="00CD7DF8">
        <w:t xml:space="preserve">ka sjellë ndryshimin e neneve 70 dhe 72 të ligjit nr.152/2013 “Për </w:t>
      </w:r>
      <w:r w:rsidRPr="00CD7DF8">
        <w:lastRenderedPageBreak/>
        <w:t>nëpunësin civil”. Ky ligj, i cili është miratuar nga Kuvendi me</w:t>
      </w:r>
      <w:r w:rsidRPr="00CD7DF8">
        <w:rPr>
          <w:lang w:eastAsia="sq-AL"/>
        </w:rPr>
        <w:t xml:space="preserve"> propozimin e Këshillit të Ministrave, në mbështetje të neneve 81, pika 2, 83, pika 1, dhe 107 të Kushtetutës (preambula e ligjit), rregullon marrëdhënien juridike ndërmjet shtetit dhe nëpunësit civil dhe përcakton rregullat për administrimin e shërbimit civil (neni1). Në fushën e veprimit të këtij ligji përfshihet çdo nëpunës civil, që ushtron një funksion publik në një institucion të administratës shtetërore, institucion të pavarur apo njësi të qeverisjes vendore, me përjashtim të disa kategorive të përcaktuara shprehimisht në nenin 2 të ligjit. Në kuptim të këtij ligji, nëpunës civil është personi që kryen funksionin për ushtrimin e autoritetit administrativ, publik, në bazë të aftësisë dhe profesionalizimit, i cili merr pjesë në formulimin dhe zbatimin e politikave, monitorimin e zbatimit të rregullave dhe procedurave administrative, sigurimin e ekzekutimit të tyre dhe ofrimin e mbështetjes së përgjithshme administrative për zbatimin e tyre (neni 4).</w:t>
      </w:r>
      <w:r w:rsidRPr="00CD7DF8">
        <w:rPr>
          <w:b/>
          <w:bCs/>
          <w:i/>
          <w:iCs/>
          <w:color w:val="000000"/>
          <w:spacing w:val="-2"/>
          <w:lang w:eastAsia="sq-AL"/>
        </w:rPr>
        <w:t xml:space="preserve"> </w:t>
      </w:r>
    </w:p>
    <w:p w:rsidR="00873BD0" w:rsidRPr="0047382F" w:rsidRDefault="00873BD0" w:rsidP="00873BD0">
      <w:pPr>
        <w:pStyle w:val="Paragrafi"/>
        <w:rPr>
          <w:b/>
          <w:bCs/>
          <w:i/>
          <w:iCs/>
          <w:color w:val="000000"/>
          <w:spacing w:val="-2"/>
        </w:rPr>
      </w:pPr>
      <w:r w:rsidRPr="0047382F">
        <w:rPr>
          <w:spacing w:val="-2"/>
          <w:lang w:eastAsia="sq-AL"/>
        </w:rPr>
        <w:t xml:space="preserve">59. Gjykata konstaton se ligji </w:t>
      </w:r>
      <w:r w:rsidRPr="0047382F">
        <w:rPr>
          <w:spacing w:val="-2"/>
        </w:rPr>
        <w:t>nr.152/2013 “Për nëpunësin civil”,</w:t>
      </w:r>
      <w:r w:rsidRPr="0047382F">
        <w:rPr>
          <w:spacing w:val="-2"/>
          <w:lang w:eastAsia="sq-AL"/>
        </w:rPr>
        <w:t xml:space="preserve"> nisur nga objekti dhe qëllimi, rregullon statusin e funksionarëve publikë. Për rrjedhojë, duke qenë një ligj, pjesë përbërëse e listës shteruese të ligjeve që parashikohen në shkronjën “e” të nenit 81, pika 2, të Kushtetutës, për miratimin e tij nevojiten tri të pestat e të gjithë anëtarëve të Kuvendit. Po ashtu, edhe në referim të rregullimit të nenit 83, pika 3, Kuvendit i ndalohet që një ligj të tillë ta miratojë me procedurë të përshpejtuar. </w:t>
      </w:r>
    </w:p>
    <w:p w:rsidR="00873BD0" w:rsidRDefault="00873BD0" w:rsidP="00873BD0">
      <w:pPr>
        <w:pStyle w:val="Paragrafi"/>
        <w:rPr>
          <w:lang w:eastAsia="sq-AL"/>
        </w:rPr>
      </w:pPr>
    </w:p>
    <w:p w:rsidR="00873BD0" w:rsidRDefault="00873BD0" w:rsidP="00873BD0">
      <w:pPr>
        <w:pStyle w:val="Paragrafi"/>
        <w:rPr>
          <w:lang w:eastAsia="sq-AL"/>
        </w:rPr>
      </w:pPr>
    </w:p>
    <w:p w:rsidR="00873BD0" w:rsidRPr="00CD7DF8" w:rsidRDefault="00873BD0" w:rsidP="00873BD0">
      <w:pPr>
        <w:pStyle w:val="Paragrafi"/>
        <w:rPr>
          <w:b/>
          <w:bCs/>
          <w:i/>
          <w:iCs/>
          <w:color w:val="000000"/>
          <w:spacing w:val="-2"/>
        </w:rPr>
      </w:pPr>
      <w:r>
        <w:rPr>
          <w:lang w:eastAsia="sq-AL"/>
        </w:rPr>
        <w:t xml:space="preserve">60. </w:t>
      </w:r>
      <w:r w:rsidRPr="00CD7DF8">
        <w:rPr>
          <w:lang w:eastAsia="sq-AL"/>
        </w:rPr>
        <w:t xml:space="preserve">Në këtë kuptim, Gjykata vlerëson se i vetmi kuptim që marrin kërkesat procedurale dhe lëndore të parashikuara shprehimisht në </w:t>
      </w:r>
      <w:r w:rsidRPr="00CD7DF8">
        <w:t xml:space="preserve">normat e mësipërme kushtetuese, është se rregullimi i statusit të funksionarëve publikë përbën një fushë, rregullimi i së cilës i rezervohet ekskluzivisht Kuvendit, i cili e realizon këtë kompetencë përmes miratimit të ligjit me tri të pestat e të gjithë anëtarëve të tij, nëpërmjet një procedure normale legjislative. </w:t>
      </w:r>
      <w:r w:rsidRPr="00CD7DF8">
        <w:rPr>
          <w:bCs/>
          <w:iCs/>
          <w:color w:val="000000"/>
          <w:spacing w:val="-2"/>
        </w:rPr>
        <w:t xml:space="preserve">Për rrjedhojë, </w:t>
      </w:r>
      <w:r w:rsidRPr="00CD7DF8">
        <w:rPr>
          <w:lang w:eastAsia="sq-AL"/>
        </w:rPr>
        <w:t xml:space="preserve">shqyrtimi dhe miratimi i çdo çështjeje që përfshihet në sferën e rregullimit të këtij ligji, përbën vetëm rezervë të Kuvendit. </w:t>
      </w:r>
    </w:p>
    <w:p w:rsidR="00873BD0" w:rsidRPr="00CD7DF8" w:rsidRDefault="00873BD0" w:rsidP="00873BD0">
      <w:pPr>
        <w:pStyle w:val="Paragrafi"/>
        <w:rPr>
          <w:b/>
          <w:bCs/>
          <w:i/>
          <w:iCs/>
          <w:color w:val="000000"/>
          <w:spacing w:val="-2"/>
        </w:rPr>
      </w:pPr>
      <w:r w:rsidRPr="00CD7DF8">
        <w:rPr>
          <w:bCs/>
          <w:iCs/>
          <w:color w:val="000000"/>
          <w:spacing w:val="-2"/>
        </w:rPr>
        <w:t xml:space="preserve"> </w:t>
      </w:r>
      <w:r>
        <w:rPr>
          <w:bCs/>
          <w:iCs/>
          <w:color w:val="000000"/>
          <w:spacing w:val="-2"/>
        </w:rPr>
        <w:t xml:space="preserve">61. </w:t>
      </w:r>
      <w:r w:rsidRPr="00CD7DF8">
        <w:rPr>
          <w:bCs/>
          <w:iCs/>
          <w:color w:val="000000"/>
          <w:spacing w:val="-2"/>
        </w:rPr>
        <w:t>Gjykata vëren se dhënia fuqi të mëtejshme aktit normativ “Për nëpunësin civil”, të nxjerrë nga Këshilli i Ministrave, në zbatim të kompetencës përjashtimore të përcaktuar në nenin 101 të Kushtetutës, përbën një kompetencë të Kuvendit, që konsiston në miratimin nëpërmjet një norme që ka të njëjtat vlera, pra me ligj</w:t>
      </w:r>
      <w:r w:rsidRPr="00CD7DF8">
        <w:rPr>
          <w:bCs/>
          <w:i/>
          <w:iCs/>
          <w:color w:val="000000"/>
          <w:spacing w:val="-2"/>
        </w:rPr>
        <w:t>.</w:t>
      </w:r>
      <w:r w:rsidRPr="00CD7DF8">
        <w:rPr>
          <w:bCs/>
          <w:iCs/>
          <w:color w:val="000000"/>
          <w:spacing w:val="-2"/>
        </w:rPr>
        <w:t xml:space="preserve"> Në këtë kuptim, </w:t>
      </w:r>
      <w:r w:rsidRPr="00CD7DF8">
        <w:t>ligji që miraton Kuvendi, duke vlerësuar, formalisht dhe substancialisht, aktin normativ me fuqinë e ligjit, është instrumenti konvertues i të parit si ligj material në një ligj formal dhe, ky i fundit, nuk mund të jetë veçse ligj i thjeshtë. B</w:t>
      </w:r>
      <w:r w:rsidRPr="00CD7DF8">
        <w:rPr>
          <w:lang w:eastAsia="sq-AL"/>
        </w:rPr>
        <w:t xml:space="preserve">azuar në këtë karakteristikë të ligjit miratues të aktit normativ, Gjykata vlerëson se edhe çdo </w:t>
      </w:r>
      <w:r w:rsidRPr="00CD7DF8">
        <w:t xml:space="preserve">ndryshim që mund t’i bëhet ligjit “Për nëpunësin civil” në tërësi, ose dispozitave të veçanta të tij, nuk mund të arrihet nëpërmjet një ligji të thjeshtë, siç ka ndodhur në rastin konkret, por nëpërmjet një ligji të cilësuar, të miratuar në një procedurë normale nga Kuvendi, me të paktën tri të pestat e të gjithë anëtarëve të tij.  </w:t>
      </w:r>
    </w:p>
    <w:p w:rsidR="00873BD0" w:rsidRPr="00CD7DF8" w:rsidRDefault="00873BD0" w:rsidP="00873BD0">
      <w:pPr>
        <w:pStyle w:val="Paragrafi"/>
        <w:rPr>
          <w:b/>
          <w:bCs/>
          <w:i/>
          <w:iCs/>
          <w:color w:val="000000"/>
          <w:spacing w:val="-2"/>
        </w:rPr>
      </w:pPr>
      <w:r>
        <w:t xml:space="preserve">62. </w:t>
      </w:r>
      <w:r w:rsidRPr="00CD7DF8">
        <w:t xml:space="preserve">Në këto kushte, miratimi nga Kuvendi i aktit normativ me </w:t>
      </w:r>
      <w:r w:rsidRPr="00CD7DF8">
        <w:rPr>
          <w:color w:val="231F20"/>
        </w:rPr>
        <w:t xml:space="preserve">ligjin nr. 161/2013, pa respektuar kërkesat kushtetuese për miratimin e ligjeve të cilësuara </w:t>
      </w:r>
      <w:r w:rsidRPr="00CD7DF8">
        <w:t xml:space="preserve">dhe, për rrjedhojë, ndryshimi i </w:t>
      </w:r>
      <w:r w:rsidRPr="00CD7DF8">
        <w:rPr>
          <w:color w:val="231F20"/>
        </w:rPr>
        <w:t>ligjit n</w:t>
      </w:r>
      <w:r w:rsidRPr="00CD7DF8">
        <w:t xml:space="preserve">r. 152/2013, që </w:t>
      </w:r>
      <w:r w:rsidRPr="00CD7DF8">
        <w:rPr>
          <w:color w:val="231F20"/>
        </w:rPr>
        <w:t xml:space="preserve">rregullon një fushë që përbën rezervë të Kuvendit, bie ndesh me parashikimet kushtetuese të nenit 81/2 të Kushtetutës.  </w:t>
      </w:r>
    </w:p>
    <w:p w:rsidR="00873BD0" w:rsidRPr="00CD7DF8" w:rsidRDefault="00873BD0" w:rsidP="00873BD0">
      <w:pPr>
        <w:pStyle w:val="Paragrafi"/>
        <w:rPr>
          <w:b/>
          <w:bCs/>
          <w:i/>
          <w:iCs/>
          <w:color w:val="000000"/>
          <w:spacing w:val="-2"/>
        </w:rPr>
      </w:pPr>
      <w:r>
        <w:t xml:space="preserve">63. </w:t>
      </w:r>
      <w:r w:rsidRPr="00CD7DF8">
        <w:t>Gjykata vlerëson se transferimi i kompetencës legjislative Këshillit të Ministrave, që, përjashtimisht, të marrë masa të përkohshme në rast nevoje dhe urgjence, i nënshtrohet para së gjithash, kufizimeve kushtetuese, të cilat konsistojnë në kritere procedurale dhe po ashtu lëndore, të përcaktueshme nga natyra e marrëdhënies konkrete që kërkon rregullim. Në këtë kuptim, Gjykata çmon se për sa kohë Kuvendi</w:t>
      </w:r>
      <w:r w:rsidRPr="00CD7DF8">
        <w:rPr>
          <w:bCs/>
          <w:iCs/>
          <w:color w:val="000000"/>
          <w:spacing w:val="-2"/>
        </w:rPr>
        <w:t xml:space="preserve"> nuk mund të delegojë pushtetin e tij ligjbërës, por </w:t>
      </w:r>
      <w:r w:rsidRPr="00CD7DF8">
        <w:t>ka detyrimin kushtetues të përmbushë kërkesat procedurale dhe lëndore për miratimin e ligjeve të cilësuara sipas nenit 81/2 dhe 83 të Kushtetutës, në raport me nenet 1, 2, 4, 7 dhe 116 të Kushtetutës, aq më pak Këshilli i Ministrave mund të ndërhyjë me akte normative me fuqinë e ligjit në ato fusha, rregullimi i të cilave,</w:t>
      </w:r>
      <w:r w:rsidRPr="00CD7DF8">
        <w:rPr>
          <w:i/>
        </w:rPr>
        <w:t xml:space="preserve"> expressis verbis</w:t>
      </w:r>
      <w:r w:rsidRPr="00CD7DF8">
        <w:t>, përbën kompetencë ekskluzive të Kuvendit.</w:t>
      </w:r>
      <w:r w:rsidRPr="00CD7DF8">
        <w:rPr>
          <w:b/>
          <w:bCs/>
          <w:i/>
          <w:iCs/>
          <w:color w:val="000000"/>
          <w:spacing w:val="-2"/>
        </w:rPr>
        <w:t xml:space="preserve"> </w:t>
      </w:r>
    </w:p>
    <w:p w:rsidR="00873BD0" w:rsidRPr="004C3250" w:rsidRDefault="00873BD0" w:rsidP="00873BD0">
      <w:pPr>
        <w:pStyle w:val="Paragrafi"/>
        <w:rPr>
          <w:b/>
          <w:bCs/>
          <w:i/>
          <w:iCs/>
          <w:color w:val="000000"/>
        </w:rPr>
      </w:pPr>
      <w:r>
        <w:rPr>
          <w:lang w:eastAsia="ja-JP"/>
        </w:rPr>
        <w:t>64</w:t>
      </w:r>
      <w:r w:rsidRPr="004C3250">
        <w:rPr>
          <w:lang w:eastAsia="ja-JP"/>
        </w:rPr>
        <w:t>. N</w:t>
      </w:r>
      <w:r w:rsidRPr="004C3250">
        <w:rPr>
          <w:bCs/>
          <w:iCs/>
          <w:color w:val="000000"/>
        </w:rPr>
        <w:t xml:space="preserve">ë kuptim të nenit 116 të Kushtetutës, </w:t>
      </w:r>
      <w:r w:rsidRPr="004C3250">
        <w:rPr>
          <w:lang w:eastAsia="ja-JP"/>
        </w:rPr>
        <w:t xml:space="preserve"> hierarkia </w:t>
      </w:r>
      <w:r w:rsidRPr="004C3250">
        <w:rPr>
          <w:bCs/>
          <w:iCs/>
          <w:color w:val="000000"/>
        </w:rPr>
        <w:t xml:space="preserve">e burimeve të së drejtës është një prej elementeve thelbësore që përcaktojnë formën e qeverisjes dhe që mbrojnë vlerat themelore të shtetit të </w:t>
      </w:r>
      <w:r w:rsidRPr="004C3250">
        <w:rPr>
          <w:bCs/>
          <w:iCs/>
          <w:color w:val="000000"/>
        </w:rPr>
        <w:lastRenderedPageBreak/>
        <w:t>së drejtës, ku pushteti ligjvënës ka rol primar. N</w:t>
      </w:r>
      <w:r w:rsidRPr="004C3250">
        <w:t>ë vendet që udhëhiqen nga parimi i ndarjes së pushteteve, pra edhe kompetencave të Parlamentit dhe Qeverisë në nxjerrjen e burimeve primare të së drejtës, miratimi i këtyre të fundit i përket organit të cilit pushteti i jepet direkt nga populli.</w:t>
      </w:r>
    </w:p>
    <w:p w:rsidR="00873BD0" w:rsidRPr="0047382F" w:rsidRDefault="00873BD0" w:rsidP="00873BD0">
      <w:pPr>
        <w:pStyle w:val="Paragrafi"/>
        <w:rPr>
          <w:b/>
          <w:bCs/>
          <w:i/>
          <w:iCs/>
          <w:color w:val="000000"/>
          <w:spacing w:val="-2"/>
        </w:rPr>
      </w:pPr>
      <w:r w:rsidRPr="0047382F">
        <w:rPr>
          <w:spacing w:val="-2"/>
        </w:rPr>
        <w:t xml:space="preserve"> 65. </w:t>
      </w:r>
      <w:r w:rsidRPr="0047382F">
        <w:rPr>
          <w:spacing w:val="-2"/>
          <w:lang w:eastAsia="ja-JP"/>
        </w:rPr>
        <w:t xml:space="preserve">Për rrjedhojë, Gjykata vlerëson se miratimi nga Kuvendi i aktit normativ në kapërcim të kritereve procedurale dhe lëndore të parashikuara nga Kushtetuta, përbën një të metë </w:t>
      </w:r>
      <w:r w:rsidRPr="0047382F">
        <w:rPr>
          <w:i/>
          <w:spacing w:val="-2"/>
          <w:lang w:eastAsia="ja-JP"/>
        </w:rPr>
        <w:t xml:space="preserve">in procedendo </w:t>
      </w:r>
      <w:r w:rsidRPr="0047382F">
        <w:rPr>
          <w:spacing w:val="-2"/>
          <w:lang w:eastAsia="ja-JP"/>
        </w:rPr>
        <w:t xml:space="preserve">të vetë ligjit. Ndonëse Kuvendi kishte detyrimin të </w:t>
      </w:r>
      <w:r w:rsidRPr="0047382F">
        <w:rPr>
          <w:spacing w:val="-2"/>
        </w:rPr>
        <w:t xml:space="preserve">zbatonte drejtpërdrejt kompetencën e parashikuar nga rregullimi kushtetues, ai ka mënjanuar normat kushtetuese, në kundërshtim me nenin 4, pika 3, të Kushtetutës. </w:t>
      </w:r>
    </w:p>
    <w:p w:rsidR="00873BD0" w:rsidRPr="0047382F" w:rsidRDefault="00873BD0" w:rsidP="00873BD0">
      <w:pPr>
        <w:pStyle w:val="Paragrafi"/>
        <w:rPr>
          <w:b/>
          <w:bCs/>
          <w:i/>
          <w:iCs/>
          <w:color w:val="000000"/>
          <w:spacing w:val="-2"/>
        </w:rPr>
      </w:pPr>
      <w:r w:rsidRPr="0047382F">
        <w:rPr>
          <w:spacing w:val="-2"/>
        </w:rPr>
        <w:t xml:space="preserve">66. Për këto arsye, Gjykata arrin në përfundimin se nxjerrja </w:t>
      </w:r>
      <w:r w:rsidRPr="0047382F">
        <w:rPr>
          <w:bCs/>
          <w:iCs/>
          <w:color w:val="000000"/>
          <w:spacing w:val="-2"/>
        </w:rPr>
        <w:t>nga Këshilli i Ministrave i aktit normativ me fuqinë e ligjit, që rregullon çështje të rezervës së Kuvendit, dhe mos</w:t>
      </w:r>
      <w:r w:rsidRPr="0047382F">
        <w:rPr>
          <w:spacing w:val="-2"/>
        </w:rPr>
        <w:t>respektimi nga ky i fundit i procedurës së parashikuar nga neni 81, pika 2, shkronja “e” dhe neni 83, pika 3, të Kushtetutës, vjen në kundërshtim me</w:t>
      </w:r>
      <w:r w:rsidRPr="0047382F">
        <w:rPr>
          <w:bCs/>
          <w:iCs/>
          <w:color w:val="000000"/>
          <w:spacing w:val="-2"/>
        </w:rPr>
        <w:t xml:space="preserve"> parimin e ndarjes dhe balancimit midis pushteteve, në kuptim të nenit 7 të Kushtetutës, si një nga </w:t>
      </w:r>
      <w:r w:rsidRPr="0047382F">
        <w:rPr>
          <w:spacing w:val="-2"/>
        </w:rPr>
        <w:t xml:space="preserve">parimet bazë të shtetit të së drejtës, ku e drejta përbën bazën dhe kufijtë e veprimtarisë së shtetit. </w:t>
      </w:r>
    </w:p>
    <w:p w:rsidR="00873BD0" w:rsidRDefault="00873BD0" w:rsidP="00873BD0">
      <w:pPr>
        <w:pStyle w:val="Paragrafi"/>
        <w:rPr>
          <w:b/>
          <w:bCs/>
          <w:iCs/>
          <w:color w:val="000000"/>
        </w:rPr>
      </w:pPr>
    </w:p>
    <w:p w:rsidR="00873BD0" w:rsidRDefault="00873BD0" w:rsidP="00873BD0">
      <w:pPr>
        <w:pStyle w:val="Paragrafi"/>
        <w:rPr>
          <w:b/>
          <w:bCs/>
          <w:iCs/>
          <w:color w:val="000000"/>
        </w:rPr>
      </w:pPr>
    </w:p>
    <w:p w:rsidR="00873BD0" w:rsidRPr="004C3250" w:rsidRDefault="00873BD0" w:rsidP="00873BD0">
      <w:pPr>
        <w:pStyle w:val="Paragrafi"/>
        <w:rPr>
          <w:b/>
          <w:bCs/>
          <w:iCs/>
          <w:color w:val="000000"/>
        </w:rPr>
      </w:pPr>
    </w:p>
    <w:p w:rsidR="00873BD0" w:rsidRPr="00CD7DF8" w:rsidRDefault="00873BD0" w:rsidP="00873BD0">
      <w:pPr>
        <w:pStyle w:val="NeniTitull"/>
      </w:pPr>
      <w:r w:rsidRPr="00CD7DF8">
        <w:t>VII</w:t>
      </w:r>
    </w:p>
    <w:p w:rsidR="00873BD0" w:rsidRPr="0047382F" w:rsidRDefault="00873BD0" w:rsidP="00873BD0">
      <w:pPr>
        <w:pStyle w:val="Paragrafi"/>
        <w:rPr>
          <w:b/>
          <w:i/>
          <w:spacing w:val="-2"/>
          <w:szCs w:val="24"/>
        </w:rPr>
      </w:pPr>
      <w:r w:rsidRPr="0047382F">
        <w:rPr>
          <w:b/>
          <w:i/>
          <w:spacing w:val="-2"/>
        </w:rPr>
        <w:t xml:space="preserve">F. </w:t>
      </w:r>
      <w:r w:rsidRPr="0047382F">
        <w:rPr>
          <w:b/>
          <w:i/>
          <w:spacing w:val="-2"/>
          <w:szCs w:val="24"/>
        </w:rPr>
        <w:t xml:space="preserve">Mbi pretendimin për nxjerrjen e aktit normativ në kundërshtim me nenin 101 të Kushtetutës </w:t>
      </w:r>
    </w:p>
    <w:p w:rsidR="00873BD0" w:rsidRPr="00CD7DF8" w:rsidRDefault="00873BD0" w:rsidP="00873BD0">
      <w:pPr>
        <w:pStyle w:val="Paragrafi"/>
        <w:rPr>
          <w:lang w:eastAsia="ja-JP"/>
        </w:rPr>
      </w:pPr>
      <w:r>
        <w:rPr>
          <w:lang w:eastAsia="ja-JP"/>
        </w:rPr>
        <w:t xml:space="preserve">67. </w:t>
      </w:r>
      <w:r w:rsidRPr="00CD7DF8">
        <w:rPr>
          <w:lang w:eastAsia="ja-JP"/>
        </w:rPr>
        <w:t xml:space="preserve">Kërkuesi ka pretenduar, gjithashtu, se Këshilli i Ministrave, në rastin konkret, nuk ka respektuar kërkesat që burojnë nga neni 101 i Kushtetutës, lidhur me </w:t>
      </w:r>
      <w:r w:rsidRPr="00CD7DF8">
        <w:t>nevojën dhe urgjencën për nxjerrjen e aktit normativ.</w:t>
      </w:r>
    </w:p>
    <w:p w:rsidR="00873BD0" w:rsidRPr="00CD7DF8" w:rsidRDefault="00873BD0" w:rsidP="00873BD0">
      <w:pPr>
        <w:pStyle w:val="Paragrafi"/>
        <w:rPr>
          <w:i/>
        </w:rPr>
      </w:pPr>
      <w:r>
        <w:t xml:space="preserve">68. </w:t>
      </w:r>
      <w:r w:rsidRPr="00CD7DF8">
        <w:t xml:space="preserve">Kushtetuta e Shqipërisë, në nenin 101, parashikon se Këshilli i Ministrave, në rast nevoje dhe urgjence, nën përgjegjësinë e tij, mund të nxjerrë akte normative që kanë fuqinë e ligjit, për marrjen e masave të përkohshme. Këto akte normative i dërgohen menjëherë  Kuvendit, i cili mblidhet brenda 5 ditëve nëse nuk është i mbledhur. Ato humbasin fuqinë që nga fillimi, në qoftë se nuk miratohen nga Kuvendi brenda 45 ditëve. </w:t>
      </w:r>
    </w:p>
    <w:p w:rsidR="00873BD0" w:rsidRPr="00CD7DF8" w:rsidRDefault="00873BD0" w:rsidP="00873BD0">
      <w:pPr>
        <w:pStyle w:val="Paragrafi"/>
        <w:rPr>
          <w:i/>
          <w:lang w:eastAsia="ja-JP"/>
        </w:rPr>
      </w:pPr>
      <w:r>
        <w:t xml:space="preserve">69. </w:t>
      </w:r>
      <w:r w:rsidRPr="00CD7DF8">
        <w:t xml:space="preserve">Gjykata, </w:t>
      </w:r>
      <w:r w:rsidRPr="00CD7DF8">
        <w:rPr>
          <w:lang w:eastAsia="ja-JP"/>
        </w:rPr>
        <w:t xml:space="preserve">në rastet e shqyrtimit të kushtetutshmërisë së akteve normative, </w:t>
      </w:r>
      <w:r w:rsidRPr="00CD7DF8">
        <w:t xml:space="preserve">ka konsideruar se e drejta e Këshillit të Ministrave për të nxjerrë akte normative me fuqinë e ligjit, sipas parashikimeve të nenit 101 të Kushtetutës, përbën një përjashtim nga parimi kushtetues i njohjes dhe përqendrimit të pushtetit ligjvënës në duart e Kuvendit të Shqipërisë, duke lejuar nxjerrjen e akteve me fuqinë e ligjit edhe nga organe të tjera kushtetuese. Përdorimi i këtij instrumenti ligjvënës mbetet në vlerësimin e Këshillit të Ministrave, por çmohet se ushtrimi i kësaj kompetence gjerësisht dhe jo në kushtet e parashikuara nga Kushtetuta cenon pavarësinë e pushtetit legjislativ dhe karakterin demokratik të shtetit. Kjo e drejtë ka natyrë lejuese dhe përjashtimore, prandaj Kushtetuta, </w:t>
      </w:r>
      <w:r w:rsidRPr="00CD7DF8">
        <w:rPr>
          <w:rFonts w:eastAsia="Arial Unicode MS"/>
        </w:rPr>
        <w:t>nëpërmjet nenit 101 të saj, i ka njohur të drejtën Këshillit të Ministrave të nxjerrë akte normative që kanë fuqinë e ligjit vetëm kur rasti shfaqet si i jashtëzakonshëm dhe</w:t>
      </w:r>
      <w:r w:rsidRPr="00CD7DF8">
        <w:rPr>
          <w:rFonts w:eastAsia="Arial Unicode MS"/>
          <w:i/>
        </w:rPr>
        <w:t xml:space="preserve"> nevoja e urgjenca</w:t>
      </w:r>
      <w:r w:rsidRPr="00CD7DF8">
        <w:t xml:space="preserve"> bëjnë të pamundur ushtrimin e kompetencës ligjvënëse nga Kuvendi </w:t>
      </w:r>
      <w:r w:rsidRPr="00CD7DF8">
        <w:rPr>
          <w:i/>
          <w:lang w:eastAsia="ja-JP"/>
        </w:rPr>
        <w:t xml:space="preserve">(shih </w:t>
      </w:r>
      <w:r>
        <w:rPr>
          <w:i/>
          <w:lang w:eastAsia="ja-JP"/>
        </w:rPr>
        <w:t>vendimin nr.24, datë 10.11.2006,</w:t>
      </w:r>
      <w:r w:rsidRPr="00CD7DF8">
        <w:rPr>
          <w:i/>
          <w:lang w:eastAsia="ja-JP"/>
        </w:rPr>
        <w:t xml:space="preserve"> të Gjykatës Kushtetuese)</w:t>
      </w:r>
      <w:r w:rsidRPr="00CD7DF8">
        <w:rPr>
          <w:lang w:eastAsia="ja-JP"/>
        </w:rPr>
        <w:t>.</w:t>
      </w:r>
    </w:p>
    <w:p w:rsidR="00873BD0" w:rsidRPr="00CD7DF8" w:rsidRDefault="00873BD0" w:rsidP="00873BD0">
      <w:pPr>
        <w:pStyle w:val="Paragrafi"/>
        <w:rPr>
          <w:lang w:eastAsia="ja-JP"/>
        </w:rPr>
      </w:pPr>
      <w:r>
        <w:rPr>
          <w:lang w:eastAsia="ja-JP"/>
        </w:rPr>
        <w:t xml:space="preserve">70. </w:t>
      </w:r>
      <w:r w:rsidRPr="00CD7DF8">
        <w:rPr>
          <w:lang w:eastAsia="ja-JP"/>
        </w:rPr>
        <w:t xml:space="preserve">Gjykata rithekson se </w:t>
      </w:r>
      <w:r w:rsidRPr="00CD7DF8">
        <w:rPr>
          <w:i/>
          <w:lang w:eastAsia="ja-JP"/>
        </w:rPr>
        <w:t>nevoja</w:t>
      </w:r>
      <w:r w:rsidRPr="00CD7DF8">
        <w:rPr>
          <w:lang w:eastAsia="ja-JP"/>
        </w:rPr>
        <w:t xml:space="preserve"> dhe </w:t>
      </w:r>
      <w:r w:rsidRPr="00CD7DF8">
        <w:rPr>
          <w:i/>
          <w:lang w:eastAsia="ja-JP"/>
        </w:rPr>
        <w:t>urgjenca</w:t>
      </w:r>
      <w:r w:rsidRPr="00CD7DF8">
        <w:rPr>
          <w:rStyle w:val="FootnoteReference"/>
          <w:rFonts w:eastAsia="Times New Roman"/>
          <w:i/>
          <w:lang w:eastAsia="ja-JP"/>
        </w:rPr>
        <w:footnoteReference w:id="9"/>
      </w:r>
      <w:r w:rsidRPr="00CD7DF8">
        <w:rPr>
          <w:lang w:eastAsia="ja-JP"/>
        </w:rPr>
        <w:t xml:space="preserve"> janë elemente me rëndësi të veçantë në përmbajtjen e nenit 101 të Kushtetutës dhe, si të tilla, janë përcaktuese për të drejtën që i njihet Këshillit të Ministrave për zbatimin e kësaj dispozite. Kuptimi i tyre është autonom, i lidhur me tërësinë e përmbajtjes së dispozitës dhe me parimet bazë që përshkojnë Kushtetutën. Nevoja dhe urgjenca janë rrethana dhe situata fakti që vlerësohen rast pas rasti. Ato mund të shkaktohen nga faktorë të ndryshëm jetësorë, natyrorë e shoqërorë, si fatkeqësitë natyrore, boshllëku legjislativ i shkaktuar nga shfuqizimi i akteve, nevoja për efekte të menjëhershme në fusha me ndjeshmëri të madhe publike, parandalimi i </w:t>
      </w:r>
      <w:r w:rsidRPr="00CD7DF8">
        <w:rPr>
          <w:lang w:eastAsia="ja-JP"/>
        </w:rPr>
        <w:lastRenderedPageBreak/>
        <w:t xml:space="preserve">menjëhershëm i spekulimeve. Ajo që i bashkon të gjitha këto situata është fakti se përfaqësojnë një gjendje jo të zakonshme në jetën e vendit, ku evidentohet dukshëm rreziku i ardhjes së pasojave të dëmshme për interesat publike ose për të drejtat themelore të shtetasve. Ky rrezik dikton nevojën e masave të menjëhershme, por që legjislacioni ekzistues nuk i mundëson dot </w:t>
      </w:r>
      <w:r w:rsidRPr="00CD7DF8">
        <w:rPr>
          <w:i/>
          <w:lang w:eastAsia="ja-JP"/>
        </w:rPr>
        <w:t xml:space="preserve">(shih vendimet nr.24, datë 10.11.2006; nr.1, </w:t>
      </w:r>
      <w:r w:rsidRPr="00CD7DF8">
        <w:rPr>
          <w:bCs/>
          <w:i/>
          <w:lang w:eastAsia="ja-JP"/>
        </w:rPr>
        <w:t xml:space="preserve">datë </w:t>
      </w:r>
      <w:r>
        <w:rPr>
          <w:i/>
          <w:lang w:eastAsia="ja-JP"/>
        </w:rPr>
        <w:t>6.</w:t>
      </w:r>
      <w:r w:rsidRPr="00CD7DF8">
        <w:rPr>
          <w:i/>
          <w:lang w:eastAsia="ja-JP"/>
        </w:rPr>
        <w:t>2.2013, të Gjykatës Kushtetuese)</w:t>
      </w:r>
      <w:r w:rsidRPr="00CD7DF8">
        <w:rPr>
          <w:lang w:eastAsia="ja-JP"/>
        </w:rPr>
        <w:t xml:space="preserve">. </w:t>
      </w:r>
    </w:p>
    <w:p w:rsidR="00873BD0" w:rsidRPr="00CD7DF8" w:rsidRDefault="00873BD0" w:rsidP="00873BD0">
      <w:pPr>
        <w:pStyle w:val="Paragrafi"/>
        <w:rPr>
          <w:lang w:eastAsia="ja-JP"/>
        </w:rPr>
      </w:pPr>
      <w:r>
        <w:t xml:space="preserve">71. </w:t>
      </w:r>
      <w:r w:rsidRPr="00CD7DF8">
        <w:t>Nevoja dhe urgjenca duhen kuptuar si parakushte të domosdoshme, mungesa e të cilave do të kishte si pasojë pavlefshmërinë e aktit normativ me fuqinë e ligjit. Duke qenë kushte paraprake, nevoja dhe urgjenca duhet të jenë  vërtetuar se ekzistojnë përpara momentit të marrjes të iniciativës nga qeveria për nxjerrjen e aktit normativ me fuqinë e ligjit. Këto dy kushte duhet të jenë gjithashtu të pranishme, të lidhura e të ndërvarura dhe në momentin kur nxirret akti normativ me fuqinë e ligjit. Vetëm kur</w:t>
      </w:r>
      <w:r w:rsidRPr="00CD7DF8">
        <w:rPr>
          <w:lang w:eastAsia="ja-JP"/>
        </w:rPr>
        <w:t xml:space="preserve"> situata e krijuar vlerësohet e pamundur të presë aq kohë sa nevojitet për nxjerrjen e ligjit të nevojshëm nga organi ligjvënës, qoftë edhe nëpërmjet procedurave të përshpejtuara, iniciativa ligjvënëse mund t’i kalojë qeverisë. Nëse nuk do të vlerësohej ky aspekt, qeveria do të merrte, pa të drejtë, funksionet ligjvënëse të Kuvendit </w:t>
      </w:r>
      <w:r w:rsidRPr="00CD7DF8">
        <w:rPr>
          <w:i/>
          <w:lang w:eastAsia="ja-JP"/>
        </w:rPr>
        <w:t>(shih vendimet nr.24, datë 10.11.2006; nr.1, datë 10.11.2006, të Gjykatës Kushtetuese)</w:t>
      </w:r>
      <w:r w:rsidRPr="00CD7DF8">
        <w:rPr>
          <w:lang w:eastAsia="ja-JP"/>
        </w:rPr>
        <w:t xml:space="preserve">. </w:t>
      </w:r>
      <w:r w:rsidRPr="00CD7DF8">
        <w:rPr>
          <w:rFonts w:eastAsia="Arial Unicode MS"/>
        </w:rPr>
        <w:t xml:space="preserve"> </w:t>
      </w:r>
    </w:p>
    <w:p w:rsidR="00873BD0" w:rsidRPr="00CD7DF8" w:rsidRDefault="00873BD0" w:rsidP="00873BD0">
      <w:pPr>
        <w:pStyle w:val="Paragrafi"/>
        <w:rPr>
          <w:lang w:eastAsia="ja-JP"/>
        </w:rPr>
      </w:pPr>
      <w:r>
        <w:rPr>
          <w:lang w:eastAsia="ja-JP"/>
        </w:rPr>
        <w:t xml:space="preserve">72. </w:t>
      </w:r>
      <w:r w:rsidRPr="00CD7DF8">
        <w:rPr>
          <w:lang w:eastAsia="ja-JP"/>
        </w:rPr>
        <w:t xml:space="preserve">Gjykata rithekson se elementi </w:t>
      </w:r>
      <w:r w:rsidRPr="00CD7DF8">
        <w:rPr>
          <w:i/>
          <w:lang w:eastAsia="ja-JP"/>
        </w:rPr>
        <w:t>urgjencë</w:t>
      </w:r>
      <w:r w:rsidRPr="00CD7DF8">
        <w:rPr>
          <w:lang w:eastAsia="ja-JP"/>
        </w:rPr>
        <w:t xml:space="preserve"> nuk mund të ekzistojë në vetvete pa </w:t>
      </w:r>
      <w:r w:rsidRPr="00CD7DF8">
        <w:rPr>
          <w:i/>
          <w:lang w:eastAsia="ja-JP"/>
        </w:rPr>
        <w:t>nevojën,</w:t>
      </w:r>
      <w:r w:rsidRPr="00CD7DF8">
        <w:rPr>
          <w:lang w:eastAsia="ja-JP"/>
        </w:rPr>
        <w:t xml:space="preserve"> sepse </w:t>
      </w:r>
      <w:r w:rsidRPr="00CD7DF8">
        <w:rPr>
          <w:i/>
          <w:lang w:eastAsia="ja-JP"/>
        </w:rPr>
        <w:t>urgjenca</w:t>
      </w:r>
      <w:r w:rsidRPr="00CD7DF8">
        <w:rPr>
          <w:lang w:eastAsia="ja-JP"/>
        </w:rPr>
        <w:t xml:space="preserve"> tregon vetëm një situatë që nuk mund të presë, ndërsa </w:t>
      </w:r>
      <w:r w:rsidRPr="00CD7DF8">
        <w:rPr>
          <w:i/>
          <w:lang w:eastAsia="ja-JP"/>
        </w:rPr>
        <w:t>nevoja</w:t>
      </w:r>
      <w:r w:rsidRPr="00CD7DF8">
        <w:rPr>
          <w:lang w:eastAsia="ja-JP"/>
        </w:rPr>
        <w:t xml:space="preserve"> tregon substancën e saj, përcakton situatën që kërkon zgjidhje, tregon marrëdhënien shoqërore që kërkon rregullim ligjor. Kuptimin e tyre të vërtetë termat </w:t>
      </w:r>
      <w:r w:rsidRPr="00CD7DF8">
        <w:rPr>
          <w:i/>
          <w:lang w:eastAsia="ja-JP"/>
        </w:rPr>
        <w:t>nevojë</w:t>
      </w:r>
      <w:r w:rsidRPr="00CD7DF8">
        <w:rPr>
          <w:lang w:eastAsia="ja-JP"/>
        </w:rPr>
        <w:t xml:space="preserve"> dhe  </w:t>
      </w:r>
      <w:r w:rsidRPr="00CD7DF8">
        <w:rPr>
          <w:i/>
          <w:lang w:eastAsia="ja-JP"/>
        </w:rPr>
        <w:t>urgjencë</w:t>
      </w:r>
      <w:r w:rsidRPr="00CD7DF8">
        <w:rPr>
          <w:lang w:eastAsia="ja-JP"/>
        </w:rPr>
        <w:t xml:space="preserve"> e manifestojnë në kuadër të situatës së rastit konkret, duke i vlerësuar në kohën kur është vërtetuar prania e tyre. Nga kuptimi i përmbajtjes së nenit 101 të Kushtetutës, rezulton se vlerësimin e parë faktik dhe substancial të këtyre elementeve i përket ta bëjë qeveria. Ajo nuk mund të ndërmarrë një nismë për nxjerrjen e një akti normativ me fuqinë e ligjit, pa vlerësuar më parë rrethanat e krijuara që kanë shkaktuar nevojë dhe urgjencë. Natyra e vlerësimit që bën ky organ është faktik dhe juridik </w:t>
      </w:r>
      <w:r w:rsidRPr="00CD7DF8">
        <w:rPr>
          <w:i/>
          <w:lang w:eastAsia="ja-JP"/>
        </w:rPr>
        <w:t>(shih vendimet nr.24, datë 10.11.2006; nr.1, datë 10.11.2006, të Gjykatës Kushtetuese)</w:t>
      </w:r>
      <w:r w:rsidRPr="00CD7DF8">
        <w:rPr>
          <w:lang w:eastAsia="ja-JP"/>
        </w:rPr>
        <w:t xml:space="preserve">. </w:t>
      </w:r>
      <w:r w:rsidRPr="00CD7DF8">
        <w:rPr>
          <w:rFonts w:eastAsia="Arial Unicode MS"/>
        </w:rPr>
        <w:t xml:space="preserve"> </w:t>
      </w:r>
    </w:p>
    <w:p w:rsidR="00873BD0" w:rsidRPr="00CD7DF8" w:rsidRDefault="00873BD0" w:rsidP="00873BD0">
      <w:pPr>
        <w:pStyle w:val="Paragrafi"/>
        <w:rPr>
          <w:lang w:eastAsia="ja-JP"/>
        </w:rPr>
      </w:pPr>
      <w:r>
        <w:t xml:space="preserve">73. </w:t>
      </w:r>
      <w:r w:rsidRPr="00CD7DF8">
        <w:t>Parashikime të ngjashme me nenin 101 të Kushtetutës shqiptare, të cilat lejojnë transferimin e ndonjë kompetence që i përket pushtetit legjislativ, drejt ekzekutivit, janë të njohura edhe nga kushtetutat e shteteve të tjera demokratike, siç rezultoi edhe nga analiza në këndvështrimin historik dhe krahasues të aktit normativ me fuqinë e ligjit. Pavarësisht ndryshimeve në formulimin e normave kushtetuese të rendeve juridike, çka justifikohet nga përkatësia e tyre ndaj realiteteve të ndryshme politike, ekonomike apo sociale, Gjykata vlerëson se, janë pikërisht zhvillimet e jurisprudencës kushtetuese, të cilat kanë kontribuar në drejtim të unifikimit të kuptimit të kompetencës përjashtimore të pushtetit ekzekutiv për nxjerrjen e akteve normative me fuqinë e ligjit, me qëllim respektimin e parimit të ndarjes dhe balancimit të pushteteve, si parim që qëndron në themel të shtetit të së drejtës. K</w:t>
      </w:r>
      <w:r w:rsidRPr="00CD7DF8">
        <w:rPr>
          <w:color w:val="231F20"/>
        </w:rPr>
        <w:t xml:space="preserve">ontrolli kushtetues në këtë drejtim ka bërë të mundur një evolucion të përhershëm të jurisprudencës kushtetuese, sa </w:t>
      </w:r>
      <w:r w:rsidRPr="00CD7DF8">
        <w:rPr>
          <w:lang w:eastAsia="ja-JP"/>
        </w:rPr>
        <w:t xml:space="preserve">komplekse dhe po aq të artikuluar, e cila do të mbahen në konsideratë nga kjo Gjykatë gjatë analizës në vijim. </w:t>
      </w:r>
    </w:p>
    <w:p w:rsidR="00873BD0" w:rsidRPr="00CD7DF8" w:rsidRDefault="00873BD0" w:rsidP="00873BD0">
      <w:pPr>
        <w:pStyle w:val="Paragrafi"/>
        <w:rPr>
          <w:lang w:eastAsia="ja-JP"/>
        </w:rPr>
      </w:pPr>
      <w:r>
        <w:rPr>
          <w:color w:val="231F20"/>
        </w:rPr>
        <w:t xml:space="preserve">74. </w:t>
      </w:r>
      <w:r w:rsidRPr="00CD7DF8">
        <w:rPr>
          <w:color w:val="231F20"/>
        </w:rPr>
        <w:t xml:space="preserve">Kështu, Gjykata Kushtetuese e Italisë, në jurisprudencën e saj, nisur nga kërkesa për respektimin e </w:t>
      </w:r>
      <w:r w:rsidRPr="00CD7DF8">
        <w:t xml:space="preserve">strukturës së burimeve të së drejtës dhe, pasi ka vlerësuar se ekzistenca e kritereve të nevojës dhe urgjencës mund të jetë objekt shqyrtimi kushtetues, është shprehur se shprehja e përdorur nga Kushtetuta për të përcaktuar kushtet paraprake, ekzistenca e të cilave udhëheq pushtetin e Qeverisë të nxjerrë norma primare të së drejtës, edhe pse të përkohshme – pra rastet e jashtëzakonshme të nevojës dhe urgjencës – nëse nga njëra anë, evidenton karakterin e veçantë të këtij pushteti ndaj disiplinës së burimeve të së drejtës në një republikë parlamentare, nga ana tjetër, passjell, në mënyrë të pashmangshme, që dispozitës t’i jepet një hapësirë e gjerë vlerësimi. Faktikisht, rastet e jashtëzakonshme, të tilla që imponojnë nevojën për të nxjerrë me urgjencë një akt të caktuar, përcaktohen nga një pluralitet situatash, faktesh natyrore, sjelljesh njerëzore si dhe aktesh të organeve publike </w:t>
      </w:r>
      <w:r w:rsidRPr="00CD7DF8">
        <w:rPr>
          <w:i/>
          <w:color w:val="231F20"/>
        </w:rPr>
        <w:t xml:space="preserve">(shih vendimet nr. 171/2007, nr. </w:t>
      </w:r>
      <w:r w:rsidRPr="00CD7DF8">
        <w:rPr>
          <w:i/>
        </w:rPr>
        <w:t>128/2008</w:t>
      </w:r>
      <w:r w:rsidRPr="00CD7DF8">
        <w:rPr>
          <w:i/>
          <w:color w:val="231F20"/>
        </w:rPr>
        <w:t xml:space="preserve">, nr. </w:t>
      </w:r>
      <w:r w:rsidRPr="00CD7DF8">
        <w:rPr>
          <w:i/>
        </w:rPr>
        <w:t xml:space="preserve">22/2012 dhe nr. 34/2013, të Gjykatës Kushtetuese italiane). </w:t>
      </w:r>
    </w:p>
    <w:p w:rsidR="00873BD0" w:rsidRPr="00CD7DF8" w:rsidRDefault="00873BD0" w:rsidP="00873BD0">
      <w:pPr>
        <w:pStyle w:val="Paragrafi"/>
        <w:rPr>
          <w:lang w:eastAsia="ja-JP"/>
        </w:rPr>
      </w:pPr>
      <w:r>
        <w:lastRenderedPageBreak/>
        <w:t xml:space="preserve">75. </w:t>
      </w:r>
      <w:r w:rsidRPr="00CD7DF8">
        <w:t>Bazuar në këtë arsyetim</w:t>
      </w:r>
      <w:r w:rsidRPr="00CD7DF8">
        <w:rPr>
          <w:i/>
        </w:rPr>
        <w:t xml:space="preserve">, </w:t>
      </w:r>
      <w:r w:rsidRPr="00CD7DF8">
        <w:rPr>
          <w:color w:val="231F20"/>
        </w:rPr>
        <w:t>Gjykata Kushtetuese italiane ka arritur në përfundimin se përdorimi i dekretligjit dhe, për rrjedhojë marrja e përgjegjësisë nga Qeveria, nuk mund të mbështetet, thjesht, në prononcimin e ekzistencës së kushteve të urgjencës dhe nevojës si dhe nuk mund të justifikohet në konstatimin e arsyeshmërisë së disiplinës së re.</w:t>
      </w:r>
      <w:r w:rsidRPr="00CD7DF8">
        <w:rPr>
          <w:i/>
          <w:color w:val="231F20"/>
        </w:rPr>
        <w:t xml:space="preserve"> </w:t>
      </w:r>
      <w:r w:rsidRPr="00CD7DF8">
        <w:rPr>
          <w:color w:val="231F20"/>
        </w:rPr>
        <w:t xml:space="preserve">Gjithsesi, ajo </w:t>
      </w:r>
      <w:r w:rsidRPr="00CD7DF8">
        <w:t xml:space="preserve">ka vlerësuar se mungesa e kushteve paraprake për nxjerrjen e dekretligjeve, në kontrollin kushtetues, duhet të rezultojë në mënyrë të qartë. </w:t>
      </w:r>
      <w:r w:rsidRPr="00CD7DF8">
        <w:rPr>
          <w:lang w:eastAsia="ja-JP"/>
        </w:rPr>
        <w:t xml:space="preserve">Ekzistenca paraprake e një situate faktike që passjell nevojën dhe urgjencën për përdorimin e një instrumenti të jashtëzakonshëm, siç është dekretligji, përbën një kriter kushtetues për miratimin e këtij akti, në kuptimin që, në rast se këto parakushte haptazi apo dukshëm mungojnë, ato përcaktojnë një të metë të aspektit kushtetues të dekretligjit </w:t>
      </w:r>
      <w:r w:rsidRPr="00CD7DF8">
        <w:rPr>
          <w:i/>
          <w:color w:val="231F20"/>
        </w:rPr>
        <w:t xml:space="preserve">(shih vendimet nr. 171/2007, nr. </w:t>
      </w:r>
      <w:r w:rsidRPr="00CD7DF8">
        <w:rPr>
          <w:i/>
        </w:rPr>
        <w:t>128/2008</w:t>
      </w:r>
      <w:r w:rsidRPr="00CD7DF8">
        <w:rPr>
          <w:i/>
          <w:color w:val="231F20"/>
        </w:rPr>
        <w:t xml:space="preserve">, nr. </w:t>
      </w:r>
      <w:r w:rsidRPr="00CD7DF8">
        <w:rPr>
          <w:i/>
        </w:rPr>
        <w:t>22/2012 dhe nr. 34/2013</w:t>
      </w:r>
      <w:r>
        <w:rPr>
          <w:i/>
        </w:rPr>
        <w:t>,</w:t>
      </w:r>
      <w:r w:rsidRPr="00CD7DF8">
        <w:rPr>
          <w:i/>
        </w:rPr>
        <w:t xml:space="preserve"> të Gjykatës Kushtetuese italiane). </w:t>
      </w:r>
      <w:r w:rsidRPr="00CD7DF8">
        <w:t xml:space="preserve">Shqyrtimi i rasteve kur haptazi/dukshëm mungojnë kushtet e dekretimit me urgjencë, bazohet në një </w:t>
      </w:r>
      <w:r w:rsidRPr="00CD7DF8">
        <w:rPr>
          <w:i/>
        </w:rPr>
        <w:t>test</w:t>
      </w:r>
      <w:r w:rsidRPr="00CD7DF8">
        <w:t xml:space="preserve"> të përbërë nga një sërë elementesh që përfshin preambulën</w:t>
      </w:r>
      <w:r w:rsidRPr="00CD7DF8">
        <w:rPr>
          <w:i/>
        </w:rPr>
        <w:t xml:space="preserve"> </w:t>
      </w:r>
      <w:r w:rsidRPr="00CD7DF8">
        <w:t xml:space="preserve">e dekretligjit, relacionin qeveritar që shoqëron projektligjin e konvertimit dhe kontekstin normativ në të cilin “përfshihet” dekretligji </w:t>
      </w:r>
      <w:r w:rsidRPr="00CD7DF8">
        <w:rPr>
          <w:i/>
        </w:rPr>
        <w:t>(vendimi nr.270/1996 i Gjykatës Kushtetuese italiane)</w:t>
      </w:r>
      <w:r w:rsidRPr="00CD7DF8">
        <w:t>.</w:t>
      </w:r>
    </w:p>
    <w:p w:rsidR="00873BD0" w:rsidRDefault="00873BD0" w:rsidP="00873BD0">
      <w:pPr>
        <w:pStyle w:val="Paragrafi"/>
        <w:rPr>
          <w:color w:val="231F20"/>
        </w:rPr>
      </w:pPr>
    </w:p>
    <w:p w:rsidR="00873BD0" w:rsidRPr="00CD7DF8" w:rsidRDefault="00873BD0" w:rsidP="00873BD0">
      <w:pPr>
        <w:pStyle w:val="Paragrafi"/>
        <w:rPr>
          <w:lang w:eastAsia="ja-JP"/>
        </w:rPr>
      </w:pPr>
      <w:r>
        <w:rPr>
          <w:color w:val="231F20"/>
        </w:rPr>
        <w:t xml:space="preserve">76. </w:t>
      </w:r>
      <w:r w:rsidRPr="00CD7DF8">
        <w:rPr>
          <w:color w:val="231F20"/>
        </w:rPr>
        <w:t xml:space="preserve">Nga ana tjetër, edhe Tribunali Kushtetues i Spanjës, e profilizon dekretligjin si një instrument të përshtatshëm për të përballuar një sërë situatash, që kërkojnë një ndërhyrje normative të menjëhershme, por ky instrument nuk mund të përdoret kur është i mundur zbatimi i procesit legjislativ normal. Për situatat e nevojës absolute që passjellin një rrezik të madh për sistemin kushtetues ose për rendin publik dhe liritë publike, Kushtetuta ka parashikuar institutin e gjendjes së emergjencës </w:t>
      </w:r>
      <w:r w:rsidRPr="00CD7DF8">
        <w:rPr>
          <w:i/>
          <w:color w:val="231F20"/>
        </w:rPr>
        <w:t>(shih vendimet nr. 182, da</w:t>
      </w:r>
      <w:r>
        <w:rPr>
          <w:i/>
          <w:color w:val="231F20"/>
        </w:rPr>
        <w:t>të 28.10.1997; nr. 11, datë 17.1.2002, dhe nr. 137, datë 3.</w:t>
      </w:r>
      <w:r w:rsidRPr="00CD7DF8">
        <w:rPr>
          <w:i/>
          <w:color w:val="231F20"/>
        </w:rPr>
        <w:t>7.2003, të Tribunalit Kushtetues spanjoll).</w:t>
      </w:r>
    </w:p>
    <w:p w:rsidR="00873BD0" w:rsidRPr="00CD7DF8" w:rsidRDefault="00873BD0" w:rsidP="00873BD0">
      <w:pPr>
        <w:pStyle w:val="Paragrafi"/>
        <w:rPr>
          <w:lang w:eastAsia="ja-JP"/>
        </w:rPr>
      </w:pPr>
      <w:r>
        <w:rPr>
          <w:color w:val="231F20"/>
        </w:rPr>
        <w:t xml:space="preserve">77. </w:t>
      </w:r>
      <w:r w:rsidRPr="00CD7DF8">
        <w:rPr>
          <w:color w:val="231F20"/>
        </w:rPr>
        <w:t xml:space="preserve">Urgjenca “thjesht subjektive” e Qeverisë nuk mund të justifikojë përdorimin e institutit të dekretligjeve: ndonëse Qeveria ka një hapësirë të gjerë diskrecionaliteti, nevoja dhe urgjenca janë koncepte që nuk janë imune nga kontrolli kushtetues në kontekstin e kufizimeve të vendosura nga Kushtetuta </w:t>
      </w:r>
      <w:r w:rsidRPr="00CD7DF8">
        <w:rPr>
          <w:i/>
          <w:color w:val="231F20"/>
        </w:rPr>
        <w:t>(shih vendimin nr. 29/1982 të Tribunalit Kushtetues spanjoll</w:t>
      </w:r>
      <w:r w:rsidRPr="00CD7DF8">
        <w:rPr>
          <w:color w:val="231F20"/>
        </w:rPr>
        <w:t xml:space="preserve">). Nisur nga vlerësimet e mësipërme, Tribunali Kushtetues spanjoll ka shfuqizuar dekretligje për mungesë të urgjencës, duke evidentuar se akti mund të ndiqte rrugën normale të aprovimit të ligjit, mbi arsyetimin se arsyet “teorike dhe abstrakte” nuk justifikojnë një situatë të jashtëzakonshme dhe urgjente nevoje </w:t>
      </w:r>
      <w:r>
        <w:rPr>
          <w:i/>
          <w:color w:val="231F20"/>
        </w:rPr>
        <w:t>(shih vendimin nr. 68, datë 28.</w:t>
      </w:r>
      <w:r w:rsidRPr="00CD7DF8">
        <w:rPr>
          <w:i/>
          <w:color w:val="231F20"/>
        </w:rPr>
        <w:t>3.2007 të Tribunalit Kushtetues spanjoll).</w:t>
      </w:r>
    </w:p>
    <w:p w:rsidR="00873BD0" w:rsidRPr="00CD7DF8" w:rsidRDefault="00873BD0" w:rsidP="00873BD0">
      <w:pPr>
        <w:pStyle w:val="Paragrafi"/>
        <w:rPr>
          <w:lang w:eastAsia="ja-JP"/>
        </w:rPr>
      </w:pPr>
      <w:r>
        <w:rPr>
          <w:lang w:eastAsia="ja-JP"/>
        </w:rPr>
        <w:t xml:space="preserve">78. </w:t>
      </w:r>
      <w:r w:rsidRPr="00CD7DF8">
        <w:rPr>
          <w:lang w:eastAsia="ja-JP"/>
        </w:rPr>
        <w:t>Në vështrim të sa më sipër, Gjykata vlerëson se aktet normative mund të përkufizohen si instrumente ligjore të miratuara nga qeveria, bazuar në parashikimet kushtetuese, të cilat i njohin pushtetit ekzekutiv kompetencën për të zgjidhur situata të veçanta, subjekt i mbikëqyrjes së rreptë parlamentare.</w:t>
      </w:r>
      <w:r w:rsidRPr="00CD7DF8">
        <w:rPr>
          <w:b/>
          <w:bCs/>
          <w:lang w:eastAsia="ja-JP"/>
        </w:rPr>
        <w:t xml:space="preserve"> </w:t>
      </w:r>
      <w:r w:rsidRPr="00CD7DF8">
        <w:rPr>
          <w:bCs/>
          <w:lang w:eastAsia="ja-JP"/>
        </w:rPr>
        <w:t>E drejta e pushtetit ekzekutiv për të ushtruar autoritet me anë të akteve normative me fuqinë e ligjit duhet të justifikohet në çdo rast me praninë e rrethanave të veçanta që e bëjnë të nevojshëm miratimin e rregullimit urgjent. Situatat e jashtëzakonshme, të cilat përcaktojnë legjitimitetin kushtetues të këtyre akteve qeveritare, përkufizohen në raport me nevojën dhe urgjencën e zgjidhjes së një situate, natyra e veçantë e së cilës nënkupton se duhet të merren masa të menjëhershme nëse duhet parandaluar një rrezik serioz publik.</w:t>
      </w:r>
      <w:r w:rsidRPr="00CD7DF8">
        <w:rPr>
          <w:lang w:eastAsia="ja-JP"/>
        </w:rPr>
        <w:t xml:space="preserve"> </w:t>
      </w:r>
    </w:p>
    <w:p w:rsidR="00873BD0" w:rsidRPr="00CD7DF8" w:rsidRDefault="00873BD0" w:rsidP="00873BD0">
      <w:pPr>
        <w:pStyle w:val="Paragrafi"/>
        <w:rPr>
          <w:lang w:eastAsia="ja-JP"/>
        </w:rPr>
      </w:pPr>
      <w:r>
        <w:rPr>
          <w:lang w:eastAsia="ja-JP"/>
        </w:rPr>
        <w:t xml:space="preserve">79. </w:t>
      </w:r>
      <w:r w:rsidRPr="00CD7DF8">
        <w:rPr>
          <w:lang w:eastAsia="ja-JP"/>
        </w:rPr>
        <w:t xml:space="preserve">Situatat e jashtëzakonshme shprehin një shkallë të madhe devijimi nga e zakonshmja, prandaj për plotësimin e kërkesave të parashikuara në nenin 101 të Kushtetutës është e nevojshme ekzistenca e një situate faktike objektive, e përcaktueshme, e pavarur nga vullneti i Qeverisë, e cila vë në rrezik interesin publik. Situata e jashtëzakonshme duhet të ketë karakter objektiv, çka nënkupton se prania e saj nuk varet nga vullneti i Qeverisë, i cili, në të tilla rrethana, kushtëzohet nga nevoja e reagimit të menjëhershëm, më qëllim mbrojtjen e interesit publik, me anë të akteve normative me fuqinë e ligjit, kurse urgjenca e këtyre rregullimeve mund të rezultojë nga justifikimet e paraqitura nga Qeveria në debatet parlamentare mbi ligjin që miraton aktin qeveritar. Situatat e jashtëzakonshme duhen dalluar nga </w:t>
      </w:r>
      <w:r w:rsidRPr="00CD7DF8">
        <w:t xml:space="preserve">situatat e nevojës absolute që passjellin një rrezik të madh për sistemin kushtetues ose për rendin publik dhe liritë publike. Kushtetuta, në nenet 84/3 dhe 170-176 ka parashikuar institutin e masave të jashtëzakonshme, të cilat vendosen për shkak të luftës, gjendjes së jashtëzakonshme, ose </w:t>
      </w:r>
      <w:r w:rsidRPr="00CD7DF8">
        <w:lastRenderedPageBreak/>
        <w:t xml:space="preserve">gjendjes së fatkeqësisë natyrore dhe zgjasin për aq kohë sa zgjat kjo gjendje. </w:t>
      </w:r>
    </w:p>
    <w:p w:rsidR="00873BD0" w:rsidRPr="00CD7DF8" w:rsidRDefault="00873BD0" w:rsidP="00873BD0">
      <w:pPr>
        <w:pStyle w:val="Paragrafi"/>
        <w:rPr>
          <w:lang w:eastAsia="ja-JP"/>
        </w:rPr>
      </w:pPr>
      <w:r>
        <w:t xml:space="preserve">80. </w:t>
      </w:r>
      <w:r w:rsidRPr="00CD7DF8">
        <w:t xml:space="preserve">Në përfundim, Gjykata, vlerëson se, nisur nga natyra përjashtimore e kompetencës së Këshillit të Ministrave në nxjerrjen e aktit normativ me fuqinë e ligjit, në respekt të hierarkisë së burimeve të së drejtës, të kërkesave që burojnë nga parimi i ndarjes dhe balancimit midis pushteteve dhe vlerave mbi të cilat bazohet shteti i së drejtës, para së gjithash, kufijtë e diskrecionalitetit që ka Qeveria, në vlerësimin e situatës së jashtëzakonshme dhe të nevojës urgjente, përcaktohen dhe i nënshtrohen kërkesave kushtetuese dhe kufizimeve përkatëse. Mosrespektimi, në rastin konkret, fillimisht nga Këshilli i Ministrave, i kritereve dhe kufizimeve kushtetuese procedurale dhe lëndore, përbën një të metë të legjitimitetit kushtetues të qeverisë për nxjerrjen e aktit normativ dhe, po ashtu, një të metë të ligjit që ka miratuar Kuvendi. </w:t>
      </w:r>
    </w:p>
    <w:p w:rsidR="00873BD0" w:rsidRDefault="00873BD0" w:rsidP="00873BD0">
      <w:pPr>
        <w:tabs>
          <w:tab w:val="left" w:pos="851"/>
        </w:tabs>
        <w:ind w:firstLine="720"/>
        <w:jc w:val="center"/>
        <w:rPr>
          <w:rFonts w:ascii="CG Times" w:hAnsi="CG Times"/>
          <w:b/>
          <w:bCs/>
          <w:sz w:val="22"/>
          <w:szCs w:val="22"/>
        </w:rPr>
      </w:pPr>
    </w:p>
    <w:p w:rsidR="00873BD0" w:rsidRPr="00CD7DF8" w:rsidRDefault="00873BD0" w:rsidP="00873BD0">
      <w:pPr>
        <w:tabs>
          <w:tab w:val="left" w:pos="851"/>
        </w:tabs>
        <w:ind w:firstLine="720"/>
        <w:jc w:val="center"/>
        <w:rPr>
          <w:rFonts w:ascii="CG Times" w:hAnsi="CG Times"/>
          <w:b/>
          <w:bCs/>
          <w:sz w:val="22"/>
          <w:szCs w:val="22"/>
        </w:rPr>
      </w:pPr>
    </w:p>
    <w:p w:rsidR="00873BD0" w:rsidRDefault="00873BD0" w:rsidP="00873BD0">
      <w:pPr>
        <w:pStyle w:val="NeniNr"/>
      </w:pPr>
      <w:r w:rsidRPr="00CD7DF8">
        <w:t>PËR KËTO ARSYE,</w:t>
      </w:r>
    </w:p>
    <w:p w:rsidR="00873BD0" w:rsidRPr="00915F58" w:rsidRDefault="00873BD0" w:rsidP="00873BD0">
      <w:pPr>
        <w:rPr>
          <w:lang w:val="en-GB"/>
        </w:rPr>
      </w:pPr>
    </w:p>
    <w:p w:rsidR="00873BD0" w:rsidRPr="00CD7DF8" w:rsidRDefault="00873BD0" w:rsidP="00873BD0">
      <w:pPr>
        <w:ind w:firstLine="720"/>
        <w:jc w:val="both"/>
        <w:rPr>
          <w:rFonts w:ascii="CG Times" w:hAnsi="CG Times"/>
          <w:sz w:val="22"/>
          <w:szCs w:val="22"/>
        </w:rPr>
      </w:pPr>
      <w:r w:rsidRPr="00CD7DF8">
        <w:rPr>
          <w:rFonts w:ascii="CG Times" w:eastAsia="Times New Roman" w:hAnsi="CG Times"/>
          <w:sz w:val="22"/>
          <w:szCs w:val="22"/>
        </w:rPr>
        <w:t>Gjykata Kushtetuese e Republikës së Shqipërisë, në bazë të nenit 132 të Kushtetutës, si dhe të nenit 72 e vijues të ligjit nr. 8577, datë 10.02.2000 “Për organizimin dhe funksionimin e Gjykatës Kushtetuese të Republikës së Shqipërisë”, me shumicë votash,</w:t>
      </w:r>
    </w:p>
    <w:p w:rsidR="00873BD0" w:rsidRPr="00E63306" w:rsidRDefault="00873BD0" w:rsidP="00873BD0">
      <w:pPr>
        <w:pStyle w:val="NeniNr"/>
        <w:rPr>
          <w:sz w:val="16"/>
        </w:rPr>
      </w:pPr>
    </w:p>
    <w:p w:rsidR="00873BD0" w:rsidRPr="00CD7DF8" w:rsidRDefault="00873BD0" w:rsidP="00873BD0">
      <w:pPr>
        <w:pStyle w:val="NeniNr"/>
      </w:pPr>
      <w:r>
        <w:t>VENDOS</w:t>
      </w:r>
      <w:r w:rsidRPr="00CD7DF8">
        <w:t>I:</w:t>
      </w:r>
    </w:p>
    <w:p w:rsidR="00873BD0" w:rsidRPr="00E63306" w:rsidRDefault="00873BD0" w:rsidP="00873BD0">
      <w:pPr>
        <w:ind w:firstLine="720"/>
        <w:jc w:val="both"/>
        <w:rPr>
          <w:rFonts w:ascii="CG Times" w:hAnsi="CG Times"/>
          <w:sz w:val="16"/>
          <w:szCs w:val="22"/>
        </w:rPr>
      </w:pPr>
    </w:p>
    <w:p w:rsidR="00873BD0" w:rsidRPr="00CD7DF8" w:rsidRDefault="00873BD0" w:rsidP="00873BD0">
      <w:pPr>
        <w:ind w:firstLine="720"/>
        <w:jc w:val="both"/>
        <w:rPr>
          <w:rFonts w:ascii="CG Times" w:hAnsi="CG Times"/>
          <w:sz w:val="22"/>
          <w:szCs w:val="22"/>
        </w:rPr>
      </w:pPr>
      <w:r w:rsidRPr="00CD7DF8">
        <w:rPr>
          <w:rFonts w:ascii="CG Times" w:hAnsi="CG Times"/>
          <w:sz w:val="22"/>
          <w:szCs w:val="22"/>
        </w:rPr>
        <w:t xml:space="preserve">-  Pranimin e kërkesës. </w:t>
      </w:r>
    </w:p>
    <w:p w:rsidR="00873BD0" w:rsidRPr="00CD7DF8" w:rsidRDefault="00873BD0" w:rsidP="00873BD0">
      <w:pPr>
        <w:ind w:firstLine="720"/>
        <w:jc w:val="both"/>
        <w:rPr>
          <w:rFonts w:ascii="CG Times" w:eastAsia="Times New Roman" w:hAnsi="CG Times"/>
          <w:sz w:val="22"/>
          <w:szCs w:val="22"/>
        </w:rPr>
      </w:pPr>
      <w:r w:rsidRPr="00CD7DF8">
        <w:rPr>
          <w:rFonts w:ascii="CG Times" w:hAnsi="CG Times"/>
          <w:sz w:val="22"/>
          <w:szCs w:val="22"/>
        </w:rPr>
        <w:t xml:space="preserve">- Shfuqizimin si të papajtueshëm me Kushtetutën të </w:t>
      </w:r>
      <w:r w:rsidRPr="00CD7DF8">
        <w:rPr>
          <w:rFonts w:ascii="CG Times" w:eastAsia="Times New Roman" w:hAnsi="CG Times"/>
          <w:sz w:val="22"/>
          <w:szCs w:val="22"/>
        </w:rPr>
        <w:t>aktit normativ të Këshillit të Ministrave nr.5, datë 30.09.2013 “Për disa n</w:t>
      </w:r>
      <w:r>
        <w:rPr>
          <w:rFonts w:ascii="CG Times" w:eastAsia="Times New Roman" w:hAnsi="CG Times"/>
          <w:sz w:val="22"/>
          <w:szCs w:val="22"/>
        </w:rPr>
        <w:t>dryshime në ligjin nr.152/2013 “Për nëpunësin civil”</w:t>
      </w:r>
      <w:r w:rsidRPr="00CD7DF8">
        <w:rPr>
          <w:rFonts w:ascii="CG Times" w:eastAsia="Times New Roman" w:hAnsi="CG Times"/>
          <w:sz w:val="22"/>
          <w:szCs w:val="22"/>
        </w:rPr>
        <w:t>” dhe të ligjit të Kuvendit nr.161/2013 “Për miratimin e aktit normativ nr.5, datë 30.09.2013”.</w:t>
      </w:r>
    </w:p>
    <w:p w:rsidR="00873BD0" w:rsidRPr="00CD7DF8" w:rsidRDefault="00873BD0" w:rsidP="00873BD0">
      <w:pPr>
        <w:ind w:firstLine="720"/>
        <w:jc w:val="both"/>
        <w:rPr>
          <w:rFonts w:ascii="CG Times" w:hAnsi="CG Times"/>
          <w:b/>
          <w:sz w:val="22"/>
          <w:szCs w:val="22"/>
        </w:rPr>
      </w:pPr>
      <w:r w:rsidRPr="00CD7DF8">
        <w:rPr>
          <w:rFonts w:ascii="CG Times" w:hAnsi="CG Times"/>
          <w:sz w:val="22"/>
          <w:szCs w:val="22"/>
        </w:rPr>
        <w:t>Ky vendim është përfundimtar, i formës së prerë dhe hyn në fuqi ditën e botimit në Fletoren Zyrtare.</w:t>
      </w:r>
    </w:p>
    <w:p w:rsidR="00873BD0" w:rsidRPr="00946C84" w:rsidRDefault="00873BD0" w:rsidP="00873BD0">
      <w:pPr>
        <w:tabs>
          <w:tab w:val="left" w:pos="0"/>
        </w:tabs>
        <w:ind w:firstLine="720"/>
        <w:jc w:val="both"/>
        <w:rPr>
          <w:rFonts w:ascii="CG Times" w:hAnsi="CG Times"/>
          <w:bCs/>
          <w:sz w:val="22"/>
          <w:szCs w:val="22"/>
        </w:rPr>
      </w:pPr>
      <w:r w:rsidRPr="00946C84">
        <w:rPr>
          <w:rFonts w:ascii="CG Times" w:hAnsi="CG Times"/>
          <w:bCs/>
          <w:sz w:val="22"/>
          <w:szCs w:val="22"/>
        </w:rPr>
        <w:t>Anëtarë pro: Vladimir Kristo, Gani Dizdari, Fatmir Hoxha, Altina Xhoxhaj, Vitore Tusha</w:t>
      </w:r>
    </w:p>
    <w:p w:rsidR="00873BD0" w:rsidRPr="00946C84" w:rsidRDefault="00873BD0" w:rsidP="00873BD0">
      <w:pPr>
        <w:tabs>
          <w:tab w:val="left" w:pos="0"/>
        </w:tabs>
        <w:ind w:firstLine="720"/>
        <w:jc w:val="both"/>
        <w:rPr>
          <w:rFonts w:ascii="CG Times" w:hAnsi="CG Times"/>
          <w:bCs/>
          <w:sz w:val="22"/>
          <w:szCs w:val="22"/>
        </w:rPr>
      </w:pPr>
      <w:r>
        <w:rPr>
          <w:rFonts w:ascii="CG Times" w:hAnsi="CG Times"/>
          <w:bCs/>
          <w:sz w:val="22"/>
          <w:szCs w:val="22"/>
        </w:rPr>
        <w:t>Anëtarë kundër:</w:t>
      </w:r>
      <w:r w:rsidRPr="00946C84">
        <w:rPr>
          <w:rFonts w:ascii="CG Times" w:hAnsi="CG Times"/>
          <w:b/>
          <w:bCs/>
          <w:sz w:val="22"/>
          <w:szCs w:val="22"/>
        </w:rPr>
        <w:t xml:space="preserve"> </w:t>
      </w:r>
      <w:r>
        <w:rPr>
          <w:rFonts w:ascii="CG Times" w:hAnsi="CG Times"/>
          <w:bCs/>
          <w:sz w:val="22"/>
          <w:szCs w:val="22"/>
        </w:rPr>
        <w:t>Bashkim Dedja (kryetar</w:t>
      </w:r>
      <w:r w:rsidRPr="00946C84">
        <w:rPr>
          <w:rFonts w:ascii="CG Times" w:hAnsi="CG Times"/>
          <w:bCs/>
          <w:sz w:val="22"/>
          <w:szCs w:val="22"/>
        </w:rPr>
        <w:t>), Sokol Berberi, Fatos Lulo, Besnik Imeraj</w:t>
      </w:r>
    </w:p>
    <w:p w:rsidR="00873BD0" w:rsidRPr="00CD7DF8" w:rsidRDefault="00873BD0" w:rsidP="00873BD0">
      <w:pPr>
        <w:tabs>
          <w:tab w:val="left" w:pos="0"/>
        </w:tabs>
        <w:ind w:firstLine="720"/>
        <w:jc w:val="both"/>
        <w:rPr>
          <w:rFonts w:ascii="CG Times" w:hAnsi="CG Times"/>
          <w:b/>
          <w:bCs/>
          <w:sz w:val="22"/>
          <w:szCs w:val="22"/>
        </w:rPr>
      </w:pPr>
    </w:p>
    <w:p w:rsidR="00873BD0" w:rsidRDefault="00873BD0" w:rsidP="00873BD0">
      <w:pPr>
        <w:autoSpaceDE w:val="0"/>
        <w:autoSpaceDN w:val="0"/>
        <w:adjustRightInd w:val="0"/>
        <w:ind w:firstLine="720"/>
        <w:jc w:val="center"/>
        <w:rPr>
          <w:rFonts w:ascii="CG Times" w:hAnsi="CG Times"/>
          <w:b/>
          <w:sz w:val="22"/>
          <w:szCs w:val="22"/>
        </w:rPr>
      </w:pPr>
    </w:p>
    <w:p w:rsidR="00873BD0" w:rsidRPr="00CD7DF8" w:rsidRDefault="00873BD0" w:rsidP="00873BD0">
      <w:pPr>
        <w:autoSpaceDE w:val="0"/>
        <w:autoSpaceDN w:val="0"/>
        <w:adjustRightInd w:val="0"/>
        <w:jc w:val="center"/>
        <w:rPr>
          <w:rFonts w:ascii="CG Times" w:hAnsi="CG Times"/>
          <w:b/>
          <w:sz w:val="22"/>
          <w:szCs w:val="22"/>
        </w:rPr>
      </w:pPr>
      <w:r w:rsidRPr="00CD7DF8">
        <w:rPr>
          <w:rFonts w:ascii="CG Times" w:hAnsi="CG Times"/>
          <w:b/>
          <w:sz w:val="22"/>
          <w:szCs w:val="22"/>
        </w:rPr>
        <w:t>MENDIM PARALEL</w:t>
      </w:r>
    </w:p>
    <w:p w:rsidR="00873BD0" w:rsidRPr="00CD7DF8" w:rsidRDefault="00873BD0" w:rsidP="00873BD0">
      <w:pPr>
        <w:autoSpaceDE w:val="0"/>
        <w:autoSpaceDN w:val="0"/>
        <w:adjustRightInd w:val="0"/>
        <w:jc w:val="center"/>
        <w:rPr>
          <w:rFonts w:ascii="CG Times" w:hAnsi="CG Times"/>
          <w:b/>
          <w:sz w:val="22"/>
          <w:szCs w:val="22"/>
        </w:rPr>
      </w:pPr>
      <w:r w:rsidRPr="00CD7DF8">
        <w:rPr>
          <w:rFonts w:ascii="CG Times" w:hAnsi="CG Times"/>
          <w:b/>
          <w:sz w:val="22"/>
          <w:szCs w:val="22"/>
        </w:rPr>
        <w:t>Lidhur me legjitimimin e kërkuesit</w:t>
      </w:r>
    </w:p>
    <w:p w:rsidR="00873BD0" w:rsidRPr="00CD7DF8" w:rsidRDefault="00873BD0" w:rsidP="00873BD0">
      <w:pPr>
        <w:autoSpaceDE w:val="0"/>
        <w:autoSpaceDN w:val="0"/>
        <w:adjustRightInd w:val="0"/>
        <w:jc w:val="both"/>
        <w:rPr>
          <w:rFonts w:ascii="CG Times" w:hAnsi="CG Times"/>
          <w:sz w:val="22"/>
          <w:szCs w:val="22"/>
        </w:rPr>
      </w:pPr>
    </w:p>
    <w:p w:rsidR="00873BD0" w:rsidRPr="00CD7DF8" w:rsidRDefault="00873BD0" w:rsidP="00873BD0">
      <w:pPr>
        <w:tabs>
          <w:tab w:val="left" w:pos="709"/>
          <w:tab w:val="left" w:pos="851"/>
        </w:tabs>
        <w:ind w:firstLine="720"/>
        <w:jc w:val="both"/>
        <w:rPr>
          <w:rFonts w:ascii="CG Times" w:hAnsi="CG Times"/>
          <w:sz w:val="22"/>
          <w:szCs w:val="22"/>
        </w:rPr>
      </w:pPr>
      <w:r w:rsidRPr="00CD7DF8">
        <w:rPr>
          <w:rFonts w:ascii="CG Times" w:hAnsi="CG Times"/>
          <w:sz w:val="22"/>
          <w:szCs w:val="22"/>
        </w:rPr>
        <w:tab/>
        <w:t xml:space="preserve">Pajtohem me përfundimin e arritur nga Gjykata në këtë çështje për legjitimimin e kërkuesit, me arsyetimin se, </w:t>
      </w:r>
      <w:r w:rsidRPr="00CD7DF8">
        <w:rPr>
          <w:rFonts w:ascii="CG Times" w:hAnsi="CG Times"/>
          <w:bCs/>
          <w:sz w:val="22"/>
          <w:szCs w:val="22"/>
        </w:rPr>
        <w:t xml:space="preserve">në referim të nenit 134, pika 2, germa “c”, grupi prej 36 deputetësh të Kuvendit, përfaqëson një subjekt me legjitimitet të pakushtëzuar dhe, si i tillë, ka të drejtë të kërkojë kontrollin abstrakt të kushtetutshmërisë së aktit normativ me fuqinë e ligjit dhe të ligjit të tij miratues. Por, nuk bie dakord me argumentin që ka dhënë shumica për të kundërshtuar pretendimin e subjektit të interesuar, Këshillit të Ministrave, për moslegjitimimin e kërkuesit, </w:t>
      </w:r>
      <w:r w:rsidRPr="00CD7DF8">
        <w:rPr>
          <w:rFonts w:ascii="CG Times" w:hAnsi="CG Times"/>
          <w:sz w:val="22"/>
          <w:szCs w:val="22"/>
        </w:rPr>
        <w:t xml:space="preserve">referuar </w:t>
      </w:r>
      <w:r w:rsidRPr="00CD7DF8">
        <w:rPr>
          <w:rFonts w:ascii="CG Times" w:hAnsi="CG Times"/>
          <w:bCs/>
          <w:sz w:val="22"/>
          <w:szCs w:val="22"/>
        </w:rPr>
        <w:t xml:space="preserve">në </w:t>
      </w:r>
      <w:r>
        <w:rPr>
          <w:rFonts w:ascii="CG Times" w:hAnsi="CG Times"/>
          <w:sz w:val="22"/>
          <w:szCs w:val="22"/>
          <w:lang w:eastAsia="ja-JP"/>
        </w:rPr>
        <w:t>vendimin nr. 25, datë 8.</w:t>
      </w:r>
      <w:r w:rsidRPr="00CD7DF8">
        <w:rPr>
          <w:rFonts w:ascii="CG Times" w:hAnsi="CG Times"/>
          <w:sz w:val="22"/>
          <w:szCs w:val="22"/>
          <w:lang w:eastAsia="ja-JP"/>
        </w:rPr>
        <w:t>5.2012, të Gjykatës Kushtetuese (nr. 25/2012), në të cilin Gjykata ka kontrolluar kushtetutshmërinë</w:t>
      </w:r>
      <w:r w:rsidRPr="00CD7DF8">
        <w:rPr>
          <w:rFonts w:ascii="CG Times" w:hAnsi="CG Times"/>
          <w:bCs/>
          <w:sz w:val="22"/>
          <w:szCs w:val="22"/>
        </w:rPr>
        <w:t xml:space="preserve"> e ligjit nr. 10 449, datë 14.7.2011 “Për rregullat dhe procedurat e ndërtimit të kompleksit të ri parlamentar të Kuvendit të Shqipërisë”.</w:t>
      </w:r>
      <w:r w:rsidRPr="00CD7DF8">
        <w:rPr>
          <w:rFonts w:ascii="CG Times" w:hAnsi="CG Times"/>
          <w:sz w:val="22"/>
          <w:szCs w:val="22"/>
          <w:lang w:eastAsia="ja-JP"/>
        </w:rPr>
        <w:t xml:space="preserve"> Sipas saj, në vendimin nr. 25/2012, Gjykata arriti në përfundimin se ndodhej përpara një mosmarrëveshjeje kompetencash nd</w:t>
      </w:r>
      <w:r w:rsidRPr="00CD7DF8">
        <w:rPr>
          <w:rFonts w:ascii="CG Times" w:hAnsi="CG Times"/>
          <w:bCs/>
          <w:spacing w:val="-2"/>
          <w:sz w:val="22"/>
          <w:szCs w:val="22"/>
        </w:rPr>
        <w:t>ë</w:t>
      </w:r>
      <w:r w:rsidRPr="00CD7DF8">
        <w:rPr>
          <w:rFonts w:ascii="CG Times" w:hAnsi="CG Times"/>
          <w:sz w:val="22"/>
          <w:szCs w:val="22"/>
          <w:lang w:eastAsia="ja-JP"/>
        </w:rPr>
        <w:t>rmjet një organi të pushtetit q</w:t>
      </w:r>
      <w:r w:rsidRPr="00CD7DF8">
        <w:rPr>
          <w:rFonts w:ascii="CG Times" w:hAnsi="CG Times"/>
          <w:bCs/>
          <w:spacing w:val="-2"/>
          <w:sz w:val="22"/>
          <w:szCs w:val="22"/>
        </w:rPr>
        <w:t>e</w:t>
      </w:r>
      <w:r w:rsidRPr="00CD7DF8">
        <w:rPr>
          <w:rFonts w:ascii="CG Times" w:hAnsi="CG Times"/>
          <w:sz w:val="22"/>
          <w:szCs w:val="22"/>
          <w:lang w:eastAsia="ja-JP"/>
        </w:rPr>
        <w:t xml:space="preserve">ndror, Kuvendit të Shqipërisë, dhe një organi të qeverisjes vendore, Bashkisë Tiranë, dhe, për këtë arsye, nuk e legjitimoi një të pestën e deputetëve. Ky qëndrim i shumicës, duke rikonfirmuar standardin mbi të cilin u bazua Gjykata në vendimin nr. 25/2012, nuk është në harmoni me përfundimin e arritur se një e pesta e deputetëve përfaqëson një subjekt me legjitimitet të pakushtëzuar për kontrollin abstrakt të ligjeve e akteve normative, dhe lë shteg për keqinterpretime në të ardhmen. Në esencë, sipas standardit të vendosur nga Gjykata me vendimin nr. 25/2012, një e pesta e deputetëve mund të mos </w:t>
      </w:r>
      <w:r w:rsidRPr="00CD7DF8">
        <w:rPr>
          <w:rFonts w:ascii="CG Times" w:hAnsi="CG Times"/>
          <w:sz w:val="22"/>
          <w:szCs w:val="22"/>
          <w:lang w:eastAsia="ja-JP"/>
        </w:rPr>
        <w:lastRenderedPageBreak/>
        <w:t>legjitimohet për kontrollin abstrakt të ligjit dhe aktit normativ, nëse Gjykata konkludon se ligji ose akti normativ, objekt kontrolli, ka të bëjë me një konflikt kompetencash, ku një e pesta nuk ka një interes të drejtpërdrejtë. Pra, sipas këtij standardi, legjitimimi i këtij subjekti kushtetues nuk është i pakushtëzuar.</w:t>
      </w:r>
    </w:p>
    <w:p w:rsidR="00873BD0" w:rsidRPr="00CD7DF8" w:rsidRDefault="00873BD0" w:rsidP="00873BD0">
      <w:pPr>
        <w:autoSpaceDE w:val="0"/>
        <w:autoSpaceDN w:val="0"/>
        <w:adjustRightInd w:val="0"/>
        <w:ind w:firstLine="720"/>
        <w:jc w:val="both"/>
        <w:rPr>
          <w:rFonts w:ascii="CG Times" w:hAnsi="CG Times"/>
          <w:sz w:val="22"/>
          <w:szCs w:val="22"/>
        </w:rPr>
      </w:pPr>
      <w:r w:rsidRPr="00CD7DF8">
        <w:rPr>
          <w:rFonts w:ascii="CG Times" w:hAnsi="CG Times"/>
          <w:sz w:val="22"/>
          <w:szCs w:val="22"/>
        </w:rPr>
        <w:t xml:space="preserve">Siç jam shprehur me mendimin e pakicës në vendimin nr.25/2012, në atë çështje, </w:t>
      </w:r>
      <w:r w:rsidRPr="00CD7DF8">
        <w:rPr>
          <w:rFonts w:ascii="CG Times" w:hAnsi="CG Times"/>
          <w:iCs/>
          <w:sz w:val="22"/>
          <w:szCs w:val="22"/>
        </w:rPr>
        <w:t xml:space="preserve">një e pesta e deputetëve nuk ka investuar Gjykatën për zgjidhje të mosmarrëveshjes së kompetencave ndërmjet </w:t>
      </w:r>
      <w:r w:rsidRPr="00CD7DF8">
        <w:rPr>
          <w:rFonts w:ascii="CG Times" w:hAnsi="CG Times"/>
          <w:sz w:val="22"/>
          <w:szCs w:val="22"/>
          <w:lang w:eastAsia="ja-JP"/>
        </w:rPr>
        <w:t>pushtetit q</w:t>
      </w:r>
      <w:r w:rsidRPr="00CD7DF8">
        <w:rPr>
          <w:rFonts w:ascii="CG Times" w:hAnsi="CG Times"/>
          <w:bCs/>
          <w:spacing w:val="-2"/>
          <w:sz w:val="22"/>
          <w:szCs w:val="22"/>
        </w:rPr>
        <w:t>e</w:t>
      </w:r>
      <w:r w:rsidRPr="00CD7DF8">
        <w:rPr>
          <w:rFonts w:ascii="CG Times" w:hAnsi="CG Times"/>
          <w:sz w:val="22"/>
          <w:szCs w:val="22"/>
          <w:lang w:eastAsia="ja-JP"/>
        </w:rPr>
        <w:t xml:space="preserve">ndror dhe atij vendor, </w:t>
      </w:r>
      <w:r w:rsidRPr="00CD7DF8">
        <w:rPr>
          <w:rFonts w:ascii="CG Times" w:hAnsi="CG Times"/>
          <w:color w:val="000000"/>
          <w:sz w:val="22"/>
          <w:szCs w:val="22"/>
        </w:rPr>
        <w:t xml:space="preserve">por për kontrollin kushtetues të një akti normativ konkret të një organi qendror, konkretisht të </w:t>
      </w:r>
      <w:r w:rsidRPr="00CD7DF8">
        <w:rPr>
          <w:rFonts w:ascii="CG Times" w:hAnsi="CG Times"/>
          <w:sz w:val="22"/>
          <w:szCs w:val="22"/>
        </w:rPr>
        <w:t xml:space="preserve"> ligjit nr. 10449, datë 14.7.2011 “</w:t>
      </w:r>
      <w:r w:rsidRPr="00CD7DF8">
        <w:rPr>
          <w:rFonts w:ascii="CG Times" w:hAnsi="CG Times"/>
          <w:i/>
          <w:sz w:val="22"/>
          <w:szCs w:val="22"/>
        </w:rPr>
        <w:t>Për  rregullat dhe procedurat e ndërtimit të kompleksit të ri parlamentar të Kuvendit të  Shqipërisë</w:t>
      </w:r>
      <w:r w:rsidRPr="00CD7DF8">
        <w:rPr>
          <w:rFonts w:ascii="CG Times" w:hAnsi="CG Times"/>
          <w:sz w:val="22"/>
          <w:szCs w:val="22"/>
        </w:rPr>
        <w:t xml:space="preserve">”, të miratuar nga Kuvendi i Shqipërisë. Objekt i pretendimeve të kërkuesit kanë qenë disa dispozita specifike të ligjit që është kundërshtuar, të cilat, sipas tij, bien ndesh me </w:t>
      </w:r>
      <w:r w:rsidRPr="00CD7DF8">
        <w:rPr>
          <w:rFonts w:ascii="CG Times" w:hAnsi="CG Times"/>
          <w:bCs/>
          <w:iCs/>
          <w:sz w:val="22"/>
          <w:szCs w:val="22"/>
        </w:rPr>
        <w:t xml:space="preserve">parimet kushtetuese të ndarjes dhe balancimit të pushteteve; të shtetit të së drejtës; të ruajtjes së trashëgimisë kulturore; të transparencës financiare që duhet të karakterizojë miratimin e ligjeve. Këto pretendime nuk janë marrë parasysh nga shumica në vlerësimin e objektit dhe, për shkak të konkluzionit të saj në drejtim të moslegjitimimit të kërkuesit, nuk kanë marrë përgjigje. </w:t>
      </w:r>
      <w:r w:rsidRPr="00CD7DF8">
        <w:rPr>
          <w:rFonts w:ascii="CG Times" w:hAnsi="CG Times"/>
          <w:sz w:val="22"/>
          <w:szCs w:val="22"/>
        </w:rPr>
        <w:t xml:space="preserve">Si neni </w:t>
      </w:r>
      <w:r w:rsidRPr="00CD7DF8">
        <w:rPr>
          <w:rFonts w:ascii="CG Times" w:hAnsi="CG Times"/>
          <w:sz w:val="22"/>
          <w:szCs w:val="22"/>
          <w:lang w:eastAsia="ja-JP"/>
        </w:rPr>
        <w:t>131 i Kushtetutës, në shkronjat “a”dhe “</w:t>
      </w:r>
      <w:r w:rsidRPr="00CD7DF8">
        <w:rPr>
          <w:rFonts w:ascii="CG Times" w:hAnsi="CG Times"/>
          <w:bCs/>
          <w:sz w:val="22"/>
          <w:szCs w:val="22"/>
        </w:rPr>
        <w:t>ç”,</w:t>
      </w:r>
      <w:r w:rsidRPr="00CD7DF8">
        <w:rPr>
          <w:rFonts w:ascii="CG Times" w:hAnsi="CG Times"/>
          <w:b/>
          <w:bCs/>
          <w:sz w:val="22"/>
          <w:szCs w:val="22"/>
        </w:rPr>
        <w:t xml:space="preserve"> </w:t>
      </w:r>
      <w:r w:rsidRPr="00CD7DF8">
        <w:rPr>
          <w:rFonts w:ascii="CG Times" w:hAnsi="CG Times"/>
          <w:bCs/>
          <w:sz w:val="22"/>
          <w:szCs w:val="22"/>
        </w:rPr>
        <w:t xml:space="preserve">ashtu edhe nenet </w:t>
      </w:r>
      <w:r w:rsidRPr="00CD7DF8">
        <w:rPr>
          <w:rFonts w:ascii="CG Times" w:hAnsi="CG Times"/>
          <w:sz w:val="22"/>
          <w:szCs w:val="22"/>
        </w:rPr>
        <w:t>49-51 dhe 54-</w:t>
      </w:r>
      <w:r>
        <w:rPr>
          <w:rFonts w:ascii="CG Times" w:hAnsi="CG Times"/>
          <w:sz w:val="22"/>
          <w:szCs w:val="22"/>
        </w:rPr>
        <w:t>56 të ligjit nr. 8577, datë 10.</w:t>
      </w:r>
      <w:r w:rsidRPr="00CD7DF8">
        <w:rPr>
          <w:rFonts w:ascii="CG Times" w:hAnsi="CG Times"/>
          <w:sz w:val="22"/>
          <w:szCs w:val="22"/>
        </w:rPr>
        <w:t>2.2000 “Për organizimin dhe funksionimin e Gjykatës Kushtetuese të Republikës së Shqipërisë”, përcaktojnë një dallim të qartë ndërmjet çështjes së pajtueshmërisë së ligjeve me Kushtetutën dhe çështjes së mosmarrëveshjes së kompetencës midis pushteteve. Çështja e pajtueshmërisë së ligjeve me Kushtetutën qëndron në mënyrë të pavarur nga çështja e mosmarrëveshjes së kompetencës ndërmjet pushteteve. Megjithatë, pavarësisht se këto çështje identifikohen si objekte të ndryshme në gjykimin kushtetues,  ato  mund të gërshetohen, sidomos në rastet kur mosmarrëveshja e kompetencës shkaktohet nga ligji në përgjithësi apo dispozita specifike të tij në veçanti.  Nëse i referohemi jurisprudencës kushtetuese, ndeshim raste kur Gjykata ka marrë në shqyrtim  pajtueshmërinë e një ligji me Kushtetutën edhe kur një kërkim i tillë asaj i është parashtruar në kuadrin e çështjes për zgjidhjen e konfliktit të kompetencave, apo edhe raste kur pajtueshmëria e ligjit me Kushtetutën i është parashtruar nga jo më pak se një e pesta e deputetëve, me pretendimin se dispozita të veçanta ligjore cenonin parimin e ndarjes së pushteteve, të decentralizmit të pushtetit dhe të autonomisë vendore (</w:t>
      </w:r>
      <w:r w:rsidRPr="00CD7DF8">
        <w:rPr>
          <w:rFonts w:ascii="CG Times" w:hAnsi="CG Times"/>
          <w:i/>
          <w:sz w:val="22"/>
          <w:szCs w:val="22"/>
        </w:rPr>
        <w:t>shih vendimet nr. 29, da</w:t>
      </w:r>
      <w:r>
        <w:rPr>
          <w:rFonts w:ascii="CG Times" w:hAnsi="CG Times"/>
          <w:i/>
          <w:sz w:val="22"/>
          <w:szCs w:val="22"/>
        </w:rPr>
        <w:t>të 21.12.2006 dhe nr. 3, datë 2.</w:t>
      </w:r>
      <w:r w:rsidRPr="00CD7DF8">
        <w:rPr>
          <w:rFonts w:ascii="CG Times" w:hAnsi="CG Times"/>
          <w:i/>
          <w:sz w:val="22"/>
          <w:szCs w:val="22"/>
        </w:rPr>
        <w:t>2.2009, të Gjykatës Kushtetuese).</w:t>
      </w:r>
      <w:r w:rsidRPr="00CD7DF8">
        <w:rPr>
          <w:rFonts w:ascii="CG Times" w:hAnsi="CG Times"/>
          <w:b/>
          <w:sz w:val="22"/>
          <w:szCs w:val="22"/>
        </w:rPr>
        <w:t xml:space="preserve"> </w:t>
      </w:r>
    </w:p>
    <w:p w:rsidR="00873BD0" w:rsidRPr="00CD7DF8" w:rsidRDefault="00873BD0" w:rsidP="00873BD0">
      <w:pPr>
        <w:ind w:firstLine="720"/>
        <w:jc w:val="both"/>
        <w:rPr>
          <w:rFonts w:ascii="CG Times" w:hAnsi="CG Times"/>
          <w:bCs/>
          <w:sz w:val="22"/>
          <w:szCs w:val="22"/>
        </w:rPr>
      </w:pPr>
      <w:r w:rsidRPr="00CD7DF8">
        <w:rPr>
          <w:rFonts w:ascii="CG Times" w:hAnsi="CG Times"/>
          <w:sz w:val="22"/>
          <w:szCs w:val="22"/>
        </w:rPr>
        <w:t>Për arsyet e mësipërme, shumica duhet të ishte shprehur se nuk i qëndron standardit të mbajtur nga Gjykata në vendimin nr.25/2012, duke rikonfirmuar qëndrimin e konsoli</w:t>
      </w:r>
      <w:r>
        <w:rPr>
          <w:rFonts w:ascii="CG Times" w:hAnsi="CG Times"/>
          <w:sz w:val="22"/>
          <w:szCs w:val="22"/>
        </w:rPr>
        <w:t>duar në jurisprudencën e saj se</w:t>
      </w:r>
      <w:r w:rsidRPr="00CD7DF8">
        <w:rPr>
          <w:rFonts w:ascii="CG Times" w:hAnsi="CG Times"/>
          <w:sz w:val="22"/>
          <w:szCs w:val="22"/>
        </w:rPr>
        <w:t xml:space="preserve"> </w:t>
      </w:r>
      <w:r w:rsidRPr="00CD7DF8">
        <w:rPr>
          <w:rFonts w:ascii="CG Times" w:hAnsi="CG Times"/>
          <w:bCs/>
          <w:sz w:val="22"/>
          <w:szCs w:val="22"/>
        </w:rPr>
        <w:t>një e pesta e deputetëve përfaqëson një subjekt me legjitimitet të pakushtëzuar dhe, si i tillë, ka të drejtë të kërkojë kontrollin abstrakt të kushtetutshmërisë së ligjeve dhe akteve normative.</w:t>
      </w:r>
    </w:p>
    <w:p w:rsidR="00873BD0" w:rsidRPr="00946C84" w:rsidRDefault="00873BD0" w:rsidP="00873BD0">
      <w:pPr>
        <w:ind w:firstLine="720"/>
        <w:jc w:val="both"/>
        <w:rPr>
          <w:rFonts w:ascii="CG Times" w:hAnsi="CG Times"/>
          <w:sz w:val="22"/>
          <w:szCs w:val="22"/>
        </w:rPr>
      </w:pPr>
      <w:r>
        <w:rPr>
          <w:rFonts w:ascii="CG Times" w:hAnsi="CG Times"/>
          <w:sz w:val="22"/>
          <w:szCs w:val="22"/>
        </w:rPr>
        <w:t>Anëta</w:t>
      </w:r>
      <w:r w:rsidRPr="00946C84">
        <w:rPr>
          <w:rFonts w:ascii="CG Times" w:hAnsi="CG Times"/>
          <w:sz w:val="22"/>
          <w:szCs w:val="22"/>
        </w:rPr>
        <w:t>r</w:t>
      </w:r>
      <w:r>
        <w:rPr>
          <w:rFonts w:ascii="CG Times" w:hAnsi="CG Times"/>
          <w:sz w:val="22"/>
          <w:szCs w:val="22"/>
        </w:rPr>
        <w:t>:</w:t>
      </w:r>
      <w:r w:rsidRPr="00946C84">
        <w:rPr>
          <w:rFonts w:ascii="CG Times" w:hAnsi="CG Times"/>
          <w:sz w:val="22"/>
          <w:szCs w:val="22"/>
        </w:rPr>
        <w:t xml:space="preserve"> Sokol Berberi</w:t>
      </w:r>
    </w:p>
    <w:p w:rsidR="00873BD0" w:rsidRDefault="00873BD0" w:rsidP="00873BD0">
      <w:pPr>
        <w:ind w:firstLine="720"/>
        <w:jc w:val="center"/>
        <w:rPr>
          <w:rFonts w:ascii="CG Times" w:eastAsia="Times New Roman" w:hAnsi="CG Times"/>
          <w:b/>
          <w:sz w:val="22"/>
          <w:szCs w:val="22"/>
        </w:rPr>
      </w:pPr>
    </w:p>
    <w:p w:rsidR="00873BD0" w:rsidRDefault="00873BD0" w:rsidP="00873BD0">
      <w:pPr>
        <w:pStyle w:val="Titulli"/>
      </w:pPr>
      <w:r w:rsidRPr="00CD7DF8">
        <w:t>MENDIM PAKICE</w:t>
      </w:r>
    </w:p>
    <w:p w:rsidR="00873BD0" w:rsidRPr="00CD7DF8" w:rsidRDefault="00873BD0" w:rsidP="00873BD0">
      <w:pPr>
        <w:ind w:firstLine="720"/>
        <w:jc w:val="center"/>
        <w:rPr>
          <w:rFonts w:ascii="CG Times" w:eastAsia="Times New Roman" w:hAnsi="CG Times"/>
          <w:b/>
          <w:sz w:val="22"/>
          <w:szCs w:val="22"/>
        </w:rPr>
      </w:pP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 xml:space="preserve">Për arsye se nuk ndajmë të njëjtin qëndrim me shumicën lidhur me përfundimin e arritur në këtë çështje dhe argumentet mbi të cilat mbështetet ky qëndrim, e çmojmë të rëndësishme të shprehemi me mendim pakice.   </w:t>
      </w:r>
    </w:p>
    <w:p w:rsidR="00873BD0" w:rsidRPr="00CD7DF8" w:rsidRDefault="00873BD0" w:rsidP="00873BD0">
      <w:pPr>
        <w:tabs>
          <w:tab w:val="left" w:pos="851"/>
        </w:tabs>
        <w:ind w:firstLine="720"/>
        <w:jc w:val="both"/>
        <w:rPr>
          <w:rFonts w:ascii="CG Times" w:eastAsia="Times New Roman" w:hAnsi="CG Times"/>
          <w:sz w:val="22"/>
          <w:szCs w:val="22"/>
          <w:lang w:eastAsia="ja-JP"/>
        </w:rPr>
      </w:pPr>
      <w:r w:rsidRPr="00CD7DF8">
        <w:rPr>
          <w:rFonts w:ascii="CG Times" w:eastAsia="Times New Roman" w:hAnsi="CG Times"/>
          <w:sz w:val="22"/>
          <w:szCs w:val="22"/>
        </w:rPr>
        <w:t xml:space="preserve">Nëpërmjet arsyetimit të saj, shumica ka </w:t>
      </w:r>
      <w:r w:rsidRPr="00CD7DF8">
        <w:rPr>
          <w:rFonts w:ascii="CG Times" w:eastAsia="Times New Roman" w:hAnsi="CG Times"/>
          <w:sz w:val="22"/>
          <w:szCs w:val="22"/>
          <w:lang w:eastAsia="sq-AL"/>
        </w:rPr>
        <w:t xml:space="preserve">vlerësuar se çdo </w:t>
      </w:r>
      <w:r w:rsidRPr="00CD7DF8">
        <w:rPr>
          <w:rFonts w:ascii="CG Times" w:eastAsia="Times New Roman" w:hAnsi="CG Times"/>
          <w:sz w:val="22"/>
          <w:szCs w:val="22"/>
        </w:rPr>
        <w:t>ndryshim që mund t’i bëhet ligjit “Për nëpunësin civil” në tërësi, ose dispozitave të veçanta të tij, nuk mund të arrihet nëpërmjet një ligji të thjeshtë, siç ka ndodhur në rastin konkret, por nëpërmjet një ligji të cilësuar, të miratuar në një procedurë normale nga Kuvendi, me të paktën tri të pestat e të gjithë anëtarëve të tij (</w:t>
      </w:r>
      <w:r w:rsidRPr="00CD7DF8">
        <w:rPr>
          <w:rFonts w:ascii="CG Times" w:eastAsia="Times New Roman" w:hAnsi="CG Times"/>
          <w:i/>
          <w:sz w:val="22"/>
          <w:szCs w:val="22"/>
        </w:rPr>
        <w:t>prg. 61 i vendimit</w:t>
      </w:r>
      <w:r w:rsidRPr="00CD7DF8">
        <w:rPr>
          <w:rFonts w:ascii="CG Times" w:eastAsia="Times New Roman" w:hAnsi="CG Times"/>
          <w:sz w:val="22"/>
          <w:szCs w:val="22"/>
        </w:rPr>
        <w:t xml:space="preserve">). Sipas saj, nxjerrja </w:t>
      </w:r>
      <w:r w:rsidRPr="00CD7DF8">
        <w:rPr>
          <w:rFonts w:ascii="CG Times" w:hAnsi="CG Times"/>
          <w:bCs/>
          <w:iCs/>
          <w:color w:val="000000"/>
          <w:spacing w:val="-2"/>
          <w:sz w:val="22"/>
          <w:szCs w:val="22"/>
        </w:rPr>
        <w:t>nga Këshilli i Ministrave i aktit normativ me fuqinë e ligjit, që rregullon çështje të rezervës së Kuvendit, dhe mos</w:t>
      </w:r>
      <w:r w:rsidRPr="00CD7DF8">
        <w:rPr>
          <w:rFonts w:ascii="CG Times" w:eastAsia="Times New Roman" w:hAnsi="CG Times"/>
          <w:sz w:val="22"/>
          <w:szCs w:val="22"/>
        </w:rPr>
        <w:t>respektimi nga ky i fundit i procedurës së parashikuar nga neni 81, pika 2, shkronja “e” dhe neni 83, pika 3, i Kushtetutës, vjen në kundërshtim me</w:t>
      </w:r>
      <w:r w:rsidRPr="00CD7DF8">
        <w:rPr>
          <w:rFonts w:ascii="CG Times" w:hAnsi="CG Times"/>
          <w:bCs/>
          <w:iCs/>
          <w:color w:val="000000"/>
          <w:spacing w:val="-2"/>
          <w:sz w:val="22"/>
          <w:szCs w:val="22"/>
        </w:rPr>
        <w:t xml:space="preserve"> parimin e ndarjes dhe balancimit midis pushteteve, në kuptim të nenit 7 të Kushtetutës, si një nga </w:t>
      </w:r>
      <w:r w:rsidRPr="00CD7DF8">
        <w:rPr>
          <w:rFonts w:ascii="CG Times" w:eastAsia="Times New Roman" w:hAnsi="CG Times"/>
          <w:sz w:val="22"/>
          <w:szCs w:val="22"/>
        </w:rPr>
        <w:t>parimet bazë të shtetit të së drejtës, ku e drejta përbën bazën dhe kufijtë e veprimtarisë së shtetit (</w:t>
      </w:r>
      <w:r w:rsidRPr="00CD7DF8">
        <w:rPr>
          <w:rFonts w:ascii="CG Times" w:eastAsia="Times New Roman" w:hAnsi="CG Times"/>
          <w:i/>
          <w:sz w:val="22"/>
          <w:szCs w:val="22"/>
        </w:rPr>
        <w:t>prg. 66 i vendimit</w:t>
      </w:r>
      <w:r w:rsidRPr="00CD7DF8">
        <w:rPr>
          <w:rFonts w:ascii="CG Times" w:eastAsia="Times New Roman" w:hAnsi="CG Times"/>
          <w:sz w:val="22"/>
          <w:szCs w:val="22"/>
        </w:rPr>
        <w:t xml:space="preserve">). Më tej, ajo është shprehur se </w:t>
      </w:r>
      <w:r w:rsidRPr="00CD7DF8">
        <w:rPr>
          <w:rFonts w:ascii="CG Times" w:eastAsia="Times New Roman" w:hAnsi="CG Times"/>
          <w:sz w:val="22"/>
          <w:szCs w:val="22"/>
          <w:lang w:eastAsia="ja-JP"/>
        </w:rPr>
        <w:t xml:space="preserve">miratimi nga Kuvendi i aktit normativ në kapërcim të kritereve procedurale dhe </w:t>
      </w:r>
      <w:r w:rsidRPr="00CD7DF8">
        <w:rPr>
          <w:rFonts w:ascii="CG Times" w:eastAsia="Times New Roman" w:hAnsi="CG Times"/>
          <w:sz w:val="22"/>
          <w:szCs w:val="22"/>
          <w:lang w:eastAsia="ja-JP"/>
        </w:rPr>
        <w:lastRenderedPageBreak/>
        <w:t xml:space="preserve">lëndore, të parashikuara nga Kushtetuta, përbën një të metë </w:t>
      </w:r>
      <w:r w:rsidRPr="00CD7DF8">
        <w:rPr>
          <w:rFonts w:ascii="CG Times" w:eastAsia="Times New Roman" w:hAnsi="CG Times"/>
          <w:i/>
          <w:sz w:val="22"/>
          <w:szCs w:val="22"/>
          <w:lang w:eastAsia="ja-JP"/>
        </w:rPr>
        <w:t xml:space="preserve">in procedendo </w:t>
      </w:r>
      <w:r w:rsidRPr="00CD7DF8">
        <w:rPr>
          <w:rFonts w:ascii="CG Times" w:eastAsia="Times New Roman" w:hAnsi="CG Times"/>
          <w:sz w:val="22"/>
          <w:szCs w:val="22"/>
          <w:lang w:eastAsia="ja-JP"/>
        </w:rPr>
        <w:t xml:space="preserve">të vetë ligjit. </w:t>
      </w:r>
      <w:r w:rsidRPr="00CD7DF8">
        <w:rPr>
          <w:rFonts w:ascii="CG Times" w:eastAsia="Times New Roman" w:hAnsi="CG Times"/>
          <w:sz w:val="22"/>
          <w:szCs w:val="22"/>
        </w:rPr>
        <w:t xml:space="preserve">Si konkluzion, shumica ka arritur në përfundimin se, nisur nga natyra përjashtimore e kompetencës së Këshillit të Ministrave në nxjerrjen e aktit normativ me fuqinë e ligjit, në respekt të hierarkisë së burimeve të së drejtës, të kërkesave që burojnë nga parimi i ndarjes dhe balancimit midis pushteteve dhe vlerave mbi të cilat bazohet shteti i së drejtës, para së gjithash, kufijtë e diskrecionalitetit që ka Qeveria, në vlerësimin e situatës së jashtëzakonshme dhe të nevojës urgjente, përcaktohen dhe i nënshtrohen kërkesave kushtetuese dhe kufizimeve përkatëse. Mosrespektimi, në rastin konkret, fillimisht nga Këshilli i Ministrave, i kritereve dhe </w:t>
      </w:r>
      <w:r>
        <w:rPr>
          <w:rFonts w:ascii="CG Times" w:eastAsia="Times New Roman" w:hAnsi="CG Times"/>
          <w:sz w:val="22"/>
          <w:szCs w:val="22"/>
        </w:rPr>
        <w:t xml:space="preserve">i </w:t>
      </w:r>
      <w:r w:rsidRPr="00CD7DF8">
        <w:rPr>
          <w:rFonts w:ascii="CG Times" w:eastAsia="Times New Roman" w:hAnsi="CG Times"/>
          <w:sz w:val="22"/>
          <w:szCs w:val="22"/>
        </w:rPr>
        <w:t>kufizimeve kushtetuese procedurale dhe lëndore, përbën një të metë të legjitimitetit kushtetues të qeverisë për nxjerrjen e aktit normativ dhe, po ashtu, një të metë të ligjit që ka miratuar Kuvendi (</w:t>
      </w:r>
      <w:r w:rsidRPr="00CD7DF8">
        <w:rPr>
          <w:rFonts w:ascii="CG Times" w:eastAsia="Times New Roman" w:hAnsi="CG Times"/>
          <w:i/>
          <w:sz w:val="22"/>
          <w:szCs w:val="22"/>
        </w:rPr>
        <w:t>prg. 80 i vendimit</w:t>
      </w:r>
      <w:r w:rsidRPr="00CD7DF8">
        <w:rPr>
          <w:rFonts w:ascii="CG Times" w:eastAsia="Times New Roman" w:hAnsi="CG Times"/>
          <w:sz w:val="22"/>
          <w:szCs w:val="22"/>
        </w:rPr>
        <w:t xml:space="preserve">).   </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 xml:space="preserve">Nuk pajtohemi me këtë përfundim të shumicës për arsyet që do të parashtrojmë më poshtë. </w:t>
      </w:r>
    </w:p>
    <w:p w:rsidR="00873BD0" w:rsidRPr="00CD7DF8" w:rsidRDefault="00873BD0" w:rsidP="00873BD0">
      <w:pPr>
        <w:ind w:firstLine="720"/>
        <w:contextualSpacing/>
        <w:jc w:val="both"/>
        <w:rPr>
          <w:rFonts w:ascii="CG Times" w:eastAsia="Times New Roman" w:hAnsi="CG Times"/>
          <w:i/>
          <w:sz w:val="22"/>
          <w:szCs w:val="22"/>
        </w:rPr>
      </w:pPr>
      <w:r>
        <w:rPr>
          <w:rFonts w:ascii="CG Times" w:eastAsia="Times New Roman" w:hAnsi="CG Times"/>
          <w:i/>
          <w:sz w:val="22"/>
          <w:szCs w:val="22"/>
        </w:rPr>
        <w:t xml:space="preserve">1) </w:t>
      </w:r>
      <w:r w:rsidRPr="00CD7DF8">
        <w:rPr>
          <w:rFonts w:ascii="CG Times" w:eastAsia="Times New Roman" w:hAnsi="CG Times"/>
          <w:i/>
          <w:sz w:val="22"/>
          <w:szCs w:val="22"/>
        </w:rPr>
        <w:t xml:space="preserve">Në lidhje me ndërhyrjen e akteve normative me fuqinë e ligjit në fusha të rregulluara me ligje të miratuara me shumicë të cilësuar </w:t>
      </w:r>
    </w:p>
    <w:p w:rsidR="00873BD0" w:rsidRPr="00CD7DF8" w:rsidRDefault="00873BD0" w:rsidP="00873BD0">
      <w:pPr>
        <w:ind w:firstLine="720"/>
        <w:jc w:val="both"/>
        <w:rPr>
          <w:rFonts w:ascii="CG Times" w:hAnsi="CG Times"/>
          <w:b/>
          <w:bCs/>
          <w:i/>
          <w:iCs/>
          <w:color w:val="000000"/>
          <w:spacing w:val="-2"/>
          <w:sz w:val="22"/>
          <w:szCs w:val="22"/>
        </w:rPr>
      </w:pPr>
      <w:r w:rsidRPr="00CD7DF8">
        <w:rPr>
          <w:rFonts w:ascii="CG Times" w:eastAsia="Times New Roman" w:hAnsi="CG Times"/>
          <w:sz w:val="22"/>
          <w:szCs w:val="22"/>
        </w:rPr>
        <w:t>Shumica ka arritur në konkluzionin se Këshilli i Ministrave (KM) nuk mund të ndërhyjë me akte normative me fuqinë e ligjit në ato fusha, rregullimi i të cilave,</w:t>
      </w:r>
      <w:r w:rsidRPr="00CD7DF8">
        <w:rPr>
          <w:rFonts w:ascii="CG Times" w:eastAsia="Times New Roman" w:hAnsi="CG Times"/>
          <w:i/>
          <w:sz w:val="22"/>
          <w:szCs w:val="22"/>
        </w:rPr>
        <w:t xml:space="preserve"> expressis verbis</w:t>
      </w:r>
      <w:r w:rsidRPr="00CD7DF8">
        <w:rPr>
          <w:rFonts w:ascii="CG Times" w:eastAsia="Times New Roman" w:hAnsi="CG Times"/>
          <w:sz w:val="22"/>
          <w:szCs w:val="22"/>
        </w:rPr>
        <w:t>, përbën kompetencë ekskluzive të Kuvendit (</w:t>
      </w:r>
      <w:r w:rsidRPr="00CD7DF8">
        <w:rPr>
          <w:rFonts w:ascii="CG Times" w:eastAsia="Times New Roman" w:hAnsi="CG Times"/>
          <w:i/>
          <w:sz w:val="22"/>
          <w:szCs w:val="22"/>
        </w:rPr>
        <w:t>prg. 63 i vendimit</w:t>
      </w:r>
      <w:r w:rsidRPr="00CD7DF8">
        <w:rPr>
          <w:rFonts w:ascii="CG Times" w:eastAsia="Times New Roman" w:hAnsi="CG Times"/>
          <w:sz w:val="22"/>
          <w:szCs w:val="22"/>
        </w:rPr>
        <w:t>). Në këndvështrimin e saj,</w:t>
      </w:r>
      <w:r w:rsidRPr="00CD7DF8">
        <w:rPr>
          <w:rFonts w:ascii="CG Times" w:hAnsi="CG Times"/>
          <w:b/>
          <w:bCs/>
          <w:i/>
          <w:iCs/>
          <w:color w:val="000000"/>
          <w:spacing w:val="-2"/>
          <w:sz w:val="22"/>
          <w:szCs w:val="22"/>
        </w:rPr>
        <w:t xml:space="preserve"> </w:t>
      </w:r>
      <w:r w:rsidRPr="00CD7DF8">
        <w:rPr>
          <w:rFonts w:ascii="CG Times" w:eastAsia="Times New Roman" w:hAnsi="CG Times"/>
          <w:sz w:val="22"/>
          <w:szCs w:val="22"/>
        </w:rPr>
        <w:t>transferimi i kompetencës legjislative Këshillit të Ministrave, që, përjashtimisht, të marrë masa të përkohshme në rast nevoje dhe urgjence, i nënshtrohet para së gjithash, kufizimeve kushtetuese, të cilat konsistojnë në kritere procedurale dhe po ashtu lëndore, të përcaktueshme nga natyra e marrëdhënies konkrete që kërkon rregullim (</w:t>
      </w:r>
      <w:r w:rsidRPr="00CD7DF8">
        <w:rPr>
          <w:rFonts w:ascii="CG Times" w:eastAsia="Times New Roman" w:hAnsi="CG Times"/>
          <w:i/>
          <w:sz w:val="22"/>
          <w:szCs w:val="22"/>
        </w:rPr>
        <w:t>prg. 63 i vendimit</w:t>
      </w:r>
      <w:r w:rsidRPr="00CD7DF8">
        <w:rPr>
          <w:rFonts w:ascii="CG Times" w:eastAsia="Times New Roman" w:hAnsi="CG Times"/>
          <w:sz w:val="22"/>
          <w:szCs w:val="22"/>
        </w:rPr>
        <w:t>). Duke pasur parasysh se edhe ligji për statusin e nëpunësit civil (nr. 152/2013) rregullon një fushë që përbën rezervë të Kuvendit, ajo ka vlerësuar se ndërhyrja në këtë ligj me aktin normativ, objekt shqyrtimi, është në kundërshtim me parashikimet e nenit 81/2, shkronja “e”,  dhe të nenit 83/3 të Kushtetutës (</w:t>
      </w:r>
      <w:r w:rsidRPr="00CD7DF8">
        <w:rPr>
          <w:rFonts w:ascii="CG Times" w:eastAsia="Times New Roman" w:hAnsi="CG Times"/>
          <w:i/>
          <w:sz w:val="22"/>
          <w:szCs w:val="22"/>
        </w:rPr>
        <w:t>prg. 59 dhe 66 të vendimit</w:t>
      </w:r>
      <w:r w:rsidRPr="00CD7DF8">
        <w:rPr>
          <w:rFonts w:ascii="CG Times" w:eastAsia="Times New Roman" w:hAnsi="CG Times"/>
          <w:sz w:val="22"/>
          <w:szCs w:val="22"/>
        </w:rPr>
        <w:t xml:space="preserve">). Nuk jemi dakord me këtë arsyetim të shumicës, bazuar në argumentet e trajtuara në vijim. </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 xml:space="preserve">a) Siç ka pohuar edhe shumica, e drejta që neni 101 i Kushtetutës i jep KM-së për të nxjerrë akte normative me fuqinë e ligjit, përbën një përjashtim nga parimi kushtetues i njohjes dhe sanksionimit të përqendrimit të pushtetit ligjvënës te Kuvendi. Nisur nga natyra lejuese dhe përjashtimore e kësaj të drejte, Kushtetuta e ka kushtëzuar ushtrimin e saj me ekzistencën e disa elementëve, si dhe me kontrollin përfundimtar nga Kuvendi të akteve të nxjerra </w:t>
      </w:r>
      <w:r w:rsidRPr="00CD7DF8">
        <w:rPr>
          <w:rFonts w:ascii="CG Times" w:eastAsia="Times New Roman" w:hAnsi="CG Times"/>
          <w:i/>
          <w:sz w:val="22"/>
          <w:szCs w:val="22"/>
        </w:rPr>
        <w:t>(prg. 69 i vendimit</w:t>
      </w:r>
      <w:r w:rsidRPr="00CD7DF8">
        <w:rPr>
          <w:rFonts w:ascii="CG Times" w:eastAsia="Times New Roman" w:hAnsi="CG Times"/>
          <w:sz w:val="22"/>
          <w:szCs w:val="22"/>
        </w:rPr>
        <w:t>).  Nga përmbajtja normative e nenit 101 evidentohen qartë kriteret kushtetuese të cilat kufizojnë ushtrimin e kësaj veprimtarie ligjvënëse atipike/përjashtimore nga ana e KM-së. Këto kritere janë të natyrës materiale (nevoja, urgjenca, marrja e masave të përkohshme) dhe procedurale (miratimi nga Kuvendi brenda 45 ditëve). Shumica, në arsyetimin e saj, nuk shpjegon qartë se mbi ç’ bazë është mbështetur kur shprehet se kompetenca për nxjerrjen e aktit normativ me fuqinë e ligjit i nënshtrohet kufizimeve kushtetuese që lidhen me natyrën e marrëdhënies konkrete që kërkon rregullim. Më specifikisht, ajo nuk sqaron se cilat dispozita përcaktojnë kufizime kushtetuese në lidhje me fushat ligjore në të cilat nuk mund të ndërhyhet me akt normativ me fuqinë e ligjit. Shumica nuk përmend kufizimet lëndore konkrete që përjashtojnë fushat ligjore ku Këshilli i Ministrave nuk mund të nxjerrë akte normative me fuqinë e ligjit, por i referohet neneve 81/2 dhe 83 të Kushtetutës, të cilat nuk kanë lidhje me ushtrimin e kompetencës ligjvënëse nga KM-ja, të sanksionuar në nenin 101 të Kushtetutës. Ndryshe nga ky i fundit, nenet 81/2 dhe 83 të Kushtetutës kanë të bëjnë me kriteret lëndore dhe procedurale që Kuvendi duhet të ketë parasysh kur rregullon fusha të caktuara që kërkojnë ligje të miratuara me shumicë të cilësuar. Nga formulimi literal i nenit 101 t</w:t>
      </w:r>
      <w:r>
        <w:rPr>
          <w:rFonts w:ascii="CG Times" w:eastAsia="Times New Roman" w:hAnsi="CG Times"/>
          <w:sz w:val="22"/>
          <w:szCs w:val="22"/>
        </w:rPr>
        <w:t>ë Kushtetutës vihet re qartë se</w:t>
      </w:r>
      <w:r w:rsidRPr="00CD7DF8">
        <w:rPr>
          <w:rFonts w:ascii="CG Times" w:eastAsia="Times New Roman" w:hAnsi="CG Times"/>
          <w:sz w:val="22"/>
          <w:szCs w:val="22"/>
        </w:rPr>
        <w:t xml:space="preserve"> fusha ligjore, e cila mund të rregullohet apo ku mund të ndërhyhet me anë të akteve normative me fuqinë e ligjit, nuk është parashikuar nga kushtetutëbërësi si kriter kufizues i përdorimit të instrumentit ligjvënës nga KM-ja. Ky nen nuk përcakton në mënyrë specifike fushat ligjore ku lejohet apo ndalohet ndërhyrja me akte normative dhe vetë gjuha e kësaj dispozite nuk përmban ndonjë dallim ndërmjet fushave që rregullohen me ligje të thjeshta dhe atyre që rregullohen me ligje të cilësuara. Nga ana tjetër, as neni 116 i Kushtetutës, kur sanksionon “ligjet”, si një nga llojet e akteve normative që kanë fuqi në territorin e </w:t>
      </w:r>
      <w:r w:rsidRPr="00CD7DF8">
        <w:rPr>
          <w:rFonts w:ascii="CG Times" w:eastAsia="Times New Roman" w:hAnsi="CG Times"/>
          <w:sz w:val="22"/>
          <w:szCs w:val="22"/>
        </w:rPr>
        <w:lastRenderedPageBreak/>
        <w:t xml:space="preserve">republikës, nuk bën dallim ndërmjet ligjeve të thjeshta dhe ligjeve të cilësuara. Rrjedhimisht, në vijim të argumenteve të mësipërme, ndryshe nga shumica, vlerësojmë se kuadri kushtetues nuk pengon nxjerrjen e akteve normative me fuqinë e ligjit në fusha ligjore të rregulluara nga ligje të cilësuara. </w:t>
      </w:r>
    </w:p>
    <w:p w:rsidR="00873BD0" w:rsidRPr="00CD7DF8" w:rsidRDefault="00873BD0" w:rsidP="00873BD0">
      <w:pPr>
        <w:ind w:firstLine="720"/>
        <w:jc w:val="both"/>
        <w:rPr>
          <w:rFonts w:ascii="CG Times" w:eastAsia="Times New Roman" w:hAnsi="CG Times"/>
          <w:sz w:val="22"/>
          <w:szCs w:val="22"/>
          <w:lang w:eastAsia="ja-JP"/>
        </w:rPr>
      </w:pPr>
      <w:r w:rsidRPr="00CD7DF8">
        <w:rPr>
          <w:rFonts w:ascii="CG Times" w:eastAsia="Times New Roman" w:hAnsi="CG Times"/>
          <w:sz w:val="22"/>
          <w:szCs w:val="22"/>
        </w:rPr>
        <w:t xml:space="preserve">b) Siç është pasqyruar edhe në preambulën e aktit normativ nr. 5/2013, ndërhyrja është bërë nga KM-ja për të rregulluar pasoja të menjëhershme, të cilat lidheshin me zbatueshmërinë e ligjit për statusin e nëpunësit civil. KM-ja, pasi ka vlerësuar se ndodhej në kushtet e urgjencës dhe nevojës, në pamundësi për të pritur ushtrimin e kompetencës normale ligjvënëse nga Kuvendi, ka marrë iniciativën për nxjerrjen e aktit normativ, objekt shqyrtimi. Në këto kushte, qëllimi i KM-së dhe njëkohësisht </w:t>
      </w:r>
      <w:r w:rsidRPr="00CD7DF8">
        <w:rPr>
          <w:rFonts w:ascii="CG Times" w:eastAsia="Times New Roman" w:hAnsi="CG Times"/>
          <w:i/>
          <w:sz w:val="22"/>
          <w:szCs w:val="22"/>
        </w:rPr>
        <w:t>ratio legis</w:t>
      </w:r>
      <w:r w:rsidRPr="00CD7DF8">
        <w:rPr>
          <w:rFonts w:ascii="CG Times" w:eastAsia="Times New Roman" w:hAnsi="CG Times"/>
          <w:sz w:val="22"/>
          <w:szCs w:val="22"/>
        </w:rPr>
        <w:t xml:space="preserve"> i aktit normativ në fjalë, ka qenë shmangia e pasojave të menjëhershme që do të vinin si rezultat i fillimit të efekteve të ligjit për statusin e nëpunësit civil. Situata me pasoja të menjëhershme, që kërkojnë ndërhyrje të nevojshme dhe urgjente, mund të krijohen si nga ligje të thjeshta</w:t>
      </w:r>
      <w:r>
        <w:rPr>
          <w:rFonts w:ascii="CG Times" w:eastAsia="Times New Roman" w:hAnsi="CG Times"/>
          <w:sz w:val="22"/>
          <w:szCs w:val="22"/>
        </w:rPr>
        <w:t>,</w:t>
      </w:r>
      <w:r w:rsidRPr="00CD7DF8">
        <w:rPr>
          <w:rFonts w:ascii="CG Times" w:eastAsia="Times New Roman" w:hAnsi="CG Times"/>
          <w:sz w:val="22"/>
          <w:szCs w:val="22"/>
        </w:rPr>
        <w:t xml:space="preserve"> ashtu edhe nga ligje të cilësuara. Në këto raste KM-ja, pasi vlerëson, nga pikëpamja faktike dhe juridike,</w:t>
      </w:r>
      <w:r w:rsidRPr="00CD7DF8">
        <w:rPr>
          <w:rFonts w:ascii="CG Times" w:eastAsia="Times New Roman" w:hAnsi="CG Times"/>
          <w:sz w:val="22"/>
          <w:szCs w:val="22"/>
          <w:lang w:eastAsia="ja-JP"/>
        </w:rPr>
        <w:t xml:space="preserve"> </w:t>
      </w:r>
      <w:r>
        <w:rPr>
          <w:rFonts w:ascii="CG Times" w:eastAsia="Times New Roman" w:hAnsi="CG Times"/>
          <w:sz w:val="22"/>
          <w:szCs w:val="22"/>
        </w:rPr>
        <w:t>ekzistencën e elemente</w:t>
      </w:r>
      <w:r w:rsidRPr="00CD7DF8">
        <w:rPr>
          <w:rFonts w:ascii="CG Times" w:eastAsia="Times New Roman" w:hAnsi="CG Times"/>
          <w:sz w:val="22"/>
          <w:szCs w:val="22"/>
        </w:rPr>
        <w:t xml:space="preserve">ve të nevojës dhe urgjencës, </w:t>
      </w:r>
      <w:r w:rsidRPr="00CD7DF8">
        <w:rPr>
          <w:rFonts w:ascii="CG Times" w:eastAsia="Times New Roman" w:hAnsi="CG Times"/>
          <w:sz w:val="22"/>
          <w:szCs w:val="22"/>
          <w:lang w:eastAsia="ja-JP"/>
        </w:rPr>
        <w:t xml:space="preserve">mund të ndërmarrë një nismë për nxjerrjen e një akti normativ me fuqinë e ligjit, brenda kompetencës kushtetuese që i jep neni 101.  </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lang w:eastAsia="ja-JP"/>
        </w:rPr>
        <w:t xml:space="preserve">c)  </w:t>
      </w:r>
      <w:r w:rsidRPr="00CD7DF8">
        <w:rPr>
          <w:rFonts w:ascii="CG Times" w:eastAsia="Times New Roman" w:hAnsi="CG Times"/>
          <w:sz w:val="22"/>
          <w:szCs w:val="22"/>
        </w:rPr>
        <w:t>Pavarësisht ndërhyrjes me akt normativ në një ligj të miratuar me shumicë të thjeshtë apo në një ligj të miratuar me shumicë të cilësuar, neni 101 i Kushtetutës përmban disa garanci</w:t>
      </w:r>
      <w:r w:rsidRPr="00CD7DF8">
        <w:rPr>
          <w:rFonts w:ascii="CG Times" w:eastAsia="Times New Roman" w:hAnsi="CG Times"/>
          <w:sz w:val="22"/>
          <w:szCs w:val="22"/>
          <w:lang w:eastAsia="ja-JP"/>
        </w:rPr>
        <w:t xml:space="preserve"> që lidhen si me fazën e nxjerrjes së tij, ashtu dhe me atë të miratimit me ligj në Kuvend. Kështu, Qeveria është e detyruar të shpjegojë dhe argumentojë nevojën dhe urgjencën konkrete që e kanë detyruar të nxjerrë aktin normativ me fuqinë e ligjit. Ky detyrim ka karakter formal dhe substancial. M</w:t>
      </w:r>
      <w:r w:rsidRPr="00CD7DF8">
        <w:rPr>
          <w:rFonts w:ascii="CG Times" w:eastAsia="Times New Roman" w:hAnsi="CG Times"/>
          <w:sz w:val="22"/>
          <w:szCs w:val="22"/>
        </w:rPr>
        <w:t>ungesa e nevojës dhe urgjencës shndërrohet në ves të legjitimitetit kushtetues të Qeverisë për nxjerrjen e aktit normativ.</w:t>
      </w:r>
      <w:r w:rsidRPr="00CD7DF8">
        <w:rPr>
          <w:rFonts w:ascii="CG Times" w:eastAsia="Times New Roman" w:hAnsi="CG Times"/>
          <w:sz w:val="22"/>
          <w:szCs w:val="22"/>
          <w:lang w:eastAsia="ja-JP"/>
        </w:rPr>
        <w:t xml:space="preserve"> Qeveria është e detyruar ta pasqyrojë ekzistencën e nevojës dhe urgjencës, të cilat diktojnë marrjen e  masave të menjëhershme, në përmbajtjen e çdo akti normativ me fuqinë e ligjit që nxjerr, minimalisht në preambulën e tij </w:t>
      </w:r>
      <w:r w:rsidRPr="00CD7DF8">
        <w:rPr>
          <w:rFonts w:ascii="CG Times" w:eastAsia="Times New Roman" w:hAnsi="CG Times"/>
          <w:i/>
          <w:sz w:val="22"/>
          <w:szCs w:val="22"/>
          <w:lang w:eastAsia="ja-JP"/>
        </w:rPr>
        <w:t>(shih v</w:t>
      </w:r>
      <w:r>
        <w:rPr>
          <w:rFonts w:ascii="CG Times" w:eastAsia="Times New Roman" w:hAnsi="CG Times"/>
          <w:i/>
          <w:sz w:val="22"/>
          <w:szCs w:val="22"/>
          <w:lang w:eastAsia="ja-JP"/>
        </w:rPr>
        <w:t>endimin nr. 24, datë 10.11.2006,</w:t>
      </w:r>
      <w:r w:rsidRPr="00CD7DF8">
        <w:rPr>
          <w:rFonts w:ascii="CG Times" w:eastAsia="Times New Roman" w:hAnsi="CG Times"/>
          <w:i/>
          <w:sz w:val="22"/>
          <w:szCs w:val="22"/>
          <w:lang w:eastAsia="ja-JP"/>
        </w:rPr>
        <w:t xml:space="preserve"> të Gjykatës Kushtetuese)</w:t>
      </w:r>
      <w:r w:rsidRPr="00CD7DF8">
        <w:rPr>
          <w:rFonts w:ascii="CG Times" w:eastAsia="Times New Roman" w:hAnsi="CG Times"/>
          <w:sz w:val="22"/>
          <w:szCs w:val="22"/>
        </w:rPr>
        <w:t xml:space="preserve">. Vetë teksti i nenit 101 të Kushtetutës përmban togfjalëshin “nën përgjegjësinë e tij”, çka nënvizon detyrimin dhe përgjegjësinë e KM-së për të vlerësuar rrethanat e </w:t>
      </w:r>
      <w:r w:rsidRPr="00CD7DF8">
        <w:rPr>
          <w:rFonts w:ascii="CG Times" w:eastAsia="Times New Roman" w:hAnsi="CG Times"/>
          <w:sz w:val="22"/>
          <w:szCs w:val="22"/>
          <w:lang w:eastAsia="ja-JP"/>
        </w:rPr>
        <w:t xml:space="preserve"> krijuara, që kanë shkaktuar nevojë dhe urgjencë,</w:t>
      </w:r>
      <w:r w:rsidRPr="00CD7DF8">
        <w:rPr>
          <w:rFonts w:ascii="CG Times" w:eastAsia="Times New Roman" w:hAnsi="CG Times"/>
          <w:sz w:val="22"/>
          <w:szCs w:val="22"/>
        </w:rPr>
        <w:t xml:space="preserve"> </w:t>
      </w:r>
      <w:r w:rsidRPr="00CD7DF8">
        <w:rPr>
          <w:rFonts w:ascii="CG Times" w:eastAsia="Times New Roman" w:hAnsi="CG Times"/>
          <w:sz w:val="22"/>
          <w:szCs w:val="22"/>
          <w:lang w:eastAsia="ja-JP"/>
        </w:rPr>
        <w:t xml:space="preserve">kur nxjerr aktin normativ me fuqinë e ligjit. Një garanci tjetër është dhe përkohshmëria e aktit normativ </w:t>
      </w:r>
      <w:r w:rsidRPr="00CD7DF8">
        <w:rPr>
          <w:rFonts w:ascii="CG Times" w:eastAsia="Times New Roman" w:hAnsi="CG Times"/>
          <w:sz w:val="22"/>
          <w:szCs w:val="22"/>
        </w:rPr>
        <w:t>me fuqinë e ligjit, i cili vepron për nj</w:t>
      </w:r>
      <w:r>
        <w:rPr>
          <w:rFonts w:ascii="CG Times" w:eastAsia="Times New Roman" w:hAnsi="CG Times"/>
          <w:sz w:val="22"/>
          <w:szCs w:val="22"/>
        </w:rPr>
        <w:t>ë periudhë kohe maksimalisht 45-</w:t>
      </w:r>
      <w:r w:rsidRPr="00CD7DF8">
        <w:rPr>
          <w:rFonts w:ascii="CG Times" w:eastAsia="Times New Roman" w:hAnsi="CG Times"/>
          <w:sz w:val="22"/>
          <w:szCs w:val="22"/>
        </w:rPr>
        <w:t>ditore. Përkohshmëria lidhet me kushtin e domosdoshëm të shqyrtimit të tij nga Kuvendi, i cili, nëse e miraton, e kthen atë në ligj. Nëse akti nuk miratohet nga Kuvendi apo nuk merret në shqyrtim prej</w:t>
      </w:r>
      <w:r>
        <w:rPr>
          <w:rFonts w:ascii="CG Times" w:eastAsia="Times New Roman" w:hAnsi="CG Times"/>
          <w:sz w:val="22"/>
          <w:szCs w:val="22"/>
        </w:rPr>
        <w:t xml:space="preserve"> tij, me kalimin e periudhës 45-</w:t>
      </w:r>
      <w:r w:rsidRPr="00CD7DF8">
        <w:rPr>
          <w:rFonts w:ascii="CG Times" w:eastAsia="Times New Roman" w:hAnsi="CG Times"/>
          <w:sz w:val="22"/>
          <w:szCs w:val="22"/>
        </w:rPr>
        <w:t>ditore, ai jo vetëm nuk prodhon më efekte për të ardhmen por, njëkohësisht, humbet fuqinë që nga fillimi. Gjykata ka vlerësuar se shprehja “masa të përkohshme”, në përmbajtjen e nenit 101 të Kushtetutës, duhet kuptuar e lidhur v</w:t>
      </w:r>
      <w:r>
        <w:rPr>
          <w:rFonts w:ascii="CG Times" w:eastAsia="Times New Roman" w:hAnsi="CG Times"/>
          <w:sz w:val="22"/>
          <w:szCs w:val="22"/>
        </w:rPr>
        <w:t>etëm me fuqinë e përkohshme, 45-</w:t>
      </w:r>
      <w:r w:rsidRPr="00CD7DF8">
        <w:rPr>
          <w:rFonts w:ascii="CG Times" w:eastAsia="Times New Roman" w:hAnsi="CG Times"/>
          <w:sz w:val="22"/>
          <w:szCs w:val="22"/>
        </w:rPr>
        <w:t xml:space="preserve">ditore, të aktit normativ me fuqinë e ligjit. </w:t>
      </w:r>
      <w:r w:rsidRPr="00CD7DF8">
        <w:rPr>
          <w:rFonts w:ascii="CG Times" w:eastAsia="Times New Roman" w:hAnsi="CG Times"/>
          <w:sz w:val="22"/>
          <w:szCs w:val="22"/>
          <w:lang w:eastAsia="ja-JP"/>
        </w:rPr>
        <w:t xml:space="preserve">Kuvendi është organi që bën vlerësimin dhe kontrollin e nevojës dhe urgjencës, sepse Kushtetuta e ka ngarkuar në mënyrë të drejtpërdrejtë për këtë qëllim. Duke përdorur termin “miraton”, dokumenti themelor i shtetit ka parasysh vlerësimin në formë dhe përmbajtje të normës dhe elementeve përbërëse të saj, si dhe shprehjen e mendimit përfundimtar nga organi vlerësues lidhur me aktin që shqyrton. Natyra e këtij vlerësimi është politike, por edhe juridike. </w:t>
      </w:r>
      <w:r w:rsidRPr="00CD7DF8">
        <w:rPr>
          <w:rFonts w:ascii="CG Times" w:hAnsi="CG Times"/>
          <w:sz w:val="22"/>
          <w:szCs w:val="22"/>
        </w:rPr>
        <w:t>Ai shqyrton praninë e të gjitha elementeve të përcaktuara shprehimisht për aktin normativ me fuqinë e ligjit në Kushtetutë</w:t>
      </w:r>
      <w:r>
        <w:rPr>
          <w:rFonts w:ascii="CG Times" w:hAnsi="CG Times"/>
          <w:sz w:val="22"/>
          <w:szCs w:val="22"/>
        </w:rPr>
        <w:t>,</w:t>
      </w:r>
      <w:r w:rsidRPr="00CD7DF8">
        <w:rPr>
          <w:rFonts w:ascii="CG Times" w:hAnsi="CG Times"/>
          <w:sz w:val="22"/>
          <w:szCs w:val="22"/>
        </w:rPr>
        <w:t xml:space="preserve"> si dhe pajtueshmërinë e përmbajtjes së tij me Kushtetutën dhe ligjet e tjera në fuqi </w:t>
      </w:r>
      <w:r w:rsidRPr="00CD7DF8">
        <w:rPr>
          <w:rFonts w:ascii="CG Times" w:eastAsia="Times New Roman" w:hAnsi="CG Times"/>
          <w:i/>
          <w:sz w:val="22"/>
          <w:szCs w:val="22"/>
          <w:lang w:eastAsia="ja-JP"/>
        </w:rPr>
        <w:t>(shih vendimin nr. 24, datë 10.11.2006, të Gjykatës Kushtetuese)</w:t>
      </w:r>
      <w:r w:rsidRPr="00CD7DF8">
        <w:rPr>
          <w:rFonts w:ascii="CG Times" w:eastAsia="Times New Roman" w:hAnsi="CG Times"/>
          <w:sz w:val="22"/>
          <w:szCs w:val="22"/>
          <w:lang w:eastAsia="ja-JP"/>
        </w:rPr>
        <w:t xml:space="preserve">. </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 xml:space="preserve"> ç)  Përveç ligjeve të thjeshta dhe atyre që kërkojnë shumica të cilësuara, Kushtetuta ka parashikuar edhe ligje miratimi i të cilave bëhet me shumicë absolute të të gjithë anëtarëve të Kuvendit, siç është rasti i nenit 12/3 të Kushtetutës (kalimi i Forcave të  Armatosura të huaja në territorin shqiptar, apo dërgimi i forcave ushtarake shqiptare jashtë vendit). Nga praktika kemi raste që në këto ligje, për shkak të situatave të krijuara dhe pasojave të menjëhershme, ka lindur nevoja e ndërhyrjes urgjente, pra jo nëpërmjet procedurës së zakonshme të miratimit të ligjeve (</w:t>
      </w:r>
      <w:r w:rsidRPr="00CD7DF8">
        <w:rPr>
          <w:rFonts w:ascii="CG Times" w:eastAsia="Times New Roman" w:hAnsi="CG Times"/>
          <w:i/>
          <w:sz w:val="22"/>
          <w:szCs w:val="22"/>
        </w:rPr>
        <w:t xml:space="preserve">shih për më shumë akt </w:t>
      </w:r>
      <w:r>
        <w:rPr>
          <w:rFonts w:ascii="CG Times" w:eastAsia="Times New Roman" w:hAnsi="CG Times"/>
          <w:i/>
          <w:sz w:val="22"/>
          <w:szCs w:val="22"/>
        </w:rPr>
        <w:t>normativ i KM-së</w:t>
      </w:r>
      <w:r w:rsidRPr="00CD7DF8">
        <w:rPr>
          <w:rFonts w:ascii="CG Times" w:eastAsia="Times New Roman" w:hAnsi="CG Times"/>
          <w:i/>
          <w:sz w:val="22"/>
          <w:szCs w:val="22"/>
        </w:rPr>
        <w:t xml:space="preserve"> nr</w:t>
      </w:r>
      <w:r>
        <w:rPr>
          <w:rFonts w:ascii="CG Times" w:eastAsia="Times New Roman" w:hAnsi="CG Times"/>
          <w:i/>
          <w:sz w:val="22"/>
          <w:szCs w:val="22"/>
        </w:rPr>
        <w:t>.1, dt.aktit:9.</w:t>
      </w:r>
      <w:r w:rsidRPr="00CD7DF8">
        <w:rPr>
          <w:rFonts w:ascii="CG Times" w:eastAsia="Times New Roman" w:hAnsi="CG Times"/>
          <w:i/>
          <w:sz w:val="22"/>
          <w:szCs w:val="22"/>
        </w:rPr>
        <w:t xml:space="preserve">3.2003; akt </w:t>
      </w:r>
      <w:r>
        <w:rPr>
          <w:rFonts w:ascii="CG Times" w:eastAsia="Times New Roman" w:hAnsi="CG Times"/>
          <w:i/>
          <w:sz w:val="22"/>
          <w:szCs w:val="22"/>
        </w:rPr>
        <w:t>normativ i KM-së</w:t>
      </w:r>
      <w:r w:rsidRPr="00CD7DF8">
        <w:rPr>
          <w:rFonts w:ascii="CG Times" w:eastAsia="Times New Roman" w:hAnsi="CG Times"/>
          <w:i/>
          <w:sz w:val="22"/>
          <w:szCs w:val="22"/>
        </w:rPr>
        <w:t xml:space="preserve"> nr</w:t>
      </w:r>
      <w:r>
        <w:rPr>
          <w:rFonts w:ascii="CG Times" w:eastAsia="Times New Roman" w:hAnsi="CG Times"/>
          <w:i/>
          <w:sz w:val="22"/>
          <w:szCs w:val="22"/>
        </w:rPr>
        <w:t>.1, dt.aktit: 25.</w:t>
      </w:r>
      <w:r w:rsidRPr="00CD7DF8">
        <w:rPr>
          <w:rFonts w:ascii="CG Times" w:eastAsia="Times New Roman" w:hAnsi="CG Times"/>
          <w:i/>
          <w:sz w:val="22"/>
          <w:szCs w:val="22"/>
        </w:rPr>
        <w:t xml:space="preserve">5.2007; </w:t>
      </w:r>
      <w:r>
        <w:rPr>
          <w:rFonts w:ascii="CG Times" w:eastAsia="Times New Roman" w:hAnsi="CG Times"/>
          <w:i/>
          <w:sz w:val="22"/>
          <w:szCs w:val="22"/>
        </w:rPr>
        <w:t>akt normativ i KM-së</w:t>
      </w:r>
      <w:r w:rsidRPr="00CD7DF8">
        <w:rPr>
          <w:rFonts w:ascii="CG Times" w:eastAsia="Times New Roman" w:hAnsi="CG Times"/>
          <w:i/>
          <w:sz w:val="22"/>
          <w:szCs w:val="22"/>
        </w:rPr>
        <w:t xml:space="preserve"> nr</w:t>
      </w:r>
      <w:r>
        <w:rPr>
          <w:rFonts w:ascii="CG Times" w:eastAsia="Times New Roman" w:hAnsi="CG Times"/>
          <w:i/>
          <w:sz w:val="22"/>
          <w:szCs w:val="22"/>
        </w:rPr>
        <w:t>.2, dt.aktit: 8.4.2008;  akt normativ i KM-së</w:t>
      </w:r>
      <w:r w:rsidRPr="00CD7DF8">
        <w:rPr>
          <w:rFonts w:ascii="CG Times" w:eastAsia="Times New Roman" w:hAnsi="CG Times"/>
          <w:i/>
          <w:sz w:val="22"/>
          <w:szCs w:val="22"/>
        </w:rPr>
        <w:t xml:space="preserve"> nr</w:t>
      </w:r>
      <w:r>
        <w:rPr>
          <w:rFonts w:ascii="CG Times" w:eastAsia="Times New Roman" w:hAnsi="CG Times"/>
          <w:i/>
          <w:sz w:val="22"/>
          <w:szCs w:val="22"/>
        </w:rPr>
        <w:t>.1, dt.aktit: 2.4.2009; akt normativ i KM-së</w:t>
      </w:r>
      <w:r w:rsidRPr="00CD7DF8">
        <w:rPr>
          <w:rFonts w:ascii="CG Times" w:eastAsia="Times New Roman" w:hAnsi="CG Times"/>
          <w:i/>
          <w:sz w:val="22"/>
          <w:szCs w:val="22"/>
        </w:rPr>
        <w:t xml:space="preserve"> nr</w:t>
      </w:r>
      <w:r>
        <w:rPr>
          <w:rFonts w:ascii="CG Times" w:eastAsia="Times New Roman" w:hAnsi="CG Times"/>
          <w:i/>
          <w:sz w:val="22"/>
          <w:szCs w:val="22"/>
        </w:rPr>
        <w:t>.2, dt.aktit: 29.</w:t>
      </w:r>
      <w:r w:rsidRPr="00CD7DF8">
        <w:rPr>
          <w:rFonts w:ascii="CG Times" w:eastAsia="Times New Roman" w:hAnsi="CG Times"/>
          <w:i/>
          <w:sz w:val="22"/>
          <w:szCs w:val="22"/>
        </w:rPr>
        <w:t>4.2011).</w:t>
      </w:r>
      <w:r w:rsidRPr="00CD7DF8">
        <w:rPr>
          <w:rFonts w:ascii="CG Times" w:eastAsia="Times New Roman" w:hAnsi="CG Times"/>
          <w:sz w:val="22"/>
          <w:szCs w:val="22"/>
        </w:rPr>
        <w:t xml:space="preserve"> Gjithashtu, vlen të përmendet se raste të ndërhyrjes me akt normativ me </w:t>
      </w:r>
      <w:r w:rsidRPr="00CD7DF8">
        <w:rPr>
          <w:rFonts w:ascii="CG Times" w:eastAsia="Times New Roman" w:hAnsi="CG Times"/>
          <w:sz w:val="22"/>
          <w:szCs w:val="22"/>
        </w:rPr>
        <w:lastRenderedPageBreak/>
        <w:t>fuqinë e ligjit në ligje të miratuara me shumicë të cilësuar nuk kanë munguar (</w:t>
      </w:r>
      <w:r w:rsidRPr="00CD7DF8">
        <w:rPr>
          <w:rFonts w:ascii="CG Times" w:eastAsia="Times New Roman" w:hAnsi="CG Times"/>
          <w:i/>
          <w:sz w:val="22"/>
          <w:szCs w:val="22"/>
        </w:rPr>
        <w:t xml:space="preserve">shih akt </w:t>
      </w:r>
      <w:r>
        <w:rPr>
          <w:rFonts w:ascii="CG Times" w:eastAsia="Times New Roman" w:hAnsi="CG Times"/>
          <w:i/>
          <w:sz w:val="22"/>
          <w:szCs w:val="22"/>
        </w:rPr>
        <w:t>normativ i KM-së</w:t>
      </w:r>
      <w:r w:rsidRPr="00CD7DF8">
        <w:rPr>
          <w:rFonts w:ascii="CG Times" w:eastAsia="Times New Roman" w:hAnsi="CG Times"/>
          <w:i/>
          <w:sz w:val="22"/>
          <w:szCs w:val="22"/>
        </w:rPr>
        <w:t xml:space="preserve"> nr. 101, dt.aktit </w:t>
      </w:r>
      <w:r>
        <w:rPr>
          <w:rFonts w:ascii="CG Times" w:eastAsia="Times New Roman" w:hAnsi="CG Times"/>
          <w:i/>
          <w:sz w:val="22"/>
          <w:szCs w:val="22"/>
        </w:rPr>
        <w:t>5.</w:t>
      </w:r>
      <w:r w:rsidRPr="00CD7DF8">
        <w:rPr>
          <w:rFonts w:ascii="CG Times" w:eastAsia="Times New Roman" w:hAnsi="CG Times"/>
          <w:i/>
          <w:sz w:val="22"/>
          <w:szCs w:val="22"/>
        </w:rPr>
        <w:t>3.1999, nëpërmjet të cilit është ndërhyrë në Kodin Doganor)</w:t>
      </w:r>
      <w:r w:rsidRPr="00CD7DF8">
        <w:rPr>
          <w:rFonts w:ascii="CG Times" w:eastAsia="Times New Roman" w:hAnsi="CG Times"/>
          <w:sz w:val="22"/>
          <w:szCs w:val="22"/>
        </w:rPr>
        <w:t>. Duke pasur parasysh sa më sipër</w:t>
      </w:r>
      <w:r>
        <w:rPr>
          <w:rFonts w:ascii="CG Times" w:eastAsia="Times New Roman" w:hAnsi="CG Times"/>
          <w:sz w:val="22"/>
          <w:szCs w:val="22"/>
        </w:rPr>
        <w:t>,</w:t>
      </w:r>
      <w:r w:rsidRPr="00CD7DF8">
        <w:rPr>
          <w:rFonts w:ascii="CG Times" w:eastAsia="Times New Roman" w:hAnsi="CG Times"/>
          <w:sz w:val="22"/>
          <w:szCs w:val="22"/>
        </w:rPr>
        <w:t xml:space="preserve"> përforcohet më tepër konkluzioni i arritur në pikën “a”, </w:t>
      </w:r>
      <w:r w:rsidRPr="00CD7DF8">
        <w:rPr>
          <w:rFonts w:ascii="CG Times" w:eastAsia="Times New Roman" w:hAnsi="CG Times"/>
          <w:i/>
          <w:sz w:val="22"/>
          <w:szCs w:val="22"/>
        </w:rPr>
        <w:t>supra</w:t>
      </w:r>
      <w:r w:rsidRPr="00CD7DF8">
        <w:rPr>
          <w:rFonts w:ascii="CG Times" w:eastAsia="Times New Roman" w:hAnsi="CG Times"/>
          <w:sz w:val="22"/>
          <w:szCs w:val="22"/>
        </w:rPr>
        <w:t xml:space="preserve">, se kuadri kushtetues nuk pengon nxjerrjen e akteve normative me fuqinë e ligjit në fusha ligjore të rregulluara me ligje të cilësuara. Ushtrimi, në mënyrë përjashtimore, i kompetencës ligjvënëse nga KM-ja, në fusha të caktuara ligjore, në kuptim të neneve 101 dhe 116/1, germa “c”, nuk kufizohet nga shumica e kërkuar nga Kushtetuta për miratimin e ligjeve që rregullojnë këto fusha. </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d) Nga pikëpamja materiale, edhe një akt normativ që bën një rregullim ligjor të caktuar mund të bjerë ndesh me një ligj të miratuar me shumicë të cilësuar. Kështu akti normativ</w:t>
      </w:r>
      <w:r w:rsidRPr="00CD7DF8">
        <w:rPr>
          <w:rFonts w:ascii="CG Times" w:eastAsia="Times New Roman" w:hAnsi="CG Times"/>
          <w:b/>
          <w:sz w:val="22"/>
          <w:szCs w:val="22"/>
        </w:rPr>
        <w:t xml:space="preserve"> </w:t>
      </w:r>
      <w:r>
        <w:rPr>
          <w:rFonts w:ascii="CG Times" w:eastAsia="Times New Roman" w:hAnsi="CG Times"/>
          <w:sz w:val="22"/>
          <w:szCs w:val="22"/>
        </w:rPr>
        <w:t xml:space="preserve">nr. </w:t>
      </w:r>
      <w:r w:rsidRPr="00CD7DF8">
        <w:rPr>
          <w:rFonts w:ascii="CG Times" w:eastAsia="Times New Roman" w:hAnsi="CG Times"/>
          <w:sz w:val="22"/>
          <w:szCs w:val="22"/>
        </w:rPr>
        <w:t>3, datë 01.08.2012 “Për lirimin e banesave pronarëve të ligjshëm nga qytetarët e pastrehë, banues në banesat ish-pronë e subjekteve të shpronësuara”,</w:t>
      </w:r>
      <w:r w:rsidRPr="00CD7DF8">
        <w:rPr>
          <w:rFonts w:ascii="CG Times" w:eastAsia="Times New Roman" w:hAnsi="CG Times"/>
          <w:b/>
          <w:sz w:val="22"/>
          <w:szCs w:val="22"/>
        </w:rPr>
        <w:t xml:space="preserve"> </w:t>
      </w:r>
      <w:r w:rsidRPr="00CD7DF8">
        <w:rPr>
          <w:rFonts w:ascii="CG Times" w:eastAsia="Times New Roman" w:hAnsi="CG Times"/>
          <w:sz w:val="22"/>
          <w:szCs w:val="22"/>
        </w:rPr>
        <w:t xml:space="preserve">parashikonte në nenin 3 se gjykatat e shkallës së parë nuk mund të kryenin pezullimin e urdhrit të ekzekutimit, në kundërshtim me dispozitat e Kodit të Procedurës Civile që ia japin gjykatës këtë kompetencë. Sipas nenit 81/2, shkronja “d” të Kushtetutës, Kodi i Procedurës Civile është një ligj i miratuar me 3/5 e anëtarëve të Kuvendit, pra një ligj i miratuar me shumicë të cilësuar. Në shqyrtimin e këtij akti normativ Gjykata nuk ka vlerësuar nëse parashikimi i nenit 3 cenonte parimet kushtetuese, megjithëse ky nen, duke ndaluar pezullimin e urdhrit të ekzekutimit nga gjykata, ndërhynte në tagrat e dhëna kësaj të fundit nga vetë Kodi i Procedurës Civile </w:t>
      </w:r>
      <w:r w:rsidRPr="00CD7DF8">
        <w:rPr>
          <w:rFonts w:ascii="CG Times" w:eastAsia="Times New Roman" w:hAnsi="CG Times"/>
          <w:i/>
          <w:sz w:val="22"/>
          <w:szCs w:val="22"/>
        </w:rPr>
        <w:t xml:space="preserve">(shih </w:t>
      </w:r>
      <w:r>
        <w:rPr>
          <w:rFonts w:ascii="CG Times" w:eastAsia="Times New Roman" w:hAnsi="CG Times"/>
          <w:i/>
          <w:sz w:val="22"/>
          <w:szCs w:val="22"/>
        </w:rPr>
        <w:t>vendimin nr. 1, datë 06.02.2013,</w:t>
      </w:r>
      <w:r w:rsidRPr="00CD7DF8">
        <w:rPr>
          <w:rFonts w:ascii="CG Times" w:eastAsia="Times New Roman" w:hAnsi="CG Times"/>
          <w:i/>
          <w:sz w:val="22"/>
          <w:szCs w:val="22"/>
        </w:rPr>
        <w:t xml:space="preserve"> të Gjykatës Kushtetuese)</w:t>
      </w:r>
      <w:r w:rsidRPr="00CD7DF8">
        <w:rPr>
          <w:rFonts w:ascii="CG Times" w:eastAsia="Times New Roman" w:hAnsi="CG Times"/>
          <w:sz w:val="22"/>
          <w:szCs w:val="22"/>
        </w:rPr>
        <w:t xml:space="preserve">.  Ajo është shprehur se  “nuk është detyrë e saj shqyrtimi i përplasjeve dhe papajtueshmërive mes dy ligjeve të ndryshme apo ligjeve dhe kodeve (...) Gjykata çmon se, përderisa nuk vëren cenim të parimeve kushtetuese (...) kërkuesi nuk legjitimohet për të kërkuar kontrollin e kushtetutshmërisë së aktit (ligjit) në vështrim të neneve 7 dhe 116 të Kushtetutës” </w:t>
      </w:r>
      <w:r w:rsidRPr="00CD7DF8">
        <w:rPr>
          <w:rFonts w:ascii="CG Times" w:eastAsia="Times New Roman" w:hAnsi="CG Times"/>
          <w:i/>
          <w:sz w:val="22"/>
          <w:szCs w:val="22"/>
        </w:rPr>
        <w:t>(shih prg. 54 të vendimit nr. 1, datë 06.02.2013, të Gjykatës Kushtetuese)</w:t>
      </w:r>
      <w:r w:rsidRPr="00CD7DF8">
        <w:rPr>
          <w:rFonts w:ascii="CG Times" w:eastAsia="Times New Roman" w:hAnsi="CG Times"/>
          <w:sz w:val="22"/>
          <w:szCs w:val="22"/>
        </w:rPr>
        <w:t xml:space="preserve">. </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dh) Shumica e ka analizuar nenin 81, pika 2, shkronja “e”, në raport me rregullimet e nenit 83, pikat 2 dhe 3, të Kushtetutës, i cili parashikon procedurën e përshpejtuar për miratimin e ligjeve në raste të caktuara (</w:t>
      </w:r>
      <w:r w:rsidRPr="00CD7DF8">
        <w:rPr>
          <w:rFonts w:ascii="CG Times" w:eastAsia="Times New Roman" w:hAnsi="CG Times"/>
          <w:i/>
          <w:sz w:val="22"/>
          <w:szCs w:val="22"/>
        </w:rPr>
        <w:t>prg. 47 i vendimit</w:t>
      </w:r>
      <w:r w:rsidRPr="00CD7DF8">
        <w:rPr>
          <w:rFonts w:ascii="CG Times" w:eastAsia="Times New Roman" w:hAnsi="CG Times"/>
          <w:sz w:val="22"/>
          <w:szCs w:val="22"/>
        </w:rPr>
        <w:t>). Ajo ka vlerësuar se procedura parlamentare për shqyrtimin dhe miratimin e ligjeve të cilësuara ndjek rrjedhën e procedurës normale ligjvënëse e cila është thelbësisht e ndryshme nga ajo e përshpejtuar dhe procedura për miratimin e akteve me fuqinë e ligjit (</w:t>
      </w:r>
      <w:r w:rsidRPr="00CD7DF8">
        <w:rPr>
          <w:rFonts w:ascii="CG Times" w:eastAsia="Times New Roman" w:hAnsi="CG Times"/>
          <w:i/>
          <w:sz w:val="22"/>
          <w:szCs w:val="22"/>
        </w:rPr>
        <w:t>prg. 50 dhe 53 të vendimit</w:t>
      </w:r>
      <w:r w:rsidRPr="00CD7DF8">
        <w:rPr>
          <w:rFonts w:ascii="CG Times" w:eastAsia="Times New Roman" w:hAnsi="CG Times"/>
          <w:sz w:val="22"/>
          <w:szCs w:val="22"/>
        </w:rPr>
        <w:t>). Sipas arsyetimit të shumicës</w:t>
      </w:r>
      <w:r>
        <w:rPr>
          <w:rFonts w:ascii="CG Times" w:eastAsia="Times New Roman" w:hAnsi="CG Times"/>
          <w:sz w:val="22"/>
          <w:szCs w:val="22"/>
        </w:rPr>
        <w:t>,</w:t>
      </w:r>
      <w:r w:rsidRPr="00CD7DF8">
        <w:rPr>
          <w:rFonts w:ascii="CG Times" w:eastAsia="Times New Roman" w:hAnsi="CG Times"/>
          <w:sz w:val="22"/>
          <w:szCs w:val="22"/>
        </w:rPr>
        <w:t xml:space="preserve"> statusi i funksionarëve publikë përbën një fushë, rregullimi i së cilës i rezervohet ekskluzivisht Kuvendit, i cili e realizon këtë kompetencë përmes miratimit të ligjit me tri të pestat e të gjithë anëtarëve të tij, nëpërmjet një procedure normale legjislative. Për pasojë, vijon shumica, mosrespektimi nga Kuvendi i procedurës së parashikuar nga neni 81, pika 2, shkronja “e”, dhe neni 83, pika 3 të Kushtetutës, vjen në kundërshtim me parimin e ndarjes dhe balancimit të pushteteve (</w:t>
      </w:r>
      <w:r w:rsidRPr="00CD7DF8">
        <w:rPr>
          <w:rFonts w:ascii="CG Times" w:eastAsia="Times New Roman" w:hAnsi="CG Times"/>
          <w:i/>
          <w:sz w:val="22"/>
          <w:szCs w:val="22"/>
        </w:rPr>
        <w:t>prg. 60 dhe 66 të vendimit</w:t>
      </w:r>
      <w:r w:rsidRPr="00CD7DF8">
        <w:rPr>
          <w:rFonts w:ascii="CG Times" w:eastAsia="Times New Roman" w:hAnsi="CG Times"/>
          <w:sz w:val="22"/>
          <w:szCs w:val="22"/>
        </w:rPr>
        <w:t>). Referimi i shumicës te procedura e përshpejtuar e miratimit të ligjeve krijon paqartësi pasi, në analizën e saj, duke u përpjekur të ndajë procedurën normale legjislative nga procedura e përshpejtuar dhe ajo e miratimit të aktit normativ me fuqinë e ligjit, lë shkas për kategorizim të këtyre të fundit si “procedura të përshpejtuara”, thellësisht të ndryshme nga procedura normale ligjvënëse. Është e vërtetë që procedura normale ligjvënëse është e ndryshme nga procedura e përshpejtuar dhe nga ajo e miratimit të akteve normative me fuqinë e ligjit, por të tria këto procedura kanë karakteristikat e tyre të veçanta dhe duhen dalluar nga njëra-tjetra. Në rastin konkret, miratimi me ligj i aktit normativ, objekt shqyrtimi, nuk është bërë me procedurë të përshpejtuar në Kuvend, në shkelje të nenit 83, pika 3 të Kushtetutës, por është bërë në respektim të kritereve procedurale të përcaktuara në nenin 101 të</w:t>
      </w:r>
      <w:r>
        <w:rPr>
          <w:rFonts w:ascii="CG Times" w:eastAsia="Times New Roman" w:hAnsi="CG Times"/>
          <w:sz w:val="22"/>
          <w:szCs w:val="22"/>
        </w:rPr>
        <w:t xml:space="preserve"> Kushtetutës. Gjatë procesit 45-</w:t>
      </w:r>
      <w:r w:rsidRPr="00CD7DF8">
        <w:rPr>
          <w:rFonts w:ascii="CG Times" w:eastAsia="Times New Roman" w:hAnsi="CG Times"/>
          <w:sz w:val="22"/>
          <w:szCs w:val="22"/>
        </w:rPr>
        <w:t>ditor që i ka paraprirë miratimit me ligj, nuk rezulton që nga ana e kërkuesit të jenë ngritur pretendime në Kuvend për sa i përket procesit parlamentar të miratimit të këtij akti. Kushtetuta ka parashikuar a</w:t>
      </w:r>
      <w:r>
        <w:rPr>
          <w:rFonts w:ascii="CG Times" w:eastAsia="Times New Roman" w:hAnsi="CG Times"/>
          <w:sz w:val="22"/>
          <w:szCs w:val="22"/>
        </w:rPr>
        <w:t>fatin 45-</w:t>
      </w:r>
      <w:r w:rsidRPr="00CD7DF8">
        <w:rPr>
          <w:rFonts w:ascii="CG Times" w:eastAsia="Times New Roman" w:hAnsi="CG Times"/>
          <w:sz w:val="22"/>
          <w:szCs w:val="22"/>
        </w:rPr>
        <w:t xml:space="preserve">ditor jo vetëm në funksion të kryerjes së kontrollit nga ana e Kuvendit, por edhe për t’i dhënë mundësi deputetëve të paraqesin pretendimet e tyre në lidhje me aktin normativ me fuqinë e ligjit, apo procedurën e miratimit të tij. Gjithashtu, shumica nuk ka bërë dallimin në rastin konkret midis rregullimit dhe miratimit të statusit të nëpunësve civilë, si një fushë ligjore që ka ndjekur procedurën normale ligjvënëse përmes miratimit me 3/5 e anëtarëve të Kuvendit, nga ndërhyrja me aktin normativ </w:t>
      </w:r>
      <w:r w:rsidRPr="00CD7DF8">
        <w:rPr>
          <w:rFonts w:ascii="CG Times" w:eastAsia="Times New Roman" w:hAnsi="CG Times"/>
          <w:sz w:val="22"/>
          <w:szCs w:val="22"/>
        </w:rPr>
        <w:lastRenderedPageBreak/>
        <w:t>nr. 5/2013</w:t>
      </w:r>
      <w:r>
        <w:rPr>
          <w:rFonts w:ascii="CG Times" w:eastAsia="Times New Roman" w:hAnsi="CG Times"/>
          <w:sz w:val="22"/>
          <w:szCs w:val="22"/>
        </w:rPr>
        <w:t>,</w:t>
      </w:r>
      <w:r w:rsidRPr="00CD7DF8">
        <w:rPr>
          <w:rFonts w:ascii="CG Times" w:eastAsia="Times New Roman" w:hAnsi="CG Times"/>
          <w:sz w:val="22"/>
          <w:szCs w:val="22"/>
        </w:rPr>
        <w:t xml:space="preserve"> i cili nuk ka rregulluar në mënyrë materiale këtë fushë ligjore, por ka shtyrë fillimin e efekteve të ligjit për statusin e nëpunësve civilë.  Kemi të bëjmë me dy procedura të dallueshme nga njëra-tjetra që kanë qëllime të ndryshme; e para ka si qëllim të rregullojë nga pikëpamja materiale statusin e nëpunësit civil, ndërsa e dyta ka si qëllim ndërhyrjen, në kushtet e nevojës dhe urgjencës, për të shmangur pasoja të menjëhershme që do të vinin nga fillimi i efekteve të ligjit. Duke u shprehur se shqyrtimi dhe miratimi i çdo çështjeje që përfshihet në sferën e rregullimit të ligjit për statusin e funksionarëve publikë përbën vetëm rezervë të Kuvendit (</w:t>
      </w:r>
      <w:r w:rsidRPr="00CD7DF8">
        <w:rPr>
          <w:rFonts w:ascii="CG Times" w:eastAsia="Times New Roman" w:hAnsi="CG Times"/>
          <w:i/>
          <w:sz w:val="22"/>
          <w:szCs w:val="22"/>
        </w:rPr>
        <w:t>prg. 60 i vendimit</w:t>
      </w:r>
      <w:r w:rsidRPr="00CD7DF8">
        <w:rPr>
          <w:rFonts w:ascii="CG Times" w:eastAsia="Times New Roman" w:hAnsi="CG Times"/>
          <w:sz w:val="22"/>
          <w:szCs w:val="22"/>
        </w:rPr>
        <w:t>)</w:t>
      </w:r>
      <w:r>
        <w:rPr>
          <w:rFonts w:ascii="CG Times" w:eastAsia="Times New Roman" w:hAnsi="CG Times"/>
          <w:sz w:val="22"/>
          <w:szCs w:val="22"/>
        </w:rPr>
        <w:t>,</w:t>
      </w:r>
      <w:r w:rsidRPr="00CD7DF8">
        <w:rPr>
          <w:rFonts w:ascii="CG Times" w:eastAsia="Times New Roman" w:hAnsi="CG Times"/>
          <w:sz w:val="22"/>
          <w:szCs w:val="22"/>
        </w:rPr>
        <w:t xml:space="preserve"> shumica ka përjashtuar </w:t>
      </w:r>
      <w:r w:rsidRPr="00CD7DF8">
        <w:rPr>
          <w:rFonts w:ascii="CG Times" w:eastAsia="Times New Roman" w:hAnsi="CG Times"/>
          <w:i/>
          <w:sz w:val="22"/>
          <w:szCs w:val="22"/>
        </w:rPr>
        <w:t>a priori</w:t>
      </w:r>
      <w:r w:rsidRPr="00CD7DF8">
        <w:rPr>
          <w:rFonts w:ascii="CG Times" w:eastAsia="Times New Roman" w:hAnsi="CG Times"/>
          <w:sz w:val="22"/>
          <w:szCs w:val="22"/>
        </w:rPr>
        <w:t xml:space="preserve"> rastet që mund të kërkojnë në të ardhmen ndërhyrje urgjente e të nevojshme në këtë fushë ligjore.  Përveç sa më sipër, shumica ka konkluduar se ligji që miraton Kuvendi, duke vlerësuar formalisht dhe substancialisht aktin normativ me fuqinë e ligjit, është instrument konvertues i të parit si ligj material në një ligj formal dhe ky i fundit nuk mund të jetë veçse ligj i thjeshtë (</w:t>
      </w:r>
      <w:r w:rsidRPr="00CD7DF8">
        <w:rPr>
          <w:rFonts w:ascii="CG Times" w:eastAsia="Times New Roman" w:hAnsi="CG Times"/>
          <w:i/>
          <w:sz w:val="22"/>
          <w:szCs w:val="22"/>
        </w:rPr>
        <w:t>prg. 61 i vendimit</w:t>
      </w:r>
      <w:r w:rsidRPr="00CD7DF8">
        <w:rPr>
          <w:rFonts w:ascii="CG Times" w:eastAsia="Times New Roman" w:hAnsi="CG Times"/>
          <w:sz w:val="22"/>
          <w:szCs w:val="22"/>
        </w:rPr>
        <w:t xml:space="preserve">). Siç është shprehur dhe shumica, duke iu referuar jurisprudencës kushtetuese,  marrëdhëniet midis ligjeve të miratuara me një shumicë të cilësuar të Kuvendit dhe ligjeve të zakonshme mund të shihen në dy mënyra të ndryshme: si marrëdhënie midis burimeve të së drejtës të vendosura në nivele të ndryshme në hierarkinë e normave (ligjet që miratohen me shumicë të cilësuar qëndrojnë më lart se ato të miratuara me shumicë të thjeshtë); ose si një marrëdhënie e bazuar mbi parimin e shpërndarjes së kompetencës legjislative. Ndryshimet që mund t’u bëhen ligjeve të miratuara me shumicë të cilësuar ose dispozitave të veçanta të tyre nuk mund të arrihen nëpërmjet një ligji të thjeshtë, por nëpërmjet një ligji që do të kërkonte sërish të paktën tri të pestat e deputetëve. Kjo gjë arsyetohet me faktin e thjeshtë se rendi juridik nuk përbëhet nga norma juridike të barasvlershme apo me të njëjtën fuqi juridike, përkundrazi ai është një sistem i shkallëzuar, ku normat e së drejtës renditen në bazë të fuqisë juridike që kanë </w:t>
      </w:r>
      <w:r>
        <w:rPr>
          <w:rFonts w:ascii="CG Times" w:eastAsia="Times New Roman" w:hAnsi="CG Times"/>
          <w:i/>
          <w:sz w:val="22"/>
          <w:szCs w:val="22"/>
        </w:rPr>
        <w:t>(shih vendimet nr. 9, datë 23.3.2010 dhe nr. 19, datë 3.</w:t>
      </w:r>
      <w:r w:rsidRPr="00CD7DF8">
        <w:rPr>
          <w:rFonts w:ascii="CG Times" w:eastAsia="Times New Roman" w:hAnsi="CG Times"/>
          <w:i/>
          <w:sz w:val="22"/>
          <w:szCs w:val="22"/>
        </w:rPr>
        <w:t xml:space="preserve">5.2007, të Gjykatës Kushtetuese). </w:t>
      </w:r>
      <w:r w:rsidRPr="00CD7DF8">
        <w:rPr>
          <w:rFonts w:ascii="CG Times" w:eastAsia="Times New Roman" w:hAnsi="CG Times"/>
          <w:sz w:val="22"/>
          <w:szCs w:val="22"/>
        </w:rPr>
        <w:t xml:space="preserve">Rrjedhimisht, bazuar në standardet e mësipërme të vendosura nga Gjykata, nuk mund të pranohet miratimi me ligj të thjeshtë konvertues i aktit normativ që ka ndërhyrë në një ligj të miratuar nga Kuvendi me shumicë të cilësuar. Në funksion të respektimit të hierarkisë së normave juridike edhe ligji konvertues i këtij lloj akti normativ duhet të miratohet nga një shumicë e cilësuar. Ky kriter është përmbushur në rastin konkret, pasi ligji konvertues, nr. 161/2013, është miratuar me shumicë të cilësuar.    </w:t>
      </w:r>
    </w:p>
    <w:p w:rsidR="00873BD0" w:rsidRPr="00CD7DF8" w:rsidRDefault="00873BD0" w:rsidP="00873BD0">
      <w:pPr>
        <w:ind w:firstLine="720"/>
        <w:contextualSpacing/>
        <w:jc w:val="both"/>
        <w:rPr>
          <w:rFonts w:ascii="CG Times" w:eastAsia="Times New Roman" w:hAnsi="CG Times"/>
          <w:sz w:val="22"/>
          <w:szCs w:val="22"/>
        </w:rPr>
      </w:pPr>
      <w:r>
        <w:rPr>
          <w:rFonts w:ascii="CG Times" w:eastAsia="Times New Roman" w:hAnsi="CG Times"/>
          <w:i/>
          <w:sz w:val="22"/>
          <w:szCs w:val="22"/>
        </w:rPr>
        <w:t xml:space="preserve">2. </w:t>
      </w:r>
      <w:r w:rsidRPr="00CD7DF8">
        <w:rPr>
          <w:rFonts w:ascii="CG Times" w:eastAsia="Times New Roman" w:hAnsi="CG Times"/>
          <w:i/>
          <w:sz w:val="22"/>
          <w:szCs w:val="22"/>
        </w:rPr>
        <w:t>Në lidhje me efektet e ligjit miratues të aktit normativ me fuqinë e ligjit</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 xml:space="preserve">Shumica ka arritur në përfundimin se miratimi nga Kuvendi i aktit normativ në kapërcim të kritereve procedurale dhe lëndore të parashikuara nga Kushtetuta, përbën një të metë </w:t>
      </w:r>
      <w:r w:rsidRPr="00CD7DF8">
        <w:rPr>
          <w:rFonts w:ascii="CG Times" w:eastAsia="Times New Roman" w:hAnsi="CG Times"/>
          <w:i/>
          <w:sz w:val="22"/>
          <w:szCs w:val="22"/>
        </w:rPr>
        <w:t>in procedendo</w:t>
      </w:r>
      <w:r w:rsidRPr="00CD7DF8">
        <w:rPr>
          <w:rFonts w:ascii="CG Times" w:eastAsia="Times New Roman" w:hAnsi="CG Times"/>
          <w:sz w:val="22"/>
          <w:szCs w:val="22"/>
        </w:rPr>
        <w:t xml:space="preserve"> të vetë ligjit miratues </w:t>
      </w:r>
      <w:r w:rsidRPr="00CD7DF8">
        <w:rPr>
          <w:rFonts w:ascii="CG Times" w:eastAsia="Times New Roman" w:hAnsi="CG Times"/>
          <w:i/>
          <w:sz w:val="22"/>
          <w:szCs w:val="22"/>
        </w:rPr>
        <w:t>(prg. 65 i vendimit).</w:t>
      </w:r>
      <w:r w:rsidRPr="00CD7DF8">
        <w:rPr>
          <w:rFonts w:ascii="CG Times" w:eastAsia="Times New Roman" w:hAnsi="CG Times"/>
          <w:sz w:val="22"/>
          <w:szCs w:val="22"/>
        </w:rPr>
        <w:t xml:space="preserve"> Nuk jemi dakord me këtë përfundim të shumicës për arsyet që vijojnë.</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 xml:space="preserve">Në  vlerësimin tonë, kur akti normativ me fuqinë e ligjit, pas kontrollit nga Kuvendi, miratohet me ligj, sipas procedurës së parashikuar nga neni 101 i Kushtetutës, si rregull, veset procedurale shërohen. Megjithatë, theksojmë se vlerësimi i Gjykatës, në këtë drejtim, duhet të bëhet rast pas rasti. Kështu Gjykata duhet të vlerësojë nëse: a) KM-ja ka abuzuar me kompetencën ligjvënëse të dhënë në mënyrë përjashtimore nga neni 101 i Kushtetutës, duke nxjerrë një akt normativ me fuqinë e ligjit në kushtet e mungesës së urgjencës dhe nevojës; b) mungesa e urgjencës dhe nevojës është haptazi evidente/flagrante. </w:t>
      </w:r>
    </w:p>
    <w:p w:rsidR="00873BD0" w:rsidRPr="00CD7DF8" w:rsidRDefault="00873BD0" w:rsidP="00873BD0">
      <w:pPr>
        <w:ind w:firstLine="720"/>
        <w:jc w:val="both"/>
        <w:rPr>
          <w:rFonts w:ascii="CG Times" w:eastAsia="Times New Roman" w:hAnsi="CG Times"/>
          <w:sz w:val="22"/>
          <w:szCs w:val="22"/>
          <w:lang w:eastAsia="ja-JP"/>
        </w:rPr>
      </w:pPr>
      <w:r w:rsidRPr="00CD7DF8">
        <w:rPr>
          <w:rFonts w:ascii="CG Times" w:eastAsia="Times New Roman" w:hAnsi="CG Times"/>
          <w:sz w:val="22"/>
          <w:szCs w:val="22"/>
        </w:rPr>
        <w:t>Urgjenca dhe nevoja janë elemente me rëndësi të veçantë në përmbajtjen e nenit 101 të Kushtetutës dhe, si të tilla, janë përcaktuese për të drejtën që i njihet KM-së për zbatimin e kësaj dispozite. Shumica është shprehur se situatat e jashtëzakonshme, të cilat përcaktojnë legjitimitetin  kushtetues të këtyre akteve qeveritare, përkufizohen në raport me nevojën dhe urgjencën e zgjidhjes së një situate, natyra e veçantë e së cilës nënkupton se duhet të merren masa të menjëhershme nëse duhet parandaluar një rrezik serioz publik (</w:t>
      </w:r>
      <w:r w:rsidRPr="00CD7DF8">
        <w:rPr>
          <w:rFonts w:ascii="CG Times" w:eastAsia="Times New Roman" w:hAnsi="CG Times"/>
          <w:i/>
          <w:sz w:val="22"/>
          <w:szCs w:val="22"/>
        </w:rPr>
        <w:t>prg. 78 i vendimit)</w:t>
      </w:r>
      <w:r w:rsidRPr="00CD7DF8">
        <w:rPr>
          <w:rFonts w:ascii="CG Times" w:eastAsia="Times New Roman" w:hAnsi="CG Times"/>
          <w:sz w:val="22"/>
          <w:szCs w:val="22"/>
        </w:rPr>
        <w:t xml:space="preserve">. Ky arsyetim i shumicës nuk është në koherencë me jurisprudencën kushtetuese, pasi lë të nënkuptohet se vetëm një situatë e jashtëzakonshme mund të përbëjë nevojë dhe urgjencë, në kuptim të nenit 101 të Kushtetutës. Kushtetutëbërësi nuk e ka përkufizuar llojin e situatës objektive që duhet të ekzistojë për të përmbushur kriteret e urgjencës dhe </w:t>
      </w:r>
      <w:r w:rsidRPr="00CD7DF8">
        <w:rPr>
          <w:rFonts w:ascii="CG Times" w:eastAsia="Times New Roman" w:hAnsi="CG Times"/>
          <w:sz w:val="22"/>
          <w:szCs w:val="22"/>
        </w:rPr>
        <w:lastRenderedPageBreak/>
        <w:t>nevojës, por ia ka lënë vlerësimin e tyre diskrecionit të KM-së, i cili kontrollohet nga Kuvendi. Gjykata, në jurisprudencën e saj, është shprehur se n</w:t>
      </w:r>
      <w:r w:rsidRPr="00CD7DF8">
        <w:rPr>
          <w:rFonts w:ascii="CG Times" w:eastAsia="Times New Roman" w:hAnsi="CG Times"/>
          <w:sz w:val="22"/>
          <w:szCs w:val="22"/>
          <w:lang w:eastAsia="ja-JP"/>
        </w:rPr>
        <w:t xml:space="preserve">evoja dhe urgjenca janë rrethana dhe situata fakti që vlerësohen rast pas rasti. Ato mund të shkaktohen nga faktorë të ndryshëm jetësorë, natyrorë e shoqërorë. Si raste të tilla përmendim fatkeqësitë natyrore, boshllëkun legjislativ të shkaktuar nga shfuqizimi i akteve, nevojën për efekte të menjëhershme në fusha me ndjeshmëri të madhe publike, parandalimin e menjëhershëm të spekulimeve </w:t>
      </w:r>
      <w:r w:rsidRPr="00CD7DF8">
        <w:rPr>
          <w:rFonts w:ascii="CG Times" w:eastAsia="Times New Roman" w:hAnsi="CG Times"/>
          <w:i/>
          <w:sz w:val="22"/>
          <w:szCs w:val="22"/>
          <w:lang w:eastAsia="ja-JP"/>
        </w:rPr>
        <w:t>(shih vendimin nr. 24, datë 10.11.2006</w:t>
      </w:r>
      <w:r>
        <w:rPr>
          <w:rFonts w:ascii="CG Times" w:eastAsia="Times New Roman" w:hAnsi="CG Times"/>
          <w:i/>
          <w:sz w:val="22"/>
          <w:szCs w:val="22"/>
          <w:lang w:eastAsia="ja-JP"/>
        </w:rPr>
        <w:t>,</w:t>
      </w:r>
      <w:r w:rsidRPr="00CD7DF8">
        <w:rPr>
          <w:rFonts w:ascii="CG Times" w:eastAsia="Times New Roman" w:hAnsi="CG Times"/>
          <w:i/>
          <w:sz w:val="22"/>
          <w:szCs w:val="22"/>
          <w:lang w:eastAsia="ja-JP"/>
        </w:rPr>
        <w:t xml:space="preserve"> të Gjykatës Kushtetuese).</w:t>
      </w:r>
      <w:r w:rsidRPr="00CD7DF8">
        <w:rPr>
          <w:rFonts w:ascii="CG Times" w:eastAsia="Times New Roman" w:hAnsi="CG Times"/>
          <w:sz w:val="22"/>
          <w:szCs w:val="22"/>
          <w:lang w:eastAsia="ja-JP"/>
        </w:rPr>
        <w:t xml:space="preserve"> </w:t>
      </w:r>
    </w:p>
    <w:p w:rsidR="00873BD0" w:rsidRPr="00CD7DF8" w:rsidRDefault="00873BD0" w:rsidP="00873BD0">
      <w:pPr>
        <w:ind w:firstLine="720"/>
        <w:jc w:val="both"/>
        <w:rPr>
          <w:rFonts w:ascii="CG Times" w:eastAsia="Times New Roman" w:hAnsi="CG Times"/>
          <w:sz w:val="22"/>
          <w:szCs w:val="22"/>
          <w:lang w:eastAsia="ja-JP"/>
        </w:rPr>
      </w:pPr>
      <w:r w:rsidRPr="00CD7DF8">
        <w:rPr>
          <w:rFonts w:ascii="CG Times" w:eastAsia="Times New Roman" w:hAnsi="CG Times"/>
          <w:sz w:val="22"/>
          <w:szCs w:val="22"/>
          <w:lang w:eastAsia="ja-JP"/>
        </w:rPr>
        <w:t xml:space="preserve">Referuar jurisprudencës kushtetuese, Kuvendi është organi që bën vlerësimin dhe kontrollin e nevojës dhe urgjencës. </w:t>
      </w:r>
      <w:r w:rsidRPr="00CD7DF8">
        <w:rPr>
          <w:rFonts w:ascii="CG Times" w:hAnsi="CG Times"/>
          <w:sz w:val="22"/>
          <w:szCs w:val="22"/>
        </w:rPr>
        <w:t>Ai shqyrton praninë e të gjitha elementeve të përcaktuara shprehimisht në Kushtetutë për aktin normativ me fuqinë e ligjit</w:t>
      </w:r>
      <w:r>
        <w:rPr>
          <w:rFonts w:ascii="CG Times" w:hAnsi="CG Times"/>
          <w:sz w:val="22"/>
          <w:szCs w:val="22"/>
        </w:rPr>
        <w:t>,</w:t>
      </w:r>
      <w:r w:rsidRPr="00CD7DF8">
        <w:rPr>
          <w:rFonts w:ascii="CG Times" w:hAnsi="CG Times"/>
          <w:sz w:val="22"/>
          <w:szCs w:val="22"/>
        </w:rPr>
        <w:t xml:space="preserve"> si dhe pajtueshmërinë e përmbajtjes së tij me Kushtetutën dhe ligjet e tjera në fuqi. Pasi bën këtë </w:t>
      </w:r>
      <w:r w:rsidRPr="00CD7DF8">
        <w:rPr>
          <w:rFonts w:ascii="CG Times" w:eastAsia="Times New Roman" w:hAnsi="CG Times"/>
          <w:sz w:val="22"/>
          <w:szCs w:val="22"/>
          <w:lang w:eastAsia="ja-JP"/>
        </w:rPr>
        <w:t>vlerësim, në formë dhe përmbajtje të normës dhe elementeve përbërëse të saj, Kuvendi shpreh mendimin përfundimtar lidhur me aktin që shqyrton</w:t>
      </w:r>
      <w:r w:rsidRPr="00CD7DF8">
        <w:rPr>
          <w:rFonts w:ascii="CG Times" w:hAnsi="CG Times"/>
          <w:sz w:val="22"/>
          <w:szCs w:val="22"/>
        </w:rPr>
        <w:t xml:space="preserve"> </w:t>
      </w:r>
      <w:r w:rsidRPr="00CD7DF8">
        <w:rPr>
          <w:rFonts w:ascii="CG Times" w:eastAsia="Times New Roman" w:hAnsi="CG Times"/>
          <w:i/>
          <w:sz w:val="22"/>
          <w:szCs w:val="22"/>
          <w:lang w:eastAsia="ja-JP"/>
        </w:rPr>
        <w:t>(shih vendimin nr. 24, datë 10.11.2006, të Gjykatës Kushtetuese)</w:t>
      </w:r>
      <w:r w:rsidRPr="00CD7DF8">
        <w:rPr>
          <w:rFonts w:ascii="CG Times" w:eastAsia="Times New Roman" w:hAnsi="CG Times"/>
          <w:sz w:val="22"/>
          <w:szCs w:val="22"/>
          <w:lang w:eastAsia="ja-JP"/>
        </w:rPr>
        <w:t>.</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Edhe Gjykata Kushtetuese italiane, në jurisprudencën e saj ka mbajtur qëndrimin se ligji konvertues ka efekt shërues ndaj defekteve të dekretligjit, përveç rasteve kur mungesa e kushteve të urgjencës dhe nevojës është haptazi e dukshme/e qartë (</w:t>
      </w:r>
      <w:r w:rsidRPr="00CD7DF8">
        <w:rPr>
          <w:rFonts w:ascii="CG Times" w:eastAsia="Times New Roman" w:hAnsi="CG Times"/>
          <w:i/>
          <w:sz w:val="22"/>
          <w:szCs w:val="22"/>
        </w:rPr>
        <w:t>shih vendimet nr. 171/2007; 128/2008</w:t>
      </w:r>
      <w:r w:rsidRPr="00CD7DF8">
        <w:rPr>
          <w:rFonts w:ascii="CG Times" w:eastAsia="Times New Roman" w:hAnsi="CG Times"/>
          <w:sz w:val="22"/>
          <w:szCs w:val="22"/>
        </w:rPr>
        <w:t>). Ajo është shprehur se “mungesa e kushteve që legjitimojnë nxjerrjen e dekretligjit (kupto: nevoja, urgjenca), e konstatuar gjatë gjykimit kushtetues, duhet të jetë haptazi evidente (</w:t>
      </w:r>
      <w:r>
        <w:rPr>
          <w:rFonts w:ascii="CG Times" w:eastAsia="Times New Roman" w:hAnsi="CG Times"/>
          <w:i/>
          <w:sz w:val="22"/>
          <w:szCs w:val="22"/>
        </w:rPr>
        <w:t>shih vendimin nr. 171/2007,</w:t>
      </w:r>
      <w:r w:rsidRPr="00CD7DF8">
        <w:rPr>
          <w:rFonts w:ascii="CG Times" w:eastAsia="Times New Roman" w:hAnsi="CG Times"/>
          <w:i/>
          <w:sz w:val="22"/>
          <w:szCs w:val="22"/>
        </w:rPr>
        <w:t xml:space="preserve"> të Gjykatës Kushtetuese italiane)</w:t>
      </w:r>
      <w:r w:rsidRPr="00CD7DF8">
        <w:rPr>
          <w:rFonts w:ascii="CG Times" w:eastAsia="Times New Roman" w:hAnsi="CG Times"/>
          <w:sz w:val="22"/>
          <w:szCs w:val="22"/>
        </w:rPr>
        <w:t xml:space="preserve">. Në mënyrë konkluzive, Gjykata Kushtetuese italiane ka vlerësuar se mungesa e kushteve paraprake për nxjerrjen e dekretligjeve duhet të rezultojë në mënyrë të qartë gjatë shqyrtimit kushtetues. </w:t>
      </w:r>
      <w:r w:rsidRPr="00CD7DF8">
        <w:rPr>
          <w:rFonts w:ascii="CG Times" w:eastAsia="Times New Roman" w:hAnsi="CG Times"/>
          <w:b/>
          <w:sz w:val="22"/>
          <w:szCs w:val="22"/>
        </w:rPr>
        <w:t xml:space="preserve"> </w:t>
      </w:r>
      <w:r w:rsidRPr="00CD7DF8">
        <w:rPr>
          <w:rFonts w:ascii="CG Times" w:eastAsia="Times New Roman" w:hAnsi="CG Times"/>
          <w:sz w:val="22"/>
          <w:szCs w:val="22"/>
        </w:rPr>
        <w:tab/>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Vlerësimin e ekzistencës së urgjencës dhe</w:t>
      </w:r>
      <w:r>
        <w:rPr>
          <w:rFonts w:ascii="CG Times" w:eastAsia="Times New Roman" w:hAnsi="CG Times"/>
          <w:sz w:val="22"/>
          <w:szCs w:val="22"/>
        </w:rPr>
        <w:t xml:space="preserve"> të</w:t>
      </w:r>
      <w:r w:rsidRPr="00CD7DF8">
        <w:rPr>
          <w:rFonts w:ascii="CG Times" w:eastAsia="Times New Roman" w:hAnsi="CG Times"/>
          <w:sz w:val="22"/>
          <w:szCs w:val="22"/>
        </w:rPr>
        <w:t xml:space="preserve"> nevojës e bën fillimisht KM-ja, e më pas ky vlerësim diskrecional i nënshtrohet kontrollit formal dhe substancial të Kuvendit, i cili ka kompetencën ta miratojë ose jo me ligj, brenda 45 ditëve. Ekzistenca e këtyre kritereve kushtetuese nuk duhet të mbështetet thjesht në një deklarim formal se ato ekzistojnë, por duhet vlerësuar dhe mirëargumentuar nga ana e KM-së në relacionin shpjegues që i bashkëngjitet aktit normativ. Në rastin konkret vërejmë se argumentet e KM-së, që justifikojnë urgjencën dhe nevojën e nxjerrjes së aktit normativ nr. 5/2013, nuk janë abuzive. Në parashtrimet e saj KM-ja ka renditur disa faktorë që ajo ka marrë parasysh në vlerësimin e urgjencës dhe nevojës, më konkretisht: mungesën e akteve nënligjore për rregullimin e situatave të veçanta të krijuara nga ligji nr. 152/2013; pamundësinë kohore për ndryshimin e ligjit nr. 152/2013 me anë të procedurës normale legjislative; efektet financiare negative dhe ndikimin e ligjit nr. 152/2013 në Buxhetin e Shtetit; nevojën për organizim institucional; përfshirjen e një numri të madh punonjësish në shërbimin civil; mbajtjen nën kontroll të borxhit publik; harmonizimin e legjislacionit. Në vlerësimin tonë, KM-ja nuk ka abuzuar me kompetencën e saj ligjvënëse dhe në rastin konkret nuk jemi në kushtet e mungesës evidente/flagrante të urgjencës dhe nevojës. Vetë KM-ja e mëparshme, në projektligjin për statusin e nëpunësit civil, ka propozuar shtrirjen e efekteve të ligjit 6 muaj pas hyrjes në fuqi të</w:t>
      </w:r>
      <w:r>
        <w:rPr>
          <w:rFonts w:ascii="CG Times" w:eastAsia="Times New Roman" w:hAnsi="CG Times"/>
          <w:sz w:val="22"/>
          <w:szCs w:val="22"/>
        </w:rPr>
        <w:t xml:space="preserve"> tij dhe caktimin e një afati 3-</w:t>
      </w:r>
      <w:r w:rsidRPr="00CD7DF8">
        <w:rPr>
          <w:rFonts w:ascii="CG Times" w:eastAsia="Times New Roman" w:hAnsi="CG Times"/>
          <w:sz w:val="22"/>
          <w:szCs w:val="22"/>
        </w:rPr>
        <w:t>mujor për miratimin e akteve nënligjore (</w:t>
      </w:r>
      <w:r w:rsidRPr="00CD7DF8">
        <w:rPr>
          <w:rFonts w:ascii="CG Times" w:eastAsia="Times New Roman" w:hAnsi="CG Times"/>
          <w:i/>
          <w:sz w:val="22"/>
          <w:szCs w:val="22"/>
        </w:rPr>
        <w:t>shih nenet 70,72 të Projektligjit dhe relacionin shoqërues fq. 19-20</w:t>
      </w:r>
      <w:r w:rsidRPr="00CD7DF8">
        <w:rPr>
          <w:rFonts w:ascii="CG Times" w:eastAsia="Times New Roman" w:hAnsi="CG Times"/>
          <w:sz w:val="22"/>
          <w:szCs w:val="22"/>
        </w:rPr>
        <w:t xml:space="preserve">). Është e qartë se kjo situatë ishte parashikuar edhe nga KM-ja e mëparshme, e cila kishte evidentuar nevojën për caktimin e këtyre afateve kohore. Gjithashtu, shumica nuk i ka dhënë përgjigje pretendimit të kërkuesit </w:t>
      </w:r>
      <w:r w:rsidRPr="00CD7DF8">
        <w:rPr>
          <w:rFonts w:ascii="CG Times" w:eastAsia="Times New Roman" w:hAnsi="CG Times"/>
          <w:sz w:val="22"/>
          <w:szCs w:val="22"/>
          <w:lang w:eastAsia="ja-JP"/>
        </w:rPr>
        <w:t xml:space="preserve">se KM-ja, në rastin konkret, nuk ka respektuar kërkesat që burojnë nga neni 101 i Kushtetutës, lidhur me </w:t>
      </w:r>
      <w:r w:rsidRPr="00CD7DF8">
        <w:rPr>
          <w:rFonts w:ascii="CG Times" w:eastAsia="Times New Roman" w:hAnsi="CG Times"/>
          <w:sz w:val="22"/>
          <w:szCs w:val="22"/>
        </w:rPr>
        <w:t xml:space="preserve">nevojën dhe urgjencën për nxjerrjen e aktit normativ. Ajo është mjaftuar me parashtrimin e standardeve të vendosura nga jurisprudenca e saj, si dhe nga jurisprudenca kushtetuese italiane e spanjolle, pa vlerësuar nëse janë plotësuar në rastin konkret kushtet e nevojës dhe urgjencës për nxjerrjen e aktit normativ nr. 5/2013.  </w:t>
      </w:r>
    </w:p>
    <w:p w:rsidR="00873BD0" w:rsidRPr="00CD7DF8" w:rsidRDefault="00873BD0" w:rsidP="00873BD0">
      <w:pPr>
        <w:ind w:firstLine="720"/>
        <w:jc w:val="both"/>
        <w:rPr>
          <w:rFonts w:ascii="CG Times" w:eastAsia="Times New Roman" w:hAnsi="CG Times"/>
          <w:sz w:val="22"/>
          <w:szCs w:val="22"/>
        </w:rPr>
      </w:pPr>
      <w:r w:rsidRPr="00CD7DF8">
        <w:rPr>
          <w:rFonts w:ascii="CG Times" w:eastAsia="Times New Roman" w:hAnsi="CG Times"/>
          <w:sz w:val="22"/>
          <w:szCs w:val="22"/>
        </w:rPr>
        <w:t xml:space="preserve">Si përfundim, për sa më lart, ndryshe nga shumica, çmojmë se pretendimi i kërkuesit është i pabazuar, ndaj kërkesa e paraqitur prej tij duhej rrëzuar. </w:t>
      </w:r>
    </w:p>
    <w:p w:rsidR="00873BD0" w:rsidRDefault="00873BD0" w:rsidP="00873BD0">
      <w:pPr>
        <w:ind w:firstLine="720"/>
        <w:contextualSpacing/>
        <w:jc w:val="both"/>
        <w:rPr>
          <w:rFonts w:ascii="CG Times" w:eastAsia="Times New Roman" w:hAnsi="CG Times"/>
          <w:sz w:val="22"/>
          <w:szCs w:val="22"/>
        </w:rPr>
      </w:pPr>
    </w:p>
    <w:p w:rsidR="00873BD0" w:rsidRPr="00A87FB8" w:rsidRDefault="00873BD0" w:rsidP="00873BD0">
      <w:pPr>
        <w:ind w:firstLine="720"/>
        <w:contextualSpacing/>
        <w:jc w:val="both"/>
        <w:rPr>
          <w:rFonts w:ascii="CG Times" w:eastAsia="Times New Roman" w:hAnsi="CG Times"/>
          <w:sz w:val="22"/>
          <w:szCs w:val="22"/>
        </w:rPr>
      </w:pPr>
      <w:r>
        <w:rPr>
          <w:rFonts w:ascii="CG Times" w:eastAsia="Times New Roman" w:hAnsi="CG Times"/>
          <w:sz w:val="22"/>
          <w:szCs w:val="22"/>
        </w:rPr>
        <w:t xml:space="preserve">Anëtarë: Bashkim Dedja (kryetar), </w:t>
      </w:r>
      <w:r w:rsidRPr="00A87FB8">
        <w:rPr>
          <w:rFonts w:ascii="CG Times" w:eastAsia="Times New Roman" w:hAnsi="CG Times"/>
          <w:sz w:val="22"/>
          <w:szCs w:val="22"/>
        </w:rPr>
        <w:t>Besnik Imeraj</w:t>
      </w:r>
      <w:r>
        <w:rPr>
          <w:rFonts w:ascii="CG Times" w:eastAsia="Times New Roman" w:hAnsi="CG Times"/>
          <w:sz w:val="22"/>
          <w:szCs w:val="22"/>
        </w:rPr>
        <w:t>, Sokol Berberi, Fatos Lulo</w:t>
      </w:r>
    </w:p>
    <w:p w:rsidR="00873BD0" w:rsidRPr="00CD7DF8" w:rsidRDefault="00873BD0" w:rsidP="00873BD0">
      <w:pPr>
        <w:ind w:firstLine="720"/>
        <w:jc w:val="both"/>
        <w:rPr>
          <w:rFonts w:ascii="CG Times" w:eastAsia="Times New Roman" w:hAnsi="CG Times"/>
          <w:b/>
          <w:sz w:val="22"/>
          <w:szCs w:val="22"/>
        </w:rPr>
      </w:pPr>
    </w:p>
    <w:p w:rsidR="00873BD0" w:rsidRPr="00CD7DF8" w:rsidRDefault="00873BD0" w:rsidP="00873BD0">
      <w:pPr>
        <w:ind w:firstLine="720"/>
        <w:rPr>
          <w:rFonts w:ascii="CG Times" w:eastAsia="Times New Roman" w:hAnsi="CG Times"/>
          <w:sz w:val="22"/>
          <w:szCs w:val="22"/>
          <w:lang w:val="it-IT"/>
        </w:rPr>
      </w:pPr>
    </w:p>
    <w:p w:rsidR="00873BD0" w:rsidRPr="00CD7DF8" w:rsidRDefault="00873BD0" w:rsidP="00873BD0">
      <w:pPr>
        <w:pStyle w:val="Paragrafi"/>
      </w:pPr>
    </w:p>
    <w:p w:rsidR="00873BD0" w:rsidRPr="00CD7DF8" w:rsidRDefault="00873BD0" w:rsidP="00873BD0">
      <w:pPr>
        <w:pStyle w:val="Paragrafi"/>
      </w:pPr>
    </w:p>
    <w:p w:rsidR="00873BD0" w:rsidRPr="00CD7DF8" w:rsidRDefault="00873BD0" w:rsidP="00873BD0">
      <w:pPr>
        <w:pStyle w:val="Paragrafi"/>
      </w:pPr>
    </w:p>
    <w:p w:rsidR="002145EB" w:rsidRDefault="002145EB"/>
    <w:sectPr w:rsidR="002145EB" w:rsidSect="002145E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BD0" w:rsidRDefault="00873BD0" w:rsidP="00873BD0">
      <w:r>
        <w:separator/>
      </w:r>
    </w:p>
  </w:endnote>
  <w:endnote w:type="continuationSeparator" w:id="0">
    <w:p w:rsidR="00873BD0" w:rsidRDefault="00873BD0" w:rsidP="00873B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BD0" w:rsidRDefault="00873BD0" w:rsidP="00873BD0">
      <w:r>
        <w:separator/>
      </w:r>
    </w:p>
  </w:footnote>
  <w:footnote w:type="continuationSeparator" w:id="0">
    <w:p w:rsidR="00873BD0" w:rsidRDefault="00873BD0" w:rsidP="00873BD0">
      <w:r>
        <w:continuationSeparator/>
      </w:r>
    </w:p>
  </w:footnote>
  <w:footnote w:id="1">
    <w:p w:rsidR="00873BD0" w:rsidRPr="002F73D8" w:rsidRDefault="00873BD0" w:rsidP="00873BD0">
      <w:pPr>
        <w:pStyle w:val="FootnoteText"/>
      </w:pPr>
      <w:r w:rsidRPr="00A0094C">
        <w:rPr>
          <w:rStyle w:val="FootnoteReference"/>
        </w:rPr>
        <w:footnoteRef/>
      </w:r>
      <w:r w:rsidRPr="00A0094C">
        <w:t xml:space="preserve"> </w:t>
      </w:r>
      <w:r w:rsidRPr="002F73D8">
        <w:t>Gjyqtari S. Berberi është shprehur për legjitimimin e kërkuesit, por me arsyetim paralel.</w:t>
      </w:r>
    </w:p>
  </w:footnote>
  <w:footnote w:id="2">
    <w:p w:rsidR="00873BD0" w:rsidRPr="0047382F" w:rsidRDefault="00873BD0" w:rsidP="00873BD0">
      <w:pPr>
        <w:jc w:val="both"/>
        <w:rPr>
          <w:spacing w:val="-2"/>
          <w:sz w:val="20"/>
          <w:szCs w:val="20"/>
        </w:rPr>
      </w:pPr>
      <w:r w:rsidRPr="0047382F">
        <w:rPr>
          <w:rStyle w:val="FootnoteReference"/>
          <w:spacing w:val="-2"/>
          <w:sz w:val="20"/>
          <w:szCs w:val="20"/>
        </w:rPr>
        <w:footnoteRef/>
      </w:r>
      <w:r w:rsidRPr="0047382F">
        <w:rPr>
          <w:spacing w:val="-2"/>
          <w:sz w:val="20"/>
          <w:szCs w:val="20"/>
        </w:rPr>
        <w:t xml:space="preserve"> Aktet normative, objekt kundërshtimi i vendimit nr.24, datë 10.11.2006, janë miratuar me ligj, konkretisht me l</w:t>
      </w:r>
      <w:r w:rsidRPr="0047382F">
        <w:rPr>
          <w:rStyle w:val="Strong"/>
          <w:b w:val="0"/>
          <w:spacing w:val="-2"/>
          <w:sz w:val="20"/>
          <w:szCs w:val="20"/>
        </w:rPr>
        <w:t>igjin nr.9449, datë 15.12.2005</w:t>
      </w:r>
      <w:r w:rsidRPr="0047382F">
        <w:rPr>
          <w:bCs/>
          <w:spacing w:val="-2"/>
          <w:sz w:val="20"/>
          <w:szCs w:val="20"/>
        </w:rPr>
        <w:t xml:space="preserve"> “</w:t>
      </w:r>
      <w:r w:rsidRPr="0047382F">
        <w:rPr>
          <w:spacing w:val="-2"/>
          <w:sz w:val="20"/>
          <w:szCs w:val="20"/>
        </w:rPr>
        <w:t>Për miratimin e aktit normativ me fuqinë e ligjit nr.2, datë 10.11.2005 ‘Për lejimin e KESH sh.a. të marrë pjesë në ankandet e blerjes së kapaciteteve transmetuese dhe të energjisë elektrike’”; me l</w:t>
      </w:r>
      <w:r w:rsidRPr="0047382F">
        <w:rPr>
          <w:rFonts w:eastAsia="Times New Roman"/>
          <w:bCs/>
          <w:spacing w:val="-2"/>
          <w:sz w:val="20"/>
          <w:szCs w:val="20"/>
          <w:lang w:eastAsia="sq-AL"/>
        </w:rPr>
        <w:t>igjin nr.9450, datë 15.12.2005 “</w:t>
      </w:r>
      <w:r w:rsidRPr="0047382F">
        <w:rPr>
          <w:rFonts w:eastAsia="Times New Roman"/>
          <w:spacing w:val="-2"/>
          <w:sz w:val="20"/>
          <w:szCs w:val="20"/>
          <w:lang w:eastAsia="sq-AL"/>
        </w:rPr>
        <w:t xml:space="preserve">Për miratimin e aktit normativ me fuqinë e ligjit nr. 3, datë 23.11.2005 të Këshillit të Ministrave "Për një shtesë në ligjin nr. 7971, datë 26.7.1995 “Për prokurimin publik”, të ndryshuar”. </w:t>
      </w:r>
    </w:p>
  </w:footnote>
  <w:footnote w:id="3">
    <w:p w:rsidR="00873BD0" w:rsidRPr="00EF0C8B" w:rsidRDefault="00873BD0" w:rsidP="00873BD0">
      <w:pPr>
        <w:pStyle w:val="JuPara"/>
        <w:ind w:firstLine="0"/>
        <w:outlineLvl w:val="0"/>
        <w:rPr>
          <w:sz w:val="20"/>
          <w:szCs w:val="20"/>
          <w:lang w:val="sq-AL"/>
        </w:rPr>
      </w:pPr>
      <w:r w:rsidRPr="00EF0C8B">
        <w:rPr>
          <w:rStyle w:val="FootnoteReference"/>
          <w:sz w:val="20"/>
          <w:szCs w:val="20"/>
          <w:lang w:val="sq-AL"/>
        </w:rPr>
        <w:footnoteRef/>
      </w:r>
      <w:r>
        <w:rPr>
          <w:sz w:val="20"/>
          <w:szCs w:val="20"/>
          <w:lang w:val="sq-AL"/>
        </w:rPr>
        <w:t xml:space="preserve"> Vendimi nr.1, datë 6.</w:t>
      </w:r>
      <w:r w:rsidRPr="00EF0C8B">
        <w:rPr>
          <w:sz w:val="20"/>
          <w:szCs w:val="20"/>
          <w:lang w:val="sq-AL"/>
        </w:rPr>
        <w:t>2.2013 ka pasur për objekt</w:t>
      </w:r>
      <w:r>
        <w:rPr>
          <w:sz w:val="20"/>
          <w:szCs w:val="20"/>
          <w:lang w:val="sq-AL"/>
        </w:rPr>
        <w:t>:</w:t>
      </w:r>
      <w:r w:rsidRPr="00EF0C8B">
        <w:rPr>
          <w:sz w:val="20"/>
          <w:szCs w:val="20"/>
          <w:lang w:val="sq-AL"/>
        </w:rPr>
        <w:t xml:space="preserve"> “Shfuqizimin, si të papajtueshëm me Kushtetutën e Republikës së Shqipërisë, të</w:t>
      </w:r>
      <w:r>
        <w:rPr>
          <w:sz w:val="20"/>
          <w:szCs w:val="20"/>
          <w:lang w:val="sq-AL"/>
        </w:rPr>
        <w:t xml:space="preserve"> aktit normativ nr.3, datë 1.</w:t>
      </w:r>
      <w:r w:rsidRPr="00EF0C8B">
        <w:rPr>
          <w:sz w:val="20"/>
          <w:szCs w:val="20"/>
          <w:lang w:val="sq-AL"/>
        </w:rPr>
        <w:t xml:space="preserve">8.2012 “Për lirimin e banesave pronarëve të ligjshëm nga qytetarët e pastrehë, banues në banesat ish-pronë e subjekteve të shpronësuara”, si dhe </w:t>
      </w:r>
      <w:r>
        <w:rPr>
          <w:sz w:val="20"/>
          <w:szCs w:val="20"/>
          <w:lang w:val="sq-AL"/>
        </w:rPr>
        <w:t>të ligjit nr. 82/2012, datë 13.</w:t>
      </w:r>
      <w:r w:rsidRPr="00EF0C8B">
        <w:rPr>
          <w:sz w:val="20"/>
          <w:szCs w:val="20"/>
          <w:lang w:val="sq-AL"/>
        </w:rPr>
        <w:t>9.2012 “Për lirimin e banesave pronarëve të ligjshëm nga qytetarët e pastrehë, banues në banesat ish-pronë e subjekteve të shpronësuara”.</w:t>
      </w:r>
    </w:p>
    <w:p w:rsidR="00873BD0" w:rsidRPr="000D47DF" w:rsidRDefault="00873BD0" w:rsidP="00873BD0">
      <w:pPr>
        <w:pStyle w:val="FootnoteText"/>
        <w:jc w:val="both"/>
      </w:pPr>
    </w:p>
  </w:footnote>
  <w:footnote w:id="4">
    <w:p w:rsidR="00873BD0" w:rsidRPr="00D56891" w:rsidRDefault="00873BD0" w:rsidP="00873BD0">
      <w:pPr>
        <w:pStyle w:val="FootnoteText"/>
        <w:jc w:val="both"/>
      </w:pPr>
      <w:r w:rsidRPr="000D47DF">
        <w:rPr>
          <w:rStyle w:val="FootnoteReference"/>
        </w:rPr>
        <w:footnoteRef/>
      </w:r>
      <w:r>
        <w:t>Neni 77 i Kushtetutës Italiane parashikon se: “</w:t>
      </w:r>
      <w:r w:rsidRPr="000D47DF">
        <w:t xml:space="preserve">Qeveria nuk mund, pa delegimin e Dhomave, të nxjerrë dekrete që kanë vlerën e ligjit të zakonshëm. Kur në raste </w:t>
      </w:r>
      <w:r w:rsidRPr="000D47DF">
        <w:rPr>
          <w:iCs/>
        </w:rPr>
        <w:t>të jashtëzakonshme nevoje dhe urgjence, Qeveria, nën përgjegjësinë e vet</w:t>
      </w:r>
      <w:r w:rsidRPr="000D47DF">
        <w:t xml:space="preserve">, nxjerr akte </w:t>
      </w:r>
      <w:r w:rsidRPr="000D47DF">
        <w:rPr>
          <w:iCs/>
        </w:rPr>
        <w:t xml:space="preserve">të përkohshme </w:t>
      </w:r>
      <w:r w:rsidRPr="000D47DF">
        <w:t xml:space="preserve">që kanë </w:t>
      </w:r>
      <w:r w:rsidRPr="000D47DF">
        <w:rPr>
          <w:iCs/>
        </w:rPr>
        <w:t>fuqinë e ligjit</w:t>
      </w:r>
      <w:r w:rsidRPr="000D47DF">
        <w:t xml:space="preserve">, duhet po atë ditë t’ua paraqesë për t’i kthyer në ligj Dhomave, të cilat, edhe po të jenë të shpërndara, thirren enkas dhe mblidhen brenda pesë ditëve. Dekretet </w:t>
      </w:r>
      <w:r w:rsidRPr="000D47DF">
        <w:rPr>
          <w:iCs/>
        </w:rPr>
        <w:t>humbasin fuqinë që nga fillimi</w:t>
      </w:r>
      <w:r w:rsidRPr="000D47DF">
        <w:t>, në rast se nuk kthehen në ligj brenda 60 ditëve që nga botimi i tyre. Megjithatë, Dhomat mund të rregullojnë me ligj marrëdhëniet juridike të lindura mbi bazën e dekreteve të pakthyera në ligj</w:t>
      </w:r>
      <w:r>
        <w:t>.”</w:t>
      </w:r>
      <w:r w:rsidRPr="00EC0978">
        <w:rPr>
          <w:color w:val="231F20"/>
          <w:sz w:val="24"/>
          <w:szCs w:val="24"/>
        </w:rPr>
        <w:t xml:space="preserve"> </w:t>
      </w:r>
      <w:r w:rsidRPr="00D56891">
        <w:rPr>
          <w:color w:val="231F20"/>
          <w:sz w:val="24"/>
          <w:szCs w:val="24"/>
        </w:rPr>
        <w:t>N</w:t>
      </w:r>
      <w:r w:rsidRPr="00D56891">
        <w:t>eni 72, paragrafi 4 përcakton se: “Procedura normale e shqyrtimit dhe e miratimit të drejtpërdrejtë nga ana e Parlamenti</w:t>
      </w:r>
      <w:r>
        <w:t>t</w:t>
      </w:r>
      <w:r w:rsidRPr="00D56891">
        <w:t xml:space="preserve"> vendoset gjithmonë për projektligjet në fushën kushtetuese dhe zgjedhore dhe për ato të delegimit ligjvënës, të autorizimit për ra</w:t>
      </w:r>
      <w:r>
        <w:t>tifikim traktatesh ndërkombëtare</w:t>
      </w:r>
      <w:r w:rsidRPr="00D56891">
        <w:t>, të miratimit të buxhetev</w:t>
      </w:r>
      <w:r>
        <w:t>e dhe të raporteve përfundimtare</w:t>
      </w:r>
      <w:r w:rsidRPr="00D56891">
        <w:t xml:space="preserve">.” </w:t>
      </w:r>
      <w:r>
        <w:t>Ligji nr. 400, datë 23.</w:t>
      </w:r>
      <w:r w:rsidRPr="00A6703D">
        <w:t>8.1988 “Disciplina dell'attività di Governo e ordinamento della Presidenza del Consiglio dei Ministri” në nenin 15/2/b parashikon se: “Qeveria nuk mundet, përmes dekretligjit, të ndërhyjë në çështjet e treguara në nenin 72, paragrafi 4 i Kushtetutës.”</w:t>
      </w:r>
    </w:p>
  </w:footnote>
  <w:footnote w:id="5">
    <w:p w:rsidR="00873BD0" w:rsidRPr="000D47DF" w:rsidRDefault="00873BD0" w:rsidP="00873BD0">
      <w:pPr>
        <w:pStyle w:val="FootnoteText"/>
        <w:jc w:val="both"/>
      </w:pPr>
      <w:r w:rsidRPr="000D47DF">
        <w:rPr>
          <w:rStyle w:val="FootnoteReference"/>
        </w:rPr>
        <w:footnoteRef/>
      </w:r>
      <w:r w:rsidRPr="000D47DF">
        <w:t xml:space="preserve"> </w:t>
      </w:r>
      <w:r>
        <w:t>Neni 86 i Kushtetutës spanjolle përcakton se “</w:t>
      </w:r>
      <w:r w:rsidRPr="000D47DF">
        <w:t>1. Në raste të jashtëzakonshme dhe urgjente nevoje, Qeveria mund të nxjerrë dispozita legjislative provizore, që marrin formën e dekretligjeve (</w:t>
      </w:r>
      <w:r w:rsidRPr="004B2720">
        <w:rPr>
          <w:i/>
        </w:rPr>
        <w:t>decreto – ley</w:t>
      </w:r>
      <w:r w:rsidRPr="000D47DF">
        <w:t>) dhe që nuk mund të ndërhyjnë</w:t>
      </w:r>
      <w:r>
        <w:t>/</w:t>
      </w:r>
      <w:r w:rsidRPr="000D47DF">
        <w:t xml:space="preserve"> influencojnë mbi rendin juridik ose mbi i</w:t>
      </w:r>
      <w:r>
        <w:t>nstitucionet themelore të s</w:t>
      </w:r>
      <w:r w:rsidRPr="000D47DF">
        <w:t>htetit, mbi të drejtat, detyrimet dhe liritë e individit sipas Titulli</w:t>
      </w:r>
      <w:r>
        <w:t>t I, mbi regjimin i b</w:t>
      </w:r>
      <w:r w:rsidRPr="000D47DF">
        <w:t>ashkësive autonome dhe mbi të drejtën e zgjedhjeve në përgjithësi. 2.</w:t>
      </w:r>
      <w:r>
        <w:t xml:space="preserve"> </w:t>
      </w:r>
      <w:r w:rsidRPr="000D47DF">
        <w:t xml:space="preserve">Dekretligjet duhet të paraqiten menjëherë për diskutim dhe votim në Kongresin e deputetëve, i cili me atë rast thirret enkas nëse nuk është i mbledhur, brenda 30 ditëve nga botimi i tyre. Kongresi duhet të shprehet në mënyrë eksplicite, brenda këtij afati, për </w:t>
      </w:r>
      <w:r>
        <w:t xml:space="preserve">miratimin </w:t>
      </w:r>
      <w:r w:rsidRPr="000D47DF">
        <w:t>ose shfuqizimin e tyre, sipas një procedure të veçantë dhe të përshpejtuar</w:t>
      </w:r>
      <w:r>
        <w:t>,</w:t>
      </w:r>
      <w:r w:rsidRPr="000D47DF">
        <w:t xml:space="preserve"> të përcaktuar nga rregullorja.</w:t>
      </w:r>
      <w:r>
        <w:t>”</w:t>
      </w:r>
    </w:p>
  </w:footnote>
  <w:footnote w:id="6">
    <w:p w:rsidR="00873BD0" w:rsidRPr="00941E7C" w:rsidRDefault="00873BD0" w:rsidP="00873BD0">
      <w:pPr>
        <w:autoSpaceDE w:val="0"/>
        <w:autoSpaceDN w:val="0"/>
        <w:adjustRightInd w:val="0"/>
        <w:jc w:val="both"/>
        <w:rPr>
          <w:sz w:val="18"/>
          <w:szCs w:val="18"/>
        </w:rPr>
      </w:pPr>
      <w:r w:rsidRPr="00941E7C">
        <w:rPr>
          <w:rStyle w:val="FootnoteReference"/>
          <w:sz w:val="20"/>
          <w:szCs w:val="20"/>
        </w:rPr>
        <w:footnoteRef/>
      </w:r>
      <w:r w:rsidRPr="00941E7C">
        <w:rPr>
          <w:sz w:val="20"/>
          <w:szCs w:val="20"/>
        </w:rPr>
        <w:t xml:space="preserve"> N</w:t>
      </w:r>
      <w:r w:rsidRPr="00941E7C">
        <w:rPr>
          <w:sz w:val="18"/>
          <w:szCs w:val="18"/>
        </w:rPr>
        <w:t>eni 15, paragrafi 2, parashikon</w:t>
      </w:r>
      <w:r>
        <w:rPr>
          <w:sz w:val="18"/>
          <w:szCs w:val="18"/>
        </w:rPr>
        <w:t>:</w:t>
      </w:r>
      <w:r w:rsidRPr="00941E7C">
        <w:rPr>
          <w:sz w:val="18"/>
          <w:szCs w:val="18"/>
        </w:rPr>
        <w:t xml:space="preserve"> “asnjë autoritet, përveç Parlamentit, nuk mund të nxjerrë ligje shtetërore”.</w:t>
      </w:r>
    </w:p>
  </w:footnote>
  <w:footnote w:id="7">
    <w:p w:rsidR="00873BD0" w:rsidRPr="000D47DF" w:rsidRDefault="00873BD0" w:rsidP="00873BD0">
      <w:pPr>
        <w:pStyle w:val="ListParagraph"/>
        <w:autoSpaceDE w:val="0"/>
        <w:autoSpaceDN w:val="0"/>
        <w:adjustRightInd w:val="0"/>
        <w:spacing w:after="0" w:line="240" w:lineRule="auto"/>
        <w:ind w:left="0"/>
        <w:jc w:val="both"/>
        <w:rPr>
          <w:rFonts w:ascii="Times New Roman" w:hAnsi="Times New Roman"/>
          <w:sz w:val="20"/>
          <w:szCs w:val="20"/>
        </w:rPr>
      </w:pPr>
      <w:r w:rsidRPr="000D47DF">
        <w:rPr>
          <w:rStyle w:val="FootnoteReference"/>
          <w:rFonts w:ascii="Times New Roman" w:hAnsi="Times New Roman"/>
          <w:sz w:val="20"/>
          <w:szCs w:val="20"/>
        </w:rPr>
        <w:footnoteRef/>
      </w:r>
      <w:r w:rsidRPr="000D47DF">
        <w:rPr>
          <w:rFonts w:ascii="Times New Roman" w:hAnsi="Times New Roman"/>
          <w:sz w:val="20"/>
          <w:szCs w:val="20"/>
        </w:rPr>
        <w:t xml:space="preserve"> Instituti që i përafrohet, në një përkufizim të gjerë, është </w:t>
      </w:r>
      <w:r w:rsidRPr="000D47DF">
        <w:rPr>
          <w:rFonts w:ascii="Times New Roman" w:hAnsi="Times New Roman"/>
          <w:i/>
          <w:sz w:val="20"/>
          <w:szCs w:val="20"/>
        </w:rPr>
        <w:t>gjendja e emergjencës së legjislativit</w:t>
      </w:r>
      <w:r w:rsidRPr="000D47DF">
        <w:rPr>
          <w:rFonts w:ascii="Times New Roman" w:hAnsi="Times New Roman"/>
          <w:sz w:val="20"/>
          <w:szCs w:val="20"/>
        </w:rPr>
        <w:t>, e sanksionuar në nenin 81, që</w:t>
      </w:r>
      <w:r>
        <w:rPr>
          <w:rFonts w:ascii="Times New Roman" w:hAnsi="Times New Roman"/>
          <w:sz w:val="20"/>
          <w:szCs w:val="20"/>
        </w:rPr>
        <w:t>,</w:t>
      </w:r>
      <w:r w:rsidRPr="000D47DF">
        <w:rPr>
          <w:rFonts w:ascii="Times New Roman" w:hAnsi="Times New Roman"/>
          <w:sz w:val="20"/>
          <w:szCs w:val="20"/>
        </w:rPr>
        <w:t xml:space="preserve"> kur ekzistojnë disa kushte</w:t>
      </w:r>
      <w:r>
        <w:rPr>
          <w:rFonts w:ascii="Times New Roman" w:hAnsi="Times New Roman"/>
          <w:sz w:val="20"/>
          <w:szCs w:val="20"/>
        </w:rPr>
        <w:t>,</w:t>
      </w:r>
      <w:r w:rsidRPr="000D47DF">
        <w:rPr>
          <w:rFonts w:ascii="Times New Roman" w:hAnsi="Times New Roman"/>
          <w:sz w:val="20"/>
          <w:szCs w:val="20"/>
        </w:rPr>
        <w:t xml:space="preserve"> pranon për një semestër një zëvendësim të </w:t>
      </w:r>
      <w:r w:rsidRPr="000D47DF">
        <w:rPr>
          <w:rFonts w:ascii="Times New Roman" w:hAnsi="Times New Roman"/>
          <w:i/>
          <w:sz w:val="20"/>
          <w:szCs w:val="20"/>
        </w:rPr>
        <w:t xml:space="preserve">Bundesrat </w:t>
      </w:r>
      <w:r w:rsidRPr="000D47DF">
        <w:rPr>
          <w:rFonts w:ascii="Times New Roman" w:hAnsi="Times New Roman"/>
          <w:sz w:val="20"/>
          <w:szCs w:val="20"/>
        </w:rPr>
        <w:t xml:space="preserve">nga </w:t>
      </w:r>
      <w:r w:rsidRPr="000D47DF">
        <w:rPr>
          <w:rFonts w:ascii="Times New Roman" w:hAnsi="Times New Roman"/>
          <w:i/>
          <w:sz w:val="20"/>
          <w:szCs w:val="20"/>
        </w:rPr>
        <w:t xml:space="preserve">Bundestag </w:t>
      </w:r>
      <w:r w:rsidRPr="000D47DF">
        <w:rPr>
          <w:rFonts w:ascii="Times New Roman" w:hAnsi="Times New Roman"/>
          <w:sz w:val="20"/>
          <w:szCs w:val="20"/>
        </w:rPr>
        <w:t>në ushtrimin e funksionit legjislativ. Ndërsa ligji XVII i rishikimit të Kushtetutës</w:t>
      </w:r>
      <w:r>
        <w:rPr>
          <w:rFonts w:ascii="Times New Roman" w:hAnsi="Times New Roman"/>
          <w:sz w:val="20"/>
          <w:szCs w:val="20"/>
        </w:rPr>
        <w:t>, i datës 24.</w:t>
      </w:r>
      <w:r w:rsidRPr="000D47DF">
        <w:rPr>
          <w:rFonts w:ascii="Times New Roman" w:hAnsi="Times New Roman"/>
          <w:sz w:val="20"/>
          <w:szCs w:val="20"/>
        </w:rPr>
        <w:t xml:space="preserve">6.1968, sanksionon aplikimin e normave në gjendje tensioni, edhe pse gjithmonë nevojitet një formë autorizimi legjislativ për nxjerrjen e këtyre ordinancave. Neni 80/1 parashikon “nëse është përcaktuar në këtë ligj ose në një ligj federal mbi “gjendjen e mbrojtjes” përfshirë mbrojtja e popullsisë, që mund të aplikohen dekrete legjislative vetëm mbi bazën e normave të përmbajtura në këtë nen, aplikimi jashtë ‘gjendjes së mbrojtjes’ është i pranueshëm vetëm nëse </w:t>
      </w:r>
      <w:r w:rsidRPr="000D47DF">
        <w:rPr>
          <w:rFonts w:ascii="Times New Roman" w:hAnsi="Times New Roman"/>
          <w:i/>
          <w:sz w:val="20"/>
          <w:szCs w:val="20"/>
        </w:rPr>
        <w:t xml:space="preserve">Bundestag </w:t>
      </w:r>
      <w:r w:rsidRPr="000D47DF">
        <w:rPr>
          <w:rFonts w:ascii="Times New Roman" w:hAnsi="Times New Roman"/>
          <w:sz w:val="20"/>
          <w:szCs w:val="20"/>
        </w:rPr>
        <w:t>ka përcaktuar hyrjen në ‘gjendjen e tensionit’ ose nëse ka aprovuar specifikisht aplikimin” dhe në paragrafin 2 që “vendimet e mar</w:t>
      </w:r>
      <w:r>
        <w:rPr>
          <w:rFonts w:ascii="Times New Roman" w:hAnsi="Times New Roman"/>
          <w:sz w:val="20"/>
          <w:szCs w:val="20"/>
        </w:rPr>
        <w:t>r</w:t>
      </w:r>
      <w:r w:rsidRPr="000D47DF">
        <w:rPr>
          <w:rFonts w:ascii="Times New Roman" w:hAnsi="Times New Roman"/>
          <w:sz w:val="20"/>
          <w:szCs w:val="20"/>
        </w:rPr>
        <w:t>a në bazë të dekreteve legjislative</w:t>
      </w:r>
      <w:r>
        <w:rPr>
          <w:rFonts w:ascii="Times New Roman" w:hAnsi="Times New Roman"/>
          <w:sz w:val="20"/>
          <w:szCs w:val="20"/>
        </w:rPr>
        <w:t>,</w:t>
      </w:r>
      <w:r w:rsidRPr="000D47DF">
        <w:rPr>
          <w:rFonts w:ascii="Times New Roman" w:hAnsi="Times New Roman"/>
          <w:sz w:val="20"/>
          <w:szCs w:val="20"/>
        </w:rPr>
        <w:t xml:space="preserve"> sipas paragrafit 1, duhet të shfuqizohen nëse e kërkon </w:t>
      </w:r>
      <w:r w:rsidRPr="000D47DF">
        <w:rPr>
          <w:rFonts w:ascii="Times New Roman" w:hAnsi="Times New Roman"/>
          <w:i/>
          <w:sz w:val="20"/>
          <w:szCs w:val="20"/>
        </w:rPr>
        <w:t>Bundestag</w:t>
      </w:r>
      <w:r w:rsidRPr="000D47DF">
        <w:rPr>
          <w:rFonts w:ascii="Times New Roman" w:hAnsi="Times New Roman"/>
          <w:sz w:val="20"/>
          <w:szCs w:val="20"/>
        </w:rPr>
        <w:t>”.</w:t>
      </w:r>
    </w:p>
  </w:footnote>
  <w:footnote w:id="8">
    <w:p w:rsidR="00873BD0" w:rsidRPr="000D47DF" w:rsidRDefault="00873BD0" w:rsidP="00873BD0">
      <w:pPr>
        <w:pStyle w:val="ListParagraph"/>
        <w:autoSpaceDE w:val="0"/>
        <w:autoSpaceDN w:val="0"/>
        <w:adjustRightInd w:val="0"/>
        <w:spacing w:after="0" w:line="240" w:lineRule="auto"/>
        <w:ind w:left="0"/>
        <w:jc w:val="both"/>
        <w:rPr>
          <w:rFonts w:ascii="Times New Roman" w:hAnsi="Times New Roman"/>
          <w:sz w:val="20"/>
          <w:szCs w:val="20"/>
        </w:rPr>
      </w:pPr>
      <w:r w:rsidRPr="000D47DF">
        <w:rPr>
          <w:rStyle w:val="FootnoteReference"/>
          <w:rFonts w:ascii="Times New Roman" w:hAnsi="Times New Roman"/>
          <w:sz w:val="20"/>
          <w:szCs w:val="20"/>
        </w:rPr>
        <w:footnoteRef/>
      </w:r>
      <w:r w:rsidRPr="000D47DF">
        <w:rPr>
          <w:rFonts w:ascii="Times New Roman" w:hAnsi="Times New Roman"/>
          <w:sz w:val="20"/>
          <w:szCs w:val="20"/>
        </w:rPr>
        <w:t xml:space="preserve"> Neni 38 i Kushtetutës franceze parashikon se</w:t>
      </w:r>
      <w:r>
        <w:rPr>
          <w:rFonts w:ascii="Times New Roman" w:hAnsi="Times New Roman"/>
          <w:sz w:val="20"/>
          <w:szCs w:val="20"/>
        </w:rPr>
        <w:t>:</w:t>
      </w:r>
      <w:r w:rsidRPr="000D47DF">
        <w:rPr>
          <w:rFonts w:ascii="Times New Roman" w:hAnsi="Times New Roman"/>
          <w:sz w:val="20"/>
          <w:szCs w:val="20"/>
        </w:rPr>
        <w:t xml:space="preserve"> “Qeveria, për ekzekutimin e programit të saj, mund t’i kërkojë Parlamentit autorizim që të nxjerrë me ordinanca, brenda një afati të kufizuar, akte që normalisht kanë fuqinë e ligjit”, që “hyjnë në fuqi me publikimin, por që bien në dekadencë nëse projektligji i ratifikimit të aktit nuk paraqitet në Parlament brenda afatit të përcaktuar në ligjin e autorizimit (</w:t>
      </w:r>
      <w:r w:rsidRPr="000D47DF">
        <w:rPr>
          <w:rFonts w:ascii="Times New Roman" w:hAnsi="Times New Roman"/>
          <w:i/>
          <w:sz w:val="20"/>
          <w:szCs w:val="20"/>
        </w:rPr>
        <w:t>loi d’habilitation</w:t>
      </w:r>
      <w:r w:rsidRPr="000D47DF">
        <w:rPr>
          <w:rFonts w:ascii="Times New Roman" w:hAnsi="Times New Roman"/>
          <w:sz w:val="20"/>
          <w:szCs w:val="20"/>
        </w:rPr>
        <w:t xml:space="preserve">)”, pra vetëm </w:t>
      </w:r>
      <w:r w:rsidRPr="000D47DF">
        <w:rPr>
          <w:rFonts w:ascii="Times New Roman" w:hAnsi="Times New Roman"/>
          <w:i/>
          <w:sz w:val="20"/>
          <w:szCs w:val="20"/>
        </w:rPr>
        <w:t>ordonna</w:t>
      </w:r>
      <w:r>
        <w:rPr>
          <w:rFonts w:ascii="Times New Roman" w:hAnsi="Times New Roman"/>
          <w:i/>
          <w:sz w:val="20"/>
          <w:szCs w:val="20"/>
        </w:rPr>
        <w:t>n</w:t>
      </w:r>
      <w:r w:rsidRPr="000D47DF">
        <w:rPr>
          <w:rFonts w:ascii="Times New Roman" w:hAnsi="Times New Roman"/>
          <w:i/>
          <w:sz w:val="20"/>
          <w:szCs w:val="20"/>
        </w:rPr>
        <w:t xml:space="preserve">ces </w:t>
      </w:r>
      <w:r w:rsidRPr="000D47DF">
        <w:rPr>
          <w:rFonts w:ascii="Times New Roman" w:hAnsi="Times New Roman"/>
          <w:sz w:val="20"/>
          <w:szCs w:val="20"/>
        </w:rPr>
        <w:t xml:space="preserve">qeveritare të nxjerra me “autorizim” të Kuvendit, që më tepër ngjasojnë me delegimin legjislativ sesa me aktin normativ me fuqinë e ligjit. Ndërsa neni 16 i Kushtetutës sanksionon pushtetin e jashtëzakonshëm të Presidentit të Republikës, që konsiston </w:t>
      </w:r>
      <w:r w:rsidRPr="000D47DF">
        <w:rPr>
          <w:rFonts w:ascii="Times New Roman" w:hAnsi="Times New Roman"/>
          <w:i/>
          <w:sz w:val="20"/>
          <w:szCs w:val="20"/>
        </w:rPr>
        <w:t xml:space="preserve">latu sensu </w:t>
      </w:r>
      <w:r w:rsidRPr="000D47DF">
        <w:rPr>
          <w:rFonts w:ascii="Times New Roman" w:hAnsi="Times New Roman"/>
          <w:sz w:val="20"/>
          <w:szCs w:val="20"/>
        </w:rPr>
        <w:t xml:space="preserve">në të njëjtën </w:t>
      </w:r>
      <w:r w:rsidRPr="000D47DF">
        <w:rPr>
          <w:rFonts w:ascii="Times New Roman" w:hAnsi="Times New Roman"/>
          <w:i/>
          <w:sz w:val="20"/>
          <w:szCs w:val="20"/>
        </w:rPr>
        <w:t xml:space="preserve">ratio </w:t>
      </w:r>
      <w:r w:rsidRPr="000D47DF">
        <w:rPr>
          <w:rFonts w:ascii="Times New Roman" w:hAnsi="Times New Roman"/>
          <w:sz w:val="20"/>
          <w:szCs w:val="20"/>
        </w:rPr>
        <w:t>të gjendjes së emergjencës, i cili i lejon kryetarit të shtetit francez të adoptojë masat e nevojshme për t’i bër</w:t>
      </w:r>
      <w:r>
        <w:rPr>
          <w:rFonts w:ascii="Times New Roman" w:hAnsi="Times New Roman"/>
          <w:sz w:val="20"/>
          <w:szCs w:val="20"/>
        </w:rPr>
        <w:t>ë ballë kriz</w:t>
      </w:r>
      <w:r w:rsidRPr="000D47DF">
        <w:rPr>
          <w:rFonts w:ascii="Times New Roman" w:hAnsi="Times New Roman"/>
          <w:sz w:val="20"/>
          <w:szCs w:val="20"/>
        </w:rPr>
        <w:t xml:space="preserve">ave institucionale shumë të rënda. </w:t>
      </w:r>
    </w:p>
  </w:footnote>
  <w:footnote w:id="9">
    <w:p w:rsidR="00873BD0" w:rsidRPr="007F4E3E" w:rsidRDefault="00873BD0" w:rsidP="00873BD0">
      <w:pPr>
        <w:pStyle w:val="FootnoteText"/>
        <w:jc w:val="both"/>
      </w:pPr>
      <w:r>
        <w:rPr>
          <w:rStyle w:val="FootnoteReference"/>
        </w:rPr>
        <w:footnoteRef/>
      </w:r>
      <w:r>
        <w:t xml:space="preserve"> </w:t>
      </w:r>
      <w:r w:rsidRPr="007F4E3E">
        <w:t>Sipas Fjalorit të Gjuhës së Sotme Shqipe, Botimet Toena, 2002, termi “nevojë” nënkupton “kusht</w:t>
      </w:r>
      <w:r>
        <w:t xml:space="preserve"> pamundësie për të vepruar në m</w:t>
      </w:r>
      <w:r w:rsidRPr="007F4E3E">
        <w:t>ë</w:t>
      </w:r>
      <w:r>
        <w:t>n</w:t>
      </w:r>
      <w:r w:rsidRPr="007F4E3E">
        <w:t xml:space="preserve">yrë të </w:t>
      </w:r>
      <w:r>
        <w:t>ndryshme”, kurse termi “urgjencë</w:t>
      </w:r>
      <w:r w:rsidRPr="007F4E3E">
        <w:t>” ka kuptimin e “nevojës shumë të ngutshme dhe të domosdoshme”</w:t>
      </w:r>
      <w:r>
        <w:t>.</w:t>
      </w:r>
      <w:r w:rsidRPr="007F4E3E">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80233E"/>
    <w:multiLevelType w:val="hybridMultilevel"/>
    <w:tmpl w:val="044C0F2A"/>
    <w:lvl w:ilvl="0" w:tplc="996426DA">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defaultTabStop w:val="720"/>
  <w:characterSpacingControl w:val="doNotCompress"/>
  <w:footnotePr>
    <w:footnote w:id="-1"/>
    <w:footnote w:id="0"/>
  </w:footnotePr>
  <w:endnotePr>
    <w:endnote w:id="-1"/>
    <w:endnote w:id="0"/>
  </w:endnotePr>
  <w:compat/>
  <w:rsids>
    <w:rsidRoot w:val="00873BD0"/>
    <w:rsid w:val="002145EB"/>
    <w:rsid w:val="00873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BD0"/>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873BD0"/>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873BD0"/>
    <w:pPr>
      <w:keepNext/>
      <w:widowControl w:val="0"/>
      <w:spacing w:after="0" w:line="240" w:lineRule="auto"/>
      <w:jc w:val="center"/>
      <w:outlineLvl w:val="2"/>
    </w:pPr>
    <w:rPr>
      <w:rFonts w:ascii="CG Times" w:eastAsia="MS Mincho" w:hAnsi="CG Times" w:cs="CG Times"/>
      <w:b/>
      <w:bCs/>
      <w:lang w:val="en-GB"/>
    </w:rPr>
  </w:style>
  <w:style w:type="paragraph" w:customStyle="1" w:styleId="Paragrafi">
    <w:name w:val="Paragrafi"/>
    <w:link w:val="ParagrafiChar"/>
    <w:rsid w:val="00873BD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873BD0"/>
    <w:rPr>
      <w:rFonts w:ascii="CG Times" w:eastAsia="MS Mincho" w:hAnsi="CG Times" w:cs="CG Times"/>
    </w:rPr>
  </w:style>
  <w:style w:type="paragraph" w:customStyle="1" w:styleId="Titulli">
    <w:name w:val="Titulli"/>
    <w:next w:val="Normal"/>
    <w:link w:val="TitulliChar"/>
    <w:rsid w:val="00873BD0"/>
    <w:pPr>
      <w:keepNext/>
      <w:widowControl w:val="0"/>
      <w:spacing w:after="0" w:line="240" w:lineRule="auto"/>
      <w:jc w:val="center"/>
      <w:outlineLvl w:val="1"/>
    </w:pPr>
    <w:rPr>
      <w:rFonts w:ascii="CG Times" w:eastAsia="MS Mincho" w:hAnsi="CG Times" w:cs="CG Times"/>
      <w:b/>
      <w:bCs/>
      <w:caps/>
      <w:lang w:val="en-GB"/>
    </w:rPr>
  </w:style>
  <w:style w:type="character" w:styleId="Strong">
    <w:name w:val="Strong"/>
    <w:basedOn w:val="DefaultParagraphFont"/>
    <w:uiPriority w:val="22"/>
    <w:qFormat/>
    <w:rsid w:val="00873BD0"/>
    <w:rPr>
      <w:b/>
      <w:bCs/>
    </w:rPr>
  </w:style>
  <w:style w:type="paragraph" w:styleId="FootnoteText">
    <w:name w:val="footnote text"/>
    <w:basedOn w:val="Normal"/>
    <w:link w:val="FootnoteTextChar"/>
    <w:uiPriority w:val="99"/>
    <w:rsid w:val="00873BD0"/>
    <w:rPr>
      <w:sz w:val="20"/>
      <w:szCs w:val="20"/>
      <w:lang w:val="sq-AL"/>
    </w:rPr>
  </w:style>
  <w:style w:type="character" w:customStyle="1" w:styleId="FootnoteTextChar">
    <w:name w:val="Footnote Text Char"/>
    <w:aliases w:val="Char Char Char1"/>
    <w:basedOn w:val="DefaultParagraphFont"/>
    <w:link w:val="FootnoteText"/>
    <w:uiPriority w:val="99"/>
    <w:rsid w:val="00873BD0"/>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873BD0"/>
    <w:rPr>
      <w:vertAlign w:val="superscript"/>
    </w:rPr>
  </w:style>
  <w:style w:type="paragraph" w:styleId="ListParagraph">
    <w:name w:val="List Paragraph"/>
    <w:basedOn w:val="Normal"/>
    <w:uiPriority w:val="34"/>
    <w:qFormat/>
    <w:rsid w:val="00873BD0"/>
    <w:pPr>
      <w:spacing w:after="200" w:line="276" w:lineRule="auto"/>
      <w:ind w:left="720"/>
      <w:contextualSpacing/>
    </w:pPr>
    <w:rPr>
      <w:rFonts w:ascii="Calibri" w:eastAsia="Times New Roman" w:hAnsi="Calibri"/>
      <w:sz w:val="22"/>
      <w:szCs w:val="22"/>
    </w:rPr>
  </w:style>
  <w:style w:type="character" w:customStyle="1" w:styleId="TitulliChar">
    <w:name w:val="Titulli Char"/>
    <w:basedOn w:val="DefaultParagraphFont"/>
    <w:link w:val="Titulli"/>
    <w:rsid w:val="00873BD0"/>
    <w:rPr>
      <w:rFonts w:ascii="CG Times" w:eastAsia="MS Mincho" w:hAnsi="CG Times" w:cs="CG Times"/>
      <w:b/>
      <w:bCs/>
      <w:caps/>
      <w:lang w:val="en-GB"/>
    </w:rPr>
  </w:style>
  <w:style w:type="character" w:customStyle="1" w:styleId="NeniNrChar">
    <w:name w:val="Neni_Nr Char"/>
    <w:basedOn w:val="DefaultParagraphFont"/>
    <w:link w:val="NeniNr"/>
    <w:rsid w:val="00873BD0"/>
    <w:rPr>
      <w:rFonts w:ascii="CG Times" w:eastAsia="MS Mincho" w:hAnsi="CG Times" w:cs="CG Times"/>
      <w:lang w:val="en-GB"/>
    </w:rPr>
  </w:style>
  <w:style w:type="paragraph" w:customStyle="1" w:styleId="JuPara">
    <w:name w:val="Ju_Para"/>
    <w:basedOn w:val="Normal"/>
    <w:link w:val="JuParaCar"/>
    <w:rsid w:val="00873BD0"/>
    <w:pPr>
      <w:suppressAutoHyphens/>
      <w:ind w:firstLine="284"/>
      <w:jc w:val="both"/>
    </w:pPr>
    <w:rPr>
      <w:lang w:val="en-GB" w:eastAsia="fr-FR"/>
    </w:rPr>
  </w:style>
  <w:style w:type="character" w:customStyle="1" w:styleId="JuParaCar">
    <w:name w:val="Ju_Para Car"/>
    <w:basedOn w:val="DefaultParagraphFont"/>
    <w:link w:val="JuPara"/>
    <w:locked/>
    <w:rsid w:val="00873BD0"/>
    <w:rPr>
      <w:rFonts w:ascii="Times New Roman" w:eastAsia="MS Mincho" w:hAnsi="Times New Roman" w:cs="Times New Roman"/>
      <w:sz w:val="24"/>
      <w:szCs w:val="24"/>
      <w:lang w:val="en-GB"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15614</Words>
  <Characters>89006</Characters>
  <Application>Microsoft Office Word</Application>
  <DocSecurity>0</DocSecurity>
  <Lines>741</Lines>
  <Paragraphs>208</Paragraphs>
  <ScaleCrop>false</ScaleCrop>
  <Company>Hewlett-Packard Company</Company>
  <LinksUpToDate>false</LinksUpToDate>
  <CharactersWithSpaces>104412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2014-07-08T10:34:00Z</dcterms:created>
  <dcterms:modified xsi:type="dcterms:W3CDTF">2014-07-08T10:35:00Z</dcterms:modified>
</cp:coreProperties>
</file>