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EE" w:rsidRPr="005912BB" w:rsidRDefault="00B912EE" w:rsidP="00B912EE">
      <w:pPr>
        <w:pStyle w:val="Akti"/>
        <w:keepNext w:val="0"/>
        <w:rPr>
          <w:lang w:val="sq-AL"/>
        </w:rPr>
      </w:pPr>
      <w:r w:rsidRPr="005912BB">
        <w:rPr>
          <w:lang w:val="sq-AL"/>
        </w:rPr>
        <w:t>VENDIM</w:t>
      </w:r>
    </w:p>
    <w:p w:rsidR="00B912EE" w:rsidRPr="005912BB" w:rsidRDefault="00B912EE" w:rsidP="00B912EE">
      <w:pPr>
        <w:pStyle w:val="NumriData"/>
        <w:keepNext w:val="0"/>
        <w:rPr>
          <w:lang w:val="sq-AL"/>
        </w:rPr>
      </w:pPr>
      <w:r w:rsidRPr="005912BB">
        <w:rPr>
          <w:lang w:val="sq-AL"/>
        </w:rPr>
        <w:t>Nr. 19, datë 2.4.2014</w:t>
      </w:r>
    </w:p>
    <w:p w:rsidR="00B912EE" w:rsidRPr="005912BB" w:rsidRDefault="00B912EE" w:rsidP="00B912EE">
      <w:pPr>
        <w:pStyle w:val="Paragrafi"/>
        <w:rPr>
          <w:sz w:val="12"/>
          <w:lang w:val="sq-AL"/>
        </w:rPr>
      </w:pPr>
    </w:p>
    <w:p w:rsidR="00B912EE" w:rsidRPr="005912BB" w:rsidRDefault="00B912EE" w:rsidP="00B912EE">
      <w:pPr>
        <w:pStyle w:val="Titulli"/>
        <w:keepNext w:val="0"/>
        <w:rPr>
          <w:lang w:val="sq-AL"/>
        </w:rPr>
      </w:pPr>
      <w:r w:rsidRPr="005912BB">
        <w:rPr>
          <w:lang w:val="sq-AL"/>
        </w:rPr>
        <w:t>NË EMËR TË REPUBLIKËS SË SHQIPËRISË</w:t>
      </w:r>
    </w:p>
    <w:p w:rsidR="00B912EE" w:rsidRPr="005912BB" w:rsidRDefault="00B912EE" w:rsidP="00B912EE">
      <w:pPr>
        <w:pStyle w:val="Paragrafi"/>
        <w:rPr>
          <w:lang w:val="sq-AL"/>
        </w:rPr>
      </w:pP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Gjykata Kushtetuese e Republikës së Shqipërisë, e përbërë nga: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Bashkim </w:t>
      </w:r>
      <w:proofErr w:type="spellStart"/>
      <w:r w:rsidRPr="005912BB">
        <w:rPr>
          <w:lang w:val="sq-AL"/>
        </w:rPr>
        <w:t>Dedja</w:t>
      </w:r>
      <w:proofErr w:type="spellEnd"/>
      <w:r w:rsidRPr="005912BB">
        <w:rPr>
          <w:lang w:val="sq-AL"/>
        </w:rPr>
        <w:tab/>
        <w:t xml:space="preserve">kryetar i Gjykatës Kushtetuese 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Vladimir </w:t>
      </w:r>
      <w:proofErr w:type="spellStart"/>
      <w:r w:rsidRPr="005912BB">
        <w:rPr>
          <w:lang w:val="sq-AL"/>
        </w:rPr>
        <w:t>Kristo</w:t>
      </w:r>
      <w:proofErr w:type="spellEnd"/>
      <w:r w:rsidRPr="005912BB">
        <w:rPr>
          <w:lang w:val="sq-AL"/>
        </w:rPr>
        <w:tab/>
        <w:t>anëtar i</w:t>
      </w:r>
      <w:r w:rsidRPr="005912BB">
        <w:rPr>
          <w:lang w:val="sq-AL"/>
        </w:rPr>
        <w:tab/>
      </w:r>
      <w:r w:rsidRPr="005912BB">
        <w:rPr>
          <w:lang w:val="sq-AL"/>
        </w:rPr>
        <w:tab/>
        <w:t xml:space="preserve">“ </w:t>
      </w:r>
      <w:r w:rsidRPr="005912BB">
        <w:rPr>
          <w:lang w:val="sq-AL"/>
        </w:rPr>
        <w:tab/>
        <w:t>“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Vitore Tusha</w:t>
      </w:r>
      <w:r w:rsidRPr="005912BB">
        <w:rPr>
          <w:lang w:val="sq-AL"/>
        </w:rPr>
        <w:tab/>
      </w:r>
      <w:r w:rsidRPr="005912BB">
        <w:rPr>
          <w:lang w:val="sq-AL"/>
        </w:rPr>
        <w:tab/>
        <w:t xml:space="preserve">anëtare e </w:t>
      </w:r>
      <w:r w:rsidRPr="005912BB">
        <w:rPr>
          <w:lang w:val="sq-AL"/>
        </w:rPr>
        <w:tab/>
        <w:t>“</w:t>
      </w:r>
      <w:r w:rsidRPr="005912BB">
        <w:rPr>
          <w:lang w:val="sq-AL"/>
        </w:rPr>
        <w:tab/>
        <w:t>“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Altina </w:t>
      </w:r>
      <w:proofErr w:type="spellStart"/>
      <w:r w:rsidRPr="005912BB">
        <w:rPr>
          <w:lang w:val="sq-AL"/>
        </w:rPr>
        <w:t>Xhoxhaj</w:t>
      </w:r>
      <w:proofErr w:type="spellEnd"/>
      <w:r w:rsidRPr="005912BB">
        <w:rPr>
          <w:lang w:val="sq-AL"/>
        </w:rPr>
        <w:tab/>
        <w:t>anëtare e</w:t>
      </w:r>
      <w:r w:rsidRPr="005912BB">
        <w:rPr>
          <w:lang w:val="sq-AL"/>
        </w:rPr>
        <w:tab/>
        <w:t>“</w:t>
      </w:r>
      <w:r w:rsidRPr="005912BB">
        <w:rPr>
          <w:lang w:val="sq-AL"/>
        </w:rPr>
        <w:tab/>
        <w:t>“</w:t>
      </w:r>
      <w:r>
        <w:rPr>
          <w:lang w:val="sq-AL"/>
        </w:rPr>
        <w:t xml:space="preserve"> 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Fatmir Hoxha</w:t>
      </w:r>
      <w:r w:rsidRPr="005912BB">
        <w:rPr>
          <w:lang w:val="sq-AL"/>
        </w:rPr>
        <w:tab/>
        <w:t>anëtar i</w:t>
      </w:r>
      <w:r w:rsidRPr="005912BB">
        <w:rPr>
          <w:lang w:val="sq-AL"/>
        </w:rPr>
        <w:tab/>
      </w:r>
      <w:r w:rsidRPr="005912BB">
        <w:rPr>
          <w:lang w:val="sq-AL"/>
        </w:rPr>
        <w:tab/>
        <w:t>“</w:t>
      </w:r>
      <w:r w:rsidRPr="005912BB">
        <w:rPr>
          <w:lang w:val="sq-AL"/>
        </w:rPr>
        <w:tab/>
        <w:t>“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Besnik </w:t>
      </w:r>
      <w:proofErr w:type="spellStart"/>
      <w:r w:rsidRPr="005912BB">
        <w:rPr>
          <w:lang w:val="sq-AL"/>
        </w:rPr>
        <w:t>Imeraj</w:t>
      </w:r>
      <w:proofErr w:type="spellEnd"/>
      <w:r w:rsidRPr="005912BB">
        <w:rPr>
          <w:lang w:val="sq-AL"/>
        </w:rPr>
        <w:tab/>
        <w:t>anëtar i</w:t>
      </w:r>
      <w:r w:rsidRPr="005912BB">
        <w:rPr>
          <w:lang w:val="sq-AL"/>
        </w:rPr>
        <w:tab/>
      </w:r>
      <w:r w:rsidRPr="005912BB">
        <w:rPr>
          <w:lang w:val="sq-AL"/>
        </w:rPr>
        <w:tab/>
        <w:t>“</w:t>
      </w:r>
      <w:r w:rsidRPr="005912BB">
        <w:rPr>
          <w:lang w:val="sq-AL"/>
        </w:rPr>
        <w:tab/>
        <w:t>“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Fatos Lulo</w:t>
      </w:r>
      <w:r w:rsidRPr="005912BB">
        <w:rPr>
          <w:lang w:val="sq-AL"/>
        </w:rPr>
        <w:tab/>
      </w:r>
      <w:r w:rsidRPr="005912BB">
        <w:rPr>
          <w:lang w:val="sq-AL"/>
        </w:rPr>
        <w:tab/>
        <w:t xml:space="preserve">anëtar i </w:t>
      </w:r>
      <w:r w:rsidRPr="005912BB">
        <w:rPr>
          <w:lang w:val="sq-AL"/>
        </w:rPr>
        <w:tab/>
        <w:t xml:space="preserve"> </w:t>
      </w:r>
      <w:r>
        <w:rPr>
          <w:lang w:val="sq-AL"/>
        </w:rPr>
        <w:tab/>
      </w:r>
      <w:r w:rsidRPr="005912BB">
        <w:rPr>
          <w:lang w:val="sq-AL"/>
        </w:rPr>
        <w:t>“</w:t>
      </w:r>
      <w:r w:rsidRPr="005912BB">
        <w:rPr>
          <w:lang w:val="sq-AL"/>
        </w:rPr>
        <w:tab/>
        <w:t>“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Sokol Berberi</w:t>
      </w:r>
      <w:r w:rsidRPr="005912BB">
        <w:rPr>
          <w:lang w:val="sq-AL"/>
        </w:rPr>
        <w:tab/>
        <w:t>anëtar i</w:t>
      </w:r>
      <w:r w:rsidRPr="005912BB">
        <w:rPr>
          <w:lang w:val="sq-AL"/>
        </w:rPr>
        <w:tab/>
      </w:r>
      <w:r w:rsidRPr="005912BB">
        <w:rPr>
          <w:lang w:val="sq-AL"/>
        </w:rPr>
        <w:tab/>
        <w:t>“</w:t>
      </w:r>
      <w:r w:rsidRPr="005912BB">
        <w:rPr>
          <w:lang w:val="sq-AL"/>
        </w:rPr>
        <w:tab/>
        <w:t>“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 me sekretare Blerina </w:t>
      </w:r>
      <w:proofErr w:type="spellStart"/>
      <w:r w:rsidRPr="005912BB">
        <w:rPr>
          <w:lang w:val="sq-AL"/>
        </w:rPr>
        <w:t>Basha</w:t>
      </w:r>
      <w:proofErr w:type="spellEnd"/>
      <w:r w:rsidRPr="005912BB">
        <w:rPr>
          <w:lang w:val="sq-AL"/>
        </w:rPr>
        <w:t xml:space="preserve">, në datën </w:t>
      </w:r>
      <w:r w:rsidRPr="005912BB">
        <w:rPr>
          <w:lang w:val="sq-AL"/>
        </w:rPr>
        <w:softHyphen/>
      </w:r>
      <w:r w:rsidRPr="005912BB">
        <w:rPr>
          <w:lang w:val="sq-AL"/>
        </w:rPr>
        <w:softHyphen/>
      </w:r>
      <w:r w:rsidRPr="005912BB">
        <w:rPr>
          <w:lang w:val="sq-AL"/>
        </w:rPr>
        <w:softHyphen/>
      </w:r>
      <w:r w:rsidRPr="005912BB">
        <w:rPr>
          <w:lang w:val="sq-AL"/>
        </w:rPr>
        <w:softHyphen/>
      </w:r>
      <w:r w:rsidRPr="005912BB">
        <w:rPr>
          <w:lang w:val="sq-AL"/>
        </w:rPr>
        <w:softHyphen/>
      </w:r>
      <w:r w:rsidRPr="005912BB">
        <w:rPr>
          <w:lang w:val="sq-AL"/>
        </w:rPr>
        <w:softHyphen/>
        <w:t>18.2.2014 mori në shqyrtim në seancë gjyqësore, mbi bazë dokumentesh,</w:t>
      </w:r>
      <w:r>
        <w:rPr>
          <w:lang w:val="sq-AL"/>
        </w:rPr>
        <w:t xml:space="preserve"> </w:t>
      </w:r>
      <w:r w:rsidRPr="005912BB">
        <w:rPr>
          <w:lang w:val="sq-AL"/>
        </w:rPr>
        <w:t>çështjen me nr. 55/27 Akti, që i përket: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KËRKUES: </w:t>
      </w:r>
      <w:proofErr w:type="spellStart"/>
      <w:r w:rsidRPr="005912BB">
        <w:rPr>
          <w:lang w:val="sq-AL"/>
        </w:rPr>
        <w:t>Brianko</w:t>
      </w:r>
      <w:proofErr w:type="spellEnd"/>
      <w:r w:rsidRPr="005912BB">
        <w:rPr>
          <w:lang w:val="sq-AL"/>
        </w:rPr>
        <w:t xml:space="preserve"> </w:t>
      </w:r>
      <w:proofErr w:type="spellStart"/>
      <w:r w:rsidRPr="005912BB">
        <w:rPr>
          <w:lang w:val="sq-AL"/>
        </w:rPr>
        <w:t>Beqiraj</w:t>
      </w:r>
      <w:proofErr w:type="spellEnd"/>
      <w:r>
        <w:rPr>
          <w:lang w:val="sq-AL"/>
        </w:rPr>
        <w:t xml:space="preserve"> </w:t>
      </w:r>
    </w:p>
    <w:p w:rsidR="00B912EE" w:rsidRPr="005912BB" w:rsidRDefault="00B912EE" w:rsidP="00B912EE">
      <w:pPr>
        <w:pStyle w:val="Paragrafi"/>
        <w:jc w:val="left"/>
        <w:rPr>
          <w:lang w:val="sq-AL"/>
        </w:rPr>
      </w:pPr>
      <w:r w:rsidRPr="005912BB">
        <w:rPr>
          <w:lang w:val="sq-AL"/>
        </w:rPr>
        <w:t>SUBJEKT I INTERESUAR: Prokuroria e Përgjithshme</w:t>
      </w:r>
    </w:p>
    <w:p w:rsidR="00B912EE" w:rsidRPr="005912BB" w:rsidRDefault="00B912EE" w:rsidP="00B912EE">
      <w:pPr>
        <w:pStyle w:val="Paragrafi"/>
        <w:rPr>
          <w:spacing w:val="-4"/>
          <w:lang w:val="sq-AL"/>
        </w:rPr>
      </w:pPr>
      <w:r w:rsidRPr="005912BB">
        <w:rPr>
          <w:spacing w:val="-4"/>
          <w:lang w:val="sq-AL"/>
        </w:rPr>
        <w:t>OBJEKTI: Shfuqizimi, si të papajtueshëm me Kushtetutën i vendimeve: nr. 1126, datë 30.7.2009, i Gjykatës së Rrethit Gjyqësor Tiranë; nr. 190, datë 3.3.2010 i Gjykatës së Apelit Tiranë; nr. 00-2012-321, datë 20.3.2012, dhe nr. 00-2012-674, datë 17.5.2012 të Kolegjit Penal të Gjykatës së Lartë.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 BAZA LIGJORE: Nenet 42, 131/f, dhe 134/1/g të Kushtetutës së Republikës së Shqipërisë dhe neni 6 i Konventës </w:t>
      </w:r>
      <w:proofErr w:type="spellStart"/>
      <w:r>
        <w:rPr>
          <w:lang w:val="sq-AL"/>
        </w:rPr>
        <w:t>Euro</w:t>
      </w:r>
      <w:r w:rsidRPr="005912BB">
        <w:rPr>
          <w:lang w:val="sq-AL"/>
        </w:rPr>
        <w:t>piane</w:t>
      </w:r>
      <w:proofErr w:type="spellEnd"/>
      <w:r w:rsidRPr="005912BB">
        <w:rPr>
          <w:lang w:val="sq-AL"/>
        </w:rPr>
        <w:t xml:space="preserve"> për të Drejtat e Njeriut.</w:t>
      </w:r>
      <w:r w:rsidRPr="005912BB">
        <w:rPr>
          <w:lang w:val="sq-AL"/>
        </w:rPr>
        <w:tab/>
      </w:r>
    </w:p>
    <w:p w:rsidR="00B912EE" w:rsidRPr="005912BB" w:rsidRDefault="00B912EE" w:rsidP="00B912EE">
      <w:pPr>
        <w:pStyle w:val="Paragrafi"/>
        <w:rPr>
          <w:sz w:val="12"/>
          <w:lang w:val="sq-AL"/>
        </w:rPr>
      </w:pPr>
    </w:p>
    <w:p w:rsidR="00B912EE" w:rsidRPr="005912BB" w:rsidRDefault="00B912EE" w:rsidP="00B912EE">
      <w:pPr>
        <w:pStyle w:val="VENDOSI"/>
        <w:keepNext w:val="0"/>
        <w:rPr>
          <w:lang w:val="sq-AL"/>
        </w:rPr>
      </w:pPr>
      <w:r w:rsidRPr="005912BB">
        <w:rPr>
          <w:lang w:val="sq-AL"/>
        </w:rPr>
        <w:t>GJYKATA</w:t>
      </w:r>
      <w:r>
        <w:rPr>
          <w:lang w:val="sq-AL"/>
        </w:rPr>
        <w:t xml:space="preserve"> </w:t>
      </w:r>
      <w:r w:rsidRPr="005912BB">
        <w:rPr>
          <w:lang w:val="sq-AL"/>
        </w:rPr>
        <w:t>KUSHTETUESE,</w:t>
      </w:r>
    </w:p>
    <w:p w:rsidR="00B912EE" w:rsidRPr="005912BB" w:rsidRDefault="00B912EE" w:rsidP="00B912EE">
      <w:pPr>
        <w:pStyle w:val="Paragrafi"/>
        <w:rPr>
          <w:sz w:val="8"/>
          <w:lang w:val="sq-AL"/>
        </w:rPr>
      </w:pP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pasi dëgjoi relatorin e çështjes, Sokol Berberi, mori në shqyrtim pretendimet me shkrim të kërkuesit, që kërkoi pranimin e kërkesës, prapësimet me shkrim të subjektit të interesuar, Prokurorisë së Përgjithshme, që kërkoi rrëzimin e kërkesës dhe pasi bisedoi çështjen në tërësi,</w:t>
      </w:r>
    </w:p>
    <w:p w:rsidR="00B912EE" w:rsidRPr="005912BB" w:rsidRDefault="00B912EE" w:rsidP="00B912EE">
      <w:pPr>
        <w:pStyle w:val="VENDOSI"/>
        <w:keepNext w:val="0"/>
        <w:rPr>
          <w:lang w:val="sq-AL"/>
        </w:rPr>
      </w:pPr>
      <w:r w:rsidRPr="005912BB">
        <w:rPr>
          <w:lang w:val="sq-AL"/>
        </w:rPr>
        <w:t>VËREN:</w:t>
      </w:r>
    </w:p>
    <w:p w:rsidR="00B912EE" w:rsidRPr="005912BB" w:rsidRDefault="00B912EE" w:rsidP="00B912EE">
      <w:pPr>
        <w:pStyle w:val="VENDOSI"/>
        <w:keepNext w:val="0"/>
        <w:rPr>
          <w:b/>
          <w:lang w:val="sq-AL"/>
        </w:rPr>
      </w:pPr>
      <w:r w:rsidRPr="005912BB">
        <w:rPr>
          <w:b/>
          <w:lang w:val="sq-AL"/>
        </w:rPr>
        <w:t>I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1. Gjykata e Rrethit Gjyqësor Tiranë, me vendimin nr. 1126, datë 30.7.2009, ka vendosur deklarimin fajtor të kërkuesit për kryerjen e veprës penale “vjedhje me dhunë”, ndaj disa shtetasve, dhe e ka dënuar me 10 vjet burgim.</w:t>
      </w:r>
    </w:p>
    <w:p w:rsidR="00B912EE" w:rsidRPr="005912BB" w:rsidRDefault="00B912EE" w:rsidP="00B912EE">
      <w:pPr>
        <w:pStyle w:val="Paragrafi"/>
        <w:rPr>
          <w:spacing w:val="-4"/>
          <w:lang w:val="sq-AL"/>
        </w:rPr>
      </w:pPr>
      <w:r w:rsidRPr="005912BB">
        <w:rPr>
          <w:spacing w:val="-4"/>
          <w:lang w:val="sq-AL"/>
        </w:rPr>
        <w:t>2. Gjykata e Apelit Tiranë, me vendimin nr. 190, datë</w:t>
      </w:r>
      <w:r>
        <w:rPr>
          <w:spacing w:val="-4"/>
          <w:lang w:val="sq-AL"/>
        </w:rPr>
        <w:t xml:space="preserve"> </w:t>
      </w:r>
      <w:r w:rsidRPr="005912BB">
        <w:rPr>
          <w:spacing w:val="-4"/>
          <w:lang w:val="sq-AL"/>
        </w:rPr>
        <w:t>3.3.2010, ka vendosur lënien në fuqi të vendimit nr. 1126, datë 30.7.2009 të Gjykatës së Rrethit Gjyqësor Tiranë.</w:t>
      </w:r>
    </w:p>
    <w:p w:rsidR="00B912EE" w:rsidRPr="005912BB" w:rsidRDefault="00B912EE" w:rsidP="00B912EE">
      <w:pPr>
        <w:pStyle w:val="Paragrafi"/>
        <w:rPr>
          <w:spacing w:val="-4"/>
          <w:lang w:val="sq-AL"/>
        </w:rPr>
      </w:pPr>
      <w:r w:rsidRPr="005912BB">
        <w:rPr>
          <w:spacing w:val="-4"/>
          <w:lang w:val="sq-AL"/>
        </w:rPr>
        <w:t>3. Kërkuesi i është drejtuar me rekurs Gjykatës së Lartë, e cila, me vendimin nr. 00-2012-321, datë 20.3.2012, ka vendosur, në dhomë këshillimi, mospranimin e rekursit.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4. Sërish kërkuesi i është drejtuar Gjykatës së Lartë me kërkesë për rishikim të vendimit penal të formës së prerë. Me vendimin nr. 00-2012-674 të datës 17.5.2012, Kolegji Penal i Gjykatës së Lartë ka vendosur, në dhomë këshillimi, mospranimin e kërkesës për rishikim të vendimit penal të formës së prerë. 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i/>
          <w:lang w:val="sq-AL"/>
        </w:rPr>
        <w:t xml:space="preserve">5. </w:t>
      </w:r>
      <w:r w:rsidRPr="005912BB">
        <w:rPr>
          <w:b/>
          <w:i/>
          <w:lang w:val="sq-AL"/>
        </w:rPr>
        <w:t>Kërkuesi</w:t>
      </w:r>
      <w:r w:rsidRPr="005912BB">
        <w:rPr>
          <w:lang w:val="sq-AL"/>
        </w:rPr>
        <w:t xml:space="preserve"> i është drejtuar Gjykatës Kushtetuese (Gjykata), duke pretenduar se ndaj tij është zhvilluar një proces i parregullt ligjor. Më konkretisht, ai ka parashtruar se: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5.1 Prokuroria e ka akuzuar pa prova, pa u mbështetur në ligj, ka tjetërsuar provat shkresore, me të padrejtë ka zgjatur afatin e hetimeve, ndërsa gjykata nuk është shprehur në lidhje me kërkesat e paraqitura prej tij gjatë gjykimit, në lidhje me provat;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5.2 Kolegji Penal i Gjykatës së Lartë duhej ta kalonte çështjen për shqyrtim në seancë dhe jo të vendoste mospranimin në dhomë këshillimi. Ky Kolegj, në kundërshtim me ligjin, nuk ka marrë parasysh provat e reja për të rishikuar vendimin penal të formës së prerë;</w:t>
      </w:r>
    </w:p>
    <w:p w:rsidR="00B912EE" w:rsidRPr="005912BB" w:rsidRDefault="00B912EE" w:rsidP="00B912EE">
      <w:pPr>
        <w:pStyle w:val="Paragrafi"/>
        <w:rPr>
          <w:spacing w:val="-4"/>
          <w:lang w:val="sq-AL"/>
        </w:rPr>
      </w:pPr>
      <w:r w:rsidRPr="005912BB">
        <w:rPr>
          <w:spacing w:val="-4"/>
          <w:lang w:val="sq-AL"/>
        </w:rPr>
        <w:t>5.3 I njëjti trup gjykues në Gjykatën e</w:t>
      </w:r>
      <w:r>
        <w:rPr>
          <w:spacing w:val="-4"/>
          <w:lang w:val="sq-AL"/>
        </w:rPr>
        <w:t xml:space="preserve"> </w:t>
      </w:r>
      <w:r w:rsidRPr="005912BB">
        <w:rPr>
          <w:spacing w:val="-4"/>
          <w:lang w:val="sq-AL"/>
        </w:rPr>
        <w:t>Lartë ka gjykuar dy herë në lidhje me kërkuesin dhe i njëjti gjyqtar ka marrë pjesë në tri gjykime ndaj kërkuesit, për të njëjtën çështje.</w:t>
      </w:r>
    </w:p>
    <w:p w:rsidR="00B912EE" w:rsidRPr="005912BB" w:rsidRDefault="00B912EE" w:rsidP="00B912EE">
      <w:pPr>
        <w:pStyle w:val="Paragrafi"/>
        <w:rPr>
          <w:spacing w:val="-4"/>
          <w:lang w:val="sq-AL"/>
        </w:rPr>
      </w:pPr>
      <w:r w:rsidRPr="005912BB">
        <w:rPr>
          <w:i/>
          <w:spacing w:val="-4"/>
          <w:lang w:val="sq-AL"/>
        </w:rPr>
        <w:t xml:space="preserve">6. </w:t>
      </w:r>
      <w:r w:rsidRPr="005912BB">
        <w:rPr>
          <w:b/>
          <w:i/>
          <w:spacing w:val="-4"/>
          <w:lang w:val="sq-AL"/>
        </w:rPr>
        <w:t>Subjekti i interesuar</w:t>
      </w:r>
      <w:r w:rsidRPr="005912BB">
        <w:rPr>
          <w:spacing w:val="-4"/>
          <w:lang w:val="sq-AL"/>
        </w:rPr>
        <w:t xml:space="preserve">, Prokuroria e Përgjithshme, në parashtrimet drejtuar Gjykatës, ka paraqitur këto </w:t>
      </w:r>
      <w:r w:rsidRPr="005912BB">
        <w:rPr>
          <w:spacing w:val="-4"/>
          <w:lang w:val="sq-AL"/>
        </w:rPr>
        <w:lastRenderedPageBreak/>
        <w:t xml:space="preserve">prapësime: </w:t>
      </w:r>
    </w:p>
    <w:p w:rsidR="00B912EE" w:rsidRPr="005912BB" w:rsidRDefault="00B912EE" w:rsidP="00B912EE">
      <w:pPr>
        <w:pStyle w:val="Paragrafi"/>
        <w:rPr>
          <w:spacing w:val="-4"/>
          <w:lang w:val="sq-AL"/>
        </w:rPr>
      </w:pPr>
      <w:r w:rsidRPr="005912BB">
        <w:rPr>
          <w:spacing w:val="-4"/>
          <w:lang w:val="sq-AL"/>
        </w:rPr>
        <w:t xml:space="preserve">6.1 Pretendimet e kërkuesit, si ato që kanë të bëjnë me fazën e hetimeve paraprake, ashtu dhe me proceset gjyqësore të zhvilluara në tri nivelet e gjykimit, janë haptazi të pabazuara; hetimet paraprake janë bërë </w:t>
      </w:r>
      <w:proofErr w:type="spellStart"/>
      <w:r w:rsidRPr="005912BB">
        <w:rPr>
          <w:spacing w:val="-4"/>
          <w:lang w:val="sq-AL"/>
        </w:rPr>
        <w:t>konform</w:t>
      </w:r>
      <w:proofErr w:type="spellEnd"/>
      <w:r w:rsidRPr="005912BB">
        <w:rPr>
          <w:spacing w:val="-4"/>
          <w:lang w:val="sq-AL"/>
        </w:rPr>
        <w:t xml:space="preserve"> ligjit procedural penal dhe gjykatat i kanë dhënë përgjigje pretendimeve të kërkuesit, duke respektuar standardet e arsyetimit të vendimit gjyqësor;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spacing w:val="-4"/>
          <w:lang w:val="sq-AL"/>
        </w:rPr>
        <w:t>6.2 Pjesëmarrja e katër gjyqtarëve të Gjykatës së Lartë në dy gjykime ndaj kërkuesit nuk përbën papajtueshmëri të tyre sipas nenit 15 të Kodit të Procedurës Penale (</w:t>
      </w:r>
      <w:proofErr w:type="spellStart"/>
      <w:r w:rsidRPr="005912BB">
        <w:rPr>
          <w:spacing w:val="-4"/>
          <w:lang w:val="sq-AL"/>
        </w:rPr>
        <w:t>KPP</w:t>
      </w:r>
      <w:proofErr w:type="spellEnd"/>
      <w:r w:rsidRPr="005912BB">
        <w:rPr>
          <w:spacing w:val="-4"/>
          <w:lang w:val="sq-AL"/>
        </w:rPr>
        <w:t>), dhe as shkak për heqjen dorë</w:t>
      </w:r>
      <w:r w:rsidRPr="005912BB">
        <w:rPr>
          <w:lang w:val="sq-AL"/>
        </w:rPr>
        <w:t xml:space="preserve"> nga gjykimi, në bazë të nenit 17 të </w:t>
      </w:r>
      <w:proofErr w:type="spellStart"/>
      <w:r w:rsidRPr="005912BB">
        <w:rPr>
          <w:lang w:val="sq-AL"/>
        </w:rPr>
        <w:t>KPP</w:t>
      </w:r>
      <w:proofErr w:type="spellEnd"/>
      <w:r w:rsidRPr="005912BB">
        <w:rPr>
          <w:lang w:val="sq-AL"/>
        </w:rPr>
        <w:t>-së;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6.3 Pretendimet e kërkuesit për proces të parregullt ligjor në shqyrtimin e rekursit dhe kërkesës për rishikim në Gjykatën e Lartë, nuk janë të bazuara.</w:t>
      </w:r>
    </w:p>
    <w:p w:rsidR="00B912EE" w:rsidRPr="005912BB" w:rsidRDefault="00B912EE" w:rsidP="00B912EE">
      <w:pPr>
        <w:pStyle w:val="Paragrafi"/>
        <w:rPr>
          <w:sz w:val="12"/>
          <w:lang w:val="sq-AL"/>
        </w:rPr>
      </w:pPr>
    </w:p>
    <w:p w:rsidR="00B912EE" w:rsidRPr="005912BB" w:rsidRDefault="00B912EE" w:rsidP="00B912EE">
      <w:pPr>
        <w:pStyle w:val="VENDOSI"/>
        <w:keepNext w:val="0"/>
        <w:rPr>
          <w:b/>
          <w:lang w:val="sq-AL"/>
        </w:rPr>
      </w:pPr>
      <w:r w:rsidRPr="005912BB">
        <w:rPr>
          <w:b/>
          <w:lang w:val="sq-AL"/>
        </w:rPr>
        <w:t>II</w:t>
      </w:r>
    </w:p>
    <w:p w:rsidR="00B912EE" w:rsidRPr="005912BB" w:rsidRDefault="00B912EE" w:rsidP="00B912EE">
      <w:pPr>
        <w:pStyle w:val="VENDOSI"/>
        <w:keepNext w:val="0"/>
        <w:rPr>
          <w:b/>
          <w:lang w:val="sq-AL"/>
        </w:rPr>
      </w:pPr>
      <w:r w:rsidRPr="005912BB">
        <w:rPr>
          <w:b/>
          <w:caps w:val="0"/>
          <w:lang w:val="sq-AL"/>
        </w:rPr>
        <w:t>Vlerësimi i Gjykatës</w:t>
      </w:r>
    </w:p>
    <w:p w:rsidR="00B912EE" w:rsidRPr="005912BB" w:rsidRDefault="00B912EE" w:rsidP="00B912EE">
      <w:pPr>
        <w:pStyle w:val="Paragrafi"/>
        <w:rPr>
          <w:sz w:val="12"/>
          <w:lang w:val="sq-AL"/>
        </w:rPr>
      </w:pPr>
    </w:p>
    <w:p w:rsidR="00B912EE" w:rsidRPr="005912BB" w:rsidRDefault="00B912EE" w:rsidP="00B912EE">
      <w:pPr>
        <w:pStyle w:val="Paragrafi"/>
        <w:rPr>
          <w:i/>
          <w:lang w:val="sq-AL"/>
        </w:rPr>
      </w:pPr>
      <w:r w:rsidRPr="005912BB">
        <w:rPr>
          <w:i/>
          <w:lang w:val="sq-AL"/>
        </w:rPr>
        <w:t>A. Për pretendimet në lidhje me marrjen e provave gjatë gjykimit</w:t>
      </w:r>
    </w:p>
    <w:p w:rsidR="00B912EE" w:rsidRPr="005912BB" w:rsidRDefault="00B912EE" w:rsidP="00B912EE">
      <w:pPr>
        <w:pStyle w:val="Paragrafi"/>
        <w:rPr>
          <w:iCs/>
          <w:lang w:val="sq-AL"/>
        </w:rPr>
      </w:pPr>
      <w:r w:rsidRPr="005912BB">
        <w:rPr>
          <w:lang w:val="sq-AL"/>
        </w:rPr>
        <w:t xml:space="preserve">7. Kërkuesi ka pretenduar se Prokuroria e ka akuzuar pa prova, pa u mbështetur në ligj, ka tjetërsuar provat shkresore, me të padrejtë ka zgjatur afatin e hetimeve, ndërsa gjykata nuk është shprehur në lidhje me kërkesat e paraqitura prej tij gjatë gjykimit, në lidhje me provat. </w:t>
      </w:r>
    </w:p>
    <w:p w:rsidR="00B912EE" w:rsidRPr="005912BB" w:rsidRDefault="00B912EE" w:rsidP="00B912EE">
      <w:pPr>
        <w:pStyle w:val="Paragrafi"/>
        <w:rPr>
          <w:iCs/>
          <w:lang w:val="sq-AL"/>
        </w:rPr>
      </w:pPr>
      <w:r w:rsidRPr="005912BB">
        <w:rPr>
          <w:lang w:val="sq-AL"/>
        </w:rPr>
        <w:t>8. Nisur nga natyra e këtyre pretendimeve të paraqitura nga kërkuesi, Gjykata rithekson se, mbi bazën e jurisprudencës së saj të konsoliduar, mënyra e vlerësimit të provave dhe mënyra e zbatimit të ligjit material është, si rregull, atribut i gjykatave të zakonshme, pra bëhet nga gjykatat e zakonshme, kurse detyra e Gjykatës Kushtetuese është që të sigurojë nëse procesi në tërësinë e tij, përfshirë edhe mënyrën në të cilën janë marrë provat, ka qenë i rregullt. Roli i Gjykatës nuk është të rivlerësojë faktet, zbatimin e ligjit material, apo zgjidhjen e dhënë nga gjykatat e zakonshme (</w:t>
      </w:r>
      <w:r w:rsidRPr="005912BB">
        <w:rPr>
          <w:i/>
          <w:lang w:val="sq-AL"/>
        </w:rPr>
        <w:t>shih vendimet nr. 34, datë 12.7.2013; nr. 1, datë 20.1.2012; nr. 23, datë 17.5.2011 të Gjykatës Kushtetuese)</w:t>
      </w:r>
      <w:r w:rsidRPr="005912BB">
        <w:rPr>
          <w:lang w:val="sq-AL"/>
        </w:rPr>
        <w:t>.</w:t>
      </w:r>
      <w:r w:rsidRPr="005912BB">
        <w:rPr>
          <w:i/>
          <w:lang w:val="sq-AL"/>
        </w:rPr>
        <w:t xml:space="preserve"> </w:t>
      </w:r>
      <w:r w:rsidRPr="005912BB">
        <w:rPr>
          <w:lang w:val="sq-AL"/>
        </w:rPr>
        <w:t>Kontrolli kushtetues që kjo Gjykatë ushtron ndaj vendimeve gjyqësore është i kufizuar vetëm në funksion të mbrojtjes së të drejtave kushtetuese të individit për një proces të rregullt ligjor (</w:t>
      </w:r>
      <w:r w:rsidRPr="005912BB">
        <w:rPr>
          <w:i/>
          <w:iCs/>
          <w:lang w:val="sq-AL"/>
        </w:rPr>
        <w:t>shih vendimet</w:t>
      </w:r>
      <w:r>
        <w:rPr>
          <w:i/>
          <w:iCs/>
          <w:lang w:val="sq-AL"/>
        </w:rPr>
        <w:t xml:space="preserve"> </w:t>
      </w:r>
      <w:r w:rsidRPr="005912BB">
        <w:rPr>
          <w:i/>
          <w:iCs/>
          <w:lang w:val="sq-AL"/>
        </w:rPr>
        <w:t>nr. 31, datë 5.7.2011, dhe nr. 22, datë 22.7.2009 të Gjykatës Kushtetuese)</w:t>
      </w:r>
      <w:r w:rsidRPr="005912BB">
        <w:rPr>
          <w:lang w:val="sq-AL"/>
        </w:rPr>
        <w:t xml:space="preserve">. Ajo ka theksuar se kërkesa për marrje provash jo </w:t>
      </w:r>
      <w:proofErr w:type="spellStart"/>
      <w:r w:rsidRPr="005912BB">
        <w:rPr>
          <w:lang w:val="sq-AL"/>
        </w:rPr>
        <w:t>domosdoshmërisht</w:t>
      </w:r>
      <w:proofErr w:type="spellEnd"/>
      <w:r w:rsidRPr="005912BB">
        <w:rPr>
          <w:lang w:val="sq-AL"/>
        </w:rPr>
        <w:t xml:space="preserve"> duhet të pranohet nga gjykatat e juridiksionit të zakonshëm dhe se vlerësimi i tyre është kompetencë e këtyre gjykatave</w:t>
      </w:r>
      <w:r w:rsidRPr="005912BB">
        <w:rPr>
          <w:i/>
          <w:lang w:val="sq-AL"/>
        </w:rPr>
        <w:t xml:space="preserve"> (shih vendimet nr. 47, datë 7.11.2011 dhe</w:t>
      </w:r>
      <w:r>
        <w:rPr>
          <w:i/>
          <w:lang w:val="sq-AL"/>
        </w:rPr>
        <w:t xml:space="preserve"> </w:t>
      </w:r>
      <w:r w:rsidRPr="005912BB">
        <w:rPr>
          <w:i/>
          <w:lang w:val="sq-AL"/>
        </w:rPr>
        <w:t>nr. 37, datë 19.9.2011 të Gjykatës Kushtetuese).</w:t>
      </w:r>
      <w:r w:rsidRPr="005912BB">
        <w:rPr>
          <w:lang w:val="sq-AL"/>
        </w:rPr>
        <w:t xml:space="preserve"> Edhe </w:t>
      </w:r>
      <w:proofErr w:type="spellStart"/>
      <w:r w:rsidRPr="005912BB">
        <w:rPr>
          <w:lang w:val="sq-AL"/>
        </w:rPr>
        <w:t>GJEDNJ</w:t>
      </w:r>
      <w:proofErr w:type="spellEnd"/>
      <w:r w:rsidRPr="005912BB">
        <w:rPr>
          <w:lang w:val="sq-AL"/>
        </w:rPr>
        <w:t>-ja është shprehur se “neni 6 garanton të drejtën për një proces të rregullt, por nuk përcakton rregullat për pranimin e provave si të tilla, çështje e cila i përket kryesisht rregullimit sipas legjislacionit të brendshëm” (shih</w:t>
      </w:r>
      <w:r w:rsidRPr="005912BB">
        <w:rPr>
          <w:i/>
          <w:lang w:val="sq-AL"/>
        </w:rPr>
        <w:t xml:space="preserve"> </w:t>
      </w:r>
      <w:proofErr w:type="spellStart"/>
      <w:r w:rsidRPr="005912BB">
        <w:rPr>
          <w:i/>
          <w:lang w:val="sq-AL"/>
        </w:rPr>
        <w:t>Schenk</w:t>
      </w:r>
      <w:proofErr w:type="spellEnd"/>
      <w:r w:rsidRPr="005912BB">
        <w:rPr>
          <w:i/>
          <w:lang w:val="sq-AL"/>
        </w:rPr>
        <w:t xml:space="preserve"> kundër Zvicrës</w:t>
      </w:r>
      <w:r w:rsidRPr="005912BB">
        <w:rPr>
          <w:lang w:val="sq-AL"/>
        </w:rPr>
        <w:t>, 12 korrik 1988, § 45). Gjykata, në përputhje edhe me jurisprudencën e</w:t>
      </w:r>
      <w:r>
        <w:rPr>
          <w:lang w:val="sq-AL"/>
        </w:rPr>
        <w:t xml:space="preserve"> </w:t>
      </w:r>
      <w:proofErr w:type="spellStart"/>
      <w:r w:rsidRPr="005912BB">
        <w:rPr>
          <w:lang w:val="sq-AL"/>
        </w:rPr>
        <w:t>GJEDNJ</w:t>
      </w:r>
      <w:proofErr w:type="spellEnd"/>
      <w:r w:rsidRPr="005912BB">
        <w:rPr>
          <w:lang w:val="sq-AL"/>
        </w:rPr>
        <w:t xml:space="preserve">-së, është shprehur se gjykatat kanë detyrim të </w:t>
      </w:r>
      <w:r w:rsidRPr="005912BB">
        <w:rPr>
          <w:rFonts w:eastAsia="Calibri"/>
          <w:lang w:val="sq-AL"/>
        </w:rPr>
        <w:t>arsyetojnë vendimet e tyre, por kjo nuk mund të kuptohet sikur kërkohet një përgjigje e detajuar për çdo argument apo pretendim të palëve (</w:t>
      </w:r>
      <w:r w:rsidRPr="005912BB">
        <w:rPr>
          <w:rFonts w:eastAsia="Calibri"/>
          <w:i/>
          <w:lang w:val="sq-AL"/>
        </w:rPr>
        <w:t xml:space="preserve">shih vendimet nr. 20, datë 13.4.2012, dhe </w:t>
      </w:r>
      <w:r w:rsidRPr="005912BB">
        <w:rPr>
          <w:i/>
          <w:lang w:val="sq-AL"/>
        </w:rPr>
        <w:t>nr. 35, datë 25.7.2011 t</w:t>
      </w:r>
      <w:r w:rsidRPr="005912BB">
        <w:rPr>
          <w:rFonts w:eastAsia="Calibri"/>
          <w:i/>
          <w:lang w:val="sq-AL"/>
        </w:rPr>
        <w:t>ë Gjykatës Kushtetuese</w:t>
      </w:r>
      <w:r w:rsidRPr="005912BB">
        <w:rPr>
          <w:rFonts w:eastAsia="Calibri"/>
          <w:lang w:val="sq-AL"/>
        </w:rPr>
        <w:t>).</w:t>
      </w:r>
    </w:p>
    <w:p w:rsidR="00B912EE" w:rsidRPr="005912BB" w:rsidRDefault="00B912EE" w:rsidP="00B912EE">
      <w:pPr>
        <w:pStyle w:val="Paragrafi"/>
        <w:rPr>
          <w:iCs/>
          <w:lang w:val="sq-AL"/>
        </w:rPr>
      </w:pPr>
      <w:r w:rsidRPr="005912BB">
        <w:rPr>
          <w:rFonts w:eastAsia="Calibri"/>
          <w:iCs/>
          <w:lang w:val="sq-AL"/>
        </w:rPr>
        <w:t xml:space="preserve">9. Bazuar në sa më sipër, Gjykata vlerëson se, pretendimet e kërkuesit, në drejtim të vlerësimit të provave dhe </w:t>
      </w:r>
      <w:proofErr w:type="spellStart"/>
      <w:r w:rsidRPr="005912BB">
        <w:rPr>
          <w:rFonts w:eastAsia="Calibri"/>
          <w:iCs/>
          <w:lang w:val="sq-AL"/>
        </w:rPr>
        <w:t>disponimeve</w:t>
      </w:r>
      <w:proofErr w:type="spellEnd"/>
      <w:r w:rsidRPr="005912BB">
        <w:rPr>
          <w:rFonts w:eastAsia="Calibri"/>
          <w:iCs/>
          <w:lang w:val="sq-AL"/>
        </w:rPr>
        <w:t xml:space="preserve"> në lidhje me to të gjykatës, janë haptazi të pabazuara. </w:t>
      </w:r>
    </w:p>
    <w:p w:rsidR="00B912EE" w:rsidRPr="005912BB" w:rsidRDefault="00B912EE" w:rsidP="00B912EE">
      <w:pPr>
        <w:pStyle w:val="Paragrafi"/>
        <w:rPr>
          <w:iCs/>
          <w:lang w:val="sq-AL"/>
        </w:rPr>
      </w:pPr>
      <w:r w:rsidRPr="005912BB">
        <w:rPr>
          <w:rFonts w:eastAsia="Calibri"/>
          <w:i/>
          <w:iCs/>
          <w:lang w:val="sq-AL"/>
        </w:rPr>
        <w:t>B. Për detyrimin e Gjykatës së Lartë për të kaluar për shqyrtim në seancë plenare rekursin dhe kërkesën për rishikim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10. Kërkuesi ka pretenduar se Kolegji Penal i Gjykatës së Lartë duhej t’i kalonte për shqyrtim në seancë gjyqësore si rekursin, ashtu edhe kërkesën për rishikim, dhe jo të vendoste mospranimin e tyre në dhomë këshillimi.</w:t>
      </w:r>
      <w:r>
        <w:rPr>
          <w:lang w:val="sq-AL"/>
        </w:rPr>
        <w:t xml:space="preserve"> 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rFonts w:eastAsia="Calibri"/>
          <w:iCs/>
          <w:lang w:val="sq-AL"/>
        </w:rPr>
        <w:t xml:space="preserve">11. Gjykata është shprehur në jurisprudencën e saj se </w:t>
      </w:r>
      <w:r w:rsidRPr="005912BB">
        <w:rPr>
          <w:rFonts w:eastAsia="Calibri"/>
          <w:lang w:val="sq-AL"/>
        </w:rPr>
        <w:t xml:space="preserve">verifikimi, nëse rekursi i plotëson ose jo kushtet për shqyrtim, është atribut i dhomës së këshillimit dhe është një veprimtari e domosdoshme në funksion të </w:t>
      </w:r>
      <w:proofErr w:type="spellStart"/>
      <w:r w:rsidRPr="005912BB">
        <w:rPr>
          <w:rFonts w:eastAsia="Calibri"/>
          <w:lang w:val="sq-AL"/>
        </w:rPr>
        <w:t>aksesit</w:t>
      </w:r>
      <w:proofErr w:type="spellEnd"/>
      <w:r w:rsidRPr="005912BB">
        <w:rPr>
          <w:rFonts w:eastAsia="Calibri"/>
          <w:lang w:val="sq-AL"/>
        </w:rPr>
        <w:t xml:space="preserve"> në gjykatë v</w:t>
      </w:r>
      <w:r w:rsidRPr="005912BB">
        <w:rPr>
          <w:lang w:val="sq-AL"/>
        </w:rPr>
        <w:t>etëm të atyre çështjeve që i parashikon ligji, duke lënë jashtë përzgjedhjes kërkesat e paarsyeshme dhe haptazi të pambështetura në ligj. Vlerësimi dhe analiza nëse shkaqet e ngritura në rekurs janë në përputhje me kërkesat e ligjit bëhet nga Gjykata e Lartë, në dhomë këshillimi, e cila, në rast se krijon bindjen se shkaqet e ngritura në rekurs objektivisht nuk ekzistojnë në dosjen gjyqësore, ka në kompetencë të vendosë, në pajtim me kërkesat ligjore, mospranimin e çështjes për shqyrtim në seancë gjyqësore (</w:t>
      </w:r>
      <w:r w:rsidRPr="005912BB">
        <w:rPr>
          <w:i/>
          <w:lang w:val="sq-AL"/>
        </w:rPr>
        <w:t>shih vendimet nr. 16, datë 19.4.2013; nr. 45, datë 23.7.2012; nr. 4, datë 25.2.2009; nr. 5, datë 26.1.2007, dhe nr. 8, datë 2.5.2006,</w:t>
      </w:r>
      <w:r>
        <w:rPr>
          <w:i/>
          <w:lang w:val="sq-AL"/>
        </w:rPr>
        <w:t xml:space="preserve"> </w:t>
      </w:r>
      <w:r w:rsidRPr="005912BB">
        <w:rPr>
          <w:i/>
          <w:lang w:val="sq-AL"/>
        </w:rPr>
        <w:t>të Gjykatës Kushtetuese).</w:t>
      </w:r>
      <w:r w:rsidRPr="005912BB">
        <w:rPr>
          <w:lang w:val="sq-AL"/>
        </w:rPr>
        <w:t xml:space="preserve"> 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lastRenderedPageBreak/>
        <w:t xml:space="preserve">12. Kërkesa për rishikim përfaqëson një formë të veçantë ankimi, një mjet të jashtëzakonshëm, me anë të </w:t>
      </w:r>
      <w:proofErr w:type="spellStart"/>
      <w:r w:rsidRPr="005912BB">
        <w:rPr>
          <w:lang w:val="sq-AL"/>
        </w:rPr>
        <w:t>të</w:t>
      </w:r>
      <w:proofErr w:type="spellEnd"/>
      <w:r w:rsidRPr="005912BB">
        <w:rPr>
          <w:lang w:val="sq-AL"/>
        </w:rPr>
        <w:t xml:space="preserve"> cilit kërkohet rishikimi i një vendimi të formës së prerë të gjykatës (</w:t>
      </w:r>
      <w:r w:rsidRPr="005912BB">
        <w:rPr>
          <w:i/>
          <w:lang w:val="sq-AL"/>
        </w:rPr>
        <w:t>shih vendimin nr. 18, datë 23.4.2013 të Gjykatës Kushtetuese</w:t>
      </w:r>
      <w:r w:rsidRPr="005912BB">
        <w:rPr>
          <w:lang w:val="sq-AL"/>
        </w:rPr>
        <w:t>). N</w:t>
      </w:r>
      <w:r w:rsidRPr="005912BB">
        <w:rPr>
          <w:rFonts w:eastAsia="Calibri"/>
          <w:lang w:val="sq-AL"/>
        </w:rPr>
        <w:t xml:space="preserve">ga përmbajtja e dispozitave procedurale penale për rishikimin (nenet 450 dhe 453 të </w:t>
      </w:r>
      <w:proofErr w:type="spellStart"/>
      <w:r w:rsidRPr="005912BB">
        <w:rPr>
          <w:rFonts w:eastAsia="Calibri"/>
          <w:lang w:val="sq-AL"/>
        </w:rPr>
        <w:t>KPP</w:t>
      </w:r>
      <w:proofErr w:type="spellEnd"/>
      <w:r w:rsidRPr="005912BB">
        <w:rPr>
          <w:rFonts w:eastAsia="Calibri"/>
          <w:lang w:val="sq-AL"/>
        </w:rPr>
        <w:t xml:space="preserve">-së), rezulton se kërkesa për rishikimin e një vendimi gjyqësor të formës së prerë shqyrtohet nga Kolegji Penal i Gjykatës së Lartë, në dhomën e këshillimit, pa pjesëmarrjen e palëve. Ky kolegj, në dhomën e këshillimit, verifikon fillimisht rastet e rishikimit, legjitimitetin e kërkuesit, </w:t>
      </w:r>
      <w:proofErr w:type="spellStart"/>
      <w:r w:rsidRPr="005912BB">
        <w:rPr>
          <w:rFonts w:eastAsia="Calibri"/>
          <w:lang w:val="sq-AL"/>
        </w:rPr>
        <w:t>bazueshmërinë</w:t>
      </w:r>
      <w:proofErr w:type="spellEnd"/>
      <w:r w:rsidRPr="005912BB">
        <w:rPr>
          <w:rFonts w:eastAsia="Calibri"/>
          <w:lang w:val="sq-AL"/>
        </w:rPr>
        <w:t xml:space="preserve"> në ligj dhe në prova të kërkesës për rishikimin e vendimit si dhe praninë e kritereve ligjore për shqyrtimin e saj. Kur kërkesat e ligjit për</w:t>
      </w:r>
      <w:r w:rsidRPr="005912BB">
        <w:rPr>
          <w:lang w:val="sq-AL"/>
        </w:rPr>
        <w:t xml:space="preserve"> </w:t>
      </w:r>
      <w:r w:rsidRPr="005912BB">
        <w:rPr>
          <w:rFonts w:eastAsia="Calibri"/>
          <w:lang w:val="sq-AL"/>
        </w:rPr>
        <w:t>kalimin në seancë nuk janë plotësuar, dhoma e këshillimit vendos mospranimin e kërkesës për rishikim.</w:t>
      </w:r>
      <w:r>
        <w:rPr>
          <w:rFonts w:eastAsia="Calibri"/>
          <w:lang w:val="sq-AL"/>
        </w:rPr>
        <w:t xml:space="preserve"> 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13. Në rastin konkret, Gjykata vëren se pretendimet e kërkuesit kanë të bëjnë me vlerësimin paraprak që Gjykata e Lartë u bën çështjeve në dhomë këshillimi. Gjatë këtij procesi Kolegji i Gjykatës së Lartë shqyrton, në dhomë këshillimi, nëse shkaqet e ngritura në rekurs apo në kërkesën për rishikim janë në përputhje me kërkesat e ligjit, duke vlerësuar kështu nëse rekursi apo kërkesa për rishikim përmban apo jo shkaqe për t’u kaluar për shqyrtim në seancë gjyqësore. 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14. Për pasojë, duke pasur parasysh standardet e mësipërme të gjykimit në dhomë këshillimi, Gjykata vlerëson se pretendimet e kërkuesit, në drejtim të detyrimit të Gjykatës së Lartë për të kaluar për shqyrtim në seancë gjyqësore rekursin dhe kërkesën për rishikim, janë haptazi të pambështetura.</w:t>
      </w:r>
      <w:r>
        <w:rPr>
          <w:lang w:val="sq-AL"/>
        </w:rPr>
        <w:t xml:space="preserve"> </w:t>
      </w:r>
    </w:p>
    <w:p w:rsidR="00B912EE" w:rsidRPr="005912BB" w:rsidRDefault="00B912EE" w:rsidP="00B912EE">
      <w:pPr>
        <w:pStyle w:val="Paragrafi"/>
        <w:rPr>
          <w:i/>
          <w:lang w:val="sq-AL"/>
        </w:rPr>
      </w:pPr>
      <w:r w:rsidRPr="005912BB">
        <w:rPr>
          <w:i/>
          <w:lang w:val="sq-AL"/>
        </w:rPr>
        <w:t xml:space="preserve">C. Për pretendimin e cenimit të së drejtës për t’u gjykuar nga një gjykatë e paanshme 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15. Kërkuesi ka pretenduar, gjithashtu, se është cenuar e drejta për t’u gjykuar nga një gjykatë e paanshme. Sipas tij, i njëjti gjyqtar ka qenë pjesë e trupit gjykues në Gjykatën e Lartë në tri gjykime ndaj kërkuesit, për të njëjtën çështje, përkatësisht në lidhje me: masën e</w:t>
      </w:r>
      <w:r>
        <w:rPr>
          <w:lang w:val="sq-AL"/>
        </w:rPr>
        <w:t xml:space="preserve"> </w:t>
      </w:r>
      <w:r w:rsidRPr="005912BB">
        <w:rPr>
          <w:lang w:val="sq-AL"/>
        </w:rPr>
        <w:t>sigurimit (vendimi nr. 167, datë 12.9.2008), rekursin mbi themelin (vendimi nr. 00-2012-321, datë 20.3.2012) dhe kërkesën për rishikim (vendimi nr.</w:t>
      </w:r>
      <w:r w:rsidRPr="005912BB">
        <w:rPr>
          <w:i/>
          <w:lang w:val="sq-AL"/>
        </w:rPr>
        <w:t xml:space="preserve"> </w:t>
      </w:r>
      <w:r w:rsidRPr="005912BB">
        <w:rPr>
          <w:lang w:val="sq-AL"/>
        </w:rPr>
        <w:t>674, datë 17.5.2012). Gjithashtu, kërkuesi ka pretenduar se i njëjti trup gjykues në Gjykatën e</w:t>
      </w:r>
      <w:r>
        <w:rPr>
          <w:lang w:val="sq-AL"/>
        </w:rPr>
        <w:t xml:space="preserve"> </w:t>
      </w:r>
      <w:r w:rsidRPr="005912BB">
        <w:rPr>
          <w:lang w:val="sq-AL"/>
        </w:rPr>
        <w:t>Lartë ka gjykuar dy herë në lidhje me kërkuesin.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kern w:val="28"/>
          <w:lang w:val="sq-AL"/>
        </w:rPr>
        <w:t>16. Në lidhje me këtë pretendim Gjykata, gjatë votimit të çështjes, nuk arriti shumicën e të gjithë anëtarëve të saj</w:t>
      </w:r>
      <w:r w:rsidRPr="005912BB">
        <w:rPr>
          <w:kern w:val="28"/>
          <w:vertAlign w:val="superscript"/>
          <w:lang w:val="sq-AL"/>
        </w:rPr>
        <w:footnoteReference w:id="2"/>
      </w:r>
      <w:r w:rsidRPr="005912BB">
        <w:rPr>
          <w:kern w:val="28"/>
          <w:lang w:val="sq-AL"/>
        </w:rPr>
        <w:t>, të kërkuar nga neni 133/2 i Kushtetutës dhe neni 72/2 i ligjit nr. 8577, datë 10.2.2000 “Për organizimin dhe funksionimin e Gjykatës Kushtetuese të Republikës së Shqipërisë”. Në këto kushte, Gjykata, në bazë të nenit 74 të ligjit nr. 8577, datë 10.2.2000 “Për organizimin dhe funksionimin e Gjykatës Kushtetuese të Republikës së Shqipërisë”, për këtë pretendim, vendosi refuzimin.</w:t>
      </w:r>
    </w:p>
    <w:p w:rsidR="00B912EE" w:rsidRPr="005912BB" w:rsidRDefault="00B912EE" w:rsidP="00B912EE">
      <w:pPr>
        <w:pStyle w:val="Paragrafi"/>
        <w:rPr>
          <w:sz w:val="14"/>
          <w:lang w:val="sq-AL"/>
        </w:rPr>
      </w:pPr>
    </w:p>
    <w:p w:rsidR="00B912EE" w:rsidRPr="005912BB" w:rsidRDefault="00B912EE" w:rsidP="00B912EE">
      <w:pPr>
        <w:pStyle w:val="VENDOSI"/>
        <w:keepNext w:val="0"/>
        <w:rPr>
          <w:lang w:val="sq-AL"/>
        </w:rPr>
      </w:pPr>
      <w:r w:rsidRPr="005912BB">
        <w:rPr>
          <w:lang w:val="sq-AL"/>
        </w:rPr>
        <w:t>PËR KËTO ARSYE,</w:t>
      </w:r>
    </w:p>
    <w:p w:rsidR="00B912EE" w:rsidRPr="005912BB" w:rsidRDefault="00B912EE" w:rsidP="00B912EE">
      <w:pPr>
        <w:pStyle w:val="Paragrafi"/>
        <w:rPr>
          <w:sz w:val="10"/>
          <w:lang w:val="sq-AL"/>
        </w:rPr>
      </w:pP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Gjykata Kushtetuese e Republikës së Shqipërisë, në mbështetje të nenit 131, shkronja “f”</w:t>
      </w:r>
      <w:r>
        <w:rPr>
          <w:lang w:val="sq-AL"/>
        </w:rPr>
        <w:t xml:space="preserve"> </w:t>
      </w:r>
      <w:r w:rsidRPr="005912BB">
        <w:rPr>
          <w:lang w:val="sq-AL"/>
        </w:rPr>
        <w:t xml:space="preserve">dhe nenit 134, pika 1, shkronja “g” të Kushtetutës, si dhe të neneve 72 dhe 77 të ligjit nr. 8577, datë 10.2.2000 “Për organizimin dhe funksionimin e Gjykatës Kushtetuese të Republikës së Shqipërisë”, </w:t>
      </w:r>
    </w:p>
    <w:p w:rsidR="00B912EE" w:rsidRPr="005912BB" w:rsidRDefault="00B912EE" w:rsidP="00B912EE">
      <w:pPr>
        <w:pStyle w:val="Paragrafi"/>
        <w:rPr>
          <w:sz w:val="10"/>
          <w:lang w:val="sq-AL"/>
        </w:rPr>
      </w:pPr>
    </w:p>
    <w:p w:rsidR="00B912EE" w:rsidRPr="005912BB" w:rsidRDefault="00B912EE" w:rsidP="00B912EE">
      <w:pPr>
        <w:pStyle w:val="VENDOSI"/>
        <w:keepNext w:val="0"/>
        <w:rPr>
          <w:lang w:val="sq-AL"/>
        </w:rPr>
      </w:pPr>
      <w:r w:rsidRPr="005912BB">
        <w:rPr>
          <w:lang w:val="sq-AL"/>
        </w:rPr>
        <w:t>VENDOSI:</w:t>
      </w:r>
    </w:p>
    <w:p w:rsidR="00B912EE" w:rsidRPr="005912BB" w:rsidRDefault="00B912EE" w:rsidP="00B912EE">
      <w:pPr>
        <w:pStyle w:val="Paragrafi"/>
        <w:rPr>
          <w:sz w:val="10"/>
          <w:lang w:val="sq-AL"/>
        </w:rPr>
      </w:pP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 xml:space="preserve">-Refuzimin e kërkesës për pretendimin e cenimit të së drejtës për t’u gjykuar nga një gjykatë e paanshme. </w:t>
      </w:r>
    </w:p>
    <w:p w:rsidR="00B912EE" w:rsidRPr="005912BB" w:rsidRDefault="00B912EE" w:rsidP="00B912EE">
      <w:pPr>
        <w:pStyle w:val="Paragrafi"/>
        <w:rPr>
          <w:highlight w:val="yellow"/>
          <w:lang w:val="sq-AL"/>
        </w:rPr>
      </w:pPr>
      <w:r w:rsidRPr="005912BB">
        <w:rPr>
          <w:lang w:val="sq-AL"/>
        </w:rPr>
        <w:t xml:space="preserve">-Rrëzimin e kërkesës për pretendimet e tjera. </w:t>
      </w:r>
    </w:p>
    <w:p w:rsidR="00B912EE" w:rsidRPr="005912BB" w:rsidRDefault="00B912EE" w:rsidP="00B912EE">
      <w:pPr>
        <w:pStyle w:val="Paragrafi"/>
        <w:rPr>
          <w:lang w:val="sq-AL"/>
        </w:rPr>
      </w:pPr>
      <w:r w:rsidRPr="005912BB">
        <w:rPr>
          <w:lang w:val="sq-AL"/>
        </w:rPr>
        <w:t>Ky vendim është përfundimtar, i formës së prerë dhe hyn në fuqi ditën e botimit në Fletoren Zyrtare.</w:t>
      </w:r>
    </w:p>
    <w:p w:rsidR="00B912EE" w:rsidRPr="005912BB" w:rsidRDefault="00B912EE" w:rsidP="00B912EE">
      <w:pPr>
        <w:pStyle w:val="Paragrafi"/>
        <w:rPr>
          <w:sz w:val="8"/>
          <w:lang w:val="sq-AL"/>
        </w:rPr>
      </w:pPr>
    </w:p>
    <w:p w:rsidR="00B912EE" w:rsidRPr="005912BB" w:rsidRDefault="00B912EE" w:rsidP="00B912EE">
      <w:pPr>
        <w:pStyle w:val="Paragrafi"/>
        <w:ind w:firstLine="0"/>
        <w:rPr>
          <w:lang w:val="sq-AL"/>
        </w:rPr>
      </w:pPr>
      <w:r w:rsidRPr="005912BB">
        <w:rPr>
          <w:lang w:val="sq-AL"/>
        </w:rPr>
        <w:t xml:space="preserve">Anëtarë: Bashkim </w:t>
      </w:r>
      <w:proofErr w:type="spellStart"/>
      <w:r w:rsidRPr="005912BB">
        <w:rPr>
          <w:lang w:val="sq-AL"/>
        </w:rPr>
        <w:t>Dedja</w:t>
      </w:r>
      <w:proofErr w:type="spellEnd"/>
      <w:r w:rsidRPr="005912BB">
        <w:rPr>
          <w:lang w:val="sq-AL"/>
        </w:rPr>
        <w:t xml:space="preserve"> (kryetar), Besnik </w:t>
      </w:r>
      <w:proofErr w:type="spellStart"/>
      <w:r w:rsidRPr="005912BB">
        <w:rPr>
          <w:lang w:val="sq-AL"/>
        </w:rPr>
        <w:t>Imeraj</w:t>
      </w:r>
      <w:proofErr w:type="spellEnd"/>
      <w:r w:rsidRPr="005912BB">
        <w:rPr>
          <w:lang w:val="sq-AL"/>
        </w:rPr>
        <w:t xml:space="preserve">, Fatmir Hoxha, Vitore Tusha, Altina </w:t>
      </w:r>
      <w:proofErr w:type="spellStart"/>
      <w:r w:rsidRPr="005912BB">
        <w:rPr>
          <w:lang w:val="sq-AL"/>
        </w:rPr>
        <w:t>Xhoxhaj</w:t>
      </w:r>
      <w:proofErr w:type="spellEnd"/>
      <w:r w:rsidRPr="005912BB">
        <w:rPr>
          <w:lang w:val="sq-AL"/>
        </w:rPr>
        <w:t xml:space="preserve">,Vladimir </w:t>
      </w:r>
      <w:proofErr w:type="spellStart"/>
      <w:r w:rsidRPr="005912BB">
        <w:rPr>
          <w:lang w:val="sq-AL"/>
        </w:rPr>
        <w:t>Kristo</w:t>
      </w:r>
      <w:proofErr w:type="spellEnd"/>
      <w:r w:rsidRPr="005912BB">
        <w:rPr>
          <w:lang w:val="sq-AL"/>
        </w:rPr>
        <w:t>, Sokol Berberi, Fatos Lulo</w:t>
      </w:r>
    </w:p>
    <w:p w:rsidR="00B912EE" w:rsidRPr="005912BB" w:rsidRDefault="00B912EE" w:rsidP="00B912EE">
      <w:pPr>
        <w:pStyle w:val="Paragrafi"/>
        <w:ind w:firstLine="0"/>
        <w:rPr>
          <w:lang w:val="sq-AL"/>
        </w:rPr>
      </w:pPr>
    </w:p>
    <w:p w:rsidR="00000000" w:rsidRDefault="00B912E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2EE" w:rsidRDefault="00B912EE" w:rsidP="00B912EE">
      <w:pPr>
        <w:spacing w:after="0" w:line="240" w:lineRule="auto"/>
      </w:pPr>
      <w:r>
        <w:separator/>
      </w:r>
    </w:p>
  </w:endnote>
  <w:endnote w:type="continuationSeparator" w:id="1">
    <w:p w:rsidR="00B912EE" w:rsidRDefault="00B912EE" w:rsidP="00B9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2EE" w:rsidRDefault="00B912EE" w:rsidP="00B912EE">
      <w:pPr>
        <w:spacing w:after="0" w:line="240" w:lineRule="auto"/>
      </w:pPr>
      <w:r>
        <w:separator/>
      </w:r>
    </w:p>
  </w:footnote>
  <w:footnote w:type="continuationSeparator" w:id="1">
    <w:p w:rsidR="00B912EE" w:rsidRDefault="00B912EE" w:rsidP="00B912EE">
      <w:pPr>
        <w:spacing w:after="0" w:line="240" w:lineRule="auto"/>
      </w:pPr>
      <w:r>
        <w:continuationSeparator/>
      </w:r>
    </w:p>
  </w:footnote>
  <w:footnote w:id="2">
    <w:p w:rsidR="00B912EE" w:rsidRPr="004B029F" w:rsidRDefault="00B912EE" w:rsidP="00B912EE">
      <w:pPr>
        <w:pStyle w:val="FootnoteText"/>
        <w:ind w:firstLine="0"/>
        <w:rPr>
          <w:rFonts w:ascii="CG Times" w:hAnsi="CG Times"/>
          <w:spacing w:val="-4"/>
        </w:rPr>
      </w:pPr>
      <w:r w:rsidRPr="004B029F">
        <w:rPr>
          <w:rStyle w:val="FootnoteReference"/>
          <w:rFonts w:ascii="CG Times" w:hAnsi="CG Times"/>
          <w:spacing w:val="-4"/>
        </w:rPr>
        <w:footnoteRef/>
      </w:r>
      <w:r w:rsidRPr="004B029F">
        <w:rPr>
          <w:rFonts w:ascii="CG Times" w:hAnsi="CG Times"/>
          <w:spacing w:val="-4"/>
          <w:lang w:val="it-IT"/>
        </w:rPr>
        <w:t xml:space="preserve"> Votuan për pranimin gjyqtarët: B. Dedja, V. Kristo, S. Berberi dhe F. Hoxha</w:t>
      </w:r>
      <w:r w:rsidRPr="004B029F">
        <w:rPr>
          <w:rFonts w:ascii="CG Times" w:hAnsi="CG Times"/>
          <w:spacing w:val="-4"/>
        </w:rPr>
        <w:t xml:space="preserve">. Votuan për rrëzimin gjyqtarët: V. Tusha, A. </w:t>
      </w:r>
      <w:proofErr w:type="spellStart"/>
      <w:r w:rsidRPr="004B029F">
        <w:rPr>
          <w:rFonts w:ascii="CG Times" w:hAnsi="CG Times"/>
          <w:spacing w:val="-4"/>
        </w:rPr>
        <w:t>Xhoxhaj</w:t>
      </w:r>
      <w:proofErr w:type="spellEnd"/>
      <w:r w:rsidRPr="004B029F">
        <w:rPr>
          <w:rFonts w:ascii="CG Times" w:hAnsi="CG Times"/>
          <w:spacing w:val="-4"/>
        </w:rPr>
        <w:t xml:space="preserve">, B. </w:t>
      </w:r>
      <w:proofErr w:type="spellStart"/>
      <w:r w:rsidRPr="004B029F">
        <w:rPr>
          <w:rFonts w:ascii="CG Times" w:hAnsi="CG Times"/>
          <w:spacing w:val="-4"/>
        </w:rPr>
        <w:t>Imeraj</w:t>
      </w:r>
      <w:proofErr w:type="spellEnd"/>
      <w:r w:rsidRPr="004B029F">
        <w:rPr>
          <w:rFonts w:ascii="CG Times" w:hAnsi="CG Times"/>
          <w:spacing w:val="-4"/>
        </w:rPr>
        <w:t xml:space="preserve"> dhe F. Lulo.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12EE"/>
    <w:rsid w:val="00B91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12E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B912E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912E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912E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912E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912E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912E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912E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912E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912E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styleId="FootnoteText">
    <w:name w:val="footnote text"/>
    <w:aliases w:val="Char"/>
    <w:basedOn w:val="Normal"/>
    <w:link w:val="FootnoteTextChar"/>
    <w:rsid w:val="00B912EE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"/>
    <w:basedOn w:val="DefaultParagraphFont"/>
    <w:link w:val="FootnoteText"/>
    <w:rsid w:val="00B912EE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rsid w:val="00B912E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1667</Words>
  <Characters>9506</Characters>
  <Application>Microsoft Office Word</Application>
  <DocSecurity>0</DocSecurity>
  <Lines>79</Lines>
  <Paragraphs>22</Paragraphs>
  <ScaleCrop>false</ScaleCrop>
  <Company>Grizli777</Company>
  <LinksUpToDate>false</LinksUpToDate>
  <CharactersWithSpaces>11151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2014-08-05T10:23:00Z</dcterms:created>
  <dcterms:modified xsi:type="dcterms:W3CDTF">2014-08-05T10:23:00Z</dcterms:modified>
</cp:coreProperties>
</file>