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62D" w:rsidRPr="00034ADA" w:rsidRDefault="0028762D" w:rsidP="0028762D">
      <w:pPr>
        <w:pStyle w:val="Paragrafi"/>
        <w:jc w:val="center"/>
        <w:rPr>
          <w:rFonts w:eastAsia="Times New Roman"/>
          <w:b/>
          <w:spacing w:val="-4"/>
          <w:szCs w:val="24"/>
          <w:lang w:val="sq-AL"/>
        </w:rPr>
      </w:pPr>
      <w:r w:rsidRPr="00034ADA">
        <w:rPr>
          <w:rFonts w:eastAsia="Times New Roman"/>
          <w:b/>
          <w:spacing w:val="-4"/>
          <w:szCs w:val="24"/>
          <w:lang w:val="sq-AL"/>
        </w:rPr>
        <w:t>VENDIM</w:t>
      </w:r>
    </w:p>
    <w:p w:rsidR="0028762D" w:rsidRPr="00034ADA" w:rsidRDefault="0028762D" w:rsidP="0028762D">
      <w:pPr>
        <w:pStyle w:val="Paragrafi"/>
        <w:jc w:val="center"/>
        <w:rPr>
          <w:rFonts w:eastAsia="Times New Roman"/>
          <w:b/>
          <w:spacing w:val="-4"/>
          <w:szCs w:val="24"/>
          <w:lang w:val="sq-AL"/>
        </w:rPr>
      </w:pPr>
      <w:r w:rsidRPr="00034ADA">
        <w:rPr>
          <w:rFonts w:eastAsia="Times New Roman"/>
          <w:b/>
          <w:spacing w:val="-4"/>
          <w:szCs w:val="24"/>
          <w:lang w:val="sq-AL"/>
        </w:rPr>
        <w:t>Nr. 18, datë 14.04.2015</w:t>
      </w:r>
    </w:p>
    <w:p w:rsidR="0028762D" w:rsidRPr="00034ADA" w:rsidRDefault="0028762D" w:rsidP="0028762D">
      <w:pPr>
        <w:pStyle w:val="Hapesira7"/>
        <w:rPr>
          <w:lang w:val="sq-AL"/>
        </w:rPr>
      </w:pPr>
    </w:p>
    <w:p w:rsidR="0028762D" w:rsidRDefault="0028762D" w:rsidP="0028762D">
      <w:pPr>
        <w:pStyle w:val="Paragrafi"/>
        <w:jc w:val="center"/>
        <w:rPr>
          <w:rFonts w:eastAsia="Times New Roman"/>
          <w:b/>
          <w:spacing w:val="-4"/>
          <w:szCs w:val="24"/>
          <w:lang w:val="sq-AL"/>
        </w:rPr>
      </w:pPr>
      <w:r w:rsidRPr="00034ADA">
        <w:rPr>
          <w:rFonts w:eastAsia="Times New Roman"/>
          <w:b/>
          <w:spacing w:val="-4"/>
          <w:szCs w:val="24"/>
          <w:lang w:val="sq-AL"/>
        </w:rPr>
        <w:t xml:space="preserve">NË EMËR TË REPUBLIKËS </w:t>
      </w:r>
    </w:p>
    <w:p w:rsidR="0028762D" w:rsidRPr="00034ADA" w:rsidRDefault="0028762D" w:rsidP="0028762D">
      <w:pPr>
        <w:pStyle w:val="Paragrafi"/>
        <w:jc w:val="center"/>
        <w:rPr>
          <w:rFonts w:eastAsia="Times New Roman"/>
          <w:spacing w:val="-4"/>
          <w:szCs w:val="24"/>
          <w:lang w:val="sq-AL"/>
        </w:rPr>
      </w:pPr>
      <w:r w:rsidRPr="00034ADA">
        <w:rPr>
          <w:rFonts w:eastAsia="Times New Roman"/>
          <w:b/>
          <w:spacing w:val="-4"/>
          <w:szCs w:val="24"/>
          <w:lang w:val="sq-AL"/>
        </w:rPr>
        <w:t>SË SHQIPËRISË</w:t>
      </w:r>
    </w:p>
    <w:p w:rsidR="0028762D" w:rsidRPr="00034ADA" w:rsidRDefault="0028762D" w:rsidP="0028762D">
      <w:pPr>
        <w:pStyle w:val="Hapesira7"/>
        <w:rPr>
          <w:lang w:val="sq-AL"/>
        </w:rPr>
      </w:pPr>
    </w:p>
    <w:p w:rsidR="0028762D" w:rsidRPr="00034ADA" w:rsidRDefault="0028762D" w:rsidP="0028762D">
      <w:pPr>
        <w:pStyle w:val="Paragrafi"/>
        <w:rPr>
          <w:spacing w:val="-4"/>
          <w:szCs w:val="24"/>
          <w:lang w:val="sq-AL"/>
        </w:rPr>
      </w:pPr>
      <w:r w:rsidRPr="00034ADA">
        <w:rPr>
          <w:spacing w:val="-4"/>
          <w:szCs w:val="24"/>
          <w:lang w:val="sq-AL"/>
        </w:rPr>
        <w:t>Gjykata Kushtetuese e Republikës së Shqipërisë, e përbërë nga:</w:t>
      </w:r>
    </w:p>
    <w:tbl>
      <w:tblPr>
        <w:tblStyle w:val="TableGrid"/>
        <w:tblW w:w="5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3"/>
        <w:gridCol w:w="1162"/>
        <w:gridCol w:w="2121"/>
      </w:tblGrid>
      <w:tr w:rsidR="0028762D" w:rsidRPr="00034ADA" w:rsidTr="00B908B6">
        <w:trPr>
          <w:trHeight w:val="259"/>
        </w:trPr>
        <w:tc>
          <w:tcPr>
            <w:tcW w:w="1723"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Bashkim Dedja</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 xml:space="preserve">kryetar  i  </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Gjykatës Kushtetuese</w:t>
            </w:r>
          </w:p>
        </w:tc>
      </w:tr>
      <w:tr w:rsidR="0028762D" w:rsidRPr="00034ADA" w:rsidTr="00B908B6">
        <w:trPr>
          <w:trHeight w:val="247"/>
        </w:trPr>
        <w:tc>
          <w:tcPr>
            <w:tcW w:w="1723"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Vladimir Kristo</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b/>
              <w:t>“                 “</w:t>
            </w:r>
          </w:p>
        </w:tc>
      </w:tr>
      <w:tr w:rsidR="0028762D" w:rsidRPr="00034ADA" w:rsidTr="00B908B6">
        <w:trPr>
          <w:trHeight w:val="259"/>
        </w:trPr>
        <w:tc>
          <w:tcPr>
            <w:tcW w:w="1723"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Sokol Berberi</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b/>
              <w:t>“                 “</w:t>
            </w:r>
          </w:p>
        </w:tc>
      </w:tr>
      <w:tr w:rsidR="0028762D" w:rsidRPr="00034ADA" w:rsidTr="00B908B6">
        <w:trPr>
          <w:trHeight w:val="247"/>
        </w:trPr>
        <w:tc>
          <w:tcPr>
            <w:tcW w:w="1723" w:type="dxa"/>
          </w:tcPr>
          <w:p w:rsidR="0028762D" w:rsidRPr="00034ADA" w:rsidRDefault="0028762D" w:rsidP="00B908B6">
            <w:pPr>
              <w:pStyle w:val="Paragrafi"/>
              <w:ind w:firstLine="0"/>
              <w:rPr>
                <w:spacing w:val="-4"/>
                <w:sz w:val="22"/>
                <w:szCs w:val="22"/>
                <w:lang w:val="sq-AL"/>
              </w:rPr>
            </w:pPr>
            <w:r w:rsidRPr="00034ADA">
              <w:rPr>
                <w:spacing w:val="-4"/>
                <w:szCs w:val="24"/>
                <w:lang w:val="sq-AL"/>
              </w:rPr>
              <w:t>Vitore Tusha</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anëtare   e</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b/>
              <w:t>“                 “</w:t>
            </w:r>
          </w:p>
        </w:tc>
      </w:tr>
      <w:tr w:rsidR="0028762D" w:rsidRPr="00034ADA" w:rsidTr="00B908B6">
        <w:trPr>
          <w:trHeight w:val="259"/>
        </w:trPr>
        <w:tc>
          <w:tcPr>
            <w:tcW w:w="1723"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Altina Xhoxhaj</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anëtare   e</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b/>
              <w:t>“                 “</w:t>
            </w:r>
          </w:p>
        </w:tc>
      </w:tr>
      <w:tr w:rsidR="0028762D" w:rsidRPr="00034ADA" w:rsidTr="00B908B6">
        <w:trPr>
          <w:trHeight w:val="247"/>
        </w:trPr>
        <w:tc>
          <w:tcPr>
            <w:tcW w:w="1723" w:type="dxa"/>
          </w:tcPr>
          <w:p w:rsidR="0028762D" w:rsidRPr="00034ADA" w:rsidRDefault="0028762D" w:rsidP="00B908B6">
            <w:pPr>
              <w:pStyle w:val="Paragrafi"/>
              <w:ind w:firstLine="0"/>
              <w:rPr>
                <w:spacing w:val="-4"/>
                <w:sz w:val="22"/>
                <w:lang w:val="sq-AL"/>
              </w:rPr>
            </w:pPr>
            <w:r w:rsidRPr="00034ADA">
              <w:rPr>
                <w:spacing w:val="-4"/>
                <w:szCs w:val="24"/>
                <w:lang w:val="sq-AL"/>
              </w:rPr>
              <w:t xml:space="preserve">Fatmir Hoxha       </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28762D" w:rsidRPr="00034ADA" w:rsidRDefault="0028762D" w:rsidP="00B908B6">
            <w:pPr>
              <w:pStyle w:val="Paragrafi"/>
              <w:ind w:firstLine="0"/>
              <w:rPr>
                <w:spacing w:val="-4"/>
                <w:sz w:val="22"/>
                <w:lang w:val="sq-AL"/>
              </w:rPr>
            </w:pPr>
          </w:p>
        </w:tc>
      </w:tr>
      <w:tr w:rsidR="0028762D" w:rsidRPr="00034ADA" w:rsidTr="00B908B6">
        <w:trPr>
          <w:trHeight w:val="247"/>
        </w:trPr>
        <w:tc>
          <w:tcPr>
            <w:tcW w:w="1723"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Gani Dizdari</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b/>
              <w:t>“                 “</w:t>
            </w:r>
          </w:p>
        </w:tc>
      </w:tr>
      <w:tr w:rsidR="0028762D" w:rsidRPr="00034ADA" w:rsidTr="00B908B6">
        <w:trPr>
          <w:trHeight w:val="259"/>
        </w:trPr>
        <w:tc>
          <w:tcPr>
            <w:tcW w:w="1723"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Besnik Imeraj</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b/>
              <w:t>“                 “</w:t>
            </w:r>
          </w:p>
        </w:tc>
      </w:tr>
      <w:tr w:rsidR="0028762D" w:rsidRPr="00034ADA" w:rsidTr="00B908B6">
        <w:trPr>
          <w:trHeight w:val="247"/>
        </w:trPr>
        <w:tc>
          <w:tcPr>
            <w:tcW w:w="1723"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Fatos Lulo</w:t>
            </w:r>
          </w:p>
        </w:tc>
        <w:tc>
          <w:tcPr>
            <w:tcW w:w="1162"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28762D" w:rsidRPr="00034ADA" w:rsidRDefault="0028762D" w:rsidP="00B908B6">
            <w:pPr>
              <w:pStyle w:val="Paragrafi"/>
              <w:ind w:firstLine="0"/>
              <w:rPr>
                <w:spacing w:val="-4"/>
                <w:sz w:val="22"/>
                <w:szCs w:val="22"/>
                <w:lang w:val="sq-AL"/>
              </w:rPr>
            </w:pPr>
            <w:r w:rsidRPr="00034ADA">
              <w:rPr>
                <w:spacing w:val="-4"/>
                <w:sz w:val="22"/>
                <w:szCs w:val="22"/>
                <w:lang w:val="sq-AL"/>
              </w:rPr>
              <w:tab/>
              <w:t>“                 “</w:t>
            </w:r>
          </w:p>
        </w:tc>
      </w:tr>
    </w:tbl>
    <w:p w:rsidR="0028762D"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me sekretare Blerina Basha, në datën 03.02.2015 mori në shqyrtim në seancë </w:t>
      </w:r>
      <w:r w:rsidRPr="00034ADA">
        <w:rPr>
          <w:spacing w:val="-4"/>
          <w:szCs w:val="24"/>
          <w:lang w:val="sq-AL"/>
        </w:rPr>
        <w:t>plenare, mbi bazë dokumentesh, çështjen</w:t>
      </w:r>
      <w:r w:rsidRPr="00034ADA">
        <w:rPr>
          <w:rFonts w:eastAsia="Times New Roman"/>
          <w:spacing w:val="-4"/>
          <w:szCs w:val="24"/>
          <w:lang w:val="sq-AL"/>
        </w:rPr>
        <w:t xml:space="preserve"> me nr. 68/35 Akti, që i përket: </w:t>
      </w:r>
    </w:p>
    <w:p w:rsidR="0028762D" w:rsidRPr="00034ADA" w:rsidRDefault="0028762D" w:rsidP="0028762D">
      <w:pPr>
        <w:pStyle w:val="Paragrafi"/>
        <w:rPr>
          <w:rFonts w:eastAsia="Times New Roman"/>
          <w:spacing w:val="-4"/>
          <w:szCs w:val="24"/>
          <w:lang w:val="sq-AL"/>
        </w:rPr>
      </w:pPr>
      <w:bookmarkStart w:id="0" w:name="_GoBack"/>
      <w:bookmarkEnd w:id="0"/>
      <w:r w:rsidRPr="00034ADA">
        <w:rPr>
          <w:rFonts w:eastAsia="Times New Roman"/>
          <w:spacing w:val="-4"/>
          <w:szCs w:val="24"/>
          <w:lang w:val="sq-AL"/>
        </w:rPr>
        <w:t xml:space="preserve">KËRKUES: </w:t>
      </w:r>
      <w:r w:rsidRPr="00034ADA">
        <w:rPr>
          <w:rFonts w:eastAsia="Times New Roman"/>
          <w:spacing w:val="-4"/>
          <w:szCs w:val="24"/>
          <w:lang w:val="sq-AL"/>
        </w:rPr>
        <w:tab/>
        <w:t>Dritan Fani</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SUBJEKT I INTERESUAR: Prokuroria e Përgjithshme </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OBJEKTI:</w:t>
      </w:r>
      <w:r w:rsidRPr="00034ADA">
        <w:rPr>
          <w:rFonts w:eastAsia="Times New Roman"/>
          <w:spacing w:val="-4"/>
          <w:szCs w:val="24"/>
          <w:lang w:val="sq-AL"/>
        </w:rPr>
        <w:tab/>
        <w:t xml:space="preserve"> Shfuqizimi si të papajtueshme me Kushtetutën e Republikës së Shqipërisë i vendimeve nr. </w:t>
      </w:r>
      <w:r>
        <w:rPr>
          <w:rFonts w:eastAsia="Times New Roman"/>
          <w:spacing w:val="-4"/>
          <w:szCs w:val="24"/>
          <w:lang w:val="sq-AL"/>
        </w:rPr>
        <w:t>00-2014-1133, datë 11.</w:t>
      </w:r>
      <w:r w:rsidRPr="00034ADA">
        <w:rPr>
          <w:rFonts w:eastAsia="Times New Roman"/>
          <w:spacing w:val="-4"/>
          <w:szCs w:val="24"/>
          <w:lang w:val="sq-AL"/>
        </w:rPr>
        <w:t xml:space="preserve">7.2014 të Kolegjit Penal të Gjykatës së Lartë, nr. </w:t>
      </w:r>
      <w:r>
        <w:rPr>
          <w:rFonts w:eastAsia="Times New Roman"/>
          <w:spacing w:val="-4"/>
          <w:szCs w:val="24"/>
          <w:lang w:val="sq-AL"/>
        </w:rPr>
        <w:t>713, datë 4.</w:t>
      </w:r>
      <w:r w:rsidRPr="00034ADA">
        <w:rPr>
          <w:rFonts w:eastAsia="Times New Roman"/>
          <w:spacing w:val="-4"/>
          <w:szCs w:val="24"/>
          <w:lang w:val="sq-AL"/>
        </w:rPr>
        <w:t xml:space="preserve">7.2012 të Gjykatës së Apelit Tiranë dhe nr. </w:t>
      </w:r>
      <w:r>
        <w:rPr>
          <w:rFonts w:eastAsia="Times New Roman"/>
          <w:spacing w:val="-4"/>
          <w:szCs w:val="24"/>
          <w:lang w:val="sq-AL"/>
        </w:rPr>
        <w:t>44, datë 26.</w:t>
      </w:r>
      <w:r w:rsidRPr="00034ADA">
        <w:rPr>
          <w:rFonts w:eastAsia="Times New Roman"/>
          <w:spacing w:val="-4"/>
          <w:szCs w:val="24"/>
          <w:lang w:val="sq-AL"/>
        </w:rPr>
        <w:t>3.2012 të Gjykatës së Rrethit Gjyqësor Kurbin.</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BAZA LIGJORE: Nenet 42/2 dhe 134 të Kushtetutës së Republikës së Shqipërisë.</w:t>
      </w:r>
    </w:p>
    <w:p w:rsidR="0028762D" w:rsidRPr="00034ADA" w:rsidRDefault="0028762D" w:rsidP="0028762D">
      <w:pPr>
        <w:pStyle w:val="Hapesira7"/>
        <w:rPr>
          <w:lang w:val="sq-AL"/>
        </w:rPr>
      </w:pPr>
    </w:p>
    <w:p w:rsidR="0028762D" w:rsidRPr="00034ADA" w:rsidRDefault="0028762D" w:rsidP="0028762D">
      <w:pPr>
        <w:pStyle w:val="Paragrafi"/>
        <w:jc w:val="center"/>
        <w:rPr>
          <w:rFonts w:eastAsia="Times New Roman"/>
          <w:spacing w:val="-4"/>
          <w:szCs w:val="24"/>
          <w:lang w:val="sq-AL"/>
        </w:rPr>
      </w:pPr>
      <w:r w:rsidRPr="00034ADA">
        <w:rPr>
          <w:rFonts w:eastAsia="Times New Roman"/>
          <w:spacing w:val="-4"/>
          <w:szCs w:val="24"/>
          <w:lang w:val="sq-AL"/>
        </w:rPr>
        <w:t>GJYKATA KUSHTETUESE,</w:t>
      </w:r>
    </w:p>
    <w:p w:rsidR="0028762D" w:rsidRPr="00034ADA" w:rsidRDefault="0028762D" w:rsidP="0028762D">
      <w:pPr>
        <w:pStyle w:val="Hapesira7"/>
        <w:rPr>
          <w:lang w:val="sq-AL"/>
        </w:rPr>
      </w:pP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pasi dëgjoi relatorin e çështjes Fatos Lulo; mori në shqyrtim pretendimet me shkrim të kërkuesit,</w:t>
      </w:r>
      <w:r w:rsidRPr="00034ADA">
        <w:rPr>
          <w:spacing w:val="-4"/>
          <w:szCs w:val="24"/>
          <w:lang w:val="sq-AL"/>
        </w:rPr>
        <w:t xml:space="preserve"> </w:t>
      </w:r>
      <w:r w:rsidRPr="00034ADA">
        <w:rPr>
          <w:rFonts w:eastAsia="Times New Roman"/>
          <w:spacing w:val="-4"/>
          <w:szCs w:val="24"/>
          <w:lang w:val="sq-AL"/>
        </w:rPr>
        <w:t>që kërkon pranimin e kërkesës; njoftoi subjektin e interesuar, i cili nuk paraqiti prapësime, si dhe diskutoi çështjen në tërësi,</w:t>
      </w:r>
    </w:p>
    <w:p w:rsidR="0028762D" w:rsidRPr="00034ADA" w:rsidRDefault="0028762D" w:rsidP="0028762D">
      <w:pPr>
        <w:pStyle w:val="Hapesira7"/>
        <w:rPr>
          <w:lang w:val="sq-AL"/>
        </w:rPr>
      </w:pPr>
    </w:p>
    <w:p w:rsidR="0028762D" w:rsidRPr="00034ADA" w:rsidRDefault="0028762D" w:rsidP="0028762D">
      <w:pPr>
        <w:pStyle w:val="Paragrafi"/>
        <w:jc w:val="center"/>
        <w:rPr>
          <w:rFonts w:eastAsia="Times New Roman"/>
          <w:spacing w:val="-4"/>
          <w:szCs w:val="24"/>
          <w:lang w:val="sq-AL"/>
        </w:rPr>
      </w:pPr>
      <w:r w:rsidRPr="00034ADA">
        <w:rPr>
          <w:rFonts w:eastAsia="Times New Roman"/>
          <w:spacing w:val="-4"/>
          <w:szCs w:val="24"/>
          <w:lang w:val="sq-AL"/>
        </w:rPr>
        <w:t>VËREN:</w:t>
      </w:r>
    </w:p>
    <w:p w:rsidR="0028762D" w:rsidRPr="00034ADA" w:rsidRDefault="0028762D" w:rsidP="0028762D">
      <w:pPr>
        <w:pStyle w:val="Hapesira7"/>
        <w:rPr>
          <w:lang w:val="sq-AL"/>
        </w:rPr>
      </w:pPr>
    </w:p>
    <w:p w:rsidR="0028762D" w:rsidRPr="00034ADA" w:rsidRDefault="0028762D" w:rsidP="0028762D">
      <w:pPr>
        <w:pStyle w:val="Paragrafi"/>
        <w:jc w:val="center"/>
        <w:rPr>
          <w:rFonts w:eastAsia="Times New Roman"/>
          <w:b/>
          <w:spacing w:val="-4"/>
          <w:szCs w:val="24"/>
          <w:lang w:val="sq-AL"/>
        </w:rPr>
      </w:pPr>
      <w:r w:rsidRPr="00034ADA">
        <w:rPr>
          <w:rFonts w:eastAsia="Times New Roman"/>
          <w:b/>
          <w:spacing w:val="-4"/>
          <w:szCs w:val="24"/>
          <w:lang w:val="sq-AL"/>
        </w:rPr>
        <w:t>I</w:t>
      </w:r>
    </w:p>
    <w:p w:rsidR="0028762D" w:rsidRPr="00034ADA" w:rsidRDefault="0028762D" w:rsidP="0028762D">
      <w:pPr>
        <w:pStyle w:val="Hapesira7"/>
        <w:rPr>
          <w:lang w:val="sq-AL"/>
        </w:rPr>
      </w:pP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1. Gjykata e Rrethit Gjyqësor Kurbin, me vendimin</w:t>
      </w:r>
      <w:r w:rsidRPr="00034ADA">
        <w:rPr>
          <w:rFonts w:eastAsia="Times New Roman"/>
          <w:b/>
          <w:spacing w:val="-4"/>
          <w:szCs w:val="24"/>
          <w:lang w:val="sq-AL"/>
        </w:rPr>
        <w:t xml:space="preserve"> </w:t>
      </w:r>
      <w:r w:rsidRPr="00034ADA">
        <w:rPr>
          <w:rFonts w:eastAsia="Times New Roman"/>
          <w:spacing w:val="-4"/>
          <w:szCs w:val="24"/>
          <w:lang w:val="sq-AL"/>
        </w:rPr>
        <w:t>nr. 110, datë 20.7.2004, ka vendosur, ndër të tjera, deklarimin fajtor të kërkuesit për veprën penale të vjedhjes me armë në bashkëpunim, parashikuar nga nenet 140 dhe 25 të Kodit Penal (</w:t>
      </w:r>
      <w:r w:rsidRPr="00034ADA">
        <w:rPr>
          <w:rFonts w:eastAsia="Times New Roman"/>
          <w:i/>
          <w:spacing w:val="-4"/>
          <w:szCs w:val="24"/>
          <w:lang w:val="sq-AL"/>
        </w:rPr>
        <w:t>KP-ja</w:t>
      </w:r>
      <w:r w:rsidRPr="00034ADA">
        <w:rPr>
          <w:rFonts w:eastAsia="Times New Roman"/>
          <w:spacing w:val="-4"/>
          <w:szCs w:val="24"/>
          <w:lang w:val="sq-AL"/>
        </w:rPr>
        <w:t xml:space="preserve">), dhe dënimin e tij me 13 vjet burgim. Gjykata e Apelit Tiranë, me vendimin nr. 156, datë 11.3.2005, ka vendosur lënien në fuqi të vendimit të gjykatës së shkallës së parë. Kolegji Penal i Gjykatës së Lartë, me vendimin nr. 85, datë 17.2.2006, ka vendosur mospranimin e rekursit të paraqitur nga kërkuesi me arsyetimin se ai nuk përmban shkaqe nga ato të parashikuara në nenin 432 të Kodit të Procedurës Penale (KPP-ja). </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2. Ndërkohë që vuante dënimin, kërkuesi, me vendimin nr. 59, datë 03.05.2007 të Gjykatës së Rrethit Gjyqësor Kurbin, është deklaruar përsëri fajtor për një ngjarje tjetër të kryer para dhënies së vendimit të parë, për veprën penale të vjedhjes me armë në bashkëpunim, parashikuar nga nenet 140 dhe 25 të KP-së, dhe është dënuar me 12 vjet burgim.</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3. Ky vendim është lënë në fuqi me vendimin nr. </w:t>
      </w:r>
      <w:r>
        <w:rPr>
          <w:rFonts w:eastAsia="Times New Roman"/>
          <w:spacing w:val="-4"/>
          <w:szCs w:val="24"/>
          <w:lang w:val="sq-AL"/>
        </w:rPr>
        <w:t>45, datë 25.</w:t>
      </w:r>
      <w:r w:rsidRPr="00034ADA">
        <w:rPr>
          <w:rFonts w:eastAsia="Times New Roman"/>
          <w:spacing w:val="-4"/>
          <w:szCs w:val="24"/>
          <w:lang w:val="sq-AL"/>
        </w:rPr>
        <w:t>1.2008 të Gjykatës së Apelit Tiranë.</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4. Në këto kushte, Prokuroria e Rrethit Gjyqësor Kurbin, bazuar në nenet 55/2 dhe 56 të KP-së, ka kërkuar bashkimin e dënimeve penale të dhëna ndaj kërkuesit me vendime të formës së prerë, si dhe caktimin e një dënimi përfundimtar.</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5. Gjykata e Rrethit Gjyqësor Kurbin, me vendimin</w:t>
      </w:r>
      <w:r w:rsidRPr="00034ADA">
        <w:rPr>
          <w:rFonts w:eastAsia="Times New Roman"/>
          <w:b/>
          <w:spacing w:val="-4"/>
          <w:szCs w:val="24"/>
          <w:lang w:val="sq-AL"/>
        </w:rPr>
        <w:t xml:space="preserve"> </w:t>
      </w:r>
      <w:r w:rsidRPr="00034ADA">
        <w:rPr>
          <w:rFonts w:eastAsia="Times New Roman"/>
          <w:spacing w:val="-4"/>
          <w:szCs w:val="24"/>
          <w:lang w:val="sq-AL"/>
        </w:rPr>
        <w:t xml:space="preserve">nr. </w:t>
      </w:r>
      <w:r>
        <w:rPr>
          <w:rFonts w:eastAsia="Times New Roman"/>
          <w:spacing w:val="-4"/>
          <w:szCs w:val="24"/>
          <w:lang w:val="sq-AL"/>
        </w:rPr>
        <w:t>482/64, datë 13.</w:t>
      </w:r>
      <w:r w:rsidRPr="00034ADA">
        <w:rPr>
          <w:rFonts w:eastAsia="Times New Roman"/>
          <w:spacing w:val="-4"/>
          <w:szCs w:val="24"/>
          <w:lang w:val="sq-AL"/>
        </w:rPr>
        <w:t xml:space="preserve">5.2009, ka vendosur pranimin </w:t>
      </w:r>
      <w:r w:rsidRPr="00034ADA">
        <w:rPr>
          <w:rFonts w:eastAsia="Times New Roman"/>
          <w:spacing w:val="-4"/>
          <w:szCs w:val="24"/>
          <w:lang w:val="sq-AL"/>
        </w:rPr>
        <w:lastRenderedPageBreak/>
        <w:t>e kërkesës, bashkimin e dënimit të ri prej 12 vjetësh, të dhënë me vendimin e Gjykatës së Rrethit Gjyqësor Kurbin, nr. 59, datë 03.05.2007, me pjesën e mbetur të dënimit të mëparshëm. Dënimin përfundimisht të kërkuesit me një dënim të vetëm prej 13 vjetësh. Gjykata ka caktuar, gjithashtu, se vuajtja e dënimit fillon në datën e arrestimit (fillestar) të kërkuesit, pra më 28.11.2002. Vendimi në fjalë ka marrë formë të prerë, pa u ankimuar nga asnjëra prej palëve ndërgjyqëse.</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6. Në vitin 2012, Prokuroria e Rrethit Gjyqësor Kurbin, bazuar në nenet 114 dhe 385 të KPP-së, i është drejtuar përsëri Gjykatës së Rrethit Gjyqësor Kurbin për ndreqjen e gabimit material të vendimit nr. </w:t>
      </w:r>
      <w:r>
        <w:rPr>
          <w:rFonts w:eastAsia="Times New Roman"/>
          <w:spacing w:val="-4"/>
          <w:szCs w:val="24"/>
          <w:lang w:val="sq-AL"/>
        </w:rPr>
        <w:t>482/64, datë 13.</w:t>
      </w:r>
      <w:r w:rsidRPr="00034ADA">
        <w:rPr>
          <w:rFonts w:eastAsia="Times New Roman"/>
          <w:spacing w:val="-4"/>
          <w:szCs w:val="24"/>
          <w:lang w:val="sq-AL"/>
        </w:rPr>
        <w:t xml:space="preserve">5.2009. Kjo e fundit, me vendim nr. </w:t>
      </w:r>
      <w:r>
        <w:rPr>
          <w:rFonts w:eastAsia="Times New Roman"/>
          <w:spacing w:val="-4"/>
          <w:szCs w:val="24"/>
          <w:lang w:val="sq-AL"/>
        </w:rPr>
        <w:t>44, datë 26.</w:t>
      </w:r>
      <w:r w:rsidRPr="00034ADA">
        <w:rPr>
          <w:rFonts w:eastAsia="Times New Roman"/>
          <w:spacing w:val="-4"/>
          <w:szCs w:val="24"/>
          <w:lang w:val="sq-AL"/>
        </w:rPr>
        <w:t>3.2012, ka vendosur pranimin e kërkesës: ndreqjen e pjesës urdhëruese të vendimit penal nr. 482/64, datë 13.05.2009, duke caktuar si datë të fillimit të vuajtjes së dënimit, atë të kërkesës për b</w:t>
      </w:r>
      <w:r>
        <w:rPr>
          <w:rFonts w:eastAsia="Times New Roman"/>
          <w:spacing w:val="-4"/>
          <w:szCs w:val="24"/>
          <w:lang w:val="sq-AL"/>
        </w:rPr>
        <w:t>ashkimin e dënimeve, pra më 24.</w:t>
      </w:r>
      <w:r w:rsidRPr="00034ADA">
        <w:rPr>
          <w:rFonts w:eastAsia="Times New Roman"/>
          <w:spacing w:val="-4"/>
          <w:szCs w:val="24"/>
          <w:lang w:val="sq-AL"/>
        </w:rPr>
        <w:t xml:space="preserve">3.2009.  </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7. Kundër vendimit të ndreqjes së gabimit material ka paraqitur ankim kërkuesi dhe Gjykata e Apelit Tiranë, me vendimin nr. </w:t>
      </w:r>
      <w:r>
        <w:rPr>
          <w:rFonts w:eastAsia="Times New Roman"/>
          <w:spacing w:val="-4"/>
          <w:szCs w:val="24"/>
          <w:lang w:val="sq-AL"/>
        </w:rPr>
        <w:t>713, datë 4.</w:t>
      </w:r>
      <w:r w:rsidRPr="00034ADA">
        <w:rPr>
          <w:rFonts w:eastAsia="Times New Roman"/>
          <w:spacing w:val="-4"/>
          <w:szCs w:val="24"/>
          <w:lang w:val="sq-AL"/>
        </w:rPr>
        <w:t xml:space="preserve">7.2012, ka vendosur lënien në fuqi të vendimit nr. </w:t>
      </w:r>
      <w:r>
        <w:rPr>
          <w:rFonts w:eastAsia="Times New Roman"/>
          <w:spacing w:val="-4"/>
          <w:szCs w:val="24"/>
          <w:lang w:val="sq-AL"/>
        </w:rPr>
        <w:t>44, datë 26.</w:t>
      </w:r>
      <w:r w:rsidRPr="00034ADA">
        <w:rPr>
          <w:rFonts w:eastAsia="Times New Roman"/>
          <w:spacing w:val="-4"/>
          <w:szCs w:val="24"/>
          <w:lang w:val="sq-AL"/>
        </w:rPr>
        <w:t>3.2012 të Gjykatës së Rrethit Gjyqësor Kurbin.</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8. Kolegji Penal i Gjykatës së Lartë, me vendimin nr. 00-2013-5, datë 10.01.2013, ka vendosur mospranimin e rekursit të paraqitur nga kërkuesi, me arsyetimin se ai nuk përmban shkaqe nga ato të parashikuara në nenin 432 të KPP-së. </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9. Gjykata Kushtetuese, me vendimin nr. 13, datë 17.03.2014, ka vendosur pranimin e kërkesës. Shfuqizimin e vendimit nr. 00-2013-5, datë 10.01.2013 të Kolegjit Penal të Gjykatës së Lartë. Dërgimin e çështjes për rishqyrtim në Gjykatën e Lartë.</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10. Kolegji Penal i Gjykatës së Lartë, me vendimin nr. </w:t>
      </w:r>
      <w:r>
        <w:rPr>
          <w:rFonts w:eastAsia="Times New Roman"/>
          <w:spacing w:val="-4"/>
          <w:szCs w:val="24"/>
          <w:lang w:val="sq-AL"/>
        </w:rPr>
        <w:t>00-2014-1133, datë 11.</w:t>
      </w:r>
      <w:r w:rsidRPr="00034ADA">
        <w:rPr>
          <w:rFonts w:eastAsia="Times New Roman"/>
          <w:spacing w:val="-4"/>
          <w:szCs w:val="24"/>
          <w:lang w:val="sq-AL"/>
        </w:rPr>
        <w:t xml:space="preserve">7.2014, ka vendosur mospranimin e rekursit. </w:t>
      </w:r>
    </w:p>
    <w:p w:rsidR="0028762D" w:rsidRPr="00034ADA" w:rsidRDefault="0028762D" w:rsidP="0028762D">
      <w:pPr>
        <w:pStyle w:val="Hapesira7"/>
        <w:rPr>
          <w:lang w:val="sq-AL"/>
        </w:rPr>
      </w:pPr>
    </w:p>
    <w:p w:rsidR="0028762D" w:rsidRPr="00034ADA" w:rsidRDefault="0028762D" w:rsidP="0028762D">
      <w:pPr>
        <w:pStyle w:val="Paragrafi"/>
        <w:jc w:val="center"/>
        <w:rPr>
          <w:rFonts w:eastAsia="Times New Roman"/>
          <w:b/>
          <w:spacing w:val="-4"/>
          <w:szCs w:val="24"/>
          <w:lang w:val="sq-AL"/>
        </w:rPr>
      </w:pPr>
      <w:r w:rsidRPr="00034ADA">
        <w:rPr>
          <w:rFonts w:eastAsia="Times New Roman"/>
          <w:b/>
          <w:spacing w:val="-4"/>
          <w:szCs w:val="24"/>
          <w:lang w:val="sq-AL"/>
        </w:rPr>
        <w:t>II</w:t>
      </w:r>
    </w:p>
    <w:p w:rsidR="0028762D" w:rsidRPr="00034ADA" w:rsidRDefault="0028762D" w:rsidP="0028762D">
      <w:pPr>
        <w:pStyle w:val="Hapesira7"/>
        <w:rPr>
          <w:lang w:val="sq-AL"/>
        </w:rPr>
      </w:pP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11. </w:t>
      </w:r>
      <w:r w:rsidRPr="00034ADA">
        <w:rPr>
          <w:rFonts w:eastAsia="Times New Roman"/>
          <w:b/>
          <w:i/>
          <w:spacing w:val="-4"/>
          <w:szCs w:val="24"/>
          <w:lang w:val="sq-AL"/>
        </w:rPr>
        <w:t>Kërkuesi</w:t>
      </w:r>
      <w:r w:rsidRPr="00034ADA">
        <w:rPr>
          <w:rFonts w:eastAsia="Times New Roman"/>
          <w:spacing w:val="-4"/>
          <w:szCs w:val="24"/>
          <w:lang w:val="sq-AL"/>
        </w:rPr>
        <w:t xml:space="preserve"> i është drejtuar Gjykatës Kushtetuese duke pretenduar shfuqizimin e</w:t>
      </w:r>
      <w:r w:rsidRPr="00034ADA">
        <w:rPr>
          <w:rFonts w:eastAsia="Times New Roman"/>
          <w:b/>
          <w:spacing w:val="-4"/>
          <w:szCs w:val="24"/>
          <w:lang w:val="sq-AL"/>
        </w:rPr>
        <w:t xml:space="preserve"> </w:t>
      </w:r>
      <w:r w:rsidRPr="00034ADA">
        <w:rPr>
          <w:rFonts w:eastAsia="Times New Roman"/>
          <w:spacing w:val="-4"/>
          <w:szCs w:val="24"/>
          <w:lang w:val="sq-AL"/>
        </w:rPr>
        <w:t>vendimeve gjyqësore objekt kërkese, sepse këto vendime i kanë cenuar të drejtën për një proces të rregullt ligjor në aspektet e mëposhtme:</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11.1 Vendimet e gjykatave të faktit janë të paarsyetuara. Këto vendime rezultojnë të paqarta dhe nuk ndjekin një linjë logjike që lidh argumentet me pjesën urdhëruese të vendimit.</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11.2 Vendimi i Kolegjit Penal të Gjykatës të Lartë në dhomën e këshillimit është rezultat i një veprimi arbitrar dhe të kundërligjshëm. </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11.3 Është cenuar parimi i sigurisë juridike, pasi në vendimin nr. </w:t>
      </w:r>
      <w:r>
        <w:rPr>
          <w:rFonts w:eastAsia="Times New Roman"/>
          <w:spacing w:val="-4"/>
          <w:szCs w:val="24"/>
          <w:lang w:val="sq-AL"/>
        </w:rPr>
        <w:t>44, datë 26.</w:t>
      </w:r>
      <w:r w:rsidRPr="00034ADA">
        <w:rPr>
          <w:rFonts w:eastAsia="Times New Roman"/>
          <w:spacing w:val="-4"/>
          <w:szCs w:val="24"/>
          <w:lang w:val="sq-AL"/>
        </w:rPr>
        <w:t>3.2012 nuk ka ndreqje të gabimit, por ndryshim të vendimit të formës së prerë, pasi në këtë ndreqje vendimi kërkuesi duhet të vuajë 9 vjet burg më shumë se masa e dënimit e caktuar me vendimin nr. 482/64, datë 13.05.2009.</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11.4 Është shkelur barazia para ligjit (</w:t>
      </w:r>
      <w:r w:rsidRPr="00034ADA">
        <w:rPr>
          <w:rFonts w:eastAsia="Times New Roman"/>
          <w:i/>
          <w:spacing w:val="-4"/>
          <w:szCs w:val="24"/>
          <w:lang w:val="sq-AL"/>
        </w:rPr>
        <w:t>neni 18 i Kushtetutës</w:t>
      </w:r>
      <w:r w:rsidRPr="00034ADA">
        <w:rPr>
          <w:rFonts w:eastAsia="Times New Roman"/>
          <w:spacing w:val="-4"/>
          <w:szCs w:val="24"/>
          <w:lang w:val="sq-AL"/>
        </w:rPr>
        <w:t>). Kjo pozitë e pabarabartë e kërkuesit konsiston në faktin se vuajta e dënimit për të duhej të fillonte nga dita e arrestimit dhe jo nga data e bashkimit të dënimeve, sikundër kanë disponuar gjykatat.</w:t>
      </w:r>
    </w:p>
    <w:p w:rsidR="0028762D" w:rsidRPr="00034ADA" w:rsidRDefault="0028762D" w:rsidP="0028762D">
      <w:pPr>
        <w:pStyle w:val="Paragrafi"/>
        <w:jc w:val="center"/>
        <w:rPr>
          <w:rFonts w:eastAsia="Times New Roman"/>
          <w:b/>
          <w:spacing w:val="-4"/>
          <w:szCs w:val="24"/>
          <w:lang w:val="sq-AL"/>
        </w:rPr>
      </w:pPr>
      <w:r w:rsidRPr="00034ADA">
        <w:rPr>
          <w:rFonts w:eastAsia="Times New Roman"/>
          <w:b/>
          <w:spacing w:val="-4"/>
          <w:szCs w:val="24"/>
          <w:lang w:val="sq-AL"/>
        </w:rPr>
        <w:t>III</w:t>
      </w:r>
    </w:p>
    <w:p w:rsidR="0028762D" w:rsidRPr="00034ADA" w:rsidRDefault="0028762D" w:rsidP="0028762D">
      <w:pPr>
        <w:pStyle w:val="Paragrafi"/>
        <w:jc w:val="center"/>
        <w:rPr>
          <w:rFonts w:eastAsia="Times New Roman"/>
          <w:spacing w:val="-4"/>
          <w:szCs w:val="24"/>
          <w:lang w:val="sq-AL"/>
        </w:rPr>
      </w:pPr>
      <w:r w:rsidRPr="00034ADA">
        <w:rPr>
          <w:rFonts w:eastAsia="Times New Roman"/>
          <w:spacing w:val="-4"/>
          <w:szCs w:val="24"/>
          <w:lang w:val="sq-AL"/>
        </w:rPr>
        <w:t>Vlerësimi i Gjykatës Kushtetuese</w:t>
      </w:r>
    </w:p>
    <w:p w:rsidR="0028762D" w:rsidRPr="00034ADA" w:rsidRDefault="0028762D" w:rsidP="0028762D">
      <w:pPr>
        <w:pStyle w:val="Hapesira7"/>
        <w:rPr>
          <w:lang w:val="sq-AL"/>
        </w:rPr>
      </w:pPr>
    </w:p>
    <w:p w:rsidR="0028762D" w:rsidRPr="00034ADA" w:rsidRDefault="0028762D" w:rsidP="0028762D">
      <w:pPr>
        <w:pStyle w:val="Paragrafi"/>
        <w:rPr>
          <w:i/>
          <w:spacing w:val="-4"/>
          <w:szCs w:val="24"/>
          <w:lang w:val="sq-AL"/>
        </w:rPr>
      </w:pPr>
      <w:r w:rsidRPr="00034ADA">
        <w:rPr>
          <w:i/>
          <w:spacing w:val="-4"/>
          <w:szCs w:val="24"/>
          <w:lang w:val="sq-AL"/>
        </w:rPr>
        <w:t>A. Për legjitimimin e kërkuesit</w:t>
      </w:r>
    </w:p>
    <w:p w:rsidR="0028762D" w:rsidRPr="00034ADA" w:rsidRDefault="0028762D" w:rsidP="0028762D">
      <w:pPr>
        <w:pStyle w:val="Paragrafi"/>
        <w:rPr>
          <w:rFonts w:eastAsia="Times New Roman"/>
          <w:spacing w:val="-4"/>
          <w:szCs w:val="24"/>
          <w:lang w:val="sq-AL"/>
        </w:rPr>
      </w:pPr>
      <w:r w:rsidRPr="00034ADA">
        <w:rPr>
          <w:spacing w:val="-4"/>
          <w:szCs w:val="24"/>
          <w:lang w:val="sq-AL"/>
        </w:rPr>
        <w:tab/>
      </w:r>
      <w:r w:rsidRPr="00034ADA">
        <w:rPr>
          <w:rFonts w:eastAsia="Times New Roman"/>
          <w:spacing w:val="-4"/>
          <w:szCs w:val="24"/>
          <w:lang w:val="sq-AL"/>
        </w:rPr>
        <w:t xml:space="preserve">12. </w:t>
      </w:r>
      <w:r w:rsidRPr="00034ADA">
        <w:rPr>
          <w:spacing w:val="-4"/>
          <w:szCs w:val="24"/>
          <w:lang w:val="sq-AL"/>
        </w:rPr>
        <w:t>Gjykata vlerëson se kërkuesi legjitimohet</w:t>
      </w:r>
      <w:r w:rsidRPr="00034ADA">
        <w:rPr>
          <w:rFonts w:eastAsia="Times New Roman"/>
          <w:spacing w:val="-4"/>
          <w:szCs w:val="24"/>
          <w:lang w:val="sq-AL"/>
        </w:rPr>
        <w:t xml:space="preserve"> </w:t>
      </w:r>
      <w:r w:rsidRPr="00034ADA">
        <w:rPr>
          <w:rFonts w:eastAsia="Times New Roman"/>
          <w:i/>
          <w:spacing w:val="-4"/>
          <w:szCs w:val="24"/>
          <w:lang w:val="sq-AL"/>
        </w:rPr>
        <w:t>ratione personae,</w:t>
      </w:r>
      <w:r w:rsidRPr="00034ADA">
        <w:rPr>
          <w:rFonts w:eastAsia="Times New Roman"/>
          <w:spacing w:val="-4"/>
          <w:szCs w:val="24"/>
          <w:lang w:val="sq-AL"/>
        </w:rPr>
        <w:t xml:space="preserve"> në kuptim të neneve 131/f dhe 134/1/g të Kushtetutës, dhe </w:t>
      </w:r>
      <w:r w:rsidRPr="00034ADA">
        <w:rPr>
          <w:rFonts w:eastAsia="Times New Roman"/>
          <w:i/>
          <w:spacing w:val="-4"/>
          <w:szCs w:val="24"/>
          <w:lang w:val="sq-AL"/>
        </w:rPr>
        <w:t>ratione</w:t>
      </w:r>
      <w:r w:rsidRPr="00034ADA">
        <w:rPr>
          <w:rFonts w:eastAsia="Times New Roman"/>
          <w:spacing w:val="-4"/>
          <w:szCs w:val="24"/>
          <w:lang w:val="sq-AL"/>
        </w:rPr>
        <w:t xml:space="preserve"> </w:t>
      </w:r>
      <w:r w:rsidRPr="00034ADA">
        <w:rPr>
          <w:rFonts w:eastAsia="Times New Roman"/>
          <w:i/>
          <w:spacing w:val="-4"/>
          <w:szCs w:val="24"/>
          <w:lang w:val="sq-AL"/>
        </w:rPr>
        <w:t>temporis,</w:t>
      </w:r>
      <w:r w:rsidRPr="00034ADA">
        <w:rPr>
          <w:rFonts w:eastAsia="Times New Roman"/>
          <w:spacing w:val="-4"/>
          <w:szCs w:val="24"/>
          <w:lang w:val="sq-AL"/>
        </w:rPr>
        <w:t xml:space="preserve"> pasi kërkesa është paraqitur në Gjykatën Kushtetuese brenda afatit të parashikuar nga ligj. Në kuptim të nenit 30 të ligjit nr. </w:t>
      </w:r>
      <w:r>
        <w:rPr>
          <w:rFonts w:eastAsia="Times New Roman"/>
          <w:spacing w:val="-4"/>
          <w:szCs w:val="24"/>
          <w:lang w:val="sq-AL"/>
        </w:rPr>
        <w:t>8577, datë 10.</w:t>
      </w:r>
      <w:r w:rsidRPr="00034ADA">
        <w:rPr>
          <w:rFonts w:eastAsia="Times New Roman"/>
          <w:spacing w:val="-4"/>
          <w:szCs w:val="24"/>
          <w:lang w:val="sq-AL"/>
        </w:rPr>
        <w:t xml:space="preserve">2.2000 “Për 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 Gjykata konstaton se vendimi më i fundit në kohë është vendimi nr. </w:t>
      </w:r>
      <w:r>
        <w:rPr>
          <w:rFonts w:eastAsia="Times New Roman"/>
          <w:spacing w:val="-4"/>
          <w:szCs w:val="24"/>
          <w:lang w:val="sq-AL"/>
        </w:rPr>
        <w:t>00-2014-1133, datë 11.</w:t>
      </w:r>
      <w:r w:rsidRPr="00034ADA">
        <w:rPr>
          <w:rFonts w:eastAsia="Times New Roman"/>
          <w:spacing w:val="-4"/>
          <w:szCs w:val="24"/>
          <w:lang w:val="sq-AL"/>
        </w:rPr>
        <w:t>7.2014 i Kolegjit Penal të Gjykatës së Lartë (</w:t>
      </w:r>
      <w:r w:rsidRPr="00034ADA">
        <w:rPr>
          <w:rFonts w:eastAsia="Times New Roman"/>
          <w:i/>
          <w:spacing w:val="-4"/>
          <w:szCs w:val="24"/>
          <w:lang w:val="sq-AL"/>
        </w:rPr>
        <w:t>dhomë këshillimi</w:t>
      </w:r>
      <w:r w:rsidRPr="00034ADA">
        <w:rPr>
          <w:rFonts w:eastAsia="Times New Roman"/>
          <w:spacing w:val="-4"/>
          <w:szCs w:val="24"/>
          <w:lang w:val="sq-AL"/>
        </w:rPr>
        <w:t>).</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lastRenderedPageBreak/>
        <w:t xml:space="preserve">13. Në lidhje me legjitimimin </w:t>
      </w:r>
      <w:r w:rsidRPr="00034ADA">
        <w:rPr>
          <w:rFonts w:eastAsia="Times New Roman"/>
          <w:i/>
          <w:spacing w:val="-4"/>
          <w:szCs w:val="24"/>
          <w:lang w:val="sq-AL"/>
        </w:rPr>
        <w:t>ratione materiae</w:t>
      </w:r>
      <w:r w:rsidRPr="00034ADA">
        <w:rPr>
          <w:rFonts w:eastAsia="Times New Roman"/>
          <w:spacing w:val="-4"/>
          <w:szCs w:val="24"/>
          <w:lang w:val="sq-AL"/>
        </w:rPr>
        <w:t>,</w:t>
      </w:r>
      <w:r w:rsidRPr="00034ADA">
        <w:rPr>
          <w:spacing w:val="-4"/>
          <w:szCs w:val="24"/>
          <w:lang w:val="sq-AL"/>
        </w:rPr>
        <w:t xml:space="preserve"> </w:t>
      </w:r>
      <w:r w:rsidRPr="00034ADA">
        <w:rPr>
          <w:rFonts w:eastAsia="Times New Roman"/>
          <w:spacing w:val="-4"/>
          <w:szCs w:val="24"/>
          <w:lang w:val="sq-AL"/>
        </w:rPr>
        <w:t xml:space="preserve">Gjykata vëren se pretendimet e kërkuesit në thelb janë të njëjta me pretendimet e parashtruara dhe të administruara në vendimin nr. 13, datë 17.03.2014 të Gjykatës Kushtetuese. Në këto kushte, Gjykata merr në analizë vetëm pretendime të reja e të pashqyrtuara më parë prej saj. Për rrjedhojë, analiza në vijim përqendrohet në vlerësimin e pretendimeve që lidhen me respektimin e </w:t>
      </w:r>
      <w:r w:rsidRPr="00034ADA">
        <w:rPr>
          <w:rFonts w:eastAsia="Times New Roman"/>
          <w:i/>
          <w:spacing w:val="-4"/>
          <w:szCs w:val="24"/>
          <w:lang w:val="sq-AL"/>
        </w:rPr>
        <w:t>standardit kushtetues të arsyetimit të vendimeve gjyqësore</w:t>
      </w:r>
      <w:r w:rsidRPr="00034ADA">
        <w:rPr>
          <w:rFonts w:eastAsia="Times New Roman"/>
          <w:spacing w:val="-4"/>
          <w:szCs w:val="24"/>
          <w:lang w:val="sq-AL"/>
        </w:rPr>
        <w:t xml:space="preserve"> gjatë rigjykimit të çështjes nga Kolegji Penal i Gjykatës së Lartë.</w:t>
      </w:r>
      <w:r w:rsidRPr="00034ADA">
        <w:rPr>
          <w:rFonts w:eastAsia="Times New Roman"/>
          <w:i/>
          <w:spacing w:val="-4"/>
          <w:szCs w:val="24"/>
          <w:lang w:val="sq-AL"/>
        </w:rPr>
        <w:t xml:space="preserve"> </w:t>
      </w:r>
    </w:p>
    <w:p w:rsidR="0028762D" w:rsidRPr="00034ADA" w:rsidRDefault="0028762D" w:rsidP="0028762D">
      <w:pPr>
        <w:pStyle w:val="Paragrafi"/>
        <w:rPr>
          <w:rFonts w:eastAsia="Times New Roman"/>
          <w:i/>
          <w:spacing w:val="-4"/>
          <w:szCs w:val="24"/>
          <w:lang w:val="sq-AL" w:eastAsia="en-GB"/>
        </w:rPr>
      </w:pPr>
      <w:r w:rsidRPr="00034ADA">
        <w:rPr>
          <w:rFonts w:eastAsia="Times New Roman"/>
          <w:i/>
          <w:spacing w:val="-4"/>
          <w:szCs w:val="24"/>
          <w:lang w:val="sq-AL" w:eastAsia="en-GB"/>
        </w:rPr>
        <w:t xml:space="preserve">B. Për pretendimin për cenimin e standardit kushtetues të arsyetimit të vendimit nga Kolegji Penal i Gjykatës së Lartë </w:t>
      </w:r>
    </w:p>
    <w:p w:rsidR="0028762D" w:rsidRPr="00034ADA" w:rsidRDefault="0028762D" w:rsidP="0028762D">
      <w:pPr>
        <w:pStyle w:val="Paragrafi"/>
        <w:rPr>
          <w:rFonts w:eastAsia="Times New Roman"/>
          <w:spacing w:val="-4"/>
          <w:szCs w:val="24"/>
          <w:lang w:val="sq-AL" w:eastAsia="en-GB"/>
        </w:rPr>
      </w:pPr>
      <w:r w:rsidRPr="00034ADA">
        <w:rPr>
          <w:rFonts w:eastAsia="Times New Roman"/>
          <w:spacing w:val="-4"/>
          <w:szCs w:val="24"/>
          <w:lang w:val="sq-AL" w:eastAsia="en-GB"/>
        </w:rPr>
        <w:t xml:space="preserve">14. Kërkuesi ka pretenduar se vendimet e gjykatave të faktit, siç është konstatuar edhe nga Gjykata Kushtetuese, janë të paarsyetuara, për rrjedhojë Gjykata e Lartë duhet ta kalonte çështjen në seancë gjyqësore. Për më tepër, edhe pse Gjykata Kushtetuese, bazuar në këtë argument, vendosi pranimin e kërkesës, shfuqizimin e vendimit nr. </w:t>
      </w:r>
      <w:r>
        <w:rPr>
          <w:rFonts w:eastAsia="Times New Roman"/>
          <w:spacing w:val="-4"/>
          <w:szCs w:val="24"/>
          <w:lang w:val="sq-AL" w:eastAsia="en-GB"/>
        </w:rPr>
        <w:t>00-2014-1133, datë 10.</w:t>
      </w:r>
      <w:r w:rsidRPr="00034ADA">
        <w:rPr>
          <w:rFonts w:eastAsia="Times New Roman"/>
          <w:spacing w:val="-4"/>
          <w:szCs w:val="24"/>
          <w:lang w:val="sq-AL" w:eastAsia="en-GB"/>
        </w:rPr>
        <w:t>1.2013 të Gjykatës së Lartë dhe dërgimin e çështjes për rigjykim në po atë gjykatë, çështja përsëri u gjykua në dhomë këshillimi, duke vendosur mospranimin e rekursit.</w:t>
      </w:r>
    </w:p>
    <w:p w:rsidR="0028762D" w:rsidRPr="00034ADA" w:rsidRDefault="0028762D" w:rsidP="0028762D">
      <w:pPr>
        <w:pStyle w:val="Paragrafi"/>
        <w:rPr>
          <w:rFonts w:eastAsia="Times New Roman"/>
          <w:iCs/>
          <w:spacing w:val="-4"/>
          <w:szCs w:val="24"/>
          <w:lang w:val="sq-AL"/>
        </w:rPr>
      </w:pPr>
      <w:r w:rsidRPr="00034ADA">
        <w:rPr>
          <w:rFonts w:eastAsia="Times New Roman"/>
          <w:iCs/>
          <w:spacing w:val="-4"/>
          <w:szCs w:val="24"/>
          <w:lang w:val="sq-AL"/>
        </w:rPr>
        <w:t>15. E drejta për një proces të rregullt ligjor, që i garantohet individit nga neni 42 dhe neni 142/1 i Kushtetutës, si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034ADA">
        <w:rPr>
          <w:rFonts w:eastAsia="Times New Roman"/>
          <w:i/>
          <w:iCs/>
          <w:spacing w:val="-4"/>
          <w:szCs w:val="24"/>
          <w:lang w:val="sq-AL"/>
        </w:rPr>
        <w:t xml:space="preserve">shih vendimet nr. </w:t>
      </w:r>
      <w:r>
        <w:rPr>
          <w:rFonts w:eastAsia="Times New Roman"/>
          <w:i/>
          <w:iCs/>
          <w:spacing w:val="-4"/>
          <w:szCs w:val="24"/>
          <w:lang w:val="sq-AL"/>
        </w:rPr>
        <w:t>8, datë 28.</w:t>
      </w:r>
      <w:r w:rsidRPr="00034ADA">
        <w:rPr>
          <w:rFonts w:eastAsia="Times New Roman"/>
          <w:i/>
          <w:iCs/>
          <w:spacing w:val="-4"/>
          <w:szCs w:val="24"/>
          <w:lang w:val="sq-AL"/>
        </w:rPr>
        <w:t xml:space="preserve">2.2012, nr. </w:t>
      </w:r>
      <w:r>
        <w:rPr>
          <w:rFonts w:eastAsia="Times New Roman"/>
          <w:i/>
          <w:iCs/>
          <w:spacing w:val="-4"/>
          <w:szCs w:val="24"/>
          <w:lang w:val="sq-AL"/>
        </w:rPr>
        <w:t>8, datë 16.</w:t>
      </w:r>
      <w:r w:rsidRPr="00034ADA">
        <w:rPr>
          <w:rFonts w:eastAsia="Times New Roman"/>
          <w:i/>
          <w:iCs/>
          <w:spacing w:val="-4"/>
          <w:szCs w:val="24"/>
          <w:lang w:val="sq-AL"/>
        </w:rPr>
        <w:t xml:space="preserve">3.2011, nr. </w:t>
      </w:r>
      <w:r>
        <w:rPr>
          <w:rFonts w:eastAsia="Times New Roman"/>
          <w:i/>
          <w:iCs/>
          <w:spacing w:val="-4"/>
          <w:szCs w:val="24"/>
          <w:lang w:val="sq-AL"/>
        </w:rPr>
        <w:t>25, datë 10.</w:t>
      </w:r>
      <w:r w:rsidRPr="00034ADA">
        <w:rPr>
          <w:rFonts w:eastAsia="Times New Roman"/>
          <w:i/>
          <w:iCs/>
          <w:spacing w:val="-4"/>
          <w:szCs w:val="24"/>
          <w:lang w:val="sq-AL"/>
        </w:rPr>
        <w:t>6.2011 dhe nr. 38, datë 30.12.2010 të Gjykatës Kushtetuese</w:t>
      </w:r>
      <w:r w:rsidRPr="00034ADA">
        <w:rPr>
          <w:rFonts w:eastAsia="Times New Roman"/>
          <w:iCs/>
          <w:spacing w:val="-4"/>
          <w:szCs w:val="24"/>
          <w:lang w:val="sq-AL"/>
        </w:rPr>
        <w:t>).</w:t>
      </w:r>
    </w:p>
    <w:p w:rsidR="0028762D" w:rsidRPr="0009507F" w:rsidRDefault="0028762D" w:rsidP="0028762D">
      <w:pPr>
        <w:pStyle w:val="Paragrafi"/>
        <w:rPr>
          <w:rFonts w:eastAsia="Times New Roman"/>
          <w:iCs/>
          <w:szCs w:val="24"/>
          <w:lang w:val="sq-AL"/>
        </w:rPr>
      </w:pPr>
      <w:r w:rsidRPr="00034ADA">
        <w:rPr>
          <w:rFonts w:eastAsia="Times New Roman"/>
          <w:iCs/>
          <w:spacing w:val="-4"/>
          <w:szCs w:val="24"/>
          <w:lang w:val="sq-AL"/>
        </w:rPr>
        <w:t xml:space="preserve">16.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w:t>
      </w:r>
      <w:r w:rsidRPr="0009507F">
        <w:rPr>
          <w:rFonts w:eastAsia="Times New Roman"/>
          <w:iCs/>
          <w:szCs w:val="24"/>
          <w:lang w:val="sq-AL"/>
        </w:rPr>
        <w:t>gjykim (</w:t>
      </w:r>
      <w:r w:rsidRPr="0009507F">
        <w:rPr>
          <w:rFonts w:eastAsia="Times New Roman"/>
          <w:i/>
          <w:iCs/>
          <w:szCs w:val="24"/>
          <w:lang w:val="sq-AL"/>
        </w:rPr>
        <w:t>shih vendimet nr. 8, datë 16.3.2011, nr. 23, datë 4.11.2008, nr. 11, datë 2.4.2008 dhe nr. 7, datë 9.3.2009 të Gjykatës Kushtetuese</w:t>
      </w:r>
      <w:r w:rsidRPr="0009507F">
        <w:rPr>
          <w:rFonts w:eastAsia="Times New Roman"/>
          <w:iCs/>
          <w:szCs w:val="24"/>
          <w:lang w:val="sq-AL"/>
        </w:rPr>
        <w:t>).</w:t>
      </w:r>
    </w:p>
    <w:p w:rsidR="0028762D" w:rsidRPr="0009507F" w:rsidRDefault="0028762D" w:rsidP="0028762D">
      <w:pPr>
        <w:pStyle w:val="Paragrafi"/>
        <w:rPr>
          <w:szCs w:val="24"/>
          <w:lang w:val="sq-AL"/>
        </w:rPr>
      </w:pPr>
      <w:r w:rsidRPr="0009507F">
        <w:rPr>
          <w:rFonts w:eastAsia="Times New Roman"/>
          <w:szCs w:val="24"/>
          <w:lang w:val="sq-AL"/>
        </w:rPr>
        <w:t xml:space="preserve">17. </w:t>
      </w:r>
      <w:r w:rsidRPr="0009507F">
        <w:rPr>
          <w:szCs w:val="24"/>
          <w:lang w:val="sq-AL"/>
        </w:rPr>
        <w:t>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09507F">
        <w:rPr>
          <w:i/>
          <w:szCs w:val="24"/>
          <w:lang w:val="sq-AL"/>
        </w:rPr>
        <w:t>shih vendimin nr. 25, datë 10.6.2011 të Gjykatës Kushtetuese</w:t>
      </w:r>
      <w:r w:rsidRPr="0009507F">
        <w:rPr>
          <w:szCs w:val="24"/>
          <w:lang w:val="sq-AL"/>
        </w:rPr>
        <w:t>).</w:t>
      </w:r>
    </w:p>
    <w:p w:rsidR="0028762D" w:rsidRPr="0009507F" w:rsidRDefault="0028762D" w:rsidP="0028762D">
      <w:pPr>
        <w:pStyle w:val="Paragrafi"/>
        <w:rPr>
          <w:szCs w:val="24"/>
          <w:lang w:val="sq-AL"/>
        </w:rPr>
      </w:pPr>
      <w:r w:rsidRPr="0009507F">
        <w:rPr>
          <w:rFonts w:eastAsia="Times New Roman"/>
          <w:szCs w:val="24"/>
          <w:lang w:val="sq-AL"/>
        </w:rPr>
        <w:t xml:space="preserve">18. Në këtë kontekst, Gjykata ka theksuar se ajo e vlerëson arsyetimin e një vendimi gjyqësor vetëm në kuadrin e përmbushjes ose jo të standardeve të mësipërme, pasi nuk është detyrë e saj të </w:t>
      </w:r>
      <w:r w:rsidRPr="0009507F">
        <w:rPr>
          <w:szCs w:val="24"/>
          <w:lang w:val="sq-AL"/>
        </w:rPr>
        <w:t xml:space="preserve">analizojë provat dhe faktet ku është bazuar gjykata për zgjidhjen e çështjes së themelit. Kjo mbetet detyrë funksionale e gjykatave të juridiksionit të zakonshëm. Në aspektin e kontrollit kushtetues, Gjykata </w:t>
      </w:r>
      <w:r w:rsidRPr="0009507F">
        <w:rPr>
          <w:rFonts w:eastAsia="Times New Roman"/>
          <w:szCs w:val="24"/>
          <w:lang w:val="sq-AL"/>
        </w:rPr>
        <w:t>verifikon</w:t>
      </w:r>
      <w:r w:rsidRPr="0009507F">
        <w:rPr>
          <w:szCs w:val="24"/>
          <w:lang w:val="sq-AL"/>
        </w:rPr>
        <w:t xml:space="preserve"> nëse arsyetimi i vendimit gjyqësor i ka plotësuar ose jo kriteret e përcaktuara më sipër, të cilat garantojnë të drejtën për të pasur një vendim gjyqësor të arsyetuar. </w:t>
      </w:r>
      <w:r w:rsidRPr="0009507F">
        <w:rPr>
          <w:rFonts w:eastAsia="Times New Roman"/>
          <w:szCs w:val="24"/>
          <w:lang w:val="sq-AL"/>
        </w:rPr>
        <w:t>Në vlerësimin e Gjykatës nuk mjafton që arsyetimi të jetë formalisht i pranishëm në kuptimin grafik dhe strukturor, pasi kjo do ta bënte atë thjesht fiktiv. Arsyetimi duhet domosdoshmërish të plotësojë kriteret minimale ligjore të përcaktuara dhe të mos ketë të meta të tilla serioze që cenojnë standardin e vendimit gjyqësor të arsyetuar (</w:t>
      </w:r>
      <w:r w:rsidRPr="0009507F">
        <w:rPr>
          <w:rFonts w:eastAsia="Times New Roman"/>
          <w:i/>
          <w:szCs w:val="24"/>
          <w:lang w:val="sq-AL"/>
        </w:rPr>
        <w:t>shih vendimin nr. 55, datë 18.12.2012 të Gjykatës Kushtetuese)</w:t>
      </w:r>
      <w:r w:rsidRPr="0009507F">
        <w:rPr>
          <w:rFonts w:eastAsia="Times New Roman"/>
          <w:szCs w:val="24"/>
          <w:lang w:val="sq-AL"/>
        </w:rPr>
        <w:t>.</w:t>
      </w:r>
    </w:p>
    <w:p w:rsidR="0028762D" w:rsidRPr="0009507F" w:rsidRDefault="0028762D" w:rsidP="0028762D">
      <w:pPr>
        <w:pStyle w:val="Paragrafi"/>
        <w:rPr>
          <w:rFonts w:eastAsia="Times New Roman"/>
          <w:szCs w:val="24"/>
          <w:lang w:val="sq-AL"/>
        </w:rPr>
      </w:pPr>
      <w:r w:rsidRPr="0009507F">
        <w:rPr>
          <w:rFonts w:eastAsia="Times New Roman"/>
          <w:szCs w:val="24"/>
          <w:lang w:val="sq-AL"/>
        </w:rPr>
        <w:lastRenderedPageBreak/>
        <w:t>19. Gjykata është shprehur edhe lidhur me zbatimin e këtij detyrimi nga Gjykata e Lartë për vendimet e dhëna prej saj në dhomë këshillimi dhe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09507F">
        <w:rPr>
          <w:rFonts w:eastAsia="Times New Roman"/>
          <w:i/>
          <w:szCs w:val="24"/>
          <w:lang w:val="sq-AL"/>
        </w:rPr>
        <w:t>shih vendimet nr. 19, datë 19.7.2005 dhe nr. 22, datë 6.6.2011 të Gjykatës Kushtetuese</w:t>
      </w:r>
      <w:r w:rsidRPr="0009507F">
        <w:rPr>
          <w:rFonts w:eastAsia="Times New Roman"/>
          <w:szCs w:val="24"/>
          <w:lang w:val="sq-AL"/>
        </w:rPr>
        <w:t xml:space="preserve">). </w:t>
      </w:r>
    </w:p>
    <w:p w:rsidR="0028762D" w:rsidRPr="0009507F" w:rsidRDefault="0028762D" w:rsidP="0028762D">
      <w:pPr>
        <w:pStyle w:val="Paragrafi"/>
        <w:rPr>
          <w:rFonts w:eastAsia="Times New Roman"/>
          <w:szCs w:val="24"/>
          <w:lang w:val="sq-AL"/>
        </w:rPr>
      </w:pPr>
      <w:r w:rsidRPr="0009507F">
        <w:rPr>
          <w:rFonts w:eastAsia="Times New Roman"/>
          <w:szCs w:val="24"/>
          <w:lang w:val="sq-AL"/>
        </w:rPr>
        <w:t xml:space="preserve">20. Në rastin konkret, siç rezulton qartësisht nga përmbajtja e vendimit nr. </w:t>
      </w:r>
      <w:r>
        <w:rPr>
          <w:rFonts w:eastAsia="Times New Roman"/>
          <w:szCs w:val="24"/>
          <w:lang w:val="sq-AL"/>
        </w:rPr>
        <w:t>00-2014-1133, datë 11.</w:t>
      </w:r>
      <w:r w:rsidRPr="0009507F">
        <w:rPr>
          <w:rFonts w:eastAsia="Times New Roman"/>
          <w:szCs w:val="24"/>
          <w:lang w:val="sq-AL"/>
        </w:rPr>
        <w:t>7.2014 të Kolegjit Penal të Gjykatës së Lartë, Gjykata vëren se çështja është shqyrtuar në dhomën e këshillimit duke vendosur mospranimin e rekursit.</w:t>
      </w:r>
    </w:p>
    <w:p w:rsidR="0028762D" w:rsidRPr="0009507F" w:rsidRDefault="0028762D" w:rsidP="0028762D">
      <w:pPr>
        <w:pStyle w:val="Paragrafi"/>
        <w:rPr>
          <w:rFonts w:eastAsia="Times New Roman"/>
          <w:szCs w:val="24"/>
          <w:lang w:val="sq-AL" w:eastAsia="en-GB"/>
        </w:rPr>
      </w:pPr>
      <w:r w:rsidRPr="0009507F">
        <w:rPr>
          <w:rFonts w:eastAsia="Times New Roman"/>
          <w:szCs w:val="24"/>
          <w:lang w:val="sq-AL"/>
        </w:rPr>
        <w:t xml:space="preserve">21. Për një analizë në vazhdimësi të çështjes, Gjykata u përmbahet qëndrimeve të shprehura më parë në lidhje me këtë çështje në vendimin nr. </w:t>
      </w:r>
      <w:r>
        <w:rPr>
          <w:rFonts w:eastAsia="Times New Roman"/>
          <w:szCs w:val="24"/>
          <w:lang w:val="sq-AL"/>
        </w:rPr>
        <w:t>13, datë 17.</w:t>
      </w:r>
      <w:r w:rsidRPr="0009507F">
        <w:rPr>
          <w:rFonts w:eastAsia="Times New Roman"/>
          <w:szCs w:val="24"/>
          <w:lang w:val="sq-AL"/>
        </w:rPr>
        <w:t xml:space="preserve">3.2014, duke ritheksuar faktin se </w:t>
      </w:r>
      <w:r w:rsidRPr="0009507F">
        <w:rPr>
          <w:rFonts w:eastAsia="Times New Roman"/>
          <w:szCs w:val="24"/>
          <w:lang w:val="sq-AL" w:eastAsia="en-GB"/>
        </w:rPr>
        <w:t>zbatimi i detyrueshëm i vendimeve të saj është i garantuar nga Kushtetuta, e cila në nenin 132 dhe nenin 145 të saj sanksionon shprehimisht këtë koncept kushtetues. Vendimet e Gjykatës kanë fuqi detyruese të përgjithshme dhe janë përfundimtare. Ato përbëjnë jurisprudencë kushtetuese dhe, për rrjedhojë, kanë efektet</w:t>
      </w:r>
      <w:r w:rsidRPr="0009507F">
        <w:rPr>
          <w:rFonts w:eastAsia="Times New Roman"/>
          <w:i/>
          <w:szCs w:val="24"/>
          <w:lang w:val="sq-AL" w:eastAsia="en-GB"/>
        </w:rPr>
        <w:t xml:space="preserve"> e forcës së ligjit.</w:t>
      </w:r>
      <w:r w:rsidRPr="0009507F">
        <w:rPr>
          <w:szCs w:val="24"/>
          <w:lang w:val="sq-AL"/>
        </w:rPr>
        <w:t xml:space="preserve"> Ky efekt detyrues ka të bëjë si me pjesën urdhëruese, ashtu edhe me pjesën arsyetuese të vendimit. Në respekt të doktrinës dhe të jurisprudencës kushtetuese, Gjykata ka theksuar se efekti detyrues që pasqyrohet mbi argumentet thelbësore të vendimit të saj përbëjnë edhe një </w:t>
      </w:r>
      <w:r w:rsidRPr="0009507F">
        <w:rPr>
          <w:i/>
          <w:szCs w:val="24"/>
          <w:lang w:val="sq-AL"/>
        </w:rPr>
        <w:t>ratio decidendi</w:t>
      </w:r>
      <w:r w:rsidRPr="0009507F">
        <w:rPr>
          <w:szCs w:val="24"/>
          <w:lang w:val="sq-AL"/>
        </w:rPr>
        <w:t xml:space="preserve">, eliminimi i të cilave do ta bënte vendimin, në tërësinë e tij, të pakuptimtë. Nga kjo pikëpamje, Gjykata ka theksuar se nga standardi i detyrimit të zbatimit të vendimmarrjes kushtetuese nuk mund të bëjë përjashtim as vet Gjykata Kushtetuese (shih </w:t>
      </w:r>
      <w:r w:rsidRPr="0009507F">
        <w:rPr>
          <w:i/>
          <w:szCs w:val="24"/>
          <w:lang w:val="sq-AL"/>
        </w:rPr>
        <w:t xml:space="preserve">vendimet nr. </w:t>
      </w:r>
      <w:r>
        <w:rPr>
          <w:i/>
          <w:szCs w:val="24"/>
          <w:lang w:val="sq-AL"/>
        </w:rPr>
        <w:t>5, datë 7.</w:t>
      </w:r>
      <w:r w:rsidRPr="0009507F">
        <w:rPr>
          <w:i/>
          <w:szCs w:val="24"/>
          <w:lang w:val="sq-AL"/>
        </w:rPr>
        <w:t xml:space="preserve">2.2001; nr. </w:t>
      </w:r>
      <w:r>
        <w:rPr>
          <w:i/>
          <w:szCs w:val="24"/>
          <w:lang w:val="sq-AL"/>
        </w:rPr>
        <w:t>14, datë 3.</w:t>
      </w:r>
      <w:r w:rsidRPr="0009507F">
        <w:rPr>
          <w:i/>
          <w:szCs w:val="24"/>
          <w:lang w:val="sq-AL"/>
        </w:rPr>
        <w:t xml:space="preserve">6.2009 dhe nr. </w:t>
      </w:r>
      <w:r>
        <w:rPr>
          <w:i/>
          <w:szCs w:val="24"/>
          <w:lang w:val="sq-AL"/>
        </w:rPr>
        <w:t>21, datë 29.</w:t>
      </w:r>
      <w:r w:rsidRPr="0009507F">
        <w:rPr>
          <w:i/>
          <w:szCs w:val="24"/>
          <w:lang w:val="sq-AL"/>
        </w:rPr>
        <w:t>4.2010</w:t>
      </w:r>
      <w:r w:rsidRPr="0009507F">
        <w:rPr>
          <w:szCs w:val="24"/>
          <w:lang w:val="sq-AL"/>
        </w:rPr>
        <w:t xml:space="preserve"> </w:t>
      </w:r>
      <w:r w:rsidRPr="0009507F">
        <w:rPr>
          <w:i/>
          <w:szCs w:val="24"/>
          <w:lang w:val="sq-AL"/>
        </w:rPr>
        <w:t>të Gjykatës Kushtetuese</w:t>
      </w:r>
      <w:r w:rsidRPr="0009507F">
        <w:rPr>
          <w:szCs w:val="24"/>
          <w:lang w:val="sq-AL"/>
        </w:rPr>
        <w:t>).</w:t>
      </w:r>
    </w:p>
    <w:p w:rsidR="0028762D" w:rsidRPr="0009507F" w:rsidRDefault="0028762D" w:rsidP="0028762D">
      <w:pPr>
        <w:pStyle w:val="Paragrafi"/>
        <w:rPr>
          <w:rFonts w:eastAsia="Times New Roman"/>
          <w:szCs w:val="24"/>
          <w:lang w:val="sq-AL" w:eastAsia="en-GB"/>
        </w:rPr>
      </w:pPr>
      <w:r w:rsidRPr="0009507F">
        <w:rPr>
          <w:rFonts w:eastAsia="Times New Roman"/>
          <w:szCs w:val="24"/>
          <w:lang w:val="sq-AL" w:eastAsia="en-GB"/>
        </w:rPr>
        <w:t>22</w:t>
      </w:r>
      <w:r w:rsidRPr="0009507F">
        <w:rPr>
          <w:rFonts w:eastAsia="Times New Roman"/>
          <w:i/>
          <w:szCs w:val="24"/>
          <w:lang w:val="sq-AL" w:eastAsia="en-GB"/>
        </w:rPr>
        <w:t xml:space="preserve">. </w:t>
      </w:r>
      <w:r w:rsidRPr="0009507F">
        <w:rPr>
          <w:rFonts w:eastAsia="Times New Roman"/>
          <w:szCs w:val="24"/>
          <w:lang w:val="sq-AL" w:eastAsia="en-GB"/>
        </w:rPr>
        <w:t xml:space="preserve">Ndikimi i padiskutueshëm i vendimeve të Gjykatës Kushtetuese është i tillë që iu imponon të gjitha organeve shtetërore, duke mos përjashtuar as gjykatat, fuqinë detyruese të arsyetimit të vendimit të saj.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09507F">
        <w:rPr>
          <w:rFonts w:eastAsia="Times New Roman"/>
          <w:i/>
          <w:szCs w:val="24"/>
          <w:lang w:val="sq-AL" w:eastAsia="en-GB"/>
        </w:rPr>
        <w:t xml:space="preserve">(shih vendimet nr. </w:t>
      </w:r>
      <w:r>
        <w:rPr>
          <w:rFonts w:eastAsia="Times New Roman"/>
          <w:i/>
          <w:szCs w:val="24"/>
          <w:lang w:val="sq-AL" w:eastAsia="en-GB"/>
        </w:rPr>
        <w:t>5, datë 7.</w:t>
      </w:r>
      <w:r w:rsidRPr="0009507F">
        <w:rPr>
          <w:rFonts w:eastAsia="Times New Roman"/>
          <w:i/>
          <w:szCs w:val="24"/>
          <w:lang w:val="sq-AL" w:eastAsia="en-GB"/>
        </w:rPr>
        <w:t xml:space="preserve">2.2001 dhe nr. </w:t>
      </w:r>
      <w:r>
        <w:rPr>
          <w:rFonts w:eastAsia="Times New Roman"/>
          <w:i/>
          <w:szCs w:val="24"/>
          <w:lang w:val="sq-AL" w:eastAsia="en-GB"/>
        </w:rPr>
        <w:t>20, datë 1.</w:t>
      </w:r>
      <w:r w:rsidRPr="0009507F">
        <w:rPr>
          <w:rFonts w:eastAsia="Times New Roman"/>
          <w:i/>
          <w:szCs w:val="24"/>
          <w:lang w:val="sq-AL" w:eastAsia="en-GB"/>
        </w:rPr>
        <w:t>6.2011 të Gjykatës Kushtetuese)</w:t>
      </w:r>
      <w:r w:rsidRPr="0009507F">
        <w:rPr>
          <w:rFonts w:eastAsia="Times New Roman"/>
          <w:szCs w:val="24"/>
          <w:lang w:val="sq-AL" w:eastAsia="en-GB"/>
        </w:rPr>
        <w:t>.</w:t>
      </w:r>
    </w:p>
    <w:p w:rsidR="0028762D" w:rsidRPr="00034ADA" w:rsidRDefault="0028762D" w:rsidP="0028762D">
      <w:pPr>
        <w:pStyle w:val="Paragrafi"/>
        <w:rPr>
          <w:rFonts w:eastAsia="Times New Roman"/>
          <w:iCs/>
          <w:spacing w:val="-4"/>
          <w:szCs w:val="24"/>
          <w:lang w:val="sq-AL"/>
        </w:rPr>
      </w:pPr>
      <w:r w:rsidRPr="0009507F">
        <w:rPr>
          <w:rFonts w:eastAsia="Times New Roman"/>
          <w:iCs/>
          <w:szCs w:val="24"/>
          <w:lang w:val="sq-AL"/>
        </w:rPr>
        <w:t>23.</w:t>
      </w:r>
      <w:r w:rsidRPr="0009507F">
        <w:rPr>
          <w:rFonts w:eastAsia="Times New Roman"/>
          <w:szCs w:val="24"/>
          <w:lang w:val="sq-AL"/>
        </w:rPr>
        <w:t xml:space="preserve"> Në </w:t>
      </w:r>
      <w:r w:rsidRPr="0009507F">
        <w:rPr>
          <w:rFonts w:eastAsia="Times New Roman"/>
          <w:szCs w:val="24"/>
          <w:lang w:val="sq-AL" w:eastAsia="en-GB"/>
        </w:rPr>
        <w:t xml:space="preserve">vendimin nr. 13, datë 17.03.2014 Gjykata ka çmuar </w:t>
      </w:r>
      <w:r w:rsidRPr="0009507F">
        <w:rPr>
          <w:rFonts w:eastAsia="Times New Roman"/>
          <w:i/>
          <w:szCs w:val="24"/>
          <w:lang w:val="sq-AL" w:eastAsia="en-GB"/>
        </w:rPr>
        <w:t>se</w:t>
      </w:r>
      <w:r w:rsidRPr="0009507F">
        <w:rPr>
          <w:rFonts w:eastAsia="Times New Roman"/>
          <w:szCs w:val="24"/>
          <w:lang w:val="sq-AL" w:eastAsia="en-GB"/>
        </w:rPr>
        <w:t xml:space="preserve"> “</w:t>
      </w:r>
      <w:r w:rsidRPr="0009507F">
        <w:rPr>
          <w:rFonts w:eastAsia="Times New Roman"/>
          <w:i/>
          <w:szCs w:val="24"/>
          <w:lang w:val="sq-AL" w:eastAsia="en-GB"/>
        </w:rPr>
        <w:t>në kushtet kur janë të pranishme pretendime që kanë të bëjnë me shkeljen e dispozitave procedurale që kanë ndikuar në dhënien e vendimit, si dhe të parimeve themelore të procesit të rregullt ligjor, Gjykata e Lartë duhet të mbante një qëndrim të shprehur lidhur me pretendimet e ngritura nga kërkuesi, si në funksion të rolit të</w:t>
      </w:r>
      <w:r w:rsidRPr="00034ADA">
        <w:rPr>
          <w:rFonts w:eastAsia="Times New Roman"/>
          <w:i/>
          <w:spacing w:val="-4"/>
          <w:szCs w:val="24"/>
          <w:lang w:val="sq-AL" w:eastAsia="en-GB"/>
        </w:rPr>
        <w:t xml:space="preserve"> saj si gjykatë e ligjit, ashtu edhe në kontrollin e respektimin e standardeve kushtetuese nga gjykatat më të ulëta. </w:t>
      </w:r>
      <w:r w:rsidRPr="00034ADA">
        <w:rPr>
          <w:rFonts w:eastAsia="Times New Roman"/>
          <w:spacing w:val="-4"/>
          <w:szCs w:val="24"/>
          <w:lang w:val="sq-AL" w:eastAsia="en-GB"/>
        </w:rPr>
        <w:t xml:space="preserve">... </w:t>
      </w:r>
      <w:r w:rsidRPr="00034ADA">
        <w:rPr>
          <w:rFonts w:eastAsia="Times New Roman"/>
          <w:i/>
          <w:spacing w:val="-4"/>
          <w:szCs w:val="24"/>
          <w:lang w:val="sq-AL" w:eastAsia="en-GB"/>
        </w:rPr>
        <w:t>M</w:t>
      </w:r>
      <w:r w:rsidRPr="00034ADA">
        <w:rPr>
          <w:rFonts w:eastAsia="Times New Roman"/>
          <w:i/>
          <w:spacing w:val="-4"/>
          <w:szCs w:val="24"/>
          <w:lang w:val="sq-AL" w:eastAsia="ja-JP"/>
        </w:rPr>
        <w:t xml:space="preserve">ungesa e qartësisë së vendimeve të gjykatave të faktit përbën një të </w:t>
      </w:r>
      <w:r w:rsidRPr="00034ADA">
        <w:rPr>
          <w:rFonts w:eastAsia="Times New Roman"/>
          <w:i/>
          <w:spacing w:val="-4"/>
          <w:szCs w:val="24"/>
          <w:lang w:val="sq-AL"/>
        </w:rPr>
        <w:t>metë</w:t>
      </w:r>
      <w:r w:rsidRPr="00034ADA">
        <w:rPr>
          <w:rFonts w:eastAsia="Times New Roman"/>
          <w:i/>
          <w:spacing w:val="-4"/>
          <w:szCs w:val="24"/>
          <w:lang w:val="sq-AL" w:eastAsia="ja-JP"/>
        </w:rPr>
        <w:t xml:space="preserve"> të pakapërcyeshme të përmbajtjes së secilit prej këtyre vendimeve dhe të arsyetimit të gjykatës. </w:t>
      </w:r>
      <w:r w:rsidRPr="00034ADA">
        <w:rPr>
          <w:i/>
          <w:spacing w:val="-4"/>
          <w:szCs w:val="24"/>
          <w:lang w:val="sq-AL" w:eastAsia="ja-JP"/>
        </w:rPr>
        <w:t xml:space="preserve">Gjykata vëren se kjo e metë e vendimeve të gjykatave të faktit ka të bëjë me probleme të interpretimit </w:t>
      </w:r>
      <w:r w:rsidRPr="00034ADA">
        <w:rPr>
          <w:rFonts w:eastAsia="Times New Roman"/>
          <w:i/>
          <w:spacing w:val="-4"/>
          <w:szCs w:val="24"/>
          <w:lang w:val="sq-AL"/>
        </w:rPr>
        <w:t xml:space="preserve">dhe të zbatimit të </w:t>
      </w:r>
      <w:r w:rsidRPr="00034ADA">
        <w:rPr>
          <w:i/>
          <w:spacing w:val="-4"/>
          <w:szCs w:val="24"/>
          <w:lang w:val="sq-AL" w:eastAsia="ja-JP"/>
        </w:rPr>
        <w:t>ligjit që lidhen me</w:t>
      </w:r>
      <w:r w:rsidRPr="00034ADA">
        <w:rPr>
          <w:rFonts w:eastAsia="Times New Roman"/>
          <w:i/>
          <w:spacing w:val="-4"/>
          <w:szCs w:val="24"/>
          <w:lang w:val="sq-AL"/>
        </w:rPr>
        <w:t xml:space="preserve"> zgjidhjen e çështjes konkrete, e cila </w:t>
      </w:r>
      <w:r w:rsidRPr="00034ADA">
        <w:rPr>
          <w:i/>
          <w:spacing w:val="-4"/>
          <w:szCs w:val="24"/>
          <w:lang w:val="sq-AL" w:eastAsia="ja-JP"/>
        </w:rPr>
        <w:t xml:space="preserve">nuk është korrigjuar nga Gjykata e Lartë, pasi ajo nuk u ka dhënë përgjigje pretendimeve të kërkuesit edhe pse shkaqet e ngritura në rekurs nga kërkuesi </w:t>
      </w:r>
      <w:r w:rsidRPr="00034ADA">
        <w:rPr>
          <w:rFonts w:eastAsia="Times New Roman"/>
          <w:i/>
          <w:spacing w:val="-4"/>
          <w:szCs w:val="24"/>
          <w:lang w:val="sq-AL"/>
        </w:rPr>
        <w:t>janë shoqëruar me cenimin e të drejtave kushtetuese të kërkuesit, që duhen respektuar në procesin e shqyrtimit të çështjes.</w:t>
      </w:r>
      <w:r w:rsidRPr="00034ADA">
        <w:rPr>
          <w:i/>
          <w:spacing w:val="-4"/>
          <w:szCs w:val="24"/>
          <w:lang w:val="sq-AL" w:eastAsia="ja-JP"/>
        </w:rPr>
        <w:t xml:space="preserve"> </w:t>
      </w:r>
    </w:p>
    <w:p w:rsidR="0028762D" w:rsidRPr="00034ADA" w:rsidRDefault="0028762D" w:rsidP="0028762D">
      <w:pPr>
        <w:pStyle w:val="Paragrafi"/>
        <w:rPr>
          <w:rFonts w:eastAsia="Times New Roman"/>
          <w:spacing w:val="-4"/>
          <w:szCs w:val="24"/>
          <w:lang w:val="sq-AL" w:eastAsia="en-GB"/>
        </w:rPr>
      </w:pPr>
      <w:r w:rsidRPr="00034ADA">
        <w:rPr>
          <w:rFonts w:eastAsia="Times New Roman"/>
          <w:spacing w:val="-4"/>
          <w:szCs w:val="24"/>
          <w:lang w:val="sq-AL" w:eastAsia="en-GB"/>
        </w:rPr>
        <w:t xml:space="preserve">24. </w:t>
      </w:r>
      <w:r w:rsidRPr="00034ADA">
        <w:rPr>
          <w:spacing w:val="-4"/>
          <w:szCs w:val="24"/>
          <w:lang w:val="sq-AL"/>
        </w:rPr>
        <w:t>N</w:t>
      </w:r>
      <w:r w:rsidRPr="00034ADA">
        <w:rPr>
          <w:rFonts w:eastAsia="Times New Roman"/>
          <w:spacing w:val="-4"/>
          <w:szCs w:val="24"/>
          <w:lang w:val="sq-AL" w:eastAsia="en-GB"/>
        </w:rPr>
        <w:t xml:space="preserve">ë vendimin nr. 13, datë 17.03.2014, Gjykata ka vlerësuar se kërkuesit i janë cenuar të drejtat e veta kushtetuese. Në këto kushte, ky fakt nuk mund të anashkalohet dhe t’i nënshtrohet një procesi vlerësimi nga Gjykata e Lartë, e cila ka për detyrë të garantojë zbatimin korrekt të ligjit penal, procedural dhe material nga të gjitha gjykatat, në përputhje me Kushtetutën dhe vendimet e Gjykatës Kushtetuese. </w:t>
      </w:r>
    </w:p>
    <w:p w:rsidR="0028762D" w:rsidRPr="00034ADA" w:rsidRDefault="0028762D" w:rsidP="0028762D">
      <w:pPr>
        <w:pStyle w:val="Paragrafi"/>
        <w:rPr>
          <w:rFonts w:eastAsia="Times New Roman"/>
          <w:spacing w:val="-4"/>
          <w:szCs w:val="24"/>
          <w:lang w:val="sq-AL" w:eastAsia="en-GB"/>
        </w:rPr>
      </w:pPr>
      <w:r w:rsidRPr="00034ADA">
        <w:rPr>
          <w:spacing w:val="-4"/>
          <w:szCs w:val="24"/>
          <w:lang w:val="sq-AL"/>
        </w:rPr>
        <w:t xml:space="preserve">25. Duke konsideruar sa më sipër, Gjykata e sheh me vend t’i përmbahet vendimit nr. </w:t>
      </w:r>
      <w:r>
        <w:rPr>
          <w:spacing w:val="-4"/>
          <w:szCs w:val="24"/>
          <w:lang w:val="sq-AL"/>
        </w:rPr>
        <w:t>13, datë 17.</w:t>
      </w:r>
      <w:r w:rsidRPr="00034ADA">
        <w:rPr>
          <w:spacing w:val="-4"/>
          <w:szCs w:val="24"/>
          <w:lang w:val="sq-AL"/>
        </w:rPr>
        <w:t>3.2014</w:t>
      </w:r>
      <w:r w:rsidRPr="00034ADA">
        <w:rPr>
          <w:i/>
          <w:spacing w:val="-4"/>
          <w:szCs w:val="24"/>
          <w:lang w:val="sq-AL"/>
        </w:rPr>
        <w:t xml:space="preserve"> </w:t>
      </w:r>
      <w:r w:rsidRPr="00034ADA">
        <w:rPr>
          <w:spacing w:val="-4"/>
          <w:szCs w:val="24"/>
          <w:lang w:val="sq-AL"/>
        </w:rPr>
        <w:t>të Gjykatës Kushtetuese për të gjitha çështjet e analizuara në funksion të këtij gjykimi. Gjykata nuk identifikon asnjë arsye të rëndësishme e cila mund të shërbejë për ndryshimin e konkluzioneve të arritura në këtë vendim, për sa kohë k</w:t>
      </w:r>
      <w:r w:rsidRPr="00034ADA">
        <w:rPr>
          <w:rFonts w:eastAsia="Times New Roman"/>
          <w:spacing w:val="-4"/>
          <w:szCs w:val="24"/>
          <w:lang w:val="sq-AL" w:eastAsia="en-GB"/>
        </w:rPr>
        <w:t>ushtet dhe rrethanat e çështjes në gjykim nuk kanë ndryshuar.</w:t>
      </w:r>
    </w:p>
    <w:p w:rsidR="0028762D" w:rsidRPr="00034ADA" w:rsidRDefault="0028762D" w:rsidP="0028762D">
      <w:pPr>
        <w:pStyle w:val="Paragrafi"/>
        <w:rPr>
          <w:rFonts w:eastAsia="Times New Roman"/>
          <w:spacing w:val="-4"/>
          <w:szCs w:val="24"/>
          <w:lang w:val="sq-AL" w:eastAsia="en-GB"/>
        </w:rPr>
      </w:pPr>
      <w:r w:rsidRPr="00034ADA">
        <w:rPr>
          <w:rFonts w:eastAsia="Times New Roman"/>
          <w:spacing w:val="-4"/>
          <w:szCs w:val="24"/>
          <w:lang w:val="sq-AL" w:eastAsia="en-GB"/>
        </w:rPr>
        <w:t xml:space="preserve">26. Nisur nga vlerësimi i vendimit nr. </w:t>
      </w:r>
      <w:r>
        <w:rPr>
          <w:rFonts w:eastAsia="Times New Roman"/>
          <w:spacing w:val="-4"/>
          <w:szCs w:val="24"/>
          <w:lang w:val="sq-AL" w:eastAsia="en-GB"/>
        </w:rPr>
        <w:t>00-2014-1133, datë 11.</w:t>
      </w:r>
      <w:r w:rsidRPr="00034ADA">
        <w:rPr>
          <w:rFonts w:eastAsia="Times New Roman"/>
          <w:spacing w:val="-4"/>
          <w:szCs w:val="24"/>
          <w:lang w:val="sq-AL" w:eastAsia="en-GB"/>
        </w:rPr>
        <w:t xml:space="preserve">7.2014 të Kolegjit Penal të Gjykatës së Lartë, Gjykata konkludon se në rastin konkret Gjykata e Lartë, edhe pas rigjykimit të çështjes, nuk i ka </w:t>
      </w:r>
      <w:r w:rsidRPr="00034ADA">
        <w:rPr>
          <w:rFonts w:eastAsia="Times New Roman"/>
          <w:spacing w:val="-4"/>
          <w:szCs w:val="24"/>
          <w:lang w:val="sq-AL" w:eastAsia="en-GB"/>
        </w:rPr>
        <w:lastRenderedPageBreak/>
        <w:t xml:space="preserve">përmbushur në mënyrë të mjaftueshme detyrimet e përcaktuara </w:t>
      </w:r>
      <w:r w:rsidRPr="00034ADA">
        <w:rPr>
          <w:spacing w:val="-4"/>
          <w:szCs w:val="24"/>
          <w:lang w:val="sq-AL"/>
        </w:rPr>
        <w:t>në</w:t>
      </w:r>
      <w:r w:rsidRPr="00034ADA">
        <w:rPr>
          <w:rFonts w:eastAsia="Times New Roman"/>
          <w:spacing w:val="-4"/>
          <w:szCs w:val="24"/>
          <w:lang w:val="sq-AL" w:eastAsia="en-GB"/>
        </w:rPr>
        <w:t xml:space="preserve"> vendimin nr. </w:t>
      </w:r>
      <w:r>
        <w:rPr>
          <w:rFonts w:eastAsia="Times New Roman"/>
          <w:spacing w:val="-4"/>
          <w:szCs w:val="24"/>
          <w:lang w:val="sq-AL" w:eastAsia="en-GB"/>
        </w:rPr>
        <w:t>13, datë 17.</w:t>
      </w:r>
      <w:r w:rsidRPr="00034ADA">
        <w:rPr>
          <w:rFonts w:eastAsia="Times New Roman"/>
          <w:spacing w:val="-4"/>
          <w:szCs w:val="24"/>
          <w:lang w:val="sq-AL" w:eastAsia="en-GB"/>
        </w:rPr>
        <w:t xml:space="preserve">3.2014 të Gjykatës Kushtetuese, për sa kohë pretendimet e kërkuesit në thelb nuk kanë marrë ende përgjigje të shprehur. Në këto kushte, Gjykata, duke mbajtur në konsideratë edhe efektin detyrues të vendimeve të saj, të shtjelluar më lart, vlerëson se vendimi i Kolegjit Penal të Gjykatës së Lartë duhet të shfuqizohet. Një zgjidhje e ndryshme nga sa ka vendosur Gjykata në vendimin nr. </w:t>
      </w:r>
      <w:r>
        <w:rPr>
          <w:rFonts w:eastAsia="Times New Roman"/>
          <w:spacing w:val="-4"/>
          <w:szCs w:val="24"/>
          <w:lang w:val="sq-AL" w:eastAsia="en-GB"/>
        </w:rPr>
        <w:t>13, datë 17.</w:t>
      </w:r>
      <w:r w:rsidRPr="00034ADA">
        <w:rPr>
          <w:rFonts w:eastAsia="Times New Roman"/>
          <w:spacing w:val="-4"/>
          <w:szCs w:val="24"/>
          <w:lang w:val="sq-AL" w:eastAsia="en-GB"/>
        </w:rPr>
        <w:t>3.2014 do të ishte antikushtetuese, pasi nuk do të respektohej një akt parësor i nxjerrë pikërisht nga një burim parësor siç është Gjykata Kushtetuese (</w:t>
      </w:r>
      <w:r w:rsidRPr="00034ADA">
        <w:rPr>
          <w:rFonts w:eastAsia="Times New Roman"/>
          <w:i/>
          <w:spacing w:val="-4"/>
          <w:szCs w:val="24"/>
          <w:lang w:val="sq-AL" w:eastAsia="en-GB"/>
        </w:rPr>
        <w:t xml:space="preserve">shih vendimin nr. </w:t>
      </w:r>
      <w:r>
        <w:rPr>
          <w:rFonts w:eastAsia="Times New Roman"/>
          <w:i/>
          <w:spacing w:val="-4"/>
          <w:szCs w:val="24"/>
          <w:lang w:val="sq-AL" w:eastAsia="en-GB"/>
        </w:rPr>
        <w:t>20, datë 1.</w:t>
      </w:r>
      <w:r w:rsidRPr="00034ADA">
        <w:rPr>
          <w:rFonts w:eastAsia="Times New Roman"/>
          <w:i/>
          <w:spacing w:val="-4"/>
          <w:szCs w:val="24"/>
          <w:lang w:val="sq-AL" w:eastAsia="en-GB"/>
        </w:rPr>
        <w:t>6.2011 të Gjykatës Kushtetuese</w:t>
      </w:r>
      <w:r w:rsidRPr="00034ADA">
        <w:rPr>
          <w:rFonts w:eastAsia="Times New Roman"/>
          <w:spacing w:val="-4"/>
          <w:szCs w:val="24"/>
          <w:lang w:val="sq-AL" w:eastAsia="en-GB"/>
        </w:rPr>
        <w:t>).</w:t>
      </w:r>
      <w:r w:rsidRPr="00034ADA">
        <w:rPr>
          <w:spacing w:val="-4"/>
          <w:szCs w:val="24"/>
          <w:lang w:val="sq-AL"/>
        </w:rPr>
        <w:t xml:space="preserve"> </w:t>
      </w:r>
    </w:p>
    <w:p w:rsidR="0028762D" w:rsidRPr="00034ADA" w:rsidRDefault="0028762D" w:rsidP="0028762D">
      <w:pPr>
        <w:pStyle w:val="Paragrafi"/>
        <w:rPr>
          <w:rFonts w:eastAsia="Times New Roman"/>
          <w:spacing w:val="-4"/>
          <w:szCs w:val="24"/>
          <w:lang w:val="sq-AL" w:eastAsia="en-GB"/>
        </w:rPr>
      </w:pPr>
      <w:r w:rsidRPr="00034ADA">
        <w:rPr>
          <w:rFonts w:eastAsia="Times New Roman"/>
          <w:spacing w:val="-4"/>
          <w:szCs w:val="24"/>
          <w:lang w:val="sq-AL" w:eastAsia="en-GB"/>
        </w:rPr>
        <w:t>27. Si përfundim, Gjykata çmon se Kolegji Penal i Gjykatës së Lartë nuk ka respektuar standardin kushtetues të arsyetimit të vendimeve gjyqësore,</w:t>
      </w:r>
      <w:r w:rsidRPr="00034ADA">
        <w:rPr>
          <w:spacing w:val="-4"/>
          <w:szCs w:val="24"/>
          <w:lang w:val="sq-AL"/>
        </w:rPr>
        <w:t xml:space="preserve"> </w:t>
      </w:r>
      <w:r w:rsidRPr="00034ADA">
        <w:rPr>
          <w:rFonts w:eastAsia="Times New Roman"/>
          <w:spacing w:val="-4"/>
          <w:szCs w:val="24"/>
          <w:lang w:val="sq-AL" w:eastAsia="en-GB"/>
        </w:rPr>
        <w:t>për rrjedhojë pretendimi i kërkuesit në këtë aspekt është i bazuar dhe duhet pranuar.</w:t>
      </w:r>
    </w:p>
    <w:p w:rsidR="0028762D" w:rsidRPr="00034ADA" w:rsidRDefault="0028762D" w:rsidP="0028762D">
      <w:pPr>
        <w:pStyle w:val="Hapesira7"/>
        <w:rPr>
          <w:lang w:val="sq-AL"/>
        </w:rPr>
      </w:pPr>
    </w:p>
    <w:p w:rsidR="0028762D" w:rsidRPr="00034ADA" w:rsidRDefault="0028762D" w:rsidP="0028762D">
      <w:pPr>
        <w:pStyle w:val="Paragrafi"/>
        <w:jc w:val="center"/>
        <w:rPr>
          <w:rFonts w:eastAsia="Times New Roman"/>
          <w:spacing w:val="-4"/>
          <w:szCs w:val="24"/>
          <w:lang w:val="sq-AL"/>
        </w:rPr>
      </w:pPr>
      <w:r w:rsidRPr="00034ADA">
        <w:rPr>
          <w:rFonts w:eastAsia="Times New Roman"/>
          <w:spacing w:val="-4"/>
          <w:szCs w:val="24"/>
          <w:lang w:val="sq-AL"/>
        </w:rPr>
        <w:t>PËR KËTO ARSYE,</w:t>
      </w:r>
    </w:p>
    <w:p w:rsidR="0028762D" w:rsidRPr="00034ADA" w:rsidRDefault="0028762D" w:rsidP="0028762D">
      <w:pPr>
        <w:pStyle w:val="Hapesira7"/>
        <w:rPr>
          <w:lang w:val="sq-AL"/>
        </w:rPr>
      </w:pP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Gjykata Kushtetuese e Republikës së Shqipërisë, në mbështetje të neneve 131, shkronja “f”, dhe 134, pika 1, shkronja “g”, të Kushtetutës, si dhe të neneve 72 dhe 77 të ligjit nr. </w:t>
      </w:r>
      <w:r>
        <w:rPr>
          <w:rFonts w:eastAsia="Times New Roman"/>
          <w:spacing w:val="-4"/>
          <w:szCs w:val="24"/>
          <w:lang w:val="sq-AL"/>
        </w:rPr>
        <w:t>8577, datë 10.</w:t>
      </w:r>
      <w:r w:rsidRPr="00034ADA">
        <w:rPr>
          <w:rFonts w:eastAsia="Times New Roman"/>
          <w:spacing w:val="-4"/>
          <w:szCs w:val="24"/>
          <w:lang w:val="sq-AL"/>
        </w:rPr>
        <w:t>2.2000 “Për organizimin dhe funksionimin e Gjykatës Kushtetuese të Republikës së Shqipërisë”, me shumicë votash</w:t>
      </w:r>
      <w:r w:rsidRPr="00034ADA">
        <w:rPr>
          <w:rStyle w:val="FootnoteReference"/>
          <w:rFonts w:eastAsia="Times New Roman"/>
          <w:spacing w:val="-4"/>
          <w:szCs w:val="24"/>
          <w:lang w:val="sq-AL"/>
        </w:rPr>
        <w:footnoteReference w:id="1"/>
      </w:r>
      <w:r w:rsidRPr="00034ADA">
        <w:rPr>
          <w:rFonts w:eastAsia="Times New Roman"/>
          <w:spacing w:val="-4"/>
          <w:szCs w:val="24"/>
          <w:lang w:val="sq-AL"/>
        </w:rPr>
        <w:t>,</w:t>
      </w:r>
      <w:r w:rsidRPr="00034ADA">
        <w:rPr>
          <w:rFonts w:eastAsia="Times New Roman"/>
          <w:b/>
          <w:spacing w:val="-4"/>
          <w:szCs w:val="24"/>
          <w:lang w:val="sq-AL"/>
        </w:rPr>
        <w:t xml:space="preserve"> </w:t>
      </w:r>
    </w:p>
    <w:p w:rsidR="0028762D" w:rsidRPr="00034ADA" w:rsidRDefault="0028762D" w:rsidP="0028762D">
      <w:pPr>
        <w:pStyle w:val="Hapesira7"/>
        <w:rPr>
          <w:lang w:val="sq-AL"/>
        </w:rPr>
      </w:pPr>
    </w:p>
    <w:p w:rsidR="0028762D" w:rsidRPr="00034ADA" w:rsidRDefault="0028762D" w:rsidP="0028762D">
      <w:pPr>
        <w:pStyle w:val="Paragrafi"/>
        <w:jc w:val="center"/>
        <w:rPr>
          <w:rFonts w:eastAsia="Times New Roman"/>
          <w:spacing w:val="-4"/>
          <w:szCs w:val="24"/>
          <w:lang w:val="sq-AL"/>
        </w:rPr>
      </w:pPr>
      <w:r w:rsidRPr="00034ADA">
        <w:rPr>
          <w:rFonts w:eastAsia="Times New Roman"/>
          <w:spacing w:val="-4"/>
          <w:szCs w:val="24"/>
          <w:lang w:val="sq-AL"/>
        </w:rPr>
        <w:t>VENDOSI:</w:t>
      </w:r>
    </w:p>
    <w:p w:rsidR="0028762D" w:rsidRPr="00034ADA" w:rsidRDefault="0028762D" w:rsidP="0028762D">
      <w:pPr>
        <w:pStyle w:val="Hapesira7"/>
        <w:rPr>
          <w:lang w:val="sq-AL"/>
        </w:rPr>
      </w:pP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Pranimin pjesërisht të kërkesës.</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Shfuqizimin e vendimit nr. 00-2014-1133, datë 11.07.2014 të Kolegjit Penal të Gjykatës së Lartë.</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xml:space="preserve">- Dërgimin e çështjes për rishqyrtim në Gjykatën e Lartë. </w:t>
      </w:r>
    </w:p>
    <w:p w:rsidR="0028762D" w:rsidRPr="00034ADA" w:rsidRDefault="0028762D" w:rsidP="0028762D">
      <w:pPr>
        <w:pStyle w:val="Paragrafi"/>
        <w:rPr>
          <w:rFonts w:eastAsia="Times New Roman"/>
          <w:spacing w:val="-4"/>
          <w:szCs w:val="24"/>
          <w:lang w:val="sq-AL"/>
        </w:rPr>
      </w:pPr>
      <w:r w:rsidRPr="00034ADA">
        <w:rPr>
          <w:rFonts w:eastAsia="Times New Roman"/>
          <w:spacing w:val="-4"/>
          <w:szCs w:val="24"/>
          <w:lang w:val="sq-AL"/>
        </w:rPr>
        <w:t>- Ky vendim është përfundimtar, i formës së prerë dhe hyn në fuqi ditën e botimit në Fletoren Zyrtare.</w:t>
      </w:r>
    </w:p>
    <w:p w:rsidR="0028762D" w:rsidRPr="00034ADA" w:rsidRDefault="0028762D" w:rsidP="0028762D">
      <w:pPr>
        <w:pStyle w:val="Hapesira7"/>
        <w:rPr>
          <w:lang w:val="sq-AL"/>
        </w:rPr>
      </w:pPr>
    </w:p>
    <w:p w:rsidR="0028762D" w:rsidRPr="00034ADA" w:rsidRDefault="0028762D" w:rsidP="0028762D">
      <w:pPr>
        <w:pStyle w:val="Paragrafi"/>
        <w:rPr>
          <w:spacing w:val="-4"/>
          <w:lang w:val="sq-AL"/>
        </w:rPr>
      </w:pPr>
      <w:r w:rsidRPr="00034ADA">
        <w:rPr>
          <w:spacing w:val="-4"/>
          <w:lang w:val="sq-AL"/>
        </w:rPr>
        <w:t>Anëtarë pro: Bashkim Dedja (kryetar), Vladimir Kristo, Fatmir Hoxha, Vitore Tusha, Besnik Imeraj, Gani Dizdari</w:t>
      </w:r>
    </w:p>
    <w:p w:rsidR="0028762D" w:rsidRPr="00034ADA" w:rsidRDefault="0028762D" w:rsidP="0028762D">
      <w:pPr>
        <w:pStyle w:val="Paragrafi"/>
        <w:rPr>
          <w:spacing w:val="-4"/>
          <w:lang w:val="sq-AL"/>
        </w:rPr>
      </w:pPr>
      <w:r w:rsidRPr="00034ADA">
        <w:rPr>
          <w:spacing w:val="-4"/>
          <w:lang w:val="sq-AL"/>
        </w:rPr>
        <w:t>Anëtarë kundër: Sokol Berberi, Altina Xhoxhaj, Fatos Lulo</w:t>
      </w:r>
    </w:p>
    <w:p w:rsidR="0028762D" w:rsidRPr="00034ADA" w:rsidRDefault="0028762D" w:rsidP="0028762D">
      <w:pPr>
        <w:pStyle w:val="Hapesira7"/>
        <w:rPr>
          <w:lang w:val="sq-AL"/>
        </w:rPr>
      </w:pPr>
    </w:p>
    <w:p w:rsidR="0028762D" w:rsidRPr="00034ADA" w:rsidRDefault="0028762D" w:rsidP="0028762D">
      <w:pPr>
        <w:pStyle w:val="Paragrafi"/>
        <w:jc w:val="center"/>
        <w:rPr>
          <w:noProof/>
          <w:spacing w:val="-4"/>
          <w:szCs w:val="24"/>
          <w:lang w:val="sq-AL"/>
        </w:rPr>
      </w:pPr>
      <w:r w:rsidRPr="00034ADA">
        <w:rPr>
          <w:noProof/>
          <w:spacing w:val="-4"/>
          <w:szCs w:val="24"/>
          <w:lang w:val="sq-AL"/>
        </w:rPr>
        <w:t>MENDIM PARALEL</w:t>
      </w:r>
    </w:p>
    <w:p w:rsidR="0028762D" w:rsidRPr="00034ADA" w:rsidRDefault="0028762D" w:rsidP="0028762D">
      <w:pPr>
        <w:pStyle w:val="Hapesira7"/>
        <w:rPr>
          <w:noProof/>
          <w:lang w:val="sq-AL"/>
        </w:rPr>
      </w:pPr>
    </w:p>
    <w:p w:rsidR="0028762D" w:rsidRPr="00034ADA" w:rsidRDefault="0028762D" w:rsidP="0028762D">
      <w:pPr>
        <w:pStyle w:val="Paragrafi"/>
        <w:rPr>
          <w:noProof/>
          <w:spacing w:val="-4"/>
          <w:szCs w:val="24"/>
          <w:lang w:val="sq-AL"/>
        </w:rPr>
      </w:pPr>
      <w:r w:rsidRPr="00034ADA">
        <w:rPr>
          <w:noProof/>
          <w:spacing w:val="-4"/>
          <w:szCs w:val="24"/>
          <w:lang w:val="sq-AL"/>
        </w:rPr>
        <w:t xml:space="preserve">1. Gjykata Kushtetuese (Gjykata) ka pranuar pjesërisht pretendimet e kërkuesit Dritan Fani duke shfuqizuar vendimin nr. </w:t>
      </w:r>
      <w:r>
        <w:rPr>
          <w:noProof/>
          <w:spacing w:val="-4"/>
          <w:szCs w:val="24"/>
          <w:lang w:val="sq-AL"/>
        </w:rPr>
        <w:t>00-2014-1133, datë 11.</w:t>
      </w:r>
      <w:r w:rsidRPr="00034ADA">
        <w:rPr>
          <w:noProof/>
          <w:spacing w:val="-4"/>
          <w:szCs w:val="24"/>
          <w:lang w:val="sq-AL"/>
        </w:rPr>
        <w:t xml:space="preserve">7.2014 të Kolegjit Penal të Gjykatës së Lartë (dhomë këshillimi), me arsyetimin se ky vendim nuk ka respektuar standardin kushtetues të arsyetimit të vendimeve gjyqësore, pasi nuk ka reflektuar vendimmarrjen e kësaj Gjykate, konkretisht të vendimit nr. </w:t>
      </w:r>
      <w:r>
        <w:rPr>
          <w:noProof/>
          <w:spacing w:val="-4"/>
          <w:szCs w:val="24"/>
          <w:lang w:val="sq-AL"/>
        </w:rPr>
        <w:t>13, datë 17.</w:t>
      </w:r>
      <w:r w:rsidRPr="00034ADA">
        <w:rPr>
          <w:noProof/>
          <w:spacing w:val="-4"/>
          <w:szCs w:val="24"/>
          <w:lang w:val="sq-AL"/>
        </w:rPr>
        <w:t xml:space="preserve">3.2014 të Gjykatës Kushtetuese. </w:t>
      </w:r>
    </w:p>
    <w:p w:rsidR="0028762D" w:rsidRPr="00034ADA" w:rsidRDefault="0028762D" w:rsidP="0028762D">
      <w:pPr>
        <w:pStyle w:val="Paragrafi"/>
        <w:rPr>
          <w:rFonts w:eastAsia="Times New Roman"/>
          <w:spacing w:val="-4"/>
          <w:szCs w:val="24"/>
          <w:lang w:val="sq-AL" w:eastAsia="en-GB"/>
        </w:rPr>
      </w:pPr>
      <w:r w:rsidRPr="00034ADA">
        <w:rPr>
          <w:rFonts w:eastAsia="Times New Roman"/>
          <w:spacing w:val="-4"/>
          <w:szCs w:val="24"/>
          <w:lang w:val="sq-AL" w:eastAsia="en-GB"/>
        </w:rPr>
        <w:t>2. Shumica, në linjë me jurisprudencën e kësaj Gjykate (</w:t>
      </w:r>
      <w:r w:rsidRPr="00034ADA">
        <w:rPr>
          <w:rFonts w:eastAsia="Times New Roman"/>
          <w:i/>
          <w:spacing w:val="-4"/>
          <w:szCs w:val="24"/>
          <w:lang w:val="sq-AL" w:eastAsia="en-GB"/>
        </w:rPr>
        <w:t xml:space="preserve">shih vendimin nr. </w:t>
      </w:r>
      <w:r>
        <w:rPr>
          <w:rFonts w:eastAsia="Times New Roman"/>
          <w:i/>
          <w:spacing w:val="-4"/>
          <w:szCs w:val="24"/>
          <w:lang w:val="sq-AL" w:eastAsia="en-GB"/>
        </w:rPr>
        <w:t>20, datë 1.</w:t>
      </w:r>
      <w:r w:rsidRPr="00034ADA">
        <w:rPr>
          <w:rFonts w:eastAsia="Times New Roman"/>
          <w:i/>
          <w:spacing w:val="-4"/>
          <w:szCs w:val="24"/>
          <w:lang w:val="sq-AL" w:eastAsia="en-GB"/>
        </w:rPr>
        <w:t>6.2011 të Gjykatës Kushtetuese</w:t>
      </w:r>
      <w:r w:rsidRPr="00034ADA">
        <w:rPr>
          <w:rFonts w:eastAsia="Times New Roman"/>
          <w:spacing w:val="-4"/>
          <w:szCs w:val="24"/>
          <w:lang w:val="sq-AL" w:eastAsia="en-GB"/>
        </w:rPr>
        <w:t>), ka argumentuar se zbatimi i detyrueshëm i vendimeve të saj është i garantuar nga Kushtetuta, e cila në nenin 132 dhe 145 të saj sanksionon shprehimisht këtë koncept kushtetues. Vendimet e Gjykatës kanë fuqi detyruese të përgjithshme dhe janë përfundimtare. Ato përbëjnë jurisprudencë kushtetuese dhe, për rrjedhojë, kanë efektet</w:t>
      </w:r>
      <w:r w:rsidRPr="00034ADA">
        <w:rPr>
          <w:rFonts w:eastAsia="Times New Roman"/>
          <w:i/>
          <w:spacing w:val="-4"/>
          <w:szCs w:val="24"/>
          <w:lang w:val="sq-AL" w:eastAsia="en-GB"/>
        </w:rPr>
        <w:t xml:space="preserve"> e forcës së ligjit.</w:t>
      </w:r>
      <w:r w:rsidRPr="00034ADA">
        <w:rPr>
          <w:rFonts w:eastAsia="Times New Roman"/>
          <w:spacing w:val="-4"/>
          <w:szCs w:val="24"/>
          <w:lang w:val="sq-AL" w:eastAsia="en-GB"/>
        </w:rPr>
        <w:t xml:space="preserve"> Ndikimi i padiskutueshëm i vendimeve të Gjykatës është i tillë që iu imponon të gjitha organeve shtetërore, duke mos përjashtuar as gjykatat, fuqinë detyruese të arsyetimit të vendimit të saj. Arsyetimi që përdor Gjykata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034ADA">
        <w:rPr>
          <w:rFonts w:eastAsia="Times New Roman"/>
          <w:i/>
          <w:spacing w:val="-4"/>
          <w:szCs w:val="24"/>
          <w:lang w:val="sq-AL" w:eastAsia="en-GB"/>
        </w:rPr>
        <w:t xml:space="preserve">(shih paragrafët 21-22 të vendimit). </w:t>
      </w:r>
    </w:p>
    <w:p w:rsidR="0028762D" w:rsidRPr="00034ADA" w:rsidRDefault="0028762D" w:rsidP="0028762D">
      <w:pPr>
        <w:pStyle w:val="Paragrafi"/>
        <w:rPr>
          <w:noProof/>
          <w:spacing w:val="-4"/>
          <w:szCs w:val="24"/>
          <w:lang w:val="sq-AL"/>
        </w:rPr>
      </w:pPr>
      <w:r w:rsidRPr="00034ADA">
        <w:rPr>
          <w:noProof/>
          <w:spacing w:val="-4"/>
          <w:szCs w:val="24"/>
          <w:lang w:val="sq-AL"/>
        </w:rPr>
        <w:t xml:space="preserve">3. Pavarësisht se pajtohem me vendimin e shumicës, çmoj se kërkesa duhej pranuar në tërësinë e saj, duke shfuqizuar të gjitha vendimet gjyqësore të kundërshtuara. Për këtë arsye e shoh me vend të </w:t>
      </w:r>
      <w:r w:rsidRPr="00034ADA">
        <w:rPr>
          <w:noProof/>
          <w:spacing w:val="-4"/>
          <w:szCs w:val="24"/>
          <w:lang w:val="sq-AL"/>
        </w:rPr>
        <w:lastRenderedPageBreak/>
        <w:t xml:space="preserve">shprehem me mendim paralel.  </w:t>
      </w:r>
    </w:p>
    <w:p w:rsidR="0028762D" w:rsidRPr="00034ADA" w:rsidRDefault="0028762D" w:rsidP="0028762D">
      <w:pPr>
        <w:pStyle w:val="Paragrafi"/>
        <w:rPr>
          <w:rFonts w:eastAsia="Times New Roman"/>
          <w:spacing w:val="-4"/>
          <w:szCs w:val="24"/>
          <w:lang w:val="sq-AL" w:eastAsia="fr-FR"/>
        </w:rPr>
      </w:pPr>
      <w:r w:rsidRPr="00034ADA">
        <w:rPr>
          <w:noProof/>
          <w:color w:val="000000"/>
          <w:spacing w:val="-4"/>
          <w:szCs w:val="24"/>
          <w:lang w:val="sq-AL"/>
        </w:rPr>
        <w:t xml:space="preserve">4. </w:t>
      </w:r>
      <w:r w:rsidRPr="00034ADA">
        <w:rPr>
          <w:noProof/>
          <w:spacing w:val="-4"/>
          <w:szCs w:val="24"/>
          <w:lang w:val="sq-AL"/>
        </w:rPr>
        <w:t xml:space="preserve">Sikurse vërehet edhe në mendimin e shumicës, kërkuesi Dritan Fani, pas shterimit të mjeteve të juridiksionit të zakonshëm, i është drejtuar kësaj Gjykate me pretendimin për cenim të procesit të rregullt gjyqësor, për shkak të gabimit në mënyrën e bashkimit të dënimeve në ngarkim të tij. Kjo e fundit, me vendimin nr. </w:t>
      </w:r>
      <w:r>
        <w:rPr>
          <w:noProof/>
          <w:spacing w:val="-4"/>
          <w:szCs w:val="24"/>
          <w:lang w:val="sq-AL"/>
        </w:rPr>
        <w:t>13, datë 17.</w:t>
      </w:r>
      <w:r w:rsidRPr="00034ADA">
        <w:rPr>
          <w:noProof/>
          <w:spacing w:val="-4"/>
          <w:szCs w:val="24"/>
          <w:lang w:val="sq-AL"/>
        </w:rPr>
        <w:t>3.2014, ka vendosur pranimin e kërkesës dhe ka arritur në përfundimin se në procesin e zhvilluar ndaj tij ka pasur cenim të nenit 42 të Kushtetutës</w:t>
      </w:r>
      <w:r w:rsidRPr="00034ADA">
        <w:rPr>
          <w:noProof/>
          <w:spacing w:val="-4"/>
          <w:szCs w:val="24"/>
          <w:vertAlign w:val="superscript"/>
          <w:lang w:val="sq-AL"/>
        </w:rPr>
        <w:footnoteReference w:id="2"/>
      </w:r>
      <w:r w:rsidRPr="00034ADA">
        <w:rPr>
          <w:noProof/>
          <w:spacing w:val="-4"/>
          <w:szCs w:val="24"/>
          <w:lang w:val="sq-AL"/>
        </w:rPr>
        <w:t xml:space="preserve">. </w:t>
      </w:r>
      <w:r w:rsidRPr="00034ADA">
        <w:rPr>
          <w:rFonts w:eastAsia="Times New Roman"/>
          <w:spacing w:val="-4"/>
          <w:szCs w:val="24"/>
          <w:lang w:val="sq-AL" w:eastAsia="fr-FR"/>
        </w:rPr>
        <w:t xml:space="preserve">Pas këtij vendimi, Gjykata e Lartë, të cilës i është ridrejtuar kërkuesi, duke mos marrë parasysh vendimin e lartpërmendur të Gjykatës, ka vendosur mospranimin e kërkesës së tij, me arsyetimin se gjykatat e faktit nuk janë shprehur për themelin e vendimeve të mëparshme të bashkimit të dënimeve, por për ndreqjen e gabimit material që është verifikuar në të (datën e fillimit të llogaritjes së vendimit). </w:t>
      </w:r>
    </w:p>
    <w:p w:rsidR="0028762D" w:rsidRPr="00034ADA" w:rsidRDefault="0028762D" w:rsidP="0028762D">
      <w:pPr>
        <w:pStyle w:val="Paragrafi"/>
        <w:rPr>
          <w:i/>
          <w:noProof/>
          <w:spacing w:val="-4"/>
          <w:szCs w:val="24"/>
          <w:lang w:val="sq-AL"/>
        </w:rPr>
      </w:pPr>
      <w:r w:rsidRPr="00034ADA">
        <w:rPr>
          <w:rFonts w:eastAsia="Times New Roman"/>
          <w:spacing w:val="-4"/>
          <w:szCs w:val="24"/>
          <w:lang w:val="sq-AL" w:eastAsia="fr-FR"/>
        </w:rPr>
        <w:t>5. Në zbatim të jurisprudencës së lartpërmendur të Gjykatës jam i mendimit se g</w:t>
      </w:r>
      <w:r w:rsidRPr="00034ADA">
        <w:rPr>
          <w:noProof/>
          <w:spacing w:val="-4"/>
          <w:szCs w:val="24"/>
          <w:lang w:val="sq-AL"/>
        </w:rPr>
        <w:t xml:space="preserve">arantimi i zbatimit të ligjit penal, procedural dhe material nga të gjitha gjykatat, në përputhje me Kushtetutën dhe vendimet e kësaj Gjykate, është detyrë e Gjykatës së Lartë, dhe për atë lind detyrimi që të riparojë pasojat e shkeljeve të konstatuara nga vendimet e Gjykatës Kushtetuese. Nga ana tjetër, mendoj se në rastin konkret, në kushtet kur Gjykata e Lartë nuk ka reflektuar mbi vendimmarrjen e kësaj Gjykate, </w:t>
      </w:r>
      <w:r w:rsidRPr="00034ADA">
        <w:rPr>
          <w:rFonts w:eastAsia="Times New Roman"/>
          <w:spacing w:val="-4"/>
          <w:szCs w:val="24"/>
          <w:lang w:val="sq-AL" w:eastAsia="fr-FR"/>
        </w:rPr>
        <w:t xml:space="preserve">nuk ka asnjë pengesë që të pranohet në tërësi kërkesa në shqyrtim, duke u shfuqizuar të gjitha vendimet gjyqësore të dhëna ndaj kërkuesit, dhe çështja të rikthehet për rigjykim në gjykatën e shkallës së parë, aty ku fillojnë edhe shkeljet e konstatuara nga Gjykata në vendimin nr. 13, datë 17.03.2014 sepse ankimi kushtetues, </w:t>
      </w:r>
      <w:r w:rsidRPr="00034ADA">
        <w:rPr>
          <w:noProof/>
          <w:spacing w:val="-4"/>
          <w:szCs w:val="24"/>
          <w:lang w:val="sq-AL"/>
        </w:rPr>
        <w:t xml:space="preserve">në linjë me jurisprudencën kushtetuese dhe atë të GEJDNJ-së, është mjeti efektiv për rivendosjen në vend të së drejtës së shkelur dhe rregullimin e pasojave të shkeljes.   </w:t>
      </w:r>
    </w:p>
    <w:p w:rsidR="0028762D" w:rsidRPr="00034ADA" w:rsidRDefault="0028762D" w:rsidP="0028762D">
      <w:pPr>
        <w:pStyle w:val="Paragrafi"/>
        <w:rPr>
          <w:noProof/>
          <w:spacing w:val="-4"/>
          <w:szCs w:val="24"/>
          <w:lang w:val="sq-AL"/>
        </w:rPr>
      </w:pPr>
      <w:r w:rsidRPr="00034ADA">
        <w:rPr>
          <w:rFonts w:eastAsia="Times New Roman"/>
          <w:spacing w:val="-4"/>
          <w:szCs w:val="24"/>
          <w:lang w:val="sq-AL"/>
        </w:rPr>
        <w:t xml:space="preserve">6. </w:t>
      </w:r>
      <w:r w:rsidRPr="00034ADA">
        <w:rPr>
          <w:noProof/>
          <w:spacing w:val="-4"/>
          <w:szCs w:val="24"/>
          <w:lang w:val="sq-AL"/>
        </w:rPr>
        <w:t>Nëse do t’i referoheshim për analogji edhe vendimeve të GJEDNJ-së, sipas kërkesave të nenit 46 të KEDNJ-së, një shtet palë, për të cilin GJEDNJ-ja është shprehur se ka shkelur Konventën ose Protokollet e saj, ka detyrimin që të veprojë në përputhje me vendimin e asaj gjykate. Shteti ka detyrimin jo vetëm të shlyejë dëmin material ndaj personave të interesuar, por edhe të marrë masa individuale dhe/ose, nëse është e përshtatshme, masa të përgjithshme në rendin e vet ligjor që t’i japë fund shkeljes së gjetur nga gjykata dhe të rregullojë pasojat e shkeljes, me qëllimin që kërkuesi të rikthehet, për aq sa është e mundur, në gjendjen që ishte para se të bëhej shkelja (</w:t>
      </w:r>
      <w:r w:rsidRPr="00034ADA">
        <w:rPr>
          <w:i/>
          <w:noProof/>
          <w:spacing w:val="-4"/>
          <w:szCs w:val="24"/>
          <w:lang w:val="sq-AL"/>
        </w:rPr>
        <w:t xml:space="preserve">vendimi në çështjen </w:t>
      </w:r>
      <w:r w:rsidRPr="00034ADA">
        <w:rPr>
          <w:i/>
          <w:iCs/>
          <w:noProof/>
          <w:spacing w:val="-4"/>
          <w:szCs w:val="24"/>
          <w:lang w:val="sq-AL"/>
        </w:rPr>
        <w:t>Scozzari dhe Giunta kundër Italisë</w:t>
      </w:r>
      <w:r w:rsidRPr="00034ADA">
        <w:rPr>
          <w:i/>
          <w:noProof/>
          <w:spacing w:val="-4"/>
          <w:szCs w:val="24"/>
          <w:lang w:val="sq-AL"/>
        </w:rPr>
        <w:t xml:space="preserve">, nr. 39221/98 dhe 41963/98, § 249, ECHR 2000-VIII dhe </w:t>
      </w:r>
      <w:r w:rsidRPr="00034ADA">
        <w:rPr>
          <w:i/>
          <w:iCs/>
          <w:noProof/>
          <w:spacing w:val="-4"/>
          <w:szCs w:val="24"/>
          <w:lang w:val="sq-AL"/>
        </w:rPr>
        <w:t>Assanidze kundër Gjeorgjisë</w:t>
      </w:r>
      <w:r w:rsidRPr="00034ADA">
        <w:rPr>
          <w:i/>
          <w:noProof/>
          <w:spacing w:val="-4"/>
          <w:szCs w:val="24"/>
          <w:lang w:val="sq-AL"/>
        </w:rPr>
        <w:t>, nr. 71503/01, § 198, ECHR 2004-II</w:t>
      </w:r>
      <w:r w:rsidRPr="00034ADA">
        <w:rPr>
          <w:noProof/>
          <w:spacing w:val="-4"/>
          <w:szCs w:val="24"/>
          <w:lang w:val="sq-AL"/>
        </w:rPr>
        <w:t xml:space="preserve">). </w:t>
      </w:r>
    </w:p>
    <w:p w:rsidR="0028762D" w:rsidRPr="00034ADA" w:rsidRDefault="0028762D" w:rsidP="0028762D">
      <w:pPr>
        <w:pStyle w:val="Paragrafi"/>
        <w:rPr>
          <w:noProof/>
          <w:spacing w:val="-4"/>
          <w:szCs w:val="24"/>
          <w:lang w:val="sq-AL"/>
        </w:rPr>
      </w:pPr>
      <w:r w:rsidRPr="00034ADA">
        <w:rPr>
          <w:noProof/>
          <w:spacing w:val="-4"/>
          <w:szCs w:val="24"/>
          <w:lang w:val="sq-AL"/>
        </w:rPr>
        <w:t xml:space="preserve">7. Në vendimet e saj, </w:t>
      </w:r>
      <w:r w:rsidRPr="00034ADA">
        <w:rPr>
          <w:noProof/>
          <w:color w:val="000000"/>
          <w:spacing w:val="-4"/>
          <w:szCs w:val="24"/>
          <w:lang w:val="sq-AL"/>
        </w:rPr>
        <w:t xml:space="preserve">GJEDNJ-ja ka shprehur parimin e njohur të së drejtës ndërkombëtare </w:t>
      </w:r>
      <w:r w:rsidRPr="00034ADA">
        <w:rPr>
          <w:i/>
          <w:noProof/>
          <w:color w:val="000000"/>
          <w:spacing w:val="-4"/>
          <w:szCs w:val="24"/>
          <w:lang w:val="sq-AL"/>
        </w:rPr>
        <w:t>restitutio in integrum</w:t>
      </w:r>
      <w:r w:rsidRPr="00034ADA">
        <w:rPr>
          <w:noProof/>
          <w:color w:val="000000"/>
          <w:spacing w:val="-4"/>
          <w:szCs w:val="24"/>
          <w:lang w:val="sq-AL"/>
        </w:rPr>
        <w:t>, i cili është përdorur shpesh nga Komiteti i Ministrave në rezolutat e tij. Lidhur</w:t>
      </w:r>
      <w:r w:rsidRPr="00034ADA">
        <w:rPr>
          <w:noProof/>
          <w:spacing w:val="-4"/>
          <w:szCs w:val="24"/>
          <w:lang w:val="sq-AL"/>
        </w:rPr>
        <w:t xml:space="preserve"> me mënyrën se si do të zbatojnë detyrimet e parashikuara në nenin 46 të Konventës Evropiane e të Drejtave të Njeriut (KEDNJ) për ekzekutimin e vendimeve të GJEDNJ-së, shtetet palë të KEDNJ-së gëzojnë diskrecion dhe </w:t>
      </w:r>
      <w:r w:rsidRPr="00034ADA">
        <w:rPr>
          <w:noProof/>
          <w:color w:val="000000"/>
          <w:spacing w:val="-4"/>
          <w:szCs w:val="24"/>
          <w:lang w:val="sq-AL"/>
        </w:rPr>
        <w:t xml:space="preserve">KEDNJ-ja nuk përmban dispozita që t’u imponojë palëve kontraktuese detyrimin për të parashikuar në ligjin e brendshëm rishqyrtimin apo rihapjen e procedimeve. Gjithsesi,  ekzistenca e mundësive të tilla, në rrethana të veçanta, ka provuar të jetë e rëndësishme dhe në disa raste i vetmi mjet për të arritur </w:t>
      </w:r>
      <w:r w:rsidRPr="00034ADA">
        <w:rPr>
          <w:i/>
          <w:noProof/>
          <w:color w:val="000000"/>
          <w:spacing w:val="-4"/>
          <w:szCs w:val="24"/>
          <w:lang w:val="sq-AL"/>
        </w:rPr>
        <w:t>restitutio in integrum</w:t>
      </w:r>
      <w:r w:rsidRPr="00034ADA">
        <w:rPr>
          <w:noProof/>
          <w:color w:val="000000"/>
          <w:spacing w:val="-4"/>
          <w:szCs w:val="24"/>
          <w:lang w:val="sq-AL"/>
        </w:rPr>
        <w:t xml:space="preserve"> (</w:t>
      </w:r>
      <w:r w:rsidRPr="00034ADA">
        <w:rPr>
          <w:i/>
          <w:noProof/>
          <w:color w:val="000000"/>
          <w:spacing w:val="-4"/>
          <w:szCs w:val="24"/>
          <w:lang w:val="sq-AL"/>
        </w:rPr>
        <w:t>shih çështjen Xheraj kundër Shqipërisë,</w:t>
      </w:r>
      <w:r w:rsidRPr="00034ADA">
        <w:rPr>
          <w:noProof/>
          <w:spacing w:val="-4"/>
          <w:szCs w:val="24"/>
          <w:lang w:val="sq-AL"/>
        </w:rPr>
        <w:t xml:space="preserve"> </w:t>
      </w:r>
      <w:r w:rsidRPr="00034ADA">
        <w:rPr>
          <w:i/>
          <w:noProof/>
          <w:spacing w:val="-4"/>
          <w:szCs w:val="24"/>
          <w:lang w:val="sq-AL"/>
        </w:rPr>
        <w:t>vendimi i datës 14.12.1998,</w:t>
      </w:r>
      <w:r w:rsidRPr="00034ADA">
        <w:rPr>
          <w:noProof/>
          <w:color w:val="000000"/>
          <w:spacing w:val="-4"/>
          <w:szCs w:val="24"/>
          <w:lang w:val="sq-AL"/>
        </w:rPr>
        <w:t xml:space="preserve"> </w:t>
      </w:r>
      <w:r w:rsidRPr="00034ADA">
        <w:rPr>
          <w:i/>
          <w:noProof/>
          <w:color w:val="000000"/>
          <w:spacing w:val="-4"/>
          <w:szCs w:val="24"/>
          <w:lang w:val="sq-AL"/>
        </w:rPr>
        <w:t>si dhe</w:t>
      </w:r>
      <w:r w:rsidRPr="00034ADA">
        <w:rPr>
          <w:noProof/>
          <w:color w:val="000000"/>
          <w:spacing w:val="-4"/>
          <w:szCs w:val="24"/>
          <w:lang w:val="sq-AL"/>
        </w:rPr>
        <w:t xml:space="preserve"> </w:t>
      </w:r>
      <w:r w:rsidRPr="00034ADA">
        <w:rPr>
          <w:i/>
          <w:noProof/>
          <w:color w:val="000000"/>
          <w:spacing w:val="-4"/>
          <w:szCs w:val="24"/>
          <w:lang w:val="sq-AL"/>
        </w:rPr>
        <w:t xml:space="preserve">vendimin nr. </w:t>
      </w:r>
      <w:r>
        <w:rPr>
          <w:i/>
          <w:noProof/>
          <w:spacing w:val="-4"/>
          <w:szCs w:val="24"/>
          <w:lang w:val="sq-AL"/>
        </w:rPr>
        <w:t xml:space="preserve">45, datë </w:t>
      </w:r>
      <w:r w:rsidRPr="00034ADA">
        <w:rPr>
          <w:i/>
          <w:noProof/>
          <w:spacing w:val="-4"/>
          <w:szCs w:val="24"/>
          <w:lang w:val="sq-AL"/>
        </w:rPr>
        <w:t>1.11.2013 të Gjykatës Kushtetuese</w:t>
      </w:r>
      <w:r w:rsidRPr="00034ADA">
        <w:rPr>
          <w:noProof/>
          <w:spacing w:val="-4"/>
          <w:szCs w:val="24"/>
          <w:lang w:val="sq-AL"/>
        </w:rPr>
        <w:t xml:space="preserve">). </w:t>
      </w:r>
    </w:p>
    <w:p w:rsidR="0028762D" w:rsidRDefault="0028762D" w:rsidP="0028762D">
      <w:pPr>
        <w:pStyle w:val="Paragrafi"/>
        <w:rPr>
          <w:noProof/>
          <w:spacing w:val="-4"/>
          <w:szCs w:val="24"/>
          <w:lang w:val="sq-AL"/>
        </w:rPr>
      </w:pPr>
      <w:r w:rsidRPr="00034ADA">
        <w:rPr>
          <w:noProof/>
          <w:spacing w:val="-4"/>
          <w:szCs w:val="24"/>
          <w:lang w:val="sq-AL"/>
        </w:rPr>
        <w:t xml:space="preserve">8. </w:t>
      </w:r>
      <w:r w:rsidRPr="00034ADA">
        <w:rPr>
          <w:rFonts w:eastAsia="Times New Roman"/>
          <w:spacing w:val="-4"/>
          <w:szCs w:val="24"/>
          <w:lang w:val="sq-AL"/>
        </w:rPr>
        <w:t xml:space="preserve">Edhe Gjykata, në vështrim të jurisprudencës së GJEDNJ-së, lidhur me interpretimin e nenit 13 të KEDNJ-së, i cili sanksionon termin “ankim efektiv”, ka theksuar se është e rëndësishme të përcaktohet </w:t>
      </w:r>
      <w:r w:rsidRPr="00034ADA">
        <w:rPr>
          <w:rFonts w:eastAsia="Times New Roman"/>
          <w:spacing w:val="-4"/>
          <w:szCs w:val="24"/>
          <w:lang w:val="sq-AL"/>
        </w:rPr>
        <w:lastRenderedPageBreak/>
        <w:t xml:space="preserve">se çfarë mjetesh, sipas rastit, janë në dispozicion të individit dhe nëse ato i krijojnë atij mundësi reale për zgjidhjen e mosmarrëveshjes në mënyrë efektive. Në këtë drejtim është evidentuar se një ndër kriteret që duhet të plotësojë një ankim për të qenë efektiv është që mjeti të ofrojë mundësi të qarta dhe të sigurta për rivendosjen në vend të së drejtës së shkelur. Ajo ka përcaktuar, gjithashtu, se mjeti që të jetë </w:t>
      </w:r>
      <w:r w:rsidRPr="00034ADA">
        <w:rPr>
          <w:noProof/>
          <w:spacing w:val="-4"/>
          <w:szCs w:val="24"/>
          <w:lang w:val="sq-AL"/>
        </w:rPr>
        <w:t>efektiv, duhet të jetë i përshtatshëm, i disponueshëm dhe efikas për një çështje konkrete</w:t>
      </w:r>
      <w:r w:rsidRPr="00034ADA">
        <w:rPr>
          <w:b/>
          <w:noProof/>
          <w:spacing w:val="-4"/>
          <w:szCs w:val="24"/>
          <w:lang w:val="sq-AL"/>
        </w:rPr>
        <w:t xml:space="preserve"> </w:t>
      </w:r>
      <w:r w:rsidRPr="00034ADA">
        <w:rPr>
          <w:i/>
          <w:noProof/>
          <w:spacing w:val="-4"/>
          <w:szCs w:val="24"/>
          <w:lang w:val="sq-AL"/>
        </w:rPr>
        <w:t xml:space="preserve">(shih vendimet nr. </w:t>
      </w:r>
      <w:r>
        <w:rPr>
          <w:i/>
          <w:noProof/>
          <w:spacing w:val="-4"/>
          <w:szCs w:val="24"/>
          <w:lang w:val="sq-AL"/>
        </w:rPr>
        <w:t>9, datë 15.</w:t>
      </w:r>
      <w:r w:rsidRPr="00034ADA">
        <w:rPr>
          <w:i/>
          <w:noProof/>
          <w:spacing w:val="-4"/>
          <w:szCs w:val="24"/>
          <w:lang w:val="sq-AL"/>
        </w:rPr>
        <w:t xml:space="preserve">3.2013; </w:t>
      </w:r>
      <w:r w:rsidRPr="00034ADA">
        <w:rPr>
          <w:i/>
          <w:iCs/>
          <w:noProof/>
          <w:spacing w:val="-4"/>
          <w:szCs w:val="24"/>
          <w:lang w:val="sq-AL"/>
        </w:rPr>
        <w:t xml:space="preserve">nr. </w:t>
      </w:r>
      <w:r>
        <w:rPr>
          <w:i/>
          <w:iCs/>
          <w:noProof/>
          <w:spacing w:val="-4"/>
          <w:szCs w:val="24"/>
          <w:lang w:val="sq-AL"/>
        </w:rPr>
        <w:t>27, datë 20.</w:t>
      </w:r>
      <w:r w:rsidRPr="00034ADA">
        <w:rPr>
          <w:i/>
          <w:iCs/>
          <w:noProof/>
          <w:spacing w:val="-4"/>
          <w:szCs w:val="24"/>
          <w:lang w:val="sq-AL"/>
        </w:rPr>
        <w:t xml:space="preserve">6.2007; nr. </w:t>
      </w:r>
      <w:r>
        <w:rPr>
          <w:i/>
          <w:iCs/>
          <w:noProof/>
          <w:spacing w:val="-4"/>
          <w:szCs w:val="24"/>
          <w:lang w:val="sq-AL"/>
        </w:rPr>
        <w:t>6, datë 31.</w:t>
      </w:r>
      <w:r w:rsidRPr="00034ADA">
        <w:rPr>
          <w:i/>
          <w:iCs/>
          <w:noProof/>
          <w:spacing w:val="-4"/>
          <w:szCs w:val="24"/>
          <w:lang w:val="sq-AL"/>
        </w:rPr>
        <w:t>3.2006 të Gjykatës Kushtetuese</w:t>
      </w:r>
      <w:r w:rsidRPr="00034ADA">
        <w:rPr>
          <w:i/>
          <w:noProof/>
          <w:spacing w:val="-4"/>
          <w:szCs w:val="24"/>
          <w:lang w:val="sq-AL"/>
        </w:rPr>
        <w:t>).</w:t>
      </w:r>
      <w:r w:rsidRPr="00034ADA">
        <w:rPr>
          <w:noProof/>
          <w:spacing w:val="-4"/>
          <w:szCs w:val="24"/>
          <w:lang w:val="sq-AL"/>
        </w:rPr>
        <w:t xml:space="preserve"> </w:t>
      </w:r>
    </w:p>
    <w:p w:rsidR="0028762D" w:rsidRDefault="0028762D" w:rsidP="0028762D">
      <w:pPr>
        <w:pStyle w:val="Paragrafi"/>
        <w:rPr>
          <w:noProof/>
          <w:spacing w:val="-4"/>
          <w:szCs w:val="24"/>
          <w:lang w:val="sq-AL"/>
        </w:rPr>
      </w:pPr>
    </w:p>
    <w:p w:rsidR="0028762D" w:rsidRDefault="0028762D" w:rsidP="0028762D">
      <w:pPr>
        <w:pStyle w:val="Paragrafi"/>
        <w:rPr>
          <w:noProof/>
          <w:spacing w:val="-4"/>
          <w:szCs w:val="24"/>
          <w:lang w:val="sq-AL"/>
        </w:rPr>
      </w:pPr>
    </w:p>
    <w:p w:rsidR="0028762D" w:rsidRPr="00034ADA" w:rsidRDefault="0028762D" w:rsidP="0028762D">
      <w:pPr>
        <w:pStyle w:val="Paragrafi"/>
        <w:rPr>
          <w:noProof/>
          <w:spacing w:val="-4"/>
          <w:szCs w:val="24"/>
          <w:lang w:val="sq-AL"/>
        </w:rPr>
      </w:pPr>
    </w:p>
    <w:p w:rsidR="0028762D" w:rsidRPr="00034ADA" w:rsidRDefault="0028762D" w:rsidP="0028762D">
      <w:pPr>
        <w:pStyle w:val="Paragrafi"/>
        <w:rPr>
          <w:rFonts w:eastAsia="Times New Roman"/>
          <w:spacing w:val="-4"/>
          <w:szCs w:val="24"/>
          <w:lang w:val="sq-AL"/>
        </w:rPr>
      </w:pPr>
      <w:r w:rsidRPr="00034ADA">
        <w:rPr>
          <w:noProof/>
          <w:spacing w:val="-4"/>
          <w:szCs w:val="24"/>
          <w:lang w:val="sq-AL"/>
        </w:rPr>
        <w:t xml:space="preserve">9. Nisur nga sa më lart, çmoj se në rastin konkret shqyrtimi në themel i çështjes nga Gjykata do të përbënte mjetin efektiv ligjor dhe të mjaftueshëm për të vënë në vend të drejtat e shkelura, të konstatuara në procesin gjyqësor të zhvilluar në gjykatat e juridiksionit të zakonshëm. Rrjedhimisht, jam i mendimit se Gjykata duhet ta pranonte në tërësi kërkesën e paraqitur nga Dritan Fani dhe të shfuqizonte të gjithë vendimet objekt kërkese.  </w:t>
      </w:r>
    </w:p>
    <w:p w:rsidR="0028762D" w:rsidRPr="00034ADA" w:rsidRDefault="0028762D" w:rsidP="0028762D">
      <w:pPr>
        <w:pStyle w:val="Paragrafi"/>
        <w:rPr>
          <w:rFonts w:eastAsia="Times New Roman"/>
          <w:spacing w:val="-4"/>
          <w:szCs w:val="24"/>
          <w:lang w:val="sq-AL" w:eastAsia="en-GB"/>
        </w:rPr>
      </w:pPr>
      <w:r w:rsidRPr="00034ADA">
        <w:rPr>
          <w:rFonts w:eastAsia="Times New Roman"/>
          <w:spacing w:val="-4"/>
          <w:szCs w:val="24"/>
          <w:lang w:val="sq-AL" w:eastAsia="en-GB"/>
        </w:rPr>
        <w:t>10. Nga ana tjetër, vendimi i shumicës për shfuqizimin vetëm të vendimit të Gjykatës së Lartë bie ndesh edhe me disa parime të tjera të procesit të rregullt ligjor të elaboruara nga jurisprudenca kushtetuese. Rikthimi i çështjes për shqyrtim përsëri në Gjykatën e Lartë do të cenonte një element të rëndësishëm të së drejtës për një proces të rregullt ligjor, pikërisht kohëzgjatjen e paarsyeshme të procesit. Prandaj, vlerësoj se interpretimi i shumicës nuk është as në funksion të parimit të drejtësisë efektive.</w:t>
      </w:r>
    </w:p>
    <w:p w:rsidR="0028762D" w:rsidRPr="00034ADA" w:rsidRDefault="0028762D" w:rsidP="0028762D">
      <w:pPr>
        <w:pStyle w:val="Paragrafi"/>
        <w:rPr>
          <w:rFonts w:eastAsia="Times New Roman"/>
          <w:spacing w:val="-4"/>
          <w:szCs w:val="24"/>
          <w:lang w:val="sq-AL" w:eastAsia="en-GB"/>
        </w:rPr>
      </w:pPr>
      <w:r w:rsidRPr="00034ADA">
        <w:rPr>
          <w:rFonts w:eastAsia="Times New Roman"/>
          <w:spacing w:val="-4"/>
          <w:szCs w:val="24"/>
          <w:lang w:val="sq-AL" w:eastAsia="en-GB"/>
        </w:rPr>
        <w:t>11. Përfundimisht çmoj se shfuqizimi vetëm i vendimit të Kolegjit Penal të Gjykatës së Lartë jo vetëm që zvarrit një proces të evidentuar tashmë nga kjo Gjykatë si një proces i parregullt ligjor, por nga ana tjetër nuk e identifikon Gjykatën Kushtetuese si një mjet efektiv për individin. Në këto kushte vendimi i shumicës ka më shumë vlerë formale deklarative se sa funksionale.</w:t>
      </w:r>
    </w:p>
    <w:p w:rsidR="0028762D" w:rsidRPr="00034ADA" w:rsidRDefault="0028762D" w:rsidP="0028762D">
      <w:pPr>
        <w:pStyle w:val="Hapesira7"/>
        <w:rPr>
          <w:noProof/>
          <w:lang w:val="sq-AL"/>
        </w:rPr>
      </w:pPr>
    </w:p>
    <w:p w:rsidR="0028762D" w:rsidRPr="00034ADA" w:rsidRDefault="0028762D" w:rsidP="0028762D">
      <w:pPr>
        <w:pStyle w:val="Paragrafi"/>
        <w:rPr>
          <w:noProof/>
          <w:spacing w:val="-4"/>
          <w:szCs w:val="24"/>
          <w:lang w:val="sq-AL"/>
        </w:rPr>
      </w:pPr>
      <w:r w:rsidRPr="00034ADA">
        <w:rPr>
          <w:noProof/>
          <w:spacing w:val="-4"/>
          <w:szCs w:val="24"/>
          <w:lang w:val="sq-AL"/>
        </w:rPr>
        <w:t>Anëtarë: Vladimir Kristo</w:t>
      </w:r>
    </w:p>
    <w:p w:rsidR="00FD57DC" w:rsidRDefault="00372C77"/>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62D" w:rsidRDefault="0028762D" w:rsidP="0028762D">
      <w:pPr>
        <w:spacing w:after="0" w:line="240" w:lineRule="auto"/>
      </w:pPr>
      <w:r>
        <w:separator/>
      </w:r>
    </w:p>
  </w:endnote>
  <w:endnote w:type="continuationSeparator" w:id="0">
    <w:p w:rsidR="0028762D" w:rsidRDefault="0028762D" w:rsidP="00287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62D" w:rsidRDefault="0028762D" w:rsidP="0028762D">
      <w:pPr>
        <w:spacing w:after="0" w:line="240" w:lineRule="auto"/>
      </w:pPr>
      <w:r>
        <w:separator/>
      </w:r>
    </w:p>
  </w:footnote>
  <w:footnote w:type="continuationSeparator" w:id="0">
    <w:p w:rsidR="0028762D" w:rsidRDefault="0028762D" w:rsidP="0028762D">
      <w:pPr>
        <w:spacing w:after="0" w:line="240" w:lineRule="auto"/>
      </w:pPr>
      <w:r>
        <w:continuationSeparator/>
      </w:r>
    </w:p>
  </w:footnote>
  <w:footnote w:id="1">
    <w:p w:rsidR="0028762D" w:rsidRPr="008967BA" w:rsidRDefault="0028762D" w:rsidP="0028762D">
      <w:pPr>
        <w:pStyle w:val="FootnoteText"/>
        <w:ind w:firstLine="0"/>
        <w:rPr>
          <w:rFonts w:ascii="Garamond" w:hAnsi="Garamond"/>
        </w:rPr>
      </w:pPr>
      <w:r w:rsidRPr="008967BA">
        <w:rPr>
          <w:rStyle w:val="FootnoteReference"/>
          <w:rFonts w:ascii="Garamond" w:hAnsi="Garamond"/>
        </w:rPr>
        <w:footnoteRef/>
      </w:r>
      <w:r w:rsidRPr="008967BA">
        <w:rPr>
          <w:rFonts w:ascii="Garamond" w:hAnsi="Garamond"/>
        </w:rPr>
        <w:t xml:space="preserve"> Gjyqtari V. Kristo votoi për pranimin tërësisht të kërkesës; Gjyqtarja V. Tusha votoi edhe për shfuqizimin e vendimit të apelit.</w:t>
      </w:r>
    </w:p>
  </w:footnote>
  <w:footnote w:id="2">
    <w:p w:rsidR="0028762D" w:rsidRPr="00576551" w:rsidRDefault="0028762D" w:rsidP="0028762D">
      <w:pPr>
        <w:tabs>
          <w:tab w:val="left" w:pos="1134"/>
        </w:tabs>
        <w:spacing w:after="0" w:line="240" w:lineRule="auto"/>
        <w:ind w:firstLine="0"/>
        <w:rPr>
          <w:rFonts w:ascii="Garamond" w:hAnsi="Garamond"/>
          <w:bCs/>
          <w:sz w:val="20"/>
          <w:szCs w:val="20"/>
          <w:lang w:val="sq-AL"/>
        </w:rPr>
      </w:pPr>
      <w:r w:rsidRPr="00576551">
        <w:rPr>
          <w:rStyle w:val="FootnoteReference"/>
          <w:rFonts w:ascii="Garamond" w:hAnsi="Garamond"/>
          <w:sz w:val="20"/>
          <w:szCs w:val="20"/>
          <w:lang w:val="sq-AL"/>
        </w:rPr>
        <w:footnoteRef/>
      </w:r>
      <w:r w:rsidRPr="00576551">
        <w:rPr>
          <w:rFonts w:ascii="Garamond" w:hAnsi="Garamond"/>
          <w:sz w:val="20"/>
          <w:szCs w:val="20"/>
          <w:lang w:val="sq-AL"/>
        </w:rPr>
        <w:t xml:space="preserve"> Në vendimin nr. 13, datë 17.03.2014 Gjykata është shprehur se “</w:t>
      </w:r>
      <w:r w:rsidRPr="00576551">
        <w:rPr>
          <w:rFonts w:ascii="Garamond" w:hAnsi="Garamond"/>
          <w:i/>
          <w:sz w:val="20"/>
          <w:szCs w:val="20"/>
          <w:lang w:val="sq-AL"/>
        </w:rPr>
        <w:t xml:space="preserve">vendimet e gjykatave të faktit nuk kanë arsyetuar me qartësi lidhur me këto dy aspekte të bashkimit të dënimeve, me momentin që kërkuesi ka kryer veprën e dytë penale, i cili përcakton dhe mënyrën e llogaritjes së vuajtjes së dënimit përfundimtar .. </w:t>
      </w:r>
      <w:r w:rsidRPr="00576551">
        <w:rPr>
          <w:rFonts w:ascii="Garamond" w:hAnsi="Garamond"/>
          <w:sz w:val="20"/>
          <w:szCs w:val="20"/>
          <w:lang w:val="sq-AL"/>
        </w:rPr>
        <w:t>si dhe</w:t>
      </w:r>
      <w:r w:rsidRPr="00576551">
        <w:rPr>
          <w:rFonts w:ascii="Garamond" w:hAnsi="Garamond"/>
          <w:i/>
          <w:sz w:val="20"/>
          <w:szCs w:val="20"/>
          <w:lang w:val="sq-AL"/>
        </w:rPr>
        <w:t xml:space="preserve"> ... në lidhje me kohën që të pandehurit i ngelet akoma për të vuajtur. Këto të meta </w:t>
      </w:r>
      <w:r w:rsidRPr="00576551">
        <w:rPr>
          <w:rFonts w:ascii="Garamond" w:hAnsi="Garamond"/>
          <w:bCs/>
          <w:i/>
          <w:sz w:val="20"/>
          <w:szCs w:val="20"/>
          <w:lang w:val="sq-AL"/>
        </w:rPr>
        <w:t>nuk janë riparuar as nga Gjykata e Lartë,</w:t>
      </w:r>
      <w:r w:rsidRPr="00576551">
        <w:rPr>
          <w:rFonts w:ascii="Garamond" w:hAnsi="Garamond"/>
          <w:i/>
          <w:sz w:val="20"/>
          <w:szCs w:val="20"/>
          <w:lang w:val="sq-AL"/>
        </w:rPr>
        <w:t xml:space="preserve"> për më tepër kur kërkuesi ka pretenduar se në kundërshtim me nenin 55/2 të KP-së, është kapërcyer kufiri më i lartë i parashikuar për llojin e dënimit të dhënë kërkuesit (dënimi maksimal i parashikuar në nenin 140 të KP-së është 20 vjet burgim). (...) Kjo e metë, gjithashtu, bie ndesh me thelbin e së drejtës, për faktin se vendimet e gjykatave të faktit të lartpërmendura, duke korrigjuar pas një harku kohor prej 3 vjetësh një vendim të formës së prerë, kanë rënduar pozitën e të pandehurit, i cili kishte krijuar pritshmëri të ligjshme në lidhje me kohëzgjatjen e dënimit përfundimtar</w:t>
      </w:r>
      <w:r w:rsidRPr="00576551">
        <w:rPr>
          <w:rFonts w:ascii="Garamond" w:hAnsi="Garamond"/>
          <w:sz w:val="20"/>
          <w:szCs w:val="20"/>
          <w:lang w:val="sq-AL"/>
        </w:rPr>
        <w:t>” (shih paragrafët 24 – 25 të vendimit).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8762D"/>
    <w:rsid w:val="00013606"/>
    <w:rsid w:val="00032E53"/>
    <w:rsid w:val="001D125B"/>
    <w:rsid w:val="0028762D"/>
    <w:rsid w:val="002C0AA4"/>
    <w:rsid w:val="002E7553"/>
    <w:rsid w:val="00332E0F"/>
    <w:rsid w:val="00372C77"/>
    <w:rsid w:val="00455FC5"/>
    <w:rsid w:val="004A4709"/>
    <w:rsid w:val="00627136"/>
    <w:rsid w:val="006815F0"/>
    <w:rsid w:val="007A33AA"/>
    <w:rsid w:val="00856DCD"/>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62D"/>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8762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8762D"/>
    <w:rPr>
      <w:rFonts w:ascii="Garamond" w:eastAsia="MS Mincho" w:hAnsi="Garamond" w:cs="CG Times"/>
      <w:sz w:val="24"/>
    </w:rPr>
  </w:style>
  <w:style w:type="paragraph" w:customStyle="1" w:styleId="Hapesira7">
    <w:name w:val="Hapesira 7"/>
    <w:basedOn w:val="Paragrafi"/>
    <w:qFormat/>
    <w:rsid w:val="0028762D"/>
    <w:rPr>
      <w:sz w:val="14"/>
      <w:szCs w:val="24"/>
    </w:rPr>
  </w:style>
  <w:style w:type="table" w:styleId="TableGrid">
    <w:name w:val="Table Grid"/>
    <w:basedOn w:val="TableNormal"/>
    <w:rsid w:val="0028762D"/>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8762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876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28762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3767</Words>
  <Characters>21472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2019-01-29T13:51:00Z</cp:lastPrinted>
  <dcterms:created xsi:type="dcterms:W3CDTF">2015-04-24T08:10:00Z</dcterms:created>
  <dcterms:modified xsi:type="dcterms:W3CDTF">2019-01-29T13:51:00Z</dcterms:modified>
</cp:coreProperties>
</file>