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02D" w:rsidRPr="00E8113C" w:rsidRDefault="009C502D" w:rsidP="009C502D">
      <w:pPr>
        <w:pStyle w:val="Akti"/>
        <w:rPr>
          <w:lang w:val="sq-AL"/>
        </w:rPr>
      </w:pPr>
      <w:r w:rsidRPr="00E8113C">
        <w:rPr>
          <w:lang w:val="sq-AL"/>
        </w:rPr>
        <w:t>VENDIM</w:t>
      </w:r>
    </w:p>
    <w:p w:rsidR="009C502D" w:rsidRPr="00E8113C" w:rsidRDefault="009C502D" w:rsidP="009C502D">
      <w:pPr>
        <w:pStyle w:val="NumriData"/>
        <w:rPr>
          <w:lang w:val="sq-AL"/>
        </w:rPr>
      </w:pPr>
      <w:r w:rsidRPr="00E8113C">
        <w:rPr>
          <w:lang w:val="sq-AL"/>
        </w:rPr>
        <w:t>Nr.</w:t>
      </w:r>
      <w:r>
        <w:rPr>
          <w:lang w:val="sq-AL"/>
        </w:rPr>
        <w:t xml:space="preserve"> </w:t>
      </w:r>
      <w:r w:rsidRPr="00E8113C">
        <w:rPr>
          <w:lang w:val="sq-AL"/>
        </w:rPr>
        <w:t>21, datë 16.4.2015</w:t>
      </w:r>
    </w:p>
    <w:p w:rsidR="009C502D" w:rsidRPr="00E8113C" w:rsidRDefault="009C502D" w:rsidP="009C502D">
      <w:pPr>
        <w:pStyle w:val="Hapesira7"/>
        <w:rPr>
          <w:lang w:val="sq-AL"/>
        </w:rPr>
      </w:pPr>
    </w:p>
    <w:p w:rsidR="009C502D" w:rsidRPr="00E8113C" w:rsidRDefault="009C502D" w:rsidP="009C502D">
      <w:pPr>
        <w:pStyle w:val="Titulli"/>
        <w:rPr>
          <w:lang w:val="sq-AL"/>
        </w:rPr>
      </w:pPr>
      <w:r w:rsidRPr="00E8113C">
        <w:rPr>
          <w:lang w:val="sq-AL"/>
        </w:rPr>
        <w:t>NË EMËR TË REPUBLIKËS SË SHQIPËRISË</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Gjykata Kushtetuese e Republikës së Shqipërisë, e përbërë nga:</w:t>
      </w:r>
    </w:p>
    <w:p w:rsidR="009C502D" w:rsidRPr="00E8113C" w:rsidRDefault="009C502D" w:rsidP="009C502D">
      <w:pPr>
        <w:pStyle w:val="Paragrafi"/>
        <w:ind w:firstLine="0"/>
        <w:rPr>
          <w:lang w:val="sq-AL"/>
        </w:rPr>
      </w:pPr>
      <w:r>
        <w:rPr>
          <w:lang w:val="sq-AL"/>
        </w:rPr>
        <w:t>Bashkim Dedja</w:t>
      </w:r>
      <w:r>
        <w:rPr>
          <w:lang w:val="sq-AL"/>
        </w:rPr>
        <w:tab/>
        <w:t xml:space="preserve"> </w:t>
      </w:r>
      <w:r w:rsidRPr="00E8113C">
        <w:rPr>
          <w:lang w:val="sq-AL"/>
        </w:rPr>
        <w:t>kryetar</w:t>
      </w:r>
      <w:r>
        <w:rPr>
          <w:lang w:val="sq-AL"/>
        </w:rPr>
        <w:t xml:space="preserve"> </w:t>
      </w:r>
      <w:r w:rsidRPr="00E8113C">
        <w:rPr>
          <w:lang w:val="sq-AL"/>
        </w:rPr>
        <w:t>i Gjykatës Kushtetuese</w:t>
      </w:r>
    </w:p>
    <w:p w:rsidR="009C502D" w:rsidRPr="00E8113C" w:rsidRDefault="009C502D" w:rsidP="009C502D">
      <w:pPr>
        <w:pStyle w:val="Paragrafi"/>
        <w:ind w:firstLine="0"/>
        <w:rPr>
          <w:lang w:val="sq-AL"/>
        </w:rPr>
      </w:pPr>
      <w:r w:rsidRPr="00E8113C">
        <w:rPr>
          <w:lang w:val="sq-AL"/>
        </w:rPr>
        <w:t>Sokol Berberi</w:t>
      </w:r>
      <w:r w:rsidRPr="00E8113C">
        <w:rPr>
          <w:lang w:val="sq-AL"/>
        </w:rPr>
        <w:tab/>
      </w:r>
      <w:r w:rsidRPr="00E8113C">
        <w:rPr>
          <w:lang w:val="sq-AL"/>
        </w:rPr>
        <w:tab/>
        <w:t>anëtar</w:t>
      </w:r>
      <w:r>
        <w:rPr>
          <w:lang w:val="sq-AL"/>
        </w:rPr>
        <w:t xml:space="preserve"> </w:t>
      </w:r>
      <w:r w:rsidRPr="00E8113C">
        <w:rPr>
          <w:lang w:val="sq-AL"/>
        </w:rPr>
        <w:t xml:space="preserve"> i</w:t>
      </w:r>
      <w:r>
        <w:rPr>
          <w:lang w:val="sq-AL"/>
        </w:rPr>
        <w:t xml:space="preserve">    </w:t>
      </w:r>
      <w:r w:rsidRPr="00E8113C">
        <w:rPr>
          <w:lang w:val="sq-AL"/>
        </w:rPr>
        <w:t xml:space="preserve"> </w:t>
      </w:r>
      <w:r>
        <w:rPr>
          <w:lang w:val="sq-AL"/>
        </w:rPr>
        <w:tab/>
      </w:r>
      <w:r w:rsidRPr="00E8113C">
        <w:rPr>
          <w:lang w:val="sq-AL"/>
        </w:rPr>
        <w:t>“</w:t>
      </w:r>
      <w:r>
        <w:rPr>
          <w:lang w:val="sq-AL"/>
        </w:rPr>
        <w:t xml:space="preserve">    </w:t>
      </w:r>
      <w:r>
        <w:rPr>
          <w:lang w:val="sq-AL"/>
        </w:rPr>
        <w:tab/>
      </w:r>
      <w:r w:rsidRPr="00E8113C">
        <w:rPr>
          <w:lang w:val="sq-AL"/>
        </w:rPr>
        <w:t>“</w:t>
      </w:r>
    </w:p>
    <w:p w:rsidR="009C502D" w:rsidRPr="00E8113C" w:rsidRDefault="009C502D" w:rsidP="009C502D">
      <w:pPr>
        <w:pStyle w:val="Paragrafi"/>
        <w:ind w:firstLine="0"/>
        <w:rPr>
          <w:lang w:val="sq-AL"/>
        </w:rPr>
      </w:pPr>
      <w:r w:rsidRPr="00E8113C">
        <w:rPr>
          <w:lang w:val="sq-AL"/>
        </w:rPr>
        <w:t>Vitore Tusha</w:t>
      </w:r>
      <w:r w:rsidRPr="00E8113C">
        <w:rPr>
          <w:lang w:val="sq-AL"/>
        </w:rPr>
        <w:tab/>
      </w:r>
      <w:r w:rsidRPr="00E8113C">
        <w:rPr>
          <w:lang w:val="sq-AL"/>
        </w:rPr>
        <w:tab/>
        <w:t xml:space="preserve">anëtare </w:t>
      </w:r>
      <w:r>
        <w:rPr>
          <w:lang w:val="sq-AL"/>
        </w:rPr>
        <w:t>e</w:t>
      </w:r>
      <w:r>
        <w:rPr>
          <w:lang w:val="sq-AL"/>
        </w:rPr>
        <w:tab/>
        <w:t xml:space="preserve">“  </w:t>
      </w:r>
      <w:r>
        <w:rPr>
          <w:lang w:val="sq-AL"/>
        </w:rPr>
        <w:tab/>
      </w:r>
      <w:r w:rsidRPr="00E8113C">
        <w:rPr>
          <w:lang w:val="sq-AL"/>
        </w:rPr>
        <w:t>“</w:t>
      </w:r>
    </w:p>
    <w:p w:rsidR="009C502D" w:rsidRPr="00E8113C" w:rsidRDefault="009C502D" w:rsidP="009C502D">
      <w:pPr>
        <w:pStyle w:val="Paragrafi"/>
        <w:ind w:firstLine="0"/>
        <w:rPr>
          <w:lang w:val="sq-AL"/>
        </w:rPr>
      </w:pPr>
      <w:r w:rsidRPr="00E8113C">
        <w:rPr>
          <w:lang w:val="sq-AL"/>
        </w:rPr>
        <w:t>Altina Xhoxhaj</w:t>
      </w:r>
      <w:r w:rsidRPr="00E8113C">
        <w:rPr>
          <w:lang w:val="sq-AL"/>
        </w:rPr>
        <w:tab/>
      </w:r>
      <w:r w:rsidRPr="00E8113C">
        <w:rPr>
          <w:lang w:val="sq-AL"/>
        </w:rPr>
        <w:tab/>
        <w:t>anëtare e</w:t>
      </w:r>
      <w:r w:rsidRPr="00E8113C">
        <w:rPr>
          <w:lang w:val="sq-AL"/>
        </w:rPr>
        <w:tab/>
        <w:t>“</w:t>
      </w:r>
      <w:r w:rsidRPr="00E8113C">
        <w:rPr>
          <w:lang w:val="sq-AL"/>
        </w:rPr>
        <w:tab/>
        <w:t xml:space="preserve">“ </w:t>
      </w:r>
    </w:p>
    <w:p w:rsidR="009C502D" w:rsidRPr="00E8113C" w:rsidRDefault="009C502D" w:rsidP="009C502D">
      <w:pPr>
        <w:pStyle w:val="Paragrafi"/>
        <w:ind w:firstLine="0"/>
        <w:rPr>
          <w:lang w:val="sq-AL"/>
        </w:rPr>
      </w:pPr>
      <w:r w:rsidRPr="00E8113C">
        <w:rPr>
          <w:lang w:val="sq-AL"/>
        </w:rPr>
        <w:t>Fatmir Hoxha</w:t>
      </w:r>
      <w:r>
        <w:rPr>
          <w:lang w:val="sq-AL"/>
        </w:rPr>
        <w:t xml:space="preserve">        </w:t>
      </w:r>
      <w:r w:rsidRPr="00E8113C">
        <w:rPr>
          <w:lang w:val="sq-AL"/>
        </w:rPr>
        <w:t xml:space="preserve"> </w:t>
      </w:r>
      <w:r>
        <w:rPr>
          <w:lang w:val="sq-AL"/>
        </w:rPr>
        <w:tab/>
      </w:r>
      <w:r w:rsidRPr="00E8113C">
        <w:rPr>
          <w:lang w:val="sq-AL"/>
        </w:rPr>
        <w:t>anëtar</w:t>
      </w:r>
      <w:r>
        <w:rPr>
          <w:lang w:val="sq-AL"/>
        </w:rPr>
        <w:t xml:space="preserve"> </w:t>
      </w:r>
      <w:r w:rsidRPr="00E8113C">
        <w:rPr>
          <w:lang w:val="sq-AL"/>
        </w:rPr>
        <w:t xml:space="preserve"> i</w:t>
      </w:r>
      <w:r>
        <w:rPr>
          <w:lang w:val="sq-AL"/>
        </w:rPr>
        <w:t xml:space="preserve">    </w:t>
      </w:r>
      <w:r w:rsidRPr="00E8113C">
        <w:rPr>
          <w:lang w:val="sq-AL"/>
        </w:rPr>
        <w:t xml:space="preserve"> </w:t>
      </w:r>
      <w:r>
        <w:rPr>
          <w:lang w:val="sq-AL"/>
        </w:rPr>
        <w:tab/>
      </w:r>
      <w:r w:rsidRPr="00E8113C">
        <w:rPr>
          <w:lang w:val="sq-AL"/>
        </w:rPr>
        <w:t>“</w:t>
      </w:r>
      <w:r>
        <w:rPr>
          <w:lang w:val="sq-AL"/>
        </w:rPr>
        <w:t xml:space="preserve">     </w:t>
      </w:r>
      <w:r w:rsidRPr="00E8113C">
        <w:rPr>
          <w:lang w:val="sq-AL"/>
        </w:rPr>
        <w:t xml:space="preserve"> </w:t>
      </w:r>
      <w:r>
        <w:rPr>
          <w:lang w:val="sq-AL"/>
        </w:rPr>
        <w:tab/>
      </w:r>
      <w:r w:rsidRPr="00E8113C">
        <w:rPr>
          <w:lang w:val="sq-AL"/>
        </w:rPr>
        <w:t>“</w:t>
      </w:r>
    </w:p>
    <w:p w:rsidR="009C502D" w:rsidRPr="00E8113C" w:rsidRDefault="009C502D" w:rsidP="009C502D">
      <w:pPr>
        <w:pStyle w:val="Paragrafi"/>
        <w:ind w:firstLine="0"/>
        <w:rPr>
          <w:lang w:val="sq-AL"/>
        </w:rPr>
      </w:pPr>
      <w:r w:rsidRPr="00E8113C">
        <w:rPr>
          <w:lang w:val="sq-AL"/>
        </w:rPr>
        <w:t>Gani Dizdari</w:t>
      </w:r>
      <w:r>
        <w:rPr>
          <w:lang w:val="sq-AL"/>
        </w:rPr>
        <w:t xml:space="preserve">        </w:t>
      </w:r>
      <w:r w:rsidRPr="00E8113C">
        <w:rPr>
          <w:lang w:val="sq-AL"/>
        </w:rPr>
        <w:t xml:space="preserve"> </w:t>
      </w:r>
      <w:r w:rsidRPr="00E8113C">
        <w:rPr>
          <w:lang w:val="sq-AL"/>
        </w:rPr>
        <w:tab/>
        <w:t>anëtar</w:t>
      </w:r>
      <w:r>
        <w:rPr>
          <w:lang w:val="sq-AL"/>
        </w:rPr>
        <w:t xml:space="preserve"> </w:t>
      </w:r>
      <w:r w:rsidRPr="00E8113C">
        <w:rPr>
          <w:lang w:val="sq-AL"/>
        </w:rPr>
        <w:t xml:space="preserve"> i</w:t>
      </w:r>
      <w:r>
        <w:rPr>
          <w:lang w:val="sq-AL"/>
        </w:rPr>
        <w:t xml:space="preserve">    </w:t>
      </w:r>
      <w:r w:rsidRPr="00E8113C">
        <w:rPr>
          <w:lang w:val="sq-AL"/>
        </w:rPr>
        <w:t xml:space="preserve"> </w:t>
      </w:r>
      <w:r>
        <w:rPr>
          <w:lang w:val="sq-AL"/>
        </w:rPr>
        <w:tab/>
      </w:r>
      <w:r w:rsidRPr="00E8113C">
        <w:rPr>
          <w:lang w:val="sq-AL"/>
        </w:rPr>
        <w:t>“</w:t>
      </w:r>
      <w:r>
        <w:rPr>
          <w:lang w:val="sq-AL"/>
        </w:rPr>
        <w:t xml:space="preserve">    </w:t>
      </w:r>
      <w:r>
        <w:rPr>
          <w:lang w:val="sq-AL"/>
        </w:rPr>
        <w:tab/>
      </w:r>
      <w:r w:rsidRPr="00E8113C">
        <w:rPr>
          <w:lang w:val="sq-AL"/>
        </w:rPr>
        <w:t>“</w:t>
      </w:r>
    </w:p>
    <w:p w:rsidR="009C502D" w:rsidRPr="00E8113C" w:rsidRDefault="009C502D" w:rsidP="009C502D">
      <w:pPr>
        <w:pStyle w:val="Paragrafi"/>
        <w:ind w:firstLine="0"/>
        <w:rPr>
          <w:lang w:val="sq-AL"/>
        </w:rPr>
      </w:pPr>
      <w:r>
        <w:rPr>
          <w:lang w:val="sq-AL"/>
        </w:rPr>
        <w:t xml:space="preserve">Vladimir Kristo </w:t>
      </w:r>
      <w:r>
        <w:rPr>
          <w:lang w:val="sq-AL"/>
        </w:rPr>
        <w:tab/>
      </w:r>
      <w:r w:rsidRPr="00E8113C">
        <w:rPr>
          <w:lang w:val="sq-AL"/>
        </w:rPr>
        <w:t>anëtar</w:t>
      </w:r>
      <w:r>
        <w:rPr>
          <w:lang w:val="sq-AL"/>
        </w:rPr>
        <w:t xml:space="preserve"> </w:t>
      </w:r>
      <w:r w:rsidRPr="00E8113C">
        <w:rPr>
          <w:lang w:val="sq-AL"/>
        </w:rPr>
        <w:t xml:space="preserve"> i</w:t>
      </w:r>
      <w:r>
        <w:rPr>
          <w:lang w:val="sq-AL"/>
        </w:rPr>
        <w:t xml:space="preserve">    </w:t>
      </w:r>
      <w:r w:rsidRPr="00E8113C">
        <w:rPr>
          <w:lang w:val="sq-AL"/>
        </w:rPr>
        <w:t xml:space="preserve"> </w:t>
      </w:r>
      <w:r>
        <w:rPr>
          <w:lang w:val="sq-AL"/>
        </w:rPr>
        <w:tab/>
      </w:r>
      <w:r w:rsidRPr="00E8113C">
        <w:rPr>
          <w:lang w:val="sq-AL"/>
        </w:rPr>
        <w:t>“</w:t>
      </w:r>
      <w:r>
        <w:rPr>
          <w:lang w:val="sq-AL"/>
        </w:rPr>
        <w:t xml:space="preserve">    </w:t>
      </w:r>
      <w:r>
        <w:rPr>
          <w:lang w:val="sq-AL"/>
        </w:rPr>
        <w:tab/>
      </w:r>
      <w:r w:rsidRPr="00E8113C">
        <w:rPr>
          <w:lang w:val="sq-AL"/>
        </w:rPr>
        <w:t>“</w:t>
      </w:r>
    </w:p>
    <w:p w:rsidR="009C502D" w:rsidRPr="00E8113C" w:rsidRDefault="009C502D" w:rsidP="009C502D">
      <w:pPr>
        <w:pStyle w:val="Paragrafi"/>
        <w:rPr>
          <w:lang w:val="sq-AL"/>
        </w:rPr>
      </w:pPr>
      <w:r w:rsidRPr="00E8113C">
        <w:rPr>
          <w:lang w:val="sq-AL"/>
        </w:rPr>
        <w:t>me sekre</w:t>
      </w:r>
      <w:r>
        <w:rPr>
          <w:lang w:val="sq-AL"/>
        </w:rPr>
        <w:t>tare Edmira Babaj, në datën 10.</w:t>
      </w:r>
      <w:r w:rsidRPr="00E8113C">
        <w:rPr>
          <w:lang w:val="sq-AL"/>
        </w:rPr>
        <w:t>3.2015 mori në shqyrtim në seancë plenare, mbi bazë dokumentesh, çështjen nr. 6 Akti, që i përket:</w:t>
      </w:r>
    </w:p>
    <w:p w:rsidR="009C502D" w:rsidRPr="00E8113C" w:rsidRDefault="009C502D" w:rsidP="009C502D">
      <w:pPr>
        <w:pStyle w:val="Paragrafi"/>
        <w:rPr>
          <w:lang w:val="sq-AL"/>
        </w:rPr>
      </w:pPr>
      <w:r w:rsidRPr="00E8113C">
        <w:rPr>
          <w:lang w:val="sq-AL"/>
        </w:rPr>
        <w:t>KËRKUES: Halit Hoxha, Xhevdet Hoxha, Zija Hoxha, Razije Hoxha</w:t>
      </w:r>
    </w:p>
    <w:p w:rsidR="009C502D" w:rsidRPr="00E8113C" w:rsidRDefault="009C502D" w:rsidP="009C502D">
      <w:pPr>
        <w:pStyle w:val="Paragrafi"/>
        <w:rPr>
          <w:lang w:val="sq-AL"/>
        </w:rPr>
      </w:pPr>
      <w:r w:rsidRPr="00E8113C">
        <w:rPr>
          <w:lang w:val="sq-AL"/>
        </w:rPr>
        <w:t>SUBJEKT I INTERESUAR: shoqëria “Filanto Albania” sh.p.k., përfaqësuar nga avokat Artan Hajdari dhe Envi Hicka, me autorizim.</w:t>
      </w:r>
    </w:p>
    <w:p w:rsidR="009C502D" w:rsidRPr="00E8113C" w:rsidRDefault="009C502D" w:rsidP="009C502D">
      <w:pPr>
        <w:pStyle w:val="Paragrafi"/>
        <w:rPr>
          <w:lang w:val="sq-AL"/>
        </w:rPr>
      </w:pPr>
      <w:r w:rsidRPr="00E8113C">
        <w:rPr>
          <w:lang w:val="sq-AL"/>
        </w:rPr>
        <w:t xml:space="preserve">OBJEKTI: </w:t>
      </w:r>
      <w:r w:rsidRPr="00E8113C">
        <w:rPr>
          <w:lang w:val="sq-AL"/>
        </w:rPr>
        <w:tab/>
        <w:t>Shfuqizimi si të papajtueshme me Kushtetutën e Republikës së Shqipërisë i vendim</w:t>
      </w:r>
      <w:r>
        <w:rPr>
          <w:lang w:val="sq-AL"/>
        </w:rPr>
        <w:t>eve nr. 10-2012-219 (132), datë 8.</w:t>
      </w:r>
      <w:r w:rsidRPr="00E8113C">
        <w:rPr>
          <w:lang w:val="sq-AL"/>
        </w:rPr>
        <w:t>2.2012</w:t>
      </w:r>
      <w:r>
        <w:rPr>
          <w:lang w:val="sq-AL"/>
        </w:rPr>
        <w:t>,</w:t>
      </w:r>
      <w:r w:rsidRPr="00E8113C">
        <w:rPr>
          <w:lang w:val="sq-AL"/>
        </w:rPr>
        <w:t xml:space="preserve"> i</w:t>
      </w:r>
      <w:r>
        <w:rPr>
          <w:lang w:val="sq-AL"/>
        </w:rPr>
        <w:t xml:space="preserve"> </w:t>
      </w:r>
      <w:r w:rsidRPr="00E8113C">
        <w:rPr>
          <w:lang w:val="sq-AL"/>
        </w:rPr>
        <w:t>Gjykatës së Apelit Durrës dhe nr.</w:t>
      </w:r>
      <w:r>
        <w:rPr>
          <w:lang w:val="sq-AL"/>
        </w:rPr>
        <w:t xml:space="preserve"> </w:t>
      </w:r>
      <w:r w:rsidRPr="00E8113C">
        <w:rPr>
          <w:lang w:val="sq-AL"/>
        </w:rPr>
        <w:t>00-2012-2437, datë 22.11.2012</w:t>
      </w:r>
      <w:r>
        <w:rPr>
          <w:lang w:val="sq-AL"/>
        </w:rPr>
        <w:t>,</w:t>
      </w:r>
      <w:r w:rsidRPr="00E8113C">
        <w:rPr>
          <w:lang w:val="sq-AL"/>
        </w:rPr>
        <w:t xml:space="preserve"> të Kolegjit Civil të Gjykatës së Lartë (dhomë këshillimi). </w:t>
      </w:r>
    </w:p>
    <w:p w:rsidR="009C502D" w:rsidRPr="00E8113C" w:rsidRDefault="009C502D" w:rsidP="009C502D">
      <w:pPr>
        <w:pStyle w:val="Paragrafi"/>
        <w:rPr>
          <w:lang w:val="sq-AL"/>
        </w:rPr>
      </w:pPr>
      <w:r w:rsidRPr="00E8113C">
        <w:rPr>
          <w:lang w:val="sq-AL"/>
        </w:rPr>
        <w:t>BAZA LIGJORE:</w:t>
      </w:r>
      <w:r w:rsidRPr="00E8113C">
        <w:rPr>
          <w:lang w:val="sq-AL"/>
        </w:rPr>
        <w:tab/>
        <w:t>Nenet 31, 32, 42/2, 131/f dhe 134/1/g të Kushtetutës së Republikës së Shqipërisë; neni 6/1/3/b/c i Konventës Evropiane për të Drejtat e Njeriut (KEDNJ); neni 1, protokolli shtojcë nr. 1 i Konventës; nenet 28, 29, 30, 39, 42 e vijues të ligji nr.</w:t>
      </w:r>
      <w:r>
        <w:rPr>
          <w:lang w:val="sq-AL"/>
        </w:rPr>
        <w:t xml:space="preserve"> 8577, datë 10.</w:t>
      </w:r>
      <w:r w:rsidRPr="00E8113C">
        <w:rPr>
          <w:lang w:val="sq-AL"/>
        </w:rPr>
        <w:t>2.2000 “Për organizimin dhe funksionimin e Gjykatës Kushtetuese të Republikës së Shqipërisë”.</w:t>
      </w:r>
    </w:p>
    <w:p w:rsidR="009C502D" w:rsidRPr="00E8113C" w:rsidRDefault="009C502D" w:rsidP="009C502D">
      <w:pPr>
        <w:pStyle w:val="Hapesira7"/>
        <w:rPr>
          <w:lang w:val="sq-AL"/>
        </w:rPr>
      </w:pPr>
      <w:r w:rsidRPr="00E8113C">
        <w:rPr>
          <w:lang w:val="sq-AL"/>
        </w:rPr>
        <w:tab/>
      </w:r>
    </w:p>
    <w:p w:rsidR="009C502D" w:rsidRPr="00E8113C" w:rsidRDefault="009C502D" w:rsidP="009C502D">
      <w:pPr>
        <w:pStyle w:val="Titull-Titull"/>
        <w:rPr>
          <w:lang w:val="sq-AL"/>
        </w:rPr>
      </w:pPr>
      <w:r w:rsidRPr="00E8113C">
        <w:rPr>
          <w:lang w:val="sq-AL"/>
        </w:rPr>
        <w:t>GJYKATA KUSHTETUESE,</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pasi dëgjoi relatorin e çështjes, Vladimir Kristo, mori në shqyrtim pretendimet me shkrim të kërkuesve, që janë shprehur për pranimin e kërkesës, prapësimet e subjektit të interesuar, që ka kërkuar rrëzimin e kërkesës, dhe diskutoi çështjen në tërësi,</w:t>
      </w:r>
    </w:p>
    <w:p w:rsidR="009C502D" w:rsidRPr="00E8113C" w:rsidRDefault="009C502D" w:rsidP="009C502D">
      <w:pPr>
        <w:pStyle w:val="Hapesira7"/>
        <w:rPr>
          <w:lang w:val="sq-AL"/>
        </w:rPr>
      </w:pPr>
    </w:p>
    <w:p w:rsidR="009C502D" w:rsidRPr="00E8113C" w:rsidRDefault="009C502D" w:rsidP="009C502D">
      <w:pPr>
        <w:pStyle w:val="Vendosi"/>
        <w:rPr>
          <w:lang w:val="sq-AL"/>
        </w:rPr>
      </w:pPr>
      <w:r w:rsidRPr="00E8113C">
        <w:rPr>
          <w:lang w:val="sq-AL"/>
        </w:rPr>
        <w:t>VËREN:</w:t>
      </w:r>
    </w:p>
    <w:p w:rsidR="009C502D" w:rsidRPr="003340CD" w:rsidRDefault="009C502D" w:rsidP="009C502D">
      <w:pPr>
        <w:pStyle w:val="Vendosi"/>
        <w:rPr>
          <w:b/>
          <w:sz w:val="14"/>
          <w:lang w:val="sq-AL"/>
        </w:rPr>
      </w:pPr>
    </w:p>
    <w:p w:rsidR="009C502D" w:rsidRPr="009A548F" w:rsidRDefault="009C502D" w:rsidP="009C502D">
      <w:pPr>
        <w:pStyle w:val="Vendosi"/>
        <w:rPr>
          <w:b/>
          <w:lang w:val="sq-AL"/>
        </w:rPr>
      </w:pPr>
      <w:r w:rsidRPr="009A548F">
        <w:rPr>
          <w:b/>
          <w:lang w:val="sq-AL"/>
        </w:rPr>
        <w:t>I</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1. Në datë 22.12.1994 ndërmjet shtetasit Fadil Hoxha, trashëgimlënës i kërkuesve, në cilësinë e shitësit, dhe subjektit të interesuar, shoqëria “Qendra e Përpunimit të Lëkurëve Shijak” sh.p.k., sot e regjistruar me emërtimin “Filanto Albania” sh.p.k., në cilësinë e blerësit, është nënshkruar një kontratë shitblerje nr.</w:t>
      </w:r>
      <w:r>
        <w:rPr>
          <w:lang w:val="sq-AL"/>
        </w:rPr>
        <w:t xml:space="preserve"> </w:t>
      </w:r>
      <w:r w:rsidRPr="00E8113C">
        <w:rPr>
          <w:lang w:val="sq-AL"/>
        </w:rPr>
        <w:t>2093 Rep., nr.1391 Kol., për pronën me sipërfaqe 15.500 m</w:t>
      </w:r>
      <w:r w:rsidRPr="00C11A19">
        <w:rPr>
          <w:vertAlign w:val="superscript"/>
          <w:lang w:val="sq-AL"/>
        </w:rPr>
        <w:t>2</w:t>
      </w:r>
      <w:r w:rsidRPr="00E8113C">
        <w:rPr>
          <w:lang w:val="sq-AL"/>
        </w:rPr>
        <w:t>, tokë arë, e ndodhur në komunën Xhafzotaj, qarku Durrës.</w:t>
      </w:r>
      <w:r>
        <w:rPr>
          <w:lang w:val="sq-AL"/>
        </w:rPr>
        <w:t xml:space="preserve"> </w:t>
      </w:r>
    </w:p>
    <w:p w:rsidR="009C502D" w:rsidRPr="00E8113C" w:rsidRDefault="009C502D" w:rsidP="009C502D">
      <w:pPr>
        <w:pStyle w:val="Paragrafi"/>
        <w:rPr>
          <w:lang w:val="sq-AL"/>
        </w:rPr>
      </w:pPr>
      <w:r w:rsidRPr="00E8113C">
        <w:rPr>
          <w:lang w:val="sq-AL"/>
        </w:rPr>
        <w:t>2. Prona në fjalë e ka origjinën nga procesi i ndarjes së tokës sipas ligjit nr. 75</w:t>
      </w:r>
      <w:r>
        <w:rPr>
          <w:lang w:val="sq-AL"/>
        </w:rPr>
        <w:t>01, datë 19.</w:t>
      </w:r>
      <w:r w:rsidRPr="00E8113C">
        <w:rPr>
          <w:lang w:val="sq-AL"/>
        </w:rPr>
        <w:t>7.1991</w:t>
      </w:r>
      <w:r>
        <w:rPr>
          <w:lang w:val="sq-AL"/>
        </w:rPr>
        <w:t>,</w:t>
      </w:r>
      <w:r w:rsidRPr="00E8113C">
        <w:rPr>
          <w:lang w:val="sq-AL"/>
        </w:rPr>
        <w:t xml:space="preserve"> “Për tokën”, çka rezulton e provuar me aktin e marrjes së tokës në pronësi nr.</w:t>
      </w:r>
      <w:r>
        <w:rPr>
          <w:lang w:val="sq-AL"/>
        </w:rPr>
        <w:t xml:space="preserve"> 41, datë 21.</w:t>
      </w:r>
      <w:r w:rsidRPr="00E8113C">
        <w:rPr>
          <w:lang w:val="sq-AL"/>
        </w:rPr>
        <w:t xml:space="preserve">2.1994. Shitësi, shtetasi Fadil Hoxha, në atë kohë ishte kryetar i familjes bujqësore. </w:t>
      </w:r>
    </w:p>
    <w:p w:rsidR="009C502D" w:rsidRPr="00E8113C" w:rsidRDefault="009C502D" w:rsidP="009C502D">
      <w:pPr>
        <w:pStyle w:val="Paragrafi"/>
        <w:rPr>
          <w:lang w:val="sq-AL"/>
        </w:rPr>
      </w:pPr>
      <w:r w:rsidRPr="00E8113C">
        <w:rPr>
          <w:lang w:val="sq-AL"/>
        </w:rPr>
        <w:t>3. Në momentin e shitjes sipërfaqja në fjalë i është dorëzuar subjektit të interesuar. Ky i fundit mbi këtë pronë ka ndërtuar një fabrikë për prodhimin e këpucëve, në të cilën vazhdon aktivitetin e tij të prodhimit. Objekti është ndërtuar me leje ndërtimi, sipas procedurave përkatëse të përcaktuara në ligj, pasi është bërë më parë ndryshimi i destinacionit nga tokë bujqësore në tokë trua</w:t>
      </w:r>
      <w:r>
        <w:rPr>
          <w:lang w:val="sq-AL"/>
        </w:rPr>
        <w:t>ll (me vendimet nr. 3, datë 13.</w:t>
      </w:r>
      <w:r w:rsidRPr="00E8113C">
        <w:rPr>
          <w:lang w:val="sq-AL"/>
        </w:rPr>
        <w:t>4.1994 të KRRT</w:t>
      </w:r>
      <w:r>
        <w:rPr>
          <w:lang w:val="sq-AL"/>
        </w:rPr>
        <w:t>-së Durrës dhe nr. 19, datë 10.</w:t>
      </w:r>
      <w:r w:rsidRPr="00E8113C">
        <w:rPr>
          <w:lang w:val="sq-AL"/>
        </w:rPr>
        <w:t>6.1994 të KRRTRSH-së).</w:t>
      </w:r>
    </w:p>
    <w:p w:rsidR="009C502D" w:rsidRPr="00E8113C" w:rsidRDefault="009C502D" w:rsidP="009C502D">
      <w:pPr>
        <w:pStyle w:val="Paragrafi"/>
        <w:rPr>
          <w:lang w:val="sq-AL"/>
        </w:rPr>
      </w:pPr>
      <w:r w:rsidRPr="00E8113C">
        <w:rPr>
          <w:lang w:val="sq-AL"/>
        </w:rPr>
        <w:t xml:space="preserve">4. Subjekti i interesuar nuk ka mundur ta regjistrojë pronën në Zyrën Vendore të Regjistrimit të </w:t>
      </w:r>
      <w:r w:rsidRPr="00E8113C">
        <w:rPr>
          <w:lang w:val="sq-AL"/>
        </w:rPr>
        <w:lastRenderedPageBreak/>
        <w:t>Pasurive të Paluajtshme (ZVRPP) Durrës në momentin e lidhjes së kontratës.</w:t>
      </w:r>
      <w:r>
        <w:rPr>
          <w:lang w:val="sq-AL"/>
        </w:rPr>
        <w:t xml:space="preserve"> </w:t>
      </w:r>
      <w:r w:rsidRPr="00E8113C">
        <w:rPr>
          <w:lang w:val="sq-AL"/>
        </w:rPr>
        <w:t xml:space="preserve">ZVRPP-ja Durrës ka refuzuar të bëjë regjistrimin, për shkak se toka objekt gjykimi ka qenë pronë e të gjithë familjes bujqësore dhe jo vetëm e shitësit dhe si pasojë kontrata e shitblerjes nuk mund të regjistrohet, pasi nuk është e nënshkruar nga të gjithë anëtarët e familjes bujqësore. </w:t>
      </w:r>
    </w:p>
    <w:p w:rsidR="009C502D" w:rsidRPr="00E8113C" w:rsidRDefault="009C502D" w:rsidP="009C502D">
      <w:pPr>
        <w:pStyle w:val="Paragrafi"/>
        <w:rPr>
          <w:lang w:val="sq-AL"/>
        </w:rPr>
      </w:pPr>
      <w:r w:rsidRPr="00E8113C">
        <w:rPr>
          <w:lang w:val="sq-AL"/>
        </w:rPr>
        <w:t>5. Në këto kushte, subjekti i interesuar, shoqëria “Filanto Albania” sh.p.k., i është drejtuar Gjykatës së Rrethit Gjyqësor Durrës me kërkesëpadi me objekt detyrimin e kërkuesve, trashëgimtarë ligjorë të zotit Fadil Hoxha, për ta njohur pronar të sipërfaqes prej 15.500 m</w:t>
      </w:r>
      <w:r w:rsidRPr="00C11A19">
        <w:rPr>
          <w:vertAlign w:val="superscript"/>
          <w:lang w:val="sq-AL"/>
        </w:rPr>
        <w:t>2</w:t>
      </w:r>
      <w:r w:rsidRPr="00E8113C">
        <w:rPr>
          <w:lang w:val="sq-AL"/>
        </w:rPr>
        <w:t xml:space="preserve"> nëpërmjet fitimit të pronësisë me parashkrim fitues, sipas nenit 168 të Kodit Civil (KC). </w:t>
      </w:r>
    </w:p>
    <w:p w:rsidR="009C502D" w:rsidRPr="00E8113C" w:rsidRDefault="009C502D" w:rsidP="009C502D">
      <w:pPr>
        <w:pStyle w:val="Paragrafi"/>
        <w:rPr>
          <w:lang w:val="sq-AL"/>
        </w:rPr>
      </w:pPr>
      <w:r w:rsidRPr="00E8113C">
        <w:rPr>
          <w:lang w:val="sq-AL"/>
        </w:rPr>
        <w:t>6. Gjatë shqyrtimit gjyqësor është paraqitur nga kërkuesit kundërpadi me objekt lirimin dhe dorëzimin e sipërfaqes prej 15.200 m</w:t>
      </w:r>
      <w:r w:rsidRPr="009A548F">
        <w:rPr>
          <w:vertAlign w:val="superscript"/>
          <w:lang w:val="sq-AL"/>
        </w:rPr>
        <w:t>2</w:t>
      </w:r>
      <w:r w:rsidRPr="00E8113C">
        <w:rPr>
          <w:lang w:val="sq-AL"/>
        </w:rPr>
        <w:t xml:space="preserve">, tokë arë, për shkak se kontrata e shitblerjes së tokës ka qenë në kundërshtim me ligjin. </w:t>
      </w:r>
    </w:p>
    <w:p w:rsidR="009C502D" w:rsidRPr="00E8113C" w:rsidRDefault="009C502D" w:rsidP="009C502D">
      <w:pPr>
        <w:pStyle w:val="Paragrafi"/>
        <w:rPr>
          <w:lang w:val="sq-AL"/>
        </w:rPr>
      </w:pPr>
      <w:r w:rsidRPr="00E8113C">
        <w:rPr>
          <w:lang w:val="sq-AL"/>
        </w:rPr>
        <w:t>7. Gjykata e Rrethit Gjyqësor Durrës, me vendimin nr.</w:t>
      </w:r>
      <w:r>
        <w:rPr>
          <w:lang w:val="sq-AL"/>
        </w:rPr>
        <w:t xml:space="preserve"> </w:t>
      </w:r>
      <w:r w:rsidRPr="00E8113C">
        <w:rPr>
          <w:lang w:val="sq-AL"/>
        </w:rPr>
        <w:t xml:space="preserve">11-2010-5149 (2932), datë 11.11.2010, ka vendosur rrëzimin e kërkesëpadisë dhe kundërpadisë si të pabazuara në ligj dhe në prova. </w:t>
      </w:r>
    </w:p>
    <w:p w:rsidR="009C502D" w:rsidRPr="00E8113C" w:rsidRDefault="009C502D" w:rsidP="009C502D">
      <w:pPr>
        <w:pStyle w:val="Paragrafi"/>
        <w:rPr>
          <w:lang w:val="sq-AL"/>
        </w:rPr>
      </w:pPr>
      <w:r w:rsidRPr="00E8113C">
        <w:rPr>
          <w:lang w:val="sq-AL"/>
        </w:rPr>
        <w:t>8. Gjykata e Apelit Durrës, mbi ankimin e palëve ndërgjyqëse, me vendi</w:t>
      </w:r>
      <w:r>
        <w:rPr>
          <w:lang w:val="sq-AL"/>
        </w:rPr>
        <w:t>min nr. 10-2012-219 (132), datë 8.</w:t>
      </w:r>
      <w:r w:rsidRPr="00E8113C">
        <w:rPr>
          <w:lang w:val="sq-AL"/>
        </w:rPr>
        <w:t>2.2012, ka vendosur lënien në fuqi të vendimit të shkallës së parë lidhur me rrëzimin e kundërpadisë dhe ndryshimin e këtij vendimi për sa i përket disponimit mbi objektin e padisë, duke pranuar kërkesëpadinë e subjektit të interesuar. Gjykata e apelit arsyeton se kontrata e shitblerjes është kryer pas ndryshimit të destinacionit të pronës nga tokë bujqësore në tokë truall dhe si e tillë kjo kontratë nuk është e ndaluar nga ligji dhe nuk është pengesë për fitimin me parashkrim fitues.</w:t>
      </w:r>
      <w:r>
        <w:rPr>
          <w:lang w:val="sq-AL"/>
        </w:rPr>
        <w:t xml:space="preserve"> </w:t>
      </w:r>
      <w:r w:rsidRPr="00E8113C">
        <w:rPr>
          <w:lang w:val="sq-AL"/>
        </w:rPr>
        <w:t xml:space="preserve"> </w:t>
      </w:r>
    </w:p>
    <w:p w:rsidR="009C502D" w:rsidRPr="00E8113C" w:rsidRDefault="009C502D" w:rsidP="009C502D">
      <w:pPr>
        <w:pStyle w:val="Paragrafi"/>
        <w:rPr>
          <w:lang w:val="sq-AL"/>
        </w:rPr>
      </w:pPr>
      <w:r w:rsidRPr="00E8113C">
        <w:rPr>
          <w:lang w:val="sq-AL"/>
        </w:rPr>
        <w:t>9. Kolegji Civil i Gjykatës së Lartë, fillimish</w:t>
      </w:r>
      <w:r>
        <w:rPr>
          <w:lang w:val="sq-AL"/>
        </w:rPr>
        <w:t>t, me vendimin nr. 136, datë 13.</w:t>
      </w:r>
      <w:r w:rsidRPr="00E8113C">
        <w:rPr>
          <w:lang w:val="sq-AL"/>
        </w:rPr>
        <w:t>4.2012, ka vendosur pezullimin e ekzekutimit të vendimit nr.</w:t>
      </w:r>
      <w:r>
        <w:rPr>
          <w:lang w:val="sq-AL"/>
        </w:rPr>
        <w:t xml:space="preserve"> </w:t>
      </w:r>
      <w:r w:rsidRPr="00E8113C">
        <w:rPr>
          <w:lang w:val="sq-AL"/>
        </w:rPr>
        <w:t>11-2010-5149 (2932), datë 11.11.2010 të Gjykatës së Rrethit Gjyqësor Durrës, ndryshuar pjesërisht nga gjykata e apelit. Ndërsa me vendimin nr.</w:t>
      </w:r>
      <w:r>
        <w:rPr>
          <w:lang w:val="sq-AL"/>
        </w:rPr>
        <w:t xml:space="preserve"> </w:t>
      </w:r>
      <w:r w:rsidRPr="00E8113C">
        <w:rPr>
          <w:lang w:val="sq-AL"/>
        </w:rPr>
        <w:t xml:space="preserve">00-2014-2437, datë 22.11.2012, në dhomë këshillimi, ka vendosur mospranimin e rekursit të kërkuesve, me arsyetimin se nuk përmban shkaqe nga ato të parashikuara nga neni 472 i Kodit të Procedurës Civile (KPC). </w:t>
      </w:r>
    </w:p>
    <w:p w:rsidR="009C502D" w:rsidRDefault="009C502D" w:rsidP="009C502D">
      <w:pPr>
        <w:pStyle w:val="Vendosi"/>
        <w:rPr>
          <w:b/>
          <w:lang w:val="sq-AL"/>
        </w:rPr>
      </w:pPr>
    </w:p>
    <w:p w:rsidR="009C502D" w:rsidRPr="009A548F" w:rsidRDefault="009C502D" w:rsidP="009C502D">
      <w:pPr>
        <w:pStyle w:val="Vendosi"/>
        <w:rPr>
          <w:b/>
          <w:lang w:val="sq-AL"/>
        </w:rPr>
      </w:pPr>
      <w:r w:rsidRPr="009A548F">
        <w:rPr>
          <w:b/>
          <w:lang w:val="sq-AL"/>
        </w:rPr>
        <w:t>II</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 xml:space="preserve">10. </w:t>
      </w:r>
      <w:r w:rsidRPr="004464AB">
        <w:rPr>
          <w:b/>
          <w:i/>
          <w:lang w:val="sq-AL"/>
        </w:rPr>
        <w:t>Kërkuesit</w:t>
      </w:r>
      <w:r w:rsidRPr="00E8113C">
        <w:rPr>
          <w:lang w:val="sq-AL"/>
        </w:rPr>
        <w:t xml:space="preserve"> i janë drejtuar Gjykatës Kushtetuese (në vijim “Gjykata”), duke pretenduar shfuqizimin e vendimeve objekt kërkese. Ata kanë parashtruar në mënyrë të përmbledhur se: </w:t>
      </w:r>
    </w:p>
    <w:p w:rsidR="009C502D" w:rsidRPr="00E8113C" w:rsidRDefault="009C502D" w:rsidP="009C502D">
      <w:pPr>
        <w:pStyle w:val="Paragrafi"/>
        <w:rPr>
          <w:lang w:val="sq-AL"/>
        </w:rPr>
      </w:pPr>
      <w:r w:rsidRPr="00E8113C">
        <w:rPr>
          <w:lang w:val="sq-AL"/>
        </w:rPr>
        <w:t xml:space="preserve">10.1. Është cenuar parimi i arsyetimit të vendimit gjyqësor, sepse vendimi i gjykatës së apelit përmban kundërthënie dhe nuk ka bërë analizën e plotë të provave. </w:t>
      </w:r>
    </w:p>
    <w:p w:rsidR="009C502D" w:rsidRPr="00E8113C" w:rsidRDefault="009C502D" w:rsidP="009C502D">
      <w:pPr>
        <w:pStyle w:val="Paragrafi"/>
        <w:rPr>
          <w:lang w:val="sq-AL"/>
        </w:rPr>
      </w:pPr>
      <w:r w:rsidRPr="00E8113C">
        <w:rPr>
          <w:lang w:val="sq-AL"/>
        </w:rPr>
        <w:t>10.2. Është cenuar parimi i barazisë së armëve, pasi gjykata e apelit nuk u ka dhënë përgjigje provave të kërkuesve.</w:t>
      </w:r>
      <w:r>
        <w:rPr>
          <w:lang w:val="sq-AL"/>
        </w:rPr>
        <w:t xml:space="preserve"> </w:t>
      </w:r>
    </w:p>
    <w:p w:rsidR="009C502D" w:rsidRPr="00E8113C" w:rsidRDefault="009C502D" w:rsidP="009C502D">
      <w:pPr>
        <w:pStyle w:val="Paragrafi"/>
        <w:rPr>
          <w:lang w:val="sq-AL"/>
        </w:rPr>
      </w:pPr>
      <w:r w:rsidRPr="00E8113C">
        <w:rPr>
          <w:lang w:val="sq-AL"/>
        </w:rPr>
        <w:t>10.3. Është cenuar parimi i sigurisë juridike, pasi gjykatat e juridiksionit të zakonshëm nuk kanë përcaktuar mënyrën se si të paditurit kanë humbur të drejtën e pronësisë.</w:t>
      </w:r>
    </w:p>
    <w:p w:rsidR="009C502D" w:rsidRPr="00E8113C" w:rsidRDefault="009C502D" w:rsidP="009C502D">
      <w:pPr>
        <w:pStyle w:val="Paragrafi"/>
        <w:rPr>
          <w:lang w:val="sq-AL"/>
        </w:rPr>
      </w:pPr>
      <w:r w:rsidRPr="00E8113C">
        <w:rPr>
          <w:lang w:val="sq-AL"/>
        </w:rPr>
        <w:t xml:space="preserve">10.4. Është cenuar e drejta për të pasur një vendim gjyqësor të arsyetuar nga Gjykata e Lartë. Kjo e fundit edhe pse në prani të shkaqeve të parashikuara në nenin 472 të KPC-së nuk u ka dhënë përgjigje pretendimeve të ngritura dhe në dhomë këshillimi ka vendosur mospranimin e rekursit. </w:t>
      </w:r>
    </w:p>
    <w:p w:rsidR="009C502D" w:rsidRPr="00E8113C" w:rsidRDefault="009C502D" w:rsidP="009C502D">
      <w:pPr>
        <w:pStyle w:val="Paragrafi"/>
        <w:rPr>
          <w:lang w:val="sq-AL"/>
        </w:rPr>
      </w:pPr>
      <w:r w:rsidRPr="00E8113C">
        <w:rPr>
          <w:lang w:val="sq-AL"/>
        </w:rPr>
        <w:t xml:space="preserve">11. </w:t>
      </w:r>
      <w:r w:rsidRPr="00E8113C">
        <w:rPr>
          <w:i/>
          <w:lang w:val="sq-AL"/>
        </w:rPr>
        <w:t>Subjekti i interesuar</w:t>
      </w:r>
      <w:r w:rsidRPr="00E8113C">
        <w:rPr>
          <w:lang w:val="sq-AL"/>
        </w:rPr>
        <w:t>, shoqëria “Filanto Albania” sh.p.k., ka prapësuar në mënyrë të përmbledhur se:</w:t>
      </w:r>
    </w:p>
    <w:p w:rsidR="009C502D" w:rsidRPr="00E8113C" w:rsidRDefault="009C502D" w:rsidP="009C502D">
      <w:pPr>
        <w:pStyle w:val="Paragrafi"/>
        <w:rPr>
          <w:lang w:val="sq-AL"/>
        </w:rPr>
      </w:pPr>
      <w:r>
        <w:rPr>
          <w:lang w:val="sq-AL"/>
        </w:rPr>
        <w:t>11.1</w:t>
      </w:r>
      <w:r w:rsidRPr="00E8113C">
        <w:rPr>
          <w:lang w:val="sq-AL"/>
        </w:rPr>
        <w:t xml:space="preserve"> Kërkuesit nuk legjitimohen për t’ju drejtuar Gjykatës për pretendimin se gjykata e apelit nuk u ka dhënë përgjigje të gjitha pretendimeve të tyre, pasi nuk kanë ezauruar të gjitha mjetet e njohura nga ligji për riparimin e shkeljes. </w:t>
      </w:r>
    </w:p>
    <w:p w:rsidR="009C502D" w:rsidRPr="00E8113C" w:rsidRDefault="009C502D" w:rsidP="009C502D">
      <w:pPr>
        <w:pStyle w:val="Paragrafi"/>
        <w:rPr>
          <w:lang w:val="sq-AL"/>
        </w:rPr>
      </w:pPr>
      <w:r>
        <w:rPr>
          <w:lang w:val="sq-AL"/>
        </w:rPr>
        <w:t>11.2</w:t>
      </w:r>
      <w:r w:rsidRPr="00E8113C">
        <w:rPr>
          <w:lang w:val="sq-AL"/>
        </w:rPr>
        <w:t xml:space="preserve"> Vendimi i gjykatës së apelit plotëson të gjitha kriteret, në kuptim të standardit kushtetues të arsyetimit të vendimit gjyqësor, pasi në pjesën që ka ndryshuar vendimin e shkallës së parë ka argumentuar mbi elementet që çuan gjykatën në marrjen e një vendimi të kundërt. </w:t>
      </w:r>
    </w:p>
    <w:p w:rsidR="009C502D" w:rsidRPr="00E8113C" w:rsidRDefault="009C502D" w:rsidP="009C502D">
      <w:pPr>
        <w:pStyle w:val="Paragrafi"/>
        <w:rPr>
          <w:lang w:val="sq-AL"/>
        </w:rPr>
      </w:pPr>
      <w:r>
        <w:rPr>
          <w:lang w:val="sq-AL"/>
        </w:rPr>
        <w:t>11.3</w:t>
      </w:r>
      <w:r w:rsidRPr="00E8113C">
        <w:rPr>
          <w:lang w:val="sq-AL"/>
        </w:rPr>
        <w:t xml:space="preserve"> Bazuar në jurisprudencën e Gjykatës nuk është detyrë e saj të analizojë provat dhe faktet ku </w:t>
      </w:r>
      <w:r w:rsidRPr="00E8113C">
        <w:rPr>
          <w:lang w:val="sq-AL"/>
        </w:rPr>
        <w:lastRenderedPageBreak/>
        <w:t>mbështeten gjykatat e juridiksionit të zakonshëm për zgjidhjen e çështjes në themel, prandaj pretendimi i kërkuesve për vlerësim të provave në gjykatën e apelit është i pabazuar.</w:t>
      </w:r>
      <w:r>
        <w:rPr>
          <w:lang w:val="sq-AL"/>
        </w:rPr>
        <w:t xml:space="preserve"> </w:t>
      </w:r>
    </w:p>
    <w:p w:rsidR="009C502D" w:rsidRPr="00E8113C" w:rsidRDefault="009C502D" w:rsidP="009C502D">
      <w:pPr>
        <w:pStyle w:val="Paragrafi"/>
        <w:rPr>
          <w:lang w:val="sq-AL"/>
        </w:rPr>
      </w:pPr>
      <w:r>
        <w:rPr>
          <w:lang w:val="sq-AL"/>
        </w:rPr>
        <w:t>11.4</w:t>
      </w:r>
      <w:r w:rsidRPr="00E8113C">
        <w:rPr>
          <w:lang w:val="sq-AL"/>
        </w:rPr>
        <w:t xml:space="preserve"> Vendimi i Gjykatës së Lartë përmbush standardet e elaboruara nga jurisprudenca kushtetuese dhe ajo e GJEDNJ-së për arsyetimin e vendimeve në dhomë këshillimi. </w:t>
      </w:r>
    </w:p>
    <w:p w:rsidR="009C502D" w:rsidRPr="00E8113C" w:rsidRDefault="009C502D" w:rsidP="009C502D">
      <w:pPr>
        <w:pStyle w:val="Paragrafi"/>
        <w:rPr>
          <w:lang w:val="sq-AL"/>
        </w:rPr>
      </w:pPr>
      <w:r>
        <w:rPr>
          <w:lang w:val="sq-AL"/>
        </w:rPr>
        <w:t>11.5</w:t>
      </w:r>
      <w:r w:rsidRPr="00E8113C">
        <w:rPr>
          <w:lang w:val="sq-AL"/>
        </w:rPr>
        <w:t xml:space="preserve"> Gjykatat e juridiksionit të zakonshëm nuk kanë cenuar të drejtën e pronësisë, pasi ato kanë arsyetuar, në zbatim të normave të së drejtës private, mbi mënyrën e fitimit të pronësisë nga njëra prej palëve ndërgjyqëse. </w:t>
      </w:r>
    </w:p>
    <w:p w:rsidR="009C502D" w:rsidRPr="00E8113C" w:rsidRDefault="009C502D" w:rsidP="009C502D">
      <w:pPr>
        <w:pStyle w:val="Hapesira7"/>
        <w:rPr>
          <w:lang w:val="sq-AL"/>
        </w:rPr>
      </w:pPr>
    </w:p>
    <w:p w:rsidR="009C502D" w:rsidRPr="009A548F" w:rsidRDefault="009C502D" w:rsidP="009C502D">
      <w:pPr>
        <w:pStyle w:val="Vendosi"/>
        <w:rPr>
          <w:b/>
          <w:lang w:val="sq-AL"/>
        </w:rPr>
      </w:pPr>
      <w:r w:rsidRPr="009A548F">
        <w:rPr>
          <w:b/>
          <w:lang w:val="sq-AL"/>
        </w:rPr>
        <w:t>III</w:t>
      </w:r>
    </w:p>
    <w:p w:rsidR="009C502D" w:rsidRPr="00E8113C" w:rsidRDefault="009C502D" w:rsidP="009C502D">
      <w:pPr>
        <w:pStyle w:val="Vendosi"/>
        <w:rPr>
          <w:b/>
          <w:lang w:val="sq-AL"/>
        </w:rPr>
      </w:pPr>
      <w:r w:rsidRPr="00E8113C">
        <w:rPr>
          <w:b/>
          <w:caps w:val="0"/>
          <w:lang w:val="sq-AL"/>
        </w:rPr>
        <w:t>Vlerësimi i Gjykatës Kushtetuese</w:t>
      </w:r>
    </w:p>
    <w:p w:rsidR="009C502D" w:rsidRPr="00E8113C" w:rsidRDefault="009C502D" w:rsidP="009C502D">
      <w:pPr>
        <w:pStyle w:val="Hapesira7"/>
        <w:rPr>
          <w:lang w:val="sq-AL"/>
        </w:rPr>
      </w:pPr>
    </w:p>
    <w:p w:rsidR="009C502D" w:rsidRPr="00E8113C" w:rsidRDefault="009C502D" w:rsidP="009C502D">
      <w:pPr>
        <w:pStyle w:val="Paragrafi"/>
        <w:rPr>
          <w:i/>
          <w:lang w:val="sq-AL"/>
        </w:rPr>
      </w:pPr>
      <w:r w:rsidRPr="00E8113C">
        <w:rPr>
          <w:i/>
          <w:lang w:val="sq-AL"/>
        </w:rPr>
        <w:t>A. Për legjitimimin e kërkuesit</w:t>
      </w:r>
    </w:p>
    <w:p w:rsidR="009C502D" w:rsidRPr="00E8113C" w:rsidRDefault="009C502D" w:rsidP="009C502D">
      <w:pPr>
        <w:pStyle w:val="Paragrafi"/>
        <w:rPr>
          <w:lang w:val="sq-AL"/>
        </w:rPr>
      </w:pPr>
      <w:r w:rsidRPr="00E8113C">
        <w:rPr>
          <w:lang w:val="sq-AL"/>
        </w:rPr>
        <w:t>12. Subjekti i interesuar ka prapësuar se kërkuesit nuk legjitimohen për t’ju drejtuar Gjykatës për pretendimin se gjykata e apelit nuk u ka dhënë përgjigje të gjitha pretendimeve të tyre, pasi nuk kanë ezauruar të gjitha mjetet e njohura nga ligji për riparimin e shkeljes. Sipas subjektit të interesuar, dispozitat e KPC-së ofrojnë mundësi procedurale efektive për riparimin e kësaj shkeljeje. Nëse gjykata në vendimin e saj nuk u ka dhënë zgjidhje të gjitha pretendimeve të ngritura nga palët, kërkuesi mund ta realizojë të drejtën e tij duke kërkuar plotësimin e vendimit sipas nenit 313 të KPC-së. Ndërsa në rastet kur vendimi është i errët, kontradiktor, alogjik, palët mund të eliminojnë paqartësitë duke kërkuar interpretimin e vendimit sipas nenit 314 të KPC-së. Ky mjet është më efektiv sesa rekursi, pasi Gjykatës së Lartë do t’i duhej të sqaronte dhe argumentonte se çfarë ka dashur të thotë gjykata më e ulët.</w:t>
      </w:r>
    </w:p>
    <w:p w:rsidR="009C502D" w:rsidRPr="00E8113C" w:rsidRDefault="009C502D" w:rsidP="009C502D">
      <w:pPr>
        <w:pStyle w:val="Paragrafi"/>
        <w:rPr>
          <w:lang w:val="sq-AL"/>
        </w:rPr>
      </w:pPr>
      <w:r w:rsidRPr="00E8113C">
        <w:rPr>
          <w:lang w:val="sq-AL"/>
        </w:rPr>
        <w:t xml:space="preserve">13. Në kundërshtim nga sa prapëson subjekti i interesuar, Gjykata vlerëson se kërkuesit i kanë ezauruar mjetet për riparimin e shkeljes së pretenduar. Përderisa rekursi në Gjykatën e Lartë mund të kryhet edhe për shkaqet e pretenduara nga kërkuesit, zgjedhja ndërmjet mjeteve të ofruara nga ligjvënësi u përket kërkuesve. Gjithashtu, Gjykata çmon se në prani të disa shkaqeve për të kundërshtuar vendimin e gjykatës së apelit, zgjedhja e një mjeti që i përfshin ato të gjitha, është më efektive se zgjedhja e mjeteve të veçanta për secilin pretendim. </w:t>
      </w:r>
    </w:p>
    <w:p w:rsidR="009C502D" w:rsidRPr="00E8113C" w:rsidRDefault="009C502D" w:rsidP="009C502D">
      <w:pPr>
        <w:pStyle w:val="Paragrafi"/>
        <w:rPr>
          <w:lang w:val="sq-AL"/>
        </w:rPr>
      </w:pPr>
      <w:r w:rsidRPr="00E8113C">
        <w:rPr>
          <w:lang w:val="sq-AL"/>
        </w:rPr>
        <w:t>14. Për sa më lart, Gjykata çmon se ky pretendim i subjektit të interesuar nuk është i bazuar dhe se kërkuesit legjitimohen për t’ju drejtuar Gjykatës.</w:t>
      </w:r>
    </w:p>
    <w:p w:rsidR="009C502D" w:rsidRPr="00E8113C" w:rsidRDefault="009C502D" w:rsidP="009C502D">
      <w:pPr>
        <w:pStyle w:val="Paragrafi"/>
        <w:rPr>
          <w:i/>
          <w:lang w:val="sq-AL"/>
        </w:rPr>
      </w:pPr>
      <w:r w:rsidRPr="00E8113C">
        <w:rPr>
          <w:i/>
          <w:lang w:val="sq-AL"/>
        </w:rPr>
        <w:t xml:space="preserve">B. Për pretendimin për cenimin e së drejtës për një proces të rregullt ligjor në gjykatën e apelit </w:t>
      </w:r>
    </w:p>
    <w:p w:rsidR="009C502D" w:rsidRPr="00E8113C" w:rsidRDefault="009C502D" w:rsidP="009C502D">
      <w:pPr>
        <w:pStyle w:val="Paragrafi"/>
        <w:rPr>
          <w:lang w:val="sq-AL"/>
        </w:rPr>
      </w:pPr>
      <w:r w:rsidRPr="00E8113C">
        <w:rPr>
          <w:lang w:val="sq-AL"/>
        </w:rPr>
        <w:t>15. Kërkuesit, për gjykimin e zhvilluar në gjykatën e apelit, pretendojnë se u janë cenuar disa të drejta lidhur me procesin e rregullt ligjor, si e drejta për të pasur një vendim gjyqësor të</w:t>
      </w:r>
      <w:r>
        <w:rPr>
          <w:lang w:val="sq-AL"/>
        </w:rPr>
        <w:t xml:space="preserve"> </w:t>
      </w:r>
      <w:r w:rsidRPr="00E8113C">
        <w:rPr>
          <w:lang w:val="sq-AL"/>
        </w:rPr>
        <w:t xml:space="preserve">arsyetuar, si dhe e drejta për të marrë një përgjigje përfundimtare prej gjykatës, që sipas tyre lidhet me respektimin e parimit të barazisë së armëve. </w:t>
      </w:r>
    </w:p>
    <w:p w:rsidR="009C502D" w:rsidRPr="00E8113C" w:rsidRDefault="009C502D" w:rsidP="009C502D">
      <w:pPr>
        <w:pStyle w:val="Paragrafi"/>
        <w:rPr>
          <w:lang w:val="sq-AL"/>
        </w:rPr>
      </w:pPr>
      <w:r w:rsidRPr="00E8113C">
        <w:rPr>
          <w:lang w:val="sq-AL"/>
        </w:rPr>
        <w:t>16. Subjekti i interesuar lidhur me këtë pretendim prapëson se gjykata e apelit i ka përmbushur të gjitha kriteret e standardit kushtetues të arsyetimit të vendimit, pasi në pjesën që lë në fuqi vendimin e shkallës së parë, në linjë me jurisprudencën e GJEDNJ-së (</w:t>
      </w:r>
      <w:r w:rsidRPr="00E8113C">
        <w:rPr>
          <w:i/>
          <w:lang w:val="sq-AL"/>
        </w:rPr>
        <w:t>shih vendimin Hirvisaari kundër Finlandës, nr. 49684, datë 25.12.2001</w:t>
      </w:r>
      <w:r w:rsidRPr="00E8113C">
        <w:rPr>
          <w:lang w:val="sq-AL"/>
        </w:rPr>
        <w:t>), i është referuar dhe ka miratuar</w:t>
      </w:r>
      <w:r>
        <w:rPr>
          <w:lang w:val="sq-AL"/>
        </w:rPr>
        <w:t xml:space="preserve"> </w:t>
      </w:r>
      <w:r w:rsidRPr="00E8113C">
        <w:rPr>
          <w:lang w:val="sq-AL"/>
        </w:rPr>
        <w:t xml:space="preserve">arsyetimin e bërë nga gjykata e shkallës së parë, ndërsa në pjesën që ka ndryshuar këtë vendim ka arsyetuar mbi elementet që e kanë çuar në marrjen e vendimit. Gjithashtu, ai prapëson se Gjykata nuk ka si detyrë të analizojë provat dhe faktet ku mbështeten gjykatat e juridiksionit të zakonshëm për zgjidhjen e çështjes në themel, prandaj pretendimi i kërkuesve për vlerësim të provave në gjykatën e apelit është i pabazuar. </w:t>
      </w:r>
    </w:p>
    <w:p w:rsidR="009C502D" w:rsidRPr="00E8113C" w:rsidRDefault="009C502D" w:rsidP="009C502D">
      <w:pPr>
        <w:pStyle w:val="Paragrafi"/>
        <w:rPr>
          <w:lang w:val="sq-AL"/>
        </w:rPr>
      </w:pPr>
      <w:r w:rsidRPr="00E8113C">
        <w:rPr>
          <w:lang w:val="sq-AL"/>
        </w:rPr>
        <w:t xml:space="preserve">17. Gjykata ka tashmë jurisprudencë të konsoliduar për parimet të cilat pretendohen nga kërkuesit se janë cenuar. Për të drejtën për të pasur një vendim gjyqësor të arsyetuar, Gjykata është shprehur se ajo përfshihet në kuadrin e së drejtës për një proces të rregullt ligjor, që i garantohet individit nga nenet 42, 142/1 të Kushtetutës dhe neni 6 i KEDNJ-së. Funksioni i një vendimi të arsyetuar është t’u tregojë palëve që ato janë dëgjuar, si dhe u jep mundësinë atyre ta kundërshtojnë atë. Përveç </w:t>
      </w:r>
      <w:r w:rsidRPr="00E8113C">
        <w:rPr>
          <w:lang w:val="sq-AL"/>
        </w:rPr>
        <w:lastRenderedPageBreak/>
        <w:t>kësaj, duke dhënë një vendim të arsyetuar, mund të realizohet vëzhgimi publik i administrimit të drejtësisë (</w:t>
      </w:r>
      <w:r>
        <w:rPr>
          <w:i/>
          <w:lang w:val="sq-AL"/>
        </w:rPr>
        <w:t>shih vendimet nr. 8, datë 28.</w:t>
      </w:r>
      <w:r w:rsidRPr="00E8113C">
        <w:rPr>
          <w:i/>
          <w:lang w:val="sq-AL"/>
        </w:rPr>
        <w:t>2.2012;</w:t>
      </w:r>
      <w:r>
        <w:rPr>
          <w:i/>
          <w:lang w:val="sq-AL"/>
        </w:rPr>
        <w:t xml:space="preserve"> nr. 8, datë 16.3.2011; nr. 25, datë 10.</w:t>
      </w:r>
      <w:r w:rsidRPr="00E8113C">
        <w:rPr>
          <w:i/>
          <w:lang w:val="sq-AL"/>
        </w:rPr>
        <w:t>6.2011 dhe nr. 38, datë 30.12.2010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18. Gjykata, po ashtu, ka theksuar se vendimi duhet të mbështetet vetëm mbi faktet që janë paraqitur gjatë procesit gjyqësor dhe duhet të përmbajë bazën ligjore mbi të cilën bazohet zgjidhja e mosmarrëveshjes, analizën e provave, si dhe mënyrën e zgjidhjes së mosmarrëveshjes (</w:t>
      </w:r>
      <w:r>
        <w:rPr>
          <w:i/>
          <w:lang w:val="sq-AL"/>
        </w:rPr>
        <w:t>shih vendimet nr. 8, datë 16.</w:t>
      </w:r>
      <w:r w:rsidRPr="00E8113C">
        <w:rPr>
          <w:i/>
          <w:lang w:val="sq-AL"/>
        </w:rPr>
        <w:t>3.2011; nr. 23, datë</w:t>
      </w:r>
      <w:r>
        <w:rPr>
          <w:i/>
          <w:lang w:val="sq-AL"/>
        </w:rPr>
        <w:t xml:space="preserve"> 4.11.2008; nr. 11, datë 2.4.2008 dhe nr. 7, datë 9.</w:t>
      </w:r>
      <w:r w:rsidRPr="00E8113C">
        <w:rPr>
          <w:i/>
          <w:lang w:val="sq-AL"/>
        </w:rPr>
        <w:t>3.2009 të Gjykatës Kushtetuese</w:t>
      </w:r>
      <w:r w:rsidRPr="00E8113C">
        <w:rPr>
          <w:lang w:val="sq-AL"/>
        </w:rPr>
        <w:t>).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w:t>
      </w:r>
      <w:r>
        <w:rPr>
          <w:i/>
          <w:lang w:val="sq-AL"/>
        </w:rPr>
        <w:t>shih vendimet nr. 20, datë 13.</w:t>
      </w:r>
      <w:r w:rsidRPr="00E8113C">
        <w:rPr>
          <w:i/>
          <w:lang w:val="sq-AL"/>
        </w:rPr>
        <w:t>4.2012 dhe nr. 38, datë 30.12.2010 të Gjykatës Kushtetuese</w:t>
      </w:r>
      <w:r w:rsidRPr="00E8113C">
        <w:rPr>
          <w:lang w:val="sq-AL"/>
        </w:rPr>
        <w:t>).</w:t>
      </w:r>
    </w:p>
    <w:p w:rsidR="009C502D" w:rsidRPr="00E8113C" w:rsidRDefault="009C502D" w:rsidP="009C502D">
      <w:pPr>
        <w:pStyle w:val="Paragrafi"/>
        <w:rPr>
          <w:lang w:val="sq-AL"/>
        </w:rPr>
      </w:pPr>
      <w:r w:rsidRPr="00E8113C">
        <w:rPr>
          <w:lang w:val="sq-AL"/>
        </w:rPr>
        <w:t>19.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 Detyrimi i gjykatave për të respektuar këtë standard ndryshon në varësi të rrethanave të çështjes konkrete e natyrës së vendimit, dhe masa e arsyetimit varet nga natyra e vendimit në fjalë (</w:t>
      </w:r>
      <w:r w:rsidRPr="00E8113C">
        <w:rPr>
          <w:i/>
          <w:lang w:val="sq-AL"/>
        </w:rPr>
        <w:t>shih vendimin nr.</w:t>
      </w:r>
      <w:r>
        <w:rPr>
          <w:i/>
          <w:lang w:val="sq-AL"/>
        </w:rPr>
        <w:t xml:space="preserve"> 25, datë 10.</w:t>
      </w:r>
      <w:r w:rsidRPr="00E8113C">
        <w:rPr>
          <w:i/>
          <w:lang w:val="sq-AL"/>
        </w:rPr>
        <w:t>6.2011 të Gjykatës Kushtetuese</w:t>
      </w:r>
      <w:r w:rsidRPr="00E8113C">
        <w:rPr>
          <w:lang w:val="sq-AL"/>
        </w:rPr>
        <w:t>). Ky detyrim nuk mund të interpretohet sikur kërkohet arsyetim i detajuar për çdo pretendim të palës ndërgjyqëse (</w:t>
      </w:r>
      <w:r w:rsidRPr="00E8113C">
        <w:rPr>
          <w:i/>
          <w:lang w:val="sq-AL"/>
        </w:rPr>
        <w:t xml:space="preserve">shih vendimet nr. 23, datë </w:t>
      </w:r>
      <w:r>
        <w:rPr>
          <w:i/>
          <w:lang w:val="sq-AL"/>
        </w:rPr>
        <w:t>4.11.2008 dhe nr. 35, datë 25.</w:t>
      </w:r>
      <w:r w:rsidRPr="00E8113C">
        <w:rPr>
          <w:i/>
          <w:lang w:val="sq-AL"/>
        </w:rPr>
        <w:t>7.2011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 xml:space="preserve">20. Për sa i përket </w:t>
      </w:r>
      <w:r>
        <w:rPr>
          <w:lang w:val="sq-AL"/>
        </w:rPr>
        <w:t>s</w:t>
      </w:r>
      <w:r w:rsidRPr="00E8113C">
        <w:rPr>
          <w:lang w:val="sq-AL"/>
        </w:rPr>
        <w:t>ë drejtës së aksesit, Gjykata ka vlerësuar se administrimi i mirë i drejtësisë fillon me garancinë që një individ të ketë akses në gjykatë për t’i siguruar atij të gjitha aspektet gjyqësore të shqyrtimit të çështjes. E drejta për t’iu drejtuar gjykatës është një nga aspektet e së drejtës për gjykim, e sanksionuar në nenin 42 të Kushtetutës.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Pr>
          <w:i/>
          <w:lang w:val="sq-AL"/>
        </w:rPr>
        <w:t>shih vendimet nr. 4, datë 23.</w:t>
      </w:r>
      <w:r w:rsidRPr="00E8113C">
        <w:rPr>
          <w:i/>
          <w:lang w:val="sq-AL"/>
        </w:rPr>
        <w:t>2.2011; nr. 14, d</w:t>
      </w:r>
      <w:r>
        <w:rPr>
          <w:i/>
          <w:lang w:val="sq-AL"/>
        </w:rPr>
        <w:t>atë 3.6.2009 dhe nr. 7 datë 11.</w:t>
      </w:r>
      <w:r w:rsidRPr="00E8113C">
        <w:rPr>
          <w:i/>
          <w:lang w:val="sq-AL"/>
        </w:rPr>
        <w:t>3.2008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 xml:space="preserve">21. Për parimin e barazisë së armëve në gjykim, Gjykata është shprehur se ai është një parim i cili është pjesë e domosdoshme si e procesit penal, ashtu edhe atij civil. Edhe ky parim, ndonëse zhvillohet më shumë nga doktrina dhe jurisprudenca në fushën penale, ku ky i fundit është pjesë e </w:t>
      </w:r>
      <w:r>
        <w:rPr>
          <w:lang w:val="sq-AL"/>
        </w:rPr>
        <w:t>s</w:t>
      </w:r>
      <w:r w:rsidRPr="00E8113C">
        <w:rPr>
          <w:lang w:val="sq-AL"/>
        </w:rPr>
        <w:t>ë drejtës së mbrojtjes të garantuar nga neni 31 i Kushtetutës, është përsëri i zbatueshëm në procesin civil, pasi ky proces duhet të garantojë barazi substanciale të palëve nëpërmjet një kontradiktoriteti efektiv midis tyre (</w:t>
      </w:r>
      <w:r>
        <w:rPr>
          <w:i/>
          <w:lang w:val="sq-AL"/>
        </w:rPr>
        <w:t>shih vendimin nr. 34, datë 25.</w:t>
      </w:r>
      <w:r w:rsidRPr="00E8113C">
        <w:rPr>
          <w:i/>
          <w:lang w:val="sq-AL"/>
        </w:rPr>
        <w:t>7.2011 të Gjykatës Kushtetuese</w:t>
      </w:r>
      <w:r w:rsidRPr="00E8113C">
        <w:rPr>
          <w:lang w:val="sq-AL"/>
        </w:rPr>
        <w:t>).</w:t>
      </w:r>
    </w:p>
    <w:p w:rsidR="009C502D" w:rsidRPr="00E8113C" w:rsidRDefault="009C502D" w:rsidP="009C502D">
      <w:pPr>
        <w:pStyle w:val="Paragrafi"/>
        <w:rPr>
          <w:lang w:val="sq-AL"/>
        </w:rPr>
      </w:pPr>
      <w:r w:rsidRPr="00E8113C">
        <w:rPr>
          <w:lang w:val="sq-AL"/>
        </w:rPr>
        <w:t xml:space="preserve">22. Në rastin në shqyrtim, Gjykata vëren se gjykata e apelit u ka dhënë përgjigje pretendimeve të kërkuesve, dhe ia ka nënshtruar ato debatit gjyqësor dhe se vendimi i gjykatës përmbush elementet që burojnë nga KPC-ja dhe jurisprudenca e kësaj Gjykate për arsyetimin e vendimit. Gjithashtu, Gjykata konstaton se pavarësisht se kërkuesit pretendojnë cenimin e parimeve të lartpërmendura, ata nuk kanë përcaktuar konkretisht se ku konsistojnë këto shkelje. Në thelb, ajo që kërkuesit parashtrojnë ka të bëjë me mënyrën e fitimit të pronësisë së sipërfaqes së tokës dhe zbatimin e institutit të parashkrimit fitues. </w:t>
      </w:r>
    </w:p>
    <w:p w:rsidR="009C502D" w:rsidRPr="00E8113C" w:rsidRDefault="009C502D" w:rsidP="009C502D">
      <w:pPr>
        <w:pStyle w:val="Paragrafi"/>
        <w:rPr>
          <w:lang w:val="sq-AL"/>
        </w:rPr>
      </w:pPr>
      <w:r w:rsidRPr="00E8113C">
        <w:rPr>
          <w:lang w:val="sq-AL"/>
        </w:rPr>
        <w:t xml:space="preserve">23. Gjykata në jurisprudencën e saj është shprehur, në mënyrë të vazhdueshme se vlerësimi i fakteve dhe rrethanave të çështjes, si dhe interpretimi i ligjit janë kompetenca të gjykatave të sistemit gjyqësor, të cilat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w:t>
      </w:r>
      <w:r w:rsidRPr="00E8113C">
        <w:rPr>
          <w:lang w:val="sq-AL"/>
        </w:rPr>
        <w:lastRenderedPageBreak/>
        <w:t>sferën e kompetencave të gjykatave të sistemit gjyqësor (</w:t>
      </w:r>
      <w:r>
        <w:rPr>
          <w:i/>
          <w:lang w:val="sq-AL"/>
        </w:rPr>
        <w:t>shih vendimin nr. 19, datë 2.</w:t>
      </w:r>
      <w:r w:rsidRPr="00E8113C">
        <w:rPr>
          <w:i/>
          <w:lang w:val="sq-AL"/>
        </w:rPr>
        <w:t>4.2012; nr.</w:t>
      </w:r>
      <w:r>
        <w:rPr>
          <w:i/>
          <w:lang w:val="sq-AL"/>
        </w:rPr>
        <w:t xml:space="preserve"> </w:t>
      </w:r>
      <w:r w:rsidRPr="00E8113C">
        <w:rPr>
          <w:i/>
          <w:lang w:val="sq-AL"/>
        </w:rPr>
        <w:t>26, d</w:t>
      </w:r>
      <w:r>
        <w:rPr>
          <w:i/>
          <w:lang w:val="sq-AL"/>
        </w:rPr>
        <w:t>atë 15.12.2008; nr. 7, datë 27.4.2005 dhe nr. 106, datë 1.</w:t>
      </w:r>
      <w:r w:rsidRPr="00E8113C">
        <w:rPr>
          <w:i/>
          <w:lang w:val="sq-AL"/>
        </w:rPr>
        <w:t>8.2001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24. Për rrjedhojë, Gjykata vlerëson se vendimi i gjykatës së apelit nuk ka cenuar të drejtën e aksesit, parimin e</w:t>
      </w:r>
      <w:r>
        <w:rPr>
          <w:lang w:val="sq-AL"/>
        </w:rPr>
        <w:t xml:space="preserve"> </w:t>
      </w:r>
      <w:r w:rsidRPr="00E8113C">
        <w:rPr>
          <w:lang w:val="sq-AL"/>
        </w:rPr>
        <w:t>arsyetimit të vendimit dhe atë të barazisë së armëve. Prandaj</w:t>
      </w:r>
      <w:r>
        <w:rPr>
          <w:lang w:val="sq-AL"/>
        </w:rPr>
        <w:t xml:space="preserve"> </w:t>
      </w:r>
      <w:r w:rsidRPr="00E8113C">
        <w:rPr>
          <w:lang w:val="sq-AL"/>
        </w:rPr>
        <w:t xml:space="preserve">pretendimet e lartpërmendura të kërkuesve për procesin e zhvilluar në atë gjykatë nuk janë të bazuara. </w:t>
      </w:r>
    </w:p>
    <w:p w:rsidR="009C502D" w:rsidRPr="00E8113C" w:rsidRDefault="009C502D" w:rsidP="009C502D">
      <w:pPr>
        <w:pStyle w:val="Paragrafi"/>
        <w:rPr>
          <w:i/>
          <w:lang w:val="sq-AL"/>
        </w:rPr>
      </w:pPr>
      <w:r w:rsidRPr="00E8113C">
        <w:rPr>
          <w:i/>
          <w:lang w:val="sq-AL"/>
        </w:rPr>
        <w:t>C. Për pretendimin për cenimin e parimit të sigurisë juridike</w:t>
      </w:r>
    </w:p>
    <w:p w:rsidR="009C502D" w:rsidRPr="00E8113C" w:rsidRDefault="009C502D" w:rsidP="009C502D">
      <w:pPr>
        <w:pStyle w:val="Paragrafi"/>
        <w:rPr>
          <w:lang w:val="sq-AL"/>
        </w:rPr>
      </w:pPr>
      <w:r w:rsidRPr="00E8113C">
        <w:rPr>
          <w:lang w:val="sq-AL"/>
        </w:rPr>
        <w:t xml:space="preserve">25. Kërkuesit parashtrojnë se gjykatat e juridiksionit të zakonshëm nuk kanë përcaktuar mënyrën se si të paditurit kanë humbur të drejtën e pronësisë, çka, sipas tyre, ka passjellë cenimin e parimit të sigurisë juridike. Ndërsa subjekti i interesuar prapëson se gjykatat e faktit, në zbatim të normave të </w:t>
      </w:r>
      <w:r>
        <w:rPr>
          <w:lang w:val="sq-AL"/>
        </w:rPr>
        <w:t>s</w:t>
      </w:r>
      <w:r w:rsidRPr="00E8113C">
        <w:rPr>
          <w:lang w:val="sq-AL"/>
        </w:rPr>
        <w:t>ë drejtës private, kanë argumentuar për mënyrën e fitimit të pronësisë nga njëra prej palëve ndërgjyqëse.</w:t>
      </w:r>
      <w:r>
        <w:rPr>
          <w:lang w:val="sq-AL"/>
        </w:rPr>
        <w:t xml:space="preserve"> </w:t>
      </w:r>
    </w:p>
    <w:p w:rsidR="009C502D" w:rsidRPr="00E8113C" w:rsidRDefault="009C502D" w:rsidP="009C502D">
      <w:pPr>
        <w:pStyle w:val="Paragrafi"/>
        <w:rPr>
          <w:lang w:val="sq-AL"/>
        </w:rPr>
      </w:pPr>
      <w:r w:rsidRPr="00E8113C">
        <w:rPr>
          <w:lang w:val="sq-AL"/>
        </w:rPr>
        <w:t>26. Gjykata në lidhje me parimin e sigurisë juridike ka theksuar se ai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Pra</w:t>
      </w:r>
      <w:r>
        <w:rPr>
          <w:lang w:val="sq-AL"/>
        </w:rPr>
        <w:t>,</w:t>
      </w:r>
      <w:r w:rsidRPr="00E8113C">
        <w:rPr>
          <w:lang w:val="sq-AL"/>
        </w:rPr>
        <w:t xml:space="preserve">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w:t>
      </w:r>
      <w:r>
        <w:rPr>
          <w:lang w:val="sq-AL"/>
        </w:rPr>
        <w:t xml:space="preserve"> </w:t>
      </w:r>
      <w:r w:rsidRPr="00E8113C">
        <w:rPr>
          <w:lang w:val="sq-AL"/>
        </w:rPr>
        <w:t>Vendimi gjyqësor i formës së prerë, që përbën gjë të gjykuar, është shprehje dhe konkretizim i së drejtës mbi marrëdhënien juridike dhe ka qëllim t’i japë jo vetëm qartësi, por edhe siguri kësaj marrëdhënieje. (</w:t>
      </w:r>
      <w:r>
        <w:rPr>
          <w:i/>
          <w:lang w:val="sq-AL"/>
        </w:rPr>
        <w:t>shih vendimin nr. 23, datë 8.</w:t>
      </w:r>
      <w:r w:rsidRPr="00E8113C">
        <w:rPr>
          <w:i/>
          <w:lang w:val="sq-AL"/>
        </w:rPr>
        <w:t>6.2007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27. Për sa më sipër, në rastin në shqyrtim, Gjykata vlerëson se përderisa pretendimi i kërkuesve për cenimin e parimit të sigurisë juridike nuk lidhet me ekzistencën e ndonjë vendimi të formës së prerë, ai (pretendimi) nuk është ngritur në nivel kushtetues. Gjykata gjithashtu çmon se edhe ky pretendim i kërkuesit në thelb ka të bëjë me mënyrën e fitimit të pronësisë, që, sikurse u tha më lart (</w:t>
      </w:r>
      <w:r w:rsidRPr="00E8113C">
        <w:rPr>
          <w:i/>
          <w:lang w:val="sq-AL"/>
        </w:rPr>
        <w:t>shih paragrafin 23</w:t>
      </w:r>
      <w:r w:rsidRPr="00E8113C">
        <w:rPr>
          <w:lang w:val="sq-AL"/>
        </w:rPr>
        <w:t>), nuk hyn në juridiksionin kushtetues.</w:t>
      </w:r>
    </w:p>
    <w:p w:rsidR="009C502D" w:rsidRPr="00E8113C" w:rsidRDefault="009C502D" w:rsidP="009C502D">
      <w:pPr>
        <w:pStyle w:val="Paragrafi"/>
        <w:rPr>
          <w:i/>
          <w:lang w:val="sq-AL"/>
        </w:rPr>
      </w:pPr>
      <w:r w:rsidRPr="00E8113C">
        <w:rPr>
          <w:i/>
          <w:lang w:val="sq-AL"/>
        </w:rPr>
        <w:t xml:space="preserve">D. Për pretendimin e cenimit të standardit të arsyetimit të vendimit gjyqësor </w:t>
      </w:r>
      <w:r>
        <w:rPr>
          <w:i/>
          <w:lang w:val="sq-AL"/>
        </w:rPr>
        <w:t>nga vendimi i Gjykatës së Lartë</w:t>
      </w:r>
    </w:p>
    <w:p w:rsidR="009C502D" w:rsidRPr="00E8113C" w:rsidRDefault="009C502D" w:rsidP="009C502D">
      <w:pPr>
        <w:pStyle w:val="Paragrafi"/>
        <w:rPr>
          <w:lang w:val="sq-AL"/>
        </w:rPr>
      </w:pPr>
      <w:r w:rsidRPr="00E8113C">
        <w:rPr>
          <w:lang w:val="sq-AL"/>
        </w:rPr>
        <w:t xml:space="preserve"> 28. Gjykata, nën dritën e jurisprudencës së GJEDNJ-së, për zbatimin e standardit të arsyetimit të vendimeve gjyqësore nga Gjykata e Lartë, të pretenduar nga kërkuesit, është shprehur se për vendimet e dhëna prej saj në dhomë këshillimi, mënyra e formulimit të pjesës arsyetuese të këtij vendimi, se </w:t>
      </w:r>
      <w:r w:rsidRPr="00E8113C">
        <w:rPr>
          <w:i/>
          <w:lang w:val="sq-AL"/>
        </w:rPr>
        <w:t>“rekursi nuk përmban shkaqe ligjore”,</w:t>
      </w:r>
      <w:r w:rsidRPr="00E8113C">
        <w:rPr>
          <w:lang w:val="sq-AL"/>
        </w:rPr>
        <w:t xml:space="preserve"> është e rregullt. Fakti se në këtë vendim nuk u jepet përgjigje e detajuar të gjitha pretendimeve të palëve, nuk do të thotë se ky vendim është i paarsyetuar, përderisa shkaqet e parashtruara në rekurs, të ngritura si shkaqe ligjore për prishjen e vendimit të gjykatës së apelit, nuk gjejnë mbështetje as në ligj dhe as në materialet e çështjes. Kur Gjykata e Lartë nuk pranon një rekurs për shkak se nuk është parashtruar baza ligjore e çështjes, kërkesat e nenit 6 të Konventës Evropiane e Drejtave të</w:t>
      </w:r>
      <w:r>
        <w:rPr>
          <w:lang w:val="sq-AL"/>
        </w:rPr>
        <w:t xml:space="preserve"> </w:t>
      </w:r>
      <w:r w:rsidRPr="00E8113C">
        <w:rPr>
          <w:lang w:val="sq-AL"/>
        </w:rPr>
        <w:t>Njeriut mund të plotësohen me një arsyetim shumë të kufizuar (</w:t>
      </w:r>
      <w:r>
        <w:rPr>
          <w:i/>
          <w:lang w:val="sq-AL"/>
        </w:rPr>
        <w:t>shih vendimet nr. 17, datë 16.5.2011; nr. 26, datë 13.</w:t>
      </w:r>
      <w:r w:rsidRPr="00E8113C">
        <w:rPr>
          <w:i/>
          <w:lang w:val="sq-AL"/>
        </w:rPr>
        <w:t xml:space="preserve">6.2011 dhe nr. 37, </w:t>
      </w:r>
      <w:r>
        <w:rPr>
          <w:i/>
          <w:lang w:val="sq-AL"/>
        </w:rPr>
        <w:t>datë 19.</w:t>
      </w:r>
      <w:r w:rsidRPr="00E8113C">
        <w:rPr>
          <w:i/>
          <w:lang w:val="sq-AL"/>
        </w:rPr>
        <w:t>9.2011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29. Gjithashtu, Gjykata për vendimet e dhëna nga Gjykata e Lartë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E8113C">
        <w:rPr>
          <w:i/>
          <w:lang w:val="sq-AL"/>
        </w:rPr>
        <w:t>shih vendimet nr. 19, da</w:t>
      </w:r>
      <w:r>
        <w:rPr>
          <w:i/>
          <w:lang w:val="sq-AL"/>
        </w:rPr>
        <w:t>të 19.7.2005 dhe nr. 22, datë 6.</w:t>
      </w:r>
      <w:r w:rsidRPr="00E8113C">
        <w:rPr>
          <w:i/>
          <w:lang w:val="sq-AL"/>
        </w:rPr>
        <w:t>6.2011 të Gjykatës Kushtetuese</w:t>
      </w:r>
      <w:r w:rsidRPr="00E8113C">
        <w:rPr>
          <w:lang w:val="sq-AL"/>
        </w:rPr>
        <w:t xml:space="preserve">). </w:t>
      </w:r>
    </w:p>
    <w:p w:rsidR="009C502D" w:rsidRPr="00E8113C" w:rsidRDefault="009C502D" w:rsidP="009C502D">
      <w:pPr>
        <w:pStyle w:val="Paragrafi"/>
        <w:rPr>
          <w:lang w:val="sq-AL"/>
        </w:rPr>
      </w:pPr>
      <w:r w:rsidRPr="00E8113C">
        <w:rPr>
          <w:lang w:val="sq-AL"/>
        </w:rPr>
        <w:t xml:space="preserve">30. Gjykata vëren se në çështjen në fjalë përmbajtja e shkaqeve të ngritura në rekurs nuk ka të bëjë me cenimin e parimeve kushtetuese për një proces të rregullt ligjor, por me mënyrën e interpretimit të ligjit, konkretisht dispozitave që lidhen me institutin e parashkrimit fitues, që është kompetencë ekskluzive e gjykatave të juridiksionit të zakonshëm. Gjykata e Lartë e ka shqyrtuar </w:t>
      </w:r>
      <w:r w:rsidRPr="00E8113C">
        <w:rPr>
          <w:lang w:val="sq-AL"/>
        </w:rPr>
        <w:lastRenderedPageBreak/>
        <w:t xml:space="preserve">rekursin dhe ka vendosur mospranimin për mungesë të shkaqeve të parashikuara nga neni 472 i KPC-së, duke ushtruar në këtë mënyrë funksionin e saj si gjykatë e ligjit. </w:t>
      </w:r>
    </w:p>
    <w:p w:rsidR="009C502D" w:rsidRPr="00E8113C" w:rsidRDefault="009C502D" w:rsidP="009C502D">
      <w:pPr>
        <w:pStyle w:val="Paragrafi"/>
        <w:rPr>
          <w:lang w:val="sq-AL"/>
        </w:rPr>
      </w:pPr>
      <w:r w:rsidRPr="00E8113C">
        <w:rPr>
          <w:lang w:val="sq-AL"/>
        </w:rPr>
        <w:t xml:space="preserve">31. Në përfundim, Gjykata vlerëson se pretendimet e kërkuesve janë të pabazuara dhe, për pasojë, kërkesa duhet të rrëzohet. </w:t>
      </w:r>
    </w:p>
    <w:p w:rsidR="009C502D" w:rsidRPr="003340CD" w:rsidRDefault="009C502D" w:rsidP="009C502D">
      <w:pPr>
        <w:pStyle w:val="Vendosi"/>
        <w:rPr>
          <w:sz w:val="14"/>
          <w:lang w:val="sq-AL"/>
        </w:rPr>
      </w:pPr>
    </w:p>
    <w:p w:rsidR="009C502D" w:rsidRPr="00E8113C" w:rsidRDefault="009C502D" w:rsidP="009C502D">
      <w:pPr>
        <w:pStyle w:val="Vendosi"/>
        <w:rPr>
          <w:lang w:val="sq-AL"/>
        </w:rPr>
      </w:pPr>
      <w:r w:rsidRPr="00E8113C">
        <w:rPr>
          <w:lang w:val="sq-AL"/>
        </w:rPr>
        <w:t>PËR KËTO ARSYE,</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Gjykata Kushtetuese e Republikës së Shqipërisë, në mbështetje të neneve 131, shkronja “f”, dhe 134, pika 1, shkronja “g”, të Kushtetutës, si dhe të neneve 72 e viju</w:t>
      </w:r>
      <w:r>
        <w:rPr>
          <w:lang w:val="sq-AL"/>
        </w:rPr>
        <w:t>es të ligjit nr. 8577, datë 10.</w:t>
      </w:r>
      <w:r w:rsidRPr="00E8113C">
        <w:rPr>
          <w:lang w:val="sq-AL"/>
        </w:rPr>
        <w:t>2.2000</w:t>
      </w:r>
      <w:r>
        <w:rPr>
          <w:lang w:val="sq-AL"/>
        </w:rPr>
        <w:t>,</w:t>
      </w:r>
      <w:r w:rsidRPr="00E8113C">
        <w:rPr>
          <w:lang w:val="sq-AL"/>
        </w:rPr>
        <w:t xml:space="preserve"> “Për organizimin dhe funksionimin e Gjykatës Kushtetuese të Republikës së Shqipërisë”, me shumicë votash</w:t>
      </w:r>
      <w:r w:rsidRPr="00771722">
        <w:rPr>
          <w:vertAlign w:val="superscript"/>
          <w:lang w:val="sq-AL"/>
        </w:rPr>
        <w:footnoteReference w:id="2"/>
      </w:r>
    </w:p>
    <w:p w:rsidR="009C502D" w:rsidRPr="00E8113C" w:rsidRDefault="009C502D" w:rsidP="009C502D">
      <w:pPr>
        <w:pStyle w:val="Vendosi"/>
        <w:rPr>
          <w:lang w:val="sq-AL"/>
        </w:rPr>
      </w:pPr>
      <w:r w:rsidRPr="00E8113C">
        <w:rPr>
          <w:lang w:val="sq-AL"/>
        </w:rPr>
        <w:t>VENDOSI:</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 xml:space="preserve">- Rrëzimin e kërkesës. </w:t>
      </w:r>
    </w:p>
    <w:p w:rsidR="009C502D" w:rsidRPr="00E8113C" w:rsidRDefault="009C502D" w:rsidP="009C502D">
      <w:pPr>
        <w:pStyle w:val="Paragrafi"/>
        <w:rPr>
          <w:lang w:val="sq-AL"/>
        </w:rPr>
      </w:pPr>
      <w:r w:rsidRPr="00E8113C">
        <w:rPr>
          <w:lang w:val="sq-AL"/>
        </w:rPr>
        <w:t xml:space="preserve">Ky vendim është përfundimtar, i formës së prerë dhe hyn në fuqi ditën e botimit në Fletoren Zyrtare. </w:t>
      </w:r>
    </w:p>
    <w:p w:rsidR="009C502D" w:rsidRPr="00E8113C" w:rsidRDefault="009C502D" w:rsidP="009C502D">
      <w:pPr>
        <w:pStyle w:val="Hapesira7"/>
        <w:rPr>
          <w:lang w:val="sq-AL"/>
        </w:rPr>
      </w:pPr>
    </w:p>
    <w:p w:rsidR="009C502D" w:rsidRPr="00E8113C" w:rsidRDefault="009C502D" w:rsidP="009C502D">
      <w:pPr>
        <w:pStyle w:val="Paragrafi"/>
        <w:rPr>
          <w:lang w:val="sq-AL"/>
        </w:rPr>
      </w:pPr>
      <w:r w:rsidRPr="00E8113C">
        <w:rPr>
          <w:lang w:val="sq-AL"/>
        </w:rPr>
        <w:t xml:space="preserve">Anëtarë pro: Bashkim Dedja (kryetar), Vitore Tusha, Sokol Berberi, Fatmir Hoxha, </w:t>
      </w:r>
      <w:r>
        <w:rPr>
          <w:lang w:val="sq-AL"/>
        </w:rPr>
        <w:t>Altina Xhoxhaj, Gani Dizdari</w:t>
      </w:r>
    </w:p>
    <w:p w:rsidR="009C502D" w:rsidRPr="00E8113C" w:rsidRDefault="009C502D" w:rsidP="009C502D">
      <w:pPr>
        <w:pStyle w:val="Paragrafi"/>
        <w:rPr>
          <w:lang w:val="sq-AL"/>
        </w:rPr>
      </w:pPr>
      <w:r w:rsidRPr="00E8113C">
        <w:rPr>
          <w:lang w:val="sq-AL"/>
        </w:rPr>
        <w:t>Anëtar kundër: Vladimir Kristo</w:t>
      </w:r>
      <w:r w:rsidRPr="00E8113C">
        <w:rPr>
          <w:lang w:val="sq-AL"/>
        </w:rPr>
        <w:tab/>
      </w:r>
    </w:p>
    <w:p w:rsidR="00FD57DC" w:rsidRDefault="009C502D"/>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02D" w:rsidRDefault="009C502D" w:rsidP="009C502D">
      <w:pPr>
        <w:spacing w:after="0" w:line="240" w:lineRule="auto"/>
      </w:pPr>
      <w:r>
        <w:separator/>
      </w:r>
    </w:p>
  </w:endnote>
  <w:endnote w:type="continuationSeparator" w:id="1">
    <w:p w:rsidR="009C502D" w:rsidRDefault="009C502D" w:rsidP="009C5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02D" w:rsidRDefault="009C502D" w:rsidP="009C502D">
      <w:pPr>
        <w:spacing w:after="0" w:line="240" w:lineRule="auto"/>
      </w:pPr>
      <w:r>
        <w:separator/>
      </w:r>
    </w:p>
  </w:footnote>
  <w:footnote w:type="continuationSeparator" w:id="1">
    <w:p w:rsidR="009C502D" w:rsidRDefault="009C502D" w:rsidP="009C502D">
      <w:pPr>
        <w:spacing w:after="0" w:line="240" w:lineRule="auto"/>
      </w:pPr>
      <w:r>
        <w:continuationSeparator/>
      </w:r>
    </w:p>
  </w:footnote>
  <w:footnote w:id="2">
    <w:p w:rsidR="009C502D" w:rsidRPr="00FD2438" w:rsidRDefault="009C502D" w:rsidP="009C502D">
      <w:pPr>
        <w:spacing w:after="0" w:line="240" w:lineRule="auto"/>
        <w:ind w:firstLine="0"/>
        <w:rPr>
          <w:rFonts w:ascii="Garamond" w:hAnsi="Garamond"/>
          <w:b/>
          <w:sz w:val="20"/>
          <w:szCs w:val="20"/>
          <w:lang w:val="sq-AL"/>
        </w:rPr>
      </w:pPr>
      <w:r w:rsidRPr="00FD2438">
        <w:rPr>
          <w:rStyle w:val="FootnoteReference"/>
          <w:rFonts w:ascii="Garamond" w:eastAsia="MS Mincho" w:hAnsi="Garamond"/>
          <w:sz w:val="20"/>
          <w:szCs w:val="20"/>
          <w:lang w:val="sq-AL"/>
        </w:rPr>
        <w:footnoteRef/>
      </w:r>
      <w:r w:rsidRPr="00FD2438">
        <w:rPr>
          <w:rFonts w:ascii="Garamond" w:hAnsi="Garamond"/>
          <w:sz w:val="20"/>
          <w:szCs w:val="20"/>
          <w:lang w:val="sq-AL"/>
        </w:rPr>
        <w:t xml:space="preserve"> Gjyqtari V. Kristo votoi për shfuqizimin e vendimit të Gjykatës së Lartë sipas qëndrimit të shprehur në mendimin paralel të vendimit nr. 37, datë 30.6.2014, të Gjykatës Kushtetuese lidhur me cenimin e standardit kushtetues të </w:t>
      </w:r>
      <w:r w:rsidRPr="00FD2438">
        <w:rPr>
          <w:rFonts w:ascii="Garamond" w:hAnsi="Garamond"/>
          <w:sz w:val="20"/>
          <w:szCs w:val="20"/>
          <w:lang w:val="sq-AL" w:eastAsia="fr-FR"/>
        </w:rPr>
        <w:t xml:space="preserve">arsyetimit të vendimit të mospranimit të rekursit të Gjykatës së Lartë në prani të dy vendimeve diametralisht të kundërta të gjykatave të faktit.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footnotePr>
    <w:footnote w:id="0"/>
    <w:footnote w:id="1"/>
  </w:footnotePr>
  <w:endnotePr>
    <w:endnote w:id="0"/>
    <w:endnote w:id="1"/>
  </w:endnotePr>
  <w:compat/>
  <w:rsids>
    <w:rsidRoot w:val="009C502D"/>
    <w:rsid w:val="00013606"/>
    <w:rsid w:val="00032E53"/>
    <w:rsid w:val="001D125B"/>
    <w:rsid w:val="002C0AA4"/>
    <w:rsid w:val="002E7553"/>
    <w:rsid w:val="00332E0F"/>
    <w:rsid w:val="00455FC5"/>
    <w:rsid w:val="004A4709"/>
    <w:rsid w:val="00627136"/>
    <w:rsid w:val="006815F0"/>
    <w:rsid w:val="007A33AA"/>
    <w:rsid w:val="00912120"/>
    <w:rsid w:val="009C502D"/>
    <w:rsid w:val="00A3508F"/>
    <w:rsid w:val="00B441A3"/>
    <w:rsid w:val="00CD6A42"/>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2D"/>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C502D"/>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C502D"/>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C502D"/>
    <w:rPr>
      <w:rFonts w:ascii="Garamond" w:eastAsia="MS Mincho" w:hAnsi="Garamond" w:cs="CG Times"/>
      <w:b/>
      <w:bCs/>
      <w:sz w:val="24"/>
      <w:lang w:val="en-GB"/>
    </w:rPr>
  </w:style>
  <w:style w:type="paragraph" w:customStyle="1" w:styleId="Paragrafi">
    <w:name w:val="Paragrafi"/>
    <w:link w:val="ParagrafiChar"/>
    <w:rsid w:val="009C502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C502D"/>
    <w:rPr>
      <w:rFonts w:ascii="Garamond" w:eastAsia="MS Mincho" w:hAnsi="Garamond" w:cs="CG Times"/>
      <w:sz w:val="24"/>
    </w:rPr>
  </w:style>
  <w:style w:type="paragraph" w:customStyle="1" w:styleId="Titulli">
    <w:name w:val="Titulli"/>
    <w:next w:val="Normal"/>
    <w:link w:val="TitulliChar"/>
    <w:rsid w:val="009C502D"/>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C502D"/>
    <w:rPr>
      <w:rFonts w:ascii="Garamond" w:eastAsia="MS Mincho" w:hAnsi="Garamond" w:cs="CG Times"/>
      <w:b/>
      <w:bCs/>
      <w:caps/>
      <w:sz w:val="24"/>
      <w:lang w:val="en-GB"/>
    </w:rPr>
  </w:style>
  <w:style w:type="character" w:customStyle="1" w:styleId="AktiChar">
    <w:name w:val="Akti Char"/>
    <w:basedOn w:val="DefaultParagraphFont"/>
    <w:link w:val="Akti"/>
    <w:rsid w:val="009C502D"/>
    <w:rPr>
      <w:rFonts w:ascii="Garamond" w:eastAsia="MS Mincho" w:hAnsi="Garamond" w:cs="CG Times"/>
      <w:b/>
      <w:bCs/>
      <w:caps/>
      <w:color w:val="000000"/>
      <w:sz w:val="24"/>
      <w:lang w:val="en-GB"/>
    </w:rPr>
  </w:style>
  <w:style w:type="paragraph" w:customStyle="1" w:styleId="Titull-Titull">
    <w:name w:val="Titull-Titull"/>
    <w:basedOn w:val="Paragrafi"/>
    <w:qFormat/>
    <w:rsid w:val="009C502D"/>
    <w:pPr>
      <w:ind w:firstLine="0"/>
      <w:jc w:val="center"/>
    </w:pPr>
    <w:rPr>
      <w:caps/>
      <w:szCs w:val="24"/>
    </w:rPr>
  </w:style>
  <w:style w:type="paragraph" w:customStyle="1" w:styleId="Vendosi">
    <w:name w:val="Vendosi"/>
    <w:basedOn w:val="Titull-Titull"/>
    <w:qFormat/>
    <w:rsid w:val="009C502D"/>
  </w:style>
  <w:style w:type="paragraph" w:customStyle="1" w:styleId="Hapesira7">
    <w:name w:val="Hapesira 7"/>
    <w:basedOn w:val="Paragrafi"/>
    <w:qFormat/>
    <w:rsid w:val="009C502D"/>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C502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3099</Words>
  <Characters>17667</Characters>
  <Application>Microsoft Office Word</Application>
  <DocSecurity>0</DocSecurity>
  <Lines>147</Lines>
  <Paragraphs>41</Paragraphs>
  <ScaleCrop>false</ScaleCrop>
  <Company>Grizli777</Company>
  <LinksUpToDate>false</LinksUpToDate>
  <CharactersWithSpaces>20725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2015-04-28T08:41:00Z</dcterms:created>
  <dcterms:modified xsi:type="dcterms:W3CDTF">2015-04-28T08:41:00Z</dcterms:modified>
</cp:coreProperties>
</file>