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85D" w:rsidRPr="00A47AB1" w:rsidRDefault="003A685D" w:rsidP="003A685D">
      <w:pPr>
        <w:pStyle w:val="Akti"/>
        <w:rPr>
          <w:lang w:val="sq-AL"/>
        </w:rPr>
      </w:pPr>
      <w:r w:rsidRPr="00A47AB1">
        <w:rPr>
          <w:lang w:val="sq-AL"/>
        </w:rPr>
        <w:t>VENDIM</w:t>
      </w:r>
    </w:p>
    <w:p w:rsidR="003A685D" w:rsidRPr="00A47AB1" w:rsidRDefault="003A685D" w:rsidP="003A685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A47AB1">
        <w:rPr>
          <w:lang w:val="sq-AL"/>
        </w:rPr>
        <w:t>54, datë 20.7.2015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Titulli"/>
        <w:rPr>
          <w:lang w:val="sq-AL"/>
        </w:rPr>
      </w:pPr>
      <w:r w:rsidRPr="00A47AB1">
        <w:rPr>
          <w:lang w:val="sq-AL"/>
        </w:rPr>
        <w:t>NË EMËR TË REPUBLIKËS SË SHQIPËRISË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Gjykata Kushtetuese e Republikës së Shqipërisë, e përbërë nga: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Bashkim Dedja</w:t>
      </w:r>
      <w:r w:rsidRPr="00A47AB1">
        <w:rPr>
          <w:lang w:val="sq-AL"/>
        </w:rPr>
        <w:tab/>
      </w:r>
      <w:r>
        <w:rPr>
          <w:lang w:val="sq-AL"/>
        </w:rPr>
        <w:t xml:space="preserve">     </w:t>
      </w:r>
      <w:r w:rsidRPr="00A47AB1">
        <w:rPr>
          <w:lang w:val="sq-AL"/>
        </w:rPr>
        <w:t>kryetar i</w:t>
      </w:r>
      <w:r>
        <w:rPr>
          <w:lang w:val="sq-AL"/>
        </w:rPr>
        <w:t xml:space="preserve"> </w:t>
      </w:r>
      <w:r w:rsidRPr="00A47AB1">
        <w:rPr>
          <w:lang w:val="sq-AL"/>
        </w:rPr>
        <w:t xml:space="preserve">Gjykatës Kushtetuese 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Vladimir Kristo</w:t>
      </w:r>
      <w:r w:rsidRPr="00A47AB1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A47AB1">
        <w:rPr>
          <w:lang w:val="sq-AL"/>
        </w:rPr>
        <w:t xml:space="preserve"> i</w:t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Sokol Berberi</w:t>
      </w:r>
      <w:r w:rsidRPr="00A47AB1">
        <w:rPr>
          <w:lang w:val="sq-AL"/>
        </w:rPr>
        <w:tab/>
      </w:r>
      <w:r w:rsidRPr="00A47AB1">
        <w:rPr>
          <w:lang w:val="sq-AL"/>
        </w:rPr>
        <w:tab/>
        <w:t>anëtar</w:t>
      </w:r>
      <w:r>
        <w:rPr>
          <w:lang w:val="sq-AL"/>
        </w:rPr>
        <w:t xml:space="preserve">  i         </w:t>
      </w:r>
      <w:r w:rsidRPr="00A47AB1">
        <w:rPr>
          <w:lang w:val="sq-AL"/>
        </w:rPr>
        <w:t>“</w:t>
      </w:r>
      <w:r w:rsidRPr="00A47AB1">
        <w:rPr>
          <w:lang w:val="sq-AL"/>
        </w:rPr>
        <w:tab/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Vitore Tusha</w:t>
      </w:r>
      <w:r w:rsidRPr="00A47AB1">
        <w:rPr>
          <w:lang w:val="sq-AL"/>
        </w:rPr>
        <w:tab/>
      </w:r>
      <w:r w:rsidRPr="00A47AB1">
        <w:rPr>
          <w:lang w:val="sq-AL"/>
        </w:rPr>
        <w:tab/>
        <w:t>a</w:t>
      </w:r>
      <w:r>
        <w:rPr>
          <w:lang w:val="sq-AL"/>
        </w:rPr>
        <w:t xml:space="preserve">nëtare e        </w:t>
      </w:r>
      <w:r w:rsidRPr="00A47AB1">
        <w:rPr>
          <w:lang w:val="sq-AL"/>
        </w:rPr>
        <w:t>“</w:t>
      </w:r>
      <w:r w:rsidRPr="00A47AB1">
        <w:rPr>
          <w:lang w:val="sq-AL"/>
        </w:rPr>
        <w:tab/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Altina Xhoxhaj</w:t>
      </w:r>
      <w:r w:rsidRPr="00A47AB1">
        <w:rPr>
          <w:lang w:val="sq-AL"/>
        </w:rPr>
        <w:tab/>
      </w:r>
      <w:r w:rsidRPr="00A47AB1">
        <w:rPr>
          <w:lang w:val="sq-AL"/>
        </w:rPr>
        <w:tab/>
        <w:t>a</w:t>
      </w:r>
      <w:r>
        <w:rPr>
          <w:lang w:val="sq-AL"/>
        </w:rPr>
        <w:t xml:space="preserve">nëtare e        </w:t>
      </w:r>
      <w:r w:rsidRPr="00A47AB1">
        <w:rPr>
          <w:lang w:val="sq-AL"/>
        </w:rPr>
        <w:t>“</w:t>
      </w:r>
      <w:r w:rsidRPr="00A47AB1">
        <w:rPr>
          <w:lang w:val="sq-AL"/>
        </w:rPr>
        <w:tab/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Fatmir Hoxha</w:t>
      </w:r>
      <w:r w:rsidRPr="00A47AB1">
        <w:rPr>
          <w:lang w:val="sq-AL"/>
        </w:rPr>
        <w:tab/>
      </w:r>
      <w:r w:rsidRPr="00A47AB1">
        <w:rPr>
          <w:lang w:val="sq-AL"/>
        </w:rPr>
        <w:tab/>
        <w:t>anëtar</w:t>
      </w:r>
      <w:r>
        <w:rPr>
          <w:lang w:val="sq-AL"/>
        </w:rPr>
        <w:t xml:space="preserve">  i         </w:t>
      </w:r>
      <w:r w:rsidRPr="00A47AB1">
        <w:rPr>
          <w:lang w:val="sq-AL"/>
        </w:rPr>
        <w:t>“</w:t>
      </w:r>
      <w:r w:rsidRPr="00A47AB1">
        <w:rPr>
          <w:lang w:val="sq-AL"/>
        </w:rPr>
        <w:tab/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Besnik Imeraj</w:t>
      </w:r>
      <w:r w:rsidRPr="00A47AB1">
        <w:rPr>
          <w:lang w:val="sq-AL"/>
        </w:rPr>
        <w:tab/>
      </w:r>
      <w:r w:rsidRPr="00A47AB1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A47AB1">
        <w:rPr>
          <w:lang w:val="sq-AL"/>
        </w:rPr>
        <w:t xml:space="preserve"> i</w:t>
      </w:r>
      <w:r>
        <w:rPr>
          <w:lang w:val="sq-AL"/>
        </w:rPr>
        <w:t xml:space="preserve">         </w:t>
      </w:r>
      <w:r w:rsidRPr="00A47AB1">
        <w:rPr>
          <w:lang w:val="sq-AL"/>
        </w:rPr>
        <w:t>“</w:t>
      </w:r>
      <w:r w:rsidRPr="00A47AB1">
        <w:rPr>
          <w:lang w:val="sq-AL"/>
        </w:rPr>
        <w:tab/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ind w:firstLine="0"/>
        <w:rPr>
          <w:lang w:val="sq-AL"/>
        </w:rPr>
      </w:pPr>
      <w:r w:rsidRPr="00A47AB1">
        <w:rPr>
          <w:lang w:val="sq-AL"/>
        </w:rPr>
        <w:t>Fatos Lulo</w:t>
      </w:r>
      <w:r w:rsidRPr="00A47AB1">
        <w:rPr>
          <w:lang w:val="sq-AL"/>
        </w:rPr>
        <w:tab/>
      </w:r>
      <w:r w:rsidRPr="00A47AB1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A47AB1">
        <w:rPr>
          <w:lang w:val="sq-AL"/>
        </w:rPr>
        <w:t xml:space="preserve"> i</w:t>
      </w:r>
      <w:r>
        <w:rPr>
          <w:lang w:val="sq-AL"/>
        </w:rPr>
        <w:t xml:space="preserve">         </w:t>
      </w:r>
      <w:r w:rsidRPr="00A47AB1">
        <w:rPr>
          <w:lang w:val="sq-AL"/>
        </w:rPr>
        <w:t>“</w:t>
      </w:r>
      <w:r w:rsidRPr="00A47AB1">
        <w:rPr>
          <w:lang w:val="sq-AL"/>
        </w:rPr>
        <w:tab/>
      </w:r>
      <w:r>
        <w:rPr>
          <w:lang w:val="sq-AL"/>
        </w:rPr>
        <w:t xml:space="preserve">        </w:t>
      </w:r>
      <w:r w:rsidRPr="00A47AB1">
        <w:rPr>
          <w:lang w:val="sq-AL"/>
        </w:rPr>
        <w:t>“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me sekretare Edmira Babaj, në datën 28.05.2015 mori në shqyrtim në seancë plenare, mbi bazë dokumentesh, çështjen me </w:t>
      </w:r>
      <w:r>
        <w:rPr>
          <w:lang w:val="sq-AL"/>
        </w:rPr>
        <w:t xml:space="preserve">nr. </w:t>
      </w:r>
      <w:r w:rsidRPr="00A47AB1">
        <w:rPr>
          <w:lang w:val="sq-AL"/>
        </w:rPr>
        <w:t>26 Akti, që i përket: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KËRKUES: Astrit Duraku 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SUBJEKT I INTERESUAR: Shoqëria “Ndërtuesi 10” sh.p.k.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OBJEKTI:</w:t>
      </w:r>
      <w:r w:rsidRPr="00A47AB1">
        <w:rPr>
          <w:lang w:val="sq-AL"/>
        </w:rPr>
        <w:tab/>
        <w:t xml:space="preserve">Shfuqizimi si i papajtueshëm me Kushtetutën i vendimit </w:t>
      </w:r>
      <w:r>
        <w:rPr>
          <w:lang w:val="sq-AL"/>
        </w:rPr>
        <w:t xml:space="preserve">nr. </w:t>
      </w:r>
      <w:r w:rsidRPr="00A47AB1">
        <w:rPr>
          <w:lang w:val="sq-AL"/>
        </w:rPr>
        <w:t>00-2014-3595, datë 12.12.2014 të Gjykatës së Lartë.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BA</w:t>
      </w:r>
      <w:r>
        <w:rPr>
          <w:lang w:val="sq-AL"/>
        </w:rPr>
        <w:t>ZA LIGJORE:</w:t>
      </w:r>
      <w:r>
        <w:rPr>
          <w:lang w:val="sq-AL"/>
        </w:rPr>
        <w:tab/>
        <w:t>Nenet 41, 42, 131/f</w:t>
      </w:r>
      <w:r w:rsidRPr="00A47AB1">
        <w:rPr>
          <w:lang w:val="sq-AL"/>
        </w:rPr>
        <w:t xml:space="preserve">, 134/1/g dhe 142 të Kushtetutës së Republikës së Shqipërisë, nenet 6/1 dhe 13 të Konventës Evropiane për të Drejtat e Njeriut, si dhe nenet 28, 29 dhe 30 të ligjit </w:t>
      </w:r>
      <w:r>
        <w:rPr>
          <w:lang w:val="sq-AL"/>
        </w:rPr>
        <w:t xml:space="preserve">nr. </w:t>
      </w:r>
      <w:r w:rsidRPr="00A47AB1">
        <w:rPr>
          <w:lang w:val="sq-AL"/>
        </w:rPr>
        <w:t xml:space="preserve">8577, datë 10.02.2000 “Për organizimin dhe funksionimin e Gjykatës Kushtetuese të Republikës së Shqipërisë”. 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Vendosi"/>
        <w:rPr>
          <w:lang w:val="sq-AL"/>
        </w:rPr>
      </w:pPr>
      <w:r w:rsidRPr="00A47AB1">
        <w:rPr>
          <w:lang w:val="sq-AL"/>
        </w:rPr>
        <w:t>GJYKATA KUSHTETUESE,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pasi dëgjoi relatorin e çështjes Fatos Lulo, mori në shqyrtim pretendimet me shkrim të kërkuesit, që është shprehur për pranimin e kërkesës, prapësimet me shkrim të subjektit të interesuar, që ka kërkuar rrëzimin e kërkesës, dhe diskutoi çështjen në tërësi,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Default="003A685D" w:rsidP="003A685D">
      <w:pPr>
        <w:pStyle w:val="Vendosi"/>
        <w:rPr>
          <w:lang w:val="sq-AL"/>
        </w:rPr>
      </w:pPr>
      <w:r w:rsidRPr="00A47AB1">
        <w:rPr>
          <w:lang w:val="sq-AL"/>
        </w:rPr>
        <w:t>VËREN:</w:t>
      </w:r>
    </w:p>
    <w:p w:rsidR="003A685D" w:rsidRPr="000A3A96" w:rsidRDefault="003A685D" w:rsidP="003A685D">
      <w:pPr>
        <w:pStyle w:val="Vendosi"/>
        <w:rPr>
          <w:sz w:val="14"/>
          <w:szCs w:val="14"/>
          <w:lang w:val="sq-AL"/>
        </w:rPr>
      </w:pPr>
    </w:p>
    <w:p w:rsidR="003A685D" w:rsidRPr="00A47AB1" w:rsidRDefault="003A685D" w:rsidP="003A685D">
      <w:pPr>
        <w:pStyle w:val="Vendosi"/>
        <w:rPr>
          <w:b/>
          <w:lang w:val="sq-AL"/>
        </w:rPr>
      </w:pPr>
      <w:r w:rsidRPr="00A47AB1">
        <w:rPr>
          <w:b/>
          <w:lang w:val="sq-AL"/>
        </w:rPr>
        <w:t>I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1. Kërkuesi Astrit Duraku, në cilësinë e njërit prej trashëgimtarëve ligjorë të S.D. dhe bashkëpronar i pasurisë së paluajtshme truall 227 m</w:t>
      </w:r>
      <w:r w:rsidRPr="003F513C">
        <w:rPr>
          <w:vertAlign w:val="superscript"/>
          <w:lang w:val="sq-AL"/>
        </w:rPr>
        <w:t>2</w:t>
      </w:r>
      <w:r w:rsidRPr="00A47AB1">
        <w:rPr>
          <w:lang w:val="sq-AL"/>
        </w:rPr>
        <w:t xml:space="preserve">, me numër regjistri hipotekor 648, datë 30.09.1960, ka lidhur me subjektin e interesuar shoqëria “Ndërtuesi 10” sh.p.k. kontratën e sipërmarrjes me </w:t>
      </w:r>
      <w:r>
        <w:rPr>
          <w:lang w:val="sq-AL"/>
        </w:rPr>
        <w:t xml:space="preserve">nr. </w:t>
      </w:r>
      <w:r w:rsidRPr="00A47AB1">
        <w:rPr>
          <w:lang w:val="sq-AL"/>
        </w:rPr>
        <w:t>2445 rep</w:t>
      </w:r>
      <w:r>
        <w:rPr>
          <w:lang w:val="sq-AL"/>
        </w:rPr>
        <w:t>.</w:t>
      </w:r>
      <w:r w:rsidRPr="00A47AB1">
        <w:rPr>
          <w:lang w:val="sq-AL"/>
        </w:rPr>
        <w:t xml:space="preserve"> dhe </w:t>
      </w:r>
      <w:r>
        <w:rPr>
          <w:lang w:val="sq-AL"/>
        </w:rPr>
        <w:t xml:space="preserve">nr. </w:t>
      </w:r>
      <w:r w:rsidRPr="00A47AB1">
        <w:rPr>
          <w:lang w:val="sq-AL"/>
        </w:rPr>
        <w:t>196 kol., datë 25.04.2002, si dhe ka nënshkruar dy deklarata noteriale (</w:t>
      </w:r>
      <w:r w:rsidRPr="00A47AB1">
        <w:rPr>
          <w:i/>
          <w:lang w:val="sq-AL"/>
        </w:rPr>
        <w:t>datë 24.04.2002 dhe 25.04.2002</w:t>
      </w:r>
      <w:r w:rsidRPr="00A47AB1">
        <w:rPr>
          <w:lang w:val="sq-AL"/>
        </w:rPr>
        <w:t>). Në bazë të këtyre akteve palët kanë rënë dakord që subjekti i interesuar të ndërtojë një pallat 8 deri në 10 kate përkundrejt përftimit nga kërkuesi të përqindjeve të caktuara të sipërfaqes ndërtimore të pallatit. Duke qenë se kërkuesi ka pretenduar se sipërfaqet takuese nuk i janë dorëzuar në kohë, ai i është drejtuar gjykatës për përmbushjen e detyrimeve nga subjekti i interesuar sipas këtyre akteve, si dhe për pagesën e vlerës së qirasë së banesës për moszbatimin e afatit të ndërtimit.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2. Gjykata e Rrethit Gjyqësor Tiranë, me vendimin </w:t>
      </w:r>
      <w:r>
        <w:rPr>
          <w:lang w:val="sq-AL"/>
        </w:rPr>
        <w:t xml:space="preserve">nr. </w:t>
      </w:r>
      <w:r w:rsidRPr="00A47AB1">
        <w:rPr>
          <w:lang w:val="sq-AL"/>
        </w:rPr>
        <w:t xml:space="preserve">769, </w:t>
      </w:r>
      <w:r>
        <w:rPr>
          <w:lang w:val="sq-AL"/>
        </w:rPr>
        <w:t>datë 16.02.2005, ka vendosur: “</w:t>
      </w:r>
      <w:r w:rsidRPr="00A47AB1">
        <w:rPr>
          <w:lang w:val="sq-AL"/>
        </w:rPr>
        <w:t xml:space="preserve">Pranimin pjesërisht të padisë. Detyrimin e palës së paditur “Ndërtuesi 10” sh.p.k. që për efekt të deklaratës noteriale </w:t>
      </w:r>
      <w:r>
        <w:rPr>
          <w:lang w:val="sq-AL"/>
        </w:rPr>
        <w:t xml:space="preserve">nr. </w:t>
      </w:r>
      <w:r w:rsidRPr="00A47AB1">
        <w:rPr>
          <w:lang w:val="sq-AL"/>
        </w:rPr>
        <w:t>2015 rep. dhe 372 kol, datë 24.04.2002 t’i japë paditësit Astrit Duraku sipërfaqe apartamenti banimi 67 m</w:t>
      </w:r>
      <w:r w:rsidRPr="003F513C">
        <w:rPr>
          <w:vertAlign w:val="superscript"/>
          <w:lang w:val="sq-AL"/>
        </w:rPr>
        <w:t>2</w:t>
      </w:r>
      <w:r w:rsidRPr="00A47AB1">
        <w:rPr>
          <w:lang w:val="sq-AL"/>
        </w:rPr>
        <w:t>, sipërfaqe dyqani 28.35 m² dhe sipërfaqe garazhi 30.09 m</w:t>
      </w:r>
      <w:r w:rsidRPr="003F513C">
        <w:rPr>
          <w:vertAlign w:val="superscript"/>
          <w:lang w:val="sq-AL"/>
        </w:rPr>
        <w:t>2</w:t>
      </w:r>
      <w:r w:rsidRPr="00A47AB1">
        <w:rPr>
          <w:lang w:val="sq-AL"/>
        </w:rPr>
        <w:t xml:space="preserve">. Pushimin e gjykimit të padisë për pjesën tjetër të saj. Ligjërimin e masës së padisë për pjesën tjetër të </w:t>
      </w:r>
      <w:r w:rsidRPr="00A47AB1">
        <w:rPr>
          <w:lang w:val="sq-AL"/>
        </w:rPr>
        <w:lastRenderedPageBreak/>
        <w:t>saj”.</w:t>
      </w:r>
    </w:p>
    <w:p w:rsidR="003A685D" w:rsidRPr="003917D9" w:rsidRDefault="003A685D" w:rsidP="003A685D">
      <w:pPr>
        <w:pStyle w:val="Paragrafi"/>
        <w:rPr>
          <w:spacing w:val="-4"/>
          <w:lang w:val="sq-AL"/>
        </w:rPr>
      </w:pPr>
      <w:r w:rsidRPr="003917D9">
        <w:rPr>
          <w:spacing w:val="-4"/>
          <w:lang w:val="sq-AL"/>
        </w:rPr>
        <w:t>3. Gjykata e Apelit Tiranë, me vendimin nr. 474, datë 26.04.2006, ka vendosur: “Lënien në fuqi të vendimit nr. 769, datë 16.02.2005 të Gjykatës së Rrethit Gjyqësor Tiranë”.</w:t>
      </w:r>
    </w:p>
    <w:p w:rsidR="003A685D" w:rsidRPr="003917D9" w:rsidRDefault="003A685D" w:rsidP="003A685D">
      <w:pPr>
        <w:pStyle w:val="Paragrafi"/>
        <w:rPr>
          <w:spacing w:val="-4"/>
          <w:lang w:val="sq-AL"/>
        </w:rPr>
      </w:pPr>
      <w:r w:rsidRPr="003917D9">
        <w:rPr>
          <w:spacing w:val="-4"/>
          <w:lang w:val="sq-AL"/>
        </w:rPr>
        <w:t>4. Kolegji Civil i Gjykatës së Lartë, me vendimin nr. 337, datë 21.03.2007, ka vendosur prishjen e vendimeve të mësipërme gjyqësore dhe dërgimin e çështjes për rishqyrtim në gjykatën e shkallës së parë, me një tjetër trup gjykues.</w:t>
      </w:r>
    </w:p>
    <w:p w:rsidR="003A685D" w:rsidRPr="003917D9" w:rsidRDefault="003A685D" w:rsidP="003A685D">
      <w:pPr>
        <w:pStyle w:val="Paragrafi"/>
        <w:rPr>
          <w:spacing w:val="-4"/>
          <w:lang w:val="sq-AL"/>
        </w:rPr>
      </w:pPr>
      <w:r w:rsidRPr="003917D9">
        <w:rPr>
          <w:spacing w:val="-4"/>
          <w:lang w:val="sq-AL"/>
        </w:rPr>
        <w:t>5. Gjykata e Rrethit Gjyqësor Tiranë, me vendimin nr. 4365, datë 25.05.2011 ka vendosur: “Pranimin e pjesshëm të padisë. Detyrimin e palës së paditur [...] t’i dorëzojë paditësit [...] apartament banimi [...] sipërfaqe ndërtimore për banim [...], sipas mundësive që verifikohen në momentin e ekzekutimit të vendimit ose kundërvlerën e saj sipas çmimit të përcaktuar [...] dyqanin nr. 2 me sipërfaqe 55 m</w:t>
      </w:r>
      <w:r w:rsidRPr="003917D9">
        <w:rPr>
          <w:spacing w:val="-4"/>
          <w:vertAlign w:val="superscript"/>
          <w:lang w:val="sq-AL"/>
        </w:rPr>
        <w:t>2</w:t>
      </w:r>
      <w:r w:rsidRPr="003917D9">
        <w:rPr>
          <w:spacing w:val="-4"/>
          <w:lang w:val="sq-AL"/>
        </w:rPr>
        <w:t xml:space="preserve">. Ligjërimin e masës së padisë për pjesën e pranuar të objektit. Rrëzimin e padisë për pjesën tjetër të kërkimeve”. 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3917D9">
        <w:rPr>
          <w:spacing w:val="-4"/>
          <w:lang w:val="sq-AL"/>
        </w:rPr>
        <w:t>6. Gjykata e Apelit Tiranë, me vendimin nr. 240, datë 01.02.2012, ka vendosur “Lënien në fuqi të vendimit nr. 4365, datë 25.05.2011 të</w:t>
      </w:r>
      <w:r w:rsidRPr="00A47AB1">
        <w:rPr>
          <w:lang w:val="sq-AL"/>
        </w:rPr>
        <w:t xml:space="preserve"> Gjykatës së Rrethit Gjyqësor Tiranë”.</w:t>
      </w:r>
    </w:p>
    <w:p w:rsidR="003A685D" w:rsidRDefault="003A685D" w:rsidP="003A685D">
      <w:pPr>
        <w:pStyle w:val="Paragrafi"/>
        <w:rPr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7. Kolegji Civil i Gjykatës së Lartë, me vendimin </w:t>
      </w:r>
      <w:r>
        <w:rPr>
          <w:lang w:val="sq-AL"/>
        </w:rPr>
        <w:t xml:space="preserve">nr. </w:t>
      </w:r>
      <w:r w:rsidRPr="00A47AB1">
        <w:rPr>
          <w:lang w:val="sq-AL"/>
        </w:rPr>
        <w:t xml:space="preserve">00-2014-3595, datë 12.12.2014, ka vendosur mospranimin e rekursit të paraqitur nga kërkuesi kundër vendimeve </w:t>
      </w:r>
      <w:r>
        <w:rPr>
          <w:lang w:val="sq-AL"/>
        </w:rPr>
        <w:t xml:space="preserve">nr. </w:t>
      </w:r>
      <w:r w:rsidRPr="00A47AB1">
        <w:rPr>
          <w:lang w:val="sq-AL"/>
        </w:rPr>
        <w:t xml:space="preserve">240, datë 01.02.2012 të Gjykatës së Apelit Tiranë dhe </w:t>
      </w:r>
      <w:r>
        <w:rPr>
          <w:lang w:val="sq-AL"/>
        </w:rPr>
        <w:t xml:space="preserve">nr. </w:t>
      </w:r>
      <w:r w:rsidRPr="00A47AB1">
        <w:rPr>
          <w:lang w:val="sq-AL"/>
        </w:rPr>
        <w:t>4365, datë 25.05.2011 të Gjykatës së Rrethit Gjyqësor Tiranë.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Vendosi"/>
        <w:rPr>
          <w:b/>
          <w:lang w:val="sq-AL"/>
        </w:rPr>
      </w:pPr>
      <w:r w:rsidRPr="00A47AB1">
        <w:rPr>
          <w:b/>
          <w:lang w:val="sq-AL"/>
        </w:rPr>
        <w:t>II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8. </w:t>
      </w:r>
      <w:r w:rsidRPr="00A47AB1">
        <w:rPr>
          <w:b/>
          <w:i/>
          <w:lang w:val="sq-AL"/>
        </w:rPr>
        <w:t>Kërkuesi</w:t>
      </w:r>
      <w:r w:rsidRPr="00A47AB1">
        <w:rPr>
          <w:lang w:val="sq-AL"/>
        </w:rPr>
        <w:t xml:space="preserve"> i është drejtuar Gjykatës Kushtetuese duke pretenduar cenimin e së drejtës për një proces të rregullt ligjor gjatë procesit gjyqësor të zhvilluar në Gjykatën e Lartë në këto drejtime: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8.1 Është cenuar </w:t>
      </w:r>
      <w:r w:rsidRPr="00A47AB1">
        <w:rPr>
          <w:i/>
          <w:lang w:val="sq-AL"/>
        </w:rPr>
        <w:t>parimi i paanshmërisë</w:t>
      </w:r>
      <w:r w:rsidRPr="00A47AB1">
        <w:rPr>
          <w:lang w:val="sq-AL"/>
        </w:rPr>
        <w:t>, pasi njëri prej gjyqtarëve në përbërje të Kolegjit Civil të Gjykatës së Lartë ka marrë pjesë edhe në trupin gjykues që ka gjykuar çështjen në Gjykatën e Apelit Tiranë.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8.2 Është cenuar </w:t>
      </w:r>
      <w:r w:rsidRPr="008740B4">
        <w:rPr>
          <w:lang w:val="sq-AL"/>
        </w:rPr>
        <w:t>standardi</w:t>
      </w:r>
      <w:r w:rsidRPr="00A47AB1">
        <w:rPr>
          <w:i/>
          <w:lang w:val="sq-AL"/>
        </w:rPr>
        <w:t xml:space="preserve"> i arsyetimit</w:t>
      </w:r>
      <w:r w:rsidRPr="00A47AB1">
        <w:rPr>
          <w:lang w:val="sq-AL"/>
        </w:rPr>
        <w:t xml:space="preserve"> të vendimit gjyqësor, pasi në vendimin e Kolegjit Civil nuk janë pasqyruar shkaqet e ngritura në rekurs.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8.3 Është cenuar </w:t>
      </w:r>
      <w:r w:rsidRPr="00A47AB1">
        <w:rPr>
          <w:i/>
          <w:lang w:val="sq-AL"/>
        </w:rPr>
        <w:t>e drejta për t’iu drejtuar</w:t>
      </w:r>
      <w:r w:rsidRPr="00A47AB1">
        <w:rPr>
          <w:lang w:val="sq-AL"/>
        </w:rPr>
        <w:t xml:space="preserve"> gjykatës dhe për të marrë zgjidhje ligjore për pretendimet e ngritura para saj.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9. </w:t>
      </w:r>
      <w:r w:rsidRPr="00A47AB1">
        <w:rPr>
          <w:b/>
          <w:i/>
          <w:lang w:val="sq-AL"/>
        </w:rPr>
        <w:t>Subjekti i interesuar</w:t>
      </w:r>
      <w:r w:rsidRPr="00A47AB1">
        <w:rPr>
          <w:lang w:val="sq-AL"/>
        </w:rPr>
        <w:t xml:space="preserve"> në pretendimet me shkrim para Gjykatës ka kërkuar rrëzimin e kërkesës bazuar në këto argumente: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9.1 Fakti që gjyqtari A.B. ka marrë pjesë në trupin gjykues që ka gjykuar çështjen në Gjykatën e Apelit Tiranë dhe njëherazi në Gjykatën e Lartë (GJL) nuk mund të shërbejë si shkak për shfuqizimin e vendimit të GJL-së, pasi në gjykimin në apel ky gjyqtar ka votuar pro kërkimeve të kërkuesit, ndërsa gjykimi në dhomë këshillimi kufizohet vetëm në vlerësimin nëse çështjet e ngritura në rekurs plotësojnë ose jo kriteret e parashikuara nga neni 472 i KPC-së.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9.2 Vendimi i Kolegjit Civil të Gjykatës së Lartë ka pasqyruar në mënyrë të plotë e të detajuar pretendimet e palëve ndërgjyqëse dhe është rrjedhim i një gjykimi brenda kufijve ligjorë të shqyrtimit të çështjes në dhomën e këshillimit.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9.3 Gjithashtu, pretendimi për cenim të së drejtës për t’iu drejtuar gjykatës është i pabazuar, pasi kërkuesi ka marrë përgjigje përfundimtare dhe të arsyetuar nga gjykatat për të gjitha kërkesat e parashtruara para tyre. </w:t>
      </w:r>
    </w:p>
    <w:p w:rsidR="003A685D" w:rsidRDefault="003A685D" w:rsidP="003A685D">
      <w:pPr>
        <w:pStyle w:val="Vendosi"/>
        <w:rPr>
          <w:b/>
          <w:lang w:val="sq-AL"/>
        </w:rPr>
      </w:pPr>
    </w:p>
    <w:p w:rsidR="003A685D" w:rsidRPr="00A47AB1" w:rsidRDefault="003A685D" w:rsidP="003A685D">
      <w:pPr>
        <w:pStyle w:val="Vendosi"/>
        <w:rPr>
          <w:b/>
          <w:lang w:val="sq-AL"/>
        </w:rPr>
      </w:pPr>
      <w:r w:rsidRPr="00A47AB1">
        <w:rPr>
          <w:b/>
          <w:lang w:val="sq-AL"/>
        </w:rPr>
        <w:t>III</w:t>
      </w:r>
    </w:p>
    <w:p w:rsidR="003A685D" w:rsidRPr="00A47AB1" w:rsidRDefault="003A685D" w:rsidP="003A685D">
      <w:pPr>
        <w:pStyle w:val="Vendosi"/>
        <w:rPr>
          <w:b/>
          <w:lang w:val="sq-AL"/>
        </w:rPr>
      </w:pPr>
      <w:r w:rsidRPr="00A47AB1">
        <w:rPr>
          <w:b/>
          <w:caps w:val="0"/>
          <w:lang w:val="sq-AL"/>
        </w:rPr>
        <w:t>Vlerësimi i Gjykatës Kushtetuese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Paragrafi"/>
        <w:rPr>
          <w:i/>
          <w:lang w:val="sq-AL"/>
        </w:rPr>
      </w:pPr>
      <w:r w:rsidRPr="00A47AB1">
        <w:rPr>
          <w:i/>
          <w:lang w:val="sq-AL"/>
        </w:rPr>
        <w:t xml:space="preserve">A. Për legjitimimin e kërkuesit 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10. Gjykata vlerëson se kërkuesi legjitimohet </w:t>
      </w:r>
      <w:r w:rsidRPr="00EB005B">
        <w:rPr>
          <w:i/>
          <w:lang w:val="sq-AL"/>
        </w:rPr>
        <w:t>ratione personae</w:t>
      </w:r>
      <w:r w:rsidRPr="00A47AB1">
        <w:rPr>
          <w:lang w:val="sq-AL"/>
        </w:rPr>
        <w:t xml:space="preserve">, në kuptim të neneve 131/f dhe </w:t>
      </w:r>
      <w:r w:rsidRPr="00A47AB1">
        <w:rPr>
          <w:lang w:val="sq-AL"/>
        </w:rPr>
        <w:lastRenderedPageBreak/>
        <w:t xml:space="preserve">134/1/g të Kushtetutës, dhe </w:t>
      </w:r>
      <w:r w:rsidRPr="00EB005B">
        <w:rPr>
          <w:i/>
          <w:lang w:val="sq-AL"/>
        </w:rPr>
        <w:t>ratione temporis</w:t>
      </w:r>
      <w:r w:rsidRPr="00A47AB1">
        <w:rPr>
          <w:lang w:val="sq-AL"/>
        </w:rPr>
        <w:t xml:space="preserve">, pasi kërkesa është paraqitur në Gjykatën Kushtetuese brenda afatit të parashikuar nga ligji. Në kuptim të nenit 30 të ligjit </w:t>
      </w:r>
      <w:r>
        <w:rPr>
          <w:lang w:val="sq-AL"/>
        </w:rPr>
        <w:t xml:space="preserve">nr. </w:t>
      </w:r>
      <w:r w:rsidRPr="00A47AB1">
        <w:rPr>
          <w:lang w:val="sq-AL"/>
        </w:rPr>
        <w:t xml:space="preserve">8577, datë 10.2.2000 “Për organizimin dhe funksionimin e Gjykatës Kushtetuese të Republikës së Shqipërisë”, individi, pasi të ketë shteruar të gjitha mjetet juridike për mbrojtjen e të drejtave të tij, mund ta paraqesë kërkesën në Gjykatën Kushtetuese brenda 2 vjetëve nga data e njoftimit të vendimit të fundit të organit përkatës shtetëror. Në rastin në shqyrtim Gjykata konstaton se vendimi më i fundit në kohë është vendimi </w:t>
      </w:r>
      <w:r>
        <w:rPr>
          <w:lang w:val="sq-AL"/>
        </w:rPr>
        <w:t xml:space="preserve">nr. </w:t>
      </w:r>
      <w:r w:rsidRPr="00A47AB1">
        <w:rPr>
          <w:lang w:val="sq-AL"/>
        </w:rPr>
        <w:t>00-2014-3595, datë 12.12.2014 i Kolegjit Civil të Gjykatës së Lartë.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11. Në lidhje me legjitimimin </w:t>
      </w:r>
      <w:r w:rsidRPr="00A47AB1">
        <w:rPr>
          <w:i/>
          <w:lang w:val="sq-AL"/>
        </w:rPr>
        <w:t>ratione materiae</w:t>
      </w:r>
      <w:r w:rsidRPr="00A47AB1">
        <w:rPr>
          <w:lang w:val="sq-AL"/>
        </w:rPr>
        <w:t>, Gjykata rithekson se kontrolli kushtetues ndaj vendimeve gjyqësore është i kufizuar vetëm në funksion të mbrojtjes së të drejtave kushtetuese për një proces të rregullt ligjor (</w:t>
      </w:r>
      <w:r w:rsidRPr="00A47AB1">
        <w:rPr>
          <w:i/>
          <w:lang w:val="sq-AL"/>
        </w:rPr>
        <w:t xml:space="preserve">shih vendimet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 xml:space="preserve">22, datë 22.07.2009;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>31, datë 05.07.2011 të Gjykatës Kushtetuese</w:t>
      </w:r>
      <w:r w:rsidRPr="00A47AB1">
        <w:rPr>
          <w:lang w:val="sq-AL"/>
        </w:rPr>
        <w:t>). Ajo ndërhyn në ato raste kur, përmes veprimeve të tyre, gjykatat e zakonshme cenojnë të drejtat kushtetuese për një proces të rregullt ligjor. Në këto raste, Gjykata nuk bën rivlerësimin e fakteve dhe të rrethanave, por një vlerësim të natyrës kushtetuese, të dallueshëm nga ai i gjykatave të juridiksionit të zakonshëm. Gjykata e analizon ligjin, faktin dhe rrethanën përkatëse në atë dimension që ka ndikim mbi të drejtat dhe liritë e parashikuara nga nenet 42 dhe 131, shkronja “f”, të Kushtetutës, gjë e cila përbën juridiksionin e saj kushtetues. Detyra e Gjykatës nuk është zgjidhja e një mosmarrëveshjeje juridike për çështje fakti, por identifikimi i fakteve të natyrës kushtetuese, të cilat shërbejnë për realizimin e kompetencave të saj dhe përbëjnë elementin thelbësor në përcaktimin e autoritetit të një gjykimi kushtetues (</w:t>
      </w:r>
      <w:r w:rsidRPr="00A47AB1">
        <w:rPr>
          <w:i/>
          <w:lang w:val="sq-AL"/>
        </w:rPr>
        <w:t xml:space="preserve">shih vendimet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 xml:space="preserve">14, datë 03.06.2009;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>16, datë 19.04.2013 të Gjykatës Kushtetuese</w:t>
      </w:r>
      <w:r w:rsidRPr="00A47AB1">
        <w:rPr>
          <w:lang w:val="sq-AL"/>
        </w:rPr>
        <w:t xml:space="preserve">). 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12. Bazuar në standardet e mësipërme Gjykata vëren se argumentet e kërkuesit në mbështetje të pretendimeve për parregullsi të gjykimit në Gjykatën e Lartë lidhen me respektimin e parimit të paanshmërisë, standardin kushtetues të arsyetimit të vendimit gjyqësor dhe të drejtën e aksesit në gjykim. Në këto kushte, nisur nga natyra </w:t>
      </w:r>
      <w:r w:rsidRPr="00A47AB1">
        <w:rPr>
          <w:i/>
          <w:lang w:val="sq-AL"/>
        </w:rPr>
        <w:t>prima facie</w:t>
      </w:r>
      <w:r w:rsidRPr="00A47AB1">
        <w:rPr>
          <w:lang w:val="sq-AL"/>
        </w:rPr>
        <w:t xml:space="preserve"> e këtyre pretendimeve, Gjykata çmon se vlerësimi i tyre përfshihet në juridiksionin kushtetues.</w:t>
      </w:r>
    </w:p>
    <w:p w:rsidR="003A685D" w:rsidRPr="00A47AB1" w:rsidRDefault="003A685D" w:rsidP="003A685D">
      <w:pPr>
        <w:pStyle w:val="Paragrafi"/>
        <w:rPr>
          <w:i/>
          <w:lang w:val="sq-AL"/>
        </w:rPr>
      </w:pPr>
      <w:r w:rsidRPr="00A47AB1">
        <w:rPr>
          <w:i/>
          <w:lang w:val="sq-AL"/>
        </w:rPr>
        <w:t>B. Për cenimin e parimit të paanshmërisë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13. Kërkuesi ka pretenduar se gjatë gjykimit të çështjes në Gjykatën e Lartë është cenuar parimi i paanshmërisë, pasi njëri prej gjyqtarëve në përbërje të Kolegjit Civil të Gjykatës së Lartë</w:t>
      </w:r>
      <w:r>
        <w:rPr>
          <w:lang w:val="sq-AL"/>
        </w:rPr>
        <w:t xml:space="preserve"> </w:t>
      </w:r>
      <w:r w:rsidRPr="00A47AB1">
        <w:rPr>
          <w:lang w:val="sq-AL"/>
        </w:rPr>
        <w:t xml:space="preserve">ka marrë pjesë edhe në trupin gjykues që ka gjykuar çështjen në Gjykatën e Apelit Tiranë. 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14. Gjykata ka theksuar në jurisprudencën e saj se gjykimi nga një gjykatë e paanshme është një nga elementet e procesit të rregullt ligjor, sanksionuar nga neni 42 i Kushtetutës dhe neni 6 i KEDNJ-së. 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15. Në këtë kuadër, Gjykata ka theksuar se parimi i paanshmërisë ka në vetvete elementin e vet subjektiv, i cili lidhet ngushtë me bindjen e brendshme që krijon gjyqtari për zgjidhjen e çështjes në gjykim, si dhe elementin objektiv, me të cilin kuptohet dhënia e garancive të nevojshme për gjykim të paanshëm nga vetë gjykata përmes mënjanimit prej saj të çdo dyshimi të përligjur në këtë drejtim. Ndër të tjera, gjykata duhet të jetë e kujdesshme dhe të marrë parasysh veçanërisht problemin e përbërjes së trupit gjykues, në mënyrë që të mënjanohen nga gjykimi i çështjes gjyqtarët që nuk kanë garancitë e kërkuara për paanshmëri në kuptimin objektiv. Në shtetin e së drejtës kjo kërkesë merr rëndësi të veçantë në funksion të besimit në dhënien e drejtësisë që duhet të krijojnë në çdo rast në shoqërinë demokratike jo vetëm palët në gjykim, por çdo qytetar i thjeshtë (</w:t>
      </w:r>
      <w:r w:rsidRPr="00A47AB1">
        <w:rPr>
          <w:i/>
          <w:lang w:val="sq-AL"/>
        </w:rPr>
        <w:t xml:space="preserve">shih vendimin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>12, datë 13.04.2007 të Gjykatës Kushtetuese</w:t>
      </w:r>
      <w:r w:rsidRPr="00A47AB1">
        <w:rPr>
          <w:lang w:val="sq-AL"/>
        </w:rPr>
        <w:t>).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16. Jurisprudenca e Gjykatës ka evidentuar se parimi i paanshmërisë në gjykim, në këndvështrim të përbërjes së trupit gjykues, duhet të respektohet në çdo shkallë të gjykimit, duke mos përjashtuar as shqyrtimin e çështjes në dhomën e këshillimit të Gjykatës së Lartë. Gjykata ka theksuar se “...thjesht dhe vetëm pjesëmarrja e një apo më shumë gjyqtarëve në një procedim të mëparshëm, pavarësisht nga ndikimi i prezencës dhe i mendimit të tyre në të gjithë trupin gjykues, është një arsye e mjaftueshme dhe njëkohësisht një garanci më pak për kërkuesin, tek i cili është krijuar dyshimi i </w:t>
      </w:r>
      <w:r w:rsidRPr="00A47AB1">
        <w:rPr>
          <w:lang w:val="sq-AL"/>
        </w:rPr>
        <w:lastRenderedPageBreak/>
        <w:t>bazuar se gjykata nuk ka qenë e paanshme në shqyrtimin e kësaj çështjeje. Dyshimi i mundshëm për paanësinë e gjyqtarit mund të ngrihet në hipotezën se gjyqtari është shprehur në një procedim tjetër me një vlerësim që ka të bëjë me përmbajtjen e të njëjtit fakt në lidhje me të njëjtin subjekt” (</w:t>
      </w:r>
      <w:r w:rsidRPr="00A47AB1">
        <w:rPr>
          <w:i/>
          <w:lang w:val="sq-AL"/>
        </w:rPr>
        <w:t xml:space="preserve">shih vendimet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 xml:space="preserve">7, datë 07.03.2011;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 xml:space="preserve">21, datë 29.04.2010;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>48, datë 30.07.1999 të Gjykatës Kushtetuese</w:t>
      </w:r>
      <w:r w:rsidRPr="00A47AB1">
        <w:rPr>
          <w:lang w:val="sq-AL"/>
        </w:rPr>
        <w:t>). Për këtë qëllim dhe në funksion të këtij parimi të rëndësishëm kushtetues parashikohen edhe dispozita të veçanta ligjore. Kështu, në nenin 72 të KPC-së, ku parashikohen rastet për heqjen dorë të gjyqtarit, theksohet shprehimisht se “gjyqtari është i detyruar të heqë dorë nga gjykimi i një çështje</w:t>
      </w:r>
      <w:r>
        <w:rPr>
          <w:lang w:val="sq-AL"/>
        </w:rPr>
        <w:t>je</w:t>
      </w:r>
      <w:r w:rsidRPr="00A47AB1">
        <w:rPr>
          <w:lang w:val="sq-AL"/>
        </w:rPr>
        <w:t xml:space="preserve"> konkrete kur [...] ka marrë pjesë në gjykimin e çështjes në një shkallë tjetër të procesit”.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17. Gjykata vlerëson se edhe në rastin në shqyrtim paanshmëria duhet të vlerësohet në aspektin subjektiv dhe në atë objektiv. Për sa i takon paanshmërisë personale </w:t>
      </w:r>
      <w:r w:rsidRPr="00C831B8">
        <w:rPr>
          <w:i/>
          <w:lang w:val="sq-AL"/>
        </w:rPr>
        <w:t>(subjektive)</w:t>
      </w:r>
      <w:r w:rsidRPr="00A47AB1">
        <w:rPr>
          <w:lang w:val="sq-AL"/>
        </w:rPr>
        <w:t xml:space="preserve"> të gjyqtarit A.B., pra bindjes së brendshme të tij për mënyrën e zgjidhjes së çështjes konkrete, nuk rezulton që kërkuesi të ketë paraqitur ndonjë provë për të vërtetuar këtë pretendim, ndaj ajo prezumohet. Për sa i përket paanshmërisë objektive, duhet shqyrtuar nëse dyshimi i ngritur nga kërkuesi është i provueshëm dhe ky përfundim varet nga rrethanat e çështjes konkrete.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18. Gjykata vëren se në rastin konkret kërkuesi e mbështet pretendimin për paanshmërinë e gjyqtarit të Gjykatës së Lartë në faktin se ai ka marrë pjesë në gjykimin e çështjes në një shkallë tjetër të procesit. Konkretisht, siç konstatohet nga vendimet gjyqësore bashkëlidhur kërkesës, rezulton se gjyqtari A.B. ka qenë në përbërje të trupit gjykues i cili ka shqyrtuar çështjen në themel në Gjykatën e Apelit Tiranë (</w:t>
      </w:r>
      <w:r w:rsidRPr="00A47AB1">
        <w:rPr>
          <w:i/>
          <w:lang w:val="sq-AL"/>
        </w:rPr>
        <w:t xml:space="preserve">vendimi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>240, datë 01.02.2012</w:t>
      </w:r>
      <w:r w:rsidRPr="00A47AB1">
        <w:rPr>
          <w:lang w:val="sq-AL"/>
        </w:rPr>
        <w:t>) dhe në përbërje të Kolegjit Civil të Gjykatës së Lartë që ka vendosur mospranimin e rekursit të paraqitur nga kërkuesi kundër këtij vendimi.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19. Gjykata është shprehur edhe herë të tjera se është e papranueshme që një gjyqtar që ka marrë pjesë në dhënien e një vendimi në një shkallë të mëparshme të gjykimit të jetë sërish në përbërje të Kolegjit të Gjykatës së Lartë që do të shqyrtojë e vlerësojë shkaqet e rekursit që janë</w:t>
      </w:r>
      <w:r>
        <w:rPr>
          <w:lang w:val="sq-AL"/>
        </w:rPr>
        <w:t xml:space="preserve"> </w:t>
      </w:r>
      <w:r w:rsidRPr="00A47AB1">
        <w:rPr>
          <w:lang w:val="sq-AL"/>
        </w:rPr>
        <w:t>kundër këtij vendimi (</w:t>
      </w:r>
      <w:r w:rsidRPr="00A47AB1">
        <w:rPr>
          <w:i/>
          <w:lang w:val="sq-AL"/>
        </w:rPr>
        <w:t xml:space="preserve">shih vendimin </w:t>
      </w:r>
      <w:r>
        <w:rPr>
          <w:i/>
          <w:lang w:val="sq-AL"/>
        </w:rPr>
        <w:t xml:space="preserve">nr. </w:t>
      </w:r>
      <w:r w:rsidRPr="00A47AB1">
        <w:rPr>
          <w:i/>
          <w:lang w:val="sq-AL"/>
        </w:rPr>
        <w:t>12, datë 13.04.2007 të Gjykatës Kushtetuese</w:t>
      </w:r>
      <w:r w:rsidRPr="00A47AB1">
        <w:rPr>
          <w:lang w:val="sq-AL"/>
        </w:rPr>
        <w:t>). Shqyrtimi i çështjes nga Kolegji Civil i Gjykatës së Lartë në dhomën e këshillimit është pjesë e rëndësishme e procesit gjyqësor në tërësi dhe si e tillë, duhet të respektojë parimet themelore të procesit të rregullt ligjor në kuptimin kushtetues.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20. Mbi këtë bazë, Gjykata vëren se pjesëmarrja e gjyqtarit A.B. duhej të ishte mënjanuar nga përbërja e Kolegjit Civil të mbledhur për shqyrtimin e rekursit të kërkuesit. Vetë kërkuesi nuk e ka pasur mundësinë që të kërkonte përjashtimin e gjyqtarit nga trupi gjykues në këtë fazë të shqyrtimit të çështjes në Gjykatën e Lartë, pasi ai nuk ka qenë i pranishëm.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21. Për sa më sipër, Gjykata çmon se pretendimi i kërkuesit për cenimin e parimit të paanshmërisë është i bazuar dhe si </w:t>
      </w:r>
      <w:r>
        <w:rPr>
          <w:lang w:val="sq-AL"/>
        </w:rPr>
        <w:t xml:space="preserve">i </w:t>
      </w:r>
      <w:r w:rsidRPr="00A47AB1">
        <w:rPr>
          <w:lang w:val="sq-AL"/>
        </w:rPr>
        <w:t xml:space="preserve">tillë duhet pranuar. </w:t>
      </w:r>
    </w:p>
    <w:p w:rsidR="003A685D" w:rsidRPr="00A47AB1" w:rsidRDefault="003A685D" w:rsidP="003A685D">
      <w:pPr>
        <w:pStyle w:val="Paragrafi"/>
        <w:rPr>
          <w:i/>
          <w:lang w:val="sq-AL"/>
        </w:rPr>
      </w:pPr>
      <w:r w:rsidRPr="00A47AB1">
        <w:rPr>
          <w:i/>
          <w:lang w:val="sq-AL"/>
        </w:rPr>
        <w:t>C. Për pretendimet e tjera të paraqitura nga kërkuesi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22. Në lidhje me pretendimet e tjera të paraqitura në kërkesë, më konkretisht për cenimin e standardit kushtetues të arsyetimit të vendimit gjyqësor dhe të së drejtës së aksesit në gjykatë për arsye se Gjykata e Lartë nuk është shprehur lidhur me problemet juridike të ngritura në rekurs, si dhe nuk ka paraqitur në vendim shkaqet e rekursit, Gjykata vlerëson se përderisa ka konstatuar më sipër se procesi i zhvilluar në Gjykatën e Lartë ka qenë jokushtetues, për shkak të cenimit të parimit të paanshmërisë, ajo nuk ndalet në vlerësimin e këtyre pretendimeve.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23. Si përfundim, Gjykata vlerëson se në rastin konkret është cenuar parimi i gjykimit nga një gjykatë e paanshme, si element i së drejtës për një proces të rregullt ligjor, në kuptim të nenit 42 të Kushtetutës, si rrjedhim kërkesa duhet pranuar.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Vendosi"/>
        <w:rPr>
          <w:lang w:val="sq-AL"/>
        </w:rPr>
      </w:pPr>
      <w:r w:rsidRPr="00A47AB1">
        <w:rPr>
          <w:lang w:val="sq-AL"/>
        </w:rPr>
        <w:t>PËR KËTO ARSYE,</w:t>
      </w:r>
    </w:p>
    <w:p w:rsidR="003A685D" w:rsidRPr="00A47AB1" w:rsidRDefault="003A685D" w:rsidP="003A685D">
      <w:pPr>
        <w:pStyle w:val="Hapesira7"/>
        <w:rPr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Gjykata Kushtetuese e Republikës së Shqipërisë, në mbështetje të neneve 131/f dhe 134/1/g të Kushtetutës, si dhe të neneve 72, 77 e vijues të ligjit </w:t>
      </w:r>
      <w:r>
        <w:rPr>
          <w:lang w:val="sq-AL"/>
        </w:rPr>
        <w:t xml:space="preserve">nr. </w:t>
      </w:r>
      <w:r w:rsidRPr="00A47AB1">
        <w:rPr>
          <w:lang w:val="sq-AL"/>
        </w:rPr>
        <w:t xml:space="preserve">8577, datë 10.02.2000 “Për organizimin dhe </w:t>
      </w:r>
      <w:r w:rsidRPr="00A47AB1">
        <w:rPr>
          <w:lang w:val="sq-AL"/>
        </w:rPr>
        <w:lastRenderedPageBreak/>
        <w:t>funksionimin e Gjykatës Kushtetuese të Republikës së Shqipërisë”, njëzëri, </w:t>
      </w:r>
    </w:p>
    <w:p w:rsidR="003A685D" w:rsidRPr="00A47AB1" w:rsidRDefault="003A685D" w:rsidP="003A685D">
      <w:pPr>
        <w:pStyle w:val="Vendosi"/>
        <w:rPr>
          <w:lang w:val="sq-AL"/>
        </w:rPr>
      </w:pPr>
      <w:r w:rsidRPr="00A47AB1">
        <w:rPr>
          <w:lang w:val="sq-AL"/>
        </w:rPr>
        <w:t>VENDOSI:</w:t>
      </w:r>
    </w:p>
    <w:p w:rsidR="003A685D" w:rsidRPr="00597CCD" w:rsidRDefault="003A685D" w:rsidP="003A685D">
      <w:pPr>
        <w:pStyle w:val="Hapesira7"/>
        <w:rPr>
          <w:sz w:val="10"/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- Pranimin e kërkesës.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 xml:space="preserve">- Shfuqizimin e vendimit </w:t>
      </w:r>
      <w:r>
        <w:rPr>
          <w:lang w:val="sq-AL"/>
        </w:rPr>
        <w:t xml:space="preserve">nr. </w:t>
      </w:r>
      <w:r w:rsidRPr="00A47AB1">
        <w:rPr>
          <w:lang w:val="sq-AL"/>
        </w:rPr>
        <w:t>00-2014-3595, datë 12.12.2014 të Kolegjit Civil të Gjykatës së Lartë.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- Dërgimin e çështjes për rishqyrtim në Gjykatën e Lartë.</w:t>
      </w: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Ky vendim është përfundimtar, i formës së prerë dhe hyn në fuqi ditën e botimit në Fletoren Zyrtare.</w:t>
      </w:r>
    </w:p>
    <w:p w:rsidR="003A685D" w:rsidRPr="00597CCD" w:rsidRDefault="003A685D" w:rsidP="003A685D">
      <w:pPr>
        <w:pStyle w:val="Hapesira7"/>
        <w:rPr>
          <w:sz w:val="8"/>
          <w:lang w:val="sq-AL"/>
        </w:rPr>
      </w:pPr>
    </w:p>
    <w:p w:rsidR="003A685D" w:rsidRPr="00A47AB1" w:rsidRDefault="003A685D" w:rsidP="003A685D">
      <w:pPr>
        <w:pStyle w:val="Paragrafi"/>
        <w:rPr>
          <w:lang w:val="sq-AL"/>
        </w:rPr>
      </w:pPr>
      <w:r w:rsidRPr="00A47AB1">
        <w:rPr>
          <w:lang w:val="sq-AL"/>
        </w:rPr>
        <w:t>Anëtarë: Bashkim Dedja (kryetar), Sokol Berberi, Vladimir Kristo, Fatmir Hoxha, Altina Xhoxhaj, Vitore Tusha, Fatos Lulo, Besnik Imeraj</w:t>
      </w:r>
    </w:p>
    <w:p w:rsidR="00FD57DC" w:rsidRDefault="003A685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3A685D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3A685D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451BB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A685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A685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685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685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85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685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685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A685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3A685D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A685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2263</Words>
  <Characters>12903</Characters>
  <Application>Microsoft Office Word</Application>
  <DocSecurity>0</DocSecurity>
  <Lines>107</Lines>
  <Paragraphs>30</Paragraphs>
  <ScaleCrop>false</ScaleCrop>
  <Company>Grizli777</Company>
  <LinksUpToDate>false</LinksUpToDate>
  <CharactersWithSpaces>15136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2015-08-03T10:39:00Z</dcterms:created>
  <dcterms:modified xsi:type="dcterms:W3CDTF">2015-08-03T10:39:00Z</dcterms:modified>
</cp:coreProperties>
</file>