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F38" w:rsidRPr="006F2720" w:rsidRDefault="00AE0F38" w:rsidP="00AE0F38">
      <w:pPr>
        <w:pStyle w:val="Akti"/>
        <w:rPr>
          <w:lang w:val="sq-AL"/>
        </w:rPr>
      </w:pPr>
      <w:bookmarkStart w:id="0" w:name="_GoBack"/>
      <w:bookmarkEnd w:id="0"/>
      <w:r w:rsidRPr="006F2720">
        <w:rPr>
          <w:lang w:val="sq-AL"/>
        </w:rPr>
        <w:t>VENDIM</w:t>
      </w:r>
    </w:p>
    <w:p w:rsidR="00AE0F38" w:rsidRPr="006F2720" w:rsidRDefault="00AE0F38" w:rsidP="00AE0F38">
      <w:pPr>
        <w:pStyle w:val="NumriData"/>
        <w:rPr>
          <w:lang w:val="sq-AL"/>
        </w:rPr>
      </w:pPr>
      <w:r>
        <w:rPr>
          <w:lang w:val="sq-AL"/>
        </w:rPr>
        <w:t xml:space="preserve">Nr. </w:t>
      </w:r>
      <w:r w:rsidRPr="006F2720">
        <w:rPr>
          <w:lang w:val="sq-AL"/>
        </w:rPr>
        <w:t>63, datë 23.9.2015</w:t>
      </w:r>
    </w:p>
    <w:p w:rsidR="00AE0F38" w:rsidRPr="006F2720" w:rsidRDefault="00AE0F38" w:rsidP="00AE0F38">
      <w:pPr>
        <w:pStyle w:val="Hapesira7"/>
        <w:rPr>
          <w:lang w:val="sq-AL"/>
        </w:rPr>
      </w:pPr>
    </w:p>
    <w:p w:rsidR="00AE0F38" w:rsidRPr="006F2720" w:rsidRDefault="00AE0F38" w:rsidP="00AE0F38">
      <w:pPr>
        <w:pStyle w:val="Titulli"/>
        <w:rPr>
          <w:lang w:val="sq-AL"/>
        </w:rPr>
      </w:pPr>
      <w:r w:rsidRPr="006F2720">
        <w:rPr>
          <w:lang w:val="sq-AL"/>
        </w:rPr>
        <w:t>NË EMËR TË REPUBLIKËS SË SHQIPËRISË</w:t>
      </w:r>
    </w:p>
    <w:p w:rsidR="00AE0F38" w:rsidRPr="006F2720" w:rsidRDefault="00AE0F38" w:rsidP="00AE0F38">
      <w:pPr>
        <w:pStyle w:val="Hapesira7"/>
        <w:rPr>
          <w:lang w:val="sq-AL"/>
        </w:rPr>
      </w:pPr>
    </w:p>
    <w:p w:rsidR="00AE0F38" w:rsidRPr="006F2720" w:rsidRDefault="00AE0F38" w:rsidP="00AE0F38">
      <w:pPr>
        <w:pStyle w:val="Paragrafi"/>
        <w:rPr>
          <w:lang w:val="sq-AL"/>
        </w:rPr>
      </w:pPr>
      <w:r w:rsidRPr="006F2720">
        <w:rPr>
          <w:lang w:val="sq-AL"/>
        </w:rPr>
        <w:t>Gjykata Kushtetuese e Republikës së Shqipërisë, e përbërë nga:</w:t>
      </w:r>
    </w:p>
    <w:p w:rsidR="00AE0F38" w:rsidRPr="006F2720" w:rsidRDefault="00AE0F38" w:rsidP="00AE0F38">
      <w:pPr>
        <w:pStyle w:val="Paragrafi"/>
        <w:ind w:firstLine="0"/>
        <w:rPr>
          <w:lang w:val="sq-AL"/>
        </w:rPr>
      </w:pPr>
      <w:r w:rsidRPr="006F2720">
        <w:rPr>
          <w:lang w:val="sq-AL"/>
        </w:rPr>
        <w:t>Bashkim Dedja</w:t>
      </w:r>
      <w:r w:rsidRPr="006F2720">
        <w:rPr>
          <w:lang w:val="sq-AL"/>
        </w:rPr>
        <w:tab/>
        <w:t xml:space="preserve">    kryetar i  Gjykatës Kushtetuese </w:t>
      </w:r>
    </w:p>
    <w:p w:rsidR="00AE0F38" w:rsidRPr="006F2720" w:rsidRDefault="00AE0F38" w:rsidP="00AE0F38">
      <w:pPr>
        <w:pStyle w:val="Paragrafi"/>
        <w:ind w:firstLine="0"/>
        <w:rPr>
          <w:lang w:val="sq-AL"/>
        </w:rPr>
      </w:pPr>
      <w:r w:rsidRPr="006F2720">
        <w:rPr>
          <w:lang w:val="sq-AL"/>
        </w:rPr>
        <w:t>Vladimir Kristo</w:t>
      </w:r>
      <w:r w:rsidRPr="006F2720">
        <w:rPr>
          <w:lang w:val="sq-AL"/>
        </w:rPr>
        <w:tab/>
        <w:t>anëtar   i</w:t>
      </w:r>
      <w:r>
        <w:rPr>
          <w:lang w:val="sq-AL"/>
        </w:rPr>
        <w:tab/>
      </w:r>
      <w:r w:rsidRPr="006F2720">
        <w:rPr>
          <w:lang w:val="sq-AL"/>
        </w:rPr>
        <w:t>“</w:t>
      </w:r>
      <w:r>
        <w:rPr>
          <w:lang w:val="sq-AL"/>
        </w:rPr>
        <w:tab/>
      </w:r>
      <w:r w:rsidRPr="006F2720">
        <w:rPr>
          <w:lang w:val="sq-AL"/>
        </w:rPr>
        <w:t>“</w:t>
      </w:r>
    </w:p>
    <w:p w:rsidR="00AE0F38" w:rsidRPr="006F2720" w:rsidRDefault="00AE0F38" w:rsidP="00AE0F38">
      <w:pPr>
        <w:pStyle w:val="Paragrafi"/>
        <w:ind w:firstLine="0"/>
        <w:rPr>
          <w:lang w:val="sq-AL"/>
        </w:rPr>
      </w:pPr>
      <w:r w:rsidRPr="006F2720">
        <w:rPr>
          <w:lang w:val="sq-AL"/>
        </w:rPr>
        <w:t>Vitore Tusha</w:t>
      </w:r>
      <w:r w:rsidRPr="006F2720">
        <w:rPr>
          <w:lang w:val="sq-AL"/>
        </w:rPr>
        <w:tab/>
      </w:r>
      <w:r w:rsidRPr="006F2720">
        <w:rPr>
          <w:lang w:val="sq-AL"/>
        </w:rPr>
        <w:tab/>
        <w:t>anëtare e</w:t>
      </w:r>
      <w:r w:rsidRPr="006F2720">
        <w:rPr>
          <w:lang w:val="sq-AL"/>
        </w:rPr>
        <w:tab/>
        <w:t>“</w:t>
      </w:r>
      <w:r w:rsidRPr="006F2720">
        <w:rPr>
          <w:lang w:val="sq-AL"/>
        </w:rPr>
        <w:tab/>
        <w:t>“</w:t>
      </w:r>
    </w:p>
    <w:p w:rsidR="00AE0F38" w:rsidRPr="006F2720" w:rsidRDefault="00AE0F38" w:rsidP="00AE0F38">
      <w:pPr>
        <w:pStyle w:val="Paragrafi"/>
        <w:ind w:firstLine="0"/>
        <w:rPr>
          <w:lang w:val="sq-AL"/>
        </w:rPr>
      </w:pPr>
      <w:r w:rsidRPr="006F2720">
        <w:rPr>
          <w:lang w:val="sq-AL"/>
        </w:rPr>
        <w:t>Altina Xhoxhaj</w:t>
      </w:r>
      <w:r w:rsidRPr="006F2720">
        <w:rPr>
          <w:lang w:val="sq-AL"/>
        </w:rPr>
        <w:tab/>
      </w:r>
      <w:r w:rsidRPr="006F2720">
        <w:rPr>
          <w:lang w:val="sq-AL"/>
        </w:rPr>
        <w:tab/>
        <w:t>a</w:t>
      </w:r>
      <w:r>
        <w:rPr>
          <w:lang w:val="sq-AL"/>
        </w:rPr>
        <w:t>nëtare e</w:t>
      </w:r>
      <w:r>
        <w:rPr>
          <w:lang w:val="sq-AL"/>
        </w:rPr>
        <w:tab/>
        <w:t>“</w:t>
      </w:r>
      <w:r>
        <w:rPr>
          <w:lang w:val="sq-AL"/>
        </w:rPr>
        <w:tab/>
        <w:t>“</w:t>
      </w:r>
    </w:p>
    <w:p w:rsidR="00AE0F38" w:rsidRPr="006F2720" w:rsidRDefault="00AE0F38" w:rsidP="00AE0F38">
      <w:pPr>
        <w:pStyle w:val="Paragrafi"/>
        <w:ind w:firstLine="0"/>
        <w:rPr>
          <w:lang w:val="sq-AL"/>
        </w:rPr>
      </w:pPr>
      <w:r w:rsidRPr="006F2720">
        <w:rPr>
          <w:lang w:val="sq-AL"/>
        </w:rPr>
        <w:t xml:space="preserve">Fatmir Hoxha </w:t>
      </w:r>
      <w:r w:rsidRPr="006F2720">
        <w:rPr>
          <w:lang w:val="sq-AL"/>
        </w:rPr>
        <w:tab/>
      </w:r>
      <w:r w:rsidRPr="006F2720">
        <w:rPr>
          <w:lang w:val="sq-AL"/>
        </w:rPr>
        <w:tab/>
        <w:t>anëtar   i</w:t>
      </w:r>
      <w:r w:rsidRPr="006F2720">
        <w:rPr>
          <w:lang w:val="sq-AL"/>
        </w:rPr>
        <w:tab/>
        <w:t>“</w:t>
      </w:r>
      <w:r w:rsidRPr="006F2720">
        <w:rPr>
          <w:lang w:val="sq-AL"/>
        </w:rPr>
        <w:tab/>
        <w:t>“</w:t>
      </w:r>
    </w:p>
    <w:p w:rsidR="00AE0F38" w:rsidRPr="006F2720" w:rsidRDefault="00AE0F38" w:rsidP="00AE0F38">
      <w:pPr>
        <w:pStyle w:val="Paragrafi"/>
        <w:ind w:firstLine="0"/>
        <w:rPr>
          <w:lang w:val="sq-AL"/>
        </w:rPr>
      </w:pPr>
      <w:r w:rsidRPr="006F2720">
        <w:rPr>
          <w:lang w:val="sq-AL"/>
        </w:rPr>
        <w:t>Gani Dizdari</w:t>
      </w:r>
      <w:r w:rsidRPr="006F2720">
        <w:rPr>
          <w:lang w:val="sq-AL"/>
        </w:rPr>
        <w:tab/>
      </w:r>
      <w:r w:rsidRPr="006F2720">
        <w:rPr>
          <w:lang w:val="sq-AL"/>
        </w:rPr>
        <w:tab/>
        <w:t>anëtar   i</w:t>
      </w:r>
      <w:r w:rsidRPr="006F2720">
        <w:rPr>
          <w:lang w:val="sq-AL"/>
        </w:rPr>
        <w:tab/>
        <w:t>“</w:t>
      </w:r>
      <w:r w:rsidRPr="006F2720">
        <w:rPr>
          <w:lang w:val="sq-AL"/>
        </w:rPr>
        <w:tab/>
        <w:t>“</w:t>
      </w:r>
    </w:p>
    <w:p w:rsidR="00AE0F38" w:rsidRPr="006F2720" w:rsidRDefault="00AE0F38" w:rsidP="00AE0F38">
      <w:pPr>
        <w:pStyle w:val="Paragrafi"/>
        <w:ind w:firstLine="0"/>
        <w:rPr>
          <w:lang w:val="sq-AL"/>
        </w:rPr>
      </w:pPr>
      <w:r w:rsidRPr="006F2720">
        <w:rPr>
          <w:lang w:val="sq-AL"/>
        </w:rPr>
        <w:t>Besnik Imeraj</w:t>
      </w:r>
      <w:r w:rsidRPr="006F2720">
        <w:rPr>
          <w:lang w:val="sq-AL"/>
        </w:rPr>
        <w:tab/>
      </w:r>
      <w:r w:rsidRPr="006F2720">
        <w:rPr>
          <w:lang w:val="sq-AL"/>
        </w:rPr>
        <w:tab/>
        <w:t>anëtar   i</w:t>
      </w:r>
      <w:r>
        <w:rPr>
          <w:lang w:val="sq-AL"/>
        </w:rPr>
        <w:tab/>
      </w:r>
      <w:r w:rsidRPr="006F2720">
        <w:rPr>
          <w:lang w:val="sq-AL"/>
        </w:rPr>
        <w:t>“</w:t>
      </w:r>
      <w:r w:rsidRPr="006F2720">
        <w:rPr>
          <w:lang w:val="sq-AL"/>
        </w:rPr>
        <w:tab/>
        <w:t>“</w:t>
      </w:r>
    </w:p>
    <w:p w:rsidR="00AE0F38" w:rsidRPr="006F2720" w:rsidRDefault="00AE0F38" w:rsidP="00AE0F38">
      <w:pPr>
        <w:pStyle w:val="Paragrafi"/>
        <w:ind w:firstLine="0"/>
        <w:rPr>
          <w:lang w:val="sq-AL"/>
        </w:rPr>
      </w:pPr>
      <w:r w:rsidRPr="006F2720">
        <w:rPr>
          <w:lang w:val="sq-AL"/>
        </w:rPr>
        <w:t>Fatos Lulo</w:t>
      </w:r>
      <w:r w:rsidRPr="006F2720">
        <w:rPr>
          <w:lang w:val="sq-AL"/>
        </w:rPr>
        <w:tab/>
      </w:r>
      <w:r w:rsidRPr="006F2720">
        <w:rPr>
          <w:lang w:val="sq-AL"/>
        </w:rPr>
        <w:tab/>
        <w:t>anëtar   i</w:t>
      </w:r>
      <w:r>
        <w:rPr>
          <w:lang w:val="sq-AL"/>
        </w:rPr>
        <w:tab/>
      </w:r>
      <w:r w:rsidRPr="006F2720">
        <w:rPr>
          <w:lang w:val="sq-AL"/>
        </w:rPr>
        <w:t>“</w:t>
      </w:r>
      <w:r w:rsidRPr="006F2720">
        <w:rPr>
          <w:lang w:val="sq-AL"/>
        </w:rPr>
        <w:tab/>
        <w:t>“</w:t>
      </w:r>
    </w:p>
    <w:p w:rsidR="00AE0F38" w:rsidRPr="006F2720" w:rsidRDefault="00AE0F38" w:rsidP="00AE0F38">
      <w:pPr>
        <w:pStyle w:val="Paragrafi"/>
        <w:ind w:firstLine="0"/>
        <w:rPr>
          <w:lang w:val="sq-AL"/>
        </w:rPr>
      </w:pPr>
      <w:r w:rsidRPr="006F2720">
        <w:rPr>
          <w:lang w:val="sq-AL"/>
        </w:rPr>
        <w:t>Sokol Berberi</w:t>
      </w:r>
      <w:r w:rsidRPr="006F2720">
        <w:rPr>
          <w:lang w:val="sq-AL"/>
        </w:rPr>
        <w:tab/>
      </w:r>
      <w:r w:rsidRPr="006F2720">
        <w:rPr>
          <w:lang w:val="sq-AL"/>
        </w:rPr>
        <w:tab/>
        <w:t>anëtar   i</w:t>
      </w:r>
      <w:r w:rsidRPr="006F2720">
        <w:rPr>
          <w:lang w:val="sq-AL"/>
        </w:rPr>
        <w:tab/>
        <w:t>“</w:t>
      </w:r>
      <w:r w:rsidRPr="006F2720">
        <w:rPr>
          <w:lang w:val="sq-AL"/>
        </w:rPr>
        <w:tab/>
        <w:t>“</w:t>
      </w:r>
    </w:p>
    <w:p w:rsidR="00AE0F38" w:rsidRPr="006F2720" w:rsidRDefault="00AE0F38" w:rsidP="00AE0F38">
      <w:pPr>
        <w:pStyle w:val="Paragrafi"/>
        <w:rPr>
          <w:lang w:val="sq-AL"/>
        </w:rPr>
      </w:pPr>
      <w:r w:rsidRPr="006F2720">
        <w:rPr>
          <w:lang w:val="sq-AL"/>
        </w:rPr>
        <w:t>me sekretare Edmira Babaj, në datën 18.06.</w:t>
      </w:r>
      <w:r w:rsidRPr="006F2720">
        <w:rPr>
          <w:lang w:val="sq-AL"/>
        </w:rPr>
        <w:softHyphen/>
      </w:r>
      <w:r w:rsidRPr="006F2720">
        <w:rPr>
          <w:lang w:val="sq-AL"/>
        </w:rPr>
        <w:softHyphen/>
        <w:t xml:space="preserve">2015 mori në shqyrtim në seancë gjyqësore, mbi bazë dokumentesh, çështjen me </w:t>
      </w:r>
      <w:r>
        <w:rPr>
          <w:lang w:val="sq-AL"/>
        </w:rPr>
        <w:t xml:space="preserve">nr. </w:t>
      </w:r>
      <w:r w:rsidRPr="006F2720">
        <w:rPr>
          <w:lang w:val="sq-AL"/>
        </w:rPr>
        <w:t>28 Akti, që i përket:</w:t>
      </w:r>
    </w:p>
    <w:p w:rsidR="00AE0F38" w:rsidRPr="006F2720" w:rsidRDefault="00AE0F38" w:rsidP="00AE0F38">
      <w:pPr>
        <w:pStyle w:val="Paragrafi"/>
        <w:rPr>
          <w:lang w:val="sq-AL"/>
        </w:rPr>
      </w:pPr>
      <w:r w:rsidRPr="006F2720">
        <w:rPr>
          <w:lang w:val="sq-AL"/>
        </w:rPr>
        <w:t>KËRKUES: Kristian Begu</w:t>
      </w:r>
    </w:p>
    <w:p w:rsidR="00AE0F38" w:rsidRPr="006F2720" w:rsidRDefault="00AE0F38" w:rsidP="00AE0F38">
      <w:pPr>
        <w:pStyle w:val="Paragrafi"/>
        <w:rPr>
          <w:lang w:val="sq-AL"/>
        </w:rPr>
      </w:pPr>
      <w:r w:rsidRPr="006F2720">
        <w:rPr>
          <w:lang w:val="sq-AL"/>
        </w:rPr>
        <w:t>SUBJEKT I INTERESUAR: Prokuroria e Përgjithshme</w:t>
      </w:r>
    </w:p>
    <w:p w:rsidR="00AE0F38" w:rsidRPr="006F2720" w:rsidRDefault="00AE0F38" w:rsidP="00AE0F38">
      <w:pPr>
        <w:pStyle w:val="Paragrafi"/>
        <w:rPr>
          <w:lang w:val="sq-AL"/>
        </w:rPr>
      </w:pPr>
      <w:r w:rsidRPr="006F2720">
        <w:rPr>
          <w:lang w:val="sq-AL"/>
        </w:rPr>
        <w:t xml:space="preserve">OBJEKTI: Shfuqizimi si të papajtueshme me Kushtetutën i vendimeve </w:t>
      </w:r>
      <w:r>
        <w:rPr>
          <w:lang w:val="sq-AL"/>
        </w:rPr>
        <w:t xml:space="preserve">nr. </w:t>
      </w:r>
      <w:r w:rsidRPr="006F2720">
        <w:rPr>
          <w:lang w:val="sq-AL"/>
        </w:rPr>
        <w:t xml:space="preserve">01, datë 16.01.2012 të Gjykatës së Shkallës së Parë për Krime të Rënda, </w:t>
      </w:r>
      <w:r>
        <w:rPr>
          <w:lang w:val="sq-AL"/>
        </w:rPr>
        <w:t xml:space="preserve">nr. 45, datë </w:t>
      </w:r>
      <w:r w:rsidRPr="006F2720">
        <w:rPr>
          <w:lang w:val="sq-AL"/>
        </w:rPr>
        <w:t>2</w:t>
      </w:r>
      <w:r>
        <w:rPr>
          <w:lang w:val="sq-AL"/>
        </w:rPr>
        <w:t>.</w:t>
      </w:r>
      <w:r w:rsidRPr="006F2720">
        <w:rPr>
          <w:lang w:val="sq-AL"/>
        </w:rPr>
        <w:t xml:space="preserve">12.2012 të Gjykatës së Apelit për Krime të Rënda dhe  </w:t>
      </w:r>
      <w:r>
        <w:rPr>
          <w:lang w:val="sq-AL"/>
        </w:rPr>
        <w:t xml:space="preserve">nr. </w:t>
      </w:r>
      <w:r w:rsidRPr="006F2720">
        <w:rPr>
          <w:lang w:val="sq-AL"/>
        </w:rPr>
        <w:t xml:space="preserve">175, datë 16.07.2014 të Gjykatës së Lartë. </w:t>
      </w:r>
    </w:p>
    <w:p w:rsidR="00AE0F38" w:rsidRPr="006F2720" w:rsidRDefault="00AE0F38" w:rsidP="00AE0F38">
      <w:pPr>
        <w:pStyle w:val="Paragrafi"/>
        <w:rPr>
          <w:lang w:val="sq-AL"/>
        </w:rPr>
      </w:pPr>
      <w:r w:rsidRPr="006F2720">
        <w:rPr>
          <w:lang w:val="sq-AL"/>
        </w:rPr>
        <w:t>Dërgimi i çështjes për rigjykim në Gjykatën e Shkallës së Parë.</w:t>
      </w:r>
    </w:p>
    <w:p w:rsidR="00AE0F38" w:rsidRPr="006F2720" w:rsidRDefault="00AE0F38" w:rsidP="00AE0F38">
      <w:pPr>
        <w:pStyle w:val="Paragrafi"/>
        <w:rPr>
          <w:lang w:val="sq-AL"/>
        </w:rPr>
      </w:pPr>
      <w:r w:rsidRPr="006F2720">
        <w:rPr>
          <w:lang w:val="sq-AL"/>
        </w:rPr>
        <w:t>BAZA LIGJORE:</w:t>
      </w:r>
      <w:r w:rsidRPr="006F2720">
        <w:rPr>
          <w:lang w:val="sq-AL"/>
        </w:rPr>
        <w:tab/>
        <w:t xml:space="preserve">Nenet 42, 131/f dhe 134/1/g të Kushtetutës së Republikës së Shqipërisë,  neni 6 i Konventës Evropiane për të Drejtat e Njeriut dhe ligji </w:t>
      </w:r>
      <w:r>
        <w:rPr>
          <w:lang w:val="sq-AL"/>
        </w:rPr>
        <w:t xml:space="preserve">nr. </w:t>
      </w:r>
      <w:r w:rsidRPr="006F2720">
        <w:rPr>
          <w:lang w:val="sq-AL"/>
        </w:rPr>
        <w:t>8577, datë 10.02.2000 “Për organizimin dhe funksionimin e Gjykatës Kushtetuese të Republikës së Shqipërisë”.</w:t>
      </w:r>
    </w:p>
    <w:p w:rsidR="00AE0F38" w:rsidRPr="006F2720" w:rsidRDefault="00AE0F38" w:rsidP="00AE0F38">
      <w:pPr>
        <w:pStyle w:val="Hapesira7"/>
        <w:rPr>
          <w:lang w:val="sq-AL"/>
        </w:rPr>
      </w:pPr>
    </w:p>
    <w:p w:rsidR="00AE0F38" w:rsidRPr="006F2720" w:rsidRDefault="00AE0F38" w:rsidP="00AE0F38">
      <w:pPr>
        <w:pStyle w:val="Vendosi"/>
        <w:rPr>
          <w:lang w:val="sq-AL"/>
        </w:rPr>
      </w:pPr>
      <w:r w:rsidRPr="006F2720">
        <w:rPr>
          <w:lang w:val="sq-AL"/>
        </w:rPr>
        <w:t>GJYKATA  KUSHTETUESE,</w:t>
      </w:r>
    </w:p>
    <w:p w:rsidR="00AE0F38" w:rsidRPr="006F2720" w:rsidRDefault="00AE0F38" w:rsidP="00AE0F38">
      <w:pPr>
        <w:pStyle w:val="Hapesira7"/>
        <w:rPr>
          <w:lang w:val="sq-AL"/>
        </w:rPr>
      </w:pPr>
    </w:p>
    <w:p w:rsidR="00AE0F38" w:rsidRPr="006F2720" w:rsidRDefault="00AE0F38" w:rsidP="00AE0F38">
      <w:pPr>
        <w:pStyle w:val="Paragrafi"/>
        <w:rPr>
          <w:lang w:val="sq-AL"/>
        </w:rPr>
      </w:pPr>
      <w:r w:rsidRPr="006F2720">
        <w:rPr>
          <w:lang w:val="sq-AL"/>
        </w:rPr>
        <w:t>pasi dëgjoi relatorin e çështjes Sokol Berberi, mori në shqyrtim pretendimet me shkrim të kërkuesit, i cili ka kërkuar pranimin e kërkesës, prapësimet me shkrim të subjektit të interesuar, Prokurorisë së Përgjithshme, që ka kërkuar rrëzimin e kërkesës, dhe diskutoi çështjen në tërësi,</w:t>
      </w:r>
    </w:p>
    <w:p w:rsidR="00AE0F38" w:rsidRPr="006F2720" w:rsidRDefault="00AE0F38" w:rsidP="00AE0F38">
      <w:pPr>
        <w:pStyle w:val="Vendosi"/>
        <w:rPr>
          <w:lang w:val="sq-AL"/>
        </w:rPr>
      </w:pPr>
      <w:r w:rsidRPr="006F2720">
        <w:rPr>
          <w:lang w:val="sq-AL"/>
        </w:rPr>
        <w:t>VËREN:</w:t>
      </w:r>
    </w:p>
    <w:p w:rsidR="00AE0F38" w:rsidRPr="003D5504" w:rsidRDefault="00AE0F38" w:rsidP="00AE0F38">
      <w:pPr>
        <w:pStyle w:val="Vendosi"/>
        <w:rPr>
          <w:b/>
          <w:lang w:val="sq-AL"/>
        </w:rPr>
      </w:pPr>
      <w:r w:rsidRPr="003D5504">
        <w:rPr>
          <w:b/>
          <w:lang w:val="sq-AL"/>
        </w:rPr>
        <w:t>I</w:t>
      </w:r>
    </w:p>
    <w:p w:rsidR="00AE0F38" w:rsidRPr="006F2720" w:rsidRDefault="00AE0F38" w:rsidP="00AE0F38">
      <w:pPr>
        <w:pStyle w:val="Hapesira7"/>
        <w:rPr>
          <w:lang w:val="sq-AL"/>
        </w:rPr>
      </w:pPr>
    </w:p>
    <w:p w:rsidR="00AE0F38" w:rsidRPr="006F2720" w:rsidRDefault="00AE0F38" w:rsidP="00AE0F38">
      <w:pPr>
        <w:pStyle w:val="Paragrafi"/>
        <w:rPr>
          <w:lang w:val="sq-AL"/>
        </w:rPr>
      </w:pPr>
      <w:r w:rsidRPr="006F2720">
        <w:rPr>
          <w:lang w:val="sq-AL"/>
        </w:rPr>
        <w:t xml:space="preserve">1. Gjykata e Shkallës së Parë për Krime të Rënda, me vendimin </w:t>
      </w:r>
      <w:r>
        <w:rPr>
          <w:lang w:val="sq-AL"/>
        </w:rPr>
        <w:t xml:space="preserve">nr. </w:t>
      </w:r>
      <w:r w:rsidRPr="006F2720">
        <w:rPr>
          <w:lang w:val="sq-AL"/>
        </w:rPr>
        <w:t xml:space="preserve">01, datë 16.01.2012, ka deklaruar fajtor kërkuesin për veprën penale “Vrasje me paramendim”, të kryer në bashkëpunim, të mbetur në tentativë dhe e ka dënuar me 20 vjet burgim. </w:t>
      </w:r>
    </w:p>
    <w:p w:rsidR="00AE0F38" w:rsidRPr="006F2720" w:rsidRDefault="00AE0F38" w:rsidP="00AE0F38">
      <w:pPr>
        <w:pStyle w:val="Paragrafi"/>
        <w:rPr>
          <w:lang w:val="sq-AL"/>
        </w:rPr>
      </w:pPr>
      <w:r w:rsidRPr="006F2720">
        <w:rPr>
          <w:lang w:val="sq-AL"/>
        </w:rPr>
        <w:t xml:space="preserve">2. Gjykata e Apelit të Krimeve të Rënda, me vendimin </w:t>
      </w:r>
      <w:r>
        <w:rPr>
          <w:lang w:val="sq-AL"/>
        </w:rPr>
        <w:t xml:space="preserve">nr. </w:t>
      </w:r>
      <w:r w:rsidRPr="006F2720">
        <w:rPr>
          <w:lang w:val="sq-AL"/>
        </w:rPr>
        <w:t xml:space="preserve">45, datë 02.12.2012, ka vendosur lënien në fuqi të vendimit </w:t>
      </w:r>
      <w:r>
        <w:rPr>
          <w:lang w:val="sq-AL"/>
        </w:rPr>
        <w:t xml:space="preserve">nr. </w:t>
      </w:r>
      <w:r w:rsidRPr="006F2720">
        <w:rPr>
          <w:lang w:val="sq-AL"/>
        </w:rPr>
        <w:t xml:space="preserve">01, datë 16.01.2012 të Gjykatës së Shkallës të Parë për Krime të Rënda. </w:t>
      </w:r>
    </w:p>
    <w:p w:rsidR="00AE0F38" w:rsidRPr="006F2720" w:rsidRDefault="00AE0F38" w:rsidP="00AE0F38">
      <w:pPr>
        <w:pStyle w:val="Paragrafi"/>
        <w:rPr>
          <w:lang w:val="sq-AL"/>
        </w:rPr>
      </w:pPr>
      <w:r w:rsidRPr="006F2720">
        <w:rPr>
          <w:lang w:val="sq-AL"/>
        </w:rPr>
        <w:t xml:space="preserve">3. Kolegji Penal i Gjykatës së Lartë, me vendimin </w:t>
      </w:r>
      <w:r>
        <w:rPr>
          <w:lang w:val="sq-AL"/>
        </w:rPr>
        <w:t xml:space="preserve">nr. </w:t>
      </w:r>
      <w:r w:rsidRPr="006F2720">
        <w:rPr>
          <w:lang w:val="sq-AL"/>
        </w:rPr>
        <w:t xml:space="preserve">175, datë 16.07.2014, ka vendosur lënien në fuqi të vendimit </w:t>
      </w:r>
      <w:r>
        <w:rPr>
          <w:lang w:val="sq-AL"/>
        </w:rPr>
        <w:t xml:space="preserve">nr. </w:t>
      </w:r>
      <w:r w:rsidRPr="006F2720">
        <w:rPr>
          <w:lang w:val="sq-AL"/>
        </w:rPr>
        <w:t xml:space="preserve">45, datë 02.12.2012 të Gjykatës së Apelit të Krimeve të Rënda për kërkuesin. </w:t>
      </w:r>
    </w:p>
    <w:p w:rsidR="00AE0F38" w:rsidRPr="006F2720" w:rsidRDefault="00AE0F38" w:rsidP="00AE0F38">
      <w:pPr>
        <w:pStyle w:val="Vendosi"/>
        <w:rPr>
          <w:b/>
          <w:lang w:val="sq-AL"/>
        </w:rPr>
      </w:pPr>
      <w:r w:rsidRPr="006F2720">
        <w:rPr>
          <w:b/>
          <w:lang w:val="sq-AL"/>
        </w:rPr>
        <w:t>II</w:t>
      </w:r>
    </w:p>
    <w:p w:rsidR="00AE0F38" w:rsidRPr="006F2720" w:rsidRDefault="00AE0F38" w:rsidP="00AE0F38">
      <w:pPr>
        <w:pStyle w:val="Hapesira7"/>
        <w:rPr>
          <w:lang w:val="sq-AL"/>
        </w:rPr>
      </w:pPr>
    </w:p>
    <w:p w:rsidR="00AE0F38" w:rsidRPr="006F2720" w:rsidRDefault="00AE0F38" w:rsidP="00AE0F38">
      <w:pPr>
        <w:pStyle w:val="Paragrafi"/>
        <w:rPr>
          <w:lang w:val="sq-AL"/>
        </w:rPr>
      </w:pPr>
      <w:r w:rsidRPr="006F2720">
        <w:rPr>
          <w:lang w:val="sq-AL"/>
        </w:rPr>
        <w:t xml:space="preserve">4. </w:t>
      </w:r>
      <w:r w:rsidRPr="006F2720">
        <w:rPr>
          <w:b/>
          <w:i/>
          <w:lang w:val="sq-AL"/>
        </w:rPr>
        <w:t>Kërkuesi</w:t>
      </w:r>
      <w:r w:rsidRPr="006F2720">
        <w:rPr>
          <w:lang w:val="sq-AL"/>
        </w:rPr>
        <w:t xml:space="preserve"> Kristian Begu i është drejtuar Gjykatës Kushtetuese (Gjykata) duke pretenduar se ndaj tij është zhvilluar një proces i parregullt ligjor. Më konkretisht, ai ka parashtruar se vendimi </w:t>
      </w:r>
      <w:r>
        <w:rPr>
          <w:lang w:val="sq-AL"/>
        </w:rPr>
        <w:t xml:space="preserve">nr. </w:t>
      </w:r>
      <w:r w:rsidRPr="006F2720">
        <w:rPr>
          <w:lang w:val="sq-AL"/>
        </w:rPr>
        <w:t xml:space="preserve">01, datë 16.01.2012 i Gjykatës së Shkallës së Parë për Krime të Rënda ka cenuar standardin e arsyetimit të vendimit gjyqësor, pasi megjithëse e ka shpallur kërkuesin fajtor, nuk përmban arsyetim në lidhje me fajësinë e tij. Gjithashtu, Gjykata e Apelit për Krime të Rënda dhe Gjykata e Lartë nuk e kanë marrë parasysh pretendimin e cenimit të arsyetimit të vendimit gjyqësor dhe nuk i kanë dhënë përgjigje kërkuesit për këtë pretendim. Gjykata e Lartë, duke lënë në fuqi vendimet e Gjykatës së Shkallës së Parë dhe Gjykatës së Apelit, ka pranuar edhe pjesën </w:t>
      </w:r>
      <w:r w:rsidRPr="006F2720">
        <w:rPr>
          <w:lang w:val="sq-AL"/>
        </w:rPr>
        <w:lastRenderedPageBreak/>
        <w:t xml:space="preserve">arsyetuese të tyre, ku kërkuesi nuk është konsideruar si bashkëpunëtor dhe nuk është përcaktuar asnjë rol bashkëpunimi i tij në kryerjen e veprës penale.  </w:t>
      </w:r>
    </w:p>
    <w:p w:rsidR="00AE0F38" w:rsidRPr="006F2720" w:rsidRDefault="00AE0F38" w:rsidP="00AE0F38">
      <w:pPr>
        <w:pStyle w:val="Paragrafi"/>
        <w:rPr>
          <w:lang w:val="sq-AL"/>
        </w:rPr>
      </w:pPr>
      <w:r w:rsidRPr="006F2720">
        <w:rPr>
          <w:lang w:val="sq-AL"/>
        </w:rPr>
        <w:t xml:space="preserve">5. </w:t>
      </w:r>
      <w:r w:rsidRPr="006F2720">
        <w:rPr>
          <w:b/>
          <w:i/>
          <w:lang w:val="sq-AL"/>
        </w:rPr>
        <w:t>Subjekti i interesuar</w:t>
      </w:r>
      <w:r w:rsidRPr="006F2720">
        <w:rPr>
          <w:lang w:val="sq-AL"/>
        </w:rPr>
        <w:t>, Prokuroria e Përgjithshme, ka prapësuar si vijon:</w:t>
      </w:r>
    </w:p>
    <w:p w:rsidR="00AE0F38" w:rsidRPr="006F2720" w:rsidRDefault="00AE0F38" w:rsidP="00AE0F38">
      <w:pPr>
        <w:pStyle w:val="Paragrafi"/>
        <w:rPr>
          <w:lang w:val="sq-AL"/>
        </w:rPr>
      </w:pPr>
      <w:r>
        <w:rPr>
          <w:lang w:val="sq-AL"/>
        </w:rPr>
        <w:t>5.1</w:t>
      </w:r>
      <w:r w:rsidRPr="006F2720">
        <w:rPr>
          <w:lang w:val="sq-AL"/>
        </w:rPr>
        <w:t xml:space="preserve"> Si gjykatat e faktit, ashtu edhe Kolegji Penal i Gjykatës së Lartë, për vetë kompleksitetin e çështjes, janë munduar maksimalisht që vendimet e tyre të jenë në respektim të nenit 383 të KPP-së, kanë analizuar secilën prej provave të shqyrtuara në gjykim mbi të cilat kanë bazuar vendimet e tyre, si dhe kanë dhënë arsyet ligjore për të cilat i kanë quajtur të papranueshme provat e kundërta. </w:t>
      </w:r>
    </w:p>
    <w:p w:rsidR="00AE0F38" w:rsidRPr="006F2720" w:rsidRDefault="00AE0F38" w:rsidP="00AE0F38">
      <w:pPr>
        <w:pStyle w:val="Paragrafi"/>
        <w:rPr>
          <w:lang w:val="sq-AL"/>
        </w:rPr>
      </w:pPr>
      <w:r>
        <w:rPr>
          <w:lang w:val="sq-AL"/>
        </w:rPr>
        <w:t>5.2</w:t>
      </w:r>
      <w:r w:rsidRPr="006F2720">
        <w:rPr>
          <w:lang w:val="sq-AL"/>
        </w:rPr>
        <w:t xml:space="preserve"> Nuk rezulton që vendimi i Gjykatës së Shkallës së Parë të jetë i paarsyetuar, përkundrazi ai plotëson kërkesat e nenit 142/1 të Kushtetutës. Referuar fakteve të paraqitura në vendim kërkuesi njihej si pjesëtar i rrethit shoqëror të të gjykuarve dhe duke sugjeruar në vendin e tij kunatin për kryerjen e aksionit kriminal ka dhënë kontribut të rëndësishëm për kryerjen e veprës penale. Bazuar në këto fakte dhe duke bërë një analizë juridike gjykata e ka deklaruar fajtor kërkuesin për kryerjen e veprës penale “Vrasje me paramendim”, të kryer në bashkëpunim, mbetur në tentativë. </w:t>
      </w:r>
    </w:p>
    <w:p w:rsidR="00AE0F38" w:rsidRPr="006F2720" w:rsidRDefault="00AE0F38" w:rsidP="00AE0F38">
      <w:pPr>
        <w:pStyle w:val="Paragrafi"/>
        <w:rPr>
          <w:lang w:val="sq-AL"/>
        </w:rPr>
      </w:pPr>
      <w:r w:rsidRPr="006F2720">
        <w:rPr>
          <w:lang w:val="sq-AL"/>
        </w:rPr>
        <w:t xml:space="preserve">5.3 Si Gjykata e Apelit për Krime të Rënda, ashtu edhe Kolegji Penal i Gjykatës së Lartë në vendimet e tyre kanë shpjeguar dhe argumentuar arsyet e themelit për dhënien e këtyre vendimeve, duke iu referuar fakteve, provave të administruara, të analizuara në harmoni e njëra-tjetrën, ligjeve të zbatueshme, si dhe kërkesave të palëve, në përmbushje të detyrimit të sanksionuar në nenin 142 të Kushtetutës. </w:t>
      </w:r>
    </w:p>
    <w:p w:rsidR="00AE0F38" w:rsidRPr="006F2720" w:rsidRDefault="00AE0F38" w:rsidP="00AE0F38">
      <w:pPr>
        <w:pStyle w:val="Vendosi"/>
        <w:rPr>
          <w:b/>
          <w:lang w:val="sq-AL"/>
        </w:rPr>
      </w:pPr>
      <w:r w:rsidRPr="006F2720">
        <w:rPr>
          <w:b/>
          <w:lang w:val="sq-AL"/>
        </w:rPr>
        <w:t>III</w:t>
      </w:r>
    </w:p>
    <w:p w:rsidR="00AE0F38" w:rsidRPr="006F2720" w:rsidRDefault="00AE0F38" w:rsidP="00AE0F38">
      <w:pPr>
        <w:pStyle w:val="Vendosi"/>
        <w:rPr>
          <w:b/>
          <w:lang w:val="sq-AL"/>
        </w:rPr>
      </w:pPr>
      <w:r w:rsidRPr="006F2720">
        <w:rPr>
          <w:b/>
          <w:caps w:val="0"/>
          <w:lang w:val="sq-AL"/>
        </w:rPr>
        <w:t>vlerësimi i Gjykatës Kushtetuese</w:t>
      </w:r>
    </w:p>
    <w:p w:rsidR="00AE0F38" w:rsidRPr="006F2720" w:rsidRDefault="00AE0F38" w:rsidP="00AE0F38">
      <w:pPr>
        <w:pStyle w:val="Hapesira7"/>
        <w:rPr>
          <w:lang w:val="sq-AL"/>
        </w:rPr>
      </w:pPr>
    </w:p>
    <w:p w:rsidR="00AE0F38" w:rsidRPr="006F2720" w:rsidRDefault="00AE0F38" w:rsidP="00AE0F38">
      <w:pPr>
        <w:pStyle w:val="Paragrafi"/>
        <w:rPr>
          <w:i/>
          <w:lang w:val="sq-AL"/>
        </w:rPr>
      </w:pPr>
      <w:r w:rsidRPr="006F2720">
        <w:rPr>
          <w:i/>
          <w:lang w:val="sq-AL"/>
        </w:rPr>
        <w:t>A. Lidhur me legjitimimin e kërkuesit</w:t>
      </w:r>
    </w:p>
    <w:p w:rsidR="00AE0F38" w:rsidRPr="006F2720" w:rsidRDefault="00AE0F38" w:rsidP="00AE0F38">
      <w:pPr>
        <w:pStyle w:val="Paragrafi"/>
        <w:rPr>
          <w:lang w:val="sq-AL"/>
        </w:rPr>
      </w:pPr>
      <w:r w:rsidRPr="006F2720">
        <w:rPr>
          <w:lang w:val="sq-AL"/>
        </w:rPr>
        <w:t xml:space="preserve">6. Gjykata vlerëson se kërkuesi legjitimohet </w:t>
      </w:r>
      <w:r w:rsidRPr="006F2720">
        <w:rPr>
          <w:i/>
          <w:lang w:val="sq-AL"/>
        </w:rPr>
        <w:t>ratione personae</w:t>
      </w:r>
      <w:r w:rsidRPr="006F2720">
        <w:rPr>
          <w:lang w:val="sq-AL"/>
        </w:rPr>
        <w:t xml:space="preserve"> në lidhje me pretendimet e tij, të cilat i ka paraqitur në kërkesë, në kuptim të neneve 131/f dhe 134/1/g të Kushtetutës, dhe </w:t>
      </w:r>
      <w:r w:rsidRPr="006F2720">
        <w:rPr>
          <w:i/>
          <w:lang w:val="sq-AL"/>
        </w:rPr>
        <w:t>ratione temporis</w:t>
      </w:r>
      <w:r w:rsidRPr="006F2720">
        <w:rPr>
          <w:lang w:val="sq-AL"/>
        </w:rPr>
        <w:t xml:space="preserve">, pasi kërkesa është paraqitur në Gjykatën Kushtetuese brenda afatit të parashikuar nga neni 30 i ligjit </w:t>
      </w:r>
      <w:r>
        <w:rPr>
          <w:lang w:val="sq-AL"/>
        </w:rPr>
        <w:t xml:space="preserve">nr. </w:t>
      </w:r>
      <w:r w:rsidRPr="006F2720">
        <w:rPr>
          <w:lang w:val="sq-AL"/>
        </w:rPr>
        <w:t xml:space="preserve">8577, datë 10.02.2000 “Për organizimin dhe funksionimin e Gjykatës Kushtetuese të Republikës së Shqipërisë”.  </w:t>
      </w:r>
    </w:p>
    <w:p w:rsidR="00AE0F38" w:rsidRPr="006F2720" w:rsidRDefault="00AE0F38" w:rsidP="00AE0F38">
      <w:pPr>
        <w:pStyle w:val="Paragrafi"/>
        <w:rPr>
          <w:lang w:val="sq-AL"/>
        </w:rPr>
      </w:pPr>
      <w:r w:rsidRPr="006F2720">
        <w:rPr>
          <w:lang w:val="sq-AL"/>
        </w:rPr>
        <w:t xml:space="preserve">7. Në lidhje me legjitimimin </w:t>
      </w:r>
      <w:r w:rsidRPr="006F2720">
        <w:rPr>
          <w:i/>
          <w:lang w:val="sq-AL"/>
        </w:rPr>
        <w:t>ratione materiae</w:t>
      </w:r>
      <w:r w:rsidRPr="006F2720">
        <w:rPr>
          <w:lang w:val="sq-AL"/>
        </w:rPr>
        <w:t xml:space="preserve">, vërehet se kërkuesi ka ngritur pretendimin e cenimit të standardit të arsyetimit të vendimit gjyqësor në lidhje me të tria vendimet e gjykatave të zakonshme. Gjykata në vijim ka marrë në shqyrtim këtë pretendim të kërkuesit në këndvështrim të standardeve që imponon procesi i rregullt ligjor në kuptimin kushtetues. </w:t>
      </w:r>
    </w:p>
    <w:p w:rsidR="00AE0F38" w:rsidRPr="006F2720" w:rsidRDefault="00AE0F38" w:rsidP="00AE0F38">
      <w:pPr>
        <w:pStyle w:val="Paragrafi"/>
        <w:rPr>
          <w:i/>
          <w:lang w:val="sq-AL"/>
        </w:rPr>
      </w:pPr>
      <w:r w:rsidRPr="006F2720">
        <w:rPr>
          <w:i/>
          <w:lang w:val="sq-AL"/>
        </w:rPr>
        <w:t xml:space="preserve">B. Për pretendimin e cenimit të standardit të arsyetimit të vendimit gjyqësor  </w:t>
      </w:r>
    </w:p>
    <w:p w:rsidR="00AE0F38" w:rsidRPr="006F2720" w:rsidRDefault="00AE0F38" w:rsidP="00AE0F38">
      <w:pPr>
        <w:pStyle w:val="Paragrafi"/>
        <w:rPr>
          <w:lang w:val="sq-AL"/>
        </w:rPr>
      </w:pPr>
      <w:r w:rsidRPr="006F2720">
        <w:rPr>
          <w:lang w:val="sq-AL"/>
        </w:rPr>
        <w:t xml:space="preserve">8. Sipas kërkuesit vendimi </w:t>
      </w:r>
      <w:r>
        <w:rPr>
          <w:lang w:val="sq-AL"/>
        </w:rPr>
        <w:t xml:space="preserve">nr. </w:t>
      </w:r>
      <w:r w:rsidRPr="006F2720">
        <w:rPr>
          <w:lang w:val="sq-AL"/>
        </w:rPr>
        <w:t>1, datë 16.01.2012 i Gjykatës së Shkallës së Parë për Krime të Rënda ka cenuar standardin e arsyetimit të vendimit gjyqësor, pasi megjithëse e ka shpallur kërkuesin fajtor, nuk përmban arsyetimin në lidhje me fajësinë e tij. Gjithashtu, megjithëse kërkuesi e ka ngritur këtë pretendim përpara Gjykatës së Apelit për Krime të Rënda dhe Gjykatës së Lartë edhe këto gjykata nuk e kanë marrë parasysh dhe nuk i kanë dhënë përgjigje kërkuesit për këtë pretendim.</w:t>
      </w:r>
    </w:p>
    <w:p w:rsidR="00AE0F38" w:rsidRPr="006F2720" w:rsidRDefault="00AE0F38" w:rsidP="00AE0F38">
      <w:pPr>
        <w:pStyle w:val="Paragrafi"/>
        <w:rPr>
          <w:lang w:val="sq-AL"/>
        </w:rPr>
      </w:pPr>
      <w:r w:rsidRPr="006F2720">
        <w:rPr>
          <w:lang w:val="sq-AL"/>
        </w:rPr>
        <w:t>9. Gjykata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6F2720">
        <w:rPr>
          <w:i/>
          <w:lang w:val="sq-AL"/>
        </w:rPr>
        <w:t xml:space="preserve">shih vendimet </w:t>
      </w:r>
      <w:r>
        <w:rPr>
          <w:i/>
          <w:lang w:val="sq-AL"/>
        </w:rPr>
        <w:t xml:space="preserve">nr. </w:t>
      </w:r>
      <w:r w:rsidRPr="006F2720">
        <w:rPr>
          <w:i/>
          <w:lang w:val="sq-AL"/>
        </w:rPr>
        <w:t xml:space="preserve">2, datë 26.01.2015; </w:t>
      </w:r>
      <w:r>
        <w:rPr>
          <w:i/>
          <w:lang w:val="sq-AL"/>
        </w:rPr>
        <w:t xml:space="preserve">nr. </w:t>
      </w:r>
      <w:r w:rsidRPr="006F2720">
        <w:rPr>
          <w:i/>
          <w:lang w:val="sq-AL"/>
        </w:rPr>
        <w:t>3, datë 23.01.2014 të Gjykatës Kushtetuese</w:t>
      </w:r>
      <w:r w:rsidRPr="006F2720">
        <w:rPr>
          <w:lang w:val="sq-AL"/>
        </w:rPr>
        <w:t>).</w:t>
      </w:r>
    </w:p>
    <w:p w:rsidR="00AE0F38" w:rsidRPr="006F2720" w:rsidRDefault="00AE0F38" w:rsidP="00AE0F38">
      <w:pPr>
        <w:pStyle w:val="Paragrafi"/>
        <w:rPr>
          <w:lang w:val="sq-AL"/>
        </w:rPr>
      </w:pPr>
      <w:r w:rsidRPr="006F2720">
        <w:rPr>
          <w:lang w:val="sq-AL"/>
        </w:rPr>
        <w:t>10.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6F2720">
        <w:rPr>
          <w:i/>
          <w:lang w:val="sq-AL"/>
        </w:rPr>
        <w:t xml:space="preserve">shih vendimet </w:t>
      </w:r>
      <w:r>
        <w:rPr>
          <w:i/>
          <w:lang w:val="sq-AL"/>
        </w:rPr>
        <w:t xml:space="preserve">nr. </w:t>
      </w:r>
      <w:r w:rsidRPr="006F2720">
        <w:rPr>
          <w:i/>
          <w:lang w:val="sq-AL"/>
        </w:rPr>
        <w:t xml:space="preserve">8, datë 16.03.2011; </w:t>
      </w:r>
      <w:r>
        <w:rPr>
          <w:i/>
          <w:lang w:val="sq-AL"/>
        </w:rPr>
        <w:t xml:space="preserve">nr. </w:t>
      </w:r>
      <w:r w:rsidRPr="006F2720">
        <w:rPr>
          <w:i/>
          <w:lang w:val="sq-AL"/>
        </w:rPr>
        <w:t>7, datë 09.03.2009 të Gjykatës Kushtetuese</w:t>
      </w:r>
      <w:r w:rsidRPr="006F2720">
        <w:rPr>
          <w:lang w:val="sq-AL"/>
        </w:rPr>
        <w:t xml:space="preserve">). Në jurisprudencën e saj Gjykata ka theksuar domosdoshmërinë e arsyetimit të vendimeve gjyqësore si një garanci për procesin ligjor. </w:t>
      </w:r>
      <w:r w:rsidRPr="006F2720">
        <w:rPr>
          <w:lang w:val="sq-AL"/>
        </w:rPr>
        <w:lastRenderedPageBreak/>
        <w:t>Vendimi duhet të mbështetet vetëm mbi faktet që janë paraqitur gjatë procesit gjyqësor dhe duhet të përmbajë bazën ligjore mbi të cilën bazohet zgjidhja e mosmarrëveshjes, analizën e provave, si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6F2720">
        <w:rPr>
          <w:i/>
          <w:lang w:val="sq-AL"/>
        </w:rPr>
        <w:t xml:space="preserve">shih vendimet </w:t>
      </w:r>
      <w:r>
        <w:rPr>
          <w:i/>
          <w:lang w:val="sq-AL"/>
        </w:rPr>
        <w:t xml:space="preserve">nr. </w:t>
      </w:r>
      <w:r w:rsidRPr="006F2720">
        <w:rPr>
          <w:i/>
          <w:lang w:val="sq-AL"/>
        </w:rPr>
        <w:t xml:space="preserve">3, datë 23.01.2014; </w:t>
      </w:r>
      <w:r>
        <w:rPr>
          <w:i/>
          <w:lang w:val="sq-AL"/>
        </w:rPr>
        <w:t xml:space="preserve">nr. </w:t>
      </w:r>
      <w:r w:rsidRPr="006F2720">
        <w:rPr>
          <w:i/>
          <w:lang w:val="sq-AL"/>
        </w:rPr>
        <w:t xml:space="preserve">3, datë 19.02.2013; </w:t>
      </w:r>
      <w:r>
        <w:rPr>
          <w:i/>
          <w:lang w:val="sq-AL"/>
        </w:rPr>
        <w:t xml:space="preserve">nr. </w:t>
      </w:r>
      <w:r w:rsidRPr="006F2720">
        <w:rPr>
          <w:i/>
          <w:lang w:val="sq-AL"/>
        </w:rPr>
        <w:t>20, datë 13.04.2012 të Gjykatës Kushtetuese</w:t>
      </w:r>
      <w:r w:rsidRPr="006F2720">
        <w:rPr>
          <w:lang w:val="sq-AL"/>
        </w:rPr>
        <w:t>).</w:t>
      </w:r>
    </w:p>
    <w:p w:rsidR="00AE0F38" w:rsidRPr="006F2720" w:rsidRDefault="00AE0F38" w:rsidP="00AE0F38">
      <w:pPr>
        <w:pStyle w:val="Paragrafi"/>
        <w:rPr>
          <w:lang w:val="sq-AL"/>
        </w:rPr>
      </w:pPr>
      <w:r w:rsidRPr="006F2720">
        <w:rPr>
          <w:lang w:val="sq-AL"/>
        </w:rPr>
        <w:t>11.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w:t>
      </w:r>
      <w:r w:rsidRPr="006F2720">
        <w:rPr>
          <w:i/>
          <w:lang w:val="sq-AL"/>
        </w:rPr>
        <w:t xml:space="preserve">shih vendimin </w:t>
      </w:r>
      <w:r>
        <w:rPr>
          <w:i/>
          <w:lang w:val="sq-AL"/>
        </w:rPr>
        <w:t xml:space="preserve">nr. </w:t>
      </w:r>
      <w:r w:rsidRPr="006F2720">
        <w:rPr>
          <w:i/>
          <w:lang w:val="sq-AL"/>
        </w:rPr>
        <w:t>25, datë 10.06.2011 të Gjykatës Kushtetuese</w:t>
      </w:r>
      <w:r w:rsidRPr="006F2720">
        <w:rPr>
          <w:lang w:val="sq-AL"/>
        </w:rPr>
        <w:t>).</w:t>
      </w:r>
    </w:p>
    <w:p w:rsidR="00AE0F38" w:rsidRPr="006F2720" w:rsidRDefault="00AE0F38" w:rsidP="00AE0F38">
      <w:pPr>
        <w:pStyle w:val="Paragrafi"/>
        <w:rPr>
          <w:lang w:val="sq-AL"/>
        </w:rPr>
      </w:pPr>
      <w:r w:rsidRPr="006F2720">
        <w:rPr>
          <w:lang w:val="sq-AL"/>
        </w:rPr>
        <w:t>12. Në këtë kontekst, Gjykata ka theksuar se nuk është detyrë e saj të analizojë provat dhe faktet ku është bazuar gjykata për zgjidhjen e çështjes së themelit. Kjo mbetet detyrë funksionale e gjykatave të juridiksionit të zakonshëm. Në aspektin e kontrollit kushtetues Gjykata verifikon nëse arsyetimi i 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6F2720">
        <w:rPr>
          <w:i/>
          <w:lang w:val="sq-AL"/>
        </w:rPr>
        <w:t xml:space="preserve">shih vendimin </w:t>
      </w:r>
      <w:r>
        <w:rPr>
          <w:i/>
          <w:lang w:val="sq-AL"/>
        </w:rPr>
        <w:t xml:space="preserve">nr. </w:t>
      </w:r>
      <w:r w:rsidRPr="006F2720">
        <w:rPr>
          <w:i/>
          <w:lang w:val="sq-AL"/>
        </w:rPr>
        <w:t>55, datë 18.12.2012 të Gjykatës Kushtetuese</w:t>
      </w:r>
      <w:r w:rsidRPr="006F2720">
        <w:rPr>
          <w:lang w:val="sq-AL"/>
        </w:rPr>
        <w:t xml:space="preserve">). </w:t>
      </w:r>
    </w:p>
    <w:p w:rsidR="00AE0F38" w:rsidRPr="006F2720" w:rsidRDefault="00AE0F38" w:rsidP="00AE0F38">
      <w:pPr>
        <w:pStyle w:val="Paragrafi"/>
        <w:rPr>
          <w:lang w:val="sq-AL"/>
        </w:rPr>
      </w:pPr>
      <w:r w:rsidRPr="006F2720">
        <w:rPr>
          <w:lang w:val="sq-AL"/>
        </w:rPr>
        <w:t xml:space="preserve">13. Në çështjen konkrete Gjykata vëren se kërkuesi është deklaruar fajtor për kryerjen e veprës penale “Vrasje me paramendim”, të kryer në bashkëpunim, të mbetur në tentativë, të parashikuar nga neni 78/2 i Kodit Penal (KP). Në vendimin e Gjykatës së Shkallës së Parë janë paraqitur rrethanat e ngjarjes së datës 05.04.2005, sipas të cilave kërkuesi ka ndihmuar bashkëpunëtorët e tjerë që do të kryenin vrasjen në dëm të shtetasit L.B. (shih fq. 324-338 të vendimit të shkallës së parë). Vendimi </w:t>
      </w:r>
      <w:r>
        <w:rPr>
          <w:lang w:val="sq-AL"/>
        </w:rPr>
        <w:t xml:space="preserve">nr. </w:t>
      </w:r>
      <w:r w:rsidRPr="006F2720">
        <w:rPr>
          <w:lang w:val="sq-AL"/>
        </w:rPr>
        <w:t>1, datë 16.01.2012 i dhënë nga Gjykata e Shkallës së Parë për Krime të Rënda, që e ka deklaruar kërkuesin fajtor, është kontrolluar nga Gjykata e Apelit për Krime të Rënda dhe nga Gjykata e Lartë, e cila e ka kaluar çështjen në seancë gjyqësore (</w:t>
      </w:r>
      <w:r w:rsidRPr="006F2720">
        <w:rPr>
          <w:i/>
          <w:lang w:val="sq-AL"/>
        </w:rPr>
        <w:t>fq. 469 e në vijim të vendimit të Gjykatës së Apelit; fq. 388 e në vijim të vendimit të Gjykatës së Lartë</w:t>
      </w:r>
      <w:r w:rsidRPr="006F2720">
        <w:rPr>
          <w:lang w:val="sq-AL"/>
        </w:rPr>
        <w:t xml:space="preserve">). </w:t>
      </w:r>
    </w:p>
    <w:p w:rsidR="00AE0F38" w:rsidRPr="006F2720" w:rsidRDefault="00AE0F38" w:rsidP="00AE0F38">
      <w:pPr>
        <w:pStyle w:val="Paragrafi"/>
        <w:rPr>
          <w:lang w:val="sq-AL"/>
        </w:rPr>
      </w:pPr>
      <w:r w:rsidRPr="006F2720">
        <w:rPr>
          <w:lang w:val="sq-AL"/>
        </w:rPr>
        <w:t xml:space="preserve">14. Duke i vlerësuar arsyetimet e vendimeve gjyqësore të dhëna nga gjykatat e faktit dhe Gjykata e Lartë, në këndvështrim të plotësimit të elementeve të përcaktuara nga jurisprudenca kushtetuese, Gjykata konstaton se vendimet përkatëse përmbajnë bazën ligjore mbi të cilën bazohet procesi penal, analizën e provave të administruara, si dhe vlerësimin e gjykatave në lidhje me fajësinë e kërkuesit dhe caktimin e dënimit. Këto vendime nuk janë alogjike dhe nuk përmbajnë ndonjë kundërthënie të hapur ose të fshehtë. Në aspektin substancial Gjykata vëren se në vendimet gjyqësore, objekt shqyrtimi, gjykatat e juridiksionit të zakonshëm nuk kanë bërë një arsyetim të detajuar për sa i përket interpretimit dhe zbatimit të ligjit në lidhje me rrethanat e faktit që i atribuohen kërkuesit. Megjithatë në vlerësimin e Gjykatës kjo nuk përbën një të metë aq serioze sa t’i bëjë të cenueshme vendimet në fjalë në aspektin kushtetues. </w:t>
      </w:r>
    </w:p>
    <w:p w:rsidR="00AE0F38" w:rsidRPr="00090F75" w:rsidRDefault="00AE0F38" w:rsidP="00AE0F38">
      <w:pPr>
        <w:pStyle w:val="Paragrafi"/>
        <w:rPr>
          <w:spacing w:val="-4"/>
          <w:lang w:val="sq-AL"/>
        </w:rPr>
      </w:pPr>
      <w:r w:rsidRPr="00090F75">
        <w:rPr>
          <w:spacing w:val="-4"/>
          <w:lang w:val="sq-AL"/>
        </w:rPr>
        <w:t xml:space="preserve">15. Për më tepër, kontrolli kushtetues që kjo Gjykatë ushtron ndaj vendimeve gjyqësore është i kufizuar vetëm në funksion të mbrojtjes së të drejtave kushtetuese të individit për një proces të rregullt ligjor. Gjykata ka theksuar se mënyra e vlerësimit të provave dhe mënyra e zbatimit të ligjit material është, si rregull, atribut i gjykatave të zakonshme. Roli i saj nuk është të rivlerësojë faktet, </w:t>
      </w:r>
      <w:r w:rsidRPr="00090F75">
        <w:rPr>
          <w:spacing w:val="-4"/>
          <w:lang w:val="sq-AL"/>
        </w:rPr>
        <w:lastRenderedPageBreak/>
        <w:t>zbatimin e ligjit material ose zgjidhjen e dhënë nga gjykatat e zakonshme, pasi një gjë e tillë do ta kthente atë në një instancë të katërt. Si të tilla, këto çështje i takojnë sferës së kompetencës së gjykatave të zakonshme, që bëjnë vlerësimin juridik të rrethanave dhe provave të parashtruara dhe jo juridiksionit kushtetues, i cili nuk mund të zëvendësojë prerogativat kushtetuese e ligjore të vetë hallkave të sistemit gjyqësor, aq më tepër të vlerësojë bindjen e brendshme të gjykatave për çështje konkrete (</w:t>
      </w:r>
      <w:r w:rsidRPr="00090F75">
        <w:rPr>
          <w:i/>
          <w:spacing w:val="-4"/>
          <w:lang w:val="sq-AL"/>
        </w:rPr>
        <w:t>shih vendimet nr. 34, datë 12.07.2013; nr. 1, datë 20.01.2012; nr. 23, datë 17.05.2011 të Gjykatës Kushtetuese</w:t>
      </w:r>
      <w:r w:rsidRPr="00090F75">
        <w:rPr>
          <w:spacing w:val="-4"/>
          <w:lang w:val="sq-AL"/>
        </w:rPr>
        <w:t>).</w:t>
      </w:r>
    </w:p>
    <w:p w:rsidR="00AE0F38" w:rsidRPr="00090F75" w:rsidRDefault="00AE0F38" w:rsidP="00AE0F38">
      <w:pPr>
        <w:pStyle w:val="Paragrafi"/>
        <w:rPr>
          <w:spacing w:val="-4"/>
          <w:lang w:val="sq-AL"/>
        </w:rPr>
      </w:pPr>
      <w:r w:rsidRPr="00090F75">
        <w:rPr>
          <w:spacing w:val="-4"/>
          <w:lang w:val="sq-AL"/>
        </w:rPr>
        <w:t xml:space="preserve">16. Si përfundim, nisur nga sa më sipër, Gjykata vlerëson se pretendimi i kërkuesit për cenimin e  standardit të arsyetimit të vendimit gjyqësor, në kuadrin e së drejtës për një proces të rregullt ligjor, është i pabazuar dhe nuk duhet pranuar. </w:t>
      </w:r>
    </w:p>
    <w:p w:rsidR="00AE0F38" w:rsidRPr="00090F75" w:rsidRDefault="00AE0F38" w:rsidP="00AE0F38">
      <w:pPr>
        <w:pStyle w:val="Vendosi"/>
        <w:rPr>
          <w:sz w:val="14"/>
          <w:lang w:val="sq-AL"/>
        </w:rPr>
      </w:pPr>
    </w:p>
    <w:p w:rsidR="00AE0F38" w:rsidRPr="006F2720" w:rsidRDefault="00AE0F38" w:rsidP="00AE0F38">
      <w:pPr>
        <w:pStyle w:val="Vendosi"/>
        <w:rPr>
          <w:lang w:val="sq-AL"/>
        </w:rPr>
      </w:pPr>
      <w:r w:rsidRPr="006F2720">
        <w:rPr>
          <w:lang w:val="sq-AL"/>
        </w:rPr>
        <w:t>PËR KËTO ARSYE,</w:t>
      </w:r>
    </w:p>
    <w:p w:rsidR="00AE0F38" w:rsidRPr="006F2720" w:rsidRDefault="00AE0F38" w:rsidP="00AE0F38">
      <w:pPr>
        <w:pStyle w:val="Hapesira7"/>
        <w:rPr>
          <w:lang w:val="sq-AL"/>
        </w:rPr>
      </w:pPr>
    </w:p>
    <w:p w:rsidR="00AE0F38" w:rsidRPr="006F2720" w:rsidRDefault="00AE0F38" w:rsidP="00AE0F38">
      <w:pPr>
        <w:pStyle w:val="Paragrafi"/>
        <w:rPr>
          <w:lang w:val="sq-AL"/>
        </w:rPr>
      </w:pPr>
      <w:r w:rsidRPr="006F2720">
        <w:rPr>
          <w:lang w:val="sq-AL"/>
        </w:rPr>
        <w:t xml:space="preserve">Gjykata Kushtetuese e Republikës së Shqipërisë, në mbështetje të neneve 131/f dhe 134/1/g të Kushtetutës, si dhe të nenit 72 të ligjit </w:t>
      </w:r>
      <w:r>
        <w:rPr>
          <w:lang w:val="sq-AL"/>
        </w:rPr>
        <w:t xml:space="preserve">nr. </w:t>
      </w:r>
      <w:r w:rsidRPr="006F2720">
        <w:rPr>
          <w:lang w:val="sq-AL"/>
        </w:rPr>
        <w:t>8577, datë 10.02.2000 “Për organizimin dhe funksionimin e Gjykatës Kushtetuese të Republikës së Shqipërisë”, njëzëri, </w:t>
      </w:r>
    </w:p>
    <w:p w:rsidR="00AE0F38" w:rsidRPr="006F2720" w:rsidRDefault="00AE0F38" w:rsidP="00AE0F38">
      <w:pPr>
        <w:pStyle w:val="Hapesira7"/>
        <w:rPr>
          <w:lang w:val="sq-AL"/>
        </w:rPr>
      </w:pPr>
    </w:p>
    <w:p w:rsidR="00AE0F38" w:rsidRPr="006F2720" w:rsidRDefault="00AE0F38" w:rsidP="00AE0F38">
      <w:pPr>
        <w:pStyle w:val="Vendosi"/>
        <w:rPr>
          <w:lang w:val="sq-AL"/>
        </w:rPr>
      </w:pPr>
      <w:r w:rsidRPr="006F2720">
        <w:rPr>
          <w:lang w:val="sq-AL"/>
        </w:rPr>
        <w:t>VENDOSI:</w:t>
      </w:r>
    </w:p>
    <w:p w:rsidR="00AE0F38" w:rsidRPr="006F2720" w:rsidRDefault="00AE0F38" w:rsidP="00AE0F38">
      <w:pPr>
        <w:pStyle w:val="Hapesira7"/>
        <w:rPr>
          <w:lang w:val="sq-AL"/>
        </w:rPr>
      </w:pPr>
      <w:r w:rsidRPr="006F2720">
        <w:rPr>
          <w:lang w:val="sq-AL"/>
        </w:rPr>
        <w:t xml:space="preserve"> </w:t>
      </w:r>
    </w:p>
    <w:p w:rsidR="00AE0F38" w:rsidRPr="006F2720" w:rsidRDefault="00AE0F38" w:rsidP="00AE0F38">
      <w:pPr>
        <w:pStyle w:val="Paragrafi"/>
        <w:rPr>
          <w:lang w:val="sq-AL"/>
        </w:rPr>
      </w:pPr>
      <w:r w:rsidRPr="006F2720">
        <w:rPr>
          <w:lang w:val="sq-AL"/>
        </w:rPr>
        <w:t xml:space="preserve">-  Rrëzimin e kërkesës. </w:t>
      </w:r>
    </w:p>
    <w:p w:rsidR="00AE0F38" w:rsidRPr="006F2720" w:rsidRDefault="00AE0F38" w:rsidP="00AE0F38">
      <w:pPr>
        <w:pStyle w:val="Paragrafi"/>
        <w:rPr>
          <w:lang w:val="sq-AL"/>
        </w:rPr>
      </w:pPr>
      <w:r w:rsidRPr="006F2720">
        <w:rPr>
          <w:lang w:val="sq-AL"/>
        </w:rPr>
        <w:t xml:space="preserve"> Ky vendim është përfundimtar, i formës së prerë dhe hyn në fuqi ditën e botimit në Fletoren Zyrtare.</w:t>
      </w:r>
    </w:p>
    <w:p w:rsidR="00AE0F38" w:rsidRPr="006F2720" w:rsidRDefault="00AE0F38" w:rsidP="00AE0F38">
      <w:pPr>
        <w:pStyle w:val="Hapesira7"/>
        <w:rPr>
          <w:lang w:val="sq-AL"/>
        </w:rPr>
      </w:pPr>
    </w:p>
    <w:p w:rsidR="00AE0F38" w:rsidRPr="006F2720" w:rsidRDefault="00AE0F38" w:rsidP="00AE0F38">
      <w:pPr>
        <w:pStyle w:val="Paragrafi"/>
        <w:ind w:firstLine="0"/>
        <w:rPr>
          <w:lang w:val="sq-AL"/>
        </w:rPr>
      </w:pPr>
      <w:r w:rsidRPr="006F2720">
        <w:rPr>
          <w:lang w:val="sq-AL"/>
        </w:rPr>
        <w:t xml:space="preserve">      Anëtarë: Bashkim Dedja (kryetar), </w:t>
      </w:r>
      <w:r w:rsidRPr="006F2720">
        <w:rPr>
          <w:lang w:val="sq-AL"/>
        </w:rPr>
        <w:tab/>
        <w:t>Vitore Tusha, Vladimir Kristo, Gani Dizdari, Fatmir Hoxha, Altina Xhoxhaj, Sokol Berberi, Fatos Lulo, Besnik Imeraj</w:t>
      </w:r>
    </w:p>
    <w:p w:rsidR="00AE0F38" w:rsidRDefault="00AE0F38" w:rsidP="00AE0F38">
      <w:pPr>
        <w:pStyle w:val="Akti"/>
        <w:keepNext w:val="0"/>
        <w:rPr>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F38"/>
    <w:rsid w:val="000F6EA9"/>
    <w:rsid w:val="00AE0F38"/>
    <w:rsid w:val="00DC7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E0F38"/>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E0F38"/>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E0F38"/>
    <w:rPr>
      <w:rFonts w:ascii="Garamond" w:eastAsia="MS Mincho" w:hAnsi="Garamond" w:cs="CG Times"/>
      <w:b/>
      <w:bCs/>
      <w:sz w:val="24"/>
    </w:rPr>
  </w:style>
  <w:style w:type="paragraph" w:customStyle="1" w:styleId="Paragrafi">
    <w:name w:val="Paragrafi"/>
    <w:link w:val="ParagrafiChar"/>
    <w:rsid w:val="00AE0F3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E0F38"/>
    <w:rPr>
      <w:rFonts w:ascii="Garamond" w:eastAsia="MS Mincho" w:hAnsi="Garamond" w:cs="CG Times"/>
      <w:sz w:val="24"/>
      <w:lang w:val="en-US"/>
    </w:rPr>
  </w:style>
  <w:style w:type="paragraph" w:customStyle="1" w:styleId="Titulli">
    <w:name w:val="Titulli"/>
    <w:next w:val="Normal"/>
    <w:link w:val="TitulliChar"/>
    <w:rsid w:val="00AE0F38"/>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E0F38"/>
    <w:rPr>
      <w:rFonts w:ascii="Garamond" w:eastAsia="MS Mincho" w:hAnsi="Garamond" w:cs="CG Times"/>
      <w:b/>
      <w:bCs/>
      <w:caps/>
      <w:sz w:val="24"/>
    </w:rPr>
  </w:style>
  <w:style w:type="character" w:customStyle="1" w:styleId="AktiChar">
    <w:name w:val="Akti Char"/>
    <w:basedOn w:val="DefaultParagraphFont"/>
    <w:link w:val="Akti"/>
    <w:rsid w:val="00AE0F38"/>
    <w:rPr>
      <w:rFonts w:ascii="Garamond" w:eastAsia="MS Mincho" w:hAnsi="Garamond" w:cs="CG Times"/>
      <w:b/>
      <w:bCs/>
      <w:caps/>
      <w:color w:val="000000"/>
      <w:sz w:val="24"/>
    </w:rPr>
  </w:style>
  <w:style w:type="paragraph" w:customStyle="1" w:styleId="Vendosi">
    <w:name w:val="Vendosi"/>
    <w:basedOn w:val="Normal"/>
    <w:qFormat/>
    <w:rsid w:val="00AE0F38"/>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AE0F3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E0F38"/>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E0F38"/>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E0F38"/>
    <w:rPr>
      <w:rFonts w:ascii="Garamond" w:eastAsia="MS Mincho" w:hAnsi="Garamond" w:cs="CG Times"/>
      <w:b/>
      <w:bCs/>
      <w:sz w:val="24"/>
    </w:rPr>
  </w:style>
  <w:style w:type="paragraph" w:customStyle="1" w:styleId="Paragrafi">
    <w:name w:val="Paragrafi"/>
    <w:link w:val="ParagrafiChar"/>
    <w:rsid w:val="00AE0F3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E0F38"/>
    <w:rPr>
      <w:rFonts w:ascii="Garamond" w:eastAsia="MS Mincho" w:hAnsi="Garamond" w:cs="CG Times"/>
      <w:sz w:val="24"/>
      <w:lang w:val="en-US"/>
    </w:rPr>
  </w:style>
  <w:style w:type="paragraph" w:customStyle="1" w:styleId="Titulli">
    <w:name w:val="Titulli"/>
    <w:next w:val="Normal"/>
    <w:link w:val="TitulliChar"/>
    <w:rsid w:val="00AE0F38"/>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E0F38"/>
    <w:rPr>
      <w:rFonts w:ascii="Garamond" w:eastAsia="MS Mincho" w:hAnsi="Garamond" w:cs="CG Times"/>
      <w:b/>
      <w:bCs/>
      <w:caps/>
      <w:sz w:val="24"/>
    </w:rPr>
  </w:style>
  <w:style w:type="character" w:customStyle="1" w:styleId="AktiChar">
    <w:name w:val="Akti Char"/>
    <w:basedOn w:val="DefaultParagraphFont"/>
    <w:link w:val="Akti"/>
    <w:rsid w:val="00AE0F38"/>
    <w:rPr>
      <w:rFonts w:ascii="Garamond" w:eastAsia="MS Mincho" w:hAnsi="Garamond" w:cs="CG Times"/>
      <w:b/>
      <w:bCs/>
      <w:caps/>
      <w:color w:val="000000"/>
      <w:sz w:val="24"/>
    </w:rPr>
  </w:style>
  <w:style w:type="paragraph" w:customStyle="1" w:styleId="Vendosi">
    <w:name w:val="Vendosi"/>
    <w:basedOn w:val="Normal"/>
    <w:qFormat/>
    <w:rsid w:val="00AE0F38"/>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AE0F3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1963</Words>
  <Characters>11192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2019-01-31T09:23:00Z</cp:lastPrinted>
  <dcterms:created xsi:type="dcterms:W3CDTF">2016-01-21T14:07:00Z</dcterms:created>
  <dcterms:modified xsi:type="dcterms:W3CDTF">2019-01-31T09:23:00Z</dcterms:modified>
</cp:coreProperties>
</file>