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094" w:rsidRPr="001E445E" w:rsidRDefault="002D7094" w:rsidP="002D7094">
      <w:pPr>
        <w:pStyle w:val="Akti"/>
        <w:rPr>
          <w:lang w:val="sq-AL"/>
        </w:rPr>
      </w:pPr>
      <w:r w:rsidRPr="001E445E">
        <w:rPr>
          <w:lang w:val="sq-AL"/>
        </w:rPr>
        <w:t>VENDIM</w:t>
      </w:r>
    </w:p>
    <w:p w:rsidR="002D7094" w:rsidRDefault="002D7094" w:rsidP="002D7094">
      <w:pPr>
        <w:pStyle w:val="NumriData"/>
        <w:rPr>
          <w:lang w:val="sq-AL"/>
        </w:rPr>
      </w:pPr>
      <w:r>
        <w:rPr>
          <w:lang w:val="sq-AL"/>
        </w:rPr>
        <w:t xml:space="preserve">Nr. </w:t>
      </w:r>
      <w:r w:rsidRPr="001E445E">
        <w:rPr>
          <w:lang w:val="sq-AL"/>
        </w:rPr>
        <w:t>2, datë 29.1.2016</w:t>
      </w:r>
    </w:p>
    <w:p w:rsidR="002D7094" w:rsidRPr="00CF1B5A" w:rsidRDefault="002D7094" w:rsidP="002D7094">
      <w:pPr>
        <w:pStyle w:val="Hapesira7"/>
        <w:rPr>
          <w:lang w:val="sq-AL"/>
        </w:rPr>
      </w:pPr>
    </w:p>
    <w:p w:rsidR="002D7094" w:rsidRPr="001E445E" w:rsidRDefault="002D7094" w:rsidP="002D7094">
      <w:pPr>
        <w:pStyle w:val="Titulli"/>
        <w:rPr>
          <w:lang w:val="sq-AL"/>
        </w:rPr>
      </w:pPr>
      <w:r w:rsidRPr="001E445E">
        <w:rPr>
          <w:lang w:val="sq-AL"/>
        </w:rPr>
        <w:t>NË EMËR TË REPUBLIKËS SË SHQIPËRISË</w:t>
      </w:r>
    </w:p>
    <w:p w:rsidR="002D7094" w:rsidRPr="001E445E" w:rsidRDefault="002D7094" w:rsidP="002D7094">
      <w:pPr>
        <w:pStyle w:val="Hapesira7"/>
        <w:rPr>
          <w:lang w:val="sq-AL"/>
        </w:rPr>
      </w:pPr>
    </w:p>
    <w:p w:rsidR="002D7094" w:rsidRPr="001E445E" w:rsidRDefault="002D7094" w:rsidP="002D7094">
      <w:pPr>
        <w:pStyle w:val="Paragrafi"/>
        <w:rPr>
          <w:lang w:val="sq-AL"/>
        </w:rPr>
      </w:pPr>
      <w:r w:rsidRPr="001E445E">
        <w:rPr>
          <w:lang w:val="sq-AL"/>
        </w:rPr>
        <w:t>Gjykata Kushtetuese e Republikës së Shqipërisë, e përbërë nga:</w:t>
      </w:r>
    </w:p>
    <w:p w:rsidR="002D7094" w:rsidRDefault="002D7094" w:rsidP="002D7094">
      <w:pPr>
        <w:pStyle w:val="Paragrafi"/>
        <w:ind w:firstLine="0"/>
        <w:rPr>
          <w:lang w:val="sq-AL"/>
        </w:rPr>
      </w:pPr>
      <w:r w:rsidRPr="001E445E">
        <w:rPr>
          <w:lang w:val="sq-AL"/>
        </w:rPr>
        <w:t xml:space="preserve">Bashkim Dedja </w:t>
      </w:r>
      <w:r>
        <w:rPr>
          <w:lang w:val="sq-AL"/>
        </w:rPr>
        <w:t xml:space="preserve">   </w:t>
      </w:r>
      <w:r w:rsidRPr="001E445E">
        <w:rPr>
          <w:lang w:val="sq-AL"/>
        </w:rPr>
        <w:t>kryetar</w:t>
      </w:r>
      <w:r>
        <w:rPr>
          <w:lang w:val="sq-AL"/>
        </w:rPr>
        <w:t xml:space="preserve"> </w:t>
      </w:r>
      <w:r w:rsidRPr="001E445E">
        <w:rPr>
          <w:lang w:val="sq-AL"/>
        </w:rPr>
        <w:t>i</w:t>
      </w:r>
      <w:r>
        <w:rPr>
          <w:lang w:val="sq-AL"/>
        </w:rPr>
        <w:t xml:space="preserve"> </w:t>
      </w:r>
      <w:r w:rsidRPr="001E445E">
        <w:rPr>
          <w:lang w:val="sq-AL"/>
        </w:rPr>
        <w:t xml:space="preserve">Gjykatës Kushtetuese </w:t>
      </w:r>
    </w:p>
    <w:p w:rsidR="002D7094" w:rsidRPr="001E445E" w:rsidRDefault="002D7094" w:rsidP="002D7094">
      <w:pPr>
        <w:pStyle w:val="Paragrafi"/>
        <w:ind w:firstLine="0"/>
        <w:rPr>
          <w:lang w:val="sq-AL"/>
        </w:rPr>
      </w:pPr>
      <w:r w:rsidRPr="001E445E">
        <w:rPr>
          <w:lang w:val="sq-AL"/>
        </w:rPr>
        <w:t>Vladimir Kristo</w:t>
      </w:r>
      <w:r>
        <w:rPr>
          <w:lang w:val="sq-AL"/>
        </w:rPr>
        <w:t xml:space="preserve"> </w:t>
      </w:r>
      <w:r>
        <w:rPr>
          <w:lang w:val="sq-AL"/>
        </w:rPr>
        <w:tab/>
        <w:t>a</w:t>
      </w:r>
      <w:r w:rsidRPr="001E445E">
        <w:rPr>
          <w:lang w:val="sq-AL"/>
        </w:rPr>
        <w:t>nëtar</w:t>
      </w:r>
      <w:r>
        <w:rPr>
          <w:lang w:val="sq-AL"/>
        </w:rPr>
        <w:t xml:space="preserve"> </w:t>
      </w:r>
      <w:r w:rsidRPr="001E445E">
        <w:rPr>
          <w:lang w:val="sq-AL"/>
        </w:rPr>
        <w:t>i</w:t>
      </w:r>
      <w:r w:rsidR="004764B8">
        <w:rPr>
          <w:lang w:val="sq-AL"/>
        </w:rPr>
        <w:t xml:space="preserve"> </w:t>
      </w:r>
      <w:r w:rsidR="004764B8">
        <w:rPr>
          <w:lang w:val="sq-AL"/>
        </w:rPr>
        <w:tab/>
      </w:r>
      <w:r w:rsidRPr="001E445E">
        <w:rPr>
          <w:lang w:val="sq-AL"/>
        </w:rPr>
        <w:t>“</w:t>
      </w:r>
      <w:r>
        <w:rPr>
          <w:lang w:val="sq-AL"/>
        </w:rPr>
        <w:t xml:space="preserve"> </w:t>
      </w:r>
      <w:r>
        <w:rPr>
          <w:lang w:val="sq-AL"/>
        </w:rPr>
        <w:tab/>
      </w:r>
      <w:r>
        <w:rPr>
          <w:lang w:val="sq-AL"/>
        </w:rPr>
        <w:tab/>
      </w:r>
      <w:r w:rsidRPr="001E445E">
        <w:rPr>
          <w:lang w:val="sq-AL"/>
        </w:rPr>
        <w:t>“</w:t>
      </w:r>
    </w:p>
    <w:p w:rsidR="002D7094" w:rsidRPr="001E445E" w:rsidRDefault="002D7094" w:rsidP="002D7094">
      <w:pPr>
        <w:pStyle w:val="Paragrafi"/>
        <w:ind w:firstLine="0"/>
        <w:rPr>
          <w:lang w:val="sq-AL"/>
        </w:rPr>
      </w:pPr>
      <w:r>
        <w:rPr>
          <w:lang w:val="sq-AL"/>
        </w:rPr>
        <w:t>Sokol Berberi</w:t>
      </w:r>
      <w:r w:rsidRPr="001E445E">
        <w:rPr>
          <w:lang w:val="sq-AL"/>
        </w:rPr>
        <w:tab/>
      </w:r>
      <w:r>
        <w:rPr>
          <w:lang w:val="sq-AL"/>
        </w:rPr>
        <w:t xml:space="preserve"> </w:t>
      </w:r>
      <w:r>
        <w:rPr>
          <w:lang w:val="sq-AL"/>
        </w:rPr>
        <w:tab/>
        <w:t>a</w:t>
      </w:r>
      <w:r w:rsidRPr="001E445E">
        <w:rPr>
          <w:lang w:val="sq-AL"/>
        </w:rPr>
        <w:t>nëtar</w:t>
      </w:r>
      <w:r>
        <w:rPr>
          <w:lang w:val="sq-AL"/>
        </w:rPr>
        <w:t xml:space="preserve"> </w:t>
      </w:r>
      <w:r w:rsidRPr="001E445E">
        <w:rPr>
          <w:lang w:val="sq-AL"/>
        </w:rPr>
        <w:t>i</w:t>
      </w:r>
      <w:r w:rsidRPr="001E445E">
        <w:rPr>
          <w:lang w:val="sq-AL"/>
        </w:rPr>
        <w:tab/>
      </w:r>
      <w:r>
        <w:rPr>
          <w:lang w:val="sq-AL"/>
        </w:rPr>
        <w:tab/>
      </w:r>
      <w:r w:rsidRPr="001E445E">
        <w:rPr>
          <w:lang w:val="sq-AL"/>
        </w:rPr>
        <w:t>“</w:t>
      </w:r>
      <w:r w:rsidRPr="001E445E">
        <w:rPr>
          <w:lang w:val="sq-AL"/>
        </w:rPr>
        <w:tab/>
      </w:r>
      <w:r>
        <w:rPr>
          <w:lang w:val="sq-AL"/>
        </w:rPr>
        <w:tab/>
      </w:r>
      <w:r w:rsidRPr="001E445E">
        <w:rPr>
          <w:lang w:val="sq-AL"/>
        </w:rPr>
        <w:t>“</w:t>
      </w:r>
    </w:p>
    <w:p w:rsidR="002D7094" w:rsidRPr="001E445E" w:rsidRDefault="002D7094" w:rsidP="002D7094">
      <w:pPr>
        <w:pStyle w:val="Paragrafi"/>
        <w:ind w:firstLine="0"/>
        <w:rPr>
          <w:lang w:val="sq-AL"/>
        </w:rPr>
      </w:pPr>
      <w:r>
        <w:rPr>
          <w:lang w:val="sq-AL"/>
        </w:rPr>
        <w:t>Vitore Tusha</w:t>
      </w:r>
      <w:r w:rsidRPr="001E445E">
        <w:rPr>
          <w:lang w:val="sq-AL"/>
        </w:rPr>
        <w:tab/>
      </w:r>
      <w:r>
        <w:rPr>
          <w:lang w:val="sq-AL"/>
        </w:rPr>
        <w:t xml:space="preserve"> </w:t>
      </w:r>
      <w:r>
        <w:rPr>
          <w:lang w:val="sq-AL"/>
        </w:rPr>
        <w:tab/>
        <w:t>a</w:t>
      </w:r>
      <w:r w:rsidR="004764B8">
        <w:rPr>
          <w:lang w:val="sq-AL"/>
        </w:rPr>
        <w:t>nëtare e</w:t>
      </w:r>
      <w:r>
        <w:rPr>
          <w:lang w:val="sq-AL"/>
        </w:rPr>
        <w:tab/>
      </w:r>
      <w:r w:rsidRPr="001E445E">
        <w:rPr>
          <w:lang w:val="sq-AL"/>
        </w:rPr>
        <w:t>“</w:t>
      </w:r>
      <w:r w:rsidRPr="001E445E">
        <w:rPr>
          <w:lang w:val="sq-AL"/>
        </w:rPr>
        <w:tab/>
      </w:r>
      <w:r>
        <w:rPr>
          <w:lang w:val="sq-AL"/>
        </w:rPr>
        <w:tab/>
      </w:r>
      <w:r w:rsidRPr="001E445E">
        <w:rPr>
          <w:lang w:val="sq-AL"/>
        </w:rPr>
        <w:t>“</w:t>
      </w:r>
    </w:p>
    <w:p w:rsidR="002D7094" w:rsidRPr="001E445E" w:rsidRDefault="002D7094" w:rsidP="002D7094">
      <w:pPr>
        <w:pStyle w:val="Paragrafi"/>
        <w:ind w:firstLine="0"/>
        <w:rPr>
          <w:lang w:val="sq-AL"/>
        </w:rPr>
      </w:pPr>
      <w:r w:rsidRPr="001E445E">
        <w:rPr>
          <w:lang w:val="sq-AL"/>
        </w:rPr>
        <w:t>Fatmir Hoxha</w:t>
      </w:r>
      <w:r>
        <w:rPr>
          <w:lang w:val="sq-AL"/>
        </w:rPr>
        <w:t xml:space="preserve"> </w:t>
      </w:r>
      <w:r w:rsidRPr="001E445E">
        <w:rPr>
          <w:lang w:val="sq-AL"/>
        </w:rPr>
        <w:tab/>
      </w:r>
      <w:r>
        <w:rPr>
          <w:lang w:val="sq-AL"/>
        </w:rPr>
        <w:tab/>
        <w:t>a</w:t>
      </w:r>
      <w:r w:rsidRPr="001E445E">
        <w:rPr>
          <w:lang w:val="sq-AL"/>
        </w:rPr>
        <w:t>nëtar</w:t>
      </w:r>
      <w:r>
        <w:rPr>
          <w:lang w:val="sq-AL"/>
        </w:rPr>
        <w:t xml:space="preserve"> </w:t>
      </w:r>
      <w:r w:rsidRPr="001E445E">
        <w:rPr>
          <w:lang w:val="sq-AL"/>
        </w:rPr>
        <w:t>i</w:t>
      </w:r>
      <w:r w:rsidRPr="001E445E">
        <w:rPr>
          <w:lang w:val="sq-AL"/>
        </w:rPr>
        <w:tab/>
      </w:r>
      <w:r>
        <w:rPr>
          <w:lang w:val="sq-AL"/>
        </w:rPr>
        <w:tab/>
      </w:r>
      <w:r w:rsidRPr="001E445E">
        <w:rPr>
          <w:lang w:val="sq-AL"/>
        </w:rPr>
        <w:t>“</w:t>
      </w:r>
      <w:r w:rsidRPr="001E445E">
        <w:rPr>
          <w:lang w:val="sq-AL"/>
        </w:rPr>
        <w:tab/>
      </w:r>
      <w:r>
        <w:rPr>
          <w:lang w:val="sq-AL"/>
        </w:rPr>
        <w:tab/>
      </w:r>
      <w:r w:rsidRPr="001E445E">
        <w:rPr>
          <w:lang w:val="sq-AL"/>
        </w:rPr>
        <w:t>“</w:t>
      </w:r>
    </w:p>
    <w:p w:rsidR="002D7094" w:rsidRPr="001E445E" w:rsidRDefault="002D7094" w:rsidP="002D7094">
      <w:pPr>
        <w:pStyle w:val="Paragrafi"/>
        <w:ind w:firstLine="0"/>
        <w:rPr>
          <w:lang w:val="sq-AL"/>
        </w:rPr>
      </w:pPr>
      <w:r>
        <w:rPr>
          <w:lang w:val="sq-AL"/>
        </w:rPr>
        <w:t>Besnik Imeraj</w:t>
      </w:r>
      <w:r w:rsidRPr="001E445E">
        <w:rPr>
          <w:lang w:val="sq-AL"/>
        </w:rPr>
        <w:tab/>
      </w:r>
      <w:r>
        <w:rPr>
          <w:lang w:val="sq-AL"/>
        </w:rPr>
        <w:t xml:space="preserve"> </w:t>
      </w:r>
      <w:r>
        <w:rPr>
          <w:lang w:val="sq-AL"/>
        </w:rPr>
        <w:tab/>
        <w:t>a</w:t>
      </w:r>
      <w:r w:rsidRPr="001E445E">
        <w:rPr>
          <w:lang w:val="sq-AL"/>
        </w:rPr>
        <w:t>nëtar</w:t>
      </w:r>
      <w:r>
        <w:rPr>
          <w:lang w:val="sq-AL"/>
        </w:rPr>
        <w:t xml:space="preserve"> </w:t>
      </w:r>
      <w:r w:rsidRPr="001E445E">
        <w:rPr>
          <w:lang w:val="sq-AL"/>
        </w:rPr>
        <w:t>i</w:t>
      </w:r>
      <w:r w:rsidR="004764B8">
        <w:rPr>
          <w:lang w:val="sq-AL"/>
        </w:rPr>
        <w:t xml:space="preserve"> </w:t>
      </w:r>
      <w:r w:rsidR="004764B8">
        <w:rPr>
          <w:lang w:val="sq-AL"/>
        </w:rPr>
        <w:tab/>
      </w:r>
      <w:r w:rsidRPr="001E445E">
        <w:rPr>
          <w:lang w:val="sq-AL"/>
        </w:rPr>
        <w:t>“</w:t>
      </w:r>
      <w:r w:rsidRPr="001E445E">
        <w:rPr>
          <w:lang w:val="sq-AL"/>
        </w:rPr>
        <w:tab/>
      </w:r>
      <w:r>
        <w:rPr>
          <w:lang w:val="sq-AL"/>
        </w:rPr>
        <w:tab/>
      </w:r>
      <w:r w:rsidRPr="001E445E">
        <w:rPr>
          <w:lang w:val="sq-AL"/>
        </w:rPr>
        <w:t>“</w:t>
      </w:r>
    </w:p>
    <w:p w:rsidR="002D7094" w:rsidRPr="001E445E" w:rsidRDefault="002D7094" w:rsidP="002D7094">
      <w:pPr>
        <w:pStyle w:val="Paragrafi"/>
        <w:ind w:firstLine="0"/>
        <w:rPr>
          <w:lang w:val="sq-AL"/>
        </w:rPr>
      </w:pPr>
      <w:r>
        <w:rPr>
          <w:lang w:val="sq-AL"/>
        </w:rPr>
        <w:t>Fatos Lulo</w:t>
      </w:r>
      <w:r w:rsidRPr="001E445E">
        <w:rPr>
          <w:lang w:val="sq-AL"/>
        </w:rPr>
        <w:tab/>
      </w:r>
      <w:r w:rsidR="004764B8">
        <w:rPr>
          <w:lang w:val="sq-AL"/>
        </w:rPr>
        <w:t xml:space="preserve"> </w:t>
      </w:r>
      <w:r w:rsidR="004764B8">
        <w:rPr>
          <w:lang w:val="sq-AL"/>
        </w:rPr>
        <w:tab/>
      </w:r>
      <w:r>
        <w:rPr>
          <w:lang w:val="sq-AL"/>
        </w:rPr>
        <w:t>a</w:t>
      </w:r>
      <w:r w:rsidRPr="001E445E">
        <w:rPr>
          <w:lang w:val="sq-AL"/>
        </w:rPr>
        <w:t>nëtar</w:t>
      </w:r>
      <w:r>
        <w:rPr>
          <w:lang w:val="sq-AL"/>
        </w:rPr>
        <w:t xml:space="preserve"> </w:t>
      </w:r>
      <w:r w:rsidRPr="001E445E">
        <w:rPr>
          <w:lang w:val="sq-AL"/>
        </w:rPr>
        <w:t>i</w:t>
      </w:r>
      <w:r w:rsidR="004764B8">
        <w:rPr>
          <w:lang w:val="sq-AL"/>
        </w:rPr>
        <w:t xml:space="preserve"> </w:t>
      </w:r>
      <w:r w:rsidR="004764B8">
        <w:rPr>
          <w:lang w:val="sq-AL"/>
        </w:rPr>
        <w:tab/>
      </w:r>
      <w:bookmarkStart w:id="0" w:name="_GoBack"/>
      <w:bookmarkEnd w:id="0"/>
      <w:r w:rsidRPr="001E445E">
        <w:rPr>
          <w:lang w:val="sq-AL"/>
        </w:rPr>
        <w:t>“</w:t>
      </w:r>
      <w:r w:rsidRPr="001E445E">
        <w:rPr>
          <w:lang w:val="sq-AL"/>
        </w:rPr>
        <w:tab/>
      </w:r>
      <w:r>
        <w:rPr>
          <w:lang w:val="sq-AL"/>
        </w:rPr>
        <w:tab/>
      </w:r>
      <w:r w:rsidRPr="001E445E">
        <w:rPr>
          <w:lang w:val="sq-AL"/>
        </w:rPr>
        <w:t>“</w:t>
      </w:r>
    </w:p>
    <w:p w:rsidR="002D7094" w:rsidRPr="001E445E" w:rsidRDefault="002D7094" w:rsidP="002D7094">
      <w:pPr>
        <w:pStyle w:val="Paragrafi"/>
        <w:ind w:firstLine="0"/>
        <w:rPr>
          <w:lang w:val="sq-AL"/>
        </w:rPr>
      </w:pPr>
      <w:r w:rsidRPr="001E445E">
        <w:rPr>
          <w:lang w:val="sq-AL"/>
        </w:rPr>
        <w:t>Gani Dizdari</w:t>
      </w:r>
      <w:r>
        <w:rPr>
          <w:lang w:val="sq-AL"/>
        </w:rPr>
        <w:t xml:space="preserve"> </w:t>
      </w:r>
      <w:r>
        <w:rPr>
          <w:lang w:val="sq-AL"/>
        </w:rPr>
        <w:tab/>
      </w:r>
      <w:r>
        <w:rPr>
          <w:lang w:val="sq-AL"/>
        </w:rPr>
        <w:tab/>
        <w:t>a</w:t>
      </w:r>
      <w:r w:rsidRPr="001E445E">
        <w:rPr>
          <w:lang w:val="sq-AL"/>
        </w:rPr>
        <w:t>nëtar</w:t>
      </w:r>
      <w:r>
        <w:rPr>
          <w:lang w:val="sq-AL"/>
        </w:rPr>
        <w:t xml:space="preserve"> </w:t>
      </w:r>
      <w:r w:rsidRPr="001E445E">
        <w:rPr>
          <w:lang w:val="sq-AL"/>
        </w:rPr>
        <w:t>i</w:t>
      </w:r>
      <w:r w:rsidRPr="001E445E">
        <w:rPr>
          <w:lang w:val="sq-AL"/>
        </w:rPr>
        <w:tab/>
      </w:r>
      <w:r>
        <w:rPr>
          <w:lang w:val="sq-AL"/>
        </w:rPr>
        <w:tab/>
      </w:r>
      <w:r w:rsidRPr="001E445E">
        <w:rPr>
          <w:lang w:val="sq-AL"/>
        </w:rPr>
        <w:t>“</w:t>
      </w:r>
      <w:r w:rsidRPr="001E445E">
        <w:rPr>
          <w:lang w:val="sq-AL"/>
        </w:rPr>
        <w:tab/>
      </w:r>
      <w:r>
        <w:rPr>
          <w:lang w:val="sq-AL"/>
        </w:rPr>
        <w:tab/>
      </w:r>
      <w:r w:rsidRPr="001E445E">
        <w:rPr>
          <w:lang w:val="sq-AL"/>
        </w:rPr>
        <w:t>“</w:t>
      </w:r>
    </w:p>
    <w:p w:rsidR="002D7094" w:rsidRPr="001E445E" w:rsidRDefault="002D7094" w:rsidP="002D7094">
      <w:pPr>
        <w:pStyle w:val="Paragrafi"/>
        <w:rPr>
          <w:lang w:val="sq-AL"/>
        </w:rPr>
      </w:pPr>
      <w:r w:rsidRPr="001E445E">
        <w:rPr>
          <w:lang w:val="sq-AL"/>
        </w:rPr>
        <w:t>me sekre</w:t>
      </w:r>
      <w:r>
        <w:rPr>
          <w:lang w:val="sq-AL"/>
        </w:rPr>
        <w:t>tare Edmira Babaj, në datat 26.6.2015, 15.9.2015, 30.</w:t>
      </w:r>
      <w:r w:rsidRPr="001E445E">
        <w:rPr>
          <w:lang w:val="sq-AL"/>
        </w:rPr>
        <w:t>9.2015 dhe 15.10.2015 mori në shqyrtim në seancë gjyqësore, mbi bazë dokumentesh,</w:t>
      </w:r>
      <w:r>
        <w:rPr>
          <w:lang w:val="sq-AL"/>
        </w:rPr>
        <w:t xml:space="preserve"> </w:t>
      </w:r>
      <w:r w:rsidRPr="001E445E">
        <w:rPr>
          <w:lang w:val="sq-AL"/>
        </w:rPr>
        <w:t xml:space="preserve">çështjen me </w:t>
      </w:r>
      <w:r>
        <w:rPr>
          <w:lang w:val="sq-AL"/>
        </w:rPr>
        <w:t xml:space="preserve">nr. </w:t>
      </w:r>
      <w:r w:rsidRPr="001E445E">
        <w:rPr>
          <w:lang w:val="sq-AL"/>
        </w:rPr>
        <w:t>31/2 Akti, që i përket:</w:t>
      </w:r>
    </w:p>
    <w:p w:rsidR="002D7094" w:rsidRPr="001E445E" w:rsidRDefault="002D7094" w:rsidP="002D7094">
      <w:pPr>
        <w:pStyle w:val="Paragrafi"/>
        <w:rPr>
          <w:lang w:val="sq-AL"/>
        </w:rPr>
      </w:pPr>
      <w:r w:rsidRPr="001E445E">
        <w:rPr>
          <w:lang w:val="sq-AL"/>
        </w:rPr>
        <w:t>KËRKUESE:</w:t>
      </w:r>
      <w:r>
        <w:rPr>
          <w:lang w:val="sq-AL"/>
        </w:rPr>
        <w:t xml:space="preserve"> </w:t>
      </w:r>
      <w:r w:rsidRPr="001E445E">
        <w:rPr>
          <w:lang w:val="sq-AL"/>
        </w:rPr>
        <w:tab/>
        <w:t>Kimete Hasa</w:t>
      </w:r>
    </w:p>
    <w:p w:rsidR="002D7094" w:rsidRPr="001E445E" w:rsidRDefault="002D7094" w:rsidP="002D7094">
      <w:pPr>
        <w:pStyle w:val="Paragrafi"/>
        <w:rPr>
          <w:lang w:val="sq-AL"/>
        </w:rPr>
      </w:pPr>
      <w:r w:rsidRPr="001E445E">
        <w:rPr>
          <w:lang w:val="sq-AL"/>
        </w:rPr>
        <w:t>SUBJEKTE TË INTERESUARA:</w:t>
      </w:r>
      <w:r w:rsidRPr="001E445E">
        <w:rPr>
          <w:lang w:val="sq-AL"/>
        </w:rPr>
        <w:tab/>
        <w:t xml:space="preserve"> Vera Serjanaj, Lumturi Seferkolli, Përparim Seferkolli, Fatbardha Daja, Enti i Banesave Durrës, Agjencia e Kthimit dhe e Kompensimit të Pronave</w:t>
      </w:r>
    </w:p>
    <w:p w:rsidR="002D7094" w:rsidRPr="001E445E" w:rsidRDefault="002D7094" w:rsidP="002D7094">
      <w:pPr>
        <w:pStyle w:val="Paragrafi"/>
        <w:rPr>
          <w:lang w:val="sq-AL"/>
        </w:rPr>
      </w:pPr>
      <w:r>
        <w:rPr>
          <w:lang w:val="sq-AL"/>
        </w:rPr>
        <w:t>OBJEKTI:</w:t>
      </w:r>
      <w:r w:rsidRPr="001E445E">
        <w:rPr>
          <w:lang w:val="sq-AL"/>
        </w:rPr>
        <w:t xml:space="preserve"> Shfuqizimi si i papajtueshëm me Kushtetutën i vendimit </w:t>
      </w:r>
      <w:r>
        <w:rPr>
          <w:lang w:val="sq-AL"/>
        </w:rPr>
        <w:t>nr. 00-2014-(283), datë 22.</w:t>
      </w:r>
      <w:r w:rsidRPr="001E445E">
        <w:rPr>
          <w:lang w:val="sq-AL"/>
        </w:rPr>
        <w:t xml:space="preserve">5.2014 të Kolegjit Civil të Gjykatës së Lartë. </w:t>
      </w:r>
    </w:p>
    <w:p w:rsidR="002D7094" w:rsidRPr="001E445E" w:rsidRDefault="002D7094" w:rsidP="002D7094">
      <w:pPr>
        <w:pStyle w:val="Paragrafi"/>
        <w:rPr>
          <w:lang w:val="sq-AL"/>
        </w:rPr>
      </w:pPr>
      <w:r w:rsidRPr="001E445E">
        <w:rPr>
          <w:lang w:val="sq-AL"/>
        </w:rPr>
        <w:t>BAZA LIGJORE:</w:t>
      </w:r>
      <w:r w:rsidRPr="001E445E">
        <w:rPr>
          <w:lang w:val="sq-AL"/>
        </w:rPr>
        <w:tab/>
        <w:t xml:space="preserve"> Nenet 42, 131/f dhe 134/1/g</w:t>
      </w:r>
      <w:r>
        <w:rPr>
          <w:lang w:val="sq-AL"/>
        </w:rPr>
        <w:t>,</w:t>
      </w:r>
      <w:r w:rsidRPr="001E445E">
        <w:rPr>
          <w:lang w:val="sq-AL"/>
        </w:rPr>
        <w:t xml:space="preserve"> të Kushtetutës së Republikës së Shqipërisë, neni 6 i Konventës Evropiane për të Drejtat e Njeriut dhe ligji </w:t>
      </w:r>
      <w:r>
        <w:rPr>
          <w:lang w:val="sq-AL"/>
        </w:rPr>
        <w:t>nr. 8577, datë 10.</w:t>
      </w:r>
      <w:r w:rsidRPr="001E445E">
        <w:rPr>
          <w:lang w:val="sq-AL"/>
        </w:rPr>
        <w:t>2.2000</w:t>
      </w:r>
      <w:r>
        <w:rPr>
          <w:lang w:val="sq-AL"/>
        </w:rPr>
        <w:t>,</w:t>
      </w:r>
      <w:r w:rsidRPr="001E445E">
        <w:rPr>
          <w:lang w:val="sq-AL"/>
        </w:rPr>
        <w:t xml:space="preserve"> “Për organizimin dhe funksionimin e Gjykatës Kushtetuese të Republikës së Shqipërisë”.</w:t>
      </w:r>
      <w:r w:rsidRPr="001E445E">
        <w:rPr>
          <w:lang w:val="sq-AL"/>
        </w:rPr>
        <w:tab/>
      </w:r>
    </w:p>
    <w:p w:rsidR="002D7094" w:rsidRPr="00B862A0" w:rsidRDefault="002D7094" w:rsidP="002D7094">
      <w:pPr>
        <w:pStyle w:val="Hapesira7"/>
        <w:rPr>
          <w:sz w:val="10"/>
          <w:lang w:val="sq-AL"/>
        </w:rPr>
      </w:pPr>
    </w:p>
    <w:p w:rsidR="002D7094" w:rsidRPr="001E445E" w:rsidRDefault="002D7094" w:rsidP="002D7094">
      <w:pPr>
        <w:pStyle w:val="Vendosi"/>
        <w:rPr>
          <w:lang w:val="sq-AL"/>
        </w:rPr>
      </w:pPr>
      <w:r w:rsidRPr="001E445E">
        <w:rPr>
          <w:lang w:val="sq-AL"/>
        </w:rPr>
        <w:t>GJYKATA</w:t>
      </w:r>
      <w:r>
        <w:rPr>
          <w:lang w:val="sq-AL"/>
        </w:rPr>
        <w:t xml:space="preserve"> </w:t>
      </w:r>
      <w:r w:rsidRPr="001E445E">
        <w:rPr>
          <w:lang w:val="sq-AL"/>
        </w:rPr>
        <w:t>KUSHTETUESE,</w:t>
      </w:r>
    </w:p>
    <w:p w:rsidR="002D7094" w:rsidRPr="001E445E" w:rsidRDefault="002D7094" w:rsidP="002D7094">
      <w:pPr>
        <w:pStyle w:val="Hapesira7"/>
        <w:rPr>
          <w:lang w:val="sq-AL"/>
        </w:rPr>
      </w:pPr>
    </w:p>
    <w:p w:rsidR="002D7094" w:rsidRPr="001E445E" w:rsidRDefault="002D7094" w:rsidP="002D7094">
      <w:pPr>
        <w:pStyle w:val="Paragrafi"/>
        <w:rPr>
          <w:lang w:val="sq-AL"/>
        </w:rPr>
      </w:pPr>
      <w:r w:rsidRPr="001E445E">
        <w:rPr>
          <w:lang w:val="sq-AL"/>
        </w:rPr>
        <w:t>pasi dëgjoi relatorin e çështjes</w:t>
      </w:r>
      <w:r>
        <w:rPr>
          <w:lang w:val="sq-AL"/>
        </w:rPr>
        <w:t>,</w:t>
      </w:r>
      <w:r w:rsidRPr="001E445E">
        <w:rPr>
          <w:lang w:val="sq-AL"/>
        </w:rPr>
        <w:t xml:space="preserve"> Gani Dizdari, mori në shqyrtim pretendimet me shkrim të kërkueses, e cila</w:t>
      </w:r>
      <w:r>
        <w:rPr>
          <w:lang w:val="sq-AL"/>
        </w:rPr>
        <w:t xml:space="preserve"> ka kërkuar pranimin e kërkesës</w:t>
      </w:r>
      <w:r w:rsidRPr="001E445E">
        <w:rPr>
          <w:lang w:val="sq-AL"/>
        </w:rPr>
        <w:t xml:space="preserve"> dhe diskutoi çështjen në tërësi,</w:t>
      </w:r>
    </w:p>
    <w:p w:rsidR="002D7094" w:rsidRPr="001E445E" w:rsidRDefault="002D7094" w:rsidP="002D7094">
      <w:pPr>
        <w:pStyle w:val="Hapesira7"/>
        <w:rPr>
          <w:lang w:val="sq-AL"/>
        </w:rPr>
      </w:pPr>
    </w:p>
    <w:p w:rsidR="002D7094" w:rsidRPr="002E4F15" w:rsidRDefault="002D7094" w:rsidP="002D7094">
      <w:pPr>
        <w:pStyle w:val="Vendosi"/>
        <w:rPr>
          <w:lang w:val="sq-AL"/>
        </w:rPr>
      </w:pPr>
      <w:r w:rsidRPr="001E445E">
        <w:rPr>
          <w:lang w:val="sq-AL"/>
        </w:rPr>
        <w:t>VËREN:</w:t>
      </w:r>
    </w:p>
    <w:p w:rsidR="002D7094" w:rsidRPr="001E445E" w:rsidRDefault="002D7094" w:rsidP="002D7094">
      <w:pPr>
        <w:pStyle w:val="Vendosi"/>
        <w:rPr>
          <w:b/>
          <w:lang w:val="sq-AL"/>
        </w:rPr>
      </w:pPr>
      <w:r w:rsidRPr="001E445E">
        <w:rPr>
          <w:b/>
          <w:lang w:val="sq-AL"/>
        </w:rPr>
        <w:t>I</w:t>
      </w:r>
    </w:p>
    <w:p w:rsidR="002D7094" w:rsidRPr="00B862A0" w:rsidRDefault="002D7094" w:rsidP="002D7094">
      <w:pPr>
        <w:pStyle w:val="Hapesira7"/>
        <w:rPr>
          <w:sz w:val="10"/>
          <w:lang w:val="sq-AL"/>
        </w:rPr>
      </w:pPr>
    </w:p>
    <w:p w:rsidR="002D7094" w:rsidRPr="001E445E" w:rsidRDefault="002D7094" w:rsidP="002D7094">
      <w:pPr>
        <w:pStyle w:val="Paragrafi"/>
        <w:rPr>
          <w:lang w:val="sq-AL"/>
        </w:rPr>
      </w:pPr>
      <w:r w:rsidRPr="001E445E">
        <w:rPr>
          <w:lang w:val="sq-AL"/>
        </w:rPr>
        <w:t xml:space="preserve">1. Kërkuesja është një nga trashëgimtaret e trashëgimlënësit Seit Hasa. </w:t>
      </w:r>
    </w:p>
    <w:p w:rsidR="002D7094" w:rsidRPr="001E445E" w:rsidRDefault="002D7094" w:rsidP="002D7094">
      <w:pPr>
        <w:pStyle w:val="Paragrafi"/>
        <w:rPr>
          <w:i/>
          <w:lang w:val="sq-AL"/>
        </w:rPr>
      </w:pPr>
      <w:r w:rsidRPr="001E445E">
        <w:rPr>
          <w:lang w:val="sq-AL"/>
        </w:rPr>
        <w:t xml:space="preserve">2. Komisioni i Kthimit dhe Kompensimit të Pronave Durrës, me vendimin </w:t>
      </w:r>
      <w:r>
        <w:rPr>
          <w:lang w:val="sq-AL"/>
        </w:rPr>
        <w:t xml:space="preserve">nr. 708, datë </w:t>
      </w:r>
      <w:r w:rsidRPr="001E445E">
        <w:rPr>
          <w:lang w:val="sq-AL"/>
        </w:rPr>
        <w:t>5.12.1994, ka vendosur</w:t>
      </w:r>
      <w:r w:rsidRPr="001E445E">
        <w:rPr>
          <w:i/>
          <w:lang w:val="sq-AL"/>
        </w:rPr>
        <w:t xml:space="preserve">: “T’i njohë pronësinë zotit Seit Hasa mbi një truall me sipërfaqe 1018.5 m², të ndodhur në Varosh të Durrësit. Mbi këtë truall ndodhen të ngritura 2 baraka shtetërore që zënë truallin e për rrjedhojë trualli konsiderohet i zënë dhe i kompensohet sipas nenit 16, pika “b” të ligjit </w:t>
      </w:r>
      <w:r>
        <w:rPr>
          <w:i/>
          <w:lang w:val="sq-AL"/>
        </w:rPr>
        <w:t xml:space="preserve">nr. </w:t>
      </w:r>
      <w:r w:rsidRPr="001E445E">
        <w:rPr>
          <w:i/>
          <w:lang w:val="sq-AL"/>
        </w:rPr>
        <w:t>7698, datë 15.04.1993.”.</w:t>
      </w:r>
    </w:p>
    <w:p w:rsidR="002D7094" w:rsidRPr="00B862A0" w:rsidRDefault="002D7094" w:rsidP="002D7094">
      <w:pPr>
        <w:pStyle w:val="Paragrafi"/>
        <w:rPr>
          <w:spacing w:val="-4"/>
          <w:lang w:val="sq-AL"/>
        </w:rPr>
      </w:pPr>
      <w:r w:rsidRPr="00B862A0">
        <w:rPr>
          <w:spacing w:val="-4"/>
          <w:lang w:val="sq-AL"/>
        </w:rPr>
        <w:t>3. Mbi bazë të kontratave të shitblerjes datë 11.1.1994, me blerës Ismail Sulejmani; datë 24.11.1993, me blerës Antigoni Vllahu; datë 11.10.1993, me blerës Teki e Barije Seferkolli; datë 28.9.1993, me blerës Sabri Sulejmani e Shpresa Sulejmani; datë 24.2.1994, me blerës Astrit Lama e Vojsava Lama; datë 4.7.1996, me blerës Taze Kreshpaj dhe Artan Musaraj, rezulton se ndërtesat nr. 262 dhe nr. 263, të ngritura mbi truallin me sipërfaqe 1018.5 m², janë privatizuar nga personat e mësipërm si rrjedhojë e aktit të shitjes së kryer nga Enti i Banesave Durrës.</w:t>
      </w:r>
    </w:p>
    <w:p w:rsidR="002D7094" w:rsidRPr="00B862A0" w:rsidRDefault="002D7094" w:rsidP="002D7094">
      <w:pPr>
        <w:pStyle w:val="Paragrafi"/>
        <w:rPr>
          <w:spacing w:val="-4"/>
          <w:lang w:val="sq-AL"/>
        </w:rPr>
      </w:pPr>
      <w:r w:rsidRPr="00B862A0">
        <w:rPr>
          <w:spacing w:val="-4"/>
          <w:lang w:val="sq-AL"/>
        </w:rPr>
        <w:t xml:space="preserve">4. Kërkuesja i është drejtuar gjykatës me padi për të ndryshuar vendimin nr. 708, datë 15.12.1994, të KKP-së Durrës, me qëllim kthimin e lirë të truallit dhe konstatimin e pavlefshmërisë së kontratave të shitjes së truallit nga Enti i Banesave. </w:t>
      </w:r>
    </w:p>
    <w:p w:rsidR="002D7094" w:rsidRPr="00B862A0" w:rsidRDefault="002D7094" w:rsidP="002D7094">
      <w:pPr>
        <w:pStyle w:val="Paragrafi"/>
        <w:rPr>
          <w:i/>
          <w:spacing w:val="-4"/>
          <w:lang w:val="sq-AL"/>
        </w:rPr>
      </w:pPr>
      <w:r w:rsidRPr="00B862A0">
        <w:rPr>
          <w:spacing w:val="-4"/>
          <w:lang w:val="sq-AL"/>
        </w:rPr>
        <w:t xml:space="preserve">5. Gjykata e Rrethit Gjyqësor Durrës, me vendimin nr. 1527, datë 6.10.1997, ka vendosur: </w:t>
      </w:r>
      <w:r w:rsidRPr="00B862A0">
        <w:rPr>
          <w:i/>
          <w:spacing w:val="-4"/>
          <w:lang w:val="sq-AL"/>
        </w:rPr>
        <w:t>“Pranimin e kërkesëpadisë së paditëses Kimete Hasa, duke anuluar vendimin e KKKP-së për ish-pronarët pranë Bashkisë Durrës nr. 708, datë. 5.12.1994, që ka vendosur të kompensojë sipërfaqen e truallit prej 1018.5 m</w:t>
      </w:r>
      <w:r w:rsidRPr="00B862A0">
        <w:rPr>
          <w:i/>
          <w:spacing w:val="-4"/>
          <w:vertAlign w:val="superscript"/>
          <w:lang w:val="sq-AL"/>
        </w:rPr>
        <w:t>2</w:t>
      </w:r>
      <w:r w:rsidRPr="00B862A0">
        <w:rPr>
          <w:i/>
          <w:spacing w:val="-4"/>
          <w:lang w:val="sq-AL"/>
        </w:rPr>
        <w:t xml:space="preserve">, të ndodhur në lagjen Varosh </w:t>
      </w:r>
      <w:r w:rsidRPr="00B862A0">
        <w:rPr>
          <w:i/>
          <w:spacing w:val="-4"/>
          <w:lang w:val="sq-AL"/>
        </w:rPr>
        <w:lastRenderedPageBreak/>
        <w:t>Durrës, duke e detyruar KKKP-në Durrës ta kthejë në natyrë këtë sipërfaqe trualli. Konstatimin e pavlefshmërisë të kontratave të shitjeve ndërmjet të paditurit Enti i Banesave Durrës e të paditurve të tjerë, detyrimin e këtyre të fundit për t’i njohur pronarë trashëgimtarët e Seit Hasës dhe detyrimin e të paditurve të njohin paditësit pronarë mbi sipërfaqen objekt gjykimi”.</w:t>
      </w:r>
    </w:p>
    <w:p w:rsidR="002D7094" w:rsidRPr="00B862A0" w:rsidRDefault="002D7094" w:rsidP="002D7094">
      <w:pPr>
        <w:pStyle w:val="Paragrafi"/>
        <w:rPr>
          <w:i/>
          <w:spacing w:val="-4"/>
          <w:lang w:val="sq-AL"/>
        </w:rPr>
      </w:pPr>
      <w:r w:rsidRPr="00B862A0">
        <w:rPr>
          <w:spacing w:val="-4"/>
          <w:lang w:val="sq-AL"/>
        </w:rPr>
        <w:t xml:space="preserve">6. Gjykata e Apelit Durrës, me vendimin nr. 377, datë 8.9.2005, ka vendosur: </w:t>
      </w:r>
      <w:r w:rsidRPr="00B862A0">
        <w:rPr>
          <w:i/>
          <w:spacing w:val="-4"/>
          <w:lang w:val="sq-AL"/>
        </w:rPr>
        <w:t>“Prishjen e vendimit nr. 1527, datë 31.10.1997 të Gjykatës së Rrethit Gjyqësor Durrës për sa i përket të paditurit Teki Seferkolli dhe kthimin e çështjes për rigjykim në po atë gjykatë, por me tjetër trup gjykues. Lënien në fuqi të këtij vendimi për pjesët e tjera të tij”.</w:t>
      </w:r>
    </w:p>
    <w:p w:rsidR="002D7094" w:rsidRPr="001E445E" w:rsidRDefault="002D7094" w:rsidP="002D7094">
      <w:pPr>
        <w:pStyle w:val="Paragrafi"/>
        <w:rPr>
          <w:i/>
          <w:lang w:val="sq-AL"/>
        </w:rPr>
      </w:pPr>
      <w:r w:rsidRPr="00B862A0">
        <w:rPr>
          <w:spacing w:val="-4"/>
          <w:lang w:val="sq-AL"/>
        </w:rPr>
        <w:t xml:space="preserve">7. Gjykata e Rrethit Gjyqësor Durrës, me vendimin nr. 965, datë 31.3.2008, ka vendosur: </w:t>
      </w:r>
      <w:r w:rsidRPr="00B862A0">
        <w:rPr>
          <w:i/>
          <w:spacing w:val="-4"/>
          <w:lang w:val="sq-AL"/>
        </w:rPr>
        <w:t xml:space="preserve">“Pranimin e kërkesëpadisë se paditëses Kimete Hasa, </w:t>
      </w:r>
      <w:r w:rsidRPr="001E445E">
        <w:rPr>
          <w:i/>
          <w:lang w:val="sq-AL"/>
        </w:rPr>
        <w:t xml:space="preserve">duke e konstatuar të pavlefshme kontratën e privatizimit të datës 11.10.1993, të regjistruar në regjistrin hipotekor me </w:t>
      </w:r>
      <w:r>
        <w:rPr>
          <w:i/>
          <w:lang w:val="sq-AL"/>
        </w:rPr>
        <w:t xml:space="preserve">nr. </w:t>
      </w:r>
      <w:r w:rsidRPr="001E445E">
        <w:rPr>
          <w:i/>
          <w:lang w:val="sq-AL"/>
        </w:rPr>
        <w:t>4574, datë 15.10.1993, lidhur ndërmjet palëve: Enti i Banesave Durrës dhe Teki Seferkolli, duke detyruar të paditurit dhe personin e tretë të njohin trashëgimtarët e Seit Hasës pronarë të sipërfaqes së truallit prej 1018.5 m</w:t>
      </w:r>
      <w:r w:rsidRPr="001E445E">
        <w:rPr>
          <w:i/>
          <w:vertAlign w:val="superscript"/>
          <w:lang w:val="sq-AL"/>
        </w:rPr>
        <w:t>2</w:t>
      </w:r>
      <w:r w:rsidRPr="001E445E">
        <w:rPr>
          <w:i/>
          <w:lang w:val="sq-AL"/>
        </w:rPr>
        <w:t>”.</w:t>
      </w:r>
    </w:p>
    <w:p w:rsidR="002D7094" w:rsidRPr="001E445E" w:rsidRDefault="002D7094" w:rsidP="002D7094">
      <w:pPr>
        <w:pStyle w:val="Paragrafi"/>
        <w:rPr>
          <w:i/>
          <w:lang w:val="sq-AL"/>
        </w:rPr>
      </w:pPr>
      <w:r w:rsidRPr="001E445E">
        <w:rPr>
          <w:lang w:val="sq-AL"/>
        </w:rPr>
        <w:t xml:space="preserve">8. Gjykata e Apelit Durrës, me vendimin </w:t>
      </w:r>
      <w:r>
        <w:rPr>
          <w:lang w:val="sq-AL"/>
        </w:rPr>
        <w:t xml:space="preserve">nr. </w:t>
      </w:r>
      <w:r w:rsidRPr="001E445E">
        <w:rPr>
          <w:lang w:val="sq-AL"/>
        </w:rPr>
        <w:t xml:space="preserve">10-2009-1094 (527), datë 22.12.2009, ka vendosur: </w:t>
      </w:r>
      <w:r w:rsidRPr="001E445E">
        <w:rPr>
          <w:i/>
          <w:lang w:val="sq-AL"/>
        </w:rPr>
        <w:t xml:space="preserve">“Pranimin e kërkesëpadisë së paditëses Kimete Hasa. Konstatimin e pavlefshmërisë së kontratës së privatizimit të datës 11.10.1993, të regjistruar në regjistrin hipotekor </w:t>
      </w:r>
      <w:r>
        <w:rPr>
          <w:i/>
          <w:lang w:val="sq-AL"/>
        </w:rPr>
        <w:t xml:space="preserve">nr. </w:t>
      </w:r>
      <w:r w:rsidRPr="001E445E">
        <w:rPr>
          <w:i/>
          <w:lang w:val="sq-AL"/>
        </w:rPr>
        <w:t>4574, datë 15.10.1993, lidhur ndërmjet palëve: Enti i Banesave Durrës dhe Teki Seferkolli (trashëgimlënësi i të paditurve Vera Serjanaj, Lumturie Seferkolli e Përparim Seferkolli dhe personi i tretë Fatbardha Daja (Seferkolli), duke detyruar të paditurit dhe personin e tretë të njohin trashëgimtarët e Seit Hasës pronarë të sipërfaqes së truallit me sipërfaqe 1018,5 m</w:t>
      </w:r>
      <w:r w:rsidRPr="001E445E">
        <w:rPr>
          <w:i/>
          <w:vertAlign w:val="superscript"/>
          <w:lang w:val="sq-AL"/>
        </w:rPr>
        <w:t>2</w:t>
      </w:r>
      <w:r w:rsidRPr="001E445E">
        <w:rPr>
          <w:i/>
          <w:lang w:val="sq-AL"/>
        </w:rPr>
        <w:t>”.</w:t>
      </w:r>
    </w:p>
    <w:p w:rsidR="002D7094" w:rsidRPr="00CB0DC2" w:rsidRDefault="002D7094" w:rsidP="002D7094">
      <w:pPr>
        <w:pStyle w:val="Paragrafi"/>
        <w:rPr>
          <w:i/>
          <w:lang w:val="sq-AL"/>
        </w:rPr>
      </w:pPr>
      <w:r w:rsidRPr="001E445E">
        <w:rPr>
          <w:lang w:val="sq-AL"/>
        </w:rPr>
        <w:t xml:space="preserve">9. Kolegji Civil i Gjykatës së Lartë, me vendimin </w:t>
      </w:r>
      <w:r>
        <w:rPr>
          <w:lang w:val="sq-AL"/>
        </w:rPr>
        <w:t xml:space="preserve">nr. </w:t>
      </w:r>
      <w:r w:rsidRPr="001E445E">
        <w:rPr>
          <w:lang w:val="sq-AL"/>
        </w:rPr>
        <w:t>00-2014-</w:t>
      </w:r>
      <w:r>
        <w:rPr>
          <w:lang w:val="sq-AL"/>
        </w:rPr>
        <w:t>(283), datë 22.</w:t>
      </w:r>
      <w:r w:rsidRPr="001E445E">
        <w:rPr>
          <w:lang w:val="sq-AL"/>
        </w:rPr>
        <w:t xml:space="preserve">5.2014, ka vendosur: </w:t>
      </w:r>
      <w:r w:rsidRPr="001E445E">
        <w:rPr>
          <w:i/>
          <w:lang w:val="sq-AL"/>
        </w:rPr>
        <w:t xml:space="preserve">“Prishjen e vendimit </w:t>
      </w:r>
      <w:r>
        <w:rPr>
          <w:i/>
          <w:lang w:val="sq-AL"/>
        </w:rPr>
        <w:t xml:space="preserve">nr. </w:t>
      </w:r>
      <w:r w:rsidRPr="001E445E">
        <w:rPr>
          <w:i/>
          <w:lang w:val="sq-AL"/>
        </w:rPr>
        <w:t xml:space="preserve">10-2009-1094 (527), datë 22.12.2009 të Gjykatës së Apelit Durrës dhe të vendimit </w:t>
      </w:r>
      <w:r>
        <w:rPr>
          <w:i/>
          <w:lang w:val="sq-AL"/>
        </w:rPr>
        <w:t xml:space="preserve">nr. </w:t>
      </w:r>
      <w:r w:rsidRPr="001E445E">
        <w:rPr>
          <w:i/>
          <w:lang w:val="sq-AL"/>
        </w:rPr>
        <w:t xml:space="preserve">965, </w:t>
      </w:r>
      <w:r>
        <w:rPr>
          <w:i/>
          <w:lang w:val="sq-AL"/>
        </w:rPr>
        <w:t>datë 31.</w:t>
      </w:r>
      <w:r w:rsidRPr="001E445E">
        <w:rPr>
          <w:i/>
          <w:lang w:val="sq-AL"/>
        </w:rPr>
        <w:t>3.2008 të Gjykatës së Rrethit Gjyqësor Durrës dhe pushimin e gjykimit të çështjes”.</w:t>
      </w:r>
    </w:p>
    <w:p w:rsidR="002D7094" w:rsidRPr="001E445E" w:rsidRDefault="002D7094" w:rsidP="002D7094">
      <w:pPr>
        <w:pStyle w:val="Vendosi"/>
        <w:rPr>
          <w:b/>
          <w:lang w:val="sq-AL"/>
        </w:rPr>
      </w:pPr>
      <w:r w:rsidRPr="001E445E">
        <w:rPr>
          <w:b/>
          <w:lang w:val="sq-AL"/>
        </w:rPr>
        <w:t>II</w:t>
      </w:r>
    </w:p>
    <w:p w:rsidR="002D7094" w:rsidRPr="001E445E" w:rsidRDefault="002D7094" w:rsidP="002D7094">
      <w:pPr>
        <w:pStyle w:val="Hapesira7"/>
        <w:rPr>
          <w:lang w:val="sq-AL"/>
        </w:rPr>
      </w:pPr>
    </w:p>
    <w:p w:rsidR="002D7094" w:rsidRPr="001E445E" w:rsidRDefault="002D7094" w:rsidP="002D7094">
      <w:pPr>
        <w:pStyle w:val="Paragrafi"/>
        <w:rPr>
          <w:lang w:val="sq-AL"/>
        </w:rPr>
      </w:pPr>
      <w:r w:rsidRPr="001E445E">
        <w:rPr>
          <w:lang w:val="sq-AL"/>
        </w:rPr>
        <w:t xml:space="preserve">10. </w:t>
      </w:r>
      <w:r w:rsidRPr="001E445E">
        <w:rPr>
          <w:b/>
          <w:i/>
          <w:lang w:val="sq-AL"/>
        </w:rPr>
        <w:t>Kërkuesja</w:t>
      </w:r>
      <w:r w:rsidRPr="001E445E">
        <w:rPr>
          <w:lang w:val="sq-AL"/>
        </w:rPr>
        <w:t xml:space="preserve"> i është drejtuar Gjykatës Kushtetuese (Gjykata), duke pretenduar se ndaj saj është zhvilluar një proces i parregullt ligjor gjatë gjykimit në Gjykatën e Lartë. Më konkretisht, ajo ka parashtruar se: </w:t>
      </w:r>
    </w:p>
    <w:p w:rsidR="002D7094" w:rsidRPr="001E445E" w:rsidRDefault="002D7094" w:rsidP="002D7094">
      <w:pPr>
        <w:pStyle w:val="Paragrafi"/>
        <w:rPr>
          <w:lang w:val="sq-AL"/>
        </w:rPr>
      </w:pPr>
      <w:r w:rsidRPr="001E445E">
        <w:rPr>
          <w:lang w:val="sq-AL"/>
        </w:rPr>
        <w:t>10.1 Është cenuar parimi i gjykatës së caktuar me ligj, pasi Kolegji Civil i Gjykatës së Lartë e ka shqyrtuar çështjen në themel, duke rivlerësuar provat e marra nga gjykatat dhe duke vendosur në kundërshtim me to.</w:t>
      </w:r>
    </w:p>
    <w:p w:rsidR="002D7094" w:rsidRPr="001E445E" w:rsidRDefault="002D7094" w:rsidP="002D7094">
      <w:pPr>
        <w:pStyle w:val="Paragrafi"/>
        <w:rPr>
          <w:lang w:val="sq-AL"/>
        </w:rPr>
      </w:pPr>
      <w:r w:rsidRPr="001E445E">
        <w:rPr>
          <w:lang w:val="sq-AL"/>
        </w:rPr>
        <w:t>10.2 Është cenuar parimi i sigurisë juridike, pasi Gjykata e Lartë ka dhënë dy vendime të ndryshme për të njëjtën çështje. Një veprim i tillë pas një periudhe të gjatë nga marrja formë të prerë të vendimit, është cenim i parimit të sigurisë juridike. Me qëndrimin ndaj fitimit të pronësisë të</w:t>
      </w:r>
      <w:r>
        <w:rPr>
          <w:lang w:val="sq-AL"/>
        </w:rPr>
        <w:t xml:space="preserve"> </w:t>
      </w:r>
      <w:r w:rsidRPr="001E445E">
        <w:rPr>
          <w:lang w:val="sq-AL"/>
        </w:rPr>
        <w:t>mbajtur në vendimin që kundërshtohet, Kolegji Civil i Gjykatës së Lartë ka cenuar parimin e sigurisë juridike në lidhje me pronën e fituar kohë më parë.</w:t>
      </w:r>
    </w:p>
    <w:p w:rsidR="002D7094" w:rsidRPr="00CB0DC2" w:rsidRDefault="002D7094" w:rsidP="002D7094">
      <w:pPr>
        <w:pStyle w:val="Paragrafi"/>
        <w:rPr>
          <w:lang w:val="sq-AL"/>
        </w:rPr>
      </w:pPr>
      <w:r w:rsidRPr="001E445E">
        <w:rPr>
          <w:lang w:val="sq-AL"/>
        </w:rPr>
        <w:t>10.3 Është cenuar e drejta e aksesit në gjykatë, pasi me vendimin e Kolegjit Civil kërkueses nuk i lihet asnjë mundësi të kundërshtojë vendimet e KKP-së në rrugë gjyqësore.</w:t>
      </w:r>
    </w:p>
    <w:p w:rsidR="002D7094" w:rsidRDefault="002D7094" w:rsidP="002D7094">
      <w:pPr>
        <w:pStyle w:val="Vendosi"/>
        <w:rPr>
          <w:b/>
          <w:lang w:val="sq-AL"/>
        </w:rPr>
      </w:pPr>
    </w:p>
    <w:p w:rsidR="002D7094" w:rsidRPr="001E445E" w:rsidRDefault="002D7094" w:rsidP="002D7094">
      <w:pPr>
        <w:pStyle w:val="Vendosi"/>
        <w:rPr>
          <w:b/>
          <w:lang w:val="sq-AL"/>
        </w:rPr>
      </w:pPr>
      <w:r w:rsidRPr="001E445E">
        <w:rPr>
          <w:b/>
          <w:lang w:val="sq-AL"/>
        </w:rPr>
        <w:t>III</w:t>
      </w:r>
    </w:p>
    <w:p w:rsidR="002D7094" w:rsidRPr="001E445E" w:rsidRDefault="002D7094" w:rsidP="002D7094">
      <w:pPr>
        <w:pStyle w:val="Vendosi"/>
        <w:rPr>
          <w:b/>
          <w:lang w:val="sq-AL"/>
        </w:rPr>
      </w:pPr>
      <w:r w:rsidRPr="001E445E">
        <w:rPr>
          <w:b/>
          <w:caps w:val="0"/>
          <w:lang w:val="sq-AL"/>
        </w:rPr>
        <w:t xml:space="preserve">Vlerësimi i Gjykatës Kushtetuese </w:t>
      </w:r>
    </w:p>
    <w:p w:rsidR="002D7094" w:rsidRPr="001E445E" w:rsidRDefault="002D7094" w:rsidP="002D7094">
      <w:pPr>
        <w:pStyle w:val="Hapesira7"/>
        <w:rPr>
          <w:lang w:val="sq-AL"/>
        </w:rPr>
      </w:pPr>
    </w:p>
    <w:p w:rsidR="002D7094" w:rsidRPr="001E445E" w:rsidRDefault="002D7094" w:rsidP="002D7094">
      <w:pPr>
        <w:pStyle w:val="Paragrafi"/>
        <w:rPr>
          <w:i/>
          <w:lang w:val="sq-AL"/>
        </w:rPr>
      </w:pPr>
      <w:r w:rsidRPr="001E445E">
        <w:rPr>
          <w:i/>
          <w:lang w:val="sq-AL"/>
        </w:rPr>
        <w:t>A. Për legjitimimin e kërkueses</w:t>
      </w:r>
    </w:p>
    <w:p w:rsidR="002D7094" w:rsidRPr="001E445E" w:rsidRDefault="002D7094" w:rsidP="002D7094">
      <w:pPr>
        <w:pStyle w:val="Paragrafi"/>
        <w:rPr>
          <w:lang w:val="sq-AL"/>
        </w:rPr>
      </w:pPr>
      <w:r w:rsidRPr="001E445E">
        <w:rPr>
          <w:lang w:val="sq-AL"/>
        </w:rPr>
        <w:t xml:space="preserve">11. Gjykata vlerëson se kërkuesja legjitimohet </w:t>
      </w:r>
      <w:r w:rsidRPr="001E445E">
        <w:rPr>
          <w:i/>
          <w:lang w:val="sq-AL"/>
        </w:rPr>
        <w:t>ratione personae</w:t>
      </w:r>
      <w:r w:rsidRPr="001E445E">
        <w:rPr>
          <w:lang w:val="sq-AL"/>
        </w:rPr>
        <w:t xml:space="preserve">, në kuptim të neneve 131/f dhe 134/1/g të Kushtetutës, dhe </w:t>
      </w:r>
      <w:r w:rsidRPr="00882FE1">
        <w:rPr>
          <w:i/>
          <w:lang w:val="sq-AL"/>
        </w:rPr>
        <w:t>ratione temporis</w:t>
      </w:r>
      <w:r w:rsidRPr="001E445E">
        <w:rPr>
          <w:lang w:val="sq-AL"/>
        </w:rPr>
        <w:t>, pasi kërkesa është paraqitur në Gjykatën Kushtetuese brenda afatit të parashikuar nga ligji. Në kuptim të nenit 30</w:t>
      </w:r>
      <w:r>
        <w:rPr>
          <w:lang w:val="sq-AL"/>
        </w:rPr>
        <w:t>,</w:t>
      </w:r>
      <w:r w:rsidRPr="001E445E">
        <w:rPr>
          <w:lang w:val="sq-AL"/>
        </w:rPr>
        <w:t xml:space="preserve"> të ligjit </w:t>
      </w:r>
      <w:r>
        <w:rPr>
          <w:lang w:val="sq-AL"/>
        </w:rPr>
        <w:t>nr. 8577, datë 10.</w:t>
      </w:r>
      <w:r w:rsidRPr="001E445E">
        <w:rPr>
          <w:lang w:val="sq-AL"/>
        </w:rPr>
        <w:t>2.2000</w:t>
      </w:r>
      <w:r>
        <w:rPr>
          <w:lang w:val="sq-AL"/>
        </w:rPr>
        <w:t>,</w:t>
      </w:r>
      <w:r w:rsidRPr="001E445E">
        <w:rPr>
          <w:lang w:val="sq-AL"/>
        </w:rPr>
        <w:t xml:space="preserve"> “Për organizimin dhe funksionimin e Gjykatës Kushtetuese të Republikës së Shqipërisë”, pasi të ketë shteruar të gjitha mjetet juridike për mbrojtjen e të drejtave të tij, individi mund të paraqesë kërkesë në Gjykatën Kushtetuese brenda 2 vjetëve nga data e njoftimit të vendimit të fundit të organit përkatës shtetëror. Në rastin në shqyrtim</w:t>
      </w:r>
      <w:r>
        <w:rPr>
          <w:lang w:val="sq-AL"/>
        </w:rPr>
        <w:t>,</w:t>
      </w:r>
      <w:r w:rsidRPr="001E445E">
        <w:rPr>
          <w:lang w:val="sq-AL"/>
        </w:rPr>
        <w:t xml:space="preserve"> Gjykata vëren se objekti i kërkesës është vendimi </w:t>
      </w:r>
      <w:r>
        <w:rPr>
          <w:lang w:val="sq-AL"/>
        </w:rPr>
        <w:t xml:space="preserve">nr. </w:t>
      </w:r>
      <w:r w:rsidRPr="001E445E">
        <w:rPr>
          <w:lang w:val="sq-AL"/>
        </w:rPr>
        <w:t>00-</w:t>
      </w:r>
      <w:r w:rsidRPr="001E445E">
        <w:rPr>
          <w:lang w:val="sq-AL"/>
        </w:rPr>
        <w:lastRenderedPageBreak/>
        <w:t>2014-</w:t>
      </w:r>
      <w:r>
        <w:rPr>
          <w:lang w:val="sq-AL"/>
        </w:rPr>
        <w:t>(283), datë 22.</w:t>
      </w:r>
      <w:r w:rsidRPr="001E445E">
        <w:rPr>
          <w:lang w:val="sq-AL"/>
        </w:rPr>
        <w:t xml:space="preserve">5.2014 i Kolegjit Civil të Gjykatës së Lartë. Në këto kushte, Gjykata konstaton se kërkuesi e ka paraqitur kërkesën brenda afatit ligjor. </w:t>
      </w:r>
    </w:p>
    <w:p w:rsidR="002D7094" w:rsidRPr="001E445E" w:rsidRDefault="002D7094" w:rsidP="002D7094">
      <w:pPr>
        <w:pStyle w:val="Paragrafi"/>
        <w:rPr>
          <w:lang w:val="sq-AL"/>
        </w:rPr>
      </w:pPr>
      <w:r w:rsidRPr="001E445E">
        <w:rPr>
          <w:lang w:val="sq-AL"/>
        </w:rPr>
        <w:tab/>
        <w:t xml:space="preserve">12. Për sa i përket legjitimimit </w:t>
      </w:r>
      <w:r w:rsidRPr="00882FE1">
        <w:rPr>
          <w:i/>
          <w:lang w:val="sq-AL"/>
        </w:rPr>
        <w:t>ratione materiae</w:t>
      </w:r>
      <w:r w:rsidRPr="001E445E">
        <w:rPr>
          <w:lang w:val="sq-AL"/>
        </w:rPr>
        <w:t xml:space="preserve">, në kuptim të nenit 131/f të Kushtetutës, individi mund t’i drejtohet Gjykatës për pretendime që lidhen me cenimin e së drejtës për një proces të rregullt ligjor, pasi të ketë shteruar të gjitha mjetet juridike për mbrojtjen e kësaj të drejte. Gjykata ka theksuar se juridiksioni kushtetues bëhet i mundur kur kërkuesi shteron mjetet e ankimit pranë gjykatave të sistemit gjyqësor, çka nënkupton se kërkuesi duhet t’i shfrytëzojë në shkallët e sistemit gjyqësor të gjitha mjetet e lejueshme dhe mundësitë procedurale për vendosjen në vend të së drejtës </w:t>
      </w:r>
      <w:r>
        <w:rPr>
          <w:lang w:val="sq-AL"/>
        </w:rPr>
        <w:t>s</w:t>
      </w:r>
      <w:r w:rsidRPr="001E445E">
        <w:rPr>
          <w:lang w:val="sq-AL"/>
        </w:rPr>
        <w:t>ë pretenduar. Mjetet ligjore konsiderohen të shteruara kur, në varësi të rrethanave të çështjes, rregullat procedurale nuk parashikojnë mjete të tjera ankimi (</w:t>
      </w:r>
      <w:r w:rsidRPr="001E445E">
        <w:rPr>
          <w:i/>
          <w:lang w:val="sq-AL"/>
        </w:rPr>
        <w:t xml:space="preserve">shih vendimin </w:t>
      </w:r>
      <w:r>
        <w:rPr>
          <w:i/>
          <w:lang w:val="sq-AL"/>
        </w:rPr>
        <w:t>nr. 17, datë 24.</w:t>
      </w:r>
      <w:r w:rsidRPr="001E445E">
        <w:rPr>
          <w:i/>
          <w:lang w:val="sq-AL"/>
        </w:rPr>
        <w:t>3.2014 të Gjykatës Kushtetuese</w:t>
      </w:r>
      <w:r w:rsidRPr="001E445E">
        <w:rPr>
          <w:lang w:val="sq-AL"/>
        </w:rPr>
        <w:t>). Në rastin në shqyrtim, Gjykata konstaton se kërkuesja nuk ka në dispozicion mjet tjetër për të kundërshtuar vendimin e Kolegjit Civil të Gjykatës së Lartë. Për këtë arsye</w:t>
      </w:r>
      <w:r>
        <w:rPr>
          <w:lang w:val="sq-AL"/>
        </w:rPr>
        <w:t>,</w:t>
      </w:r>
      <w:r w:rsidRPr="001E445E">
        <w:rPr>
          <w:lang w:val="sq-AL"/>
        </w:rPr>
        <w:t xml:space="preserve"> ajo legjitimohet t’i drejtohet me kërkesë kësaj Gjykate.</w:t>
      </w:r>
    </w:p>
    <w:p w:rsidR="002D7094" w:rsidRPr="001E445E" w:rsidRDefault="002D7094" w:rsidP="002D7094">
      <w:pPr>
        <w:pStyle w:val="Paragrafi"/>
        <w:rPr>
          <w:i/>
          <w:lang w:val="sq-AL"/>
        </w:rPr>
      </w:pPr>
      <w:r w:rsidRPr="001E445E">
        <w:rPr>
          <w:i/>
          <w:lang w:val="sq-AL"/>
        </w:rPr>
        <w:t>B. Për pretendimin e cenimit të parimit të gjykatës së caktuar me ligj dhe së drejtës së aksesit në gjykatë</w:t>
      </w:r>
    </w:p>
    <w:p w:rsidR="002D7094" w:rsidRPr="001E445E" w:rsidRDefault="002D7094" w:rsidP="002D7094">
      <w:pPr>
        <w:pStyle w:val="Paragrafi"/>
        <w:rPr>
          <w:lang w:val="sq-AL"/>
        </w:rPr>
      </w:pPr>
      <w:r w:rsidRPr="001E445E">
        <w:rPr>
          <w:lang w:val="sq-AL"/>
        </w:rPr>
        <w:t>13. Kërkuesja ka pretenduar se është cenuar parimi i gjykatës së caktuar me ligj, pasi Kolegji Civil i Gjykatës së Lartë e ka shqyrtuar çështjen në themel dhe ka bërë vlerësim të ndryshëm të provave të marra nga gjykatat e shkallëve më të ulëta, në tejkalim të kufijve të shqyrtimit të çështjes.</w:t>
      </w:r>
      <w:r>
        <w:rPr>
          <w:lang w:val="sq-AL"/>
        </w:rPr>
        <w:t xml:space="preserve"> </w:t>
      </w:r>
    </w:p>
    <w:p w:rsidR="002D7094" w:rsidRPr="001E445E" w:rsidRDefault="002D7094" w:rsidP="002D7094">
      <w:pPr>
        <w:pStyle w:val="Paragrafi"/>
        <w:rPr>
          <w:lang w:val="sq-AL"/>
        </w:rPr>
      </w:pPr>
      <w:r w:rsidRPr="001E445E">
        <w:rPr>
          <w:lang w:val="sq-AL"/>
        </w:rPr>
        <w:t>14. Gjykata ka vlerësuar se një nga elementet e procesit të rregullt ligjor, sipas nenit 42 të Kushtetutës dhe nenit 6 të KEDNJ-së, është dhe shqyrtimi i çështjes nga një “</w:t>
      </w:r>
      <w:r w:rsidRPr="001E445E">
        <w:rPr>
          <w:i/>
          <w:lang w:val="sq-AL"/>
        </w:rPr>
        <w:t>gjykatë e caktuar me lig</w:t>
      </w:r>
      <w:r w:rsidRPr="006E66B6">
        <w:rPr>
          <w:i/>
          <w:lang w:val="sq-AL"/>
        </w:rPr>
        <w:t>j</w:t>
      </w:r>
      <w:r w:rsidRPr="001E445E">
        <w:rPr>
          <w:lang w:val="sq-AL"/>
        </w:rPr>
        <w:t>”.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1E445E">
        <w:rPr>
          <w:i/>
          <w:lang w:val="sq-AL"/>
        </w:rPr>
        <w:t xml:space="preserve">shih vendimet </w:t>
      </w:r>
      <w:r>
        <w:rPr>
          <w:i/>
          <w:lang w:val="sq-AL"/>
        </w:rPr>
        <w:t>nr. 40, datë 25.</w:t>
      </w:r>
      <w:r w:rsidRPr="001E445E">
        <w:rPr>
          <w:i/>
          <w:lang w:val="sq-AL"/>
        </w:rPr>
        <w:t xml:space="preserve">6.2015; </w:t>
      </w:r>
      <w:r>
        <w:rPr>
          <w:i/>
          <w:lang w:val="sq-AL"/>
        </w:rPr>
        <w:t>nr. 2, datë 22.</w:t>
      </w:r>
      <w:r w:rsidRPr="001E445E">
        <w:rPr>
          <w:i/>
          <w:lang w:val="sq-AL"/>
        </w:rPr>
        <w:t xml:space="preserve">1.2014; </w:t>
      </w:r>
      <w:r>
        <w:rPr>
          <w:i/>
          <w:lang w:val="sq-AL"/>
        </w:rPr>
        <w:t>nr. 27, datë 24.</w:t>
      </w:r>
      <w:r w:rsidRPr="001E445E">
        <w:rPr>
          <w:i/>
          <w:lang w:val="sq-AL"/>
        </w:rPr>
        <w:t xml:space="preserve">6.2013; </w:t>
      </w:r>
      <w:r>
        <w:rPr>
          <w:i/>
          <w:lang w:val="sq-AL"/>
        </w:rPr>
        <w:t>nr. 22, datë 22.</w:t>
      </w:r>
      <w:r w:rsidRPr="001E445E">
        <w:rPr>
          <w:i/>
          <w:lang w:val="sq-AL"/>
        </w:rPr>
        <w:t xml:space="preserve">7.2009; </w:t>
      </w:r>
      <w:r>
        <w:rPr>
          <w:i/>
          <w:lang w:val="sq-AL"/>
        </w:rPr>
        <w:t xml:space="preserve">nr. 31, datë </w:t>
      </w:r>
      <w:r w:rsidRPr="001E445E">
        <w:rPr>
          <w:i/>
          <w:lang w:val="sq-AL"/>
        </w:rPr>
        <w:t>1.12.2005 të Gjykatës Kushtetuese</w:t>
      </w:r>
      <w:r w:rsidRPr="001E445E">
        <w:rPr>
          <w:lang w:val="sq-AL"/>
        </w:rPr>
        <w:t xml:space="preserve">). </w:t>
      </w:r>
    </w:p>
    <w:p w:rsidR="002D7094" w:rsidRPr="001E445E" w:rsidRDefault="002D7094" w:rsidP="002D7094">
      <w:pPr>
        <w:pStyle w:val="Paragrafi"/>
        <w:rPr>
          <w:lang w:val="sq-AL"/>
        </w:rPr>
      </w:pPr>
      <w:r w:rsidRPr="001E445E">
        <w:rPr>
          <w:lang w:val="sq-AL"/>
        </w:rPr>
        <w:t>15. Sipas jurisprudencës kushtetuese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1E445E">
        <w:rPr>
          <w:i/>
          <w:lang w:val="sq-AL"/>
        </w:rPr>
        <w:t xml:space="preserve">shih vendimet </w:t>
      </w:r>
      <w:r>
        <w:rPr>
          <w:i/>
          <w:lang w:val="sq-AL"/>
        </w:rPr>
        <w:t>nr. 40, datë 25.</w:t>
      </w:r>
      <w:r w:rsidRPr="001E445E">
        <w:rPr>
          <w:i/>
          <w:lang w:val="sq-AL"/>
        </w:rPr>
        <w:t xml:space="preserve">6.2015; </w:t>
      </w:r>
      <w:r>
        <w:rPr>
          <w:i/>
          <w:lang w:val="sq-AL"/>
        </w:rPr>
        <w:t>nr. 27, datë 24.</w:t>
      </w:r>
      <w:r w:rsidRPr="001E445E">
        <w:rPr>
          <w:i/>
          <w:lang w:val="sq-AL"/>
        </w:rPr>
        <w:t>6.2013;</w:t>
      </w:r>
      <w:r>
        <w:rPr>
          <w:i/>
          <w:lang w:val="sq-AL"/>
        </w:rPr>
        <w:t xml:space="preserve"> nr. 7, datë 9.</w:t>
      </w:r>
      <w:r w:rsidRPr="001E445E">
        <w:rPr>
          <w:i/>
          <w:lang w:val="sq-AL"/>
        </w:rPr>
        <w:t>3.2009 të Gjykatës Kushtetuese</w:t>
      </w:r>
      <w:r w:rsidRPr="001E445E">
        <w:rPr>
          <w:lang w:val="sq-AL"/>
        </w:rPr>
        <w: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1E445E">
        <w:rPr>
          <w:i/>
          <w:lang w:val="sq-AL"/>
        </w:rPr>
        <w:t xml:space="preserve">shih vendimin </w:t>
      </w:r>
      <w:r>
        <w:rPr>
          <w:i/>
          <w:lang w:val="sq-AL"/>
        </w:rPr>
        <w:t>nr. 40, datë 25.</w:t>
      </w:r>
      <w:r w:rsidRPr="001E445E">
        <w:rPr>
          <w:i/>
          <w:lang w:val="sq-AL"/>
        </w:rPr>
        <w:t xml:space="preserve">6.2015; </w:t>
      </w:r>
      <w:r>
        <w:rPr>
          <w:i/>
          <w:lang w:val="sq-AL"/>
        </w:rPr>
        <w:t>nr. 27, datë 24.</w:t>
      </w:r>
      <w:r w:rsidRPr="001E445E">
        <w:rPr>
          <w:i/>
          <w:lang w:val="sq-AL"/>
        </w:rPr>
        <w:t>6.2013 të Gjykatës Kushtetuese</w:t>
      </w:r>
      <w:r w:rsidRPr="001E445E">
        <w:rPr>
          <w:lang w:val="sq-AL"/>
        </w:rPr>
        <w:t xml:space="preserve">). </w:t>
      </w:r>
    </w:p>
    <w:p w:rsidR="002D7094" w:rsidRPr="001E445E" w:rsidRDefault="002D7094" w:rsidP="002D7094">
      <w:pPr>
        <w:pStyle w:val="Paragrafi"/>
        <w:rPr>
          <w:lang w:val="sq-AL"/>
        </w:rPr>
      </w:pPr>
      <w:r w:rsidRPr="001E445E">
        <w:rPr>
          <w:lang w:val="sq-AL"/>
        </w:rPr>
        <w:t xml:space="preserve">16. Gjykata vlerëson gjithashtu se kompetenca e saj për shqyrtimin e çështjeve nuk bazohet mbi të njëjtat dispozita procedurale të cilave u referohen gjykata e shkallës së parë dhe gjykata e apelit.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w:t>
      </w:r>
      <w:r w:rsidRPr="001E445E">
        <w:rPr>
          <w:lang w:val="sq-AL"/>
        </w:rPr>
        <w:lastRenderedPageBreak/>
        <w:t>së Lartë që, ndër të tjera, të vendosin prishjen e vendimit të gjykatës së apelit dhe të lënë në fuqi vendimin e gjykatës së shkallës së parë, si dhe të ndryshojnë njëkohësisht vendimet e të dyja gjykatave më të ulëta (</w:t>
      </w:r>
      <w:r w:rsidRPr="001E445E">
        <w:rPr>
          <w:i/>
          <w:lang w:val="sq-AL"/>
        </w:rPr>
        <w:t xml:space="preserve">shih vendimet </w:t>
      </w:r>
      <w:r>
        <w:rPr>
          <w:i/>
          <w:lang w:val="sq-AL"/>
        </w:rPr>
        <w:t>nr. 40, datë 25.</w:t>
      </w:r>
      <w:r w:rsidRPr="001E445E">
        <w:rPr>
          <w:i/>
          <w:lang w:val="sq-AL"/>
        </w:rPr>
        <w:t xml:space="preserve">6.2015; </w:t>
      </w:r>
      <w:r>
        <w:rPr>
          <w:i/>
          <w:lang w:val="sq-AL"/>
        </w:rPr>
        <w:t>nr. 27, datë 24.</w:t>
      </w:r>
      <w:r w:rsidRPr="001E445E">
        <w:rPr>
          <w:i/>
          <w:lang w:val="sq-AL"/>
        </w:rPr>
        <w:t xml:space="preserve">6.2013; </w:t>
      </w:r>
      <w:r>
        <w:rPr>
          <w:i/>
          <w:lang w:val="sq-AL"/>
        </w:rPr>
        <w:t>nr. 7, datë 9.</w:t>
      </w:r>
      <w:r w:rsidRPr="001E445E">
        <w:rPr>
          <w:i/>
          <w:lang w:val="sq-AL"/>
        </w:rPr>
        <w:t xml:space="preserve">3.2009; </w:t>
      </w:r>
      <w:r>
        <w:rPr>
          <w:i/>
          <w:lang w:val="sq-AL"/>
        </w:rPr>
        <w:t xml:space="preserve">nr. 31, datë </w:t>
      </w:r>
      <w:r w:rsidRPr="001E445E">
        <w:rPr>
          <w:i/>
          <w:lang w:val="sq-AL"/>
        </w:rPr>
        <w:t>1.12.2005 të Gjykatës Kushtetuese</w:t>
      </w:r>
      <w:r w:rsidRPr="001E445E">
        <w:rPr>
          <w:lang w:val="sq-AL"/>
        </w:rPr>
        <w:t xml:space="preserve">). </w:t>
      </w:r>
    </w:p>
    <w:p w:rsidR="002D7094" w:rsidRPr="001E445E" w:rsidRDefault="002D7094" w:rsidP="002D7094">
      <w:pPr>
        <w:pStyle w:val="Paragrafi"/>
        <w:rPr>
          <w:i/>
          <w:lang w:val="sq-AL"/>
        </w:rPr>
      </w:pPr>
      <w:r w:rsidRPr="002E4F15">
        <w:rPr>
          <w:spacing w:val="-4"/>
          <w:lang w:val="sq-AL"/>
        </w:rPr>
        <w:t xml:space="preserve">17. Në çështjen në shqyrtim, Gjykata konstaton se objekti i gjykimit në themel ka qenë, ndër të tjera, pavlefshmëria e kontratës së privatizimit të lidhur nga Enti i Banesave Durrës, si i pabazuar në ligj e prova, si dhe detyrimi për njohjen pronarë të trashëgimtarëve të Seit Hasës. Gjykata e Rrethit Gjyqësor Durrës dhe Gjykata e Apelit Durrës kanë vendosur pranimin e kërkimeve të paditëses dhe detyrimin e të paditurve të njohin pronare kërkuesen. Ndërsa Kolegji Civil i Gjykatës së Lartë i ka dhënë konfliktit një zgjidhje krejtësisht të kundërt, duke u bazuar vetëm në faktin se gjykatat e faktit kanë vendosur kryesisht për detyrimin e njohjes pronare të paditëses/kërkueses, pasi kjo e fundit nuk ka paraqitur një kërkim të tillë. Sipas Kolegjit Civil </w:t>
      </w:r>
      <w:r w:rsidRPr="002E4F15">
        <w:rPr>
          <w:i/>
          <w:spacing w:val="-4"/>
          <w:lang w:val="sq-AL"/>
        </w:rPr>
        <w:t>“...nga analiza tërësore ka rezultuar se pala paditëse asnjëherë nuk ka kërkuar zgjidhjen e pasojave të pavlefshmërisë së veprimit juridik, siç mund të ishte kërkimi për kthimin e palëve në gjendjen e mëparshme... Në këto kushte, Kolegji çmon se kërkimi i palës paditëse për pavlefshmërinë absolute të kontratës së privatizimit nuk është shoqëruar me kërkimin për zgjidhjen e pasojave të ardhura nga veprimi juridik, duke mos u shprehur as në padi, as në çdo fazë të gjykimit, as me ndonjë mjet</w:t>
      </w:r>
      <w:r w:rsidRPr="001E445E">
        <w:rPr>
          <w:i/>
          <w:lang w:val="sq-AL"/>
        </w:rPr>
        <w:t xml:space="preserve"> tjetër procedural.”.</w:t>
      </w:r>
    </w:p>
    <w:p w:rsidR="002D7094" w:rsidRPr="001E445E" w:rsidRDefault="002D7094" w:rsidP="002D7094">
      <w:pPr>
        <w:pStyle w:val="Paragrafi"/>
        <w:rPr>
          <w:lang w:val="sq-AL"/>
        </w:rPr>
      </w:pPr>
      <w:r w:rsidRPr="001E445E">
        <w:rPr>
          <w:lang w:val="sq-AL"/>
        </w:rPr>
        <w:t xml:space="preserve">18. Nga sa më sipër, Gjykata vlerëson se vendimi i Kolegjit Civil nuk është në përputhje me kërkesat e një procesi të rregullt ligjor të zhvilluar para tij. Nga tërësia e përmbajtjes së kërkesëpadisë dhe e të gjitha akteve të tjera të depozituara në dosjen gjyqësore, Gjykata vëren se kërkimi përfundimtar i kërkueses dhe i përfaqësuesit të saj është pavlefshmëria e kontratës së shitjes dhe kthimi i palëve në gjendjen e mëparshme. Për këtë arsye, arsyetimi i Kolegjit Civil se kërkuesja nuk ka kërkuar kthimin e palëve në gjendjen e mëparshme dhe se gjykatat e faktit kanë vepruar në kundërshtim me objektin e kërkuar nga palët, nuk është i bazuar. </w:t>
      </w:r>
    </w:p>
    <w:p w:rsidR="002D7094" w:rsidRPr="001E445E" w:rsidRDefault="002D7094" w:rsidP="002D7094">
      <w:pPr>
        <w:pStyle w:val="Paragrafi"/>
        <w:rPr>
          <w:lang w:val="sq-AL"/>
        </w:rPr>
      </w:pPr>
      <w:r w:rsidRPr="001E445E">
        <w:rPr>
          <w:lang w:val="sq-AL"/>
        </w:rPr>
        <w:t>19. Gjithashtu, Gjykata vlerëson se vendimi i Kolegjit Civil duke pushuar çështjen i ka mohuar kërkueses edhe të drejtën e aksesit në gjykatë dhe pasjes së një vendimi përfundimtar që do t’i jepte përgjigje për sa ajo kërkon.</w:t>
      </w:r>
      <w:r>
        <w:rPr>
          <w:lang w:val="sq-AL"/>
        </w:rPr>
        <w:t xml:space="preserve"> </w:t>
      </w:r>
      <w:r w:rsidRPr="001E445E">
        <w:rPr>
          <w:lang w:val="sq-AL"/>
        </w:rPr>
        <w:t>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w:t>
      </w:r>
      <w:r w:rsidRPr="001E445E">
        <w:rPr>
          <w:i/>
          <w:lang w:val="sq-AL"/>
        </w:rPr>
        <w:t xml:space="preserve">shih vendimet </w:t>
      </w:r>
      <w:r>
        <w:rPr>
          <w:i/>
          <w:lang w:val="sq-AL"/>
        </w:rPr>
        <w:t>nr. 22, datë 16.</w:t>
      </w:r>
      <w:r w:rsidRPr="001E445E">
        <w:rPr>
          <w:i/>
          <w:lang w:val="sq-AL"/>
        </w:rPr>
        <w:t xml:space="preserve">4.2014; </w:t>
      </w:r>
      <w:r>
        <w:rPr>
          <w:i/>
          <w:lang w:val="sq-AL"/>
        </w:rPr>
        <w:t>nr. 7, datë 27.</w:t>
      </w:r>
      <w:r w:rsidRPr="001E445E">
        <w:rPr>
          <w:i/>
          <w:lang w:val="sq-AL"/>
        </w:rPr>
        <w:t xml:space="preserve">2.2013; </w:t>
      </w:r>
      <w:r>
        <w:rPr>
          <w:i/>
          <w:lang w:val="sq-AL"/>
        </w:rPr>
        <w:t>nr. 14, datë 26.</w:t>
      </w:r>
      <w:r w:rsidRPr="001E445E">
        <w:rPr>
          <w:i/>
          <w:lang w:val="sq-AL"/>
        </w:rPr>
        <w:t>3.2012 të Gjykatës Kushtetuese</w:t>
      </w:r>
      <w:r w:rsidRPr="001E445E">
        <w:rPr>
          <w:lang w:val="sq-AL"/>
        </w:rPr>
        <w:t>).</w:t>
      </w:r>
    </w:p>
    <w:p w:rsidR="002D7094" w:rsidRPr="001E445E" w:rsidRDefault="002D7094" w:rsidP="002D7094">
      <w:pPr>
        <w:pStyle w:val="Paragrafi"/>
        <w:rPr>
          <w:lang w:val="sq-AL"/>
        </w:rPr>
      </w:pPr>
      <w:r w:rsidRPr="001E445E">
        <w:rPr>
          <w:lang w:val="sq-AL"/>
        </w:rPr>
        <w:t>20. Bazuar në standardet e mësipërme kushtetuese, Gjykata vlerëson se në rastin konkret</w:t>
      </w:r>
      <w:r>
        <w:rPr>
          <w:lang w:val="sq-AL"/>
        </w:rPr>
        <w:t>,</w:t>
      </w:r>
      <w:r w:rsidRPr="001E445E">
        <w:rPr>
          <w:lang w:val="sq-AL"/>
        </w:rPr>
        <w:t xml:space="preserve"> Kolegji Civil i Gjykatës së Lartë nuk ka vepruar brenda kompetencave të tij ligjore, duke cenuar parimin e gjykimit nga një gjykatë e caktuar me ligj dhe të drejtën e aksesit në gjykatë, si element</w:t>
      </w:r>
      <w:r>
        <w:rPr>
          <w:lang w:val="sq-AL"/>
        </w:rPr>
        <w:t>e</w:t>
      </w:r>
      <w:r w:rsidRPr="001E445E">
        <w:rPr>
          <w:lang w:val="sq-AL"/>
        </w:rPr>
        <w:t xml:space="preserve"> të së drejtës për një proces të rregullt ligjor. Për rrjedhojë, pretendimet e kërkueses në këtë drejtim janë të bazuara dhe duhen pranuar.</w:t>
      </w:r>
    </w:p>
    <w:p w:rsidR="002D7094" w:rsidRPr="001E445E" w:rsidRDefault="002D7094" w:rsidP="002D7094">
      <w:pPr>
        <w:pStyle w:val="Paragrafi"/>
        <w:rPr>
          <w:i/>
          <w:lang w:val="sq-AL"/>
        </w:rPr>
      </w:pPr>
      <w:r w:rsidRPr="001E445E">
        <w:rPr>
          <w:i/>
          <w:lang w:val="sq-AL"/>
        </w:rPr>
        <w:t>C. Për pretendimin e cenimit të parimit të sigurisë juridike</w:t>
      </w:r>
    </w:p>
    <w:p w:rsidR="002D7094" w:rsidRPr="001E445E" w:rsidRDefault="002D7094" w:rsidP="002D7094">
      <w:pPr>
        <w:pStyle w:val="Paragrafi"/>
        <w:rPr>
          <w:lang w:val="sq-AL"/>
        </w:rPr>
      </w:pPr>
      <w:r w:rsidRPr="001E445E">
        <w:rPr>
          <w:lang w:val="sq-AL"/>
        </w:rPr>
        <w:tab/>
        <w:t xml:space="preserve">21. Kërkuesja ka pretenduar se Kolegji Civil i Gjykatës së Lartë me vendimin e tij ka cenuar parimin e sigurisë juridike, pasi ai Kolegj ka dhënë dy vendime të ndryshme për të njëjtën çështje. Një veprim i tillë pas një periudhe të gjatë nga marrja formë të prerë të vendimit përbën cenim të parimit të sigurisë juridike. </w:t>
      </w:r>
    </w:p>
    <w:p w:rsidR="002D7094" w:rsidRPr="001E445E" w:rsidRDefault="002D7094" w:rsidP="002D7094">
      <w:pPr>
        <w:pStyle w:val="Paragrafi"/>
        <w:rPr>
          <w:i/>
          <w:lang w:val="sq-AL"/>
        </w:rPr>
      </w:pPr>
      <w:r w:rsidRPr="001E445E">
        <w:rPr>
          <w:lang w:val="sq-AL"/>
        </w:rPr>
        <w:tab/>
        <w:t xml:space="preserve">22. Gjykata konstaton se konflikti objekt gjykimi ka filluar të shqyrtohet nga gjykatat që në vitin 1995. Pas disa gjykimeve dhe rigjykimeve, me vendimin </w:t>
      </w:r>
      <w:r>
        <w:rPr>
          <w:lang w:val="sq-AL"/>
        </w:rPr>
        <w:t xml:space="preserve">nr. </w:t>
      </w:r>
      <w:r w:rsidRPr="001E445E">
        <w:rPr>
          <w:lang w:val="sq-AL"/>
        </w:rPr>
        <w:t>1527, datë 1997</w:t>
      </w:r>
      <w:r>
        <w:rPr>
          <w:lang w:val="sq-AL"/>
        </w:rPr>
        <w:t>,</w:t>
      </w:r>
      <w:r w:rsidRPr="001E445E">
        <w:rPr>
          <w:lang w:val="sq-AL"/>
        </w:rPr>
        <w:t xml:space="preserve"> të Gjykatës së </w:t>
      </w:r>
      <w:r w:rsidRPr="001E445E">
        <w:rPr>
          <w:lang w:val="sq-AL"/>
        </w:rPr>
        <w:lastRenderedPageBreak/>
        <w:t xml:space="preserve">Rrethit Gjyqësor Durrës është vendosur: </w:t>
      </w:r>
      <w:r w:rsidRPr="001E445E">
        <w:rPr>
          <w:i/>
          <w:lang w:val="sq-AL"/>
        </w:rPr>
        <w:t>“Pranimi i kërkesëpadisë së Kimete Hasës, duke anuluar vendimin e KKP-së Durrës. Konstatimi i pavlefshmërisë së kontratave të shitjes mes të paditurit Enti i Banesave dhe të paditurve Taze Kreshpaj etj.”.</w:t>
      </w:r>
      <w:r w:rsidRPr="001E445E">
        <w:rPr>
          <w:lang w:val="sq-AL"/>
        </w:rPr>
        <w:t xml:space="preserve"> Gjykata e Apelit Durrës, me vendimin </w:t>
      </w:r>
      <w:r>
        <w:rPr>
          <w:lang w:val="sq-AL"/>
        </w:rPr>
        <w:t>nr. 377, datë 8.</w:t>
      </w:r>
      <w:r w:rsidRPr="001E445E">
        <w:rPr>
          <w:lang w:val="sq-AL"/>
        </w:rPr>
        <w:t xml:space="preserve">9.2005, ka </w:t>
      </w:r>
      <w:r w:rsidRPr="001E445E">
        <w:rPr>
          <w:i/>
          <w:lang w:val="sq-AL"/>
        </w:rPr>
        <w:t>vendosur “Prishjen e vendimit civil për një nga të paditurit, Teki Seferkolli, dhe lënien në fuqi për pjesët e tjera.”.</w:t>
      </w:r>
    </w:p>
    <w:p w:rsidR="002D7094" w:rsidRPr="001E445E" w:rsidRDefault="002D7094" w:rsidP="002D7094">
      <w:pPr>
        <w:pStyle w:val="Paragrafi"/>
        <w:rPr>
          <w:lang w:val="sq-AL"/>
        </w:rPr>
      </w:pPr>
      <w:r w:rsidRPr="001E445E">
        <w:rPr>
          <w:lang w:val="sq-AL"/>
        </w:rPr>
        <w:tab/>
        <w:t xml:space="preserve">23. Kolegji Civil mbi rekursin e Entit të Banesave ka vendosur mospranimin e tij. Pas përfundimit të këtij gjykimi ka vazhduar të gjykohet pjesa e veçuar e padisë, e cila është gjykuar në favor të paditësve me vendimin </w:t>
      </w:r>
      <w:r>
        <w:rPr>
          <w:lang w:val="sq-AL"/>
        </w:rPr>
        <w:t>nr. 965, datë 31.</w:t>
      </w:r>
      <w:r w:rsidRPr="001E445E">
        <w:rPr>
          <w:lang w:val="sq-AL"/>
        </w:rPr>
        <w:t xml:space="preserve">3.2008 të Gjykatës së Rrethit Gjyqësor Durrës, i cili është lënë në fuqi me vendimin </w:t>
      </w:r>
      <w:r>
        <w:rPr>
          <w:lang w:val="sq-AL"/>
        </w:rPr>
        <w:t xml:space="preserve">nr. </w:t>
      </w:r>
      <w:r w:rsidRPr="001E445E">
        <w:rPr>
          <w:lang w:val="sq-AL"/>
        </w:rPr>
        <w:t xml:space="preserve">527, datë 22.12.2009 të Gjykatës së Apelit Durrës. Ky vendim është prishur nga Kolegji Civil, tashmë objekt kundërshtimi para Gjykatës Kushtetuese. Pra, në gjykimin e parë për të njëjtin objekt padie, pavarësisht se gjykimi u nda për shkak të zëvendësimit procedural (vdekjes së njërit prej të paditurve), Kolegji Civil e konsideroi të bazuar padinë e kërkueses, ndërsa në gjykimin e dytë për të njëjtin objekt padie, vendosi shfuqizimin e vendimeve të gjykatave më të ulëta dhe pushimin e çështjes. </w:t>
      </w:r>
    </w:p>
    <w:p w:rsidR="002D7094" w:rsidRPr="001E445E" w:rsidRDefault="002D7094" w:rsidP="002D7094">
      <w:pPr>
        <w:pStyle w:val="Paragrafi"/>
        <w:rPr>
          <w:lang w:val="sq-AL"/>
        </w:rPr>
      </w:pPr>
      <w:r w:rsidRPr="001E445E">
        <w:rPr>
          <w:lang w:val="sq-AL"/>
        </w:rPr>
        <w:t>24. Gjykata rithekson se dhënia e vendimeve të ndryshme gjyqësore për çështje të njëjta bie ndesh me parimin e sigurisë juridike në praktikën e gjyqësore. Parimi i sigurisë juridike nënkupton, ndërmjet të tjerash, garantimin e besueshmërisë së individit te shteti, institucionet e tij dhe tek aktet që ato nxjerrin. Ndërsa, në rastin e vendimeve gjyqësore të formës së prerë, siguria juridike nënkupton që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Vendimi gjyqësor i formës së prerë, që përbën gjë të gjykuar, është shprehje dhe konkretizim i së drejtës mbi marrëdhënien juridike dhe ka qëllim t’i japë jo vetëm qartësi, por edhe siguri kësaj marrëdhënieje (</w:t>
      </w:r>
      <w:r w:rsidRPr="001E445E">
        <w:rPr>
          <w:i/>
          <w:lang w:val="sq-AL"/>
        </w:rPr>
        <w:t xml:space="preserve">shih vendimet </w:t>
      </w:r>
      <w:r>
        <w:rPr>
          <w:i/>
          <w:lang w:val="sq-AL"/>
        </w:rPr>
        <w:t>nr. 21, datë 16.</w:t>
      </w:r>
      <w:r w:rsidRPr="001E445E">
        <w:rPr>
          <w:i/>
          <w:lang w:val="sq-AL"/>
        </w:rPr>
        <w:t xml:space="preserve">4.2015; </w:t>
      </w:r>
      <w:r>
        <w:rPr>
          <w:i/>
          <w:lang w:val="sq-AL"/>
        </w:rPr>
        <w:t xml:space="preserve">nr. </w:t>
      </w:r>
      <w:r w:rsidRPr="001E445E">
        <w:rPr>
          <w:i/>
          <w:lang w:val="sq-AL"/>
        </w:rPr>
        <w:t xml:space="preserve">24, datë 12.11.2008; </w:t>
      </w:r>
      <w:r>
        <w:rPr>
          <w:i/>
          <w:lang w:val="sq-AL"/>
        </w:rPr>
        <w:t>nr. 23, datë 8.</w:t>
      </w:r>
      <w:r w:rsidRPr="001E445E">
        <w:rPr>
          <w:i/>
          <w:lang w:val="sq-AL"/>
        </w:rPr>
        <w:t>6.2007 të Gjykatës Kushtetuese</w:t>
      </w:r>
      <w:r w:rsidRPr="001E445E">
        <w:rPr>
          <w:lang w:val="sq-AL"/>
        </w:rPr>
        <w:t xml:space="preserve">). </w:t>
      </w:r>
    </w:p>
    <w:p w:rsidR="002D7094" w:rsidRPr="001E445E" w:rsidRDefault="002D7094" w:rsidP="002D7094">
      <w:pPr>
        <w:pStyle w:val="Paragrafi"/>
        <w:rPr>
          <w:lang w:val="sq-AL"/>
        </w:rPr>
      </w:pPr>
      <w:r w:rsidRPr="001E445E">
        <w:rPr>
          <w:lang w:val="sq-AL"/>
        </w:rPr>
        <w:t>25. Parimi i gjësë së gjykuar përfshin jo vetëm urdhërimet e dispozitivit të vendimit gjyqësor por edhe zbatimin e së drejtës të përcaktuar në pjesën përshkruese arsyetuese të vendimit, me kusht që ato të jenë kryer me qëllim dhënien e</w:t>
      </w:r>
      <w:r>
        <w:rPr>
          <w:lang w:val="sq-AL"/>
        </w:rPr>
        <w:t xml:space="preserve"> </w:t>
      </w:r>
      <w:r w:rsidRPr="001E445E">
        <w:rPr>
          <w:lang w:val="sq-AL"/>
        </w:rPr>
        <w:t>vendimit gjyqësor dhe t’u përkasin fakteve ose marrëdhënieve që kanë formuar objektin e gjykimit mbi të cilin gjykata ka dhënë vendimin e saj (</w:t>
      </w:r>
      <w:r w:rsidRPr="001E445E">
        <w:rPr>
          <w:i/>
          <w:lang w:val="sq-AL"/>
        </w:rPr>
        <w:t xml:space="preserve">shih vendimin </w:t>
      </w:r>
      <w:r>
        <w:rPr>
          <w:i/>
          <w:lang w:val="sq-AL"/>
        </w:rPr>
        <w:t xml:space="preserve">nr. </w:t>
      </w:r>
      <w:r w:rsidRPr="001E445E">
        <w:rPr>
          <w:i/>
          <w:lang w:val="sq-AL"/>
        </w:rPr>
        <w:t xml:space="preserve">36, datë </w:t>
      </w:r>
      <w:r>
        <w:rPr>
          <w:i/>
          <w:lang w:val="sq-AL"/>
        </w:rPr>
        <w:t>25.</w:t>
      </w:r>
      <w:r w:rsidRPr="001E445E">
        <w:rPr>
          <w:i/>
          <w:lang w:val="sq-AL"/>
        </w:rPr>
        <w:t>7.2013 të Gjykatës Kushtetuese</w:t>
      </w:r>
      <w:r w:rsidRPr="001E445E">
        <w:rPr>
          <w:lang w:val="sq-AL"/>
        </w:rPr>
        <w:t>).</w:t>
      </w:r>
    </w:p>
    <w:p w:rsidR="002D7094" w:rsidRPr="001E445E" w:rsidRDefault="002D7094" w:rsidP="002D7094">
      <w:pPr>
        <w:pStyle w:val="Paragrafi"/>
        <w:rPr>
          <w:lang w:val="sq-AL"/>
        </w:rPr>
      </w:pPr>
      <w:r w:rsidRPr="00B862A0">
        <w:rPr>
          <w:spacing w:val="-4"/>
          <w:lang w:val="sq-AL"/>
        </w:rPr>
        <w:t>26. Të njëjtin qëndrim ka mbajtur dhe Gjykata Evropiane e të Drejtave të Njeriut, e cila ka nënvizuar se “..</w:t>
      </w:r>
      <w:r>
        <w:rPr>
          <w:spacing w:val="-4"/>
          <w:lang w:val="sq-AL"/>
        </w:rPr>
        <w:t xml:space="preserve">. </w:t>
      </w:r>
      <w:r w:rsidRPr="00B862A0">
        <w:rPr>
          <w:spacing w:val="-4"/>
          <w:lang w:val="sq-AL"/>
        </w:rPr>
        <w:t xml:space="preserve">në pikëpamjen e Gjykatës, parimi në bazë të të cilit një vendim përfundimtar i formës së prerë është gjë e gjykuar dhe zgjidh mosmarrëveshjen midis palëve me një efekt përfundimtar është një element themelor i së drejtës për një gjykim të drejtë, që garantohet nga neni 6 i Konventës në çështjet civile. Parimi i sigurisë juridike dikton që kur një mosmarrëveshje civile është shqyrtuar në themel nga gjykata, vendimi i saj nuk vihet më në diskutim” </w:t>
      </w:r>
      <w:r w:rsidRPr="00B862A0">
        <w:rPr>
          <w:i/>
          <w:spacing w:val="-4"/>
          <w:lang w:val="sq-AL"/>
        </w:rPr>
        <w:t>(shih çështjen Kehaya dhe të tjerë kundër Bullgarisë, datë 12.1.2006</w:t>
      </w:r>
      <w:r w:rsidRPr="00B862A0">
        <w:rPr>
          <w:spacing w:val="-4"/>
          <w:lang w:val="sq-AL"/>
        </w:rPr>
        <w:t>). GJEDNJ-ja, në disa çështje kundër Shqipërisë (</w:t>
      </w:r>
      <w:r w:rsidRPr="00B862A0">
        <w:rPr>
          <w:i/>
          <w:spacing w:val="-4"/>
          <w:lang w:val="sq-AL"/>
        </w:rPr>
        <w:t>shih Ramadhi dhe të tjerë kundër Shqipërisë, datë 13.11.2007; Hamzaraj kundër Shqipërisë, datë 3.2.2009; Manushaqe Puto dhe të tjerë kundër Shqipërisë, datë 31.7.2012</w:t>
      </w:r>
      <w:r w:rsidRPr="00B862A0">
        <w:rPr>
          <w:spacing w:val="-4"/>
          <w:lang w:val="sq-AL"/>
        </w:rPr>
        <w:t xml:space="preserve">), ka evidentuar rëndësinë e sigurisë juridike në procesin e kthimit dhe të kompensimit të pronave, veçanërisht për sa u përket të drejtave të fituara nga vendimet që kanë njohur të drejta pronësie dhe të ruajtjes së </w:t>
      </w:r>
      <w:r w:rsidRPr="001E445E">
        <w:rPr>
          <w:lang w:val="sq-AL"/>
        </w:rPr>
        <w:t xml:space="preserve">garancive që lidhen me këto të drejta. </w:t>
      </w:r>
    </w:p>
    <w:p w:rsidR="002D7094" w:rsidRPr="00B862A0" w:rsidRDefault="002D7094" w:rsidP="002D7094">
      <w:pPr>
        <w:pStyle w:val="Paragrafi"/>
        <w:rPr>
          <w:spacing w:val="-4"/>
          <w:lang w:val="sq-AL"/>
        </w:rPr>
      </w:pPr>
      <w:r w:rsidRPr="00B862A0">
        <w:rPr>
          <w:spacing w:val="-4"/>
          <w:lang w:val="sq-AL"/>
        </w:rPr>
        <w:t xml:space="preserve">27. Në rastin konkret Gjykata konstaton se dhënia e dy vendimeve të ndryshme për të njëjtën çështje nga Kolegji Civil i Gjykatës së Lartë ka cenuar parimin e sigurisë juridike në vendimet gjyqësore, duke krijuar një situatë të paqëndrueshme dhe të paqartë ligjore për sa u takon pretendimeve të kërkueses. </w:t>
      </w:r>
    </w:p>
    <w:p w:rsidR="002D7094" w:rsidRPr="00B862A0" w:rsidRDefault="002D7094" w:rsidP="002D7094">
      <w:pPr>
        <w:pStyle w:val="Paragrafi"/>
        <w:rPr>
          <w:spacing w:val="-4"/>
          <w:lang w:val="sq-AL"/>
        </w:rPr>
      </w:pPr>
      <w:r w:rsidRPr="00B862A0">
        <w:rPr>
          <w:spacing w:val="-4"/>
          <w:lang w:val="sq-AL"/>
        </w:rPr>
        <w:tab/>
        <w:t>28. Përveç sa më sipër, Gjykata vlerëson se Kolegji Civil duke pushuar çështjen ka lënë pa zgjidhje përfundimtare dhe në një situatë të pasigurt juridike kërkuesen, e cila pas më shumë se 20 vjetëve në konflikte gjyqësore, nuk ka ende një vendim gjyqësor të formës së prerë që u jep zgjidhje përfundimtare pretendimeve të saj lidhur me të drejtën e pronës.</w:t>
      </w:r>
    </w:p>
    <w:p w:rsidR="002D7094" w:rsidRPr="00B862A0" w:rsidRDefault="002D7094" w:rsidP="002D7094">
      <w:pPr>
        <w:pStyle w:val="Paragrafi"/>
        <w:rPr>
          <w:spacing w:val="-4"/>
          <w:lang w:val="sq-AL"/>
        </w:rPr>
      </w:pPr>
      <w:r w:rsidRPr="00B862A0">
        <w:rPr>
          <w:spacing w:val="-4"/>
          <w:lang w:val="sq-AL"/>
        </w:rPr>
        <w:lastRenderedPageBreak/>
        <w:tab/>
        <w:t xml:space="preserve">29. Për këto arsye, Gjykata vlerëson se edhe ky pretendim i kërkueses është i bazuar dhe duhet pranuar. </w:t>
      </w:r>
    </w:p>
    <w:p w:rsidR="002D7094" w:rsidRPr="00B862A0" w:rsidRDefault="002D7094" w:rsidP="002D7094">
      <w:pPr>
        <w:pStyle w:val="Vendosi"/>
        <w:rPr>
          <w:spacing w:val="-4"/>
          <w:lang w:val="sq-AL"/>
        </w:rPr>
      </w:pPr>
      <w:r w:rsidRPr="00B862A0">
        <w:rPr>
          <w:spacing w:val="-4"/>
          <w:lang w:val="sq-AL"/>
        </w:rPr>
        <w:t>PËR KËTO ARSYE,</w:t>
      </w:r>
    </w:p>
    <w:p w:rsidR="002D7094" w:rsidRPr="00B862A0" w:rsidRDefault="002D7094" w:rsidP="002D7094">
      <w:pPr>
        <w:pStyle w:val="Hapesira7"/>
        <w:rPr>
          <w:spacing w:val="-4"/>
          <w:lang w:val="sq-AL"/>
        </w:rPr>
      </w:pPr>
    </w:p>
    <w:p w:rsidR="002D7094" w:rsidRPr="00B862A0" w:rsidRDefault="002D7094" w:rsidP="002D7094">
      <w:pPr>
        <w:pStyle w:val="Paragrafi"/>
        <w:rPr>
          <w:spacing w:val="-4"/>
          <w:lang w:val="sq-AL"/>
        </w:rPr>
      </w:pPr>
      <w:r w:rsidRPr="00B862A0">
        <w:rPr>
          <w:spacing w:val="-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njëzëri, </w:t>
      </w:r>
    </w:p>
    <w:p w:rsidR="002D7094" w:rsidRPr="00B862A0" w:rsidRDefault="002D7094" w:rsidP="002D7094">
      <w:pPr>
        <w:pStyle w:val="Vendosi"/>
        <w:rPr>
          <w:spacing w:val="-4"/>
          <w:sz w:val="14"/>
          <w:lang w:val="sq-AL"/>
        </w:rPr>
      </w:pPr>
    </w:p>
    <w:p w:rsidR="002D7094" w:rsidRPr="00B862A0" w:rsidRDefault="002D7094" w:rsidP="002D7094">
      <w:pPr>
        <w:pStyle w:val="Vendosi"/>
        <w:rPr>
          <w:spacing w:val="-4"/>
          <w:lang w:val="sq-AL"/>
        </w:rPr>
      </w:pPr>
      <w:r w:rsidRPr="00B862A0">
        <w:rPr>
          <w:spacing w:val="-4"/>
          <w:lang w:val="sq-AL"/>
        </w:rPr>
        <w:t>VENDOSI:</w:t>
      </w:r>
    </w:p>
    <w:p w:rsidR="002D7094" w:rsidRPr="00B862A0" w:rsidRDefault="002D7094" w:rsidP="002D7094">
      <w:pPr>
        <w:pStyle w:val="Hapesira7"/>
        <w:rPr>
          <w:spacing w:val="-4"/>
          <w:sz w:val="10"/>
          <w:lang w:val="sq-AL"/>
        </w:rPr>
      </w:pPr>
    </w:p>
    <w:p w:rsidR="002D7094" w:rsidRPr="00B862A0" w:rsidRDefault="002D7094" w:rsidP="002D7094">
      <w:pPr>
        <w:pStyle w:val="Paragrafi"/>
        <w:rPr>
          <w:spacing w:val="-4"/>
          <w:lang w:val="sq-AL"/>
        </w:rPr>
      </w:pPr>
      <w:r w:rsidRPr="00B862A0">
        <w:rPr>
          <w:spacing w:val="-4"/>
          <w:lang w:val="sq-AL"/>
        </w:rPr>
        <w:t xml:space="preserve"> - Pranimin e kërkesës. </w:t>
      </w:r>
    </w:p>
    <w:p w:rsidR="002D7094" w:rsidRPr="00B862A0" w:rsidRDefault="002D7094" w:rsidP="002D7094">
      <w:pPr>
        <w:pStyle w:val="Paragrafi"/>
        <w:rPr>
          <w:spacing w:val="-4"/>
          <w:lang w:val="sq-AL"/>
        </w:rPr>
      </w:pPr>
      <w:r w:rsidRPr="00B862A0">
        <w:rPr>
          <w:spacing w:val="-4"/>
          <w:lang w:val="sq-AL"/>
        </w:rPr>
        <w:t xml:space="preserve"> - Shfuqizimin si të papajtueshëm me Kushtetutën të vendimit nr. 00-2014-(283), datë 22.5.2014 të Kolegjit Civil të Gjykatës së Lartë. </w:t>
      </w:r>
    </w:p>
    <w:p w:rsidR="002D7094" w:rsidRPr="00B862A0" w:rsidRDefault="002D7094" w:rsidP="002D7094">
      <w:pPr>
        <w:pStyle w:val="Paragrafi"/>
        <w:rPr>
          <w:spacing w:val="-4"/>
          <w:lang w:val="sq-AL"/>
        </w:rPr>
      </w:pPr>
      <w:r w:rsidRPr="00B862A0">
        <w:rPr>
          <w:spacing w:val="-4"/>
          <w:lang w:val="sq-AL"/>
        </w:rPr>
        <w:t>- Dërgimin e çështjes për rishqyrtim në Gjykatën e Lartë.</w:t>
      </w:r>
    </w:p>
    <w:p w:rsidR="002D7094" w:rsidRPr="00B862A0" w:rsidRDefault="002D7094" w:rsidP="002D7094">
      <w:pPr>
        <w:pStyle w:val="Paragrafi"/>
        <w:rPr>
          <w:spacing w:val="-4"/>
          <w:lang w:val="sq-AL"/>
        </w:rPr>
      </w:pPr>
      <w:r w:rsidRPr="00B862A0">
        <w:rPr>
          <w:spacing w:val="-4"/>
          <w:lang w:val="sq-AL"/>
        </w:rPr>
        <w:t>- Ky vendim është përfundimtar, i formës së prerë dhe hyn në fuqi ditën e botimit në Fletoren Zyrtare.</w:t>
      </w:r>
    </w:p>
    <w:p w:rsidR="002D7094" w:rsidRPr="00B862A0" w:rsidRDefault="002D7094" w:rsidP="002D7094">
      <w:pPr>
        <w:pStyle w:val="Hapesira7"/>
        <w:rPr>
          <w:spacing w:val="-4"/>
          <w:lang w:val="sq-AL"/>
        </w:rPr>
      </w:pPr>
    </w:p>
    <w:p w:rsidR="002D7094" w:rsidRPr="00B862A0" w:rsidRDefault="002D7094" w:rsidP="002D7094">
      <w:pPr>
        <w:pStyle w:val="Paragrafi"/>
        <w:rPr>
          <w:spacing w:val="-4"/>
          <w:lang w:val="sq-AL"/>
        </w:rPr>
      </w:pPr>
      <w:r w:rsidRPr="00B862A0">
        <w:rPr>
          <w:spacing w:val="-4"/>
          <w:lang w:val="sq-AL"/>
        </w:rPr>
        <w:t>Anëtarë: Bashkim Dedja (kryetar), Sokol Berberi, Vladimir Kristo, Besnik Imeraj, Fatmir Hoxha, Vitore Tusha, Gani Dizdari, Fatos Lulo</w:t>
      </w:r>
    </w:p>
    <w:p w:rsidR="002D7094" w:rsidRPr="00B862A0" w:rsidRDefault="002D7094" w:rsidP="002D7094">
      <w:pPr>
        <w:pStyle w:val="Hapesira7"/>
        <w:rPr>
          <w:spacing w:val="-4"/>
          <w:lang w:val="sq-AL"/>
        </w:rPr>
      </w:pPr>
    </w:p>
    <w:p w:rsidR="002D7094" w:rsidRPr="00B862A0" w:rsidRDefault="002D7094" w:rsidP="002D7094">
      <w:pPr>
        <w:pStyle w:val="Vendosi"/>
        <w:rPr>
          <w:spacing w:val="-4"/>
          <w:lang w:val="sq-AL"/>
        </w:rPr>
      </w:pPr>
      <w:r w:rsidRPr="00B862A0">
        <w:rPr>
          <w:spacing w:val="-4"/>
          <w:lang w:val="sq-AL"/>
        </w:rPr>
        <w:t xml:space="preserve">MENDIM PARALEL </w:t>
      </w:r>
    </w:p>
    <w:p w:rsidR="002D7094" w:rsidRPr="00B862A0" w:rsidRDefault="002D7094" w:rsidP="002D7094">
      <w:pPr>
        <w:pStyle w:val="Hapesira7"/>
        <w:rPr>
          <w:spacing w:val="-4"/>
          <w:sz w:val="10"/>
          <w:lang w:val="sq-AL"/>
        </w:rPr>
      </w:pPr>
    </w:p>
    <w:p w:rsidR="002D7094" w:rsidRPr="001E445E" w:rsidRDefault="002D7094" w:rsidP="002D7094">
      <w:pPr>
        <w:pStyle w:val="Paragrafi"/>
        <w:rPr>
          <w:lang w:val="sq-AL"/>
        </w:rPr>
      </w:pPr>
      <w:r w:rsidRPr="00B862A0">
        <w:rPr>
          <w:spacing w:val="-4"/>
          <w:lang w:val="sq-AL"/>
        </w:rPr>
        <w:t>1. Kërkuesja Kimet</w:t>
      </w:r>
      <w:r>
        <w:rPr>
          <w:spacing w:val="-4"/>
          <w:lang w:val="sq-AL"/>
        </w:rPr>
        <w:t>e</w:t>
      </w:r>
      <w:r w:rsidRPr="00B862A0">
        <w:rPr>
          <w:spacing w:val="-4"/>
          <w:lang w:val="sq-AL"/>
        </w:rPr>
        <w:t xml:space="preserve"> Hasa i është drejtuar Gjykatës duke pretenduar se vendimi nr. 00-2014-(283), datë 22.5.2014 i Gjykatës së Lartë, duke vendosur prishjen e vendimeve të gjykatave të faktit dhe pushimin e gjykimit të çështjes, i ka cenuar asaj të drejtën e aksesit në gjykatë,</w:t>
      </w:r>
      <w:r w:rsidRPr="001E445E">
        <w:rPr>
          <w:lang w:val="sq-AL"/>
        </w:rPr>
        <w:t xml:space="preserve"> parimin e gjykatës së caktuar me ligj dhe parimin e sigurisë juridike. </w:t>
      </w:r>
    </w:p>
    <w:p w:rsidR="002D7094" w:rsidRPr="00B862A0" w:rsidRDefault="002D7094" w:rsidP="002D7094">
      <w:pPr>
        <w:pStyle w:val="Paragrafi"/>
        <w:rPr>
          <w:spacing w:val="-4"/>
          <w:lang w:val="sq-AL"/>
        </w:rPr>
      </w:pPr>
      <w:r w:rsidRPr="00B862A0">
        <w:rPr>
          <w:spacing w:val="-4"/>
          <w:lang w:val="sq-AL"/>
        </w:rPr>
        <w:t xml:space="preserve">2. Në qëndrimin përfundimtar, ndonëse pajtohem me vendimin e shumicës për shfuqizimin si të papajtueshëm me Kushtetutën të vendimit të lartpërmendur të Gjykatës së Lartë, cenimin e parimit të gjykatës së caktuar me ligj e shoh edhe nën një këndvështrim tjetër. </w:t>
      </w:r>
    </w:p>
    <w:p w:rsidR="002D7094" w:rsidRPr="00B862A0" w:rsidRDefault="002D7094" w:rsidP="002D7094">
      <w:pPr>
        <w:pStyle w:val="Paragrafi"/>
        <w:rPr>
          <w:spacing w:val="-4"/>
          <w:lang w:val="sq-AL"/>
        </w:rPr>
      </w:pPr>
      <w:r w:rsidRPr="00B862A0">
        <w:rPr>
          <w:spacing w:val="-4"/>
          <w:lang w:val="sq-AL"/>
        </w:rPr>
        <w:t>3. Parimi i gjykatës së caktuar me ligj është trajtuar gjerësisht në jurisprudencën e Gjykatës. Lidhur me vlerësimin e provave nga Gjykata e Lartë, sikurse thekson edhe shumica në vendimin e saj (</w:t>
      </w:r>
      <w:r w:rsidRPr="00B862A0">
        <w:rPr>
          <w:i/>
          <w:spacing w:val="-4"/>
          <w:lang w:val="sq-AL"/>
        </w:rPr>
        <w:t>shih paragrafin nr. 15 të vendimit</w:t>
      </w:r>
      <w:r w:rsidRPr="00B862A0">
        <w:rPr>
          <w:spacing w:val="-4"/>
          <w:lang w:val="sq-AL"/>
        </w:rPr>
        <w:t>), kjo e fundit jo vetëm nuk ka kompetencën të administrojë prova të reja, por, gjithashtu, nuk mund të vlerësojë ndryshe provat e vlerësuara nga gjykatat e faktit, si dhe nuk mund të anashkalojë ekzistencën e fakteve dhe të rrethanave që janë vërtetuar në gjykimin e faktit apo t’i ndryshojë ato (</w:t>
      </w:r>
      <w:r w:rsidRPr="00B862A0">
        <w:rPr>
          <w:i/>
          <w:spacing w:val="-4"/>
          <w:lang w:val="sq-AL"/>
        </w:rPr>
        <w:t>shih vendimet nr. 53, datë 20.7.2015; nr. 40, datë 25.6.2015; nr. 27, datë 24.6.2013 të Gjykatës Kushtetuese</w:t>
      </w:r>
      <w:r w:rsidRPr="00B862A0">
        <w:rPr>
          <w:spacing w:val="-4"/>
          <w:lang w:val="sq-AL"/>
        </w:rPr>
        <w:t xml:space="preserve">). </w:t>
      </w:r>
    </w:p>
    <w:p w:rsidR="002D7094" w:rsidRPr="00B862A0" w:rsidRDefault="002D7094" w:rsidP="002D7094">
      <w:pPr>
        <w:pStyle w:val="Paragrafi"/>
        <w:rPr>
          <w:spacing w:val="-4"/>
          <w:lang w:val="sq-AL"/>
        </w:rPr>
      </w:pPr>
      <w:r w:rsidRPr="00B862A0">
        <w:rPr>
          <w:spacing w:val="-4"/>
          <w:lang w:val="sq-AL"/>
        </w:rPr>
        <w:t>4. Konkretisht, sipas jurisprudencës kushtetuese, parimi i gjykatës së caktuar me ligj konsiderohet i cenuar, në kuptim të nenit 42 të Kushtetutës, kur Kolegji i Gjykatës së Lartë, mbi të njëjtat prova e fakte të vlerësuara në gjykimet e mëparshme, vendos të prishë vendimet dhe ta zgjidhë vetë çështjen, për shkak të zbatimit të gabuar të ligjit (</w:t>
      </w:r>
      <w:r w:rsidRPr="00B862A0">
        <w:rPr>
          <w:i/>
          <w:spacing w:val="-4"/>
          <w:lang w:val="sq-AL"/>
        </w:rPr>
        <w:t>shih vendimet nr. 27, datë 24.6.2013 dhe nr. 7, datë 9.3.2009 të Gjykatës Kushtetuese</w:t>
      </w:r>
      <w:r w:rsidRPr="00B862A0">
        <w:rPr>
          <w:spacing w:val="-4"/>
          <w:lang w:val="sq-AL"/>
        </w:rPr>
        <w:t>). Gjykata është shprehur se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w:t>
      </w:r>
      <w:r w:rsidRPr="00B862A0">
        <w:rPr>
          <w:i/>
          <w:spacing w:val="-4"/>
          <w:lang w:val="sq-AL"/>
        </w:rPr>
        <w:t>shih vendimin nr. 32, datë 25.5.2015 të Gjykatës Kushtetuese</w:t>
      </w:r>
      <w:r w:rsidRPr="00B862A0">
        <w:rPr>
          <w:spacing w:val="-4"/>
          <w:lang w:val="sq-AL"/>
        </w:rPr>
        <w:t>).</w:t>
      </w:r>
    </w:p>
    <w:p w:rsidR="002D7094" w:rsidRPr="00B862A0" w:rsidRDefault="002D7094" w:rsidP="002D7094">
      <w:pPr>
        <w:pStyle w:val="Paragrafi"/>
        <w:rPr>
          <w:spacing w:val="-4"/>
          <w:lang w:val="sq-AL"/>
        </w:rPr>
      </w:pPr>
      <w:r w:rsidRPr="00B862A0">
        <w:rPr>
          <w:spacing w:val="-4"/>
          <w:lang w:val="sq-AL"/>
        </w:rPr>
        <w:t xml:space="preserve">5. Gjithashtu, Gjykata ka vlerësuar se Gjykata e Lartë nuk mund të konkludojë </w:t>
      </w:r>
      <w:r w:rsidRPr="00B862A0">
        <w:rPr>
          <w:i/>
          <w:spacing w:val="-4"/>
          <w:lang w:val="sq-AL"/>
        </w:rPr>
        <w:t>a priori</w:t>
      </w:r>
      <w:r w:rsidRPr="00B862A0">
        <w:rPr>
          <w:spacing w:val="-4"/>
          <w:lang w:val="sq-AL"/>
        </w:rPr>
        <w:t xml:space="preserve"> nëse është vërtetuar apo jo një fakt i caktuar. Në rast se Gjykata e Lartë vlerëson se provat e administruara nuk janë të mjaftueshme për arritjen e një konkluzioni apo se nevojitet kryerja e vlerësimeve të mëtejshme të tyre, </w:t>
      </w:r>
      <w:r w:rsidRPr="00B862A0">
        <w:rPr>
          <w:spacing w:val="-4"/>
          <w:lang w:val="sq-AL"/>
        </w:rPr>
        <w:lastRenderedPageBreak/>
        <w:t>ajo nuk mund të marrë kompetencat e gjykatës të faktit, pasi një veprim i tillë bie ndesh me parimin e gjykatës së caktuar me ligj, por duhet ta kthejë çështjen për rishqyrtim, me qëllim plotësimin e këtyre të metave të vendimit. Nëse Kolegji i Gjykatës së Lartë ka arritur në një përfundim të ndryshëm nga gjykatat e faktit, atëherë ai duhet t’i prishë të dyja vendimet gjyqësore dhe ta kthejë çështjen për rigjykim (</w:t>
      </w:r>
      <w:r w:rsidRPr="00B862A0">
        <w:rPr>
          <w:i/>
          <w:spacing w:val="-4"/>
          <w:lang w:val="sq-AL"/>
        </w:rPr>
        <w:t>shih vendimin nr. 32, datë 25.5.2015 të Gjykatës Kushtetuese</w:t>
      </w:r>
      <w:r w:rsidRPr="00B862A0">
        <w:rPr>
          <w:spacing w:val="-4"/>
          <w:lang w:val="sq-AL"/>
        </w:rPr>
        <w:t xml:space="preserve">). </w:t>
      </w:r>
    </w:p>
    <w:p w:rsidR="002D7094" w:rsidRPr="00B862A0" w:rsidRDefault="002D7094" w:rsidP="002D7094">
      <w:pPr>
        <w:pStyle w:val="Paragrafi"/>
        <w:rPr>
          <w:spacing w:val="-4"/>
          <w:lang w:val="sq-AL"/>
        </w:rPr>
      </w:pPr>
      <w:r w:rsidRPr="00B862A0">
        <w:rPr>
          <w:spacing w:val="-4"/>
          <w:lang w:val="sq-AL"/>
        </w:rPr>
        <w:t>6. Në çështjen në shqyrtim shumica ka arritur në përfundimin se arsyetimi i Kolegjit Civil se kërkuesja nuk ka kërkuar kthimin e palëve në gjendjen e mëparshme dhe se gjykatat e faktit kanë vepruar në kundërshtim me objektin e kërkuar nga palët, nuk është i bazuar (shih paragrafin nr. 18 të vendimit). Pajtohem me vendimin e shumicës se për këtë arsye Kolegji Civil i Gjykatës së Lartë nuk ka vepruar brenda kompetencave të tij ligjore, duke cenuar parimin e gjykimit nga një gjykatë e caktuar me ligj, por në ndryshim nga shumica, mendoj se ky parim duhej trajtuar edhe më gjerë. Në rastin në fjalë, Kolegji Civil i Gjykatës së Lartë, në dhomë këshillimi, ka vendosur “</w:t>
      </w:r>
      <w:r w:rsidRPr="00B862A0">
        <w:rPr>
          <w:i/>
          <w:spacing w:val="-4"/>
          <w:lang w:val="sq-AL"/>
        </w:rPr>
        <w:t>Prishjen e vendimit nr. 10-2009-1094 (527), datë 22.12.2009 të Gjykatës së Apelit Durrës dhe të vendimit nr. 965, datë 31.3.2008 të Gjykatës së Rrethit Gjyqësor Durrës dhe pushimin e gjykimit të çështjes</w:t>
      </w:r>
      <w:r w:rsidRPr="00B862A0">
        <w:rPr>
          <w:spacing w:val="-4"/>
          <w:lang w:val="sq-AL"/>
        </w:rPr>
        <w:t>”.</w:t>
      </w:r>
    </w:p>
    <w:p w:rsidR="002D7094" w:rsidRPr="00B862A0" w:rsidRDefault="002D7094" w:rsidP="002D7094">
      <w:pPr>
        <w:pStyle w:val="Paragrafi"/>
        <w:rPr>
          <w:spacing w:val="-4"/>
          <w:lang w:val="sq-AL"/>
        </w:rPr>
      </w:pPr>
      <w:r w:rsidRPr="00B862A0">
        <w:rPr>
          <w:spacing w:val="-4"/>
          <w:lang w:val="sq-AL"/>
        </w:rPr>
        <w:t xml:space="preserve">7. Kompetencat e Kolegjit Civil të Gjykatës së Lartë janë të parashikuara në nenin 485 të KPC-së. Sipas përcaktimeve të këtij neni, një prej mënyrave të përfundimit të çështjes, pas shqyrtimit të saj nga Kolegji Civil, është prishja e vendimeve dhe pushimi i gjykimit të çështjes (neni 485/e i KPC-së). Por edhe pse </w:t>
      </w:r>
      <w:r w:rsidRPr="00B862A0">
        <w:rPr>
          <w:i/>
          <w:spacing w:val="-4"/>
          <w:lang w:val="sq-AL"/>
        </w:rPr>
        <w:t>pushimi i gjykimit të çështjes</w:t>
      </w:r>
      <w:r w:rsidRPr="00B862A0">
        <w:rPr>
          <w:spacing w:val="-4"/>
          <w:lang w:val="sq-AL"/>
        </w:rPr>
        <w:t xml:space="preserve"> hyn në kompetencat e Kolegjit Civil të Gjykatës së Lartë, jam i mendimit se neni 485/e i KPC-së është një dispozitë referuese. Në KPC rastet kur vendoset pushimi i gjykimit të çështjes nga gjykata parashikohen në nenin 299 të tij</w:t>
      </w:r>
      <w:r w:rsidRPr="00B862A0">
        <w:rPr>
          <w:spacing w:val="-4"/>
          <w:vertAlign w:val="superscript"/>
          <w:lang w:val="sq-AL"/>
        </w:rPr>
        <w:footnoteReference w:id="1"/>
      </w:r>
      <w:r w:rsidRPr="00B862A0">
        <w:rPr>
          <w:spacing w:val="-4"/>
          <w:lang w:val="sq-AL"/>
        </w:rPr>
        <w:t xml:space="preserve">. Pikërisht këtyre rasteve duhet t’u referohen gjykatat kur çmojnë se duhet vendosur pushimi i gjykimit. </w:t>
      </w:r>
    </w:p>
    <w:p w:rsidR="002D7094" w:rsidRPr="00B862A0" w:rsidRDefault="002D7094" w:rsidP="002D7094">
      <w:pPr>
        <w:pStyle w:val="Paragrafi"/>
        <w:rPr>
          <w:spacing w:val="-4"/>
          <w:lang w:val="sq-AL"/>
        </w:rPr>
      </w:pPr>
      <w:r w:rsidRPr="00B862A0">
        <w:rPr>
          <w:spacing w:val="-4"/>
          <w:lang w:val="sq-AL"/>
        </w:rPr>
        <w:t>8. Nga interpretimi literal i nenit 299 të KPC-së vihet re se ligjvënësi nuk i ka përcaktuar në mënyrë shteruese rastet e pushimit të çështjes. Konkretisht, neni 299/c i KPC-së, si një ndër këto raste, citon kur “</w:t>
      </w:r>
      <w:r w:rsidRPr="00B862A0">
        <w:rPr>
          <w:i/>
          <w:spacing w:val="-4"/>
          <w:lang w:val="sq-AL"/>
        </w:rPr>
        <w:t>pushimi i gjykimit parashikohet shprehimisht në ligj</w:t>
      </w:r>
      <w:r w:rsidRPr="00B862A0">
        <w:rPr>
          <w:spacing w:val="-4"/>
          <w:lang w:val="sq-AL"/>
        </w:rPr>
        <w:t xml:space="preserve">”, duke i lënë mundësi vetes që të parashikojë me ligj edhe raste të tjera kur shihet e nevojshme. Përveç nenit 468 të këtij Kodi (sipas të cilit Gjykata e apelit kur konstaton se çështja nuk hyn në juridiksionin gjyqësor, si dhe kur padia nuk mund të ngrihej ose gjykimi nuk mund të vazhdonte, prish vendimin edhe vendos vetë pushimin e gjykimit të çështjes), KPC-ja nuk parashikon asnjë rast tjetër që të justifikojë pushimin e gjykimit të çështjes nga gjykata, cilado qoftë ajo. </w:t>
      </w:r>
    </w:p>
    <w:p w:rsidR="002D7094" w:rsidRPr="00B862A0" w:rsidRDefault="002D7094" w:rsidP="002D7094">
      <w:pPr>
        <w:pStyle w:val="Paragrafi"/>
        <w:rPr>
          <w:spacing w:val="-4"/>
          <w:lang w:val="sq-AL"/>
        </w:rPr>
      </w:pPr>
      <w:r w:rsidRPr="00B862A0">
        <w:rPr>
          <w:spacing w:val="-4"/>
          <w:lang w:val="sq-AL"/>
        </w:rPr>
        <w:t xml:space="preserve">9. Nga sa më lart, sipas pikëpamjes sime e drejta që i njihet Gjykatës së Lartë në nenin 485/e të KPC-së për të vendosur prishjen e vendimeve dhe pushimin e gjykimit të çështjes nuk është e pakufizuar. Kjo gjykatë është e detyruar t’u përmbahet kufizimeve të vendosura nga ligjvënësi në nenin 299 të KPC-së. Çdo qëndrim i kundërt është arbitrar dhe cenon parimin e gjykatës së caktuar me ligj. Përkundrazi, në rastin në shqyrtim, Gjykata e Lartë edhe pse ka vendosur pushimin e gjykimit, nuk i është referuar asnjë prej rasteve të parashikuara në nenin 299 të KPC-së apo ndonjë rasti tjetër të parashikuara shprehimisht në KPC apo ligj. </w:t>
      </w:r>
    </w:p>
    <w:p w:rsidR="002D7094" w:rsidRPr="00B862A0" w:rsidRDefault="002D7094" w:rsidP="002D7094">
      <w:pPr>
        <w:pStyle w:val="Paragrafi"/>
        <w:rPr>
          <w:spacing w:val="-4"/>
          <w:lang w:val="sq-AL"/>
        </w:rPr>
      </w:pPr>
      <w:r w:rsidRPr="00B862A0">
        <w:rPr>
          <w:spacing w:val="-4"/>
          <w:lang w:val="sq-AL"/>
        </w:rPr>
        <w:t>10. Edhe Kodi i Procedurës Civile italian përmban një parashikim të ngjashëm. Instituti i pushimit të gjykimit përcaktohet fillimisht nga nenet 306 dhe 307 të tij. Ndërsa për gjykimin në Gjykatën e Kasacionit, nenet 383 dhe 384 të KPC-së, që parashikojnë mënyrën e përfundimit të gjykimit pas shqyrtimit të çështjes, nuk citojnë pushimin e gjykimit. I vetmi parashikim gjendet në nenin 391 të KPC-së, sipas të cilit Gjykata e Kasacionit mund të vendosë pushimin e gjykimit “</w:t>
      </w:r>
      <w:r w:rsidRPr="00B862A0">
        <w:rPr>
          <w:i/>
          <w:spacing w:val="-4"/>
          <w:lang w:val="sq-AL"/>
        </w:rPr>
        <w:t>në rastet e parashikuara në ligj”</w:t>
      </w:r>
      <w:r w:rsidRPr="00B862A0">
        <w:rPr>
          <w:spacing w:val="-4"/>
          <w:lang w:val="sq-AL"/>
        </w:rPr>
        <w:t xml:space="preserve">. </w:t>
      </w:r>
    </w:p>
    <w:p w:rsidR="002D7094" w:rsidRPr="001E445E" w:rsidRDefault="002D7094" w:rsidP="002D7094">
      <w:pPr>
        <w:pStyle w:val="Paragrafi"/>
        <w:rPr>
          <w:lang w:val="sq-AL"/>
        </w:rPr>
      </w:pPr>
      <w:r w:rsidRPr="00B862A0">
        <w:rPr>
          <w:spacing w:val="-4"/>
          <w:lang w:val="sq-AL"/>
        </w:rPr>
        <w:t>11. Si përfundim, mendoj se vendimi i Kolegjit Civil i Gjykatës së Lartë përveç parimeve të evidentuara nga shumica i ka cenuar</w:t>
      </w:r>
      <w:r w:rsidRPr="001E445E">
        <w:rPr>
          <w:lang w:val="sq-AL"/>
        </w:rPr>
        <w:t xml:space="preserve"> kërkueses të drejtën për një proces të rregullt ligjor si pasojë e </w:t>
      </w:r>
      <w:r w:rsidRPr="001E445E">
        <w:rPr>
          <w:lang w:val="sq-AL"/>
        </w:rPr>
        <w:lastRenderedPageBreak/>
        <w:t>mosrespektimit të parimit të gjykatës së caktuar me ligj për shkak të pushimit të çështjes në shkelje të nenit 299 të KPC-së.</w:t>
      </w:r>
      <w:r>
        <w:rPr>
          <w:lang w:val="sq-AL"/>
        </w:rPr>
        <w:t xml:space="preserve"> </w:t>
      </w:r>
    </w:p>
    <w:p w:rsidR="002D7094" w:rsidRPr="001E445E" w:rsidRDefault="002D7094" w:rsidP="002D7094">
      <w:pPr>
        <w:pStyle w:val="Hapesira7"/>
        <w:rPr>
          <w:lang w:val="sq-AL"/>
        </w:rPr>
      </w:pPr>
    </w:p>
    <w:p w:rsidR="002D7094" w:rsidRDefault="002D7094" w:rsidP="002D7094">
      <w:pPr>
        <w:pStyle w:val="Paragrafi"/>
        <w:rPr>
          <w:lang w:val="sq-AL"/>
        </w:rPr>
      </w:pPr>
      <w:r>
        <w:rPr>
          <w:lang w:val="sq-AL"/>
        </w:rPr>
        <w:t xml:space="preserve"> </w:t>
      </w:r>
      <w:r w:rsidRPr="001E445E">
        <w:rPr>
          <w:lang w:val="sq-AL"/>
        </w:rPr>
        <w:t xml:space="preserve">Anëtar: Vladimir </w:t>
      </w:r>
      <w:r>
        <w:rPr>
          <w:lang w:val="sq-AL"/>
        </w:rPr>
        <w:t>Kristo</w:t>
      </w:r>
    </w:p>
    <w:p w:rsidR="00C038B6" w:rsidRDefault="004764B8"/>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094" w:rsidRDefault="002D7094" w:rsidP="002D7094">
      <w:pPr>
        <w:spacing w:after="0" w:line="240" w:lineRule="auto"/>
      </w:pPr>
      <w:r>
        <w:separator/>
      </w:r>
    </w:p>
  </w:endnote>
  <w:endnote w:type="continuationSeparator" w:id="0">
    <w:p w:rsidR="002D7094" w:rsidRDefault="002D7094" w:rsidP="002D7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094" w:rsidRDefault="002D7094" w:rsidP="002D7094">
      <w:pPr>
        <w:spacing w:after="0" w:line="240" w:lineRule="auto"/>
      </w:pPr>
      <w:r>
        <w:separator/>
      </w:r>
    </w:p>
  </w:footnote>
  <w:footnote w:type="continuationSeparator" w:id="0">
    <w:p w:rsidR="002D7094" w:rsidRDefault="002D7094" w:rsidP="002D7094">
      <w:pPr>
        <w:spacing w:after="0" w:line="240" w:lineRule="auto"/>
      </w:pPr>
      <w:r>
        <w:continuationSeparator/>
      </w:r>
    </w:p>
  </w:footnote>
  <w:footnote w:id="1">
    <w:p w:rsidR="002D7094" w:rsidRPr="00C352E3" w:rsidRDefault="002D7094" w:rsidP="002D7094">
      <w:pPr>
        <w:autoSpaceDE w:val="0"/>
        <w:autoSpaceDN w:val="0"/>
        <w:adjustRightInd w:val="0"/>
        <w:spacing w:after="0" w:line="240" w:lineRule="auto"/>
        <w:ind w:firstLine="0"/>
        <w:rPr>
          <w:rFonts w:ascii="Garamond" w:hAnsi="Garamond"/>
          <w:sz w:val="20"/>
          <w:szCs w:val="20"/>
          <w:lang w:val="sq-AL"/>
        </w:rPr>
      </w:pPr>
      <w:r w:rsidRPr="00C352E3">
        <w:rPr>
          <w:rStyle w:val="FootnoteReference"/>
          <w:rFonts w:ascii="Garamond" w:hAnsi="Garamond"/>
          <w:sz w:val="20"/>
          <w:szCs w:val="20"/>
          <w:lang w:val="sq-AL"/>
        </w:rPr>
        <w:footnoteRef/>
      </w:r>
      <w:r w:rsidRPr="00C352E3">
        <w:rPr>
          <w:rFonts w:ascii="Garamond" w:hAnsi="Garamond"/>
          <w:sz w:val="20"/>
          <w:szCs w:val="20"/>
          <w:lang w:val="sq-AL"/>
        </w:rPr>
        <w:t xml:space="preserve"> Gjykata vendos pushimin e gjykimit kur:</w:t>
      </w:r>
    </w:p>
    <w:p w:rsidR="002D7094" w:rsidRPr="00C352E3" w:rsidRDefault="002D7094" w:rsidP="002D7094">
      <w:pPr>
        <w:autoSpaceDE w:val="0"/>
        <w:autoSpaceDN w:val="0"/>
        <w:adjustRightInd w:val="0"/>
        <w:spacing w:after="0" w:line="240" w:lineRule="auto"/>
        <w:ind w:firstLine="0"/>
        <w:rPr>
          <w:rFonts w:ascii="Garamond" w:hAnsi="Garamond"/>
          <w:sz w:val="20"/>
          <w:szCs w:val="20"/>
          <w:lang w:val="sq-AL"/>
        </w:rPr>
      </w:pPr>
      <w:r w:rsidRPr="00C352E3">
        <w:rPr>
          <w:rFonts w:ascii="Garamond" w:hAnsi="Garamond"/>
          <w:sz w:val="20"/>
          <w:szCs w:val="20"/>
          <w:lang w:val="sq-AL"/>
        </w:rPr>
        <w:t>a) asnjëra prej palëve nuk kërkon brenda gjashtë muajve rifillimin e gjykimit të pezulluar me kërkesën e tyre, kur gjykata nuk ka caktuar në vendimin e pezullimit një seancë të ardhshme;</w:t>
      </w:r>
    </w:p>
    <w:p w:rsidR="002D7094" w:rsidRPr="00C352E3" w:rsidRDefault="002D7094" w:rsidP="002D7094">
      <w:pPr>
        <w:autoSpaceDE w:val="0"/>
        <w:autoSpaceDN w:val="0"/>
        <w:adjustRightInd w:val="0"/>
        <w:spacing w:after="0" w:line="240" w:lineRule="auto"/>
        <w:ind w:firstLine="0"/>
        <w:rPr>
          <w:rFonts w:ascii="Garamond" w:hAnsi="Garamond"/>
          <w:sz w:val="20"/>
          <w:szCs w:val="20"/>
          <w:lang w:val="sq-AL"/>
        </w:rPr>
      </w:pPr>
      <w:r w:rsidRPr="00C352E3">
        <w:rPr>
          <w:rFonts w:ascii="Garamond" w:hAnsi="Garamond"/>
          <w:sz w:val="20"/>
          <w:szCs w:val="20"/>
          <w:lang w:val="sq-AL"/>
        </w:rPr>
        <w:t>b) paditësi heq dorë nga gjykimi i padisë;</w:t>
      </w:r>
    </w:p>
    <w:p w:rsidR="002D7094" w:rsidRPr="00232412" w:rsidRDefault="002D7094" w:rsidP="002D7094">
      <w:pPr>
        <w:pStyle w:val="FootnoteText"/>
        <w:ind w:firstLine="0"/>
        <w:rPr>
          <w:rFonts w:ascii="Garamond" w:hAnsi="Garamond"/>
        </w:rPr>
      </w:pPr>
      <w:r w:rsidRPr="00C352E3">
        <w:rPr>
          <w:rFonts w:ascii="Garamond" w:eastAsia="Calibri" w:hAnsi="Garamond"/>
        </w:rPr>
        <w:t>c) pushimi i gjykimit parashikohet shprehimisht në ligj.</w:t>
      </w:r>
      <w:r w:rsidRPr="00232412">
        <w:rPr>
          <w:rFonts w:ascii="Garamond" w:eastAsia="Calibri" w:hAnsi="Garamond"/>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094"/>
    <w:rsid w:val="002D1BDF"/>
    <w:rsid w:val="002D7094"/>
    <w:rsid w:val="00462D66"/>
    <w:rsid w:val="00476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09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709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D709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D7094"/>
    <w:rPr>
      <w:rFonts w:ascii="Garamond" w:eastAsia="MS Mincho" w:hAnsi="Garamond" w:cs="CG Times"/>
      <w:b/>
      <w:bCs/>
      <w:sz w:val="24"/>
      <w:lang w:val="en-GB"/>
    </w:rPr>
  </w:style>
  <w:style w:type="paragraph" w:customStyle="1" w:styleId="Paragrafi">
    <w:name w:val="Paragrafi"/>
    <w:link w:val="ParagrafiChar"/>
    <w:rsid w:val="002D709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7094"/>
    <w:rPr>
      <w:rFonts w:ascii="Garamond" w:eastAsia="MS Mincho" w:hAnsi="Garamond" w:cs="CG Times"/>
      <w:sz w:val="24"/>
    </w:rPr>
  </w:style>
  <w:style w:type="paragraph" w:customStyle="1" w:styleId="Titulli">
    <w:name w:val="Titulli"/>
    <w:next w:val="Normal"/>
    <w:link w:val="TitulliChar"/>
    <w:rsid w:val="002D709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D7094"/>
    <w:rPr>
      <w:rFonts w:ascii="Garamond" w:eastAsia="MS Mincho" w:hAnsi="Garamond" w:cs="CG Times"/>
      <w:b/>
      <w:bCs/>
      <w:caps/>
      <w:sz w:val="24"/>
      <w:lang w:val="en-GB"/>
    </w:rPr>
  </w:style>
  <w:style w:type="character" w:customStyle="1" w:styleId="AktiChar">
    <w:name w:val="Akti Char"/>
    <w:basedOn w:val="DefaultParagraphFont"/>
    <w:link w:val="Akti"/>
    <w:rsid w:val="002D7094"/>
    <w:rPr>
      <w:rFonts w:ascii="Garamond" w:eastAsia="MS Mincho" w:hAnsi="Garamond" w:cs="CG Times"/>
      <w:b/>
      <w:bCs/>
      <w:caps/>
      <w:color w:val="000000"/>
      <w:sz w:val="24"/>
      <w:lang w:val="en-GB"/>
    </w:rPr>
  </w:style>
  <w:style w:type="paragraph" w:customStyle="1" w:styleId="Vendosi">
    <w:name w:val="Vendosi"/>
    <w:basedOn w:val="Normal"/>
    <w:qFormat/>
    <w:rsid w:val="002D7094"/>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2D709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D709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D709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2D709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09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709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D709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D7094"/>
    <w:rPr>
      <w:rFonts w:ascii="Garamond" w:eastAsia="MS Mincho" w:hAnsi="Garamond" w:cs="CG Times"/>
      <w:b/>
      <w:bCs/>
      <w:sz w:val="24"/>
      <w:lang w:val="en-GB"/>
    </w:rPr>
  </w:style>
  <w:style w:type="paragraph" w:customStyle="1" w:styleId="Paragrafi">
    <w:name w:val="Paragrafi"/>
    <w:link w:val="ParagrafiChar"/>
    <w:rsid w:val="002D709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7094"/>
    <w:rPr>
      <w:rFonts w:ascii="Garamond" w:eastAsia="MS Mincho" w:hAnsi="Garamond" w:cs="CG Times"/>
      <w:sz w:val="24"/>
    </w:rPr>
  </w:style>
  <w:style w:type="paragraph" w:customStyle="1" w:styleId="Titulli">
    <w:name w:val="Titulli"/>
    <w:next w:val="Normal"/>
    <w:link w:val="TitulliChar"/>
    <w:rsid w:val="002D709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D7094"/>
    <w:rPr>
      <w:rFonts w:ascii="Garamond" w:eastAsia="MS Mincho" w:hAnsi="Garamond" w:cs="CG Times"/>
      <w:b/>
      <w:bCs/>
      <w:caps/>
      <w:sz w:val="24"/>
      <w:lang w:val="en-GB"/>
    </w:rPr>
  </w:style>
  <w:style w:type="character" w:customStyle="1" w:styleId="AktiChar">
    <w:name w:val="Akti Char"/>
    <w:basedOn w:val="DefaultParagraphFont"/>
    <w:link w:val="Akti"/>
    <w:rsid w:val="002D7094"/>
    <w:rPr>
      <w:rFonts w:ascii="Garamond" w:eastAsia="MS Mincho" w:hAnsi="Garamond" w:cs="CG Times"/>
      <w:b/>
      <w:bCs/>
      <w:caps/>
      <w:color w:val="000000"/>
      <w:sz w:val="24"/>
      <w:lang w:val="en-GB"/>
    </w:rPr>
  </w:style>
  <w:style w:type="paragraph" w:customStyle="1" w:styleId="Vendosi">
    <w:name w:val="Vendosi"/>
    <w:basedOn w:val="Normal"/>
    <w:qFormat/>
    <w:rsid w:val="002D7094"/>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2D709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D709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D709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2D70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4297</Words>
  <Characters>24493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2016-02-09T09:42:00Z</dcterms:created>
  <dcterms:modified xsi:type="dcterms:W3CDTF">2018-01-15T13:34:00Z</dcterms:modified>
</cp:coreProperties>
</file>