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9A0" w:rsidRPr="00CA0597" w:rsidRDefault="002E69A0" w:rsidP="002E69A0">
      <w:pPr>
        <w:pStyle w:val="Paragraf02"/>
        <w:jc w:val="center"/>
        <w:rPr>
          <w:b/>
          <w:spacing w:val="-4"/>
          <w:lang w:val="sq-AL"/>
        </w:rPr>
      </w:pPr>
      <w:r w:rsidRPr="00CA0597">
        <w:rPr>
          <w:b/>
          <w:spacing w:val="-4"/>
          <w:lang w:val="sq-AL"/>
        </w:rPr>
        <w:t>VENDIM</w:t>
      </w:r>
    </w:p>
    <w:p w:rsidR="002E69A0" w:rsidRPr="00CA0597" w:rsidRDefault="002E69A0" w:rsidP="002E69A0">
      <w:pPr>
        <w:pStyle w:val="Paragraf02"/>
        <w:jc w:val="center"/>
        <w:rPr>
          <w:b/>
          <w:spacing w:val="-4"/>
          <w:lang w:val="sq-AL"/>
        </w:rPr>
      </w:pPr>
      <w:r w:rsidRPr="00CA0597">
        <w:rPr>
          <w:b/>
          <w:spacing w:val="-4"/>
          <w:lang w:val="sq-AL"/>
        </w:rPr>
        <w:t>Nr. 36, datë 27.6.2016</w:t>
      </w:r>
    </w:p>
    <w:p w:rsidR="002E69A0" w:rsidRPr="00CA0597" w:rsidRDefault="002E69A0" w:rsidP="002E69A0">
      <w:pPr>
        <w:pStyle w:val="Hapesira7"/>
        <w:rPr>
          <w:lang w:val="sq-AL"/>
        </w:rPr>
      </w:pPr>
    </w:p>
    <w:p w:rsidR="002E69A0" w:rsidRPr="00CA0597" w:rsidRDefault="002E69A0" w:rsidP="002E69A0">
      <w:pPr>
        <w:pStyle w:val="Paragraf02"/>
        <w:jc w:val="center"/>
        <w:rPr>
          <w:b/>
          <w:spacing w:val="-4"/>
          <w:lang w:val="sq-AL"/>
        </w:rPr>
      </w:pPr>
      <w:r w:rsidRPr="00CA0597">
        <w:rPr>
          <w:b/>
          <w:spacing w:val="-4"/>
          <w:lang w:val="sq-AL"/>
        </w:rPr>
        <w:t>NË EMËR TË REPUBLIKËS SË SHQIPËRISË</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Gjykata Kushtetuese e Republikës së Shqipërisë, e përbërë nga:</w:t>
      </w:r>
    </w:p>
    <w:p w:rsidR="002E69A0" w:rsidRPr="00CA0597" w:rsidRDefault="002E69A0" w:rsidP="002E69A0">
      <w:pPr>
        <w:pStyle w:val="Paragraf02"/>
        <w:tabs>
          <w:tab w:val="clear" w:pos="6575"/>
        </w:tabs>
        <w:ind w:firstLine="0"/>
        <w:rPr>
          <w:spacing w:val="-4"/>
          <w:lang w:val="sq-AL"/>
        </w:rPr>
      </w:pPr>
      <w:r w:rsidRPr="00CA0597">
        <w:rPr>
          <w:spacing w:val="-4"/>
          <w:lang w:val="sq-AL"/>
        </w:rPr>
        <w:t>Bashkim Dedja</w:t>
      </w:r>
      <w:r w:rsidRPr="00CA0597">
        <w:rPr>
          <w:spacing w:val="-4"/>
          <w:lang w:val="sq-AL"/>
        </w:rPr>
        <w:tab/>
      </w:r>
      <w:r w:rsidRPr="00CA0597">
        <w:rPr>
          <w:spacing w:val="-4"/>
          <w:lang w:val="sq-AL"/>
        </w:rPr>
        <w:tab/>
        <w:t>kryetar i Gjykatës Kushtetuese</w:t>
      </w:r>
    </w:p>
    <w:p w:rsidR="002E69A0" w:rsidRPr="00CA0597" w:rsidRDefault="002E69A0" w:rsidP="002E69A0">
      <w:pPr>
        <w:pStyle w:val="Paragraf02"/>
        <w:tabs>
          <w:tab w:val="clear" w:pos="6575"/>
        </w:tabs>
        <w:ind w:firstLine="0"/>
        <w:rPr>
          <w:spacing w:val="-4"/>
          <w:lang w:val="sq-AL"/>
        </w:rPr>
      </w:pPr>
      <w:r w:rsidRPr="00CA0597">
        <w:rPr>
          <w:spacing w:val="-4"/>
          <w:lang w:val="sq-AL"/>
        </w:rPr>
        <w:t xml:space="preserve">Vladimir Kristo </w:t>
      </w:r>
      <w:r w:rsidRPr="00CA0597">
        <w:rPr>
          <w:spacing w:val="-4"/>
          <w:lang w:val="sq-AL"/>
        </w:rPr>
        <w:tab/>
      </w:r>
      <w:r w:rsidRPr="00CA0597">
        <w:rPr>
          <w:spacing w:val="-4"/>
          <w:lang w:val="sq-AL"/>
        </w:rPr>
        <w:tab/>
        <w:t xml:space="preserve">anëtar i </w:t>
      </w:r>
      <w:r w:rsidRPr="00CA0597">
        <w:rPr>
          <w:spacing w:val="-4"/>
          <w:lang w:val="sq-AL"/>
        </w:rPr>
        <w:tab/>
      </w:r>
      <w:r w:rsidRPr="00CA0597">
        <w:rPr>
          <w:spacing w:val="-4"/>
          <w:lang w:val="sq-AL"/>
        </w:rPr>
        <w:tab/>
        <w:t>“</w:t>
      </w:r>
      <w:r w:rsidRPr="00CA0597">
        <w:rPr>
          <w:spacing w:val="-4"/>
          <w:lang w:val="sq-AL"/>
        </w:rPr>
        <w:tab/>
      </w:r>
      <w:r w:rsidRPr="00CA0597">
        <w:rPr>
          <w:spacing w:val="-4"/>
          <w:lang w:val="sq-AL"/>
        </w:rPr>
        <w:tab/>
        <w:t>“</w:t>
      </w:r>
    </w:p>
    <w:p w:rsidR="002E69A0" w:rsidRPr="00CA0597" w:rsidRDefault="002E69A0" w:rsidP="002E69A0">
      <w:pPr>
        <w:pStyle w:val="Paragraf02"/>
        <w:tabs>
          <w:tab w:val="clear" w:pos="6575"/>
        </w:tabs>
        <w:ind w:firstLine="0"/>
        <w:rPr>
          <w:spacing w:val="-4"/>
          <w:lang w:val="sq-AL"/>
        </w:rPr>
      </w:pPr>
      <w:r w:rsidRPr="00CA0597">
        <w:rPr>
          <w:spacing w:val="-4"/>
          <w:lang w:val="sq-AL"/>
        </w:rPr>
        <w:t>Sokol Berberi</w:t>
      </w:r>
      <w:r w:rsidRPr="00CA0597">
        <w:rPr>
          <w:spacing w:val="-4"/>
          <w:lang w:val="sq-AL"/>
        </w:rPr>
        <w:tab/>
      </w:r>
      <w:r w:rsidRPr="00CA0597">
        <w:rPr>
          <w:spacing w:val="-4"/>
          <w:lang w:val="sq-AL"/>
        </w:rPr>
        <w:tab/>
      </w:r>
      <w:r w:rsidRPr="00CA0597">
        <w:rPr>
          <w:spacing w:val="-4"/>
          <w:lang w:val="sq-AL"/>
        </w:rPr>
        <w:tab/>
        <w:t>anëtar i</w:t>
      </w:r>
      <w:r w:rsidRPr="00CA0597">
        <w:rPr>
          <w:spacing w:val="-4"/>
          <w:lang w:val="sq-AL"/>
        </w:rPr>
        <w:tab/>
      </w:r>
      <w:r>
        <w:rPr>
          <w:spacing w:val="-4"/>
          <w:lang w:val="sq-AL"/>
        </w:rPr>
        <w:tab/>
      </w:r>
      <w:r w:rsidR="00C51FEC">
        <w:rPr>
          <w:spacing w:val="-4"/>
          <w:lang w:val="sq-AL"/>
        </w:rPr>
        <w:t>“</w:t>
      </w:r>
      <w:r w:rsidRPr="00CA0597">
        <w:rPr>
          <w:spacing w:val="-4"/>
          <w:lang w:val="sq-AL"/>
        </w:rPr>
        <w:tab/>
      </w:r>
      <w:r w:rsidR="00C51FEC">
        <w:rPr>
          <w:spacing w:val="-4"/>
          <w:lang w:val="sq-AL"/>
        </w:rPr>
        <w:tab/>
      </w:r>
      <w:r w:rsidRPr="00CA0597">
        <w:rPr>
          <w:spacing w:val="-4"/>
          <w:lang w:val="sq-AL"/>
        </w:rPr>
        <w:t>“</w:t>
      </w:r>
    </w:p>
    <w:p w:rsidR="002E69A0" w:rsidRPr="00CA0597" w:rsidRDefault="002E69A0" w:rsidP="002E69A0">
      <w:pPr>
        <w:pStyle w:val="Paragraf02"/>
        <w:tabs>
          <w:tab w:val="clear" w:pos="6575"/>
        </w:tabs>
        <w:ind w:firstLine="0"/>
        <w:rPr>
          <w:spacing w:val="-4"/>
          <w:lang w:val="sq-AL"/>
        </w:rPr>
      </w:pPr>
      <w:r w:rsidRPr="00CA0597">
        <w:rPr>
          <w:spacing w:val="-4"/>
          <w:lang w:val="sq-AL"/>
        </w:rPr>
        <w:t>Vitore Tusha</w:t>
      </w:r>
      <w:r w:rsidRPr="00CA0597">
        <w:rPr>
          <w:spacing w:val="-4"/>
          <w:lang w:val="sq-AL"/>
        </w:rPr>
        <w:tab/>
      </w:r>
      <w:r w:rsidR="00C51FEC">
        <w:rPr>
          <w:spacing w:val="-4"/>
          <w:lang w:val="sq-AL"/>
        </w:rPr>
        <w:tab/>
      </w:r>
      <w:r w:rsidR="00C51FEC">
        <w:rPr>
          <w:spacing w:val="-4"/>
          <w:lang w:val="sq-AL"/>
        </w:rPr>
        <w:tab/>
        <w:t xml:space="preserve">anëtare e </w:t>
      </w:r>
      <w:r w:rsidR="00C51FEC">
        <w:rPr>
          <w:spacing w:val="-4"/>
          <w:lang w:val="sq-AL"/>
        </w:rPr>
        <w:tab/>
      </w:r>
      <w:r w:rsidRPr="00CA0597">
        <w:rPr>
          <w:spacing w:val="-4"/>
          <w:lang w:val="sq-AL"/>
        </w:rPr>
        <w:t>“</w:t>
      </w:r>
      <w:r w:rsidRPr="00CA0597">
        <w:rPr>
          <w:spacing w:val="-4"/>
          <w:lang w:val="sq-AL"/>
        </w:rPr>
        <w:tab/>
      </w:r>
      <w:r w:rsidRPr="00CA0597">
        <w:rPr>
          <w:spacing w:val="-4"/>
          <w:lang w:val="sq-AL"/>
        </w:rPr>
        <w:tab/>
        <w:t>“</w:t>
      </w:r>
    </w:p>
    <w:p w:rsidR="002E69A0" w:rsidRPr="00CA0597" w:rsidRDefault="002E69A0" w:rsidP="002E69A0">
      <w:pPr>
        <w:pStyle w:val="Paragraf02"/>
        <w:tabs>
          <w:tab w:val="clear" w:pos="6575"/>
        </w:tabs>
        <w:ind w:firstLine="0"/>
        <w:rPr>
          <w:spacing w:val="-4"/>
          <w:lang w:val="sq-AL"/>
        </w:rPr>
      </w:pPr>
      <w:r w:rsidRPr="00CA0597">
        <w:rPr>
          <w:spacing w:val="-4"/>
          <w:lang w:val="sq-AL"/>
        </w:rPr>
        <w:t xml:space="preserve">Altina Xhoxhaj </w:t>
      </w:r>
      <w:r w:rsidRPr="00CA0597">
        <w:rPr>
          <w:spacing w:val="-4"/>
          <w:lang w:val="sq-AL"/>
        </w:rPr>
        <w:tab/>
      </w:r>
      <w:r w:rsidRPr="00CA0597">
        <w:rPr>
          <w:spacing w:val="-4"/>
          <w:lang w:val="sq-AL"/>
        </w:rPr>
        <w:tab/>
      </w:r>
      <w:r>
        <w:rPr>
          <w:spacing w:val="-4"/>
          <w:lang w:val="sq-AL"/>
        </w:rPr>
        <w:tab/>
      </w:r>
      <w:r w:rsidRPr="00CA0597">
        <w:rPr>
          <w:spacing w:val="-4"/>
          <w:lang w:val="sq-AL"/>
        </w:rPr>
        <w:t>anëtare e</w:t>
      </w:r>
      <w:r w:rsidRPr="00CA0597">
        <w:rPr>
          <w:spacing w:val="-4"/>
          <w:lang w:val="sq-AL"/>
        </w:rPr>
        <w:tab/>
      </w:r>
      <w:bookmarkStart w:id="0" w:name="_GoBack"/>
      <w:bookmarkEnd w:id="0"/>
      <w:r w:rsidRPr="00CA0597">
        <w:rPr>
          <w:spacing w:val="-4"/>
          <w:lang w:val="sq-AL"/>
        </w:rPr>
        <w:t>“</w:t>
      </w:r>
      <w:r w:rsidRPr="00CA0597">
        <w:rPr>
          <w:spacing w:val="-4"/>
          <w:lang w:val="sq-AL"/>
        </w:rPr>
        <w:tab/>
      </w:r>
      <w:r w:rsidRPr="00CA0597">
        <w:rPr>
          <w:spacing w:val="-4"/>
          <w:lang w:val="sq-AL"/>
        </w:rPr>
        <w:tab/>
        <w:t xml:space="preserve">“ </w:t>
      </w:r>
    </w:p>
    <w:p w:rsidR="002E69A0" w:rsidRPr="00CA0597" w:rsidRDefault="002E69A0" w:rsidP="002E69A0">
      <w:pPr>
        <w:pStyle w:val="Paragraf02"/>
        <w:tabs>
          <w:tab w:val="clear" w:pos="6575"/>
        </w:tabs>
        <w:ind w:firstLine="0"/>
        <w:rPr>
          <w:spacing w:val="-4"/>
          <w:lang w:val="sq-AL"/>
        </w:rPr>
      </w:pPr>
      <w:r w:rsidRPr="00CA0597">
        <w:rPr>
          <w:spacing w:val="-4"/>
          <w:lang w:val="sq-AL"/>
        </w:rPr>
        <w:t xml:space="preserve">Fatmir Hoxha </w:t>
      </w:r>
      <w:r w:rsidRPr="00CA0597">
        <w:rPr>
          <w:spacing w:val="-4"/>
          <w:lang w:val="sq-AL"/>
        </w:rPr>
        <w:tab/>
      </w:r>
      <w:r w:rsidRPr="00CA0597">
        <w:rPr>
          <w:spacing w:val="-4"/>
          <w:lang w:val="sq-AL"/>
        </w:rPr>
        <w:tab/>
      </w:r>
      <w:r w:rsidRPr="00CA0597">
        <w:rPr>
          <w:spacing w:val="-4"/>
          <w:lang w:val="sq-AL"/>
        </w:rPr>
        <w:tab/>
        <w:t>anëtar i</w:t>
      </w:r>
      <w:r w:rsidRPr="00CA0597">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2E69A0" w:rsidRPr="00CA0597" w:rsidRDefault="002E69A0" w:rsidP="002E69A0">
      <w:pPr>
        <w:pStyle w:val="Paragraf02"/>
        <w:tabs>
          <w:tab w:val="clear" w:pos="6575"/>
        </w:tabs>
        <w:ind w:firstLine="0"/>
        <w:rPr>
          <w:spacing w:val="-4"/>
          <w:lang w:val="sq-AL"/>
        </w:rPr>
      </w:pPr>
      <w:r w:rsidRPr="00CA0597">
        <w:rPr>
          <w:spacing w:val="-4"/>
          <w:lang w:val="sq-AL"/>
        </w:rPr>
        <w:t xml:space="preserve">Gani Dizdari </w:t>
      </w:r>
      <w:r w:rsidRPr="00CA0597">
        <w:rPr>
          <w:spacing w:val="-4"/>
          <w:lang w:val="sq-AL"/>
        </w:rPr>
        <w:tab/>
      </w:r>
      <w:r w:rsidRPr="00CA0597">
        <w:rPr>
          <w:spacing w:val="-4"/>
          <w:lang w:val="sq-AL"/>
        </w:rPr>
        <w:tab/>
      </w:r>
      <w:r w:rsidRPr="00CA0597">
        <w:rPr>
          <w:spacing w:val="-4"/>
          <w:lang w:val="sq-AL"/>
        </w:rPr>
        <w:tab/>
        <w:t>anëtar i</w:t>
      </w:r>
      <w:r w:rsidRPr="00CA0597">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2E69A0" w:rsidRPr="00CA0597" w:rsidRDefault="00C51FEC" w:rsidP="002E69A0">
      <w:pPr>
        <w:pStyle w:val="Paragraf02"/>
        <w:tabs>
          <w:tab w:val="clear" w:pos="6575"/>
        </w:tabs>
        <w:ind w:firstLine="0"/>
        <w:rPr>
          <w:spacing w:val="-4"/>
          <w:lang w:val="sq-AL"/>
        </w:rPr>
      </w:pPr>
      <w:r>
        <w:rPr>
          <w:spacing w:val="-4"/>
          <w:lang w:val="sq-AL"/>
        </w:rPr>
        <w:t>Fatos Lulo</w:t>
      </w:r>
      <w:r>
        <w:rPr>
          <w:spacing w:val="-4"/>
          <w:lang w:val="sq-AL"/>
        </w:rPr>
        <w:tab/>
      </w:r>
      <w:r>
        <w:rPr>
          <w:spacing w:val="-4"/>
          <w:lang w:val="sq-AL"/>
        </w:rPr>
        <w:tab/>
      </w:r>
      <w:r>
        <w:rPr>
          <w:spacing w:val="-4"/>
          <w:lang w:val="sq-AL"/>
        </w:rPr>
        <w:tab/>
      </w:r>
      <w:r w:rsidR="002E69A0" w:rsidRPr="00CA0597">
        <w:rPr>
          <w:spacing w:val="-4"/>
          <w:lang w:val="sq-AL"/>
        </w:rPr>
        <w:t xml:space="preserve">anëtar i </w:t>
      </w:r>
      <w:r w:rsidR="002E69A0" w:rsidRPr="00CA0597">
        <w:rPr>
          <w:spacing w:val="-4"/>
          <w:lang w:val="sq-AL"/>
        </w:rPr>
        <w:tab/>
      </w:r>
      <w:r w:rsidR="002E69A0" w:rsidRPr="00CA0597">
        <w:rPr>
          <w:spacing w:val="-4"/>
          <w:lang w:val="sq-AL"/>
        </w:rPr>
        <w:tab/>
        <w:t>“</w:t>
      </w:r>
      <w:r w:rsidR="002E69A0" w:rsidRPr="00CA0597">
        <w:rPr>
          <w:spacing w:val="-4"/>
          <w:lang w:val="sq-AL"/>
        </w:rPr>
        <w:tab/>
      </w:r>
      <w:r w:rsidR="002E69A0" w:rsidRPr="00CA0597">
        <w:rPr>
          <w:spacing w:val="-4"/>
          <w:lang w:val="sq-AL"/>
        </w:rPr>
        <w:tab/>
        <w:t>“</w:t>
      </w:r>
    </w:p>
    <w:p w:rsidR="002E69A0" w:rsidRPr="00CA0597" w:rsidRDefault="002E69A0" w:rsidP="002E69A0">
      <w:pPr>
        <w:pStyle w:val="Paragraf02"/>
        <w:tabs>
          <w:tab w:val="clear" w:pos="6575"/>
        </w:tabs>
        <w:ind w:firstLine="0"/>
        <w:rPr>
          <w:spacing w:val="-4"/>
          <w:lang w:val="sq-AL"/>
        </w:rPr>
      </w:pPr>
      <w:r w:rsidRPr="00CA0597">
        <w:rPr>
          <w:spacing w:val="-4"/>
          <w:lang w:val="sq-AL"/>
        </w:rPr>
        <w:t xml:space="preserve">Besnik Imeraj </w:t>
      </w:r>
      <w:r w:rsidRPr="00CA0597">
        <w:rPr>
          <w:spacing w:val="-4"/>
          <w:lang w:val="sq-AL"/>
        </w:rPr>
        <w:tab/>
      </w:r>
      <w:r w:rsidRPr="00CA0597">
        <w:rPr>
          <w:spacing w:val="-4"/>
          <w:lang w:val="sq-AL"/>
        </w:rPr>
        <w:tab/>
      </w:r>
      <w:r w:rsidRPr="00CA0597">
        <w:rPr>
          <w:spacing w:val="-4"/>
          <w:lang w:val="sq-AL"/>
        </w:rPr>
        <w:tab/>
        <w:t>anëtar i</w:t>
      </w:r>
      <w:r w:rsidRPr="00CA0597">
        <w:rPr>
          <w:spacing w:val="-4"/>
          <w:lang w:val="sq-AL"/>
        </w:rPr>
        <w:tab/>
      </w:r>
      <w:r>
        <w:rPr>
          <w:spacing w:val="-4"/>
          <w:lang w:val="sq-AL"/>
        </w:rPr>
        <w:tab/>
      </w:r>
      <w:r w:rsidRPr="00CA0597">
        <w:rPr>
          <w:spacing w:val="-4"/>
          <w:lang w:val="sq-AL"/>
        </w:rPr>
        <w:t>“</w:t>
      </w:r>
      <w:r w:rsidRPr="00CA0597">
        <w:rPr>
          <w:spacing w:val="-4"/>
          <w:lang w:val="sq-AL"/>
        </w:rPr>
        <w:tab/>
      </w:r>
      <w:r w:rsidRPr="00CA0597">
        <w:rPr>
          <w:spacing w:val="-4"/>
          <w:lang w:val="sq-AL"/>
        </w:rPr>
        <w:tab/>
        <w:t>“</w:t>
      </w:r>
    </w:p>
    <w:p w:rsidR="002E69A0" w:rsidRPr="00CA0597" w:rsidRDefault="002E69A0" w:rsidP="002E69A0">
      <w:pPr>
        <w:pStyle w:val="Paragraf02"/>
        <w:rPr>
          <w:spacing w:val="-4"/>
          <w:lang w:val="sq-AL"/>
        </w:rPr>
      </w:pPr>
      <w:r w:rsidRPr="00CA0597">
        <w:rPr>
          <w:spacing w:val="-4"/>
          <w:lang w:val="sq-AL"/>
        </w:rPr>
        <w:t>me sekretare Edmira Babaj, në datën 5.4.2016 mori në shqyrtim në seancë plenare, mbi bazë dokumentesh, çështjen me nr. 10 Akti, që u përket palëve:</w:t>
      </w:r>
    </w:p>
    <w:p w:rsidR="002E69A0" w:rsidRPr="00CA0597" w:rsidRDefault="002E69A0" w:rsidP="002E69A0">
      <w:pPr>
        <w:pStyle w:val="Paragraf02"/>
        <w:rPr>
          <w:spacing w:val="-4"/>
          <w:lang w:val="sq-AL"/>
        </w:rPr>
      </w:pPr>
      <w:r w:rsidRPr="00CA0597">
        <w:rPr>
          <w:spacing w:val="-4"/>
          <w:lang w:val="sq-AL"/>
        </w:rPr>
        <w:t xml:space="preserve">KËRKUES: Sokol Hasani </w:t>
      </w:r>
    </w:p>
    <w:p w:rsidR="002E69A0" w:rsidRPr="00CA0597" w:rsidRDefault="002E69A0" w:rsidP="002E69A0">
      <w:pPr>
        <w:pStyle w:val="Paragraf02"/>
        <w:rPr>
          <w:spacing w:val="-4"/>
          <w:lang w:val="sq-AL"/>
        </w:rPr>
      </w:pPr>
      <w:r w:rsidRPr="00CA0597">
        <w:rPr>
          <w:spacing w:val="-4"/>
          <w:lang w:val="sq-AL"/>
        </w:rPr>
        <w:t>OBJEKTI: Konstatimi i cenimit të së drejtës për një proces të rregullt ligjor si rezultat i mosgjykimit brenda një afati të arsyeshëm.</w:t>
      </w:r>
    </w:p>
    <w:p w:rsidR="002E69A0" w:rsidRPr="00CA0597" w:rsidRDefault="002E69A0" w:rsidP="002E69A0">
      <w:pPr>
        <w:pStyle w:val="Paragraf02"/>
        <w:rPr>
          <w:spacing w:val="-4"/>
          <w:lang w:val="sq-AL"/>
        </w:rPr>
      </w:pPr>
      <w:r w:rsidRPr="00CA0597">
        <w:rPr>
          <w:spacing w:val="-4"/>
          <w:lang w:val="sq-AL"/>
        </w:rPr>
        <w:t xml:space="preserve">BAZA LIGJORE: Nenet 42/2, 131/f dhe 134/1/g të Kushtetutës së Republikës së Shqipërisë; nenet 6/1 dhe 13 të Konventës Evropiane për të Drejtat e Njeriut; nenet 27 e vijues të ligjit nr. 8577, datë 10.2.2000, “Për organizimin dhe funksionimin e Gjykatës Kushtetuese të Republikës së Shqipërisë”. </w:t>
      </w:r>
    </w:p>
    <w:p w:rsidR="002E69A0" w:rsidRPr="00CA0597" w:rsidRDefault="002E69A0" w:rsidP="002E69A0">
      <w:pPr>
        <w:pStyle w:val="Hapesira7"/>
        <w:rPr>
          <w:lang w:val="sq-AL"/>
        </w:rPr>
      </w:pPr>
    </w:p>
    <w:p w:rsidR="002E69A0" w:rsidRPr="00CA0597" w:rsidRDefault="002E69A0" w:rsidP="002E69A0">
      <w:pPr>
        <w:pStyle w:val="NeniNr"/>
        <w:rPr>
          <w:spacing w:val="-4"/>
          <w:lang w:val="sq-AL"/>
        </w:rPr>
      </w:pPr>
      <w:r w:rsidRPr="00CA0597">
        <w:rPr>
          <w:spacing w:val="-4"/>
          <w:lang w:val="sq-AL"/>
        </w:rPr>
        <w:t>GJYKATA KUSHTETUESE,</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pasi dëgjoi relatorin e çështjes Besnik Imeraj, mori në shqyrtim pretendimet me shkrim të kërkuesit, që është shprehur për pranimin e kërkesës, si dhe diskutoi çështjen në tërësi,</w:t>
      </w:r>
    </w:p>
    <w:p w:rsidR="002E69A0" w:rsidRPr="00CA0597" w:rsidRDefault="002E69A0" w:rsidP="002E69A0">
      <w:pPr>
        <w:pStyle w:val="Hapesira7"/>
        <w:rPr>
          <w:lang w:val="sq-AL"/>
        </w:rPr>
      </w:pPr>
    </w:p>
    <w:p w:rsidR="002E69A0" w:rsidRPr="00CA0597" w:rsidRDefault="002E69A0" w:rsidP="002E69A0">
      <w:pPr>
        <w:pStyle w:val="NeniNr"/>
        <w:rPr>
          <w:spacing w:val="-4"/>
          <w:lang w:val="sq-AL"/>
        </w:rPr>
      </w:pPr>
      <w:r w:rsidRPr="00CA0597">
        <w:rPr>
          <w:spacing w:val="-4"/>
          <w:lang w:val="sq-AL"/>
        </w:rPr>
        <w:t>VËREN:</w:t>
      </w:r>
    </w:p>
    <w:p w:rsidR="002E69A0" w:rsidRPr="00CA0597" w:rsidRDefault="002E69A0" w:rsidP="002E69A0">
      <w:pPr>
        <w:pStyle w:val="NeniNr"/>
        <w:rPr>
          <w:b/>
          <w:spacing w:val="-4"/>
          <w:lang w:val="sq-AL"/>
        </w:rPr>
      </w:pPr>
      <w:r w:rsidRPr="00CA0597">
        <w:rPr>
          <w:b/>
          <w:spacing w:val="-4"/>
          <w:lang w:val="sq-AL"/>
        </w:rPr>
        <w:t>I</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1. Në datën 7.3.2012, kërkuesi është liruar nga detyra e zëvendësdrejtorit të përgjithshëm të ALUIZNIT-it. Në datën 17.12.2014 kërkuesi ka depozituar ankim në Gjykatën Administrative të Apelit Tiranë ndaj vendimit nr. 7247 datë 17.12.2014 të Gjykatës Administrative të Shkallës së Parë Tiranë. Pas shortit të hedhur në datën 11.9.2015, relatore e çështjes është caktuar gjyqtarja B.H.</w:t>
      </w:r>
    </w:p>
    <w:p w:rsidR="002E69A0" w:rsidRPr="00CA0597" w:rsidRDefault="002E69A0" w:rsidP="002E69A0">
      <w:pPr>
        <w:pStyle w:val="NeniNr"/>
        <w:rPr>
          <w:b/>
          <w:spacing w:val="-4"/>
          <w:lang w:val="sq-AL"/>
        </w:rPr>
      </w:pPr>
      <w:r w:rsidRPr="00CA0597">
        <w:rPr>
          <w:b/>
          <w:spacing w:val="-4"/>
          <w:lang w:val="sq-AL"/>
        </w:rPr>
        <w:t>II</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 xml:space="preserve">2. </w:t>
      </w:r>
      <w:r w:rsidRPr="00CA0597">
        <w:rPr>
          <w:b/>
          <w:i/>
          <w:spacing w:val="-4"/>
          <w:lang w:val="sq-AL"/>
        </w:rPr>
        <w:t>Kërkuesi Sokol Hasani</w:t>
      </w:r>
      <w:r w:rsidRPr="00CA0597">
        <w:rPr>
          <w:spacing w:val="-4"/>
          <w:lang w:val="sq-AL"/>
        </w:rPr>
        <w:t xml:space="preserve"> i është drejtuar Gjykatës Kushtetuese, duke pretenduar konsta</w:t>
      </w:r>
      <w:r>
        <w:rPr>
          <w:spacing w:val="-4"/>
          <w:lang w:val="sq-AL"/>
        </w:rPr>
        <w:t>-</w:t>
      </w:r>
      <w:r w:rsidRPr="00CA0597">
        <w:rPr>
          <w:spacing w:val="-4"/>
          <w:lang w:val="sq-AL"/>
        </w:rPr>
        <w:t>timin e cenimit të së drejtës për një proces të rregullt ligjor për shkak të mosshqyrtimit së çështjes brenda një afati të arsyeshëm. Sipas tij nuk janë respektuar afatet e zhvillimit të gjykimit, gjë që bie në kundërshtim me nenet 25 e vijues të ligjit nr. 49/2012, datë 3.5.2012, “Për organizimin dhe funksionimin e gjykatave administrative dhe gjykimin e mosmarrëveshjeve administrative”, i cili ka përcaktuar afatet kohore deri në dhënien e vendimit.</w:t>
      </w:r>
    </w:p>
    <w:p w:rsidR="002E69A0" w:rsidRPr="00CA0597" w:rsidRDefault="002E69A0" w:rsidP="002E69A0">
      <w:pPr>
        <w:pStyle w:val="Paragraf02"/>
        <w:rPr>
          <w:spacing w:val="-4"/>
          <w:lang w:val="sq-AL"/>
        </w:rPr>
      </w:pPr>
    </w:p>
    <w:p w:rsidR="002E69A0" w:rsidRPr="00CA0597" w:rsidRDefault="002E69A0" w:rsidP="002E69A0">
      <w:pPr>
        <w:pStyle w:val="NeniNr"/>
        <w:rPr>
          <w:b/>
          <w:spacing w:val="-4"/>
          <w:lang w:val="sq-AL"/>
        </w:rPr>
      </w:pPr>
      <w:r w:rsidRPr="00CA0597">
        <w:rPr>
          <w:b/>
          <w:spacing w:val="-4"/>
          <w:lang w:val="sq-AL"/>
        </w:rPr>
        <w:t>III</w:t>
      </w:r>
    </w:p>
    <w:p w:rsidR="002E69A0" w:rsidRPr="00CA0597" w:rsidRDefault="002E69A0" w:rsidP="002E69A0">
      <w:pPr>
        <w:pStyle w:val="NeniNr"/>
        <w:rPr>
          <w:b/>
          <w:spacing w:val="-4"/>
          <w:lang w:val="sq-AL"/>
        </w:rPr>
      </w:pPr>
      <w:r w:rsidRPr="00CA0597">
        <w:rPr>
          <w:b/>
          <w:spacing w:val="-4"/>
          <w:lang w:val="sq-AL"/>
        </w:rPr>
        <w:t>Vlerësimi i Gjykatës Kushtetuese</w:t>
      </w:r>
    </w:p>
    <w:p w:rsidR="002E69A0" w:rsidRPr="00CA0597" w:rsidRDefault="002E69A0" w:rsidP="002E69A0">
      <w:pPr>
        <w:pStyle w:val="Hapesira7"/>
        <w:rPr>
          <w:lang w:val="sq-AL"/>
        </w:rPr>
      </w:pPr>
    </w:p>
    <w:p w:rsidR="002E69A0" w:rsidRPr="00CA0597" w:rsidRDefault="002E69A0" w:rsidP="002E69A0">
      <w:pPr>
        <w:pStyle w:val="Paragraf02"/>
        <w:rPr>
          <w:i/>
          <w:spacing w:val="-4"/>
          <w:lang w:val="sq-AL"/>
        </w:rPr>
      </w:pPr>
      <w:r w:rsidRPr="00CA0597">
        <w:rPr>
          <w:i/>
          <w:spacing w:val="-4"/>
          <w:lang w:val="sq-AL"/>
        </w:rPr>
        <w:t>A. Për legjitimimin e kërkuesit</w:t>
      </w:r>
    </w:p>
    <w:p w:rsidR="002E69A0" w:rsidRPr="00CA0597" w:rsidRDefault="002E69A0" w:rsidP="002E69A0">
      <w:pPr>
        <w:pStyle w:val="Paragraf02"/>
        <w:rPr>
          <w:spacing w:val="-4"/>
          <w:lang w:val="sq-AL"/>
        </w:rPr>
      </w:pPr>
      <w:r w:rsidRPr="00CA0597">
        <w:rPr>
          <w:spacing w:val="-4"/>
          <w:lang w:val="sq-AL"/>
        </w:rPr>
        <w:t xml:space="preserve">3. Gjykata në jurisprudencën e saj ka vlerësuar se në bazë të neneve 131/f dhe 134/1/g të Kushtetutës individi legjitimohet për të vënë në lëvizje Gjykatën Kushtetuese me pretendimin e cenimit të së drejtës për t’u gjykuar brenda një afati të arsyeshëm gjatë zhvillimit të procesit të gjykimit nga gjykata e zakonshme. Kërkesat e individëve për cenimin e së drejtës për një gjykim brenda një afati të arsyeshëm mund të merren në shqyrtim pavarësisht se gjykimi për mbrojtjen e të drejtave, </w:t>
      </w:r>
      <w:r w:rsidRPr="00CA0597">
        <w:rPr>
          <w:spacing w:val="-4"/>
          <w:lang w:val="sq-AL"/>
        </w:rPr>
        <w:lastRenderedPageBreak/>
        <w:t xml:space="preserve">lirive dhe interesave kushtetuese e ligjore të tyre ende nuk ka përfunduar në të gjitha shkallët e gjykimit prej gjykatave të juridiksionit të zakonshëm. Në këtë drejtim, Gjykata Kushtetuese konstaton se sistemi juridik i vendit nuk parashikon ndonjë mjet juridik të veçantë të cilin mund ta përdorë kërkuesi për të kërkuar riparimin e zgjatjes së tepruar të procesit gjyqësor. </w:t>
      </w:r>
    </w:p>
    <w:p w:rsidR="002E69A0" w:rsidRPr="00CA0597" w:rsidRDefault="002E69A0" w:rsidP="002E69A0">
      <w:pPr>
        <w:pStyle w:val="Paragraf02"/>
        <w:rPr>
          <w:spacing w:val="-4"/>
          <w:lang w:val="sq-AL"/>
        </w:rPr>
      </w:pPr>
      <w:r w:rsidRPr="00CA0597">
        <w:rPr>
          <w:spacing w:val="-4"/>
          <w:lang w:val="sq-AL"/>
        </w:rPr>
        <w:t>4. Në një çështje që përfshin përcaktimin e një të drejte civile, kohëzgjatja e procedurave normalisht llogaritet nga momenti i fillimit të procedurës gjyqësore deri kur jepet vendimi dhe ekzekutohet ai. Faza ekzekutive konsiderohet si fazë e mëtejshme e të njëjtit proces. Në jurisprudencën konstante të Gjykatës, mbështetur edhe në jurisprudencën e Gjykatës Evropiane për të Drejtat e Njeriut (GJEDNJ), është vlerësuar se kohëzgjatja e arsyeshme e procedimeve, në kuptim të nenit 42 të Kushtetutës, duhet të vlerësohet nën dritën e rrethanave të çështjes, duke marrë në konsideratë kompleksitetin e saj, sjelljen dhe interesin e kërkuesit, si dhe të autoriteteve përkatëse (</w:t>
      </w:r>
      <w:r w:rsidRPr="00CA0597">
        <w:rPr>
          <w:i/>
          <w:spacing w:val="-4"/>
          <w:lang w:val="sq-AL"/>
        </w:rPr>
        <w:t>shih vendimet nr. 9, datë 1.4.2009; nr. 14, datë 15.4.2010; nr. 21, datë 3.6.2011; nr. 9, datë 14.2.2014 të Gjykatës Kushtetuese</w:t>
      </w:r>
      <w:r w:rsidRPr="00CA0597">
        <w:rPr>
          <w:spacing w:val="-4"/>
          <w:lang w:val="sq-AL"/>
        </w:rPr>
        <w:t>).</w:t>
      </w:r>
    </w:p>
    <w:p w:rsidR="002E69A0" w:rsidRPr="00CA0597" w:rsidRDefault="002E69A0" w:rsidP="002E69A0">
      <w:pPr>
        <w:pStyle w:val="Paragraf02"/>
        <w:rPr>
          <w:spacing w:val="-4"/>
          <w:lang w:val="sq-AL"/>
        </w:rPr>
      </w:pPr>
      <w:r w:rsidRPr="00CA0597">
        <w:rPr>
          <w:spacing w:val="-4"/>
          <w:lang w:val="sq-AL"/>
        </w:rPr>
        <w:t xml:space="preserve">5. Në këtë kuptim, kërkuesi Sokol Hasani legjitimohet për paraqitjen e kësaj kërkese. </w:t>
      </w:r>
      <w:r w:rsidRPr="00CA0597">
        <w:rPr>
          <w:spacing w:val="-4"/>
          <w:lang w:val="sq-AL"/>
        </w:rPr>
        <w:tab/>
      </w:r>
    </w:p>
    <w:p w:rsidR="002E69A0" w:rsidRPr="00CA0597" w:rsidRDefault="002E69A0" w:rsidP="002E69A0">
      <w:pPr>
        <w:pStyle w:val="Paragraf02"/>
        <w:rPr>
          <w:i/>
          <w:spacing w:val="-4"/>
          <w:lang w:val="sq-AL"/>
        </w:rPr>
      </w:pPr>
      <w:r w:rsidRPr="00CA0597">
        <w:rPr>
          <w:i/>
          <w:spacing w:val="-4"/>
          <w:lang w:val="sq-AL"/>
        </w:rPr>
        <w:t>B. Për pretendimin e cenimit të së drejtës për një proces të rregullt ligjor për t’u gjykuar brenda një afati të arsyeshëm</w:t>
      </w:r>
    </w:p>
    <w:p w:rsidR="002E69A0" w:rsidRPr="00CA0597" w:rsidRDefault="002E69A0" w:rsidP="002E69A0">
      <w:pPr>
        <w:pStyle w:val="Paragraf02"/>
        <w:rPr>
          <w:spacing w:val="-4"/>
          <w:lang w:val="sq-AL"/>
        </w:rPr>
      </w:pPr>
      <w:r w:rsidRPr="00CA0597">
        <w:rPr>
          <w:spacing w:val="-4"/>
          <w:lang w:val="sq-AL"/>
        </w:rPr>
        <w:t xml:space="preserve">6. Kërkuesi pretendon se është cenuar në të drejtën për një proces të rregullt ligjor për shkak të mosshqyrtimit të çështjes së tij gjyqësore brenda afateve ligjore, të cilat vetë ligji i ka parashikuar të shpejta e të arsyeshme. </w:t>
      </w:r>
    </w:p>
    <w:p w:rsidR="002E69A0" w:rsidRPr="00CA0597" w:rsidRDefault="002E69A0" w:rsidP="002E69A0">
      <w:pPr>
        <w:pStyle w:val="Paragraf02"/>
        <w:rPr>
          <w:spacing w:val="-4"/>
          <w:lang w:val="sq-AL"/>
        </w:rPr>
      </w:pPr>
      <w:r w:rsidRPr="00CA0597">
        <w:rPr>
          <w:spacing w:val="-4"/>
          <w:lang w:val="sq-AL"/>
        </w:rPr>
        <w:t>7. Sipas nenit 42 të Kushtetutës, kushdo, për mbrojtjen e të drejtave, lirive dhe interesave të tij kushtetuese dhe ligjore ose në rastin e akuzave të ngritura kundër tij, ka të drejtën e një gjykimi të drejtë dhe publik brenda një afati të arsyeshëm nga një gjykatë e pavarur dhe e paanshme e caktuar me ligj.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CA0597">
        <w:rPr>
          <w:i/>
          <w:spacing w:val="-4"/>
          <w:lang w:val="sq-AL"/>
        </w:rPr>
        <w:t>shih vendimin nr. 12, datë 5.3.2012 të Gjykatës Kushtetuese</w:t>
      </w:r>
      <w:r w:rsidRPr="00CA0597">
        <w:rPr>
          <w:spacing w:val="-4"/>
          <w:lang w:val="sq-AL"/>
        </w:rPr>
        <w:t xml:space="preserve">). </w:t>
      </w:r>
    </w:p>
    <w:p w:rsidR="002E69A0" w:rsidRPr="00CA0597" w:rsidRDefault="002E69A0" w:rsidP="002E69A0">
      <w:pPr>
        <w:pStyle w:val="Paragraf02"/>
        <w:rPr>
          <w:spacing w:val="-4"/>
          <w:lang w:val="sq-AL"/>
        </w:rPr>
      </w:pPr>
      <w:r w:rsidRPr="00CA0597">
        <w:rPr>
          <w:spacing w:val="-4"/>
          <w:lang w:val="sq-AL"/>
        </w:rPr>
        <w:t xml:space="preserve">8. Gjykata pretendimet e kërkuesit lidhur me tejzgjatjen e gjykimit i shqyrton nën dritën e kritereve të përcaktuara në jurisprudencën e GJEDNJ-së, të reflektuara edhe në praktikën e saj, pra referuar rrethanave të veçanta të çështjes, duke pasur parasysh sidomos kompleksitetin e saj, sjelljen e kërkuesit, sjelljen e autoriteteve, si dhe rrezikun që passjell për kërkuesin kjo tejzgjatje. </w:t>
      </w:r>
    </w:p>
    <w:p w:rsidR="002E69A0" w:rsidRPr="00CA0597" w:rsidRDefault="002E69A0" w:rsidP="002E69A0">
      <w:pPr>
        <w:pStyle w:val="Paragraf02"/>
        <w:rPr>
          <w:i/>
          <w:spacing w:val="-4"/>
          <w:lang w:val="sq-AL"/>
        </w:rPr>
      </w:pPr>
      <w:r w:rsidRPr="00CA0597">
        <w:rPr>
          <w:i/>
          <w:spacing w:val="-4"/>
          <w:lang w:val="sq-AL"/>
        </w:rPr>
        <w:t xml:space="preserve">i) Periudha që duhet marrë në konsideratë </w:t>
      </w:r>
    </w:p>
    <w:p w:rsidR="002E69A0" w:rsidRPr="00CA0597" w:rsidRDefault="002E69A0" w:rsidP="002E69A0">
      <w:pPr>
        <w:pStyle w:val="Paragraf02"/>
        <w:rPr>
          <w:spacing w:val="-4"/>
          <w:lang w:val="sq-AL"/>
        </w:rPr>
      </w:pPr>
      <w:r w:rsidRPr="00CA0597">
        <w:rPr>
          <w:spacing w:val="-4"/>
          <w:lang w:val="sq-AL"/>
        </w:rPr>
        <w:t xml:space="preserve">9. Sipas kërkuesit, Gjykata Administrative e Apelit nuk po e gjykon çështjen brenda një afati të arsyeshëm. Lidhur me </w:t>
      </w:r>
      <w:r w:rsidRPr="00CA0597">
        <w:rPr>
          <w:i/>
          <w:spacing w:val="-4"/>
          <w:lang w:val="sq-AL"/>
        </w:rPr>
        <w:t>periudhën e kohës që duhet marrë në konsideratë</w:t>
      </w:r>
      <w:r w:rsidRPr="00CA0597">
        <w:rPr>
          <w:spacing w:val="-4"/>
          <w:lang w:val="sq-AL"/>
        </w:rPr>
        <w:t xml:space="preserve">, Gjykata vëren se në datën 17.12.2014 kërkuesi ka depozituar ankim në Gjykatën Administrative të Apelit Tiranë ndaj vendimit nr. 7247, datë 17.12.2014, të Gjykatës Administrative të Shkallës së Parë Tiranë. Pas shortit të hedhur në datën 11.9.2015, relatore e çështjes është caktuar gjyqtarja B.H. Deri në momentin e depozitimit të ankimit në Gjykatën Kushtetuese (në datën 19.11.2015), kërkuesi pretendon se nuk është marrë në shqyrtim kërkesa e tij. Sipas tij, zgjatja e gjykimit tej afatit të arsyeshëm ka ardhur si rrjedhojë e moszbatimit të dispozitave të ligjit nr. 49/2012. </w:t>
      </w:r>
    </w:p>
    <w:p w:rsidR="002E69A0" w:rsidRPr="00CA0597" w:rsidRDefault="002E69A0" w:rsidP="002E69A0">
      <w:pPr>
        <w:pStyle w:val="Paragraf02"/>
        <w:rPr>
          <w:i/>
          <w:spacing w:val="-4"/>
          <w:lang w:val="sq-AL"/>
        </w:rPr>
      </w:pPr>
      <w:r w:rsidRPr="00CA0597">
        <w:rPr>
          <w:i/>
          <w:spacing w:val="-4"/>
          <w:lang w:val="sq-AL"/>
        </w:rPr>
        <w:t>ii) Kompleksiteti i çështjes</w:t>
      </w:r>
    </w:p>
    <w:p w:rsidR="002E69A0" w:rsidRPr="00CA0597" w:rsidRDefault="002E69A0" w:rsidP="002E69A0">
      <w:pPr>
        <w:pStyle w:val="Paragraf02"/>
        <w:rPr>
          <w:spacing w:val="-4"/>
          <w:lang w:val="sq-AL"/>
        </w:rPr>
      </w:pPr>
      <w:r w:rsidRPr="00CA0597">
        <w:rPr>
          <w:spacing w:val="-4"/>
          <w:lang w:val="sq-AL"/>
        </w:rPr>
        <w:t>10. Gjykata ka theksuar se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CA0597">
        <w:rPr>
          <w:i/>
          <w:spacing w:val="-4"/>
          <w:lang w:val="sq-AL"/>
        </w:rPr>
        <w:t>shih vendimet nr. 14, datë 15.4.2010; nr. 9, datë 14.2.2014 të Gjykatës Kushtetuese</w:t>
      </w:r>
      <w:r w:rsidRPr="00CA0597">
        <w:rPr>
          <w:spacing w:val="-4"/>
          <w:lang w:val="sq-AL"/>
        </w:rPr>
        <w:t>).</w:t>
      </w:r>
    </w:p>
    <w:p w:rsidR="002E69A0" w:rsidRPr="00CA0597" w:rsidRDefault="002E69A0" w:rsidP="002E69A0">
      <w:pPr>
        <w:pStyle w:val="Paragraf02"/>
        <w:rPr>
          <w:spacing w:val="-4"/>
          <w:lang w:val="sq-AL"/>
        </w:rPr>
      </w:pPr>
      <w:r w:rsidRPr="00CA0597">
        <w:rPr>
          <w:spacing w:val="-4"/>
          <w:lang w:val="sq-AL"/>
        </w:rPr>
        <w:t>11. Në rastin në shqyrtim Gjykata konstaton se mosmarrëveshja objekt gjykimi është e natyrës administrative, gjykimi i së cilës parashikohet dhe rregullohet nga ligji nr. 49/2012, “Për organizimin dhe funksionimin e gjykatave administrative dhe gjykimin e mosmarrëveshjeve administrative”. Nga shqyrtimi i akteve të paraqitura Gjykata vlerëson se çështja konkrete nuk paraqet rrethana të veçanta apo komplekse që mund të justifikojnë një vonesë në shqyrtimin e saj, ndaj vlerësimi i sjelljes së autoriteteve publike dhe kërkuesit është me rëndësi në këtë kontekst.</w:t>
      </w:r>
    </w:p>
    <w:p w:rsidR="002E69A0" w:rsidRPr="00CA0597" w:rsidRDefault="002E69A0" w:rsidP="002E69A0">
      <w:pPr>
        <w:pStyle w:val="Paragraf02"/>
        <w:rPr>
          <w:i/>
          <w:spacing w:val="-4"/>
          <w:lang w:val="sq-AL"/>
        </w:rPr>
      </w:pPr>
      <w:r w:rsidRPr="00CA0597">
        <w:rPr>
          <w:i/>
          <w:spacing w:val="-4"/>
          <w:lang w:val="sq-AL"/>
        </w:rPr>
        <w:lastRenderedPageBreak/>
        <w:t>iii) Interesi dhe sjellja e kërkuesit</w:t>
      </w:r>
    </w:p>
    <w:p w:rsidR="002E69A0" w:rsidRPr="00CA0597" w:rsidRDefault="002E69A0" w:rsidP="002E69A0">
      <w:pPr>
        <w:pStyle w:val="Paragraf02"/>
        <w:rPr>
          <w:spacing w:val="-4"/>
          <w:lang w:val="sq-AL"/>
        </w:rPr>
      </w:pPr>
      <w:r w:rsidRPr="00CA0597">
        <w:rPr>
          <w:spacing w:val="-4"/>
          <w:lang w:val="sq-AL"/>
        </w:rPr>
        <w:t xml:space="preserve">12. Vlerësimi i sjelljes dhe interesit të kërkuesit është një element tjetër përcaktues i kohëzgjatjes së arsyeshme të procedimeve. Nga aktet bashkëlidhur kërkesës Gjykata vëren se kërkuesi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2E69A0" w:rsidRPr="00CA0597" w:rsidRDefault="002E69A0" w:rsidP="002E69A0">
      <w:pPr>
        <w:pStyle w:val="Paragraf02"/>
        <w:rPr>
          <w:i/>
          <w:spacing w:val="-4"/>
          <w:lang w:val="sq-AL"/>
        </w:rPr>
      </w:pPr>
      <w:r w:rsidRPr="00CA0597">
        <w:rPr>
          <w:i/>
          <w:spacing w:val="-4"/>
          <w:lang w:val="sq-AL"/>
        </w:rPr>
        <w:t xml:space="preserve">iv) Sjellja e autoriteteve </w:t>
      </w:r>
    </w:p>
    <w:p w:rsidR="002E69A0" w:rsidRPr="00CA0597" w:rsidRDefault="002E69A0" w:rsidP="002E69A0">
      <w:pPr>
        <w:pStyle w:val="Paragraf02"/>
        <w:rPr>
          <w:spacing w:val="-4"/>
          <w:lang w:val="sq-AL"/>
        </w:rPr>
      </w:pPr>
      <w:r w:rsidRPr="00CA0597">
        <w:rPr>
          <w:spacing w:val="-4"/>
          <w:lang w:val="sq-AL"/>
        </w:rPr>
        <w:t>13. Gjykata, ndër të tjera, është shprehur se në këndvështrim të respektimit të standardeve për një proces të rregullt ligjor gjykatat kanë për detyrë të evitojnë çdo vonesë të panevojshme në procesin gjyqësor (</w:t>
      </w:r>
      <w:r w:rsidRPr="00CA0597">
        <w:rPr>
          <w:i/>
          <w:spacing w:val="-4"/>
          <w:lang w:val="sq-AL"/>
        </w:rPr>
        <w:t>shih vendimin nr. 12, datë 5.3.2012 të Gjykatës Kushtetuese</w:t>
      </w:r>
      <w:r w:rsidRPr="00CA0597">
        <w:rPr>
          <w:spacing w:val="-4"/>
          <w:lang w:val="sq-AL"/>
        </w:rPr>
        <w:t xml:space="preserve">). </w:t>
      </w:r>
    </w:p>
    <w:p w:rsidR="002E69A0" w:rsidRPr="00CA0597" w:rsidRDefault="002E69A0" w:rsidP="002E69A0">
      <w:pPr>
        <w:pStyle w:val="Paragraf02"/>
        <w:rPr>
          <w:spacing w:val="-4"/>
          <w:lang w:val="sq-AL"/>
        </w:rPr>
      </w:pPr>
      <w:r w:rsidRPr="00CA0597">
        <w:rPr>
          <w:spacing w:val="-4"/>
          <w:lang w:val="sq-AL"/>
        </w:rPr>
        <w:t>14. Bazuar në aktet e dosjes gjyqësore rezulton se në datën 17.12.2014 kërkuesi ka depozituar ankim në Gjykatën Administrative të Apelit Tiranë ndaj vendimit nr. 7247, datë 17.12.2014, të Gjykatës Administrative të Shkallës së Parë Tiranë. Pas shortit të hedhur në datën 11.9.2015 relatore e çështjes është caktuar gjyqtarja B.H. Deri në momentin e depozitimit të ankimit në Gjykatën Kushtetuese (në datë 19.11.2015), kërkuesi pretendon se nuk është marrë në shqyrtim kërkesa e tij.</w:t>
      </w:r>
    </w:p>
    <w:p w:rsidR="002E69A0" w:rsidRPr="00CA0597" w:rsidRDefault="002E69A0" w:rsidP="002E69A0">
      <w:pPr>
        <w:pStyle w:val="Paragraf02"/>
        <w:rPr>
          <w:spacing w:val="-4"/>
          <w:lang w:val="sq-AL"/>
        </w:rPr>
      </w:pPr>
      <w:r w:rsidRPr="00CA0597">
        <w:rPr>
          <w:spacing w:val="-4"/>
          <w:lang w:val="sq-AL"/>
        </w:rPr>
        <w:t>15. Gjykata vëren se neni 3 i ligjit nr. 49/2012 ka përcaktuar, ndër parimet e gjykimit administrativ, edhe sigurimin e një procesi të rregullt gjyqësor brenda afateve të shpejta dhe të arsyeshme. Ky ka qenë edhe qëllimi i ligjvënësit në krijimin e këtyre gjykatave, çka rezulton edhe nga relacioni bashkëlidhur tij, sipas të cilit ligji synon thjeshtimin e procedurave me objekt zgjidhjen e mosmarrëveshjeve administrative, si dhe garanti</w:t>
      </w:r>
      <w:r>
        <w:rPr>
          <w:spacing w:val="-4"/>
          <w:lang w:val="sq-AL"/>
        </w:rPr>
        <w:t>-</w:t>
      </w:r>
      <w:r w:rsidRPr="00CA0597">
        <w:rPr>
          <w:spacing w:val="-4"/>
          <w:lang w:val="sq-AL"/>
        </w:rPr>
        <w:t>min e mbrojtjes efektive të të drejtave subjektive dhe interesave të ligjshme të personave nëpërmjet një procesi të rregullt gjyqësor dhe brenda afateve të shpejta e të arsyeshme. Gjykata vëren, gjithashtu, se ligji nr. 49/2012 ka parashikuar afate konkrete për gjykimin në të tria shkallët e gjykimit. Për sa i takon procesit që zhvillohet në shkallën e parë, në fazën e veprimeve përgatitore ligji ka parashikuar një afat 7-ditor për kryerjen e disa veprimeve nga ana e gjyqtarit të çështjes (neni 25), afatin për zhvillimin e seancës gjyqësore, i cili nuk mund të jetë më shumë se 15 ditë (neni 27), si edhe afatin 7-ditor për dorëzimin e dosjes pas shpalljes së vendimit (neni 42).</w:t>
      </w:r>
    </w:p>
    <w:p w:rsidR="002E69A0" w:rsidRPr="00CA0597" w:rsidRDefault="002E69A0" w:rsidP="002E69A0">
      <w:pPr>
        <w:pStyle w:val="Paragraf02"/>
        <w:rPr>
          <w:spacing w:val="-4"/>
          <w:lang w:val="sq-AL"/>
        </w:rPr>
      </w:pPr>
      <w:r w:rsidRPr="00CA0597">
        <w:rPr>
          <w:spacing w:val="-4"/>
          <w:lang w:val="sq-AL"/>
        </w:rPr>
        <w:t>16. Për sa më sipër, Gjykata thekson se përderisa ligjvënësi ka vendosur afate kohore të caktuara (30 ditë në rastin në fjalë), do të thotë se ai i ka konsideruar ato jo vetëm si afate të arsyeshme, por edhe të detyrueshme për zbatim nga gjykatat administrative të të gjitha shkallëve të gjykimit. Pengesat e mundshme objektive duhet të gjejnë zgjidhje nëpërmjet rregullimit që duhet të bëjë ligjvënësi.</w:t>
      </w:r>
    </w:p>
    <w:p w:rsidR="002E69A0" w:rsidRPr="00CA0597" w:rsidRDefault="002E69A0" w:rsidP="002E69A0">
      <w:pPr>
        <w:pStyle w:val="Paragraf02"/>
        <w:rPr>
          <w:spacing w:val="-4"/>
          <w:lang w:val="sq-AL"/>
        </w:rPr>
      </w:pPr>
      <w:r w:rsidRPr="00CA0597">
        <w:rPr>
          <w:spacing w:val="-4"/>
          <w:lang w:val="sq-AL"/>
        </w:rPr>
        <w:t>17. Mosrespektimi i këtyre afateve ligjore në Gjykatën Administrative të Apelit Tiranë, duke sjellë mosgjykimin e çështjes gjyqësore të vënë në lëvizje nga kërkuesi brenda një afati të arsyeshëm, ka cenuar të drejtën e kërkuesit për një proces të rregullt ligjor.</w:t>
      </w:r>
    </w:p>
    <w:p w:rsidR="002E69A0" w:rsidRPr="00CA0597" w:rsidRDefault="002E69A0" w:rsidP="002E69A0">
      <w:pPr>
        <w:pStyle w:val="Paragraf02"/>
        <w:rPr>
          <w:spacing w:val="-4"/>
          <w:lang w:val="sq-AL"/>
        </w:rPr>
      </w:pPr>
      <w:r w:rsidRPr="00CA0597">
        <w:rPr>
          <w:spacing w:val="-4"/>
          <w:lang w:val="sq-AL"/>
        </w:rPr>
        <w:t xml:space="preserve">18. Gjykata në rastin konkret nuk konstaton arsye objektive të cilat do të justifikonin mosgjykimin brenda afateve ligjore. Për rrjedhojë, Gjykata arrin në përfundimin se pretendimi i kërkuesit është i bazuar dhe duhet pranuar. </w:t>
      </w:r>
    </w:p>
    <w:p w:rsidR="002E69A0" w:rsidRPr="00CA0597" w:rsidRDefault="002E69A0" w:rsidP="002E69A0">
      <w:pPr>
        <w:pStyle w:val="Hapesira7"/>
        <w:rPr>
          <w:lang w:val="sq-AL"/>
        </w:rPr>
      </w:pPr>
    </w:p>
    <w:p w:rsidR="002E69A0" w:rsidRPr="00CA0597" w:rsidRDefault="002E69A0" w:rsidP="002E69A0">
      <w:pPr>
        <w:pStyle w:val="NeniNr"/>
        <w:rPr>
          <w:spacing w:val="-4"/>
          <w:lang w:val="sq-AL"/>
        </w:rPr>
      </w:pPr>
      <w:r w:rsidRPr="00CA0597">
        <w:rPr>
          <w:spacing w:val="-4"/>
          <w:lang w:val="sq-AL"/>
        </w:rPr>
        <w:t>PËR KËTO ARSYE,</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2E69A0" w:rsidRPr="00CA0597" w:rsidRDefault="002E69A0" w:rsidP="002E69A0">
      <w:pPr>
        <w:pStyle w:val="Paragraf02"/>
        <w:rPr>
          <w:spacing w:val="-4"/>
          <w:lang w:val="sq-AL"/>
        </w:rPr>
      </w:pPr>
    </w:p>
    <w:p w:rsidR="002E69A0" w:rsidRPr="00CA0597" w:rsidRDefault="002E69A0" w:rsidP="002E69A0">
      <w:pPr>
        <w:pStyle w:val="NeniNr"/>
        <w:rPr>
          <w:spacing w:val="-4"/>
          <w:lang w:val="sq-AL"/>
        </w:rPr>
      </w:pPr>
      <w:r w:rsidRPr="00CA0597">
        <w:rPr>
          <w:spacing w:val="-4"/>
          <w:lang w:val="sq-AL"/>
        </w:rPr>
        <w:t>VENDOSI:</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 Pranimin e kërkesës.</w:t>
      </w:r>
    </w:p>
    <w:p w:rsidR="002E69A0" w:rsidRPr="00CA0597" w:rsidRDefault="002E69A0" w:rsidP="002E69A0">
      <w:pPr>
        <w:pStyle w:val="Paragraf02"/>
        <w:rPr>
          <w:spacing w:val="-4"/>
          <w:lang w:val="sq-AL"/>
        </w:rPr>
      </w:pPr>
      <w:r w:rsidRPr="00CA0597">
        <w:rPr>
          <w:spacing w:val="-4"/>
          <w:lang w:val="sq-AL"/>
        </w:rPr>
        <w:t xml:space="preserve">- Konstatimin e cenimit të së drejtës për një proces të rregullt ligjor, si rezultat i mosgjykimit të çështjes në Gjykatën Administrative Apelit Tiranë brenda një afati të arsyeshëm. </w:t>
      </w:r>
    </w:p>
    <w:p w:rsidR="002E69A0" w:rsidRPr="00CA0597" w:rsidRDefault="002E69A0" w:rsidP="002E69A0">
      <w:pPr>
        <w:pStyle w:val="Paragraf02"/>
        <w:rPr>
          <w:spacing w:val="-4"/>
          <w:lang w:val="sq-AL"/>
        </w:rPr>
      </w:pPr>
      <w:r w:rsidRPr="00CA0597">
        <w:rPr>
          <w:spacing w:val="-4"/>
          <w:lang w:val="sq-AL"/>
        </w:rPr>
        <w:t>Ky vendim është përfundimtar, i formës së prerë dhe hyn në fuqi ditën e botimit në Fletoren Zyrtare.</w:t>
      </w:r>
    </w:p>
    <w:p w:rsidR="002E69A0" w:rsidRPr="00CA0597" w:rsidRDefault="002E69A0" w:rsidP="002E69A0">
      <w:pPr>
        <w:pStyle w:val="Hapesira7"/>
        <w:rPr>
          <w:lang w:val="sq-AL"/>
        </w:rPr>
      </w:pPr>
      <w:r w:rsidRPr="00CA0597">
        <w:rPr>
          <w:lang w:val="sq-AL"/>
        </w:rPr>
        <w:tab/>
      </w:r>
      <w:r w:rsidRPr="00CA0597">
        <w:rPr>
          <w:lang w:val="sq-AL"/>
        </w:rPr>
        <w:tab/>
      </w:r>
    </w:p>
    <w:p w:rsidR="002E69A0" w:rsidRDefault="002E69A0" w:rsidP="002E69A0">
      <w:pPr>
        <w:pStyle w:val="Paragraf02"/>
        <w:rPr>
          <w:spacing w:val="-4"/>
          <w:lang w:val="sq-AL"/>
        </w:rPr>
      </w:pPr>
      <w:r w:rsidRPr="00CA0597">
        <w:rPr>
          <w:spacing w:val="-4"/>
          <w:lang w:val="sq-AL"/>
        </w:rPr>
        <w:t>Anëtarë pro: Bashkim Dedja (kryetar), Sokol Berberi, Vladimir Kristo</w:t>
      </w:r>
      <w:r>
        <w:rPr>
          <w:spacing w:val="-4"/>
          <w:lang w:val="sq-AL"/>
        </w:rPr>
        <w:t xml:space="preserve">, Gani Dizdari, Fatmir </w:t>
      </w:r>
      <w:r>
        <w:rPr>
          <w:spacing w:val="-4"/>
          <w:lang w:val="sq-AL"/>
        </w:rPr>
        <w:lastRenderedPageBreak/>
        <w:t>Hoxha, Besnik Imeraj, Fatos Lulo</w:t>
      </w:r>
    </w:p>
    <w:p w:rsidR="002E69A0" w:rsidRPr="00CA0597" w:rsidRDefault="002E69A0" w:rsidP="002E69A0">
      <w:pPr>
        <w:pStyle w:val="Paragraf02"/>
        <w:rPr>
          <w:spacing w:val="-4"/>
          <w:lang w:val="sq-AL"/>
        </w:rPr>
      </w:pPr>
      <w:r w:rsidRPr="00CA0597">
        <w:rPr>
          <w:spacing w:val="-4"/>
          <w:lang w:val="sq-AL"/>
        </w:rPr>
        <w:t>Anëtarë kundër: Vitore Tusha, Altina Xhoxhaj</w:t>
      </w:r>
    </w:p>
    <w:p w:rsidR="002E69A0" w:rsidRPr="00CA0597" w:rsidRDefault="002E69A0" w:rsidP="002E69A0">
      <w:pPr>
        <w:pStyle w:val="Hapesira7"/>
        <w:rPr>
          <w:lang w:val="sq-AL"/>
        </w:rPr>
      </w:pPr>
      <w:r w:rsidRPr="00CA0597">
        <w:rPr>
          <w:lang w:val="sq-AL"/>
        </w:rPr>
        <w:t xml:space="preserve"> </w:t>
      </w:r>
    </w:p>
    <w:p w:rsidR="002E69A0" w:rsidRPr="00CA0597" w:rsidRDefault="002E69A0" w:rsidP="002E69A0">
      <w:pPr>
        <w:pStyle w:val="NeniNr"/>
        <w:rPr>
          <w:spacing w:val="-4"/>
          <w:lang w:val="sq-AL"/>
        </w:rPr>
      </w:pPr>
      <w:r w:rsidRPr="00CA0597">
        <w:rPr>
          <w:spacing w:val="-4"/>
          <w:lang w:val="sq-AL"/>
        </w:rPr>
        <w:t>MENDIM PAKICE</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 xml:space="preserve">1. Në çështjen me kërkues Sokol Hasanin nuk ndaj të njëjtin qëndrim me shumicën për pranimin e kërkesës dhe konstatimin e cenimit të së drejtës për një proces të rregullt ligjor, si rezultat i mosgjykimit brenda një afati të arsyeshëm. </w:t>
      </w:r>
    </w:p>
    <w:p w:rsidR="002E69A0" w:rsidRPr="00CA0597" w:rsidRDefault="002E69A0" w:rsidP="002E69A0">
      <w:pPr>
        <w:pStyle w:val="Paragraf02"/>
        <w:rPr>
          <w:spacing w:val="-4"/>
          <w:lang w:val="sq-AL"/>
        </w:rPr>
      </w:pPr>
      <w:r w:rsidRPr="00CA0597">
        <w:rPr>
          <w:spacing w:val="-4"/>
          <w:lang w:val="sq-AL"/>
        </w:rPr>
        <w:t>2. Neni 131/f i Kushtetutës parashikon se individi mund t’i drejtohet Gjykatës Kushtetuese për gjykimin përfundimtar të ankesave për shkeljen e së drejtës kushtetuese për një proces të rregullt ligjor, pasi ka shteruar të gjitha mjetet juridike për mbrojtjen e kësaj të drejte. Sipas kuptimit të nenit 131/f të Kushtetutës, mbrojtja kushtetuese ka një funksion përfundimtar, që do të thotë se mund të aplikohet vetëm në lidhje me vendime për të cilat kanë marrë fund procedurat gjyqësore. Prandaj, shkelja e të drejtave kushtetuese për një proces të rregullt ligjor mund të pretendohet në këtë Gjykatë vetëm pas ezaurimit të të gjitha mundësive që ofron sistemi i padive dhe i apelimeve (</w:t>
      </w:r>
      <w:r w:rsidRPr="00CA0597">
        <w:rPr>
          <w:i/>
          <w:spacing w:val="-4"/>
          <w:lang w:val="sq-AL"/>
        </w:rPr>
        <w:t>shih vendimin nr. 10, datë 9.5.2005 të Gjykatës Kushtetuese</w:t>
      </w:r>
      <w:r w:rsidRPr="00CA0597">
        <w:rPr>
          <w:spacing w:val="-4"/>
          <w:lang w:val="sq-AL"/>
        </w:rPr>
        <w:t xml:space="preserve">). </w:t>
      </w:r>
    </w:p>
    <w:p w:rsidR="002E69A0" w:rsidRPr="00CA0597" w:rsidRDefault="002E69A0" w:rsidP="002E69A0">
      <w:pPr>
        <w:pStyle w:val="Paragraf02"/>
        <w:rPr>
          <w:spacing w:val="-4"/>
          <w:lang w:val="sq-AL"/>
        </w:rPr>
      </w:pPr>
      <w:r w:rsidRPr="00CA0597">
        <w:rPr>
          <w:spacing w:val="-4"/>
          <w:lang w:val="sq-AL"/>
        </w:rPr>
        <w:t>3. Shterimi i mjeteve të ankimit në gjykatat e zakonshme është një kusht, i cili bën të mundur juridiksionin kushtetues për shkelje të të drejtave themelore për një proces të rregullt. Në këtë mënyrë, ky rregull përbën një aspekt të rëndë</w:t>
      </w:r>
      <w:r>
        <w:rPr>
          <w:spacing w:val="-4"/>
          <w:lang w:val="sq-AL"/>
        </w:rPr>
        <w:t>-</w:t>
      </w:r>
      <w:r w:rsidRPr="00CA0597">
        <w:rPr>
          <w:spacing w:val="-4"/>
          <w:lang w:val="sq-AL"/>
        </w:rPr>
        <w:t>sishëm të parimit se procedura e zgjidhjes së ankesave individuale përpara Gjykatës Kushtetuese është plotësuese e gjykimit në gjykatat e zakonshme lidhur me mbrojtjen e të drejtave kushtetuese (parimi i subsidiaritetit) (</w:t>
      </w:r>
      <w:r w:rsidRPr="00CA0597">
        <w:rPr>
          <w:i/>
          <w:spacing w:val="-4"/>
          <w:lang w:val="sq-AL"/>
        </w:rPr>
        <w:t>shih vendimin nr. 23, datë 4.11.2008 të Gjykatës Kushtetuese</w:t>
      </w:r>
      <w:r w:rsidRPr="00CA0597">
        <w:rPr>
          <w:spacing w:val="-4"/>
          <w:lang w:val="sq-AL"/>
        </w:rPr>
        <w:t>). Çështja e shterimit të mjeteve juridike përbën kusht paraprak që duhet përmbushur nga kërkuesi, që do të thotë se individi përpara se t’i drejtohet Gjykatës Kushtetuese, duhet të vërtetojë se ka përdorur të gjitha mjetet ligjore të njohura nga ligji dhe të mjaftueshme për të rivendosur të drejtat e shkelura. Shterimi i mjeteve juridike nënkupton se kërkuesi duhet të shfrytëzojë në rrugë normale mjetet juridike, të cilat janë të përshtatshme, të disponueshme dhe efikase për një çështje konkrete (</w:t>
      </w:r>
      <w:r w:rsidRPr="00CA0597">
        <w:rPr>
          <w:i/>
          <w:spacing w:val="-4"/>
          <w:lang w:val="sq-AL"/>
        </w:rPr>
        <w:t xml:space="preserve">shih vendimin nr. 17, datë </w:t>
      </w:r>
      <w:r w:rsidRPr="00CA0597">
        <w:rPr>
          <w:i/>
          <w:spacing w:val="-4"/>
          <w:lang w:val="sq-AL"/>
        </w:rPr>
        <w:softHyphen/>
      </w:r>
      <w:r w:rsidRPr="00CA0597">
        <w:rPr>
          <w:i/>
          <w:spacing w:val="-4"/>
          <w:lang w:val="sq-AL"/>
        </w:rPr>
        <w:softHyphen/>
        <w:t>16.5.2011 të Gjykatës Kushtetuese</w:t>
      </w:r>
      <w:r w:rsidRPr="00CA0597">
        <w:rPr>
          <w:spacing w:val="-4"/>
          <w:lang w:val="sq-AL"/>
        </w:rPr>
        <w:t>). Vetëm pasi individët të kenë konsumuar edhe shkallën e fundit të kontrollit gjyqësor të zakonshëm, këto vendime mund të kontrollohen nga Gjykata Kushtetuese nga pikëpamja e kushtetutshmërisë së tyre. Mbi këtë bazë, bëhen objekt shqyrtimi në Gjykatën Kushtetuese ato çështje gjyqësore të paraqitura nga individët për shkeljen e të drejtave të tyre, pasi vendimi i gjykatës ka marrë formë të prerë dhe nuk ekzistojnë më mjete dhe rrugë ligjore për mbrojtjen e këtyre të drejtave.</w:t>
      </w:r>
    </w:p>
    <w:p w:rsidR="002E69A0" w:rsidRPr="00CA0597" w:rsidRDefault="002E69A0" w:rsidP="002E69A0">
      <w:pPr>
        <w:pStyle w:val="Paragraf02"/>
        <w:rPr>
          <w:spacing w:val="-4"/>
          <w:lang w:val="sq-AL"/>
        </w:rPr>
      </w:pPr>
      <w:r w:rsidRPr="00CA0597">
        <w:rPr>
          <w:spacing w:val="-4"/>
          <w:lang w:val="sq-AL"/>
        </w:rPr>
        <w:t xml:space="preserve">4. Kërkuesi duhet të provojë para Gjykatës, në aspektin e shterimit të mjeteve, se nuk ka mjet tjetër ankimi ndaj shkeljeve të pretenduara dhe se shqyrtimi gjyqësor nuk mund t’i ndreqë këto shkelje. Në rrethana të tilla është në kompetencë të Gjykatës Kushtetuese të vlerësojë, sipas karakterit të çështjes konkrete dhe llojit të shkeljeve të pretenduara, nëse kërkuesi i ka shteruar ose jo të gjitha mjetet ligjore për mbrojtjen e të drejtave të pretenduara. </w:t>
      </w:r>
    </w:p>
    <w:p w:rsidR="002E69A0" w:rsidRPr="00CA0597" w:rsidRDefault="002E69A0" w:rsidP="002E69A0">
      <w:pPr>
        <w:pStyle w:val="Paragraf02"/>
        <w:rPr>
          <w:spacing w:val="-4"/>
          <w:lang w:val="sq-AL"/>
        </w:rPr>
      </w:pPr>
      <w:r w:rsidRPr="00CA0597">
        <w:rPr>
          <w:spacing w:val="-4"/>
          <w:lang w:val="sq-AL"/>
        </w:rPr>
        <w:t>5. Në kuptim të sa më sipër, në linjë edhe me qëndrimet e tjera në pakicë në çështje të së njëjtës natyrë (</w:t>
      </w:r>
      <w:r w:rsidRPr="00CA0597">
        <w:rPr>
          <w:i/>
          <w:spacing w:val="-4"/>
          <w:lang w:val="sq-AL"/>
        </w:rPr>
        <w:t xml:space="preserve">shih mendimet e pakicës në vendimet nr. 35, datë 17.7.2013 [kërkuese Anna Nordstrom] dhe nr. 56, datë 21.7.2015 </w:t>
      </w:r>
      <w:r w:rsidRPr="00CA0597">
        <w:rPr>
          <w:spacing w:val="-4"/>
          <w:lang w:val="sq-AL"/>
        </w:rPr>
        <w:t>[</w:t>
      </w:r>
      <w:r w:rsidRPr="00CA0597">
        <w:rPr>
          <w:i/>
          <w:spacing w:val="-4"/>
          <w:lang w:val="sq-AL"/>
        </w:rPr>
        <w:t>kërkues Yzeir Miraka</w:t>
      </w:r>
      <w:r w:rsidRPr="00CA0597">
        <w:rPr>
          <w:spacing w:val="-4"/>
          <w:lang w:val="sq-AL"/>
        </w:rPr>
        <w:t>]), edhe në rastin konkret vlerësoj se kërkuesi nuk duhej të ishte legjitimuar për t’iu drejtuar Gjykatës Kushtetuese, në kushtet kur çështja administrative e vënë në lëvizje prej tij është ende në shqyrtim dhe nuk ka një vendim gjyqësor përfundimtar. Siç kam theksuar edhe më parë, një qëndrim i tillë i Gjykatës për pranimin e këtyre lloj kërkesash pa përfunduar procesi gjyqësor, sjell si pasojë që i njëjti individ t’i drejtohet Gjykatës disa herë brenda të njëjtit proces gjyqësor, veçmas për çdo pretendim për zvarritje të procesit gjyqësor, në çdo shkallë të tij (edhe gjatë gjykimit të çështjes në gjykatën e apelit dhe në Gjykatën e Lartë), dhe më pas, pas përfundimit të procesit gjyqësor dhe dhënies së një vendimi përfundimtar, edhe për pretendime të tjera që lidhen me të njëjtin proces gjyqësor.</w:t>
      </w:r>
    </w:p>
    <w:p w:rsidR="002E69A0" w:rsidRPr="00CA0597" w:rsidRDefault="002E69A0" w:rsidP="002E69A0">
      <w:pPr>
        <w:pStyle w:val="Paragraf02"/>
        <w:rPr>
          <w:spacing w:val="-4"/>
          <w:lang w:val="sq-AL"/>
        </w:rPr>
      </w:pPr>
      <w:r w:rsidRPr="00CA0597">
        <w:rPr>
          <w:spacing w:val="-4"/>
          <w:lang w:val="sq-AL"/>
        </w:rPr>
        <w:t xml:space="preserve">6. Qëllimi i nenit 131/f të Kushtetutës, i cili përcakton rregullin e shterimit të mjeteve juridike, është që të mundësojë, brenda sistemit gjyqësor të zakonshëm, parandalimin ose riparimin e shkeljeve të pretenduara përpara se të tilla pretendime të paraqiten në Gjykatën Kushtetuese. Në rastin konkret, shumica nuk ka verifikuar se cilat janë garancitë procedurale me të cilat janë të pajisura palët gjatë </w:t>
      </w:r>
      <w:r w:rsidRPr="00CA0597">
        <w:rPr>
          <w:spacing w:val="-4"/>
          <w:lang w:val="sq-AL"/>
        </w:rPr>
        <w:lastRenderedPageBreak/>
        <w:t xml:space="preserve">shqyrtimit gjyqësor, nëse këto mjete konsiderohen ligjore, të njohura nga ligji, të mjaftueshme, të përshtatshme, të disponueshme dhe efikase për një çështje konkrete, si dhe nëse kërkuesi i ka shteruar mjete të tilla. Në ndryshim nga shumica, ritheksoj se individët gëzojnë të gjitha garancitë procedurale nga sistemi ligjor për rivendosjen në vend të të drejtave të tyre para se t’i drejtohen Gjykatës Kushtetuese. Pretendimet që kërkuesi ka ngritur para Gjykatës nuk janë të tilla që t’i shmangen kontrollit të mëtejshëm gjyqësor, pasi një pretendim i tillë mund të paraqitet lirisht jo vetëm para gjykatës që shqyrton çështjen, por edhe në gjykatat më të larta si shkak për apel apo për rekurs. Po ashtu, rendi ligjor ka parashikuar për palët në proces edhe mjete të tjera ligjore që u japin mundësinë atyre që në raste të tilla të kërkojnë qoftë përjashtimin e gjyqtarit, në rast se ai është shkak për vonesat në gjykim, qoftë t’i drejtohen KLD-së me ankesë për të. Këto mjete konsiderohen ligjore, të njohura nga ligji, të mjaftueshme, të përshtatshme, të disponueshme dhe efikase për një çështje konkrete. </w:t>
      </w:r>
    </w:p>
    <w:p w:rsidR="002E69A0" w:rsidRPr="00CA0597" w:rsidRDefault="002E69A0" w:rsidP="002E69A0">
      <w:pPr>
        <w:pStyle w:val="Paragraf02"/>
        <w:rPr>
          <w:spacing w:val="-4"/>
          <w:lang w:val="sq-AL"/>
        </w:rPr>
      </w:pPr>
      <w:r w:rsidRPr="00CA0597">
        <w:rPr>
          <w:spacing w:val="-4"/>
          <w:lang w:val="sq-AL"/>
        </w:rPr>
        <w:t xml:space="preserve">7. Për të gjitha argumentet e mësipërme, vlerësoj se kërkuesi Sokol Hasani nuk ka shteruar mjetet ligjore për t’iu drejtuar Gjykatës Kushtetuese, në respektim të nenit 131/f të Kushtetutës. </w:t>
      </w:r>
    </w:p>
    <w:p w:rsidR="002E69A0" w:rsidRPr="00CA0597" w:rsidRDefault="002E69A0" w:rsidP="002E69A0">
      <w:pPr>
        <w:pStyle w:val="Hapesira7"/>
        <w:rPr>
          <w:lang w:val="sq-AL"/>
        </w:rPr>
      </w:pPr>
    </w:p>
    <w:p w:rsidR="002E69A0" w:rsidRPr="00CA0597" w:rsidRDefault="002E69A0" w:rsidP="002E69A0">
      <w:pPr>
        <w:pStyle w:val="Paragraf02"/>
        <w:rPr>
          <w:spacing w:val="-4"/>
          <w:lang w:val="sq-AL"/>
        </w:rPr>
      </w:pPr>
      <w:r w:rsidRPr="00CA0597">
        <w:rPr>
          <w:spacing w:val="-4"/>
          <w:lang w:val="sq-AL"/>
        </w:rPr>
        <w:t>Anëtare: Altina Xhoxhaj</w:t>
      </w:r>
    </w:p>
    <w:p w:rsidR="00F21305" w:rsidRDefault="00F21305"/>
    <w:sectPr w:rsidR="00F2130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9A0"/>
    <w:rsid w:val="002E69A0"/>
    <w:rsid w:val="00C51FEC"/>
    <w:rsid w:val="00F2130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2E69A0"/>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2E69A0"/>
    <w:rPr>
      <w:rFonts w:ascii="Garamond" w:eastAsia="MS Mincho" w:hAnsi="Garamond" w:cs="CG Times"/>
      <w:sz w:val="24"/>
      <w:lang w:val="en-GB"/>
    </w:rPr>
  </w:style>
  <w:style w:type="paragraph" w:customStyle="1" w:styleId="Hapesira7">
    <w:name w:val="Hapesira 7"/>
    <w:basedOn w:val="Normal"/>
    <w:qFormat/>
    <w:rsid w:val="002E69A0"/>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2E69A0"/>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2E69A0"/>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2E69A0"/>
    <w:rPr>
      <w:rFonts w:ascii="Garamond" w:eastAsia="MS Mincho" w:hAnsi="Garamond" w:cs="CG Times"/>
      <w:sz w:val="24"/>
      <w:lang w:val="en-GB"/>
    </w:rPr>
  </w:style>
  <w:style w:type="paragraph" w:customStyle="1" w:styleId="Hapesira7">
    <w:name w:val="Hapesira 7"/>
    <w:basedOn w:val="Normal"/>
    <w:qFormat/>
    <w:rsid w:val="002E69A0"/>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2E69A0"/>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2576</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2016-07-08T07:10:00Z</dcterms:created>
  <dcterms:modified xsi:type="dcterms:W3CDTF">2018-01-22T08:57:00Z</dcterms:modified>
</cp:coreProperties>
</file>