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0EF" w:rsidRPr="00A57850" w:rsidRDefault="006000EF" w:rsidP="006000EF">
      <w:pPr>
        <w:pStyle w:val="NeniTitull"/>
        <w:rPr>
          <w:lang w:val="sq-AL"/>
        </w:rPr>
      </w:pPr>
      <w:r w:rsidRPr="00A57850">
        <w:rPr>
          <w:lang w:val="sq-AL"/>
        </w:rPr>
        <w:t>VENDIM</w:t>
      </w:r>
    </w:p>
    <w:p w:rsidR="006000EF" w:rsidRPr="00A57850" w:rsidRDefault="006000EF" w:rsidP="006000EF">
      <w:pPr>
        <w:pStyle w:val="NeniTitull"/>
        <w:rPr>
          <w:lang w:val="sq-AL"/>
        </w:rPr>
      </w:pPr>
      <w:r w:rsidRPr="00A57850">
        <w:rPr>
          <w:lang w:val="sq-AL"/>
        </w:rPr>
        <w:t>Nr. 38, datë 6.7.2016</w:t>
      </w:r>
    </w:p>
    <w:p w:rsidR="006000EF" w:rsidRPr="005C3BF7" w:rsidRDefault="006000EF" w:rsidP="006000EF">
      <w:pPr>
        <w:pStyle w:val="Hapesira7"/>
        <w:rPr>
          <w:sz w:val="12"/>
          <w:lang w:val="sq-AL"/>
        </w:rPr>
      </w:pPr>
    </w:p>
    <w:p w:rsidR="006000EF" w:rsidRPr="00A57850" w:rsidRDefault="006000EF" w:rsidP="006000EF">
      <w:pPr>
        <w:pStyle w:val="NeniTitull"/>
        <w:rPr>
          <w:lang w:val="sq-AL"/>
        </w:rPr>
      </w:pPr>
      <w:r w:rsidRPr="00A57850">
        <w:rPr>
          <w:lang w:val="sq-AL"/>
        </w:rPr>
        <w:t>NË EMËR TË REPUBLIKËS SË SHQIPËRISË</w:t>
      </w:r>
    </w:p>
    <w:p w:rsidR="006000EF" w:rsidRPr="005C3BF7" w:rsidRDefault="006000EF" w:rsidP="006000EF">
      <w:pPr>
        <w:pStyle w:val="Hapesira7"/>
        <w:rPr>
          <w:sz w:val="10"/>
          <w:lang w:val="sq-AL"/>
        </w:rPr>
      </w:pPr>
    </w:p>
    <w:p w:rsidR="006000EF" w:rsidRPr="00A57850" w:rsidRDefault="006000EF" w:rsidP="006000EF">
      <w:pPr>
        <w:pStyle w:val="Paragrafi"/>
        <w:rPr>
          <w:lang w:val="sq-AL"/>
        </w:rPr>
      </w:pPr>
      <w:r w:rsidRPr="00A57850">
        <w:rPr>
          <w:lang w:val="sq-AL"/>
        </w:rPr>
        <w:t>Gjykata Kushtetuese e Republikës së Shqipërisë, e përbërë nga:</w:t>
      </w:r>
    </w:p>
    <w:p w:rsidR="006000EF" w:rsidRPr="00A57850" w:rsidRDefault="006000EF" w:rsidP="006000EF">
      <w:pPr>
        <w:pStyle w:val="Paragrafi"/>
        <w:ind w:firstLine="0"/>
        <w:rPr>
          <w:lang w:val="sq-AL"/>
        </w:rPr>
      </w:pPr>
      <w:r w:rsidRPr="00A57850">
        <w:rPr>
          <w:lang w:val="sq-AL"/>
        </w:rPr>
        <w:t xml:space="preserve">Bashkim Dedja </w:t>
      </w:r>
      <w:r w:rsidRPr="00A57850">
        <w:rPr>
          <w:lang w:val="sq-AL"/>
        </w:rPr>
        <w:tab/>
        <w:t xml:space="preserve">kryetar i Gjykatës Kushtetuese </w:t>
      </w:r>
    </w:p>
    <w:p w:rsidR="006000EF" w:rsidRPr="00A57850" w:rsidRDefault="006000EF" w:rsidP="006000EF">
      <w:pPr>
        <w:pStyle w:val="Paragrafi"/>
        <w:ind w:firstLine="0"/>
        <w:rPr>
          <w:lang w:val="sq-AL"/>
        </w:rPr>
      </w:pPr>
      <w:r w:rsidRPr="00A57850">
        <w:rPr>
          <w:lang w:val="sq-AL"/>
        </w:rPr>
        <w:t>Vladimir Kristo</w:t>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 xml:space="preserve">“ </w:t>
      </w:r>
    </w:p>
    <w:p w:rsidR="006000EF" w:rsidRPr="00A57850" w:rsidRDefault="006000EF" w:rsidP="006000EF">
      <w:pPr>
        <w:pStyle w:val="Paragrafi"/>
        <w:ind w:firstLine="0"/>
        <w:rPr>
          <w:lang w:val="sq-AL"/>
        </w:rPr>
      </w:pPr>
      <w:r w:rsidRPr="00A57850">
        <w:rPr>
          <w:lang w:val="sq-AL"/>
        </w:rPr>
        <w:t>Sokol Berberi</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6000EF" w:rsidRPr="00A57850" w:rsidRDefault="006000EF" w:rsidP="006000EF">
      <w:pPr>
        <w:pStyle w:val="Paragrafi"/>
        <w:ind w:firstLine="0"/>
        <w:rPr>
          <w:lang w:val="sq-AL"/>
        </w:rPr>
      </w:pPr>
      <w:r w:rsidRPr="00A57850">
        <w:rPr>
          <w:lang w:val="sq-AL"/>
        </w:rPr>
        <w:t>Vitore Tusha</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6000EF" w:rsidRPr="00A57850" w:rsidRDefault="006000EF" w:rsidP="006000EF">
      <w:pPr>
        <w:pStyle w:val="Paragrafi"/>
        <w:ind w:firstLine="0"/>
        <w:rPr>
          <w:lang w:val="sq-AL"/>
        </w:rPr>
      </w:pPr>
      <w:r w:rsidRPr="00A57850">
        <w:rPr>
          <w:lang w:val="sq-AL"/>
        </w:rPr>
        <w:t>Altina Xhoxhaj</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6000EF" w:rsidRPr="00A57850" w:rsidRDefault="006000EF" w:rsidP="006000EF">
      <w:pPr>
        <w:pStyle w:val="Paragrafi"/>
        <w:ind w:firstLine="0"/>
        <w:rPr>
          <w:lang w:val="sq-AL"/>
        </w:rPr>
      </w:pPr>
      <w:r w:rsidRPr="00A57850">
        <w:rPr>
          <w:lang w:val="sq-AL"/>
        </w:rPr>
        <w:t xml:space="preserve">Fatmir Hoxha </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6000EF" w:rsidRPr="00A57850" w:rsidRDefault="006000EF" w:rsidP="006000EF">
      <w:pPr>
        <w:pStyle w:val="Paragrafi"/>
        <w:ind w:firstLine="0"/>
        <w:rPr>
          <w:lang w:val="sq-AL"/>
        </w:rPr>
      </w:pPr>
      <w:r w:rsidRPr="00A57850">
        <w:rPr>
          <w:lang w:val="sq-AL"/>
        </w:rPr>
        <w:t xml:space="preserve">Besnik Imeraj </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6000EF" w:rsidRPr="00A57850" w:rsidRDefault="00A84913" w:rsidP="006000EF">
      <w:pPr>
        <w:pStyle w:val="Paragrafi"/>
        <w:ind w:firstLine="0"/>
        <w:rPr>
          <w:lang w:val="sq-AL"/>
        </w:rPr>
      </w:pPr>
      <w:r>
        <w:rPr>
          <w:lang w:val="sq-AL"/>
        </w:rPr>
        <w:t>Fatos Lulo</w:t>
      </w:r>
      <w:r>
        <w:rPr>
          <w:lang w:val="sq-AL"/>
        </w:rPr>
        <w:tab/>
      </w:r>
      <w:r>
        <w:rPr>
          <w:lang w:val="sq-AL"/>
        </w:rPr>
        <w:tab/>
      </w:r>
      <w:r>
        <w:rPr>
          <w:lang w:val="sq-AL"/>
        </w:rPr>
        <w:tab/>
      </w:r>
      <w:r w:rsidR="006000EF" w:rsidRPr="00A57850">
        <w:rPr>
          <w:lang w:val="sq-AL"/>
        </w:rPr>
        <w:t>anëtar i</w:t>
      </w:r>
      <w:r w:rsidR="006000EF" w:rsidRPr="00A57850">
        <w:rPr>
          <w:lang w:val="sq-AL"/>
        </w:rPr>
        <w:tab/>
      </w:r>
      <w:r w:rsidR="006000EF" w:rsidRPr="00A57850">
        <w:rPr>
          <w:lang w:val="sq-AL"/>
        </w:rPr>
        <w:tab/>
        <w:t>“</w:t>
      </w:r>
      <w:r w:rsidR="006000EF" w:rsidRPr="00A57850">
        <w:rPr>
          <w:lang w:val="sq-AL"/>
        </w:rPr>
        <w:tab/>
      </w:r>
      <w:r w:rsidR="006000EF" w:rsidRPr="00A57850">
        <w:rPr>
          <w:lang w:val="sq-AL"/>
        </w:rPr>
        <w:tab/>
        <w:t>“</w:t>
      </w:r>
    </w:p>
    <w:p w:rsidR="006000EF" w:rsidRPr="00A57850" w:rsidRDefault="006000EF" w:rsidP="006000EF">
      <w:pPr>
        <w:pStyle w:val="Paragrafi"/>
        <w:ind w:firstLine="0"/>
        <w:rPr>
          <w:lang w:val="sq-AL"/>
        </w:rPr>
      </w:pPr>
      <w:r w:rsidRPr="00A57850">
        <w:rPr>
          <w:lang w:val="sq-AL"/>
        </w:rPr>
        <w:t>Gani Dizdari</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6000EF" w:rsidRPr="00A57850" w:rsidRDefault="006000EF" w:rsidP="006000EF">
      <w:pPr>
        <w:pStyle w:val="Paragrafi"/>
        <w:rPr>
          <w:lang w:val="sq-AL"/>
        </w:rPr>
      </w:pPr>
      <w:r w:rsidRPr="00A57850">
        <w:rPr>
          <w:lang w:val="sq-AL"/>
        </w:rPr>
        <w:t>me sekretare Edmira Babaj, në datën 7.4.2016 mori në shqyrtim, mbi bazë dokumentesh, çështjen nr. 4 Akti, që i përket:</w:t>
      </w:r>
    </w:p>
    <w:p w:rsidR="006000EF" w:rsidRPr="00A57850" w:rsidRDefault="006000EF" w:rsidP="006000EF">
      <w:pPr>
        <w:pStyle w:val="Paragrafi"/>
        <w:rPr>
          <w:lang w:val="sq-AL"/>
        </w:rPr>
      </w:pPr>
      <w:r w:rsidRPr="00A57850">
        <w:rPr>
          <w:lang w:val="sq-AL"/>
        </w:rPr>
        <w:t>KËRKUES: Viktori Qirjazi, Brikena Qirjazi, Qirjako Qirjazi</w:t>
      </w:r>
    </w:p>
    <w:p w:rsidR="006000EF" w:rsidRPr="00A57850" w:rsidRDefault="006000EF" w:rsidP="006000EF">
      <w:pPr>
        <w:pStyle w:val="Paragrafi"/>
        <w:rPr>
          <w:lang w:val="sq-AL"/>
        </w:rPr>
      </w:pPr>
      <w:r w:rsidRPr="00A57850">
        <w:rPr>
          <w:lang w:val="sq-AL"/>
        </w:rPr>
        <w:t xml:space="preserve">SUBJEKTE TË INTERESUARA: Artan Treska, Etleva Goga (Maliqi), Florika Maliqi </w:t>
      </w:r>
    </w:p>
    <w:p w:rsidR="006000EF" w:rsidRPr="00A57850" w:rsidRDefault="006000EF" w:rsidP="006000EF">
      <w:pPr>
        <w:pStyle w:val="Paragrafi"/>
        <w:rPr>
          <w:lang w:val="sq-AL"/>
        </w:rPr>
      </w:pPr>
      <w:r w:rsidRPr="00A57850">
        <w:rPr>
          <w:lang w:val="sq-AL"/>
        </w:rPr>
        <w:t xml:space="preserve">OBJEKTI: </w:t>
      </w:r>
      <w:r w:rsidRPr="00A57850">
        <w:rPr>
          <w:lang w:val="sq-AL"/>
        </w:rPr>
        <w:tab/>
        <w:t>Shfuqizimi si i papajtueshëm me Kushtetutën e Republikës së Shqipërisë i vendimit nr. 00-2015-(384), datë 23.9.2015 të Kolegjit Civil të Gjykatës së Lartë.</w:t>
      </w:r>
    </w:p>
    <w:p w:rsidR="006000EF" w:rsidRPr="00A57850" w:rsidRDefault="006000EF" w:rsidP="006000EF">
      <w:pPr>
        <w:pStyle w:val="Paragrafi"/>
        <w:rPr>
          <w:lang w:val="sq-AL"/>
        </w:rPr>
      </w:pPr>
      <w:r w:rsidRPr="00A57850">
        <w:rPr>
          <w:lang w:val="sq-AL"/>
        </w:rPr>
        <w:t xml:space="preserve">BAZA LIGJORE: Nenet 33, 41, 42, 131/f dhe 134/1/g të Kushtetutës së Republikës së Shqipërisë, neni 6 i Konventës Evropiane për të Drejtat e Njeriut, si dhe neni 1 i Protokollit nr. 1 të KEDNJ-së. </w:t>
      </w:r>
    </w:p>
    <w:p w:rsidR="006000EF" w:rsidRPr="00A57850" w:rsidRDefault="006000EF" w:rsidP="006000EF">
      <w:pPr>
        <w:pStyle w:val="Hapesira7"/>
        <w:rPr>
          <w:lang w:val="sq-AL"/>
        </w:rPr>
      </w:pPr>
    </w:p>
    <w:p w:rsidR="006000EF" w:rsidRPr="00A57850" w:rsidRDefault="006000EF" w:rsidP="006000EF">
      <w:pPr>
        <w:pStyle w:val="NeniNr"/>
        <w:rPr>
          <w:lang w:val="sq-AL"/>
        </w:rPr>
      </w:pPr>
      <w:r w:rsidRPr="00A57850">
        <w:rPr>
          <w:lang w:val="sq-AL"/>
        </w:rPr>
        <w:t>GJYKATA KUSHTETUESE,</w:t>
      </w:r>
    </w:p>
    <w:p w:rsidR="006000EF" w:rsidRPr="00A57850" w:rsidRDefault="006000EF" w:rsidP="006000EF">
      <w:pPr>
        <w:pStyle w:val="Hapesira7"/>
        <w:rPr>
          <w:lang w:val="sq-AL"/>
        </w:rPr>
      </w:pPr>
    </w:p>
    <w:p w:rsidR="006000EF" w:rsidRPr="00A57850" w:rsidRDefault="006000EF" w:rsidP="006000EF">
      <w:pPr>
        <w:pStyle w:val="Paragrafi"/>
        <w:rPr>
          <w:lang w:val="sq-AL"/>
        </w:rPr>
      </w:pPr>
      <w:r w:rsidRPr="00A57850">
        <w:rPr>
          <w:lang w:val="sq-AL"/>
        </w:rPr>
        <w:t>pasi dëgjoi relatorin e çështjes, Gani Dizdari, mori në shqyrtim pretendimet me shkrim të kërkuesve, të cilët kanë kërkuar pranimin e kërkesës, dhe pretendimet me shkrim të subjekteve të interesuara, të cilat kanë kërkuar rrëzimin e kërkesës, si dhe diskutoi çështjen në tërësi,</w:t>
      </w:r>
    </w:p>
    <w:p w:rsidR="006000EF" w:rsidRPr="00A57850" w:rsidRDefault="006000EF" w:rsidP="006000EF">
      <w:pPr>
        <w:pStyle w:val="NeniNr"/>
        <w:rPr>
          <w:lang w:val="sq-AL"/>
        </w:rPr>
      </w:pPr>
      <w:r w:rsidRPr="00A57850">
        <w:rPr>
          <w:lang w:val="sq-AL"/>
        </w:rPr>
        <w:t>VËREN:</w:t>
      </w:r>
    </w:p>
    <w:p w:rsidR="006000EF" w:rsidRPr="00A57850" w:rsidRDefault="006000EF" w:rsidP="006000EF">
      <w:pPr>
        <w:pStyle w:val="NeniNr"/>
        <w:rPr>
          <w:b/>
          <w:lang w:val="sq-AL"/>
        </w:rPr>
      </w:pPr>
      <w:r w:rsidRPr="00A57850">
        <w:rPr>
          <w:b/>
          <w:lang w:val="sq-AL"/>
        </w:rPr>
        <w:t xml:space="preserve"> I</w:t>
      </w:r>
    </w:p>
    <w:p w:rsidR="006000EF" w:rsidRPr="00A57850" w:rsidRDefault="006000EF" w:rsidP="006000EF">
      <w:pPr>
        <w:pStyle w:val="Hapesira7"/>
        <w:rPr>
          <w:lang w:val="sq-AL"/>
        </w:rPr>
      </w:pPr>
      <w:r w:rsidRPr="00A57850">
        <w:rPr>
          <w:lang w:val="sq-AL"/>
        </w:rPr>
        <w:t xml:space="preserve"> </w:t>
      </w:r>
    </w:p>
    <w:p w:rsidR="006000EF" w:rsidRPr="00A57850" w:rsidRDefault="006000EF" w:rsidP="006000EF">
      <w:pPr>
        <w:pStyle w:val="Paragrafi"/>
        <w:rPr>
          <w:lang w:val="sq-AL"/>
        </w:rPr>
      </w:pPr>
      <w:r w:rsidRPr="00A57850">
        <w:rPr>
          <w:lang w:val="sq-AL"/>
        </w:rPr>
        <w:t>1. Subjektet e interesuara (A. Treska etj.) kanë paraqitur një padi në Gjykatën e Rrethit Gjyqësor Korçë, duke paditur kërkuesit, prej të cilëve kanë kërkuar: njohjen si bashkëtrashëgimtarë në ¾-at pjesë të truallit me sipërfaqe 900 m</w:t>
      </w:r>
      <w:r w:rsidRPr="00A57850">
        <w:rPr>
          <w:vertAlign w:val="superscript"/>
          <w:lang w:val="sq-AL"/>
        </w:rPr>
        <w:t>2</w:t>
      </w:r>
      <w:r w:rsidRPr="00A57850">
        <w:rPr>
          <w:lang w:val="sq-AL"/>
        </w:rPr>
        <w:t>, të ndodhur në qytetin e Korçës, të pasurisë së ish-pronares P.M., të njohur, të kthyer e të kompensuar me vendimin nr. 275, datë 2.5.2003 të Komisionit të Kthimit dhe Kompensimit të Pronave, Korçë (në vijim “KKKP”) dhe me vendimin nr. 632, datë 21.4.1995, të KKKP-së Korçë; dorëzimin e pjesës përkatëse të kësaj pasurie trashëgimore, duke urdhëruar subjektin e interesuar, Zyrën Vendore të Regjistrimit të Pasurive të Paluajt-shme, Korçë (në vijim “ZVRPP”), të bëjë regjistrimin e ¾-ve pjesë të pasurisë trashëgimore në emër të tyre.</w:t>
      </w:r>
    </w:p>
    <w:p w:rsidR="006000EF" w:rsidRPr="00A57850" w:rsidRDefault="006000EF" w:rsidP="006000EF">
      <w:pPr>
        <w:pStyle w:val="Paragrafi"/>
        <w:rPr>
          <w:i/>
          <w:lang w:val="sq-AL"/>
        </w:rPr>
      </w:pPr>
      <w:r w:rsidRPr="00A57850">
        <w:rPr>
          <w:lang w:val="sq-AL"/>
        </w:rPr>
        <w:t xml:space="preserve">2. Gjykata e Rrethit Gjyqësor Korçë, me vendimin nr. 41–2010–3174 (2000), datë 30.7.2010, ka vendosur: </w:t>
      </w:r>
      <w:r w:rsidRPr="00A57850">
        <w:rPr>
          <w:i/>
          <w:lang w:val="sq-AL"/>
        </w:rPr>
        <w:t>“Pranimin pjesërisht të kërkesëpadisë. Detyrimin e të paditurve, Viktori Qirjazi, Brikena Qirjazi, Qirjako Qirjazi, të njohin bashkëpronarë për shkak të trashëgimisë paditësit Artan Treska, Etleva Gogo, Florika Maliqi mbi pasurinë e paluajtshme të regjistruar në ZRPP-në Korçë me nr. 5/276 pasurie, zona kadastrale nr. 8563, vol.19, faqe 232, me sipërfaqe 900 m², e ndodhur në Korçë në rrugën “Papa Kristo Negovani“ e më konkretisht të dorëzojnë pjesën prej 202.8 m² nga ky truall. Rrëzimin e padisë për pjesët e tjera të saj. Regjistrimin e këtij vendimi gjyqësor dhe të disponimeve të tij në ZRPP-në Korçë pasi të marrë formë të prerë.”.</w:t>
      </w:r>
    </w:p>
    <w:p w:rsidR="006000EF" w:rsidRPr="00A57850" w:rsidRDefault="006000EF" w:rsidP="006000EF">
      <w:pPr>
        <w:pStyle w:val="Paragrafi"/>
        <w:rPr>
          <w:i/>
          <w:lang w:val="sq-AL"/>
        </w:rPr>
      </w:pPr>
      <w:r w:rsidRPr="00A57850">
        <w:rPr>
          <w:lang w:val="sq-AL"/>
        </w:rPr>
        <w:t xml:space="preserve">3. Gjykata e Apelit Korçë, me vendimin nr. 530, datë, 20.12.2010, ka vendosur: </w:t>
      </w:r>
      <w:r w:rsidRPr="00A57850">
        <w:rPr>
          <w:i/>
          <w:lang w:val="sq-AL"/>
        </w:rPr>
        <w:t xml:space="preserve">“Lënien në fuqi të vendimit nr. 2000, datë 30.7.2010 të Gjykatës së Rrethit Gjyqësor Korçë për sa i përket pjesës së rrëzuar të padisë së paditësve, Artan Treska, Etleva Gogo dhe Florika Maliqi. Ndryshimin e pjesës tjetër të këtij vendimi si më poshtë: rrëzimin e padisë së paditësve për sa i përket kërkimit për pasurinë trashëgimore në emër të </w:t>
      </w:r>
      <w:r w:rsidRPr="00A57850">
        <w:rPr>
          <w:i/>
          <w:lang w:val="sq-AL"/>
        </w:rPr>
        <w:lastRenderedPageBreak/>
        <w:t>trashëgimlënëses Dhimitra Maliqi.”.</w:t>
      </w:r>
    </w:p>
    <w:p w:rsidR="006000EF" w:rsidRPr="00A57850" w:rsidRDefault="006000EF" w:rsidP="006000EF">
      <w:pPr>
        <w:pStyle w:val="Paragrafi"/>
        <w:rPr>
          <w:i/>
          <w:lang w:val="sq-AL"/>
        </w:rPr>
      </w:pPr>
      <w:r w:rsidRPr="00A57850">
        <w:rPr>
          <w:lang w:val="sq-AL"/>
        </w:rPr>
        <w:t>4. Kundër vendimit të Gjykatës së Apelit Korçë, në bazë të nenit 472 të Kodit të Procedurës Civile, kanë ushtruar rekurs Artan Treska, Etleva Gogo dhe Florika Maliqi. Kolegji Civil i Gjykatës së Lartë, me vendimin nr. 00–2012–240, datë 8.2.2012, ka vendosur</w:t>
      </w:r>
      <w:r w:rsidRPr="00A57850">
        <w:rPr>
          <w:i/>
          <w:lang w:val="sq-AL"/>
        </w:rPr>
        <w:t>: “Mospranimin e rekursit të paraqitur nga Artan Treska, Etleva Gogo dhe Florika Maliqi kundër vendimit nr. 530, datë 20.12.2010 të Gjykatës së Apelit Korçë.”.</w:t>
      </w:r>
    </w:p>
    <w:p w:rsidR="006000EF" w:rsidRPr="00A57850" w:rsidRDefault="006000EF" w:rsidP="006000EF">
      <w:pPr>
        <w:pStyle w:val="Paragrafi"/>
        <w:rPr>
          <w:i/>
          <w:lang w:val="sq-AL"/>
        </w:rPr>
      </w:pPr>
      <w:r w:rsidRPr="00A57850">
        <w:rPr>
          <w:lang w:val="sq-AL"/>
        </w:rPr>
        <w:t>5. Gjykata Kushtetuese, me vendimin nr. 55, datë 3.6.2014, ka vendosur</w:t>
      </w:r>
      <w:r w:rsidRPr="00A57850">
        <w:rPr>
          <w:i/>
          <w:lang w:val="sq-AL"/>
        </w:rPr>
        <w:t>: “Shfuqizimin e vendimit nr. 240, datë 8.2.2012 të Kolegjit Civil të Gjykatës së Lartë. Dërgimin e çështjes për rishqyrtim në Gjykatën e Lartë.”.</w:t>
      </w:r>
    </w:p>
    <w:p w:rsidR="006000EF" w:rsidRPr="00A57850" w:rsidRDefault="006000EF" w:rsidP="006000EF">
      <w:pPr>
        <w:pStyle w:val="Paragrafi"/>
        <w:rPr>
          <w:i/>
          <w:lang w:val="sq-AL"/>
        </w:rPr>
      </w:pPr>
      <w:r w:rsidRPr="00A57850">
        <w:rPr>
          <w:lang w:val="sq-AL"/>
        </w:rPr>
        <w:t xml:space="preserve">6. Kolegji Civil i Gjykatë së Lartë, me vendimin nr. 00–2015–(384), datë 23.9.2015, ka vendosur: </w:t>
      </w:r>
      <w:r w:rsidRPr="00A57850">
        <w:rPr>
          <w:i/>
          <w:lang w:val="sq-AL"/>
        </w:rPr>
        <w:t>“Ndryshimin e vendimit nr. 41</w:t>
      </w:r>
      <w:r w:rsidRPr="00A57850">
        <w:rPr>
          <w:lang w:val="sq-AL"/>
        </w:rPr>
        <w:t>–</w:t>
      </w:r>
      <w:r w:rsidRPr="00A57850">
        <w:rPr>
          <w:i/>
          <w:lang w:val="sq-AL"/>
        </w:rPr>
        <w:t>2010</w:t>
      </w:r>
      <w:r w:rsidRPr="00A57850">
        <w:rPr>
          <w:lang w:val="sq-AL"/>
        </w:rPr>
        <w:t>–</w:t>
      </w:r>
      <w:r w:rsidRPr="00A57850">
        <w:rPr>
          <w:i/>
          <w:lang w:val="sq-AL"/>
        </w:rPr>
        <w:t>3174 (2000), datë 30.7.2010 të Gjykatës së Rrethit Gjyqësor Korçë, si dhe të vendimit nr. 530, datë 20.12.2010 të Gjykatës së Apelit Korçë dhe pranimin e padisë së palës paditëse Artan Treska dhe Etleva Gogo (Maliqi).”.</w:t>
      </w:r>
    </w:p>
    <w:p w:rsidR="006000EF" w:rsidRPr="00A57850" w:rsidRDefault="006000EF" w:rsidP="006000EF">
      <w:pPr>
        <w:pStyle w:val="NeniTitull"/>
        <w:rPr>
          <w:lang w:val="sq-AL"/>
        </w:rPr>
      </w:pPr>
      <w:r w:rsidRPr="00A57850">
        <w:rPr>
          <w:lang w:val="sq-AL"/>
        </w:rPr>
        <w:t>II</w:t>
      </w:r>
    </w:p>
    <w:p w:rsidR="006000EF" w:rsidRPr="00A57850" w:rsidRDefault="006000EF" w:rsidP="006000EF">
      <w:pPr>
        <w:pStyle w:val="Hapesira7"/>
        <w:rPr>
          <w:lang w:val="sq-AL"/>
        </w:rPr>
      </w:pPr>
    </w:p>
    <w:p w:rsidR="006000EF" w:rsidRPr="00A57850" w:rsidRDefault="006000EF" w:rsidP="006000EF">
      <w:pPr>
        <w:pStyle w:val="Paragrafi"/>
        <w:rPr>
          <w:lang w:val="sq-AL"/>
        </w:rPr>
      </w:pPr>
      <w:r w:rsidRPr="00A57850">
        <w:rPr>
          <w:lang w:val="sq-AL"/>
        </w:rPr>
        <w:t xml:space="preserve">7. </w:t>
      </w:r>
      <w:r w:rsidRPr="00A57850">
        <w:rPr>
          <w:b/>
          <w:i/>
          <w:lang w:val="sq-AL"/>
        </w:rPr>
        <w:t>Kërkuesit</w:t>
      </w:r>
      <w:r w:rsidRPr="00A57850">
        <w:rPr>
          <w:lang w:val="sq-AL"/>
        </w:rPr>
        <w:t xml:space="preserve"> i janë drejtuar me kërkesë Gjykatës Kushtetuese (Gjykata) sipas objektit të kërkesës, duke paraqitur këto shkaqe në mënyrë të përmbledhur:</w:t>
      </w:r>
    </w:p>
    <w:p w:rsidR="006000EF" w:rsidRPr="00A57850" w:rsidRDefault="006000EF" w:rsidP="006000EF">
      <w:pPr>
        <w:pStyle w:val="Paragrafi"/>
        <w:rPr>
          <w:lang w:val="sq-AL"/>
        </w:rPr>
      </w:pPr>
      <w:r w:rsidRPr="00A57850">
        <w:rPr>
          <w:lang w:val="sq-AL"/>
        </w:rPr>
        <w:t>7.1 Kolegji Civil i Gjykatës së Lartë ka shkelur parimin e gjykatës së caktuar me ligj, pasi duke ndryshuar faktet dhe rrethanat ka kaluar kufijtë e shqyrtimit të çështjes. Ai ka arritur në përfundime të ndryshme nga dy gjykatat më të ulëta, duke u kthyer në gjykatë fakti dhe jo ligji.</w:t>
      </w:r>
    </w:p>
    <w:p w:rsidR="006000EF" w:rsidRPr="00A57850" w:rsidRDefault="006000EF" w:rsidP="006000EF">
      <w:pPr>
        <w:pStyle w:val="Paragrafi"/>
        <w:rPr>
          <w:lang w:val="sq-AL"/>
        </w:rPr>
      </w:pPr>
      <w:r w:rsidRPr="00A57850">
        <w:rPr>
          <w:lang w:val="sq-AL"/>
        </w:rPr>
        <w:t>7.2 Nuk është respektuar standardi i arsyetimit të vendimit gjyqësor. Ai është kontra-diktor dhe jologjik. Në arsyetim ka kundërthënie, gjë që e bën vendimin të cenueshëm.</w:t>
      </w:r>
    </w:p>
    <w:p w:rsidR="006000EF" w:rsidRPr="00A57850" w:rsidRDefault="006000EF" w:rsidP="006000EF">
      <w:pPr>
        <w:pStyle w:val="Paragrafi"/>
        <w:rPr>
          <w:lang w:val="sq-AL"/>
        </w:rPr>
      </w:pPr>
      <w:r w:rsidRPr="00A57850">
        <w:rPr>
          <w:lang w:val="sq-AL"/>
        </w:rPr>
        <w:t>8</w:t>
      </w:r>
      <w:r w:rsidRPr="00A57850">
        <w:rPr>
          <w:b/>
          <w:i/>
          <w:lang w:val="sq-AL"/>
        </w:rPr>
        <w:t xml:space="preserve">. Subjektet e interesuara </w:t>
      </w:r>
      <w:r w:rsidRPr="00A57850">
        <w:rPr>
          <w:lang w:val="sq-AL"/>
        </w:rPr>
        <w:t>kanë parashtruar se:</w:t>
      </w:r>
    </w:p>
    <w:p w:rsidR="006000EF" w:rsidRPr="00A57850" w:rsidRDefault="006000EF" w:rsidP="006000EF">
      <w:pPr>
        <w:pStyle w:val="Paragrafi"/>
        <w:rPr>
          <w:lang w:val="sq-AL"/>
        </w:rPr>
      </w:pPr>
      <w:r w:rsidRPr="00A57850">
        <w:rPr>
          <w:lang w:val="sq-AL"/>
        </w:rPr>
        <w:t xml:space="preserve">8.1 Pretendimi i kërkuesve se nuk është respektuar parimi i gjykatës së caktuar me ligj nuk është i bazuar, pasi gjykata nuk ka shtrembëruar faktet dhe nuk ka marrë fakte të reja, por mbi bazën e fakteve të mbledhura dhe të pranuara nga gjykatat e faktit ka arritur në një përfundim të ndryshëm. </w:t>
      </w:r>
    </w:p>
    <w:p w:rsidR="006000EF" w:rsidRPr="00A57850" w:rsidRDefault="006000EF" w:rsidP="006000EF">
      <w:pPr>
        <w:pStyle w:val="Paragrafi"/>
        <w:rPr>
          <w:lang w:val="sq-AL"/>
        </w:rPr>
      </w:pPr>
      <w:r w:rsidRPr="00A57850">
        <w:rPr>
          <w:lang w:val="sq-AL"/>
        </w:rPr>
        <w:t>8.2 Nuk është i bazuar as pretendimi për mosarsyetimin e vendimit nga ana e Kolegjit Civil, pasi ky Kolegj ka dhënë të gjitha argumentet e nevojshme lidhur me zbatimin e ligjit për konfliktin konkret. Kërkuesit janë përpjekur të ngatërrojnë gjykatën duke lidhur dorëzimin e sendit me çështjen e ligjit të zbatueshëm në rastin e trashëgimisë. Dorëzimi i sendit, siç ka pranuar edhe Gjykata e Lartë, nuk mund të bëhet pa u bërë pjesëtimi midis bashkëpronarëve dhe është i shkëputur nga ky gjykim konkret.</w:t>
      </w:r>
    </w:p>
    <w:p w:rsidR="006000EF" w:rsidRPr="00A57850" w:rsidRDefault="006000EF" w:rsidP="006000EF">
      <w:pPr>
        <w:pStyle w:val="NeniTitull"/>
        <w:rPr>
          <w:lang w:val="sq-AL"/>
        </w:rPr>
      </w:pPr>
      <w:r w:rsidRPr="00A57850">
        <w:rPr>
          <w:lang w:val="sq-AL"/>
        </w:rPr>
        <w:t>III</w:t>
      </w:r>
    </w:p>
    <w:p w:rsidR="006000EF" w:rsidRPr="00A57850" w:rsidRDefault="006000EF" w:rsidP="006000EF">
      <w:pPr>
        <w:pStyle w:val="NeniTitull"/>
        <w:rPr>
          <w:lang w:val="sq-AL"/>
        </w:rPr>
      </w:pPr>
      <w:r w:rsidRPr="00A57850">
        <w:rPr>
          <w:lang w:val="sq-AL"/>
        </w:rPr>
        <w:t>Vlerësimi i Gjykatës Kushtetuese</w:t>
      </w:r>
    </w:p>
    <w:p w:rsidR="006000EF" w:rsidRPr="00A57850" w:rsidRDefault="006000EF" w:rsidP="006000EF">
      <w:pPr>
        <w:pStyle w:val="Hapesira7"/>
        <w:rPr>
          <w:lang w:val="sq-AL"/>
        </w:rPr>
      </w:pPr>
    </w:p>
    <w:p w:rsidR="006000EF" w:rsidRPr="00A57850" w:rsidRDefault="006000EF" w:rsidP="006000EF">
      <w:pPr>
        <w:pStyle w:val="Paragrafi"/>
        <w:rPr>
          <w:i/>
          <w:lang w:val="sq-AL"/>
        </w:rPr>
      </w:pPr>
      <w:r w:rsidRPr="00A57850">
        <w:rPr>
          <w:i/>
          <w:lang w:val="sq-AL"/>
        </w:rPr>
        <w:t>A. Në lidhje me legjitimimin e kërkuesit</w:t>
      </w:r>
    </w:p>
    <w:p w:rsidR="006000EF" w:rsidRPr="00A57850" w:rsidRDefault="006000EF" w:rsidP="006000EF">
      <w:pPr>
        <w:pStyle w:val="Paragrafi"/>
        <w:rPr>
          <w:lang w:val="sq-AL"/>
        </w:rPr>
      </w:pPr>
      <w:r w:rsidRPr="00A57850">
        <w:rPr>
          <w:lang w:val="sq-AL"/>
        </w:rPr>
        <w:t xml:space="preserve">9. Kërkuesit legjitimohen </w:t>
      </w:r>
      <w:r w:rsidRPr="00A57850">
        <w:rPr>
          <w:i/>
          <w:lang w:val="sq-AL"/>
        </w:rPr>
        <w:t>ratione personae</w:t>
      </w:r>
      <w:r w:rsidRPr="00A57850">
        <w:rPr>
          <w:lang w:val="sq-AL"/>
        </w:rPr>
        <w:t xml:space="preserve">, në kuptim të rregullimit kushtetues të neneve 131/f dhe 134/g të Kushtetutës, dhe </w:t>
      </w:r>
      <w:r w:rsidRPr="00A57850">
        <w:rPr>
          <w:i/>
          <w:lang w:val="sq-AL"/>
        </w:rPr>
        <w:t>ratione temporis</w:t>
      </w:r>
      <w:r w:rsidRPr="00A57850">
        <w:rPr>
          <w:lang w:val="sq-AL"/>
        </w:rPr>
        <w:t xml:space="preserve">, pasi kërkesa është paraqitur brenda afatit të parashikuar nga neni 30, pika 2, i ligjit nr. 8577, datë 10.2.2000, “Për organizimin dhe funksio-nimin e Gjykatës Kushtetuese”. </w:t>
      </w:r>
    </w:p>
    <w:p w:rsidR="006000EF" w:rsidRPr="00A57850" w:rsidRDefault="006000EF" w:rsidP="006000EF">
      <w:pPr>
        <w:pStyle w:val="Paragrafi"/>
        <w:rPr>
          <w:lang w:val="sq-AL"/>
        </w:rPr>
      </w:pPr>
      <w:r w:rsidRPr="00A57850">
        <w:rPr>
          <w:lang w:val="sq-AL"/>
        </w:rPr>
        <w:t xml:space="preserve">10. Në lidhje me legjitimimin </w:t>
      </w:r>
      <w:r w:rsidRPr="00A57850">
        <w:rPr>
          <w:i/>
          <w:lang w:val="sq-AL"/>
        </w:rPr>
        <w:t>ratione materiae</w:t>
      </w:r>
      <w:r w:rsidRPr="00A57850">
        <w:rPr>
          <w:lang w:val="sq-AL"/>
        </w:rPr>
        <w:t xml:space="preserve">, Gjykata vëren se në përmbajtjen e kërkesës evidentohen pretendimet për cenimin e standardit kushtetues të arsyetimit të vendimit gjyqësor dhe të parimit të gjykatës së caktuar me ligj. Për rrjedhojë, kërkuesit legjitimohen </w:t>
      </w:r>
      <w:r w:rsidRPr="00A57850">
        <w:rPr>
          <w:i/>
          <w:lang w:val="sq-AL"/>
        </w:rPr>
        <w:t>ratione materiae</w:t>
      </w:r>
      <w:r w:rsidRPr="00A57850">
        <w:rPr>
          <w:lang w:val="sq-AL"/>
        </w:rPr>
        <w:t xml:space="preserve">. </w:t>
      </w:r>
    </w:p>
    <w:p w:rsidR="006000EF" w:rsidRPr="00A57850" w:rsidRDefault="006000EF" w:rsidP="006000EF">
      <w:pPr>
        <w:pStyle w:val="Paragrafi"/>
        <w:rPr>
          <w:lang w:val="sq-AL"/>
        </w:rPr>
      </w:pPr>
      <w:r w:rsidRPr="00A57850">
        <w:rPr>
          <w:lang w:val="sq-AL"/>
        </w:rPr>
        <w:t xml:space="preserve">11. Gjykata rithekson se ajo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w:t>
      </w:r>
      <w:r w:rsidRPr="00A57850">
        <w:rPr>
          <w:lang w:val="sq-AL"/>
        </w:rPr>
        <w:lastRenderedPageBreak/>
        <w:t>elementin thelbësor në përcaktimin e autoritetit të një gjykimi kushtetues (</w:t>
      </w:r>
      <w:r w:rsidRPr="00A57850">
        <w:rPr>
          <w:i/>
          <w:lang w:val="sq-AL"/>
        </w:rPr>
        <w:t>shih vendimin nr. 16, datë 19.4.2013 të Gjykatës Kushtetuese</w:t>
      </w:r>
      <w:r w:rsidRPr="00A57850">
        <w:rPr>
          <w:lang w:val="sq-AL"/>
        </w:rPr>
        <w:t>).</w:t>
      </w:r>
    </w:p>
    <w:p w:rsidR="006000EF" w:rsidRPr="00A57850" w:rsidRDefault="006000EF" w:rsidP="006000EF">
      <w:pPr>
        <w:pStyle w:val="Paragrafi"/>
        <w:rPr>
          <w:i/>
          <w:lang w:val="sq-AL"/>
        </w:rPr>
      </w:pPr>
      <w:r w:rsidRPr="00A57850">
        <w:rPr>
          <w:i/>
          <w:lang w:val="sq-AL"/>
        </w:rPr>
        <w:t xml:space="preserve">B. Për cenimin e standardit kushtetues të arsyetimit të vendimit të Gjykatës së Lartë </w:t>
      </w:r>
    </w:p>
    <w:p w:rsidR="006000EF" w:rsidRPr="00A57850" w:rsidRDefault="006000EF" w:rsidP="006000EF">
      <w:pPr>
        <w:pStyle w:val="Paragrafi"/>
        <w:rPr>
          <w:lang w:val="sq-AL"/>
        </w:rPr>
      </w:pPr>
      <w:r w:rsidRPr="00A57850">
        <w:rPr>
          <w:lang w:val="sq-AL"/>
        </w:rPr>
        <w:t xml:space="preserve">12. Kërkuesit pretendojnë se nuk është respektuar standardi kushtetues i arsyetimit të vendimit gjyqësor nga Kolegji Civil. Ai është kontradiktor dhe jologjik. Sipas tyre, në arsyetim ka kundërthënie, gjë që e bën vendimin të cenueshëm. </w:t>
      </w:r>
    </w:p>
    <w:p w:rsidR="006000EF" w:rsidRPr="00A57850" w:rsidRDefault="006000EF" w:rsidP="006000EF">
      <w:pPr>
        <w:pStyle w:val="Paragrafi"/>
        <w:rPr>
          <w:lang w:val="sq-AL"/>
        </w:rPr>
      </w:pPr>
      <w:r w:rsidRPr="00A57850">
        <w:rPr>
          <w:lang w:val="sq-AL"/>
        </w:rPr>
        <w:t>13. Gjykata ka theksuar se në funksion të garantimit të së drejtës së aksesit është e një rëndësie thelbësore respektimi i standardit kushtetues të arsyetimit të vendimit gjyqësor. Funksioni i një vendimi të arsyetuar është t’u tregojë palëve se ato janë dëgjuar, si dhe u jep mundësinë atyre ta kundërshtojnë atë (</w:t>
      </w:r>
      <w:r w:rsidRPr="00A57850">
        <w:rPr>
          <w:i/>
          <w:lang w:val="sq-AL"/>
        </w:rPr>
        <w:t>shih vendi-min nr. 3, datë 23.1.2014 të Gjykatës Kushtetuese</w:t>
      </w:r>
      <w:r w:rsidRPr="00A57850">
        <w:rPr>
          <w:lang w:val="sq-AL"/>
        </w:rPr>
        <w:t>).</w:t>
      </w:r>
    </w:p>
    <w:p w:rsidR="006000EF" w:rsidRPr="00A57850" w:rsidRDefault="006000EF" w:rsidP="006000EF">
      <w:pPr>
        <w:pStyle w:val="Paragrafi"/>
        <w:rPr>
          <w:lang w:val="sq-AL"/>
        </w:rPr>
      </w:pPr>
      <w:r w:rsidRPr="00A57850">
        <w:rPr>
          <w:lang w:val="sq-AL"/>
        </w:rPr>
        <w:t>14. Po ashtu, Gjykata ka vlerësuar se bazuar në parashikimet e normave procedurale që përcaktojnë elementet që duhet të përmbajë një vendim gjyqësor, si dhe bazuar në veçoritë e gjykimit në Gjykatën e Lartë dhe në praktikën e saj,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A57850">
        <w:rPr>
          <w:i/>
          <w:lang w:val="sq-AL"/>
        </w:rPr>
        <w:t>shih vendimin nr. 82, datë 28.12.2015 të Gjykatës Kushtetuese</w:t>
      </w:r>
      <w:r w:rsidRPr="00A57850">
        <w:rPr>
          <w:lang w:val="sq-AL"/>
        </w:rPr>
        <w:t xml:space="preserve">). </w:t>
      </w:r>
    </w:p>
    <w:p w:rsidR="006000EF" w:rsidRDefault="006000EF" w:rsidP="006000EF">
      <w:pPr>
        <w:pStyle w:val="Paragrafi"/>
        <w:rPr>
          <w:lang w:val="sq-AL"/>
        </w:rPr>
      </w:pPr>
    </w:p>
    <w:p w:rsidR="006000EF" w:rsidRPr="00A57850" w:rsidRDefault="006000EF" w:rsidP="006000EF">
      <w:pPr>
        <w:pStyle w:val="Paragrafi"/>
        <w:rPr>
          <w:lang w:val="sq-AL"/>
        </w:rPr>
      </w:pPr>
      <w:r w:rsidRPr="00A57850">
        <w:rPr>
          <w:lang w:val="sq-AL"/>
        </w:rPr>
        <w:t>5. Referuar vendimit të Kolegjit Civil rezulton se në pjesën hyrëse ai përmban palët ndërgjyqëse, objektin e padisë, disponimet e gjykatës së shkallës së parë dhe të apelit, si dhe faktin se kundër vendimit të kësaj të fundit kanë paraqitur rekurs subjektet e interesuara. Po ashtu, vendimi i Kolegjit Civil pasqyron në pjesën hyrëse të gjitha shkaqet e parashtruara në rekurs nga kërkuesit. Gjithashtu, Kolegji Civil, mbi pretendimin kryesor të kërkuesve për interpretim dhe zbatim të gabuar të ligjit lidhur me kontratën e dhurimit dhe radhën e trashëgimlënëses, ka konkluduar se ky pretendim është i bazuar, duke dhënë edhe argumentet përkatëse, gjë që është në kompetencë të atij Kolegji. Kështu, ai ka argumentuar se “</w:t>
      </w:r>
      <w:r w:rsidRPr="00A57850">
        <w:rPr>
          <w:i/>
          <w:lang w:val="sq-AL"/>
        </w:rPr>
        <w:t>në interpretim të nenit 364 të Kodit Civil, në të cilin parashikohet se në radhë të tretë thirren në trashëgim ndërmjet të tjerësh vëllezërit dhe motrat, si dhe fëmijët e vëllezërve e të motrave të paravdekur, ky Kolegj vlerëson se në rastin në gjykim, për sa kohë që H.M. ka vdekur para trashëgimlënëses O.M. (motra e nënës së tij), e drejta për pjesën takuese duhet t’u kalojë trashëgimtarëve të tij ligjorë paditësve A.T. dhe E.G. fëmijët të tij, të cilët trashëgojnë në pjesë të barabarta me të paditurën V.Q. Kështu, A.T dhe E.G u kalon nga ¼ pjesë takuese, ndërsa V.Q. 2/4 pjesë takuese të pasurisë trashëgimore të trashëgimlënëses O.M.” (§.30 i vendimit).”</w:t>
      </w:r>
      <w:r w:rsidRPr="00A57850">
        <w:rPr>
          <w:lang w:val="sq-AL"/>
        </w:rPr>
        <w:t xml:space="preserve"> Mbi këtë bazë ai ka konkluduar se gjykata e rrethit duhej të kishte pranuar tërësisht padinë e subjekteve të interesuara. </w:t>
      </w:r>
    </w:p>
    <w:p w:rsidR="006000EF" w:rsidRPr="00A57850" w:rsidRDefault="006000EF" w:rsidP="006000EF">
      <w:pPr>
        <w:pStyle w:val="Paragrafi"/>
        <w:rPr>
          <w:lang w:val="sq-AL"/>
        </w:rPr>
      </w:pPr>
      <w:r w:rsidRPr="00A57850">
        <w:rPr>
          <w:lang w:val="sq-AL"/>
        </w:rPr>
        <w:t xml:space="preserve">16. Sipas nenit 472/1 dhe 472/ 2 të KPC-së, rekursi mund të bëhet edhe kur: a) nuk është respektuar ose është zbatuar keq ligji dhe b) ka shkelje të rënda të normave procedurale. Duke iu referuar vendimit të Kolegjit Civil të Gjykatës së Lartë, rezulton se ai ka argumentuar mjaftueshëm se përse gjykatat e faktit kanë keqzbatuar ligjin, duke tejkaluar përcaktimet kontraktuale, që përbëjnë ligj për palët. Në rastin konkret, vendimi i Kolegjit Civil të Gjykatës së Lartë ka dhënë arsye për pranimin e padisë, duke përmendur edhe pretendimet e rekursuesve, sipas udhëzimeve të Gjykatës Kushtetuese në vendimin nr. 55/2014 lidhur me këtë çështje, gjë që e bën vendimin të rregullt në formë, të qartë në përmbajtje dhe tërësisht të arsyetuar. </w:t>
      </w:r>
    </w:p>
    <w:p w:rsidR="006000EF" w:rsidRPr="00A57850" w:rsidRDefault="006000EF" w:rsidP="006000EF">
      <w:pPr>
        <w:pStyle w:val="Paragrafi"/>
        <w:rPr>
          <w:lang w:val="sq-AL"/>
        </w:rPr>
      </w:pPr>
      <w:r w:rsidRPr="00A57850">
        <w:rPr>
          <w:lang w:val="sq-AL"/>
        </w:rPr>
        <w:t>17. Në këtë vështrim, Gjykata vlerëson se vendimi i Kolegjit Civil të Gjykatës së Lartë plotëson të gjitha kriteret e standardit të arsyetimit të vendimit gjyqësor, në kuptim të nenit 42 të Kushtetutës dhe nenit 6 të KEDNJ-së, si dhe të jurisprudencës së Gjykatës Kushte-tuese.</w:t>
      </w:r>
    </w:p>
    <w:p w:rsidR="006000EF" w:rsidRPr="00A57850" w:rsidRDefault="006000EF" w:rsidP="006000EF">
      <w:pPr>
        <w:pStyle w:val="Paragrafi"/>
        <w:rPr>
          <w:lang w:val="sq-AL"/>
        </w:rPr>
      </w:pPr>
      <w:r w:rsidRPr="00A57850">
        <w:rPr>
          <w:lang w:val="sq-AL"/>
        </w:rPr>
        <w:t>18. Për rrjedhojë, Gjykata arrin në përfundi-min se pretendimi i kërkuesve në lidhje me procesin e zhvilluar në Gjykatën e Lartë është i pabazuar dhe nuk duhet pranuar.</w:t>
      </w:r>
    </w:p>
    <w:p w:rsidR="006000EF" w:rsidRPr="00A57850" w:rsidRDefault="006000EF" w:rsidP="006000EF">
      <w:pPr>
        <w:pStyle w:val="Paragrafi"/>
        <w:rPr>
          <w:i/>
          <w:lang w:val="sq-AL"/>
        </w:rPr>
      </w:pPr>
      <w:r w:rsidRPr="00A57850">
        <w:rPr>
          <w:i/>
          <w:lang w:val="sq-AL"/>
        </w:rPr>
        <w:t>C. Për pretendimin për cenimin e parimit të gjykatës së caktuar me ligj</w:t>
      </w:r>
    </w:p>
    <w:p w:rsidR="006000EF" w:rsidRPr="00A57850" w:rsidRDefault="006000EF" w:rsidP="006000EF">
      <w:pPr>
        <w:pStyle w:val="Paragrafi"/>
        <w:rPr>
          <w:lang w:val="sq-AL"/>
        </w:rPr>
      </w:pPr>
      <w:r w:rsidRPr="00A57850">
        <w:rPr>
          <w:lang w:val="sq-AL"/>
        </w:rPr>
        <w:t xml:space="preserve">19. Kërkuesit kanë pretenduar se Kolegji Civil i Gjykatës së Lartë ka shkelur parimin e </w:t>
      </w:r>
      <w:r w:rsidRPr="00A57850">
        <w:rPr>
          <w:lang w:val="sq-AL"/>
        </w:rPr>
        <w:lastRenderedPageBreak/>
        <w:t>gjykatës së caktuar me ligj, pasi duke ndryshuar faktet dhe rrethanat ka kaluar kufijtë e shqyrtimit të çështjes. Ai ka arritur në përfundime të ndryshme nga dy gjykatat më të ulëta, duke u kthyer në gjykatë fakti dhe jo ligji.</w:t>
      </w:r>
    </w:p>
    <w:p w:rsidR="006000EF" w:rsidRPr="00A57850" w:rsidRDefault="006000EF" w:rsidP="006000EF">
      <w:pPr>
        <w:pStyle w:val="Paragrafi"/>
        <w:rPr>
          <w:lang w:val="sq-AL"/>
        </w:rPr>
      </w:pPr>
      <w:r w:rsidRPr="00A57850">
        <w:rPr>
          <w:lang w:val="sq-AL"/>
        </w:rPr>
        <w:t>20. Gjykata ka vlerësuar se një nga elementet e procesit të rregullt ligjor, sipas nenit 42 të Kushtetutës dhe nenit 6 të KEDNJ-së, është dhe shqyrtimi i çështjes nga një “</w:t>
      </w:r>
      <w:r w:rsidRPr="00A57850">
        <w:rPr>
          <w:i/>
          <w:lang w:val="sq-AL"/>
        </w:rPr>
        <w:t>gjykatë e caktuar me ligj</w:t>
      </w:r>
      <w:r w:rsidRPr="00A57850">
        <w:rPr>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A57850">
        <w:rPr>
          <w:i/>
          <w:lang w:val="sq-AL"/>
        </w:rPr>
        <w:t>shih vendimin nr. 40, datë 25.6.2015; nr. 2, datë 22.1.2014 të Gjykatës Kushtetuese</w:t>
      </w:r>
      <w:r w:rsidRPr="00A57850">
        <w:rPr>
          <w:lang w:val="sq-AL"/>
        </w:rPr>
        <w:t xml:space="preserve">). </w:t>
      </w:r>
    </w:p>
    <w:p w:rsidR="006000EF" w:rsidRPr="005C3BF7" w:rsidRDefault="006000EF" w:rsidP="006000EF">
      <w:pPr>
        <w:pStyle w:val="Paragrafi"/>
        <w:rPr>
          <w:spacing w:val="-4"/>
          <w:lang w:val="sq-AL"/>
        </w:rPr>
      </w:pPr>
      <w:r w:rsidRPr="00A57850">
        <w:rPr>
          <w:lang w:val="sq-AL"/>
        </w:rPr>
        <w:t>21. Sipas jurisprudencës kushtetuese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A57850">
        <w:rPr>
          <w:i/>
          <w:lang w:val="sq-AL"/>
        </w:rPr>
        <w:t>shih vendimet nr. 40, datë 25.6.2015; nr. 27, datë 24.6.2013; nr. 7, datë 9.3.2009 të Gjykatës Kushtetuese</w:t>
      </w:r>
      <w:r w:rsidRPr="00A57850">
        <w:rPr>
          <w:lang w:val="sq-AL"/>
        </w:rPr>
        <w:t xml:space="preserve">).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w:t>
      </w:r>
      <w:r w:rsidRPr="005C3BF7">
        <w:rPr>
          <w:spacing w:val="-4"/>
          <w:lang w:val="sq-AL"/>
        </w:rPr>
        <w:t>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5C3BF7">
        <w:rPr>
          <w:i/>
          <w:spacing w:val="-4"/>
          <w:lang w:val="sq-AL"/>
        </w:rPr>
        <w:t>shih vendimin nr. 1, datë 29.1.2016; nr. 40, datë 25.6.2015 të Gjykatës Kushtetuese</w:t>
      </w:r>
      <w:r w:rsidRPr="005C3BF7">
        <w:rPr>
          <w:spacing w:val="-4"/>
          <w:lang w:val="sq-AL"/>
        </w:rPr>
        <w:t xml:space="preserve">). </w:t>
      </w:r>
    </w:p>
    <w:p w:rsidR="006000EF" w:rsidRPr="005C3BF7" w:rsidRDefault="006000EF" w:rsidP="006000EF">
      <w:pPr>
        <w:pStyle w:val="Paragrafi"/>
        <w:rPr>
          <w:spacing w:val="-4"/>
          <w:lang w:val="sq-AL"/>
        </w:rPr>
      </w:pPr>
      <w:r w:rsidRPr="005C3BF7">
        <w:rPr>
          <w:spacing w:val="-4"/>
          <w:lang w:val="sq-AL"/>
        </w:rPr>
        <w:t>22.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dyja gjykatave më të ulëta (</w:t>
      </w:r>
      <w:r w:rsidRPr="005C3BF7">
        <w:rPr>
          <w:i/>
          <w:spacing w:val="-4"/>
          <w:lang w:val="sq-AL"/>
        </w:rPr>
        <w:t>shih vendimin nr. 11, datë 3.3.2016; vendimin nr. 40, datë 25.6.2015 të Gjykatës Kushtetuese</w:t>
      </w:r>
      <w:r w:rsidRPr="005C3BF7">
        <w:rPr>
          <w:spacing w:val="-4"/>
          <w:lang w:val="sq-AL"/>
        </w:rPr>
        <w:t>).</w:t>
      </w:r>
    </w:p>
    <w:p w:rsidR="006000EF" w:rsidRPr="00A57850" w:rsidRDefault="006000EF" w:rsidP="006000EF">
      <w:pPr>
        <w:pStyle w:val="Paragrafi"/>
        <w:rPr>
          <w:lang w:val="sq-AL"/>
        </w:rPr>
      </w:pPr>
      <w:r w:rsidRPr="005C3BF7">
        <w:rPr>
          <w:spacing w:val="-4"/>
          <w:lang w:val="sq-AL"/>
        </w:rPr>
        <w:t xml:space="preserve">23. Duke iu referuar çështjes konkrete, Gjykata konstaton se Kolegji Civil i Gjykatës së Lartë nuk ka marrë prova të reja. Ai Kolegj, mbi të njëjtat fakte dhe rrethana të mbledhura nga gjykatat e faktit, ka bërë interpretim të ndryshëm të dispozitave të Kodit Civil që lidhen me radhën e trashëgimtarëve ligjorë, duke arritur në përfundimin se edhe subjektet e interesuara duhet të njihen bashkëpronarë të pasurisë së lënë nga trashëgimlënësja. Në fund, Kolegji ka vendosur pranimin tërësisht të padisë. Në këto kushte, Gjykata çmon se Kolegji Civil ka vepruar brenda kompetencave të njohura nga Kushtetuta </w:t>
      </w:r>
      <w:r w:rsidRPr="00A57850">
        <w:rPr>
          <w:lang w:val="sq-AL"/>
        </w:rPr>
        <w:t>dhe ligji procedural civil.</w:t>
      </w:r>
    </w:p>
    <w:p w:rsidR="006000EF" w:rsidRPr="00A57850" w:rsidRDefault="006000EF" w:rsidP="006000EF">
      <w:pPr>
        <w:pStyle w:val="Paragrafi"/>
        <w:rPr>
          <w:lang w:val="sq-AL"/>
        </w:rPr>
      </w:pPr>
      <w:r w:rsidRPr="00A57850">
        <w:rPr>
          <w:lang w:val="sq-AL"/>
        </w:rPr>
        <w:t>24. Nisur nga sa më lart, Gjykata arrin në përfundimin se edhe ky pretendim i kërkuesve është i pabazuar dhe nuk duhet pranuar.</w:t>
      </w:r>
    </w:p>
    <w:p w:rsidR="006000EF" w:rsidRPr="00A57850" w:rsidRDefault="006000EF" w:rsidP="006000EF">
      <w:pPr>
        <w:pStyle w:val="Hapesira7"/>
        <w:rPr>
          <w:lang w:val="sq-AL"/>
        </w:rPr>
      </w:pPr>
    </w:p>
    <w:p w:rsidR="006000EF" w:rsidRPr="00A57850" w:rsidRDefault="006000EF" w:rsidP="006000EF">
      <w:pPr>
        <w:pStyle w:val="NeniNr"/>
        <w:rPr>
          <w:lang w:val="sq-AL"/>
        </w:rPr>
      </w:pPr>
      <w:r w:rsidRPr="00A57850">
        <w:rPr>
          <w:lang w:val="sq-AL"/>
        </w:rPr>
        <w:t>PËR KËTO ARSYE,</w:t>
      </w:r>
    </w:p>
    <w:p w:rsidR="006000EF" w:rsidRPr="00A57850" w:rsidRDefault="006000EF" w:rsidP="006000EF">
      <w:pPr>
        <w:pStyle w:val="Hapesira7"/>
        <w:rPr>
          <w:lang w:val="sq-AL"/>
        </w:rPr>
      </w:pPr>
    </w:p>
    <w:p w:rsidR="006000EF" w:rsidRPr="00A57850" w:rsidRDefault="006000EF" w:rsidP="006000EF">
      <w:pPr>
        <w:pStyle w:val="Paragrafi"/>
        <w:rPr>
          <w:lang w:val="sq-AL"/>
        </w:rPr>
      </w:pPr>
      <w:r w:rsidRPr="00A57850">
        <w:rPr>
          <w:lang w:val="sq-AL"/>
        </w:rPr>
        <w:t xml:space="preserve">Gjykata Kushtetuese e Republikës së Shqipë-risë, në mbështetje të neneve 131/f dhe 134/ 1/g të Kushtetutës, si dhe të neneve 72 e vijues të ligjit nr. 8577, datë 10.2.2000, “Për </w:t>
      </w:r>
      <w:r w:rsidRPr="00A57850">
        <w:rPr>
          <w:lang w:val="sq-AL"/>
        </w:rPr>
        <w:lastRenderedPageBreak/>
        <w:t>organizimin dhe funksionimin e Gjykatës Kushtetuese të Republikës së Shqipërisë”, me shumicë votash</w:t>
      </w:r>
      <w:r w:rsidRPr="00A57850">
        <w:rPr>
          <w:vertAlign w:val="superscript"/>
          <w:lang w:val="sq-AL"/>
        </w:rPr>
        <w:footnoteReference w:id="1"/>
      </w:r>
      <w:r w:rsidRPr="00A57850">
        <w:rPr>
          <w:lang w:val="sq-AL"/>
        </w:rPr>
        <w:t>,</w:t>
      </w:r>
    </w:p>
    <w:p w:rsidR="006000EF" w:rsidRPr="00A57850" w:rsidRDefault="006000EF" w:rsidP="006000EF">
      <w:pPr>
        <w:pStyle w:val="Hapesira7"/>
        <w:rPr>
          <w:lang w:val="sq-AL"/>
        </w:rPr>
      </w:pPr>
    </w:p>
    <w:p w:rsidR="006000EF" w:rsidRPr="00A57850" w:rsidRDefault="006000EF" w:rsidP="006000EF">
      <w:pPr>
        <w:pStyle w:val="NeniNr"/>
        <w:rPr>
          <w:lang w:val="sq-AL"/>
        </w:rPr>
      </w:pPr>
      <w:r w:rsidRPr="00A57850">
        <w:rPr>
          <w:lang w:val="sq-AL"/>
        </w:rPr>
        <w:t>VENDOSI:</w:t>
      </w:r>
    </w:p>
    <w:p w:rsidR="006000EF" w:rsidRPr="00A57850" w:rsidRDefault="006000EF" w:rsidP="006000EF">
      <w:pPr>
        <w:pStyle w:val="Hapesira7"/>
        <w:rPr>
          <w:lang w:val="sq-AL"/>
        </w:rPr>
      </w:pPr>
    </w:p>
    <w:p w:rsidR="006000EF" w:rsidRPr="00A57850" w:rsidRDefault="006000EF" w:rsidP="006000EF">
      <w:pPr>
        <w:pStyle w:val="Paragrafi"/>
        <w:rPr>
          <w:lang w:val="sq-AL"/>
        </w:rPr>
      </w:pPr>
      <w:r w:rsidRPr="00A57850">
        <w:rPr>
          <w:lang w:val="sq-AL"/>
        </w:rPr>
        <w:t>- Rrëzimin e kërkesës.</w:t>
      </w:r>
    </w:p>
    <w:p w:rsidR="006000EF" w:rsidRPr="00A57850" w:rsidRDefault="006000EF" w:rsidP="006000EF">
      <w:pPr>
        <w:pStyle w:val="Paragrafi"/>
        <w:rPr>
          <w:lang w:val="sq-AL"/>
        </w:rPr>
      </w:pPr>
      <w:r w:rsidRPr="00A57850">
        <w:rPr>
          <w:lang w:val="sq-AL"/>
        </w:rPr>
        <w:t xml:space="preserve">Ky vendim është përfundimtar, i formës së prerë dhe hyn në fuqi ditën e botimit në Fletoren Zyrtare. </w:t>
      </w:r>
    </w:p>
    <w:p w:rsidR="006000EF" w:rsidRPr="00A57850" w:rsidRDefault="006000EF" w:rsidP="006000EF">
      <w:pPr>
        <w:pStyle w:val="Hapesira7"/>
        <w:rPr>
          <w:lang w:val="sq-AL"/>
        </w:rPr>
      </w:pPr>
    </w:p>
    <w:p w:rsidR="006000EF" w:rsidRPr="00A57850" w:rsidRDefault="006000EF" w:rsidP="006000EF">
      <w:pPr>
        <w:pStyle w:val="Paragrafi"/>
        <w:rPr>
          <w:lang w:val="sq-AL"/>
        </w:rPr>
      </w:pPr>
      <w:r w:rsidRPr="00A57850">
        <w:rPr>
          <w:lang w:val="sq-AL"/>
        </w:rPr>
        <w:t>Anëtarë</w:t>
      </w:r>
      <w:r w:rsidR="00A84913">
        <w:rPr>
          <w:lang w:val="sq-AL"/>
        </w:rPr>
        <w:t xml:space="preserve"> pro: Bashkim Dedja (kryetar), Sokol Berberi, </w:t>
      </w:r>
      <w:bookmarkStart w:id="1" w:name="_GoBack"/>
      <w:bookmarkEnd w:id="1"/>
      <w:r w:rsidRPr="00A57850">
        <w:rPr>
          <w:lang w:val="sq-AL"/>
        </w:rPr>
        <w:t xml:space="preserve">Fatmir Hoxha, Altina Xhoxhaj, Vitore Tusha, Besnik Imeraj, </w:t>
      </w:r>
      <w:r w:rsidRPr="00A57850">
        <w:rPr>
          <w:lang w:val="sq-AL"/>
        </w:rPr>
        <w:tab/>
        <w:t>Fatos Lulo</w:t>
      </w:r>
    </w:p>
    <w:p w:rsidR="006000EF" w:rsidRPr="00A57850" w:rsidRDefault="006000EF" w:rsidP="006000EF">
      <w:pPr>
        <w:pStyle w:val="Paragrafi"/>
        <w:rPr>
          <w:lang w:val="sq-AL"/>
        </w:rPr>
      </w:pPr>
      <w:r w:rsidRPr="00A57850">
        <w:rPr>
          <w:lang w:val="sq-AL"/>
        </w:rPr>
        <w:t>Anëtarë kundër: Vladimir Kristo, Gani Dizdari</w:t>
      </w:r>
    </w:p>
    <w:p w:rsidR="009844B4" w:rsidRDefault="009844B4"/>
    <w:sectPr w:rsidR="009844B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0EF" w:rsidRDefault="006000EF" w:rsidP="006000EF">
      <w:pPr>
        <w:spacing w:after="0" w:line="240" w:lineRule="auto"/>
      </w:pPr>
      <w:r>
        <w:separator/>
      </w:r>
    </w:p>
  </w:endnote>
  <w:endnote w:type="continuationSeparator" w:id="0">
    <w:p w:rsidR="006000EF" w:rsidRDefault="006000EF" w:rsidP="0060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0EF" w:rsidRDefault="006000EF" w:rsidP="006000EF">
      <w:pPr>
        <w:spacing w:after="0" w:line="240" w:lineRule="auto"/>
      </w:pPr>
      <w:r>
        <w:separator/>
      </w:r>
    </w:p>
  </w:footnote>
  <w:footnote w:type="continuationSeparator" w:id="0">
    <w:p w:rsidR="006000EF" w:rsidRDefault="006000EF" w:rsidP="006000EF">
      <w:pPr>
        <w:spacing w:after="0" w:line="240" w:lineRule="auto"/>
      </w:pPr>
      <w:r>
        <w:continuationSeparator/>
      </w:r>
    </w:p>
  </w:footnote>
  <w:footnote w:id="1">
    <w:p w:rsidR="006000EF" w:rsidRPr="000F032A" w:rsidRDefault="006000EF" w:rsidP="006000EF">
      <w:pPr>
        <w:pStyle w:val="FootnoteText"/>
        <w:ind w:firstLine="0"/>
        <w:rPr>
          <w:rFonts w:ascii="Garamond" w:hAnsi="Garamond"/>
        </w:rPr>
      </w:pPr>
      <w:r w:rsidRPr="000F032A">
        <w:rPr>
          <w:rStyle w:val="FootnoteReference"/>
          <w:rFonts w:ascii="Garamond" w:hAnsi="Garamond"/>
        </w:rPr>
        <w:footnoteRef/>
      </w:r>
      <w:r w:rsidRPr="000F032A">
        <w:rPr>
          <w:rFonts w:ascii="Garamond" w:hAnsi="Garamond"/>
        </w:rPr>
        <w:t xml:space="preserve"> </w:t>
      </w:r>
      <w:bookmarkStart w:id="0" w:name="_MailEndCompose"/>
      <w:r w:rsidRPr="000F032A">
        <w:rPr>
          <w:rFonts w:ascii="Garamond" w:hAnsi="Garamond"/>
        </w:rPr>
        <w:t>Gjyqtari V. Kristo votoi për cenimin e parimit të gjykatës së caktuar me ligj, sipas qëndrimit të shprehur në mendimin paralel të vendimit nr. 35, datë 27.6.2016 të Gjykatës Kushtetuese.</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0EF"/>
    <w:rsid w:val="006000EF"/>
    <w:rsid w:val="009844B4"/>
    <w:rsid w:val="00A8491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000E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000EF"/>
    <w:rPr>
      <w:rFonts w:ascii="Garamond" w:eastAsia="MS Mincho" w:hAnsi="Garamond" w:cs="CG Times"/>
      <w:sz w:val="24"/>
      <w:lang w:val="en-US"/>
    </w:rPr>
  </w:style>
  <w:style w:type="paragraph" w:customStyle="1" w:styleId="NeniNr">
    <w:name w:val="Neni_Nr"/>
    <w:next w:val="Normal"/>
    <w:link w:val="NeniNrChar"/>
    <w:rsid w:val="006000E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00E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00EF"/>
    <w:rPr>
      <w:rFonts w:ascii="Garamond" w:eastAsia="MS Mincho" w:hAnsi="Garamond" w:cs="CG Times"/>
      <w:sz w:val="24"/>
      <w:lang w:val="en-GB"/>
    </w:rPr>
  </w:style>
  <w:style w:type="paragraph" w:customStyle="1" w:styleId="Hapesira7">
    <w:name w:val="Hapesira 7"/>
    <w:basedOn w:val="Paragrafi"/>
    <w:qFormat/>
    <w:rsid w:val="006000E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000E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000E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6000EF"/>
    <w:rPr>
      <w:vertAlign w:val="superscript"/>
    </w:rPr>
  </w:style>
  <w:style w:type="paragraph" w:customStyle="1" w:styleId="BVIfnrCarCarCarCarChar">
    <w:name w:val="BVI fnr Car Car Car Car Char"/>
    <w:basedOn w:val="Normal"/>
    <w:link w:val="FootnoteReference"/>
    <w:uiPriority w:val="99"/>
    <w:rsid w:val="006000EF"/>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000E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000EF"/>
    <w:rPr>
      <w:rFonts w:ascii="Garamond" w:eastAsia="MS Mincho" w:hAnsi="Garamond" w:cs="CG Times"/>
      <w:sz w:val="24"/>
      <w:lang w:val="en-US"/>
    </w:rPr>
  </w:style>
  <w:style w:type="paragraph" w:customStyle="1" w:styleId="NeniNr">
    <w:name w:val="Neni_Nr"/>
    <w:next w:val="Normal"/>
    <w:link w:val="NeniNrChar"/>
    <w:rsid w:val="006000E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00E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00EF"/>
    <w:rPr>
      <w:rFonts w:ascii="Garamond" w:eastAsia="MS Mincho" w:hAnsi="Garamond" w:cs="CG Times"/>
      <w:sz w:val="24"/>
      <w:lang w:val="en-GB"/>
    </w:rPr>
  </w:style>
  <w:style w:type="paragraph" w:customStyle="1" w:styleId="Hapesira7">
    <w:name w:val="Hapesira 7"/>
    <w:basedOn w:val="Paragrafi"/>
    <w:qFormat/>
    <w:rsid w:val="006000E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000E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000E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6000EF"/>
    <w:rPr>
      <w:vertAlign w:val="superscript"/>
    </w:rPr>
  </w:style>
  <w:style w:type="paragraph" w:customStyle="1" w:styleId="BVIfnrCarCarCarCarChar">
    <w:name w:val="BVI fnr Car Car Car Car Char"/>
    <w:basedOn w:val="Normal"/>
    <w:link w:val="FootnoteReference"/>
    <w:uiPriority w:val="99"/>
    <w:rsid w:val="006000EF"/>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2485</Words>
  <Characters>14167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2016-07-14T10:03:00Z</dcterms:created>
  <dcterms:modified xsi:type="dcterms:W3CDTF">2018-01-22T09:20:00Z</dcterms:modified>
</cp:coreProperties>
</file>