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2CF" w:rsidRPr="00642F1F" w:rsidRDefault="005C32CF" w:rsidP="005C32CF">
      <w:pPr>
        <w:pStyle w:val="NeniTitull"/>
        <w:rPr>
          <w:spacing w:val="-4"/>
          <w:lang w:val="sq-AL"/>
        </w:rPr>
      </w:pPr>
      <w:r w:rsidRPr="00642F1F">
        <w:rPr>
          <w:spacing w:val="-4"/>
          <w:lang w:val="sq-AL"/>
        </w:rPr>
        <w:t>VENDIM</w:t>
      </w:r>
    </w:p>
    <w:p w:rsidR="005C32CF" w:rsidRPr="00642F1F" w:rsidRDefault="005C32CF" w:rsidP="005C32CF">
      <w:pPr>
        <w:pStyle w:val="NeniTitull"/>
        <w:rPr>
          <w:spacing w:val="-4"/>
          <w:lang w:val="sq-AL"/>
        </w:rPr>
      </w:pPr>
      <w:r w:rsidRPr="00642F1F">
        <w:rPr>
          <w:spacing w:val="-4"/>
          <w:lang w:val="sq-AL"/>
        </w:rPr>
        <w:t>Nr. 23, datë 20.3.2017</w:t>
      </w:r>
    </w:p>
    <w:p w:rsidR="005C32CF" w:rsidRPr="00642F1F" w:rsidRDefault="005C32CF" w:rsidP="005C32CF">
      <w:pPr>
        <w:pStyle w:val="Hapesira7"/>
        <w:rPr>
          <w:spacing w:val="-4"/>
          <w:lang w:val="sq-AL"/>
        </w:rPr>
      </w:pPr>
    </w:p>
    <w:p w:rsidR="005C32CF" w:rsidRPr="00642F1F" w:rsidRDefault="005C32CF" w:rsidP="005C32CF">
      <w:pPr>
        <w:pStyle w:val="NeniTitull"/>
        <w:rPr>
          <w:spacing w:val="-4"/>
          <w:lang w:val="sq-AL"/>
        </w:rPr>
      </w:pPr>
      <w:r w:rsidRPr="00642F1F">
        <w:rPr>
          <w:spacing w:val="-4"/>
          <w:lang w:val="sq-AL"/>
        </w:rPr>
        <w:t>NË EMËR TË REPUBLIKËS SË SHQIPËRISË</w:t>
      </w:r>
    </w:p>
    <w:p w:rsidR="005C32CF" w:rsidRPr="00642F1F" w:rsidRDefault="005C32CF" w:rsidP="005C32CF">
      <w:pPr>
        <w:pStyle w:val="Hapesira7"/>
        <w:rPr>
          <w:spacing w:val="-4"/>
          <w:lang w:val="sq-AL"/>
        </w:rPr>
      </w:pPr>
    </w:p>
    <w:p w:rsidR="005C32CF" w:rsidRPr="00642F1F" w:rsidRDefault="005C32CF" w:rsidP="005C32CF">
      <w:pPr>
        <w:pStyle w:val="Paragrafi"/>
        <w:rPr>
          <w:spacing w:val="-4"/>
          <w:lang w:val="sq-AL"/>
        </w:rPr>
      </w:pPr>
      <w:r w:rsidRPr="00642F1F">
        <w:rPr>
          <w:spacing w:val="-4"/>
          <w:lang w:val="sq-AL"/>
        </w:rPr>
        <w:t>Gjykata Kushtetuese e Republikës së Shqipërisë, e përbërë nga:</w:t>
      </w:r>
    </w:p>
    <w:p w:rsidR="005C32CF" w:rsidRPr="00AA362E" w:rsidRDefault="005C32CF" w:rsidP="005C32CF">
      <w:pPr>
        <w:pStyle w:val="Paragrafi"/>
        <w:ind w:firstLine="288"/>
        <w:rPr>
          <w:spacing w:val="-4"/>
          <w:sz w:val="22"/>
          <w:lang w:val="sq-AL"/>
        </w:rPr>
      </w:pPr>
      <w:r w:rsidRPr="00AA362E">
        <w:rPr>
          <w:spacing w:val="-4"/>
          <w:sz w:val="22"/>
          <w:lang w:val="sq-AL"/>
        </w:rPr>
        <w:t xml:space="preserve">Bashkim Dedja </w:t>
      </w:r>
      <w:r w:rsidRPr="00AA362E">
        <w:rPr>
          <w:spacing w:val="-4"/>
          <w:sz w:val="22"/>
          <w:lang w:val="sq-AL"/>
        </w:rPr>
        <w:tab/>
      </w:r>
      <w:r>
        <w:rPr>
          <w:spacing w:val="-4"/>
          <w:sz w:val="22"/>
          <w:lang w:val="sq-AL"/>
        </w:rPr>
        <w:tab/>
      </w:r>
      <w:r w:rsidRPr="00AA362E">
        <w:rPr>
          <w:spacing w:val="-4"/>
          <w:sz w:val="22"/>
          <w:lang w:val="sq-AL"/>
        </w:rPr>
        <w:t xml:space="preserve">kryetar i Gjykatës Kushtetuese </w:t>
      </w:r>
    </w:p>
    <w:p w:rsidR="005C32CF" w:rsidRPr="00AA362E" w:rsidRDefault="005C32CF" w:rsidP="005C32CF">
      <w:pPr>
        <w:pStyle w:val="Paragrafi"/>
        <w:ind w:firstLine="288"/>
        <w:rPr>
          <w:spacing w:val="-4"/>
          <w:sz w:val="22"/>
          <w:lang w:val="sq-AL"/>
        </w:rPr>
      </w:pPr>
      <w:r w:rsidRPr="00AA362E">
        <w:rPr>
          <w:spacing w:val="-4"/>
          <w:sz w:val="22"/>
          <w:lang w:val="sq-AL"/>
        </w:rPr>
        <w:t>Vladimir Kristo</w:t>
      </w:r>
      <w:r w:rsidRPr="00AA362E">
        <w:rPr>
          <w:spacing w:val="-4"/>
          <w:sz w:val="22"/>
          <w:lang w:val="sq-AL"/>
        </w:rPr>
        <w:tab/>
      </w:r>
      <w:r w:rsidRPr="00AA362E">
        <w:rPr>
          <w:spacing w:val="-4"/>
          <w:sz w:val="22"/>
          <w:lang w:val="sq-AL"/>
        </w:rPr>
        <w:tab/>
        <w:t>anëtar i</w:t>
      </w:r>
      <w:r w:rsidRPr="00AA362E">
        <w:rPr>
          <w:spacing w:val="-4"/>
          <w:sz w:val="22"/>
          <w:lang w:val="sq-AL"/>
        </w:rPr>
        <w:tab/>
      </w:r>
      <w:r w:rsidRPr="00AA362E">
        <w:rPr>
          <w:spacing w:val="-4"/>
          <w:sz w:val="22"/>
          <w:lang w:val="sq-AL"/>
        </w:rPr>
        <w:tab/>
        <w:t>“</w:t>
      </w:r>
      <w:r w:rsidRPr="00AA362E">
        <w:rPr>
          <w:spacing w:val="-4"/>
          <w:sz w:val="22"/>
          <w:lang w:val="sq-AL"/>
        </w:rPr>
        <w:tab/>
      </w:r>
      <w:r w:rsidRPr="00AA362E">
        <w:rPr>
          <w:spacing w:val="-4"/>
          <w:sz w:val="22"/>
          <w:lang w:val="sq-AL"/>
        </w:rPr>
        <w:tab/>
        <w:t>“</w:t>
      </w:r>
    </w:p>
    <w:p w:rsidR="005C32CF" w:rsidRPr="00AA362E" w:rsidRDefault="00A20E8B" w:rsidP="005C32CF">
      <w:pPr>
        <w:pStyle w:val="Paragrafi"/>
        <w:ind w:firstLine="288"/>
        <w:rPr>
          <w:spacing w:val="-4"/>
          <w:sz w:val="22"/>
          <w:lang w:val="sq-AL"/>
        </w:rPr>
      </w:pPr>
      <w:r>
        <w:rPr>
          <w:spacing w:val="-4"/>
          <w:sz w:val="22"/>
          <w:lang w:val="sq-AL"/>
        </w:rPr>
        <w:t>Vitore Tusha</w:t>
      </w:r>
      <w:r>
        <w:rPr>
          <w:spacing w:val="-4"/>
          <w:sz w:val="22"/>
          <w:lang w:val="sq-AL"/>
        </w:rPr>
        <w:tab/>
      </w:r>
      <w:r>
        <w:rPr>
          <w:spacing w:val="-4"/>
          <w:sz w:val="22"/>
          <w:lang w:val="sq-AL"/>
        </w:rPr>
        <w:tab/>
      </w:r>
      <w:r>
        <w:rPr>
          <w:spacing w:val="-4"/>
          <w:sz w:val="22"/>
          <w:lang w:val="sq-AL"/>
        </w:rPr>
        <w:tab/>
        <w:t>anëtare e</w:t>
      </w:r>
      <w:r>
        <w:rPr>
          <w:spacing w:val="-4"/>
          <w:sz w:val="22"/>
          <w:lang w:val="sq-AL"/>
        </w:rPr>
        <w:tab/>
      </w:r>
      <w:bookmarkStart w:id="0" w:name="_GoBack"/>
      <w:bookmarkEnd w:id="0"/>
      <w:r w:rsidR="005C32CF" w:rsidRPr="00AA362E">
        <w:rPr>
          <w:spacing w:val="-4"/>
          <w:sz w:val="22"/>
          <w:lang w:val="sq-AL"/>
        </w:rPr>
        <w:t>“</w:t>
      </w:r>
      <w:r w:rsidR="005C32CF" w:rsidRPr="00AA362E">
        <w:rPr>
          <w:spacing w:val="-4"/>
          <w:sz w:val="22"/>
          <w:lang w:val="sq-AL"/>
        </w:rPr>
        <w:tab/>
      </w:r>
      <w:r w:rsidR="005C32CF" w:rsidRPr="00AA362E">
        <w:rPr>
          <w:spacing w:val="-4"/>
          <w:sz w:val="22"/>
          <w:lang w:val="sq-AL"/>
        </w:rPr>
        <w:tab/>
        <w:t>“</w:t>
      </w:r>
    </w:p>
    <w:p w:rsidR="005C32CF" w:rsidRPr="00AA362E" w:rsidRDefault="005C32CF" w:rsidP="005C32CF">
      <w:pPr>
        <w:pStyle w:val="Paragrafi"/>
        <w:ind w:firstLine="288"/>
        <w:rPr>
          <w:spacing w:val="-4"/>
          <w:sz w:val="22"/>
          <w:lang w:val="sq-AL"/>
        </w:rPr>
      </w:pPr>
      <w:r w:rsidRPr="00AA362E">
        <w:rPr>
          <w:spacing w:val="-4"/>
          <w:sz w:val="22"/>
          <w:lang w:val="sq-AL"/>
        </w:rPr>
        <w:t>Fatmir Hoxha</w:t>
      </w:r>
      <w:r w:rsidRPr="00AA362E">
        <w:rPr>
          <w:spacing w:val="-4"/>
          <w:sz w:val="22"/>
          <w:lang w:val="sq-AL"/>
        </w:rPr>
        <w:tab/>
      </w:r>
      <w:r w:rsidRPr="00AA362E">
        <w:rPr>
          <w:spacing w:val="-4"/>
          <w:sz w:val="22"/>
          <w:lang w:val="sq-AL"/>
        </w:rPr>
        <w:tab/>
        <w:t>anëtar i</w:t>
      </w:r>
      <w:r w:rsidRPr="00AA362E">
        <w:rPr>
          <w:spacing w:val="-4"/>
          <w:sz w:val="22"/>
          <w:lang w:val="sq-AL"/>
        </w:rPr>
        <w:tab/>
      </w:r>
      <w:r w:rsidRPr="00AA362E">
        <w:rPr>
          <w:spacing w:val="-4"/>
          <w:sz w:val="22"/>
          <w:lang w:val="sq-AL"/>
        </w:rPr>
        <w:tab/>
        <w:t>“</w:t>
      </w:r>
      <w:r w:rsidRPr="00AA362E">
        <w:rPr>
          <w:spacing w:val="-4"/>
          <w:sz w:val="22"/>
          <w:lang w:val="sq-AL"/>
        </w:rPr>
        <w:tab/>
      </w:r>
      <w:r w:rsidRPr="00AA362E">
        <w:rPr>
          <w:spacing w:val="-4"/>
          <w:sz w:val="22"/>
          <w:lang w:val="sq-AL"/>
        </w:rPr>
        <w:tab/>
        <w:t>“</w:t>
      </w:r>
    </w:p>
    <w:p w:rsidR="005C32CF" w:rsidRPr="00AA362E" w:rsidRDefault="005C32CF" w:rsidP="005C32CF">
      <w:pPr>
        <w:pStyle w:val="Paragrafi"/>
        <w:ind w:firstLine="288"/>
        <w:rPr>
          <w:spacing w:val="-4"/>
          <w:sz w:val="22"/>
          <w:lang w:val="sq-AL"/>
        </w:rPr>
      </w:pPr>
      <w:r w:rsidRPr="00AA362E">
        <w:rPr>
          <w:spacing w:val="-4"/>
          <w:sz w:val="22"/>
          <w:lang w:val="sq-AL"/>
        </w:rPr>
        <w:t>Besnik Imeraj</w:t>
      </w:r>
      <w:r w:rsidRPr="00AA362E">
        <w:rPr>
          <w:spacing w:val="-4"/>
          <w:sz w:val="22"/>
          <w:lang w:val="sq-AL"/>
        </w:rPr>
        <w:tab/>
      </w:r>
      <w:r w:rsidRPr="00AA362E">
        <w:rPr>
          <w:spacing w:val="-4"/>
          <w:sz w:val="22"/>
          <w:lang w:val="sq-AL"/>
        </w:rPr>
        <w:tab/>
      </w:r>
      <w:r>
        <w:rPr>
          <w:spacing w:val="-4"/>
          <w:sz w:val="22"/>
          <w:lang w:val="sq-AL"/>
        </w:rPr>
        <w:tab/>
      </w:r>
      <w:r w:rsidRPr="00AA362E">
        <w:rPr>
          <w:spacing w:val="-4"/>
          <w:sz w:val="22"/>
          <w:lang w:val="sq-AL"/>
        </w:rPr>
        <w:t>anëtar i</w:t>
      </w:r>
      <w:r w:rsidRPr="00AA362E">
        <w:rPr>
          <w:spacing w:val="-4"/>
          <w:sz w:val="22"/>
          <w:lang w:val="sq-AL"/>
        </w:rPr>
        <w:tab/>
      </w:r>
      <w:r w:rsidRPr="00AA362E">
        <w:rPr>
          <w:spacing w:val="-4"/>
          <w:sz w:val="22"/>
          <w:lang w:val="sq-AL"/>
        </w:rPr>
        <w:tab/>
        <w:t>“</w:t>
      </w:r>
      <w:r w:rsidRPr="00AA362E">
        <w:rPr>
          <w:spacing w:val="-4"/>
          <w:sz w:val="22"/>
          <w:lang w:val="sq-AL"/>
        </w:rPr>
        <w:tab/>
      </w:r>
      <w:r w:rsidRPr="00AA362E">
        <w:rPr>
          <w:spacing w:val="-4"/>
          <w:sz w:val="22"/>
          <w:lang w:val="sq-AL"/>
        </w:rPr>
        <w:tab/>
        <w:t>“</w:t>
      </w:r>
    </w:p>
    <w:p w:rsidR="005C32CF" w:rsidRPr="00AA362E" w:rsidRDefault="005C32CF" w:rsidP="005C32CF">
      <w:pPr>
        <w:pStyle w:val="Paragrafi"/>
        <w:ind w:firstLine="288"/>
        <w:rPr>
          <w:spacing w:val="-4"/>
          <w:sz w:val="22"/>
          <w:lang w:val="sq-AL"/>
        </w:rPr>
      </w:pPr>
      <w:r w:rsidRPr="00AA362E">
        <w:rPr>
          <w:spacing w:val="-4"/>
          <w:sz w:val="22"/>
          <w:lang w:val="sq-AL"/>
        </w:rPr>
        <w:t xml:space="preserve">Fatos Lulo </w:t>
      </w:r>
      <w:r w:rsidRPr="00AA362E">
        <w:rPr>
          <w:spacing w:val="-4"/>
          <w:sz w:val="22"/>
          <w:lang w:val="sq-AL"/>
        </w:rPr>
        <w:tab/>
      </w:r>
      <w:r w:rsidRPr="00AA362E">
        <w:rPr>
          <w:spacing w:val="-4"/>
          <w:sz w:val="22"/>
          <w:lang w:val="sq-AL"/>
        </w:rPr>
        <w:tab/>
      </w:r>
      <w:r w:rsidRPr="00AA362E">
        <w:rPr>
          <w:spacing w:val="-4"/>
          <w:sz w:val="22"/>
          <w:lang w:val="sq-AL"/>
        </w:rPr>
        <w:tab/>
        <w:t>anëtar i</w:t>
      </w:r>
      <w:r w:rsidRPr="00AA362E">
        <w:rPr>
          <w:spacing w:val="-4"/>
          <w:sz w:val="22"/>
          <w:lang w:val="sq-AL"/>
        </w:rPr>
        <w:tab/>
      </w:r>
      <w:r w:rsidRPr="00AA362E">
        <w:rPr>
          <w:spacing w:val="-4"/>
          <w:sz w:val="22"/>
          <w:lang w:val="sq-AL"/>
        </w:rPr>
        <w:tab/>
        <w:t>“</w:t>
      </w:r>
      <w:r w:rsidRPr="00AA362E">
        <w:rPr>
          <w:spacing w:val="-4"/>
          <w:sz w:val="22"/>
          <w:lang w:val="sq-AL"/>
        </w:rPr>
        <w:tab/>
      </w:r>
      <w:r w:rsidRPr="00AA362E">
        <w:rPr>
          <w:spacing w:val="-4"/>
          <w:sz w:val="22"/>
          <w:lang w:val="sq-AL"/>
        </w:rPr>
        <w:tab/>
        <w:t>“</w:t>
      </w:r>
    </w:p>
    <w:p w:rsidR="005C32CF" w:rsidRPr="00AA362E" w:rsidRDefault="005C32CF" w:rsidP="005C32CF">
      <w:pPr>
        <w:pStyle w:val="Paragrafi"/>
        <w:ind w:firstLine="288"/>
        <w:rPr>
          <w:spacing w:val="-4"/>
          <w:sz w:val="22"/>
          <w:lang w:val="sq-AL"/>
        </w:rPr>
      </w:pPr>
      <w:r w:rsidRPr="00AA362E">
        <w:rPr>
          <w:spacing w:val="-4"/>
          <w:sz w:val="22"/>
          <w:lang w:val="sq-AL"/>
        </w:rPr>
        <w:t>Gani Dizdari</w:t>
      </w:r>
      <w:r w:rsidRPr="00AA362E">
        <w:rPr>
          <w:spacing w:val="-4"/>
          <w:sz w:val="22"/>
          <w:lang w:val="sq-AL"/>
        </w:rPr>
        <w:tab/>
      </w:r>
      <w:r w:rsidRPr="00AA362E">
        <w:rPr>
          <w:spacing w:val="-4"/>
          <w:sz w:val="22"/>
          <w:lang w:val="sq-AL"/>
        </w:rPr>
        <w:tab/>
      </w:r>
      <w:r w:rsidRPr="00AA362E">
        <w:rPr>
          <w:spacing w:val="-4"/>
          <w:sz w:val="22"/>
          <w:lang w:val="sq-AL"/>
        </w:rPr>
        <w:tab/>
        <w:t>anëtar i</w:t>
      </w:r>
      <w:r w:rsidRPr="00AA362E">
        <w:rPr>
          <w:spacing w:val="-4"/>
          <w:sz w:val="22"/>
          <w:lang w:val="sq-AL"/>
        </w:rPr>
        <w:tab/>
      </w:r>
      <w:r w:rsidRPr="00AA362E">
        <w:rPr>
          <w:spacing w:val="-4"/>
          <w:sz w:val="22"/>
          <w:lang w:val="sq-AL"/>
        </w:rPr>
        <w:tab/>
        <w:t>“</w:t>
      </w:r>
      <w:r w:rsidRPr="00AA362E">
        <w:rPr>
          <w:spacing w:val="-4"/>
          <w:sz w:val="22"/>
          <w:lang w:val="sq-AL"/>
        </w:rPr>
        <w:tab/>
      </w:r>
      <w:r w:rsidRPr="00AA362E">
        <w:rPr>
          <w:spacing w:val="-4"/>
          <w:sz w:val="22"/>
          <w:lang w:val="sq-AL"/>
        </w:rPr>
        <w:tab/>
        <w:t>“</w:t>
      </w:r>
    </w:p>
    <w:p w:rsidR="005C32CF" w:rsidRPr="00642F1F" w:rsidRDefault="005C32CF" w:rsidP="005C32CF">
      <w:pPr>
        <w:pStyle w:val="Paragrafi"/>
        <w:rPr>
          <w:spacing w:val="-4"/>
          <w:lang w:val="sq-AL"/>
        </w:rPr>
      </w:pPr>
      <w:r w:rsidRPr="00642F1F">
        <w:rPr>
          <w:spacing w:val="-4"/>
          <w:lang w:val="sq-AL"/>
        </w:rPr>
        <w:t>me sekretare Edmira Babaj, në datën 7.2.2017 dhe 21.2.2017, mori në shqyrtim, mbi bazë dokumentesh, çështjen nr. 89/25 Akti që i përket:</w:t>
      </w:r>
    </w:p>
    <w:p w:rsidR="005C32CF" w:rsidRPr="00642F1F" w:rsidRDefault="005C32CF" w:rsidP="005C32CF">
      <w:pPr>
        <w:pStyle w:val="Paragrafi"/>
        <w:rPr>
          <w:spacing w:val="-4"/>
          <w:lang w:val="sq-AL"/>
        </w:rPr>
      </w:pPr>
      <w:r w:rsidRPr="00642F1F">
        <w:rPr>
          <w:spacing w:val="-4"/>
          <w:lang w:val="sq-AL"/>
        </w:rPr>
        <w:t xml:space="preserve">KËRKUES: Vjollca Mema, Matilda Hazizaj, Maltin Mema </w:t>
      </w:r>
    </w:p>
    <w:p w:rsidR="005C32CF" w:rsidRPr="00642F1F" w:rsidRDefault="005C32CF" w:rsidP="005C32CF">
      <w:pPr>
        <w:pStyle w:val="Paragrafi"/>
        <w:rPr>
          <w:spacing w:val="-4"/>
          <w:lang w:val="sq-AL"/>
        </w:rPr>
      </w:pPr>
      <w:r w:rsidRPr="00642F1F">
        <w:rPr>
          <w:spacing w:val="-4"/>
          <w:lang w:val="sq-AL"/>
        </w:rPr>
        <w:t xml:space="preserve">SUBJEKTE TË INTERESUARA: </w:t>
      </w:r>
      <w:r w:rsidRPr="00642F1F">
        <w:rPr>
          <w:spacing w:val="-4"/>
          <w:lang w:val="sq-AL"/>
        </w:rPr>
        <w:tab/>
        <w:t>Sajmir Peko, Bashkia Sarandë, Zyra Vendore e Regjistrimit të Pasurive të Paluajtshme, Sarandë</w:t>
      </w:r>
      <w:r w:rsidRPr="00642F1F">
        <w:rPr>
          <w:spacing w:val="-4"/>
          <w:lang w:val="sq-AL"/>
        </w:rPr>
        <w:tab/>
      </w:r>
    </w:p>
    <w:p w:rsidR="005C32CF" w:rsidRPr="00642F1F" w:rsidRDefault="005C32CF" w:rsidP="005C32CF">
      <w:pPr>
        <w:pStyle w:val="Paragrafi"/>
        <w:rPr>
          <w:spacing w:val="-4"/>
          <w:lang w:val="sq-AL"/>
        </w:rPr>
      </w:pPr>
      <w:r w:rsidRPr="00642F1F">
        <w:rPr>
          <w:spacing w:val="-4"/>
          <w:lang w:val="sq-AL"/>
        </w:rPr>
        <w:t>OBJEKTI:</w:t>
      </w:r>
      <w:r w:rsidRPr="00642F1F">
        <w:rPr>
          <w:spacing w:val="-4"/>
          <w:lang w:val="sq-AL"/>
        </w:rPr>
        <w:tab/>
        <w:t xml:space="preserve">Shfuqizimi si i papajtueshëm me Kushtetutën e Republikës së Shqipërisë i vendimit nr. 00-2015-2817, datë 15.7.2015 të Kolegjit Civil të Gjykatës së Lartë. </w:t>
      </w:r>
    </w:p>
    <w:p w:rsidR="005C32CF" w:rsidRPr="00642F1F" w:rsidRDefault="005C32CF" w:rsidP="005C32CF">
      <w:pPr>
        <w:pStyle w:val="Paragrafi"/>
        <w:rPr>
          <w:spacing w:val="-4"/>
          <w:lang w:val="sq-AL"/>
        </w:rPr>
      </w:pPr>
      <w:r w:rsidRPr="00642F1F">
        <w:rPr>
          <w:spacing w:val="-4"/>
          <w:lang w:val="sq-AL"/>
        </w:rPr>
        <w:t>BAZA LIGJORE: Nenet 42, 131/f dhe 134/1/i të Kushtetutës së Republikës së Shqipërisë; nenet 72 e në vijim të ligjit nr. 8577, datë 10.2.2000, “Për organizimin dhe funksionimin e Gjykatës Kushtetuese të Republikës së Shqipërisë”.</w:t>
      </w:r>
    </w:p>
    <w:p w:rsidR="005C32CF" w:rsidRPr="00642F1F" w:rsidRDefault="005C32CF" w:rsidP="005C32CF">
      <w:pPr>
        <w:pStyle w:val="Hapesira7"/>
        <w:rPr>
          <w:spacing w:val="-4"/>
          <w:lang w:val="sq-AL"/>
        </w:rPr>
      </w:pPr>
      <w:r w:rsidRPr="00642F1F">
        <w:rPr>
          <w:spacing w:val="-4"/>
          <w:lang w:val="sq-AL"/>
        </w:rPr>
        <w:t xml:space="preserve"> </w:t>
      </w:r>
    </w:p>
    <w:p w:rsidR="005C32CF" w:rsidRPr="00642F1F" w:rsidRDefault="005C32CF" w:rsidP="005C32CF">
      <w:pPr>
        <w:pStyle w:val="NeniNr"/>
        <w:rPr>
          <w:spacing w:val="-4"/>
          <w:lang w:val="sq-AL"/>
        </w:rPr>
      </w:pPr>
      <w:r w:rsidRPr="00642F1F">
        <w:rPr>
          <w:spacing w:val="-4"/>
          <w:lang w:val="sq-AL"/>
        </w:rPr>
        <w:t>GJYKATA KUSHTETUESE,</w:t>
      </w:r>
    </w:p>
    <w:p w:rsidR="005C32CF" w:rsidRPr="00642F1F" w:rsidRDefault="005C32CF" w:rsidP="005C32CF">
      <w:pPr>
        <w:pStyle w:val="Hapesira7"/>
        <w:rPr>
          <w:spacing w:val="-4"/>
          <w:lang w:val="sq-AL"/>
        </w:rPr>
      </w:pPr>
    </w:p>
    <w:p w:rsidR="005C32CF" w:rsidRPr="00642F1F" w:rsidRDefault="005C32CF" w:rsidP="005C32CF">
      <w:pPr>
        <w:pStyle w:val="Paragrafi"/>
        <w:rPr>
          <w:spacing w:val="-4"/>
          <w:lang w:val="sq-AL"/>
        </w:rPr>
      </w:pPr>
      <w:r w:rsidRPr="00642F1F">
        <w:rPr>
          <w:spacing w:val="-4"/>
          <w:lang w:val="sq-AL"/>
        </w:rPr>
        <w:t>pasi dëgjoi relatorin e çështjes Gani Dizdari, mori në shqyrtim pretendimet me shkrim të kërkuesve, që kërkuan pranimin e kërkesës dhe pretendimet me shkrim të subjektit të interesuar Saimir Peko, që kërkoi rrëzimin e kërkesës, si dhe diskutoi çështjen në tërësi,</w:t>
      </w:r>
    </w:p>
    <w:p w:rsidR="005C32CF" w:rsidRPr="00642F1F" w:rsidRDefault="005C32CF" w:rsidP="005C32CF">
      <w:pPr>
        <w:pStyle w:val="Hapesira7"/>
        <w:rPr>
          <w:spacing w:val="-4"/>
          <w:lang w:val="sq-AL"/>
        </w:rPr>
      </w:pPr>
    </w:p>
    <w:p w:rsidR="005C32CF" w:rsidRPr="00642F1F" w:rsidRDefault="005C32CF" w:rsidP="005C32CF">
      <w:pPr>
        <w:pStyle w:val="NeniNr"/>
        <w:rPr>
          <w:spacing w:val="-4"/>
          <w:lang w:val="sq-AL"/>
        </w:rPr>
      </w:pPr>
      <w:r w:rsidRPr="00642F1F">
        <w:rPr>
          <w:spacing w:val="-4"/>
          <w:lang w:val="sq-AL"/>
        </w:rPr>
        <w:t>VËREN:</w:t>
      </w:r>
    </w:p>
    <w:p w:rsidR="005C32CF" w:rsidRPr="00642F1F" w:rsidRDefault="005C32CF" w:rsidP="005C32CF">
      <w:pPr>
        <w:pStyle w:val="NeniNr"/>
        <w:rPr>
          <w:b/>
          <w:spacing w:val="-4"/>
          <w:lang w:val="sq-AL"/>
        </w:rPr>
      </w:pPr>
      <w:r w:rsidRPr="00642F1F">
        <w:rPr>
          <w:b/>
          <w:spacing w:val="-4"/>
          <w:lang w:val="sq-AL"/>
        </w:rPr>
        <w:t>I</w:t>
      </w:r>
    </w:p>
    <w:p w:rsidR="005C32CF" w:rsidRPr="00642F1F" w:rsidRDefault="005C32CF" w:rsidP="005C32CF">
      <w:pPr>
        <w:pStyle w:val="Hapesira7"/>
        <w:rPr>
          <w:spacing w:val="-4"/>
          <w:lang w:val="sq-AL"/>
        </w:rPr>
      </w:pPr>
    </w:p>
    <w:p w:rsidR="005C32CF" w:rsidRPr="00642F1F" w:rsidRDefault="005C32CF" w:rsidP="005C32CF">
      <w:pPr>
        <w:pStyle w:val="Paragrafi"/>
        <w:rPr>
          <w:spacing w:val="-4"/>
          <w:lang w:val="sq-AL"/>
        </w:rPr>
      </w:pPr>
      <w:r w:rsidRPr="00642F1F">
        <w:rPr>
          <w:spacing w:val="-4"/>
          <w:lang w:val="sq-AL"/>
        </w:rPr>
        <w:t>1. Nga aktet e dosjes gjyqësore rezulton se kërkuesit janë trashëgimtarë të shtetasit Petrit Mema. Me vendimin nr. 1, datë 28.8.1999 të Këshillit Bashkiak Sarandë, midis të tjerave, atij i është dhënë për ndërtim parcela nr. 4 në bllokun H4 me sipërfaqe 914 m</w:t>
      </w:r>
      <w:r w:rsidRPr="00642F1F">
        <w:rPr>
          <w:spacing w:val="-4"/>
          <w:vertAlign w:val="superscript"/>
          <w:lang w:val="sq-AL"/>
        </w:rPr>
        <w:t>2</w:t>
      </w:r>
      <w:r w:rsidRPr="00642F1F">
        <w:rPr>
          <w:spacing w:val="-4"/>
          <w:lang w:val="sq-AL"/>
        </w:rPr>
        <w:t xml:space="preserve"> së bashku me lejen e ndërtimit. </w:t>
      </w:r>
    </w:p>
    <w:p w:rsidR="005C32CF" w:rsidRPr="00642F1F" w:rsidRDefault="005C32CF" w:rsidP="005C32CF">
      <w:pPr>
        <w:pStyle w:val="Paragrafi"/>
        <w:rPr>
          <w:spacing w:val="-4"/>
          <w:lang w:val="sq-AL"/>
        </w:rPr>
      </w:pPr>
      <w:r w:rsidRPr="00642F1F">
        <w:rPr>
          <w:spacing w:val="-4"/>
          <w:lang w:val="sq-AL"/>
        </w:rPr>
        <w:t>2. Petrit Mema, pasi është vënë në dijeni se kjo sipërfaqe është regjistruar në emër të subjektit të interesuar, Sajmir Peko, i është drejtuar gjykatës me padi me të cilën kërkon deklarimin e pavërtetë të vendimit nr. 1, datë 28.8.1999 të Këshillit të Bashkisë Sarandë vetëm për subjektin Sajmir Peko, duke pretenduar se në këtë vendim këshilli është shprehur vetëm për bllokun H4, parcela nr. 4 që i takon Petrit Memës dhe si pasojë kërkon pavlefshmërinë absolute të të gjitha veprimeve që subjekti Sajmir Peko ka kryer me organet e pushtetit lokal për këtë parcelë dhe fshirjen nga regjistri hipotekor të kësaj pasurie.</w:t>
      </w:r>
    </w:p>
    <w:p w:rsidR="005C32CF" w:rsidRPr="00642F1F" w:rsidRDefault="005C32CF" w:rsidP="005C32CF">
      <w:pPr>
        <w:pStyle w:val="Paragrafi"/>
        <w:rPr>
          <w:spacing w:val="-4"/>
          <w:lang w:val="sq-AL"/>
        </w:rPr>
      </w:pPr>
      <w:r w:rsidRPr="00642F1F">
        <w:rPr>
          <w:spacing w:val="-4"/>
          <w:lang w:val="sq-AL"/>
        </w:rPr>
        <w:t>3. Nga ana tjetër, subjekti i interesuar Sajmir Peko ka paraqitur kundërpadi për pavërtetësi dhe goditje për falsitet të të gjitha akteve administrative në emër të paditësit Petrit Mema, të nxjerra në funksion të parcelës nr. 4 blloku H4, duke pretenduar se është pronari i vetëm i kësaj parcele.</w:t>
      </w:r>
    </w:p>
    <w:p w:rsidR="005C32CF" w:rsidRPr="00642F1F" w:rsidRDefault="005C32CF" w:rsidP="005C32CF">
      <w:pPr>
        <w:pStyle w:val="Paragrafi"/>
        <w:rPr>
          <w:spacing w:val="-4"/>
          <w:lang w:val="sq-AL"/>
        </w:rPr>
      </w:pPr>
      <w:r w:rsidRPr="00642F1F">
        <w:rPr>
          <w:spacing w:val="-4"/>
          <w:lang w:val="sq-AL"/>
        </w:rPr>
        <w:t>4. Gjykata e Rrethit Gjyqësor Sarandë, me vendimin nr. 23-2011-1021(639), datё 16.5.2011, ka vendosur: “</w:t>
      </w:r>
      <w:r w:rsidRPr="00642F1F">
        <w:rPr>
          <w:i/>
          <w:spacing w:val="-4"/>
          <w:lang w:val="sq-AL"/>
        </w:rPr>
        <w:t>Pranimin e padisë. Deklarimin pjesërisht të pavërtetë të vendimit nr. 1, datë 28.8.1999 të Këshillit Bashkiak Sarandë për sa i përket të paditurit/</w:t>
      </w:r>
      <w:r>
        <w:rPr>
          <w:i/>
          <w:spacing w:val="-4"/>
          <w:lang w:val="sq-AL"/>
        </w:rPr>
        <w:t xml:space="preserve"> </w:t>
      </w:r>
      <w:r w:rsidRPr="00642F1F">
        <w:rPr>
          <w:i/>
          <w:spacing w:val="-4"/>
          <w:lang w:val="sq-AL"/>
        </w:rPr>
        <w:t>kundërpaditës Sajmir Peko. Deklarimin e pavlefshmërisë absolute të kontratës së shitblerjes me nr. 1629 rep., nr. 785 kol., datë 1.9.2000 të lidhur midis shitësit Bashkia Sarandë dhe blerësit Sajmir Peko dhe kthimin e palëve në gjendjen e mëparshme. Fshirjen nga regjistri hipotekor të kësaj sipërfaqeje prej 914 m</w:t>
      </w:r>
      <w:r w:rsidRPr="00642F1F">
        <w:rPr>
          <w:i/>
          <w:spacing w:val="-4"/>
          <w:vertAlign w:val="superscript"/>
          <w:lang w:val="sq-AL"/>
        </w:rPr>
        <w:t>2</w:t>
      </w:r>
      <w:r w:rsidRPr="00642F1F">
        <w:rPr>
          <w:i/>
          <w:spacing w:val="-4"/>
          <w:lang w:val="sq-AL"/>
        </w:rPr>
        <w:t xml:space="preserve"> të regjistruar në emër të Sajmir Peko në regjistrin nr. 1, faqe 38, nr. 112 indeksi, datë 2.4.2001. Marrjen e masës së </w:t>
      </w:r>
      <w:r w:rsidRPr="00642F1F">
        <w:rPr>
          <w:i/>
          <w:spacing w:val="-4"/>
          <w:lang w:val="sq-AL"/>
        </w:rPr>
        <w:lastRenderedPageBreak/>
        <w:t>sigurimit të padisë, duke detyruar të paditurin/</w:t>
      </w:r>
      <w:r>
        <w:rPr>
          <w:i/>
          <w:spacing w:val="-4"/>
          <w:lang w:val="sq-AL"/>
        </w:rPr>
        <w:t xml:space="preserve"> </w:t>
      </w:r>
      <w:r w:rsidRPr="00642F1F">
        <w:rPr>
          <w:i/>
          <w:spacing w:val="-4"/>
          <w:lang w:val="sq-AL"/>
        </w:rPr>
        <w:t>kundërpaditës të mos tjetërsojë këtë pasuri te të tretët. Rrëzimin e kundërpadisë së të paditurit/</w:t>
      </w:r>
      <w:r>
        <w:rPr>
          <w:i/>
          <w:spacing w:val="-4"/>
          <w:lang w:val="sq-AL"/>
        </w:rPr>
        <w:t xml:space="preserve"> </w:t>
      </w:r>
      <w:r w:rsidRPr="00642F1F">
        <w:rPr>
          <w:i/>
          <w:spacing w:val="-4"/>
          <w:lang w:val="sq-AL"/>
        </w:rPr>
        <w:t>kundërpaditës Sajmir Peko si të pabazuar në prova e në ligj</w:t>
      </w:r>
      <w:r w:rsidRPr="00642F1F">
        <w:rPr>
          <w:spacing w:val="-4"/>
          <w:lang w:val="sq-AL"/>
        </w:rPr>
        <w:t>.”.</w:t>
      </w:r>
    </w:p>
    <w:p w:rsidR="005C32CF" w:rsidRPr="00642F1F" w:rsidRDefault="005C32CF" w:rsidP="005C32CF">
      <w:pPr>
        <w:pStyle w:val="Paragrafi"/>
        <w:rPr>
          <w:spacing w:val="-4"/>
          <w:lang w:val="sq-AL"/>
        </w:rPr>
      </w:pPr>
      <w:r w:rsidRPr="00642F1F">
        <w:rPr>
          <w:spacing w:val="-4"/>
          <w:lang w:val="sq-AL"/>
        </w:rPr>
        <w:t>5. Gjykata e Apelit Gjirokastër, me vendimin nr. 558, datё 16.12.2011, ka vendosur: “</w:t>
      </w:r>
      <w:r w:rsidRPr="00642F1F">
        <w:rPr>
          <w:i/>
          <w:spacing w:val="-4"/>
          <w:lang w:val="sq-AL"/>
        </w:rPr>
        <w:t>Lënien në fuqi të vendimit nr. 23-2011-1021 (639), datё 16.5.2011 të Gjykatës së Rrethit Gjyqësor Sarandë</w:t>
      </w:r>
      <w:r w:rsidRPr="00642F1F">
        <w:rPr>
          <w:spacing w:val="-4"/>
          <w:lang w:val="sq-AL"/>
        </w:rPr>
        <w:t>.”.</w:t>
      </w:r>
    </w:p>
    <w:p w:rsidR="005C32CF" w:rsidRPr="00642F1F" w:rsidRDefault="005C32CF" w:rsidP="005C32CF">
      <w:pPr>
        <w:pStyle w:val="Paragrafi"/>
        <w:rPr>
          <w:spacing w:val="-4"/>
          <w:lang w:val="sq-AL"/>
        </w:rPr>
      </w:pPr>
      <w:r w:rsidRPr="00642F1F">
        <w:rPr>
          <w:spacing w:val="-4"/>
          <w:lang w:val="sq-AL"/>
        </w:rPr>
        <w:t>6. Kundër këtij vendimi ka bёrё rekurs pala e paditur kundërpaditëse Sajmir Peko. Kolegji Civil i Gjykatës së Lartë, me vendimin nr. 00-2015-2817 (356), datë 15.7.2015, ka vendosur: “</w:t>
      </w:r>
      <w:r w:rsidRPr="00642F1F">
        <w:rPr>
          <w:i/>
          <w:spacing w:val="-4"/>
          <w:lang w:val="sq-AL"/>
        </w:rPr>
        <w:t>Ndryshimin e vendimit nr. 558, datё 16.12.2011 të Gjykatës së Apelit Gjirokastër dhe vendimit nr. 639, datё 16.5.2011 të Gjykatës së Rrethit Gjyqësor Sarandë, si më poshtë: “Rrëzimin e padisë së Vjollca Mema, Matilda Hazizaj (Mema) dhe Maltin Mema kundër të paditurit kundërpaditës Sajmir Peko. Pranimin e padisë së të paditurit kundërpaditës Saimir Peko, duke i deklaruar të pavërteta aktet e përmendura në objektin e kundërpadisë, dhe kërkimeve të tjera</w:t>
      </w:r>
      <w:r w:rsidRPr="00642F1F">
        <w:rPr>
          <w:spacing w:val="-4"/>
          <w:lang w:val="sq-AL"/>
        </w:rPr>
        <w:t>.””.</w:t>
      </w:r>
    </w:p>
    <w:p w:rsidR="005C32CF" w:rsidRPr="00A8012D" w:rsidRDefault="005C32CF" w:rsidP="005C32CF">
      <w:pPr>
        <w:pStyle w:val="Hapesira7"/>
        <w:rPr>
          <w:spacing w:val="-4"/>
          <w:sz w:val="4"/>
          <w:lang w:val="sq-AL"/>
        </w:rPr>
      </w:pPr>
    </w:p>
    <w:p w:rsidR="005C32CF" w:rsidRPr="00642F1F" w:rsidRDefault="005C32CF" w:rsidP="005C32CF">
      <w:pPr>
        <w:pStyle w:val="NeniNr"/>
        <w:rPr>
          <w:b/>
          <w:spacing w:val="-4"/>
          <w:lang w:val="sq-AL"/>
        </w:rPr>
      </w:pPr>
      <w:r w:rsidRPr="00642F1F">
        <w:rPr>
          <w:b/>
          <w:spacing w:val="-4"/>
          <w:lang w:val="sq-AL"/>
        </w:rPr>
        <w:t>II</w:t>
      </w:r>
    </w:p>
    <w:p w:rsidR="005C32CF" w:rsidRPr="00A8012D" w:rsidRDefault="005C32CF" w:rsidP="005C32CF">
      <w:pPr>
        <w:pStyle w:val="Hapesira7"/>
        <w:rPr>
          <w:spacing w:val="-4"/>
          <w:sz w:val="8"/>
          <w:lang w:val="sq-AL"/>
        </w:rPr>
      </w:pPr>
    </w:p>
    <w:p w:rsidR="005C32CF" w:rsidRPr="00642F1F" w:rsidRDefault="005C32CF" w:rsidP="005C32CF">
      <w:pPr>
        <w:pStyle w:val="Paragrafi"/>
        <w:rPr>
          <w:spacing w:val="-4"/>
          <w:lang w:val="sq-AL"/>
        </w:rPr>
      </w:pPr>
      <w:r w:rsidRPr="00642F1F">
        <w:rPr>
          <w:spacing w:val="-4"/>
          <w:lang w:val="sq-AL"/>
        </w:rPr>
        <w:t xml:space="preserve">7. </w:t>
      </w:r>
      <w:r w:rsidRPr="00642F1F">
        <w:rPr>
          <w:b/>
          <w:i/>
          <w:spacing w:val="-4"/>
          <w:lang w:val="sq-AL"/>
        </w:rPr>
        <w:t>Kërkuesit</w:t>
      </w:r>
      <w:r w:rsidRPr="00642F1F">
        <w:rPr>
          <w:spacing w:val="-4"/>
          <w:lang w:val="sq-AL"/>
        </w:rPr>
        <w:t xml:space="preserve"> i janë drejtuar me kërkesë Gjykatës Kushtetuese (</w:t>
      </w:r>
      <w:r w:rsidRPr="00642F1F">
        <w:rPr>
          <w:i/>
          <w:spacing w:val="-4"/>
          <w:lang w:val="sq-AL"/>
        </w:rPr>
        <w:t>Gjykata</w:t>
      </w:r>
      <w:r w:rsidRPr="00642F1F">
        <w:rPr>
          <w:spacing w:val="-4"/>
          <w:lang w:val="sq-AL"/>
        </w:rPr>
        <w:t>) sipas objektit të saj, duke pretenduar se gjykimi në Kolegjin Civil të Gjykatës së Lartë është zhvilluar pa praninë e tyre dhe për këtë shkak është cenuar procesi i rregullt ligjor, pasi nuk u është dhënë mundësia të dëgjohen nga gjykata.</w:t>
      </w:r>
    </w:p>
    <w:p w:rsidR="005C32CF" w:rsidRPr="00642F1F" w:rsidRDefault="005C32CF" w:rsidP="005C32CF">
      <w:pPr>
        <w:pStyle w:val="Paragrafi"/>
        <w:rPr>
          <w:spacing w:val="-4"/>
          <w:lang w:val="sq-AL"/>
        </w:rPr>
      </w:pPr>
      <w:r w:rsidRPr="00642F1F">
        <w:rPr>
          <w:spacing w:val="-4"/>
          <w:lang w:val="sq-AL"/>
        </w:rPr>
        <w:t xml:space="preserve"> 8. </w:t>
      </w:r>
      <w:r w:rsidRPr="00642F1F">
        <w:rPr>
          <w:b/>
          <w:i/>
          <w:spacing w:val="-4"/>
          <w:lang w:val="sq-AL"/>
        </w:rPr>
        <w:t>Subjekti i interesuar Saimir Peko</w:t>
      </w:r>
      <w:r w:rsidRPr="00642F1F">
        <w:rPr>
          <w:spacing w:val="-4"/>
          <w:lang w:val="sq-AL"/>
        </w:rPr>
        <w:t xml:space="preserve"> ka kërkuar rrëzimin e kërkesës, duke parashtruar se pretendimi është i pabazuar, pasi Kolegji Civil i Gjykatës së Lartë i ka bërë të gjitha përpjekjet për t’u mundësuar kërkuesve marrjen pjesë në seancën gjyqësore të caktuar prej tij. Ai Kolegj e ka shtyrë 3 herë datën e gjykimit, ndërkohë që kërkuesit nuk kanë treguar predispozitë dhe gatishmëri për të marrë pjesë në gjykim, duke gjetur shkaqe të reja për çdo seancë. Gjykimi i rekursit në Gjykatën e Lartë nuk bëhet sipas nenit 175 të Kodit të Procedurës Penale (KPC), por sipas nenit 483 të KPC-së, sipas të cilit mbrojtja dhe përfaqësimi bëhet nga avokati. Kërkuesit asnjëherë nuk kanë pretenduar para gjykatës se nuk kanë mundësi të marrin avokat, prandaj detyrimi për të siguruar pjesëmarrjen e vet në seancë u mbetet kërkuesve. </w:t>
      </w:r>
    </w:p>
    <w:p w:rsidR="005C32CF" w:rsidRPr="00A8012D" w:rsidRDefault="005C32CF" w:rsidP="005C32CF">
      <w:pPr>
        <w:pStyle w:val="Hapesira7"/>
        <w:rPr>
          <w:spacing w:val="-4"/>
          <w:sz w:val="10"/>
          <w:lang w:val="sq-AL"/>
        </w:rPr>
      </w:pPr>
    </w:p>
    <w:p w:rsidR="005C32CF" w:rsidRPr="00642F1F" w:rsidRDefault="005C32CF" w:rsidP="005C32CF">
      <w:pPr>
        <w:pStyle w:val="NeniNr"/>
        <w:rPr>
          <w:b/>
          <w:spacing w:val="-4"/>
          <w:lang w:val="sq-AL"/>
        </w:rPr>
      </w:pPr>
      <w:r w:rsidRPr="00642F1F">
        <w:rPr>
          <w:b/>
          <w:spacing w:val="-4"/>
          <w:lang w:val="sq-AL"/>
        </w:rPr>
        <w:t>III</w:t>
      </w:r>
    </w:p>
    <w:p w:rsidR="005C32CF" w:rsidRPr="00642F1F" w:rsidRDefault="005C32CF" w:rsidP="005C32CF">
      <w:pPr>
        <w:pStyle w:val="NeniNr"/>
        <w:rPr>
          <w:b/>
          <w:spacing w:val="-4"/>
          <w:lang w:val="sq-AL"/>
        </w:rPr>
      </w:pPr>
      <w:r w:rsidRPr="00642F1F">
        <w:rPr>
          <w:b/>
          <w:spacing w:val="-4"/>
          <w:lang w:val="sq-AL"/>
        </w:rPr>
        <w:t>Vlerësimi i Gjykatës Kushtetuese</w:t>
      </w:r>
    </w:p>
    <w:p w:rsidR="005C32CF" w:rsidRPr="00A8012D" w:rsidRDefault="005C32CF" w:rsidP="005C32CF">
      <w:pPr>
        <w:pStyle w:val="Hapesira7"/>
        <w:rPr>
          <w:spacing w:val="-4"/>
          <w:sz w:val="10"/>
          <w:lang w:val="sq-AL"/>
        </w:rPr>
      </w:pPr>
    </w:p>
    <w:p w:rsidR="005C32CF" w:rsidRPr="00642F1F" w:rsidRDefault="005C32CF" w:rsidP="005C32CF">
      <w:pPr>
        <w:pStyle w:val="Paragrafi"/>
        <w:rPr>
          <w:i/>
          <w:spacing w:val="-4"/>
          <w:lang w:val="sq-AL"/>
        </w:rPr>
      </w:pPr>
      <w:r w:rsidRPr="00642F1F">
        <w:rPr>
          <w:i/>
          <w:spacing w:val="-4"/>
          <w:lang w:val="sq-AL"/>
        </w:rPr>
        <w:t xml:space="preserve">A. Për legjitimimin e kërkuesve </w:t>
      </w:r>
    </w:p>
    <w:p w:rsidR="005C32CF" w:rsidRPr="00642F1F" w:rsidRDefault="005C32CF" w:rsidP="005C32CF">
      <w:pPr>
        <w:pStyle w:val="Paragrafi"/>
        <w:rPr>
          <w:spacing w:val="-4"/>
          <w:lang w:val="sq-AL"/>
        </w:rPr>
      </w:pPr>
      <w:r w:rsidRPr="00642F1F">
        <w:rPr>
          <w:spacing w:val="-4"/>
          <w:lang w:val="sq-AL"/>
        </w:rPr>
        <w:t xml:space="preserve">9. Gjykata vëren se kërkuesi legjitimohet </w:t>
      </w:r>
      <w:r w:rsidRPr="00642F1F">
        <w:rPr>
          <w:i/>
          <w:spacing w:val="-4"/>
          <w:lang w:val="sq-AL"/>
        </w:rPr>
        <w:t>ratione personae</w:t>
      </w:r>
      <w:r w:rsidRPr="00642F1F">
        <w:rPr>
          <w:spacing w:val="-4"/>
          <w:lang w:val="sq-AL"/>
        </w:rPr>
        <w:t xml:space="preserve">, në kuptim të rregullimit kushtetues të neneve 131/f dhe 134/1/i të Kushtetutës, si dhe </w:t>
      </w:r>
      <w:r w:rsidRPr="00642F1F">
        <w:rPr>
          <w:i/>
          <w:spacing w:val="-4"/>
          <w:lang w:val="sq-AL"/>
        </w:rPr>
        <w:t>ratione temporis</w:t>
      </w:r>
      <w:r w:rsidRPr="00642F1F">
        <w:rPr>
          <w:spacing w:val="-4"/>
          <w:lang w:val="sq-AL"/>
        </w:rPr>
        <w:t xml:space="preserve">, pasi kërkesa është paraqitur brenda afatit të parashikuar nga neni 31 i ligjit nr. 8577, datë 10.2.2000, “Për organizimin dhe funksionimin e Gjykatës Kushtetuese të Republikës së Shqipërisë”. </w:t>
      </w:r>
    </w:p>
    <w:p w:rsidR="005C32CF" w:rsidRPr="00642F1F" w:rsidRDefault="005C32CF" w:rsidP="005C32CF">
      <w:pPr>
        <w:pStyle w:val="Paragrafi"/>
        <w:rPr>
          <w:spacing w:val="-4"/>
          <w:lang w:val="sq-AL"/>
        </w:rPr>
      </w:pPr>
      <w:r w:rsidRPr="00642F1F">
        <w:rPr>
          <w:spacing w:val="-4"/>
          <w:lang w:val="sq-AL"/>
        </w:rPr>
        <w:t xml:space="preserve">10. Në lidhje me legjitimimin </w:t>
      </w:r>
      <w:r w:rsidRPr="00642F1F">
        <w:rPr>
          <w:i/>
          <w:spacing w:val="-4"/>
          <w:lang w:val="sq-AL"/>
        </w:rPr>
        <w:t>ratione materiae</w:t>
      </w:r>
      <w:r w:rsidRPr="00642F1F">
        <w:rPr>
          <w:spacing w:val="-4"/>
          <w:lang w:val="sq-AL"/>
        </w:rPr>
        <w:t>, në jurisprudencën kushtetuese është theksuar në mënyrë të vazhdueshme se kontrolli që kjo Gjykatë ushtron ndaj vendimeve gjyqësore është i kufizuar vetëm në funksion të mbrojtjes së të drejtave kushtetuese të individit për një proces të rregullt ligjor, kurse problemet e interpretimit dhe të zbatimit të ligjit për zgjidhjen e çështjeve konkrete nuk përbëjnë juridiksion kushtetues, nëse ato nuk shoqërohen me cenimin e këtyre të drejtave. Gjykata ndërhyn në ato raste kur, përmes veprimeve të tyre, gjykatat e zakonshme cenojnë të drejtën për një proces të rregullt ligjor. Në këto raste, Gjykata nuk bën rivlerësimin e fakteve e të rrethanave, por një vlerësim të natyrës kushtetuese, të dallueshëm nga ai i gjykatave të juridiksionit të zakonshëm.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642F1F">
        <w:rPr>
          <w:i/>
          <w:spacing w:val="-4"/>
          <w:lang w:val="sq-AL"/>
        </w:rPr>
        <w:t>shih vendimin nr. 62, datë 23.9.2015 të Gjykatës Kushtetuese</w:t>
      </w:r>
      <w:r w:rsidRPr="00642F1F">
        <w:rPr>
          <w:spacing w:val="-4"/>
          <w:lang w:val="sq-AL"/>
        </w:rPr>
        <w:t>).</w:t>
      </w:r>
    </w:p>
    <w:p w:rsidR="005C32CF" w:rsidRPr="00642F1F" w:rsidRDefault="005C32CF" w:rsidP="005C32CF">
      <w:pPr>
        <w:pStyle w:val="Paragrafi"/>
        <w:rPr>
          <w:i/>
          <w:spacing w:val="-4"/>
          <w:lang w:val="sq-AL"/>
        </w:rPr>
      </w:pPr>
      <w:r w:rsidRPr="00642F1F">
        <w:rPr>
          <w:i/>
          <w:spacing w:val="-4"/>
          <w:lang w:val="sq-AL"/>
        </w:rPr>
        <w:t>B. Për pretendimin e zhvillimit të gjykimit në mungesë në Gjykatën e Lartë</w:t>
      </w:r>
    </w:p>
    <w:p w:rsidR="005C32CF" w:rsidRPr="00642F1F" w:rsidRDefault="005C32CF" w:rsidP="005C32CF">
      <w:pPr>
        <w:pStyle w:val="Paragrafi"/>
        <w:rPr>
          <w:spacing w:val="-4"/>
          <w:lang w:val="sq-AL"/>
        </w:rPr>
      </w:pPr>
      <w:r w:rsidRPr="00642F1F">
        <w:rPr>
          <w:spacing w:val="-4"/>
          <w:lang w:val="sq-AL"/>
        </w:rPr>
        <w:t xml:space="preserve">11. Gjykata ka vlerësuar se e drejta e palëve për të qenë të pranishme, për t’u mbrojtur e për t’u dëgjuar në procesin gjyqësor janë aspekte të rëndësishme të procesit të rregullt në kuptimin kushtetues. Në nenin 42/2 të Kushtetutës parashikohet se kushdo, për mbrojtjen e të drejtave, të lirive dhe interesave të tij kushtetues dhe ligjorë ose në rastin e akuzave të ngritura kundër tij, ka të drejtën e një </w:t>
      </w:r>
      <w:r w:rsidRPr="00642F1F">
        <w:rPr>
          <w:spacing w:val="-4"/>
          <w:lang w:val="sq-AL"/>
        </w:rPr>
        <w:lastRenderedPageBreak/>
        <w:t>gjykimi të drejtë dhe publik brenda një afati të arsyeshëm nga një gjykatë e pavarur dhe e paanshme e caktuar me ligj.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 (</w:t>
      </w:r>
      <w:r w:rsidRPr="00642F1F">
        <w:rPr>
          <w:i/>
          <w:spacing w:val="-4"/>
          <w:lang w:val="sq-AL"/>
        </w:rPr>
        <w:t>shih vendimin nr. 52, datë 14.11.2014 të Gjykatës Kushtetuese</w:t>
      </w:r>
      <w:r w:rsidRPr="00642F1F">
        <w:rPr>
          <w:spacing w:val="-4"/>
          <w:lang w:val="sq-AL"/>
        </w:rPr>
        <w:t xml:space="preserve">). </w:t>
      </w:r>
    </w:p>
    <w:p w:rsidR="005C32CF" w:rsidRPr="00642F1F" w:rsidRDefault="005C32CF" w:rsidP="005C32CF">
      <w:pPr>
        <w:pStyle w:val="Paragrafi"/>
        <w:rPr>
          <w:spacing w:val="-4"/>
          <w:lang w:val="sq-AL"/>
        </w:rPr>
      </w:pPr>
      <w:r w:rsidRPr="00642F1F">
        <w:rPr>
          <w:spacing w:val="-4"/>
          <w:lang w:val="sq-AL"/>
        </w:rPr>
        <w:t>12. Në lidhje me çështjen në shqyrtim, nga materialet bashkëlidhur kërkesës, rezulton se Kolegji Civil i Gjykatës së Lartë, në seancën gjyqësore të datës 1.7.2015, mbështetur në nenin 199/1 të KPC-së, si dhe në kërkesën e njërit prej subjekteve të interesuara, Matilda Hazizaj (Mema), bëri zëvendësimin procedural të shtetasit Petrit Mema me trashëgimtarët ligjorë të tij. Ky zëvendësim procedural u bë duke iu referuar dëshmisë së trashëgimisë ligjore nr. 1067 prot., nr. 430 kol, datë 4.6.2015, sipas së cilës rezulton se shtetasi Petrit Mema ka ndërruar jetë. Për këtë arsye Kolegji Civil thirri në gjykim si palë paditëse të kundërpaditur trashëgimtarët ligjorë të tij, Vjollca Mema (bashkëshortja), Matilda Hazizaj (Mema) (e bija) dhe Maltin Mema (i biri), të cilët janë kërkues në këtë gjykim.</w:t>
      </w:r>
    </w:p>
    <w:p w:rsidR="005C32CF" w:rsidRPr="00642F1F" w:rsidRDefault="005C32CF" w:rsidP="005C32CF">
      <w:pPr>
        <w:pStyle w:val="Paragrafi"/>
        <w:rPr>
          <w:spacing w:val="-4"/>
          <w:lang w:val="sq-AL"/>
        </w:rPr>
      </w:pPr>
      <w:r w:rsidRPr="00642F1F">
        <w:rPr>
          <w:spacing w:val="-4"/>
          <w:lang w:val="sq-AL"/>
        </w:rPr>
        <w:t xml:space="preserve">13. Po kështu nga dosja gjyqësore konstatohet se seanca gjyqësore e Kolegjit Civil është shtyrë disa herë për shkaqe, të tilla si: çelja e trashëgimisë së subjektit të interesuar Petrit Mema, për të cilën seanca u shty dy herë (datë 10.6.2015 dhe datë 1.7.1015), pasi trashëgimlënësit kërkuan kohë për shkak të mosrealizimit të çeljes së trashëgimisë para noterit. Njoftimi për seancën e radhës është bërë nga Kancelari i Gjykatës së Lartë, sipas rregullave, gjë që pranohet edhe nga kërkuesja. Në seancën e datës 1.7.2015 është bërë zëvendësimi procedural dhe seanca është riçelur sërish në datën 15.7.2015, me qëllim marrjen pjesë edhe të trashëgimtarëve të tjerë. Një prej trashëgimtarëve, M.H., i pranishëm në seancë ka marrë dijeni për datën dhe orën e zhvillimit të seancës tjetër dhe ka marrë përsipër para gjykatës të njoftojë trashëgimtarët e tjerë (e regjistruar në procesverbal). Në datën 14.7.2015, trashëgimtarja M.H., e cila kishte marrë përsipër njoftimin e kërkuesve të tjerë, ka kërkuar shtyrjen e seancës për shkaqe shëndetësore. Ndërkohë personat e tjerë (kërkuesit) nuk kanë paraqitur asnjë shkak për mospjesëmarrjen në seancë. Në këto kushte, Kolegji Civil ka vendosur vazhdimin e gjykimit të çështjes pa praninë e tyre. </w:t>
      </w:r>
    </w:p>
    <w:p w:rsidR="005C32CF" w:rsidRPr="00642F1F" w:rsidRDefault="005C32CF" w:rsidP="005C32CF">
      <w:pPr>
        <w:pStyle w:val="Paragrafi"/>
        <w:rPr>
          <w:spacing w:val="-4"/>
          <w:lang w:val="sq-AL"/>
        </w:rPr>
      </w:pPr>
      <w:r w:rsidRPr="00642F1F">
        <w:rPr>
          <w:spacing w:val="-4"/>
          <w:lang w:val="sq-AL"/>
        </w:rPr>
        <w:t>14. Gjykata, pas shqyrtimit të çështjes në seancë plenare, vëren se pretendimi i ngritur nga kërkuesja nuk arriti të merrte shumicën e votave të gjyqtarëve prej 5 anëtarësh të kërkuar nga ligji. Sipas nenit 72/2 të ligjit nr. 8577/2000, “Për organizimin dhe funksionimin e Gjykatës Kushtetuese të Republikës së Shqipërisë”, të ndryshuar, vendimet e Gjykatës Kushtetuese merren me shumicën e votave të të gjithë gjyqtarëve të saj. Në votimin për këtë çështje 4 gjyqtarë votuan për rrëzimin e kërkesës dhe 3 për pranimin e saj.</w:t>
      </w:r>
      <w:r w:rsidRPr="00642F1F">
        <w:rPr>
          <w:spacing w:val="-4"/>
          <w:vertAlign w:val="superscript"/>
          <w:lang w:val="sq-AL"/>
        </w:rPr>
        <w:footnoteReference w:id="1"/>
      </w:r>
      <w:r w:rsidRPr="00642F1F">
        <w:rPr>
          <w:spacing w:val="-4"/>
          <w:lang w:val="sq-AL"/>
        </w:rPr>
        <w:t xml:space="preserve"> Nisur nga ky fakt, bazuar në nenin 73 të këtij ligji, për shkak të mosformimit të shumicës prej 5 gjyqtarësh, kërkesa konsiderohet e rrëzuar. </w:t>
      </w:r>
    </w:p>
    <w:p w:rsidR="005C32CF" w:rsidRPr="00642F1F" w:rsidRDefault="005C32CF" w:rsidP="005C32CF">
      <w:pPr>
        <w:pStyle w:val="NeniNr"/>
        <w:rPr>
          <w:spacing w:val="-4"/>
          <w:lang w:val="sq-AL"/>
        </w:rPr>
      </w:pPr>
      <w:r w:rsidRPr="00642F1F">
        <w:rPr>
          <w:spacing w:val="-4"/>
          <w:lang w:val="sq-AL"/>
        </w:rPr>
        <w:t>PËR KËTO ARSYE,</w:t>
      </w:r>
    </w:p>
    <w:p w:rsidR="005C32CF" w:rsidRPr="00642F1F" w:rsidRDefault="005C32CF" w:rsidP="005C32CF">
      <w:pPr>
        <w:pStyle w:val="Hapesira7"/>
        <w:rPr>
          <w:spacing w:val="-4"/>
          <w:lang w:val="sq-AL"/>
        </w:rPr>
      </w:pPr>
    </w:p>
    <w:p w:rsidR="005C32CF" w:rsidRPr="00642F1F" w:rsidRDefault="005C32CF" w:rsidP="005C32CF">
      <w:pPr>
        <w:pStyle w:val="Paragrafi"/>
        <w:rPr>
          <w:spacing w:val="-4"/>
          <w:lang w:val="sq-AL"/>
        </w:rPr>
      </w:pPr>
      <w:r w:rsidRPr="00642F1F">
        <w:rPr>
          <w:spacing w:val="-4"/>
          <w:lang w:val="sq-AL"/>
        </w:rPr>
        <w:t>Gjykata Kushtetuese e Republikës së Shqipërisë, në mbështetje të neneve 131/f dhe 134/1/i të Kushtetutës, si dhe të neneve 70, 72 dhe 73 të ligjit nr. 8577, datë 10.2.2000, “Për organizimin dhe funksionimin e Gjykatës Kushtetuese të Republikës së Shqipërisë”, të ndryshuar,</w:t>
      </w:r>
    </w:p>
    <w:p w:rsidR="005C32CF" w:rsidRPr="00642F1F" w:rsidRDefault="005C32CF" w:rsidP="005C32CF">
      <w:pPr>
        <w:pStyle w:val="Hapesira7"/>
        <w:rPr>
          <w:spacing w:val="-4"/>
          <w:lang w:val="sq-AL"/>
        </w:rPr>
      </w:pPr>
    </w:p>
    <w:p w:rsidR="005C32CF" w:rsidRPr="00642F1F" w:rsidRDefault="005C32CF" w:rsidP="005C32CF">
      <w:pPr>
        <w:pStyle w:val="NeniNr"/>
        <w:rPr>
          <w:spacing w:val="-4"/>
          <w:lang w:val="sq-AL"/>
        </w:rPr>
      </w:pPr>
      <w:r w:rsidRPr="00642F1F">
        <w:rPr>
          <w:spacing w:val="-4"/>
          <w:lang w:val="sq-AL"/>
        </w:rPr>
        <w:lastRenderedPageBreak/>
        <w:t>VENDOSI:</w:t>
      </w:r>
    </w:p>
    <w:p w:rsidR="005C32CF" w:rsidRPr="00642F1F" w:rsidRDefault="005C32CF" w:rsidP="005C32CF">
      <w:pPr>
        <w:pStyle w:val="Hapesira7"/>
        <w:rPr>
          <w:spacing w:val="-4"/>
          <w:lang w:val="sq-AL"/>
        </w:rPr>
      </w:pPr>
    </w:p>
    <w:p w:rsidR="005C32CF" w:rsidRPr="00642F1F" w:rsidRDefault="005C32CF" w:rsidP="005C32CF">
      <w:pPr>
        <w:pStyle w:val="Paragrafi"/>
        <w:rPr>
          <w:spacing w:val="-4"/>
          <w:lang w:val="sq-AL"/>
        </w:rPr>
      </w:pPr>
      <w:r w:rsidRPr="00642F1F">
        <w:rPr>
          <w:spacing w:val="-4"/>
          <w:lang w:val="sq-AL"/>
        </w:rPr>
        <w:t>- Rrëzimin e kërkesës.</w:t>
      </w:r>
    </w:p>
    <w:p w:rsidR="005C32CF" w:rsidRPr="00642F1F" w:rsidRDefault="005C32CF" w:rsidP="005C32CF">
      <w:pPr>
        <w:pStyle w:val="Paragrafi"/>
        <w:rPr>
          <w:spacing w:val="-4"/>
          <w:lang w:val="sq-AL"/>
        </w:rPr>
      </w:pPr>
      <w:r w:rsidRPr="00642F1F">
        <w:rPr>
          <w:spacing w:val="-4"/>
          <w:lang w:val="sq-AL"/>
        </w:rPr>
        <w:t>Ky vendim është përfundimtar, i formës së prerë dhe hyn në fuqi ditën e botimit në Fletoren Zyrtare.</w:t>
      </w:r>
    </w:p>
    <w:p w:rsidR="005C32CF" w:rsidRPr="00642F1F" w:rsidRDefault="005C32CF" w:rsidP="005C32CF">
      <w:pPr>
        <w:pStyle w:val="Hapesira7"/>
        <w:rPr>
          <w:spacing w:val="-4"/>
          <w:lang w:val="sq-AL"/>
        </w:rPr>
      </w:pPr>
    </w:p>
    <w:p w:rsidR="005C32CF" w:rsidRDefault="005C32CF" w:rsidP="005C32CF">
      <w:pPr>
        <w:pStyle w:val="Paragrafi"/>
        <w:rPr>
          <w:spacing w:val="-4"/>
          <w:lang w:val="sq-AL"/>
        </w:rPr>
      </w:pPr>
      <w:r w:rsidRPr="00642F1F">
        <w:rPr>
          <w:spacing w:val="-4"/>
          <w:lang w:val="sq-AL"/>
        </w:rPr>
        <w:t xml:space="preserve">Anëtarë: </w:t>
      </w:r>
      <w:r w:rsidRPr="00642F1F">
        <w:rPr>
          <w:spacing w:val="-4"/>
          <w:lang w:val="sq-AL"/>
        </w:rPr>
        <w:tab/>
        <w:t xml:space="preserve">Bashkim Dedja (kryetar), Vitore Tusha, Vladimir Kristo, </w:t>
      </w:r>
      <w:r w:rsidRPr="00642F1F">
        <w:rPr>
          <w:spacing w:val="-4"/>
          <w:lang w:val="sq-AL"/>
        </w:rPr>
        <w:tab/>
        <w:t>Besnik Imeraj, Fatmir Hoxha, Gani Dizdari, Fatos Lulo</w:t>
      </w:r>
    </w:p>
    <w:p w:rsidR="005C32CF" w:rsidRDefault="005C32CF" w:rsidP="005C32CF">
      <w:pPr>
        <w:pStyle w:val="Paragrafi"/>
        <w:rPr>
          <w:spacing w:val="-4"/>
          <w:lang w:val="sq-AL"/>
        </w:rPr>
      </w:pPr>
    </w:p>
    <w:p w:rsidR="005C32CF" w:rsidRDefault="005C32CF" w:rsidP="005C32CF">
      <w:pPr>
        <w:pStyle w:val="NeniTitull"/>
        <w:keepNext w:val="0"/>
        <w:rPr>
          <w:spacing w:val="-4"/>
          <w:lang w:val="sq-AL"/>
        </w:rPr>
      </w:pPr>
    </w:p>
    <w:p w:rsidR="005C32CF" w:rsidRDefault="005C32CF" w:rsidP="005C32CF">
      <w:pPr>
        <w:pStyle w:val="NeniTitull"/>
        <w:keepNext w:val="0"/>
        <w:rPr>
          <w:spacing w:val="-4"/>
          <w:lang w:val="sq-AL"/>
        </w:rPr>
      </w:pPr>
    </w:p>
    <w:p w:rsidR="005C32CF" w:rsidRDefault="005C32CF" w:rsidP="005C32CF">
      <w:pPr>
        <w:pStyle w:val="NeniTitull"/>
        <w:keepNext w:val="0"/>
        <w:rPr>
          <w:spacing w:val="-4"/>
          <w:lang w:val="sq-AL"/>
        </w:rPr>
      </w:pPr>
    </w:p>
    <w:p w:rsidR="005C32CF" w:rsidRDefault="005C32CF" w:rsidP="005C32CF">
      <w:pPr>
        <w:pStyle w:val="NeniTitull"/>
        <w:keepNext w:val="0"/>
        <w:rPr>
          <w:spacing w:val="-4"/>
          <w:lang w:val="sq-AL"/>
        </w:rPr>
      </w:pP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2CF" w:rsidRDefault="005C32CF" w:rsidP="005C32CF">
      <w:pPr>
        <w:spacing w:after="0" w:line="240" w:lineRule="auto"/>
      </w:pPr>
      <w:r>
        <w:separator/>
      </w:r>
    </w:p>
  </w:endnote>
  <w:endnote w:type="continuationSeparator" w:id="0">
    <w:p w:rsidR="005C32CF" w:rsidRDefault="005C32CF" w:rsidP="005C3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2CF" w:rsidRDefault="005C32CF" w:rsidP="005C32CF">
      <w:pPr>
        <w:spacing w:after="0" w:line="240" w:lineRule="auto"/>
      </w:pPr>
      <w:r>
        <w:separator/>
      </w:r>
    </w:p>
  </w:footnote>
  <w:footnote w:type="continuationSeparator" w:id="0">
    <w:p w:rsidR="005C32CF" w:rsidRDefault="005C32CF" w:rsidP="005C32CF">
      <w:pPr>
        <w:spacing w:after="0" w:line="240" w:lineRule="auto"/>
      </w:pPr>
      <w:r>
        <w:continuationSeparator/>
      </w:r>
    </w:p>
  </w:footnote>
  <w:footnote w:id="1">
    <w:p w:rsidR="005C32CF" w:rsidRPr="006839A7" w:rsidRDefault="005C32CF" w:rsidP="005C32CF">
      <w:pPr>
        <w:pStyle w:val="FootnoteText"/>
        <w:ind w:firstLine="0"/>
        <w:rPr>
          <w:rFonts w:ascii="Garamond" w:hAnsi="Garamond"/>
        </w:rPr>
      </w:pPr>
      <w:r w:rsidRPr="006839A7">
        <w:rPr>
          <w:rStyle w:val="FootnoteReference"/>
          <w:rFonts w:ascii="Garamond" w:hAnsi="Garamond"/>
        </w:rPr>
        <w:footnoteRef/>
      </w:r>
      <w:r w:rsidRPr="006839A7">
        <w:rPr>
          <w:rFonts w:ascii="Garamond" w:hAnsi="Garamond"/>
        </w:rPr>
        <w:t xml:space="preserve"> Votuan për pranimin e kërkesës gjyqtarët: Bashkim Dedja, Vladimir Kristo dhe Vitore Tusha. Votuan për rrëzimin e kërkesës gjyqtarët: Fatmir Hoxha, Gani Dizdari, Besnik Imeraj dhe Fatos Lulo.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0F0"/>
    <w:rsid w:val="003960F0"/>
    <w:rsid w:val="004F59B3"/>
    <w:rsid w:val="005C32CF"/>
    <w:rsid w:val="00A20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C32C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C32CF"/>
    <w:rPr>
      <w:rFonts w:ascii="Garamond" w:eastAsia="MS Mincho" w:hAnsi="Garamond" w:cs="CG Times"/>
      <w:sz w:val="24"/>
    </w:rPr>
  </w:style>
  <w:style w:type="paragraph" w:customStyle="1" w:styleId="NeniNr">
    <w:name w:val="Neni_Nr"/>
    <w:next w:val="Normal"/>
    <w:link w:val="NeniNrChar"/>
    <w:rsid w:val="005C32C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C32C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C32CF"/>
    <w:rPr>
      <w:rFonts w:ascii="Garamond" w:eastAsia="MS Mincho" w:hAnsi="Garamond" w:cs="CG Times"/>
      <w:sz w:val="24"/>
      <w:lang w:val="en-GB"/>
    </w:rPr>
  </w:style>
  <w:style w:type="paragraph" w:customStyle="1" w:styleId="Hapesira7">
    <w:name w:val="Hapesira 7"/>
    <w:basedOn w:val="Paragrafi"/>
    <w:qFormat/>
    <w:rsid w:val="005C32C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C32C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C32C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5C32CF"/>
    <w:rPr>
      <w:vertAlign w:val="superscript"/>
    </w:rPr>
  </w:style>
  <w:style w:type="paragraph" w:customStyle="1" w:styleId="BVIfnrCarCarCarCarChar">
    <w:name w:val="BVI fnr Car Car Car Car Char"/>
    <w:basedOn w:val="Normal"/>
    <w:link w:val="FootnoteReference"/>
    <w:uiPriority w:val="99"/>
    <w:rsid w:val="005C32CF"/>
    <w:pPr>
      <w:spacing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C32C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C32CF"/>
    <w:rPr>
      <w:rFonts w:ascii="Garamond" w:eastAsia="MS Mincho" w:hAnsi="Garamond" w:cs="CG Times"/>
      <w:sz w:val="24"/>
    </w:rPr>
  </w:style>
  <w:style w:type="paragraph" w:customStyle="1" w:styleId="NeniNr">
    <w:name w:val="Neni_Nr"/>
    <w:next w:val="Normal"/>
    <w:link w:val="NeniNrChar"/>
    <w:rsid w:val="005C32C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C32C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C32CF"/>
    <w:rPr>
      <w:rFonts w:ascii="Garamond" w:eastAsia="MS Mincho" w:hAnsi="Garamond" w:cs="CG Times"/>
      <w:sz w:val="24"/>
      <w:lang w:val="en-GB"/>
    </w:rPr>
  </w:style>
  <w:style w:type="paragraph" w:customStyle="1" w:styleId="Hapesira7">
    <w:name w:val="Hapesira 7"/>
    <w:basedOn w:val="Paragrafi"/>
    <w:qFormat/>
    <w:rsid w:val="005C32C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C32C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C32C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5C32CF"/>
    <w:rPr>
      <w:vertAlign w:val="superscript"/>
    </w:rPr>
  </w:style>
  <w:style w:type="paragraph" w:customStyle="1" w:styleId="BVIfnrCarCarCarCarChar">
    <w:name w:val="BVI fnr Car Car Car Car Char"/>
    <w:basedOn w:val="Normal"/>
    <w:link w:val="FootnoteReference"/>
    <w:uiPriority w:val="99"/>
    <w:rsid w:val="005C32CF"/>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1808</Words>
  <Characters>10311</Characters>
  <Application>Microsoft Office Word</Application>
  <DocSecurity>0</DocSecurity>
  <Lines>85</Lines>
  <Paragraphs>24</Paragraphs>
  <ScaleCrop>false</ScaleCrop>
  <Company/>
  <LinksUpToDate>false</LinksUpToDate>
  <CharactersWithSpaces>12095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2017-03-28T07:52:00Z</dcterms:created>
  <dcterms:modified xsi:type="dcterms:W3CDTF">2018-01-29T10:24:00Z</dcterms:modified>
</cp:coreProperties>
</file>