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F2D" w:rsidRPr="004539B6" w:rsidRDefault="00CC4F2D" w:rsidP="00CC4F2D">
      <w:pPr>
        <w:pStyle w:val="Paragrafi"/>
        <w:jc w:val="center"/>
        <w:rPr>
          <w:b/>
          <w:lang w:val="sq-AL"/>
        </w:rPr>
      </w:pPr>
      <w:bookmarkStart w:id="0" w:name="_GoBack"/>
      <w:r w:rsidRPr="004539B6">
        <w:rPr>
          <w:b/>
          <w:lang w:val="sq-AL"/>
        </w:rPr>
        <w:t>VENDIM</w:t>
      </w:r>
    </w:p>
    <w:p w:rsidR="00CC4F2D" w:rsidRPr="004539B6" w:rsidRDefault="00CC4F2D" w:rsidP="00CC4F2D">
      <w:pPr>
        <w:pStyle w:val="Paragrafi"/>
        <w:jc w:val="center"/>
        <w:rPr>
          <w:b/>
          <w:lang w:val="sq-AL"/>
        </w:rPr>
      </w:pPr>
      <w:r w:rsidRPr="004539B6">
        <w:rPr>
          <w:b/>
          <w:lang w:val="sq-AL"/>
        </w:rPr>
        <w:t>Nr. 32, datë 30.3.2017</w:t>
      </w:r>
    </w:p>
    <w:p w:rsidR="00CC4F2D" w:rsidRPr="004539B6" w:rsidRDefault="00CC4F2D" w:rsidP="00CC4F2D">
      <w:pPr>
        <w:pStyle w:val="Hapesira7"/>
        <w:rPr>
          <w:lang w:val="sq-AL"/>
        </w:rPr>
      </w:pPr>
    </w:p>
    <w:p w:rsidR="00CC4F2D" w:rsidRPr="004539B6" w:rsidRDefault="00CC4F2D" w:rsidP="00CC4F2D">
      <w:pPr>
        <w:pStyle w:val="Paragrafi"/>
        <w:jc w:val="center"/>
        <w:rPr>
          <w:b/>
          <w:lang w:val="sq-AL"/>
        </w:rPr>
      </w:pPr>
      <w:r w:rsidRPr="004539B6">
        <w:rPr>
          <w:b/>
          <w:lang w:val="sq-AL"/>
        </w:rPr>
        <w:t>NË EMËR TË REPUBLIKËS SË SHQIPËRISË</w:t>
      </w:r>
    </w:p>
    <w:p w:rsidR="00CC4F2D" w:rsidRPr="00037107" w:rsidRDefault="00CC4F2D" w:rsidP="00CC4F2D">
      <w:pPr>
        <w:pStyle w:val="Hapesira7"/>
        <w:rPr>
          <w:lang w:val="sq-AL"/>
        </w:rPr>
      </w:pPr>
    </w:p>
    <w:p w:rsidR="00CC4F2D" w:rsidRPr="00037107" w:rsidRDefault="00CC4F2D" w:rsidP="00CC4F2D">
      <w:pPr>
        <w:pStyle w:val="Paragrafi"/>
        <w:rPr>
          <w:rFonts w:eastAsia="Calibri"/>
          <w:lang w:val="sq-AL"/>
        </w:rPr>
      </w:pPr>
      <w:r w:rsidRPr="00037107">
        <w:rPr>
          <w:rFonts w:eastAsia="Calibri"/>
          <w:lang w:val="sq-AL"/>
        </w:rPr>
        <w:t>Gjykata Kushtetuese e Republikës së Shqipërisë, e përbërë nga: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2294"/>
        <w:gridCol w:w="1508"/>
        <w:gridCol w:w="2621"/>
      </w:tblGrid>
      <w:tr w:rsidR="00CC4F2D" w:rsidRPr="00037107" w:rsidTr="00D42C6F">
        <w:tc>
          <w:tcPr>
            <w:tcW w:w="1741"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Bashkim Dedja</w:t>
            </w:r>
          </w:p>
        </w:tc>
        <w:tc>
          <w:tcPr>
            <w:tcW w:w="1164"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 xml:space="preserve">kryetar i </w:t>
            </w:r>
          </w:p>
        </w:tc>
        <w:tc>
          <w:tcPr>
            <w:tcW w:w="2095" w:type="pct"/>
            <w:gridSpan w:val="2"/>
          </w:tcPr>
          <w:p w:rsidR="00CC4F2D" w:rsidRPr="00037107" w:rsidRDefault="00CC4F2D" w:rsidP="00D42C6F">
            <w:pPr>
              <w:pStyle w:val="Paragrafi"/>
              <w:ind w:firstLine="0"/>
              <w:rPr>
                <w:spacing w:val="-4"/>
                <w:sz w:val="22"/>
                <w:szCs w:val="22"/>
                <w:lang w:val="sq-AL"/>
              </w:rPr>
            </w:pPr>
            <w:r w:rsidRPr="00037107">
              <w:rPr>
                <w:spacing w:val="-4"/>
                <w:sz w:val="22"/>
                <w:szCs w:val="22"/>
                <w:lang w:val="sq-AL"/>
              </w:rPr>
              <w:t>Gjykatës Kushtetuese</w:t>
            </w:r>
          </w:p>
        </w:tc>
      </w:tr>
      <w:tr w:rsidR="00CC4F2D" w:rsidRPr="00037107" w:rsidTr="00D42C6F">
        <w:tc>
          <w:tcPr>
            <w:tcW w:w="1741"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Vitore Tusha</w:t>
            </w:r>
          </w:p>
        </w:tc>
        <w:tc>
          <w:tcPr>
            <w:tcW w:w="1164"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 xml:space="preserve">anëtare e </w:t>
            </w:r>
            <w:r w:rsidRPr="00037107">
              <w:rPr>
                <w:spacing w:val="-4"/>
                <w:sz w:val="22"/>
                <w:szCs w:val="22"/>
                <w:lang w:val="sq-AL"/>
              </w:rPr>
              <w:tab/>
            </w:r>
          </w:p>
        </w:tc>
        <w:tc>
          <w:tcPr>
            <w:tcW w:w="765" w:type="pct"/>
          </w:tcPr>
          <w:p w:rsidR="00CC4F2D" w:rsidRPr="00037107" w:rsidRDefault="00CC4F2D" w:rsidP="00D42C6F">
            <w:pPr>
              <w:pStyle w:val="Paragrafi"/>
              <w:ind w:firstLine="0"/>
              <w:jc w:val="center"/>
              <w:rPr>
                <w:i/>
                <w:spacing w:val="-4"/>
                <w:sz w:val="22"/>
                <w:szCs w:val="22"/>
                <w:lang w:val="sq-AL"/>
              </w:rPr>
            </w:pPr>
            <w:r w:rsidRPr="00037107">
              <w:rPr>
                <w:i/>
                <w:spacing w:val="-4"/>
                <w:sz w:val="22"/>
                <w:szCs w:val="22"/>
                <w:lang w:val="sq-AL"/>
              </w:rPr>
              <w:t>“</w:t>
            </w:r>
          </w:p>
        </w:tc>
        <w:tc>
          <w:tcPr>
            <w:tcW w:w="1329" w:type="pct"/>
          </w:tcPr>
          <w:p w:rsidR="00CC4F2D" w:rsidRPr="00037107" w:rsidRDefault="00CC4F2D" w:rsidP="00D42C6F">
            <w:pPr>
              <w:pStyle w:val="Paragrafi"/>
              <w:jc w:val="center"/>
              <w:rPr>
                <w:spacing w:val="-4"/>
                <w:sz w:val="22"/>
                <w:lang w:val="sq-AL"/>
              </w:rPr>
            </w:pPr>
            <w:r w:rsidRPr="00037107">
              <w:rPr>
                <w:spacing w:val="-4"/>
                <w:sz w:val="22"/>
                <w:szCs w:val="22"/>
                <w:lang w:val="sq-AL"/>
              </w:rPr>
              <w:t>“</w:t>
            </w:r>
          </w:p>
        </w:tc>
      </w:tr>
      <w:tr w:rsidR="00CC4F2D" w:rsidRPr="00037107" w:rsidTr="00D42C6F">
        <w:tc>
          <w:tcPr>
            <w:tcW w:w="1741" w:type="pct"/>
          </w:tcPr>
          <w:p w:rsidR="00CC4F2D" w:rsidRPr="00037107" w:rsidRDefault="00CC4F2D" w:rsidP="00D42C6F">
            <w:pPr>
              <w:pStyle w:val="Paragrafi"/>
              <w:ind w:firstLine="0"/>
              <w:rPr>
                <w:spacing w:val="-4"/>
                <w:sz w:val="22"/>
                <w:lang w:val="sq-AL"/>
              </w:rPr>
            </w:pPr>
            <w:r w:rsidRPr="00037107">
              <w:rPr>
                <w:lang w:val="sq-AL"/>
              </w:rPr>
              <w:t>Altina Xhoxhaj</w:t>
            </w:r>
          </w:p>
        </w:tc>
        <w:tc>
          <w:tcPr>
            <w:tcW w:w="1164"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 xml:space="preserve">anëtare e </w:t>
            </w:r>
            <w:r w:rsidRPr="00037107">
              <w:rPr>
                <w:spacing w:val="-4"/>
                <w:sz w:val="22"/>
                <w:szCs w:val="22"/>
                <w:lang w:val="sq-AL"/>
              </w:rPr>
              <w:tab/>
            </w:r>
          </w:p>
        </w:tc>
        <w:tc>
          <w:tcPr>
            <w:tcW w:w="765" w:type="pct"/>
          </w:tcPr>
          <w:p w:rsidR="00CC4F2D" w:rsidRPr="00037107" w:rsidRDefault="00CC4F2D" w:rsidP="00D42C6F">
            <w:pPr>
              <w:pStyle w:val="Paragrafi"/>
              <w:ind w:firstLine="0"/>
              <w:jc w:val="center"/>
              <w:rPr>
                <w:i/>
                <w:spacing w:val="-4"/>
                <w:sz w:val="22"/>
                <w:szCs w:val="22"/>
                <w:lang w:val="sq-AL"/>
              </w:rPr>
            </w:pPr>
            <w:r w:rsidRPr="00037107">
              <w:rPr>
                <w:i/>
                <w:spacing w:val="-4"/>
                <w:sz w:val="22"/>
                <w:szCs w:val="22"/>
                <w:lang w:val="sq-AL"/>
              </w:rPr>
              <w:t>“</w:t>
            </w:r>
          </w:p>
        </w:tc>
        <w:tc>
          <w:tcPr>
            <w:tcW w:w="1329" w:type="pct"/>
          </w:tcPr>
          <w:p w:rsidR="00CC4F2D" w:rsidRPr="00037107" w:rsidRDefault="00CC4F2D" w:rsidP="00D42C6F">
            <w:pPr>
              <w:pStyle w:val="Paragrafi"/>
              <w:jc w:val="center"/>
              <w:rPr>
                <w:spacing w:val="-4"/>
                <w:sz w:val="22"/>
                <w:lang w:val="sq-AL"/>
              </w:rPr>
            </w:pPr>
            <w:r w:rsidRPr="00037107">
              <w:rPr>
                <w:spacing w:val="-4"/>
                <w:sz w:val="22"/>
                <w:szCs w:val="22"/>
                <w:lang w:val="sq-AL"/>
              </w:rPr>
              <w:t>“</w:t>
            </w:r>
          </w:p>
        </w:tc>
      </w:tr>
      <w:tr w:rsidR="00CC4F2D" w:rsidRPr="00037107" w:rsidTr="00D42C6F">
        <w:tc>
          <w:tcPr>
            <w:tcW w:w="1741"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Fatmir Hoxha</w:t>
            </w:r>
          </w:p>
        </w:tc>
        <w:tc>
          <w:tcPr>
            <w:tcW w:w="1164"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anëtar i</w:t>
            </w:r>
            <w:r w:rsidRPr="00037107">
              <w:rPr>
                <w:spacing w:val="-4"/>
                <w:sz w:val="22"/>
                <w:szCs w:val="22"/>
                <w:lang w:val="sq-AL"/>
              </w:rPr>
              <w:tab/>
              <w:t xml:space="preserve"> </w:t>
            </w:r>
          </w:p>
        </w:tc>
        <w:tc>
          <w:tcPr>
            <w:tcW w:w="765" w:type="pct"/>
          </w:tcPr>
          <w:p w:rsidR="00CC4F2D" w:rsidRPr="00037107" w:rsidRDefault="00CC4F2D" w:rsidP="00D42C6F">
            <w:pPr>
              <w:pStyle w:val="Paragrafi"/>
              <w:ind w:firstLine="0"/>
              <w:jc w:val="center"/>
              <w:rPr>
                <w:spacing w:val="-4"/>
                <w:sz w:val="22"/>
                <w:szCs w:val="22"/>
                <w:lang w:val="sq-AL"/>
              </w:rPr>
            </w:pPr>
            <w:r w:rsidRPr="00037107">
              <w:rPr>
                <w:spacing w:val="-4"/>
                <w:sz w:val="22"/>
                <w:szCs w:val="22"/>
                <w:lang w:val="sq-AL"/>
              </w:rPr>
              <w:t>“</w:t>
            </w:r>
          </w:p>
        </w:tc>
        <w:tc>
          <w:tcPr>
            <w:tcW w:w="1329" w:type="pct"/>
          </w:tcPr>
          <w:p w:rsidR="00CC4F2D" w:rsidRPr="00037107" w:rsidRDefault="00CC4F2D" w:rsidP="00D42C6F">
            <w:pPr>
              <w:pStyle w:val="Paragrafi"/>
              <w:jc w:val="center"/>
              <w:rPr>
                <w:spacing w:val="-4"/>
                <w:sz w:val="22"/>
                <w:lang w:val="sq-AL"/>
              </w:rPr>
            </w:pPr>
            <w:r w:rsidRPr="00037107">
              <w:rPr>
                <w:spacing w:val="-4"/>
                <w:sz w:val="22"/>
                <w:szCs w:val="22"/>
                <w:lang w:val="sq-AL"/>
              </w:rPr>
              <w:t>“</w:t>
            </w:r>
          </w:p>
        </w:tc>
      </w:tr>
      <w:tr w:rsidR="00CC4F2D" w:rsidRPr="00037107" w:rsidTr="00D42C6F">
        <w:tc>
          <w:tcPr>
            <w:tcW w:w="1741"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Gani Dizdari</w:t>
            </w:r>
            <w:r w:rsidRPr="00037107">
              <w:rPr>
                <w:spacing w:val="-4"/>
                <w:sz w:val="22"/>
                <w:szCs w:val="22"/>
                <w:lang w:val="sq-AL"/>
              </w:rPr>
              <w:tab/>
            </w:r>
            <w:r w:rsidRPr="00037107">
              <w:rPr>
                <w:spacing w:val="-4"/>
                <w:sz w:val="22"/>
                <w:szCs w:val="22"/>
                <w:lang w:val="sq-AL"/>
              </w:rPr>
              <w:tab/>
            </w:r>
            <w:r w:rsidRPr="00037107">
              <w:rPr>
                <w:spacing w:val="-4"/>
                <w:sz w:val="22"/>
                <w:szCs w:val="22"/>
                <w:lang w:val="sq-AL"/>
              </w:rPr>
              <w:tab/>
            </w:r>
          </w:p>
        </w:tc>
        <w:tc>
          <w:tcPr>
            <w:tcW w:w="1164"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anëtar i</w:t>
            </w:r>
            <w:r w:rsidRPr="00037107">
              <w:rPr>
                <w:spacing w:val="-4"/>
                <w:sz w:val="22"/>
                <w:szCs w:val="22"/>
                <w:lang w:val="sq-AL"/>
              </w:rPr>
              <w:tab/>
              <w:t xml:space="preserve"> </w:t>
            </w:r>
          </w:p>
        </w:tc>
        <w:tc>
          <w:tcPr>
            <w:tcW w:w="765" w:type="pct"/>
          </w:tcPr>
          <w:p w:rsidR="00CC4F2D" w:rsidRPr="00037107" w:rsidRDefault="00CC4F2D" w:rsidP="00D42C6F">
            <w:pPr>
              <w:pStyle w:val="Paragrafi"/>
              <w:ind w:firstLine="0"/>
              <w:jc w:val="center"/>
              <w:rPr>
                <w:spacing w:val="-4"/>
                <w:sz w:val="22"/>
                <w:szCs w:val="22"/>
                <w:lang w:val="sq-AL"/>
              </w:rPr>
            </w:pPr>
            <w:r w:rsidRPr="00037107">
              <w:rPr>
                <w:spacing w:val="-4"/>
                <w:sz w:val="22"/>
                <w:szCs w:val="22"/>
                <w:lang w:val="sq-AL"/>
              </w:rPr>
              <w:t>“</w:t>
            </w:r>
          </w:p>
        </w:tc>
        <w:tc>
          <w:tcPr>
            <w:tcW w:w="1329" w:type="pct"/>
          </w:tcPr>
          <w:p w:rsidR="00CC4F2D" w:rsidRPr="00037107" w:rsidRDefault="00CC4F2D" w:rsidP="00D42C6F">
            <w:pPr>
              <w:pStyle w:val="Paragrafi"/>
              <w:jc w:val="center"/>
              <w:rPr>
                <w:spacing w:val="-4"/>
                <w:sz w:val="22"/>
                <w:lang w:val="sq-AL"/>
              </w:rPr>
            </w:pPr>
            <w:r w:rsidRPr="00037107">
              <w:rPr>
                <w:spacing w:val="-4"/>
                <w:sz w:val="22"/>
                <w:szCs w:val="22"/>
                <w:lang w:val="sq-AL"/>
              </w:rPr>
              <w:t>“</w:t>
            </w:r>
          </w:p>
        </w:tc>
      </w:tr>
      <w:tr w:rsidR="00CC4F2D" w:rsidRPr="00037107" w:rsidTr="00D42C6F">
        <w:tc>
          <w:tcPr>
            <w:tcW w:w="1741" w:type="pct"/>
          </w:tcPr>
          <w:p w:rsidR="00CC4F2D" w:rsidRPr="00037107" w:rsidRDefault="00CC4F2D" w:rsidP="00D42C6F">
            <w:pPr>
              <w:pStyle w:val="Paragrafi"/>
              <w:ind w:firstLine="0"/>
              <w:rPr>
                <w:spacing w:val="-4"/>
                <w:sz w:val="22"/>
                <w:lang w:val="sq-AL"/>
              </w:rPr>
            </w:pPr>
            <w:r w:rsidRPr="00037107">
              <w:rPr>
                <w:rFonts w:eastAsia="Times New Roman"/>
                <w:lang w:val="sq-AL"/>
              </w:rPr>
              <w:t>Besnik Imeraj</w:t>
            </w:r>
          </w:p>
        </w:tc>
        <w:tc>
          <w:tcPr>
            <w:tcW w:w="1164"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anëtar i</w:t>
            </w:r>
            <w:r w:rsidRPr="00037107">
              <w:rPr>
                <w:spacing w:val="-4"/>
                <w:sz w:val="22"/>
                <w:szCs w:val="22"/>
                <w:lang w:val="sq-AL"/>
              </w:rPr>
              <w:tab/>
              <w:t xml:space="preserve"> </w:t>
            </w:r>
          </w:p>
        </w:tc>
        <w:tc>
          <w:tcPr>
            <w:tcW w:w="765" w:type="pct"/>
          </w:tcPr>
          <w:p w:rsidR="00CC4F2D" w:rsidRPr="00037107" w:rsidRDefault="00CC4F2D" w:rsidP="00D42C6F">
            <w:pPr>
              <w:pStyle w:val="Paragrafi"/>
              <w:ind w:firstLine="0"/>
              <w:jc w:val="center"/>
              <w:rPr>
                <w:spacing w:val="-4"/>
                <w:sz w:val="22"/>
                <w:szCs w:val="22"/>
                <w:lang w:val="sq-AL"/>
              </w:rPr>
            </w:pPr>
            <w:r w:rsidRPr="00037107">
              <w:rPr>
                <w:spacing w:val="-4"/>
                <w:sz w:val="22"/>
                <w:szCs w:val="22"/>
                <w:lang w:val="sq-AL"/>
              </w:rPr>
              <w:t>“</w:t>
            </w:r>
          </w:p>
        </w:tc>
        <w:tc>
          <w:tcPr>
            <w:tcW w:w="1329" w:type="pct"/>
          </w:tcPr>
          <w:p w:rsidR="00CC4F2D" w:rsidRPr="00037107" w:rsidRDefault="00CC4F2D" w:rsidP="00D42C6F">
            <w:pPr>
              <w:pStyle w:val="Paragrafi"/>
              <w:jc w:val="center"/>
              <w:rPr>
                <w:spacing w:val="-4"/>
                <w:sz w:val="22"/>
                <w:lang w:val="sq-AL"/>
              </w:rPr>
            </w:pPr>
            <w:r w:rsidRPr="00037107">
              <w:rPr>
                <w:spacing w:val="-4"/>
                <w:sz w:val="22"/>
                <w:szCs w:val="22"/>
                <w:lang w:val="sq-AL"/>
              </w:rPr>
              <w:t>“</w:t>
            </w:r>
          </w:p>
        </w:tc>
      </w:tr>
      <w:tr w:rsidR="00CC4F2D" w:rsidRPr="00037107" w:rsidTr="00D42C6F">
        <w:tc>
          <w:tcPr>
            <w:tcW w:w="1741"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Fatos Lulo</w:t>
            </w:r>
          </w:p>
        </w:tc>
        <w:tc>
          <w:tcPr>
            <w:tcW w:w="1164"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anëtar i</w:t>
            </w:r>
            <w:r w:rsidRPr="00037107">
              <w:rPr>
                <w:spacing w:val="-4"/>
                <w:sz w:val="22"/>
                <w:szCs w:val="22"/>
                <w:lang w:val="sq-AL"/>
              </w:rPr>
              <w:tab/>
              <w:t xml:space="preserve"> </w:t>
            </w:r>
          </w:p>
        </w:tc>
        <w:tc>
          <w:tcPr>
            <w:tcW w:w="765" w:type="pct"/>
          </w:tcPr>
          <w:p w:rsidR="00CC4F2D" w:rsidRPr="00037107" w:rsidRDefault="00CC4F2D" w:rsidP="00D42C6F">
            <w:pPr>
              <w:pStyle w:val="Paragrafi"/>
              <w:ind w:firstLine="0"/>
              <w:jc w:val="center"/>
              <w:rPr>
                <w:spacing w:val="-4"/>
                <w:sz w:val="22"/>
                <w:szCs w:val="22"/>
                <w:lang w:val="sq-AL"/>
              </w:rPr>
            </w:pPr>
            <w:r w:rsidRPr="00037107">
              <w:rPr>
                <w:spacing w:val="-4"/>
                <w:sz w:val="22"/>
                <w:szCs w:val="22"/>
                <w:lang w:val="sq-AL"/>
              </w:rPr>
              <w:t>“</w:t>
            </w:r>
          </w:p>
        </w:tc>
        <w:tc>
          <w:tcPr>
            <w:tcW w:w="1329" w:type="pct"/>
          </w:tcPr>
          <w:p w:rsidR="00CC4F2D" w:rsidRPr="00037107" w:rsidRDefault="00CC4F2D" w:rsidP="00D42C6F">
            <w:pPr>
              <w:pStyle w:val="Paragrafi"/>
              <w:jc w:val="center"/>
              <w:rPr>
                <w:spacing w:val="-4"/>
                <w:sz w:val="22"/>
                <w:lang w:val="sq-AL"/>
              </w:rPr>
            </w:pPr>
            <w:r w:rsidRPr="00037107">
              <w:rPr>
                <w:spacing w:val="-4"/>
                <w:sz w:val="22"/>
                <w:szCs w:val="22"/>
                <w:lang w:val="sq-AL"/>
              </w:rPr>
              <w:t>“</w:t>
            </w:r>
          </w:p>
        </w:tc>
      </w:tr>
      <w:tr w:rsidR="00CC4F2D" w:rsidRPr="00037107" w:rsidTr="00D42C6F">
        <w:tc>
          <w:tcPr>
            <w:tcW w:w="1741"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Vladimir Kristo</w:t>
            </w:r>
          </w:p>
        </w:tc>
        <w:tc>
          <w:tcPr>
            <w:tcW w:w="1164" w:type="pct"/>
          </w:tcPr>
          <w:p w:rsidR="00CC4F2D" w:rsidRPr="00037107" w:rsidRDefault="00CC4F2D" w:rsidP="00D42C6F">
            <w:pPr>
              <w:pStyle w:val="Paragrafi"/>
              <w:ind w:firstLine="0"/>
              <w:rPr>
                <w:spacing w:val="-4"/>
                <w:sz w:val="22"/>
                <w:szCs w:val="22"/>
                <w:lang w:val="sq-AL"/>
              </w:rPr>
            </w:pPr>
            <w:r w:rsidRPr="00037107">
              <w:rPr>
                <w:spacing w:val="-4"/>
                <w:sz w:val="22"/>
                <w:szCs w:val="22"/>
                <w:lang w:val="sq-AL"/>
              </w:rPr>
              <w:t xml:space="preserve">anëtar  i </w:t>
            </w:r>
            <w:r w:rsidRPr="00037107">
              <w:rPr>
                <w:spacing w:val="-4"/>
                <w:sz w:val="22"/>
                <w:szCs w:val="22"/>
                <w:lang w:val="sq-AL"/>
              </w:rPr>
              <w:tab/>
            </w:r>
          </w:p>
        </w:tc>
        <w:tc>
          <w:tcPr>
            <w:tcW w:w="765" w:type="pct"/>
          </w:tcPr>
          <w:p w:rsidR="00CC4F2D" w:rsidRPr="00037107" w:rsidRDefault="00CC4F2D" w:rsidP="00D42C6F">
            <w:pPr>
              <w:pStyle w:val="Paragrafi"/>
              <w:ind w:firstLine="0"/>
              <w:jc w:val="center"/>
              <w:rPr>
                <w:spacing w:val="-4"/>
                <w:sz w:val="22"/>
                <w:szCs w:val="22"/>
                <w:lang w:val="sq-AL"/>
              </w:rPr>
            </w:pPr>
            <w:r w:rsidRPr="00037107">
              <w:rPr>
                <w:spacing w:val="-4"/>
                <w:sz w:val="22"/>
                <w:szCs w:val="22"/>
                <w:lang w:val="sq-AL"/>
              </w:rPr>
              <w:t>“</w:t>
            </w:r>
          </w:p>
        </w:tc>
        <w:tc>
          <w:tcPr>
            <w:tcW w:w="1329" w:type="pct"/>
          </w:tcPr>
          <w:p w:rsidR="00CC4F2D" w:rsidRPr="00037107" w:rsidRDefault="00CC4F2D" w:rsidP="00D42C6F">
            <w:pPr>
              <w:pStyle w:val="Paragrafi"/>
              <w:jc w:val="center"/>
              <w:rPr>
                <w:spacing w:val="-4"/>
                <w:sz w:val="22"/>
                <w:lang w:val="sq-AL"/>
              </w:rPr>
            </w:pPr>
            <w:r w:rsidRPr="00037107">
              <w:rPr>
                <w:spacing w:val="-4"/>
                <w:sz w:val="22"/>
                <w:szCs w:val="22"/>
                <w:lang w:val="sq-AL"/>
              </w:rPr>
              <w:t>“</w:t>
            </w:r>
          </w:p>
        </w:tc>
      </w:tr>
    </w:tbl>
    <w:p w:rsidR="00CC4F2D" w:rsidRPr="00037107" w:rsidRDefault="00CC4F2D" w:rsidP="00CC4F2D">
      <w:pPr>
        <w:pStyle w:val="Paragrafi"/>
        <w:rPr>
          <w:rFonts w:eastAsia="Calibri"/>
          <w:lang w:val="sq-AL"/>
        </w:rPr>
      </w:pPr>
      <w:r w:rsidRPr="00037107">
        <w:rPr>
          <w:rFonts w:eastAsia="Calibri"/>
          <w:lang w:val="sq-AL"/>
        </w:rPr>
        <w:t>me sekre</w:t>
      </w:r>
      <w:r>
        <w:rPr>
          <w:rFonts w:eastAsia="Calibri"/>
          <w:lang w:val="sq-AL"/>
        </w:rPr>
        <w:t>tare Belma Lleshi, në datën 9.</w:t>
      </w:r>
      <w:r w:rsidRPr="00037107">
        <w:rPr>
          <w:rFonts w:eastAsia="Calibri"/>
          <w:lang w:val="sq-AL"/>
        </w:rPr>
        <w:t>3.2017</w:t>
      </w:r>
      <w:r>
        <w:rPr>
          <w:rFonts w:eastAsia="Calibri"/>
          <w:lang w:val="sq-AL"/>
        </w:rPr>
        <w:t>,</w:t>
      </w:r>
      <w:r w:rsidRPr="00037107">
        <w:rPr>
          <w:rFonts w:eastAsia="Calibri"/>
          <w:lang w:val="sq-AL"/>
        </w:rPr>
        <w:t xml:space="preserve"> mori në shqyrtim në seancë plenare, mbi bazë dokumentesh, çështjen nr. 5 Akti, që i përket:</w:t>
      </w:r>
    </w:p>
    <w:p w:rsidR="00CC4F2D" w:rsidRPr="00037107" w:rsidRDefault="00CC4F2D" w:rsidP="00CC4F2D">
      <w:pPr>
        <w:pStyle w:val="Paragrafi"/>
        <w:rPr>
          <w:lang w:val="sq-AL"/>
        </w:rPr>
      </w:pPr>
      <w:r w:rsidRPr="00037107">
        <w:rPr>
          <w:lang w:val="sq-AL"/>
        </w:rPr>
        <w:t xml:space="preserve">KËRKUES: </w:t>
      </w:r>
      <w:r w:rsidRPr="00037107">
        <w:rPr>
          <w:lang w:val="sq-AL"/>
        </w:rPr>
        <w:tab/>
      </w:r>
      <w:r w:rsidRPr="00037107">
        <w:rPr>
          <w:lang w:val="sq-AL"/>
        </w:rPr>
        <w:tab/>
        <w:t xml:space="preserve">Albert Musteqja  </w:t>
      </w:r>
    </w:p>
    <w:p w:rsidR="00CC4F2D" w:rsidRPr="00037107" w:rsidRDefault="00CC4F2D" w:rsidP="00CC4F2D">
      <w:pPr>
        <w:pStyle w:val="Paragrafi"/>
        <w:rPr>
          <w:lang w:val="sq-AL"/>
        </w:rPr>
      </w:pPr>
      <w:r w:rsidRPr="00037107">
        <w:rPr>
          <w:lang w:val="sq-AL"/>
        </w:rPr>
        <w:tab/>
        <w:t>SUBJEKTE TË INTERESUARA:</w:t>
      </w:r>
      <w:r>
        <w:rPr>
          <w:lang w:val="sq-AL"/>
        </w:rPr>
        <w:t xml:space="preserve"> </w:t>
      </w:r>
      <w:r w:rsidRPr="00037107">
        <w:rPr>
          <w:lang w:val="sq-AL"/>
        </w:rPr>
        <w:t>Lufti Hasani</w:t>
      </w:r>
      <w:r>
        <w:rPr>
          <w:lang w:val="sq-AL"/>
        </w:rPr>
        <w:t xml:space="preserve">, </w:t>
      </w:r>
      <w:r w:rsidRPr="00037107">
        <w:rPr>
          <w:lang w:val="sq-AL"/>
        </w:rPr>
        <w:t>Përparime Bazaj</w:t>
      </w:r>
      <w:r>
        <w:rPr>
          <w:lang w:val="sq-AL"/>
        </w:rPr>
        <w:t xml:space="preserve">, </w:t>
      </w:r>
      <w:r w:rsidRPr="00037107">
        <w:rPr>
          <w:lang w:val="sq-AL"/>
        </w:rPr>
        <w:t>Admir Bazaj</w:t>
      </w:r>
      <w:r>
        <w:rPr>
          <w:lang w:val="sq-AL"/>
        </w:rPr>
        <w:t xml:space="preserve">, </w:t>
      </w:r>
      <w:r w:rsidRPr="00037107">
        <w:rPr>
          <w:lang w:val="sq-AL"/>
        </w:rPr>
        <w:t>Sonila Bazaj</w:t>
      </w:r>
      <w:r>
        <w:rPr>
          <w:lang w:val="sq-AL"/>
        </w:rPr>
        <w:t xml:space="preserve">, </w:t>
      </w:r>
      <w:r w:rsidRPr="00037107">
        <w:rPr>
          <w:lang w:val="sq-AL"/>
        </w:rPr>
        <w:t xml:space="preserve">Ornela Bazaj </w:t>
      </w:r>
    </w:p>
    <w:p w:rsidR="00CC4F2D" w:rsidRPr="00037107" w:rsidRDefault="00CC4F2D" w:rsidP="00CC4F2D">
      <w:pPr>
        <w:pStyle w:val="Paragrafi"/>
        <w:rPr>
          <w:bCs/>
          <w:lang w:val="sq-AL"/>
        </w:rPr>
      </w:pPr>
      <w:r w:rsidRPr="00037107">
        <w:rPr>
          <w:lang w:val="sq-AL"/>
        </w:rPr>
        <w:t xml:space="preserve">OBJEKTI: </w:t>
      </w:r>
      <w:r w:rsidRPr="00037107">
        <w:rPr>
          <w:lang w:val="sq-AL"/>
        </w:rPr>
        <w:tab/>
      </w:r>
      <w:r w:rsidRPr="00037107">
        <w:rPr>
          <w:bCs/>
          <w:lang w:val="sq-AL"/>
        </w:rPr>
        <w:t xml:space="preserve">Konstatimi i cenimit të së drejtës për një proces të rregullt ligjor si rrjedhojë e mosgjykimit </w:t>
      </w:r>
      <w:r w:rsidRPr="00037107">
        <w:rPr>
          <w:lang w:val="sq-AL"/>
        </w:rPr>
        <w:t>brenda një afati të arsyeshëm</w:t>
      </w:r>
      <w:r w:rsidRPr="00037107">
        <w:rPr>
          <w:bCs/>
          <w:lang w:val="sq-AL"/>
        </w:rPr>
        <w:t>. Shpërblimi i dëmit pasuror e jopasuror në vlerën 20.000.000 lekë.</w:t>
      </w:r>
    </w:p>
    <w:p w:rsidR="00CC4F2D" w:rsidRPr="00037107" w:rsidRDefault="00CC4F2D" w:rsidP="00CC4F2D">
      <w:pPr>
        <w:pStyle w:val="Paragrafi"/>
        <w:rPr>
          <w:lang w:val="sq-AL"/>
        </w:rPr>
      </w:pPr>
      <w:r w:rsidRPr="00037107">
        <w:rPr>
          <w:lang w:val="sq-AL"/>
        </w:rPr>
        <w:t>BAZA LIGJORE:</w:t>
      </w:r>
      <w:r w:rsidRPr="00037107">
        <w:rPr>
          <w:lang w:val="sq-AL"/>
        </w:rPr>
        <w:tab/>
        <w:t xml:space="preserve">Nenet 42/2, 44, 131/f, 134/1/i dhe 142 të Kushtetutës së Republikës së Shqipërisë; nenet 6 dhe 13 të Konventës Europiane për të Drejtat e Njeriut (KEDNJ); nenet 27 e vijues të ligjit nr. 8577, datë 10.2.2000, “Për organizmin dhe funksionimin e Gjykatës Kushtetuese të Republikës së Shqipërisë”, të ndryshuar; neni 7/1/2/6 i ligjit nr. 8901/2002, “Për falimentimin”, të ndryshuar. </w:t>
      </w:r>
    </w:p>
    <w:p w:rsidR="00CC4F2D" w:rsidRPr="00037107" w:rsidRDefault="00CC4F2D" w:rsidP="00CC4F2D">
      <w:pPr>
        <w:pStyle w:val="Hapesira7"/>
        <w:rPr>
          <w:lang w:val="sq-AL"/>
        </w:rPr>
      </w:pPr>
    </w:p>
    <w:p w:rsidR="00CC4F2D" w:rsidRPr="00037107" w:rsidRDefault="00CC4F2D" w:rsidP="00CC4F2D">
      <w:pPr>
        <w:pStyle w:val="Paragrafi"/>
        <w:jc w:val="center"/>
        <w:rPr>
          <w:lang w:val="sq-AL"/>
        </w:rPr>
      </w:pPr>
      <w:r w:rsidRPr="00037107">
        <w:rPr>
          <w:bCs/>
          <w:lang w:val="sq-AL"/>
        </w:rPr>
        <w:t>GJYKATA KUSHTETUESE,</w:t>
      </w:r>
    </w:p>
    <w:p w:rsidR="00CC4F2D" w:rsidRPr="00037107" w:rsidRDefault="00CC4F2D" w:rsidP="00CC4F2D">
      <w:pPr>
        <w:pStyle w:val="Hapesira7"/>
        <w:rPr>
          <w:lang w:val="sq-AL"/>
        </w:rPr>
      </w:pPr>
    </w:p>
    <w:p w:rsidR="00CC4F2D" w:rsidRPr="00037107" w:rsidRDefault="00CC4F2D" w:rsidP="00CC4F2D">
      <w:pPr>
        <w:pStyle w:val="Paragrafi"/>
        <w:rPr>
          <w:lang w:val="sq-AL"/>
        </w:rPr>
      </w:pPr>
      <w:r w:rsidRPr="00037107">
        <w:rPr>
          <w:lang w:val="sq-AL"/>
        </w:rPr>
        <w:t>pasi dëgjoi relatorin e çështjes Vladimir Kristo, mori në shqyrtim pretendimet me shkrim të kërkuesit, që është shprehur për pranimin e kërkesës, si dhe diskutoi çështjen në tërësi,</w:t>
      </w:r>
    </w:p>
    <w:p w:rsidR="00CC4F2D" w:rsidRPr="00037107" w:rsidRDefault="00CC4F2D" w:rsidP="00CC4F2D">
      <w:pPr>
        <w:pStyle w:val="Hapesira7"/>
        <w:rPr>
          <w:lang w:val="sq-AL"/>
        </w:rPr>
      </w:pPr>
    </w:p>
    <w:p w:rsidR="00CC4F2D" w:rsidRPr="00037107" w:rsidRDefault="00CC4F2D" w:rsidP="00CC4F2D">
      <w:pPr>
        <w:pStyle w:val="Paragrafi"/>
        <w:jc w:val="center"/>
        <w:rPr>
          <w:lang w:val="sq-AL"/>
        </w:rPr>
      </w:pPr>
      <w:r w:rsidRPr="00037107">
        <w:rPr>
          <w:bCs/>
          <w:lang w:val="sq-AL"/>
        </w:rPr>
        <w:t>VËREN:</w:t>
      </w:r>
    </w:p>
    <w:p w:rsidR="00CC4F2D" w:rsidRPr="004539B6" w:rsidRDefault="00CC4F2D" w:rsidP="00CC4F2D">
      <w:pPr>
        <w:pStyle w:val="Paragrafi"/>
        <w:jc w:val="center"/>
        <w:rPr>
          <w:b/>
          <w:bCs/>
          <w:lang w:val="sq-AL"/>
        </w:rPr>
      </w:pPr>
      <w:r w:rsidRPr="004539B6">
        <w:rPr>
          <w:b/>
          <w:bCs/>
          <w:lang w:val="sq-AL"/>
        </w:rPr>
        <w:t>I</w:t>
      </w:r>
    </w:p>
    <w:p w:rsidR="00CC4F2D" w:rsidRDefault="00CC4F2D" w:rsidP="00CC4F2D">
      <w:pPr>
        <w:pStyle w:val="Hapesira7"/>
        <w:rPr>
          <w:lang w:val="sq-AL"/>
        </w:rPr>
      </w:pPr>
    </w:p>
    <w:p w:rsidR="00CC4F2D" w:rsidRPr="00037107" w:rsidRDefault="00CC4F2D" w:rsidP="00CC4F2D">
      <w:pPr>
        <w:pStyle w:val="Paragrafi"/>
        <w:rPr>
          <w:lang w:val="sq-AL"/>
        </w:rPr>
      </w:pPr>
      <w:r>
        <w:rPr>
          <w:lang w:val="sq-AL"/>
        </w:rPr>
        <w:t xml:space="preserve">1. </w:t>
      </w:r>
      <w:r w:rsidRPr="00037107">
        <w:rPr>
          <w:lang w:val="sq-AL"/>
        </w:rPr>
        <w:t>Në bazë të vendimit nr. 24499/1, datë 18.6.2001 të Gjykatës së Rrethit Gjyqësor Tiranë kërkuesi është administrator i shoqërisë “Luval” sh.p.k., kjo e fundit e regjistruar me vendimin nr. 24499, datë 9.10.2000 të Gjykatës së Rrethit Gjyqësor Tiranë.</w:t>
      </w:r>
    </w:p>
    <w:p w:rsidR="00CC4F2D" w:rsidRPr="00037107" w:rsidRDefault="00CC4F2D" w:rsidP="00CC4F2D">
      <w:pPr>
        <w:pStyle w:val="Paragrafi"/>
        <w:rPr>
          <w:lang w:val="sq-AL"/>
        </w:rPr>
      </w:pPr>
      <w:r>
        <w:rPr>
          <w:lang w:val="sq-AL"/>
        </w:rPr>
        <w:t xml:space="preserve">2. </w:t>
      </w:r>
      <w:r w:rsidRPr="00037107">
        <w:rPr>
          <w:lang w:val="sq-AL"/>
        </w:rPr>
        <w:t xml:space="preserve">Për shkak të vështirësive financiare të shoqërisë “Luval” sh.p.k., kërkuesi i është drejtuar Gjykatës së Rrethit Gjyqësor Tiranë duke kërkuar hapjen e procedurës së falimentimit të kësaj shoqërie. </w:t>
      </w:r>
    </w:p>
    <w:p w:rsidR="00CC4F2D" w:rsidRPr="00037107" w:rsidRDefault="00CC4F2D" w:rsidP="00CC4F2D">
      <w:pPr>
        <w:pStyle w:val="Paragrafi"/>
        <w:rPr>
          <w:lang w:val="sq-AL"/>
        </w:rPr>
      </w:pPr>
      <w:r>
        <w:rPr>
          <w:lang w:val="sq-AL"/>
        </w:rPr>
        <w:t xml:space="preserve">3. </w:t>
      </w:r>
      <w:r w:rsidRPr="00037107">
        <w:rPr>
          <w:lang w:val="sq-AL"/>
        </w:rPr>
        <w:t>Me vendimin nr. 12508, datë 18.12.2012 Gjykata e Rrethit Gjyqësor Tiranë ka vendosur pranimin e kërkesës dhe hapjen e procedurës së falimentimit të shoqërisë “Luval” sh.p.k.</w:t>
      </w:r>
    </w:p>
    <w:p w:rsidR="00CC4F2D" w:rsidRDefault="00CC4F2D" w:rsidP="00CC4F2D">
      <w:pPr>
        <w:pStyle w:val="Paragrafi"/>
        <w:rPr>
          <w:lang w:val="sq-AL"/>
        </w:rPr>
      </w:pPr>
      <w:r>
        <w:rPr>
          <w:lang w:val="sq-AL"/>
        </w:rPr>
        <w:t xml:space="preserve">4. </w:t>
      </w:r>
      <w:r w:rsidRPr="00037107">
        <w:rPr>
          <w:lang w:val="sq-AL"/>
        </w:rPr>
        <w:t xml:space="preserve">Kundër këtij vendimi ka paraqitur ankim subjekti i interesuar Lutfi Hasani. Gjykata e Apelit Tiranë, me vendimin nr. </w:t>
      </w:r>
      <w:r>
        <w:rPr>
          <w:lang w:val="sq-AL"/>
        </w:rPr>
        <w:t>248, datë 29.</w:t>
      </w:r>
      <w:r w:rsidRPr="00037107">
        <w:rPr>
          <w:lang w:val="sq-AL"/>
        </w:rPr>
        <w:t>4.2014, ka vendosur lënien në fuqi të vendimit nr. 12508, datë 18.12.2012 të Gjykatës së Rrethit Gjyqësor Tiranë.</w:t>
      </w:r>
    </w:p>
    <w:p w:rsidR="00CC4F2D" w:rsidRPr="00037107" w:rsidRDefault="00CC4F2D" w:rsidP="00CC4F2D">
      <w:pPr>
        <w:pStyle w:val="Paragrafi"/>
        <w:rPr>
          <w:lang w:val="sq-AL"/>
        </w:rPr>
      </w:pPr>
    </w:p>
    <w:p w:rsidR="00CC4F2D" w:rsidRPr="00037107" w:rsidRDefault="00CC4F2D" w:rsidP="00CC4F2D">
      <w:pPr>
        <w:pStyle w:val="Paragrafi"/>
        <w:rPr>
          <w:lang w:val="sq-AL"/>
        </w:rPr>
      </w:pPr>
      <w:r>
        <w:rPr>
          <w:lang w:val="sq-AL"/>
        </w:rPr>
        <w:t xml:space="preserve">5. </w:t>
      </w:r>
      <w:r w:rsidRPr="00037107">
        <w:rPr>
          <w:lang w:val="sq-AL"/>
        </w:rPr>
        <w:t xml:space="preserve">Kolegji Civil i Gjykatës së Lartë, me vendimin nr. </w:t>
      </w:r>
      <w:r>
        <w:rPr>
          <w:lang w:val="sq-AL"/>
        </w:rPr>
        <w:t>00-2016-2587, datë 30.</w:t>
      </w:r>
      <w:r w:rsidRPr="00037107">
        <w:rPr>
          <w:lang w:val="sq-AL"/>
        </w:rPr>
        <w:t>9.2016, ka vendosur mospranimin e rekursit të paraqitur nga Lutfi Hasani, pasi nuk përmban kriteret e përcaktuara nga neni 472 i Kodit të Procedurës Civile (KPC).</w:t>
      </w:r>
    </w:p>
    <w:p w:rsidR="00CC4F2D" w:rsidRPr="00037107" w:rsidRDefault="00CC4F2D" w:rsidP="00CC4F2D">
      <w:pPr>
        <w:pStyle w:val="Hapesira7"/>
        <w:rPr>
          <w:lang w:val="sq-AL"/>
        </w:rPr>
      </w:pPr>
    </w:p>
    <w:p w:rsidR="00CC4F2D" w:rsidRPr="00DB5452" w:rsidRDefault="00CC4F2D" w:rsidP="00CC4F2D">
      <w:pPr>
        <w:pStyle w:val="Paragrafi"/>
        <w:jc w:val="center"/>
        <w:rPr>
          <w:rFonts w:eastAsia="Calibri"/>
          <w:b/>
          <w:lang w:val="sq-AL" w:eastAsia="fr-FR"/>
        </w:rPr>
      </w:pPr>
      <w:r w:rsidRPr="00DB5452">
        <w:rPr>
          <w:rFonts w:eastAsia="Calibri"/>
          <w:b/>
          <w:lang w:val="sq-AL" w:eastAsia="fr-FR"/>
        </w:rPr>
        <w:t>II</w:t>
      </w:r>
    </w:p>
    <w:p w:rsidR="00CC4F2D" w:rsidRDefault="00CC4F2D" w:rsidP="00CC4F2D">
      <w:pPr>
        <w:pStyle w:val="Hapesira7"/>
        <w:rPr>
          <w:lang w:val="sq-AL"/>
        </w:rPr>
      </w:pPr>
    </w:p>
    <w:p w:rsidR="00CC4F2D" w:rsidRPr="00037107" w:rsidRDefault="00CC4F2D" w:rsidP="00CC4F2D">
      <w:pPr>
        <w:pStyle w:val="Paragrafi"/>
        <w:rPr>
          <w:bCs/>
          <w:lang w:val="sq-AL"/>
        </w:rPr>
      </w:pPr>
      <w:r w:rsidRPr="00037107">
        <w:rPr>
          <w:i/>
          <w:lang w:val="sq-AL"/>
        </w:rPr>
        <w:t xml:space="preserve">6. </w:t>
      </w:r>
      <w:r w:rsidRPr="004539B6">
        <w:rPr>
          <w:b/>
          <w:i/>
          <w:lang w:val="sq-AL"/>
        </w:rPr>
        <w:t>K</w:t>
      </w:r>
      <w:r w:rsidRPr="004539B6">
        <w:rPr>
          <w:b/>
          <w:i/>
          <w:spacing w:val="3"/>
          <w:lang w:val="sq-AL"/>
        </w:rPr>
        <w:t>ë</w:t>
      </w:r>
      <w:r w:rsidRPr="004539B6">
        <w:rPr>
          <w:b/>
          <w:i/>
          <w:lang w:val="sq-AL"/>
        </w:rPr>
        <w:t>rkuesi</w:t>
      </w:r>
      <w:r w:rsidRPr="00037107">
        <w:rPr>
          <w:lang w:val="sq-AL"/>
        </w:rPr>
        <w:t xml:space="preserve"> i është drejtuar Gjykatës Kushtetuese (në vijim “Gjykata”) për konstatimin e cenimit të së drejtës kushtetuese për një proces të rregullt ligjor, si pasoj</w:t>
      </w:r>
      <w:r w:rsidRPr="00037107">
        <w:rPr>
          <w:spacing w:val="3"/>
          <w:lang w:val="sq-AL"/>
        </w:rPr>
        <w:t>ë</w:t>
      </w:r>
      <w:r w:rsidRPr="00037107">
        <w:rPr>
          <w:lang w:val="sq-AL"/>
        </w:rPr>
        <w:t xml:space="preserve"> e moszhvillimit të gjykimit të çështjes brenda një afati të arsyeshëm (neni 42/2 i Kushtetutës) gjatë gjithë shkallëve të gjykimit. Ai pretendon se, edhe pse ligji nr. </w:t>
      </w:r>
      <w:r>
        <w:rPr>
          <w:lang w:val="sq-AL"/>
        </w:rPr>
        <w:t>8901, datë 23.</w:t>
      </w:r>
      <w:r w:rsidRPr="00037107">
        <w:rPr>
          <w:lang w:val="sq-AL"/>
        </w:rPr>
        <w:t xml:space="preserve">5.2002, “Për falimentimin” (në vijim ligji nr. 8901/2002) parashikon </w:t>
      </w:r>
      <w:r w:rsidRPr="00037107">
        <w:rPr>
          <w:lang w:val="sq-AL"/>
        </w:rPr>
        <w:lastRenderedPageBreak/>
        <w:t xml:space="preserve">afate të përcaktuara për këtë lloj </w:t>
      </w:r>
      <w:r w:rsidRPr="00037107">
        <w:rPr>
          <w:bCs/>
          <w:lang w:val="sq-AL"/>
        </w:rPr>
        <w:t>gjykimi, ato nuk janë respektuar nga gjykatat e juridiksionit të zakonshëm. Kjo rrethanë sipas kërkuesit ka ndikuar në mosekzekutimin e vendimit nr. 12508, datë 18.12.2012 të Gjykatës së Rrethit Gjyqësor Tiranë, arsye për të cilën ai kërkon shpërblimin e dëmit pasuror e jopasuror në vlerën 20.000.000 lekë.</w:t>
      </w:r>
    </w:p>
    <w:p w:rsidR="00CC4F2D" w:rsidRPr="00037107" w:rsidRDefault="00CC4F2D" w:rsidP="00CC4F2D">
      <w:pPr>
        <w:pStyle w:val="Hapesira7"/>
        <w:rPr>
          <w:lang w:val="sq-AL" w:eastAsia="fr-FR"/>
        </w:rPr>
      </w:pPr>
    </w:p>
    <w:p w:rsidR="00CC4F2D" w:rsidRPr="00DF71D5" w:rsidRDefault="00CC4F2D" w:rsidP="00CC4F2D">
      <w:pPr>
        <w:pStyle w:val="Paragrafi"/>
        <w:jc w:val="center"/>
        <w:rPr>
          <w:rFonts w:eastAsia="Calibri"/>
          <w:b/>
          <w:lang w:val="sq-AL" w:eastAsia="fr-FR"/>
        </w:rPr>
      </w:pPr>
      <w:r w:rsidRPr="00DF71D5">
        <w:rPr>
          <w:rFonts w:eastAsia="Calibri"/>
          <w:b/>
          <w:lang w:val="sq-AL" w:eastAsia="fr-FR"/>
        </w:rPr>
        <w:t>III</w:t>
      </w:r>
    </w:p>
    <w:p w:rsidR="00CC4F2D" w:rsidRDefault="00CC4F2D" w:rsidP="00CC4F2D">
      <w:pPr>
        <w:pStyle w:val="Paragrafi"/>
        <w:jc w:val="center"/>
        <w:rPr>
          <w:rFonts w:cs="Times New Roman"/>
          <w:b/>
          <w:lang w:val="sq-AL"/>
        </w:rPr>
      </w:pPr>
      <w:r w:rsidRPr="00DF71D5">
        <w:rPr>
          <w:rFonts w:cs="Times New Roman"/>
          <w:b/>
          <w:lang w:val="sq-AL"/>
        </w:rPr>
        <w:t>Vlerësimi i Gjykatës Kushtetuese</w:t>
      </w:r>
    </w:p>
    <w:p w:rsidR="00CC4F2D" w:rsidRPr="00DF71D5" w:rsidRDefault="00CC4F2D" w:rsidP="00CC4F2D">
      <w:pPr>
        <w:pStyle w:val="Hapesira7"/>
        <w:rPr>
          <w:lang w:val="sq-AL"/>
        </w:rPr>
      </w:pPr>
    </w:p>
    <w:p w:rsidR="00CC4F2D" w:rsidRPr="00037107" w:rsidRDefault="00CC4F2D" w:rsidP="00CC4F2D">
      <w:pPr>
        <w:pStyle w:val="Paragrafi"/>
        <w:rPr>
          <w:i/>
          <w:lang w:val="sq-AL"/>
        </w:rPr>
      </w:pPr>
      <w:r w:rsidRPr="00037107">
        <w:rPr>
          <w:lang w:val="sq-AL"/>
        </w:rPr>
        <w:t xml:space="preserve">A. </w:t>
      </w:r>
      <w:r w:rsidRPr="00037107">
        <w:rPr>
          <w:i/>
          <w:lang w:val="sq-AL"/>
        </w:rPr>
        <w:t>Për pretendimin për mosgjykimin e çështjes brenda afatit të arsyeshëm</w:t>
      </w:r>
    </w:p>
    <w:p w:rsidR="00CC4F2D" w:rsidRPr="00037107" w:rsidRDefault="00CC4F2D" w:rsidP="00CC4F2D">
      <w:pPr>
        <w:pStyle w:val="Paragrafi"/>
        <w:rPr>
          <w:lang w:val="sq-AL"/>
        </w:rPr>
      </w:pPr>
      <w:r w:rsidRPr="00037107">
        <w:rPr>
          <w:lang w:val="sq-AL"/>
        </w:rPr>
        <w:t>7. Gjykata në jurisprudencën e saj ka theksuar se në bazë të neneve 131/f dhe 134/1/i të Kushtetutës individi legjitimohet për të vënë në lëvizje Gjykatën Kushtetuese, duke pretenduar cenimin e së drejtës për t’u gjykuar brenda një afati të arsyeshëm gjatë zhvillimit të procesit të gjykimit nga gjykata e zakonshme, për shkak se legjislacioni nuk parashikon mjete të tjera juridike efektive për mbrojtjen e kësaj të drejte kushtetuese (</w:t>
      </w:r>
      <w:r w:rsidRPr="00037107">
        <w:rPr>
          <w:i/>
          <w:lang w:val="sq-AL"/>
        </w:rPr>
        <w:t>shih vendimin nr. 69, datë 17.11.2015 të Gjykatës Kushtetuese</w:t>
      </w:r>
      <w:r w:rsidRPr="00037107">
        <w:rPr>
          <w:lang w:val="sq-AL"/>
        </w:rPr>
        <w:t>).</w:t>
      </w:r>
    </w:p>
    <w:p w:rsidR="00CC4F2D" w:rsidRPr="00037107" w:rsidRDefault="00CC4F2D" w:rsidP="00CC4F2D">
      <w:pPr>
        <w:pStyle w:val="Paragrafi"/>
        <w:rPr>
          <w:lang w:val="sq-AL"/>
        </w:rPr>
      </w:pPr>
      <w:r w:rsidRPr="00037107">
        <w:rPr>
          <w:lang w:val="sq-AL"/>
        </w:rPr>
        <w:t xml:space="preserve">8. Në rastin në shqyrtim kërkuesi pretendon se pas ushtrimit të ankimit nga subjekti i interesuar Lutfi Hasani ndaj vendimit nr. 12508, datë 18.12.2012 të Gjykatës së Rrethit Gjyqësor Tiranë, që ka pranuar hapjen e procedurave të falimentimit të shoqërisë “Luval” sh.p.k., kryesekretaria e kësaj të fundit ka dërguar në Gjykatën e Apelit dosjen origjinale, fakt që e ka penguar atë në ekzekutimin e vendimit të shkallës së parë, i cili sipas nenit 7/1 të ligjit nr. 8901/2002, “Për falimentimin” është menjëherë i ekzekutueshëm. Gjithashtu, sipas kërkuesit, gjykimi në Gjykatën e Apelit nuk është zhvilluar brenda afatit 30-ditor, rrethanë që edhe kjo ka ndikuar në bllokimin e procedurave të falimentimit. </w:t>
      </w:r>
    </w:p>
    <w:p w:rsidR="00CC4F2D" w:rsidRPr="00037107" w:rsidRDefault="00CC4F2D" w:rsidP="00CC4F2D">
      <w:pPr>
        <w:pStyle w:val="Paragrafi"/>
        <w:rPr>
          <w:lang w:val="sq-AL"/>
        </w:rPr>
      </w:pPr>
      <w:r w:rsidRPr="00037107">
        <w:rPr>
          <w:lang w:val="sq-AL"/>
        </w:rPr>
        <w:t>9. Gjykata lidhur me kërkesat për konstatimin e cenimit të së drejtës kushtetuese për një proces të rregullt ligjor si pasoj</w:t>
      </w:r>
      <w:r w:rsidRPr="00037107">
        <w:rPr>
          <w:spacing w:val="3"/>
          <w:lang w:val="sq-AL"/>
        </w:rPr>
        <w:t>ë</w:t>
      </w:r>
      <w:r w:rsidRPr="00037107">
        <w:rPr>
          <w:lang w:val="sq-AL"/>
        </w:rPr>
        <w:t xml:space="preserve"> e mosgjykimit të çështjes brenda një afati të arsyeshëm ka theksuar se vlerësimi duhet të kryhet mbi bazën e kritereve të përcaktuara në jurisprudencën e GJEDNJ-së, duke ju referuar sidomos kompleksitetit të çështjes, sjelljes së k</w:t>
      </w:r>
      <w:r w:rsidRPr="00037107">
        <w:rPr>
          <w:spacing w:val="3"/>
          <w:lang w:val="sq-AL"/>
        </w:rPr>
        <w:t>ë</w:t>
      </w:r>
      <w:r w:rsidRPr="00037107">
        <w:rPr>
          <w:lang w:val="sq-AL"/>
        </w:rPr>
        <w:t>rkuesit, sjelljes së autoriteteve, si dhe rrezikut q</w:t>
      </w:r>
      <w:r w:rsidRPr="00037107">
        <w:rPr>
          <w:spacing w:val="3"/>
          <w:lang w:val="sq-AL"/>
        </w:rPr>
        <w:t>ë</w:t>
      </w:r>
      <w:r w:rsidRPr="00037107">
        <w:rPr>
          <w:lang w:val="sq-AL"/>
        </w:rPr>
        <w:t xml:space="preserve"> passjell p</w:t>
      </w:r>
      <w:r w:rsidRPr="00037107">
        <w:rPr>
          <w:spacing w:val="3"/>
          <w:lang w:val="sq-AL"/>
        </w:rPr>
        <w:t>ë</w:t>
      </w:r>
      <w:r w:rsidRPr="00037107">
        <w:rPr>
          <w:lang w:val="sq-AL"/>
        </w:rPr>
        <w:t>r k</w:t>
      </w:r>
      <w:r w:rsidRPr="00037107">
        <w:rPr>
          <w:spacing w:val="3"/>
          <w:lang w:val="sq-AL"/>
        </w:rPr>
        <w:t>ë</w:t>
      </w:r>
      <w:r w:rsidRPr="00037107">
        <w:rPr>
          <w:lang w:val="sq-AL"/>
        </w:rPr>
        <w:t>rkuesin kjo tejzgjatje e afateve t</w:t>
      </w:r>
      <w:r w:rsidRPr="00037107">
        <w:rPr>
          <w:spacing w:val="3"/>
          <w:lang w:val="sq-AL"/>
        </w:rPr>
        <w:t>ë</w:t>
      </w:r>
      <w:r w:rsidRPr="00037107">
        <w:rPr>
          <w:lang w:val="sq-AL"/>
        </w:rPr>
        <w:t xml:space="preserve"> gjykimit (shih </w:t>
      </w:r>
      <w:r w:rsidRPr="00037107">
        <w:rPr>
          <w:i/>
          <w:lang w:val="sq-AL"/>
        </w:rPr>
        <w:t xml:space="preserve">vendimin nr. </w:t>
      </w:r>
      <w:r>
        <w:rPr>
          <w:i/>
          <w:lang w:val="sq-AL"/>
        </w:rPr>
        <w:t>1, datë 21.</w:t>
      </w:r>
      <w:r w:rsidRPr="00037107">
        <w:rPr>
          <w:i/>
          <w:lang w:val="sq-AL"/>
        </w:rPr>
        <w:t>6.2016 të Gjykatës Kushtetuese</w:t>
      </w:r>
      <w:r w:rsidRPr="00037107">
        <w:rPr>
          <w:lang w:val="sq-AL"/>
        </w:rPr>
        <w:t>). Për rrjedhojë, për të arritur në konkluzionin nëse në rastin konkret jemi përpara cenimit të së drejtës për një proces të rregullt ligjor, duhet të analizohet secili prej elementeve të sipërcituara.</w:t>
      </w:r>
    </w:p>
    <w:p w:rsidR="00CC4F2D" w:rsidRPr="00037107" w:rsidRDefault="00CC4F2D" w:rsidP="00CC4F2D">
      <w:pPr>
        <w:pStyle w:val="Paragrafi"/>
        <w:rPr>
          <w:i/>
          <w:lang w:val="sq-AL"/>
        </w:rPr>
      </w:pPr>
      <w:r w:rsidRPr="00037107">
        <w:rPr>
          <w:i/>
          <w:lang w:val="sq-AL"/>
        </w:rPr>
        <w:t>i</w:t>
      </w:r>
      <w:r>
        <w:rPr>
          <w:i/>
          <w:lang w:val="sq-AL"/>
        </w:rPr>
        <w:t>)</w:t>
      </w:r>
      <w:r w:rsidRPr="00037107">
        <w:rPr>
          <w:i/>
          <w:lang w:val="sq-AL"/>
        </w:rPr>
        <w:t xml:space="preserve"> Periudha që duhet marrë në konsideratë </w:t>
      </w:r>
    </w:p>
    <w:p w:rsidR="00CC4F2D" w:rsidRPr="00037107" w:rsidRDefault="00CC4F2D" w:rsidP="00CC4F2D">
      <w:pPr>
        <w:pStyle w:val="Paragrafi"/>
        <w:rPr>
          <w:bCs/>
          <w:lang w:val="sq-AL"/>
        </w:rPr>
      </w:pPr>
      <w:r w:rsidRPr="00037107">
        <w:rPr>
          <w:lang w:val="sq-AL"/>
        </w:rPr>
        <w:t>10. Lidhur me pretendimin për zgjatjen e procesit në Gjykatën e Apelit Tiranë tej afatit të arsyeshëm</w:t>
      </w:r>
      <w:r w:rsidRPr="00037107">
        <w:rPr>
          <w:i/>
          <w:lang w:val="sq-AL"/>
        </w:rPr>
        <w:t xml:space="preserve">, </w:t>
      </w:r>
      <w:r w:rsidRPr="00037107">
        <w:rPr>
          <w:lang w:val="sq-AL"/>
        </w:rPr>
        <w:t>nga materialet e administruara Gjykata vëren se çështja në shqyrtim është regjistruar në Gjykatën e Apelit në vitin 2012 dhe gjy</w:t>
      </w:r>
      <w:r>
        <w:rPr>
          <w:lang w:val="sq-AL"/>
        </w:rPr>
        <w:t>kimi ka përfunduar në datën 29.</w:t>
      </w:r>
      <w:r w:rsidRPr="00037107">
        <w:rPr>
          <w:lang w:val="sq-AL"/>
        </w:rPr>
        <w:t>4.2014, ndonëse neni 7/6</w:t>
      </w:r>
      <w:r w:rsidRPr="00037107">
        <w:rPr>
          <w:bCs/>
          <w:lang w:val="sq-AL"/>
        </w:rPr>
        <w:t xml:space="preserve"> i ligjit</w:t>
      </w:r>
      <w:r w:rsidRPr="00037107">
        <w:rPr>
          <w:lang w:val="sq-AL"/>
        </w:rPr>
        <w:t xml:space="preserve"> nr. 8901/2002</w:t>
      </w:r>
      <w:r w:rsidRPr="00037107">
        <w:rPr>
          <w:bCs/>
          <w:lang w:val="sq-AL"/>
        </w:rPr>
        <w:t xml:space="preserve"> parashikon afatin prej 30-ditësh për shqyrtimin e çështjes nga kjo Gjykatë, </w:t>
      </w:r>
      <w:r w:rsidRPr="00037107">
        <w:rPr>
          <w:lang w:val="sq-AL"/>
        </w:rPr>
        <w:t xml:space="preserve">pra jashtë afatit ligjor të lartpërmendur. </w:t>
      </w:r>
    </w:p>
    <w:p w:rsidR="00CC4F2D" w:rsidRPr="00037107" w:rsidRDefault="00CC4F2D" w:rsidP="00CC4F2D">
      <w:pPr>
        <w:pStyle w:val="Paragrafi"/>
        <w:rPr>
          <w:i/>
          <w:lang w:val="sq-AL"/>
        </w:rPr>
      </w:pPr>
      <w:r w:rsidRPr="00037107">
        <w:rPr>
          <w:i/>
          <w:lang w:val="sq-AL"/>
        </w:rPr>
        <w:t>ii</w:t>
      </w:r>
      <w:r>
        <w:rPr>
          <w:i/>
          <w:lang w:val="sq-AL"/>
        </w:rPr>
        <w:t>)</w:t>
      </w:r>
      <w:r w:rsidRPr="00037107">
        <w:rPr>
          <w:lang w:val="sq-AL"/>
        </w:rPr>
        <w:t xml:space="preserve"> </w:t>
      </w:r>
      <w:r w:rsidRPr="00037107">
        <w:rPr>
          <w:i/>
          <w:lang w:val="sq-AL"/>
        </w:rPr>
        <w:t>Kompleksiteti i çështjes</w:t>
      </w:r>
    </w:p>
    <w:p w:rsidR="00CC4F2D" w:rsidRPr="00037107" w:rsidRDefault="00CC4F2D" w:rsidP="00CC4F2D">
      <w:pPr>
        <w:pStyle w:val="Paragrafi"/>
        <w:rPr>
          <w:lang w:val="sq-AL"/>
        </w:rPr>
      </w:pPr>
      <w:r w:rsidRPr="00037107">
        <w:rPr>
          <w:lang w:val="sq-AL"/>
        </w:rPr>
        <w:t xml:space="preserve">11. Gjykata ka theksuar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037107">
        <w:rPr>
          <w:i/>
          <w:lang w:val="sq-AL"/>
        </w:rPr>
        <w:t>(shih vendimet nr. 69, datë 17.11.2015 të Gjykatës Kushtetuese</w:t>
      </w:r>
      <w:r w:rsidRPr="00037107">
        <w:rPr>
          <w:lang w:val="sq-AL"/>
        </w:rPr>
        <w:t>).</w:t>
      </w:r>
    </w:p>
    <w:p w:rsidR="00CC4F2D" w:rsidRPr="00037107" w:rsidRDefault="00CC4F2D" w:rsidP="00CC4F2D">
      <w:pPr>
        <w:pStyle w:val="Paragrafi"/>
        <w:rPr>
          <w:lang w:val="sq-AL"/>
        </w:rPr>
      </w:pPr>
      <w:r w:rsidRPr="00037107">
        <w:rPr>
          <w:lang w:val="sq-AL"/>
        </w:rPr>
        <w:t>12. Në rastin në shqyrtim Gjykata konstaton se mosmarrëveshja objekt gjykimi lidhet me procedurat e falimentimit të shoqërive, gjykimi i të cilave parashikohet dhe rregullohet nga ligji nr. 8901/2002</w:t>
      </w:r>
      <w:r w:rsidRPr="00037107">
        <w:rPr>
          <w:bCs/>
          <w:lang w:val="sq-AL"/>
        </w:rPr>
        <w:t xml:space="preserve">. </w:t>
      </w:r>
      <w:r w:rsidRPr="00037107">
        <w:rPr>
          <w:lang w:val="sq-AL"/>
        </w:rPr>
        <w:t>Nga shqyrtimi i dokumenteve të paraqitura, Gjykata vlerëson se çështja konkrete nuk paraqet rrethana të veçanta apo komplekse që mund të justifikojnë një vonesë në shqyrtimin e saj, ndaj vlerësimi i sjelljes së autoriteteve publike dhe kërkuesit është me rëndësi në këtë kontekst.</w:t>
      </w:r>
    </w:p>
    <w:p w:rsidR="00CC4F2D" w:rsidRPr="00037107" w:rsidRDefault="00CC4F2D" w:rsidP="00CC4F2D">
      <w:pPr>
        <w:pStyle w:val="Paragrafi"/>
        <w:rPr>
          <w:i/>
          <w:lang w:val="sq-AL"/>
        </w:rPr>
      </w:pPr>
      <w:r w:rsidRPr="00037107">
        <w:rPr>
          <w:i/>
          <w:lang w:val="sq-AL"/>
        </w:rPr>
        <w:t>iii</w:t>
      </w:r>
      <w:r>
        <w:rPr>
          <w:i/>
          <w:lang w:val="sq-AL"/>
        </w:rPr>
        <w:t>)</w:t>
      </w:r>
      <w:r w:rsidRPr="00037107">
        <w:rPr>
          <w:i/>
          <w:lang w:val="sq-AL"/>
        </w:rPr>
        <w:t xml:space="preserve"> Interesi dhe sjellja e kërkuesit</w:t>
      </w:r>
    </w:p>
    <w:p w:rsidR="00CC4F2D" w:rsidRPr="00037107" w:rsidRDefault="00CC4F2D" w:rsidP="00CC4F2D">
      <w:pPr>
        <w:pStyle w:val="Paragrafi"/>
        <w:rPr>
          <w:lang w:val="sq-AL"/>
        </w:rPr>
      </w:pPr>
      <w:r w:rsidRPr="00037107">
        <w:rPr>
          <w:lang w:val="sq-AL"/>
        </w:rPr>
        <w:t xml:space="preserve">13. Vlerësimi i sjelljes dhe interesit të kërkuesit është një element tjetër përcaktues i kohëzgjatjes së arsyeshme të procedimeve. Nga aktet bashkëlidhur kërkesës Gjykata vëren se kërkuesi ka vepruar në përputhje me të drejtat procedurale, duke shfaqur interes të vazhdueshëm për gjykimin e çështjes brenda një afati sa më të përshtatshëm për të dhe nuk rezulton të jetë bërë shkak apo të ketë shkaktuar vonesa në këtë drejtim. </w:t>
      </w:r>
    </w:p>
    <w:p w:rsidR="00CC4F2D" w:rsidRPr="00037107" w:rsidRDefault="00CC4F2D" w:rsidP="00CC4F2D">
      <w:pPr>
        <w:pStyle w:val="Paragrafi"/>
        <w:rPr>
          <w:i/>
          <w:lang w:val="sq-AL"/>
        </w:rPr>
      </w:pPr>
      <w:r w:rsidRPr="00037107">
        <w:rPr>
          <w:i/>
          <w:lang w:val="sq-AL"/>
        </w:rPr>
        <w:t>iv</w:t>
      </w:r>
      <w:r>
        <w:rPr>
          <w:i/>
          <w:lang w:val="sq-AL"/>
        </w:rPr>
        <w:t>)</w:t>
      </w:r>
      <w:r w:rsidRPr="00037107">
        <w:rPr>
          <w:i/>
          <w:lang w:val="sq-AL"/>
        </w:rPr>
        <w:t xml:space="preserve"> Sjellja e autoriteteve </w:t>
      </w:r>
    </w:p>
    <w:p w:rsidR="00CC4F2D" w:rsidRPr="00037107" w:rsidRDefault="00CC4F2D" w:rsidP="00CC4F2D">
      <w:pPr>
        <w:pStyle w:val="Paragrafi"/>
        <w:rPr>
          <w:lang w:val="sq-AL"/>
        </w:rPr>
      </w:pPr>
      <w:r w:rsidRPr="00037107">
        <w:rPr>
          <w:lang w:val="sq-AL"/>
        </w:rPr>
        <w:t xml:space="preserve">14. Gjykata ka theksuar se neni 42 i Kushtetutës, si dhe neni 6 i KEDNJ-së vendosin detyrimin për </w:t>
      </w:r>
      <w:r w:rsidRPr="00037107">
        <w:rPr>
          <w:lang w:val="sq-AL"/>
        </w:rPr>
        <w:lastRenderedPageBreak/>
        <w:t>organizimin e sistemit ligjor të vendit në mënyrë të tillë që gjykatat të plotësojnë kërkesat e standardeve për një proces të rregull ligjor, përfshirë këtu dhe atë të gjykimit brenda afatit të arsyeshëm. Në këtë drejtim, gjykatat kanë për detyrë të sigurojnë që të gjitha subjektet që marrin pjesë në proces të sillen në mënyrë që të evitojnë çdo vonesë të panevojshme. Kjo detyrë e gjykatave gjen rregullimin e saj edhe në dispozitat procedurale civile, e konkretisht në nenin 4 të KPC-së, sipas të cilit “</w:t>
      </w:r>
      <w:r w:rsidRPr="00037107">
        <w:rPr>
          <w:i/>
          <w:lang w:val="sq-AL"/>
        </w:rPr>
        <w:t>gjykata kujdeset për zhvillimin e rregullt të procesit gjyqësor. Për këtë qëllim, në bazë të kompetencave që i jep ky Kod, vendos për afatet dhe urdhëron marrjen e masave të nevojshme”</w:t>
      </w:r>
      <w:r w:rsidRPr="00037107">
        <w:rPr>
          <w:lang w:val="sq-AL"/>
        </w:rPr>
        <w:t>. Gjithashtu, neni 171/a të KPC-së përcakton se “</w:t>
      </w:r>
      <w:r w:rsidRPr="00037107">
        <w:rPr>
          <w:i/>
          <w:lang w:val="sq-AL"/>
        </w:rPr>
        <w:t xml:space="preserve">gjykata ushtron të gjitha të drejtat e përcaktuara në këtë Kod, që janë të nevojshme për zhvillimin sa më të mirë të procesit gjyqësor. Gjykata cakton seancat dhe afatet brenda të cilave palët dhe personat e tjerë të thirrur prej saj duhet të kryejnë aktet procedurale dhe veprimet e tjera të kërkuara prej saj” </w:t>
      </w:r>
      <w:r w:rsidRPr="00037107">
        <w:rPr>
          <w:lang w:val="sq-AL"/>
        </w:rPr>
        <w:t>(</w:t>
      </w:r>
      <w:r w:rsidRPr="00037107">
        <w:rPr>
          <w:i/>
          <w:lang w:val="sq-AL"/>
        </w:rPr>
        <w:t>shih vendimin nr. 69, datë 17.11.2015 të Gjykatës Kushtetuese</w:t>
      </w:r>
      <w:r w:rsidRPr="00037107">
        <w:rPr>
          <w:lang w:val="sq-AL"/>
        </w:rPr>
        <w:t>).</w:t>
      </w:r>
    </w:p>
    <w:p w:rsidR="00CC4F2D" w:rsidRPr="00037107" w:rsidRDefault="00CC4F2D" w:rsidP="00CC4F2D">
      <w:pPr>
        <w:pStyle w:val="Paragrafi"/>
        <w:rPr>
          <w:lang w:val="sq-AL"/>
        </w:rPr>
      </w:pPr>
      <w:r w:rsidRPr="00037107">
        <w:rPr>
          <w:lang w:val="sq-AL"/>
        </w:rPr>
        <w:t>15. Lidhur me gjykimin e mosmarrëveshjeve të kësaj natyre, Gjykata vëren se disa nene të ligjit nr. 8901/2002 të lartpërmendur</w:t>
      </w:r>
      <w:r w:rsidRPr="00037107">
        <w:rPr>
          <w:rStyle w:val="FootnoteReference"/>
          <w:szCs w:val="24"/>
          <w:lang w:val="sq-AL"/>
        </w:rPr>
        <w:footnoteReference w:id="1"/>
      </w:r>
      <w:r w:rsidRPr="00037107">
        <w:rPr>
          <w:lang w:val="sq-AL"/>
        </w:rPr>
        <w:t xml:space="preserve">, ndër parimet e gjykimit të çështjeve që lidhen me procedurat e falimentimit, kanë përcaktuar edhe garantimin e një procesi të rregullt gjyqësor brenda afateve të shpejta dhe të arsyeshme (afat 30-ditor si në gjykimin në shkallë të parë, ashtu edhe në atë në apel), me qëllim shlyerjen e detyrimeve të debitorit nëpërmjet likuidimit të të gjitha pasurive të tij dhe shpërndarjen e të ardhurave. </w:t>
      </w:r>
    </w:p>
    <w:p w:rsidR="00CC4F2D" w:rsidRPr="00037107" w:rsidRDefault="00CC4F2D" w:rsidP="00CC4F2D">
      <w:pPr>
        <w:pStyle w:val="Paragrafi"/>
        <w:rPr>
          <w:lang w:val="sq-AL"/>
        </w:rPr>
      </w:pPr>
      <w:r w:rsidRPr="00037107">
        <w:rPr>
          <w:lang w:val="sq-AL"/>
        </w:rPr>
        <w:t>16. Gjithashtu, Gjykata në lidhje me gjykimin e mosmarrëveshjeve administrative është shprehur se kur ligjvënësi ka përcaktuar afate kohore, do të thotë se ai i ka konsideruar ato si afate të arsyeshme për t’u zbatuar nga gjykatat. Në këtë drejtim, respektimi rigoroz i ligjit përbën detyrim për gjykatat e juridiksionit të zakonshëm. Po në këtë këndvështrim Gjykata në çështje të ngjashme ka vlerësuar se justifikimet se shkak i vonesës në shqyrtimin e çështjes është numri i lartë i çështjeve në ngarkim të këtyre gjykatave, nuk janë të bazuara. Ngarkesa e gjykatave nuk është argument kushtetues që mund të justifikojë mosgjykimin e tyre brenda afateve të përcaktuara nga ligjvënësi. Në të kundërt është detyrë e këtij të fundit të marrë masat dhe të gjejë mjetet e duhura për ndryshimin e gjendjes faktike, me qëllim që ligjet të zbatohen dhe gjykatat e të gjitha niveleve të funksionojnë normalisht (</w:t>
      </w:r>
      <w:r w:rsidRPr="00037107">
        <w:rPr>
          <w:i/>
          <w:lang w:val="sq-AL"/>
        </w:rPr>
        <w:t xml:space="preserve">shih vendimin nr. </w:t>
      </w:r>
      <w:r>
        <w:rPr>
          <w:i/>
          <w:lang w:val="sq-AL"/>
        </w:rPr>
        <w:t>59, datë 16.</w:t>
      </w:r>
      <w:r w:rsidRPr="00037107">
        <w:rPr>
          <w:i/>
          <w:lang w:val="sq-AL"/>
        </w:rPr>
        <w:t>9.2016 të Gjykatës Kushtetuese</w:t>
      </w:r>
      <w:r w:rsidRPr="00037107">
        <w:rPr>
          <w:lang w:val="sq-AL"/>
        </w:rPr>
        <w:t>).</w:t>
      </w:r>
    </w:p>
    <w:p w:rsidR="00CC4F2D" w:rsidRPr="00037107" w:rsidRDefault="00CC4F2D" w:rsidP="00CC4F2D">
      <w:pPr>
        <w:pStyle w:val="Paragrafi"/>
        <w:rPr>
          <w:lang w:val="sq-AL"/>
        </w:rPr>
      </w:pPr>
      <w:r w:rsidRPr="00037107">
        <w:rPr>
          <w:lang w:val="sq-AL"/>
        </w:rPr>
        <w:t xml:space="preserve">17. Në këto kushte, Gjykata vlerëson se pretendimi i kërkuesit për cenimin e së drejtës për një proces të rregullt ligjor, për shkak se çështja në Gjykatën e Apelit Tiranë nuk është gjykuar brenda një afati të arsyeshëm, siç parashikohet në nenin 7/6 të ligjit nr. 8901/2002, është i bazuar. </w:t>
      </w:r>
    </w:p>
    <w:p w:rsidR="00CC4F2D" w:rsidRPr="00037107" w:rsidRDefault="00CC4F2D" w:rsidP="00CC4F2D">
      <w:pPr>
        <w:pStyle w:val="Paragrafi"/>
        <w:rPr>
          <w:bCs/>
          <w:i/>
          <w:lang w:val="sq-AL"/>
        </w:rPr>
      </w:pPr>
      <w:r w:rsidRPr="00037107">
        <w:rPr>
          <w:bCs/>
          <w:i/>
          <w:lang w:val="sq-AL"/>
        </w:rPr>
        <w:t>B. Për pretendimin për shpërblimin e dëmit pasuror dhe jopasuror</w:t>
      </w:r>
    </w:p>
    <w:p w:rsidR="00CC4F2D" w:rsidRPr="00037107" w:rsidRDefault="00CC4F2D" w:rsidP="00CC4F2D">
      <w:pPr>
        <w:pStyle w:val="Paragrafi"/>
        <w:rPr>
          <w:i/>
          <w:lang w:val="sq-AL"/>
        </w:rPr>
      </w:pPr>
      <w:r w:rsidRPr="00037107">
        <w:rPr>
          <w:bCs/>
          <w:lang w:val="sq-AL"/>
        </w:rPr>
        <w:t xml:space="preserve">18. Gjykata çmon se kërkuesi nuk legjitimohet në këtë kërkim, pasi nuk është në kompetencë të Gjykatës të shqyrtojë dhe të vlerësojë dëmin pasuror e jopasuror të shkaktuar për arsye që lidhen me moszbatimin e një vendimi gjyqësor. </w:t>
      </w:r>
      <w:r w:rsidRPr="00037107">
        <w:rPr>
          <w:lang w:val="sq-AL"/>
        </w:rPr>
        <w:t>Gjykata në jurisprudencën e saj ka vlerësuar se ky është një kërkim i ri, i cili mund të paraqitet në gjykatat e juridiksionit të zakonshëm në bazë të dispozitave të Kodit Civil, që kanë të bëjnë me kompensimin e dëmit të shkaktuar si rrjedhim i vonesës në pagimin e një shume parash (</w:t>
      </w:r>
      <w:r w:rsidRPr="00037107">
        <w:rPr>
          <w:i/>
          <w:lang w:val="sq-AL"/>
        </w:rPr>
        <w:t>neni 450 i Kodit Civil</w:t>
      </w:r>
      <w:r w:rsidRPr="00037107">
        <w:rPr>
          <w:lang w:val="sq-AL"/>
        </w:rPr>
        <w:t xml:space="preserve">). Vetëm pas shterimit të të gjitha mjeteve juridike që parashikon ligji, kërkuesi mund të vërë në lëvizje procedurat kushtetuese, në bazë të nenit 131, shkronja “f”, të Kushtetutës </w:t>
      </w:r>
      <w:r w:rsidRPr="00037107">
        <w:rPr>
          <w:i/>
          <w:lang w:val="sq-AL"/>
        </w:rPr>
        <w:t xml:space="preserve">(shih </w:t>
      </w:r>
      <w:r w:rsidRPr="00037107">
        <w:rPr>
          <w:bCs/>
          <w:i/>
          <w:lang w:val="sq-AL"/>
        </w:rPr>
        <w:t>vendimin nr. 52</w:t>
      </w:r>
      <w:r>
        <w:rPr>
          <w:i/>
          <w:lang w:val="sq-AL"/>
        </w:rPr>
        <w:t>, datë 20.</w:t>
      </w:r>
      <w:r w:rsidRPr="00037107">
        <w:rPr>
          <w:i/>
          <w:lang w:val="sq-AL"/>
        </w:rPr>
        <w:t>7.2015</w:t>
      </w:r>
      <w:r w:rsidRPr="00037107">
        <w:rPr>
          <w:bCs/>
          <w:i/>
          <w:lang w:val="sq-AL"/>
        </w:rPr>
        <w:t xml:space="preserve"> të Gjykatës Kushtetuese</w:t>
      </w:r>
      <w:r w:rsidRPr="00037107">
        <w:rPr>
          <w:i/>
          <w:lang w:val="sq-AL"/>
        </w:rPr>
        <w:t xml:space="preserve">). </w:t>
      </w:r>
    </w:p>
    <w:p w:rsidR="00CC4F2D" w:rsidRPr="00037107" w:rsidRDefault="00CC4F2D" w:rsidP="00CC4F2D">
      <w:pPr>
        <w:pStyle w:val="Paragrafi"/>
        <w:rPr>
          <w:lang w:val="sq-AL"/>
        </w:rPr>
      </w:pPr>
      <w:r w:rsidRPr="00037107">
        <w:rPr>
          <w:bCs/>
          <w:lang w:val="sq-AL"/>
        </w:rPr>
        <w:tab/>
        <w:t xml:space="preserve">19. Në përfundim, Gjykata konstaton cenimin e së drejtës për një proces të rregullt ligjor, të parashikuar nga neni 42 i Kushtetutës së Republikës së Shqipërisë dhe neni 6/1 i KEDNJ-së, si rrjedhojë e </w:t>
      </w:r>
      <w:r w:rsidRPr="00037107">
        <w:rPr>
          <w:lang w:val="sq-AL"/>
        </w:rPr>
        <w:t xml:space="preserve">mosgjykimit të çështjes në Gjykatën e Apelit Tiranë brenda afatit të arsyeshëm të parashikuar nga neni 7/6 i ligjit nr. 8901/2002.  </w:t>
      </w:r>
    </w:p>
    <w:p w:rsidR="00CC4F2D" w:rsidRPr="00037107" w:rsidRDefault="00CC4F2D" w:rsidP="00CC4F2D">
      <w:pPr>
        <w:pStyle w:val="Hapesira7"/>
        <w:rPr>
          <w:lang w:val="sq-AL"/>
        </w:rPr>
      </w:pPr>
    </w:p>
    <w:p w:rsidR="00CC4F2D" w:rsidRPr="00037107" w:rsidRDefault="00CC4F2D" w:rsidP="00CC4F2D">
      <w:pPr>
        <w:pStyle w:val="Paragrafi"/>
        <w:jc w:val="center"/>
        <w:rPr>
          <w:rFonts w:eastAsia="Arial Unicode MS"/>
          <w:bCs/>
          <w:lang w:val="sq-AL"/>
        </w:rPr>
      </w:pPr>
      <w:r w:rsidRPr="00037107">
        <w:rPr>
          <w:rFonts w:eastAsia="Arial Unicode MS"/>
          <w:bCs/>
          <w:lang w:val="sq-AL"/>
        </w:rPr>
        <w:t>PËR KËTO ARSYE,</w:t>
      </w:r>
    </w:p>
    <w:p w:rsidR="00CC4F2D" w:rsidRPr="00037107" w:rsidRDefault="00CC4F2D" w:rsidP="00CC4F2D">
      <w:pPr>
        <w:pStyle w:val="Hapesira7"/>
        <w:rPr>
          <w:lang w:val="sq-AL"/>
        </w:rPr>
      </w:pPr>
    </w:p>
    <w:p w:rsidR="00CC4F2D" w:rsidRPr="00037107" w:rsidRDefault="00CC4F2D" w:rsidP="00CC4F2D">
      <w:pPr>
        <w:pStyle w:val="Paragrafi"/>
        <w:rPr>
          <w:rFonts w:eastAsia="Arial Unicode MS"/>
          <w:lang w:val="sq-AL"/>
        </w:rPr>
      </w:pPr>
      <w:r w:rsidRPr="00037107">
        <w:rPr>
          <w:rFonts w:eastAsia="Arial Unicode MS"/>
          <w:lang w:val="sq-AL"/>
        </w:rPr>
        <w:t xml:space="preserve">Gjykata Kushtetuese e Republikës së Shqipërisë, në mbështetje të neneve 131/f dhe 134/1/i të Kushtetutës, si dhe të neneve 72 dhe 73/4 të ligjit nr. </w:t>
      </w:r>
      <w:r>
        <w:rPr>
          <w:rFonts w:eastAsia="Arial Unicode MS"/>
          <w:lang w:val="sq-AL"/>
        </w:rPr>
        <w:t>8577, datë 10.</w:t>
      </w:r>
      <w:r w:rsidRPr="00037107">
        <w:rPr>
          <w:rFonts w:eastAsia="Arial Unicode MS"/>
          <w:lang w:val="sq-AL"/>
        </w:rPr>
        <w:t xml:space="preserve">2.2000, “Për organizimin dhe funksionimin e Gjykatës Kushtetuese të Republikës së Shqipërisë”, të ndryshuar, njëzëri, </w:t>
      </w:r>
    </w:p>
    <w:p w:rsidR="00CC4F2D" w:rsidRPr="00037107" w:rsidRDefault="00CC4F2D" w:rsidP="00CC4F2D">
      <w:pPr>
        <w:pStyle w:val="Hapesira7"/>
        <w:rPr>
          <w:lang w:val="sq-AL"/>
        </w:rPr>
      </w:pPr>
    </w:p>
    <w:p w:rsidR="00CC4F2D" w:rsidRPr="00037107" w:rsidRDefault="00CC4F2D" w:rsidP="00CC4F2D">
      <w:pPr>
        <w:pStyle w:val="Paragrafi"/>
        <w:jc w:val="center"/>
        <w:rPr>
          <w:lang w:val="sq-AL"/>
        </w:rPr>
      </w:pPr>
      <w:r w:rsidRPr="00037107">
        <w:rPr>
          <w:bCs/>
          <w:lang w:val="sq-AL"/>
        </w:rPr>
        <w:t>VENDOSI:</w:t>
      </w:r>
    </w:p>
    <w:p w:rsidR="00CC4F2D" w:rsidRPr="00037107" w:rsidRDefault="00CC4F2D" w:rsidP="00CC4F2D">
      <w:pPr>
        <w:pStyle w:val="Hapesira7"/>
        <w:rPr>
          <w:lang w:val="sq-AL"/>
        </w:rPr>
      </w:pPr>
    </w:p>
    <w:p w:rsidR="00CC4F2D" w:rsidRPr="00037107" w:rsidRDefault="00CC4F2D" w:rsidP="00CC4F2D">
      <w:pPr>
        <w:pStyle w:val="Paragrafi"/>
        <w:rPr>
          <w:lang w:val="sq-AL"/>
        </w:rPr>
      </w:pPr>
      <w:r>
        <w:rPr>
          <w:lang w:val="sq-AL"/>
        </w:rPr>
        <w:t xml:space="preserve">- </w:t>
      </w:r>
      <w:r w:rsidRPr="00037107">
        <w:rPr>
          <w:lang w:val="sq-AL"/>
        </w:rPr>
        <w:t xml:space="preserve">Konstatimin e cenimit të së drejtës kushtetuese për një proces të rregullt ligjor si rezultat i mosgjykimit të çështjes në Gjykatën e Apelit Tiranë brenda një afati të arsyeshëm. </w:t>
      </w:r>
    </w:p>
    <w:p w:rsidR="00CC4F2D" w:rsidRPr="00037107" w:rsidRDefault="00CC4F2D" w:rsidP="00CC4F2D">
      <w:pPr>
        <w:pStyle w:val="Paragrafi"/>
        <w:rPr>
          <w:lang w:val="sq-AL"/>
        </w:rPr>
      </w:pPr>
      <w:r>
        <w:rPr>
          <w:lang w:val="sq-AL"/>
        </w:rPr>
        <w:lastRenderedPageBreak/>
        <w:t xml:space="preserve">- </w:t>
      </w:r>
      <w:r w:rsidRPr="00037107">
        <w:rPr>
          <w:lang w:val="sq-AL"/>
        </w:rPr>
        <w:t>Rrëzimin e kërkesës për pretendimet e tjera.</w:t>
      </w:r>
    </w:p>
    <w:p w:rsidR="00CC4F2D" w:rsidRPr="00037107" w:rsidRDefault="00CC4F2D" w:rsidP="00CC4F2D">
      <w:pPr>
        <w:pStyle w:val="Paragrafi"/>
        <w:rPr>
          <w:lang w:val="sq-AL"/>
        </w:rPr>
      </w:pPr>
      <w:r w:rsidRPr="00037107">
        <w:rPr>
          <w:lang w:val="sq-AL"/>
        </w:rPr>
        <w:t>Ky vendim është përfundimtar, i formës së prerë dhe hyn në fuqi ditën e botimit në Fletoren Zyrtare.</w:t>
      </w:r>
    </w:p>
    <w:p w:rsidR="00CC4F2D" w:rsidRPr="00037107" w:rsidRDefault="00CC4F2D" w:rsidP="00CC4F2D">
      <w:pPr>
        <w:pStyle w:val="Paragrafi"/>
        <w:rPr>
          <w:lang w:val="sq-AL"/>
        </w:rPr>
      </w:pPr>
    </w:p>
    <w:p w:rsidR="00CC4F2D" w:rsidRPr="00037107" w:rsidRDefault="00CC4F2D" w:rsidP="00CC4F2D">
      <w:pPr>
        <w:pStyle w:val="Paragrafi"/>
        <w:rPr>
          <w:bCs/>
          <w:lang w:val="sq-AL"/>
        </w:rPr>
      </w:pPr>
      <w:r w:rsidRPr="00037107">
        <w:rPr>
          <w:bCs/>
          <w:lang w:val="sq-AL"/>
        </w:rPr>
        <w:t>Anëtarë: Bashkim Dedja (</w:t>
      </w:r>
      <w:r>
        <w:rPr>
          <w:bCs/>
          <w:lang w:val="sq-AL"/>
        </w:rPr>
        <w:t>k</w:t>
      </w:r>
      <w:r w:rsidRPr="00037107">
        <w:rPr>
          <w:bCs/>
          <w:lang w:val="sq-AL"/>
        </w:rPr>
        <w:t>ryetar), Vitore Tusha, Altina Xhoxhaj, Besnik Imeraj, Gani Dizdari, Fatmir Hoxha, Fatos Lulo, Vladimir Kristo</w:t>
      </w:r>
    </w:p>
    <w:p w:rsidR="00CC4F2D" w:rsidRPr="00037107" w:rsidRDefault="00CC4F2D" w:rsidP="00CC4F2D">
      <w:pPr>
        <w:pStyle w:val="Paragrafi"/>
        <w:rPr>
          <w:rFonts w:eastAsia="Times New Roman"/>
          <w:spacing w:val="-4"/>
          <w:lang w:val="sq-AL" w:eastAsia="en-GB"/>
        </w:rPr>
      </w:pPr>
      <w:r w:rsidRPr="00037107">
        <w:rPr>
          <w:bCs/>
          <w:lang w:val="sq-AL"/>
        </w:rPr>
        <w:tab/>
      </w:r>
      <w:r w:rsidRPr="00037107">
        <w:rPr>
          <w:bCs/>
          <w:lang w:val="sq-AL"/>
        </w:rPr>
        <w:tab/>
      </w:r>
    </w:p>
    <w:p w:rsidR="00CC4F2D" w:rsidRDefault="00CC4F2D" w:rsidP="00CC4F2D">
      <w:pPr>
        <w:pStyle w:val="Paragrafi"/>
        <w:rPr>
          <w:rFonts w:eastAsia="Times New Roman"/>
          <w:spacing w:val="-4"/>
          <w:lang w:val="sq-AL" w:eastAsia="en-GB"/>
        </w:rPr>
        <w:sectPr w:rsidR="00CC4F2D" w:rsidSect="00693116">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4645"/>
          <w:cols w:space="454"/>
          <w:docGrid w:linePitch="360"/>
        </w:sectPr>
      </w:pPr>
    </w:p>
    <w:p w:rsidR="00CC4F2D" w:rsidRPr="00037107" w:rsidRDefault="00CC4F2D" w:rsidP="00CC4F2D">
      <w:pPr>
        <w:pStyle w:val="Paragrafi"/>
        <w:rPr>
          <w:rFonts w:eastAsia="Times New Roman"/>
          <w:spacing w:val="-4"/>
          <w:lang w:val="sq-AL" w:eastAsia="en-GB"/>
        </w:rPr>
      </w:pPr>
    </w:p>
    <w:p w:rsidR="00CC4F2D" w:rsidRPr="00037107" w:rsidRDefault="00CC4F2D" w:rsidP="00CC4F2D">
      <w:pPr>
        <w:pStyle w:val="Paragrafi"/>
        <w:rPr>
          <w:rFonts w:eastAsia="Times New Roman"/>
          <w:spacing w:val="-4"/>
          <w:lang w:val="sq-AL" w:eastAsia="en-GB"/>
        </w:rPr>
      </w:pPr>
    </w:p>
    <w:p w:rsidR="00CC4F2D" w:rsidRPr="00037107" w:rsidRDefault="00CC4F2D" w:rsidP="00CC4F2D">
      <w:pPr>
        <w:pStyle w:val="Paragrafi"/>
        <w:rPr>
          <w:rFonts w:eastAsia="Times New Roman"/>
          <w:spacing w:val="-4"/>
          <w:lang w:val="sq-AL" w:eastAsia="en-GB"/>
        </w:rPr>
      </w:pPr>
    </w:p>
    <w:p w:rsidR="00CC4F2D" w:rsidRPr="00037107" w:rsidRDefault="00CC4F2D" w:rsidP="00CC4F2D">
      <w:pPr>
        <w:pStyle w:val="Paragrafi"/>
        <w:rPr>
          <w:rFonts w:eastAsia="Times New Roman"/>
          <w:spacing w:val="-4"/>
          <w:lang w:val="sq-AL" w:eastAsia="en-GB"/>
        </w:rPr>
      </w:pPr>
    </w:p>
    <w:p w:rsidR="00CC4F2D" w:rsidRPr="00037107" w:rsidRDefault="00CC4F2D" w:rsidP="00CC4F2D">
      <w:pPr>
        <w:pStyle w:val="Paragrafi"/>
        <w:rPr>
          <w:rFonts w:eastAsia="Times New Roman"/>
          <w:spacing w:val="-4"/>
          <w:lang w:val="sq-AL" w:eastAsia="en-GB"/>
        </w:rPr>
      </w:pPr>
    </w:p>
    <w:p w:rsidR="00CC4F2D" w:rsidRPr="00037107" w:rsidRDefault="00CC4F2D" w:rsidP="00CC4F2D">
      <w:pPr>
        <w:pStyle w:val="Paragrafi"/>
        <w:rPr>
          <w:rFonts w:eastAsia="Times New Roman"/>
          <w:spacing w:val="-4"/>
          <w:lang w:val="sq-AL" w:eastAsia="en-GB"/>
        </w:rPr>
      </w:pPr>
    </w:p>
    <w:p w:rsidR="00CC4F2D" w:rsidRPr="00037107" w:rsidRDefault="00CC4F2D" w:rsidP="00CC4F2D">
      <w:pPr>
        <w:pStyle w:val="Paragrafi"/>
        <w:rPr>
          <w:rFonts w:eastAsia="Times New Roman"/>
          <w:spacing w:val="-4"/>
          <w:lang w:val="sq-AL" w:eastAsia="en-GB"/>
        </w:rPr>
      </w:pPr>
    </w:p>
    <w:bookmarkEnd w:id="0"/>
    <w:p w:rsidR="004F59B3" w:rsidRDefault="004F59B3"/>
    <w:sectPr w:rsidR="004F59B3" w:rsidSect="006931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F2D" w:rsidRDefault="00CC4F2D" w:rsidP="00CC4F2D">
      <w:pPr>
        <w:spacing w:after="0" w:line="240" w:lineRule="auto"/>
      </w:pPr>
      <w:r>
        <w:separator/>
      </w:r>
    </w:p>
  </w:endnote>
  <w:endnote w:type="continuationSeparator" w:id="0">
    <w:p w:rsidR="00CC4F2D" w:rsidRDefault="00CC4F2D" w:rsidP="00CC4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4881"/>
      <w:docPartObj>
        <w:docPartGallery w:val="Page Numbers (Bottom of Page)"/>
        <w:docPartUnique/>
      </w:docPartObj>
    </w:sdtPr>
    <w:sdtEndPr>
      <w:rPr>
        <w:rFonts w:ascii="Garamond" w:hAnsi="Garamond"/>
        <w:noProof/>
        <w:sz w:val="24"/>
        <w:szCs w:val="24"/>
      </w:rPr>
    </w:sdtEndPr>
    <w:sdtContent>
      <w:p w:rsidR="00CC4F2D" w:rsidRPr="00B4283E" w:rsidRDefault="00CC4F2D"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4668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F2D" w:rsidRPr="005B4361" w:rsidRDefault="00CC4F2D"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34884"/>
      <w:docPartObj>
        <w:docPartGallery w:val="Page Numbers (Bottom of Page)"/>
        <w:docPartUnique/>
      </w:docPartObj>
    </w:sdtPr>
    <w:sdtEndPr>
      <w:rPr>
        <w:noProof/>
        <w:sz w:val="24"/>
        <w:szCs w:val="24"/>
      </w:rPr>
    </w:sdtEndPr>
    <w:sdtContent>
      <w:p w:rsidR="00CC4F2D" w:rsidRPr="00833610" w:rsidRDefault="00CC4F2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C4F2D" w:rsidRDefault="00CC4F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F2D" w:rsidRDefault="00CC4F2D" w:rsidP="00CC4F2D">
      <w:pPr>
        <w:spacing w:after="0" w:line="240" w:lineRule="auto"/>
      </w:pPr>
      <w:r>
        <w:separator/>
      </w:r>
    </w:p>
  </w:footnote>
  <w:footnote w:type="continuationSeparator" w:id="0">
    <w:p w:rsidR="00CC4F2D" w:rsidRDefault="00CC4F2D" w:rsidP="00CC4F2D">
      <w:pPr>
        <w:spacing w:after="0" w:line="240" w:lineRule="auto"/>
      </w:pPr>
      <w:r>
        <w:continuationSeparator/>
      </w:r>
    </w:p>
  </w:footnote>
  <w:footnote w:id="1">
    <w:p w:rsidR="00CC4F2D" w:rsidRPr="000D14AD" w:rsidRDefault="00CC4F2D" w:rsidP="00CC4F2D">
      <w:pPr>
        <w:pStyle w:val="FootnoteText"/>
        <w:ind w:firstLine="0"/>
        <w:rPr>
          <w:rFonts w:ascii="Garamond" w:hAnsi="Garamond"/>
          <w:lang w:val="en-US"/>
        </w:rPr>
      </w:pPr>
      <w:r w:rsidRPr="000D14AD">
        <w:rPr>
          <w:rStyle w:val="FootnoteReference"/>
          <w:rFonts w:ascii="Garamond" w:hAnsi="Garamond"/>
        </w:rPr>
        <w:footnoteRef/>
      </w:r>
      <w:r w:rsidRPr="000D14AD">
        <w:rPr>
          <w:rFonts w:ascii="Garamond" w:hAnsi="Garamond"/>
        </w:rPr>
        <w:t xml:space="preserve"> Shih nenet 3, 7, 18 të ligjit </w:t>
      </w:r>
      <w:r>
        <w:rPr>
          <w:rFonts w:ascii="Garamond" w:hAnsi="Garamond"/>
        </w:rPr>
        <w:t xml:space="preserve">nr. </w:t>
      </w:r>
      <w:r w:rsidRPr="000D14AD">
        <w:rPr>
          <w:rFonts w:ascii="Garamond" w:hAnsi="Garamond"/>
        </w:rPr>
        <w:t xml:space="preserve">8901/2002.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CC4F2D" w:rsidRPr="00EB260B" w:rsidTr="00680B77">
      <w:trPr>
        <w:trHeight w:val="936"/>
        <w:jc w:val="center"/>
      </w:trPr>
      <w:tc>
        <w:tcPr>
          <w:tcW w:w="2811" w:type="dxa"/>
          <w:shd w:val="pct5" w:color="auto" w:fill="F2F2F2"/>
          <w:vAlign w:val="center"/>
        </w:tcPr>
        <w:p w:rsidR="00CC4F2D" w:rsidRPr="00EB260B" w:rsidRDefault="00CC4F2D"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CC4F2D" w:rsidRPr="00EB260B" w:rsidRDefault="00CC4F2D" w:rsidP="00680B77">
          <w:pPr>
            <w:pStyle w:val="NoSpacing"/>
            <w:spacing w:before="100" w:after="100"/>
            <w:jc w:val="center"/>
            <w:rPr>
              <w:rFonts w:ascii="Garamond" w:hAnsi="Garamond"/>
              <w:b/>
              <w:sz w:val="28"/>
              <w:szCs w:val="28"/>
            </w:rPr>
          </w:pPr>
          <w:r>
            <w:rPr>
              <w:noProof/>
              <w:lang w:val="en-US"/>
            </w:rPr>
            <w:drawing>
              <wp:inline distT="0" distB="0" distL="0" distR="0" wp14:anchorId="7B706278" wp14:editId="217E9E6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CC4F2D" w:rsidRPr="00EB260B" w:rsidRDefault="00CC4F2D" w:rsidP="00680B77">
          <w:pPr>
            <w:pStyle w:val="NoSpacing"/>
            <w:spacing w:before="100" w:after="100"/>
            <w:jc w:val="center"/>
            <w:rPr>
              <w:rFonts w:ascii="Garamond" w:hAnsi="Garamond"/>
              <w:b/>
              <w:sz w:val="28"/>
              <w:szCs w:val="28"/>
            </w:rPr>
          </w:pPr>
          <w:r>
            <w:rPr>
              <w:rFonts w:ascii="Garamond" w:hAnsi="Garamond"/>
              <w:b/>
              <w:sz w:val="28"/>
              <w:szCs w:val="28"/>
            </w:rPr>
            <w:t xml:space="preserve"> Viti 2017 – Numri 73</w:t>
          </w:r>
        </w:p>
      </w:tc>
    </w:tr>
  </w:tbl>
  <w:p w:rsidR="00CC4F2D" w:rsidRPr="00385E2C" w:rsidRDefault="00CC4F2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F2D" w:rsidRDefault="00CC4F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F2D" w:rsidRDefault="00CC4F2D"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947"/>
    <w:rsid w:val="004F59B3"/>
    <w:rsid w:val="00580947"/>
    <w:rsid w:val="00693116"/>
    <w:rsid w:val="00CC4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F2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C4F2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C4F2D"/>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CC4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F2D"/>
    <w:rPr>
      <w:rFonts w:ascii="Calibri" w:eastAsia="Calibri" w:hAnsi="Calibri" w:cs="Times New Roman"/>
    </w:rPr>
  </w:style>
  <w:style w:type="paragraph" w:styleId="Footer">
    <w:name w:val="footer"/>
    <w:basedOn w:val="Normal"/>
    <w:link w:val="FooterChar"/>
    <w:unhideWhenUsed/>
    <w:rsid w:val="00CC4F2D"/>
    <w:pPr>
      <w:tabs>
        <w:tab w:val="center" w:pos="4680"/>
        <w:tab w:val="right" w:pos="9360"/>
      </w:tabs>
      <w:spacing w:after="0" w:line="240" w:lineRule="auto"/>
    </w:pPr>
  </w:style>
  <w:style w:type="character" w:customStyle="1" w:styleId="FooterChar">
    <w:name w:val="Footer Char"/>
    <w:basedOn w:val="DefaultParagraphFont"/>
    <w:link w:val="Footer"/>
    <w:rsid w:val="00CC4F2D"/>
    <w:rPr>
      <w:rFonts w:ascii="Calibri" w:eastAsia="Calibri" w:hAnsi="Calibri" w:cs="Times New Roman"/>
    </w:rPr>
  </w:style>
  <w:style w:type="paragraph" w:customStyle="1" w:styleId="Paragrafi">
    <w:name w:val="Paragrafi"/>
    <w:link w:val="ParagrafiChar"/>
    <w:uiPriority w:val="99"/>
    <w:rsid w:val="00CC4F2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CC4F2D"/>
    <w:rPr>
      <w:rFonts w:ascii="Garamond" w:eastAsia="MS Mincho" w:hAnsi="Garamond" w:cs="CG Times"/>
      <w:sz w:val="24"/>
    </w:rPr>
  </w:style>
  <w:style w:type="paragraph" w:customStyle="1" w:styleId="Hapesira7">
    <w:name w:val="Hapesira 7"/>
    <w:basedOn w:val="Paragrafi"/>
    <w:qFormat/>
    <w:rsid w:val="00CC4F2D"/>
    <w:rPr>
      <w:sz w:val="14"/>
      <w:szCs w:val="24"/>
    </w:rPr>
  </w:style>
  <w:style w:type="table" w:styleId="TableGrid">
    <w:name w:val="Table Grid"/>
    <w:basedOn w:val="TableNormal"/>
    <w:uiPriority w:val="59"/>
    <w:rsid w:val="00CC4F2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C4F2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C4F2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CC4F2D"/>
    <w:rPr>
      <w:vertAlign w:val="superscript"/>
    </w:rPr>
  </w:style>
  <w:style w:type="paragraph" w:customStyle="1" w:styleId="Char2">
    <w:name w:val="Char2"/>
    <w:basedOn w:val="Normal"/>
    <w:link w:val="FootnoteReference"/>
    <w:uiPriority w:val="99"/>
    <w:rsid w:val="00CC4F2D"/>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F2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C4F2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C4F2D"/>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CC4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F2D"/>
    <w:rPr>
      <w:rFonts w:ascii="Calibri" w:eastAsia="Calibri" w:hAnsi="Calibri" w:cs="Times New Roman"/>
    </w:rPr>
  </w:style>
  <w:style w:type="paragraph" w:styleId="Footer">
    <w:name w:val="footer"/>
    <w:basedOn w:val="Normal"/>
    <w:link w:val="FooterChar"/>
    <w:unhideWhenUsed/>
    <w:rsid w:val="00CC4F2D"/>
    <w:pPr>
      <w:tabs>
        <w:tab w:val="center" w:pos="4680"/>
        <w:tab w:val="right" w:pos="9360"/>
      </w:tabs>
      <w:spacing w:after="0" w:line="240" w:lineRule="auto"/>
    </w:pPr>
  </w:style>
  <w:style w:type="character" w:customStyle="1" w:styleId="FooterChar">
    <w:name w:val="Footer Char"/>
    <w:basedOn w:val="DefaultParagraphFont"/>
    <w:link w:val="Footer"/>
    <w:rsid w:val="00CC4F2D"/>
    <w:rPr>
      <w:rFonts w:ascii="Calibri" w:eastAsia="Calibri" w:hAnsi="Calibri" w:cs="Times New Roman"/>
    </w:rPr>
  </w:style>
  <w:style w:type="paragraph" w:customStyle="1" w:styleId="Paragrafi">
    <w:name w:val="Paragrafi"/>
    <w:link w:val="ParagrafiChar"/>
    <w:uiPriority w:val="99"/>
    <w:rsid w:val="00CC4F2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CC4F2D"/>
    <w:rPr>
      <w:rFonts w:ascii="Garamond" w:eastAsia="MS Mincho" w:hAnsi="Garamond" w:cs="CG Times"/>
      <w:sz w:val="24"/>
    </w:rPr>
  </w:style>
  <w:style w:type="paragraph" w:customStyle="1" w:styleId="Hapesira7">
    <w:name w:val="Hapesira 7"/>
    <w:basedOn w:val="Paragrafi"/>
    <w:qFormat/>
    <w:rsid w:val="00CC4F2D"/>
    <w:rPr>
      <w:sz w:val="14"/>
      <w:szCs w:val="24"/>
    </w:rPr>
  </w:style>
  <w:style w:type="table" w:styleId="TableGrid">
    <w:name w:val="Table Grid"/>
    <w:basedOn w:val="TableNormal"/>
    <w:uiPriority w:val="59"/>
    <w:rsid w:val="00CC4F2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C4F2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C4F2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CC4F2D"/>
    <w:rPr>
      <w:vertAlign w:val="superscript"/>
    </w:rPr>
  </w:style>
  <w:style w:type="paragraph" w:customStyle="1" w:styleId="Char2">
    <w:name w:val="Char2"/>
    <w:basedOn w:val="Normal"/>
    <w:link w:val="FootnoteReference"/>
    <w:uiPriority w:val="99"/>
    <w:rsid w:val="00CC4F2D"/>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1836</Words>
  <Characters>10471</Characters>
  <Application>Microsoft Office Word</Application>
  <DocSecurity>0</DocSecurity>
  <Lines>87</Lines>
  <Paragraphs>24</Paragraphs>
  <ScaleCrop>false</ScaleCrop>
  <Company/>
  <LinksUpToDate>false</LinksUpToDate>
  <CharactersWithSpaces>12283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2017-04-11T07:26:00Z</dcterms:created>
  <dcterms:modified xsi:type="dcterms:W3CDTF">2018-01-29T13:55:00Z</dcterms:modified>
</cp:coreProperties>
</file>