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A79" w:rsidRPr="00D0531D" w:rsidRDefault="00AA3A79" w:rsidP="00AA3A79">
      <w:pPr>
        <w:pStyle w:val="NeniTitull"/>
        <w:rPr>
          <w:spacing w:val="-4"/>
          <w:lang w:val="sq-AL"/>
        </w:rPr>
      </w:pPr>
      <w:r w:rsidRPr="00D0531D">
        <w:rPr>
          <w:spacing w:val="-4"/>
          <w:lang w:val="sq-AL"/>
        </w:rPr>
        <w:t>VENDIM</w:t>
      </w:r>
    </w:p>
    <w:p w:rsidR="00AA3A79" w:rsidRPr="00D0531D" w:rsidRDefault="00AA3A79" w:rsidP="00AA3A79">
      <w:pPr>
        <w:pStyle w:val="NeniTitull"/>
        <w:rPr>
          <w:spacing w:val="-4"/>
          <w:lang w:val="sq-AL"/>
        </w:rPr>
      </w:pPr>
      <w:r w:rsidRPr="00D0531D">
        <w:rPr>
          <w:spacing w:val="-4"/>
          <w:lang w:val="sq-AL"/>
        </w:rPr>
        <w:t>Nr. 70, datë 13.11.2017</w:t>
      </w:r>
    </w:p>
    <w:p w:rsidR="00AA3A79" w:rsidRPr="00D0531D" w:rsidRDefault="00AA3A79" w:rsidP="00AA3A79">
      <w:pPr>
        <w:pStyle w:val="Hapesira7"/>
        <w:rPr>
          <w:spacing w:val="-4"/>
          <w:lang w:val="sq-AL"/>
        </w:rPr>
      </w:pPr>
    </w:p>
    <w:p w:rsidR="00AA3A79" w:rsidRPr="00D0531D" w:rsidRDefault="00AA3A79" w:rsidP="00AA3A79">
      <w:pPr>
        <w:pStyle w:val="NeniTitull"/>
        <w:rPr>
          <w:spacing w:val="-4"/>
          <w:lang w:val="sq-AL"/>
        </w:rPr>
      </w:pPr>
      <w:r w:rsidRPr="00D0531D">
        <w:rPr>
          <w:spacing w:val="-4"/>
          <w:lang w:val="sq-AL"/>
        </w:rPr>
        <w:t>NË EMËR TË REPUBLIKËS SË SHQIPËRISË</w:t>
      </w:r>
    </w:p>
    <w:p w:rsidR="00AA3A79" w:rsidRPr="00D0531D" w:rsidRDefault="00AA3A79" w:rsidP="00AA3A79">
      <w:pPr>
        <w:pStyle w:val="Hapesira7"/>
        <w:rPr>
          <w:spacing w:val="-4"/>
          <w:lang w:val="sq-AL"/>
        </w:rPr>
      </w:pPr>
    </w:p>
    <w:p w:rsidR="00AA3A79" w:rsidRPr="00D0531D" w:rsidRDefault="00AA3A79" w:rsidP="00AA3A79">
      <w:pPr>
        <w:pStyle w:val="Paragrafi"/>
        <w:rPr>
          <w:rFonts w:eastAsia="Times New Roman"/>
          <w:spacing w:val="-4"/>
          <w:lang w:val="sq-AL"/>
        </w:rPr>
      </w:pPr>
      <w:r w:rsidRPr="00D0531D">
        <w:rPr>
          <w:rFonts w:eastAsia="Times New Roman"/>
          <w:spacing w:val="-4"/>
          <w:lang w:val="sq-AL"/>
        </w:rPr>
        <w:t>Gjykata Kushtetuese e Republikës së Shqipërisë, e përbërë nga:</w:t>
      </w:r>
    </w:p>
    <w:p w:rsidR="00AA3A79" w:rsidRPr="00D0531D" w:rsidRDefault="00AA3A79" w:rsidP="00AA3A79">
      <w:pPr>
        <w:pStyle w:val="Paragrafi"/>
        <w:ind w:firstLine="0"/>
        <w:rPr>
          <w:rFonts w:eastAsia="Times New Roman"/>
          <w:spacing w:val="-4"/>
          <w:lang w:val="sq-AL"/>
        </w:rPr>
      </w:pPr>
      <w:r w:rsidRPr="00D0531D">
        <w:rPr>
          <w:rFonts w:eastAsia="Times New Roman"/>
          <w:spacing w:val="-4"/>
          <w:lang w:val="sq-AL"/>
        </w:rPr>
        <w:t xml:space="preserve">Bashkim Dedja </w:t>
      </w:r>
      <w:r w:rsidRPr="00D0531D">
        <w:rPr>
          <w:rFonts w:eastAsia="Times New Roman"/>
          <w:spacing w:val="-4"/>
          <w:lang w:val="sq-AL"/>
        </w:rPr>
        <w:tab/>
        <w:t xml:space="preserve">kryetar i Gjykatës Kushtetuese </w:t>
      </w:r>
    </w:p>
    <w:p w:rsidR="00AA3A79" w:rsidRPr="00D0531D" w:rsidRDefault="00AA3A79" w:rsidP="00AA3A79">
      <w:pPr>
        <w:pStyle w:val="Paragrafi"/>
        <w:ind w:firstLine="0"/>
        <w:rPr>
          <w:rFonts w:eastAsia="Times New Roman"/>
          <w:spacing w:val="-4"/>
          <w:lang w:val="sq-AL"/>
        </w:rPr>
      </w:pPr>
      <w:r w:rsidRPr="00D0531D">
        <w:rPr>
          <w:rFonts w:eastAsia="Times New Roman"/>
          <w:spacing w:val="-4"/>
          <w:lang w:val="sq-AL"/>
        </w:rPr>
        <w:t>Vitore Tusha</w:t>
      </w:r>
      <w:r w:rsidRPr="00D0531D">
        <w:rPr>
          <w:rFonts w:eastAsia="Times New Roman"/>
          <w:spacing w:val="-4"/>
          <w:lang w:val="sq-AL"/>
        </w:rPr>
        <w:tab/>
      </w:r>
      <w:r w:rsidRPr="00D0531D">
        <w:rPr>
          <w:rFonts w:eastAsia="Times New Roman"/>
          <w:spacing w:val="-4"/>
          <w:lang w:val="sq-AL"/>
        </w:rPr>
        <w:tab/>
      </w:r>
      <w:r w:rsidRPr="00D0531D">
        <w:rPr>
          <w:rFonts w:eastAsia="Times New Roman"/>
          <w:spacing w:val="-4"/>
          <w:lang w:val="sq-AL"/>
        </w:rPr>
        <w:tab/>
        <w:t xml:space="preserve">anëtare e </w:t>
      </w:r>
      <w:r w:rsidRPr="00D0531D">
        <w:rPr>
          <w:rFonts w:eastAsia="Times New Roman"/>
          <w:spacing w:val="-4"/>
          <w:lang w:val="sq-AL"/>
        </w:rPr>
        <w:tab/>
      </w:r>
      <w:r w:rsidRPr="00D0531D">
        <w:rPr>
          <w:rFonts w:eastAsia="Times New Roman"/>
          <w:spacing w:val="-4"/>
          <w:lang w:val="sq-AL"/>
        </w:rPr>
        <w:tab/>
      </w:r>
      <w:bookmarkStart w:id="0" w:name="_GoBack"/>
      <w:bookmarkEnd w:id="0"/>
      <w:r w:rsidRPr="00D0531D">
        <w:rPr>
          <w:rFonts w:eastAsia="Times New Roman"/>
          <w:spacing w:val="-4"/>
          <w:lang w:val="sq-AL"/>
        </w:rPr>
        <w:t>“</w:t>
      </w:r>
      <w:r w:rsidRPr="00D0531D">
        <w:rPr>
          <w:rFonts w:eastAsia="Times New Roman"/>
          <w:spacing w:val="-4"/>
          <w:lang w:val="sq-AL"/>
        </w:rPr>
        <w:tab/>
      </w:r>
      <w:r w:rsidRPr="00D0531D">
        <w:rPr>
          <w:rFonts w:eastAsia="Times New Roman"/>
          <w:spacing w:val="-4"/>
          <w:lang w:val="sq-AL"/>
        </w:rPr>
        <w:tab/>
        <w:t>“</w:t>
      </w:r>
    </w:p>
    <w:p w:rsidR="00AA3A79" w:rsidRPr="00D0531D" w:rsidRDefault="00AA3A79" w:rsidP="00AA3A79">
      <w:pPr>
        <w:pStyle w:val="Paragrafi"/>
        <w:ind w:firstLine="0"/>
        <w:rPr>
          <w:rFonts w:eastAsia="Times New Roman"/>
          <w:spacing w:val="-4"/>
          <w:lang w:val="sq-AL"/>
        </w:rPr>
      </w:pPr>
      <w:r w:rsidRPr="00D0531D">
        <w:rPr>
          <w:rFonts w:eastAsia="Times New Roman"/>
          <w:spacing w:val="-4"/>
          <w:lang w:val="sq-AL"/>
        </w:rPr>
        <w:t>Fatmir Hoxha</w:t>
      </w:r>
      <w:r w:rsidRPr="00D0531D">
        <w:rPr>
          <w:rFonts w:eastAsia="Times New Roman"/>
          <w:spacing w:val="-4"/>
          <w:lang w:val="sq-AL"/>
        </w:rPr>
        <w:tab/>
      </w:r>
      <w:r w:rsidRPr="00D0531D">
        <w:rPr>
          <w:rFonts w:eastAsia="Times New Roman"/>
          <w:spacing w:val="-4"/>
          <w:lang w:val="sq-AL"/>
        </w:rPr>
        <w:tab/>
      </w:r>
      <w:r w:rsidRPr="00D0531D">
        <w:rPr>
          <w:rFonts w:eastAsia="Times New Roman"/>
          <w:spacing w:val="-4"/>
          <w:lang w:val="sq-AL"/>
        </w:rPr>
        <w:tab/>
        <w:t>anëtar i</w:t>
      </w:r>
      <w:r w:rsidRPr="00D0531D">
        <w:rPr>
          <w:rFonts w:eastAsia="Times New Roman"/>
          <w:spacing w:val="-4"/>
          <w:lang w:val="sq-AL"/>
        </w:rPr>
        <w:tab/>
      </w:r>
      <w:r w:rsidRPr="00D0531D">
        <w:rPr>
          <w:rFonts w:eastAsia="Times New Roman"/>
          <w:spacing w:val="-4"/>
          <w:lang w:val="sq-AL"/>
        </w:rPr>
        <w:tab/>
      </w:r>
      <w:r w:rsidRPr="00D0531D">
        <w:rPr>
          <w:rFonts w:eastAsia="Times New Roman"/>
          <w:spacing w:val="-4"/>
          <w:lang w:val="sq-AL"/>
        </w:rPr>
        <w:tab/>
        <w:t>“</w:t>
      </w:r>
      <w:r w:rsidRPr="00D0531D">
        <w:rPr>
          <w:rFonts w:eastAsia="Times New Roman"/>
          <w:spacing w:val="-4"/>
          <w:lang w:val="sq-AL"/>
        </w:rPr>
        <w:tab/>
      </w:r>
      <w:r w:rsidRPr="00D0531D">
        <w:rPr>
          <w:rFonts w:eastAsia="Times New Roman"/>
          <w:spacing w:val="-4"/>
          <w:lang w:val="sq-AL"/>
        </w:rPr>
        <w:tab/>
        <w:t>“</w:t>
      </w:r>
    </w:p>
    <w:p w:rsidR="00AA3A79" w:rsidRPr="00D0531D" w:rsidRDefault="00AA3A79" w:rsidP="00AA3A79">
      <w:pPr>
        <w:pStyle w:val="Paragrafi"/>
        <w:ind w:firstLine="0"/>
        <w:rPr>
          <w:rFonts w:eastAsia="Times New Roman"/>
          <w:spacing w:val="-4"/>
          <w:lang w:val="sq-AL"/>
        </w:rPr>
      </w:pPr>
      <w:r w:rsidRPr="00D0531D">
        <w:rPr>
          <w:rFonts w:eastAsia="Times New Roman"/>
          <w:spacing w:val="-4"/>
          <w:lang w:val="sq-AL"/>
        </w:rPr>
        <w:t>Besnik Imeraj</w:t>
      </w:r>
      <w:r w:rsidRPr="00D0531D">
        <w:rPr>
          <w:rFonts w:eastAsia="Times New Roman"/>
          <w:spacing w:val="-4"/>
          <w:lang w:val="sq-AL"/>
        </w:rPr>
        <w:tab/>
      </w:r>
      <w:r w:rsidRPr="00D0531D">
        <w:rPr>
          <w:rFonts w:eastAsia="Times New Roman"/>
          <w:spacing w:val="-4"/>
          <w:lang w:val="sq-AL"/>
        </w:rPr>
        <w:tab/>
      </w:r>
      <w:r w:rsidRPr="00D0531D">
        <w:rPr>
          <w:rFonts w:eastAsia="Times New Roman"/>
          <w:spacing w:val="-4"/>
          <w:lang w:val="sq-AL"/>
        </w:rPr>
        <w:tab/>
        <w:t xml:space="preserve">anëtar i </w:t>
      </w:r>
      <w:r w:rsidRPr="00D0531D">
        <w:rPr>
          <w:rFonts w:eastAsia="Times New Roman"/>
          <w:spacing w:val="-4"/>
          <w:lang w:val="sq-AL"/>
        </w:rPr>
        <w:tab/>
      </w:r>
      <w:r w:rsidRPr="00D0531D">
        <w:rPr>
          <w:rFonts w:eastAsia="Times New Roman"/>
          <w:spacing w:val="-4"/>
          <w:lang w:val="sq-AL"/>
        </w:rPr>
        <w:tab/>
      </w:r>
      <w:r w:rsidRPr="00D0531D">
        <w:rPr>
          <w:rFonts w:eastAsia="Times New Roman"/>
          <w:spacing w:val="-4"/>
          <w:lang w:val="sq-AL"/>
        </w:rPr>
        <w:tab/>
        <w:t>“</w:t>
      </w:r>
      <w:r w:rsidRPr="00D0531D">
        <w:rPr>
          <w:rFonts w:eastAsia="Times New Roman"/>
          <w:spacing w:val="-4"/>
          <w:lang w:val="sq-AL"/>
        </w:rPr>
        <w:tab/>
      </w:r>
      <w:r w:rsidRPr="00D0531D">
        <w:rPr>
          <w:rFonts w:eastAsia="Times New Roman"/>
          <w:spacing w:val="-4"/>
          <w:lang w:val="sq-AL"/>
        </w:rPr>
        <w:tab/>
        <w:t>“</w:t>
      </w:r>
    </w:p>
    <w:p w:rsidR="00AA3A79" w:rsidRPr="00D0531D" w:rsidRDefault="00514BCA" w:rsidP="00AA3A79">
      <w:pPr>
        <w:pStyle w:val="Paragrafi"/>
        <w:ind w:firstLine="0"/>
        <w:rPr>
          <w:rFonts w:eastAsia="Times New Roman"/>
          <w:spacing w:val="-4"/>
          <w:lang w:val="sq-AL"/>
        </w:rPr>
      </w:pPr>
      <w:r>
        <w:rPr>
          <w:rFonts w:eastAsia="Times New Roman"/>
          <w:spacing w:val="-4"/>
          <w:lang w:val="sq-AL"/>
        </w:rPr>
        <w:t>Fatos Lulo</w:t>
      </w:r>
      <w:r>
        <w:rPr>
          <w:rFonts w:eastAsia="Times New Roman"/>
          <w:spacing w:val="-4"/>
          <w:lang w:val="sq-AL"/>
        </w:rPr>
        <w:tab/>
      </w:r>
      <w:r>
        <w:rPr>
          <w:rFonts w:eastAsia="Times New Roman"/>
          <w:spacing w:val="-4"/>
          <w:lang w:val="sq-AL"/>
        </w:rPr>
        <w:tab/>
      </w:r>
      <w:r>
        <w:rPr>
          <w:rFonts w:eastAsia="Times New Roman"/>
          <w:spacing w:val="-4"/>
          <w:lang w:val="sq-AL"/>
        </w:rPr>
        <w:tab/>
      </w:r>
      <w:r w:rsidR="00AA3A79" w:rsidRPr="00D0531D">
        <w:rPr>
          <w:rFonts w:eastAsia="Times New Roman"/>
          <w:spacing w:val="-4"/>
          <w:lang w:val="sq-AL"/>
        </w:rPr>
        <w:t xml:space="preserve">anëtar i </w:t>
      </w:r>
      <w:r w:rsidR="00AA3A79" w:rsidRPr="00D0531D">
        <w:rPr>
          <w:rFonts w:eastAsia="Times New Roman"/>
          <w:spacing w:val="-4"/>
          <w:lang w:val="sq-AL"/>
        </w:rPr>
        <w:tab/>
      </w:r>
      <w:r w:rsidR="00AA3A79" w:rsidRPr="00D0531D">
        <w:rPr>
          <w:rFonts w:eastAsia="Times New Roman"/>
          <w:spacing w:val="-4"/>
          <w:lang w:val="sq-AL"/>
        </w:rPr>
        <w:tab/>
      </w:r>
      <w:r w:rsidR="00AA3A79" w:rsidRPr="00D0531D">
        <w:rPr>
          <w:rFonts w:eastAsia="Times New Roman"/>
          <w:spacing w:val="-4"/>
          <w:lang w:val="sq-AL"/>
        </w:rPr>
        <w:tab/>
        <w:t>“</w:t>
      </w:r>
      <w:r w:rsidR="00AA3A79" w:rsidRPr="00D0531D">
        <w:rPr>
          <w:rFonts w:eastAsia="Times New Roman"/>
          <w:spacing w:val="-4"/>
          <w:lang w:val="sq-AL"/>
        </w:rPr>
        <w:tab/>
      </w:r>
      <w:r w:rsidR="00AA3A79" w:rsidRPr="00D0531D">
        <w:rPr>
          <w:rFonts w:eastAsia="Times New Roman"/>
          <w:spacing w:val="-4"/>
          <w:lang w:val="sq-AL"/>
        </w:rPr>
        <w:tab/>
        <w:t>“</w:t>
      </w:r>
    </w:p>
    <w:p w:rsidR="00AA3A79" w:rsidRPr="00D0531D" w:rsidRDefault="00AA3A79" w:rsidP="00AA3A79">
      <w:pPr>
        <w:pStyle w:val="Paragrafi"/>
        <w:ind w:firstLine="0"/>
        <w:rPr>
          <w:rFonts w:eastAsia="Times New Roman"/>
          <w:spacing w:val="-4"/>
          <w:lang w:val="sq-AL"/>
        </w:rPr>
      </w:pPr>
      <w:r w:rsidRPr="00D0531D">
        <w:rPr>
          <w:rFonts w:eastAsia="Times New Roman"/>
          <w:spacing w:val="-4"/>
          <w:lang w:val="sq-AL"/>
        </w:rPr>
        <w:t>Gani Dizdari</w:t>
      </w:r>
      <w:r w:rsidRPr="00D0531D">
        <w:rPr>
          <w:rFonts w:eastAsia="Times New Roman"/>
          <w:spacing w:val="-4"/>
          <w:lang w:val="sq-AL"/>
        </w:rPr>
        <w:tab/>
      </w:r>
      <w:r w:rsidRPr="00D0531D">
        <w:rPr>
          <w:rFonts w:eastAsia="Times New Roman"/>
          <w:spacing w:val="-4"/>
          <w:lang w:val="sq-AL"/>
        </w:rPr>
        <w:tab/>
      </w:r>
      <w:r w:rsidRPr="00D0531D">
        <w:rPr>
          <w:rFonts w:eastAsia="Times New Roman"/>
          <w:spacing w:val="-4"/>
          <w:lang w:val="sq-AL"/>
        </w:rPr>
        <w:tab/>
        <w:t>anëtar i</w:t>
      </w:r>
      <w:r w:rsidRPr="00D0531D">
        <w:rPr>
          <w:rFonts w:eastAsia="Times New Roman"/>
          <w:spacing w:val="-4"/>
          <w:lang w:val="sq-AL"/>
        </w:rPr>
        <w:tab/>
      </w:r>
      <w:r w:rsidRPr="00D0531D">
        <w:rPr>
          <w:rFonts w:eastAsia="Times New Roman"/>
          <w:spacing w:val="-4"/>
          <w:lang w:val="sq-AL"/>
        </w:rPr>
        <w:tab/>
      </w:r>
      <w:r w:rsidRPr="00D0531D">
        <w:rPr>
          <w:rFonts w:eastAsia="Times New Roman"/>
          <w:spacing w:val="-4"/>
          <w:lang w:val="sq-AL"/>
        </w:rPr>
        <w:tab/>
        <w:t>“</w:t>
      </w:r>
      <w:r w:rsidRPr="00D0531D">
        <w:rPr>
          <w:rFonts w:eastAsia="Times New Roman"/>
          <w:spacing w:val="-4"/>
          <w:lang w:val="sq-AL"/>
        </w:rPr>
        <w:tab/>
      </w:r>
      <w:r w:rsidRPr="00D0531D">
        <w:rPr>
          <w:rFonts w:eastAsia="Times New Roman"/>
          <w:spacing w:val="-4"/>
          <w:lang w:val="sq-AL"/>
        </w:rPr>
        <w:tab/>
        <w:t>“</w:t>
      </w:r>
    </w:p>
    <w:p w:rsidR="00AA3A79" w:rsidRPr="00D0531D" w:rsidRDefault="00AA3A79" w:rsidP="00AA3A79">
      <w:pPr>
        <w:pStyle w:val="Paragrafi"/>
        <w:rPr>
          <w:rFonts w:eastAsia="Times New Roman"/>
          <w:spacing w:val="-4"/>
          <w:lang w:val="sq-AL"/>
        </w:rPr>
      </w:pPr>
      <w:r w:rsidRPr="00D0531D">
        <w:rPr>
          <w:rFonts w:eastAsia="Times New Roman"/>
          <w:spacing w:val="-4"/>
          <w:lang w:val="sq-AL"/>
        </w:rPr>
        <w:t>me sekretare Belma Lleshi, në datën 24.10.2017 mori në shqyrtim në seancë plenare, mbi bazë dokumentesh, çështjen me nr. 54 Akti që i përket:</w:t>
      </w:r>
    </w:p>
    <w:p w:rsidR="00AA3A79" w:rsidRPr="00D0531D" w:rsidRDefault="00AA3A79" w:rsidP="00AA3A79">
      <w:pPr>
        <w:pStyle w:val="Paragrafi"/>
        <w:rPr>
          <w:rFonts w:eastAsia="Times New Roman"/>
          <w:spacing w:val="-4"/>
          <w:lang w:val="sq-AL"/>
        </w:rPr>
      </w:pPr>
      <w:r w:rsidRPr="00D0531D">
        <w:rPr>
          <w:rFonts w:eastAsia="Times New Roman"/>
          <w:spacing w:val="-4"/>
          <w:lang w:val="sq-AL"/>
        </w:rPr>
        <w:t xml:space="preserve">KËRKUES: Ndriçim Balla </w:t>
      </w:r>
    </w:p>
    <w:p w:rsidR="00AA3A79" w:rsidRPr="00D0531D" w:rsidRDefault="00AA3A79" w:rsidP="00AA3A79">
      <w:pPr>
        <w:pStyle w:val="Paragrafi"/>
        <w:rPr>
          <w:rFonts w:eastAsia="Times New Roman"/>
          <w:spacing w:val="-4"/>
          <w:lang w:val="sq-AL"/>
        </w:rPr>
      </w:pPr>
      <w:r w:rsidRPr="00D0531D">
        <w:rPr>
          <w:rFonts w:eastAsia="Times New Roman"/>
          <w:spacing w:val="-4"/>
          <w:lang w:val="sq-AL"/>
        </w:rPr>
        <w:t>SUBJEKT I INTERESUAR: Prokuroria e Përgjithshme</w:t>
      </w:r>
    </w:p>
    <w:p w:rsidR="00AA3A79" w:rsidRPr="00D0531D" w:rsidRDefault="00AA3A79" w:rsidP="00AA3A79">
      <w:pPr>
        <w:pStyle w:val="Paragrafi"/>
        <w:rPr>
          <w:bCs/>
          <w:spacing w:val="-4"/>
          <w:lang w:val="sq-AL" w:eastAsia="fr-FR"/>
        </w:rPr>
      </w:pPr>
      <w:r w:rsidRPr="00D0531D">
        <w:rPr>
          <w:rFonts w:eastAsia="Times New Roman"/>
          <w:spacing w:val="-4"/>
          <w:lang w:val="sq-AL"/>
        </w:rPr>
        <w:t xml:space="preserve">OBJEKTI: </w:t>
      </w:r>
      <w:r w:rsidRPr="00D0531D">
        <w:rPr>
          <w:rFonts w:eastAsia="Times New Roman"/>
          <w:spacing w:val="-4"/>
          <w:lang w:val="sq-AL"/>
        </w:rPr>
        <w:tab/>
      </w:r>
      <w:r w:rsidRPr="00D0531D">
        <w:rPr>
          <w:spacing w:val="-4"/>
          <w:lang w:val="sq-AL"/>
        </w:rPr>
        <w:t xml:space="preserve">Shfuqizimi si të papajtueshme me Kushtetutën i vendimeve nr. 2050, datë 17.9.2014 të Gjykatës së Rrethit Gjyqësor Tiranë; nr. 2037, datë 23.11.2015 të Gjykatës së Apelit Tiranë; nr. 00-2017-234, datë 30.3.2017 të Kolegjit Penal të Gjykatës së Lartë. </w:t>
      </w:r>
    </w:p>
    <w:p w:rsidR="00AA3A79" w:rsidRPr="00D0531D" w:rsidRDefault="00AA3A79" w:rsidP="00AA3A79">
      <w:pPr>
        <w:pStyle w:val="Paragrafi"/>
        <w:rPr>
          <w:rFonts w:eastAsia="Times New Roman"/>
          <w:spacing w:val="-4"/>
          <w:lang w:val="sq-AL"/>
        </w:rPr>
      </w:pPr>
      <w:r w:rsidRPr="00D0531D">
        <w:rPr>
          <w:rFonts w:eastAsia="Times New Roman"/>
          <w:spacing w:val="-4"/>
          <w:lang w:val="sq-AL"/>
        </w:rPr>
        <w:t>BAZA LIGJORE:</w:t>
      </w:r>
      <w:r w:rsidRPr="00D0531D">
        <w:rPr>
          <w:rFonts w:eastAsia="Times New Roman"/>
          <w:spacing w:val="-4"/>
          <w:lang w:val="sq-AL"/>
        </w:rPr>
        <w:tab/>
        <w:t>Nenet 42, 131/1/f dhe 134/1/i të Kushtetutës së Republikës të Shqipërisë; neni 6 i Konventës Evropiane për të Drejtat e Njeriut (KEDNJ); ligji nr. 8577, datë 10.2.2000, “Për organizimin dhe funksionimin e Gjykatës Kushtetuese të Republikës së Shqipërisë”, i ndryshuar.</w:t>
      </w:r>
    </w:p>
    <w:p w:rsidR="00AA3A79" w:rsidRPr="00D63D36" w:rsidRDefault="00AA3A79" w:rsidP="00AA3A79">
      <w:pPr>
        <w:pStyle w:val="Hapesira7"/>
        <w:rPr>
          <w:lang w:val="sq-AL"/>
        </w:rPr>
      </w:pPr>
    </w:p>
    <w:p w:rsidR="00AA3A79" w:rsidRPr="00D63D36" w:rsidRDefault="00AA3A79" w:rsidP="00AA3A79">
      <w:pPr>
        <w:pStyle w:val="NeniNr"/>
        <w:rPr>
          <w:lang w:val="sq-AL"/>
        </w:rPr>
      </w:pPr>
      <w:r w:rsidRPr="00D63D36">
        <w:rPr>
          <w:lang w:val="sq-AL"/>
        </w:rPr>
        <w:t>GJYKATA KUSHTETUESE,</w:t>
      </w:r>
    </w:p>
    <w:p w:rsidR="00AA3A79" w:rsidRPr="00D63D36" w:rsidRDefault="00AA3A79" w:rsidP="00AA3A79">
      <w:pPr>
        <w:pStyle w:val="Hapesira7"/>
        <w:rPr>
          <w:lang w:val="sq-AL"/>
        </w:rPr>
      </w:pPr>
    </w:p>
    <w:p w:rsidR="00AA3A79" w:rsidRPr="00D0531D" w:rsidRDefault="00AA3A79" w:rsidP="00AA3A79">
      <w:pPr>
        <w:pStyle w:val="Paragrafi"/>
        <w:rPr>
          <w:rFonts w:eastAsia="Times New Roman"/>
          <w:bCs/>
          <w:lang w:val="sq-AL"/>
        </w:rPr>
      </w:pPr>
      <w:r w:rsidRPr="00D63D36">
        <w:rPr>
          <w:rFonts w:eastAsia="Times New Roman"/>
          <w:bCs/>
          <w:lang w:val="sq-AL"/>
        </w:rPr>
        <w:t>pasi dëgjoi relatorin e çështjes Gani Dizdari, mori në shqyrtim pretendimet me shkrim të kërkuesit, që kërkoi pranimin e kërkesës, prapësimet me shkrim të subjektit të interesuar, Prokurorisë së Përgjithshme, që kërkoi pranimin pjesërisht të kërkesës, si dhe diskutoi çështjen në tërësi,</w:t>
      </w:r>
    </w:p>
    <w:p w:rsidR="00AA3A79" w:rsidRPr="00D63D36" w:rsidRDefault="00AA3A79" w:rsidP="00AA3A79">
      <w:pPr>
        <w:pStyle w:val="NeniNr"/>
        <w:rPr>
          <w:lang w:val="sq-AL"/>
        </w:rPr>
      </w:pPr>
      <w:r w:rsidRPr="00D63D36">
        <w:rPr>
          <w:lang w:val="sq-AL"/>
        </w:rPr>
        <w:t>VËREN:</w:t>
      </w:r>
    </w:p>
    <w:p w:rsidR="00AA3A79" w:rsidRPr="00D63D36" w:rsidRDefault="00AA3A79" w:rsidP="00AA3A79">
      <w:pPr>
        <w:pStyle w:val="NeniNr"/>
        <w:rPr>
          <w:b/>
          <w:lang w:val="sq-AL"/>
        </w:rPr>
      </w:pPr>
      <w:r w:rsidRPr="00D63D36">
        <w:rPr>
          <w:b/>
          <w:lang w:val="sq-AL"/>
        </w:rPr>
        <w:t>I</w:t>
      </w:r>
    </w:p>
    <w:p w:rsidR="00AA3A79" w:rsidRPr="00D63D36" w:rsidRDefault="00AA3A79" w:rsidP="00AA3A79">
      <w:pPr>
        <w:pStyle w:val="Hapesira7"/>
        <w:rPr>
          <w:lang w:val="sq-AL"/>
        </w:rPr>
      </w:pPr>
    </w:p>
    <w:p w:rsidR="00AA3A79" w:rsidRPr="00D63D36" w:rsidRDefault="00AA3A79" w:rsidP="00AA3A79">
      <w:pPr>
        <w:pStyle w:val="Paragrafi"/>
        <w:rPr>
          <w:i/>
          <w:lang w:val="sq-AL"/>
        </w:rPr>
      </w:pPr>
      <w:r w:rsidRPr="00D63D36">
        <w:rPr>
          <w:lang w:val="sq-AL"/>
        </w:rPr>
        <w:t xml:space="preserve">1. Gjykata e Rrethit Gjyqësor Tiranë, me vendimin </w:t>
      </w:r>
      <w:r>
        <w:rPr>
          <w:lang w:val="sq-AL"/>
        </w:rPr>
        <w:t xml:space="preserve">nr. </w:t>
      </w:r>
      <w:r w:rsidRPr="00D63D36">
        <w:rPr>
          <w:lang w:val="sq-AL"/>
        </w:rPr>
        <w:t>2050, datë 17.9.2014, ka vendosur: “</w:t>
      </w:r>
      <w:r w:rsidRPr="00D63D36">
        <w:rPr>
          <w:i/>
          <w:lang w:val="sq-AL"/>
        </w:rPr>
        <w:t>Deklarimin fajtor të të pandehurit Ndriçim Balla për veprën penale të vrasjes në rrethana të tjera cilësuese, prodhim dhe mbajtje pa leje të armëve luftarake dhe dënimin e tij me 35 vjet burgim.”.</w:t>
      </w:r>
    </w:p>
    <w:p w:rsidR="00AA3A79" w:rsidRPr="00D63D36" w:rsidRDefault="00AA3A79" w:rsidP="00AA3A79">
      <w:pPr>
        <w:pStyle w:val="Paragrafi"/>
        <w:rPr>
          <w:i/>
          <w:lang w:val="sq-AL"/>
        </w:rPr>
      </w:pPr>
      <w:r w:rsidRPr="00D63D36">
        <w:rPr>
          <w:lang w:val="sq-AL"/>
        </w:rPr>
        <w:t xml:space="preserve">2. Gjykata e Apelit Tiranë, me vendimin </w:t>
      </w:r>
      <w:r>
        <w:rPr>
          <w:b/>
          <w:lang w:val="sq-AL"/>
        </w:rPr>
        <w:t xml:space="preserve">nr. </w:t>
      </w:r>
      <w:r w:rsidRPr="00D63D36">
        <w:rPr>
          <w:b/>
          <w:lang w:val="sq-AL"/>
        </w:rPr>
        <w:t>2037, datë 23.11.2015 të Gjykatës së Apelit Tiranë</w:t>
      </w:r>
      <w:r w:rsidRPr="00D63D36">
        <w:rPr>
          <w:lang w:val="sq-AL"/>
        </w:rPr>
        <w:t xml:space="preserve">, vendosi: </w:t>
      </w:r>
      <w:r w:rsidRPr="00D63D36">
        <w:rPr>
          <w:i/>
          <w:lang w:val="sq-AL"/>
        </w:rPr>
        <w:t xml:space="preserve">“Lënien në fuqi të vendimit </w:t>
      </w:r>
      <w:r>
        <w:rPr>
          <w:i/>
          <w:lang w:val="sq-AL"/>
        </w:rPr>
        <w:t xml:space="preserve">nr. </w:t>
      </w:r>
      <w:r w:rsidRPr="00D63D36">
        <w:rPr>
          <w:i/>
          <w:lang w:val="sq-AL"/>
        </w:rPr>
        <w:t xml:space="preserve">2050, datë 17.9.2014 të Gjykatës së Rrethit Gjyqësor Tiranë.”. </w:t>
      </w:r>
    </w:p>
    <w:p w:rsidR="00AA3A79" w:rsidRPr="00D63D36" w:rsidRDefault="00AA3A79" w:rsidP="00AA3A79">
      <w:pPr>
        <w:pStyle w:val="Paragrafi"/>
        <w:rPr>
          <w:i/>
          <w:lang w:val="sq-AL"/>
        </w:rPr>
      </w:pPr>
      <w:r w:rsidRPr="00D63D36">
        <w:rPr>
          <w:rFonts w:eastAsia="Times New Roman"/>
          <w:lang w:val="sq-AL"/>
        </w:rPr>
        <w:t xml:space="preserve">3. Kolegji Penal i Gjykatës së Lartë, me vendimin </w:t>
      </w:r>
      <w:r>
        <w:rPr>
          <w:lang w:val="sq-AL"/>
        </w:rPr>
        <w:t>nr. 00-2017-234, datë 30.</w:t>
      </w:r>
      <w:r w:rsidRPr="00D63D36">
        <w:rPr>
          <w:lang w:val="sq-AL"/>
        </w:rPr>
        <w:t>3.2017, ka vendosur: “</w:t>
      </w:r>
      <w:r w:rsidRPr="00D63D36">
        <w:rPr>
          <w:i/>
          <w:lang w:val="sq-AL"/>
        </w:rPr>
        <w:t>Mospranimin e rekursit.”.</w:t>
      </w:r>
    </w:p>
    <w:p w:rsidR="00AA3A79" w:rsidRPr="00D63D36" w:rsidRDefault="00AA3A79" w:rsidP="00AA3A79">
      <w:pPr>
        <w:pStyle w:val="Hapesira7"/>
        <w:rPr>
          <w:lang w:val="sq-AL"/>
        </w:rPr>
      </w:pPr>
    </w:p>
    <w:p w:rsidR="00AA3A79" w:rsidRPr="00D63D36" w:rsidRDefault="00AA3A79" w:rsidP="00AA3A79">
      <w:pPr>
        <w:pStyle w:val="NeniNr"/>
        <w:rPr>
          <w:b/>
          <w:lang w:val="sq-AL"/>
        </w:rPr>
      </w:pPr>
      <w:r w:rsidRPr="00D63D36">
        <w:rPr>
          <w:b/>
          <w:lang w:val="sq-AL"/>
        </w:rPr>
        <w:t>II</w:t>
      </w:r>
    </w:p>
    <w:p w:rsidR="00AA3A79" w:rsidRPr="00D63D36" w:rsidRDefault="00AA3A79" w:rsidP="00AA3A79">
      <w:pPr>
        <w:pStyle w:val="Hapesira7"/>
        <w:rPr>
          <w:lang w:val="sq-AL" w:eastAsia="fr-FR"/>
        </w:rPr>
      </w:pPr>
    </w:p>
    <w:p w:rsidR="00AA3A79" w:rsidRPr="00D63D36" w:rsidRDefault="00AA3A79" w:rsidP="00AA3A79">
      <w:pPr>
        <w:pStyle w:val="Paragrafi"/>
        <w:rPr>
          <w:rFonts w:eastAsia="Times New Roman"/>
          <w:bCs/>
          <w:lang w:val="sq-AL"/>
        </w:rPr>
      </w:pPr>
      <w:r w:rsidRPr="00D63D36">
        <w:rPr>
          <w:lang w:val="sq-AL" w:eastAsia="fr-FR"/>
        </w:rPr>
        <w:t xml:space="preserve">4. Kërkuesi i është drejtuar Gjykatës Kushtetuese për </w:t>
      </w:r>
      <w:r w:rsidRPr="00D63D36">
        <w:rPr>
          <w:rFonts w:eastAsia="Times New Roman"/>
          <w:lang w:val="sq-AL"/>
        </w:rPr>
        <w:t>shfuqizimin e</w:t>
      </w:r>
      <w:r w:rsidRPr="00D63D36">
        <w:rPr>
          <w:rFonts w:eastAsia="Times New Roman"/>
          <w:bCs/>
          <w:lang w:val="sq-AL"/>
        </w:rPr>
        <w:t xml:space="preserve"> vendimeve objekt kërkese me këto pretendime:</w:t>
      </w:r>
    </w:p>
    <w:p w:rsidR="00AA3A79" w:rsidRPr="00D63D36" w:rsidRDefault="00AA3A79" w:rsidP="00AA3A79">
      <w:pPr>
        <w:pStyle w:val="Paragrafi"/>
        <w:rPr>
          <w:rFonts w:eastAsia="Times New Roman"/>
          <w:bCs/>
          <w:lang w:val="sq-AL"/>
        </w:rPr>
      </w:pPr>
      <w:r w:rsidRPr="00D63D36">
        <w:rPr>
          <w:rFonts w:eastAsia="Times New Roman"/>
          <w:bCs/>
          <w:lang w:val="sq-AL"/>
        </w:rPr>
        <w:t xml:space="preserve">4.1 Vendimet e të tria gjykatave nuk kanë respektuar standardin e arsyetimit të vendimit gjyqësor, pasi nuk kanë dhënë përgjigje të argumentuar për asnjë nga pretendimet e paraqitura në gjykim nga kërkuesi. Kjo gjë ka cenuar jo vetëm standardin e arsyetimit të vendimeve, por edhe të drejtën për t’u dëgjuar dhe të aksesit gjatë gjykimit. </w:t>
      </w:r>
    </w:p>
    <w:p w:rsidR="00AA3A79" w:rsidRPr="00D63D36" w:rsidRDefault="00AA3A79" w:rsidP="00AA3A79">
      <w:pPr>
        <w:pStyle w:val="Paragrafi"/>
        <w:rPr>
          <w:rFonts w:eastAsia="Times New Roman"/>
          <w:bCs/>
          <w:lang w:val="sq-AL"/>
        </w:rPr>
      </w:pPr>
      <w:r w:rsidRPr="00D63D36">
        <w:rPr>
          <w:rFonts w:eastAsia="Times New Roman"/>
          <w:bCs/>
          <w:lang w:val="sq-AL"/>
        </w:rPr>
        <w:t xml:space="preserve">4.2 Gjykatat kanë cenuar parimin e kontradiktoritetit në gjykim, pasi nuk kanë pranuar kërkesat e të gjykuarit për të deklaruar si të pavlefshme disa nga provat e administruara. Gjykatat nuk kanë </w:t>
      </w:r>
      <w:r w:rsidRPr="00D63D36">
        <w:rPr>
          <w:rFonts w:eastAsia="Times New Roman"/>
          <w:bCs/>
          <w:lang w:val="sq-AL"/>
        </w:rPr>
        <w:lastRenderedPageBreak/>
        <w:t xml:space="preserve">marrë në konsideratë disa prova dhe dëshmi të paraqitura nga i gjykuari, duke i dhënë vlerë provuese vetëm fakteve dhe provave të paraqitura nga akuza. Si rrjedhojë, i gjykuari është dënuar mbi bazën e provave të marra në kundërshtim me ligjin procedural. Shkeljet e gjykatës së shkallë së parë kanë vijuar duke zhvilluar gjykimin në mungesë të kërkuesit, kur ky i fundit në një seancë ka kërkuar shtyrjen e saj për arsye shëndetësore. </w:t>
      </w:r>
    </w:p>
    <w:p w:rsidR="00AA3A79" w:rsidRPr="00D63D36" w:rsidRDefault="00AA3A79" w:rsidP="00AA3A79">
      <w:pPr>
        <w:pStyle w:val="Paragrafi"/>
        <w:rPr>
          <w:rFonts w:eastAsia="Times New Roman"/>
          <w:bCs/>
          <w:lang w:val="sq-AL"/>
        </w:rPr>
      </w:pPr>
      <w:r w:rsidRPr="00D63D36">
        <w:rPr>
          <w:rFonts w:eastAsia="Times New Roman"/>
          <w:bCs/>
          <w:lang w:val="sq-AL"/>
        </w:rPr>
        <w:t xml:space="preserve">4.3 Është cenuar parimi i prezumimit të pafajësisë, pasi gjatë gjykimit barra e provës ka kaluar padrejtësisht tek i gjykuari dhe jo te pala akuzuese, sipas rregullave procedurale, por edhe garancive kushtetuese për këtë qëllim. </w:t>
      </w:r>
    </w:p>
    <w:p w:rsidR="00AA3A79" w:rsidRPr="00D63D36" w:rsidRDefault="00AA3A79" w:rsidP="00AA3A79">
      <w:pPr>
        <w:pStyle w:val="Paragrafi"/>
        <w:rPr>
          <w:rFonts w:eastAsia="Times New Roman"/>
          <w:bCs/>
          <w:lang w:val="sq-AL"/>
        </w:rPr>
      </w:pPr>
      <w:r w:rsidRPr="00D63D36">
        <w:rPr>
          <w:rFonts w:eastAsia="Times New Roman"/>
          <w:bCs/>
          <w:lang w:val="sq-AL"/>
        </w:rPr>
        <w:t>4.4 Kolegji Penal i Gjykatës së Lartë ka cenuar parimin e mosdënimit pa ligj, duke qenë se dispozita e Kodit Penal që parashikonte dënimin për armëmbajtje pa leje ishte shfuqizuar nga Gjykata Kushtetuese dhe ishte miratuar një dispozitë e re, e cila parashikonte një dënim më të ulët se ai që kishin dhënë gjykatat. Në këto kushte, Kolegji Penal duhej të kishte zbatuar ligjin penal favorizues.</w:t>
      </w:r>
    </w:p>
    <w:p w:rsidR="00AA3A79" w:rsidRDefault="00AA3A79" w:rsidP="00AA3A79">
      <w:pPr>
        <w:pStyle w:val="Paragrafi"/>
        <w:rPr>
          <w:rFonts w:eastAsia="Times New Roman"/>
          <w:bCs/>
          <w:lang w:val="sq-AL"/>
        </w:rPr>
      </w:pPr>
    </w:p>
    <w:p w:rsidR="00AA3A79" w:rsidRPr="00D63D36" w:rsidRDefault="00AA3A79" w:rsidP="00AA3A79">
      <w:pPr>
        <w:pStyle w:val="Paragrafi"/>
        <w:rPr>
          <w:rFonts w:eastAsia="Times New Roman"/>
          <w:bCs/>
          <w:lang w:val="sq-AL"/>
        </w:rPr>
      </w:pPr>
      <w:r w:rsidRPr="00D63D36">
        <w:rPr>
          <w:rFonts w:eastAsia="Times New Roman"/>
          <w:bCs/>
          <w:lang w:val="sq-AL"/>
        </w:rPr>
        <w:t>4.5 Kolegji Penal ka cenuar gjithashtu edhe të drejtën për t’u dëgjuar para gjykatës, si dhe standardin e arsyetimit të vendimit gjyqësor, pasi nuk i ka marrë në shqyrtim pretendimet e ngritura nga kërkuesi në rekurs. Shkaqet ku mbështetej rekursi ishin të tilla që duhet të kishin marrë përgjigje në seancë gjyqësore dhe jo në dhomë këshillimi.</w:t>
      </w:r>
    </w:p>
    <w:p w:rsidR="00AA3A79" w:rsidRPr="00D63D36" w:rsidRDefault="00AA3A79" w:rsidP="00AA3A79">
      <w:pPr>
        <w:pStyle w:val="Paragrafi"/>
        <w:rPr>
          <w:rFonts w:eastAsia="Times New Roman"/>
          <w:bCs/>
          <w:lang w:val="sq-AL"/>
        </w:rPr>
      </w:pPr>
      <w:r w:rsidRPr="00D63D36">
        <w:rPr>
          <w:rFonts w:eastAsia="Times New Roman"/>
          <w:bCs/>
          <w:lang w:val="sq-AL"/>
        </w:rPr>
        <w:t>5</w:t>
      </w:r>
      <w:r w:rsidRPr="00D63D36">
        <w:rPr>
          <w:rFonts w:eastAsia="Times New Roman"/>
          <w:bCs/>
          <w:i/>
          <w:lang w:val="sq-AL"/>
        </w:rPr>
        <w:t xml:space="preserve">. </w:t>
      </w:r>
      <w:r w:rsidRPr="00D63D36">
        <w:rPr>
          <w:rFonts w:eastAsia="Times New Roman"/>
          <w:b/>
          <w:bCs/>
          <w:i/>
          <w:lang w:val="sq-AL"/>
        </w:rPr>
        <w:t>Subjekti i interesuar, Prokuroria e Përgjithshme</w:t>
      </w:r>
      <w:r w:rsidRPr="00D63D36">
        <w:rPr>
          <w:rFonts w:eastAsia="Times New Roman"/>
          <w:bCs/>
          <w:i/>
          <w:lang w:val="sq-AL"/>
        </w:rPr>
        <w:t>,</w:t>
      </w:r>
      <w:r w:rsidRPr="00D63D36">
        <w:rPr>
          <w:rFonts w:eastAsia="Times New Roman"/>
          <w:bCs/>
          <w:lang w:val="sq-AL"/>
        </w:rPr>
        <w:t xml:space="preserve"> ka parashtruar se:</w:t>
      </w:r>
    </w:p>
    <w:p w:rsidR="00AA3A79" w:rsidRPr="00D63D36" w:rsidRDefault="00AA3A79" w:rsidP="00AA3A79">
      <w:pPr>
        <w:pStyle w:val="Paragrafi"/>
        <w:rPr>
          <w:rFonts w:eastAsia="Times New Roman"/>
          <w:lang w:val="sq-AL"/>
        </w:rPr>
      </w:pPr>
      <w:r w:rsidRPr="00D63D36">
        <w:rPr>
          <w:rFonts w:eastAsia="Times New Roman"/>
          <w:lang w:val="sq-AL"/>
        </w:rPr>
        <w:t>5.1</w:t>
      </w:r>
      <w:r w:rsidRPr="00D63D36">
        <w:rPr>
          <w:rFonts w:eastAsia="Times New Roman"/>
          <w:i/>
          <w:lang w:val="sq-AL"/>
        </w:rPr>
        <w:t xml:space="preserve"> </w:t>
      </w:r>
      <w:r w:rsidRPr="00D63D36">
        <w:rPr>
          <w:rFonts w:eastAsia="Times New Roman"/>
          <w:lang w:val="sq-AL"/>
        </w:rPr>
        <w:t xml:space="preserve">Nuk qëndron pretendimi se është cenuar parimi i barazisë dhe i kontradiktoritetit në gjykim. Kërkuesi ka marrë pjesë në gjykim dhe ka parashtruar kërkime dhe pretendime të cilat kishin të bënin me marrjen e dëshmive të disa personave. Gjykatat, pasi i kanë vlerësuar kërkimet, i kanë rrëzuar si të pabazuara në ligj. Kjo nuk e bën procesin të parregullt, pasi një gjë e tillë është në kompetencë dhe vlerësim të gjykatave. Kërkuesi dhe avokati i tij kanë ushtruar të gjitha të drejtat procedurale që i njeh ligji. </w:t>
      </w:r>
    </w:p>
    <w:p w:rsidR="00AA3A79" w:rsidRPr="00D63D36" w:rsidRDefault="00AA3A79" w:rsidP="00AA3A79">
      <w:pPr>
        <w:pStyle w:val="Paragrafi"/>
        <w:rPr>
          <w:rFonts w:eastAsia="Times New Roman"/>
          <w:lang w:val="sq-AL"/>
        </w:rPr>
      </w:pPr>
      <w:r w:rsidRPr="00D63D36">
        <w:rPr>
          <w:rFonts w:eastAsia="Times New Roman"/>
          <w:lang w:val="sq-AL"/>
        </w:rPr>
        <w:t xml:space="preserve">5.2 Nuk qëndron as pretendimi për cenimin e prezumimit të pafajësisë, pasi kërkuesi nuk ka sjellë asnjë fakt ose provë që gjykimi ndaj tij të ketë filluar me bindjen se ai është fajtor. Asnjë prove të administruar gjatë gjykimit nuk i është dhënë vlerë e paracaktuar, pra është vlerësuar vetëm gjatë gjykimit. </w:t>
      </w:r>
    </w:p>
    <w:p w:rsidR="00AA3A79" w:rsidRPr="00D63D36" w:rsidRDefault="00AA3A79" w:rsidP="00AA3A79">
      <w:pPr>
        <w:pStyle w:val="Paragrafi"/>
        <w:rPr>
          <w:lang w:val="sq-AL"/>
        </w:rPr>
      </w:pPr>
      <w:r w:rsidRPr="00D63D36">
        <w:rPr>
          <w:rFonts w:eastAsia="Times New Roman"/>
          <w:lang w:val="sq-AL"/>
        </w:rPr>
        <w:t xml:space="preserve">5.3 </w:t>
      </w:r>
      <w:r w:rsidRPr="00D63D36">
        <w:rPr>
          <w:lang w:val="sq-AL"/>
        </w:rPr>
        <w:t xml:space="preserve">Nuk është i bazuar as pretendimi se vendimi i Kolegjit Penal të Gjykatës së Lartë është i paarsyetuar. Çështja është shqyrtuar në dhomën e këshillimit si filtër seleksionues dhe ai vendim i plotëson të gjitha standardet e arsyetimit të vendimit në këtë fazë shqyrtimi, referuar edhe jurisprudencës së Gjykatës Kushtetuese për këtë qëllim. </w:t>
      </w:r>
    </w:p>
    <w:p w:rsidR="00AA3A79" w:rsidRPr="00D63D36" w:rsidRDefault="00AA3A79" w:rsidP="00AA3A79">
      <w:pPr>
        <w:pStyle w:val="Paragrafi"/>
        <w:rPr>
          <w:lang w:val="sq-AL"/>
        </w:rPr>
      </w:pPr>
      <w:r w:rsidRPr="00D63D36">
        <w:rPr>
          <w:rFonts w:eastAsia="Times New Roman"/>
          <w:lang w:val="sq-AL"/>
        </w:rPr>
        <w:t>5.</w:t>
      </w:r>
      <w:r w:rsidRPr="00D63D36">
        <w:rPr>
          <w:lang w:val="sq-AL"/>
        </w:rPr>
        <w:t>4 I vetmi pretendim i bazuar është ai i lidhur me cenimin e parimit të mosdënimit pa ligj, pasi Kolegji Penal duhej të kishte marrë parasysh ndryshimet ligjore në Kodin Penal dhe konkretisht të dispozitës e cila favorizonte kërkuesin për akuzën e armëmbajtjes pa leje. Kolegji Penal në këtë mënyrë nuk ka respektuar parimin e fuqisë prapravepruese të ligjit penal favorizues dhe kërkesa vetëm për këtë pikë duhet të pranohet.</w:t>
      </w:r>
    </w:p>
    <w:p w:rsidR="00AA3A79" w:rsidRDefault="00AA3A79" w:rsidP="00AA3A79">
      <w:pPr>
        <w:pStyle w:val="Hapesira7"/>
        <w:rPr>
          <w:lang w:val="sq-AL"/>
        </w:rPr>
      </w:pPr>
    </w:p>
    <w:p w:rsidR="00AA3A79" w:rsidRPr="00D63D36" w:rsidRDefault="00AA3A79" w:rsidP="00AA3A79">
      <w:pPr>
        <w:pStyle w:val="Hapesira7"/>
        <w:rPr>
          <w:lang w:val="sq-AL"/>
        </w:rPr>
      </w:pPr>
    </w:p>
    <w:p w:rsidR="00AA3A79" w:rsidRPr="00D63D36" w:rsidRDefault="00AA3A79" w:rsidP="00AA3A79">
      <w:pPr>
        <w:pStyle w:val="NeniNr"/>
        <w:rPr>
          <w:b/>
          <w:lang w:val="sq-AL"/>
        </w:rPr>
      </w:pPr>
      <w:r w:rsidRPr="00D63D36">
        <w:rPr>
          <w:b/>
          <w:lang w:val="sq-AL"/>
        </w:rPr>
        <w:t>III</w:t>
      </w:r>
    </w:p>
    <w:p w:rsidR="00AA3A79" w:rsidRPr="00D63D36" w:rsidRDefault="00AA3A79" w:rsidP="00AA3A79">
      <w:pPr>
        <w:pStyle w:val="NeniNr"/>
        <w:rPr>
          <w:rFonts w:eastAsia="Times New Roman"/>
          <w:b/>
          <w:lang w:val="sq-AL"/>
        </w:rPr>
      </w:pPr>
      <w:r w:rsidRPr="00D63D36">
        <w:rPr>
          <w:rFonts w:eastAsia="Times New Roman"/>
          <w:b/>
          <w:lang w:val="sq-AL"/>
        </w:rPr>
        <w:t>Vlerësimi i Gjykatës Kushtetuese</w:t>
      </w:r>
    </w:p>
    <w:p w:rsidR="00AA3A79" w:rsidRPr="00D63D36" w:rsidRDefault="00AA3A79" w:rsidP="00AA3A79">
      <w:pPr>
        <w:pStyle w:val="Hapesira7"/>
        <w:rPr>
          <w:lang w:val="sq-AL"/>
        </w:rPr>
      </w:pPr>
    </w:p>
    <w:p w:rsidR="00AA3A79" w:rsidRPr="00D63D36" w:rsidRDefault="00AA3A79" w:rsidP="00AA3A79">
      <w:pPr>
        <w:pStyle w:val="Paragrafi"/>
        <w:rPr>
          <w:lang w:val="sq-AL"/>
        </w:rPr>
      </w:pPr>
      <w:r w:rsidRPr="00D63D36">
        <w:rPr>
          <w:i/>
          <w:lang w:val="sq-AL"/>
        </w:rPr>
        <w:t>A. Për legjitimimin e kërkuesit</w:t>
      </w:r>
      <w:r>
        <w:rPr>
          <w:lang w:val="sq-AL"/>
        </w:rPr>
        <w:t xml:space="preserve"> </w:t>
      </w:r>
    </w:p>
    <w:p w:rsidR="00AA3A79" w:rsidRPr="00D63D36" w:rsidRDefault="00AA3A79" w:rsidP="00AA3A79">
      <w:pPr>
        <w:pStyle w:val="Paragrafi"/>
        <w:rPr>
          <w:rFonts w:eastAsia="Times New Roman"/>
          <w:lang w:val="sq-AL"/>
        </w:rPr>
      </w:pPr>
      <w:r w:rsidRPr="00D63D36">
        <w:rPr>
          <w:lang w:val="sq-AL"/>
        </w:rPr>
        <w:t xml:space="preserve">6. Kërkuesi legjitimohet </w:t>
      </w:r>
      <w:r w:rsidRPr="00D63D36">
        <w:rPr>
          <w:i/>
          <w:lang w:val="sq-AL"/>
        </w:rPr>
        <w:t>ratione personae</w:t>
      </w:r>
      <w:r w:rsidRPr="00D63D36">
        <w:rPr>
          <w:lang w:val="sq-AL"/>
        </w:rPr>
        <w:t xml:space="preserve">, në kuptim të neneve 131/1/f dhe 134/1/i të Kushtetutës dhe </w:t>
      </w:r>
      <w:r w:rsidRPr="00D63D36">
        <w:rPr>
          <w:i/>
          <w:lang w:val="sq-AL"/>
        </w:rPr>
        <w:t>ratione temporis,</w:t>
      </w:r>
      <w:r w:rsidRPr="00D63D36">
        <w:rPr>
          <w:lang w:val="sq-AL"/>
        </w:rPr>
        <w:t xml:space="preserve"> pasi </w:t>
      </w:r>
      <w:r w:rsidRPr="00D63D36">
        <w:rPr>
          <w:rFonts w:eastAsia="Times New Roman"/>
          <w:lang w:val="sq-AL"/>
        </w:rPr>
        <w:t xml:space="preserve">pretendimet e tij janë paraqitur brenda afatit ligjor 4-mujor të parashikuar </w:t>
      </w:r>
      <w:r w:rsidRPr="00D63D36">
        <w:rPr>
          <w:lang w:val="sq-AL"/>
        </w:rPr>
        <w:t xml:space="preserve">nga neni 71/a i ligjit </w:t>
      </w:r>
      <w:r>
        <w:rPr>
          <w:lang w:val="sq-AL"/>
        </w:rPr>
        <w:t xml:space="preserve">nr. </w:t>
      </w:r>
      <w:r w:rsidRPr="00D63D36">
        <w:rPr>
          <w:lang w:val="sq-AL"/>
        </w:rPr>
        <w:t>8577, datë 10.2.2000</w:t>
      </w:r>
      <w:r>
        <w:rPr>
          <w:lang w:val="sq-AL"/>
        </w:rPr>
        <w:t>,</w:t>
      </w:r>
      <w:r w:rsidRPr="00D63D36">
        <w:rPr>
          <w:lang w:val="sq-AL"/>
        </w:rPr>
        <w:t xml:space="preserve"> “Për organizimin dhe funksionimin e Gjykatës Kushtetuese të Republikës së Shqipërisë”, të ndryshuar. </w:t>
      </w:r>
      <w:r w:rsidRPr="00D63D36">
        <w:rPr>
          <w:rFonts w:eastAsia="Times New Roman"/>
          <w:lang w:val="sq-AL"/>
        </w:rPr>
        <w:t xml:space="preserve">Në lidhje me legjitimimin </w:t>
      </w:r>
      <w:r w:rsidRPr="00D63D36">
        <w:rPr>
          <w:i/>
          <w:lang w:val="sq-AL"/>
        </w:rPr>
        <w:t>ratione materiae</w:t>
      </w:r>
      <w:r w:rsidRPr="00D63D36">
        <w:rPr>
          <w:lang w:val="sq-AL"/>
        </w:rPr>
        <w:t xml:space="preserve">, </w:t>
      </w:r>
      <w:r w:rsidRPr="00D63D36">
        <w:rPr>
          <w:rFonts w:eastAsia="Times New Roman"/>
          <w:lang w:val="sq-AL"/>
        </w:rPr>
        <w:t xml:space="preserve">Gjykata ka theksuar se roli i saj nuk është të rivlerësojë faktet, zbatimin e ligjit material apo zgjidhjen </w:t>
      </w:r>
      <w:r w:rsidRPr="00D63D36">
        <w:rPr>
          <w:rFonts w:eastAsia="Times New Roman"/>
          <w:lang w:val="sq-AL"/>
        </w:rPr>
        <w:lastRenderedPageBreak/>
        <w:t xml:space="preserve">e dhënë nga gjykatat e zakonshme. Kontrolli që ajo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Interpretimi i ligjit, duke përcaktuar përmbajtjen e tij, është atribut i organeve që e zbatojnë atë dhe nisur nga ky parim sqarimi i kuptimit apo interpretimi i çdo dispozite ligjore të zbatueshme gjatë shqyrtimit të një çështjeje të caktuar është në kompetencë të gjykatave të sistemit të zakonshëm gjyqësor </w:t>
      </w:r>
      <w:r w:rsidRPr="00D63D36">
        <w:rPr>
          <w:rFonts w:eastAsia="Times New Roman"/>
          <w:i/>
          <w:lang w:val="sq-AL"/>
        </w:rPr>
        <w:t xml:space="preserve">(shih vendimet </w:t>
      </w:r>
      <w:r>
        <w:rPr>
          <w:rFonts w:eastAsia="Times New Roman"/>
          <w:i/>
          <w:lang w:val="sq-AL"/>
        </w:rPr>
        <w:t>nr. 23, datë 17.</w:t>
      </w:r>
      <w:r w:rsidRPr="00D63D36">
        <w:rPr>
          <w:rFonts w:eastAsia="Times New Roman"/>
          <w:i/>
          <w:lang w:val="sq-AL"/>
        </w:rPr>
        <w:t xml:space="preserve">5.2011; </w:t>
      </w:r>
      <w:r>
        <w:rPr>
          <w:rFonts w:eastAsia="Times New Roman"/>
          <w:i/>
          <w:lang w:val="sq-AL"/>
        </w:rPr>
        <w:t>nr. 1, datë 20.</w:t>
      </w:r>
      <w:r w:rsidRPr="00D63D36">
        <w:rPr>
          <w:rFonts w:eastAsia="Times New Roman"/>
          <w:i/>
          <w:lang w:val="sq-AL"/>
        </w:rPr>
        <w:t xml:space="preserve">1.2012; </w:t>
      </w:r>
      <w:r>
        <w:rPr>
          <w:rFonts w:eastAsia="Times New Roman"/>
          <w:i/>
          <w:lang w:val="sq-AL"/>
        </w:rPr>
        <w:t xml:space="preserve">nr. </w:t>
      </w:r>
      <w:r>
        <w:rPr>
          <w:rFonts w:eastAsia="Times New Roman"/>
          <w:i/>
          <w:iCs/>
          <w:lang w:val="sq-AL"/>
        </w:rPr>
        <w:t>4, datë 5.</w:t>
      </w:r>
      <w:r w:rsidRPr="00D63D36">
        <w:rPr>
          <w:rFonts w:eastAsia="Times New Roman"/>
          <w:i/>
          <w:iCs/>
          <w:lang w:val="sq-AL"/>
        </w:rPr>
        <w:t>2.2014 të Gjykatës Kushtetuese)</w:t>
      </w:r>
      <w:r w:rsidRPr="00D63D36">
        <w:rPr>
          <w:rFonts w:eastAsia="Times New Roman"/>
          <w:i/>
          <w:lang w:val="sq-AL"/>
        </w:rPr>
        <w:t>.</w:t>
      </w:r>
      <w:r w:rsidRPr="00D63D36">
        <w:rPr>
          <w:rFonts w:eastAsia="Times New Roman"/>
          <w:lang w:val="sq-AL"/>
        </w:rPr>
        <w:t xml:space="preserve"> </w:t>
      </w:r>
    </w:p>
    <w:p w:rsidR="00AA3A79" w:rsidRPr="00D63D36" w:rsidRDefault="00AA3A79" w:rsidP="00AA3A79">
      <w:pPr>
        <w:pStyle w:val="Paragrafi"/>
        <w:rPr>
          <w:rFonts w:eastAsia="Times New Roman"/>
          <w:i/>
          <w:lang w:val="sq-AL"/>
        </w:rPr>
      </w:pPr>
      <w:r w:rsidRPr="00D63D36">
        <w:rPr>
          <w:rFonts w:eastAsia="Times New Roman"/>
          <w:lang w:val="sq-AL"/>
        </w:rPr>
        <w:t xml:space="preserve">7. Duke qenë se pretendimet e kërkuesit janë të natyrës kushtetuese, Gjykata vlerëson se ai legjitimohet edhe </w:t>
      </w:r>
      <w:r w:rsidRPr="00D63D36">
        <w:rPr>
          <w:rFonts w:eastAsia="Times New Roman"/>
          <w:i/>
          <w:lang w:val="sq-AL"/>
        </w:rPr>
        <w:t xml:space="preserve">ratione materiae, </w:t>
      </w:r>
      <w:r w:rsidRPr="00D63D36">
        <w:rPr>
          <w:rFonts w:eastAsia="Times New Roman"/>
          <w:lang w:val="sq-AL"/>
        </w:rPr>
        <w:t>pasi nuk ka mjet tjetër efektiv për të vënë në vend të drejtën e pretenduar si të cenuar nga vendimet gjyqësore</w:t>
      </w:r>
      <w:r w:rsidRPr="00D63D36">
        <w:rPr>
          <w:rFonts w:eastAsia="Times New Roman"/>
          <w:i/>
          <w:lang w:val="sq-AL"/>
        </w:rPr>
        <w:t>.</w:t>
      </w:r>
    </w:p>
    <w:p w:rsidR="00AA3A79" w:rsidRPr="00D63D36" w:rsidRDefault="00AA3A79" w:rsidP="00AA3A79">
      <w:pPr>
        <w:pStyle w:val="Paragrafi"/>
        <w:rPr>
          <w:rFonts w:eastAsia="Times New Roman"/>
          <w:i/>
          <w:lang w:val="sq-AL"/>
        </w:rPr>
      </w:pPr>
      <w:r w:rsidRPr="00D63D36">
        <w:rPr>
          <w:rFonts w:eastAsia="Times New Roman"/>
          <w:i/>
          <w:lang w:val="sq-AL"/>
        </w:rPr>
        <w:t>B. Për pretendimin e cenimit të parimit të mosdënimit pa ligj nga Kolegji Penal</w:t>
      </w:r>
    </w:p>
    <w:p w:rsidR="00AA3A79" w:rsidRPr="00D63D36" w:rsidRDefault="00AA3A79" w:rsidP="00AA3A79">
      <w:pPr>
        <w:pStyle w:val="Paragrafi"/>
        <w:rPr>
          <w:rFonts w:eastAsia="Times New Roman"/>
          <w:lang w:val="sq-AL"/>
        </w:rPr>
      </w:pPr>
      <w:r w:rsidRPr="00D63D36">
        <w:rPr>
          <w:rFonts w:eastAsia="Times New Roman"/>
          <w:lang w:val="sq-AL"/>
        </w:rPr>
        <w:t xml:space="preserve">8. Sipas kërkuesit, Gjykata e Lartë ka vendosur mospranimin e rekursit, duke e bazuar vendimin e saj në një dispozitë ligjore që nuk ekziston. Konkretisht, ajo gjykatë nuk ka zbatuar vendimin </w:t>
      </w:r>
      <w:r>
        <w:rPr>
          <w:rFonts w:eastAsia="Times New Roman"/>
          <w:lang w:val="sq-AL"/>
        </w:rPr>
        <w:t xml:space="preserve">nr. </w:t>
      </w:r>
      <w:r w:rsidRPr="00D63D36">
        <w:rPr>
          <w:rFonts w:eastAsia="Times New Roman"/>
          <w:lang w:val="sq-AL"/>
        </w:rPr>
        <w:t>9, datë 20.2.2016 të Gjykatës Kushtetuese, me të cilin janë shfuqizuar pikat 5 dhe 6 të nenit 278 të KP-së, lidhur me masën e dënimit për veprën penale të armëmbajtjes pa leje. Pas këtij vendimi, kjo dispozitë e KP-së është riformuluar nga ligjvënësi dhe masa e dënimit që aplikohet tashmë është më e ulët se ajo që kanë dhënë gjykatat në përfundim të shqyrtimit të çështjes ndaj kërkuesit. Sipas tij, kjo shkelje e gjykatave më të ulëta duhej të ishte riparuar nga Kolegji Penal i Gjykatës së Lartë, si gjykatë rishikuese.</w:t>
      </w:r>
    </w:p>
    <w:p w:rsidR="00AA3A79" w:rsidRPr="00D63D36" w:rsidRDefault="00AA3A79" w:rsidP="00AA3A79">
      <w:pPr>
        <w:pStyle w:val="Paragrafi"/>
        <w:rPr>
          <w:rFonts w:eastAsia="Times New Roman"/>
          <w:i/>
          <w:lang w:val="sq-AL"/>
        </w:rPr>
      </w:pPr>
      <w:r w:rsidRPr="00D63D36">
        <w:rPr>
          <w:rFonts w:eastAsia="Times New Roman"/>
          <w:lang w:val="sq-AL"/>
        </w:rPr>
        <w:t xml:space="preserve">9. Gjykata në jurisprudencë të vazhdueshme ka theksuar se është kompetencë e Kolegjit të Gjykatës së Lartë të analizojë dhe vlerësojë në dhomë këshillimi nëse shkaqet e ngritura në rekurs janë në përputhje me kërkesat e ligjit. Neni 432 i KPP-së ka parashikuar shkaqet për të cilat mund të bëhet rekurs në Gjykatën e Lartë, kurse neni 433 i po këtij Kodi parashikon se rekursi nuk pranohet në qoftë se bëhet për shkaqe të ndryshme nga ato që lejon ligji dhe se mospranimi i rekursit vendoset nga Kolegji në dhomën e këshillimit, pa pjesëmarrjen e palëve. Në rast se Kolegji në dhomën e këshillimit krijon bindjen se shkaqet e ngritura në rekurs objektivisht nuk ekzistojnë në dosjen gjyqësore, atëherë është në funksionin e tij të vendosë, në pajtim me kërkesat ligjore, mospranimin e çështjes për shqyrtim në seancë gjyqësore </w:t>
      </w:r>
      <w:r w:rsidRPr="00D63D36">
        <w:rPr>
          <w:rFonts w:eastAsia="Times New Roman"/>
          <w:i/>
          <w:lang w:val="sq-AL"/>
        </w:rPr>
        <w:t xml:space="preserve">(shih vendimin </w:t>
      </w:r>
      <w:r>
        <w:rPr>
          <w:rFonts w:eastAsia="Times New Roman"/>
          <w:i/>
          <w:lang w:val="sq-AL"/>
        </w:rPr>
        <w:t xml:space="preserve">nr. </w:t>
      </w:r>
      <w:r w:rsidRPr="00D63D36">
        <w:rPr>
          <w:rFonts w:eastAsia="Times New Roman"/>
          <w:i/>
          <w:lang w:val="sq-AL"/>
        </w:rPr>
        <w:t xml:space="preserve">8, datë 26.2.2015 të Gjykatës Kushtetuese). </w:t>
      </w:r>
    </w:p>
    <w:p w:rsidR="00AA3A79" w:rsidRPr="00D63D36" w:rsidRDefault="00AA3A79" w:rsidP="00AA3A79">
      <w:pPr>
        <w:pStyle w:val="Paragrafi"/>
        <w:rPr>
          <w:rFonts w:eastAsia="Times New Roman"/>
          <w:lang w:val="sq-AL"/>
        </w:rPr>
      </w:pPr>
      <w:r w:rsidRPr="00D63D36">
        <w:rPr>
          <w:rFonts w:eastAsia="Times New Roman"/>
          <w:lang w:val="sq-AL"/>
        </w:rPr>
        <w:t xml:space="preserve">10. Gjykata vëren se ndërkohë që çështja ndodhej për shqyrtim në Gjykatën e Lartë, ajo, me vendimin </w:t>
      </w:r>
      <w:r>
        <w:rPr>
          <w:rFonts w:eastAsia="Times New Roman"/>
          <w:lang w:val="sq-AL"/>
        </w:rPr>
        <w:t xml:space="preserve">nr. </w:t>
      </w:r>
      <w:r w:rsidRPr="00D63D36">
        <w:rPr>
          <w:rFonts w:eastAsia="Times New Roman"/>
          <w:lang w:val="sq-AL"/>
        </w:rPr>
        <w:t xml:space="preserve">9, datë 26.2.2016, ka shfuqizuar paragrafin e pestë dhe të gjashtë të nenit 278 të KP-së, shtuar me ligjin </w:t>
      </w:r>
      <w:r>
        <w:rPr>
          <w:rFonts w:eastAsia="Times New Roman"/>
          <w:lang w:val="sq-AL"/>
        </w:rPr>
        <w:t xml:space="preserve">nr. </w:t>
      </w:r>
      <w:r w:rsidRPr="00D63D36">
        <w:rPr>
          <w:rFonts w:eastAsia="Times New Roman"/>
          <w:lang w:val="sq-AL"/>
        </w:rPr>
        <w:t xml:space="preserve">144/2013, ndryshuar me ligjin </w:t>
      </w:r>
      <w:r>
        <w:rPr>
          <w:rFonts w:eastAsia="Times New Roman"/>
          <w:lang w:val="sq-AL"/>
        </w:rPr>
        <w:t xml:space="preserve">nr. </w:t>
      </w:r>
      <w:r w:rsidRPr="00D63D36">
        <w:rPr>
          <w:rFonts w:eastAsia="Times New Roman"/>
          <w:lang w:val="sq-AL"/>
        </w:rPr>
        <w:t xml:space="preserve">98/2014. Pas vendimit të Gjykatës Kushtetuese, me ligjin </w:t>
      </w:r>
      <w:r>
        <w:rPr>
          <w:rFonts w:eastAsia="Times New Roman"/>
          <w:lang w:val="sq-AL"/>
        </w:rPr>
        <w:t xml:space="preserve">nr. </w:t>
      </w:r>
      <w:r w:rsidRPr="00D63D36">
        <w:rPr>
          <w:rFonts w:eastAsia="Times New Roman"/>
          <w:lang w:val="sq-AL"/>
        </w:rPr>
        <w:t>82/2016</w:t>
      </w:r>
      <w:r>
        <w:rPr>
          <w:rFonts w:eastAsia="Times New Roman"/>
          <w:lang w:val="sq-AL"/>
        </w:rPr>
        <w:t>,</w:t>
      </w:r>
      <w:r w:rsidRPr="00D63D36">
        <w:rPr>
          <w:rFonts w:eastAsia="Times New Roman"/>
          <w:lang w:val="sq-AL"/>
        </w:rPr>
        <w:t xml:space="preserve"> “Për disa ndryshime në ligjin </w:t>
      </w:r>
      <w:r>
        <w:rPr>
          <w:rFonts w:eastAsia="Times New Roman"/>
          <w:lang w:val="sq-AL"/>
        </w:rPr>
        <w:t xml:space="preserve">nr. </w:t>
      </w:r>
      <w:r w:rsidRPr="00D63D36">
        <w:rPr>
          <w:rFonts w:eastAsia="Times New Roman"/>
          <w:lang w:val="sq-AL"/>
        </w:rPr>
        <w:t xml:space="preserve">7895, datë 27.1.1995 “Kodi Penal i Republikës së Shqipërisë”, të ndryshuar”, neni 278 i KP-së është riformuluar, duke e ulur masën e dënimit për këtë vepër. Ligji është botuar në Fletoren Zyrtare </w:t>
      </w:r>
      <w:r>
        <w:rPr>
          <w:rFonts w:eastAsia="Times New Roman"/>
          <w:lang w:val="sq-AL"/>
        </w:rPr>
        <w:t xml:space="preserve">nr. </w:t>
      </w:r>
      <w:r w:rsidRPr="00D63D36">
        <w:rPr>
          <w:rFonts w:eastAsia="Times New Roman"/>
          <w:lang w:val="sq-AL"/>
        </w:rPr>
        <w:t xml:space="preserve">151, datë 11.8.2016. </w:t>
      </w:r>
    </w:p>
    <w:p w:rsidR="00AA3A79" w:rsidRPr="00D63D36" w:rsidRDefault="00AA3A79" w:rsidP="00AA3A79">
      <w:pPr>
        <w:pStyle w:val="Paragrafi"/>
        <w:rPr>
          <w:rFonts w:eastAsia="Times New Roman"/>
          <w:lang w:val="sq-AL"/>
        </w:rPr>
      </w:pPr>
      <w:r w:rsidRPr="00D63D36">
        <w:rPr>
          <w:rFonts w:eastAsia="Times New Roman"/>
          <w:lang w:val="sq-AL"/>
        </w:rPr>
        <w:t xml:space="preserve">11. Nga materialet e dosjes të çështjes në shqyrtim rezulton se kërkuesi është dënuar nga gjykatat e faktit bazuar në një dispozitë penale që ka qenë në fuqi në kohën e kryerjes së veprës penale prej tij. Gjykata e faktit në vendim, në përcaktimin e llojit dhe masës së dënimit, i është përmbajtur ligjit penal në kohën e kryerjes së veprës. Megjithatë, Gjykata konstaton se gjatë kohës që çështja ndodhej për shqyrtim pranë Kolegjit Penal ndryshoi parashikimi ligjor për masën e dënimit lidhur me një nga veprat penale për të cilën është gjykuar kërkuesi. Për këtë arsye, Gjykata vlerëson se Kolegji Penal duhej ta kishte marrë në shqyrtim pretendimin e kërkuesit për cenimin e parimit të ligjit penal favorizues dhe fuqisë prapavepruese të tij, pasi dispozita ligjore penale që ishte në fuqi në kohën e kryerjes së veprës penale kishte ndryshuar gjatë kohës së gjykimit të çështjes në këtë gjykatë. </w:t>
      </w:r>
    </w:p>
    <w:p w:rsidR="00AA3A79" w:rsidRPr="00D63D36" w:rsidRDefault="00AA3A79" w:rsidP="00AA3A79">
      <w:pPr>
        <w:pStyle w:val="Paragrafi"/>
        <w:rPr>
          <w:rFonts w:eastAsia="Times New Roman"/>
          <w:i/>
          <w:lang w:val="sq-AL"/>
        </w:rPr>
      </w:pPr>
      <w:r w:rsidRPr="00D63D36">
        <w:rPr>
          <w:rFonts w:eastAsia="Times New Roman"/>
          <w:lang w:val="sq-AL"/>
        </w:rPr>
        <w:t>12. Gjykata</w:t>
      </w:r>
      <w:r>
        <w:rPr>
          <w:rFonts w:eastAsia="Times New Roman"/>
          <w:lang w:val="sq-AL"/>
        </w:rPr>
        <w:t xml:space="preserve"> </w:t>
      </w:r>
      <w:r w:rsidRPr="00D63D36">
        <w:rPr>
          <w:rFonts w:eastAsia="Times New Roman"/>
          <w:lang w:val="sq-AL"/>
        </w:rPr>
        <w:t xml:space="preserve">ka vlerësuar se sipas nenit 29/3 të Kushtetutës së Republikës së Shqipërisë ligji penal favorizues ka fuqi prapavepruese </w:t>
      </w:r>
      <w:r w:rsidRPr="00D63D36">
        <w:rPr>
          <w:rFonts w:eastAsia="Times New Roman"/>
          <w:i/>
          <w:lang w:val="sq-AL"/>
        </w:rPr>
        <w:t>(lex retro agit in mitius ose lex mitior retro agit)</w:t>
      </w:r>
      <w:r w:rsidRPr="00D63D36">
        <w:rPr>
          <w:rFonts w:eastAsia="Times New Roman"/>
          <w:lang w:val="sq-AL"/>
        </w:rPr>
        <w:t xml:space="preserve">. Ky parim i rëndësishëm </w:t>
      </w:r>
      <w:r w:rsidRPr="00D63D36">
        <w:rPr>
          <w:rFonts w:eastAsia="Times New Roman"/>
          <w:lang w:val="sq-AL"/>
        </w:rPr>
        <w:lastRenderedPageBreak/>
        <w:t>kushtetues përmendet shprehimisht edhe në nenin 15/1 të Konventës Ndërkombëtare të OKB-së për të Drejtat Politike e Civile, ratifikuar nga R</w:t>
      </w:r>
      <w:r>
        <w:rPr>
          <w:rFonts w:eastAsia="Times New Roman"/>
          <w:lang w:val="sq-AL"/>
        </w:rPr>
        <w:t>epublika e Shqipërisë në datën 4.</w:t>
      </w:r>
      <w:r w:rsidRPr="00D63D36">
        <w:rPr>
          <w:rFonts w:eastAsia="Times New Roman"/>
          <w:lang w:val="sq-AL"/>
        </w:rPr>
        <w:t xml:space="preserve">1.1992. Duke marrë parasysh rrethanat më lart, Gjykata vlerëson se Kolegji Penal i Gjykatës së Lartë duhet ta kishte marrë në konsideratë zbatimin e parimit kushtetues të fuqisë prapavepruese të ligjit penal favorizues. Gjykata vëren se megjithëse është e njohur se fuqia prapavepruese e ligjit penal favorizues përbën një nga parimet themelore të procesit gjyqësor të garantuar shprehimisht në Kushtetutën e Republikës së Shqipërisë, Kolegji Penal i Gjykatës së Lartë e ka mënjanuar respektimin e këtij standardi kushtetues. Për sa më sipër, Gjykata vlerëson se Gjykata e Lartë ka cenuar standardin e fuqisë prapavepruese të ligjit penal favorizues, duke zhvilluar në këtë mënyrë një proces të parregullt ligjor </w:t>
      </w:r>
      <w:r w:rsidRPr="00D63D36">
        <w:rPr>
          <w:rFonts w:eastAsia="Times New Roman"/>
          <w:i/>
          <w:lang w:val="sq-AL"/>
        </w:rPr>
        <w:t xml:space="preserve">(shih vendimet </w:t>
      </w:r>
      <w:r>
        <w:rPr>
          <w:rFonts w:eastAsia="Times New Roman"/>
          <w:i/>
          <w:lang w:val="sq-AL"/>
        </w:rPr>
        <w:t xml:space="preserve">nr. </w:t>
      </w:r>
      <w:r w:rsidRPr="00D63D36">
        <w:rPr>
          <w:rFonts w:eastAsia="Times New Roman"/>
          <w:i/>
          <w:lang w:val="sq-AL"/>
        </w:rPr>
        <w:t xml:space="preserve">61, datë 31.7.2017; </w:t>
      </w:r>
      <w:r>
        <w:rPr>
          <w:rFonts w:eastAsia="Times New Roman"/>
          <w:i/>
          <w:lang w:val="sq-AL"/>
        </w:rPr>
        <w:t xml:space="preserve">nr. </w:t>
      </w:r>
      <w:r w:rsidRPr="00D63D36">
        <w:rPr>
          <w:rFonts w:eastAsia="Times New Roman"/>
          <w:i/>
          <w:lang w:val="sq-AL"/>
        </w:rPr>
        <w:t xml:space="preserve">27, datë 27.3.2017 të Gjykatës Kushtetuese). </w:t>
      </w:r>
    </w:p>
    <w:p w:rsidR="00AA3A79" w:rsidRPr="00D63D36" w:rsidRDefault="00AA3A79" w:rsidP="00AA3A79">
      <w:pPr>
        <w:pStyle w:val="Paragrafi"/>
        <w:rPr>
          <w:rFonts w:eastAsia="Times New Roman"/>
          <w:lang w:val="sq-AL"/>
        </w:rPr>
      </w:pPr>
      <w:r w:rsidRPr="00D63D36">
        <w:rPr>
          <w:rFonts w:eastAsia="Times New Roman"/>
          <w:lang w:val="sq-AL"/>
        </w:rPr>
        <w:t xml:space="preserve">13. Nisur nga sa më lart, Gjykata çmon se ky pretendim i kërkuesit është i bazuar dhe duhet pranuar. </w:t>
      </w:r>
    </w:p>
    <w:p w:rsidR="00AA3A79" w:rsidRPr="00D63D36" w:rsidRDefault="00AA3A79" w:rsidP="00AA3A79">
      <w:pPr>
        <w:pStyle w:val="Paragrafi"/>
        <w:rPr>
          <w:rFonts w:eastAsia="Times New Roman"/>
          <w:i/>
          <w:lang w:val="sq-AL"/>
        </w:rPr>
      </w:pPr>
      <w:r w:rsidRPr="00D63D36">
        <w:rPr>
          <w:rFonts w:eastAsia="Times New Roman"/>
          <w:i/>
          <w:lang w:val="sq-AL"/>
        </w:rPr>
        <w:t>C. Për pretendimet e tjera</w:t>
      </w:r>
    </w:p>
    <w:p w:rsidR="00AA3A79" w:rsidRPr="00D63D36" w:rsidRDefault="00AA3A79" w:rsidP="00AA3A79">
      <w:pPr>
        <w:pStyle w:val="Paragrafi"/>
        <w:rPr>
          <w:lang w:val="sq-AL"/>
        </w:rPr>
      </w:pPr>
      <w:r w:rsidRPr="00D63D36">
        <w:rPr>
          <w:rFonts w:eastAsia="Times New Roman"/>
          <w:lang w:val="sq-AL"/>
        </w:rPr>
        <w:t xml:space="preserve">14. </w:t>
      </w:r>
      <w:r w:rsidRPr="00D63D36">
        <w:rPr>
          <w:lang w:val="sq-AL"/>
        </w:rPr>
        <w:t xml:space="preserve">Kërkuesi pretendon se gjykatat kanë cenuar parimin e arsyetimit të vendimit gjyqësor, pasi megjithëse ai </w:t>
      </w:r>
      <w:r w:rsidRPr="00D63D36">
        <w:rPr>
          <w:rFonts w:eastAsia="Times New Roman"/>
          <w:lang w:val="sq-AL"/>
        </w:rPr>
        <w:t xml:space="preserve">kishte paraqitur në rekurs pretendime që kishin të bënin me shkeljen e parimeve themelore të procesit gjyqësor, Kolegji Penal i Gjykatës së Lartë në vendimin e tij nuk dha përgjigje për asnjë nga pretendimet e natyrës kushtetuese të ngritura në rekurs. Njëkohësisht, kërkuesi ka pretenduar se Kolegji Penal ka cenuar edhe të drejtën e aksesit në gjykim, pasi nuk u ka dhënë përgjigje pretendimeve të ngritura në rekurs, </w:t>
      </w:r>
      <w:r w:rsidRPr="00D63D36">
        <w:rPr>
          <w:lang w:val="sq-AL"/>
        </w:rPr>
        <w:t>si p.sh</w:t>
      </w:r>
      <w:r>
        <w:rPr>
          <w:lang w:val="sq-AL"/>
        </w:rPr>
        <w:t>.</w:t>
      </w:r>
      <w:r w:rsidRPr="00D63D36">
        <w:rPr>
          <w:lang w:val="sq-AL"/>
        </w:rPr>
        <w:t>, pretendimit se ai është dënuar mbi bazën e provave të marra në kundërshtim me ligjin procedural, se gjykatat nuk kanë marrë në konsideratë disa prova dhe dëshmi të paraqitura nga i gjykuari, duke i dhënë vlerë provuese vetëm fakteve dhe provave të paraqitura nga akuza, gjë që bie ndesh me parimin e kontradiktoritetit, se është cenuar parimi i prezumimit të pafajësisë etj. Sipas kërkuesit, të gjitha këto shkelje e kanë bërë procesin të parregullt.</w:t>
      </w:r>
    </w:p>
    <w:p w:rsidR="00AA3A79" w:rsidRPr="00D63D36" w:rsidRDefault="00AA3A79" w:rsidP="00AA3A79">
      <w:pPr>
        <w:pStyle w:val="Paragrafi"/>
        <w:rPr>
          <w:bCs/>
          <w:i/>
          <w:iCs/>
          <w:color w:val="000000"/>
          <w:lang w:val="sq-AL"/>
        </w:rPr>
      </w:pPr>
      <w:r w:rsidRPr="00D63D36">
        <w:rPr>
          <w:color w:val="000000"/>
          <w:lang w:val="sq-AL"/>
        </w:rPr>
        <w:t>15. P</w:t>
      </w:r>
      <w:r w:rsidRPr="00D63D36">
        <w:rPr>
          <w:rFonts w:eastAsia="Times New Roman"/>
          <w:bCs/>
          <w:lang w:val="sq-AL" w:eastAsia="fr-FR"/>
        </w:rPr>
        <w:t xml:space="preserve">ër sa u takon këtyre pretendimeve, Gjykata vlerëson të mos ndalet në shqyrtimin e tyre, për sa kohë çështja do të merret përsëri në shqyrtim nga Gjykata e Lartë, e cila në funksion të rolit të saj si gjykatë e ligjit dhe si kontrolluese e respektimit të standardeve kushtetuese nga gjykatat më të ulëta duhet t’u japë përgjigje të arsyetuar dhe në seancë publike pretendimeve të mësipërme të ngritura në rekurs nga kërkuesi </w:t>
      </w:r>
      <w:r w:rsidRPr="00D63D36">
        <w:rPr>
          <w:bCs/>
          <w:i/>
          <w:iCs/>
          <w:color w:val="000000"/>
          <w:lang w:val="sq-AL"/>
        </w:rPr>
        <w:t xml:space="preserve">(shih vendimin </w:t>
      </w:r>
      <w:r>
        <w:rPr>
          <w:bCs/>
          <w:i/>
          <w:iCs/>
          <w:color w:val="000000"/>
          <w:lang w:val="sq-AL"/>
        </w:rPr>
        <w:t xml:space="preserve">nr. </w:t>
      </w:r>
      <w:r w:rsidRPr="00D63D36">
        <w:rPr>
          <w:bCs/>
          <w:i/>
          <w:iCs/>
          <w:color w:val="000000"/>
          <w:lang w:val="sq-AL"/>
        </w:rPr>
        <w:t>27, datë 27.3.2017 të Gjykatës Kushtetuese).</w:t>
      </w:r>
    </w:p>
    <w:p w:rsidR="00AA3A79" w:rsidRPr="00D63D36" w:rsidRDefault="00AA3A79" w:rsidP="00AA3A79">
      <w:pPr>
        <w:pStyle w:val="Hapesira7"/>
        <w:rPr>
          <w:lang w:val="sq-AL" w:eastAsia="fr-FR"/>
        </w:rPr>
      </w:pPr>
    </w:p>
    <w:p w:rsidR="00AA3A79" w:rsidRPr="00D63D36" w:rsidRDefault="00AA3A79" w:rsidP="00AA3A79">
      <w:pPr>
        <w:pStyle w:val="NeniNr"/>
        <w:rPr>
          <w:lang w:val="sq-AL" w:eastAsia="fr-FR"/>
        </w:rPr>
      </w:pPr>
      <w:r w:rsidRPr="00D63D36">
        <w:rPr>
          <w:lang w:val="sq-AL" w:eastAsia="fr-FR"/>
        </w:rPr>
        <w:t>PËR KËTO ARSYE,</w:t>
      </w:r>
    </w:p>
    <w:p w:rsidR="00AA3A79" w:rsidRPr="00D63D36" w:rsidRDefault="00AA3A79" w:rsidP="00AA3A79">
      <w:pPr>
        <w:pStyle w:val="Hapesira7"/>
        <w:rPr>
          <w:lang w:val="sq-AL" w:eastAsia="fr-FR"/>
        </w:rPr>
      </w:pPr>
    </w:p>
    <w:p w:rsidR="00AA3A79" w:rsidRPr="00D63D36" w:rsidRDefault="00AA3A79" w:rsidP="00AA3A79">
      <w:pPr>
        <w:pStyle w:val="Paragrafi"/>
        <w:rPr>
          <w:rFonts w:eastAsia="Times New Roman"/>
          <w:bCs/>
          <w:lang w:val="sq-AL" w:eastAsia="fr-FR"/>
        </w:rPr>
      </w:pPr>
      <w:r w:rsidRPr="00D63D36">
        <w:rPr>
          <w:rFonts w:eastAsia="Times New Roman"/>
          <w:lang w:val="sq-AL" w:eastAsia="fr-FR"/>
        </w:rPr>
        <w:t>Gjykata Kushtetuese e Re</w:t>
      </w:r>
      <w:r w:rsidRPr="00D63D36">
        <w:rPr>
          <w:rFonts w:eastAsia="Times New Roman"/>
          <w:bCs/>
          <w:lang w:val="sq-AL" w:eastAsia="fr-FR"/>
        </w:rPr>
        <w:t>p</w:t>
      </w:r>
      <w:r w:rsidRPr="00D63D36">
        <w:rPr>
          <w:rFonts w:eastAsia="Times New Roman"/>
          <w:lang w:val="sq-AL" w:eastAsia="fr-FR"/>
        </w:rPr>
        <w:t>ublikës së Shqipërisë, në mbështetje të neneve 131/1/f dhe 134/1/i të Kushtetutës, si dhe të neneve 71 e vijues</w:t>
      </w:r>
      <w:r>
        <w:rPr>
          <w:rFonts w:eastAsia="Times New Roman"/>
          <w:lang w:val="sq-AL" w:eastAsia="fr-FR"/>
        </w:rPr>
        <w:t>e</w:t>
      </w:r>
      <w:r w:rsidRPr="00D63D36">
        <w:rPr>
          <w:rFonts w:eastAsia="Times New Roman"/>
          <w:lang w:val="sq-AL" w:eastAsia="fr-FR"/>
        </w:rPr>
        <w:t xml:space="preserve"> të ligjit </w:t>
      </w:r>
      <w:r>
        <w:rPr>
          <w:rFonts w:eastAsia="Times New Roman"/>
          <w:lang w:val="sq-AL" w:eastAsia="fr-FR"/>
        </w:rPr>
        <w:t xml:space="preserve">nr. </w:t>
      </w:r>
      <w:r w:rsidRPr="00D63D36">
        <w:rPr>
          <w:rFonts w:eastAsia="Times New Roman"/>
          <w:lang w:val="sq-AL" w:eastAsia="fr-FR"/>
        </w:rPr>
        <w:t>8577, datë 10.2.2000</w:t>
      </w:r>
      <w:r>
        <w:rPr>
          <w:rFonts w:eastAsia="Times New Roman"/>
          <w:lang w:val="sq-AL" w:eastAsia="fr-FR"/>
        </w:rPr>
        <w:t>,</w:t>
      </w:r>
      <w:r w:rsidRPr="00D63D36">
        <w:rPr>
          <w:rFonts w:eastAsia="Times New Roman"/>
          <w:lang w:val="sq-AL" w:eastAsia="fr-FR"/>
        </w:rPr>
        <w:t xml:space="preserve"> “Për organizimin dhe funksionimin e Gjykatës Kushtetuese të Republikës së Shqipërisë”, të ndryshuar, me shumicë votash, </w:t>
      </w:r>
    </w:p>
    <w:p w:rsidR="00AA3A79" w:rsidRPr="00D63D36" w:rsidRDefault="00AA3A79" w:rsidP="00AA3A79">
      <w:pPr>
        <w:pStyle w:val="Hapesira7"/>
        <w:rPr>
          <w:lang w:val="sq-AL" w:eastAsia="fr-FR"/>
        </w:rPr>
      </w:pPr>
    </w:p>
    <w:p w:rsidR="00AA3A79" w:rsidRPr="00D63D36" w:rsidRDefault="00AA3A79" w:rsidP="00AA3A79">
      <w:pPr>
        <w:pStyle w:val="NeniNr"/>
        <w:rPr>
          <w:lang w:val="sq-AL" w:eastAsia="fr-FR"/>
        </w:rPr>
      </w:pPr>
      <w:r w:rsidRPr="00D63D36">
        <w:rPr>
          <w:lang w:val="sq-AL" w:eastAsia="fr-FR"/>
        </w:rPr>
        <w:t>VENDOSI:</w:t>
      </w:r>
    </w:p>
    <w:p w:rsidR="00AA3A79" w:rsidRPr="00D63D36" w:rsidRDefault="00AA3A79" w:rsidP="00AA3A79">
      <w:pPr>
        <w:pStyle w:val="Hapesira7"/>
        <w:rPr>
          <w:lang w:val="sq-AL" w:eastAsia="fr-FR"/>
        </w:rPr>
      </w:pPr>
    </w:p>
    <w:p w:rsidR="00AA3A79" w:rsidRPr="00D63D36" w:rsidRDefault="00AA3A79" w:rsidP="00AA3A79">
      <w:pPr>
        <w:pStyle w:val="Paragrafi"/>
        <w:rPr>
          <w:rFonts w:eastAsia="Times New Roman"/>
          <w:lang w:val="sq-AL" w:eastAsia="fr-FR"/>
        </w:rPr>
      </w:pPr>
      <w:r w:rsidRPr="00D63D36">
        <w:rPr>
          <w:rFonts w:eastAsia="Times New Roman"/>
          <w:bCs/>
          <w:lang w:val="sq-AL" w:eastAsia="fr-FR"/>
        </w:rPr>
        <w:t>- Pranimin pjesërisht të kërkesës.</w:t>
      </w:r>
    </w:p>
    <w:p w:rsidR="00AA3A79" w:rsidRPr="00D63D36" w:rsidRDefault="00AA3A79" w:rsidP="00AA3A79">
      <w:pPr>
        <w:pStyle w:val="Paragrafi"/>
        <w:rPr>
          <w:rFonts w:eastAsia="Times New Roman"/>
          <w:lang w:val="sq-AL" w:eastAsia="fr-FR"/>
        </w:rPr>
      </w:pPr>
      <w:r w:rsidRPr="00D63D36">
        <w:rPr>
          <w:rFonts w:eastAsia="Times New Roman"/>
          <w:bCs/>
          <w:lang w:val="sq-AL" w:eastAsia="fr-FR"/>
        </w:rPr>
        <w:t xml:space="preserve">- Shfuqizimin si të papajtueshëm me Kushtetutën të </w:t>
      </w:r>
      <w:r w:rsidRPr="00D63D36">
        <w:rPr>
          <w:rFonts w:eastAsia="Times New Roman"/>
          <w:bCs/>
          <w:lang w:val="sq-AL"/>
        </w:rPr>
        <w:t xml:space="preserve">vendimit </w:t>
      </w:r>
      <w:r>
        <w:rPr>
          <w:lang w:val="sq-AL"/>
        </w:rPr>
        <w:t>nr. 00-2017-234, datë 30.</w:t>
      </w:r>
      <w:r w:rsidRPr="00D63D36">
        <w:rPr>
          <w:lang w:val="sq-AL"/>
        </w:rPr>
        <w:t>3.2017 të Kolegjit Penal të Gjykatës së Lartë</w:t>
      </w:r>
      <w:r w:rsidRPr="00D63D36">
        <w:rPr>
          <w:rFonts w:eastAsia="Times New Roman"/>
          <w:bCs/>
          <w:lang w:val="sq-AL"/>
        </w:rPr>
        <w:t>.</w:t>
      </w:r>
    </w:p>
    <w:p w:rsidR="00AA3A79" w:rsidRPr="00D63D36" w:rsidRDefault="00AA3A79" w:rsidP="00AA3A79">
      <w:pPr>
        <w:pStyle w:val="Paragrafi"/>
        <w:rPr>
          <w:rFonts w:eastAsia="Times New Roman"/>
          <w:lang w:val="sq-AL" w:eastAsia="fr-FR"/>
        </w:rPr>
      </w:pPr>
      <w:r w:rsidRPr="00D63D36">
        <w:rPr>
          <w:rFonts w:eastAsia="Times New Roman"/>
          <w:bCs/>
          <w:lang w:val="sq-AL"/>
        </w:rPr>
        <w:t xml:space="preserve">- Dërgimin e çështjes për </w:t>
      </w:r>
      <w:r w:rsidRPr="00D63D36">
        <w:rPr>
          <w:rFonts w:eastAsia="Times New Roman"/>
          <w:lang w:val="sq-AL"/>
        </w:rPr>
        <w:t>rishqyrtim në Gjykatën e Lartë.</w:t>
      </w:r>
    </w:p>
    <w:p w:rsidR="00AA3A79" w:rsidRPr="00D63D36" w:rsidRDefault="00AA3A79" w:rsidP="00AA3A79">
      <w:pPr>
        <w:pStyle w:val="Paragrafi"/>
        <w:rPr>
          <w:rFonts w:eastAsia="Times New Roman"/>
          <w:lang w:val="sq-AL" w:eastAsia="fr-FR"/>
        </w:rPr>
      </w:pPr>
      <w:r w:rsidRPr="00D63D36">
        <w:rPr>
          <w:rFonts w:eastAsia="Times New Roman"/>
          <w:lang w:val="sq-AL"/>
        </w:rPr>
        <w:t>- Rrëzimin e kërkesës për pjesën tjetër.</w:t>
      </w:r>
    </w:p>
    <w:p w:rsidR="00AA3A79" w:rsidRPr="00D63D36" w:rsidRDefault="00AA3A79" w:rsidP="00AA3A79">
      <w:pPr>
        <w:pStyle w:val="Paragrafi"/>
        <w:rPr>
          <w:rFonts w:eastAsia="Times New Roman"/>
          <w:lang w:val="sq-AL"/>
        </w:rPr>
      </w:pPr>
      <w:r w:rsidRPr="00D63D36">
        <w:rPr>
          <w:rFonts w:eastAsia="Times New Roman"/>
          <w:lang w:val="sq-AL"/>
        </w:rPr>
        <w:t>Ky vendim është përfundimtar, i formës së prerë dhe hyn në fuqi ditën e botimit në Fletoren Zyrtare.</w:t>
      </w:r>
      <w:r w:rsidRPr="00D63D36">
        <w:rPr>
          <w:rFonts w:eastAsia="Times New Roman"/>
          <w:bCs/>
          <w:lang w:val="sq-AL"/>
        </w:rPr>
        <w:t xml:space="preserve"> </w:t>
      </w:r>
    </w:p>
    <w:p w:rsidR="00AA3A79" w:rsidRPr="00D63D36" w:rsidRDefault="00AA3A79" w:rsidP="00AA3A79">
      <w:pPr>
        <w:pStyle w:val="Hapesira7"/>
        <w:rPr>
          <w:lang w:val="sq-AL"/>
        </w:rPr>
      </w:pPr>
    </w:p>
    <w:p w:rsidR="00AA3A79" w:rsidRPr="005801B0" w:rsidRDefault="00AA3A79" w:rsidP="00AA3A79">
      <w:pPr>
        <w:pStyle w:val="Paragrafi"/>
        <w:rPr>
          <w:rFonts w:eastAsia="Times New Roman"/>
          <w:bCs/>
          <w:spacing w:val="-4"/>
          <w:lang w:val="sq-AL"/>
        </w:rPr>
      </w:pPr>
      <w:r w:rsidRPr="005801B0">
        <w:rPr>
          <w:rFonts w:eastAsia="Times New Roman"/>
          <w:bCs/>
          <w:spacing w:val="-4"/>
          <w:lang w:val="sq-AL"/>
        </w:rPr>
        <w:t xml:space="preserve">Anëtarë: </w:t>
      </w:r>
      <w:r w:rsidRPr="005801B0">
        <w:rPr>
          <w:rFonts w:eastAsia="Times New Roman"/>
          <w:bCs/>
          <w:spacing w:val="-4"/>
          <w:lang w:val="sq-AL"/>
        </w:rPr>
        <w:tab/>
        <w:t>Bashkim Dedja (kryetar), Fatmir Hoxha, Vitore Tusha, Gani Dizdari, Besnik Imeraj, Fatos Lulo</w:t>
      </w:r>
    </w:p>
    <w:p w:rsidR="00416837" w:rsidRDefault="00514BCA"/>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FDC"/>
    <w:rsid w:val="000C3470"/>
    <w:rsid w:val="001A5586"/>
    <w:rsid w:val="00497763"/>
    <w:rsid w:val="00514BCA"/>
    <w:rsid w:val="008F7FDC"/>
    <w:rsid w:val="00AA3A79"/>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A3A7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A3A79"/>
    <w:rPr>
      <w:rFonts w:ascii="Garamond" w:eastAsia="MS Mincho" w:hAnsi="Garamond" w:cs="CG Times"/>
      <w:sz w:val="24"/>
    </w:rPr>
  </w:style>
  <w:style w:type="paragraph" w:customStyle="1" w:styleId="NeniNr">
    <w:name w:val="Neni_Nr"/>
    <w:next w:val="Normal"/>
    <w:link w:val="NeniNrChar"/>
    <w:rsid w:val="00AA3A7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A3A7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A3A79"/>
    <w:rPr>
      <w:rFonts w:ascii="Garamond" w:eastAsia="MS Mincho" w:hAnsi="Garamond" w:cs="CG Times"/>
      <w:sz w:val="24"/>
      <w:lang w:val="en-GB"/>
    </w:rPr>
  </w:style>
  <w:style w:type="paragraph" w:customStyle="1" w:styleId="Hapesira7">
    <w:name w:val="Hapesira 7"/>
    <w:basedOn w:val="Paragrafi"/>
    <w:qFormat/>
    <w:rsid w:val="00AA3A7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A3A7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A3A79"/>
    <w:rPr>
      <w:rFonts w:ascii="Garamond" w:eastAsia="MS Mincho" w:hAnsi="Garamond" w:cs="CG Times"/>
      <w:sz w:val="24"/>
    </w:rPr>
  </w:style>
  <w:style w:type="paragraph" w:customStyle="1" w:styleId="NeniNr">
    <w:name w:val="Neni_Nr"/>
    <w:next w:val="Normal"/>
    <w:link w:val="NeniNrChar"/>
    <w:rsid w:val="00AA3A7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A3A7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A3A79"/>
    <w:rPr>
      <w:rFonts w:ascii="Garamond" w:eastAsia="MS Mincho" w:hAnsi="Garamond" w:cs="CG Times"/>
      <w:sz w:val="24"/>
      <w:lang w:val="en-GB"/>
    </w:rPr>
  </w:style>
  <w:style w:type="paragraph" w:customStyle="1" w:styleId="Hapesira7">
    <w:name w:val="Hapesira 7"/>
    <w:basedOn w:val="Paragrafi"/>
    <w:qFormat/>
    <w:rsid w:val="00AA3A7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2112</Words>
  <Characters>12039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bruna.aliaj</cp:lastModifiedBy>
  <cp:revision>3</cp:revision>
  <cp:lastPrinted>2017-11-30T13:05:00Z</cp:lastPrinted>
  <dcterms:created xsi:type="dcterms:W3CDTF">2017-11-30T13:04:00Z</dcterms:created>
  <dcterms:modified xsi:type="dcterms:W3CDTF">2017-12-06T09:57:00Z</dcterms:modified>
</cp:coreProperties>
</file>