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51D" w:rsidRPr="00160CB6" w:rsidRDefault="00D8751D" w:rsidP="00D8751D">
      <w:pPr>
        <w:pStyle w:val="NeniTitull"/>
        <w:rPr>
          <w:spacing w:val="-4"/>
          <w:lang w:val="sq-AL"/>
        </w:rPr>
      </w:pPr>
      <w:r w:rsidRPr="00160CB6">
        <w:rPr>
          <w:spacing w:val="-4"/>
          <w:lang w:val="sq-AL"/>
        </w:rPr>
        <w:t>VENDIM</w:t>
      </w:r>
    </w:p>
    <w:p w:rsidR="00D8751D" w:rsidRPr="00160CB6" w:rsidRDefault="00D8751D" w:rsidP="00D8751D">
      <w:pPr>
        <w:pStyle w:val="NeniTitull"/>
        <w:rPr>
          <w:spacing w:val="-4"/>
          <w:lang w:val="sq-AL"/>
        </w:rPr>
      </w:pPr>
      <w:r w:rsidRPr="00160CB6">
        <w:rPr>
          <w:spacing w:val="-4"/>
          <w:lang w:val="sq-AL"/>
        </w:rPr>
        <w:t>Nr. 76, datë 4.12.2017</w:t>
      </w:r>
    </w:p>
    <w:p w:rsidR="00D8751D" w:rsidRPr="00256D1B" w:rsidRDefault="00D8751D" w:rsidP="00D8751D">
      <w:pPr>
        <w:pStyle w:val="NeniTitull"/>
        <w:rPr>
          <w:spacing w:val="-4"/>
          <w:sz w:val="14"/>
          <w:lang w:val="sq-AL"/>
        </w:rPr>
      </w:pPr>
    </w:p>
    <w:p w:rsidR="00D8751D" w:rsidRPr="00160CB6" w:rsidRDefault="00D8751D" w:rsidP="00D8751D">
      <w:pPr>
        <w:pStyle w:val="NeniTitull"/>
        <w:rPr>
          <w:spacing w:val="-4"/>
          <w:lang w:val="sq-AL"/>
        </w:rPr>
      </w:pPr>
      <w:r w:rsidRPr="00160CB6">
        <w:rPr>
          <w:spacing w:val="-4"/>
          <w:lang w:val="sq-AL"/>
        </w:rPr>
        <w:t>NË EMËR TË REPUBLIKËS SË SHQIPËRISË</w:t>
      </w:r>
    </w:p>
    <w:p w:rsidR="00D8751D" w:rsidRPr="001121E1" w:rsidRDefault="00D8751D" w:rsidP="00D8751D">
      <w:pPr>
        <w:pStyle w:val="Paragrafi"/>
        <w:rPr>
          <w:spacing w:val="-4"/>
          <w:sz w:val="8"/>
          <w:lang w:val="sq-AL"/>
        </w:rPr>
      </w:pPr>
    </w:p>
    <w:p w:rsidR="00D8751D" w:rsidRPr="00160CB6" w:rsidRDefault="00D8751D" w:rsidP="00D8751D">
      <w:pPr>
        <w:pStyle w:val="Paragrafi"/>
        <w:rPr>
          <w:spacing w:val="-4"/>
          <w:lang w:val="sq-AL"/>
        </w:rPr>
      </w:pPr>
      <w:r w:rsidRPr="00160CB6">
        <w:rPr>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60"/>
      </w:tblGrid>
      <w:tr w:rsidR="00D8751D" w:rsidRPr="00160CB6" w:rsidTr="009A3AEF">
        <w:tc>
          <w:tcPr>
            <w:tcW w:w="1668" w:type="dxa"/>
          </w:tcPr>
          <w:p w:rsidR="00D8751D" w:rsidRPr="00160CB6" w:rsidRDefault="00D8751D" w:rsidP="009A3AEF">
            <w:pPr>
              <w:pStyle w:val="Paragrafi"/>
              <w:ind w:firstLine="0"/>
              <w:rPr>
                <w:spacing w:val="-4"/>
                <w:lang w:val="sq-AL"/>
              </w:rPr>
            </w:pPr>
            <w:r w:rsidRPr="00160CB6">
              <w:rPr>
                <w:spacing w:val="-4"/>
                <w:lang w:val="sq-AL"/>
              </w:rPr>
              <w:t>Bashkim Dedja</w:t>
            </w:r>
          </w:p>
        </w:tc>
        <w:tc>
          <w:tcPr>
            <w:tcW w:w="3260" w:type="dxa"/>
          </w:tcPr>
          <w:p w:rsidR="00D8751D" w:rsidRPr="00160CB6" w:rsidRDefault="00D8751D" w:rsidP="009A3AEF">
            <w:pPr>
              <w:pStyle w:val="Paragrafi"/>
              <w:ind w:firstLine="0"/>
              <w:rPr>
                <w:spacing w:val="-4"/>
                <w:lang w:val="sq-AL"/>
              </w:rPr>
            </w:pPr>
            <w:r w:rsidRPr="00160CB6">
              <w:rPr>
                <w:spacing w:val="-4"/>
                <w:lang w:val="sq-AL"/>
              </w:rPr>
              <w:t>kryetar   i Gjykatës Kushtetuese</w:t>
            </w:r>
          </w:p>
        </w:tc>
      </w:tr>
      <w:tr w:rsidR="00D8751D" w:rsidRPr="00160CB6" w:rsidTr="009A3AEF">
        <w:tc>
          <w:tcPr>
            <w:tcW w:w="1668" w:type="dxa"/>
          </w:tcPr>
          <w:p w:rsidR="00D8751D" w:rsidRPr="00160CB6" w:rsidRDefault="00D8751D" w:rsidP="009A3AEF">
            <w:pPr>
              <w:pStyle w:val="Paragrafi"/>
              <w:ind w:firstLine="0"/>
              <w:rPr>
                <w:spacing w:val="-4"/>
                <w:lang w:val="sq-AL"/>
              </w:rPr>
            </w:pPr>
            <w:r w:rsidRPr="00160CB6">
              <w:rPr>
                <w:spacing w:val="-4"/>
                <w:lang w:val="sq-AL"/>
              </w:rPr>
              <w:t>Fatmir Hoxha</w:t>
            </w:r>
          </w:p>
        </w:tc>
        <w:tc>
          <w:tcPr>
            <w:tcW w:w="3260" w:type="dxa"/>
          </w:tcPr>
          <w:p w:rsidR="00D8751D" w:rsidRPr="00160CB6" w:rsidRDefault="00EE2A4C" w:rsidP="009A3AEF">
            <w:pPr>
              <w:pStyle w:val="Paragrafi"/>
              <w:ind w:firstLine="0"/>
              <w:rPr>
                <w:spacing w:val="-4"/>
                <w:lang w:val="sq-AL"/>
              </w:rPr>
            </w:pPr>
            <w:r>
              <w:rPr>
                <w:spacing w:val="-4"/>
                <w:lang w:val="sq-AL"/>
              </w:rPr>
              <w:t>anëtar    i</w:t>
            </w:r>
            <w:r w:rsidR="00C5543F">
              <w:rPr>
                <w:spacing w:val="-4"/>
                <w:lang w:val="sq-AL"/>
              </w:rPr>
              <w:t xml:space="preserve">  “</w:t>
            </w:r>
            <w:r w:rsidR="00D8751D" w:rsidRPr="00160CB6">
              <w:rPr>
                <w:spacing w:val="-4"/>
                <w:lang w:val="sq-AL"/>
              </w:rPr>
              <w:t xml:space="preserve">     </w:t>
            </w:r>
            <w:r w:rsidR="00C5543F">
              <w:rPr>
                <w:spacing w:val="-4"/>
                <w:lang w:val="sq-AL"/>
              </w:rPr>
              <w:t xml:space="preserve">          </w:t>
            </w:r>
            <w:r w:rsidR="00E13821">
              <w:rPr>
                <w:spacing w:val="-4"/>
                <w:lang w:val="sq-AL"/>
              </w:rPr>
              <w:t xml:space="preserve">   </w:t>
            </w:r>
            <w:r w:rsidR="00D8751D" w:rsidRPr="00160CB6">
              <w:rPr>
                <w:spacing w:val="-4"/>
                <w:lang w:val="sq-AL"/>
              </w:rPr>
              <w:t>“</w:t>
            </w:r>
          </w:p>
        </w:tc>
      </w:tr>
      <w:tr w:rsidR="00D8751D" w:rsidRPr="00160CB6" w:rsidTr="009A3AEF">
        <w:tc>
          <w:tcPr>
            <w:tcW w:w="1668" w:type="dxa"/>
          </w:tcPr>
          <w:p w:rsidR="00D8751D" w:rsidRPr="00160CB6" w:rsidRDefault="00D8751D" w:rsidP="009A3AEF">
            <w:pPr>
              <w:pStyle w:val="Paragrafi"/>
              <w:ind w:firstLine="0"/>
              <w:rPr>
                <w:spacing w:val="-4"/>
                <w:lang w:val="sq-AL"/>
              </w:rPr>
            </w:pPr>
            <w:r w:rsidRPr="00160CB6">
              <w:rPr>
                <w:spacing w:val="-4"/>
                <w:lang w:val="sq-AL"/>
              </w:rPr>
              <w:t>Gani Dizdari</w:t>
            </w:r>
          </w:p>
        </w:tc>
        <w:tc>
          <w:tcPr>
            <w:tcW w:w="3260" w:type="dxa"/>
          </w:tcPr>
          <w:p w:rsidR="00D8751D" w:rsidRPr="00160CB6" w:rsidRDefault="00EE2A4C" w:rsidP="009A3AEF">
            <w:pPr>
              <w:pStyle w:val="Paragrafi"/>
              <w:ind w:firstLine="0"/>
              <w:rPr>
                <w:spacing w:val="-4"/>
                <w:lang w:val="sq-AL"/>
              </w:rPr>
            </w:pPr>
            <w:r>
              <w:rPr>
                <w:spacing w:val="-4"/>
                <w:lang w:val="sq-AL"/>
              </w:rPr>
              <w:t>anëtar    i</w:t>
            </w:r>
            <w:r w:rsidR="00C5543F">
              <w:rPr>
                <w:spacing w:val="-4"/>
                <w:lang w:val="sq-AL"/>
              </w:rPr>
              <w:t xml:space="preserve">  “</w:t>
            </w:r>
            <w:r w:rsidR="00D8751D" w:rsidRPr="00160CB6">
              <w:rPr>
                <w:spacing w:val="-4"/>
                <w:lang w:val="sq-AL"/>
              </w:rPr>
              <w:t xml:space="preserve">     </w:t>
            </w:r>
            <w:r w:rsidR="00D8751D">
              <w:rPr>
                <w:spacing w:val="-4"/>
                <w:lang w:val="sq-AL"/>
              </w:rPr>
              <w:t xml:space="preserve">             </w:t>
            </w:r>
            <w:r w:rsidR="00D8751D" w:rsidRPr="00160CB6">
              <w:rPr>
                <w:spacing w:val="-4"/>
                <w:lang w:val="sq-AL"/>
              </w:rPr>
              <w:t>“</w:t>
            </w:r>
          </w:p>
        </w:tc>
      </w:tr>
      <w:tr w:rsidR="00D8751D" w:rsidRPr="00160CB6" w:rsidTr="009A3AEF">
        <w:tc>
          <w:tcPr>
            <w:tcW w:w="1668" w:type="dxa"/>
          </w:tcPr>
          <w:p w:rsidR="00D8751D" w:rsidRPr="00160CB6" w:rsidRDefault="00D8751D" w:rsidP="009A3AEF">
            <w:pPr>
              <w:pStyle w:val="Paragrafi"/>
              <w:ind w:firstLine="0"/>
              <w:rPr>
                <w:spacing w:val="-4"/>
                <w:lang w:val="sq-AL"/>
              </w:rPr>
            </w:pPr>
            <w:r w:rsidRPr="00160CB6">
              <w:rPr>
                <w:spacing w:val="-4"/>
                <w:lang w:val="sq-AL"/>
              </w:rPr>
              <w:t>Besnik Imeraj</w:t>
            </w:r>
          </w:p>
        </w:tc>
        <w:tc>
          <w:tcPr>
            <w:tcW w:w="3260" w:type="dxa"/>
          </w:tcPr>
          <w:p w:rsidR="00D8751D" w:rsidRPr="00160CB6" w:rsidRDefault="00D8751D" w:rsidP="009A3AEF">
            <w:pPr>
              <w:pStyle w:val="Paragrafi"/>
              <w:ind w:firstLine="0"/>
              <w:rPr>
                <w:spacing w:val="-4"/>
                <w:lang w:val="sq-AL"/>
              </w:rPr>
            </w:pPr>
            <w:r w:rsidRPr="00160CB6">
              <w:rPr>
                <w:spacing w:val="-4"/>
                <w:lang w:val="sq-AL"/>
              </w:rPr>
              <w:t xml:space="preserve">anëtar    i </w:t>
            </w:r>
            <w:r w:rsidR="00EE2A4C">
              <w:rPr>
                <w:spacing w:val="-4"/>
                <w:lang w:val="sq-AL"/>
              </w:rPr>
              <w:t xml:space="preserve"> </w:t>
            </w:r>
            <w:r w:rsidR="00C5543F">
              <w:rPr>
                <w:spacing w:val="-4"/>
                <w:lang w:val="sq-AL"/>
              </w:rPr>
              <w:t>“</w:t>
            </w:r>
            <w:r w:rsidRPr="00160CB6">
              <w:rPr>
                <w:spacing w:val="-4"/>
                <w:lang w:val="sq-AL"/>
              </w:rPr>
              <w:t xml:space="preserve">     </w:t>
            </w:r>
            <w:r>
              <w:rPr>
                <w:spacing w:val="-4"/>
                <w:lang w:val="sq-AL"/>
              </w:rPr>
              <w:t xml:space="preserve">             </w:t>
            </w:r>
            <w:r w:rsidRPr="00160CB6">
              <w:rPr>
                <w:spacing w:val="-4"/>
                <w:lang w:val="sq-AL"/>
              </w:rPr>
              <w:t>“</w:t>
            </w:r>
          </w:p>
        </w:tc>
      </w:tr>
      <w:tr w:rsidR="00D8751D" w:rsidRPr="00160CB6" w:rsidTr="009A3AEF">
        <w:tc>
          <w:tcPr>
            <w:tcW w:w="1668" w:type="dxa"/>
          </w:tcPr>
          <w:p w:rsidR="00D8751D" w:rsidRPr="00160CB6" w:rsidRDefault="00D8751D" w:rsidP="009A3AEF">
            <w:pPr>
              <w:pStyle w:val="Paragrafi"/>
              <w:ind w:firstLine="0"/>
              <w:rPr>
                <w:spacing w:val="-4"/>
                <w:lang w:val="sq-AL"/>
              </w:rPr>
            </w:pPr>
            <w:r w:rsidRPr="00160CB6">
              <w:rPr>
                <w:spacing w:val="-4"/>
                <w:lang w:val="sq-AL"/>
              </w:rPr>
              <w:t>Fatos Lulo</w:t>
            </w:r>
          </w:p>
        </w:tc>
        <w:tc>
          <w:tcPr>
            <w:tcW w:w="3260" w:type="dxa"/>
          </w:tcPr>
          <w:p w:rsidR="00D8751D" w:rsidRPr="00160CB6" w:rsidRDefault="00EE2A4C" w:rsidP="009A3AEF">
            <w:pPr>
              <w:pStyle w:val="Paragrafi"/>
              <w:ind w:firstLine="0"/>
              <w:rPr>
                <w:spacing w:val="-4"/>
                <w:lang w:val="sq-AL"/>
              </w:rPr>
            </w:pPr>
            <w:r>
              <w:rPr>
                <w:spacing w:val="-4"/>
                <w:lang w:val="sq-AL"/>
              </w:rPr>
              <w:t>anëtar    i</w:t>
            </w:r>
            <w:r w:rsidR="00C5543F">
              <w:rPr>
                <w:spacing w:val="-4"/>
                <w:lang w:val="sq-AL"/>
              </w:rPr>
              <w:t xml:space="preserve">  “</w:t>
            </w:r>
            <w:r w:rsidR="00D8751D" w:rsidRPr="00160CB6">
              <w:rPr>
                <w:spacing w:val="-4"/>
                <w:lang w:val="sq-AL"/>
              </w:rPr>
              <w:t xml:space="preserve">     </w:t>
            </w:r>
            <w:r w:rsidR="00D8751D">
              <w:rPr>
                <w:spacing w:val="-4"/>
                <w:lang w:val="sq-AL"/>
              </w:rPr>
              <w:t xml:space="preserve">             </w:t>
            </w:r>
            <w:r w:rsidR="00D8751D" w:rsidRPr="00160CB6">
              <w:rPr>
                <w:spacing w:val="-4"/>
                <w:lang w:val="sq-AL"/>
              </w:rPr>
              <w:t>“</w:t>
            </w:r>
          </w:p>
        </w:tc>
      </w:tr>
      <w:tr w:rsidR="00D8751D" w:rsidRPr="00160CB6" w:rsidTr="009A3AEF">
        <w:tc>
          <w:tcPr>
            <w:tcW w:w="1668" w:type="dxa"/>
          </w:tcPr>
          <w:p w:rsidR="00D8751D" w:rsidRPr="00160CB6" w:rsidRDefault="00D8751D" w:rsidP="009A3AEF">
            <w:pPr>
              <w:pStyle w:val="Paragrafi"/>
              <w:ind w:firstLine="0"/>
              <w:rPr>
                <w:spacing w:val="-4"/>
                <w:lang w:val="sq-AL"/>
              </w:rPr>
            </w:pPr>
            <w:r w:rsidRPr="00160CB6">
              <w:rPr>
                <w:spacing w:val="-4"/>
                <w:lang w:val="sq-AL"/>
              </w:rPr>
              <w:t>Vitore Tusha</w:t>
            </w:r>
          </w:p>
        </w:tc>
        <w:tc>
          <w:tcPr>
            <w:tcW w:w="3260" w:type="dxa"/>
          </w:tcPr>
          <w:p w:rsidR="00D8751D" w:rsidRPr="00160CB6" w:rsidRDefault="00D8751D" w:rsidP="009A3AEF">
            <w:pPr>
              <w:pStyle w:val="Paragrafi"/>
              <w:ind w:firstLine="0"/>
              <w:rPr>
                <w:spacing w:val="-4"/>
                <w:lang w:val="sq-AL"/>
              </w:rPr>
            </w:pPr>
            <w:r w:rsidRPr="00160CB6">
              <w:rPr>
                <w:spacing w:val="-4"/>
                <w:lang w:val="sq-AL"/>
              </w:rPr>
              <w:t xml:space="preserve">anëtare  e  </w:t>
            </w:r>
            <w:r w:rsidR="00C5543F">
              <w:rPr>
                <w:spacing w:val="-4"/>
                <w:lang w:val="sq-AL"/>
              </w:rPr>
              <w:t>“</w:t>
            </w:r>
            <w:r w:rsidRPr="00160CB6">
              <w:rPr>
                <w:spacing w:val="-4"/>
                <w:lang w:val="sq-AL"/>
              </w:rPr>
              <w:t xml:space="preserve">     </w:t>
            </w:r>
            <w:r w:rsidR="00EE2A4C">
              <w:rPr>
                <w:spacing w:val="-4"/>
                <w:lang w:val="sq-AL"/>
              </w:rPr>
              <w:t xml:space="preserve">            </w:t>
            </w:r>
            <w:bookmarkStart w:id="0" w:name="_GoBack"/>
            <w:bookmarkEnd w:id="0"/>
            <w:r w:rsidRPr="00160CB6">
              <w:rPr>
                <w:spacing w:val="-4"/>
                <w:lang w:val="sq-AL"/>
              </w:rPr>
              <w:t>“</w:t>
            </w:r>
          </w:p>
        </w:tc>
      </w:tr>
    </w:tbl>
    <w:p w:rsidR="00D8751D" w:rsidRPr="00160CB6" w:rsidRDefault="00D8751D" w:rsidP="00D8751D">
      <w:pPr>
        <w:pStyle w:val="Paragrafi"/>
        <w:rPr>
          <w:spacing w:val="-4"/>
          <w:lang w:val="sq-AL"/>
        </w:rPr>
      </w:pPr>
      <w:r w:rsidRPr="00160CB6">
        <w:rPr>
          <w:spacing w:val="-4"/>
          <w:lang w:val="sq-AL"/>
        </w:rPr>
        <w:t>në datën 14.11.2017, me sekretare Belma Lleshi, mori në shqyrtim në seancë mbi bazë dokumentesh, çështjen me nr. 58 akti që i përket:</w:t>
      </w:r>
    </w:p>
    <w:p w:rsidR="00D8751D" w:rsidRPr="00160CB6" w:rsidRDefault="00D8751D" w:rsidP="00D8751D">
      <w:pPr>
        <w:pStyle w:val="Paragrafi"/>
        <w:rPr>
          <w:spacing w:val="-4"/>
          <w:lang w:val="sq-AL"/>
        </w:rPr>
      </w:pPr>
      <w:r w:rsidRPr="00160CB6">
        <w:rPr>
          <w:spacing w:val="-4"/>
          <w:lang w:val="sq-AL"/>
        </w:rPr>
        <w:t>KËRKUES: Angjelin Sterkaj</w:t>
      </w:r>
      <w:r w:rsidRPr="00160CB6">
        <w:rPr>
          <w:spacing w:val="-4"/>
          <w:lang w:val="sq-AL"/>
        </w:rPr>
        <w:tab/>
      </w:r>
      <w:r w:rsidRPr="00160CB6">
        <w:rPr>
          <w:spacing w:val="-4"/>
          <w:lang w:val="sq-AL"/>
        </w:rPr>
        <w:tab/>
        <w:t xml:space="preserve">  </w:t>
      </w:r>
    </w:p>
    <w:p w:rsidR="00D8751D" w:rsidRPr="00160CB6" w:rsidRDefault="00D8751D" w:rsidP="00D8751D">
      <w:pPr>
        <w:pStyle w:val="Paragrafi"/>
        <w:rPr>
          <w:spacing w:val="-4"/>
          <w:lang w:val="sq-AL"/>
        </w:rPr>
      </w:pPr>
      <w:r w:rsidRPr="00160CB6">
        <w:rPr>
          <w:spacing w:val="-4"/>
          <w:lang w:val="sq-AL"/>
        </w:rPr>
        <w:t xml:space="preserve">SUBJEKT I INTERESUAR: </w:t>
      </w:r>
      <w:r w:rsidRPr="00160CB6">
        <w:rPr>
          <w:spacing w:val="-4"/>
          <w:lang w:val="sq-AL"/>
        </w:rPr>
        <w:tab/>
      </w:r>
    </w:p>
    <w:p w:rsidR="00D8751D" w:rsidRPr="00160CB6" w:rsidRDefault="00D8751D" w:rsidP="00D8751D">
      <w:pPr>
        <w:pStyle w:val="Paragrafi"/>
        <w:rPr>
          <w:spacing w:val="-4"/>
          <w:lang w:val="sq-AL"/>
        </w:rPr>
      </w:pPr>
      <w:r w:rsidRPr="00160CB6">
        <w:rPr>
          <w:spacing w:val="-4"/>
          <w:lang w:val="sq-AL"/>
        </w:rPr>
        <w:t>Prokuroria e Përgjithshme, përfaqësuar nga z. Artur Selmani.</w:t>
      </w:r>
      <w:r w:rsidRPr="00160CB6">
        <w:rPr>
          <w:spacing w:val="-4"/>
          <w:lang w:val="sq-AL"/>
        </w:rPr>
        <w:tab/>
        <w:t xml:space="preserve"> </w:t>
      </w:r>
    </w:p>
    <w:p w:rsidR="00D8751D" w:rsidRPr="00160CB6" w:rsidRDefault="00D8751D" w:rsidP="00D8751D">
      <w:pPr>
        <w:pStyle w:val="Paragrafi"/>
        <w:rPr>
          <w:spacing w:val="-4"/>
          <w:lang w:val="sq-AL"/>
        </w:rPr>
      </w:pPr>
      <w:r w:rsidRPr="00160CB6">
        <w:rPr>
          <w:spacing w:val="-4"/>
          <w:lang w:val="sq-AL"/>
        </w:rPr>
        <w:t xml:space="preserve">  OBJEKTI:</w:t>
      </w:r>
      <w:r w:rsidRPr="00160CB6">
        <w:rPr>
          <w:spacing w:val="-4"/>
          <w:lang w:val="sq-AL"/>
        </w:rPr>
        <w:tab/>
      </w:r>
      <w:r>
        <w:rPr>
          <w:spacing w:val="-4"/>
          <w:lang w:val="sq-AL"/>
        </w:rPr>
        <w:t xml:space="preserve"> </w:t>
      </w:r>
      <w:r w:rsidRPr="00160CB6">
        <w:rPr>
          <w:spacing w:val="-4"/>
          <w:lang w:val="sq-AL"/>
        </w:rPr>
        <w:t xml:space="preserve">Shfuqizimi si të papajtueshme me Kushtetutën i vendimeve nr. 461, datë 20.7.2011, të Gjykatës së Rrethit Gjyqësor Shkodër; nr. 292, datë 26.6.2014, të Gjykatës së Apelit Shkodër; nr. 166, datë 16.3.2017, të Gjykatës së Lartë. </w:t>
      </w:r>
    </w:p>
    <w:p w:rsidR="00D8751D" w:rsidRPr="00160CB6" w:rsidRDefault="00D8751D" w:rsidP="00D8751D">
      <w:pPr>
        <w:pStyle w:val="Paragrafi"/>
        <w:rPr>
          <w:spacing w:val="-4"/>
          <w:lang w:val="sq-AL"/>
        </w:rPr>
      </w:pPr>
      <w:r w:rsidRPr="00160CB6">
        <w:rPr>
          <w:spacing w:val="-4"/>
          <w:lang w:val="sq-AL"/>
        </w:rPr>
        <w:t>BAZA LIGJORE:</w:t>
      </w:r>
      <w:r w:rsidRPr="00160CB6">
        <w:rPr>
          <w:spacing w:val="-4"/>
          <w:lang w:val="sq-AL"/>
        </w:rPr>
        <w:tab/>
      </w:r>
      <w:r>
        <w:rPr>
          <w:spacing w:val="-4"/>
          <w:lang w:val="sq-AL"/>
        </w:rPr>
        <w:t xml:space="preserve"> </w:t>
      </w:r>
      <w:r w:rsidRPr="00160CB6">
        <w:rPr>
          <w:spacing w:val="-4"/>
          <w:lang w:val="sq-AL"/>
        </w:rPr>
        <w:t>Nenet 42/1, 131/f dhe 134/1/g dhe paragrafi 2 i Kushtetutës së Republikës së Shqipërisë, si dhe ligji nr. 8577, datë 10.2.2000, “Për organizimin dhe funksionimin e Gjykatës Kushtetuese të Republik</w:t>
      </w:r>
      <w:r>
        <w:rPr>
          <w:spacing w:val="-4"/>
          <w:lang w:val="sq-AL"/>
        </w:rPr>
        <w:t xml:space="preserve">ës së Shqipërisë”, të ndryshuar, </w:t>
      </w:r>
    </w:p>
    <w:p w:rsidR="00D8751D" w:rsidRPr="001121E1" w:rsidRDefault="00D8751D" w:rsidP="00D8751D">
      <w:pPr>
        <w:pStyle w:val="Paragrafi"/>
        <w:jc w:val="center"/>
        <w:rPr>
          <w:spacing w:val="-4"/>
          <w:sz w:val="14"/>
          <w:lang w:val="sq-AL"/>
        </w:rPr>
      </w:pPr>
      <w:r w:rsidRPr="00160CB6">
        <w:rPr>
          <w:spacing w:val="-4"/>
          <w:lang w:val="sq-AL"/>
        </w:rPr>
        <w:t xml:space="preserve"> </w:t>
      </w:r>
    </w:p>
    <w:p w:rsidR="00D8751D" w:rsidRDefault="00D8751D" w:rsidP="00D8751D">
      <w:pPr>
        <w:pStyle w:val="Paragrafi"/>
        <w:jc w:val="center"/>
        <w:rPr>
          <w:spacing w:val="-4"/>
          <w:lang w:val="sq-AL"/>
        </w:rPr>
      </w:pPr>
      <w:r w:rsidRPr="00D76820">
        <w:rPr>
          <w:spacing w:val="-4"/>
          <w:lang w:val="sq-AL"/>
        </w:rPr>
        <w:t>GJYKATA KUSHTETUESE,</w:t>
      </w:r>
    </w:p>
    <w:p w:rsidR="00D8751D" w:rsidRPr="001121E1" w:rsidRDefault="00D8751D" w:rsidP="00D8751D">
      <w:pPr>
        <w:pStyle w:val="Paragrafi"/>
        <w:jc w:val="center"/>
        <w:rPr>
          <w:spacing w:val="-4"/>
          <w:sz w:val="14"/>
          <w:lang w:val="sq-AL"/>
        </w:rPr>
      </w:pPr>
    </w:p>
    <w:p w:rsidR="00D8751D" w:rsidRPr="00160CB6" w:rsidRDefault="00D8751D" w:rsidP="00D8751D">
      <w:pPr>
        <w:pStyle w:val="Paragrafi"/>
        <w:rPr>
          <w:spacing w:val="-4"/>
          <w:lang w:val="sq-AL"/>
        </w:rPr>
      </w:pPr>
      <w:r w:rsidRPr="00B45553">
        <w:rPr>
          <w:spacing w:val="-4"/>
          <w:lang w:val="sq-AL"/>
        </w:rPr>
        <w:t>pasi dëgjoi</w:t>
      </w:r>
      <w:r w:rsidRPr="00160CB6">
        <w:rPr>
          <w:spacing w:val="-4"/>
          <w:lang w:val="sq-AL"/>
        </w:rPr>
        <w:t xml:space="preserve"> relatoren e çështjes, Vitore Tusha, shqyrtoi kërkesën e kërkuesit, i cili kërkoi pranimin e kërkesës dhe prapësimet e subjektit të interesuar, Prokurorisë së Përgjithshme, e cila  kërkoi rrëzimin e kërkesës, si dhe diskutoi çështjen në tërësi,</w:t>
      </w:r>
    </w:p>
    <w:p w:rsidR="00D8751D" w:rsidRPr="00256D1B" w:rsidRDefault="00D8751D" w:rsidP="00D8751D">
      <w:pPr>
        <w:pStyle w:val="Paragrafi"/>
        <w:rPr>
          <w:spacing w:val="-4"/>
          <w:sz w:val="16"/>
          <w:lang w:val="sq-AL"/>
        </w:rPr>
      </w:pPr>
    </w:p>
    <w:p w:rsidR="00D8751D" w:rsidRPr="00160CB6" w:rsidRDefault="00D8751D" w:rsidP="00D8751D">
      <w:pPr>
        <w:pStyle w:val="NeniTitull"/>
        <w:rPr>
          <w:spacing w:val="-4"/>
          <w:lang w:val="sq-AL"/>
        </w:rPr>
      </w:pPr>
      <w:r w:rsidRPr="00160CB6">
        <w:rPr>
          <w:spacing w:val="-4"/>
          <w:lang w:val="sq-AL"/>
        </w:rPr>
        <w:t>VËREN:</w:t>
      </w:r>
    </w:p>
    <w:p w:rsidR="00D8751D" w:rsidRPr="00256D1B" w:rsidRDefault="00D8751D" w:rsidP="00D8751D">
      <w:pPr>
        <w:pStyle w:val="NeniTitull"/>
        <w:rPr>
          <w:spacing w:val="-4"/>
          <w:sz w:val="12"/>
          <w:lang w:val="sq-AL"/>
        </w:rPr>
      </w:pPr>
    </w:p>
    <w:p w:rsidR="00D8751D" w:rsidRPr="00160CB6" w:rsidRDefault="00D8751D" w:rsidP="00D8751D">
      <w:pPr>
        <w:pStyle w:val="NeniTitull"/>
        <w:rPr>
          <w:spacing w:val="-4"/>
          <w:lang w:val="sq-AL"/>
        </w:rPr>
      </w:pPr>
      <w:r w:rsidRPr="00160CB6">
        <w:rPr>
          <w:spacing w:val="-4"/>
          <w:lang w:val="sq-AL"/>
        </w:rPr>
        <w:t>I</w:t>
      </w:r>
    </w:p>
    <w:p w:rsidR="00D8751D" w:rsidRPr="00160CB6" w:rsidRDefault="00D8751D" w:rsidP="00D8751D">
      <w:pPr>
        <w:pStyle w:val="Paragrafi"/>
        <w:rPr>
          <w:spacing w:val="-4"/>
          <w:lang w:val="sq-AL"/>
        </w:rPr>
      </w:pPr>
      <w:r w:rsidRPr="00160CB6">
        <w:rPr>
          <w:spacing w:val="-4"/>
          <w:lang w:val="sq-AL"/>
        </w:rPr>
        <w:t>1. Gjykata e Rrethit Gjyqësor Shkodër, me vendimin nr. 461, datë 20.7.2011, ka vendosur, ndër të tjera, deklarimin fajtor të kërkuesit për kryerjen e veprës penale “Vjedhja”, e kryer në bashkëpunim dhe dënimin e tij me 19 vjet burgim.</w:t>
      </w:r>
    </w:p>
    <w:p w:rsidR="00D8751D" w:rsidRPr="00160CB6" w:rsidRDefault="00D8751D" w:rsidP="00D8751D">
      <w:pPr>
        <w:pStyle w:val="Paragrafi"/>
        <w:rPr>
          <w:spacing w:val="-4"/>
          <w:lang w:val="sq-AL"/>
        </w:rPr>
      </w:pPr>
      <w:r w:rsidRPr="00160CB6">
        <w:rPr>
          <w:spacing w:val="-4"/>
          <w:lang w:val="sq-AL"/>
        </w:rPr>
        <w:t>2. Gjykata e Apelit Shkodër, me vendimin nr. 163, datë 26.7.2012, ka vendosur prishjen e vendimit nr. 461, datë 20.7.2011, të Gjykatës së Rrethit Gjyqësor Shkodër dhe dërgimin e çështjes për kompetencë në Gjykatën e Shkallës së Parë për Krime të Rënda.</w:t>
      </w:r>
    </w:p>
    <w:p w:rsidR="00D8751D" w:rsidRPr="00160CB6" w:rsidRDefault="00D8751D" w:rsidP="00D8751D">
      <w:pPr>
        <w:pStyle w:val="Paragrafi"/>
        <w:rPr>
          <w:spacing w:val="-4"/>
          <w:lang w:val="sq-AL"/>
        </w:rPr>
      </w:pPr>
      <w:r w:rsidRPr="00160CB6">
        <w:rPr>
          <w:spacing w:val="-4"/>
          <w:lang w:val="sq-AL"/>
        </w:rPr>
        <w:t xml:space="preserve">3. Gjykata e Lartë, me vendimin nr. 319, datë 25.11.2013, ka vendosur prishjen e vendimit nr. 163, datë 26.7.2012, të  Gjykatës së Apelit Shkodër dhe dërgimin e çështjes për rishqyrtim në po atë gjykatë me tjetër trup gjykues. </w:t>
      </w:r>
    </w:p>
    <w:p w:rsidR="00D8751D" w:rsidRPr="00160CB6" w:rsidRDefault="00D8751D" w:rsidP="00D8751D">
      <w:pPr>
        <w:pStyle w:val="Paragrafi"/>
        <w:rPr>
          <w:spacing w:val="-4"/>
          <w:lang w:val="sq-AL"/>
        </w:rPr>
      </w:pPr>
      <w:r w:rsidRPr="00160CB6">
        <w:rPr>
          <w:spacing w:val="-4"/>
          <w:lang w:val="sq-AL"/>
        </w:rPr>
        <w:t xml:space="preserve">4. Gjykata e Apelit Shkodër, me vendimin nr. 292, datë 26.6.2014, ka vendosur ndryshimin e vendimit nr. 461, datë 20.7.2011, të Gjykatës së Rrethit Gjyqësor Shkodër, duke vendosur, ndër të tjera, deklarimin fajtor të kërkuesit për kryerjen e veprës penale “Vjedhja me dhunë”, e kryer në bashkëpunim dhe dënimin e tij me 5 vjet burgim. Kolegji Penal i Gjykatës së Lartë, me vendimin nr. 166, datë 16.3.2017, ka vendosur mospranimin e rekursit të paraqitur nga kërkuesi. </w:t>
      </w:r>
    </w:p>
    <w:p w:rsidR="00D8751D" w:rsidRPr="00256D1B" w:rsidRDefault="00D8751D" w:rsidP="00D8751D">
      <w:pPr>
        <w:pStyle w:val="Paragrafi"/>
        <w:rPr>
          <w:spacing w:val="-4"/>
          <w:sz w:val="16"/>
          <w:lang w:val="sq-AL"/>
        </w:rPr>
      </w:pPr>
    </w:p>
    <w:p w:rsidR="00D8751D" w:rsidRPr="00160CB6" w:rsidRDefault="00D8751D" w:rsidP="00D8751D">
      <w:pPr>
        <w:pStyle w:val="NeniNr"/>
        <w:rPr>
          <w:b/>
          <w:spacing w:val="-4"/>
          <w:lang w:val="sq-AL"/>
        </w:rPr>
      </w:pPr>
      <w:r w:rsidRPr="00160CB6">
        <w:rPr>
          <w:b/>
          <w:spacing w:val="-4"/>
          <w:lang w:val="sq-AL"/>
        </w:rPr>
        <w:t>II</w:t>
      </w:r>
    </w:p>
    <w:p w:rsidR="00D8751D" w:rsidRPr="00160CB6" w:rsidRDefault="00D8751D" w:rsidP="00D8751D">
      <w:pPr>
        <w:pStyle w:val="Paragrafi"/>
        <w:rPr>
          <w:spacing w:val="-4"/>
          <w:lang w:val="sq-AL"/>
        </w:rPr>
      </w:pPr>
      <w:r w:rsidRPr="00160CB6">
        <w:rPr>
          <w:spacing w:val="-4"/>
          <w:lang w:val="sq-AL"/>
        </w:rPr>
        <w:t>5. Kërkuesi i është drejtuar Gjykatës Kushtetuese (Gjykata), duke pretenduar se ndaj tij është zhvilluar një proces i parregullt ligjor. Më konkretisht, ai ka parashtruar se:</w:t>
      </w:r>
    </w:p>
    <w:p w:rsidR="00D8751D" w:rsidRPr="00160CB6" w:rsidRDefault="00D8751D" w:rsidP="00D8751D">
      <w:pPr>
        <w:pStyle w:val="Paragrafi"/>
        <w:rPr>
          <w:spacing w:val="-4"/>
          <w:lang w:val="sq-AL"/>
        </w:rPr>
      </w:pPr>
      <w:r w:rsidRPr="00160CB6">
        <w:rPr>
          <w:spacing w:val="-4"/>
          <w:lang w:val="sq-AL"/>
        </w:rPr>
        <w:lastRenderedPageBreak/>
        <w:t xml:space="preserve">5.1 Gjykatat nuk janë treguar të paanshme në dhënien e vendimeve gjyqësore. Vendimi i Gjykatës së Rrethit Gjyqësor Shkodër është dhënë në kundërshtim me provat që gjenden në fashikullin e gjykimit. </w:t>
      </w:r>
    </w:p>
    <w:p w:rsidR="00D8751D" w:rsidRPr="00160CB6" w:rsidRDefault="00D8751D" w:rsidP="00D8751D">
      <w:pPr>
        <w:pStyle w:val="Paragrafi"/>
        <w:rPr>
          <w:spacing w:val="-4"/>
          <w:lang w:val="sq-AL"/>
        </w:rPr>
      </w:pPr>
      <w:r w:rsidRPr="00160CB6">
        <w:rPr>
          <w:spacing w:val="-4"/>
          <w:lang w:val="sq-AL"/>
        </w:rPr>
        <w:t xml:space="preserve">5.2 Vendimet gjyqësore që kundërshtohen nuk janë dhënë brenda një afati të arsyeshëm. Sipas kërkuesit, procesi gjyqësor ka filluar në vitin 2011 dhe ka përfunduar në Gjykatën e Lartë në vitin 2017, pra ka zgjatur gjashtë vjet, çka nuk përbën një afat të arsyeshëm për kohëzgjatjen e procesit gjyqësor.  </w:t>
      </w:r>
    </w:p>
    <w:p w:rsidR="00D8751D" w:rsidRPr="00160CB6" w:rsidRDefault="00D8751D" w:rsidP="00D8751D">
      <w:pPr>
        <w:pStyle w:val="Paragrafi"/>
        <w:rPr>
          <w:spacing w:val="-4"/>
          <w:lang w:val="sq-AL"/>
        </w:rPr>
      </w:pPr>
      <w:r w:rsidRPr="00160CB6">
        <w:rPr>
          <w:spacing w:val="-4"/>
          <w:lang w:val="sq-AL"/>
        </w:rPr>
        <w:t>6</w:t>
      </w:r>
      <w:r w:rsidRPr="00160CB6">
        <w:rPr>
          <w:b/>
          <w:i/>
          <w:spacing w:val="-4"/>
          <w:lang w:val="sq-AL"/>
        </w:rPr>
        <w:t>. Subjekti i interesuar, Prokuroria e Përgjithshme</w:t>
      </w:r>
      <w:r w:rsidRPr="00160CB6">
        <w:rPr>
          <w:spacing w:val="-4"/>
          <w:lang w:val="sq-AL"/>
        </w:rPr>
        <w:t>, prapëson se pretendimet e kërkuesit në lidhje me mungesën e respektimit të elementeve të procesit të rregullt ligjor nuk qëndrojnë dhe se kërkesa nuk duhej kaluar në seancë plenare. Ajo paraqet në mënyrë të përmbledhur:</w:t>
      </w:r>
    </w:p>
    <w:p w:rsidR="00D8751D" w:rsidRPr="00160CB6" w:rsidRDefault="00D8751D" w:rsidP="00D8751D">
      <w:pPr>
        <w:pStyle w:val="Paragrafi"/>
        <w:rPr>
          <w:spacing w:val="-4"/>
          <w:lang w:val="sq-AL"/>
        </w:rPr>
      </w:pPr>
      <w:r w:rsidRPr="00160CB6">
        <w:rPr>
          <w:spacing w:val="-4"/>
          <w:lang w:val="sq-AL"/>
        </w:rPr>
        <w:t>6.1 Pretendimet e kërkuesit nuk hyjnë në juridiksionin kushtetues, pasi ai kundërshton vlerësimin juridik të rrethanave të çështjes dhe ngre pretendime për pamjaftueshmërinë e provave, që sipas jurisprudencës së Gjykatës Kushtetuese i takojnë juridiksionit të zakonshëm.</w:t>
      </w:r>
    </w:p>
    <w:p w:rsidR="00D8751D" w:rsidRPr="00160CB6" w:rsidRDefault="00D8751D" w:rsidP="00D8751D">
      <w:pPr>
        <w:pStyle w:val="Paragrafi"/>
        <w:rPr>
          <w:spacing w:val="-4"/>
          <w:lang w:val="sq-AL"/>
        </w:rPr>
      </w:pPr>
      <w:r w:rsidRPr="00160CB6">
        <w:rPr>
          <w:spacing w:val="-4"/>
          <w:lang w:val="sq-AL"/>
        </w:rPr>
        <w:t>6.2 Kërkuesi e mbështet pretendimin për anësinë e gjykatës në vlerësimin e provave të administruara, që bëhet nga gjykatat mbi bazën e  bindjes së brendshme dhe nuk është i mjaftueshëm për të mbështetur pretendimet për njëanshmërinë e saj në marrjen e vendimit.</w:t>
      </w:r>
    </w:p>
    <w:p w:rsidR="00D8751D" w:rsidRPr="00160CB6" w:rsidRDefault="00D8751D" w:rsidP="00D8751D">
      <w:pPr>
        <w:pStyle w:val="Paragrafi"/>
        <w:rPr>
          <w:spacing w:val="-4"/>
          <w:lang w:val="sq-AL"/>
        </w:rPr>
      </w:pPr>
      <w:r w:rsidRPr="00160CB6">
        <w:rPr>
          <w:spacing w:val="-4"/>
          <w:lang w:val="sq-AL"/>
        </w:rPr>
        <w:t>6.3 Lidhur me pretendimin për kohëzgjatje të paarsyeshme të procesit gjyqësor, kërkuesi me sjelljen e tij ka ndikuar në një masë të rëndësishme në kohëzgjatjen e gjykimit dhe, nga ana tjetër, çështja objekt gjykimi ka qenë komplekse, sepse gjykata ka pasur në shqyrtim dy akuza të ngritura ndaj kërkuesit për dy episode të ndryshme në kohë.</w:t>
      </w:r>
    </w:p>
    <w:p w:rsidR="00D8751D" w:rsidRPr="00160CB6" w:rsidRDefault="00D8751D" w:rsidP="00D8751D">
      <w:pPr>
        <w:pStyle w:val="Paragrafi"/>
        <w:rPr>
          <w:spacing w:val="-4"/>
          <w:lang w:val="sq-AL"/>
        </w:rPr>
      </w:pPr>
      <w:r w:rsidRPr="00160CB6">
        <w:rPr>
          <w:spacing w:val="-4"/>
          <w:lang w:val="sq-AL"/>
        </w:rPr>
        <w:t>6.4 Në të gjitha shkallët, gjykimi është zhvilluar në mungesë të kërkuesit në mënyrë të vullnetshme, dhe sipas jurisprudencës së GJEDNJ-së kur një person i akuzuar ikën nga një shtet që i përmbahet sundimit të ligjit, supozohet se ai nuk ka të drejtë të ankohet për kohëzgjatje të paarsyeshme të procedurave, pasi ai ka ikur, përveç nëse ai mund të japë arsye të mjaftueshme për të kundërshtuar këtë supozim (Vayiç kundër Turqisë, Buldashev kundër Rusisë etj.).</w:t>
      </w:r>
    </w:p>
    <w:p w:rsidR="00D8751D" w:rsidRPr="00256D1B" w:rsidRDefault="00D8751D" w:rsidP="00D8751D">
      <w:pPr>
        <w:pStyle w:val="Paragrafi"/>
        <w:rPr>
          <w:spacing w:val="-4"/>
          <w:sz w:val="14"/>
          <w:lang w:val="sq-AL"/>
        </w:rPr>
      </w:pPr>
    </w:p>
    <w:p w:rsidR="00D8751D" w:rsidRPr="00160CB6" w:rsidRDefault="00D8751D" w:rsidP="00D8751D">
      <w:pPr>
        <w:pStyle w:val="NeniTitull"/>
        <w:rPr>
          <w:spacing w:val="-4"/>
          <w:lang w:val="sq-AL"/>
        </w:rPr>
      </w:pPr>
      <w:r w:rsidRPr="00160CB6">
        <w:rPr>
          <w:spacing w:val="-4"/>
          <w:lang w:val="sq-AL"/>
        </w:rPr>
        <w:t>III</w:t>
      </w:r>
    </w:p>
    <w:p w:rsidR="00D8751D" w:rsidRPr="00160CB6" w:rsidRDefault="00D8751D" w:rsidP="00D8751D">
      <w:pPr>
        <w:pStyle w:val="NeniTitull"/>
        <w:rPr>
          <w:spacing w:val="-4"/>
          <w:lang w:val="sq-AL"/>
        </w:rPr>
      </w:pPr>
      <w:r w:rsidRPr="00160CB6">
        <w:rPr>
          <w:spacing w:val="-4"/>
          <w:lang w:val="sq-AL"/>
        </w:rPr>
        <w:t>Vlerësimi i Gjykatës</w:t>
      </w:r>
    </w:p>
    <w:p w:rsidR="00D8751D" w:rsidRPr="00256D1B" w:rsidRDefault="00D8751D" w:rsidP="00D8751D">
      <w:pPr>
        <w:pStyle w:val="Paragrafi"/>
        <w:rPr>
          <w:i/>
          <w:spacing w:val="-4"/>
          <w:sz w:val="14"/>
          <w:lang w:val="sq-AL"/>
        </w:rPr>
      </w:pPr>
    </w:p>
    <w:p w:rsidR="00D8751D" w:rsidRPr="00160CB6" w:rsidRDefault="00D8751D" w:rsidP="00D8751D">
      <w:pPr>
        <w:pStyle w:val="Paragrafi"/>
        <w:rPr>
          <w:i/>
          <w:spacing w:val="-4"/>
          <w:lang w:val="sq-AL"/>
        </w:rPr>
      </w:pPr>
      <w:r w:rsidRPr="00160CB6">
        <w:rPr>
          <w:i/>
          <w:spacing w:val="-4"/>
          <w:lang w:val="sq-AL"/>
        </w:rPr>
        <w:t xml:space="preserve">A. Për legjitimimin e kërkuesit  </w:t>
      </w:r>
    </w:p>
    <w:p w:rsidR="00D8751D" w:rsidRPr="00160CB6" w:rsidRDefault="00D8751D" w:rsidP="00D8751D">
      <w:pPr>
        <w:pStyle w:val="Paragrafi"/>
        <w:rPr>
          <w:spacing w:val="-4"/>
          <w:lang w:val="sq-AL"/>
        </w:rPr>
      </w:pPr>
      <w:r w:rsidRPr="00160CB6">
        <w:rPr>
          <w:spacing w:val="-4"/>
          <w:lang w:val="sq-AL"/>
        </w:rPr>
        <w:t xml:space="preserve">7. Individi, në kuptim të neneve 131/1/f, 134/1/i dhe 134/2 të Kushtetutës, mund të vërë në lëvizje Gjykatën Kushtetuese kur pretendon se i janë cenuar të drejtat themelore kushtetuese. </w:t>
      </w:r>
    </w:p>
    <w:p w:rsidR="00D8751D" w:rsidRPr="00160CB6" w:rsidRDefault="00D8751D" w:rsidP="00D8751D">
      <w:pPr>
        <w:pStyle w:val="Paragrafi"/>
        <w:rPr>
          <w:spacing w:val="-4"/>
          <w:lang w:val="sq-AL"/>
        </w:rPr>
      </w:pPr>
      <w:r w:rsidRPr="00160CB6">
        <w:rPr>
          <w:spacing w:val="-4"/>
          <w:lang w:val="sq-AL"/>
        </w:rPr>
        <w:t>8. Neni 71 i ligjit nr. 8577, datë 10.2.2000, “Për organizimin dhe funksionimin e Gjykatës Kushtetuese të Republikës së Shqipërisë”, të ndryshuar, parashikon: “1. 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w:t>
      </w:r>
      <w:r w:rsidRPr="00256D1B">
        <w:rPr>
          <w:spacing w:val="-6"/>
          <w:lang w:val="sq-AL"/>
        </w:rPr>
        <w:t>a të këtij ligji”. Ndërsa neni 71/a i ligjit parashikon se “ankimi kushtetues individual shqyrtohet nga Gjykata Kushtetuese kur: a) kërkuesi ka shteruar të gjitha mjetet juridike efektive para se t’i drejtohet Gjykatës Kushtetuese ose kur legjislacioni i brendshëm nuk parashikon mjete juridike efektive në dispozicion; b) kërkesa paraqitet brenda afatit 4-mujor nga konstatimi i cenimit; c) pasojat negative të pretenduara janë të drejtpërdrejta dhe reale për kërkuesin; ç) shqyrtimi i çështjes nga Gjykata Kushtetuese do të mund të rivendoste në vend të drejtën e shkelur të</w:t>
      </w:r>
      <w:r w:rsidRPr="00160CB6">
        <w:rPr>
          <w:spacing w:val="-4"/>
          <w:lang w:val="sq-AL"/>
        </w:rPr>
        <w:t xml:space="preserve"> individit.”.</w:t>
      </w:r>
    </w:p>
    <w:p w:rsidR="00D8751D" w:rsidRPr="00160CB6" w:rsidRDefault="00D8751D" w:rsidP="00D8751D">
      <w:pPr>
        <w:pStyle w:val="Paragrafi"/>
        <w:rPr>
          <w:spacing w:val="-4"/>
          <w:lang w:val="sq-AL"/>
        </w:rPr>
      </w:pPr>
      <w:r w:rsidRPr="00160CB6">
        <w:rPr>
          <w:spacing w:val="-4"/>
          <w:lang w:val="sq-AL"/>
        </w:rPr>
        <w:t xml:space="preserve">9. Kërkuesi legjitimohet </w:t>
      </w:r>
      <w:r w:rsidRPr="00160CB6">
        <w:rPr>
          <w:i/>
          <w:spacing w:val="-4"/>
          <w:lang w:val="sq-AL"/>
        </w:rPr>
        <w:t>ratione personae</w:t>
      </w:r>
      <w:r w:rsidRPr="00160CB6">
        <w:rPr>
          <w:spacing w:val="-4"/>
          <w:lang w:val="sq-AL"/>
        </w:rPr>
        <w:t xml:space="preserve"> në lidhje me pretendimet e tij, të cilat i ka paraqitur në kërkesë, në kuptim të nenit 131/1/f dhe 134/1/i të Kushtetutës dhe </w:t>
      </w:r>
      <w:r w:rsidRPr="00160CB6">
        <w:rPr>
          <w:i/>
          <w:spacing w:val="-4"/>
          <w:lang w:val="sq-AL"/>
        </w:rPr>
        <w:t>ratione temporis</w:t>
      </w:r>
      <w:r w:rsidRPr="00160CB6">
        <w:rPr>
          <w:spacing w:val="-4"/>
          <w:lang w:val="sq-AL"/>
        </w:rPr>
        <w:t xml:space="preserve">, pasi kërkesa është paraqitur në Gjykatën Kushtetuese brenda afatit 4-mujor, të parashikuar nga ligji nr. 8577, datë 10.2.2000, “Për organizimin dhe funksionimin e Gjykatës Kushtetuese të Republikës së Shqipërisë”, i ndryshuar.  </w:t>
      </w:r>
    </w:p>
    <w:p w:rsidR="00D8751D" w:rsidRPr="00160CB6" w:rsidRDefault="00D8751D" w:rsidP="00D8751D">
      <w:pPr>
        <w:pStyle w:val="Paragrafi"/>
        <w:rPr>
          <w:spacing w:val="-4"/>
          <w:lang w:val="sq-AL"/>
        </w:rPr>
      </w:pPr>
      <w:r w:rsidRPr="00160CB6">
        <w:rPr>
          <w:spacing w:val="-4"/>
          <w:lang w:val="sq-AL"/>
        </w:rPr>
        <w:t xml:space="preserve">10. Në lidhje me legjitimimin </w:t>
      </w:r>
      <w:r w:rsidRPr="00160CB6">
        <w:rPr>
          <w:i/>
          <w:spacing w:val="-4"/>
          <w:lang w:val="sq-AL"/>
        </w:rPr>
        <w:t>ratione materiae</w:t>
      </w:r>
      <w:r w:rsidRPr="00160CB6">
        <w:rPr>
          <w:spacing w:val="-4"/>
          <w:lang w:val="sq-AL"/>
        </w:rPr>
        <w:t xml:space="preserve"> vërehet se kërkuesi ka ngritur pretendime të cilat </w:t>
      </w:r>
      <w:r w:rsidRPr="00160CB6">
        <w:rPr>
          <w:i/>
          <w:spacing w:val="-4"/>
          <w:lang w:val="sq-AL"/>
        </w:rPr>
        <w:t>prima facie</w:t>
      </w:r>
      <w:r w:rsidRPr="00160CB6">
        <w:rPr>
          <w:spacing w:val="-4"/>
          <w:lang w:val="sq-AL"/>
        </w:rPr>
        <w:t xml:space="preserve"> lidhen me të drejtën kushtetuese për një proces të rregullt ligjor. Në vijim janë shqyrtuar pretendimet e kërkuesit.</w:t>
      </w:r>
    </w:p>
    <w:p w:rsidR="00D8751D" w:rsidRPr="00160CB6" w:rsidRDefault="00D8751D" w:rsidP="00D8751D">
      <w:pPr>
        <w:pStyle w:val="Paragrafi"/>
        <w:rPr>
          <w:i/>
          <w:spacing w:val="-4"/>
          <w:lang w:val="sq-AL"/>
        </w:rPr>
      </w:pPr>
      <w:r w:rsidRPr="00160CB6">
        <w:rPr>
          <w:i/>
          <w:spacing w:val="-4"/>
          <w:lang w:val="sq-AL"/>
        </w:rPr>
        <w:lastRenderedPageBreak/>
        <w:t xml:space="preserve">a) Për pretendimin e cenimit të parimit të gjykimit nga një gjykatë e paanshme </w:t>
      </w:r>
    </w:p>
    <w:p w:rsidR="00D8751D" w:rsidRPr="00160CB6" w:rsidRDefault="00D8751D" w:rsidP="00D8751D">
      <w:pPr>
        <w:pStyle w:val="Paragrafi"/>
        <w:rPr>
          <w:spacing w:val="-4"/>
          <w:lang w:val="sq-AL"/>
        </w:rPr>
      </w:pPr>
      <w:r w:rsidRPr="00160CB6">
        <w:rPr>
          <w:spacing w:val="-4"/>
          <w:lang w:val="sq-AL"/>
        </w:rPr>
        <w:t>11. Kërkuesi ka pretenduar se gjykatat nuk janë treguar të paanshme në dhënien e vendimeve. Vendimi i Gjykatës së Rrethit Gjyqësor Shkodër është dhënë në kundërshtim me provat që gjenden në fashikullin e gjykimit. Subjekti i interesuar ka prapësuar se kërkuesi e mbështet pretendimin për anësinë e gjykatës në vlerësimin e provave të administruara, që bëhet nga gjykatat mbi bazën e bindjes së brendshme dhe nuk është i mjaftueshëm për të mbështetur pretendimet për njëanshmërinë e saj në marrjen e vendimit.</w:t>
      </w:r>
    </w:p>
    <w:p w:rsidR="00D8751D" w:rsidRPr="00160CB6" w:rsidRDefault="00D8751D" w:rsidP="00D8751D">
      <w:pPr>
        <w:pStyle w:val="Paragrafi"/>
        <w:rPr>
          <w:spacing w:val="-4"/>
          <w:lang w:val="sq-AL"/>
        </w:rPr>
      </w:pPr>
      <w:r w:rsidRPr="00160CB6">
        <w:rPr>
          <w:spacing w:val="-4"/>
          <w:lang w:val="sq-AL"/>
        </w:rPr>
        <w:t>12. Gjykata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160CB6">
        <w:rPr>
          <w:i/>
          <w:spacing w:val="-4"/>
          <w:lang w:val="sq-AL"/>
        </w:rPr>
        <w:t>shih vendimin nr. 49, datë 10.7.2015, të Gjykatës Kushtetuese</w:t>
      </w:r>
      <w:r w:rsidRPr="00160CB6">
        <w:rPr>
          <w:spacing w:val="-4"/>
          <w:lang w:val="sq-AL"/>
        </w:rPr>
        <w:t>).</w:t>
      </w:r>
    </w:p>
    <w:p w:rsidR="00D8751D" w:rsidRPr="00160CB6" w:rsidRDefault="00D8751D" w:rsidP="00D8751D">
      <w:pPr>
        <w:pStyle w:val="Paragrafi"/>
        <w:rPr>
          <w:spacing w:val="-4"/>
          <w:lang w:val="sq-AL"/>
        </w:rPr>
      </w:pPr>
      <w:r w:rsidRPr="00160CB6">
        <w:rPr>
          <w:spacing w:val="-4"/>
          <w:lang w:val="sq-AL"/>
        </w:rPr>
        <w:t xml:space="preserve">13. Në kuptim të nenit 42/2 të Kushtetutës,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160CB6">
        <w:rPr>
          <w:i/>
          <w:spacing w:val="-4"/>
          <w:lang w:val="sq-AL"/>
        </w:rPr>
        <w:t>(shih vendimin nr. 49, datë 10.7.2015, të Gjykatës Kushtetuese</w:t>
      </w:r>
      <w:r w:rsidRPr="00160CB6">
        <w:rPr>
          <w:spacing w:val="-4"/>
          <w:lang w:val="sq-AL"/>
        </w:rPr>
        <w:t>).</w:t>
      </w:r>
    </w:p>
    <w:p w:rsidR="00D8751D" w:rsidRPr="00160CB6" w:rsidRDefault="00D8751D" w:rsidP="00D8751D">
      <w:pPr>
        <w:pStyle w:val="Paragrafi"/>
        <w:rPr>
          <w:spacing w:val="-4"/>
          <w:lang w:val="sq-AL"/>
        </w:rPr>
      </w:pPr>
      <w:r w:rsidRPr="00160CB6">
        <w:rPr>
          <w:spacing w:val="-4"/>
          <w:lang w:val="sq-AL"/>
        </w:rPr>
        <w:t>14. Duke iu kthyer çështjes konkrete, rezulton se pretendimi i kërkuesit nuk lidhet me parimin e paanësisë, por me mënyrën e vlerësimit të provave. Ai ka pretenduar se gjykata e shkallës së parë e ka dhënë vendimin në kundërshtim me provat e administruara gjatë gjykimit. Gjykata ka ritheksuar vazhdimisht qëndrimin e saj të konsoliduar se mënyra e vlerësimit të provave dhe mënyra e zbatimit të ligjit material janë, si rregull, atribut i gjykatave të zakonshme, ndërsa detyra e Gjykatës Kushtetuese është të sigurojë nëse procesi në tërësinë e tij, përfshirë edhe mënyrën në të cilën janë marrë provat, ka qenë i rregullt. Roli i saj nuk është të rivlerësojë faktet, zbatimin e ligjit material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160CB6">
        <w:rPr>
          <w:i/>
          <w:spacing w:val="-4"/>
          <w:lang w:val="sq-AL"/>
        </w:rPr>
        <w:t>shih vendimet nr. 40, datë 25.6.2015; nr. 4, datë 5.2.2014; nr. 34, datë 12.7.2013, të Gjykatës Kushtetuese</w:t>
      </w:r>
      <w:r w:rsidRPr="00160CB6">
        <w:rPr>
          <w:spacing w:val="-4"/>
          <w:lang w:val="sq-AL"/>
        </w:rPr>
        <w:t xml:space="preserve">). </w:t>
      </w:r>
    </w:p>
    <w:p w:rsidR="00D8751D" w:rsidRPr="00160CB6" w:rsidRDefault="00D8751D" w:rsidP="00D8751D">
      <w:pPr>
        <w:pStyle w:val="Paragrafi"/>
        <w:rPr>
          <w:spacing w:val="-4"/>
          <w:lang w:val="sq-AL"/>
        </w:rPr>
      </w:pPr>
      <w:r w:rsidRPr="00160CB6">
        <w:rPr>
          <w:spacing w:val="-4"/>
          <w:lang w:val="sq-AL"/>
        </w:rPr>
        <w:t>15. Nisur nga këto standarde, Gjykata vlerëson se pretendimet e mësipërme të kërkuesit nuk hyjnë në juridiksionin kushtetues, ndaj nuk mund të merren në shqyrtim nga Gjykata.</w:t>
      </w:r>
    </w:p>
    <w:p w:rsidR="00D8751D" w:rsidRPr="00160CB6" w:rsidRDefault="00D8751D" w:rsidP="00D8751D">
      <w:pPr>
        <w:pStyle w:val="Paragrafi"/>
        <w:rPr>
          <w:i/>
          <w:spacing w:val="-4"/>
          <w:lang w:val="sq-AL"/>
        </w:rPr>
      </w:pPr>
      <w:r w:rsidRPr="00160CB6">
        <w:rPr>
          <w:i/>
          <w:spacing w:val="-4"/>
          <w:lang w:val="sq-AL"/>
        </w:rPr>
        <w:t xml:space="preserve">b) Për pretendimin e mosgjykimit brenda një afati të arsyeshëm </w:t>
      </w:r>
    </w:p>
    <w:p w:rsidR="00D8751D" w:rsidRPr="00160CB6" w:rsidRDefault="00D8751D" w:rsidP="00D8751D">
      <w:pPr>
        <w:pStyle w:val="Paragrafi"/>
        <w:rPr>
          <w:spacing w:val="-4"/>
          <w:lang w:val="sq-AL"/>
        </w:rPr>
      </w:pPr>
      <w:r w:rsidRPr="00160CB6">
        <w:rPr>
          <w:spacing w:val="-4"/>
          <w:lang w:val="sq-AL"/>
        </w:rPr>
        <w:t>16. Kërkuesi ka pretenduar se vendimet gjyqësore që kundërshtohen nuk janë dhënë brenda një afati të arsyeshëm. Sipas kërkuesit, procesi gjyqësor ka filluar në vitin 2011 dhe ka përfunduar në Gjykatën e Lartë në vitin 2017, pra ka zgjatur gjashtë vjet, çka nuk përbën një afat të arsyeshëm për kohëzgjatjen e procesit gjyqësor. Subjekti i interesuar ka prapësuar se lidhur me pretendimin për kohëzgjatje të paarsyeshme të procesit gjyqësor, kërkuesi me sjelljen e tij ka ndikuar në një masë të rëndësishme në kohëzgjatjen e gjykimit dhe, nga ana tjetër, çështja objekt gjykimi ka qenë komplekse, sepse gjykata ka pasur në shqyrtim dy akuza të ngritura ndaj kërkuesit, për dy episode të ndryshme në kohë.</w:t>
      </w:r>
    </w:p>
    <w:p w:rsidR="00D8751D" w:rsidRPr="00160CB6" w:rsidRDefault="00D8751D" w:rsidP="00D8751D">
      <w:pPr>
        <w:pStyle w:val="Paragrafi"/>
        <w:rPr>
          <w:spacing w:val="-4"/>
          <w:lang w:val="sq-AL"/>
        </w:rPr>
      </w:pPr>
      <w:r w:rsidRPr="00160CB6">
        <w:rPr>
          <w:spacing w:val="-4"/>
          <w:lang w:val="sq-AL"/>
        </w:rPr>
        <w:t xml:space="preserve">17. Gjykata vlerëson të theksojë paraprakisht se nga data 5 nëntor  2017 ka hyrë në fuqi ligji nr. </w:t>
      </w:r>
      <w:r w:rsidRPr="00160CB6">
        <w:rPr>
          <w:spacing w:val="-4"/>
          <w:lang w:val="sq-AL"/>
        </w:rPr>
        <w:lastRenderedPageBreak/>
        <w:t xml:space="preserve">38/2017, “Për disa ndryshime në Kodin e Procedurës Civile”, ligji i cili ka shtuar kreun X, “Mbi gjykimin e kërkesave për konstatimin e shkeljes së afatit të arsyeshëm, përshpejtimin e procedurave dhe shpërblimin e dëmit”. Dispozitat e këtij kreu përcaktojnë vlerësimin e kohëzgjatjes së arsyeshme të procesit, si edhe shpërblimin e drejtë kur konstatohet kohëzgjatje e paarsyeshme në procedurat e hetimit, gjykimin e çështjeve, si edhe në procedurat e ekzekutimit të vendimeve. Sipas ndryshimeve të fundit ligjore do të ketë një mjet ligjor ankimi, i prezumuar efektiv, që do të garantojë si përshpejtim të procesit gjyqësor penal, civil apo administrativ, ashtu edhe dëmshpërblim, pra një rezultat konkret në drejtim të rivendosjes të së drejtës së shkelur për proces gjyqësor brenda afateve të arsyeshme ligjore. Kodi i Procedurës Civile nuk ka parashikuar efekte prapavepruese për çështjet të cilat kanë përfunduar në themel pranë gjykatave të zakonshme dhe për të cilat kanë kaluar afatet e arsyeshme sipas parashikimeve ligjore përkatëse, por ka rregulluar dhe specifikuar rregulla dhe procedura për çështjet që janë apo do të jenë në shqyrtim pas datës 5 nëntor pranë gjykatave të zakonshme në lidhje me pretendimet për kohëzgjatje të paarsyeshme të procesit gjyqësor. Duke qenë se në rastin konkret nuk jemi para një çështjeje e cila është akoma në shqyrtim në gjykatë, por kërkuesi ankimon vendime të gjykatave që kanë kaluar tashmë të gjitha shkallët e ankimit gjyqësor dhe për të cilin legjislacioni nuk parashikon mjete të tjera juridike efektive për mbrojtjen e kësaj të drejte kushtetuese, kërkuesi legjitimohet për shqyrtimin e këtij pretendimi. </w:t>
      </w:r>
    </w:p>
    <w:p w:rsidR="00D8751D" w:rsidRPr="00160CB6" w:rsidRDefault="00D8751D" w:rsidP="00D8751D">
      <w:pPr>
        <w:pStyle w:val="Paragrafi"/>
        <w:rPr>
          <w:spacing w:val="-4"/>
          <w:lang w:val="sq-AL"/>
        </w:rPr>
      </w:pPr>
      <w:r w:rsidRPr="00160CB6">
        <w:rPr>
          <w:spacing w:val="-4"/>
          <w:lang w:val="sq-AL"/>
        </w:rPr>
        <w:t>18. Sipas nenit 42 të Kushtetutës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160CB6">
        <w:rPr>
          <w:i/>
          <w:spacing w:val="-4"/>
          <w:lang w:val="sq-AL"/>
        </w:rPr>
        <w:t>shih vendimet nr. 42, datë 25.5.2017; nr. 12, datë 5.3.2012, të Gjykatës Kushtetuese</w:t>
      </w:r>
      <w:r w:rsidRPr="00160CB6">
        <w:rPr>
          <w:spacing w:val="-4"/>
          <w:lang w:val="sq-AL"/>
        </w:rPr>
        <w:t>).</w:t>
      </w:r>
    </w:p>
    <w:p w:rsidR="00D8751D" w:rsidRPr="00160CB6" w:rsidRDefault="00D8751D" w:rsidP="00D8751D">
      <w:pPr>
        <w:pStyle w:val="Paragrafi"/>
        <w:rPr>
          <w:spacing w:val="-4"/>
          <w:lang w:val="sq-AL"/>
        </w:rPr>
      </w:pPr>
      <w:r w:rsidRPr="00160CB6">
        <w:rPr>
          <w:spacing w:val="-4"/>
          <w:lang w:val="sq-AL"/>
        </w:rPr>
        <w:t>19. Gjithashtu, Gjykata, lidhur me kërkesat për konstatimin e cenimit të së drejtës kushtetuese për një proces të rregullt ligjor si pasojë e moszhvillimit të gjykimit të çështjes brenda një afati të arsyeshëm, ka theksuar se arsyeja e zgjatjes së procesit duhet të vlerësohet mbi bazën e kritereve të përcaktuara në jurisprudencën e GJEDNJ-së, sipas së cilës arsyeja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(shih vendimin nr. 59, datë 16.9.2016, të Gjykatës Kushtetuese). Për rrjedhojë, për të arritur në përfundimin nëse në rastin konkret jemi përpara cenimit të së drejtës për një proces të rregullt ligjor, Gjykata vlerëson se duhet të merret në analizë secili prej elementeve të sipërcituara.</w:t>
      </w:r>
    </w:p>
    <w:p w:rsidR="00D8751D" w:rsidRPr="00160CB6" w:rsidRDefault="00D8751D" w:rsidP="00D8751D">
      <w:pPr>
        <w:pStyle w:val="Paragrafi"/>
        <w:rPr>
          <w:i/>
          <w:spacing w:val="-4"/>
          <w:lang w:val="sq-AL"/>
        </w:rPr>
      </w:pPr>
      <w:r w:rsidRPr="00160CB6">
        <w:rPr>
          <w:i/>
          <w:spacing w:val="-4"/>
          <w:lang w:val="sq-AL"/>
        </w:rPr>
        <w:t xml:space="preserve">i. Periudha që duhet marrë në konsideratë </w:t>
      </w:r>
    </w:p>
    <w:p w:rsidR="00D8751D" w:rsidRPr="00160CB6" w:rsidRDefault="00D8751D" w:rsidP="00D8751D">
      <w:pPr>
        <w:pStyle w:val="Paragrafi"/>
        <w:rPr>
          <w:spacing w:val="-4"/>
          <w:lang w:val="sq-AL"/>
        </w:rPr>
      </w:pPr>
      <w:r w:rsidRPr="00160CB6">
        <w:rPr>
          <w:spacing w:val="-4"/>
          <w:lang w:val="sq-AL"/>
        </w:rPr>
        <w:t xml:space="preserve">20. Lidhur me periudhën që duhet marrë në konsideratë, pretendimet e kërkuesit për cenimin e së drejtës për një proces të rregullt ligjor lidhen me periudhën që prej vitit 2011, kur sipas tij ka filluar gjykimi i çështjes, e deri në vitin 2017 kur është marrë vendimi nga ana e Gjykatës së Lartë. Sipas tij, gjykimi i çështjes ka zgjatur gjashtë vjet, çka nuk përbën një afat të arsyeshëm për përfundimin e gjykimit. Nga materialet e dosjes konstatohet se çështja është regjistruar në gjykatën e shkallës së parë, në datën 28.11.2010, dhe ka përfunduar me vendimin e Gjykatës së Lartë, në datën 16.3.2017. </w:t>
      </w:r>
    </w:p>
    <w:p w:rsidR="00D8751D" w:rsidRPr="00160CB6" w:rsidRDefault="00D8751D" w:rsidP="00D8751D">
      <w:pPr>
        <w:pStyle w:val="Paragrafi"/>
        <w:rPr>
          <w:i/>
          <w:spacing w:val="-4"/>
          <w:lang w:val="sq-AL"/>
        </w:rPr>
      </w:pPr>
      <w:r w:rsidRPr="00160CB6">
        <w:rPr>
          <w:i/>
          <w:spacing w:val="-4"/>
          <w:lang w:val="sq-AL"/>
        </w:rPr>
        <w:t>ii. Kompleksiteti i çështjes</w:t>
      </w:r>
    </w:p>
    <w:p w:rsidR="00D8751D" w:rsidRPr="00160CB6" w:rsidRDefault="00D8751D" w:rsidP="00D8751D">
      <w:pPr>
        <w:pStyle w:val="Paragrafi"/>
        <w:rPr>
          <w:spacing w:val="-4"/>
          <w:lang w:val="sq-AL"/>
        </w:rPr>
      </w:pPr>
      <w:r w:rsidRPr="00160CB6">
        <w:rPr>
          <w:spacing w:val="-4"/>
          <w:lang w:val="sq-AL"/>
        </w:rPr>
        <w:t xml:space="preserve">21.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160CB6">
        <w:rPr>
          <w:i/>
          <w:spacing w:val="-4"/>
          <w:lang w:val="sq-AL"/>
        </w:rPr>
        <w:t>(shih vendimin nr. 59, datë 16.9.2016, të Gjykatës Kushtetuese)</w:t>
      </w:r>
      <w:r w:rsidRPr="00160CB6">
        <w:rPr>
          <w:spacing w:val="-4"/>
          <w:lang w:val="sq-AL"/>
        </w:rPr>
        <w:t>.</w:t>
      </w:r>
    </w:p>
    <w:p w:rsidR="00D8751D" w:rsidRPr="00160CB6" w:rsidRDefault="00D8751D" w:rsidP="00D8751D">
      <w:pPr>
        <w:pStyle w:val="Paragrafi"/>
        <w:rPr>
          <w:spacing w:val="-4"/>
          <w:lang w:val="sq-AL"/>
        </w:rPr>
      </w:pPr>
      <w:r w:rsidRPr="00160CB6">
        <w:rPr>
          <w:spacing w:val="-4"/>
          <w:lang w:val="sq-AL"/>
        </w:rPr>
        <w:t xml:space="preserve">22. Në rastin në shqyrtim vërehet se gjykimi penal i themelit është zhvilluar ndaj gjashtë të </w:t>
      </w:r>
      <w:r w:rsidRPr="00160CB6">
        <w:rPr>
          <w:spacing w:val="-4"/>
          <w:lang w:val="sq-AL"/>
        </w:rPr>
        <w:lastRenderedPageBreak/>
        <w:t xml:space="preserve">pandehurve të cilët janë akuzuar për kryerjen e veprës penale “Vjedhja me dhunë” në bashkëpunim. Nisur nga numri i të akuzuarve dhe provave të administruara për të vërtetuar fajësinë e tyre konkludohet se çështja është komplekse. Gjithashtu duhet pasur parasysh se në zgjatjen e procesit ka ndikuar edhe fakti se kjo çështje, mbi bazën e ankimeve/rekurseve, është kthyer për rigjykim. Pra, çështja është gjykuar dy herë në Gjykatën e Apelit dhe dy herë në Gjykatën e Lartë.   </w:t>
      </w:r>
    </w:p>
    <w:p w:rsidR="00D8751D" w:rsidRPr="00160CB6" w:rsidRDefault="00D8751D" w:rsidP="00D8751D">
      <w:pPr>
        <w:pStyle w:val="Paragrafi"/>
        <w:rPr>
          <w:i/>
          <w:spacing w:val="-4"/>
          <w:lang w:val="sq-AL"/>
        </w:rPr>
      </w:pPr>
      <w:r w:rsidRPr="00160CB6">
        <w:rPr>
          <w:i/>
          <w:spacing w:val="-4"/>
          <w:lang w:val="sq-AL"/>
        </w:rPr>
        <w:t>iii. Interesi dhe sjellja e kërkuesit</w:t>
      </w:r>
    </w:p>
    <w:p w:rsidR="00D8751D" w:rsidRPr="00160CB6" w:rsidRDefault="00D8751D" w:rsidP="00D8751D">
      <w:pPr>
        <w:pStyle w:val="Paragrafi"/>
        <w:rPr>
          <w:spacing w:val="-4"/>
          <w:lang w:val="sq-AL"/>
        </w:rPr>
      </w:pPr>
      <w:r w:rsidRPr="00160CB6">
        <w:rPr>
          <w:spacing w:val="-4"/>
          <w:lang w:val="sq-AL"/>
        </w:rPr>
        <w:t xml:space="preserve">23. Vlerësimi i sjelljes dhe interesit të kërkuesit është një element tjetër përcaktues i kohëzgjatjes së arsyeshme të procedimeve. Nga aktet bashkëlidhur kërkesës vërehet se kërkuesi ka vepruar në përputhje me të drejtat procedurale, duke shteruar të gjitha mjetet në dispozicion për gjykimin e çështjes. Gjithashtu nuk rezulton që ai të jetë bërë shkak apo të ketë shkaktuar vonesa në këtë drejtim. </w:t>
      </w:r>
    </w:p>
    <w:p w:rsidR="00D8751D" w:rsidRPr="00160CB6" w:rsidRDefault="00D8751D" w:rsidP="00D8751D">
      <w:pPr>
        <w:pStyle w:val="Paragrafi"/>
        <w:rPr>
          <w:i/>
          <w:spacing w:val="-4"/>
          <w:lang w:val="sq-AL"/>
        </w:rPr>
      </w:pPr>
      <w:r w:rsidRPr="00160CB6">
        <w:rPr>
          <w:i/>
          <w:spacing w:val="-4"/>
          <w:lang w:val="sq-AL"/>
        </w:rPr>
        <w:t xml:space="preserve">iv. Sjellja e autoriteteve </w:t>
      </w:r>
    </w:p>
    <w:p w:rsidR="00D8751D" w:rsidRPr="00160CB6" w:rsidRDefault="00D8751D" w:rsidP="00D8751D">
      <w:pPr>
        <w:pStyle w:val="Paragrafi"/>
        <w:rPr>
          <w:spacing w:val="-4"/>
          <w:lang w:val="sq-AL"/>
        </w:rPr>
      </w:pPr>
      <w:r w:rsidRPr="00160CB6">
        <w:rPr>
          <w:spacing w:val="-4"/>
          <w:lang w:val="sq-AL"/>
        </w:rPr>
        <w:t xml:space="preserve">24.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të tillë që të evitojnë çdo vonesë të panevojshme. </w:t>
      </w:r>
    </w:p>
    <w:p w:rsidR="00D8751D" w:rsidRPr="00160CB6" w:rsidRDefault="00D8751D" w:rsidP="00D8751D">
      <w:pPr>
        <w:pStyle w:val="Paragrafi"/>
        <w:rPr>
          <w:spacing w:val="-4"/>
          <w:lang w:val="sq-AL"/>
        </w:rPr>
      </w:pPr>
      <w:r w:rsidRPr="00160CB6">
        <w:rPr>
          <w:spacing w:val="-4"/>
          <w:lang w:val="sq-AL"/>
        </w:rPr>
        <w:t xml:space="preserve">25. Në rastin konkret, afati kohor që ka marrë çështja për gjykim ka ardhur për shkak të rigjykimit të çështjes dy herë në Gjykatën e Apelit dhe Gjykatën e Lartë, prandaj Gjykata vlerëson se pretendimi i kërkuesit për moszhvillim të gjykimit brenda një afati të arsyeshëm nuk është i bazuar. </w:t>
      </w:r>
    </w:p>
    <w:p w:rsidR="00D8751D" w:rsidRPr="00160CB6" w:rsidRDefault="00D8751D" w:rsidP="00D8751D">
      <w:pPr>
        <w:pStyle w:val="Paragrafi"/>
        <w:rPr>
          <w:spacing w:val="-4"/>
          <w:lang w:val="sq-AL"/>
        </w:rPr>
      </w:pPr>
      <w:r w:rsidRPr="00160CB6">
        <w:rPr>
          <w:spacing w:val="-4"/>
          <w:lang w:val="sq-AL"/>
        </w:rPr>
        <w:t xml:space="preserve">26. Në përfundim, Gjykata vlerëson se pretendimet e kërkuesit për cenimin e së drejtës për një proces të rregullt ligjor nga ana e gjykatave, në kuptim të nenit 42 të Kushtetutës, nuk janë të bazuara. </w:t>
      </w:r>
    </w:p>
    <w:p w:rsidR="00D8751D" w:rsidRDefault="00D8751D" w:rsidP="00D8751D">
      <w:pPr>
        <w:pStyle w:val="Paragrafi"/>
        <w:rPr>
          <w:spacing w:val="-4"/>
          <w:lang w:val="sq-AL"/>
        </w:rPr>
      </w:pPr>
      <w:r w:rsidRPr="00160CB6">
        <w:rPr>
          <w:spacing w:val="-4"/>
          <w:lang w:val="sq-AL"/>
        </w:rPr>
        <w:t xml:space="preserve"> </w:t>
      </w:r>
    </w:p>
    <w:p w:rsidR="00D8751D" w:rsidRDefault="00D8751D" w:rsidP="00D8751D">
      <w:pPr>
        <w:pStyle w:val="Paragrafi"/>
        <w:rPr>
          <w:spacing w:val="-4"/>
          <w:lang w:val="sq-AL"/>
        </w:rPr>
      </w:pPr>
    </w:p>
    <w:p w:rsidR="00D8751D" w:rsidRPr="00160CB6" w:rsidRDefault="00D8751D" w:rsidP="00D8751D">
      <w:pPr>
        <w:pStyle w:val="NeniNr"/>
        <w:rPr>
          <w:spacing w:val="-4"/>
          <w:lang w:val="sq-AL"/>
        </w:rPr>
      </w:pPr>
      <w:r w:rsidRPr="00160CB6">
        <w:rPr>
          <w:spacing w:val="-4"/>
          <w:lang w:val="sq-AL"/>
        </w:rPr>
        <w:t>PËR KËTO ARSYE,</w:t>
      </w:r>
    </w:p>
    <w:p w:rsidR="00D8751D" w:rsidRPr="00ED5327" w:rsidRDefault="00D8751D" w:rsidP="00D8751D">
      <w:pPr>
        <w:pStyle w:val="Paragrafi"/>
        <w:rPr>
          <w:spacing w:val="-4"/>
          <w:sz w:val="14"/>
          <w:lang w:val="sq-AL"/>
        </w:rPr>
      </w:pPr>
      <w:r w:rsidRPr="00160CB6">
        <w:rPr>
          <w:spacing w:val="-4"/>
          <w:lang w:val="sq-AL"/>
        </w:rPr>
        <w:t xml:space="preserve"> </w:t>
      </w:r>
    </w:p>
    <w:p w:rsidR="00D8751D" w:rsidRPr="00160CB6" w:rsidRDefault="00D8751D" w:rsidP="00D8751D">
      <w:pPr>
        <w:pStyle w:val="Paragrafi"/>
        <w:rPr>
          <w:spacing w:val="-4"/>
          <w:lang w:val="sq-AL"/>
        </w:rPr>
      </w:pPr>
      <w:r w:rsidRPr="00160CB6">
        <w:rPr>
          <w:spacing w:val="-4"/>
          <w:lang w:val="sq-AL"/>
        </w:rPr>
        <w:t>Gjykata Kushtetuese e Republikës së Shqipërisë, duke u bazuar në nenet 131/1/f  dhe 134/1/i, si dhe në nenet 71, 72 e vijuese të ligjit nr. 8577, datë 10.2.2000, “Për organizimin dhe funksionimin e Gjykatës Kushtetuese të Republikës së Shqipërisë”, njëzëri,</w:t>
      </w:r>
    </w:p>
    <w:p w:rsidR="00D8751D" w:rsidRPr="00DC2FEC" w:rsidRDefault="00D8751D" w:rsidP="00D8751D">
      <w:pPr>
        <w:pStyle w:val="Paragrafi"/>
        <w:rPr>
          <w:spacing w:val="-4"/>
          <w:sz w:val="16"/>
          <w:lang w:val="sq-AL"/>
        </w:rPr>
      </w:pPr>
    </w:p>
    <w:p w:rsidR="00D8751D" w:rsidRPr="00160CB6" w:rsidRDefault="00D8751D" w:rsidP="00D8751D">
      <w:pPr>
        <w:pStyle w:val="NeniNr"/>
        <w:rPr>
          <w:spacing w:val="-4"/>
          <w:lang w:val="sq-AL"/>
        </w:rPr>
      </w:pPr>
      <w:r w:rsidRPr="00160CB6">
        <w:rPr>
          <w:spacing w:val="-4"/>
          <w:lang w:val="sq-AL"/>
        </w:rPr>
        <w:t>VENDOSI:</w:t>
      </w:r>
    </w:p>
    <w:p w:rsidR="00D8751D" w:rsidRPr="00DC2FEC" w:rsidRDefault="00D8751D" w:rsidP="00D8751D">
      <w:pPr>
        <w:pStyle w:val="Paragrafi"/>
        <w:rPr>
          <w:spacing w:val="-4"/>
          <w:sz w:val="16"/>
          <w:lang w:val="sq-AL"/>
        </w:rPr>
      </w:pPr>
    </w:p>
    <w:p w:rsidR="00D8751D" w:rsidRPr="00160CB6" w:rsidRDefault="00D8751D" w:rsidP="00D8751D">
      <w:pPr>
        <w:pStyle w:val="Paragrafi"/>
        <w:rPr>
          <w:spacing w:val="-4"/>
          <w:lang w:val="sq-AL"/>
        </w:rPr>
      </w:pPr>
      <w:r w:rsidRPr="00160CB6">
        <w:rPr>
          <w:spacing w:val="-4"/>
          <w:lang w:val="sq-AL"/>
        </w:rPr>
        <w:t>Rrëzimin e kërkesës.</w:t>
      </w:r>
    </w:p>
    <w:p w:rsidR="00D8751D" w:rsidRPr="00160CB6" w:rsidRDefault="00D8751D" w:rsidP="00D8751D">
      <w:pPr>
        <w:pStyle w:val="Paragrafi"/>
        <w:rPr>
          <w:spacing w:val="-4"/>
          <w:lang w:val="sq-AL"/>
        </w:rPr>
      </w:pPr>
      <w:r w:rsidRPr="00160CB6">
        <w:rPr>
          <w:spacing w:val="-4"/>
          <w:lang w:val="sq-AL"/>
        </w:rPr>
        <w:t xml:space="preserve">Ky vendim është përfundimtar, i formës së prerë dhe hyn në fuqi ditën e botimit në Fletoren Zyrtare. </w:t>
      </w:r>
    </w:p>
    <w:p w:rsidR="00D8751D" w:rsidRPr="00DC2FEC" w:rsidRDefault="00D8751D" w:rsidP="00D8751D">
      <w:pPr>
        <w:pStyle w:val="Paragrafi"/>
        <w:rPr>
          <w:spacing w:val="-4"/>
          <w:sz w:val="14"/>
          <w:lang w:val="sq-AL"/>
        </w:rPr>
      </w:pPr>
    </w:p>
    <w:p w:rsidR="00D8751D" w:rsidRPr="00160CB6" w:rsidRDefault="00D8751D" w:rsidP="00D8751D">
      <w:pPr>
        <w:pStyle w:val="Paragrafi"/>
        <w:rPr>
          <w:spacing w:val="-4"/>
          <w:lang w:val="sq-AL"/>
        </w:rPr>
      </w:pPr>
      <w:r w:rsidRPr="00160CB6">
        <w:rPr>
          <w:spacing w:val="-4"/>
          <w:lang w:val="sq-AL"/>
        </w:rPr>
        <w:t>Anëtar: Bashkim Dedja (kryetar), Gani Dizdari, Fatmir Hoxha, Fatos Lulo, Vitore Tusha,  Besnik Imeraj</w:t>
      </w:r>
    </w:p>
    <w:p w:rsidR="005E231B" w:rsidRDefault="005E231B"/>
    <w:sectPr w:rsidR="005E2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51D"/>
    <w:rsid w:val="005E231B"/>
    <w:rsid w:val="00C5543F"/>
    <w:rsid w:val="00D8751D"/>
    <w:rsid w:val="00E13821"/>
    <w:rsid w:val="00EE2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1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875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751D"/>
    <w:rPr>
      <w:rFonts w:ascii="Garamond" w:eastAsia="MS Mincho" w:hAnsi="Garamond" w:cs="CG Times"/>
      <w:sz w:val="24"/>
    </w:rPr>
  </w:style>
  <w:style w:type="paragraph" w:customStyle="1" w:styleId="NeniNr">
    <w:name w:val="Neni_Nr"/>
    <w:next w:val="Normal"/>
    <w:link w:val="NeniNrChar"/>
    <w:rsid w:val="00D875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75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751D"/>
    <w:rPr>
      <w:rFonts w:ascii="Garamond" w:eastAsia="MS Mincho" w:hAnsi="Garamond" w:cs="CG Times"/>
      <w:sz w:val="24"/>
      <w:lang w:val="en-GB"/>
    </w:rPr>
  </w:style>
  <w:style w:type="table" w:styleId="TableGrid">
    <w:name w:val="Table Grid"/>
    <w:basedOn w:val="TableNormal"/>
    <w:uiPriority w:val="59"/>
    <w:rsid w:val="00D8751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1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875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751D"/>
    <w:rPr>
      <w:rFonts w:ascii="Garamond" w:eastAsia="MS Mincho" w:hAnsi="Garamond" w:cs="CG Times"/>
      <w:sz w:val="24"/>
    </w:rPr>
  </w:style>
  <w:style w:type="paragraph" w:customStyle="1" w:styleId="NeniNr">
    <w:name w:val="Neni_Nr"/>
    <w:next w:val="Normal"/>
    <w:link w:val="NeniNrChar"/>
    <w:rsid w:val="00D875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75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751D"/>
    <w:rPr>
      <w:rFonts w:ascii="Garamond" w:eastAsia="MS Mincho" w:hAnsi="Garamond" w:cs="CG Times"/>
      <w:sz w:val="24"/>
      <w:lang w:val="en-GB"/>
    </w:rPr>
  </w:style>
  <w:style w:type="table" w:styleId="TableGrid">
    <w:name w:val="Table Grid"/>
    <w:basedOn w:val="TableNormal"/>
    <w:uiPriority w:val="59"/>
    <w:rsid w:val="00D8751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2775</Words>
  <Characters>15822</Characters>
  <Application>Microsoft Office Word</Application>
  <DocSecurity>0</DocSecurity>
  <Lines>131</Lines>
  <Paragraphs>37</Paragraphs>
  <ScaleCrop>false</ScaleCrop>
  <Company/>
  <LinksUpToDate>false</LinksUpToDate>
  <CharactersWithSpaces>18560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4</cp:revision>
  <dcterms:created xsi:type="dcterms:W3CDTF">2017-12-15T13:18:00Z</dcterms:created>
  <dcterms:modified xsi:type="dcterms:W3CDTF">2018-02-02T10:21:00Z</dcterms:modified>
</cp:coreProperties>
</file>