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479" w:rsidRPr="00F014CD" w:rsidRDefault="006F5479" w:rsidP="006F5479">
      <w:pPr>
        <w:pStyle w:val="NeniTitull"/>
        <w:rPr>
          <w:lang w:val="sq-AL"/>
        </w:rPr>
      </w:pPr>
      <w:r w:rsidRPr="00F014CD">
        <w:rPr>
          <w:lang w:val="sq-AL"/>
        </w:rPr>
        <w:t>VENDIM</w:t>
      </w:r>
    </w:p>
    <w:p w:rsidR="006F5479" w:rsidRPr="00F014CD" w:rsidRDefault="006F5479" w:rsidP="006F5479">
      <w:pPr>
        <w:pStyle w:val="NeniTitull"/>
        <w:rPr>
          <w:lang w:val="sq-AL"/>
        </w:rPr>
      </w:pPr>
      <w:r>
        <w:rPr>
          <w:lang w:val="sq-AL"/>
        </w:rPr>
        <w:t xml:space="preserve">Nr. </w:t>
      </w:r>
      <w:r w:rsidRPr="00F014CD">
        <w:rPr>
          <w:lang w:val="sq-AL"/>
        </w:rPr>
        <w:t>80, datë 18.12.2017</w:t>
      </w:r>
    </w:p>
    <w:p w:rsidR="006F5479" w:rsidRPr="000F181F" w:rsidRDefault="006F5479" w:rsidP="006F5479">
      <w:pPr>
        <w:pStyle w:val="NeniTitull"/>
        <w:rPr>
          <w:sz w:val="14"/>
          <w:lang w:val="sq-AL"/>
        </w:rPr>
      </w:pPr>
    </w:p>
    <w:p w:rsidR="006F5479" w:rsidRPr="00F014CD" w:rsidRDefault="006F5479" w:rsidP="006F5479">
      <w:pPr>
        <w:pStyle w:val="NeniTitull"/>
        <w:rPr>
          <w:lang w:val="sq-AL"/>
        </w:rPr>
      </w:pPr>
      <w:r w:rsidRPr="00F014CD">
        <w:rPr>
          <w:lang w:val="sq-AL"/>
        </w:rPr>
        <w:t>NË EMËR TË REPUBLIKËS SË SHQIPËRISË</w:t>
      </w:r>
    </w:p>
    <w:p w:rsidR="006F5479" w:rsidRPr="000F181F" w:rsidRDefault="006F5479" w:rsidP="006F5479">
      <w:pPr>
        <w:pStyle w:val="Paragrafi"/>
        <w:rPr>
          <w:rFonts w:eastAsia="Times New Roman"/>
          <w:b/>
          <w:bCs/>
          <w:sz w:val="14"/>
          <w:lang w:val="sq-AL"/>
        </w:rPr>
      </w:pPr>
    </w:p>
    <w:p w:rsidR="006F5479" w:rsidRPr="00F014CD" w:rsidRDefault="006F5479" w:rsidP="006F5479">
      <w:pPr>
        <w:pStyle w:val="Paragrafi"/>
        <w:rPr>
          <w:rFonts w:eastAsia="Times New Roman"/>
          <w:lang w:val="sq-AL"/>
        </w:rPr>
      </w:pPr>
      <w:r w:rsidRPr="00F014CD">
        <w:rPr>
          <w:rFonts w:eastAsia="Times New Roman"/>
          <w:lang w:val="sq-AL"/>
        </w:rPr>
        <w:t>Gjykata Kushtetuese e Republikës së Shqipërisë, e përbërë nga:</w:t>
      </w:r>
    </w:p>
    <w:p w:rsidR="006F5479" w:rsidRPr="00F014CD" w:rsidRDefault="006F5479" w:rsidP="006F5479">
      <w:pPr>
        <w:pStyle w:val="Paragrafi"/>
        <w:ind w:firstLine="0"/>
        <w:rPr>
          <w:rFonts w:eastAsia="Times New Roman"/>
          <w:lang w:val="sq-AL"/>
        </w:rPr>
      </w:pPr>
      <w:r w:rsidRPr="00F014CD">
        <w:rPr>
          <w:rFonts w:eastAsia="Times New Roman"/>
          <w:lang w:val="sq-AL"/>
        </w:rPr>
        <w:t>Bashkim Dedja</w:t>
      </w:r>
      <w:r>
        <w:rPr>
          <w:rFonts w:eastAsia="Times New Roman"/>
          <w:lang w:val="sq-AL"/>
        </w:rPr>
        <w:t xml:space="preserve"> </w:t>
      </w:r>
      <w:r w:rsidRPr="00F014CD">
        <w:rPr>
          <w:rFonts w:eastAsia="Times New Roman"/>
          <w:lang w:val="sq-AL"/>
        </w:rPr>
        <w:tab/>
        <w:t>kryetar</w:t>
      </w:r>
      <w:r>
        <w:rPr>
          <w:rFonts w:eastAsia="Times New Roman"/>
          <w:lang w:val="sq-AL"/>
        </w:rPr>
        <w:t xml:space="preserve"> </w:t>
      </w:r>
      <w:r w:rsidRPr="00F014CD">
        <w:rPr>
          <w:rFonts w:eastAsia="Times New Roman"/>
          <w:lang w:val="sq-AL"/>
        </w:rPr>
        <w:t>i</w:t>
      </w:r>
      <w:r>
        <w:rPr>
          <w:rFonts w:eastAsia="Times New Roman"/>
          <w:lang w:val="sq-AL"/>
        </w:rPr>
        <w:t xml:space="preserve"> Gjykatës Kushtetuese </w:t>
      </w:r>
    </w:p>
    <w:p w:rsidR="006F5479" w:rsidRPr="00F014CD" w:rsidRDefault="006F5479" w:rsidP="006F5479">
      <w:pPr>
        <w:pStyle w:val="Paragrafi"/>
        <w:ind w:firstLine="0"/>
        <w:rPr>
          <w:rFonts w:eastAsia="Times New Roman"/>
          <w:lang w:val="sq-AL"/>
        </w:rPr>
      </w:pPr>
      <w:r w:rsidRPr="00F014CD">
        <w:rPr>
          <w:rFonts w:eastAsia="Times New Roman"/>
          <w:lang w:val="sq-AL"/>
        </w:rPr>
        <w:t xml:space="preserve">Fatmir Hoxha </w:t>
      </w:r>
      <w:r w:rsidRPr="00F014CD">
        <w:rPr>
          <w:rFonts w:eastAsia="Times New Roman"/>
          <w:lang w:val="sq-AL"/>
        </w:rPr>
        <w:tab/>
      </w:r>
      <w:r w:rsidRPr="00F014CD">
        <w:rPr>
          <w:rFonts w:eastAsia="Times New Roman"/>
          <w:lang w:val="sq-AL"/>
        </w:rPr>
        <w:tab/>
      </w:r>
      <w:r w:rsidRPr="00F014CD">
        <w:rPr>
          <w:rFonts w:eastAsia="Times New Roman"/>
          <w:lang w:val="sq-AL"/>
        </w:rPr>
        <w:tab/>
        <w:t>anëtar</w:t>
      </w:r>
      <w:r>
        <w:rPr>
          <w:rFonts w:eastAsia="Times New Roman"/>
          <w:lang w:val="sq-AL"/>
        </w:rPr>
        <w:t xml:space="preserve"> </w:t>
      </w:r>
      <w:r w:rsidRPr="00F014CD">
        <w:rPr>
          <w:rFonts w:eastAsia="Times New Roman"/>
          <w:lang w:val="sq-AL"/>
        </w:rPr>
        <w:t>i</w:t>
      </w:r>
      <w:r w:rsidRPr="00F014CD">
        <w:rPr>
          <w:rFonts w:eastAsia="Times New Roman"/>
          <w:lang w:val="sq-AL"/>
        </w:rPr>
        <w:tab/>
      </w:r>
      <w:r>
        <w:rPr>
          <w:rFonts w:eastAsia="Times New Roman"/>
          <w:lang w:val="sq-AL"/>
        </w:rPr>
        <w:tab/>
      </w:r>
      <w:r w:rsidRPr="00F014CD">
        <w:rPr>
          <w:rFonts w:eastAsia="Times New Roman"/>
          <w:lang w:val="sq-AL"/>
        </w:rPr>
        <w:t>“</w:t>
      </w:r>
      <w:r w:rsidRPr="00F014CD">
        <w:rPr>
          <w:rFonts w:eastAsia="Times New Roman"/>
          <w:lang w:val="sq-AL"/>
        </w:rPr>
        <w:tab/>
      </w:r>
      <w:r>
        <w:rPr>
          <w:rFonts w:eastAsia="Times New Roman"/>
          <w:lang w:val="sq-AL"/>
        </w:rPr>
        <w:tab/>
      </w:r>
      <w:r w:rsidRPr="00F014CD">
        <w:rPr>
          <w:rFonts w:eastAsia="Times New Roman"/>
          <w:lang w:val="sq-AL"/>
        </w:rPr>
        <w:t>“</w:t>
      </w:r>
    </w:p>
    <w:p w:rsidR="006F5479" w:rsidRPr="00F014CD" w:rsidRDefault="006F5479" w:rsidP="006F5479">
      <w:pPr>
        <w:pStyle w:val="Paragrafi"/>
        <w:ind w:firstLine="0"/>
        <w:rPr>
          <w:rFonts w:eastAsia="Times New Roman"/>
          <w:lang w:val="sq-AL"/>
        </w:rPr>
      </w:pPr>
      <w:r w:rsidRPr="00F014CD">
        <w:rPr>
          <w:rFonts w:eastAsia="Times New Roman"/>
          <w:lang w:val="sq-AL"/>
        </w:rPr>
        <w:t>Gani Dizdari</w:t>
      </w:r>
      <w:r w:rsidRPr="00F014CD">
        <w:rPr>
          <w:rFonts w:eastAsia="Times New Roman"/>
          <w:lang w:val="sq-AL"/>
        </w:rPr>
        <w:tab/>
      </w:r>
      <w:r w:rsidRPr="00F014CD">
        <w:rPr>
          <w:rFonts w:eastAsia="Times New Roman"/>
          <w:lang w:val="sq-AL"/>
        </w:rPr>
        <w:tab/>
      </w:r>
      <w:r w:rsidRPr="00F014CD">
        <w:rPr>
          <w:rFonts w:eastAsia="Times New Roman"/>
          <w:lang w:val="sq-AL"/>
        </w:rPr>
        <w:tab/>
        <w:t>anëtar</w:t>
      </w:r>
      <w:r>
        <w:rPr>
          <w:rFonts w:eastAsia="Times New Roman"/>
          <w:lang w:val="sq-AL"/>
        </w:rPr>
        <w:t xml:space="preserve"> </w:t>
      </w:r>
      <w:r w:rsidRPr="00F014CD">
        <w:rPr>
          <w:rFonts w:eastAsia="Times New Roman"/>
          <w:lang w:val="sq-AL"/>
        </w:rPr>
        <w:t>i</w:t>
      </w:r>
      <w:r w:rsidRPr="00F014CD">
        <w:rPr>
          <w:rFonts w:eastAsia="Times New Roman"/>
          <w:lang w:val="sq-AL"/>
        </w:rPr>
        <w:tab/>
      </w:r>
      <w:r>
        <w:rPr>
          <w:rFonts w:eastAsia="Times New Roman"/>
          <w:lang w:val="sq-AL"/>
        </w:rPr>
        <w:tab/>
      </w:r>
      <w:r w:rsidRPr="00F014CD">
        <w:rPr>
          <w:rFonts w:eastAsia="Times New Roman"/>
          <w:lang w:val="sq-AL"/>
        </w:rPr>
        <w:t>“</w:t>
      </w:r>
      <w:r w:rsidRPr="00F014CD">
        <w:rPr>
          <w:rFonts w:eastAsia="Times New Roman"/>
          <w:lang w:val="sq-AL"/>
        </w:rPr>
        <w:tab/>
      </w:r>
      <w:r>
        <w:rPr>
          <w:rFonts w:eastAsia="Times New Roman"/>
          <w:lang w:val="sq-AL"/>
        </w:rPr>
        <w:tab/>
      </w:r>
      <w:r w:rsidRPr="00F014CD">
        <w:rPr>
          <w:rFonts w:eastAsia="Times New Roman"/>
          <w:lang w:val="sq-AL"/>
        </w:rPr>
        <w:t>“</w:t>
      </w:r>
    </w:p>
    <w:p w:rsidR="006F5479" w:rsidRPr="00F014CD" w:rsidRDefault="006F5479" w:rsidP="006F5479">
      <w:pPr>
        <w:pStyle w:val="Paragrafi"/>
        <w:ind w:firstLine="0"/>
        <w:rPr>
          <w:rFonts w:eastAsia="Times New Roman"/>
          <w:lang w:val="sq-AL"/>
        </w:rPr>
      </w:pPr>
      <w:r w:rsidRPr="00F014CD">
        <w:rPr>
          <w:rFonts w:eastAsia="Times New Roman"/>
          <w:lang w:val="sq-AL"/>
        </w:rPr>
        <w:t>Besnik Imeraj</w:t>
      </w:r>
      <w:r w:rsidRPr="00F014CD">
        <w:rPr>
          <w:rFonts w:eastAsia="Times New Roman"/>
          <w:lang w:val="sq-AL"/>
        </w:rPr>
        <w:tab/>
      </w:r>
      <w:r w:rsidRPr="00F014CD">
        <w:rPr>
          <w:rFonts w:eastAsia="Times New Roman"/>
          <w:lang w:val="sq-AL"/>
        </w:rPr>
        <w:tab/>
      </w:r>
      <w:r w:rsidRPr="00F014CD">
        <w:rPr>
          <w:rFonts w:eastAsia="Times New Roman"/>
          <w:lang w:val="sq-AL"/>
        </w:rPr>
        <w:tab/>
        <w:t>anëtar</w:t>
      </w:r>
      <w:r>
        <w:rPr>
          <w:rFonts w:eastAsia="Times New Roman"/>
          <w:lang w:val="sq-AL"/>
        </w:rPr>
        <w:t xml:space="preserve"> </w:t>
      </w:r>
      <w:r w:rsidRPr="00F014CD">
        <w:rPr>
          <w:rFonts w:eastAsia="Times New Roman"/>
          <w:lang w:val="sq-AL"/>
        </w:rPr>
        <w:t>i</w:t>
      </w:r>
      <w:r w:rsidRPr="00F014CD">
        <w:rPr>
          <w:rFonts w:eastAsia="Times New Roman"/>
          <w:lang w:val="sq-AL"/>
        </w:rPr>
        <w:tab/>
      </w:r>
      <w:r>
        <w:rPr>
          <w:rFonts w:eastAsia="Times New Roman"/>
          <w:lang w:val="sq-AL"/>
        </w:rPr>
        <w:tab/>
      </w:r>
      <w:r w:rsidRPr="00F014CD">
        <w:rPr>
          <w:rFonts w:eastAsia="Times New Roman"/>
          <w:lang w:val="sq-AL"/>
        </w:rPr>
        <w:t>“</w:t>
      </w:r>
      <w:r w:rsidRPr="00F014CD">
        <w:rPr>
          <w:rFonts w:eastAsia="Times New Roman"/>
          <w:lang w:val="sq-AL"/>
        </w:rPr>
        <w:tab/>
      </w:r>
      <w:r>
        <w:rPr>
          <w:rFonts w:eastAsia="Times New Roman"/>
          <w:lang w:val="sq-AL"/>
        </w:rPr>
        <w:tab/>
      </w:r>
      <w:r w:rsidRPr="00F014CD">
        <w:rPr>
          <w:rFonts w:eastAsia="Times New Roman"/>
          <w:lang w:val="sq-AL"/>
        </w:rPr>
        <w:t>“</w:t>
      </w:r>
    </w:p>
    <w:p w:rsidR="006F5479" w:rsidRPr="00F014CD" w:rsidRDefault="006F5479" w:rsidP="006F5479">
      <w:pPr>
        <w:pStyle w:val="Paragrafi"/>
        <w:ind w:firstLine="0"/>
        <w:rPr>
          <w:rFonts w:eastAsia="Times New Roman"/>
          <w:lang w:val="sq-AL"/>
        </w:rPr>
      </w:pPr>
      <w:r>
        <w:rPr>
          <w:rFonts w:eastAsia="Times New Roman"/>
          <w:lang w:val="sq-AL"/>
        </w:rPr>
        <w:t>Fatos Lulo</w:t>
      </w:r>
      <w:r>
        <w:rPr>
          <w:rFonts w:eastAsia="Times New Roman"/>
          <w:lang w:val="sq-AL"/>
        </w:rPr>
        <w:tab/>
      </w:r>
      <w:r>
        <w:rPr>
          <w:rFonts w:eastAsia="Times New Roman"/>
          <w:lang w:val="sq-AL"/>
        </w:rPr>
        <w:tab/>
      </w:r>
      <w:r>
        <w:rPr>
          <w:rFonts w:eastAsia="Times New Roman"/>
          <w:lang w:val="sq-AL"/>
        </w:rPr>
        <w:tab/>
      </w:r>
      <w:r w:rsidRPr="00F014CD">
        <w:rPr>
          <w:rFonts w:eastAsia="Times New Roman"/>
          <w:lang w:val="sq-AL"/>
        </w:rPr>
        <w:t>anëtar</w:t>
      </w:r>
      <w:r>
        <w:rPr>
          <w:rFonts w:eastAsia="Times New Roman"/>
          <w:lang w:val="sq-AL"/>
        </w:rPr>
        <w:t xml:space="preserve"> </w:t>
      </w:r>
      <w:r w:rsidRPr="00F014CD">
        <w:rPr>
          <w:rFonts w:eastAsia="Times New Roman"/>
          <w:lang w:val="sq-AL"/>
        </w:rPr>
        <w:t>i</w:t>
      </w:r>
      <w:r w:rsidRPr="00F014CD">
        <w:rPr>
          <w:rFonts w:eastAsia="Times New Roman"/>
          <w:lang w:val="sq-AL"/>
        </w:rPr>
        <w:tab/>
      </w:r>
      <w:r>
        <w:rPr>
          <w:rFonts w:eastAsia="Times New Roman"/>
          <w:lang w:val="sq-AL"/>
        </w:rPr>
        <w:tab/>
      </w:r>
      <w:r w:rsidRPr="00F014CD">
        <w:rPr>
          <w:rFonts w:eastAsia="Times New Roman"/>
          <w:lang w:val="sq-AL"/>
        </w:rPr>
        <w:t>“</w:t>
      </w:r>
      <w:r w:rsidRPr="00F014CD">
        <w:rPr>
          <w:rFonts w:eastAsia="Times New Roman"/>
          <w:lang w:val="sq-AL"/>
        </w:rPr>
        <w:tab/>
      </w:r>
      <w:r>
        <w:rPr>
          <w:rFonts w:eastAsia="Times New Roman"/>
          <w:lang w:val="sq-AL"/>
        </w:rPr>
        <w:tab/>
      </w:r>
      <w:r w:rsidRPr="00F014CD">
        <w:rPr>
          <w:rFonts w:eastAsia="Times New Roman"/>
          <w:lang w:val="sq-AL"/>
        </w:rPr>
        <w:t>“</w:t>
      </w:r>
    </w:p>
    <w:p w:rsidR="006F5479" w:rsidRPr="00F014CD" w:rsidRDefault="006F5479" w:rsidP="006F5479">
      <w:pPr>
        <w:pStyle w:val="Paragrafi"/>
        <w:ind w:firstLine="0"/>
        <w:rPr>
          <w:rFonts w:eastAsia="Times New Roman"/>
          <w:lang w:val="sq-AL"/>
        </w:rPr>
      </w:pPr>
      <w:r w:rsidRPr="00F014CD">
        <w:rPr>
          <w:rFonts w:eastAsia="Times New Roman"/>
          <w:lang w:val="sq-AL"/>
        </w:rPr>
        <w:t xml:space="preserve">Vitore Tusha </w:t>
      </w:r>
      <w:r w:rsidRPr="00F014CD">
        <w:rPr>
          <w:rFonts w:eastAsia="Times New Roman"/>
          <w:lang w:val="sq-AL"/>
        </w:rPr>
        <w:tab/>
      </w:r>
      <w:r w:rsidRPr="00F014CD">
        <w:rPr>
          <w:rFonts w:eastAsia="Times New Roman"/>
          <w:lang w:val="sq-AL"/>
        </w:rPr>
        <w:tab/>
      </w:r>
      <w:r w:rsidRPr="00F014CD">
        <w:rPr>
          <w:rFonts w:eastAsia="Times New Roman"/>
          <w:lang w:val="sq-AL"/>
        </w:rPr>
        <w:tab/>
        <w:t>anëtare</w:t>
      </w:r>
      <w:r>
        <w:rPr>
          <w:rFonts w:eastAsia="Times New Roman"/>
          <w:lang w:val="sq-AL"/>
        </w:rPr>
        <w:t xml:space="preserve"> </w:t>
      </w:r>
      <w:r w:rsidRPr="00F014CD">
        <w:rPr>
          <w:rFonts w:eastAsia="Times New Roman"/>
          <w:lang w:val="sq-AL"/>
        </w:rPr>
        <w:t>e</w:t>
      </w:r>
      <w:r w:rsidRPr="00F014CD">
        <w:rPr>
          <w:rFonts w:eastAsia="Times New Roman"/>
          <w:lang w:val="sq-AL"/>
        </w:rPr>
        <w:tab/>
      </w:r>
      <w:bookmarkStart w:id="0" w:name="_GoBack"/>
      <w:bookmarkEnd w:id="0"/>
      <w:r w:rsidRPr="00F014CD">
        <w:rPr>
          <w:rFonts w:eastAsia="Times New Roman"/>
          <w:lang w:val="sq-AL"/>
        </w:rPr>
        <w:t>“</w:t>
      </w:r>
      <w:r w:rsidRPr="00F014CD">
        <w:rPr>
          <w:rFonts w:eastAsia="Times New Roman"/>
          <w:lang w:val="sq-AL"/>
        </w:rPr>
        <w:tab/>
      </w:r>
      <w:r>
        <w:rPr>
          <w:rFonts w:eastAsia="Times New Roman"/>
          <w:lang w:val="sq-AL"/>
        </w:rPr>
        <w:tab/>
      </w:r>
      <w:r w:rsidRPr="00F014CD">
        <w:rPr>
          <w:rFonts w:eastAsia="Times New Roman"/>
          <w:lang w:val="sq-AL"/>
        </w:rPr>
        <w:t>“</w:t>
      </w:r>
    </w:p>
    <w:p w:rsidR="006F5479" w:rsidRPr="00F014CD" w:rsidRDefault="006F5479" w:rsidP="006F5479">
      <w:pPr>
        <w:pStyle w:val="Paragrafi"/>
        <w:rPr>
          <w:rFonts w:eastAsia="Times New Roman"/>
          <w:lang w:val="sq-AL"/>
        </w:rPr>
      </w:pPr>
      <w:r w:rsidRPr="00F014CD">
        <w:rPr>
          <w:rFonts w:eastAsia="Times New Roman"/>
          <w:lang w:val="sq-AL"/>
        </w:rPr>
        <w:t xml:space="preserve">në datën 14.11.2017, me sekretare Belma Lleshi, mori në shqyrtim në seancë mbi bazë dokumentesh, çështjen me </w:t>
      </w:r>
      <w:r>
        <w:rPr>
          <w:rFonts w:eastAsia="Times New Roman"/>
          <w:lang w:val="sq-AL"/>
        </w:rPr>
        <w:t xml:space="preserve">nr. </w:t>
      </w:r>
      <w:r w:rsidRPr="00F014CD">
        <w:rPr>
          <w:rFonts w:eastAsia="Times New Roman"/>
          <w:lang w:val="sq-AL"/>
        </w:rPr>
        <w:t>59 Akti, që i përket:</w:t>
      </w:r>
    </w:p>
    <w:p w:rsidR="006F5479" w:rsidRPr="00F014CD" w:rsidRDefault="006F5479" w:rsidP="006F5479">
      <w:pPr>
        <w:pStyle w:val="Paragrafi"/>
        <w:rPr>
          <w:rFonts w:eastAsia="Times New Roman"/>
          <w:lang w:val="sq-AL"/>
        </w:rPr>
      </w:pPr>
      <w:r w:rsidRPr="00F014CD">
        <w:rPr>
          <w:rFonts w:eastAsia="Times New Roman"/>
          <w:lang w:val="sq-AL"/>
        </w:rPr>
        <w:t>KËRKUES:</w:t>
      </w:r>
      <w:r w:rsidRPr="00F014CD">
        <w:rPr>
          <w:rFonts w:eastAsia="Times New Roman"/>
          <w:i/>
          <w:lang w:val="sq-AL"/>
        </w:rPr>
        <w:t xml:space="preserve"> </w:t>
      </w:r>
      <w:r w:rsidRPr="00F014CD">
        <w:rPr>
          <w:rFonts w:eastAsia="Times New Roman"/>
          <w:lang w:val="sq-AL"/>
        </w:rPr>
        <w:t>Fiqiri Osmani</w:t>
      </w:r>
      <w:r w:rsidRPr="00F014CD">
        <w:rPr>
          <w:rFonts w:eastAsia="Times New Roman"/>
          <w:lang w:val="sq-AL"/>
        </w:rPr>
        <w:tab/>
        <w:t xml:space="preserve"> </w:t>
      </w:r>
    </w:p>
    <w:p w:rsidR="006F5479" w:rsidRPr="00F014CD" w:rsidRDefault="006F5479" w:rsidP="006F5479">
      <w:pPr>
        <w:pStyle w:val="Paragrafi"/>
        <w:rPr>
          <w:rFonts w:eastAsia="Times New Roman"/>
          <w:lang w:val="sq-AL"/>
        </w:rPr>
      </w:pPr>
      <w:r w:rsidRPr="00F014CD">
        <w:rPr>
          <w:rFonts w:eastAsia="Times New Roman"/>
          <w:bCs/>
          <w:lang w:val="sq-AL"/>
        </w:rPr>
        <w:t>SUBJEKTE TË INTERESUARA:</w:t>
      </w:r>
      <w:r w:rsidRPr="00F014CD">
        <w:rPr>
          <w:rFonts w:eastAsia="Times New Roman"/>
          <w:i/>
          <w:lang w:val="sq-AL"/>
        </w:rPr>
        <w:t xml:space="preserve"> </w:t>
      </w:r>
      <w:r w:rsidRPr="00F014CD">
        <w:rPr>
          <w:rFonts w:eastAsia="Times New Roman"/>
          <w:i/>
          <w:lang w:val="sq-AL"/>
        </w:rPr>
        <w:tab/>
      </w:r>
      <w:r w:rsidRPr="00F014CD">
        <w:rPr>
          <w:rFonts w:eastAsia="Times New Roman"/>
          <w:lang w:val="sq-AL"/>
        </w:rPr>
        <w:t>Bashkia Vorë, përfaqësuar nga z. Aqif Muca.</w:t>
      </w:r>
      <w:r>
        <w:rPr>
          <w:rFonts w:eastAsia="Times New Roman"/>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Autoriteti Rrugor Shqiptar, përfaqësuar nga z. Afrim Qendro.</w:t>
      </w:r>
    </w:p>
    <w:p w:rsidR="006F5479" w:rsidRPr="00F014CD" w:rsidRDefault="006F5479" w:rsidP="006F5479">
      <w:pPr>
        <w:pStyle w:val="Paragrafi"/>
        <w:rPr>
          <w:rFonts w:eastAsia="Times New Roman"/>
          <w:lang w:val="sq-AL"/>
        </w:rPr>
      </w:pPr>
      <w:r w:rsidRPr="00F014CD">
        <w:rPr>
          <w:rFonts w:eastAsia="Times New Roman"/>
          <w:lang w:val="sq-AL"/>
        </w:rPr>
        <w:t xml:space="preserve">Avokatura e Shtetit, përfaqësuar nga z. Abaz Deda. </w:t>
      </w:r>
      <w:r w:rsidRPr="00F014CD">
        <w:rPr>
          <w:rFonts w:eastAsia="Times New Roman"/>
          <w:bCs/>
          <w:lang w:val="sq-AL"/>
        </w:rPr>
        <w:tab/>
      </w:r>
    </w:p>
    <w:p w:rsidR="006F5479" w:rsidRPr="00F014CD" w:rsidRDefault="006F5479" w:rsidP="006F5479">
      <w:pPr>
        <w:pStyle w:val="Paragrafi"/>
        <w:rPr>
          <w:rFonts w:eastAsia="Times New Roman"/>
          <w:lang w:val="sq-AL"/>
        </w:rPr>
      </w:pPr>
      <w:r w:rsidRPr="00F014CD">
        <w:rPr>
          <w:rFonts w:eastAsia="Times New Roman"/>
          <w:lang w:val="sq-AL"/>
        </w:rPr>
        <w:t>OBJEKTI:</w:t>
      </w:r>
      <w:r w:rsidRPr="00F014CD">
        <w:rPr>
          <w:rFonts w:eastAsia="Times New Roman"/>
          <w:i/>
          <w:lang w:val="sq-AL"/>
        </w:rPr>
        <w:t xml:space="preserve"> </w:t>
      </w:r>
      <w:r w:rsidRPr="00F014CD">
        <w:rPr>
          <w:rFonts w:eastAsia="Times New Roman"/>
          <w:i/>
          <w:lang w:val="sq-AL"/>
        </w:rPr>
        <w:tab/>
      </w:r>
      <w:r w:rsidRPr="00F014CD">
        <w:rPr>
          <w:rFonts w:eastAsia="Times New Roman"/>
          <w:lang w:val="sq-AL"/>
        </w:rPr>
        <w:t xml:space="preserve">Shfuqizimi si të papajtueshme me Kushtetutën i vendimeve </w:t>
      </w:r>
      <w:r>
        <w:rPr>
          <w:rFonts w:eastAsia="Times New Roman"/>
          <w:lang w:val="sq-AL"/>
        </w:rPr>
        <w:t>nr. 00-2017-234, datë 1.</w:t>
      </w:r>
      <w:r w:rsidRPr="00F014CD">
        <w:rPr>
          <w:rFonts w:eastAsia="Times New Roman"/>
          <w:lang w:val="sq-AL"/>
        </w:rPr>
        <w:t xml:space="preserve">3.2017 të Gjykatës së Lartë; </w:t>
      </w:r>
      <w:r>
        <w:rPr>
          <w:rFonts w:eastAsia="Times New Roman"/>
          <w:lang w:val="sq-AL"/>
        </w:rPr>
        <w:t>nr. 2324, datë 5.</w:t>
      </w:r>
      <w:r w:rsidRPr="00F014CD">
        <w:rPr>
          <w:rFonts w:eastAsia="Times New Roman"/>
          <w:lang w:val="sq-AL"/>
        </w:rPr>
        <w:t xml:space="preserve">6.2014 të Gjykatës Administrative të Apelit Tiranë; </w:t>
      </w:r>
      <w:r>
        <w:rPr>
          <w:rFonts w:eastAsia="Times New Roman"/>
          <w:lang w:val="sq-AL"/>
        </w:rPr>
        <w:t>nr. 603, datë 27.</w:t>
      </w:r>
      <w:r w:rsidRPr="00F014CD">
        <w:rPr>
          <w:rFonts w:eastAsia="Times New Roman"/>
          <w:lang w:val="sq-AL"/>
        </w:rPr>
        <w:t xml:space="preserve">2.2014 të Gjykatës së Apelit Tiranë; </w:t>
      </w:r>
      <w:r>
        <w:rPr>
          <w:rFonts w:eastAsia="Times New Roman"/>
          <w:lang w:val="sq-AL"/>
        </w:rPr>
        <w:t xml:space="preserve">nr. </w:t>
      </w:r>
      <w:r w:rsidRPr="00F014CD">
        <w:rPr>
          <w:rFonts w:eastAsia="Times New Roman"/>
          <w:lang w:val="sq-AL"/>
        </w:rPr>
        <w:t>11451, datë 23.11.2012 të Gjykatës së Rrethit Gjyqësor Tiranë.</w:t>
      </w:r>
    </w:p>
    <w:p w:rsidR="006F5479" w:rsidRDefault="006F5479" w:rsidP="006F5479">
      <w:pPr>
        <w:pStyle w:val="Paragrafi"/>
        <w:rPr>
          <w:rFonts w:eastAsia="Times New Roman"/>
          <w:lang w:val="sq-AL"/>
        </w:rPr>
      </w:pPr>
      <w:r w:rsidRPr="00F014CD">
        <w:rPr>
          <w:rFonts w:eastAsia="Times New Roman"/>
          <w:lang w:val="sq-AL"/>
        </w:rPr>
        <w:t xml:space="preserve">BAZA LIGJORE: Nenet 4, 41, 42, 43, 131/1/f dhe 182 të Kushtetutës së Republikës së Shqipërisë, si dhe nenet 31, 71, 71/a, 71/b dhe 76 të ligjit </w:t>
      </w:r>
      <w:r>
        <w:rPr>
          <w:rFonts w:eastAsia="Times New Roman"/>
          <w:lang w:val="sq-AL"/>
        </w:rPr>
        <w:t>nr. 8577, datë 10.</w:t>
      </w:r>
      <w:r w:rsidRPr="00F014CD">
        <w:rPr>
          <w:rFonts w:eastAsia="Times New Roman"/>
          <w:lang w:val="sq-AL"/>
        </w:rPr>
        <w:t>2.2000</w:t>
      </w:r>
      <w:r>
        <w:rPr>
          <w:rFonts w:eastAsia="Times New Roman"/>
          <w:lang w:val="sq-AL"/>
        </w:rPr>
        <w:t>,</w:t>
      </w:r>
      <w:r w:rsidRPr="00F014CD">
        <w:rPr>
          <w:rFonts w:eastAsia="Times New Roman"/>
          <w:lang w:val="sq-AL"/>
        </w:rPr>
        <w:t xml:space="preserve"> “Për organizimin dhe funksionimin e Gjykatës Kushtetuese të Republikës së Shqipërisë”, të ndryshuar.</w:t>
      </w:r>
    </w:p>
    <w:p w:rsidR="006F5479" w:rsidRPr="00F014CD" w:rsidRDefault="006F5479" w:rsidP="006F5479">
      <w:pPr>
        <w:pStyle w:val="NeniNr"/>
        <w:rPr>
          <w:lang w:val="sq-AL"/>
        </w:rPr>
      </w:pPr>
      <w:r w:rsidRPr="00F014CD">
        <w:rPr>
          <w:lang w:val="sq-AL"/>
        </w:rPr>
        <w:t>GJYKATA KUSHTETUESE,</w:t>
      </w:r>
    </w:p>
    <w:p w:rsidR="006F5479" w:rsidRPr="007F35E3" w:rsidRDefault="006F5479" w:rsidP="006F5479">
      <w:pPr>
        <w:pStyle w:val="Paragrafi"/>
        <w:rPr>
          <w:rFonts w:eastAsia="Times New Roman"/>
          <w:sz w:val="14"/>
          <w:lang w:val="sq-AL"/>
        </w:rPr>
      </w:pPr>
    </w:p>
    <w:p w:rsidR="006F5479" w:rsidRPr="00F014CD" w:rsidRDefault="006F5479" w:rsidP="006F5479">
      <w:pPr>
        <w:pStyle w:val="Paragrafi"/>
        <w:rPr>
          <w:rFonts w:eastAsia="Times New Roman"/>
          <w:lang w:val="sq-AL"/>
        </w:rPr>
      </w:pPr>
      <w:r w:rsidRPr="00F014CD">
        <w:rPr>
          <w:rFonts w:eastAsia="Times New Roman"/>
          <w:lang w:val="sq-AL"/>
        </w:rPr>
        <w:t>pasi dëgjoi relatoren e çështjes Vitore Tusha, shqyrtoi kërkesën e kërkuesit, i cili kërkoi pranimin e saj, dhe prapësimet e subjekteve të interesuara, Bashkisë Vorë dhe Autoritetit Rrugor Shqiptar,</w:t>
      </w:r>
      <w:r>
        <w:rPr>
          <w:rFonts w:eastAsia="Times New Roman"/>
          <w:lang w:val="sq-AL"/>
        </w:rPr>
        <w:t xml:space="preserve"> </w:t>
      </w:r>
      <w:r w:rsidRPr="00F014CD">
        <w:rPr>
          <w:rFonts w:eastAsia="Times New Roman"/>
          <w:lang w:val="sq-AL"/>
        </w:rPr>
        <w:t>të cilat kërkuan rrëzimin e kërkesës,</w:t>
      </w:r>
      <w:r>
        <w:rPr>
          <w:rFonts w:eastAsia="Times New Roman"/>
          <w:lang w:val="sq-AL"/>
        </w:rPr>
        <w:t xml:space="preserve"> </w:t>
      </w:r>
      <w:r w:rsidRPr="00F014CD">
        <w:rPr>
          <w:rFonts w:eastAsia="Times New Roman"/>
          <w:lang w:val="sq-AL"/>
        </w:rPr>
        <w:t>si dhe diskutoi çështjen në tërësi,</w:t>
      </w:r>
    </w:p>
    <w:p w:rsidR="006F5479" w:rsidRPr="00155565" w:rsidRDefault="006F5479" w:rsidP="006F5479">
      <w:pPr>
        <w:pStyle w:val="Paragrafi"/>
        <w:rPr>
          <w:rFonts w:eastAsia="Times New Roman"/>
          <w:sz w:val="14"/>
          <w:lang w:val="sq-AL"/>
        </w:rPr>
      </w:pPr>
    </w:p>
    <w:p w:rsidR="006F5479" w:rsidRPr="00F014CD" w:rsidRDefault="006F5479" w:rsidP="006F5479">
      <w:pPr>
        <w:pStyle w:val="NeniNr"/>
        <w:rPr>
          <w:lang w:val="sq-AL"/>
        </w:rPr>
      </w:pPr>
      <w:r w:rsidRPr="00F014CD">
        <w:rPr>
          <w:lang w:val="sq-AL"/>
        </w:rPr>
        <w:t>VËREN:</w:t>
      </w:r>
    </w:p>
    <w:p w:rsidR="006F5479" w:rsidRPr="00F014CD" w:rsidRDefault="006F5479" w:rsidP="006F5479">
      <w:pPr>
        <w:pStyle w:val="NeniNr"/>
        <w:rPr>
          <w:b/>
          <w:lang w:val="sq-AL"/>
        </w:rPr>
      </w:pPr>
      <w:r w:rsidRPr="00F014CD">
        <w:rPr>
          <w:b/>
          <w:lang w:val="sq-AL"/>
        </w:rPr>
        <w:t>I</w:t>
      </w:r>
    </w:p>
    <w:p w:rsidR="006F5479" w:rsidRPr="000F181F" w:rsidRDefault="006F5479" w:rsidP="006F5479">
      <w:pPr>
        <w:pStyle w:val="Paragrafi"/>
        <w:rPr>
          <w:rFonts w:eastAsia="Times New Roman"/>
          <w:sz w:val="14"/>
          <w:lang w:val="sq-AL"/>
        </w:rPr>
      </w:pPr>
    </w:p>
    <w:p w:rsidR="006F5479" w:rsidRPr="00F014CD" w:rsidRDefault="006F5479" w:rsidP="006F5479">
      <w:pPr>
        <w:pStyle w:val="Paragrafi"/>
        <w:rPr>
          <w:rFonts w:eastAsia="Times New Roman"/>
          <w:bCs/>
          <w:lang w:val="sq-AL"/>
        </w:rPr>
      </w:pPr>
      <w:r w:rsidRPr="00F014CD">
        <w:rPr>
          <w:rFonts w:eastAsia="Times New Roman"/>
          <w:lang w:val="sq-AL"/>
        </w:rPr>
        <w:t>1.</w:t>
      </w:r>
      <w:r w:rsidRPr="00F014CD">
        <w:rPr>
          <w:rFonts w:eastAsia="Times New Roman"/>
          <w:b/>
          <w:lang w:val="sq-AL"/>
        </w:rPr>
        <w:t xml:space="preserve"> </w:t>
      </w:r>
      <w:r w:rsidRPr="00F014CD">
        <w:rPr>
          <w:rFonts w:eastAsia="Times New Roman"/>
          <w:bCs/>
          <w:lang w:val="sq-AL"/>
        </w:rPr>
        <w:t>Kërkuesi është pronar i një sipërfaqeje toke prej 648 m</w:t>
      </w:r>
      <w:r w:rsidRPr="00F014CD">
        <w:rPr>
          <w:rFonts w:eastAsia="Times New Roman"/>
          <w:bCs/>
          <w:vertAlign w:val="superscript"/>
          <w:lang w:val="sq-AL"/>
        </w:rPr>
        <w:t>2</w:t>
      </w:r>
      <w:r w:rsidRPr="00F014CD">
        <w:rPr>
          <w:rFonts w:eastAsia="Times New Roman"/>
          <w:bCs/>
          <w:lang w:val="sq-AL"/>
        </w:rPr>
        <w:t xml:space="preserve"> e ndodhur në Kodër Vorë. Pasi është pajisur me leje për shesh ndërtimi dhe leje ndërtimi, kërkuesi ka ndërtuar një objekt të përbërë nga tri kate (një kat dyqan dhe dy kate banimi). Për këtë objekt ai ka marrë leje shfrytëzimi dhe e ka regjistruar në ZRPP. </w:t>
      </w:r>
    </w:p>
    <w:p w:rsidR="006F5479" w:rsidRPr="00F014CD" w:rsidRDefault="006F5479" w:rsidP="006F5479">
      <w:pPr>
        <w:pStyle w:val="Paragrafi"/>
        <w:rPr>
          <w:rFonts w:eastAsia="Times New Roman"/>
          <w:bCs/>
          <w:lang w:val="sq-AL"/>
        </w:rPr>
      </w:pPr>
      <w:r>
        <w:rPr>
          <w:rFonts w:eastAsia="Times New Roman"/>
          <w:bCs/>
          <w:lang w:val="sq-AL"/>
        </w:rPr>
        <w:t>2. Në datën 27.</w:t>
      </w:r>
      <w:r w:rsidRPr="00F014CD">
        <w:rPr>
          <w:rFonts w:eastAsia="Times New Roman"/>
          <w:bCs/>
          <w:lang w:val="sq-AL"/>
        </w:rPr>
        <w:t xml:space="preserve">7.2010 Inspektorati Ndërtimor Urbanistik (INU) i Bashkisë Vorë e ka njoftuar kërkuesin të “lërë të lirë pronën deri te kufiri i shpronësimit të bërë nga DPR-ja, brenda 5 ditësh”, për shkak të ndërtimit të rrugës dytësore. Drejtoria e Përgjithshme e Rrugëve (sot Autoriteti Rrugor Shqiptar) ka </w:t>
      </w:r>
      <w:r>
        <w:rPr>
          <w:rFonts w:eastAsia="Times New Roman"/>
          <w:bCs/>
          <w:lang w:val="sq-AL"/>
        </w:rPr>
        <w:t>verifikuar me shkresën e datës 4.</w:t>
      </w:r>
      <w:r w:rsidRPr="00F014CD">
        <w:rPr>
          <w:rFonts w:eastAsia="Times New Roman"/>
          <w:bCs/>
          <w:lang w:val="sq-AL"/>
        </w:rPr>
        <w:t>8.2010 se kërkuesi “nuk është i shpronësuar (...)”.</w:t>
      </w:r>
      <w:r>
        <w:rPr>
          <w:rFonts w:eastAsia="Times New Roman"/>
          <w:bCs/>
          <w:lang w:val="sq-AL"/>
        </w:rPr>
        <w:t xml:space="preserve"> </w:t>
      </w:r>
      <w:r w:rsidRPr="00F014CD">
        <w:rPr>
          <w:rFonts w:eastAsia="Times New Roman"/>
          <w:bCs/>
          <w:lang w:val="sq-AL"/>
        </w:rPr>
        <w:t>Pas një kontrolli t</w:t>
      </w:r>
      <w:r>
        <w:rPr>
          <w:rFonts w:eastAsia="Times New Roman"/>
          <w:bCs/>
          <w:lang w:val="sq-AL"/>
        </w:rPr>
        <w:t>ë ushtruar nga INU-ja në datën 6.</w:t>
      </w:r>
      <w:r w:rsidRPr="00F014CD">
        <w:rPr>
          <w:rFonts w:eastAsia="Times New Roman"/>
          <w:bCs/>
          <w:lang w:val="sq-AL"/>
        </w:rPr>
        <w:t>9.2010 është konstatuar se kërkuesi ka ndërtuar mur rrethues dhe objekt shtesë</w:t>
      </w:r>
      <w:r>
        <w:rPr>
          <w:rFonts w:eastAsia="Times New Roman"/>
          <w:bCs/>
          <w:lang w:val="sq-AL"/>
        </w:rPr>
        <w:t xml:space="preserve"> pa leje ndërtimi. Në datën 11.</w:t>
      </w:r>
      <w:r w:rsidRPr="00F014CD">
        <w:rPr>
          <w:rFonts w:eastAsia="Times New Roman"/>
          <w:bCs/>
          <w:lang w:val="sq-AL"/>
        </w:rPr>
        <w:t>8.2010 ajo ka njoftuar paditësin se “do të prishë muret, gardhet rrethues dhe objektet që bëhen pengesë për zbatimin</w:t>
      </w:r>
      <w:r>
        <w:rPr>
          <w:rFonts w:eastAsia="Times New Roman"/>
          <w:bCs/>
          <w:lang w:val="sq-AL"/>
        </w:rPr>
        <w:t xml:space="preserve"> e projektit”, ndërsa në datën </w:t>
      </w:r>
      <w:r w:rsidRPr="00F014CD">
        <w:rPr>
          <w:rFonts w:eastAsia="Times New Roman"/>
          <w:bCs/>
          <w:lang w:val="sq-AL"/>
        </w:rPr>
        <w:t xml:space="preserve">7.9.2010 ka marrë vendimin për prishjen e objektit “mur rrethues dhe objekt shtesë”, pasi është bërë pa leje ndërtimi. </w:t>
      </w:r>
    </w:p>
    <w:p w:rsidR="006F5479" w:rsidRPr="00F014CD" w:rsidRDefault="006F5479" w:rsidP="006F5479">
      <w:pPr>
        <w:pStyle w:val="Paragrafi"/>
        <w:rPr>
          <w:rFonts w:eastAsia="Times New Roman"/>
          <w:bCs/>
          <w:lang w:val="sq-AL"/>
        </w:rPr>
      </w:pPr>
      <w:r w:rsidRPr="00F014CD">
        <w:rPr>
          <w:rFonts w:eastAsia="Times New Roman"/>
          <w:bCs/>
          <w:lang w:val="sq-AL"/>
        </w:rPr>
        <w:t xml:space="preserve">3. Kërkuesi i është drejtuar Gjykatës së Rrethit Gjyqësor Tiranë me padi, duke kërkuar shpërblim dëmi, kompensim të sipërfaqes dhe sigurim të padisë për pezullimin e punimeve të INU-së, Bashkia Vorë. Gjykata e Rrethit Gjyqësor Tiranë, me vendimin </w:t>
      </w:r>
      <w:r>
        <w:rPr>
          <w:rFonts w:eastAsia="Times New Roman"/>
          <w:bCs/>
          <w:lang w:val="sq-AL"/>
        </w:rPr>
        <w:t xml:space="preserve">nr. </w:t>
      </w:r>
      <w:r w:rsidRPr="00F014CD">
        <w:rPr>
          <w:rFonts w:eastAsia="Times New Roman"/>
          <w:lang w:val="sq-AL"/>
        </w:rPr>
        <w:t>11451, datë 23.11.2012,</w:t>
      </w:r>
      <w:r w:rsidRPr="00F014CD">
        <w:rPr>
          <w:rFonts w:eastAsia="Times New Roman"/>
          <w:i/>
          <w:lang w:val="sq-AL"/>
        </w:rPr>
        <w:t xml:space="preserve"> </w:t>
      </w:r>
      <w:r w:rsidRPr="00F014CD">
        <w:rPr>
          <w:rFonts w:eastAsia="Times New Roman"/>
          <w:bCs/>
          <w:lang w:val="sq-AL"/>
        </w:rPr>
        <w:t xml:space="preserve">ka vendosur </w:t>
      </w:r>
      <w:r w:rsidRPr="00F014CD">
        <w:rPr>
          <w:rFonts w:eastAsia="Times New Roman"/>
          <w:bCs/>
          <w:lang w:val="sq-AL"/>
        </w:rPr>
        <w:lastRenderedPageBreak/>
        <w:t>rrëzimin e kërkesëpadisë dhe heqjen e masës së sigurimit të padisë.</w:t>
      </w:r>
      <w:r>
        <w:rPr>
          <w:rFonts w:eastAsia="Times New Roman"/>
          <w:bCs/>
          <w:lang w:val="sq-AL"/>
        </w:rPr>
        <w:t xml:space="preserve"> </w:t>
      </w:r>
    </w:p>
    <w:p w:rsidR="006F5479" w:rsidRPr="000F181F" w:rsidRDefault="006F5479" w:rsidP="006F5479">
      <w:pPr>
        <w:pStyle w:val="Paragrafi"/>
        <w:rPr>
          <w:rFonts w:eastAsia="Times New Roman"/>
          <w:bCs/>
          <w:lang w:val="sq-AL"/>
        </w:rPr>
      </w:pPr>
      <w:r w:rsidRPr="00F014CD">
        <w:rPr>
          <w:rFonts w:eastAsia="Times New Roman"/>
          <w:bCs/>
          <w:lang w:val="sq-AL"/>
        </w:rPr>
        <w:t xml:space="preserve">4. Gjykata e Apelit Tiranë, me vendimin </w:t>
      </w:r>
      <w:r>
        <w:rPr>
          <w:rFonts w:eastAsia="Times New Roman"/>
          <w:bCs/>
          <w:lang w:val="sq-AL"/>
        </w:rPr>
        <w:t xml:space="preserve">nr. </w:t>
      </w:r>
      <w:r>
        <w:rPr>
          <w:rFonts w:eastAsia="Times New Roman"/>
          <w:lang w:val="sq-AL"/>
        </w:rPr>
        <w:t>603, datë 27.</w:t>
      </w:r>
      <w:r w:rsidRPr="00F014CD">
        <w:rPr>
          <w:rFonts w:eastAsia="Times New Roman"/>
          <w:lang w:val="sq-AL"/>
        </w:rPr>
        <w:t>2.2014,</w:t>
      </w:r>
      <w:r w:rsidRPr="00F014CD">
        <w:rPr>
          <w:rFonts w:eastAsia="Times New Roman"/>
          <w:i/>
          <w:lang w:val="sq-AL"/>
        </w:rPr>
        <w:t xml:space="preserve"> </w:t>
      </w:r>
      <w:r w:rsidRPr="00F014CD">
        <w:rPr>
          <w:rFonts w:eastAsia="Times New Roman"/>
          <w:lang w:val="sq-AL"/>
        </w:rPr>
        <w:t xml:space="preserve">ka vendosur shpalljen e moskompetencës për gjykimin e çështjes </w:t>
      </w:r>
      <w:r w:rsidRPr="00F014CD">
        <w:rPr>
          <w:rFonts w:eastAsia="Times New Roman"/>
          <w:bCs/>
          <w:lang w:val="sq-AL"/>
        </w:rPr>
        <w:t xml:space="preserve">dhe dërgimin e saj për kompetencë në Gjykatën e Administrative të Apelit. Kjo e fundit, me vendimin </w:t>
      </w:r>
      <w:r>
        <w:rPr>
          <w:rFonts w:eastAsia="Times New Roman"/>
          <w:bCs/>
          <w:lang w:val="sq-AL"/>
        </w:rPr>
        <w:t xml:space="preserve">nr. </w:t>
      </w:r>
      <w:r>
        <w:rPr>
          <w:rFonts w:eastAsia="Times New Roman"/>
          <w:lang w:val="sq-AL"/>
        </w:rPr>
        <w:t>2324, datë 5.</w:t>
      </w:r>
      <w:r w:rsidRPr="00F014CD">
        <w:rPr>
          <w:rFonts w:eastAsia="Times New Roman"/>
          <w:lang w:val="sq-AL"/>
        </w:rPr>
        <w:t xml:space="preserve">6.2014, ka vendosur lënien në fuqi të vendimit </w:t>
      </w:r>
      <w:r>
        <w:rPr>
          <w:rFonts w:eastAsia="Times New Roman"/>
          <w:bCs/>
          <w:lang w:val="sq-AL"/>
        </w:rPr>
        <w:t xml:space="preserve">nr. </w:t>
      </w:r>
      <w:r w:rsidRPr="00F014CD">
        <w:rPr>
          <w:rFonts w:eastAsia="Times New Roman"/>
          <w:lang w:val="sq-AL"/>
        </w:rPr>
        <w:t xml:space="preserve">11451, datë 23.11.2012 të </w:t>
      </w:r>
      <w:r w:rsidRPr="00F014CD">
        <w:rPr>
          <w:rFonts w:eastAsia="Times New Roman"/>
          <w:bCs/>
          <w:lang w:val="sq-AL"/>
        </w:rPr>
        <w:t xml:space="preserve">Gjykatës së Rrethit Gjyqësor Tiranë. Kundër këtij vendimi është shtruar rekurs nga kërkuesi. Gjykata e Lartë, me vendimin </w:t>
      </w:r>
      <w:r>
        <w:rPr>
          <w:rFonts w:eastAsia="Times New Roman"/>
          <w:bCs/>
          <w:lang w:val="sq-AL"/>
        </w:rPr>
        <w:t xml:space="preserve">nr. </w:t>
      </w:r>
      <w:r>
        <w:rPr>
          <w:rFonts w:eastAsia="Times New Roman"/>
          <w:lang w:val="sq-AL"/>
        </w:rPr>
        <w:t>00-2017-234, datë 1.</w:t>
      </w:r>
      <w:r w:rsidRPr="00F014CD">
        <w:rPr>
          <w:rFonts w:eastAsia="Times New Roman"/>
          <w:lang w:val="sq-AL"/>
        </w:rPr>
        <w:t>3.2017</w:t>
      </w:r>
      <w:r w:rsidRPr="00F014CD">
        <w:rPr>
          <w:rFonts w:eastAsia="Times New Roman"/>
          <w:i/>
          <w:lang w:val="sq-AL"/>
        </w:rPr>
        <w:t xml:space="preserve"> </w:t>
      </w:r>
      <w:r w:rsidRPr="00F014CD">
        <w:rPr>
          <w:rFonts w:eastAsia="Times New Roman"/>
          <w:bCs/>
          <w:lang w:val="sq-AL"/>
        </w:rPr>
        <w:t>ka ve</w:t>
      </w:r>
      <w:r>
        <w:rPr>
          <w:rFonts w:eastAsia="Times New Roman"/>
          <w:bCs/>
          <w:lang w:val="sq-AL"/>
        </w:rPr>
        <w:t xml:space="preserve">ndosur mospranimin e rekursit. </w:t>
      </w:r>
    </w:p>
    <w:p w:rsidR="006F5479" w:rsidRPr="00A402A4" w:rsidRDefault="006F5479" w:rsidP="006F5479">
      <w:pPr>
        <w:pStyle w:val="NeniNr"/>
        <w:rPr>
          <w:b/>
          <w:sz w:val="14"/>
          <w:lang w:val="sq-AL"/>
        </w:rPr>
      </w:pPr>
    </w:p>
    <w:p w:rsidR="006F5479" w:rsidRPr="00F014CD" w:rsidRDefault="006F5479" w:rsidP="006F5479">
      <w:pPr>
        <w:pStyle w:val="NeniNr"/>
        <w:rPr>
          <w:b/>
          <w:lang w:val="sq-AL"/>
        </w:rPr>
      </w:pPr>
      <w:r w:rsidRPr="00F014CD">
        <w:rPr>
          <w:b/>
          <w:lang w:val="sq-AL"/>
        </w:rPr>
        <w:t>II</w:t>
      </w:r>
    </w:p>
    <w:p w:rsidR="006F5479" w:rsidRPr="000F181F" w:rsidRDefault="006F5479" w:rsidP="006F5479">
      <w:pPr>
        <w:pStyle w:val="Paragrafi"/>
        <w:rPr>
          <w:rFonts w:eastAsia="Times New Roman"/>
          <w:bCs/>
          <w:sz w:val="14"/>
          <w:lang w:val="sq-AL"/>
        </w:rPr>
      </w:pP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 xml:space="preserve">5. Kërkuesi i është drejtuar Gjykatës Kushtetuese (Gjykata), duke pretenduar se ndaj tij është zhvilluar një proces i parregullt ligjor. Më konkretisht, ai ka parashtruar se: </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 xml:space="preserve">5.1 Vendimi i Gjykatës së Lartë ka cenuar të drejtën për një proces të rregullt, pasi ka cenuar aksesin efektiv në gjykatë; nuk është marrë brenda një afati të arsyeshëm. Gjykata e Lartë në mënyrë të pajustifikuar ka ngushtuar juridiksionin e vet për të kontrolluar nëse të dyja gjykatat e apelit kishin shpallur në përputhje me ligjin juridiksionet e tyre </w:t>
      </w:r>
      <w:r w:rsidRPr="00A402A4">
        <w:rPr>
          <w:rFonts w:eastAsia="Times New Roman"/>
          <w:bCs/>
          <w:i/>
          <w:spacing w:val="-4"/>
          <w:lang w:val="sq-AL"/>
        </w:rPr>
        <w:t xml:space="preserve">ratione materiae. </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5.2 Gjykata Administrative e Apelit ka tejkaluar kompetencat e veta ligjore kur ka pranuar të gjykojë pretendimet lidhur me dëmin pasuror të pësuar prej shpronësimit të paligjshëm sipas Kodit të Procedurave Administrative dhe ligjit nr. 49/2012, “Për gjykatat administrative dhe gjykimin e mosmarrëveshjeve administrative” (ligjit për gjykatat administrative). Ajo nuk ka hetuar nëse procedurat e shpronësimit në rastin konkret kanë qenë të ligjshme dhe në interes publik, duke dhënë kështu një vendim të paargumentuar dhe të paarsyetuar.</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 xml:space="preserve">5.3 Gjykata e Rrethit Gjyqësor Tiranë u ka dhënë prioritet provave të paraqitura nga Bashkia Vorë kundrejt atyre të paraqitura nga kërkuesi. Duke favorizuar kështu palën tjetër, gjykata i ka cenuar kërkuesit të drejtën e barazisë së armëve në proces. </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 xml:space="preserve">5.4 Shqyrtimi i pretendimeve të kërkuesit në të gjitha shkallët e gjykimit është bërë në kundërshtim me të drejtën themelore të pronës dhe të paprekshmërisë së banesës. </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5.5 Gjykatat nuk gjykuan faktin nëse prishja e pjesës së zgjeruar të kuzhinës, murit rrethues të shtëpisë dhe pusit kishin cenuar të drejtën kushtetuese të kërkuesit për banesë, e cila mbrohet nga neni 8 i KEDNJ-së.</w:t>
      </w:r>
    </w:p>
    <w:p w:rsidR="006F5479" w:rsidRPr="00F014CD" w:rsidRDefault="006F5479" w:rsidP="006F5479">
      <w:pPr>
        <w:pStyle w:val="Paragrafi"/>
        <w:rPr>
          <w:rFonts w:eastAsia="Times New Roman"/>
          <w:bCs/>
          <w:lang w:val="sq-AL"/>
        </w:rPr>
      </w:pPr>
      <w:r w:rsidRPr="00F014CD">
        <w:rPr>
          <w:rFonts w:eastAsia="Times New Roman"/>
          <w:bCs/>
          <w:lang w:val="sq-AL"/>
        </w:rPr>
        <w:t>5.6. Gjykata</w:t>
      </w:r>
      <w:r>
        <w:rPr>
          <w:rFonts w:eastAsia="Times New Roman"/>
          <w:bCs/>
          <w:lang w:val="sq-AL"/>
        </w:rPr>
        <w:t xml:space="preserve"> </w:t>
      </w:r>
      <w:r w:rsidRPr="00F014CD">
        <w:rPr>
          <w:rFonts w:eastAsia="Times New Roman"/>
          <w:bCs/>
          <w:lang w:val="sq-AL"/>
        </w:rPr>
        <w:t xml:space="preserve">Kushtetuese ka juridiksion </w:t>
      </w:r>
      <w:r w:rsidRPr="00F014CD">
        <w:rPr>
          <w:rFonts w:eastAsia="Times New Roman"/>
          <w:bCs/>
          <w:i/>
          <w:lang w:val="sq-AL"/>
        </w:rPr>
        <w:t xml:space="preserve">ratione materiae </w:t>
      </w:r>
      <w:r w:rsidRPr="00F014CD">
        <w:rPr>
          <w:rFonts w:eastAsia="Times New Roman"/>
          <w:bCs/>
          <w:lang w:val="sq-AL"/>
        </w:rPr>
        <w:t>për të matur domosdoshmërinë dhe proporcionalitetin e kufizimit të së drejtës së kërkuesit për banesë. Bazuar në nenin 17/2 të Kushtetutës, Gjykata Kushtetuese duhet të orientohet nga jurisprudenca e GJEDNJ-së lidhur me kufijtë e lejueshëm të ndërhyrjes në të drejtën themelore të kërkuesit për banesë. Në rastin konkret, gjykatat duhet të kishin hetuar nëse kalimi i rrugës përmes shtëpisë së kërkuesit kishte qenë e vetmja mundësi për t</w:t>
      </w:r>
      <w:r>
        <w:rPr>
          <w:rFonts w:eastAsia="Times New Roman"/>
          <w:bCs/>
          <w:lang w:val="sq-AL"/>
        </w:rPr>
        <w:t>’</w:t>
      </w:r>
      <w:r w:rsidRPr="00F014CD">
        <w:rPr>
          <w:rFonts w:eastAsia="Times New Roman"/>
          <w:bCs/>
          <w:lang w:val="sq-AL"/>
        </w:rPr>
        <w:t>i shërbyer interesit të përgjithshëm, apo ekzistonin dhe alternativa të tjera për këtë qëllim. Ky lloj hetimi do të përcaktonte dhe llojin e legjislacionit për aplikim mbi dëmshpërblimin.</w:t>
      </w:r>
    </w:p>
    <w:p w:rsidR="006F5479" w:rsidRPr="00F014CD" w:rsidRDefault="006F5479" w:rsidP="006F5479">
      <w:pPr>
        <w:pStyle w:val="Paragrafi"/>
        <w:rPr>
          <w:rFonts w:eastAsia="Times New Roman"/>
          <w:bCs/>
          <w:lang w:val="sq-AL"/>
        </w:rPr>
      </w:pPr>
      <w:r w:rsidRPr="00F014CD">
        <w:rPr>
          <w:rFonts w:eastAsia="Times New Roman"/>
          <w:bCs/>
          <w:lang w:val="sq-AL"/>
        </w:rPr>
        <w:t xml:space="preserve">6. </w:t>
      </w:r>
      <w:r w:rsidRPr="00F014CD">
        <w:rPr>
          <w:rFonts w:eastAsia="Times New Roman"/>
          <w:b/>
          <w:bCs/>
          <w:i/>
          <w:lang w:val="sq-AL"/>
        </w:rPr>
        <w:t>Subjekti i interesuar, Bashkia Vorë</w:t>
      </w:r>
      <w:r w:rsidRPr="00F014CD">
        <w:rPr>
          <w:rFonts w:eastAsia="Times New Roman"/>
          <w:bCs/>
          <w:lang w:val="sq-AL"/>
        </w:rPr>
        <w:t>, parashtron se pretendimet e kërkuesit në lidhje me mungesën e respektimit të elementeve të procesit të rregullt ligjor nuk qëndrojnë dhe se kërkesa duhet rrëzuar si e pabazuar. Ajo paraqet në mënyrë të përmbledhur:</w:t>
      </w:r>
    </w:p>
    <w:p w:rsidR="006F5479" w:rsidRPr="00F014CD" w:rsidRDefault="006F5479" w:rsidP="006F5479">
      <w:pPr>
        <w:pStyle w:val="Paragrafi"/>
        <w:rPr>
          <w:rFonts w:eastAsia="Times New Roman"/>
          <w:bCs/>
          <w:lang w:val="sq-AL"/>
        </w:rPr>
      </w:pPr>
      <w:r w:rsidRPr="00F014CD">
        <w:rPr>
          <w:rFonts w:eastAsia="Times New Roman"/>
          <w:bCs/>
          <w:lang w:val="sq-AL"/>
        </w:rPr>
        <w:t>6.1. Duke marrë parasysh kompleksitetin e çështjes, nga gjykatat është respektuar drejt parimi i procesit të rregullt ligjor për kohëzgjatjen e arsyeshme të procesit.</w:t>
      </w:r>
    </w:p>
    <w:p w:rsidR="006F5479" w:rsidRPr="00F014CD" w:rsidRDefault="006F5479" w:rsidP="006F5479">
      <w:pPr>
        <w:pStyle w:val="Paragrafi"/>
        <w:rPr>
          <w:rFonts w:eastAsia="Times New Roman"/>
          <w:bCs/>
          <w:lang w:val="sq-AL"/>
        </w:rPr>
      </w:pPr>
      <w:r w:rsidRPr="00F014CD">
        <w:rPr>
          <w:rFonts w:eastAsia="Times New Roman"/>
          <w:bCs/>
          <w:lang w:val="sq-AL"/>
        </w:rPr>
        <w:t>6.2. Dispozitat ligjore në lidhje me kompetencën janë zbatuar drejt nga gjykatat.</w:t>
      </w:r>
    </w:p>
    <w:p w:rsidR="006F5479" w:rsidRPr="00F014CD" w:rsidRDefault="006F5479" w:rsidP="006F5479">
      <w:pPr>
        <w:pStyle w:val="Paragrafi"/>
        <w:rPr>
          <w:rFonts w:eastAsia="Times New Roman"/>
          <w:bCs/>
          <w:lang w:val="sq-AL"/>
        </w:rPr>
      </w:pPr>
      <w:r w:rsidRPr="00F014CD">
        <w:rPr>
          <w:rFonts w:eastAsia="Times New Roman"/>
          <w:bCs/>
          <w:lang w:val="sq-AL"/>
        </w:rPr>
        <w:t>6.3. Vendimi i Gjykatës së Apelit është i argumentuar dhe shterues.</w:t>
      </w:r>
    </w:p>
    <w:p w:rsidR="006F5479" w:rsidRPr="00F014CD" w:rsidRDefault="006F5479" w:rsidP="006F5479">
      <w:pPr>
        <w:pStyle w:val="Paragrafi"/>
        <w:rPr>
          <w:rFonts w:eastAsia="Times New Roman"/>
          <w:bCs/>
          <w:lang w:val="sq-AL"/>
        </w:rPr>
      </w:pPr>
      <w:r w:rsidRPr="00F014CD">
        <w:rPr>
          <w:rFonts w:eastAsia="Times New Roman"/>
          <w:bCs/>
          <w:lang w:val="sq-AL"/>
        </w:rPr>
        <w:t>6.4. Në lidhje me të drejtën themelore të pronës, nga ana e gjykatave është vendosur drejt dhe është respektuar legjislacioni shqiptar që rregullon të drejtën e pronësisë.</w:t>
      </w:r>
    </w:p>
    <w:p w:rsidR="006F5479" w:rsidRPr="00F014CD" w:rsidRDefault="006F5479" w:rsidP="006F5479">
      <w:pPr>
        <w:pStyle w:val="Paragrafi"/>
        <w:rPr>
          <w:rFonts w:eastAsia="Times New Roman"/>
          <w:bCs/>
          <w:lang w:val="sq-AL"/>
        </w:rPr>
      </w:pPr>
      <w:r w:rsidRPr="00F014CD">
        <w:rPr>
          <w:rFonts w:eastAsia="Times New Roman"/>
          <w:bCs/>
          <w:lang w:val="sq-AL"/>
        </w:rPr>
        <w:t xml:space="preserve">7. </w:t>
      </w:r>
      <w:r w:rsidRPr="00F014CD">
        <w:rPr>
          <w:rFonts w:eastAsia="Times New Roman"/>
          <w:b/>
          <w:bCs/>
          <w:i/>
          <w:lang w:val="sq-AL"/>
        </w:rPr>
        <w:t>Subjekti i interesuar</w:t>
      </w:r>
      <w:r w:rsidRPr="00F014CD">
        <w:rPr>
          <w:rFonts w:eastAsia="Times New Roman"/>
          <w:bCs/>
          <w:lang w:val="sq-AL"/>
        </w:rPr>
        <w:t xml:space="preserve">, </w:t>
      </w:r>
      <w:r w:rsidRPr="00F014CD">
        <w:rPr>
          <w:rFonts w:eastAsia="Times New Roman"/>
          <w:b/>
          <w:bCs/>
          <w:i/>
          <w:lang w:val="sq-AL"/>
        </w:rPr>
        <w:t>Autoriteti Rrugor Shqiptar,</w:t>
      </w:r>
      <w:r w:rsidRPr="00F014CD">
        <w:rPr>
          <w:rFonts w:eastAsia="Times New Roman"/>
          <w:bCs/>
          <w:lang w:val="sq-AL"/>
        </w:rPr>
        <w:t xml:space="preserve"> nuk paraqiti argumente prapësuese, por kërkon rrëzimin e kërkesës. </w:t>
      </w:r>
    </w:p>
    <w:p w:rsidR="006F5479" w:rsidRPr="00F014CD" w:rsidRDefault="006F5479" w:rsidP="006F5479">
      <w:pPr>
        <w:pStyle w:val="Paragrafi"/>
        <w:rPr>
          <w:rFonts w:eastAsia="Times New Roman"/>
          <w:bCs/>
          <w:lang w:val="sq-AL"/>
        </w:rPr>
      </w:pPr>
      <w:r w:rsidRPr="00F014CD">
        <w:rPr>
          <w:rFonts w:eastAsia="Times New Roman"/>
          <w:bCs/>
          <w:lang w:val="sq-AL"/>
        </w:rPr>
        <w:lastRenderedPageBreak/>
        <w:t>8</w:t>
      </w:r>
      <w:r w:rsidRPr="00F014CD">
        <w:rPr>
          <w:rFonts w:eastAsia="Times New Roman"/>
          <w:b/>
          <w:bCs/>
          <w:i/>
          <w:lang w:val="sq-AL"/>
        </w:rPr>
        <w:t>. Subjekti i interesuar, Avokatura e Shtetit,</w:t>
      </w:r>
      <w:r w:rsidRPr="00F014CD">
        <w:rPr>
          <w:rFonts w:eastAsia="Times New Roman"/>
          <w:bCs/>
          <w:lang w:val="sq-AL"/>
        </w:rPr>
        <w:t xml:space="preserve"> njoftoi se sipas ligjit nuk ushtron përfaqësim për</w:t>
      </w:r>
      <w:r>
        <w:rPr>
          <w:rFonts w:eastAsia="Times New Roman"/>
          <w:bCs/>
          <w:lang w:val="sq-AL"/>
        </w:rPr>
        <w:t xml:space="preserve"> </w:t>
      </w:r>
      <w:r w:rsidRPr="00F014CD">
        <w:rPr>
          <w:rFonts w:eastAsia="Times New Roman"/>
          <w:bCs/>
          <w:lang w:val="sq-AL"/>
        </w:rPr>
        <w:t>interesat e organeve të qeverisjes vendore, përveçse në rastet e ekzistencës së një marrëveshjeje të posaçme për këtë qëllim.</w:t>
      </w:r>
    </w:p>
    <w:p w:rsidR="006F5479" w:rsidRPr="000F181F" w:rsidRDefault="006F5479" w:rsidP="006F5479">
      <w:pPr>
        <w:pStyle w:val="Paragrafi"/>
        <w:ind w:firstLine="0"/>
        <w:rPr>
          <w:rFonts w:eastAsia="Times New Roman"/>
          <w:b/>
          <w:sz w:val="14"/>
          <w:lang w:val="sq-AL"/>
        </w:rPr>
      </w:pPr>
    </w:p>
    <w:p w:rsidR="006F5479" w:rsidRPr="00F014CD" w:rsidRDefault="006F5479" w:rsidP="006F5479">
      <w:pPr>
        <w:pStyle w:val="NeniNr"/>
        <w:rPr>
          <w:b/>
          <w:lang w:val="sq-AL"/>
        </w:rPr>
      </w:pPr>
      <w:r w:rsidRPr="00F014CD">
        <w:rPr>
          <w:b/>
          <w:lang w:val="sq-AL"/>
        </w:rPr>
        <w:t>III</w:t>
      </w:r>
    </w:p>
    <w:p w:rsidR="006F5479" w:rsidRPr="00F014CD" w:rsidRDefault="006F5479" w:rsidP="006F5479">
      <w:pPr>
        <w:pStyle w:val="NeniNr"/>
        <w:rPr>
          <w:b/>
          <w:lang w:val="sq-AL"/>
        </w:rPr>
      </w:pPr>
      <w:r w:rsidRPr="00F014CD">
        <w:rPr>
          <w:b/>
          <w:lang w:val="sq-AL"/>
        </w:rPr>
        <w:t>Vlerësimi i Gjykatës</w:t>
      </w:r>
    </w:p>
    <w:p w:rsidR="006F5479" w:rsidRPr="000F181F" w:rsidRDefault="006F5479" w:rsidP="006F5479">
      <w:pPr>
        <w:pStyle w:val="Paragrafi"/>
        <w:rPr>
          <w:rFonts w:eastAsia="Times New Roman"/>
          <w:i/>
          <w:sz w:val="14"/>
          <w:lang w:val="sq-AL"/>
        </w:rPr>
      </w:pPr>
    </w:p>
    <w:p w:rsidR="006F5479" w:rsidRPr="00F014CD" w:rsidRDefault="006F5479" w:rsidP="006F5479">
      <w:pPr>
        <w:pStyle w:val="Paragrafi"/>
        <w:rPr>
          <w:rFonts w:eastAsia="Times New Roman"/>
          <w:i/>
          <w:lang w:val="sq-AL"/>
        </w:rPr>
      </w:pPr>
      <w:r w:rsidRPr="00F014CD">
        <w:rPr>
          <w:rFonts w:eastAsia="Times New Roman"/>
          <w:i/>
          <w:lang w:val="sq-AL"/>
        </w:rPr>
        <w:t>A. Për legjitimimin e kërkuesit</w:t>
      </w:r>
      <w:r>
        <w:rPr>
          <w:rFonts w:eastAsia="Times New Roman"/>
          <w:i/>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 xml:space="preserve">9. Individi, në kuptim të neneve 131/1/f, 134/1/i dhe 134/2 të Kushtetutës, mund të vërë në lëvizje Gjykatën Kushtetuese kur pretendon se i janë cenuar të drejtat themelore kushtetuese. </w:t>
      </w:r>
    </w:p>
    <w:p w:rsidR="006F5479" w:rsidRPr="00F014CD" w:rsidRDefault="006F5479" w:rsidP="006F5479">
      <w:pPr>
        <w:pStyle w:val="Paragrafi"/>
        <w:rPr>
          <w:rFonts w:eastAsia="Times New Roman"/>
          <w:lang w:val="sq-AL"/>
        </w:rPr>
      </w:pPr>
      <w:r w:rsidRPr="00F014CD">
        <w:rPr>
          <w:rFonts w:eastAsia="Times New Roman"/>
          <w:lang w:val="sq-AL"/>
        </w:rPr>
        <w:t xml:space="preserve">10. </w:t>
      </w:r>
      <w:r w:rsidRPr="00F014CD">
        <w:rPr>
          <w:lang w:val="sq-AL"/>
        </w:rPr>
        <w:t xml:space="preserve">Neni 71 i ligjit </w:t>
      </w:r>
      <w:r>
        <w:rPr>
          <w:rFonts w:eastAsia="Times New Roman"/>
          <w:bCs/>
          <w:lang w:val="sq-AL"/>
        </w:rPr>
        <w:t>nr. 8577, datë 10.</w:t>
      </w:r>
      <w:r w:rsidRPr="00F014CD">
        <w:rPr>
          <w:rFonts w:eastAsia="Times New Roman"/>
          <w:bCs/>
          <w:lang w:val="sq-AL"/>
        </w:rPr>
        <w:t>2.2000</w:t>
      </w:r>
      <w:r>
        <w:rPr>
          <w:rFonts w:eastAsia="Times New Roman"/>
          <w:bCs/>
          <w:lang w:val="sq-AL"/>
        </w:rPr>
        <w:t>,</w:t>
      </w:r>
      <w:r w:rsidRPr="00F014CD">
        <w:rPr>
          <w:rFonts w:eastAsia="Times New Roman"/>
          <w:bCs/>
          <w:lang w:val="sq-AL"/>
        </w:rPr>
        <w:t xml:space="preserve"> “Për organizimin dhe funksionimin e Gjykatës Kushtetuese të Republikës së Shqipërisë”, të ndryshuar</w:t>
      </w:r>
      <w:r w:rsidRPr="00F014CD">
        <w:rPr>
          <w:lang w:val="sq-AL"/>
        </w:rPr>
        <w:t xml:space="preserve"> parashikon: “</w:t>
      </w:r>
      <w:r w:rsidRPr="00F014CD">
        <w:rPr>
          <w:rFonts w:eastAsia="Times New Roman"/>
          <w:lang w:val="sq-AL"/>
        </w:rPr>
        <w:t>1. 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 Ndërsa neni 71/a i ligjit parashikon se “ankimi kushtetues individual shqyrtohet nga Gjykata Kushtetuese kur:</w:t>
      </w:r>
      <w:r w:rsidRPr="00F014CD">
        <w:rPr>
          <w:lang w:val="sq-AL"/>
        </w:rPr>
        <w:t xml:space="preserve"> </w:t>
      </w:r>
      <w:r w:rsidRPr="00F014CD">
        <w:rPr>
          <w:rFonts w:eastAsia="Times New Roman"/>
          <w:lang w:val="sq-AL"/>
        </w:rPr>
        <w:t>a) kërkuesi ka shteruar të gjitha mjetet juridike efektive para se t</w:t>
      </w:r>
      <w:r>
        <w:rPr>
          <w:rFonts w:eastAsia="Times New Roman"/>
          <w:lang w:val="sq-AL"/>
        </w:rPr>
        <w:t>’</w:t>
      </w:r>
      <w:r w:rsidRPr="00F014CD">
        <w:rPr>
          <w:rFonts w:eastAsia="Times New Roman"/>
          <w:lang w:val="sq-AL"/>
        </w:rPr>
        <w:t>i drejtohet Gjykatës Kushtetuese ose kur legjislacioni i brendshëm nuk parashikon mjete juridike efektive në dispozicion;</w:t>
      </w:r>
      <w:r w:rsidRPr="00F014CD">
        <w:rPr>
          <w:lang w:val="sq-AL"/>
        </w:rPr>
        <w:t xml:space="preserve"> </w:t>
      </w:r>
      <w:r w:rsidRPr="00F014CD">
        <w:rPr>
          <w:rFonts w:eastAsia="Times New Roman"/>
          <w:lang w:val="sq-AL"/>
        </w:rPr>
        <w:t>b) kërkesa paraqitet brenda afatit 4-mujor nga konstatimi i cenimit;</w:t>
      </w:r>
      <w:r w:rsidRPr="00F014CD">
        <w:rPr>
          <w:lang w:val="sq-AL"/>
        </w:rPr>
        <w:t xml:space="preserve"> </w:t>
      </w:r>
      <w:r w:rsidRPr="00F014CD">
        <w:rPr>
          <w:rFonts w:eastAsia="Times New Roman"/>
          <w:lang w:val="sq-AL"/>
        </w:rPr>
        <w:t>c) pasojat negative të pretenduara janë të drejtpërdrejta dhe reale për kërkuesin;</w:t>
      </w:r>
      <w:r w:rsidRPr="00F014CD">
        <w:rPr>
          <w:lang w:val="sq-AL"/>
        </w:rPr>
        <w:t xml:space="preserve"> </w:t>
      </w:r>
      <w:r w:rsidRPr="00F014CD">
        <w:rPr>
          <w:rFonts w:eastAsia="Times New Roman"/>
          <w:lang w:val="sq-AL"/>
        </w:rPr>
        <w:t>ç) shqyrtimi i çështjes nga Gjykata Kushtetuese do të mund të rivendoste në vend të drejtën e shkelur të individit.”.</w:t>
      </w:r>
    </w:p>
    <w:p w:rsidR="006F5479" w:rsidRPr="00F014CD" w:rsidRDefault="006F5479" w:rsidP="006F5479">
      <w:pPr>
        <w:pStyle w:val="Paragrafi"/>
        <w:rPr>
          <w:rFonts w:eastAsia="Times New Roman"/>
          <w:lang w:val="sq-AL"/>
        </w:rPr>
      </w:pPr>
      <w:r w:rsidRPr="00F014CD">
        <w:rPr>
          <w:rFonts w:eastAsia="Times New Roman"/>
          <w:lang w:val="sq-AL"/>
        </w:rPr>
        <w:t>11. Kërkuesi legjitimohet</w:t>
      </w:r>
      <w:r w:rsidRPr="00F014CD">
        <w:rPr>
          <w:rFonts w:eastAsia="Times New Roman"/>
          <w:i/>
          <w:lang w:val="sq-AL"/>
        </w:rPr>
        <w:t xml:space="preserve"> ratione personae,</w:t>
      </w:r>
      <w:r w:rsidRPr="00F014CD">
        <w:rPr>
          <w:rFonts w:eastAsia="Times New Roman"/>
          <w:lang w:val="sq-AL"/>
        </w:rPr>
        <w:t xml:space="preserve"> pasi është subjekt dhe pjesë e një procesi gjyqësor, si dhe bartës i të drejtave substanciale dhe procedurale në këndvështrim të nenit 131/1/f të Kushtetutës. Individi mund të drejtohet me kërkesë në këtë gjykatë për çështje në të cilat, në bazë të normave procedurale, ai ka qenë palë drejtpërdrejt në proces.</w:t>
      </w:r>
    </w:p>
    <w:p w:rsidR="006F5479" w:rsidRPr="00F014CD" w:rsidRDefault="006F5479" w:rsidP="006F5479">
      <w:pPr>
        <w:pStyle w:val="Paragrafi"/>
        <w:rPr>
          <w:rFonts w:eastAsia="Times New Roman"/>
          <w:lang w:val="sq-AL"/>
        </w:rPr>
      </w:pPr>
      <w:r w:rsidRPr="00F014CD">
        <w:rPr>
          <w:rFonts w:eastAsia="Times New Roman"/>
          <w:lang w:val="sq-AL"/>
        </w:rPr>
        <w:t>12. Kërkuesi</w:t>
      </w:r>
      <w:r w:rsidRPr="00F014CD">
        <w:rPr>
          <w:rFonts w:eastAsia="Times New Roman"/>
          <w:bCs/>
          <w:lang w:val="sq-AL"/>
        </w:rPr>
        <w:t xml:space="preserve"> legjitimohet </w:t>
      </w:r>
      <w:r w:rsidRPr="00F014CD">
        <w:rPr>
          <w:rFonts w:eastAsia="Times New Roman"/>
          <w:bCs/>
          <w:i/>
          <w:lang w:val="sq-AL"/>
        </w:rPr>
        <w:t>ratione temporis</w:t>
      </w:r>
      <w:r w:rsidRPr="00F014CD">
        <w:rPr>
          <w:rFonts w:eastAsia="Times New Roman"/>
          <w:bCs/>
          <w:lang w:val="sq-AL"/>
        </w:rPr>
        <w:t xml:space="preserve"> t</w:t>
      </w:r>
      <w:r>
        <w:rPr>
          <w:rFonts w:eastAsia="Times New Roman"/>
          <w:bCs/>
          <w:lang w:val="sq-AL"/>
        </w:rPr>
        <w:t>’</w:t>
      </w:r>
      <w:r w:rsidRPr="00F014CD">
        <w:rPr>
          <w:rFonts w:eastAsia="Times New Roman"/>
          <w:bCs/>
          <w:lang w:val="sq-AL"/>
        </w:rPr>
        <w:t>i drejtohet Gjykatës</w:t>
      </w:r>
      <w:r w:rsidRPr="00F014CD">
        <w:rPr>
          <w:rFonts w:eastAsia="Times New Roman"/>
          <w:lang w:val="sq-AL"/>
        </w:rPr>
        <w:t xml:space="preserve">, pasi në kuptim të nenit 71/a të ligjit </w:t>
      </w:r>
      <w:r>
        <w:rPr>
          <w:rFonts w:eastAsia="Times New Roman"/>
          <w:lang w:val="sq-AL"/>
        </w:rPr>
        <w:t>nr. 8577, datë 10.</w:t>
      </w:r>
      <w:r w:rsidRPr="00F014CD">
        <w:rPr>
          <w:rFonts w:eastAsia="Times New Roman"/>
          <w:lang w:val="sq-AL"/>
        </w:rPr>
        <w:t>2.2000</w:t>
      </w:r>
      <w:r>
        <w:rPr>
          <w:rFonts w:eastAsia="Times New Roman"/>
          <w:lang w:val="sq-AL"/>
        </w:rPr>
        <w:t>,</w:t>
      </w:r>
      <w:r w:rsidRPr="00F014CD">
        <w:rPr>
          <w:rFonts w:eastAsia="Times New Roman"/>
          <w:lang w:val="sq-AL"/>
        </w:rPr>
        <w:t xml:space="preserve"> “Për organizimin dhe funksionimin e Gjykatës Kushtetuese të Republikës së Shqipërisë”, të ndryshuar, individi, pasi të ketë shteruar të gjitha mjetet juridike për mbrojtjen e të drejtave të tij, mund ta paraqesë kërkesën në Gjykatën Kushtetuese brenda 4 muajve nga konstatimi i cenimit. Në rastin në shqyrtim, Gjykata konstaton se vendimi i Gjykatës së Lartë mban</w:t>
      </w:r>
      <w:r w:rsidRPr="00F014CD">
        <w:rPr>
          <w:rFonts w:eastAsia="Times New Roman"/>
          <w:bCs/>
          <w:lang w:val="sq-AL"/>
        </w:rPr>
        <w:t xml:space="preserve"> datën </w:t>
      </w:r>
      <w:r>
        <w:rPr>
          <w:rFonts w:eastAsia="Times New Roman"/>
          <w:lang w:val="sq-AL"/>
        </w:rPr>
        <w:t>1.</w:t>
      </w:r>
      <w:r w:rsidRPr="00F014CD">
        <w:rPr>
          <w:rFonts w:eastAsia="Times New Roman"/>
          <w:lang w:val="sq-AL"/>
        </w:rPr>
        <w:t>3.2017</w:t>
      </w:r>
      <w:r w:rsidRPr="00F014CD">
        <w:rPr>
          <w:rFonts w:eastAsia="Times New Roman"/>
          <w:bCs/>
          <w:lang w:val="sq-AL"/>
        </w:rPr>
        <w:t xml:space="preserve">, kurse </w:t>
      </w:r>
      <w:r w:rsidRPr="00F014CD">
        <w:rPr>
          <w:rFonts w:eastAsia="Times New Roman"/>
          <w:lang w:val="sq-AL"/>
        </w:rPr>
        <w:t xml:space="preserve">kërkesa është paraqitur prej kërkuesit në Gjykatë, nëpërmjet postës, në datën </w:t>
      </w:r>
      <w:r>
        <w:rPr>
          <w:lang w:val="sq-AL"/>
        </w:rPr>
        <w:t>30.</w:t>
      </w:r>
      <w:r w:rsidRPr="00F014CD">
        <w:rPr>
          <w:lang w:val="sq-AL"/>
        </w:rPr>
        <w:t>6.2017</w:t>
      </w:r>
      <w:r w:rsidRPr="00F014CD">
        <w:rPr>
          <w:rFonts w:eastAsia="Times New Roman"/>
          <w:lang w:val="sq-AL"/>
        </w:rPr>
        <w:t>, pra brenda afatit 4-mujor ligjor të kërkuar.</w:t>
      </w:r>
      <w:r>
        <w:rPr>
          <w:rFonts w:eastAsia="Times New Roman"/>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 xml:space="preserve"> 13. Kërkuesi legjitimohet </w:t>
      </w:r>
      <w:r w:rsidRPr="00F014CD">
        <w:rPr>
          <w:rFonts w:eastAsia="Times New Roman"/>
          <w:i/>
          <w:lang w:val="sq-AL"/>
        </w:rPr>
        <w:t xml:space="preserve">ratione materiae, </w:t>
      </w:r>
      <w:r w:rsidRPr="00F014CD">
        <w:rPr>
          <w:rFonts w:eastAsia="Times New Roman"/>
          <w:lang w:val="sq-AL"/>
        </w:rPr>
        <w:t xml:space="preserve">pasi pretendimet </w:t>
      </w:r>
      <w:r w:rsidRPr="00F014CD">
        <w:rPr>
          <w:rFonts w:eastAsia="Times New Roman"/>
          <w:i/>
          <w:lang w:val="sq-AL"/>
        </w:rPr>
        <w:t>prima facie</w:t>
      </w:r>
      <w:r w:rsidRPr="00F014CD">
        <w:rPr>
          <w:rFonts w:eastAsia="Times New Roman"/>
          <w:lang w:val="sq-AL"/>
        </w:rPr>
        <w:t xml:space="preserve"> janë brenda juridiksionit kushtetues. Prandaj Gjykata në vijim do të analizojë themelin e pretendimeve bazuar në dispozitat kushtetuese dhe standardet jurisprudenciale në shqyrtimin e kësaj çështje.</w:t>
      </w:r>
    </w:p>
    <w:p w:rsidR="006F5479" w:rsidRPr="00A402A4" w:rsidRDefault="006F5479" w:rsidP="006F5479">
      <w:pPr>
        <w:pStyle w:val="Paragrafi"/>
        <w:rPr>
          <w:rFonts w:eastAsia="Times New Roman"/>
          <w:i/>
          <w:spacing w:val="-4"/>
          <w:lang w:val="sq-AL"/>
        </w:rPr>
      </w:pPr>
      <w:r w:rsidRPr="00A402A4">
        <w:rPr>
          <w:rFonts w:eastAsia="Times New Roman"/>
          <w:i/>
          <w:spacing w:val="-4"/>
          <w:lang w:val="sq-AL"/>
        </w:rPr>
        <w:t>B. Në lidhje me themelin e çështjes</w:t>
      </w:r>
    </w:p>
    <w:p w:rsidR="006F5479" w:rsidRPr="00A402A4" w:rsidRDefault="006F5479" w:rsidP="006F5479">
      <w:pPr>
        <w:pStyle w:val="Paragrafi"/>
        <w:rPr>
          <w:rFonts w:eastAsia="Times New Roman"/>
          <w:i/>
          <w:spacing w:val="-4"/>
          <w:lang w:val="sq-AL"/>
        </w:rPr>
      </w:pPr>
      <w:r w:rsidRPr="00A402A4">
        <w:rPr>
          <w:rFonts w:eastAsia="Times New Roman"/>
          <w:i/>
          <w:spacing w:val="-4"/>
          <w:lang w:val="sq-AL"/>
        </w:rPr>
        <w:t>a) Për pretendimet e cenimit të së drejtës së aksesit efektiv në gjykatë</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 xml:space="preserve">14. Kërkuesi ka pretenduar se vendimi i Gjykatës së Lartë ka cenuar të drejtën për një proces të rregullt, pasi ka cenuar aksesin efektiv në gjykatë. Gjykata e Lartë në mënyrë të pajustifikuar ka ngushtuar juridiksionin e vet për të kontrolluar nëse të dyja gjykatat e apelit kishin shpallur në përputhje me ligjin juridiksionet e tyre </w:t>
      </w:r>
      <w:r w:rsidRPr="00A402A4">
        <w:rPr>
          <w:rFonts w:eastAsia="Times New Roman"/>
          <w:bCs/>
          <w:i/>
          <w:spacing w:val="-4"/>
          <w:lang w:val="sq-AL"/>
        </w:rPr>
        <w:t xml:space="preserve">ratione materiae. </w:t>
      </w:r>
    </w:p>
    <w:p w:rsidR="006F5479" w:rsidRPr="00A402A4" w:rsidRDefault="006F5479" w:rsidP="006F5479">
      <w:pPr>
        <w:pStyle w:val="Paragrafi"/>
        <w:rPr>
          <w:rFonts w:eastAsia="Times New Roman"/>
          <w:bCs/>
          <w:spacing w:val="-4"/>
          <w:kern w:val="28"/>
          <w:lang w:val="sq-AL"/>
        </w:rPr>
      </w:pPr>
      <w:r w:rsidRPr="00A402A4">
        <w:rPr>
          <w:rFonts w:eastAsia="Times New Roman"/>
          <w:bCs/>
          <w:spacing w:val="-4"/>
          <w:lang w:val="sq-AL"/>
        </w:rPr>
        <w:t xml:space="preserve">15. E drejta për t’iu drejtuar gjykatës përbën një nga elementet e procesit të rregullt ligjor, </w:t>
      </w:r>
      <w:r w:rsidRPr="00A402A4">
        <w:rPr>
          <w:rFonts w:eastAsia="Times New Roman"/>
          <w:spacing w:val="-4"/>
          <w:lang w:val="sq-AL"/>
        </w:rPr>
        <w:t>në kuptim të nenit 42 të Kushtetutës dhe nenit 6 të Konventës Evropiane për të Drejtat e Njeriut.</w:t>
      </w:r>
      <w:r w:rsidRPr="00A402A4">
        <w:rPr>
          <w:rFonts w:eastAsia="Times New Roman"/>
          <w:bCs/>
          <w:spacing w:val="-4"/>
          <w:lang w:val="sq-AL"/>
        </w:rPr>
        <w:t xml:space="preserve"> Kjo e drejtë e individit është garanci për administrimin e mirë të drejtësisë, prandaj çdo interpretim </w:t>
      </w:r>
      <w:r w:rsidRPr="00A402A4">
        <w:rPr>
          <w:rFonts w:eastAsia="Times New Roman"/>
          <w:bCs/>
          <w:iCs/>
          <w:spacing w:val="-4"/>
          <w:lang w:val="sq-AL"/>
        </w:rPr>
        <w:t>i ngushtë</w:t>
      </w:r>
      <w:r w:rsidRPr="00A402A4">
        <w:rPr>
          <w:rFonts w:eastAsia="Times New Roman"/>
          <w:bCs/>
          <w:spacing w:val="-4"/>
          <w:lang w:val="sq-AL"/>
        </w:rPr>
        <w:t xml:space="preserve"> i nenit 42 të Kushtetutës dhe i nenit 6 të KEDNJ-së nuk përputhet me qëllimet dhe objektin e tyre. Në këtë kuptim, e drejta e individit për t’iu drejtuar gjykatës </w:t>
      </w:r>
      <w:r w:rsidRPr="00A402A4">
        <w:rPr>
          <w:rFonts w:eastAsia="Times New Roman"/>
          <w:spacing w:val="-4"/>
          <w:lang w:val="sq-AL"/>
        </w:rPr>
        <w:t xml:space="preserve">nuk përfshin vetëm të drejtën për të hapur një proces, por edhe të drejtën për të pasur, nga ana e gjykatës, një zgjidhje përfundimtare në lidhje me </w:t>
      </w:r>
      <w:r w:rsidRPr="00A402A4">
        <w:rPr>
          <w:rFonts w:eastAsia="Times New Roman"/>
          <w:spacing w:val="-4"/>
          <w:lang w:val="sq-AL"/>
        </w:rPr>
        <w:lastRenderedPageBreak/>
        <w:t>mosmarrëveshjen objekt gjykimi, pasi a</w:t>
      </w:r>
      <w:r w:rsidRPr="00A402A4">
        <w:rPr>
          <w:rFonts w:eastAsia="Times New Roman"/>
          <w:bCs/>
          <w:spacing w:val="-4"/>
          <w:lang w:val="sq-AL"/>
        </w:rPr>
        <w:t xml:space="preserve">ksesi në gjykatë duhet të jetë substantiv dhe jo thjesht formal. </w:t>
      </w:r>
      <w:r w:rsidRPr="00A402A4">
        <w:rPr>
          <w:rFonts w:eastAsia="Times New Roman"/>
          <w:spacing w:val="-4"/>
          <w:lang w:val="sq-AL"/>
        </w:rPr>
        <w:t xml:space="preserve">Mohimi i së drejtës për t’iu drejtuar gjykatës dhe për të marrë një përgjigje përfundimtare prej saj lidhur me pretendimet e ngritura përbën cenim të së drejtës themelore për një proces të rregullt ligjor </w:t>
      </w:r>
      <w:r w:rsidRPr="00A402A4">
        <w:rPr>
          <w:rFonts w:eastAsia="Times New Roman"/>
          <w:i/>
          <w:spacing w:val="-4"/>
          <w:lang w:val="sq-AL"/>
        </w:rPr>
        <w:t>(shih vendimet</w:t>
      </w:r>
      <w:r w:rsidRPr="00A402A4">
        <w:rPr>
          <w:rFonts w:eastAsia="Times New Roman"/>
          <w:bCs/>
          <w:i/>
          <w:spacing w:val="-4"/>
          <w:lang w:val="sq-AL"/>
        </w:rPr>
        <w:t xml:space="preserve"> nr. 84, dat</w:t>
      </w:r>
      <w:r w:rsidRPr="00A402A4">
        <w:rPr>
          <w:rFonts w:eastAsia="Times New Roman"/>
          <w:i/>
          <w:spacing w:val="-4"/>
          <w:lang w:val="sq-AL"/>
        </w:rPr>
        <w:t>ë 30.12.2016; nr. 14, datë 3.6.2009 të Gjykatës Kushtetuese).</w:t>
      </w:r>
      <w:r w:rsidRPr="00A402A4">
        <w:rPr>
          <w:rFonts w:eastAsia="Times New Roman"/>
          <w:bCs/>
          <w:spacing w:val="-4"/>
          <w:kern w:val="28"/>
          <w:lang w:val="sq-AL"/>
        </w:rPr>
        <w:t xml:space="preserve"> </w:t>
      </w:r>
    </w:p>
    <w:p w:rsidR="006F5479" w:rsidRPr="00F014CD" w:rsidRDefault="006F5479" w:rsidP="006F5479">
      <w:pPr>
        <w:pStyle w:val="Paragrafi"/>
        <w:rPr>
          <w:rFonts w:eastAsia="Times New Roman"/>
          <w:bCs/>
          <w:kern w:val="28"/>
          <w:lang w:val="sq-AL"/>
        </w:rPr>
      </w:pPr>
      <w:r w:rsidRPr="00F014CD">
        <w:rPr>
          <w:rFonts w:eastAsia="Times New Roman"/>
          <w:bCs/>
          <w:kern w:val="28"/>
          <w:lang w:val="sq-AL"/>
        </w:rPr>
        <w:t>16. Gjithashtu, Gjykata ka vlerësuar se neni 42 i Kushtetutës sanksionon në vetvete jo vetëm të drejtën e individit për t</w:t>
      </w:r>
      <w:r>
        <w:rPr>
          <w:rFonts w:eastAsia="Times New Roman"/>
          <w:bCs/>
          <w:kern w:val="28"/>
          <w:lang w:val="sq-AL"/>
        </w:rPr>
        <w:t>’</w:t>
      </w:r>
      <w:r w:rsidRPr="00F014CD">
        <w:rPr>
          <w:rFonts w:eastAsia="Times New Roman"/>
          <w:bCs/>
          <w:kern w:val="28"/>
          <w:lang w:val="sq-AL"/>
        </w:rPr>
        <w:t>iu drejtuar gjykatës, por edhe detyrimin e shtetit që t</w:t>
      </w:r>
      <w:r>
        <w:rPr>
          <w:rFonts w:eastAsia="Times New Roman"/>
          <w:bCs/>
          <w:kern w:val="28"/>
          <w:lang w:val="sq-AL"/>
        </w:rPr>
        <w:t>’</w:t>
      </w:r>
      <w:r w:rsidRPr="00F014CD">
        <w:rPr>
          <w:rFonts w:eastAsia="Times New Roman"/>
          <w:bCs/>
          <w:kern w:val="28"/>
          <w:lang w:val="sq-AL"/>
        </w:rPr>
        <w:t>ia garantojë atij këtë akses. Gjykata ka konsideruar se sipas këtij neni detyrimi për të garantuar të drejtën efektive të aksesit në gjykatë nuk nënkupton thjesht mungesën e një ndërhyrjeje, por mund të kërkojë edhe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w:t>
      </w:r>
      <w:r>
        <w:rPr>
          <w:rFonts w:eastAsia="Times New Roman"/>
          <w:bCs/>
          <w:kern w:val="28"/>
          <w:lang w:val="sq-AL"/>
        </w:rPr>
        <w:t>’</w:t>
      </w:r>
      <w:r w:rsidRPr="00F014CD">
        <w:rPr>
          <w:rFonts w:eastAsia="Times New Roman"/>
          <w:bCs/>
          <w:kern w:val="28"/>
          <w:lang w:val="sq-AL"/>
        </w:rPr>
        <w:t xml:space="preserve">iu drejtuar gjykatës </w:t>
      </w:r>
      <w:r w:rsidRPr="00F014CD">
        <w:rPr>
          <w:rFonts w:eastAsia="Times New Roman"/>
          <w:bCs/>
          <w:i/>
          <w:kern w:val="28"/>
          <w:lang w:val="sq-AL"/>
        </w:rPr>
        <w:t xml:space="preserve">(shih vendimet </w:t>
      </w:r>
      <w:r>
        <w:rPr>
          <w:rFonts w:eastAsia="Times New Roman"/>
          <w:bCs/>
          <w:i/>
          <w:kern w:val="28"/>
          <w:lang w:val="sq-AL"/>
        </w:rPr>
        <w:t xml:space="preserve">nr. </w:t>
      </w:r>
      <w:r w:rsidRPr="00F014CD">
        <w:rPr>
          <w:rFonts w:eastAsia="Times New Roman"/>
          <w:bCs/>
          <w:i/>
          <w:kern w:val="28"/>
          <w:lang w:val="sq-AL"/>
        </w:rPr>
        <w:t xml:space="preserve">84, datë 30.12.2016; </w:t>
      </w:r>
      <w:r>
        <w:rPr>
          <w:rFonts w:eastAsia="Times New Roman"/>
          <w:bCs/>
          <w:i/>
          <w:kern w:val="28"/>
          <w:lang w:val="sq-AL"/>
        </w:rPr>
        <w:t xml:space="preserve">nr. </w:t>
      </w:r>
      <w:r w:rsidRPr="00F014CD">
        <w:rPr>
          <w:rFonts w:eastAsia="Times New Roman"/>
          <w:bCs/>
          <w:i/>
          <w:kern w:val="28"/>
          <w:lang w:val="sq-AL"/>
        </w:rPr>
        <w:t>67, datë 17.11.2015 të Gjykatës Kushtetuese).</w:t>
      </w:r>
    </w:p>
    <w:p w:rsidR="006F5479" w:rsidRDefault="006F5479" w:rsidP="006F5479">
      <w:pPr>
        <w:pStyle w:val="Paragrafi"/>
        <w:rPr>
          <w:rFonts w:eastAsia="Times New Roman"/>
          <w:bCs/>
          <w:kern w:val="28"/>
          <w:lang w:val="sq-AL"/>
        </w:rPr>
      </w:pPr>
    </w:p>
    <w:p w:rsidR="006F5479" w:rsidRPr="00F014CD" w:rsidRDefault="006F5479" w:rsidP="006F5479">
      <w:pPr>
        <w:pStyle w:val="Paragrafi"/>
        <w:rPr>
          <w:rFonts w:eastAsia="Times New Roman"/>
          <w:bCs/>
          <w:kern w:val="28"/>
          <w:lang w:val="sq-AL"/>
        </w:rPr>
      </w:pPr>
      <w:r w:rsidRPr="00F014CD">
        <w:rPr>
          <w:rFonts w:eastAsia="Times New Roman"/>
          <w:bCs/>
          <w:kern w:val="28"/>
          <w:lang w:val="sq-AL"/>
        </w:rPr>
        <w:t>17. Në rastin konkret, Gjykata vëren se kërkuesit nuk i është mohuar</w:t>
      </w:r>
      <w:r>
        <w:rPr>
          <w:rFonts w:eastAsia="Times New Roman"/>
          <w:bCs/>
          <w:kern w:val="28"/>
          <w:lang w:val="sq-AL"/>
        </w:rPr>
        <w:t xml:space="preserve"> </w:t>
      </w:r>
      <w:r w:rsidRPr="00F014CD">
        <w:rPr>
          <w:rFonts w:eastAsia="Times New Roman"/>
          <w:bCs/>
          <w:kern w:val="28"/>
          <w:lang w:val="sq-AL"/>
        </w:rPr>
        <w:t xml:space="preserve">e drejta e aksesit në Gjykatën e Lartë. Kështu ai ka paraqitur rekurs, brenda afatit ligjor, në të cilin ka parashtruar pretendimet e veta për prishjen e vendimeve gjyqësore të themelit. Këto pretendime janë vlerësuar nga Gjykata e Lartë në këndvështrim të pranisë ose jo të shkaqeve ligjore, bazuar në nenin 58 të ligjit </w:t>
      </w:r>
      <w:r w:rsidRPr="00F014CD">
        <w:rPr>
          <w:rFonts w:eastAsia="Times New Roman"/>
          <w:bCs/>
          <w:lang w:val="sq-AL"/>
        </w:rPr>
        <w:t>për gjykatat administrative</w:t>
      </w:r>
      <w:r w:rsidRPr="00F014CD">
        <w:rPr>
          <w:rFonts w:eastAsia="Times New Roman"/>
          <w:bCs/>
          <w:kern w:val="28"/>
          <w:lang w:val="sq-AL"/>
        </w:rPr>
        <w:t>. Në përfundim, Gjykata e Lartë, brenda kompetencave që i njeh ligji, ka vendosur mospranimin e rekursit, pasi në vlerësimin e</w:t>
      </w:r>
      <w:r>
        <w:rPr>
          <w:rFonts w:eastAsia="Times New Roman"/>
          <w:bCs/>
          <w:kern w:val="28"/>
          <w:lang w:val="sq-AL"/>
        </w:rPr>
        <w:t xml:space="preserve"> </w:t>
      </w:r>
      <w:r w:rsidRPr="00F014CD">
        <w:rPr>
          <w:rFonts w:eastAsia="Times New Roman"/>
          <w:bCs/>
          <w:kern w:val="28"/>
          <w:lang w:val="sq-AL"/>
        </w:rPr>
        <w:t>saj nuk përmbante shkaqe nga ato të parashikuara nga neni 58 i</w:t>
      </w:r>
      <w:r>
        <w:rPr>
          <w:rFonts w:eastAsia="Times New Roman"/>
          <w:bCs/>
          <w:kern w:val="28"/>
          <w:lang w:val="sq-AL"/>
        </w:rPr>
        <w:t xml:space="preserve"> </w:t>
      </w:r>
      <w:r w:rsidRPr="00F014CD">
        <w:rPr>
          <w:rFonts w:eastAsia="Times New Roman"/>
          <w:bCs/>
          <w:lang w:val="sq-AL"/>
        </w:rPr>
        <w:t>ligjit për gjykatat administrative.</w:t>
      </w:r>
      <w:r w:rsidRPr="00F014CD">
        <w:rPr>
          <w:rFonts w:eastAsia="Times New Roman"/>
          <w:bCs/>
          <w:kern w:val="28"/>
          <w:lang w:val="sq-AL"/>
        </w:rPr>
        <w:t xml:space="preserve"> </w:t>
      </w:r>
    </w:p>
    <w:p w:rsidR="006F5479" w:rsidRPr="00F014CD" w:rsidRDefault="006F5479" w:rsidP="006F5479">
      <w:pPr>
        <w:pStyle w:val="Paragrafi"/>
        <w:rPr>
          <w:rFonts w:eastAsia="Times New Roman"/>
          <w:bCs/>
          <w:kern w:val="28"/>
          <w:lang w:val="sq-AL"/>
        </w:rPr>
      </w:pPr>
      <w:r w:rsidRPr="00F014CD">
        <w:rPr>
          <w:rFonts w:eastAsia="Times New Roman"/>
          <w:bCs/>
          <w:kern w:val="28"/>
          <w:lang w:val="sq-AL"/>
        </w:rPr>
        <w:t>18. Për sa më lart, Gjykata vlerëson se pretendimi i kërkuesit për cenimin e së drejtës së aksesit në Gjykatën e</w:t>
      </w:r>
      <w:r>
        <w:rPr>
          <w:rFonts w:eastAsia="Times New Roman"/>
          <w:bCs/>
          <w:kern w:val="28"/>
          <w:lang w:val="sq-AL"/>
        </w:rPr>
        <w:t xml:space="preserve"> </w:t>
      </w:r>
      <w:r w:rsidRPr="00F014CD">
        <w:rPr>
          <w:rFonts w:eastAsia="Times New Roman"/>
          <w:bCs/>
          <w:kern w:val="28"/>
          <w:lang w:val="sq-AL"/>
        </w:rPr>
        <w:t xml:space="preserve">Lartë është i pabazuar. </w:t>
      </w:r>
    </w:p>
    <w:p w:rsidR="006F5479" w:rsidRPr="00F014CD" w:rsidRDefault="006F5479" w:rsidP="006F5479">
      <w:pPr>
        <w:pStyle w:val="Paragrafi"/>
        <w:rPr>
          <w:rFonts w:eastAsia="Times New Roman"/>
          <w:i/>
          <w:lang w:val="sq-AL"/>
        </w:rPr>
      </w:pPr>
      <w:r w:rsidRPr="00F014CD">
        <w:rPr>
          <w:rFonts w:eastAsia="Times New Roman"/>
          <w:bCs/>
          <w:i/>
          <w:kern w:val="28"/>
          <w:lang w:val="sq-AL"/>
        </w:rPr>
        <w:t>b)</w:t>
      </w:r>
      <w:r w:rsidRPr="00F014CD">
        <w:rPr>
          <w:rFonts w:eastAsia="Times New Roman"/>
          <w:bCs/>
          <w:kern w:val="28"/>
          <w:lang w:val="sq-AL"/>
        </w:rPr>
        <w:t xml:space="preserve"> </w:t>
      </w:r>
      <w:r w:rsidRPr="00F014CD">
        <w:rPr>
          <w:rFonts w:eastAsia="Times New Roman"/>
          <w:i/>
          <w:lang w:val="sq-AL"/>
        </w:rPr>
        <w:t>Për pretendimin e mosgjykimit brenda një afati të arsyeshëm</w:t>
      </w:r>
      <w:r>
        <w:rPr>
          <w:rFonts w:eastAsia="Times New Roman"/>
          <w:i/>
          <w:lang w:val="sq-AL"/>
        </w:rPr>
        <w:t xml:space="preserve"> </w:t>
      </w:r>
    </w:p>
    <w:p w:rsidR="006F5479" w:rsidRPr="00F014CD" w:rsidRDefault="006F5479" w:rsidP="006F5479">
      <w:pPr>
        <w:pStyle w:val="Paragrafi"/>
        <w:rPr>
          <w:rFonts w:eastAsia="Times New Roman"/>
          <w:lang w:val="sq-AL"/>
        </w:rPr>
      </w:pPr>
      <w:r w:rsidRPr="00F014CD">
        <w:rPr>
          <w:rFonts w:eastAsia="Times New Roman"/>
          <w:bCs/>
          <w:kern w:val="28"/>
          <w:lang w:val="sq-AL"/>
        </w:rPr>
        <w:t xml:space="preserve">19. </w:t>
      </w:r>
      <w:r w:rsidRPr="00F014CD">
        <w:rPr>
          <w:rFonts w:eastAsia="Times New Roman"/>
          <w:bCs/>
          <w:lang w:val="sq-AL"/>
        </w:rPr>
        <w:t xml:space="preserve">Kërkuesi ka pretenduar se vendimi i Gjykatës së Lartë ka cenuar të drejtën për një proces të rregullt, pasi nuk është marrë brenda një afati të arsyeshëm. </w:t>
      </w:r>
      <w:r w:rsidRPr="00F014CD">
        <w:rPr>
          <w:rFonts w:eastAsia="Times New Roman"/>
          <w:bCs/>
          <w:kern w:val="28"/>
          <w:lang w:val="sq-AL"/>
        </w:rPr>
        <w:t>Kërkuesi ka argumentuar se Gjykata e Lartë ka marrë vendim pas 3 vjet</w:t>
      </w:r>
      <w:r>
        <w:rPr>
          <w:rFonts w:eastAsia="Times New Roman"/>
          <w:bCs/>
          <w:kern w:val="28"/>
          <w:lang w:val="sq-AL"/>
        </w:rPr>
        <w:t>ë</w:t>
      </w:r>
      <w:r w:rsidRPr="00F014CD">
        <w:rPr>
          <w:rFonts w:eastAsia="Times New Roman"/>
          <w:bCs/>
          <w:kern w:val="28"/>
          <w:lang w:val="sq-AL"/>
        </w:rPr>
        <w:t>ve</w:t>
      </w:r>
      <w:r>
        <w:rPr>
          <w:rFonts w:eastAsia="Times New Roman"/>
          <w:bCs/>
          <w:kern w:val="28"/>
          <w:lang w:val="sq-AL"/>
        </w:rPr>
        <w:t xml:space="preserve"> nga depozitimi i rekursit (5.</w:t>
      </w:r>
      <w:r w:rsidRPr="00F014CD">
        <w:rPr>
          <w:rFonts w:eastAsia="Times New Roman"/>
          <w:bCs/>
          <w:kern w:val="28"/>
          <w:lang w:val="sq-AL"/>
        </w:rPr>
        <w:t>7.2014).</w:t>
      </w:r>
      <w:r>
        <w:rPr>
          <w:rFonts w:eastAsia="Times New Roman"/>
          <w:bCs/>
          <w:kern w:val="28"/>
          <w:lang w:val="sq-AL"/>
        </w:rPr>
        <w:t xml:space="preserve"> </w:t>
      </w:r>
    </w:p>
    <w:p w:rsidR="006F5479" w:rsidRPr="00F014CD" w:rsidRDefault="006F5479" w:rsidP="006F5479">
      <w:pPr>
        <w:pStyle w:val="Paragrafi"/>
        <w:rPr>
          <w:rFonts w:eastAsia="Times New Roman"/>
          <w:bCs/>
          <w:lang w:val="sq-AL"/>
        </w:rPr>
      </w:pPr>
      <w:r w:rsidRPr="00F014CD">
        <w:rPr>
          <w:rFonts w:eastAsia="Times New Roman"/>
          <w:lang w:val="sq-AL"/>
        </w:rPr>
        <w:t>20. Në lidhje me pretendimin për mosgjykimin e çështjes në Gjykatën e Lartë brenda një afati të arsyeshëm, në jurisprudencën kushtetuese është theksuar se në bazë të neneve 131/1/f dhe 134/1/i të Kushtetutës individi legjitimohet për të vënë në lëvizje Gjykatën Kushtetuese, për shkak se legjislacioni nuk parashikon mjete të tjera juridike efektive për mbrojtjen e kësaj të drejte kushtetuese (</w:t>
      </w:r>
      <w:r w:rsidRPr="00F014CD">
        <w:rPr>
          <w:rFonts w:eastAsia="Times New Roman"/>
          <w:i/>
          <w:lang w:val="sq-AL"/>
        </w:rPr>
        <w:t xml:space="preserve">shih vendimin </w:t>
      </w:r>
      <w:r>
        <w:rPr>
          <w:rFonts w:eastAsia="Times New Roman"/>
          <w:i/>
          <w:lang w:val="sq-AL"/>
        </w:rPr>
        <w:t>nr. 14, datë 10.</w:t>
      </w:r>
      <w:r w:rsidRPr="00F014CD">
        <w:rPr>
          <w:rFonts w:eastAsia="Times New Roman"/>
          <w:i/>
          <w:lang w:val="sq-AL"/>
        </w:rPr>
        <w:t>3.2016 të Gjykatës Kushtetuese</w:t>
      </w:r>
      <w:r w:rsidRPr="00F014CD">
        <w:rPr>
          <w:rFonts w:eastAsia="Times New Roman"/>
          <w:lang w:val="sq-AL"/>
        </w:rPr>
        <w:t>).</w:t>
      </w:r>
    </w:p>
    <w:p w:rsidR="006F5479" w:rsidRPr="00F014CD" w:rsidRDefault="006F5479" w:rsidP="006F5479">
      <w:pPr>
        <w:pStyle w:val="Paragrafi"/>
        <w:rPr>
          <w:rFonts w:eastAsia="Times New Roman"/>
          <w:lang w:val="sq-AL"/>
        </w:rPr>
      </w:pPr>
      <w:r w:rsidRPr="00F014CD">
        <w:rPr>
          <w:rFonts w:eastAsia="Times New Roman"/>
          <w:lang w:val="sq-AL"/>
        </w:rPr>
        <w:t>21. Gjykata vlerëson të theksojë</w:t>
      </w:r>
      <w:r>
        <w:rPr>
          <w:rFonts w:eastAsia="Times New Roman"/>
          <w:lang w:val="sq-AL"/>
        </w:rPr>
        <w:t xml:space="preserve"> </w:t>
      </w:r>
      <w:r w:rsidRPr="00F014CD">
        <w:rPr>
          <w:rFonts w:eastAsia="Times New Roman"/>
          <w:lang w:val="sq-AL"/>
        </w:rPr>
        <w:t>paraprakisht se nga data 5 nëntor</w:t>
      </w:r>
      <w:r>
        <w:rPr>
          <w:rFonts w:eastAsia="Times New Roman"/>
          <w:lang w:val="sq-AL"/>
        </w:rPr>
        <w:t xml:space="preserve"> </w:t>
      </w:r>
      <w:r w:rsidRPr="00F014CD">
        <w:rPr>
          <w:rFonts w:eastAsia="Times New Roman"/>
          <w:lang w:val="sq-AL"/>
        </w:rPr>
        <w:t xml:space="preserve">2017 ka hyrë në fuqi ligji </w:t>
      </w:r>
      <w:r>
        <w:rPr>
          <w:rFonts w:eastAsia="Times New Roman"/>
          <w:lang w:val="sq-AL"/>
        </w:rPr>
        <w:t xml:space="preserve">nr. </w:t>
      </w:r>
      <w:r w:rsidRPr="00F014CD">
        <w:rPr>
          <w:rFonts w:eastAsia="Times New Roman"/>
          <w:lang w:val="sq-AL"/>
        </w:rPr>
        <w:t>38/2017</w:t>
      </w:r>
      <w:r>
        <w:rPr>
          <w:rFonts w:eastAsia="Times New Roman"/>
          <w:lang w:val="sq-AL"/>
        </w:rPr>
        <w:t>,</w:t>
      </w:r>
      <w:r w:rsidRPr="00F014CD">
        <w:rPr>
          <w:rFonts w:eastAsia="Times New Roman"/>
          <w:lang w:val="sq-AL"/>
        </w:rPr>
        <w:t xml:space="preserve"> “Për disa ndryshime në Kodin e Procedurës Civile”, i cili ka shtuar</w:t>
      </w:r>
      <w:r>
        <w:rPr>
          <w:rFonts w:eastAsia="Times New Roman"/>
          <w:lang w:val="sq-AL"/>
        </w:rPr>
        <w:t xml:space="preserve"> </w:t>
      </w:r>
      <w:r w:rsidRPr="00F014CD">
        <w:rPr>
          <w:rFonts w:eastAsia="Times New Roman"/>
          <w:lang w:val="sq-AL"/>
        </w:rPr>
        <w:t xml:space="preserve">kreun X “Mbi gjykimin e kërkesave për konstatimin e shkeljes së afatit të arsyeshëm, përshpejtimin e procedurave dhe shpërblimin e dëmit”. Bazuar në nenin 399/6, paragrafi 1, shkronja “c”, të Kodit të Procedurës Civile përcaktohet se “kërkesa për konstatimin e shkeljes dhe përshpejtimin e procedurave i drejtohet gjykatës kompetente sipas llojit të mosmarrëveshjes, dhe në rastet kur çështja ndodhet duke u gjykuar në Gjykatën e Lartë, </w:t>
      </w:r>
      <w:r w:rsidRPr="00F014CD">
        <w:rPr>
          <w:rFonts w:eastAsia="Times New Roman"/>
          <w:i/>
          <w:lang w:val="sq-AL"/>
        </w:rPr>
        <w:t>kërkesa shqyrtohet nga një kolegj tjetër i Gjykatës së Lartë</w:t>
      </w:r>
      <w:r w:rsidRPr="00F014CD">
        <w:rPr>
          <w:rFonts w:eastAsia="Times New Roman"/>
          <w:lang w:val="sq-AL"/>
        </w:rPr>
        <w:t>”. Sipas ndryshimeve të fundit ligjore do të ketë</w:t>
      </w:r>
      <w:r>
        <w:rPr>
          <w:rFonts w:eastAsia="Times New Roman"/>
          <w:lang w:val="sq-AL"/>
        </w:rPr>
        <w:t xml:space="preserve"> </w:t>
      </w:r>
      <w:r w:rsidRPr="00F014CD">
        <w:rPr>
          <w:rFonts w:eastAsia="Times New Roman"/>
          <w:lang w:val="sq-AL"/>
        </w:rPr>
        <w:t>një mjet ligjor ankimi, i prezumuar efektiv, që do të garantojë si përshpejtimin e procesit gjyqësor,</w:t>
      </w:r>
      <w:r>
        <w:rPr>
          <w:rFonts w:eastAsia="Times New Roman"/>
          <w:lang w:val="sq-AL"/>
        </w:rPr>
        <w:t xml:space="preserve"> </w:t>
      </w:r>
      <w:r w:rsidRPr="00F014CD">
        <w:rPr>
          <w:rFonts w:eastAsia="Times New Roman"/>
          <w:lang w:val="sq-AL"/>
        </w:rPr>
        <w:t xml:space="preserve">ashtu edhe dëmshpërblimin, pra një rezultat konkret në drejtim të rivendosjes të së drejtës së shkelur për proces gjyqësor brenda afateve të arsyeshme ligjore. Kodi i Procedurës Civile nuk ka parashikuar efekte prapavepruese për çështjet të cilat kanë përfunduar në themel pranë gjykatave të zakonshme dhe për të cilat kanë kaluar afatet e arsyeshme sipas parashikimeve ligjore përkatëse, por ka rregulluar dhe specifikuar rregulla e procedura për çështjet që janë apo do të jenë në shqyrtim pas datës 5 nëntor pranë gjykatave të zakonshme, në lidhje me pretendimet për kohëzgjatje të paarsyeshme të procesit gjyqësor. Duke qenë se në rastin konkret nuk jemi para një çështjeje e cila është akoma në shqyrtim në gjykatë, por kërkuesi ankimon </w:t>
      </w:r>
      <w:r w:rsidRPr="00F014CD">
        <w:rPr>
          <w:rFonts w:eastAsia="Times New Roman"/>
          <w:lang w:val="sq-AL"/>
        </w:rPr>
        <w:lastRenderedPageBreak/>
        <w:t xml:space="preserve">një vendim të formës së prerë, që ka kaluar tashmë të gjitha shkallët e ankimit gjyqësor dhe për të cilin legjislacioni nuk parashikon mjete të tjera juridike efektive për mbrojtjen e kësaj të drejte kushtetuese, kërkuesi legjitimohet për shqyrtimin e këtij pretendimi. </w:t>
      </w:r>
    </w:p>
    <w:p w:rsidR="006F5479" w:rsidRPr="00F014CD" w:rsidRDefault="006F5479" w:rsidP="006F5479">
      <w:pPr>
        <w:pStyle w:val="Paragrafi"/>
        <w:rPr>
          <w:rFonts w:eastAsia="Times New Roman"/>
          <w:lang w:val="sq-AL"/>
        </w:rPr>
      </w:pPr>
      <w:r w:rsidRPr="00F014CD">
        <w:rPr>
          <w:rFonts w:eastAsia="Times New Roman"/>
          <w:lang w:val="sq-AL"/>
        </w:rPr>
        <w:t>22. Sipas nenit 42 të Kushtetutës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F014CD">
        <w:rPr>
          <w:rFonts w:eastAsia="Times New Roman"/>
          <w:bCs/>
          <w:i/>
          <w:lang w:val="sq-AL"/>
        </w:rPr>
        <w:t xml:space="preserve">shih vendimet </w:t>
      </w:r>
      <w:r>
        <w:rPr>
          <w:rFonts w:eastAsia="Times New Roman"/>
          <w:bCs/>
          <w:i/>
          <w:lang w:val="sq-AL"/>
        </w:rPr>
        <w:t>nr. 42, datë 25.</w:t>
      </w:r>
      <w:r w:rsidRPr="00F014CD">
        <w:rPr>
          <w:rFonts w:eastAsia="Times New Roman"/>
          <w:bCs/>
          <w:i/>
          <w:lang w:val="sq-AL"/>
        </w:rPr>
        <w:t xml:space="preserve">5.2017; </w:t>
      </w:r>
      <w:r>
        <w:rPr>
          <w:rFonts w:eastAsia="Times New Roman"/>
          <w:bCs/>
          <w:i/>
          <w:lang w:val="sq-AL"/>
        </w:rPr>
        <w:t xml:space="preserve">nr. </w:t>
      </w:r>
      <w:r w:rsidRPr="00F014CD">
        <w:rPr>
          <w:rFonts w:eastAsia="Times New Roman"/>
          <w:bCs/>
          <w:i/>
          <w:lang w:val="sq-AL"/>
        </w:rPr>
        <w:t>12, datë</w:t>
      </w:r>
      <w:r>
        <w:rPr>
          <w:rFonts w:eastAsia="Times New Roman"/>
          <w:i/>
          <w:lang w:val="sq-AL"/>
        </w:rPr>
        <w:t xml:space="preserve"> 5.</w:t>
      </w:r>
      <w:r w:rsidRPr="00F014CD">
        <w:rPr>
          <w:rFonts w:eastAsia="Times New Roman"/>
          <w:i/>
          <w:lang w:val="sq-AL"/>
        </w:rPr>
        <w:t>3.2012 të Gjykatës Kushtetuese</w:t>
      </w:r>
      <w:r w:rsidRPr="00F014CD">
        <w:rPr>
          <w:rFonts w:eastAsia="Times New Roman"/>
          <w:lang w:val="sq-AL"/>
        </w:rPr>
        <w:t>).</w:t>
      </w:r>
    </w:p>
    <w:p w:rsidR="006F5479" w:rsidRPr="00F014CD" w:rsidRDefault="006F5479" w:rsidP="006F5479">
      <w:pPr>
        <w:pStyle w:val="Paragrafi"/>
        <w:rPr>
          <w:rFonts w:eastAsia="Times New Roman"/>
          <w:lang w:val="sq-AL"/>
        </w:rPr>
      </w:pPr>
      <w:r w:rsidRPr="00F014CD">
        <w:rPr>
          <w:rFonts w:eastAsia="Times New Roman"/>
          <w:lang w:val="sq-AL"/>
        </w:rPr>
        <w:t>23. Gjithashtu, Gjykata, lidhur me kërkesat për konstatimin e cenimit të së drejtës kushtetuese për një proces të rregullt ligjor si pasoj</w:t>
      </w:r>
      <w:r w:rsidRPr="00F014CD">
        <w:rPr>
          <w:rFonts w:eastAsia="Times New Roman"/>
          <w:spacing w:val="3"/>
          <w:lang w:val="sq-AL"/>
        </w:rPr>
        <w:t>ë</w:t>
      </w:r>
      <w:r w:rsidRPr="00F014CD">
        <w:rPr>
          <w:rFonts w:eastAsia="Times New Roman"/>
          <w:lang w:val="sq-AL"/>
        </w:rPr>
        <w:t xml:space="preserve"> e moszhvillimit të gjykimit të çështjes brenda një afati të arsyeshëm, ka theksuar se arsyeja e zgjatjes së procesit duhet të vlerësohet mbi bazën e kritereve të përcaktuara në jurisprudencën e GJEDNJ-së, sipas s</w:t>
      </w:r>
      <w:r w:rsidRPr="00F014CD">
        <w:rPr>
          <w:rFonts w:eastAsia="Times New Roman"/>
          <w:spacing w:val="3"/>
          <w:lang w:val="sq-AL"/>
        </w:rPr>
        <w:t>ë</w:t>
      </w:r>
      <w:r w:rsidRPr="00F014CD">
        <w:rPr>
          <w:rFonts w:eastAsia="Times New Roman"/>
          <w:lang w:val="sq-AL"/>
        </w:rPr>
        <w:t xml:space="preserve"> cilës arsyeja e koh</w:t>
      </w:r>
      <w:r w:rsidRPr="00F014CD">
        <w:rPr>
          <w:rFonts w:eastAsia="Times New Roman"/>
          <w:spacing w:val="3"/>
          <w:lang w:val="sq-AL"/>
        </w:rPr>
        <w:t>ë</w:t>
      </w:r>
      <w:r w:rsidRPr="00F014CD">
        <w:rPr>
          <w:rFonts w:eastAsia="Times New Roman"/>
          <w:lang w:val="sq-AL"/>
        </w:rPr>
        <w:t>zgjatjes s</w:t>
      </w:r>
      <w:r w:rsidRPr="00F014CD">
        <w:rPr>
          <w:rFonts w:eastAsia="Times New Roman"/>
          <w:spacing w:val="3"/>
          <w:lang w:val="sq-AL"/>
        </w:rPr>
        <w:t>ë</w:t>
      </w:r>
      <w:r w:rsidRPr="00F014CD">
        <w:rPr>
          <w:rFonts w:eastAsia="Times New Roman"/>
          <w:lang w:val="sq-AL"/>
        </w:rPr>
        <w:t xml:space="preserve"> procesit gjyq</w:t>
      </w:r>
      <w:r w:rsidRPr="00F014CD">
        <w:rPr>
          <w:rFonts w:eastAsia="Times New Roman"/>
          <w:spacing w:val="3"/>
          <w:lang w:val="sq-AL"/>
        </w:rPr>
        <w:t>ë</w:t>
      </w:r>
      <w:r w:rsidRPr="00F014CD">
        <w:rPr>
          <w:rFonts w:eastAsia="Times New Roman"/>
          <w:lang w:val="sq-AL"/>
        </w:rPr>
        <w:t>sor duhet t</w:t>
      </w:r>
      <w:r w:rsidRPr="00F014CD">
        <w:rPr>
          <w:rFonts w:eastAsia="Times New Roman"/>
          <w:spacing w:val="3"/>
          <w:lang w:val="sq-AL"/>
        </w:rPr>
        <w:t>ë</w:t>
      </w:r>
      <w:r w:rsidRPr="00F014CD">
        <w:rPr>
          <w:rFonts w:eastAsia="Times New Roman"/>
          <w:lang w:val="sq-AL"/>
        </w:rPr>
        <w:t xml:space="preserve"> vler</w:t>
      </w:r>
      <w:r w:rsidRPr="00F014CD">
        <w:rPr>
          <w:rFonts w:eastAsia="Times New Roman"/>
          <w:spacing w:val="3"/>
          <w:lang w:val="sq-AL"/>
        </w:rPr>
        <w:t>ë</w:t>
      </w:r>
      <w:r w:rsidRPr="00F014CD">
        <w:rPr>
          <w:rFonts w:eastAsia="Times New Roman"/>
          <w:lang w:val="sq-AL"/>
        </w:rPr>
        <w:t>sohet n</w:t>
      </w:r>
      <w:r w:rsidRPr="00F014CD">
        <w:rPr>
          <w:rFonts w:eastAsia="Times New Roman"/>
          <w:spacing w:val="3"/>
          <w:lang w:val="sq-AL"/>
        </w:rPr>
        <w:t>ë</w:t>
      </w:r>
      <w:r w:rsidRPr="00F014CD">
        <w:rPr>
          <w:rFonts w:eastAsia="Times New Roman"/>
          <w:lang w:val="sq-AL"/>
        </w:rPr>
        <w:t>n drit</w:t>
      </w:r>
      <w:r w:rsidRPr="00F014CD">
        <w:rPr>
          <w:rFonts w:eastAsia="Times New Roman"/>
          <w:spacing w:val="3"/>
          <w:lang w:val="sq-AL"/>
        </w:rPr>
        <w:t>ë</w:t>
      </w:r>
      <w:r w:rsidRPr="00F014CD">
        <w:rPr>
          <w:rFonts w:eastAsia="Times New Roman"/>
          <w:lang w:val="sq-AL"/>
        </w:rPr>
        <w:t>n e rrethanave t</w:t>
      </w:r>
      <w:r w:rsidRPr="00F014CD">
        <w:rPr>
          <w:rFonts w:eastAsia="Times New Roman"/>
          <w:spacing w:val="3"/>
          <w:lang w:val="sq-AL"/>
        </w:rPr>
        <w:t>ë</w:t>
      </w:r>
      <w:r w:rsidRPr="00F014CD">
        <w:rPr>
          <w:rFonts w:eastAsia="Times New Roman"/>
          <w:lang w:val="sq-AL"/>
        </w:rPr>
        <w:t xml:space="preserve"> veçanta t</w:t>
      </w:r>
      <w:r w:rsidRPr="00F014CD">
        <w:rPr>
          <w:rFonts w:eastAsia="Times New Roman"/>
          <w:spacing w:val="3"/>
          <w:lang w:val="sq-AL"/>
        </w:rPr>
        <w:t>ë</w:t>
      </w:r>
      <w:r w:rsidRPr="00F014CD">
        <w:rPr>
          <w:rFonts w:eastAsia="Times New Roman"/>
          <w:lang w:val="sq-AL"/>
        </w:rPr>
        <w:t xml:space="preserve"> çështjes, duke pasur parasysh sidomos kompleksitetin e çështjes, sjelljen e k</w:t>
      </w:r>
      <w:r w:rsidRPr="00F014CD">
        <w:rPr>
          <w:rFonts w:eastAsia="Times New Roman"/>
          <w:spacing w:val="3"/>
          <w:lang w:val="sq-AL"/>
        </w:rPr>
        <w:t>ë</w:t>
      </w:r>
      <w:r w:rsidRPr="00F014CD">
        <w:rPr>
          <w:rFonts w:eastAsia="Times New Roman"/>
          <w:lang w:val="sq-AL"/>
        </w:rPr>
        <w:t>rkuesit, sjelljen e autoriteteve, si dhe rrezikun q</w:t>
      </w:r>
      <w:r w:rsidRPr="00F014CD">
        <w:rPr>
          <w:rFonts w:eastAsia="Times New Roman"/>
          <w:spacing w:val="3"/>
          <w:lang w:val="sq-AL"/>
        </w:rPr>
        <w:t>ë</w:t>
      </w:r>
      <w:r w:rsidRPr="00F014CD">
        <w:rPr>
          <w:rFonts w:eastAsia="Times New Roman"/>
          <w:lang w:val="sq-AL"/>
        </w:rPr>
        <w:t xml:space="preserve"> passjell p</w:t>
      </w:r>
      <w:r w:rsidRPr="00F014CD">
        <w:rPr>
          <w:rFonts w:eastAsia="Times New Roman"/>
          <w:spacing w:val="3"/>
          <w:lang w:val="sq-AL"/>
        </w:rPr>
        <w:t>ë</w:t>
      </w:r>
      <w:r w:rsidRPr="00F014CD">
        <w:rPr>
          <w:rFonts w:eastAsia="Times New Roman"/>
          <w:lang w:val="sq-AL"/>
        </w:rPr>
        <w:t>r k</w:t>
      </w:r>
      <w:r w:rsidRPr="00F014CD">
        <w:rPr>
          <w:rFonts w:eastAsia="Times New Roman"/>
          <w:spacing w:val="3"/>
          <w:lang w:val="sq-AL"/>
        </w:rPr>
        <w:t>ë</w:t>
      </w:r>
      <w:r w:rsidRPr="00F014CD">
        <w:rPr>
          <w:rFonts w:eastAsia="Times New Roman"/>
          <w:lang w:val="sq-AL"/>
        </w:rPr>
        <w:t>rkuesin kjo tejzgjatje e afateve t</w:t>
      </w:r>
      <w:r w:rsidRPr="00F014CD">
        <w:rPr>
          <w:rFonts w:eastAsia="Times New Roman"/>
          <w:spacing w:val="3"/>
          <w:lang w:val="sq-AL"/>
        </w:rPr>
        <w:t>ë</w:t>
      </w:r>
      <w:r w:rsidRPr="00F014CD">
        <w:rPr>
          <w:rFonts w:eastAsia="Times New Roman"/>
          <w:lang w:val="sq-AL"/>
        </w:rPr>
        <w:t xml:space="preserve"> gjykimit (</w:t>
      </w:r>
      <w:r w:rsidRPr="00F014CD">
        <w:rPr>
          <w:rFonts w:eastAsia="Times New Roman"/>
          <w:i/>
          <w:lang w:val="sq-AL"/>
        </w:rPr>
        <w:t>shih</w:t>
      </w:r>
      <w:r w:rsidRPr="00F014CD">
        <w:rPr>
          <w:rFonts w:eastAsia="Times New Roman"/>
          <w:lang w:val="sq-AL"/>
        </w:rPr>
        <w:t xml:space="preserve"> </w:t>
      </w:r>
      <w:r w:rsidRPr="00F014CD">
        <w:rPr>
          <w:rFonts w:eastAsia="Times New Roman"/>
          <w:i/>
          <w:lang w:val="sq-AL"/>
        </w:rPr>
        <w:t xml:space="preserve">vendimin </w:t>
      </w:r>
      <w:r>
        <w:rPr>
          <w:rFonts w:eastAsia="Times New Roman"/>
          <w:i/>
          <w:lang w:val="sq-AL"/>
        </w:rPr>
        <w:t>nr. 59, datë 16.</w:t>
      </w:r>
      <w:r w:rsidRPr="00F014CD">
        <w:rPr>
          <w:rFonts w:eastAsia="Times New Roman"/>
          <w:i/>
          <w:lang w:val="sq-AL"/>
        </w:rPr>
        <w:t>9.2016 të Gjykatës Kushtetuese</w:t>
      </w:r>
      <w:r w:rsidRPr="00F014CD">
        <w:rPr>
          <w:rFonts w:eastAsia="Times New Roman"/>
          <w:lang w:val="sq-AL"/>
        </w:rPr>
        <w:t>). Për rrjedhojë, për të arritur në përfundimin nëse në rastin konkret jemi përpara cenimit të së drejtës për një proces të rregullt ligjor, Gjykata vlerëson se duhet të merret në analizë secili prej elementeve të sipërcituara.</w:t>
      </w:r>
    </w:p>
    <w:p w:rsidR="006F5479" w:rsidRPr="00F014CD" w:rsidRDefault="006F5479" w:rsidP="006F5479">
      <w:pPr>
        <w:pStyle w:val="Paragrafi"/>
        <w:rPr>
          <w:rFonts w:eastAsia="Times New Roman"/>
          <w:i/>
          <w:lang w:val="sq-AL"/>
        </w:rPr>
      </w:pPr>
      <w:r w:rsidRPr="00F014CD">
        <w:rPr>
          <w:rFonts w:eastAsia="Times New Roman"/>
          <w:i/>
          <w:lang w:val="sq-AL"/>
        </w:rPr>
        <w:t>i</w:t>
      </w:r>
      <w:r>
        <w:rPr>
          <w:rFonts w:eastAsia="Times New Roman"/>
          <w:i/>
          <w:lang w:val="sq-AL"/>
        </w:rPr>
        <w:t>)</w:t>
      </w:r>
      <w:r w:rsidRPr="00F014CD">
        <w:rPr>
          <w:rFonts w:eastAsia="Times New Roman"/>
          <w:i/>
          <w:lang w:val="sq-AL"/>
        </w:rPr>
        <w:t xml:space="preserve"> Periudha që duhet marrë në konsideratë </w:t>
      </w:r>
    </w:p>
    <w:p w:rsidR="006F5479" w:rsidRPr="00F014CD" w:rsidRDefault="006F5479" w:rsidP="006F5479">
      <w:pPr>
        <w:pStyle w:val="Paragrafi"/>
        <w:rPr>
          <w:rFonts w:eastAsia="Times New Roman"/>
          <w:bCs/>
          <w:lang w:val="sq-AL"/>
        </w:rPr>
      </w:pPr>
      <w:r w:rsidRPr="00F014CD">
        <w:rPr>
          <w:rFonts w:eastAsia="Times New Roman"/>
          <w:lang w:val="sq-AL"/>
        </w:rPr>
        <w:t>24. Lidhur me periudhën e kohës që duhet marrë në konsideratë</w:t>
      </w:r>
      <w:r w:rsidRPr="00F014CD">
        <w:rPr>
          <w:rFonts w:eastAsia="Times New Roman"/>
          <w:i/>
          <w:lang w:val="sq-AL"/>
        </w:rPr>
        <w:t xml:space="preserve">, </w:t>
      </w:r>
      <w:r w:rsidRPr="00F014CD">
        <w:rPr>
          <w:rFonts w:eastAsia="Times New Roman"/>
          <w:lang w:val="sq-AL"/>
        </w:rPr>
        <w:t xml:space="preserve">nga materialet bashkëlidhur kërkesës dhe të dhënat në faqen zyrtare </w:t>
      </w:r>
      <w:r w:rsidRPr="00F014CD">
        <w:rPr>
          <w:rFonts w:eastAsia="Times New Roman"/>
          <w:i/>
          <w:lang w:val="sq-AL"/>
        </w:rPr>
        <w:t>web</w:t>
      </w:r>
      <w:r w:rsidRPr="00F014CD">
        <w:rPr>
          <w:rFonts w:eastAsia="Times New Roman"/>
          <w:lang w:val="sq-AL"/>
        </w:rPr>
        <w:t xml:space="preserve"> të Gjykatës së Lartë rezulton se çështja në shqyrtim është regjistruar në atë gjykatë në datën 29.12.2014, kurse</w:t>
      </w:r>
      <w:r>
        <w:rPr>
          <w:rFonts w:eastAsia="Times New Roman"/>
          <w:bCs/>
          <w:lang w:val="sq-AL"/>
        </w:rPr>
        <w:t xml:space="preserve"> vendimi është marrë në datën 1.</w:t>
      </w:r>
      <w:r w:rsidRPr="00F014CD">
        <w:rPr>
          <w:rFonts w:eastAsia="Times New Roman"/>
          <w:bCs/>
          <w:lang w:val="sq-AL"/>
        </w:rPr>
        <w:t>3.2017, pra pas 2 vjetësh e 2 muajsh nga regjistrimi.</w:t>
      </w:r>
      <w:r>
        <w:rPr>
          <w:rFonts w:eastAsia="Times New Roman"/>
          <w:bCs/>
          <w:lang w:val="sq-AL"/>
        </w:rPr>
        <w:t xml:space="preserve"> </w:t>
      </w:r>
    </w:p>
    <w:p w:rsidR="006F5479" w:rsidRPr="00A402A4" w:rsidRDefault="006F5479" w:rsidP="006F5479">
      <w:pPr>
        <w:pStyle w:val="Paragrafi"/>
        <w:rPr>
          <w:rFonts w:eastAsia="Times New Roman"/>
          <w:i/>
          <w:spacing w:val="-4"/>
          <w:lang w:val="sq-AL"/>
        </w:rPr>
      </w:pPr>
      <w:r w:rsidRPr="00A402A4">
        <w:rPr>
          <w:rFonts w:eastAsia="Times New Roman"/>
          <w:i/>
          <w:spacing w:val="-4"/>
          <w:lang w:val="sq-AL"/>
        </w:rPr>
        <w:t>ii) Kompleksiteti i çështjes</w:t>
      </w:r>
    </w:p>
    <w:p w:rsidR="006F5479" w:rsidRPr="00A402A4" w:rsidRDefault="006F5479" w:rsidP="006F5479">
      <w:pPr>
        <w:pStyle w:val="Paragrafi"/>
        <w:rPr>
          <w:rFonts w:eastAsia="Times New Roman"/>
          <w:spacing w:val="-4"/>
          <w:lang w:val="sq-AL"/>
        </w:rPr>
      </w:pPr>
      <w:r w:rsidRPr="00A402A4">
        <w:rPr>
          <w:rFonts w:eastAsia="Times New Roman"/>
          <w:spacing w:val="-4"/>
          <w:lang w:val="sq-AL"/>
        </w:rPr>
        <w:t xml:space="preserve">25.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A402A4">
        <w:rPr>
          <w:rFonts w:eastAsia="Times New Roman"/>
          <w:i/>
          <w:spacing w:val="-4"/>
          <w:lang w:val="sq-AL"/>
        </w:rPr>
        <w:t>(shih vendimin nr. 59, datë 16.9.2016 të Gjykatës Kushtetuese</w:t>
      </w:r>
      <w:r w:rsidRPr="00A402A4">
        <w:rPr>
          <w:rFonts w:eastAsia="Times New Roman"/>
          <w:spacing w:val="-4"/>
          <w:lang w:val="sq-AL"/>
        </w:rPr>
        <w:t>).</w:t>
      </w:r>
    </w:p>
    <w:p w:rsidR="006F5479" w:rsidRPr="00A402A4" w:rsidRDefault="006F5479" w:rsidP="006F5479">
      <w:pPr>
        <w:pStyle w:val="Paragrafi"/>
        <w:rPr>
          <w:rFonts w:eastAsia="Times New Roman"/>
          <w:spacing w:val="-4"/>
          <w:lang w:val="sq-AL"/>
        </w:rPr>
      </w:pPr>
      <w:r w:rsidRPr="00A402A4">
        <w:rPr>
          <w:rFonts w:eastAsia="Times New Roman"/>
          <w:spacing w:val="-4"/>
          <w:lang w:val="sq-AL"/>
        </w:rPr>
        <w:t xml:space="preserve">26. Në rastin në shqyrtim, Gjykata vëren se mosmarrëveshja objekt gjykimi është e natyrës administrative, gjykimi i të cilave parashikohet dhe rregullohet nga </w:t>
      </w:r>
      <w:r w:rsidRPr="00A402A4">
        <w:rPr>
          <w:rFonts w:eastAsia="Times New Roman"/>
          <w:bCs/>
          <w:spacing w:val="-4"/>
          <w:lang w:val="sq-AL"/>
        </w:rPr>
        <w:t>ligji për gjykatat administrative</w:t>
      </w:r>
      <w:r w:rsidRPr="00A402A4">
        <w:rPr>
          <w:rFonts w:eastAsia="Times New Roman"/>
          <w:spacing w:val="-4"/>
          <w:lang w:val="sq-AL"/>
        </w:rPr>
        <w:t>, i ndryshuar.</w:t>
      </w:r>
      <w:r w:rsidRPr="00A402A4">
        <w:rPr>
          <w:rFonts w:eastAsia="Times New Roman"/>
          <w:bCs/>
          <w:spacing w:val="-4"/>
          <w:lang w:val="sq-AL"/>
        </w:rPr>
        <w:t xml:space="preserve"> </w:t>
      </w:r>
      <w:r w:rsidRPr="00A402A4">
        <w:rPr>
          <w:rFonts w:eastAsia="Times New Roman"/>
          <w:spacing w:val="-4"/>
          <w:lang w:val="sq-AL"/>
        </w:rPr>
        <w:t>Çështja në shqyrtim ka për objekt detyrimin e një organi shtetëror (Bashkia Vorë) për të dëmshpërblyer dhe kompensuar kërkuesin, për shkak të punimeve të kryera në pronën e kërkuesit. Për rrjedhojë, ajo nuk paraqet kompleksitet që mund të justifikonte vonesa në shqyrtimin e saj nga Kolegji Administrativ i Gjykatës së Lartë, ndaj vlerësimi i sjelljes së autoriteteve publike dhe kërkuesit është me rëndësi në këtë kontekst.</w:t>
      </w:r>
    </w:p>
    <w:p w:rsidR="006F5479" w:rsidRPr="00F014CD" w:rsidRDefault="006F5479" w:rsidP="006F5479">
      <w:pPr>
        <w:pStyle w:val="Paragrafi"/>
        <w:rPr>
          <w:rFonts w:eastAsia="Times New Roman"/>
          <w:i/>
          <w:lang w:val="sq-AL"/>
        </w:rPr>
      </w:pPr>
      <w:r w:rsidRPr="00F014CD">
        <w:rPr>
          <w:rFonts w:eastAsia="Times New Roman"/>
          <w:i/>
          <w:lang w:val="sq-AL"/>
        </w:rPr>
        <w:t>iii</w:t>
      </w:r>
      <w:r>
        <w:rPr>
          <w:rFonts w:eastAsia="Times New Roman"/>
          <w:i/>
          <w:lang w:val="sq-AL"/>
        </w:rPr>
        <w:t>)</w:t>
      </w:r>
      <w:r w:rsidRPr="00F014CD">
        <w:rPr>
          <w:rFonts w:eastAsia="Times New Roman"/>
          <w:i/>
          <w:lang w:val="sq-AL"/>
        </w:rPr>
        <w:t xml:space="preserve"> Interesi dhe sjellja e kërkuesit</w:t>
      </w:r>
    </w:p>
    <w:p w:rsidR="006F5479" w:rsidRPr="00F014CD" w:rsidRDefault="006F5479" w:rsidP="006F5479">
      <w:pPr>
        <w:pStyle w:val="Paragrafi"/>
        <w:rPr>
          <w:rFonts w:eastAsia="Times New Roman"/>
          <w:lang w:val="sq-AL"/>
        </w:rPr>
      </w:pPr>
      <w:r w:rsidRPr="00F014CD">
        <w:rPr>
          <w:rFonts w:eastAsia="Times New Roman"/>
          <w:lang w:val="sq-AL"/>
        </w:rPr>
        <w:t xml:space="preserve">27. Vlerësimi i sjelljes dhe interesit të kërkuesit është një element tjetër përcaktues i kohëzgjatjes së arsyeshme të procedimeve. Nga aktet bashkëlidhur kërkesës nuk rezulton që kërkuesi të jetë bërë shkak apo të ketë shkaktuar vonesa në shqyrtimin e çështjes në Gjykatën e Lartë. </w:t>
      </w:r>
    </w:p>
    <w:p w:rsidR="006F5479" w:rsidRPr="00F014CD" w:rsidRDefault="006F5479" w:rsidP="006F5479">
      <w:pPr>
        <w:pStyle w:val="Paragrafi"/>
        <w:rPr>
          <w:rFonts w:eastAsia="Times New Roman"/>
          <w:i/>
          <w:lang w:val="sq-AL"/>
        </w:rPr>
      </w:pPr>
      <w:r w:rsidRPr="00F014CD">
        <w:rPr>
          <w:rFonts w:eastAsia="Times New Roman"/>
          <w:i/>
          <w:lang w:val="sq-AL"/>
        </w:rPr>
        <w:t>iv</w:t>
      </w:r>
      <w:r>
        <w:rPr>
          <w:rFonts w:eastAsia="Times New Roman"/>
          <w:i/>
          <w:lang w:val="sq-AL"/>
        </w:rPr>
        <w:t>)</w:t>
      </w:r>
      <w:r w:rsidRPr="00F014CD">
        <w:rPr>
          <w:rFonts w:eastAsia="Times New Roman"/>
          <w:i/>
          <w:lang w:val="sq-AL"/>
        </w:rPr>
        <w:t xml:space="preserve"> Sjellja e autoriteteve </w:t>
      </w:r>
    </w:p>
    <w:p w:rsidR="006F5479" w:rsidRPr="00F014CD" w:rsidRDefault="006F5479" w:rsidP="006F5479">
      <w:pPr>
        <w:pStyle w:val="Paragrafi"/>
        <w:rPr>
          <w:rFonts w:eastAsia="Times New Roman"/>
          <w:lang w:val="sq-AL"/>
        </w:rPr>
      </w:pPr>
      <w:r w:rsidRPr="00F014CD">
        <w:rPr>
          <w:rFonts w:eastAsia="Times New Roman"/>
          <w:lang w:val="sq-AL"/>
        </w:rPr>
        <w:t xml:space="preserve">28. 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w:t>
      </w:r>
      <w:r w:rsidRPr="00F014CD">
        <w:rPr>
          <w:rFonts w:eastAsia="Times New Roman"/>
          <w:lang w:val="sq-AL"/>
        </w:rPr>
        <w:lastRenderedPageBreak/>
        <w:t xml:space="preserve">pjesë në proces të sillen në mënyrë që të evitojnë çdo vonesë të panevojshme. </w:t>
      </w:r>
    </w:p>
    <w:p w:rsidR="006F5479" w:rsidRPr="00F014CD" w:rsidRDefault="006F5479" w:rsidP="006F5479">
      <w:pPr>
        <w:pStyle w:val="Paragrafi"/>
        <w:rPr>
          <w:rFonts w:eastAsia="Times New Roman"/>
          <w:lang w:val="sq-AL"/>
        </w:rPr>
      </w:pPr>
      <w:r w:rsidRPr="00F014CD">
        <w:rPr>
          <w:rFonts w:eastAsia="Times New Roman"/>
          <w:lang w:val="sq-AL"/>
        </w:rPr>
        <w:t>29. Lidhur me gjykimin e mosmarrëveshjeve administrative, Gjykata ka konstatuar se neni 3 i</w:t>
      </w:r>
      <w:r>
        <w:rPr>
          <w:rFonts w:eastAsia="Times New Roman"/>
          <w:lang w:val="sq-AL"/>
        </w:rPr>
        <w:t xml:space="preserve"> </w:t>
      </w:r>
      <w:r w:rsidRPr="00F014CD">
        <w:rPr>
          <w:rFonts w:eastAsia="Times New Roman"/>
          <w:bCs/>
          <w:lang w:val="sq-AL"/>
        </w:rPr>
        <w:t>ligjit për gjykatat administrative</w:t>
      </w:r>
      <w:r w:rsidRPr="00F014CD">
        <w:rPr>
          <w:rFonts w:eastAsia="Times New Roman"/>
          <w:lang w:val="sq-AL"/>
        </w:rPr>
        <w:t xml:space="preserve"> ndër parimet e gjykimit administrativ ka përcaktuar garantimin e një procesi të rregullt gjyqësor brenda afateve të shpejta dhe të arsyeshme. Ky ka qenë edhe qëllimi i ligjvënësit në krijimin e këtyre gjykatave. Përderisa, ligjvënësi ka përcaktuar këto afate kohore (90 ditë në rastin në fjalë), do të thotë se ai i ka konsideruar ato si afate të arsyeshme për t</w:t>
      </w:r>
      <w:r>
        <w:rPr>
          <w:rFonts w:eastAsia="Times New Roman"/>
          <w:lang w:val="sq-AL"/>
        </w:rPr>
        <w:t>’</w:t>
      </w:r>
      <w:r w:rsidRPr="00F014CD">
        <w:rPr>
          <w:rFonts w:eastAsia="Times New Roman"/>
          <w:lang w:val="sq-AL"/>
        </w:rPr>
        <w:t xml:space="preserve">u zbatuar nga gjykatat administrative. Në këtë drejtim, respektimi rigoroz i ligjit përbën detyrim për Gjykatën e Lartë, </w:t>
      </w:r>
      <w:r w:rsidRPr="00F014CD">
        <w:rPr>
          <w:lang w:val="sq-AL"/>
        </w:rPr>
        <w:t>për shkak të pozicionit dhe rolit të saj si gjykatë ligji, për sa kohë ajo ka për detyrë të kontrollojë mënyrën e zbatimit të ligjit material dhe procedural nga ana e gjykatave më të ulëta (</w:t>
      </w:r>
      <w:r w:rsidRPr="00F014CD">
        <w:rPr>
          <w:i/>
          <w:lang w:val="sq-AL"/>
        </w:rPr>
        <w:t>shih vendimet</w:t>
      </w:r>
      <w:r w:rsidRPr="00F014CD">
        <w:rPr>
          <w:rFonts w:eastAsia="Times New Roman"/>
          <w:i/>
          <w:lang w:val="sq-AL"/>
        </w:rPr>
        <w:t xml:space="preserve"> </w:t>
      </w:r>
      <w:r>
        <w:rPr>
          <w:rFonts w:eastAsia="Times New Roman"/>
          <w:i/>
          <w:lang w:val="sq-AL"/>
        </w:rPr>
        <w:t>nr. 42, datë 25.</w:t>
      </w:r>
      <w:r w:rsidRPr="00F014CD">
        <w:rPr>
          <w:rFonts w:eastAsia="Times New Roman"/>
          <w:i/>
          <w:lang w:val="sq-AL"/>
        </w:rPr>
        <w:t xml:space="preserve">5.2017; </w:t>
      </w:r>
      <w:r>
        <w:rPr>
          <w:rFonts w:eastAsia="Times New Roman"/>
          <w:i/>
          <w:lang w:val="sq-AL"/>
        </w:rPr>
        <w:t>nr. 59, datë 16.</w:t>
      </w:r>
      <w:r w:rsidRPr="00F014CD">
        <w:rPr>
          <w:rFonts w:eastAsia="Times New Roman"/>
          <w:i/>
          <w:lang w:val="sq-AL"/>
        </w:rPr>
        <w:t xml:space="preserve">9.2016; </w:t>
      </w:r>
      <w:r>
        <w:rPr>
          <w:rFonts w:eastAsia="Times New Roman"/>
          <w:i/>
          <w:lang w:val="sq-AL"/>
        </w:rPr>
        <w:t xml:space="preserve">nr. </w:t>
      </w:r>
      <w:r w:rsidRPr="00F014CD">
        <w:rPr>
          <w:rFonts w:eastAsia="Times New Roman"/>
          <w:i/>
          <w:lang w:val="sq-AL"/>
        </w:rPr>
        <w:t>69, datë 17.11.2015 të Gjykatës Kushtetuese</w:t>
      </w:r>
      <w:r w:rsidRPr="00F014CD">
        <w:rPr>
          <w:rFonts w:eastAsia="Times New Roman"/>
          <w:lang w:val="sq-AL"/>
        </w:rPr>
        <w:t>)</w:t>
      </w:r>
      <w:r w:rsidRPr="00F014CD">
        <w:rPr>
          <w:lang w:val="sq-AL"/>
        </w:rPr>
        <w:t>.</w:t>
      </w:r>
    </w:p>
    <w:p w:rsidR="006F5479" w:rsidRPr="00F014CD" w:rsidRDefault="006F5479" w:rsidP="006F5479">
      <w:pPr>
        <w:pStyle w:val="Paragrafi"/>
        <w:rPr>
          <w:lang w:val="sq-AL"/>
        </w:rPr>
      </w:pPr>
      <w:r w:rsidRPr="00F014CD">
        <w:rPr>
          <w:rFonts w:eastAsia="Times New Roman"/>
          <w:lang w:val="sq-AL"/>
        </w:rPr>
        <w:t xml:space="preserve">30. Gjykata ka theksuar, gjithashtu, se justifikimi në raste të ngjashme se shkak i vonesës në shqyrtimin e çështjes është numri i lartë i çështjeve në ngarkim të këtyre gjykatave, nuk është i bazuar.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(vonesës në shqyrtimin e çështjeve në Gjykatë të Lartë), me qëllim që ligjet të zbatohen dhe gjykatat e të gjitha niveleve të funksionojnë normalisht </w:t>
      </w:r>
      <w:r w:rsidRPr="00F014CD">
        <w:rPr>
          <w:lang w:val="sq-AL"/>
        </w:rPr>
        <w:t>(</w:t>
      </w:r>
      <w:r w:rsidRPr="00F014CD">
        <w:rPr>
          <w:i/>
          <w:lang w:val="sq-AL"/>
        </w:rPr>
        <w:t>shih vendimet</w:t>
      </w:r>
      <w:r w:rsidRPr="00F014CD">
        <w:rPr>
          <w:rFonts w:eastAsia="Times New Roman"/>
          <w:i/>
          <w:lang w:val="sq-AL"/>
        </w:rPr>
        <w:t xml:space="preserve"> </w:t>
      </w:r>
      <w:r>
        <w:rPr>
          <w:rFonts w:eastAsia="Times New Roman"/>
          <w:i/>
          <w:lang w:val="sq-AL"/>
        </w:rPr>
        <w:t>nr. 57, datë 25.</w:t>
      </w:r>
      <w:r w:rsidRPr="00F014CD">
        <w:rPr>
          <w:rFonts w:eastAsia="Times New Roman"/>
          <w:i/>
          <w:lang w:val="sq-AL"/>
        </w:rPr>
        <w:t xml:space="preserve">7.2017; </w:t>
      </w:r>
      <w:r>
        <w:rPr>
          <w:rFonts w:eastAsia="Times New Roman"/>
          <w:i/>
          <w:lang w:val="sq-AL"/>
        </w:rPr>
        <w:t>nr. 59, datë 16.</w:t>
      </w:r>
      <w:r w:rsidRPr="00F014CD">
        <w:rPr>
          <w:rFonts w:eastAsia="Times New Roman"/>
          <w:i/>
          <w:lang w:val="sq-AL"/>
        </w:rPr>
        <w:t xml:space="preserve">9.2016; </w:t>
      </w:r>
      <w:r>
        <w:rPr>
          <w:rFonts w:eastAsia="Times New Roman"/>
          <w:i/>
          <w:lang w:val="sq-AL"/>
        </w:rPr>
        <w:t xml:space="preserve">nr. </w:t>
      </w:r>
      <w:r w:rsidRPr="00F014CD">
        <w:rPr>
          <w:rFonts w:eastAsia="Times New Roman"/>
          <w:i/>
          <w:lang w:val="sq-AL"/>
        </w:rPr>
        <w:t>69, datë 17.11.2015 të Gjykatës Kushtetuese</w:t>
      </w:r>
      <w:r w:rsidRPr="00F014CD">
        <w:rPr>
          <w:rFonts w:eastAsia="Times New Roman"/>
          <w:lang w:val="sq-AL"/>
        </w:rPr>
        <w:t>)</w:t>
      </w:r>
      <w:r w:rsidRPr="00F014CD">
        <w:rPr>
          <w:lang w:val="sq-AL"/>
        </w:rPr>
        <w:t xml:space="preserve">. </w:t>
      </w:r>
    </w:p>
    <w:p w:rsidR="006F5479" w:rsidRDefault="006F5479" w:rsidP="006F5479">
      <w:pPr>
        <w:pStyle w:val="Paragrafi"/>
        <w:rPr>
          <w:rFonts w:eastAsia="Times New Roman"/>
          <w:lang w:val="sq-AL"/>
        </w:rPr>
      </w:pPr>
    </w:p>
    <w:p w:rsidR="006F5479" w:rsidRPr="00A402A4" w:rsidRDefault="006F5479" w:rsidP="006F5479">
      <w:pPr>
        <w:pStyle w:val="Paragrafi"/>
        <w:rPr>
          <w:rFonts w:eastAsia="Times New Roman"/>
          <w:spacing w:val="-4"/>
          <w:lang w:val="sq-AL"/>
        </w:rPr>
      </w:pPr>
      <w:r w:rsidRPr="00A402A4">
        <w:rPr>
          <w:rFonts w:eastAsia="Times New Roman"/>
          <w:spacing w:val="-4"/>
          <w:lang w:val="sq-AL"/>
        </w:rPr>
        <w:t xml:space="preserve">31. Për sa më sipër, pretendimi i kërkuesit për cenimin e së drejtës për një proces të rregullt ligjor si rezultat i mosgjykimit të çështjes në Gjykatën e Lartë brenda afatit të arsyeshëm, është i bazuar. </w:t>
      </w:r>
    </w:p>
    <w:p w:rsidR="006F5479" w:rsidRPr="00A402A4" w:rsidRDefault="006F5479" w:rsidP="006F5479">
      <w:pPr>
        <w:pStyle w:val="Paragrafi"/>
        <w:rPr>
          <w:rFonts w:eastAsia="Times New Roman"/>
          <w:spacing w:val="-4"/>
          <w:lang w:val="sq-AL"/>
        </w:rPr>
      </w:pPr>
      <w:r w:rsidRPr="00A402A4">
        <w:rPr>
          <w:rFonts w:eastAsia="Times New Roman"/>
          <w:spacing w:val="-4"/>
          <w:lang w:val="sq-AL"/>
        </w:rPr>
        <w:t>32. Megjithëse, zvarritja e procesit nuk përbën shkak për shfuqizimin e vendimeve gjyqësore, sipas objektit të kërkesës, fuqia detyruese e vendimit të Gjykatës shërben për parandalimin e zvarritjeve të proceseve gjyqësore nga ana e gjykatave. Gjykata nënvizon se nenet 124 dhe 132 të Kushtetutës shprehen qartësisht në lidhje me forcën detyruese të vendimeve të Gjykatës Kushtetuese për të gjitha organet kushtetuese, autoritetet publike, duke përfshirë edhe gjykatat. Zbatimi i vendimeve të Gjykatës Kushtetuese është detyrim kushtetues. Ato kanë fuqi detyruese të përgjithshme dhe janë përfundimtare (</w:t>
      </w:r>
      <w:r w:rsidRPr="00A402A4">
        <w:rPr>
          <w:rFonts w:eastAsia="Times New Roman"/>
          <w:i/>
          <w:spacing w:val="-4"/>
          <w:lang w:val="sq-AL"/>
        </w:rPr>
        <w:t>shih vendimet nr. 57, datë 25.7.2017; nr. 15, datë 10.3.2016 të Gjykatës Kushtetuese)</w:t>
      </w:r>
      <w:r w:rsidRPr="00A402A4">
        <w:rPr>
          <w:rFonts w:eastAsia="Times New Roman"/>
          <w:spacing w:val="-4"/>
          <w:lang w:val="sq-AL"/>
        </w:rPr>
        <w:t xml:space="preserve">. </w:t>
      </w:r>
    </w:p>
    <w:p w:rsidR="006F5479" w:rsidRPr="00A402A4" w:rsidRDefault="006F5479" w:rsidP="006F5479">
      <w:pPr>
        <w:pStyle w:val="Paragrafi"/>
        <w:rPr>
          <w:rFonts w:eastAsia="Times New Roman"/>
          <w:i/>
          <w:spacing w:val="-4"/>
          <w:lang w:val="sq-AL"/>
        </w:rPr>
      </w:pPr>
      <w:r w:rsidRPr="00A402A4">
        <w:rPr>
          <w:rFonts w:eastAsia="Times New Roman"/>
          <w:i/>
          <w:spacing w:val="-4"/>
          <w:lang w:val="sq-AL"/>
        </w:rPr>
        <w:t xml:space="preserve">c) Për pretendimin e tejkalimit të kompetencave nga ana e gjykatës </w:t>
      </w:r>
    </w:p>
    <w:p w:rsidR="006F5479" w:rsidRPr="00A402A4" w:rsidRDefault="006F5479" w:rsidP="006F5479">
      <w:pPr>
        <w:pStyle w:val="Paragrafi"/>
        <w:rPr>
          <w:rFonts w:eastAsia="Times New Roman"/>
          <w:bCs/>
          <w:spacing w:val="-4"/>
          <w:lang w:val="sq-AL"/>
        </w:rPr>
      </w:pPr>
      <w:r w:rsidRPr="00A402A4">
        <w:rPr>
          <w:rFonts w:eastAsia="Times New Roman"/>
          <w:bCs/>
          <w:spacing w:val="-4"/>
          <w:lang w:val="sq-AL"/>
        </w:rPr>
        <w:t>33. Kërkuesi ka pretenduar se Gjykata Administrative e Apelit ka tejkaluar kompetencat e veta ligjore kur ka pranuar të gjykojë pretendimet lidhur me dëmin pasuror të pësuar prej shpronësimit të paligjshëm, sipas Kodit të Procedurave Administrative dhe ligjit për gjykatat administrative.</w:t>
      </w:r>
    </w:p>
    <w:p w:rsidR="006F5479" w:rsidRPr="00F014CD" w:rsidRDefault="006F5479" w:rsidP="006F5479">
      <w:pPr>
        <w:pStyle w:val="Paragrafi"/>
        <w:rPr>
          <w:rFonts w:eastAsia="Times New Roman"/>
          <w:lang w:val="sq-AL"/>
        </w:rPr>
      </w:pPr>
      <w:r w:rsidRPr="00F014CD">
        <w:rPr>
          <w:rFonts w:eastAsia="Times New Roman"/>
          <w:lang w:val="sq-AL"/>
        </w:rPr>
        <w:t xml:space="preserve">34. Gjykata ka vlerësuar se një nga elementet e procesit të rregullt ligjor, sipas nenit 42 të Kushtetutës dhe nenit 6 të KEDNJ-së, është edhe shqyrtimi i çështjes nga një </w:t>
      </w:r>
      <w:r w:rsidRPr="00F014CD">
        <w:rPr>
          <w:rFonts w:eastAsia="Times New Roman"/>
          <w:i/>
          <w:iCs/>
          <w:lang w:val="sq-AL"/>
        </w:rPr>
        <w:t>“gjykatë</w:t>
      </w:r>
      <w:r w:rsidRPr="00F014CD">
        <w:rPr>
          <w:rFonts w:eastAsia="Times New Roman"/>
          <w:lang w:val="sq-AL"/>
        </w:rPr>
        <w:t xml:space="preserve"> </w:t>
      </w:r>
      <w:r w:rsidRPr="00F014CD">
        <w:rPr>
          <w:rFonts w:eastAsia="Times New Roman"/>
          <w:i/>
          <w:iCs/>
          <w:lang w:val="sq-AL"/>
        </w:rPr>
        <w:t>e caktuar me ligj”</w:t>
      </w:r>
      <w:r w:rsidRPr="00F014CD">
        <w:rPr>
          <w:rFonts w:eastAsia="Times New Roman"/>
          <w:lang w:val="sq-AL"/>
        </w:rPr>
        <w:t>. Ky element karakterizohet, në sensin material, nga funksioni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w:t>
      </w:r>
      <w:r>
        <w:rPr>
          <w:rFonts w:eastAsia="Times New Roman"/>
          <w:lang w:val="sq-AL"/>
        </w:rPr>
        <w:t>’</w:t>
      </w:r>
      <w:r w:rsidRPr="00F014CD">
        <w:rPr>
          <w:rFonts w:eastAsia="Times New Roman"/>
          <w:lang w:val="sq-AL"/>
        </w:rPr>
        <w:t>u dëgjuar në seancë përpara një gjykate kompetente dhe të caktuar me ligj nënkupton që gjykata të ketë juridiksion për të gjykuar çështjen dhe që kompetenca për të vendosur për të t</w:t>
      </w:r>
      <w:r>
        <w:rPr>
          <w:rFonts w:eastAsia="Times New Roman"/>
          <w:lang w:val="sq-AL"/>
        </w:rPr>
        <w:t>’</w:t>
      </w:r>
      <w:r w:rsidRPr="00F014CD">
        <w:rPr>
          <w:rFonts w:eastAsia="Times New Roman"/>
          <w:lang w:val="sq-AL"/>
        </w:rPr>
        <w:t xml:space="preserve">i jetë njohur nëpërmjet ligjit </w:t>
      </w:r>
      <w:r w:rsidRPr="00F014CD">
        <w:rPr>
          <w:rFonts w:eastAsia="Times New Roman"/>
          <w:i/>
          <w:iCs/>
          <w:lang w:val="sq-AL"/>
        </w:rPr>
        <w:t xml:space="preserve">(shih vendimin </w:t>
      </w:r>
      <w:r>
        <w:rPr>
          <w:rFonts w:eastAsia="Times New Roman"/>
          <w:i/>
          <w:iCs/>
          <w:lang w:val="sq-AL"/>
        </w:rPr>
        <w:t>nr. 40, datë 25.</w:t>
      </w:r>
      <w:r w:rsidRPr="00F014CD">
        <w:rPr>
          <w:rFonts w:eastAsia="Times New Roman"/>
          <w:i/>
          <w:iCs/>
          <w:lang w:val="sq-AL"/>
        </w:rPr>
        <w:t>6.2015 të Gjykatës Kushtetuese)</w:t>
      </w:r>
      <w:r w:rsidRPr="00F014CD">
        <w:rPr>
          <w:rFonts w:eastAsia="Times New Roman"/>
          <w:lang w:val="sq-AL"/>
        </w:rPr>
        <w:t xml:space="preserve">. </w:t>
      </w:r>
    </w:p>
    <w:p w:rsidR="006F5479" w:rsidRPr="00F014CD" w:rsidRDefault="006F5479" w:rsidP="006F5479">
      <w:pPr>
        <w:pStyle w:val="Paragrafi"/>
        <w:rPr>
          <w:rFonts w:eastAsia="Times New Roman"/>
          <w:bCs/>
          <w:lang w:val="sq-AL"/>
        </w:rPr>
      </w:pPr>
      <w:r w:rsidRPr="00F014CD">
        <w:rPr>
          <w:rFonts w:eastAsia="Times New Roman"/>
          <w:bCs/>
          <w:lang w:val="sq-AL"/>
        </w:rPr>
        <w:t>35. Në rastin konkret, Gjykata Administrative e Apelit ka gjykuar një mosmarrëveshje që ka lindur nga një akt administrativ, duke u bazuar në Kodin e Procedurave Administrative dhe</w:t>
      </w:r>
      <w:r>
        <w:rPr>
          <w:rFonts w:eastAsia="Times New Roman"/>
          <w:bCs/>
          <w:lang w:val="sq-AL"/>
        </w:rPr>
        <w:t xml:space="preserve"> </w:t>
      </w:r>
      <w:r w:rsidRPr="00F014CD">
        <w:rPr>
          <w:rFonts w:eastAsia="Times New Roman"/>
          <w:bCs/>
          <w:lang w:val="sq-AL"/>
        </w:rPr>
        <w:t>ligjin për gjykatat administrative. Sipas këtij kuadri ligjor, kjo lloj mosmarrëveshjeje është në kompetencën lëndore të Gjykatës Administrative të Apelit. Për pasojë, Gjykata vlerëson se pretendimi i kërkuesit se Gjykata Administrative e Apelit ka tejkaluar kompetencat e saj nuk është i bazuar.</w:t>
      </w:r>
      <w:r>
        <w:rPr>
          <w:rFonts w:eastAsia="Times New Roman"/>
          <w:bCs/>
          <w:lang w:val="sq-AL"/>
        </w:rPr>
        <w:t xml:space="preserve"> </w:t>
      </w:r>
    </w:p>
    <w:p w:rsidR="006F5479" w:rsidRPr="00F014CD" w:rsidRDefault="006F5479" w:rsidP="006F5479">
      <w:pPr>
        <w:pStyle w:val="Paragrafi"/>
        <w:rPr>
          <w:rFonts w:eastAsia="Times New Roman"/>
          <w:bCs/>
          <w:lang w:val="sq-AL"/>
        </w:rPr>
      </w:pPr>
      <w:r w:rsidRPr="00F014CD">
        <w:rPr>
          <w:rFonts w:eastAsia="Times New Roman"/>
          <w:bCs/>
          <w:i/>
          <w:lang w:val="sq-AL"/>
        </w:rPr>
        <w:t>ç) Për pretendimin mbi mungesën e arsyetimit të vendimit gjyqësor</w:t>
      </w:r>
    </w:p>
    <w:p w:rsidR="006F5479" w:rsidRPr="00F014CD" w:rsidRDefault="006F5479" w:rsidP="006F5479">
      <w:pPr>
        <w:pStyle w:val="Paragrafi"/>
        <w:rPr>
          <w:rFonts w:eastAsia="Times New Roman"/>
          <w:bCs/>
          <w:lang w:val="sq-AL"/>
        </w:rPr>
      </w:pPr>
      <w:r w:rsidRPr="00F014CD">
        <w:rPr>
          <w:rFonts w:eastAsia="Times New Roman"/>
          <w:bCs/>
          <w:lang w:val="sq-AL"/>
        </w:rPr>
        <w:t>36.</w:t>
      </w:r>
      <w:r>
        <w:rPr>
          <w:rFonts w:eastAsia="Times New Roman"/>
          <w:bCs/>
          <w:lang w:val="sq-AL"/>
        </w:rPr>
        <w:t xml:space="preserve"> </w:t>
      </w:r>
      <w:r w:rsidRPr="00F014CD">
        <w:rPr>
          <w:rFonts w:eastAsia="Times New Roman"/>
          <w:bCs/>
          <w:lang w:val="sq-AL"/>
        </w:rPr>
        <w:t xml:space="preserve">Kërkuesi pretendon se Gjykata e Apelit ka cenuar standardin kushtetues të arsyetimit të </w:t>
      </w:r>
      <w:r w:rsidRPr="00F014CD">
        <w:rPr>
          <w:rFonts w:eastAsia="Times New Roman"/>
          <w:bCs/>
          <w:lang w:val="sq-AL"/>
        </w:rPr>
        <w:lastRenderedPageBreak/>
        <w:t>vendimit. Ajo nuk ka hetuar nëse procedurat e shpronësimit në rastin konkret kanë qenë të ligjshme dhe në interes publik, duke dhënë kështu një vendim të paargumentuar dhe të paarsyetuar.</w:t>
      </w:r>
    </w:p>
    <w:p w:rsidR="006F5479" w:rsidRPr="00F014CD" w:rsidRDefault="006F5479" w:rsidP="006F5479">
      <w:pPr>
        <w:pStyle w:val="Paragrafi"/>
        <w:rPr>
          <w:rFonts w:eastAsia="Times New Roman"/>
          <w:bCs/>
          <w:lang w:val="sq-AL"/>
        </w:rPr>
      </w:pPr>
      <w:r w:rsidRPr="00F014CD">
        <w:rPr>
          <w:rFonts w:eastAsia="Times New Roman"/>
          <w:lang w:val="sq-AL"/>
        </w:rPr>
        <w:t xml:space="preserve">37.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F014CD">
        <w:rPr>
          <w:lang w:val="sq-AL"/>
        </w:rPr>
        <w:t>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w:t>
      </w:r>
      <w:r w:rsidRPr="00F014CD">
        <w:rPr>
          <w:i/>
          <w:lang w:val="sq-AL"/>
        </w:rPr>
        <w:t>shih vendimet</w:t>
      </w:r>
      <w:r w:rsidRPr="00F014CD">
        <w:rPr>
          <w:bCs/>
          <w:i/>
          <w:lang w:val="sq-AL"/>
        </w:rPr>
        <w:t xml:space="preserve"> </w:t>
      </w:r>
      <w:r>
        <w:rPr>
          <w:bCs/>
          <w:i/>
          <w:lang w:val="sq-AL"/>
        </w:rPr>
        <w:t>nr. 27, datë 22.</w:t>
      </w:r>
      <w:r w:rsidRPr="00F014CD">
        <w:rPr>
          <w:bCs/>
          <w:i/>
          <w:lang w:val="sq-AL"/>
        </w:rPr>
        <w:t>5.2015;</w:t>
      </w:r>
      <w:r w:rsidRPr="00F014CD">
        <w:rPr>
          <w:i/>
          <w:lang w:val="sq-AL"/>
        </w:rPr>
        <w:t xml:space="preserve"> </w:t>
      </w:r>
      <w:r>
        <w:rPr>
          <w:i/>
          <w:lang w:val="sq-AL"/>
        </w:rPr>
        <w:t>nr. 8, datë 16.</w:t>
      </w:r>
      <w:r w:rsidRPr="00F014CD">
        <w:rPr>
          <w:i/>
          <w:lang w:val="sq-AL"/>
        </w:rPr>
        <w:t xml:space="preserve">3.2011 të Gjykatës Kushtetuese). </w:t>
      </w:r>
      <w:r w:rsidRPr="00F014CD">
        <w:rPr>
          <w:lang w:val="sq-AL"/>
        </w:rPr>
        <w:t>Zbatimi i këtij parimi është vlerësuar nga Gjykata rast pas rasti, duke analizuar nëse vendimet gjyqësore të kundërshtuara e kanë përmbushur në mënyrë të mjaftueshme detyrimin për arsyetimin e vendimeve të tyre, në përputhje me standardet e zhvilluara nga jurisprudenca kushtetuese (</w:t>
      </w:r>
      <w:r w:rsidRPr="00F014CD">
        <w:rPr>
          <w:i/>
          <w:lang w:val="sq-AL"/>
        </w:rPr>
        <w:t xml:space="preserve">shih vendimin </w:t>
      </w:r>
      <w:r>
        <w:rPr>
          <w:i/>
          <w:lang w:val="sq-AL"/>
        </w:rPr>
        <w:t>nr. 12, datë 19.</w:t>
      </w:r>
      <w:r w:rsidRPr="00F014CD">
        <w:rPr>
          <w:i/>
          <w:lang w:val="sq-AL"/>
        </w:rPr>
        <w:t xml:space="preserve">3.2015 të Gjykatës Kushtetuese). </w:t>
      </w:r>
      <w:r w:rsidRPr="00F014CD">
        <w:rPr>
          <w:rFonts w:eastAsia="Times New Roman"/>
          <w:lang w:val="sq-AL" w:eastAsia="sq-AL"/>
        </w:rPr>
        <w:t>Sidoqoftë, detyrimi për arsyetimin e vendimit gjyqësor nuk mund të interpretohet sikur kërkohet arsyetim i detajuar për çdo pretendim të palëve ndërgjyqëse, por ai varet nga natyra e vendimit në fjalë (</w:t>
      </w:r>
      <w:r w:rsidRPr="00F014CD">
        <w:rPr>
          <w:rFonts w:eastAsia="Times New Roman"/>
          <w:i/>
          <w:lang w:val="sq-AL" w:eastAsia="sq-AL"/>
        </w:rPr>
        <w:t xml:space="preserve">shih vendimet </w:t>
      </w:r>
      <w:r>
        <w:rPr>
          <w:rFonts w:eastAsia="Times New Roman"/>
          <w:i/>
          <w:lang w:val="sq-AL" w:eastAsia="sq-AL"/>
        </w:rPr>
        <w:t>nr. 28, datë 28.</w:t>
      </w:r>
      <w:r w:rsidRPr="00F014CD">
        <w:rPr>
          <w:rFonts w:eastAsia="Times New Roman"/>
          <w:i/>
          <w:lang w:val="sq-AL" w:eastAsia="sq-AL"/>
        </w:rPr>
        <w:t xml:space="preserve">5.2015; </w:t>
      </w:r>
      <w:r>
        <w:rPr>
          <w:rFonts w:eastAsia="Times New Roman"/>
          <w:i/>
          <w:lang w:val="sq-AL" w:eastAsia="sq-AL"/>
        </w:rPr>
        <w:t>nr. 36, datë 26.</w:t>
      </w:r>
      <w:r w:rsidRPr="00F014CD">
        <w:rPr>
          <w:rFonts w:eastAsia="Times New Roman"/>
          <w:i/>
          <w:lang w:val="sq-AL" w:eastAsia="sq-AL"/>
        </w:rPr>
        <w:t>7.2011 të Gjykatës Kushtetuese</w:t>
      </w:r>
      <w:r w:rsidRPr="00F014CD">
        <w:rPr>
          <w:rFonts w:eastAsia="Times New Roman"/>
          <w:lang w:val="sq-AL" w:eastAsia="sq-AL"/>
        </w:rPr>
        <w:t>).</w:t>
      </w:r>
    </w:p>
    <w:p w:rsidR="006F5479" w:rsidRDefault="006F5479" w:rsidP="006F5479">
      <w:pPr>
        <w:pStyle w:val="Paragrafi"/>
        <w:rPr>
          <w:lang w:val="sq-AL"/>
        </w:rPr>
      </w:pPr>
    </w:p>
    <w:p w:rsidR="006F5479" w:rsidRPr="00F014CD" w:rsidRDefault="006F5479" w:rsidP="006F5479">
      <w:pPr>
        <w:pStyle w:val="Paragrafi"/>
        <w:rPr>
          <w:rFonts w:eastAsia="Times New Roman"/>
          <w:bCs/>
          <w:lang w:val="sq-AL"/>
        </w:rPr>
      </w:pPr>
      <w:r w:rsidRPr="00F014CD">
        <w:rPr>
          <w:lang w:val="sq-AL"/>
        </w:rPr>
        <w:t xml:space="preserve">38. Gjykata vlerëson se ndryshe nga sa pretendon kërkuesi, Gjykata Administrative e Apelit e ka trajtuar në vendim </w:t>
      </w:r>
      <w:r w:rsidRPr="00F014CD">
        <w:rPr>
          <w:rFonts w:eastAsia="Times New Roman"/>
          <w:bCs/>
          <w:lang w:val="sq-AL"/>
        </w:rPr>
        <w:t xml:space="preserve">objektin e padisë </w:t>
      </w:r>
      <w:r w:rsidRPr="00F014CD">
        <w:rPr>
          <w:lang w:val="sq-AL"/>
        </w:rPr>
        <w:t xml:space="preserve">së paraqitur prej tij dhe ka vlerësuar </w:t>
      </w:r>
      <w:r w:rsidRPr="00F014CD">
        <w:rPr>
          <w:rFonts w:eastAsia="Times New Roman"/>
          <w:bCs/>
          <w:lang w:val="sq-AL"/>
        </w:rPr>
        <w:t xml:space="preserve">të gjitha provat, duke arritur në konkluzionin se “ndërtimet e paditësit nuk janë parashikuara në lejen e ndërtimit, as në akt kolaudim dhe as në lejen e shfrytëzimit dhe si të tilla konsiderohen si ndërtime pa leje". Për pasojë, paditësi nuk mund të kërkojë dëmshpërblim për këtë prishje të bërë nga i padituri”. </w:t>
      </w:r>
      <w:r w:rsidRPr="00F014CD">
        <w:rPr>
          <w:rFonts w:eastAsia="Times New Roman"/>
          <w:lang w:val="sq-AL"/>
        </w:rPr>
        <w:t>Nga përmbajtja në tërësi e vendimit të Gjykatës Administrative të Apelit konstatohet se ky vendim nuk i ka cenuar standardet e jurisprudencës kushtetuese në lidhje me elementet që duhet të përmbajë arsyetimi i vendimit gjyqësor. Për rrjedhojë, Gjykata vlerëson se ky pretendim i kërkuesit është i pabazuar.</w:t>
      </w:r>
      <w:r>
        <w:rPr>
          <w:rFonts w:eastAsia="Times New Roman"/>
          <w:lang w:val="sq-AL"/>
        </w:rPr>
        <w:t xml:space="preserve"> </w:t>
      </w:r>
    </w:p>
    <w:p w:rsidR="006F5479" w:rsidRPr="00F014CD" w:rsidRDefault="006F5479" w:rsidP="006F5479">
      <w:pPr>
        <w:pStyle w:val="Paragrafi"/>
        <w:rPr>
          <w:rFonts w:eastAsia="Times New Roman"/>
          <w:i/>
          <w:lang w:val="sq-AL"/>
        </w:rPr>
      </w:pPr>
      <w:r w:rsidRPr="00F014CD">
        <w:rPr>
          <w:rFonts w:eastAsia="Times New Roman"/>
          <w:i/>
          <w:lang w:val="sq-AL"/>
        </w:rPr>
        <w:t xml:space="preserve">d) Për pretendimin e cenimit të barazisë së armëve në procesin gjyqësor </w:t>
      </w:r>
    </w:p>
    <w:p w:rsidR="006F5479" w:rsidRPr="00F014CD" w:rsidRDefault="006F5479" w:rsidP="006F5479">
      <w:pPr>
        <w:pStyle w:val="Paragrafi"/>
        <w:rPr>
          <w:rFonts w:eastAsia="Times New Roman"/>
          <w:bCs/>
          <w:lang w:val="sq-AL"/>
        </w:rPr>
      </w:pPr>
      <w:r w:rsidRPr="00F014CD">
        <w:rPr>
          <w:rFonts w:eastAsia="Times New Roman"/>
          <w:lang w:val="sq-AL"/>
        </w:rPr>
        <w:t>39. Kërkuesi ka pretenduar se</w:t>
      </w:r>
      <w:r w:rsidRPr="00F014CD">
        <w:rPr>
          <w:rFonts w:eastAsia="Times New Roman"/>
          <w:i/>
          <w:lang w:val="sq-AL"/>
        </w:rPr>
        <w:t xml:space="preserve"> </w:t>
      </w:r>
      <w:r w:rsidRPr="00F014CD">
        <w:rPr>
          <w:rFonts w:eastAsia="Times New Roman"/>
          <w:bCs/>
          <w:lang w:val="sq-AL"/>
        </w:rPr>
        <w:t>Gjykata e Rrethit Gjyqësor Tiranë u ka dhënë prioritet provave të paraqitura nga Bashkia Vorë kundrejt atyre të paraqitura nga kërkuesi. Duke favorizuar kështu palën tjetër, gjykata i ka cenuar atij të drejtën e barazisë së armëve në proces.</w:t>
      </w:r>
    </w:p>
    <w:p w:rsidR="006F5479" w:rsidRPr="00F014CD" w:rsidRDefault="006F5479" w:rsidP="006F5479">
      <w:pPr>
        <w:pStyle w:val="Paragrafi"/>
        <w:rPr>
          <w:rFonts w:eastAsia="Times New Roman"/>
          <w:bCs/>
          <w:lang w:val="sq-AL"/>
        </w:rPr>
      </w:pPr>
      <w:r w:rsidRPr="00F014CD">
        <w:rPr>
          <w:rFonts w:eastAsia="Times New Roman"/>
          <w:bCs/>
          <w:lang w:val="sq-AL"/>
        </w:rPr>
        <w:t>40. Parimi i barazisë së armëve dhe kontradiktoritetit nënkupton se çdokush që është palë në proces duhet të ketë mundësi të barabarta që të paraqesë çështjen e tij dhe se asnjë palë nuk duhet të gëzojë avantazh të konsiderueshëm ndaj palës tjetër, por duhet të përcaktohet një ekuilibër i drejtë mes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F014CD">
        <w:rPr>
          <w:rFonts w:eastAsia="Times New Roman"/>
          <w:bCs/>
          <w:i/>
          <w:lang w:val="sq-AL"/>
        </w:rPr>
        <w:t xml:space="preserve">shih vendimet </w:t>
      </w:r>
      <w:r>
        <w:rPr>
          <w:rFonts w:eastAsia="Times New Roman"/>
          <w:bCs/>
          <w:i/>
          <w:lang w:val="sq-AL"/>
        </w:rPr>
        <w:t>nr. 3, datë 23.</w:t>
      </w:r>
      <w:r w:rsidRPr="00F014CD">
        <w:rPr>
          <w:rFonts w:eastAsia="Times New Roman"/>
          <w:bCs/>
          <w:i/>
          <w:lang w:val="sq-AL"/>
        </w:rPr>
        <w:t xml:space="preserve">1.2014; </w:t>
      </w:r>
      <w:r>
        <w:rPr>
          <w:rFonts w:eastAsia="Times New Roman"/>
          <w:bCs/>
          <w:i/>
          <w:lang w:val="sq-AL"/>
        </w:rPr>
        <w:t>nr. 34, datë 25.</w:t>
      </w:r>
      <w:r w:rsidRPr="00F014CD">
        <w:rPr>
          <w:rFonts w:eastAsia="Times New Roman"/>
          <w:bCs/>
          <w:i/>
          <w:lang w:val="sq-AL"/>
        </w:rPr>
        <w:t xml:space="preserve">7.2011; </w:t>
      </w:r>
      <w:r>
        <w:rPr>
          <w:rFonts w:eastAsia="Times New Roman"/>
          <w:bCs/>
          <w:i/>
          <w:lang w:val="sq-AL"/>
        </w:rPr>
        <w:t>nr. 23, datë 8.</w:t>
      </w:r>
      <w:r w:rsidRPr="00F014CD">
        <w:rPr>
          <w:rFonts w:eastAsia="Times New Roman"/>
          <w:bCs/>
          <w:i/>
          <w:lang w:val="sq-AL"/>
        </w:rPr>
        <w:t>6.2007 të Gjykatës Kushtetuese</w:t>
      </w:r>
      <w:r w:rsidRPr="00F014CD">
        <w:rPr>
          <w:rFonts w:eastAsia="Times New Roman"/>
          <w:bCs/>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41. Në çështjen konkrete vërehet se Gjykata e Rrethit Gjyqësor Tiranë në dhënien e vendimit është bazuar jo vetëm në provat e paraqitura nga subjekti i interesuar, Bashkia Vorë, por edhe në aktet e ekspertimit të kërkuara nga vetë kërkuesi për të provuar dëmin e shkaktuar. Kështu,</w:t>
      </w:r>
      <w:r>
        <w:rPr>
          <w:rFonts w:eastAsia="Times New Roman"/>
          <w:lang w:val="sq-AL"/>
        </w:rPr>
        <w:t xml:space="preserve"> </w:t>
      </w:r>
      <w:r w:rsidRPr="00F014CD">
        <w:rPr>
          <w:rFonts w:eastAsia="Times New Roman"/>
          <w:lang w:val="sq-AL"/>
        </w:rPr>
        <w:t>në a</w:t>
      </w:r>
      <w:r>
        <w:rPr>
          <w:rFonts w:eastAsia="Times New Roman"/>
          <w:lang w:val="sq-AL"/>
        </w:rPr>
        <w:t>ktin e ekspertimit të datës 25.</w:t>
      </w:r>
      <w:r w:rsidRPr="00F014CD">
        <w:rPr>
          <w:rFonts w:eastAsia="Times New Roman"/>
          <w:lang w:val="sq-AL"/>
        </w:rPr>
        <w:t>4.2012 janë pranuar nga ekspertja ndërtimet pa leje të bëra nga kërkuesi. Bazuar në provat e administruara në gjykim dhe ligjin material gjykata ka arritur në konkluzionin se kërkuesit nuk i takon dëmshpërblim për ndërtimet e kryera pa leje.</w:t>
      </w:r>
    </w:p>
    <w:p w:rsidR="006F5479" w:rsidRPr="00F014CD" w:rsidRDefault="006F5479" w:rsidP="006F5479">
      <w:pPr>
        <w:pStyle w:val="Paragrafi"/>
        <w:rPr>
          <w:rFonts w:eastAsia="Times New Roman"/>
          <w:lang w:val="sq-AL"/>
        </w:rPr>
      </w:pPr>
      <w:r w:rsidRPr="00F014CD">
        <w:rPr>
          <w:rFonts w:eastAsia="Times New Roman"/>
          <w:lang w:val="sq-AL"/>
        </w:rPr>
        <w:t>42. Gjykata vlerëson se, nisur nga konstatimet e mësipërme dhe leximi në tërësi i vendimit, nuk rezulton që pretendimi i kërkuesit për cenimin e parimit të barazisë së armëve të jetë i bazuar.</w:t>
      </w:r>
      <w:r>
        <w:rPr>
          <w:rFonts w:eastAsia="Times New Roman"/>
          <w:lang w:val="sq-AL"/>
        </w:rPr>
        <w:t xml:space="preserve"> </w:t>
      </w:r>
    </w:p>
    <w:p w:rsidR="006F5479" w:rsidRPr="00F014CD" w:rsidRDefault="006F5479" w:rsidP="006F5479">
      <w:pPr>
        <w:pStyle w:val="Paragrafi"/>
        <w:rPr>
          <w:rFonts w:eastAsia="Times New Roman"/>
          <w:i/>
          <w:lang w:val="sq-AL"/>
        </w:rPr>
      </w:pPr>
      <w:r w:rsidRPr="00F014CD">
        <w:rPr>
          <w:rFonts w:eastAsia="Times New Roman"/>
          <w:i/>
          <w:lang w:val="sq-AL"/>
        </w:rPr>
        <w:t xml:space="preserve">e) Për pretendimin e cenimit të së drejtës së pronës dhe paprekshmërisë së banesës </w:t>
      </w:r>
    </w:p>
    <w:p w:rsidR="006F5479" w:rsidRPr="00F10498" w:rsidRDefault="006F5479" w:rsidP="006F5479">
      <w:pPr>
        <w:pStyle w:val="Paragrafi"/>
        <w:rPr>
          <w:rFonts w:eastAsia="Times New Roman"/>
          <w:bCs/>
          <w:spacing w:val="-4"/>
          <w:lang w:val="sq-AL"/>
        </w:rPr>
      </w:pPr>
      <w:r w:rsidRPr="00F10498">
        <w:rPr>
          <w:rFonts w:eastAsia="Times New Roman"/>
          <w:bCs/>
          <w:spacing w:val="-4"/>
          <w:lang w:val="sq-AL"/>
        </w:rPr>
        <w:t xml:space="preserve">43. Kërkuesi ka pretenduar se shqyrtimi i pretendimeve të tij në të gjitha shkallët e gjykimit është bërë në kundërshtim me të drejtën themelore të pronës dhe të paprekshmërisë së banesës. Gjykatat nuk </w:t>
      </w:r>
      <w:r w:rsidRPr="00F10498">
        <w:rPr>
          <w:rFonts w:eastAsia="Times New Roman"/>
          <w:bCs/>
          <w:spacing w:val="-4"/>
          <w:lang w:val="sq-AL"/>
        </w:rPr>
        <w:lastRenderedPageBreak/>
        <w:t xml:space="preserve">gjykuan faktin nëse prishja e pjesës së zgjeruar të kuzhinës, murit rrethues të shtëpisë dhe pusit kishin cenuar të drejtën kushtetuese të kërkuesit për banesë, e cila mbrohet nga neni 8 i KEDNJ-së. Sipas kërkuesit, Gjykata Kushtetuese ka juridiksion </w:t>
      </w:r>
      <w:r w:rsidRPr="00F10498">
        <w:rPr>
          <w:rFonts w:eastAsia="Times New Roman"/>
          <w:bCs/>
          <w:i/>
          <w:spacing w:val="-4"/>
          <w:lang w:val="sq-AL"/>
        </w:rPr>
        <w:t xml:space="preserve">ratione materiae </w:t>
      </w:r>
      <w:r w:rsidRPr="00F10498">
        <w:rPr>
          <w:rFonts w:eastAsia="Times New Roman"/>
          <w:bCs/>
          <w:spacing w:val="-4"/>
          <w:lang w:val="sq-AL"/>
        </w:rPr>
        <w:t xml:space="preserve">për të matur domosdoshmërinë dhe proporcionalitetin e kufizimit të së drejtës së kërkuesit për banesë. </w:t>
      </w:r>
    </w:p>
    <w:p w:rsidR="006F5479" w:rsidRPr="00F10498" w:rsidRDefault="006F5479" w:rsidP="006F5479">
      <w:pPr>
        <w:pStyle w:val="Paragrafi"/>
        <w:rPr>
          <w:rFonts w:eastAsia="Times New Roman"/>
          <w:spacing w:val="-4"/>
          <w:lang w:val="sq-AL"/>
        </w:rPr>
      </w:pPr>
      <w:r w:rsidRPr="00F10498">
        <w:rPr>
          <w:rFonts w:eastAsia="Times New Roman"/>
          <w:spacing w:val="-4"/>
          <w:lang w:val="sq-AL"/>
        </w:rPr>
        <w:t xml:space="preserve">44. Gjykata ka ritheksuar vazhdimisht qëndrimin e saj të konsoliduar se mënyra e vlerësimit të provave dhe mënyra e zbatimit të ligjit material janë, si rregull, atribut i gjykatave të zakonshme, ndërsa detyra e Gjykatës Kushtetuese është të sigurojë nëse procesi në tërësinë e tij, përfshirë edhe mënyrën në të cilën janë marrë provat, ka qenë i rregullt. Roli i saj nuk është të rivlerësojë faktet, zbatimin e ligjit material apo zgjidhjen e dhënë nga gjykatat e zakonshme </w:t>
      </w:r>
      <w:r w:rsidRPr="00F10498">
        <w:rPr>
          <w:rFonts w:eastAsia="Times New Roman"/>
          <w:i/>
          <w:spacing w:val="-4"/>
          <w:lang w:val="sq-AL"/>
        </w:rPr>
        <w:t>(s</w:t>
      </w:r>
      <w:r w:rsidRPr="00F10498">
        <w:rPr>
          <w:rFonts w:eastAsia="Times New Roman"/>
          <w:i/>
          <w:iCs/>
          <w:spacing w:val="-4"/>
          <w:lang w:val="sq-AL"/>
        </w:rPr>
        <w:t xml:space="preserve">hih vendimet nr. 40, datë 25.6.2015; nr. 4, datë 5.2.2014; </w:t>
      </w:r>
      <w:r w:rsidRPr="00F10498">
        <w:rPr>
          <w:rFonts w:eastAsia="Times New Roman"/>
          <w:i/>
          <w:spacing w:val="-4"/>
          <w:lang w:val="sq-AL"/>
        </w:rPr>
        <w:t>nr. 34, datë 12.7.2013 të Gjykatës Kushtetuese).</w:t>
      </w:r>
      <w:r w:rsidRPr="00F10498">
        <w:rPr>
          <w:rFonts w:eastAsia="Times New Roman"/>
          <w:spacing w:val="-4"/>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45. Nisur nga standardet e mësipërme, Gjykata vlerëson se gjykatat e zakonshme u kanë dhënë përgjigje pretendimeve të kërkuesit, të lidhura me</w:t>
      </w:r>
      <w:r>
        <w:rPr>
          <w:rFonts w:eastAsia="Times New Roman"/>
          <w:lang w:val="sq-AL"/>
        </w:rPr>
        <w:t xml:space="preserve"> </w:t>
      </w:r>
      <w:r w:rsidRPr="00F014CD">
        <w:rPr>
          <w:rFonts w:eastAsia="Times New Roman"/>
          <w:lang w:val="sq-AL"/>
        </w:rPr>
        <w:t>cenimin e së drejtës së tij për banesë, pasi vendimi i arsyetuar</w:t>
      </w:r>
      <w:r>
        <w:rPr>
          <w:rFonts w:eastAsia="Times New Roman"/>
          <w:lang w:val="sq-AL"/>
        </w:rPr>
        <w:t xml:space="preserve"> </w:t>
      </w:r>
      <w:r w:rsidRPr="00F014CD">
        <w:rPr>
          <w:rFonts w:eastAsia="Times New Roman"/>
          <w:lang w:val="sq-AL"/>
        </w:rPr>
        <w:t>i gjykatave nga pikëpamja ligjore prezumon kontrollin edhe të standardeve të nenit 8 të KEDNJ-së.</w:t>
      </w:r>
    </w:p>
    <w:p w:rsidR="006F5479" w:rsidRPr="000F181F" w:rsidRDefault="006F5479" w:rsidP="006F5479">
      <w:pPr>
        <w:pStyle w:val="Paragrafi"/>
        <w:ind w:firstLine="0"/>
        <w:rPr>
          <w:rFonts w:eastAsia="Times New Roman"/>
          <w:b/>
          <w:bCs/>
          <w:sz w:val="14"/>
          <w:lang w:val="sq-AL"/>
        </w:rPr>
      </w:pPr>
    </w:p>
    <w:p w:rsidR="006F5479" w:rsidRPr="00F014CD" w:rsidRDefault="006F5479" w:rsidP="006F5479">
      <w:pPr>
        <w:pStyle w:val="NeniNr"/>
        <w:rPr>
          <w:lang w:val="sq-AL"/>
        </w:rPr>
      </w:pPr>
      <w:r w:rsidRPr="00F014CD">
        <w:rPr>
          <w:lang w:val="sq-AL"/>
        </w:rPr>
        <w:t>PËR KËTO ARSYE,</w:t>
      </w:r>
    </w:p>
    <w:p w:rsidR="006F5479" w:rsidRPr="000F181F" w:rsidRDefault="006F5479" w:rsidP="006F5479">
      <w:pPr>
        <w:pStyle w:val="Paragrafi"/>
        <w:rPr>
          <w:rFonts w:eastAsia="Times New Roman"/>
          <w:sz w:val="14"/>
          <w:lang w:val="sq-AL"/>
        </w:rPr>
      </w:pPr>
    </w:p>
    <w:p w:rsidR="006F5479" w:rsidRPr="00F014CD" w:rsidRDefault="006F5479" w:rsidP="006F5479">
      <w:pPr>
        <w:pStyle w:val="Paragrafi"/>
        <w:rPr>
          <w:rFonts w:eastAsia="Times New Roman"/>
          <w:lang w:val="sq-AL"/>
        </w:rPr>
      </w:pPr>
      <w:r w:rsidRPr="00F014CD">
        <w:rPr>
          <w:rFonts w:eastAsia="Times New Roman"/>
          <w:bCs/>
          <w:lang w:val="sq-AL"/>
        </w:rPr>
        <w:t xml:space="preserve">Gjykata Kushtetuese e Republikës së Shqipërisë, duke u bazuar në nenet </w:t>
      </w:r>
      <w:r w:rsidRPr="00F014CD">
        <w:rPr>
          <w:rFonts w:eastAsia="Times New Roman"/>
          <w:lang w:val="sq-AL"/>
        </w:rPr>
        <w:t>131/1/f dhe 134/1/i, si dhe në nenet 71, 72 e vijues</w:t>
      </w:r>
      <w:r>
        <w:rPr>
          <w:rFonts w:eastAsia="Times New Roman"/>
          <w:lang w:val="sq-AL"/>
        </w:rPr>
        <w:t>e</w:t>
      </w:r>
      <w:r w:rsidRPr="00F014CD">
        <w:rPr>
          <w:rFonts w:eastAsia="Times New Roman"/>
          <w:lang w:val="sq-AL"/>
        </w:rPr>
        <w:t xml:space="preserve"> </w:t>
      </w:r>
      <w:r w:rsidRPr="00F014CD">
        <w:rPr>
          <w:rFonts w:eastAsia="Times New Roman"/>
          <w:bCs/>
          <w:lang w:val="sq-AL"/>
        </w:rPr>
        <w:t xml:space="preserve">të ligjit </w:t>
      </w:r>
      <w:r>
        <w:rPr>
          <w:rFonts w:eastAsia="Times New Roman"/>
          <w:bCs/>
          <w:lang w:val="sq-AL"/>
        </w:rPr>
        <w:t>nr. 8577, datë 10.</w:t>
      </w:r>
      <w:r w:rsidRPr="00F014CD">
        <w:rPr>
          <w:rFonts w:eastAsia="Times New Roman"/>
          <w:bCs/>
          <w:lang w:val="sq-AL"/>
        </w:rPr>
        <w:t>2.2000</w:t>
      </w:r>
      <w:r>
        <w:rPr>
          <w:rFonts w:eastAsia="Times New Roman"/>
          <w:bCs/>
          <w:lang w:val="sq-AL"/>
        </w:rPr>
        <w:t>,</w:t>
      </w:r>
      <w:r w:rsidRPr="00F014CD">
        <w:rPr>
          <w:rFonts w:eastAsia="Times New Roman"/>
          <w:bCs/>
          <w:lang w:val="sq-AL"/>
        </w:rPr>
        <w:t xml:space="preserve"> “Për organizimin dhe funksionimin e Gjykatës Kushtetuese të Republikës së Shqipërisë”, me shumicë votash,</w:t>
      </w:r>
    </w:p>
    <w:p w:rsidR="006F5479" w:rsidRPr="00F014CD" w:rsidRDefault="006F5479" w:rsidP="006F5479">
      <w:pPr>
        <w:pStyle w:val="Paragrafi"/>
        <w:rPr>
          <w:rFonts w:eastAsia="Times New Roman"/>
          <w:lang w:val="sq-AL"/>
        </w:rPr>
      </w:pPr>
    </w:p>
    <w:p w:rsidR="006F5479" w:rsidRPr="00F014CD" w:rsidRDefault="006F5479" w:rsidP="006F5479">
      <w:pPr>
        <w:pStyle w:val="NeniNr"/>
        <w:rPr>
          <w:lang w:val="sq-AL"/>
        </w:rPr>
      </w:pPr>
      <w:r w:rsidRPr="00F014CD">
        <w:rPr>
          <w:lang w:val="sq-AL"/>
        </w:rPr>
        <w:t>VENDOSI:</w:t>
      </w:r>
    </w:p>
    <w:p w:rsidR="006F5479" w:rsidRPr="000F181F" w:rsidRDefault="006F5479" w:rsidP="006F5479">
      <w:pPr>
        <w:pStyle w:val="Paragrafi"/>
        <w:rPr>
          <w:rFonts w:eastAsia="Times New Roman"/>
          <w:sz w:val="14"/>
          <w:lang w:val="sq-AL"/>
        </w:rPr>
      </w:pPr>
    </w:p>
    <w:p w:rsidR="006F5479" w:rsidRPr="00F014CD" w:rsidRDefault="006F5479" w:rsidP="006F5479">
      <w:pPr>
        <w:pStyle w:val="Paragrafi"/>
        <w:rPr>
          <w:rFonts w:eastAsia="Times New Roman"/>
          <w:lang w:val="sq-AL"/>
        </w:rPr>
      </w:pPr>
      <w:r w:rsidRPr="00F014CD">
        <w:rPr>
          <w:rFonts w:eastAsia="Times New Roman"/>
          <w:lang w:val="sq-AL"/>
        </w:rPr>
        <w:t>- Pranimin pjesërisht të kërkesës.</w:t>
      </w:r>
    </w:p>
    <w:p w:rsidR="006F5479" w:rsidRPr="00F014CD" w:rsidRDefault="006F5479" w:rsidP="006F5479">
      <w:pPr>
        <w:pStyle w:val="Paragrafi"/>
        <w:rPr>
          <w:rFonts w:eastAsia="Times New Roman"/>
          <w:lang w:val="sq-AL"/>
        </w:rPr>
      </w:pPr>
      <w:r w:rsidRPr="00F014CD">
        <w:rPr>
          <w:rFonts w:eastAsia="Times New Roman"/>
          <w:lang w:val="sq-AL"/>
        </w:rPr>
        <w:t xml:space="preserve">- Konstatimin e cenimit të së drejtës kushtetuese për një proces të rregullt ligjor si rezultat i mosgjykimit të çështjes në Kolegjin Administrativ të Gjykatës së Lartë brenda një afati të arsyeshëm. </w:t>
      </w:r>
    </w:p>
    <w:p w:rsidR="006F5479" w:rsidRPr="00F014CD" w:rsidRDefault="006F5479" w:rsidP="006F5479">
      <w:pPr>
        <w:pStyle w:val="Paragrafi"/>
        <w:rPr>
          <w:rFonts w:eastAsia="Times New Roman"/>
          <w:lang w:val="sq-AL"/>
        </w:rPr>
      </w:pPr>
      <w:r w:rsidRPr="00F014CD">
        <w:rPr>
          <w:rFonts w:eastAsia="Times New Roman"/>
          <w:lang w:val="sq-AL"/>
        </w:rPr>
        <w:t>- Rrëzimin e kërkesës për kërkimet e tjera.</w:t>
      </w:r>
      <w:r w:rsidRPr="00F014CD">
        <w:rPr>
          <w:rFonts w:eastAsia="Times New Roman"/>
          <w:lang w:val="sq-AL"/>
        </w:rPr>
        <w:tab/>
      </w:r>
    </w:p>
    <w:p w:rsidR="006F5479" w:rsidRDefault="006F5479" w:rsidP="006F5479">
      <w:pPr>
        <w:pStyle w:val="Paragrafi"/>
        <w:rPr>
          <w:rFonts w:eastAsia="Times New Roman"/>
          <w:lang w:val="sq-AL"/>
        </w:rPr>
      </w:pPr>
      <w:r w:rsidRPr="00F014CD">
        <w:rPr>
          <w:rFonts w:eastAsia="Times New Roman"/>
          <w:lang w:val="sq-AL"/>
        </w:rPr>
        <w:t xml:space="preserve">Ky vendim është përfundimtar, i formës së prerë dhe hyn në fuqi ditën </w:t>
      </w:r>
      <w:r>
        <w:rPr>
          <w:rFonts w:eastAsia="Times New Roman"/>
          <w:lang w:val="sq-AL"/>
        </w:rPr>
        <w:t xml:space="preserve">e botimit në Fletoren Zyrtare. </w:t>
      </w:r>
    </w:p>
    <w:p w:rsidR="006F5479" w:rsidRPr="0014044F" w:rsidRDefault="006F5479" w:rsidP="006F5479">
      <w:pPr>
        <w:pStyle w:val="Paragrafi"/>
        <w:rPr>
          <w:rFonts w:eastAsia="Times New Roman"/>
          <w:sz w:val="14"/>
          <w:lang w:val="sq-AL"/>
        </w:rPr>
      </w:pPr>
    </w:p>
    <w:p w:rsidR="006F5479" w:rsidRPr="00F10498" w:rsidRDefault="006F5479" w:rsidP="006F5479">
      <w:pPr>
        <w:widowControl w:val="0"/>
        <w:spacing w:after="0" w:line="240" w:lineRule="auto"/>
        <w:rPr>
          <w:rFonts w:ascii="Garamond" w:eastAsia="Times New Roman" w:hAnsi="Garamond" w:cs="CG Times"/>
          <w:sz w:val="24"/>
          <w:lang w:val="sq-AL"/>
        </w:rPr>
      </w:pPr>
      <w:r w:rsidRPr="00F10498">
        <w:rPr>
          <w:rFonts w:ascii="Garamond" w:eastAsia="Times New Roman" w:hAnsi="Garamond" w:cs="CG Times"/>
          <w:spacing w:val="-4"/>
          <w:sz w:val="24"/>
          <w:lang w:val="sq-AL"/>
        </w:rPr>
        <w:t xml:space="preserve">Anëtarë: Bashkim Dedja (kryetar), Gani Dizdari, Fatmir Hoxha, Fatos Lulo, </w:t>
      </w:r>
      <w:r w:rsidRPr="00F10498">
        <w:rPr>
          <w:rFonts w:ascii="Garamond" w:eastAsia="Times New Roman" w:hAnsi="Garamond" w:cs="CG Times"/>
          <w:spacing w:val="-4"/>
          <w:sz w:val="24"/>
          <w:lang w:val="sq-AL"/>
        </w:rPr>
        <w:tab/>
        <w:t>Besnik Imeraj</w:t>
      </w:r>
    </w:p>
    <w:p w:rsidR="006F5479" w:rsidRPr="00F014CD" w:rsidRDefault="006F5479" w:rsidP="006F5479">
      <w:pPr>
        <w:pStyle w:val="Paragrafi"/>
        <w:rPr>
          <w:rFonts w:eastAsia="Times New Roman"/>
          <w:lang w:val="sq-AL"/>
        </w:rPr>
      </w:pPr>
      <w:r w:rsidRPr="00F014CD">
        <w:rPr>
          <w:rFonts w:eastAsia="Times New Roman"/>
          <w:lang w:val="sq-AL"/>
        </w:rPr>
        <w:t>Anëtar</w:t>
      </w:r>
      <w:r>
        <w:rPr>
          <w:rFonts w:eastAsia="Times New Roman"/>
          <w:lang w:val="sq-AL"/>
        </w:rPr>
        <w:t>e</w:t>
      </w:r>
      <w:r w:rsidRPr="00F014CD">
        <w:rPr>
          <w:rFonts w:eastAsia="Times New Roman"/>
          <w:lang w:val="sq-AL"/>
        </w:rPr>
        <w:t xml:space="preserve"> pjesërisht kundër: Vitore Tusha</w:t>
      </w:r>
    </w:p>
    <w:p w:rsidR="006F5479" w:rsidRPr="000F181F" w:rsidRDefault="006F5479" w:rsidP="006F5479">
      <w:pPr>
        <w:pStyle w:val="Paragrafi"/>
        <w:rPr>
          <w:rFonts w:eastAsia="Times New Roman"/>
          <w:sz w:val="14"/>
          <w:lang w:val="sq-AL"/>
        </w:rPr>
      </w:pPr>
    </w:p>
    <w:p w:rsidR="006F5479" w:rsidRPr="00F014CD" w:rsidRDefault="006F5479" w:rsidP="006F5479">
      <w:pPr>
        <w:pStyle w:val="NeniNr"/>
        <w:rPr>
          <w:lang w:val="sq-AL"/>
        </w:rPr>
      </w:pPr>
      <w:r w:rsidRPr="00F014CD">
        <w:rPr>
          <w:lang w:val="sq-AL"/>
        </w:rPr>
        <w:t>MENDIM PAKICE</w:t>
      </w:r>
    </w:p>
    <w:p w:rsidR="006F5479" w:rsidRPr="000F181F" w:rsidRDefault="006F5479" w:rsidP="006F5479">
      <w:pPr>
        <w:pStyle w:val="Paragrafi"/>
        <w:rPr>
          <w:rFonts w:eastAsia="Times New Roman"/>
          <w:sz w:val="14"/>
          <w:lang w:val="sq-AL"/>
        </w:rPr>
      </w:pPr>
    </w:p>
    <w:p w:rsidR="006F5479" w:rsidRPr="00F014CD" w:rsidRDefault="006F5479" w:rsidP="006F5479">
      <w:pPr>
        <w:pStyle w:val="Paragrafi"/>
        <w:rPr>
          <w:rFonts w:eastAsia="Times New Roman"/>
          <w:lang w:val="sq-AL"/>
        </w:rPr>
      </w:pPr>
      <w:r w:rsidRPr="00F014CD">
        <w:rPr>
          <w:rFonts w:eastAsia="Times New Roman"/>
          <w:lang w:val="sq-AL"/>
        </w:rPr>
        <w:t>1. Për arsye se nuk ndaj të njëjtin qëndrim me shumicën, pjesërisht, lidhur me përfundimin e arritur sa i përket nenit 8 të KEDNJ-së, e çmoj të rëndësishme të shprehem me mendim pakice.</w:t>
      </w:r>
      <w:r>
        <w:rPr>
          <w:rFonts w:eastAsia="Times New Roman"/>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2. Siç rezulton nga vendimi,</w:t>
      </w:r>
      <w:r>
        <w:rPr>
          <w:rFonts w:eastAsia="Times New Roman"/>
          <w:lang w:val="sq-AL"/>
        </w:rPr>
        <w:t xml:space="preserve"> </w:t>
      </w:r>
      <w:r w:rsidRPr="00F014CD">
        <w:rPr>
          <w:rFonts w:eastAsia="Times New Roman"/>
          <w:lang w:val="sq-AL"/>
        </w:rPr>
        <w:t>kërkuesi ka pretenduar: “</w:t>
      </w:r>
      <w:r w:rsidRPr="00F014CD">
        <w:rPr>
          <w:rFonts w:eastAsia="Times New Roman"/>
          <w:bCs/>
          <w:lang w:val="sq-AL"/>
        </w:rPr>
        <w:t>Gjykata</w:t>
      </w:r>
      <w:r>
        <w:rPr>
          <w:rFonts w:eastAsia="Times New Roman"/>
          <w:bCs/>
          <w:lang w:val="sq-AL"/>
        </w:rPr>
        <w:t xml:space="preserve"> </w:t>
      </w:r>
      <w:r w:rsidRPr="00F014CD">
        <w:rPr>
          <w:rFonts w:eastAsia="Times New Roman"/>
          <w:bCs/>
          <w:lang w:val="sq-AL"/>
        </w:rPr>
        <w:t xml:space="preserve">Kushtetuese ka juridiksion </w:t>
      </w:r>
      <w:r w:rsidRPr="00F014CD">
        <w:rPr>
          <w:rFonts w:eastAsia="Times New Roman"/>
          <w:bCs/>
          <w:i/>
          <w:lang w:val="sq-AL"/>
        </w:rPr>
        <w:t xml:space="preserve">ratione materiae </w:t>
      </w:r>
      <w:r w:rsidRPr="00F014CD">
        <w:rPr>
          <w:rFonts w:eastAsia="Times New Roman"/>
          <w:bCs/>
          <w:lang w:val="sq-AL"/>
        </w:rPr>
        <w:t>për të matur domosdoshmërinë dhe proporcionalitetin e kufizimit të së drejtës së kërkuesit për banesë. Bazuar në nenin 17/2 të Kushtetutës, Gjykata Kushtetuese duhet të orientohet nga jurisprudenca e GJEDNJ-së lidhur me kufijtë e lejueshëm të ndërhyrjes në të drejtën themelore të kërkuesit për banesë. Në rastin konkret, gjykatat duhet të kishin hetuar nëse kalimi i rrugës, përmes shtëpisë së kërkuesit ishte e vetmja mundësi për t</w:t>
      </w:r>
      <w:r>
        <w:rPr>
          <w:rFonts w:eastAsia="Times New Roman"/>
          <w:bCs/>
          <w:lang w:val="sq-AL"/>
        </w:rPr>
        <w:t>’</w:t>
      </w:r>
      <w:r w:rsidRPr="00F014CD">
        <w:rPr>
          <w:rFonts w:eastAsia="Times New Roman"/>
          <w:bCs/>
          <w:lang w:val="sq-AL"/>
        </w:rPr>
        <w:t>i shërbyer interesit të përgjithshëm, apo ekzistonin dhe alternativa të tjera për këtë qëllim. Ky lloj hetimi do të përcaktonte dhe llojin e legjislacionit për aplikim mbi dëmshpërblimin” (</w:t>
      </w:r>
      <w:r w:rsidRPr="00F014CD">
        <w:rPr>
          <w:rFonts w:eastAsia="Times New Roman"/>
          <w:bCs/>
          <w:i/>
          <w:lang w:val="sq-AL"/>
        </w:rPr>
        <w:t>prg. 5, pretendimi 5.6. i vendimit</w:t>
      </w:r>
      <w:r w:rsidRPr="00F014CD">
        <w:rPr>
          <w:rFonts w:eastAsia="Times New Roman"/>
          <w:bCs/>
          <w:lang w:val="sq-AL"/>
        </w:rPr>
        <w:t>).</w:t>
      </w:r>
    </w:p>
    <w:p w:rsidR="006F5479" w:rsidRPr="00F014CD" w:rsidRDefault="006F5479" w:rsidP="006F5479">
      <w:pPr>
        <w:pStyle w:val="Paragrafi"/>
        <w:rPr>
          <w:rFonts w:eastAsia="Times New Roman"/>
          <w:lang w:val="sq-AL"/>
        </w:rPr>
      </w:pPr>
      <w:r w:rsidRPr="00F014CD">
        <w:rPr>
          <w:rFonts w:eastAsia="Times New Roman"/>
          <w:lang w:val="sq-AL"/>
        </w:rPr>
        <w:t>3. Shumica ka analizuar pretendimin e sipërcituar, duke u shprehur se “Gjykata vlerëson se gjykatat e zakonshme u kanë dhënë përgjigje pretendimeve të kërkuesit, të lidhura me</w:t>
      </w:r>
      <w:r>
        <w:rPr>
          <w:rFonts w:eastAsia="Times New Roman"/>
          <w:lang w:val="sq-AL"/>
        </w:rPr>
        <w:t xml:space="preserve"> </w:t>
      </w:r>
      <w:r w:rsidRPr="00F014CD">
        <w:rPr>
          <w:rFonts w:eastAsia="Times New Roman"/>
          <w:lang w:val="sq-AL"/>
        </w:rPr>
        <w:t>cenimin e së drejtës së tij për banesë, pasi vendimi i arsyetuar</w:t>
      </w:r>
      <w:r>
        <w:rPr>
          <w:rFonts w:eastAsia="Times New Roman"/>
          <w:lang w:val="sq-AL"/>
        </w:rPr>
        <w:t xml:space="preserve"> </w:t>
      </w:r>
      <w:r w:rsidRPr="00F014CD">
        <w:rPr>
          <w:rFonts w:eastAsia="Times New Roman"/>
          <w:lang w:val="sq-AL"/>
        </w:rPr>
        <w:t>i gjykatave nga pikëpamja ligjore prezumon kontrollin edhe të standardeve të nenit 8 të KEDNJ-së” (</w:t>
      </w:r>
      <w:r w:rsidRPr="00F014CD">
        <w:rPr>
          <w:rFonts w:eastAsia="Times New Roman"/>
          <w:i/>
          <w:lang w:val="sq-AL"/>
        </w:rPr>
        <w:t>prg. 44</w:t>
      </w:r>
      <w:r>
        <w:rPr>
          <w:rFonts w:eastAsia="Times New Roman"/>
          <w:i/>
          <w:lang w:val="sq-AL"/>
        </w:rPr>
        <w:t xml:space="preserve"> </w:t>
      </w:r>
      <w:r w:rsidRPr="00F014CD">
        <w:rPr>
          <w:rFonts w:eastAsia="Times New Roman"/>
          <w:i/>
          <w:lang w:val="sq-AL"/>
        </w:rPr>
        <w:t>i vendimit).</w:t>
      </w:r>
    </w:p>
    <w:p w:rsidR="006F5479" w:rsidRPr="00F014CD" w:rsidRDefault="006F5479" w:rsidP="006F5479">
      <w:pPr>
        <w:pStyle w:val="Paragrafi"/>
        <w:rPr>
          <w:rFonts w:eastAsia="Times New Roman"/>
          <w:lang w:val="sq-AL"/>
        </w:rPr>
      </w:pPr>
      <w:r w:rsidRPr="00F014CD">
        <w:rPr>
          <w:rFonts w:eastAsia="Times New Roman"/>
          <w:lang w:val="sq-AL"/>
        </w:rPr>
        <w:t xml:space="preserve">4. Sikundër konstatohet, shumica nuk ka marrë në analizë pretendimin për shkeljen e së drejtës së </w:t>
      </w:r>
      <w:r w:rsidRPr="00F014CD">
        <w:rPr>
          <w:rFonts w:eastAsia="Times New Roman"/>
          <w:lang w:val="sq-AL"/>
        </w:rPr>
        <w:lastRenderedPageBreak/>
        <w:t>pronës dhe të së drejtës për banesë në dimension kushtetues, por u ka dhënë përgjigje vetëm pretendimeve të lidhura me procesin e rregullt ligjor procedural, qëndrim i cili nuk përfaqëson dhe nuk reflekton ndryshimet kushtetuese dhe ligjore të reja të</w:t>
      </w:r>
      <w:r>
        <w:rPr>
          <w:rFonts w:eastAsia="Times New Roman"/>
          <w:lang w:val="sq-AL"/>
        </w:rPr>
        <w:t xml:space="preserve"> </w:t>
      </w:r>
      <w:r w:rsidRPr="00F014CD">
        <w:rPr>
          <w:rFonts w:eastAsia="Times New Roman"/>
          <w:lang w:val="sq-AL"/>
        </w:rPr>
        <w:t>kompetencës së Gjykatës Kushtetuese për të shqyrtuar pretendimet e individëve për cenim të të drejtave themelore të garantuara me Kushtetutë nëpërmjet një akti publik apo vendimi gjyqësor, siç është dhe e drejta e pronës private dhe e banesës në rastin konkret.</w:t>
      </w:r>
    </w:p>
    <w:p w:rsidR="006F5479" w:rsidRPr="00F014CD" w:rsidRDefault="006F5479" w:rsidP="006F5479">
      <w:pPr>
        <w:pStyle w:val="Paragrafi"/>
        <w:rPr>
          <w:rFonts w:eastAsia="Times New Roman"/>
          <w:lang w:val="sq-AL"/>
        </w:rPr>
      </w:pPr>
      <w:r w:rsidRPr="00F014CD">
        <w:rPr>
          <w:rFonts w:eastAsia="Times New Roman"/>
          <w:lang w:val="sq-AL"/>
        </w:rPr>
        <w:t xml:space="preserve">5. Sipas nenit 131/1/f të Kushtetutës, përmbajtja e së cilës është ndryshuar me ligjin </w:t>
      </w:r>
      <w:r>
        <w:rPr>
          <w:rFonts w:eastAsia="Times New Roman"/>
          <w:lang w:val="sq-AL"/>
        </w:rPr>
        <w:t>nr. 76/2016, datë 22.</w:t>
      </w:r>
      <w:r w:rsidRPr="00F014CD">
        <w:rPr>
          <w:rFonts w:eastAsia="Times New Roman"/>
          <w:lang w:val="sq-AL"/>
        </w:rPr>
        <w:t>7.2016,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rsidR="006F5479" w:rsidRPr="00F014CD" w:rsidRDefault="006F5479" w:rsidP="006F5479">
      <w:pPr>
        <w:pStyle w:val="Paragrafi"/>
        <w:rPr>
          <w:rFonts w:eastAsia="Times New Roman"/>
          <w:lang w:val="sq-AL"/>
        </w:rPr>
      </w:pPr>
      <w:r>
        <w:rPr>
          <w:rFonts w:eastAsia="Times New Roman"/>
          <w:lang w:val="sq-AL"/>
        </w:rPr>
        <w:t xml:space="preserve"> </w:t>
      </w:r>
      <w:r w:rsidRPr="00F014CD">
        <w:rPr>
          <w:rFonts w:eastAsia="Times New Roman"/>
          <w:lang w:val="sq-AL"/>
        </w:rPr>
        <w:t xml:space="preserve">6. </w:t>
      </w:r>
      <w:r w:rsidRPr="00F014CD">
        <w:rPr>
          <w:lang w:val="sq-AL"/>
        </w:rPr>
        <w:t xml:space="preserve">Neni 71 i ligjit </w:t>
      </w:r>
      <w:r>
        <w:rPr>
          <w:rFonts w:eastAsia="Times New Roman"/>
          <w:bCs/>
          <w:lang w:val="sq-AL"/>
        </w:rPr>
        <w:t>nr. 8577, datë 10.</w:t>
      </w:r>
      <w:r w:rsidRPr="00F014CD">
        <w:rPr>
          <w:rFonts w:eastAsia="Times New Roman"/>
          <w:bCs/>
          <w:lang w:val="sq-AL"/>
        </w:rPr>
        <w:t>2.2000</w:t>
      </w:r>
      <w:r>
        <w:rPr>
          <w:rFonts w:eastAsia="Times New Roman"/>
          <w:bCs/>
          <w:lang w:val="sq-AL"/>
        </w:rPr>
        <w:t>,</w:t>
      </w:r>
      <w:r w:rsidRPr="00F014CD">
        <w:rPr>
          <w:rFonts w:eastAsia="Times New Roman"/>
          <w:bCs/>
          <w:lang w:val="sq-AL"/>
        </w:rPr>
        <w:t xml:space="preserve"> “Për organizimin dhe funksionimin e Gjykatës Kushtetuese të Republikës së Shqipërisë”, të ndryshuar,</w:t>
      </w:r>
      <w:r w:rsidRPr="00F014CD">
        <w:rPr>
          <w:lang w:val="sq-AL"/>
        </w:rPr>
        <w:t xml:space="preserve"> parashikon: “</w:t>
      </w:r>
      <w:r w:rsidRPr="00F014CD">
        <w:rPr>
          <w:rFonts w:eastAsia="Times New Roman"/>
          <w:i/>
          <w:lang w:val="sq-AL"/>
        </w:rPr>
        <w:t>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w:t>
      </w:r>
      <w:r w:rsidRPr="00F014CD">
        <w:rPr>
          <w:rFonts w:eastAsia="Times New Roman"/>
          <w:lang w:val="sq-AL"/>
        </w:rPr>
        <w:t xml:space="preserve"> </w:t>
      </w:r>
    </w:p>
    <w:p w:rsidR="006F5479" w:rsidRPr="00F014CD" w:rsidRDefault="006F5479" w:rsidP="006F5479">
      <w:pPr>
        <w:pStyle w:val="Paragrafi"/>
        <w:rPr>
          <w:rFonts w:eastAsia="Times New Roman"/>
          <w:lang w:val="sq-AL"/>
        </w:rPr>
      </w:pPr>
      <w:r w:rsidRPr="00F014CD">
        <w:rPr>
          <w:rFonts w:eastAsia="Times New Roman"/>
          <w:lang w:val="sq-AL"/>
        </w:rPr>
        <w:t>7. Në mendimin tim, shumica nuk duhej të shmangte kompetencën e saj për kontroll substancial të procesit gjyqësor në drejtim të së drejtës për banesë, ndërhyrjes në këtë të drejtë, sanksionuar në nenin 8 të KEDNJ-së dhe e elaboruar gjerësisht sipas jurisprudencës së GJEDNJ-së. Sipas kësaj gjykate, nëse një send përbën “banesë”, kjo varet prej rrethanave të faktit dhe konkretisht prej pranisë së lidhjeve të mjaftueshme dhe të vazhdueshme me një send të caktuar. Përkufizimi i banesës është koncept autonom që nuk varet nga klasifikimi që i bën e drejta</w:t>
      </w:r>
      <w:r>
        <w:rPr>
          <w:rFonts w:eastAsia="Times New Roman"/>
          <w:lang w:val="sq-AL"/>
        </w:rPr>
        <w:t xml:space="preserve"> </w:t>
      </w:r>
      <w:r w:rsidRPr="00F014CD">
        <w:rPr>
          <w:rFonts w:eastAsia="Times New Roman"/>
          <w:lang w:val="sq-AL"/>
        </w:rPr>
        <w:t>e brendshme (</w:t>
      </w:r>
      <w:r w:rsidRPr="00F014CD">
        <w:rPr>
          <w:rFonts w:eastAsia="Times New Roman"/>
          <w:i/>
          <w:lang w:val="sq-AL"/>
        </w:rPr>
        <w:t>Buckley kundër</w:t>
      </w:r>
      <w:r>
        <w:rPr>
          <w:rFonts w:eastAsia="Times New Roman"/>
          <w:i/>
          <w:lang w:val="sq-AL"/>
        </w:rPr>
        <w:t xml:space="preserve"> </w:t>
      </w:r>
      <w:r w:rsidRPr="00F014CD">
        <w:rPr>
          <w:rFonts w:eastAsia="Times New Roman"/>
          <w:i/>
          <w:lang w:val="sq-AL"/>
        </w:rPr>
        <w:t>Mbretërisë së Bashkuar, 25 shtator 1996)</w:t>
      </w:r>
      <w:r w:rsidRPr="00F014CD">
        <w:rPr>
          <w:rFonts w:eastAsia="Times New Roman"/>
          <w:lang w:val="sq-AL"/>
        </w:rPr>
        <w:t xml:space="preserve">. Sipas GJEDNJ-së kërkohet që ndërhyrja në të drejtën e kërkuesit për banesë të jetë jo vetëm e bazuar në ligj, por edhe proporcionale. Çdo ndërhyrje që kryhet në të drejtën për banesë, duhet të ketë proporcionalitetin dhe arsyeshmërinë e masës së ndërhyrjes, pavarësisht faktit se ai/ajo sipas ligjit të brendshëm e zotëron </w:t>
      </w:r>
      <w:r>
        <w:rPr>
          <w:rFonts w:eastAsia="Times New Roman"/>
          <w:lang w:val="sq-AL"/>
        </w:rPr>
        <w:t>në mënyrë të paligjshme banesën (</w:t>
      </w:r>
      <w:r w:rsidRPr="00F014CD">
        <w:rPr>
          <w:rFonts w:eastAsia="Times New Roman"/>
          <w:i/>
          <w:lang w:val="sq-AL"/>
        </w:rPr>
        <w:t>MsCan</w:t>
      </w:r>
      <w:r>
        <w:rPr>
          <w:rFonts w:eastAsia="Times New Roman"/>
          <w:i/>
          <w:lang w:val="sq-AL"/>
        </w:rPr>
        <w:t>n kundër Mbretërisë së Bashkuar</w:t>
      </w:r>
      <w:r w:rsidRPr="00F014CD">
        <w:rPr>
          <w:rFonts w:eastAsia="Times New Roman"/>
          <w:i/>
          <w:lang w:val="sq-AL"/>
        </w:rPr>
        <w:t>, 13 maj 2008</w:t>
      </w:r>
      <w:r w:rsidRPr="00F014CD">
        <w:rPr>
          <w:rFonts w:eastAsia="Times New Roman"/>
          <w:lang w:val="sq-AL"/>
        </w:rPr>
        <w:t>).</w:t>
      </w:r>
    </w:p>
    <w:p w:rsidR="006F5479" w:rsidRPr="00F014CD" w:rsidRDefault="006F5479" w:rsidP="006F5479">
      <w:pPr>
        <w:pStyle w:val="Paragrafi"/>
        <w:rPr>
          <w:rFonts w:eastAsia="Times New Roman"/>
          <w:lang w:val="sq-AL"/>
        </w:rPr>
      </w:pPr>
      <w:r w:rsidRPr="00F014CD">
        <w:rPr>
          <w:rFonts w:eastAsia="Times New Roman"/>
          <w:lang w:val="sq-AL"/>
        </w:rPr>
        <w:t>8. Nga sa më sipër, vlerësoj se shumica nuk ka zhvilluar një proces të drejtë gjyqësor ndaj kërkuesit, në këndvështrim të të drejtave kushtetuese dhe konventore të tij.</w:t>
      </w:r>
      <w:r>
        <w:rPr>
          <w:rFonts w:eastAsia="Times New Roman"/>
          <w:lang w:val="sq-AL"/>
        </w:rPr>
        <w:t xml:space="preserve"> </w:t>
      </w:r>
      <w:r w:rsidRPr="00F014CD">
        <w:rPr>
          <w:rFonts w:eastAsia="Times New Roman"/>
          <w:lang w:val="sq-AL"/>
        </w:rPr>
        <w:t xml:space="preserve">Gjykata Kushtetuese mund të vlerësojë mënyrën e interpretimit dhe të zbatimit të ligjit, që në parim u takon gjykatave të sistemit të zakonshëm, vetëm nëse përmes këtij procesi janë cenuar të drejtat kushtetuese të individit dhe jo vetëm ato të lidhura me procesin e rregullt ligjor procedural, sipas perspektivës së re të normave kushtetuese dhe ligjore mbi ankimin kushtetues individual. </w:t>
      </w:r>
    </w:p>
    <w:p w:rsidR="006F5479" w:rsidRDefault="006F5479" w:rsidP="006F5479">
      <w:pPr>
        <w:pStyle w:val="Paragrafi"/>
        <w:rPr>
          <w:rFonts w:eastAsia="Times New Roman"/>
          <w:lang w:val="sq-AL"/>
        </w:rPr>
      </w:pPr>
      <w:r w:rsidRPr="00F014CD">
        <w:rPr>
          <w:rFonts w:eastAsia="Times New Roman"/>
          <w:lang w:val="sq-AL"/>
        </w:rPr>
        <w:t>9. Së fundmi,</w:t>
      </w:r>
      <w:r>
        <w:rPr>
          <w:rFonts w:eastAsia="Times New Roman"/>
          <w:lang w:val="sq-AL"/>
        </w:rPr>
        <w:t xml:space="preserve"> </w:t>
      </w:r>
      <w:r w:rsidRPr="00F014CD">
        <w:rPr>
          <w:rFonts w:eastAsia="Times New Roman"/>
          <w:lang w:val="sq-AL"/>
        </w:rPr>
        <w:t xml:space="preserve">dua të theksoj se këtë qëndrim e kam mbajtur edhe në pakicën e vendimit </w:t>
      </w:r>
      <w:r>
        <w:rPr>
          <w:rFonts w:eastAsia="Times New Roman"/>
          <w:lang w:val="sq-AL"/>
        </w:rPr>
        <w:t xml:space="preserve">nr. </w:t>
      </w:r>
      <w:r w:rsidRPr="00F014CD">
        <w:rPr>
          <w:rFonts w:eastAsia="Times New Roman"/>
          <w:lang w:val="sq-AL"/>
        </w:rPr>
        <w:t xml:space="preserve">66/2017 të Gjykatës Kushtetuese. </w:t>
      </w:r>
    </w:p>
    <w:p w:rsidR="006F5479" w:rsidRPr="001B6A3B" w:rsidRDefault="006F5479" w:rsidP="006F5479">
      <w:pPr>
        <w:pStyle w:val="Paragrafi"/>
        <w:rPr>
          <w:rFonts w:eastAsia="Times New Roman"/>
          <w:sz w:val="14"/>
          <w:szCs w:val="14"/>
          <w:lang w:val="sq-AL"/>
        </w:rPr>
      </w:pPr>
    </w:p>
    <w:p w:rsidR="006F5479" w:rsidRPr="00F014CD" w:rsidRDefault="006F5479" w:rsidP="006F5479">
      <w:pPr>
        <w:pStyle w:val="Paragrafi"/>
        <w:rPr>
          <w:rFonts w:eastAsia="Times New Roman"/>
          <w:lang w:val="sq-AL"/>
        </w:rPr>
      </w:pPr>
      <w:r w:rsidRPr="00F014CD">
        <w:rPr>
          <w:rFonts w:eastAsia="Times New Roman"/>
          <w:lang w:val="sq-AL"/>
        </w:rPr>
        <w:t>Anëtare: Vitore Tusha</w:t>
      </w:r>
    </w:p>
    <w:p w:rsidR="00DE5B7F" w:rsidRDefault="00DE5B7F"/>
    <w:sectPr w:rsidR="00DE5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479"/>
    <w:rsid w:val="006F5479"/>
    <w:rsid w:val="00DE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7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F547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5479"/>
    <w:rPr>
      <w:rFonts w:ascii="Garamond" w:eastAsia="MS Mincho" w:hAnsi="Garamond" w:cs="CG Times"/>
      <w:sz w:val="24"/>
    </w:rPr>
  </w:style>
  <w:style w:type="paragraph" w:customStyle="1" w:styleId="NeniNr">
    <w:name w:val="Neni_Nr"/>
    <w:next w:val="Normal"/>
    <w:link w:val="NeniNrChar"/>
    <w:rsid w:val="006F54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54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5479"/>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7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F547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5479"/>
    <w:rPr>
      <w:rFonts w:ascii="Garamond" w:eastAsia="MS Mincho" w:hAnsi="Garamond" w:cs="CG Times"/>
      <w:sz w:val="24"/>
    </w:rPr>
  </w:style>
  <w:style w:type="paragraph" w:customStyle="1" w:styleId="NeniNr">
    <w:name w:val="Neni_Nr"/>
    <w:next w:val="Normal"/>
    <w:link w:val="NeniNrChar"/>
    <w:rsid w:val="006F54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54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5479"/>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5262</Words>
  <Characters>29995</Characters>
  <Application>Microsoft Office Word</Application>
  <DocSecurity>0</DocSecurity>
  <Lines>249</Lines>
  <Paragraphs>70</Paragraphs>
  <ScaleCrop>false</ScaleCrop>
  <Company/>
  <LinksUpToDate>false</LinksUpToDate>
  <CharactersWithSpaces>35187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2017-12-26T14:06:00Z</dcterms:created>
  <dcterms:modified xsi:type="dcterms:W3CDTF">2017-12-26T14:06:00Z</dcterms:modified>
</cp:coreProperties>
</file>