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C2E" w:rsidRPr="00ED4A84" w:rsidRDefault="00B72C2E" w:rsidP="00B72C2E">
      <w:pPr>
        <w:pStyle w:val="NeniTitull"/>
        <w:keepNext w:val="0"/>
        <w:rPr>
          <w:lang w:val="sq-AL"/>
        </w:rPr>
      </w:pPr>
      <w:r w:rsidRPr="00ED4A84">
        <w:rPr>
          <w:lang w:val="sq-AL"/>
        </w:rPr>
        <w:t>VENDIM</w:t>
      </w:r>
    </w:p>
    <w:p w:rsidR="00B72C2E" w:rsidRPr="00ED4A84" w:rsidRDefault="00B72C2E" w:rsidP="00B72C2E">
      <w:pPr>
        <w:pStyle w:val="NeniTitull"/>
        <w:keepNext w:val="0"/>
        <w:rPr>
          <w:lang w:val="sq-AL"/>
        </w:rPr>
      </w:pPr>
      <w:r w:rsidRPr="00ED4A84">
        <w:rPr>
          <w:lang w:val="sq-AL"/>
        </w:rPr>
        <w:t>Nr. 86, datë 26.12.2017</w:t>
      </w:r>
    </w:p>
    <w:p w:rsidR="00B72C2E" w:rsidRPr="00ED4A84" w:rsidRDefault="00B72C2E" w:rsidP="00B72C2E">
      <w:pPr>
        <w:pStyle w:val="Hapesira7"/>
        <w:rPr>
          <w:lang w:val="sq-AL"/>
        </w:rPr>
      </w:pPr>
    </w:p>
    <w:p w:rsidR="00B72C2E" w:rsidRPr="00ED4A84" w:rsidRDefault="00B72C2E" w:rsidP="00B72C2E">
      <w:pPr>
        <w:pStyle w:val="NeniTitull"/>
        <w:keepNext w:val="0"/>
        <w:rPr>
          <w:lang w:val="sq-AL"/>
        </w:rPr>
      </w:pPr>
      <w:r w:rsidRPr="00ED4A84">
        <w:rPr>
          <w:lang w:val="sq-AL"/>
        </w:rPr>
        <w:t>NË EMËR TË REPUBLIKËS SË SHQIPËRISË</w:t>
      </w:r>
    </w:p>
    <w:p w:rsidR="00B72C2E" w:rsidRPr="00ED4A84" w:rsidRDefault="00B72C2E" w:rsidP="00B72C2E">
      <w:pPr>
        <w:pStyle w:val="Hapesira7"/>
        <w:rPr>
          <w:lang w:val="sq-AL"/>
        </w:rPr>
      </w:pPr>
    </w:p>
    <w:p w:rsidR="00B72C2E" w:rsidRPr="00ED4A84" w:rsidRDefault="00B72C2E" w:rsidP="00B72C2E">
      <w:pPr>
        <w:pStyle w:val="Paragrafi"/>
        <w:rPr>
          <w:lang w:val="sq-AL"/>
        </w:rPr>
      </w:pPr>
      <w:r w:rsidRPr="00ED4A84">
        <w:rPr>
          <w:lang w:val="sq-AL"/>
        </w:rPr>
        <w:t>Gjykata Kushtetuese e Republikës së Shqipërisë, e përbërë nga:</w:t>
      </w:r>
    </w:p>
    <w:p w:rsidR="00B72C2E" w:rsidRPr="00ED4A84" w:rsidRDefault="00B72C2E" w:rsidP="00B72C2E">
      <w:pPr>
        <w:pStyle w:val="Paragrafi"/>
        <w:ind w:firstLine="0"/>
        <w:rPr>
          <w:lang w:val="sq-AL"/>
        </w:rPr>
      </w:pPr>
      <w:r w:rsidRPr="00ED4A84">
        <w:rPr>
          <w:lang w:val="sq-AL"/>
        </w:rPr>
        <w:t>Bashkim Dedja</w:t>
      </w:r>
      <w:r w:rsidRPr="00ED4A84">
        <w:rPr>
          <w:lang w:val="sq-AL"/>
        </w:rPr>
        <w:tab/>
        <w:t>kryetar i Gjykatës Kushtetuese</w:t>
      </w:r>
    </w:p>
    <w:p w:rsidR="00B72C2E" w:rsidRPr="00ED4A84" w:rsidRDefault="00B72C2E" w:rsidP="00B72C2E">
      <w:pPr>
        <w:pStyle w:val="Paragrafi"/>
        <w:ind w:firstLine="0"/>
        <w:rPr>
          <w:lang w:val="sq-AL"/>
        </w:rPr>
      </w:pPr>
      <w:r w:rsidRPr="00ED4A84">
        <w:rPr>
          <w:lang w:val="sq-AL"/>
        </w:rPr>
        <w:t>Vitore Tusha</w:t>
      </w:r>
      <w:r w:rsidRPr="00ED4A84">
        <w:rPr>
          <w:lang w:val="sq-AL"/>
        </w:rPr>
        <w:tab/>
      </w:r>
      <w:r w:rsidRPr="00ED4A84">
        <w:rPr>
          <w:lang w:val="sq-AL"/>
        </w:rPr>
        <w:tab/>
      </w:r>
      <w:r w:rsidRPr="00ED4A84">
        <w:rPr>
          <w:lang w:val="sq-AL"/>
        </w:rPr>
        <w:tab/>
      </w:r>
      <w:r w:rsidRPr="00ED4A84">
        <w:rPr>
          <w:lang w:val="sq-AL"/>
        </w:rPr>
        <w:tab/>
        <w:t xml:space="preserve">anëtare e </w:t>
      </w:r>
      <w:r w:rsidRPr="00ED4A84">
        <w:rPr>
          <w:lang w:val="sq-AL"/>
        </w:rPr>
        <w:tab/>
        <w:t>“</w:t>
      </w:r>
      <w:r w:rsidRPr="00ED4A84">
        <w:rPr>
          <w:lang w:val="sq-AL"/>
        </w:rPr>
        <w:tab/>
      </w:r>
      <w:r>
        <w:rPr>
          <w:lang w:val="sq-AL"/>
        </w:rPr>
        <w:tab/>
      </w:r>
      <w:r w:rsidRPr="00ED4A84">
        <w:rPr>
          <w:lang w:val="sq-AL"/>
        </w:rPr>
        <w:t>“</w:t>
      </w:r>
    </w:p>
    <w:p w:rsidR="00B72C2E" w:rsidRPr="00ED4A84" w:rsidRDefault="00B72C2E" w:rsidP="00B72C2E">
      <w:pPr>
        <w:pStyle w:val="Paragrafi"/>
        <w:ind w:firstLine="0"/>
        <w:rPr>
          <w:lang w:val="sq-AL"/>
        </w:rPr>
      </w:pPr>
      <w:r w:rsidRPr="00ED4A84">
        <w:rPr>
          <w:lang w:val="sq-AL"/>
        </w:rPr>
        <w:t>Fatmir Hoxha</w:t>
      </w:r>
      <w:r w:rsidRPr="00ED4A84">
        <w:rPr>
          <w:lang w:val="sq-AL"/>
        </w:rPr>
        <w:tab/>
      </w:r>
      <w:r w:rsidRPr="00ED4A84">
        <w:rPr>
          <w:lang w:val="sq-AL"/>
        </w:rPr>
        <w:tab/>
      </w:r>
      <w:r w:rsidRPr="00ED4A84">
        <w:rPr>
          <w:lang w:val="sq-AL"/>
        </w:rPr>
        <w:tab/>
      </w:r>
      <w:r w:rsidRPr="00ED4A84">
        <w:rPr>
          <w:lang w:val="sq-AL"/>
        </w:rPr>
        <w:tab/>
        <w:t>anëtar i</w:t>
      </w:r>
      <w:r w:rsidRPr="00ED4A84">
        <w:rPr>
          <w:lang w:val="sq-AL"/>
        </w:rPr>
        <w:tab/>
      </w:r>
      <w:r>
        <w:rPr>
          <w:lang w:val="sq-AL"/>
        </w:rPr>
        <w:tab/>
      </w:r>
      <w:r w:rsidRPr="00ED4A84">
        <w:rPr>
          <w:lang w:val="sq-AL"/>
        </w:rPr>
        <w:t>“</w:t>
      </w:r>
      <w:r w:rsidRPr="00ED4A84">
        <w:rPr>
          <w:lang w:val="sq-AL"/>
        </w:rPr>
        <w:tab/>
      </w:r>
      <w:r>
        <w:rPr>
          <w:lang w:val="sq-AL"/>
        </w:rPr>
        <w:tab/>
      </w:r>
      <w:r w:rsidRPr="00ED4A84">
        <w:rPr>
          <w:lang w:val="sq-AL"/>
        </w:rPr>
        <w:t>“</w:t>
      </w:r>
    </w:p>
    <w:p w:rsidR="00B72C2E" w:rsidRPr="00ED4A84" w:rsidRDefault="00B72C2E" w:rsidP="00B72C2E">
      <w:pPr>
        <w:pStyle w:val="Paragrafi"/>
        <w:ind w:firstLine="0"/>
        <w:rPr>
          <w:lang w:val="sq-AL"/>
        </w:rPr>
      </w:pPr>
      <w:r w:rsidRPr="00ED4A84">
        <w:rPr>
          <w:lang w:val="sq-AL"/>
        </w:rPr>
        <w:t xml:space="preserve">Gani Dizdari </w:t>
      </w:r>
      <w:r w:rsidRPr="00ED4A84">
        <w:rPr>
          <w:lang w:val="sq-AL"/>
        </w:rPr>
        <w:tab/>
      </w:r>
      <w:r w:rsidRPr="00ED4A84">
        <w:rPr>
          <w:lang w:val="sq-AL"/>
        </w:rPr>
        <w:tab/>
      </w:r>
      <w:r w:rsidRPr="00ED4A84">
        <w:rPr>
          <w:lang w:val="sq-AL"/>
        </w:rPr>
        <w:tab/>
      </w:r>
      <w:r w:rsidRPr="00ED4A84">
        <w:rPr>
          <w:lang w:val="sq-AL"/>
        </w:rPr>
        <w:tab/>
        <w:t xml:space="preserve">anëtar i </w:t>
      </w:r>
      <w:r w:rsidRPr="00ED4A84">
        <w:rPr>
          <w:lang w:val="sq-AL"/>
        </w:rPr>
        <w:tab/>
        <w:t>“</w:t>
      </w:r>
      <w:r w:rsidRPr="00ED4A84">
        <w:rPr>
          <w:lang w:val="sq-AL"/>
        </w:rPr>
        <w:tab/>
      </w:r>
      <w:r>
        <w:rPr>
          <w:lang w:val="sq-AL"/>
        </w:rPr>
        <w:tab/>
      </w:r>
      <w:r w:rsidRPr="00ED4A84">
        <w:rPr>
          <w:lang w:val="sq-AL"/>
        </w:rPr>
        <w:t>“</w:t>
      </w:r>
    </w:p>
    <w:p w:rsidR="00B72C2E" w:rsidRPr="00ED4A84" w:rsidRDefault="00B72C2E" w:rsidP="00B72C2E">
      <w:pPr>
        <w:pStyle w:val="Paragrafi"/>
        <w:ind w:firstLine="0"/>
        <w:rPr>
          <w:lang w:val="sq-AL"/>
        </w:rPr>
      </w:pPr>
      <w:r w:rsidRPr="00ED4A84">
        <w:rPr>
          <w:lang w:val="sq-AL"/>
        </w:rPr>
        <w:t xml:space="preserve">Fatos Lulo </w:t>
      </w:r>
      <w:r w:rsidRPr="00ED4A84">
        <w:rPr>
          <w:lang w:val="sq-AL"/>
        </w:rPr>
        <w:tab/>
      </w:r>
      <w:r w:rsidRPr="00ED4A84">
        <w:rPr>
          <w:lang w:val="sq-AL"/>
        </w:rPr>
        <w:tab/>
      </w:r>
      <w:r>
        <w:rPr>
          <w:lang w:val="sq-AL"/>
        </w:rPr>
        <w:tab/>
      </w:r>
      <w:r>
        <w:rPr>
          <w:lang w:val="sq-AL"/>
        </w:rPr>
        <w:tab/>
      </w:r>
      <w:r w:rsidRPr="00ED4A84">
        <w:rPr>
          <w:lang w:val="sq-AL"/>
        </w:rPr>
        <w:t xml:space="preserve">anëtar i </w:t>
      </w:r>
      <w:r w:rsidRPr="00ED4A84">
        <w:rPr>
          <w:lang w:val="sq-AL"/>
        </w:rPr>
        <w:tab/>
        <w:t>“</w:t>
      </w:r>
      <w:r w:rsidRPr="00ED4A84">
        <w:rPr>
          <w:lang w:val="sq-AL"/>
        </w:rPr>
        <w:tab/>
      </w:r>
      <w:r>
        <w:rPr>
          <w:lang w:val="sq-AL"/>
        </w:rPr>
        <w:tab/>
      </w:r>
      <w:r w:rsidRPr="00ED4A84">
        <w:rPr>
          <w:lang w:val="sq-AL"/>
        </w:rPr>
        <w:t>“</w:t>
      </w:r>
    </w:p>
    <w:p w:rsidR="00B72C2E" w:rsidRPr="00ED4A84" w:rsidRDefault="00B72C2E" w:rsidP="00B72C2E">
      <w:pPr>
        <w:pStyle w:val="Paragrafi"/>
        <w:ind w:firstLine="0"/>
        <w:rPr>
          <w:lang w:val="sq-AL"/>
        </w:rPr>
      </w:pPr>
      <w:r w:rsidRPr="00ED4A84">
        <w:rPr>
          <w:lang w:val="sq-AL"/>
        </w:rPr>
        <w:t>Besnik Imeraj</w:t>
      </w:r>
      <w:r w:rsidRPr="00ED4A84">
        <w:rPr>
          <w:lang w:val="sq-AL"/>
        </w:rPr>
        <w:tab/>
      </w:r>
      <w:r w:rsidRPr="00ED4A84">
        <w:rPr>
          <w:lang w:val="sq-AL"/>
        </w:rPr>
        <w:tab/>
      </w:r>
      <w:r w:rsidRPr="00ED4A84">
        <w:rPr>
          <w:lang w:val="sq-AL"/>
        </w:rPr>
        <w:tab/>
      </w:r>
      <w:r w:rsidRPr="00ED4A84">
        <w:rPr>
          <w:lang w:val="sq-AL"/>
        </w:rPr>
        <w:tab/>
        <w:t xml:space="preserve">anëtar i </w:t>
      </w:r>
      <w:r w:rsidRPr="00ED4A84">
        <w:rPr>
          <w:lang w:val="sq-AL"/>
        </w:rPr>
        <w:tab/>
      </w:r>
      <w:bookmarkStart w:id="0" w:name="_GoBack"/>
      <w:bookmarkEnd w:id="0"/>
      <w:r w:rsidRPr="00ED4A84">
        <w:rPr>
          <w:lang w:val="sq-AL"/>
        </w:rPr>
        <w:t>“</w:t>
      </w:r>
      <w:r w:rsidRPr="00ED4A84">
        <w:rPr>
          <w:lang w:val="sq-AL"/>
        </w:rPr>
        <w:tab/>
      </w:r>
      <w:r>
        <w:rPr>
          <w:lang w:val="sq-AL"/>
        </w:rPr>
        <w:tab/>
      </w:r>
      <w:r w:rsidRPr="00ED4A84">
        <w:rPr>
          <w:lang w:val="sq-AL"/>
        </w:rPr>
        <w:t>“</w:t>
      </w:r>
    </w:p>
    <w:p w:rsidR="00B72C2E" w:rsidRPr="00ED4A84" w:rsidRDefault="00B72C2E" w:rsidP="00B72C2E">
      <w:pPr>
        <w:pStyle w:val="Paragrafi"/>
        <w:rPr>
          <w:lang w:val="sq-AL"/>
        </w:rPr>
      </w:pPr>
      <w:r w:rsidRPr="00ED4A84">
        <w:rPr>
          <w:lang w:val="sq-AL"/>
        </w:rPr>
        <w:t>me se</w:t>
      </w:r>
      <w:r>
        <w:rPr>
          <w:lang w:val="sq-AL"/>
        </w:rPr>
        <w:t xml:space="preserve">kretare Belma Lleshi, në datën </w:t>
      </w:r>
      <w:r w:rsidRPr="00ED4A84">
        <w:rPr>
          <w:lang w:val="sq-AL"/>
        </w:rPr>
        <w:t>7.11.2017 mori në shqyrtim në seancë plenare, mbi bazë dokumentesh, çështjen me nr. 50 Akti, që u përket:</w:t>
      </w:r>
    </w:p>
    <w:p w:rsidR="00B72C2E" w:rsidRPr="00ED4A84" w:rsidRDefault="00B72C2E" w:rsidP="00B72C2E">
      <w:pPr>
        <w:pStyle w:val="Paragrafi"/>
        <w:rPr>
          <w:lang w:val="sq-AL"/>
        </w:rPr>
      </w:pPr>
      <w:r w:rsidRPr="00ED4A84">
        <w:rPr>
          <w:lang w:val="sq-AL"/>
        </w:rPr>
        <w:t xml:space="preserve">KËRKUES: Xhavit Pinari, Nadire Pinari, Qazim Pinari </w:t>
      </w:r>
    </w:p>
    <w:p w:rsidR="00B72C2E" w:rsidRDefault="00B72C2E" w:rsidP="00B72C2E">
      <w:pPr>
        <w:pStyle w:val="Paragrafi"/>
        <w:rPr>
          <w:lang w:val="sq-AL"/>
        </w:rPr>
      </w:pPr>
      <w:r w:rsidRPr="00ED4A84">
        <w:rPr>
          <w:lang w:val="sq-AL"/>
        </w:rPr>
        <w:t>SUBJEKTE TË INTERESUARA: Eleni Qordja, Gaqo Prushi, Nuri Prushi, Shpresa Tafaj, Lumturi Shehu, Nadire Nunaj, Nazmi Prushi, Bajram Pinari, Qerim Pinari, Vaje Pinari, Hajrije Pinari, Bedrije Koçi (Pinari), Bakushe Isaku (Pinari), Luljeta Tresa (Pinari), Shoqëria “Mateo Konstruksion” SHPK</w:t>
      </w:r>
      <w:r w:rsidRPr="00ED4A84">
        <w:rPr>
          <w:lang w:val="sq-AL"/>
        </w:rPr>
        <w:tab/>
      </w:r>
      <w:r w:rsidRPr="00ED4A84">
        <w:rPr>
          <w:lang w:val="sq-AL"/>
        </w:rPr>
        <w:tab/>
      </w:r>
    </w:p>
    <w:p w:rsidR="00B72C2E" w:rsidRPr="00ED4A84" w:rsidRDefault="00B72C2E" w:rsidP="00B72C2E">
      <w:pPr>
        <w:pStyle w:val="Paragrafi"/>
        <w:rPr>
          <w:lang w:val="sq-AL"/>
        </w:rPr>
      </w:pPr>
      <w:r w:rsidRPr="00ED4A84">
        <w:rPr>
          <w:lang w:val="sq-AL"/>
        </w:rPr>
        <w:t xml:space="preserve">OBJEKTI: </w:t>
      </w:r>
      <w:r w:rsidRPr="00ED4A84">
        <w:rPr>
          <w:lang w:val="sq-AL"/>
        </w:rPr>
        <w:tab/>
        <w:t xml:space="preserve">Shfuqizimi si të papajtueshme me Kushtetutën e Republikës së Shqipërisë i vendimeve nr. </w:t>
      </w:r>
      <w:r>
        <w:rPr>
          <w:lang w:val="sq-AL"/>
        </w:rPr>
        <w:t>2857, datë 27.</w:t>
      </w:r>
      <w:r w:rsidRPr="00ED4A84">
        <w:rPr>
          <w:lang w:val="sq-AL"/>
        </w:rPr>
        <w:t>6.2014</w:t>
      </w:r>
      <w:r>
        <w:rPr>
          <w:lang w:val="sq-AL"/>
        </w:rPr>
        <w:t>,</w:t>
      </w:r>
      <w:r w:rsidRPr="00ED4A84">
        <w:rPr>
          <w:lang w:val="sq-AL"/>
        </w:rPr>
        <w:t xml:space="preserve"> të Gjykatës së Apelit Tiranë; nr. </w:t>
      </w:r>
      <w:r>
        <w:rPr>
          <w:lang w:val="sq-AL"/>
        </w:rPr>
        <w:t>00-2017-414, datë 7.</w:t>
      </w:r>
      <w:r w:rsidRPr="00ED4A84">
        <w:rPr>
          <w:lang w:val="sq-AL"/>
        </w:rPr>
        <w:t xml:space="preserve">4.2017 të Kolegjit Civil të Gjykatës së Lartë. </w:t>
      </w:r>
    </w:p>
    <w:p w:rsidR="00B72C2E" w:rsidRPr="00ED4A84" w:rsidRDefault="00B72C2E" w:rsidP="00B72C2E">
      <w:pPr>
        <w:pStyle w:val="Paragrafi"/>
        <w:rPr>
          <w:lang w:val="sq-AL"/>
        </w:rPr>
      </w:pPr>
      <w:r w:rsidRPr="00ED4A84">
        <w:rPr>
          <w:lang w:val="sq-AL"/>
        </w:rPr>
        <w:t xml:space="preserve">Pezullimi i ekzekutimit të vendimit nr. </w:t>
      </w:r>
      <w:r>
        <w:rPr>
          <w:lang w:val="sq-AL"/>
        </w:rPr>
        <w:t>2857, datë 27.</w:t>
      </w:r>
      <w:r w:rsidRPr="00ED4A84">
        <w:rPr>
          <w:lang w:val="sq-AL"/>
        </w:rPr>
        <w:t>6.2014 të Gjykatës së Apelit Tiranë</w:t>
      </w:r>
      <w:r>
        <w:rPr>
          <w:lang w:val="sq-AL"/>
        </w:rPr>
        <w:t>,</w:t>
      </w:r>
      <w:r w:rsidRPr="00ED4A84">
        <w:rPr>
          <w:lang w:val="sq-AL"/>
        </w:rPr>
        <w:t xml:space="preserve"> deri në momentin e dhënies së vendimit nga Gjykata Kushtetuese. </w:t>
      </w:r>
    </w:p>
    <w:p w:rsidR="00B72C2E" w:rsidRPr="00ED4A84" w:rsidRDefault="00B72C2E" w:rsidP="00B72C2E">
      <w:pPr>
        <w:pStyle w:val="Paragrafi"/>
        <w:rPr>
          <w:lang w:val="sq-AL"/>
        </w:rPr>
      </w:pPr>
      <w:r w:rsidRPr="00ED4A84">
        <w:rPr>
          <w:lang w:val="sq-AL"/>
        </w:rPr>
        <w:t xml:space="preserve">BAZA LIGJORE: Nenet 42, 131/1/f dhe 134/1/i të Kushtetutës së Republikës së Shqipërisë; neni 6 i Konventës Evropiane për të Drejtat e Njeriut; nenet 27 e vijuese, të ligjit nr. </w:t>
      </w:r>
      <w:r>
        <w:rPr>
          <w:lang w:val="sq-AL"/>
        </w:rPr>
        <w:t>8577,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 </w:t>
      </w:r>
    </w:p>
    <w:p w:rsidR="00B72C2E" w:rsidRPr="00ED4A84" w:rsidRDefault="00B72C2E" w:rsidP="00B72C2E">
      <w:pPr>
        <w:pStyle w:val="Hapesira7"/>
        <w:rPr>
          <w:lang w:val="sq-AL"/>
        </w:rPr>
      </w:pPr>
    </w:p>
    <w:p w:rsidR="00B72C2E" w:rsidRPr="00ED4A84" w:rsidRDefault="00B72C2E" w:rsidP="00B72C2E">
      <w:pPr>
        <w:pStyle w:val="NeniNr"/>
        <w:keepNext w:val="0"/>
        <w:rPr>
          <w:lang w:val="sq-AL"/>
        </w:rPr>
      </w:pPr>
      <w:r w:rsidRPr="00ED4A84">
        <w:rPr>
          <w:lang w:val="sq-AL"/>
        </w:rPr>
        <w:t>GJYKATA KUSHTETUESE,</w:t>
      </w:r>
    </w:p>
    <w:p w:rsidR="00B72C2E" w:rsidRPr="00ED4A84" w:rsidRDefault="00B72C2E" w:rsidP="00B72C2E">
      <w:pPr>
        <w:pStyle w:val="Hapesira7"/>
        <w:rPr>
          <w:lang w:val="sq-AL"/>
        </w:rPr>
      </w:pPr>
    </w:p>
    <w:p w:rsidR="00B72C2E" w:rsidRPr="00ED4A84" w:rsidRDefault="00B72C2E" w:rsidP="00B72C2E">
      <w:pPr>
        <w:pStyle w:val="Paragrafi"/>
        <w:rPr>
          <w:lang w:val="sq-AL"/>
        </w:rPr>
      </w:pPr>
      <w:r w:rsidRPr="00ED4A84">
        <w:rPr>
          <w:lang w:val="sq-AL"/>
        </w:rPr>
        <w:t>pasi dëgjoi relatorin e çështjes Besnik Imeraj, mori në shqyrtim pretendimet me shkrim të kërkuesve, të cilët kanë kërkuar pranimin e kërkesës, prapësimet me shkrim të subjekteve të interesuara, që kanë kërkuar rrëzimin e kërkesës, d</w:t>
      </w:r>
      <w:r>
        <w:rPr>
          <w:lang w:val="sq-AL"/>
        </w:rPr>
        <w:t>he diskutoi çështjen në tërësi,</w:t>
      </w:r>
    </w:p>
    <w:p w:rsidR="00B72C2E" w:rsidRPr="00ED4A84" w:rsidRDefault="00B72C2E" w:rsidP="00B72C2E">
      <w:pPr>
        <w:pStyle w:val="NeniNr"/>
        <w:keepNext w:val="0"/>
        <w:rPr>
          <w:lang w:val="sq-AL"/>
        </w:rPr>
      </w:pPr>
      <w:r w:rsidRPr="00ED4A84">
        <w:rPr>
          <w:lang w:val="sq-AL"/>
        </w:rPr>
        <w:t>VËREN:</w:t>
      </w:r>
    </w:p>
    <w:p w:rsidR="00B72C2E" w:rsidRPr="00ED4A84" w:rsidRDefault="00B72C2E" w:rsidP="00B72C2E">
      <w:pPr>
        <w:pStyle w:val="NeniNr"/>
        <w:keepNext w:val="0"/>
        <w:rPr>
          <w:b/>
          <w:lang w:val="sq-AL"/>
        </w:rPr>
      </w:pPr>
      <w:r w:rsidRPr="00ED4A84">
        <w:rPr>
          <w:b/>
          <w:lang w:val="sq-AL"/>
        </w:rPr>
        <w:t>I</w:t>
      </w:r>
    </w:p>
    <w:p w:rsidR="00B72C2E" w:rsidRPr="00ED4A84" w:rsidRDefault="00B72C2E" w:rsidP="00B72C2E">
      <w:pPr>
        <w:pStyle w:val="Hapesira7"/>
        <w:rPr>
          <w:lang w:val="sq-AL"/>
        </w:rPr>
      </w:pPr>
    </w:p>
    <w:p w:rsidR="00B72C2E" w:rsidRPr="00ED4A84" w:rsidRDefault="00B72C2E" w:rsidP="00B72C2E">
      <w:pPr>
        <w:pStyle w:val="Paragrafi"/>
        <w:rPr>
          <w:rFonts w:eastAsia="Times New Roman"/>
          <w:lang w:val="sq-AL"/>
        </w:rPr>
      </w:pPr>
      <w:r w:rsidRPr="00ED4A84">
        <w:rPr>
          <w:rFonts w:eastAsia="Times New Roman"/>
          <w:lang w:val="sq-AL"/>
        </w:rPr>
        <w:t xml:space="preserve">1. Palët ndërgjyqëse në procesin gjyqësor civil janë trashëgimtarë të shtetasit M.P., i cili, në bazë të aktit të marrjes së tokës në pronësi, është trajtuar dhe pajisur nga ana e Komisionit të Tokës së fshatit Selitë me një sipërfaqe toke bujqësore, siç rezulton nga vendimet gjyqësore. Pala paditëse në procesin gjyqësor (subjektet e interesuara), duke pretenduar se është trajtuar me tokë bujqësore dhe se janë anëtarë të tokës bujqësore, ka paraqitur padi në gjykatë, duke pretenduar detyrimin e palës së paditur që t’i njohë bashkëpronarë mbi pasurinë objekt konflikti gjyqësor, regjistrimin e këtyre pasurive në ZVRPP sipas pjesëve takuese dhe zgjidhjen e pasojave juridike të kontratave të pavlefshme të lidhura midis të paditurve Pinari dhe një shoqërie ndërtimore. </w:t>
      </w:r>
    </w:p>
    <w:p w:rsidR="00B72C2E" w:rsidRPr="00ED4A84" w:rsidRDefault="00B72C2E" w:rsidP="00B72C2E">
      <w:pPr>
        <w:pStyle w:val="Paragrafi"/>
        <w:rPr>
          <w:rFonts w:eastAsia="Times New Roman"/>
          <w:lang w:val="sq-AL"/>
        </w:rPr>
      </w:pPr>
      <w:r w:rsidRPr="00ED4A84">
        <w:rPr>
          <w:rFonts w:eastAsia="Times New Roman"/>
          <w:lang w:val="sq-AL"/>
        </w:rPr>
        <w:t xml:space="preserve">2. Me vendimin nr. </w:t>
      </w:r>
      <w:r>
        <w:rPr>
          <w:rFonts w:eastAsia="Times New Roman"/>
          <w:lang w:val="sq-AL"/>
        </w:rPr>
        <w:t>3278, datë 1.</w:t>
      </w:r>
      <w:r w:rsidRPr="00ED4A84">
        <w:rPr>
          <w:rFonts w:eastAsia="Times New Roman"/>
          <w:lang w:val="sq-AL"/>
        </w:rPr>
        <w:t>4.2013, Gjykata e Rrethit Gjyqësor Tiranë ka vendosur: “</w:t>
      </w:r>
      <w:r w:rsidRPr="00ED4A84">
        <w:rPr>
          <w:rFonts w:eastAsia="Times New Roman"/>
          <w:i/>
          <w:lang w:val="sq-AL"/>
        </w:rPr>
        <w:t>Rrëzimin e kërkesëpadisë</w:t>
      </w:r>
      <w:r w:rsidRPr="00ED4A84">
        <w:rPr>
          <w:rFonts w:eastAsia="Times New Roman"/>
          <w:lang w:val="sq-AL"/>
        </w:rPr>
        <w:t xml:space="preserve">”. </w:t>
      </w:r>
    </w:p>
    <w:p w:rsidR="00B72C2E" w:rsidRPr="00664EAB" w:rsidRDefault="00B72C2E" w:rsidP="00B72C2E">
      <w:pPr>
        <w:pStyle w:val="Paragrafi"/>
        <w:rPr>
          <w:rFonts w:eastAsia="Times New Roman"/>
          <w:spacing w:val="-4"/>
          <w:lang w:val="sq-AL"/>
        </w:rPr>
      </w:pPr>
      <w:r w:rsidRPr="00ED4A84">
        <w:rPr>
          <w:rFonts w:eastAsia="Times New Roman"/>
          <w:lang w:val="sq-AL"/>
        </w:rPr>
        <w:t xml:space="preserve">3. Me vendimin </w:t>
      </w:r>
      <w:r w:rsidRPr="00ED4A84">
        <w:rPr>
          <w:lang w:val="sq-AL"/>
        </w:rPr>
        <w:t>nr. 2</w:t>
      </w:r>
      <w:r>
        <w:rPr>
          <w:lang w:val="sq-AL"/>
        </w:rPr>
        <w:t>857, datë 27.</w:t>
      </w:r>
      <w:r w:rsidRPr="00ED4A84">
        <w:rPr>
          <w:lang w:val="sq-AL"/>
        </w:rPr>
        <w:t>6.2014, Gjykata e Apelit Tiranë ka vendosur: “</w:t>
      </w:r>
      <w:r w:rsidRPr="00ED4A84">
        <w:rPr>
          <w:rFonts w:eastAsia="Times New Roman"/>
          <w:i/>
          <w:lang w:val="sq-AL"/>
        </w:rPr>
        <w:t xml:space="preserve">Ndryshimin e vendimit nr. </w:t>
      </w:r>
      <w:r>
        <w:rPr>
          <w:rFonts w:eastAsia="Times New Roman"/>
          <w:i/>
          <w:lang w:val="sq-AL"/>
        </w:rPr>
        <w:t>3278, datë 1.</w:t>
      </w:r>
      <w:r w:rsidRPr="00ED4A84">
        <w:rPr>
          <w:rFonts w:eastAsia="Times New Roman"/>
          <w:i/>
          <w:lang w:val="sq-AL"/>
        </w:rPr>
        <w:t xml:space="preserve">4.2013 të Gjykatës së Rrethit Gjyqësor Tiranë dhe pranimin e kërkesëpadisë. Detyrimin e të paditurve trashëgimtarë të R.P. (V.P., H.P., B.K., B.I., L.T., Q.P., XH.P.) të njohin paditësen E.Q. </w:t>
      </w:r>
      <w:r w:rsidRPr="00ED4A84">
        <w:rPr>
          <w:rFonts w:eastAsia="Times New Roman"/>
          <w:i/>
          <w:lang w:val="sq-AL"/>
        </w:rPr>
        <w:lastRenderedPageBreak/>
        <w:t>bashkëpronarë për sipërfaqen e tokës prej 11.300 m</w:t>
      </w:r>
      <w:r w:rsidRPr="00ED4A84">
        <w:rPr>
          <w:rFonts w:eastAsia="Times New Roman"/>
          <w:i/>
          <w:vertAlign w:val="superscript"/>
          <w:lang w:val="sq-AL"/>
        </w:rPr>
        <w:t>2</w:t>
      </w:r>
      <w:r w:rsidRPr="00ED4A84">
        <w:rPr>
          <w:rFonts w:eastAsia="Times New Roman"/>
          <w:i/>
          <w:lang w:val="sq-AL"/>
        </w:rPr>
        <w:t xml:space="preserve"> të përfituar me AMT-në nr. 28 akti, për 1/5 pjesë të kësaj sipërfaqe. Detyrimin e të paditurve trashëgimtarë të R.P. (V.P., H.P., B.K., B.I., L.T., Q.P. e XH.P.) të njohin paditësit G.P., N.P., SH.T., L.SH., N.N. dhe N.P. bashkëpronarë mbi sipërfaqen 11.300 m</w:t>
      </w:r>
      <w:r w:rsidRPr="00ED4A84">
        <w:rPr>
          <w:rFonts w:eastAsia="Times New Roman"/>
          <w:i/>
          <w:vertAlign w:val="superscript"/>
          <w:lang w:val="sq-AL"/>
        </w:rPr>
        <w:t>2</w:t>
      </w:r>
      <w:r w:rsidRPr="00ED4A84">
        <w:rPr>
          <w:rFonts w:eastAsia="Times New Roman"/>
          <w:i/>
          <w:lang w:val="sq-AL"/>
        </w:rPr>
        <w:t xml:space="preserve"> tokë bujqësore e fituar me AMT-në nr. 28 akti, bashkërisht për 1/5 pjesë të kësaj sipërfaqe, ose 1/6 e 1/5 secili. Regjistrimin e pjesëve takuese të këtyre sipërfaqeve në favor të paditësve në ZRPP-në Tiranë. Detyrimin e të paditurit B.P. të njohë paditësen E.Q. bashkëpronare për sipërfaqen e tokës prej 10.000 m</w:t>
      </w:r>
      <w:r w:rsidRPr="00ED4A84">
        <w:rPr>
          <w:rFonts w:eastAsia="Times New Roman"/>
          <w:i/>
          <w:vertAlign w:val="superscript"/>
          <w:lang w:val="sq-AL"/>
        </w:rPr>
        <w:t>2</w:t>
      </w:r>
      <w:r w:rsidRPr="00ED4A84">
        <w:rPr>
          <w:rFonts w:eastAsia="Times New Roman"/>
          <w:i/>
          <w:lang w:val="sq-AL"/>
        </w:rPr>
        <w:t xml:space="preserve"> të fituar sipas VKM-së nr. </w:t>
      </w:r>
      <w:r>
        <w:rPr>
          <w:rFonts w:eastAsia="Times New Roman"/>
          <w:i/>
          <w:lang w:val="sq-AL"/>
        </w:rPr>
        <w:t xml:space="preserve">161, datë </w:t>
      </w:r>
      <w:r w:rsidRPr="00ED4A84">
        <w:rPr>
          <w:rFonts w:eastAsia="Times New Roman"/>
          <w:i/>
          <w:lang w:val="sq-AL"/>
        </w:rPr>
        <w:t>8.4.1993, për 1/5 e saj. Detyrimin e të paditurit B.P. të njohë paditësit G.P., N.P., SH.T., L.SH., N.N. dhe N.P. bashkëpronarë për sipërfaqen 10.000 m² bashkërisht për 1/5 pjesë të saj. Regjistrimin e sipërfaqes prej 10.000 m</w:t>
      </w:r>
      <w:r w:rsidRPr="00ED4A84">
        <w:rPr>
          <w:rFonts w:eastAsia="Times New Roman"/>
          <w:i/>
          <w:vertAlign w:val="superscript"/>
          <w:lang w:val="sq-AL"/>
        </w:rPr>
        <w:t>2</w:t>
      </w:r>
      <w:r w:rsidRPr="00ED4A84">
        <w:rPr>
          <w:rFonts w:eastAsia="Times New Roman"/>
          <w:i/>
          <w:lang w:val="sq-AL"/>
        </w:rPr>
        <w:t xml:space="preserve"> në ZRPP-në Tiranë në emër të paditësve sipas pjesëve takuese përkatëse të mësipërme. Detyrimin e të paditurit Q.P. të njohë paditësen E.Q. bashkëpronare për 1/5 pjesë të sipërfaqes 10.950 m</w:t>
      </w:r>
      <w:r w:rsidRPr="00ED4A84">
        <w:rPr>
          <w:rFonts w:eastAsia="Times New Roman"/>
          <w:i/>
          <w:vertAlign w:val="superscript"/>
          <w:lang w:val="sq-AL"/>
        </w:rPr>
        <w:t>2</w:t>
      </w:r>
      <w:r w:rsidRPr="00ED4A84">
        <w:rPr>
          <w:rFonts w:eastAsia="Times New Roman"/>
          <w:i/>
          <w:lang w:val="sq-AL"/>
        </w:rPr>
        <w:t xml:space="preserve"> tokë bujqësore, të përfituar sipas </w:t>
      </w:r>
      <w:r w:rsidRPr="00664EAB">
        <w:rPr>
          <w:rFonts w:eastAsia="Times New Roman"/>
          <w:i/>
          <w:spacing w:val="-4"/>
          <w:lang w:val="sq-AL"/>
        </w:rPr>
        <w:t>ligjit “Për tokën” dhe VKM-së nr. 161, datë 8.4.1993. Detyrimin e të paditurit Q.P. të njohë paditësit G.P., N.P., SH.T., L.SH., N.N. dhe N.P. bashkëpronarë bashkërisht për 1/5 pjesë të sipërfaqes së mësipërme prej 10.950 m</w:t>
      </w:r>
      <w:r w:rsidRPr="00664EAB">
        <w:rPr>
          <w:rFonts w:eastAsia="Times New Roman"/>
          <w:i/>
          <w:spacing w:val="-4"/>
          <w:vertAlign w:val="superscript"/>
          <w:lang w:val="sq-AL"/>
        </w:rPr>
        <w:t>2</w:t>
      </w:r>
      <w:r w:rsidRPr="00664EAB">
        <w:rPr>
          <w:rFonts w:eastAsia="Times New Roman"/>
          <w:i/>
          <w:spacing w:val="-4"/>
          <w:lang w:val="sq-AL"/>
        </w:rPr>
        <w:t>. Regjistrimin e pjesëve takuese të paditësve mbi këto sipërfaqe në ZRPP-në Tiranë. Ndryshimin e pasojave juridike të rrjedhura nga zbatimi i kontratës së sipërmarrjes nr. 603 rep., nr. 141 kol., datë 27.1.2008, duke u detyruar të paditurit në këtë gjykim, trashëgimtarët e R.P. dhe B.P., si dhe shoqëria “Mateo Konstruksion” sh.p.k., t`i njohë paditëses E.Q. si dhe paditësve G.P., N.P., SH.T., L.SH., N.N. dhe N.P. të drejtën e përfitimit të sipërfaqeve ndërtimore në objektin e ndërtuar në truallin objekt gjykimi – në raport me pjesët e tyre takuese të truallit në bashkëpronësi, të përcaktuara si më lart në këtë dispozitiv të vendimit.</w:t>
      </w:r>
      <w:r w:rsidRPr="00664EAB">
        <w:rPr>
          <w:rFonts w:eastAsia="Times New Roman"/>
          <w:spacing w:val="-4"/>
          <w:lang w:val="sq-AL"/>
        </w:rPr>
        <w:t>”.</w:t>
      </w:r>
      <w:r w:rsidRPr="00664EAB">
        <w:rPr>
          <w:rFonts w:eastAsia="Times New Roman"/>
          <w:i/>
          <w:spacing w:val="-4"/>
          <w:lang w:val="sq-AL"/>
        </w:rPr>
        <w:t xml:space="preserve"> </w:t>
      </w:r>
      <w:r w:rsidRPr="00664EAB">
        <w:rPr>
          <w:rFonts w:eastAsia="Times New Roman"/>
          <w:spacing w:val="-4"/>
          <w:lang w:val="sq-AL"/>
        </w:rPr>
        <w:t xml:space="preserve">Kundër këtij vendimi pala e paditur në procesin civil ka paraqitur rekurs në Gjykatën e Lartë, si edhe kërkesë për pezullimin e ekzekutimit të vendimit të formës së prerë. </w:t>
      </w:r>
    </w:p>
    <w:p w:rsidR="00B72C2E" w:rsidRPr="00664EAB" w:rsidRDefault="00B72C2E" w:rsidP="00B72C2E">
      <w:pPr>
        <w:pStyle w:val="Paragrafi"/>
        <w:rPr>
          <w:spacing w:val="-4"/>
          <w:lang w:val="sq-AL"/>
        </w:rPr>
      </w:pPr>
      <w:r w:rsidRPr="00664EAB">
        <w:rPr>
          <w:rFonts w:eastAsia="Times New Roman"/>
          <w:spacing w:val="-4"/>
          <w:lang w:val="sq-AL"/>
        </w:rPr>
        <w:t xml:space="preserve">4. Me vendimin nr. 442, datë 25.11.2014, Kolegji Civil i Gjykatës së Lartë ka vendosur pezullimin e ekzekutimit të vendimit </w:t>
      </w:r>
      <w:r w:rsidRPr="00664EAB">
        <w:rPr>
          <w:spacing w:val="-4"/>
          <w:lang w:val="sq-AL"/>
        </w:rPr>
        <w:t>nr. 2857, datë 27.6.2014 të Gjykatës së Apelit Tiranë, me arsyetimin se përmban shkaqe nga ato që parashikon neni 479 i Kodit të Procedurës Civile (</w:t>
      </w:r>
      <w:r w:rsidRPr="00664EAB">
        <w:rPr>
          <w:i/>
          <w:spacing w:val="-4"/>
          <w:lang w:val="sq-AL"/>
        </w:rPr>
        <w:t>KPC</w:t>
      </w:r>
      <w:r w:rsidRPr="00664EAB">
        <w:rPr>
          <w:spacing w:val="-4"/>
          <w:lang w:val="sq-AL"/>
        </w:rPr>
        <w:t xml:space="preserve">). Në lidhje me rekursin, me vendimin nr. 00-2017-414, datë 7.4.2017, Kolegji Civil i Gjykatës së Lartë ka vendosur mospranimin e rekursit të paraqitur, me arsyetimin se nuk përmban shkaqe nga ato që parashikon neni 472 i KPC-së. </w:t>
      </w:r>
    </w:p>
    <w:p w:rsidR="00B72C2E" w:rsidRPr="00664EAB" w:rsidRDefault="00B72C2E" w:rsidP="00B72C2E">
      <w:pPr>
        <w:pStyle w:val="Hapesira7"/>
        <w:rPr>
          <w:spacing w:val="-4"/>
          <w:lang w:val="sq-AL"/>
        </w:rPr>
      </w:pPr>
    </w:p>
    <w:p w:rsidR="00B72C2E" w:rsidRPr="00664EAB" w:rsidRDefault="00B72C2E" w:rsidP="00B72C2E">
      <w:pPr>
        <w:pStyle w:val="NeniNr"/>
        <w:keepNext w:val="0"/>
        <w:rPr>
          <w:b/>
          <w:spacing w:val="-4"/>
          <w:lang w:val="sq-AL"/>
        </w:rPr>
      </w:pPr>
      <w:r w:rsidRPr="00664EAB">
        <w:rPr>
          <w:b/>
          <w:spacing w:val="-4"/>
          <w:lang w:val="sq-AL"/>
        </w:rPr>
        <w:t>II</w:t>
      </w:r>
    </w:p>
    <w:p w:rsidR="00B72C2E" w:rsidRPr="00664EAB" w:rsidRDefault="00B72C2E" w:rsidP="00B72C2E">
      <w:pPr>
        <w:pStyle w:val="Hapesira7"/>
        <w:rPr>
          <w:spacing w:val="-4"/>
          <w:lang w:val="sq-AL" w:eastAsia="fr-FR"/>
        </w:rPr>
      </w:pPr>
    </w:p>
    <w:p w:rsidR="00B72C2E" w:rsidRPr="00664EAB" w:rsidRDefault="00B72C2E" w:rsidP="00B72C2E">
      <w:pPr>
        <w:pStyle w:val="Paragrafi"/>
        <w:rPr>
          <w:bCs/>
          <w:spacing w:val="-4"/>
          <w:lang w:val="sq-AL"/>
        </w:rPr>
      </w:pPr>
      <w:r w:rsidRPr="00664EAB">
        <w:rPr>
          <w:spacing w:val="-4"/>
          <w:lang w:val="sq-AL" w:eastAsia="fr-FR"/>
        </w:rPr>
        <w:t xml:space="preserve">5. </w:t>
      </w:r>
      <w:r w:rsidRPr="00664EAB">
        <w:rPr>
          <w:i/>
          <w:spacing w:val="-4"/>
          <w:lang w:val="sq-AL" w:eastAsia="fr-FR"/>
        </w:rPr>
        <w:t xml:space="preserve">Kërkuesit Xhavit Pinari, Nadire Pinari dhe Qazim Pinari </w:t>
      </w:r>
      <w:r w:rsidRPr="00664EAB">
        <w:rPr>
          <w:spacing w:val="-4"/>
          <w:lang w:val="sq-AL" w:eastAsia="fr-FR"/>
        </w:rPr>
        <w:t>i janë drejtuar me kërkesë Gjykatës Kushtetuese (</w:t>
      </w:r>
      <w:r w:rsidRPr="00664EAB">
        <w:rPr>
          <w:i/>
          <w:spacing w:val="-4"/>
          <w:lang w:val="sq-AL" w:eastAsia="fr-FR"/>
        </w:rPr>
        <w:t>Gjykata</w:t>
      </w:r>
      <w:r w:rsidRPr="00664EAB">
        <w:rPr>
          <w:spacing w:val="-4"/>
          <w:lang w:val="sq-AL" w:eastAsia="fr-FR"/>
        </w:rPr>
        <w:t xml:space="preserve">) </w:t>
      </w:r>
      <w:r w:rsidRPr="00664EAB">
        <w:rPr>
          <w:bCs/>
          <w:spacing w:val="-4"/>
          <w:lang w:val="sq-AL"/>
        </w:rPr>
        <w:t>sipas objektit, duke paraqitur këto shkaqe në mënyrë të përmbledhur:</w:t>
      </w:r>
    </w:p>
    <w:p w:rsidR="00B72C2E" w:rsidRPr="00664EAB" w:rsidRDefault="00B72C2E" w:rsidP="00B72C2E">
      <w:pPr>
        <w:pStyle w:val="Paragrafi"/>
        <w:rPr>
          <w:bCs/>
          <w:spacing w:val="-4"/>
          <w:lang w:val="sq-AL"/>
        </w:rPr>
      </w:pPr>
      <w:r w:rsidRPr="00664EAB">
        <w:rPr>
          <w:bCs/>
          <w:spacing w:val="-4"/>
          <w:lang w:val="sq-AL"/>
        </w:rPr>
        <w:t xml:space="preserve">5.1 </w:t>
      </w:r>
      <w:r w:rsidRPr="00664EAB">
        <w:rPr>
          <w:bCs/>
          <w:i/>
          <w:spacing w:val="-4"/>
          <w:lang w:val="sq-AL"/>
        </w:rPr>
        <w:t>Është cenuar e drejta e aksesit në gjykatë dhe parimi i barazisë së armëve dhe i kontradiktoritetit</w:t>
      </w:r>
      <w:r w:rsidRPr="00664EAB">
        <w:rPr>
          <w:bCs/>
          <w:spacing w:val="-4"/>
          <w:lang w:val="sq-AL"/>
        </w:rPr>
        <w:t xml:space="preserve">. Gjykimi në apel është zhvilluar pa pjesëmarrjen e palës së paditur, sepse nuk ka pasur dijeni për gjykimin dhe nuk i janë komunikuar ankimet e palës paditëse. Nënshkrimet për marrjen dijeni në aktet e komunikimit janë të falsifikuara, shkak për të cilin është bërë edhe kallëzim penal, megjithatë organi i akuzës ka vendosur mosfillimin e çështjes penale me arsyetimin se për këtë pretendim duhet të shprehet gjykata, përderisa çështja është në gjykim. Edhe pse ky pretendim u ngrit në rekurs, ai nuk u mor parasysh. </w:t>
      </w:r>
    </w:p>
    <w:p w:rsidR="00B72C2E" w:rsidRDefault="00B72C2E" w:rsidP="00B72C2E">
      <w:pPr>
        <w:pStyle w:val="Paragrafi"/>
        <w:rPr>
          <w:bCs/>
          <w:spacing w:val="-4"/>
          <w:lang w:val="sq-AL"/>
        </w:rPr>
      </w:pPr>
    </w:p>
    <w:p w:rsidR="00B72C2E" w:rsidRPr="00664EAB" w:rsidRDefault="00B72C2E" w:rsidP="00B72C2E">
      <w:pPr>
        <w:pStyle w:val="Paragrafi"/>
        <w:rPr>
          <w:bCs/>
          <w:spacing w:val="-4"/>
          <w:lang w:val="sq-AL"/>
        </w:rPr>
      </w:pPr>
      <w:r w:rsidRPr="00664EAB">
        <w:rPr>
          <w:bCs/>
          <w:spacing w:val="-4"/>
          <w:lang w:val="sq-AL"/>
        </w:rPr>
        <w:t xml:space="preserve">5.2 </w:t>
      </w:r>
      <w:r w:rsidRPr="00664EAB">
        <w:rPr>
          <w:bCs/>
          <w:i/>
          <w:spacing w:val="-4"/>
          <w:lang w:val="sq-AL"/>
        </w:rPr>
        <w:t>Është cenuar parimi i sigurisë juridike</w:t>
      </w:r>
      <w:r w:rsidRPr="00664EAB">
        <w:rPr>
          <w:bCs/>
          <w:spacing w:val="-4"/>
          <w:lang w:val="sq-AL"/>
        </w:rPr>
        <w:t xml:space="preserve">. Ky parim vlen jo vetëm për respektimin e vendimeve të formës së prerë të gjykatave, por edhe për respektimin e akteve administrative të nxjerra në bazë dhe për zbatim të ligjit, siç janë AMTP-të, përderisa këto akte janë në fuqi dhe i prodhojnë rregullisht efektet e tyre për sa kohë që nuk janë shfuqizuar ose ndryshuar nga organi administrativ apo me vendime gjyqësore të formës së prerë. </w:t>
      </w:r>
    </w:p>
    <w:p w:rsidR="00B72C2E" w:rsidRPr="00664EAB" w:rsidRDefault="00B72C2E" w:rsidP="00B72C2E">
      <w:pPr>
        <w:pStyle w:val="Paragrafi"/>
        <w:rPr>
          <w:rFonts w:eastAsia="Times New Roman"/>
          <w:spacing w:val="-4"/>
          <w:lang w:val="sq-AL"/>
        </w:rPr>
      </w:pPr>
      <w:r w:rsidRPr="00664EAB">
        <w:rPr>
          <w:bCs/>
          <w:spacing w:val="-4"/>
          <w:lang w:val="sq-AL"/>
        </w:rPr>
        <w:t xml:space="preserve">5.3 </w:t>
      </w:r>
      <w:r w:rsidRPr="00664EAB">
        <w:rPr>
          <w:rFonts w:eastAsia="Times New Roman"/>
          <w:spacing w:val="-4"/>
          <w:lang w:val="sq-AL"/>
        </w:rPr>
        <w:t xml:space="preserve">Ndërsa gjykata e shkallës së parë i ka qëndruar praktikës gjyqësore, Gjykata e Apelit, pa argumente faktike e ligjore dhe duke injoruar praktikën gjyqësore të konsoliduar, ka mbajtur një qëndrim diametralisht të kundërt dhe ka dhënë një vendim haptazi të padrejtë. I ndodhur para dy vendimeve të kundërta dhe në kushtet kur kishte vendosur pezullimin e ekzekutimit, Kolegji Civil duhej të vendoste shqyrtimin e çështjes në seancë. </w:t>
      </w:r>
    </w:p>
    <w:p w:rsidR="00B72C2E" w:rsidRPr="00664EAB" w:rsidRDefault="00B72C2E" w:rsidP="00B72C2E">
      <w:pPr>
        <w:pStyle w:val="Paragrafi"/>
        <w:rPr>
          <w:rFonts w:eastAsia="Times New Roman"/>
          <w:spacing w:val="-4"/>
          <w:lang w:val="sq-AL"/>
        </w:rPr>
      </w:pPr>
      <w:r w:rsidRPr="00664EAB">
        <w:rPr>
          <w:rFonts w:eastAsia="Times New Roman"/>
          <w:spacing w:val="-4"/>
          <w:lang w:val="sq-AL"/>
        </w:rPr>
        <w:t xml:space="preserve">5.4. </w:t>
      </w:r>
      <w:r w:rsidRPr="00664EAB">
        <w:rPr>
          <w:rFonts w:eastAsia="Times New Roman"/>
          <w:i/>
          <w:spacing w:val="-4"/>
          <w:lang w:val="sq-AL"/>
        </w:rPr>
        <w:t xml:space="preserve">Është cenuar parimi i arsyetimit të vendimit gjyqësor. </w:t>
      </w:r>
      <w:r w:rsidRPr="00664EAB">
        <w:rPr>
          <w:rFonts w:eastAsia="Times New Roman"/>
          <w:spacing w:val="-4"/>
          <w:lang w:val="sq-AL"/>
        </w:rPr>
        <w:t xml:space="preserve">Në vendimin e gjykatës së shkallës së parë është bërë një analizë e saktë dhe e plotë e provave të paraqitura dhe ato janë vlerësuar sipas vlerës provuese, </w:t>
      </w:r>
      <w:r w:rsidRPr="00664EAB">
        <w:rPr>
          <w:rFonts w:eastAsia="Times New Roman"/>
          <w:spacing w:val="-4"/>
          <w:lang w:val="sq-AL"/>
        </w:rPr>
        <w:lastRenderedPageBreak/>
        <w:t xml:space="preserve">duke u arritur në konkluzione të sakta e të drejta faktike. Në të kundërt, në vendimin e saj Gjykata e Apelit shprehet vetëm se tokat e fshatit Selitë janë përfshirë në ndërmarrjen bujqësore, por nuk ka përcaktuar se kur është krijuar ajo, kur i kanë kaluar tokat në pronësi, cila ishte përbërja e familjes bujqësore të trashëgimlënësit në atë kohë, cilët nga paditësit kanë qenë të punësuar në atë ndërmarrje, periudha e punësimit etj. Ajo nuk ka rrëzuar me kundërargumente arsyetimin e gjykatës së shkallës së parë. Ndaj ky vendim është alogjik dhe nuk është i qartë në formë dhe përmbajtje. </w:t>
      </w:r>
    </w:p>
    <w:p w:rsidR="00B72C2E" w:rsidRPr="00664EAB" w:rsidRDefault="00B72C2E" w:rsidP="00B72C2E">
      <w:pPr>
        <w:pStyle w:val="Paragrafi"/>
        <w:rPr>
          <w:spacing w:val="-4"/>
          <w:lang w:val="sq-AL"/>
        </w:rPr>
      </w:pPr>
      <w:r w:rsidRPr="00664EAB">
        <w:rPr>
          <w:rFonts w:eastAsia="Times New Roman"/>
          <w:spacing w:val="-4"/>
          <w:lang w:val="sq-AL"/>
        </w:rPr>
        <w:t xml:space="preserve">6. </w:t>
      </w:r>
      <w:r w:rsidRPr="00664EAB">
        <w:rPr>
          <w:rFonts w:eastAsia="Times New Roman"/>
          <w:b/>
          <w:i/>
          <w:spacing w:val="-4"/>
          <w:lang w:val="sq-AL"/>
        </w:rPr>
        <w:t>Subjektet e interesuara,</w:t>
      </w:r>
      <w:r w:rsidRPr="00664EAB">
        <w:rPr>
          <w:b/>
          <w:i/>
          <w:spacing w:val="-4"/>
          <w:lang w:val="sq-AL"/>
        </w:rPr>
        <w:t xml:space="preserve"> Eleni Qordja, Gaqo Prushi, Nuri Prushi, Shpresa Tafaj, Lumturi Shehu, Nadire Nunaj etj</w:t>
      </w:r>
      <w:r w:rsidRPr="00664EAB">
        <w:rPr>
          <w:b/>
          <w:spacing w:val="-4"/>
          <w:lang w:val="sq-AL"/>
        </w:rPr>
        <w:t>.</w:t>
      </w:r>
      <w:r w:rsidRPr="00664EAB">
        <w:rPr>
          <w:spacing w:val="-4"/>
          <w:lang w:val="sq-AL"/>
        </w:rPr>
        <w:t xml:space="preserve"> kanë prapësuar para Gjykatës si më poshtë:</w:t>
      </w:r>
    </w:p>
    <w:p w:rsidR="00B72C2E" w:rsidRPr="00664EAB" w:rsidRDefault="00B72C2E" w:rsidP="00B72C2E">
      <w:pPr>
        <w:pStyle w:val="Paragrafi"/>
        <w:rPr>
          <w:spacing w:val="-4"/>
          <w:lang w:val="sq-AL"/>
        </w:rPr>
      </w:pPr>
      <w:r w:rsidRPr="00664EAB">
        <w:rPr>
          <w:spacing w:val="-4"/>
          <w:lang w:val="sq-AL"/>
        </w:rPr>
        <w:t>6.1 Nëpërmjet vendimeve gjyqësore që përbëjnë objektin e kësaj kërkese, kërkuesve nuk i është cenuar asnjë e drejtë që garantohet nga ligji kushtetues.</w:t>
      </w:r>
    </w:p>
    <w:p w:rsidR="00B72C2E" w:rsidRPr="00664EAB" w:rsidRDefault="00B72C2E" w:rsidP="00B72C2E">
      <w:pPr>
        <w:pStyle w:val="Paragrafi"/>
        <w:rPr>
          <w:spacing w:val="-4"/>
          <w:lang w:val="sq-AL"/>
        </w:rPr>
      </w:pPr>
      <w:r w:rsidRPr="00664EAB">
        <w:rPr>
          <w:spacing w:val="-4"/>
          <w:lang w:val="sq-AL"/>
        </w:rPr>
        <w:t>6.2 Fakti që tre të paditurit nuk janë anëtarë të ndërmarrjes bujqësore “Gjergj Dimitrovi” është e vërtetuar nga librezat e tyre të punës.</w:t>
      </w:r>
    </w:p>
    <w:p w:rsidR="00B72C2E" w:rsidRPr="00664EAB" w:rsidRDefault="00B72C2E" w:rsidP="00B72C2E">
      <w:pPr>
        <w:pStyle w:val="Paragrafi"/>
        <w:rPr>
          <w:spacing w:val="-4"/>
          <w:lang w:val="sq-AL"/>
        </w:rPr>
      </w:pPr>
      <w:r w:rsidRPr="00664EAB">
        <w:rPr>
          <w:spacing w:val="-4"/>
          <w:lang w:val="sq-AL"/>
        </w:rPr>
        <w:t xml:space="preserve">6.3 Mungesa e këtij statusi juridik në momentin e daljes së ligjit për të tre kërkuesit përcakton se kërkesa e parashtruar prej tyre </w:t>
      </w:r>
      <w:r>
        <w:rPr>
          <w:spacing w:val="-4"/>
          <w:lang w:val="sq-AL"/>
        </w:rPr>
        <w:t>nuk është e nivelit kushtetues.</w:t>
      </w:r>
    </w:p>
    <w:p w:rsidR="00B72C2E" w:rsidRDefault="00B72C2E" w:rsidP="00B72C2E">
      <w:pPr>
        <w:pStyle w:val="Paragrafi"/>
        <w:rPr>
          <w:rFonts w:eastAsia="Times New Roman"/>
          <w:spacing w:val="-4"/>
          <w:lang w:val="sq-AL"/>
        </w:rPr>
      </w:pPr>
    </w:p>
    <w:p w:rsidR="00B72C2E" w:rsidRPr="00AB3308" w:rsidRDefault="00B72C2E" w:rsidP="00B72C2E">
      <w:pPr>
        <w:pStyle w:val="Paragrafi"/>
        <w:rPr>
          <w:rFonts w:eastAsia="Times New Roman"/>
          <w:spacing w:val="-4"/>
          <w:lang w:val="sq-AL"/>
        </w:rPr>
      </w:pPr>
      <w:r w:rsidRPr="00AB3308">
        <w:rPr>
          <w:rFonts w:eastAsia="Times New Roman"/>
          <w:spacing w:val="-4"/>
          <w:lang w:val="sq-AL"/>
        </w:rPr>
        <w:t>6.4. Pretendimi se është formuar keq ndërgjyqësia është e gabuar.</w:t>
      </w:r>
    </w:p>
    <w:p w:rsidR="00B72C2E" w:rsidRPr="00AB3308" w:rsidRDefault="00B72C2E" w:rsidP="00B72C2E">
      <w:pPr>
        <w:pStyle w:val="Hapesira7"/>
        <w:rPr>
          <w:spacing w:val="-4"/>
          <w:lang w:val="sq-AL"/>
        </w:rPr>
      </w:pPr>
    </w:p>
    <w:p w:rsidR="00B72C2E" w:rsidRPr="00AB3308" w:rsidRDefault="00B72C2E" w:rsidP="00B72C2E">
      <w:pPr>
        <w:pStyle w:val="NeniNr"/>
        <w:keepNext w:val="0"/>
        <w:rPr>
          <w:b/>
          <w:spacing w:val="-4"/>
          <w:lang w:val="sq-AL"/>
        </w:rPr>
      </w:pPr>
      <w:r w:rsidRPr="00AB3308">
        <w:rPr>
          <w:b/>
          <w:spacing w:val="-4"/>
          <w:lang w:val="sq-AL"/>
        </w:rPr>
        <w:t>III</w:t>
      </w:r>
    </w:p>
    <w:p w:rsidR="00B72C2E" w:rsidRPr="00AB3308" w:rsidRDefault="00B72C2E" w:rsidP="00B72C2E">
      <w:pPr>
        <w:pStyle w:val="NeniNr"/>
        <w:keepNext w:val="0"/>
        <w:rPr>
          <w:b/>
          <w:spacing w:val="-4"/>
          <w:lang w:val="sq-AL"/>
        </w:rPr>
      </w:pPr>
      <w:r w:rsidRPr="00AB3308">
        <w:rPr>
          <w:b/>
          <w:spacing w:val="-4"/>
          <w:lang w:val="sq-AL"/>
        </w:rPr>
        <w:t>Vlerësimi i Gjykatës Kushtetuese</w:t>
      </w:r>
    </w:p>
    <w:p w:rsidR="00B72C2E" w:rsidRPr="00AB3308" w:rsidRDefault="00B72C2E" w:rsidP="00B72C2E">
      <w:pPr>
        <w:pStyle w:val="Hapesira7"/>
        <w:rPr>
          <w:spacing w:val="-4"/>
          <w:lang w:val="sq-AL"/>
        </w:rPr>
      </w:pPr>
    </w:p>
    <w:p w:rsidR="00B72C2E" w:rsidRPr="00AB3308" w:rsidRDefault="00B72C2E" w:rsidP="00B72C2E">
      <w:pPr>
        <w:pStyle w:val="Paragrafi"/>
        <w:rPr>
          <w:i/>
          <w:spacing w:val="-4"/>
          <w:lang w:val="sq-AL"/>
        </w:rPr>
      </w:pPr>
      <w:r w:rsidRPr="00AB3308">
        <w:rPr>
          <w:i/>
          <w:spacing w:val="-4"/>
          <w:lang w:val="sq-AL"/>
        </w:rPr>
        <w:t xml:space="preserve">A. Për legjitimimin e kërkuesve </w:t>
      </w:r>
    </w:p>
    <w:p w:rsidR="00B72C2E" w:rsidRPr="00AB3308" w:rsidRDefault="00B72C2E" w:rsidP="00B72C2E">
      <w:pPr>
        <w:pStyle w:val="Paragrafi"/>
        <w:rPr>
          <w:rFonts w:cs="Times New Roman"/>
          <w:spacing w:val="-4"/>
          <w:lang w:val="sq-AL"/>
        </w:rPr>
      </w:pPr>
      <w:r w:rsidRPr="00AB3308">
        <w:rPr>
          <w:rFonts w:cs="Times New Roman"/>
          <w:spacing w:val="-4"/>
          <w:lang w:val="sq-AL"/>
        </w:rPr>
        <w:t xml:space="preserve">7. Kërkuesit legjitimohet </w:t>
      </w:r>
      <w:r w:rsidRPr="00AB3308">
        <w:rPr>
          <w:rFonts w:cs="Times New Roman"/>
          <w:i/>
          <w:spacing w:val="-4"/>
          <w:lang w:val="sq-AL"/>
        </w:rPr>
        <w:t>ratione personae</w:t>
      </w:r>
      <w:r w:rsidRPr="00AB3308">
        <w:rPr>
          <w:rFonts w:cs="Times New Roman"/>
          <w:spacing w:val="-4"/>
          <w:lang w:val="sq-AL"/>
        </w:rPr>
        <w:t xml:space="preserve">, në kuptim të neneve 131/1/f dhe 134/1/i të Kushtetutës dhe </w:t>
      </w:r>
      <w:r w:rsidRPr="00AB3308">
        <w:rPr>
          <w:rFonts w:cs="Times New Roman"/>
          <w:i/>
          <w:spacing w:val="-4"/>
          <w:lang w:val="sq-AL"/>
        </w:rPr>
        <w:t>ratione temporis</w:t>
      </w:r>
      <w:r w:rsidRPr="00AB3308">
        <w:rPr>
          <w:rFonts w:cs="Times New Roman"/>
          <w:spacing w:val="-4"/>
          <w:lang w:val="sq-AL"/>
        </w:rPr>
        <w:t xml:space="preserve">, në kuptim të ligjit nr. 8577, datë 10.2.2000, “Për organizimin dhe funksionimin e Gjykatës Kushtetuese të Republikës së Shqipërisë”, pasi kërkesa është paraqitur në Gjykatë brenda afatit ligjor 4-mujor të parashikuar nga neni 71/a i ligjit nr. 8577/2000. </w:t>
      </w:r>
    </w:p>
    <w:p w:rsidR="00B72C2E" w:rsidRPr="00AB3308" w:rsidRDefault="00B72C2E" w:rsidP="00B72C2E">
      <w:pPr>
        <w:pStyle w:val="Paragrafi"/>
        <w:rPr>
          <w:bCs/>
          <w:spacing w:val="-4"/>
          <w:lang w:val="sq-AL"/>
        </w:rPr>
      </w:pPr>
      <w:r w:rsidRPr="00AB3308">
        <w:rPr>
          <w:rFonts w:eastAsia="Times New Roman"/>
          <w:spacing w:val="-4"/>
          <w:lang w:val="sq-AL"/>
        </w:rPr>
        <w:t xml:space="preserve">8. Në lidhje me legjitimimin </w:t>
      </w:r>
      <w:r w:rsidRPr="00AB3308">
        <w:rPr>
          <w:i/>
          <w:spacing w:val="-4"/>
          <w:lang w:val="sq-AL"/>
        </w:rPr>
        <w:t>ratione materia</w:t>
      </w:r>
      <w:r w:rsidRPr="00AB3308">
        <w:rPr>
          <w:spacing w:val="-4"/>
          <w:lang w:val="sq-AL"/>
        </w:rPr>
        <w:t xml:space="preserve">, </w:t>
      </w:r>
      <w:r w:rsidRPr="00AB3308">
        <w:rPr>
          <w:spacing w:val="-4"/>
          <w:lang w:val="sq-AL" w:eastAsia="fr-FR"/>
        </w:rPr>
        <w:t>në</w:t>
      </w:r>
      <w:r w:rsidRPr="00AB3308">
        <w:rPr>
          <w:spacing w:val="-4"/>
          <w:lang w:val="sq-AL"/>
        </w:rPr>
        <w:t xml:space="preserve"> jurisprudencë konstante Gjykata ka theksuar se roli i saj nuk është të rivlerësojë faktet, zbatimin e ligjit material apo zgjidhjen e dhënë nga gjykatat e zakonshme. Kontrolli që ajo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Interpretimi i ligjit, duke përcaktuar përmbajtjen e tij, është atribut i organeve që e zbatojnë atë dhe, nisur nga ky parim, sqarimi i kuptimit apo interpretimi i çdo dispozite ligjore të zbatueshme gjatë shqyrtimit të një çështjeje të caktuar është në kompetencë të gjykatave të sistemit të zakonshëm gjyqësor (</w:t>
      </w:r>
      <w:r w:rsidRPr="00AB3308">
        <w:rPr>
          <w:i/>
          <w:spacing w:val="-4"/>
          <w:lang w:val="sq-AL"/>
        </w:rPr>
        <w:t xml:space="preserve">shih vendimet nr. 23, datë 17.5.2011; nr. 1, datë 20.1.2012; nr. </w:t>
      </w:r>
      <w:r w:rsidRPr="00AB3308">
        <w:rPr>
          <w:i/>
          <w:iCs/>
          <w:spacing w:val="-4"/>
          <w:lang w:val="sq-AL"/>
        </w:rPr>
        <w:t>4, datë 5.2.2014 të Gjykatës Kushtetuese</w:t>
      </w:r>
      <w:r w:rsidRPr="00AB3308">
        <w:rPr>
          <w:iCs/>
          <w:spacing w:val="-4"/>
          <w:lang w:val="sq-AL"/>
        </w:rPr>
        <w:t>)</w:t>
      </w:r>
      <w:r w:rsidRPr="00AB3308">
        <w:rPr>
          <w:spacing w:val="-4"/>
          <w:lang w:val="sq-AL"/>
        </w:rPr>
        <w:t xml:space="preserve">. Në këtë kuptim, pretendimet e kërkuesve për cenimin e parimit të arsyetimit të vendimit gjyqësor në thelb i referohen mënyrës së vlerësimit të provave dhe interpretimit të ligjit nga ana e Gjykatës së Apelit. Duke qenë çështje me natyrë </w:t>
      </w:r>
      <w:r w:rsidRPr="00AB3308">
        <w:rPr>
          <w:bCs/>
          <w:spacing w:val="-4"/>
          <w:lang w:val="sq-AL"/>
        </w:rPr>
        <w:t xml:space="preserve">ligjore dhe jo kushtetuese, zgjidhja e tyre nuk përfshihet në juridiksionin kushtetues, por i përket juridiksionit të gjykatave të zakonshme. Për rrjedhojë, kërkuesit nuk legjitimohen </w:t>
      </w:r>
      <w:r w:rsidRPr="00AB3308">
        <w:rPr>
          <w:bCs/>
          <w:i/>
          <w:spacing w:val="-4"/>
          <w:lang w:val="sq-AL"/>
        </w:rPr>
        <w:t xml:space="preserve">ratione materia </w:t>
      </w:r>
      <w:r w:rsidRPr="00AB3308">
        <w:rPr>
          <w:bCs/>
          <w:spacing w:val="-4"/>
          <w:lang w:val="sq-AL"/>
        </w:rPr>
        <w:t xml:space="preserve">në lidhje me këtë pretendim. </w:t>
      </w:r>
    </w:p>
    <w:p w:rsidR="00B72C2E" w:rsidRPr="00AB3308" w:rsidRDefault="00B72C2E" w:rsidP="00B72C2E">
      <w:pPr>
        <w:pStyle w:val="Paragrafi"/>
        <w:rPr>
          <w:rFonts w:cs="Times New Roman"/>
          <w:bCs/>
          <w:i/>
          <w:spacing w:val="-4"/>
          <w:lang w:val="sq-AL"/>
        </w:rPr>
      </w:pPr>
      <w:r w:rsidRPr="00AB3308">
        <w:rPr>
          <w:rFonts w:cs="Times New Roman"/>
          <w:bCs/>
          <w:i/>
          <w:spacing w:val="-4"/>
          <w:lang w:val="sq-AL"/>
        </w:rPr>
        <w:t>B. Për pretendimin e cenimit të parimit të kontradiktoritetit dhe barazisë së armëve</w:t>
      </w:r>
    </w:p>
    <w:p w:rsidR="00B72C2E" w:rsidRPr="00AB3308" w:rsidRDefault="00B72C2E" w:rsidP="00B72C2E">
      <w:pPr>
        <w:pStyle w:val="Paragrafi"/>
        <w:rPr>
          <w:spacing w:val="-4"/>
          <w:lang w:val="sq-AL"/>
        </w:rPr>
      </w:pPr>
      <w:r w:rsidRPr="00AB3308">
        <w:rPr>
          <w:bCs/>
          <w:spacing w:val="-4"/>
          <w:lang w:val="sq-AL"/>
        </w:rPr>
        <w:t>9. Sipas kërkuesve, gjykimi në apel është zhvilluar pa pjesëmarrjen e palës së paditur, ku bëjnë pjesë edhe ata vetë, dhe ata nuk kanë pasur dijeni për gjykimin, pasi nuk u janë komunikuar ankimet e palës paditëse. Sipas tyre, nënshkrimet për marrjen dijeni në aktet e komunikimit janë të falsifikuara, shkak për të cilin është bërë edhe kallëzim penal. Edhe pse ky pretendim u ngrit në rekurs, ai nuk u mor parasysh nga Gjykata e Lartë</w:t>
      </w:r>
      <w:r w:rsidRPr="00AB3308">
        <w:rPr>
          <w:spacing w:val="-4"/>
          <w:lang w:val="sq-AL"/>
        </w:rPr>
        <w:t>.</w:t>
      </w:r>
      <w:r w:rsidRPr="00AB3308">
        <w:rPr>
          <w:rFonts w:eastAsia="Times New Roman"/>
          <w:spacing w:val="-4"/>
          <w:lang w:val="sq-AL"/>
        </w:rPr>
        <w:t xml:space="preserve"> Subjektet e interesuara,</w:t>
      </w:r>
      <w:r w:rsidRPr="00AB3308">
        <w:rPr>
          <w:spacing w:val="-4"/>
          <w:lang w:val="sq-AL"/>
        </w:rPr>
        <w:t xml:space="preserve"> Eleni Qordja, Gaqo Prushi, Nuri Prushi, Shpresa Tafaj, Lumturi Shehu, Nadire Nunaj etj., kanë prapësuar para Gjykatës se nëpërmjet vendimeve gjyqësore që përbëjnë objektin e kësaj kërkese, kërkuesve nuk i është cenuar asnjë e drejtë që garantohet nga ligji kushtetues.</w:t>
      </w:r>
    </w:p>
    <w:p w:rsidR="00B72C2E" w:rsidRPr="00AB3308" w:rsidRDefault="00B72C2E" w:rsidP="00B72C2E">
      <w:pPr>
        <w:pStyle w:val="Paragrafi"/>
        <w:rPr>
          <w:spacing w:val="-4"/>
          <w:lang w:val="sq-AL"/>
        </w:rPr>
      </w:pPr>
      <w:r w:rsidRPr="00AB3308">
        <w:rPr>
          <w:spacing w:val="-4"/>
          <w:lang w:val="sq-AL"/>
        </w:rPr>
        <w:lastRenderedPageBreak/>
        <w:t xml:space="preserve">10.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AB3308">
        <w:rPr>
          <w:i/>
          <w:spacing w:val="-4"/>
          <w:lang w:val="sq-AL"/>
        </w:rPr>
        <w:t xml:space="preserve">(shih vendimin nr. 37, datë </w:t>
      </w:r>
      <w:r w:rsidRPr="00AB3308">
        <w:rPr>
          <w:bCs/>
          <w:i/>
          <w:spacing w:val="-4"/>
          <w:lang w:val="sq-AL"/>
        </w:rPr>
        <w:t>30.6.2016</w:t>
      </w:r>
      <w:r w:rsidRPr="00AB3308">
        <w:rPr>
          <w:i/>
          <w:spacing w:val="-4"/>
          <w:lang w:val="sq-AL"/>
        </w:rPr>
        <w:t xml:space="preserve"> të Gjykatës Kushtetuese)</w:t>
      </w:r>
      <w:r w:rsidRPr="00AB3308">
        <w:rPr>
          <w:spacing w:val="-4"/>
          <w:lang w:val="sq-AL"/>
        </w:rPr>
        <w:t>.</w:t>
      </w:r>
    </w:p>
    <w:p w:rsidR="00B72C2E" w:rsidRPr="00AB3308" w:rsidRDefault="00B72C2E" w:rsidP="00B72C2E">
      <w:pPr>
        <w:pStyle w:val="Paragrafi"/>
        <w:rPr>
          <w:spacing w:val="-4"/>
          <w:lang w:val="sq-AL"/>
        </w:rPr>
      </w:pPr>
      <w:r w:rsidRPr="00AB3308">
        <w:rPr>
          <w:spacing w:val="-4"/>
          <w:lang w:val="sq-AL"/>
        </w:rPr>
        <w:t>11. P</w:t>
      </w:r>
      <w:r w:rsidRPr="00AB3308">
        <w:rPr>
          <w:bCs/>
          <w:spacing w:val="-4"/>
          <w:lang w:val="sq-AL"/>
        </w:rPr>
        <w:t xml:space="preserve">arimi i barazisë së armëve dhe kontradiktoritetit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w:t>
      </w:r>
      <w:r w:rsidRPr="00AB3308">
        <w:rPr>
          <w:spacing w:val="-4"/>
          <w:lang w:val="sq-AL"/>
        </w:rPr>
        <w:t xml:space="preserve">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w:t>
      </w:r>
      <w:r w:rsidRPr="00AB3308">
        <w:rPr>
          <w:bCs/>
          <w:spacing w:val="-4"/>
          <w:lang w:val="sq-AL"/>
        </w:rPr>
        <w:t xml:space="preserve">Bazuar në këto parime, gjykatave të zakonshme u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AB3308">
        <w:rPr>
          <w:i/>
          <w:spacing w:val="-4"/>
          <w:lang w:val="sq-AL"/>
        </w:rPr>
        <w:t xml:space="preserve">(shih vendimin nr. 39, datë </w:t>
      </w:r>
      <w:r w:rsidRPr="00AB3308">
        <w:rPr>
          <w:bCs/>
          <w:i/>
          <w:spacing w:val="-4"/>
          <w:lang w:val="sq-AL"/>
        </w:rPr>
        <w:t>5.5.2017</w:t>
      </w:r>
      <w:r w:rsidRPr="00AB3308">
        <w:rPr>
          <w:i/>
          <w:spacing w:val="-4"/>
          <w:lang w:val="sq-AL"/>
        </w:rPr>
        <w:t xml:space="preserve"> të Gjykatës Kushtetuese)</w:t>
      </w:r>
      <w:r w:rsidRPr="00AB3308">
        <w:rPr>
          <w:spacing w:val="-4"/>
          <w:lang w:val="sq-AL"/>
        </w:rPr>
        <w:t>.</w:t>
      </w:r>
    </w:p>
    <w:p w:rsidR="00B72C2E" w:rsidRPr="00AB3308" w:rsidRDefault="00B72C2E" w:rsidP="00B72C2E">
      <w:pPr>
        <w:pStyle w:val="Paragrafi"/>
        <w:rPr>
          <w:bCs/>
          <w:spacing w:val="-4"/>
          <w:lang w:val="sq-AL"/>
        </w:rPr>
      </w:pPr>
      <w:r w:rsidRPr="00AB3308">
        <w:rPr>
          <w:bCs/>
          <w:spacing w:val="-4"/>
          <w:lang w:val="sq-AL"/>
        </w:rPr>
        <w:t xml:space="preserve">12. </w:t>
      </w:r>
      <w:r w:rsidRPr="00AB3308">
        <w:rPr>
          <w:spacing w:val="-4"/>
          <w:lang w:val="sq-AL"/>
        </w:rPr>
        <w:t xml:space="preserve">Gjykata ka vlerësuar, gjithashtu,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kushtëzohet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AB3308">
        <w:rPr>
          <w:i/>
          <w:spacing w:val="-4"/>
          <w:lang w:val="sq-AL"/>
        </w:rPr>
        <w:t>(shih vendimin nr. 39, datë 5.5.2017 të Gjykatës Kushtetuese)</w:t>
      </w:r>
      <w:r w:rsidRPr="00AB3308">
        <w:rPr>
          <w:spacing w:val="-4"/>
          <w:lang w:val="sq-AL"/>
        </w:rPr>
        <w:t xml:space="preserve">. </w:t>
      </w:r>
    </w:p>
    <w:p w:rsidR="00B72C2E" w:rsidRPr="00AB3308" w:rsidRDefault="00B72C2E" w:rsidP="00B72C2E">
      <w:pPr>
        <w:pStyle w:val="Paragrafi"/>
        <w:rPr>
          <w:spacing w:val="-4"/>
          <w:lang w:val="sq-AL"/>
        </w:rPr>
      </w:pPr>
      <w:r w:rsidRPr="00AB3308">
        <w:rPr>
          <w:spacing w:val="-4"/>
          <w:lang w:val="sq-AL"/>
        </w:rPr>
        <w:t>13. N</w:t>
      </w:r>
      <w:r w:rsidRPr="00AB3308">
        <w:rPr>
          <w:bCs/>
          <w:spacing w:val="-4"/>
          <w:lang w:val="sq-AL"/>
        </w:rPr>
        <w:t xml:space="preserve">ga aktet e dosjes gjyqësore të administruar për efekte të këtij gjykimi rezulton </w:t>
      </w:r>
      <w:r w:rsidRPr="00AB3308">
        <w:rPr>
          <w:spacing w:val="-4"/>
          <w:lang w:val="sq-AL"/>
        </w:rPr>
        <w:t xml:space="preserve">se pas përfundimit të gjykimit në shkallë të parë pala paditëse në procesin gjyqësor (subjektet e interesuara) kanë paraqitur ankim në Gjykatën e Apelit Tiranë. Sipas dëftesave të komunikimit të datës 12.6.2013 rezulton se ankimi i është komunikuar shoqërisë “Mateo Konstruksion”, Qerim Pinari etj., Bajram Pinari etj. dhe Nadire Pinari etj. Edhe pse këto akte janë nënshkruar, nuk rezulton se nga kush janë nënshkruar, pasi nuk është shënuar emri i personit të cilit i janë komunikuar, për më shumë nënshkrimi është i njëjtë për të tria dëftesat në emër të të paditurve. Sipas akteve të dosjes gjyqësore rezulton se në seancën e datës 24.6.2014 Gjykata e Apelit ka verifikuar pjesëmarrjen e palëve ndërgjyqëse dhe pala e paditur (kërkuesit) ka qenë në mungesë. Gjykata, pasi ka verifikuar shkaqet e mosparaqitjes, ka vlerësuar se palët janë njoftuar rregullisht me shpallje (dhe pse në dosjen gjyqësore nuk rezulton i administruar ky akt) dhe se nuk ka shkaqe të arsyeshme për mosparaqitjen e palës së paditur . Për këtë arsye ajo ka vendosur ta gjykojë çështjen në mungesë së kësaj pale. Edhe në dy seancat gjyqësore të zhvilluara në datën 27.6.2014, gjykimi dhe më pas shpallja e vendimit janë bërë përsëri në mungesë të palës së paditur ose të përfaqësuesit të tyre. </w:t>
      </w:r>
    </w:p>
    <w:p w:rsidR="00B72C2E" w:rsidRPr="00AB3308" w:rsidRDefault="00B72C2E" w:rsidP="00B72C2E">
      <w:pPr>
        <w:pStyle w:val="Paragrafi"/>
        <w:rPr>
          <w:spacing w:val="-4"/>
          <w:lang w:val="sq-AL"/>
        </w:rPr>
      </w:pPr>
      <w:r w:rsidRPr="00AB3308">
        <w:rPr>
          <w:bCs/>
          <w:spacing w:val="-4"/>
          <w:lang w:val="sq-AL"/>
        </w:rPr>
        <w:t xml:space="preserve">14. Sipas nenit </w:t>
      </w:r>
      <w:r w:rsidRPr="00AB3308">
        <w:rPr>
          <w:spacing w:val="-4"/>
          <w:lang w:val="sq-AL"/>
        </w:rPr>
        <w:t xml:space="preserve">447 të KPC-së ankimi u njoftohet palëve sipas rregullave të parashikuara në kreun IV, të titullit VI, të pjesës I, të këtij kodi, “Për njoftimet e thirrjet në gjykatë”. Për rrjedhojë, edhe në rastin e ankimeve zbatohen të njëjtat rregulla procedurale për njoftimin të zbatueshme edhe në shkallën e parë. Megjithatë, në rastin konkret nuk rezulton të jenë zbatuar këto rregulla për njoftimin e rregullt të palëve. Jo vetëm që nuk rezulton që në dosjen gjyqësore të jenë administruar dëftesat e komunikimit për secilën nga palët e paditura, por edhe në ato dëftesa të administruara nuk rezulton se kujt i janë komunikuar ato. </w:t>
      </w:r>
      <w:r w:rsidRPr="00AB3308">
        <w:rPr>
          <w:spacing w:val="-4"/>
          <w:lang w:val="sq-AL"/>
        </w:rPr>
        <w:lastRenderedPageBreak/>
        <w:t xml:space="preserve">Për më tepër, kërkuesit kanë paraqitur edhe kallëzim në prokurori, duke pretenduar se janë falsifikuar aktet e njoftimit, për të cilin me vendimin e datës 4.4.2015 të prokurorit është vendosur mosfillimi i procedimit penal. </w:t>
      </w:r>
    </w:p>
    <w:p w:rsidR="00B72C2E" w:rsidRPr="00AB3308" w:rsidRDefault="00B72C2E" w:rsidP="00B72C2E">
      <w:pPr>
        <w:pStyle w:val="Paragrafi"/>
        <w:rPr>
          <w:spacing w:val="-4"/>
          <w:lang w:val="sq-AL"/>
        </w:rPr>
      </w:pPr>
      <w:r w:rsidRPr="00AB3308">
        <w:rPr>
          <w:bCs/>
          <w:spacing w:val="-4"/>
          <w:lang w:val="sq-AL"/>
        </w:rPr>
        <w:t xml:space="preserve">15. Po ashtu, në lidhje me njoftimin për ditën dhe orën e gjykimit neni 460 i KPC-së ka parashikuar se ai bëhet nga gjykata e apelit me shpallje pranë saj dhe në gjykatat përkatëse të shkallës së parë. Sipas nenit 461 të po këtij kodi, </w:t>
      </w:r>
      <w:r w:rsidRPr="00AB3308">
        <w:rPr>
          <w:spacing w:val="-4"/>
          <w:lang w:val="sq-AL"/>
        </w:rPr>
        <w:t xml:space="preserve">mosparaqitja e palëve, për të cilat njoftimi është bërë me shpallje, nuk pengon shqyrtimin e çështjes, me përjashtim të rastit kur janë njoftuar shkaqe të arsyeshme për mungesën. Po sipas kësaj dispozite, gjykata nuk mund ta shqyrtojë çështjen në mungesë atëherë kur dëgjimi i palëve është një nga detyrat e rigjykimit ose kur njoftimi ka qenë i parregullt. </w:t>
      </w:r>
    </w:p>
    <w:p w:rsidR="00B72C2E" w:rsidRPr="00AB3308" w:rsidRDefault="00B72C2E" w:rsidP="00B72C2E">
      <w:pPr>
        <w:pStyle w:val="Paragrafi"/>
        <w:rPr>
          <w:bCs/>
          <w:spacing w:val="-4"/>
          <w:lang w:val="sq-AL"/>
        </w:rPr>
      </w:pPr>
      <w:r w:rsidRPr="00AB3308">
        <w:rPr>
          <w:spacing w:val="-4"/>
          <w:lang w:val="sq-AL"/>
        </w:rPr>
        <w:t xml:space="preserve">16. Bazuar në aktet e </w:t>
      </w:r>
      <w:r w:rsidRPr="00AB3308">
        <w:rPr>
          <w:bCs/>
          <w:spacing w:val="-4"/>
          <w:lang w:val="sq-AL"/>
        </w:rPr>
        <w:t xml:space="preserve">dosjes gjyqësore, Gjykata konstaton se nuk është administruar asnjë akt në lidhje me mënyrën dhe datën e njoftimit të kësaj pale për seancën gjyqësore. </w:t>
      </w:r>
    </w:p>
    <w:p w:rsidR="00B72C2E" w:rsidRPr="00AB3308" w:rsidRDefault="00B72C2E" w:rsidP="00B72C2E">
      <w:pPr>
        <w:pStyle w:val="Paragrafi"/>
        <w:rPr>
          <w:bCs/>
          <w:spacing w:val="-4"/>
          <w:lang w:val="sq-AL"/>
        </w:rPr>
      </w:pPr>
      <w:r w:rsidRPr="00AB3308">
        <w:rPr>
          <w:bCs/>
          <w:spacing w:val="-4"/>
          <w:lang w:val="sq-AL"/>
        </w:rPr>
        <w:t>17. Për sa më sipër, Gjykata vlerëson se në rastin konkret mospjesëmarrja e kërkuesve në gjykim vë në dyshim respektimin nga ana e gjykatave të detyrimit për njoftimin e rregullt të palëve në procesin gjyqësor, çka bën që ky proces të jetë i parregullt nga pikëpamja kusht</w:t>
      </w:r>
      <w:r>
        <w:rPr>
          <w:bCs/>
          <w:spacing w:val="-4"/>
          <w:lang w:val="sq-AL"/>
        </w:rPr>
        <w:t xml:space="preserve">etuese. </w:t>
      </w:r>
    </w:p>
    <w:p w:rsidR="00B72C2E" w:rsidRPr="00AB3308" w:rsidRDefault="00B72C2E" w:rsidP="00B72C2E">
      <w:pPr>
        <w:pStyle w:val="Paragrafi"/>
        <w:rPr>
          <w:spacing w:val="-4"/>
          <w:lang w:val="sq-AL"/>
        </w:rPr>
      </w:pPr>
      <w:r w:rsidRPr="00AB3308">
        <w:rPr>
          <w:bCs/>
          <w:spacing w:val="-4"/>
          <w:lang w:val="sq-AL"/>
        </w:rPr>
        <w:t>18. K</w:t>
      </w:r>
      <w:r w:rsidRPr="00AB3308">
        <w:rPr>
          <w:spacing w:val="-4"/>
          <w:lang w:val="sq-AL"/>
        </w:rPr>
        <w:t xml:space="preserve">y pretendim është ngritur edhe në rekursin e paraqitur në Gjykatën e Lartë, megjithatë ai nuk është marrë parasysh nga ajo gjykatë dhe nuk i është dhënë përgjigje. </w:t>
      </w:r>
      <w:r w:rsidRPr="00AB3308">
        <w:rPr>
          <w:bCs/>
          <w:spacing w:val="-4"/>
          <w:lang w:val="sq-AL"/>
        </w:rPr>
        <w:t>Gjykata ka theksuar se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131/1/f të Kushtetutës, udhëhiqet nga parimi i subsidiaritetit (komplementaritetit)</w:t>
      </w:r>
      <w:r w:rsidRPr="00AB3308">
        <w:rPr>
          <w:bCs/>
          <w:spacing w:val="-4"/>
          <w:lang w:val="sq-AL" w:eastAsia="ja-JP"/>
        </w:rPr>
        <w:t xml:space="preserve"> </w:t>
      </w:r>
      <w:r w:rsidRPr="00AB3308">
        <w:rPr>
          <w:bCs/>
          <w:i/>
          <w:spacing w:val="-4"/>
          <w:lang w:val="sq-AL" w:eastAsia="ja-JP"/>
        </w:rPr>
        <w:t xml:space="preserve">(shih vendimin </w:t>
      </w:r>
      <w:r w:rsidRPr="00AB3308">
        <w:rPr>
          <w:i/>
          <w:spacing w:val="-4"/>
          <w:lang w:val="sq-AL"/>
        </w:rPr>
        <w:t xml:space="preserve">nr. 62, datë 23.9.2015 </w:t>
      </w:r>
      <w:r w:rsidRPr="00AB3308">
        <w:rPr>
          <w:bCs/>
          <w:i/>
          <w:spacing w:val="-4"/>
          <w:lang w:val="sq-AL" w:eastAsia="ja-JP"/>
        </w:rPr>
        <w:t>të Gjykatës Kushtetuese</w:t>
      </w:r>
      <w:r w:rsidRPr="00AB3308">
        <w:rPr>
          <w:bCs/>
          <w:spacing w:val="-4"/>
          <w:lang w:val="sq-AL" w:eastAsia="ja-JP"/>
        </w:rPr>
        <w:t xml:space="preserve">). </w:t>
      </w:r>
      <w:r w:rsidRPr="00AB3308">
        <w:rPr>
          <w:spacing w:val="-4"/>
          <w:lang w:val="sq-AL"/>
        </w:rPr>
        <w:t>Gjykata e ka vlerësuar si cenim të parimit për një proces të rregullt ligjor kur gjykata e shkallës më të lartë, duke u bazuar në kompetencat që i jep Kodi i Procedurës Civile, nuk plotëson apo nuk korrigjon mangësitë dhe gabimet e gjykatave të shkallëve më të ulëta në plotësimin e standardeve dhe të elementeve të një procesi të rregullt ligjor.</w:t>
      </w:r>
    </w:p>
    <w:p w:rsidR="00B72C2E" w:rsidRPr="00AB3308" w:rsidRDefault="00B72C2E" w:rsidP="00B72C2E">
      <w:pPr>
        <w:pStyle w:val="Paragrafi"/>
        <w:rPr>
          <w:rFonts w:eastAsia="Times New Roman"/>
          <w:spacing w:val="-4"/>
          <w:lang w:val="sq-AL"/>
        </w:rPr>
      </w:pPr>
      <w:r w:rsidRPr="00AB3308">
        <w:rPr>
          <w:spacing w:val="-4"/>
          <w:lang w:val="sq-AL"/>
        </w:rPr>
        <w:t>19. Po ashtu, n</w:t>
      </w:r>
      <w:r w:rsidRPr="00AB3308">
        <w:rPr>
          <w:bCs/>
          <w:spacing w:val="-4"/>
          <w:lang w:val="sq-AL"/>
        </w:rPr>
        <w:t xml:space="preserve">ë jurisprudencën kushtetuese çështja e pranisë së dy vendimeve diametralisht të kundërta është vlerësuar nga Gjykata nën dritën e </w:t>
      </w:r>
      <w:r w:rsidRPr="00AB3308">
        <w:rPr>
          <w:spacing w:val="-4"/>
          <w:lang w:val="sq-AL" w:eastAsia="fr-FR"/>
        </w:rPr>
        <w:t xml:space="preserve">së drejtës së aksesit dhe asaj të ankimit në kuptimin substancial, si edhe të </w:t>
      </w:r>
      <w:r w:rsidRPr="00AB3308">
        <w:rPr>
          <w:bCs/>
          <w:spacing w:val="-4"/>
          <w:lang w:val="sq-AL"/>
        </w:rPr>
        <w:t>standardit të arsyetimit të vendimit gjyqësor</w:t>
      </w:r>
      <w:r w:rsidRPr="00AB3308">
        <w:rPr>
          <w:spacing w:val="-4"/>
          <w:lang w:val="sq-AL" w:eastAsia="fr-FR"/>
        </w:rPr>
        <w:t xml:space="preserve"> </w:t>
      </w:r>
      <w:r w:rsidRPr="00AB3308">
        <w:rPr>
          <w:spacing w:val="-4"/>
          <w:lang w:val="sq-AL"/>
        </w:rPr>
        <w:t>(</w:t>
      </w:r>
      <w:r w:rsidRPr="00AB3308">
        <w:rPr>
          <w:i/>
          <w:spacing w:val="-4"/>
          <w:lang w:val="sq-AL"/>
        </w:rPr>
        <w:t>shih vendimin nr. 73, datë 16.12.2016 të Gjykatës Kushtetuese</w:t>
      </w:r>
      <w:r w:rsidRPr="00AB3308">
        <w:rPr>
          <w:spacing w:val="-4"/>
          <w:lang w:val="sq-AL"/>
        </w:rPr>
        <w:t>).</w:t>
      </w:r>
      <w:r w:rsidRPr="00AB3308">
        <w:rPr>
          <w:rFonts w:eastAsia="Times New Roman"/>
          <w:spacing w:val="-4"/>
          <w:lang w:val="sq-AL" w:eastAsia="ja-JP"/>
        </w:rPr>
        <w:t xml:space="preserve"> Në kuptim të parimit të subsidiaritetit, Gjykata ka theksuar se </w:t>
      </w:r>
      <w:r w:rsidRPr="00AB3308">
        <w:rPr>
          <w:spacing w:val="-4"/>
          <w:lang w:val="sq-AL"/>
        </w:rPr>
        <w:t>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w:t>
      </w:r>
      <w:r w:rsidRPr="00AB3308">
        <w:rPr>
          <w:i/>
          <w:spacing w:val="-4"/>
          <w:lang w:val="sq-AL"/>
        </w:rPr>
        <w:t>shih vendimet nr. 4, dat</w:t>
      </w:r>
      <w:r w:rsidRPr="00AB3308">
        <w:rPr>
          <w:bCs/>
          <w:i/>
          <w:spacing w:val="-4"/>
          <w:lang w:val="sq-AL"/>
        </w:rPr>
        <w:t>ë 5.2.2014;</w:t>
      </w:r>
      <w:r w:rsidRPr="00AB3308">
        <w:rPr>
          <w:i/>
          <w:spacing w:val="-4"/>
          <w:lang w:val="sq-AL"/>
        </w:rPr>
        <w:t xml:space="preserve"> nr. 42, datë 7.7.2014</w:t>
      </w:r>
      <w:r w:rsidRPr="00AB3308">
        <w:rPr>
          <w:bCs/>
          <w:i/>
          <w:spacing w:val="-4"/>
          <w:lang w:val="sq-AL"/>
        </w:rPr>
        <w:t xml:space="preserve"> të Gjykatës Kushtetuese</w:t>
      </w:r>
      <w:r w:rsidRPr="00AB3308">
        <w:rPr>
          <w:bCs/>
          <w:spacing w:val="-4"/>
          <w:lang w:val="sq-AL"/>
        </w:rPr>
        <w:t xml:space="preserve">). Bazuar edhe në vendimet gjyqësore të kundërshtuara, si dhe në pretendimet e kërkuesve vërehet se në rastin konkret gjykatat e faktit i kanë </w:t>
      </w:r>
      <w:r w:rsidRPr="00AB3308">
        <w:rPr>
          <w:spacing w:val="-4"/>
          <w:lang w:val="sq-AL"/>
        </w:rPr>
        <w:t xml:space="preserve">dhënë zgjidhje të ndryshme konfliktit gjyqësor në fjalë. </w:t>
      </w:r>
      <w:r w:rsidRPr="00AB3308">
        <w:rPr>
          <w:rFonts w:eastAsia="Times New Roman"/>
          <w:spacing w:val="-4"/>
          <w:lang w:val="sq-AL"/>
        </w:rPr>
        <w:t xml:space="preserve">Për rrjedhojë, nisur nga natyra e pretendimeve të ngritura në rekurs, të cilat janë brenda juridiksionit të Gjykatës së Lartë, si edhe bazuar në faktin se gjykatat më të ulëta i kanë dhënë zgjidhje të ndryshme mosmarrëveshjes civile në fjalë dhe se gjykimi në Gjykatën e Apelit është bërë në mungesë të palëve ndërgjyqëse, </w:t>
      </w:r>
      <w:r w:rsidRPr="00AB3308">
        <w:rPr>
          <w:bCs/>
          <w:spacing w:val="-4"/>
          <w:lang w:val="sq-AL"/>
        </w:rPr>
        <w:t xml:space="preserve">Gjykata e Lartë, </w:t>
      </w:r>
      <w:r w:rsidRPr="00AB3308">
        <w:rPr>
          <w:bCs/>
          <w:iCs/>
          <w:spacing w:val="-4"/>
          <w:lang w:val="sq-AL"/>
        </w:rPr>
        <w:t xml:space="preserve">në funksion të rolit të saj si gjykatë e ligjit, si dhe në atë të </w:t>
      </w:r>
      <w:r w:rsidRPr="00AB3308">
        <w:rPr>
          <w:iCs/>
          <w:spacing w:val="-4"/>
          <w:lang w:val="sq-AL"/>
        </w:rPr>
        <w:t xml:space="preserve">kontrollit të respektimit të standardeve kushtetuese nga gjykatat më të ulëta, duhej </w:t>
      </w:r>
      <w:r w:rsidRPr="00AB3308">
        <w:rPr>
          <w:rFonts w:eastAsia="Times New Roman"/>
          <w:spacing w:val="-4"/>
          <w:lang w:val="sq-AL"/>
        </w:rPr>
        <w:t xml:space="preserve">t’u jepte përgjigje këtyre pretendimeve. Gjykata vlerëson se Gjykata e Lartë duke vendosur mospranimin e rekursit të paraqitur nga kërkuesi, pa u dhënë përgjigje përfundimtare pretendimeve të ngritura prej tij, ka cenuar të drejtën e aksesit në kuptimin substancial, si element i së drejtës për një proces të rregullt ligjor, i garantuar nga neni 42 i Kushtetutës. </w:t>
      </w:r>
    </w:p>
    <w:p w:rsidR="00B72C2E" w:rsidRPr="00664EAB" w:rsidRDefault="00B72C2E" w:rsidP="00B72C2E">
      <w:pPr>
        <w:pStyle w:val="Paragrafi"/>
        <w:rPr>
          <w:i/>
          <w:lang w:val="sq-AL"/>
        </w:rPr>
      </w:pPr>
      <w:r w:rsidRPr="00664EAB">
        <w:rPr>
          <w:i/>
          <w:lang w:val="sq-AL"/>
        </w:rPr>
        <w:t>C. Për pretendimin e cenimit të parimit të sigurisë juridike</w:t>
      </w:r>
    </w:p>
    <w:p w:rsidR="00B72C2E" w:rsidRPr="00664EAB" w:rsidRDefault="00B72C2E" w:rsidP="00B72C2E">
      <w:pPr>
        <w:pStyle w:val="Paragrafi"/>
        <w:rPr>
          <w:bCs/>
          <w:lang w:val="sq-AL"/>
        </w:rPr>
      </w:pPr>
      <w:r w:rsidRPr="00664EAB">
        <w:rPr>
          <w:lang w:val="sq-AL"/>
        </w:rPr>
        <w:t xml:space="preserve">20. Sipas kërkuesve, parimi i </w:t>
      </w:r>
      <w:r w:rsidRPr="00664EAB">
        <w:rPr>
          <w:bCs/>
          <w:lang w:val="sq-AL"/>
        </w:rPr>
        <w:t xml:space="preserve">sigurisë juridike vlen jo vetëm për respektimin e vendimeve të formës së prerë të gjykatave, por edhe për respektimin e akteve administrative të nxjerra në bazë dhe për zbatim të ligjit, siç janë AMTP-të, përderisa këto akte janë në fuqi dhe i prodhojnë rregullisht </w:t>
      </w:r>
      <w:r w:rsidRPr="00664EAB">
        <w:rPr>
          <w:bCs/>
          <w:lang w:val="sq-AL"/>
        </w:rPr>
        <w:lastRenderedPageBreak/>
        <w:t xml:space="preserve">efektet e tyre për sa kohë që nuk janë shfuqizuar ose ndryshuar nga organi administrativ apo me vendime gjyqësore të formës së prerë. </w:t>
      </w:r>
    </w:p>
    <w:p w:rsidR="00B72C2E" w:rsidRPr="00664EAB" w:rsidRDefault="00B72C2E" w:rsidP="00B72C2E">
      <w:pPr>
        <w:pStyle w:val="Paragrafi"/>
        <w:rPr>
          <w:lang w:val="sq-AL"/>
        </w:rPr>
      </w:pPr>
      <w:r w:rsidRPr="00664EAB">
        <w:rPr>
          <w:lang w:val="sq-AL"/>
        </w:rPr>
        <w:t>21. Në jurisprudencën e saj Gjykata ka theksuar se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664EAB">
        <w:rPr>
          <w:i/>
          <w:iCs/>
          <w:lang w:val="sq-AL"/>
        </w:rPr>
        <w:t>shih vendimin nr. 28, datë 15.5.2014 të Gjykatës Kushtetuese</w:t>
      </w:r>
      <w:r w:rsidRPr="00664EAB">
        <w:rPr>
          <w:lang w:val="sq-AL"/>
        </w:rPr>
        <w:t>). Gjykata ka theksuar edhe se parimi i shtetit të së drejtës kërkon, gjithashtu, që veprimtaria e organeve të administratës publike të rregullohet jo vetëm me ligj, por edhe që kjo veprimtari, në raport me të drejtat e shtetasve, t’i nënshtrohet kontrollit gjyqësor. Prandaj, sipas nenit</w:t>
      </w:r>
      <w:r w:rsidRPr="00664EAB">
        <w:rPr>
          <w:bCs/>
          <w:lang w:val="sq-AL"/>
        </w:rPr>
        <w:t xml:space="preserve"> 42 t</w:t>
      </w:r>
      <w:r w:rsidRPr="00664EAB">
        <w:rPr>
          <w:lang w:val="sq-AL"/>
        </w:rPr>
        <w:t>ë</w:t>
      </w:r>
      <w:r w:rsidRPr="00664EAB">
        <w:rPr>
          <w:bCs/>
          <w:lang w:val="sq-AL"/>
        </w:rPr>
        <w:t xml:space="preserve"> Kushtetutës, individi ka t</w:t>
      </w:r>
      <w:r w:rsidRPr="00664EAB">
        <w:rPr>
          <w:lang w:val="sq-AL"/>
        </w:rPr>
        <w:t>ë</w:t>
      </w:r>
      <w:r w:rsidRPr="00664EAB">
        <w:rPr>
          <w:bCs/>
          <w:lang w:val="sq-AL"/>
        </w:rPr>
        <w:t xml:space="preserve"> drejt</w:t>
      </w:r>
      <w:r w:rsidRPr="00664EAB">
        <w:rPr>
          <w:lang w:val="sq-AL"/>
        </w:rPr>
        <w:t>ë</w:t>
      </w:r>
      <w:r w:rsidRPr="00664EAB">
        <w:rPr>
          <w:bCs/>
          <w:lang w:val="sq-AL"/>
        </w:rPr>
        <w:t xml:space="preserve"> t’i drejtohet gjykat</w:t>
      </w:r>
      <w:r w:rsidRPr="00664EAB">
        <w:rPr>
          <w:lang w:val="sq-AL"/>
        </w:rPr>
        <w:t>ë</w:t>
      </w:r>
      <w:r w:rsidRPr="00664EAB">
        <w:rPr>
          <w:bCs/>
          <w:lang w:val="sq-AL"/>
        </w:rPr>
        <w:t xml:space="preserve">s </w:t>
      </w:r>
      <w:r w:rsidRPr="00664EAB">
        <w:rPr>
          <w:lang w:val="sq-AL"/>
        </w:rPr>
        <w:t xml:space="preserve">edhe kur cenimi i të drejtave, i lirive dhe i interesave kushtetues e ligjorë të tij ka ardhur nga akti apo veprimtaria e organeve të administratës publike. Prandaj, Gjykata ka vlerësuar se kur shqyrtohet një mosmarrëveshje e tillë, gjykata ka juridiksion dhe kompetencë jo vetëm që të anulojë pjesërisht ose plotësisht vendimet e organit administrativ, por njëkohësisht edhe të njohë e të kthejë pjesërisht ose plotësisht pronën në favor të tyre. </w:t>
      </w:r>
      <w:r w:rsidRPr="00664EAB">
        <w:rPr>
          <w:bCs/>
          <w:lang w:val="sq-AL"/>
        </w:rPr>
        <w:t>Në këtë kuptim, Gjykata ka vlerësuar se kthimi i drejtp</w:t>
      </w:r>
      <w:r w:rsidRPr="00664EAB">
        <w:rPr>
          <w:lang w:val="sq-AL"/>
        </w:rPr>
        <w:t>ë</w:t>
      </w:r>
      <w:r w:rsidRPr="00664EAB">
        <w:rPr>
          <w:bCs/>
          <w:lang w:val="sq-AL"/>
        </w:rPr>
        <w:t>rdrejt</w:t>
      </w:r>
      <w:r w:rsidRPr="00664EAB">
        <w:rPr>
          <w:lang w:val="sq-AL"/>
        </w:rPr>
        <w:t>ë</w:t>
      </w:r>
      <w:r w:rsidRPr="00664EAB">
        <w:rPr>
          <w:bCs/>
          <w:lang w:val="sq-AL"/>
        </w:rPr>
        <w:t xml:space="preserve"> i pron</w:t>
      </w:r>
      <w:r w:rsidRPr="00664EAB">
        <w:rPr>
          <w:lang w:val="sq-AL"/>
        </w:rPr>
        <w:t>ë</w:t>
      </w:r>
      <w:r w:rsidRPr="00664EAB">
        <w:rPr>
          <w:bCs/>
          <w:lang w:val="sq-AL"/>
        </w:rPr>
        <w:t>s nga gjykatat e juridiksionit të zakonshëm, n</w:t>
      </w:r>
      <w:r w:rsidRPr="00664EAB">
        <w:rPr>
          <w:lang w:val="sq-AL"/>
        </w:rPr>
        <w:t>ë</w:t>
      </w:r>
      <w:r w:rsidRPr="00664EAB">
        <w:rPr>
          <w:bCs/>
          <w:lang w:val="sq-AL"/>
        </w:rPr>
        <w:t xml:space="preserve"> rastet kur ajo shqyrton ankesat ndaj vendimeve të organeve administrative, nuk p</w:t>
      </w:r>
      <w:r w:rsidRPr="00664EAB">
        <w:rPr>
          <w:lang w:val="sq-AL"/>
        </w:rPr>
        <w:t>ë</w:t>
      </w:r>
      <w:r w:rsidRPr="00664EAB">
        <w:rPr>
          <w:bCs/>
          <w:lang w:val="sq-AL"/>
        </w:rPr>
        <w:t>rb</w:t>
      </w:r>
      <w:r w:rsidRPr="00664EAB">
        <w:rPr>
          <w:lang w:val="sq-AL"/>
        </w:rPr>
        <w:t>ë</w:t>
      </w:r>
      <w:r w:rsidRPr="00664EAB">
        <w:rPr>
          <w:bCs/>
          <w:lang w:val="sq-AL"/>
        </w:rPr>
        <w:t>n tejkalim t</w:t>
      </w:r>
      <w:r w:rsidRPr="00664EAB">
        <w:rPr>
          <w:lang w:val="sq-AL"/>
        </w:rPr>
        <w:t>ë</w:t>
      </w:r>
      <w:r w:rsidRPr="00664EAB">
        <w:rPr>
          <w:bCs/>
          <w:lang w:val="sq-AL"/>
        </w:rPr>
        <w:t xml:space="preserve"> juridiksionit gjyq</w:t>
      </w:r>
      <w:r w:rsidRPr="00664EAB">
        <w:rPr>
          <w:lang w:val="sq-AL"/>
        </w:rPr>
        <w:t>ë</w:t>
      </w:r>
      <w:r w:rsidRPr="00664EAB">
        <w:rPr>
          <w:bCs/>
          <w:lang w:val="sq-AL"/>
        </w:rPr>
        <w:t>sor</w:t>
      </w:r>
      <w:r w:rsidRPr="00664EAB">
        <w:rPr>
          <w:lang w:val="sq-AL"/>
        </w:rPr>
        <w:t xml:space="preserve"> (</w:t>
      </w:r>
      <w:r w:rsidRPr="00664EAB">
        <w:rPr>
          <w:i/>
          <w:lang w:val="sq-AL"/>
        </w:rPr>
        <w:t>shih vendimin nr. 28, datë 15.5.2014 të Gjykatës Kushtetuese</w:t>
      </w:r>
      <w:r w:rsidRPr="00664EAB">
        <w:rPr>
          <w:lang w:val="sq-AL"/>
        </w:rPr>
        <w:t xml:space="preserve">). </w:t>
      </w:r>
    </w:p>
    <w:p w:rsidR="00B72C2E" w:rsidRDefault="00B72C2E" w:rsidP="00B72C2E">
      <w:pPr>
        <w:pStyle w:val="Paragrafi"/>
        <w:rPr>
          <w:lang w:val="sq-AL"/>
        </w:rPr>
      </w:pPr>
    </w:p>
    <w:p w:rsidR="00B72C2E" w:rsidRPr="00AB3308" w:rsidRDefault="00B72C2E" w:rsidP="00B72C2E">
      <w:pPr>
        <w:pStyle w:val="Paragrafi"/>
        <w:rPr>
          <w:spacing w:val="-4"/>
          <w:lang w:val="sq-AL"/>
        </w:rPr>
      </w:pPr>
      <w:r w:rsidRPr="00664EAB">
        <w:rPr>
          <w:lang w:val="sq-AL"/>
        </w:rPr>
        <w:t>22. Për sa më sipër, në rastin konkret, vlerësimi i ligjshmërisë së vendimeve të AMTP-së nga ana e gjykatës nuk përbën cenim të parimit të sigurisë juridike, për pasojë ky pretendim i kërkuesve është i</w:t>
      </w:r>
      <w:r w:rsidRPr="00AB3308">
        <w:rPr>
          <w:spacing w:val="-4"/>
          <w:lang w:val="sq-AL"/>
        </w:rPr>
        <w:t xml:space="preserve"> pabazuar. </w:t>
      </w:r>
    </w:p>
    <w:p w:rsidR="00B72C2E" w:rsidRPr="00664EAB" w:rsidRDefault="00B72C2E" w:rsidP="00B72C2E">
      <w:pPr>
        <w:pStyle w:val="Paragrafi"/>
        <w:rPr>
          <w:spacing w:val="-4"/>
          <w:sz w:val="14"/>
          <w:lang w:val="sq-AL"/>
        </w:rPr>
      </w:pPr>
    </w:p>
    <w:p w:rsidR="00B72C2E" w:rsidRPr="00AB3308" w:rsidRDefault="00B72C2E" w:rsidP="00B72C2E">
      <w:pPr>
        <w:pStyle w:val="NeniNr"/>
        <w:keepNext w:val="0"/>
        <w:rPr>
          <w:spacing w:val="-4"/>
          <w:lang w:val="sq-AL"/>
        </w:rPr>
      </w:pPr>
      <w:r w:rsidRPr="00AB3308">
        <w:rPr>
          <w:spacing w:val="-4"/>
          <w:lang w:val="sq-AL"/>
        </w:rPr>
        <w:t>PËR KËTO ARSYE,</w:t>
      </w:r>
    </w:p>
    <w:p w:rsidR="00B72C2E" w:rsidRPr="00AB3308" w:rsidRDefault="00B72C2E" w:rsidP="00B72C2E">
      <w:pPr>
        <w:pStyle w:val="Hapesira7"/>
        <w:rPr>
          <w:spacing w:val="-4"/>
          <w:lang w:val="sq-AL"/>
        </w:rPr>
      </w:pPr>
    </w:p>
    <w:p w:rsidR="00B72C2E" w:rsidRPr="00AB3308" w:rsidRDefault="00B72C2E" w:rsidP="00B72C2E">
      <w:pPr>
        <w:pStyle w:val="Paragrafi"/>
        <w:rPr>
          <w:spacing w:val="-4"/>
          <w:lang w:val="sq-AL"/>
        </w:rPr>
      </w:pPr>
      <w:r w:rsidRPr="00AB3308">
        <w:rPr>
          <w:spacing w:val="-4"/>
          <w:lang w:val="sq-AL"/>
        </w:rPr>
        <w:t xml:space="preserve">Gjykata Kushtetuese e Republikës së Shqipërisë, në mbështetje të neneve 131/1/f dhe 134/1/i të Kushtetutës, si dhe të neneve 71, 71/a dhe 72 e vijuese, të ligjit nr. 8577, datë 10.2.2000, “Për organizimin dhe funksionimin e Gjykatës Kushtetuese të Republikës së Shqipërisë”, të ndryshuar, njëzëri, </w:t>
      </w:r>
    </w:p>
    <w:p w:rsidR="00B72C2E" w:rsidRPr="00AB3308" w:rsidRDefault="00B72C2E" w:rsidP="00B72C2E">
      <w:pPr>
        <w:pStyle w:val="Hapesira7"/>
        <w:rPr>
          <w:spacing w:val="-4"/>
          <w:lang w:val="sq-AL"/>
        </w:rPr>
      </w:pPr>
    </w:p>
    <w:p w:rsidR="00B72C2E" w:rsidRPr="00AB3308" w:rsidRDefault="00B72C2E" w:rsidP="00B72C2E">
      <w:pPr>
        <w:pStyle w:val="NeniNr"/>
        <w:keepNext w:val="0"/>
        <w:rPr>
          <w:spacing w:val="-4"/>
          <w:lang w:val="sq-AL"/>
        </w:rPr>
      </w:pPr>
      <w:r w:rsidRPr="00AB3308">
        <w:rPr>
          <w:spacing w:val="-4"/>
          <w:lang w:val="sq-AL"/>
        </w:rPr>
        <w:t>VENDOSI:</w:t>
      </w:r>
    </w:p>
    <w:p w:rsidR="00B72C2E" w:rsidRPr="00AB3308" w:rsidRDefault="00B72C2E" w:rsidP="00B72C2E">
      <w:pPr>
        <w:pStyle w:val="Hapesira7"/>
        <w:rPr>
          <w:spacing w:val="-4"/>
          <w:lang w:val="sq-AL"/>
        </w:rPr>
      </w:pPr>
    </w:p>
    <w:p w:rsidR="00B72C2E" w:rsidRPr="00AB3308" w:rsidRDefault="00B72C2E" w:rsidP="00B72C2E">
      <w:pPr>
        <w:pStyle w:val="Paragrafi"/>
        <w:rPr>
          <w:spacing w:val="-4"/>
          <w:lang w:val="sq-AL"/>
        </w:rPr>
      </w:pPr>
      <w:r w:rsidRPr="00AB3308">
        <w:rPr>
          <w:spacing w:val="-4"/>
          <w:lang w:val="sq-AL"/>
        </w:rPr>
        <w:t>- Pranimin pjesërisht të kërkesës.</w:t>
      </w:r>
    </w:p>
    <w:p w:rsidR="00B72C2E" w:rsidRPr="00AB3308" w:rsidRDefault="00B72C2E" w:rsidP="00B72C2E">
      <w:pPr>
        <w:pStyle w:val="Paragrafi"/>
        <w:rPr>
          <w:spacing w:val="-4"/>
          <w:lang w:val="sq-AL"/>
        </w:rPr>
      </w:pPr>
      <w:r w:rsidRPr="00AB3308">
        <w:rPr>
          <w:spacing w:val="-4"/>
          <w:lang w:val="sq-AL"/>
        </w:rPr>
        <w:t xml:space="preserve">- Shfuqizimin si të papajtueshëm me Kushtetutën të vendimit nr. 00-2017-414, datë 7.4.2017 të Kolegjit Civil të Gjykatës së Lartë. </w:t>
      </w:r>
    </w:p>
    <w:p w:rsidR="00B72C2E" w:rsidRPr="00AB3308" w:rsidRDefault="00B72C2E" w:rsidP="00B72C2E">
      <w:pPr>
        <w:pStyle w:val="Paragrafi"/>
        <w:rPr>
          <w:spacing w:val="-4"/>
          <w:lang w:val="sq-AL"/>
        </w:rPr>
      </w:pPr>
      <w:r w:rsidRPr="00AB3308">
        <w:rPr>
          <w:spacing w:val="-4"/>
          <w:lang w:val="sq-AL"/>
        </w:rPr>
        <w:t xml:space="preserve">- Dërgimin e çështjes për rishqyrtim në Gjykatën e Lartë. </w:t>
      </w:r>
    </w:p>
    <w:p w:rsidR="00B72C2E" w:rsidRPr="00AB3308" w:rsidRDefault="00B72C2E" w:rsidP="00B72C2E">
      <w:pPr>
        <w:pStyle w:val="Paragrafi"/>
        <w:rPr>
          <w:spacing w:val="-4"/>
          <w:lang w:val="sq-AL"/>
        </w:rPr>
      </w:pPr>
      <w:r w:rsidRPr="00AB3308">
        <w:rPr>
          <w:spacing w:val="-4"/>
          <w:lang w:val="sq-AL"/>
        </w:rPr>
        <w:t>Ky vendim është përfundimtar, i formës së prerë dhe hyn në fuqi ditën e botimit në Fletoren Zyrtare.</w:t>
      </w:r>
      <w:r w:rsidRPr="00AB3308">
        <w:rPr>
          <w:bCs/>
          <w:spacing w:val="-4"/>
          <w:lang w:val="sq-AL"/>
        </w:rPr>
        <w:t xml:space="preserve"> </w:t>
      </w:r>
    </w:p>
    <w:p w:rsidR="00B72C2E" w:rsidRPr="00AB3308" w:rsidRDefault="00B72C2E" w:rsidP="00B72C2E">
      <w:pPr>
        <w:pStyle w:val="Hapesira7"/>
        <w:rPr>
          <w:spacing w:val="-4"/>
          <w:lang w:val="sq-AL"/>
        </w:rPr>
      </w:pPr>
    </w:p>
    <w:p w:rsidR="00B72C2E" w:rsidRPr="00AB3308" w:rsidRDefault="00B72C2E" w:rsidP="00B72C2E">
      <w:pPr>
        <w:pStyle w:val="Paragrafi"/>
        <w:rPr>
          <w:bCs/>
          <w:spacing w:val="-4"/>
          <w:lang w:val="sq-AL"/>
        </w:rPr>
      </w:pPr>
      <w:r w:rsidRPr="00AB3308">
        <w:rPr>
          <w:bCs/>
          <w:spacing w:val="-4"/>
          <w:lang w:val="sq-AL"/>
        </w:rPr>
        <w:t xml:space="preserve">Anëtarë: Bashkim Dedja (kryetar), Fatmir Hoxha, Vitore Tusha, </w:t>
      </w:r>
      <w:r w:rsidRPr="00AB3308">
        <w:rPr>
          <w:bCs/>
          <w:spacing w:val="-4"/>
          <w:lang w:val="sq-AL"/>
        </w:rPr>
        <w:tab/>
        <w:t xml:space="preserve">Besnik Imeraj, Fatos Lulo. Gani Dizdari, </w:t>
      </w:r>
    </w:p>
    <w:p w:rsidR="007C40C8" w:rsidRPr="00B72C2E" w:rsidRDefault="007C40C8" w:rsidP="00B72C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rPr>
      </w:pPr>
    </w:p>
    <w:sectPr w:rsidR="007C40C8" w:rsidRPr="00B72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C2E"/>
    <w:rsid w:val="007C40C8"/>
    <w:rsid w:val="00B72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2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72C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2C2E"/>
    <w:rPr>
      <w:rFonts w:ascii="Garamond" w:eastAsia="MS Mincho" w:hAnsi="Garamond" w:cs="CG Times"/>
      <w:sz w:val="24"/>
    </w:rPr>
  </w:style>
  <w:style w:type="paragraph" w:customStyle="1" w:styleId="NeniNr">
    <w:name w:val="Neni_Nr"/>
    <w:next w:val="Normal"/>
    <w:link w:val="NeniNrChar"/>
    <w:rsid w:val="00B72C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72C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2C2E"/>
    <w:rPr>
      <w:rFonts w:ascii="Garamond" w:eastAsia="MS Mincho" w:hAnsi="Garamond" w:cs="CG Times"/>
      <w:sz w:val="24"/>
      <w:lang w:val="en-GB"/>
    </w:rPr>
  </w:style>
  <w:style w:type="paragraph" w:customStyle="1" w:styleId="Hapesira7">
    <w:name w:val="Hapesira 7"/>
    <w:basedOn w:val="Paragrafi"/>
    <w:qFormat/>
    <w:rsid w:val="00B72C2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2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72C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2C2E"/>
    <w:rPr>
      <w:rFonts w:ascii="Garamond" w:eastAsia="MS Mincho" w:hAnsi="Garamond" w:cs="CG Times"/>
      <w:sz w:val="24"/>
    </w:rPr>
  </w:style>
  <w:style w:type="paragraph" w:customStyle="1" w:styleId="NeniNr">
    <w:name w:val="Neni_Nr"/>
    <w:next w:val="Normal"/>
    <w:link w:val="NeniNrChar"/>
    <w:rsid w:val="00B72C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72C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2C2E"/>
    <w:rPr>
      <w:rFonts w:ascii="Garamond" w:eastAsia="MS Mincho" w:hAnsi="Garamond" w:cs="CG Times"/>
      <w:sz w:val="24"/>
      <w:lang w:val="en-GB"/>
    </w:rPr>
  </w:style>
  <w:style w:type="paragraph" w:customStyle="1" w:styleId="Hapesira7">
    <w:name w:val="Hapesira 7"/>
    <w:basedOn w:val="Paragrafi"/>
    <w:qFormat/>
    <w:rsid w:val="00B72C2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3564</Words>
  <Characters>20321</Characters>
  <Application>Microsoft Office Word</Application>
  <DocSecurity>0</DocSecurity>
  <Lines>169</Lines>
  <Paragraphs>47</Paragraphs>
  <ScaleCrop>false</ScaleCrop>
  <Company/>
  <LinksUpToDate>false</LinksUpToDate>
  <CharactersWithSpaces>23838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2018-01-03T14:50:00Z</dcterms:created>
  <dcterms:modified xsi:type="dcterms:W3CDTF">2018-01-03T14:51:00Z</dcterms:modified>
</cp:coreProperties>
</file>