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538" w:rsidRDefault="00DD7538" w:rsidP="00DD7538">
      <w:pPr>
        <w:pStyle w:val="NeniTitull"/>
        <w:rPr>
          <w:spacing w:val="-4"/>
          <w:lang w:val="sq-AL"/>
        </w:rPr>
      </w:pPr>
      <w:r>
        <w:rPr>
          <w:spacing w:val="-4"/>
          <w:lang w:val="sq-AL"/>
        </w:rPr>
        <w:t>VENDIM</w:t>
      </w:r>
    </w:p>
    <w:p w:rsidR="00DD7538" w:rsidRDefault="00DD7538" w:rsidP="00DD7538">
      <w:pPr>
        <w:pStyle w:val="NeniTitull"/>
        <w:rPr>
          <w:spacing w:val="-4"/>
          <w:lang w:val="sq-AL"/>
        </w:rPr>
      </w:pPr>
      <w:r>
        <w:rPr>
          <w:spacing w:val="-4"/>
          <w:lang w:val="sq-AL"/>
        </w:rPr>
        <w:t>Nr. 10, datë 3.4.2018</w:t>
      </w:r>
    </w:p>
    <w:p w:rsidR="00DD7538" w:rsidRDefault="00DD7538" w:rsidP="00DD7538">
      <w:pPr>
        <w:pStyle w:val="Hapesira7"/>
        <w:rPr>
          <w:spacing w:val="-4"/>
          <w:sz w:val="12"/>
          <w:lang w:val="sq-AL"/>
        </w:rPr>
      </w:pPr>
    </w:p>
    <w:p w:rsidR="00DD7538" w:rsidRDefault="00DD7538" w:rsidP="00DD7538">
      <w:pPr>
        <w:pStyle w:val="NeniTitull"/>
        <w:rPr>
          <w:spacing w:val="-4"/>
          <w:lang w:val="sq-AL"/>
        </w:rPr>
      </w:pPr>
      <w:r>
        <w:rPr>
          <w:spacing w:val="-4"/>
          <w:lang w:val="sq-AL"/>
        </w:rPr>
        <w:t>NË EMËR TË REPUBLIKËS SË SHQIPËRISË</w:t>
      </w:r>
    </w:p>
    <w:p w:rsidR="00DD7538" w:rsidRDefault="00DD7538" w:rsidP="00DD7538">
      <w:pPr>
        <w:pStyle w:val="Hapesira7"/>
        <w:rPr>
          <w:spacing w:val="-4"/>
          <w:sz w:val="12"/>
          <w:lang w:val="sq-AL"/>
        </w:rPr>
      </w:pPr>
    </w:p>
    <w:p w:rsidR="00DD7538" w:rsidRDefault="00DD7538" w:rsidP="00DD7538">
      <w:pPr>
        <w:pStyle w:val="Paragrafi"/>
        <w:rPr>
          <w:rFonts w:eastAsia="Arial Unicode MS"/>
          <w:spacing w:val="-4"/>
          <w:lang w:val="sq-AL"/>
        </w:rPr>
      </w:pPr>
      <w:r>
        <w:rPr>
          <w:rFonts w:eastAsia="Arial Unicode MS"/>
          <w:spacing w:val="-4"/>
          <w:lang w:val="sq-AL"/>
        </w:rPr>
        <w:t>Gjykata Kushtetuese e Republikës së Shqipërisë, e përbërë nga:</w:t>
      </w:r>
    </w:p>
    <w:p w:rsidR="00DD7538" w:rsidRDefault="00DD7538" w:rsidP="00DD7538">
      <w:pPr>
        <w:pStyle w:val="Paragrafi"/>
        <w:ind w:firstLine="0"/>
        <w:rPr>
          <w:spacing w:val="-4"/>
        </w:rPr>
      </w:pPr>
      <w:proofErr w:type="spellStart"/>
      <w:r>
        <w:rPr>
          <w:spacing w:val="-4"/>
        </w:rPr>
        <w:t>Bashkim</w:t>
      </w:r>
      <w:proofErr w:type="spellEnd"/>
      <w:r>
        <w:rPr>
          <w:spacing w:val="-4"/>
        </w:rPr>
        <w:t xml:space="preserve"> </w:t>
      </w:r>
      <w:proofErr w:type="spellStart"/>
      <w:r>
        <w:rPr>
          <w:spacing w:val="-4"/>
        </w:rPr>
        <w:t>Dedja</w:t>
      </w:r>
      <w:proofErr w:type="spellEnd"/>
      <w:r>
        <w:rPr>
          <w:spacing w:val="-4"/>
        </w:rPr>
        <w:t xml:space="preserve"> </w:t>
      </w:r>
      <w:r>
        <w:rPr>
          <w:spacing w:val="-4"/>
        </w:rPr>
        <w:tab/>
      </w:r>
      <w:r>
        <w:rPr>
          <w:spacing w:val="-4"/>
        </w:rPr>
        <w:tab/>
      </w:r>
      <w:proofErr w:type="spellStart"/>
      <w:r>
        <w:rPr>
          <w:spacing w:val="-4"/>
        </w:rPr>
        <w:t>kryetar</w:t>
      </w:r>
      <w:proofErr w:type="spellEnd"/>
      <w:r>
        <w:rPr>
          <w:spacing w:val="-4"/>
        </w:rPr>
        <w:t xml:space="preserve"> </w:t>
      </w:r>
      <w:proofErr w:type="spellStart"/>
      <w:r>
        <w:rPr>
          <w:spacing w:val="-4"/>
        </w:rPr>
        <w:t>i</w:t>
      </w:r>
      <w:proofErr w:type="spellEnd"/>
      <w:r>
        <w:rPr>
          <w:spacing w:val="-4"/>
        </w:rPr>
        <w:t xml:space="preserve"> </w:t>
      </w:r>
      <w:proofErr w:type="spellStart"/>
      <w:r>
        <w:rPr>
          <w:spacing w:val="-4"/>
        </w:rPr>
        <w:t>Gjykatës</w:t>
      </w:r>
      <w:proofErr w:type="spellEnd"/>
      <w:r>
        <w:rPr>
          <w:spacing w:val="-4"/>
        </w:rPr>
        <w:t xml:space="preserve"> </w:t>
      </w:r>
      <w:proofErr w:type="spellStart"/>
      <w:r>
        <w:rPr>
          <w:spacing w:val="-4"/>
        </w:rPr>
        <w:t>Kushtetuese</w:t>
      </w:r>
      <w:proofErr w:type="spellEnd"/>
    </w:p>
    <w:p w:rsidR="00DD7538" w:rsidRDefault="00DD7538" w:rsidP="00DD7538">
      <w:pPr>
        <w:pStyle w:val="Paragrafi"/>
        <w:ind w:firstLine="0"/>
        <w:rPr>
          <w:spacing w:val="-4"/>
        </w:rPr>
      </w:pPr>
      <w:proofErr w:type="spellStart"/>
      <w:r>
        <w:rPr>
          <w:spacing w:val="-4"/>
        </w:rPr>
        <w:t>Vitore</w:t>
      </w:r>
      <w:proofErr w:type="spellEnd"/>
      <w:r>
        <w:rPr>
          <w:spacing w:val="-4"/>
        </w:rPr>
        <w:t xml:space="preserve"> </w:t>
      </w:r>
      <w:proofErr w:type="spellStart"/>
      <w:r>
        <w:rPr>
          <w:spacing w:val="-4"/>
        </w:rPr>
        <w:t>Tusha</w:t>
      </w:r>
      <w:proofErr w:type="spellEnd"/>
      <w:r>
        <w:rPr>
          <w:spacing w:val="-4"/>
        </w:rPr>
        <w:t xml:space="preserve"> </w:t>
      </w:r>
      <w:r>
        <w:rPr>
          <w:spacing w:val="-4"/>
        </w:rPr>
        <w:tab/>
      </w:r>
      <w:r>
        <w:rPr>
          <w:spacing w:val="-4"/>
        </w:rPr>
        <w:tab/>
      </w:r>
      <w:proofErr w:type="spellStart"/>
      <w:r>
        <w:rPr>
          <w:spacing w:val="-4"/>
        </w:rPr>
        <w:t>anëtare</w:t>
      </w:r>
      <w:proofErr w:type="spellEnd"/>
      <w:r>
        <w:rPr>
          <w:spacing w:val="-4"/>
        </w:rPr>
        <w:t xml:space="preserve"> e</w:t>
      </w:r>
      <w:r>
        <w:rPr>
          <w:spacing w:val="-4"/>
        </w:rPr>
        <w:tab/>
      </w:r>
      <w:r>
        <w:rPr>
          <w:spacing w:val="-4"/>
        </w:rPr>
        <w:tab/>
      </w:r>
      <w:r>
        <w:rPr>
          <w:spacing w:val="-4"/>
        </w:rPr>
        <w:tab/>
        <w:t>“</w:t>
      </w:r>
      <w:r>
        <w:rPr>
          <w:spacing w:val="-4"/>
        </w:rPr>
        <w:tab/>
      </w:r>
      <w:r>
        <w:rPr>
          <w:spacing w:val="-4"/>
        </w:rPr>
        <w:tab/>
      </w:r>
      <w:r>
        <w:rPr>
          <w:spacing w:val="-4"/>
        </w:rPr>
        <w:tab/>
      </w:r>
      <w:r>
        <w:rPr>
          <w:spacing w:val="-4"/>
        </w:rPr>
        <w:tab/>
        <w:t>“</w:t>
      </w:r>
    </w:p>
    <w:p w:rsidR="00DD7538" w:rsidRDefault="00DD7538" w:rsidP="00DD7538">
      <w:pPr>
        <w:pStyle w:val="Paragrafi"/>
        <w:ind w:firstLine="0"/>
        <w:rPr>
          <w:spacing w:val="-4"/>
        </w:rPr>
      </w:pPr>
      <w:proofErr w:type="spellStart"/>
      <w:r>
        <w:rPr>
          <w:spacing w:val="-4"/>
        </w:rPr>
        <w:t>Altina</w:t>
      </w:r>
      <w:proofErr w:type="spellEnd"/>
      <w:r>
        <w:rPr>
          <w:spacing w:val="-4"/>
        </w:rPr>
        <w:t xml:space="preserve"> </w:t>
      </w:r>
      <w:proofErr w:type="spellStart"/>
      <w:r>
        <w:rPr>
          <w:spacing w:val="-4"/>
        </w:rPr>
        <w:t>Xhoxhaj</w:t>
      </w:r>
      <w:proofErr w:type="spellEnd"/>
      <w:r>
        <w:rPr>
          <w:spacing w:val="-4"/>
        </w:rPr>
        <w:t xml:space="preserve">  </w:t>
      </w:r>
      <w:r>
        <w:rPr>
          <w:spacing w:val="-4"/>
        </w:rPr>
        <w:tab/>
      </w:r>
      <w:proofErr w:type="spellStart"/>
      <w:r>
        <w:rPr>
          <w:spacing w:val="-4"/>
        </w:rPr>
        <w:t>anëtare</w:t>
      </w:r>
      <w:proofErr w:type="spellEnd"/>
      <w:r>
        <w:rPr>
          <w:spacing w:val="-4"/>
        </w:rPr>
        <w:t xml:space="preserve"> e</w:t>
      </w:r>
      <w:r>
        <w:rPr>
          <w:spacing w:val="-4"/>
        </w:rPr>
        <w:tab/>
      </w:r>
      <w:r>
        <w:rPr>
          <w:spacing w:val="-4"/>
        </w:rPr>
        <w:tab/>
      </w:r>
      <w:r>
        <w:rPr>
          <w:spacing w:val="-4"/>
        </w:rPr>
        <w:tab/>
        <w:t>“</w:t>
      </w:r>
      <w:r>
        <w:rPr>
          <w:spacing w:val="-4"/>
        </w:rPr>
        <w:tab/>
      </w:r>
      <w:r>
        <w:rPr>
          <w:spacing w:val="-4"/>
        </w:rPr>
        <w:tab/>
      </w:r>
      <w:r>
        <w:rPr>
          <w:spacing w:val="-4"/>
        </w:rPr>
        <w:tab/>
      </w:r>
      <w:r>
        <w:rPr>
          <w:spacing w:val="-4"/>
        </w:rPr>
        <w:tab/>
        <w:t>“</w:t>
      </w:r>
    </w:p>
    <w:p w:rsidR="00DD7538" w:rsidRDefault="00DD7538" w:rsidP="00DD7538">
      <w:pPr>
        <w:pStyle w:val="Paragrafi"/>
        <w:ind w:firstLine="0"/>
        <w:rPr>
          <w:spacing w:val="-4"/>
        </w:rPr>
      </w:pPr>
      <w:proofErr w:type="spellStart"/>
      <w:r>
        <w:rPr>
          <w:spacing w:val="-4"/>
        </w:rPr>
        <w:t>Fatmir</w:t>
      </w:r>
      <w:proofErr w:type="spellEnd"/>
      <w:r>
        <w:rPr>
          <w:spacing w:val="-4"/>
        </w:rPr>
        <w:t xml:space="preserve"> </w:t>
      </w:r>
      <w:proofErr w:type="spellStart"/>
      <w:r>
        <w:rPr>
          <w:spacing w:val="-4"/>
        </w:rPr>
        <w:t>Hoxha</w:t>
      </w:r>
      <w:proofErr w:type="spellEnd"/>
      <w:r>
        <w:rPr>
          <w:spacing w:val="-4"/>
        </w:rPr>
        <w:t xml:space="preserve"> </w:t>
      </w:r>
      <w:r>
        <w:rPr>
          <w:spacing w:val="-4"/>
        </w:rPr>
        <w:tab/>
      </w:r>
      <w:r>
        <w:rPr>
          <w:spacing w:val="-4"/>
        </w:rPr>
        <w:tab/>
      </w:r>
      <w:proofErr w:type="spellStart"/>
      <w:r>
        <w:rPr>
          <w:spacing w:val="-4"/>
        </w:rPr>
        <w:t>anëtar</w:t>
      </w:r>
      <w:proofErr w:type="spellEnd"/>
      <w:r>
        <w:rPr>
          <w:spacing w:val="-4"/>
        </w:rPr>
        <w:t xml:space="preserve"> </w:t>
      </w:r>
      <w:proofErr w:type="spellStart"/>
      <w:r>
        <w:rPr>
          <w:spacing w:val="-4"/>
        </w:rPr>
        <w:t>i</w:t>
      </w:r>
      <w:proofErr w:type="spellEnd"/>
      <w:r>
        <w:rPr>
          <w:spacing w:val="-4"/>
        </w:rPr>
        <w:tab/>
      </w:r>
      <w:r>
        <w:rPr>
          <w:spacing w:val="-4"/>
        </w:rPr>
        <w:tab/>
      </w:r>
      <w:r>
        <w:rPr>
          <w:spacing w:val="-4"/>
        </w:rPr>
        <w:tab/>
      </w:r>
      <w:r>
        <w:rPr>
          <w:spacing w:val="-4"/>
        </w:rPr>
        <w:tab/>
      </w:r>
      <w:r>
        <w:rPr>
          <w:spacing w:val="-4"/>
        </w:rPr>
        <w:t>“</w:t>
      </w:r>
      <w:r>
        <w:rPr>
          <w:spacing w:val="-4"/>
        </w:rPr>
        <w:tab/>
      </w:r>
      <w:r>
        <w:rPr>
          <w:spacing w:val="-4"/>
        </w:rPr>
        <w:tab/>
      </w:r>
      <w:r>
        <w:rPr>
          <w:spacing w:val="-4"/>
        </w:rPr>
        <w:tab/>
      </w:r>
      <w:r>
        <w:rPr>
          <w:spacing w:val="-4"/>
        </w:rPr>
        <w:tab/>
        <w:t>“</w:t>
      </w:r>
    </w:p>
    <w:p w:rsidR="00DD7538" w:rsidRDefault="00DD7538" w:rsidP="00DD7538">
      <w:pPr>
        <w:pStyle w:val="Paragrafi"/>
        <w:ind w:firstLine="0"/>
        <w:rPr>
          <w:spacing w:val="-4"/>
        </w:rPr>
      </w:pPr>
      <w:proofErr w:type="spellStart"/>
      <w:r>
        <w:rPr>
          <w:spacing w:val="-4"/>
        </w:rPr>
        <w:t>Besnik</w:t>
      </w:r>
      <w:proofErr w:type="spellEnd"/>
      <w:r>
        <w:rPr>
          <w:spacing w:val="-4"/>
        </w:rPr>
        <w:t xml:space="preserve"> </w:t>
      </w:r>
      <w:proofErr w:type="spellStart"/>
      <w:r>
        <w:rPr>
          <w:spacing w:val="-4"/>
        </w:rPr>
        <w:t>Imeraj</w:t>
      </w:r>
      <w:proofErr w:type="spellEnd"/>
      <w:r>
        <w:rPr>
          <w:spacing w:val="-4"/>
        </w:rPr>
        <w:t xml:space="preserve"> </w:t>
      </w:r>
      <w:r>
        <w:rPr>
          <w:spacing w:val="-4"/>
        </w:rPr>
        <w:tab/>
      </w:r>
      <w:r>
        <w:rPr>
          <w:spacing w:val="-4"/>
        </w:rPr>
        <w:tab/>
      </w:r>
      <w:proofErr w:type="spellStart"/>
      <w:r>
        <w:rPr>
          <w:spacing w:val="-4"/>
        </w:rPr>
        <w:t>anëtar</w:t>
      </w:r>
      <w:proofErr w:type="spellEnd"/>
      <w:r>
        <w:rPr>
          <w:spacing w:val="-4"/>
        </w:rPr>
        <w:t xml:space="preserve"> </w:t>
      </w:r>
      <w:proofErr w:type="spellStart"/>
      <w:r>
        <w:rPr>
          <w:spacing w:val="-4"/>
        </w:rPr>
        <w:t>i</w:t>
      </w:r>
      <w:proofErr w:type="spellEnd"/>
      <w:r>
        <w:rPr>
          <w:spacing w:val="-4"/>
        </w:rPr>
        <w:tab/>
      </w:r>
      <w:r>
        <w:rPr>
          <w:spacing w:val="-4"/>
        </w:rPr>
        <w:tab/>
      </w:r>
      <w:r>
        <w:rPr>
          <w:spacing w:val="-4"/>
        </w:rPr>
        <w:tab/>
      </w:r>
      <w:r>
        <w:rPr>
          <w:spacing w:val="-4"/>
        </w:rPr>
        <w:tab/>
      </w:r>
      <w:r>
        <w:rPr>
          <w:spacing w:val="-4"/>
        </w:rPr>
        <w:t>“</w:t>
      </w:r>
      <w:r>
        <w:rPr>
          <w:spacing w:val="-4"/>
        </w:rPr>
        <w:tab/>
      </w:r>
      <w:r>
        <w:rPr>
          <w:spacing w:val="-4"/>
        </w:rPr>
        <w:tab/>
      </w:r>
      <w:r>
        <w:rPr>
          <w:spacing w:val="-4"/>
        </w:rPr>
        <w:tab/>
      </w:r>
      <w:r>
        <w:rPr>
          <w:spacing w:val="-4"/>
        </w:rPr>
        <w:tab/>
        <w:t>“</w:t>
      </w:r>
    </w:p>
    <w:p w:rsidR="00DD7538" w:rsidRDefault="00DD7538" w:rsidP="00DD7538">
      <w:pPr>
        <w:pStyle w:val="Paragrafi"/>
        <w:ind w:firstLine="0"/>
        <w:rPr>
          <w:spacing w:val="-4"/>
        </w:rPr>
      </w:pPr>
      <w:proofErr w:type="spellStart"/>
      <w:r>
        <w:rPr>
          <w:spacing w:val="-4"/>
        </w:rPr>
        <w:t>Fatos</w:t>
      </w:r>
      <w:proofErr w:type="spellEnd"/>
      <w:r>
        <w:rPr>
          <w:spacing w:val="-4"/>
        </w:rPr>
        <w:t xml:space="preserve"> </w:t>
      </w:r>
      <w:proofErr w:type="spellStart"/>
      <w:r>
        <w:rPr>
          <w:spacing w:val="-4"/>
        </w:rPr>
        <w:t>Lulo</w:t>
      </w:r>
      <w:proofErr w:type="spellEnd"/>
      <w:r>
        <w:rPr>
          <w:spacing w:val="-4"/>
        </w:rPr>
        <w:tab/>
      </w:r>
      <w:r>
        <w:rPr>
          <w:spacing w:val="-4"/>
        </w:rPr>
        <w:tab/>
      </w:r>
      <w:proofErr w:type="spellStart"/>
      <w:r>
        <w:rPr>
          <w:spacing w:val="-4"/>
        </w:rPr>
        <w:t>anëtar</w:t>
      </w:r>
      <w:proofErr w:type="spellEnd"/>
      <w:r>
        <w:rPr>
          <w:spacing w:val="-4"/>
        </w:rPr>
        <w:t xml:space="preserve"> </w:t>
      </w:r>
      <w:proofErr w:type="spellStart"/>
      <w:r>
        <w:rPr>
          <w:spacing w:val="-4"/>
        </w:rPr>
        <w:t>i</w:t>
      </w:r>
      <w:proofErr w:type="spellEnd"/>
      <w:r>
        <w:rPr>
          <w:spacing w:val="-4"/>
        </w:rPr>
        <w:t xml:space="preserve"> </w:t>
      </w:r>
      <w:r>
        <w:rPr>
          <w:spacing w:val="-4"/>
        </w:rPr>
        <w:tab/>
      </w:r>
      <w:r>
        <w:rPr>
          <w:spacing w:val="-4"/>
        </w:rPr>
        <w:tab/>
      </w:r>
      <w:r>
        <w:rPr>
          <w:spacing w:val="-4"/>
        </w:rPr>
        <w:tab/>
      </w:r>
      <w:r>
        <w:rPr>
          <w:spacing w:val="-4"/>
        </w:rPr>
        <w:tab/>
        <w:t>“</w:t>
      </w:r>
      <w:r>
        <w:rPr>
          <w:spacing w:val="-4"/>
        </w:rPr>
        <w:tab/>
      </w:r>
      <w:r>
        <w:rPr>
          <w:spacing w:val="-4"/>
        </w:rPr>
        <w:tab/>
      </w:r>
      <w:r>
        <w:rPr>
          <w:spacing w:val="-4"/>
        </w:rPr>
        <w:tab/>
      </w:r>
      <w:r>
        <w:rPr>
          <w:spacing w:val="-4"/>
        </w:rPr>
        <w:tab/>
        <w:t>“</w:t>
      </w:r>
    </w:p>
    <w:p w:rsidR="00DD7538" w:rsidRDefault="00DD7538" w:rsidP="00DD7538">
      <w:pPr>
        <w:pStyle w:val="Paragrafi"/>
        <w:ind w:firstLine="0"/>
        <w:rPr>
          <w:spacing w:val="-4"/>
        </w:rPr>
      </w:pPr>
      <w:proofErr w:type="spellStart"/>
      <w:r>
        <w:rPr>
          <w:spacing w:val="-4"/>
        </w:rPr>
        <w:t>Gani</w:t>
      </w:r>
      <w:proofErr w:type="spellEnd"/>
      <w:r>
        <w:rPr>
          <w:spacing w:val="-4"/>
        </w:rPr>
        <w:t xml:space="preserve"> </w:t>
      </w:r>
      <w:proofErr w:type="spellStart"/>
      <w:r>
        <w:rPr>
          <w:spacing w:val="-4"/>
        </w:rPr>
        <w:t>Dizdari</w:t>
      </w:r>
      <w:proofErr w:type="spellEnd"/>
      <w:r>
        <w:rPr>
          <w:spacing w:val="-4"/>
        </w:rPr>
        <w:t xml:space="preserve"> </w:t>
      </w:r>
      <w:r>
        <w:rPr>
          <w:spacing w:val="-4"/>
        </w:rPr>
        <w:tab/>
      </w:r>
      <w:r>
        <w:rPr>
          <w:spacing w:val="-4"/>
        </w:rPr>
        <w:tab/>
      </w:r>
      <w:proofErr w:type="spellStart"/>
      <w:r>
        <w:rPr>
          <w:spacing w:val="-4"/>
        </w:rPr>
        <w:t>anëtar</w:t>
      </w:r>
      <w:proofErr w:type="spellEnd"/>
      <w:r>
        <w:rPr>
          <w:spacing w:val="-4"/>
        </w:rPr>
        <w:t xml:space="preserve"> </w:t>
      </w:r>
      <w:proofErr w:type="spellStart"/>
      <w:r>
        <w:rPr>
          <w:spacing w:val="-4"/>
        </w:rPr>
        <w:t>i</w:t>
      </w:r>
      <w:proofErr w:type="spellEnd"/>
      <w:r>
        <w:rPr>
          <w:spacing w:val="-4"/>
        </w:rPr>
        <w:tab/>
      </w:r>
      <w:r>
        <w:rPr>
          <w:spacing w:val="-4"/>
        </w:rPr>
        <w:tab/>
      </w:r>
      <w:r>
        <w:rPr>
          <w:spacing w:val="-4"/>
        </w:rPr>
        <w:tab/>
      </w:r>
      <w:r>
        <w:rPr>
          <w:spacing w:val="-4"/>
        </w:rPr>
        <w:tab/>
      </w:r>
      <w:r>
        <w:rPr>
          <w:spacing w:val="-4"/>
        </w:rPr>
        <w:t>“</w:t>
      </w:r>
      <w:r>
        <w:rPr>
          <w:spacing w:val="-4"/>
        </w:rPr>
        <w:tab/>
      </w:r>
      <w:r>
        <w:rPr>
          <w:spacing w:val="-4"/>
        </w:rPr>
        <w:tab/>
      </w:r>
      <w:r>
        <w:rPr>
          <w:spacing w:val="-4"/>
        </w:rPr>
        <w:tab/>
      </w:r>
      <w:r>
        <w:rPr>
          <w:spacing w:val="-4"/>
        </w:rPr>
        <w:tab/>
        <w:t>“</w:t>
      </w:r>
    </w:p>
    <w:p w:rsidR="00DD7538" w:rsidRDefault="00DD7538" w:rsidP="00DD7538">
      <w:pPr>
        <w:pStyle w:val="Paragrafi"/>
        <w:rPr>
          <w:rFonts w:eastAsia="Arial Unicode MS"/>
          <w:spacing w:val="-4"/>
          <w:lang w:val="sq-AL"/>
        </w:rPr>
      </w:pPr>
      <w:r>
        <w:rPr>
          <w:rFonts w:eastAsia="Arial Unicode MS"/>
          <w:spacing w:val="-4"/>
          <w:lang w:val="sq-AL"/>
        </w:rPr>
        <w:t>me sekretare Belma Lleshi, në datën 23.1.2018 mori në shqyrtim në seancë plenare, mbi bazë dokumentesh, çështjen me nr. 68/10 Akti, që u përket palëve:</w:t>
      </w:r>
    </w:p>
    <w:p w:rsidR="00DD7538" w:rsidRDefault="00DD7538" w:rsidP="00DD7538">
      <w:pPr>
        <w:pStyle w:val="Paragrafi"/>
        <w:rPr>
          <w:spacing w:val="-4"/>
          <w:lang w:val="sq-AL"/>
        </w:rPr>
      </w:pPr>
      <w:r>
        <w:rPr>
          <w:spacing w:val="-4"/>
          <w:lang w:val="sq-AL"/>
        </w:rPr>
        <w:t>KËRKUES: Liman Laçi</w:t>
      </w:r>
    </w:p>
    <w:p w:rsidR="00DD7538" w:rsidRDefault="00DD7538" w:rsidP="00DD7538">
      <w:pPr>
        <w:pStyle w:val="Paragrafi"/>
        <w:rPr>
          <w:spacing w:val="-4"/>
          <w:lang w:val="sq-AL"/>
        </w:rPr>
      </w:pPr>
      <w:r>
        <w:rPr>
          <w:spacing w:val="-4"/>
          <w:lang w:val="sq-AL"/>
        </w:rPr>
        <w:t>SUBJEKTE TË INTERESUARA: Avokatura e Përgjithshme e Shtetit, Prefekti i Qarkut Dibër Bashkia Klos</w:t>
      </w:r>
    </w:p>
    <w:p w:rsidR="00DD7538" w:rsidRDefault="00DD7538" w:rsidP="00DD7538">
      <w:pPr>
        <w:pStyle w:val="Paragrafi"/>
        <w:rPr>
          <w:spacing w:val="-4"/>
          <w:lang w:val="sq-AL"/>
        </w:rPr>
      </w:pPr>
      <w:r>
        <w:rPr>
          <w:spacing w:val="-4"/>
          <w:lang w:val="sq-AL"/>
        </w:rPr>
        <w:t xml:space="preserve">OBJEKTI: </w:t>
      </w:r>
      <w:r>
        <w:rPr>
          <w:spacing w:val="-4"/>
          <w:lang w:val="sq-AL"/>
        </w:rPr>
        <w:tab/>
        <w:t>Shfuqizimi si i papajtueshëm me Kushtetutën i vendimit nr. 00-2017-143, datë 21.3.2017 të Kolegjit Administrativ të Gjykatës së Lartë.</w:t>
      </w:r>
    </w:p>
    <w:p w:rsidR="00DD7538" w:rsidRDefault="00DD7538" w:rsidP="00DD7538">
      <w:pPr>
        <w:pStyle w:val="Paragrafi"/>
        <w:rPr>
          <w:spacing w:val="-4"/>
          <w:lang w:val="sq-AL"/>
        </w:rPr>
      </w:pPr>
      <w:r>
        <w:rPr>
          <w:spacing w:val="-4"/>
          <w:lang w:val="sq-AL"/>
        </w:rPr>
        <w:t>BAZA LIGJORE:</w:t>
      </w:r>
      <w:r>
        <w:rPr>
          <w:b/>
          <w:spacing w:val="-4"/>
          <w:lang w:val="sq-AL"/>
        </w:rPr>
        <w:t xml:space="preserve"> </w:t>
      </w:r>
      <w:r>
        <w:rPr>
          <w:spacing w:val="-4"/>
          <w:lang w:val="sq-AL"/>
        </w:rPr>
        <w:t>Nenet 42, 131/1/“f” dhe 134/1/i të Kushtetutës së Republikës së Shqipërisë; neni 6 i Konventës Evropiane për të Drejtat e Njeriut; nenet 27 e vijuese të ligjit nr. 8577, datë 10.2.2000, “Për organizimin dhe funksionimin e Gjykatës Kushtetuese të Republikës së Shqipërisë”.</w:t>
      </w:r>
    </w:p>
    <w:p w:rsidR="00DD7538" w:rsidRDefault="00DD7538" w:rsidP="00DD7538">
      <w:pPr>
        <w:pStyle w:val="Hapesira7"/>
        <w:rPr>
          <w:spacing w:val="-4"/>
          <w:lang w:val="sq-AL"/>
        </w:rPr>
      </w:pPr>
    </w:p>
    <w:p w:rsidR="00DD7538" w:rsidRDefault="00DD7538" w:rsidP="00DD7538">
      <w:pPr>
        <w:pStyle w:val="NeniNr"/>
        <w:rPr>
          <w:spacing w:val="-4"/>
          <w:lang w:val="sq-AL"/>
        </w:rPr>
      </w:pPr>
      <w:r>
        <w:rPr>
          <w:spacing w:val="-4"/>
          <w:lang w:val="sq-AL"/>
        </w:rPr>
        <w:t>GJYKATA KUSHTETUESE,</w:t>
      </w:r>
    </w:p>
    <w:p w:rsidR="00DD7538" w:rsidRDefault="00DD7538" w:rsidP="00DD7538">
      <w:pPr>
        <w:pStyle w:val="Hapesira7"/>
        <w:rPr>
          <w:spacing w:val="-4"/>
          <w:sz w:val="12"/>
          <w:lang w:val="sq-AL"/>
        </w:rPr>
      </w:pPr>
    </w:p>
    <w:p w:rsidR="00DD7538" w:rsidRDefault="00DD7538" w:rsidP="00DD7538">
      <w:pPr>
        <w:pStyle w:val="Paragrafi"/>
        <w:rPr>
          <w:rFonts w:eastAsia="Times New Roman"/>
          <w:spacing w:val="-4"/>
          <w:lang w:val="sq-AL"/>
        </w:rPr>
      </w:pPr>
      <w:r>
        <w:rPr>
          <w:rFonts w:eastAsia="Times New Roman"/>
          <w:spacing w:val="-4"/>
          <w:lang w:val="sq-AL"/>
        </w:rPr>
        <w:t xml:space="preserve">pasi dëgjoi relatorin e çështjes Gani Dizdari, </w:t>
      </w:r>
      <w:r>
        <w:rPr>
          <w:spacing w:val="-4"/>
          <w:lang w:val="sq-AL"/>
        </w:rPr>
        <w:t>mori në shqyrtim parashtrimet me shkrim të kërkuesit, që kërkoi pranimin e kërkesës, parashtrimet me shkrim të subjekteve të interesuara, Avokaturës së Përgjithshme të Shtetit dhe prefektit të Qarkut Dibër, që kërkuan rrëzimin e kërkesës, si dhe diskutoi çështjen në tërësi,</w:t>
      </w:r>
      <w:r>
        <w:rPr>
          <w:rFonts w:eastAsia="Times New Roman"/>
          <w:spacing w:val="-4"/>
          <w:lang w:val="sq-AL"/>
        </w:rPr>
        <w:t xml:space="preserve"> </w:t>
      </w:r>
    </w:p>
    <w:p w:rsidR="00DD7538" w:rsidRDefault="00DD7538" w:rsidP="00DD7538">
      <w:pPr>
        <w:pStyle w:val="NeniNr"/>
        <w:rPr>
          <w:spacing w:val="-4"/>
          <w:sz w:val="14"/>
          <w:lang w:val="sq-AL"/>
        </w:rPr>
      </w:pPr>
    </w:p>
    <w:p w:rsidR="00DD7538" w:rsidRDefault="00DD7538" w:rsidP="00DD7538">
      <w:pPr>
        <w:pStyle w:val="NeniNr"/>
        <w:rPr>
          <w:spacing w:val="-4"/>
          <w:lang w:val="sq-AL"/>
        </w:rPr>
      </w:pPr>
      <w:r>
        <w:rPr>
          <w:spacing w:val="-4"/>
          <w:lang w:val="sq-AL"/>
        </w:rPr>
        <w:t>VËREN:</w:t>
      </w:r>
    </w:p>
    <w:p w:rsidR="00DD7538" w:rsidRDefault="00DD7538" w:rsidP="00DD7538">
      <w:pPr>
        <w:pStyle w:val="NeniNr"/>
        <w:rPr>
          <w:b/>
          <w:i/>
          <w:spacing w:val="-4"/>
          <w:lang w:val="sq-AL"/>
        </w:rPr>
      </w:pPr>
      <w:r>
        <w:rPr>
          <w:b/>
          <w:bCs/>
          <w:iCs/>
          <w:spacing w:val="-4"/>
          <w:lang w:val="sq-AL"/>
        </w:rPr>
        <w:t>I</w:t>
      </w:r>
    </w:p>
    <w:p w:rsidR="00DD7538" w:rsidRDefault="00DD7538" w:rsidP="00DD7538">
      <w:pPr>
        <w:pStyle w:val="Hapesira7"/>
        <w:rPr>
          <w:spacing w:val="-4"/>
          <w:sz w:val="10"/>
          <w:lang w:val="sq-AL"/>
        </w:rPr>
      </w:pPr>
    </w:p>
    <w:p w:rsidR="00DD7538" w:rsidRDefault="00DD7538" w:rsidP="00DD7538">
      <w:pPr>
        <w:pStyle w:val="Paragrafi"/>
        <w:rPr>
          <w:rFonts w:eastAsia="Times New Roman"/>
          <w:spacing w:val="-4"/>
          <w:lang w:val="sq-AL"/>
        </w:rPr>
      </w:pPr>
      <w:r>
        <w:rPr>
          <w:rFonts w:eastAsia="Times New Roman"/>
          <w:spacing w:val="-4"/>
          <w:lang w:val="sq-AL"/>
        </w:rPr>
        <w:t>1. Me aktin e marrjes në pronësi nr. 74, datë 20.1.1994 kërkuesit i është dhënë në pronësi një sipërfaqe toke prej 10.400 m² tokë arë, në emër të familjes bujqësore të kërkuesit, Liman Laçi, në zbatim të ligjit nr. 7501/1991, “Për tokën”.</w:t>
      </w:r>
    </w:p>
    <w:p w:rsidR="00DD7538" w:rsidRDefault="00DD7538" w:rsidP="00DD7538">
      <w:pPr>
        <w:pStyle w:val="Paragrafi"/>
        <w:rPr>
          <w:rFonts w:eastAsia="Times New Roman"/>
          <w:spacing w:val="-4"/>
          <w:lang w:val="sq-AL"/>
        </w:rPr>
      </w:pPr>
      <w:r>
        <w:rPr>
          <w:rFonts w:eastAsia="Times New Roman"/>
          <w:spacing w:val="-4"/>
          <w:lang w:val="sq-AL"/>
        </w:rPr>
        <w:t>2. Prefekti i Qarkut Dibër, bazuar në ligjin nr. 9948, datë 7.7.2008, “Për shqyrtimin e vlefshmërisë ligjore të krijimit të titujve të pronësisë mbi tokën bujqësore”, të ndryshuar si dhe në udhëzimin nr. 2, datë 13.1.2010 të Këshillit të Ministrave, ka kërkuar konstatimin e pavlefshmërisë absolute të titullit të marrjes së tokës në pronësi, pasi ka rezultuar se kërkuesi nuk ka qenë banor i fshatit Suç në datën 1.8.1991, kur ka filluar efektet ligji nr. 7501/1991.</w:t>
      </w:r>
    </w:p>
    <w:p w:rsidR="00DD7538" w:rsidRDefault="00DD7538" w:rsidP="00DD7538">
      <w:pPr>
        <w:pStyle w:val="Paragrafi"/>
        <w:rPr>
          <w:rFonts w:eastAsia="Times New Roman"/>
          <w:spacing w:val="-4"/>
          <w:lang w:val="sq-AL"/>
        </w:rPr>
      </w:pPr>
      <w:r>
        <w:rPr>
          <w:rFonts w:eastAsia="Times New Roman"/>
          <w:spacing w:val="-4"/>
          <w:lang w:val="sq-AL"/>
        </w:rPr>
        <w:t xml:space="preserve">3. Komisioni i Vlerësimit të Titujve të Pronësisë, me vendimin nr. 46, datë 8.11.2010, ka vendosur: </w:t>
      </w:r>
      <w:r>
        <w:rPr>
          <w:rFonts w:eastAsia="Times New Roman"/>
          <w:i/>
          <w:spacing w:val="-4"/>
          <w:lang w:val="sq-AL"/>
        </w:rPr>
        <w:t>“Pavlefshmërinë ligjore dhe shfuqizimin e titullit të pronësisë mbi tokën bujqësore të kërkuesit.”.</w:t>
      </w:r>
    </w:p>
    <w:p w:rsidR="00DD7538" w:rsidRDefault="00DD7538" w:rsidP="00DD7538">
      <w:pPr>
        <w:pStyle w:val="Paragrafi"/>
        <w:rPr>
          <w:rFonts w:eastAsia="Times New Roman"/>
          <w:spacing w:val="-4"/>
          <w:lang w:val="sq-AL"/>
        </w:rPr>
      </w:pPr>
      <w:r>
        <w:rPr>
          <w:rFonts w:eastAsia="Times New Roman"/>
          <w:spacing w:val="-4"/>
          <w:lang w:val="sq-AL"/>
        </w:rPr>
        <w:t xml:space="preserve">4. Për konstatimin gjyqësor të këtij vendimi, prefekti i Qarkut Dibër i është drejtuar Gjykatës me kërkesë për shfuqizimin e ATMP-së së kërkuesit. Gjykata e Rrethit Gjyqësor Mat, me vendimin nr. 298, datë 4.10.2011, ka vendosur: </w:t>
      </w:r>
      <w:r>
        <w:rPr>
          <w:rFonts w:eastAsia="Times New Roman"/>
          <w:i/>
          <w:spacing w:val="-4"/>
          <w:lang w:val="sq-AL"/>
        </w:rPr>
        <w:t>“Rrëzimin e padisë së prefektit të Qarkut Dibër.”</w:t>
      </w:r>
      <w:r>
        <w:rPr>
          <w:rFonts w:eastAsia="Times New Roman"/>
          <w:spacing w:val="-4"/>
          <w:lang w:val="sq-AL"/>
        </w:rPr>
        <w:t>.</w:t>
      </w:r>
    </w:p>
    <w:p w:rsidR="00DD7538" w:rsidRDefault="00DD7538" w:rsidP="00DD7538">
      <w:pPr>
        <w:pStyle w:val="Paragrafi"/>
        <w:rPr>
          <w:rFonts w:eastAsia="Times New Roman"/>
          <w:spacing w:val="-4"/>
          <w:lang w:val="sq-AL"/>
        </w:rPr>
      </w:pPr>
      <w:r>
        <w:rPr>
          <w:rFonts w:eastAsia="Times New Roman"/>
          <w:spacing w:val="-4"/>
          <w:lang w:val="sq-AL"/>
        </w:rPr>
        <w:t xml:space="preserve">5. Gjykata e Apelit Tiranë, me vendimin nr. 1083, datë 8.5.2012 ka vendosur: </w:t>
      </w:r>
      <w:r>
        <w:rPr>
          <w:rFonts w:eastAsia="Times New Roman"/>
          <w:i/>
          <w:spacing w:val="-4"/>
          <w:lang w:val="sq-AL"/>
        </w:rPr>
        <w:t xml:space="preserve">“Lënien në fuqi të vendimit.”. </w:t>
      </w:r>
    </w:p>
    <w:p w:rsidR="00DD7538" w:rsidRDefault="00DD7538" w:rsidP="00DD7538">
      <w:pPr>
        <w:pStyle w:val="Paragrafi"/>
        <w:rPr>
          <w:b/>
          <w:i/>
          <w:spacing w:val="-4"/>
          <w:lang w:val="sq-AL" w:eastAsia="fr-FR"/>
        </w:rPr>
      </w:pPr>
      <w:r>
        <w:rPr>
          <w:rFonts w:eastAsia="Times New Roman"/>
          <w:spacing w:val="-4"/>
          <w:lang w:val="sq-AL"/>
        </w:rPr>
        <w:t xml:space="preserve">6. Kolegji Administrativ i Gjykatës së Lartë, me vendimin nr. 00-2017-143, datë 21.3.2017, ka vendosur: </w:t>
      </w:r>
      <w:r>
        <w:rPr>
          <w:rFonts w:eastAsia="Times New Roman"/>
          <w:i/>
          <w:spacing w:val="-4"/>
          <w:lang w:val="sq-AL"/>
        </w:rPr>
        <w:t xml:space="preserve">“Ndryshimin e vendimeve të të dyja gjykatave. Pranimin e padisë, duke konstatuar pavlefshmërinë absolute të aktit të marrjes </w:t>
      </w:r>
      <w:r>
        <w:rPr>
          <w:rFonts w:eastAsia="Times New Roman"/>
          <w:i/>
          <w:spacing w:val="-4"/>
          <w:lang w:val="sq-AL"/>
        </w:rPr>
        <w:lastRenderedPageBreak/>
        <w:t xml:space="preserve">së tokës në pronësi.”. </w:t>
      </w:r>
    </w:p>
    <w:p w:rsidR="00DD7538" w:rsidRDefault="00DD7538" w:rsidP="00DD7538">
      <w:pPr>
        <w:pStyle w:val="NeniNr"/>
        <w:rPr>
          <w:b/>
          <w:spacing w:val="-4"/>
          <w:lang w:val="sq-AL"/>
        </w:rPr>
      </w:pPr>
      <w:r>
        <w:rPr>
          <w:b/>
          <w:spacing w:val="-4"/>
          <w:lang w:val="sq-AL"/>
        </w:rPr>
        <w:t>II</w:t>
      </w:r>
    </w:p>
    <w:p w:rsidR="00DD7538" w:rsidRDefault="00DD7538" w:rsidP="00DD7538">
      <w:pPr>
        <w:pStyle w:val="Hapesira7"/>
        <w:rPr>
          <w:spacing w:val="-4"/>
          <w:lang w:val="sq-AL"/>
        </w:rPr>
      </w:pPr>
    </w:p>
    <w:p w:rsidR="00DD7538" w:rsidRDefault="00DD7538" w:rsidP="00DD7538">
      <w:pPr>
        <w:pStyle w:val="Paragrafi"/>
        <w:rPr>
          <w:bCs/>
          <w:spacing w:val="-4"/>
          <w:lang w:val="sq-AL"/>
        </w:rPr>
      </w:pPr>
      <w:r>
        <w:rPr>
          <w:bCs/>
          <w:spacing w:val="-4"/>
          <w:lang w:val="sq-AL"/>
        </w:rPr>
        <w:t>7</w:t>
      </w:r>
      <w:r>
        <w:rPr>
          <w:b/>
          <w:bCs/>
          <w:i/>
          <w:spacing w:val="-4"/>
          <w:lang w:val="sq-AL"/>
        </w:rPr>
        <w:t>. Kërkuesi</w:t>
      </w:r>
      <w:r>
        <w:rPr>
          <w:bCs/>
          <w:spacing w:val="-4"/>
          <w:lang w:val="sq-AL"/>
        </w:rPr>
        <w:t xml:space="preserve"> i është drejtuar Gjykatës Kushtetuese për shfuqizimin e</w:t>
      </w:r>
      <w:r>
        <w:rPr>
          <w:b/>
          <w:bCs/>
          <w:spacing w:val="-4"/>
          <w:lang w:val="sq-AL"/>
        </w:rPr>
        <w:t xml:space="preserve"> </w:t>
      </w:r>
      <w:r>
        <w:rPr>
          <w:bCs/>
          <w:spacing w:val="-4"/>
          <w:lang w:val="sq-AL"/>
        </w:rPr>
        <w:t xml:space="preserve">vendimit të Kolegjit Administrativ, duke pretenduar se ai është i padrejtë dhe antikushtetues, pasi ka cenuar të drejtën e pronësisë nëpërmjet një procesi të parregullt ligjor. Pavarësisht se ai </w:t>
      </w:r>
      <w:r>
        <w:rPr>
          <w:bCs/>
          <w:i/>
          <w:spacing w:val="-4"/>
          <w:lang w:val="sq-AL"/>
        </w:rPr>
        <w:t>de jure</w:t>
      </w:r>
      <w:r>
        <w:rPr>
          <w:bCs/>
          <w:spacing w:val="-4"/>
          <w:lang w:val="sq-AL"/>
        </w:rPr>
        <w:t xml:space="preserve"> nuk rezulton i regjistruar në gjendjen civile të njësisë Klos në datën e hyrjes në fuqi të ligjit “Për tokën”, </w:t>
      </w:r>
      <w:r>
        <w:rPr>
          <w:bCs/>
          <w:i/>
          <w:spacing w:val="-4"/>
          <w:lang w:val="sq-AL"/>
        </w:rPr>
        <w:t>de facto</w:t>
      </w:r>
      <w:r>
        <w:rPr>
          <w:bCs/>
          <w:spacing w:val="-4"/>
          <w:lang w:val="sq-AL"/>
        </w:rPr>
        <w:t xml:space="preserve"> ai nuk është larguar asnjëherë nga fshati dhe nuk ka pasur asnjë vendbanim tjetër jashtë tij. Vetëm fakti i lëvizjes formale të vendbanimit nuk mund t’i heqë të drejtën e pronësisë mbi tokën, të cilën ai e ka fituar sipas ligjit, pasi ka qenë prej shumë vitesh banor i atij fshati. </w:t>
      </w:r>
    </w:p>
    <w:p w:rsidR="00DD7538" w:rsidRDefault="00DD7538" w:rsidP="00DD7538">
      <w:pPr>
        <w:pStyle w:val="Paragrafi"/>
        <w:rPr>
          <w:b/>
          <w:spacing w:val="-4"/>
          <w:lang w:val="sq-AL"/>
        </w:rPr>
      </w:pPr>
      <w:r>
        <w:rPr>
          <w:spacing w:val="-4"/>
          <w:lang w:val="sq-AL"/>
        </w:rPr>
        <w:t xml:space="preserve">8. </w:t>
      </w:r>
      <w:r>
        <w:rPr>
          <w:b/>
          <w:i/>
          <w:spacing w:val="-4"/>
          <w:lang w:val="sq-AL"/>
        </w:rPr>
        <w:t>Subjekti i interesuar, Avokatura e Përgjithshme e Shtetit</w:t>
      </w:r>
      <w:r>
        <w:rPr>
          <w:i/>
          <w:spacing w:val="-4"/>
          <w:lang w:val="sq-AL"/>
        </w:rPr>
        <w:t xml:space="preserve">, </w:t>
      </w:r>
      <w:r>
        <w:rPr>
          <w:spacing w:val="-4"/>
          <w:lang w:val="sq-AL"/>
        </w:rPr>
        <w:t>ka parashtruar se procesi i zhvilluar para Kolegjit Administrativ të Gjykatës së Lartë është bërë në përputhje me rregullat procedurale dhe materiale të parashikuara për këtë qëllim. Kërkuesi nuk ka ngritur pretendime të natyrës kushtetuese, por vetëm ligjore, të cilat nuk janë në juridiksionin e Gjykatës Kushtetuese.</w:t>
      </w:r>
      <w:r>
        <w:rPr>
          <w:b/>
          <w:spacing w:val="-4"/>
          <w:lang w:val="sq-AL"/>
        </w:rPr>
        <w:t xml:space="preserve"> </w:t>
      </w:r>
    </w:p>
    <w:p w:rsidR="00DD7538" w:rsidRDefault="00DD7538" w:rsidP="00DD7538">
      <w:pPr>
        <w:pStyle w:val="Paragrafi"/>
        <w:rPr>
          <w:spacing w:val="-4"/>
          <w:lang w:val="sq-AL"/>
        </w:rPr>
      </w:pPr>
      <w:r>
        <w:rPr>
          <w:spacing w:val="-4"/>
          <w:lang w:val="sq-AL"/>
        </w:rPr>
        <w:t xml:space="preserve">9. </w:t>
      </w:r>
      <w:r>
        <w:rPr>
          <w:b/>
          <w:i/>
          <w:spacing w:val="-4"/>
          <w:lang w:val="sq-AL"/>
        </w:rPr>
        <w:t xml:space="preserve">Subjekti i interesuar, prefekti i Qarkut Dibër, </w:t>
      </w:r>
      <w:r>
        <w:rPr>
          <w:spacing w:val="-4"/>
          <w:lang w:val="sq-AL"/>
        </w:rPr>
        <w:t xml:space="preserve">ka parashtruar se pretendimet e kërkuesit nuk qëndrojnë. Vendimi i Kolegjit Administrativ të Gjykatës së Lartë është i mbështetur tërësisht në ligj e prova dhe, si rrjedhojë, ka respektuar të gjitha elementet e procesit të rregullt ligjor. </w:t>
      </w:r>
    </w:p>
    <w:p w:rsidR="00DD7538" w:rsidRDefault="00DD7538" w:rsidP="00DD7538">
      <w:pPr>
        <w:pStyle w:val="Hapesira7"/>
        <w:rPr>
          <w:spacing w:val="-4"/>
          <w:lang w:val="sq-AL"/>
        </w:rPr>
      </w:pPr>
    </w:p>
    <w:p w:rsidR="00DD7538" w:rsidRDefault="00DD7538" w:rsidP="00DD7538">
      <w:pPr>
        <w:pStyle w:val="NeniNr"/>
        <w:rPr>
          <w:b/>
          <w:spacing w:val="-4"/>
          <w:lang w:val="sq-AL"/>
        </w:rPr>
      </w:pPr>
      <w:r>
        <w:rPr>
          <w:b/>
          <w:spacing w:val="-4"/>
          <w:lang w:val="sq-AL"/>
        </w:rPr>
        <w:t>III</w:t>
      </w:r>
    </w:p>
    <w:p w:rsidR="00DD7538" w:rsidRDefault="00DD7538" w:rsidP="00DD7538">
      <w:pPr>
        <w:pStyle w:val="NeniNr"/>
        <w:rPr>
          <w:b/>
          <w:spacing w:val="-4"/>
          <w:lang w:val="sq-AL"/>
        </w:rPr>
      </w:pPr>
      <w:r>
        <w:rPr>
          <w:b/>
          <w:spacing w:val="-4"/>
          <w:lang w:val="sq-AL"/>
        </w:rPr>
        <w:t>Vlerësimi i Gjykatës Kushtetuese</w:t>
      </w:r>
    </w:p>
    <w:p w:rsidR="00DD7538" w:rsidRDefault="00DD7538" w:rsidP="00DD7538">
      <w:pPr>
        <w:pStyle w:val="Hapesira7"/>
        <w:rPr>
          <w:spacing w:val="-4"/>
          <w:lang w:val="sq-AL"/>
        </w:rPr>
      </w:pPr>
    </w:p>
    <w:p w:rsidR="00DD7538" w:rsidRDefault="00DD7538" w:rsidP="00DD7538">
      <w:pPr>
        <w:pStyle w:val="Paragrafi"/>
        <w:rPr>
          <w:i/>
          <w:spacing w:val="-4"/>
          <w:lang w:val="sq-AL"/>
        </w:rPr>
      </w:pPr>
      <w:r>
        <w:rPr>
          <w:i/>
          <w:spacing w:val="-4"/>
          <w:lang w:val="sq-AL"/>
        </w:rPr>
        <w:t xml:space="preserve">A. Për legjitimimin e kërkuesit </w:t>
      </w:r>
    </w:p>
    <w:p w:rsidR="00DD7538" w:rsidRDefault="00DD7538" w:rsidP="00DD7538">
      <w:pPr>
        <w:pStyle w:val="Paragrafi"/>
        <w:rPr>
          <w:spacing w:val="-4"/>
          <w:lang w:val="sq-AL"/>
        </w:rPr>
      </w:pPr>
      <w:r>
        <w:rPr>
          <w:spacing w:val="-4"/>
          <w:lang w:val="sq-AL"/>
        </w:rPr>
        <w:t xml:space="preserve">10. Kërkuesi legjitimohet </w:t>
      </w:r>
      <w:r>
        <w:rPr>
          <w:i/>
          <w:spacing w:val="-4"/>
          <w:lang w:val="sq-AL"/>
        </w:rPr>
        <w:t>ratione personae</w:t>
      </w:r>
      <w:r>
        <w:rPr>
          <w:spacing w:val="-4"/>
          <w:lang w:val="sq-AL"/>
        </w:rPr>
        <w:t xml:space="preserve">, në kuptim të rregullimit kushtetues të neneve 131/1/“f” dhe 134/1/“i” të Kushtetutës. Lidhur me legjitimimin </w:t>
      </w:r>
      <w:r>
        <w:rPr>
          <w:i/>
          <w:spacing w:val="-4"/>
          <w:lang w:val="sq-AL"/>
        </w:rPr>
        <w:t>ratione temporis</w:t>
      </w:r>
      <w:r>
        <w:rPr>
          <w:spacing w:val="-4"/>
          <w:lang w:val="sq-AL"/>
        </w:rPr>
        <w:t xml:space="preserve">, vendimi i Gjykatës së Lartë mban datën 21.3.2017, ndërsa kërkesa është paraqitur në Gjykatë në datën 18.7.2017, pra brenda afatit 4-mujor, sipas nenit 71/“a”, pika 1, shkronja “b”, të ligjit nr. 8577, datë 10.2.2000, “Për organizimin dhe funksionimin e Gjykatës Kushtetuese të Republikës së Shqipërisë”, të ndryshuar. </w:t>
      </w:r>
    </w:p>
    <w:p w:rsidR="00DD7538" w:rsidRDefault="00DD7538" w:rsidP="00DD7538">
      <w:pPr>
        <w:pStyle w:val="Paragrafi"/>
        <w:rPr>
          <w:spacing w:val="-4"/>
          <w:lang w:val="sq-AL"/>
        </w:rPr>
      </w:pPr>
      <w:r>
        <w:rPr>
          <w:spacing w:val="-4"/>
          <w:lang w:val="sq-AL"/>
        </w:rPr>
        <w:t xml:space="preserve">11. Në lidhje me legjitimimin </w:t>
      </w:r>
      <w:r>
        <w:rPr>
          <w:i/>
          <w:spacing w:val="-4"/>
          <w:lang w:val="sq-AL"/>
        </w:rPr>
        <w:t>ratione materiae</w:t>
      </w:r>
      <w:r>
        <w:rPr>
          <w:spacing w:val="-4"/>
          <w:lang w:val="sq-AL"/>
        </w:rPr>
        <w:t xml:space="preserve">, </w:t>
      </w:r>
      <w:r>
        <w:rPr>
          <w:bCs/>
          <w:spacing w:val="-4"/>
          <w:lang w:val="sq-AL"/>
        </w:rPr>
        <w:t xml:space="preserve">Gjykata ka theksuar se </w:t>
      </w:r>
      <w:r>
        <w:rPr>
          <w:spacing w:val="-4"/>
          <w:lang w:val="sq-AL"/>
        </w:rPr>
        <w:t xml:space="preserve">bazuar në nenin 131/1/“f” të Kushtetutës ajo vendos për gjykimin përfundimtar të ankesave të individit për shkeljen e së drejtës kushtetuese për një proces të rregullt ligjor, pasi ai të ketë shteruar të gjitha mjetet juridike për mbrojtjen e kësaj të drejte, çka nënkupton se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Pr>
          <w:i/>
          <w:spacing w:val="-4"/>
          <w:lang w:val="sq-AL"/>
        </w:rPr>
        <w:t>(shih vendimin nr. 48, datë 6.7.2015 të Gjykatës Kushtetuese)</w:t>
      </w:r>
      <w:r>
        <w:rPr>
          <w:spacing w:val="-4"/>
          <w:lang w:val="sq-AL"/>
        </w:rPr>
        <w:t>. Rezulton se kërkuesi i ka shteruar të gjitha mjetet dhe legjitimohet t’i drejtohet kësaj Gjykate për sa pretendon në kërkesë.</w:t>
      </w:r>
    </w:p>
    <w:p w:rsidR="00DD7538" w:rsidRDefault="00DD7538" w:rsidP="00DD7538">
      <w:pPr>
        <w:pStyle w:val="Paragrafi"/>
        <w:rPr>
          <w:i/>
          <w:spacing w:val="-4"/>
          <w:lang w:val="sq-AL"/>
        </w:rPr>
      </w:pPr>
      <w:r>
        <w:rPr>
          <w:i/>
          <w:spacing w:val="-4"/>
          <w:lang w:val="sq-AL"/>
        </w:rPr>
        <w:t>B. Për pretendimin e cenimit të së drejtës së pronës</w:t>
      </w:r>
    </w:p>
    <w:p w:rsidR="00DD7538" w:rsidRDefault="00DD7538" w:rsidP="00DD7538">
      <w:pPr>
        <w:pStyle w:val="Paragrafi"/>
        <w:rPr>
          <w:spacing w:val="-4"/>
          <w:lang w:val="sq-AL"/>
        </w:rPr>
      </w:pPr>
      <w:r>
        <w:rPr>
          <w:spacing w:val="-4"/>
          <w:lang w:val="sq-AL"/>
        </w:rPr>
        <w:t xml:space="preserve">12. Kërkuesi pretendon se vendimi i Kolegjit Administrativ është antikushtetues, pasi ai ka cenuar të drejtën e pronës nëpërmjet një procesi të parregullt. Ai kolegj ka interpretuar provat dhe faktet në mënyrë të ndryshme nga dy gjykatat e faktit, duke arritur në një përfundim të ndryshëm, gjë që nuk përputhet me natyrën e gjykimit të Gjykatës së Lartë. </w:t>
      </w:r>
    </w:p>
    <w:p w:rsidR="00DD7538" w:rsidRDefault="00DD7538" w:rsidP="00DD7538">
      <w:pPr>
        <w:pStyle w:val="Paragrafi"/>
        <w:rPr>
          <w:spacing w:val="-4"/>
          <w:lang w:val="sq-AL"/>
        </w:rPr>
      </w:pPr>
      <w:r>
        <w:rPr>
          <w:spacing w:val="-4"/>
          <w:lang w:val="sq-AL"/>
        </w:rPr>
        <w:t xml:space="preserve">13. Në jurisprudencë të vazhdueshme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Pr>
          <w:i/>
          <w:spacing w:val="-4"/>
          <w:lang w:val="sq-AL"/>
        </w:rPr>
        <w:t>(</w:t>
      </w:r>
      <w:r>
        <w:rPr>
          <w:i/>
          <w:iCs/>
          <w:spacing w:val="-4"/>
          <w:lang w:val="sq-AL"/>
        </w:rPr>
        <w:t xml:space="preserve">shih vendimin </w:t>
      </w:r>
      <w:r>
        <w:rPr>
          <w:bCs/>
          <w:i/>
          <w:iCs/>
          <w:spacing w:val="-4"/>
          <w:lang w:val="sq-AL"/>
        </w:rPr>
        <w:t>nr. 3, datë 19.2.2013</w:t>
      </w:r>
      <w:r>
        <w:rPr>
          <w:i/>
          <w:iCs/>
          <w:spacing w:val="-4"/>
          <w:lang w:val="sq-AL"/>
        </w:rPr>
        <w:t xml:space="preserve"> të Gjykatës Kushtetuese)</w:t>
      </w:r>
      <w:r>
        <w:rPr>
          <w:i/>
          <w:spacing w:val="-4"/>
          <w:lang w:val="sq-AL"/>
        </w:rPr>
        <w:t>.</w:t>
      </w:r>
      <w:r>
        <w:rPr>
          <w:spacing w:val="-4"/>
          <w:lang w:val="sq-AL"/>
        </w:rPr>
        <w:t xml:space="preserve"> Gjykata ndërhyn në ato raste kur, përmes veprimeve të tyre, gjykatat e zakonshme cenojnë të drejtën për një proces të rregullt ligjor. Në këto raste, Gjykata nuk bën </w:t>
      </w:r>
      <w:r>
        <w:rPr>
          <w:spacing w:val="-4"/>
          <w:lang w:val="sq-AL"/>
        </w:rPr>
        <w:lastRenderedPageBreak/>
        <w:t xml:space="preserve">rivlerësimin e fakteve e të rrethanave, por një vlerësim të natyrës kushtetuese, të dallueshëm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Pr>
          <w:i/>
          <w:spacing w:val="-4"/>
          <w:lang w:val="sq-AL"/>
        </w:rPr>
        <w:t>(shih vendimin nr. 62, datë 23.9.2015 të Gjykatës Kushtetuese)</w:t>
      </w:r>
      <w:r>
        <w:rPr>
          <w:spacing w:val="-4"/>
          <w:lang w:val="sq-AL"/>
        </w:rPr>
        <w:t>.</w:t>
      </w:r>
    </w:p>
    <w:p w:rsidR="00DD7538" w:rsidRDefault="00DD7538" w:rsidP="00DD7538">
      <w:pPr>
        <w:pStyle w:val="Paragrafi"/>
        <w:rPr>
          <w:i/>
          <w:spacing w:val="-4"/>
          <w:lang w:val="sq-AL"/>
        </w:rPr>
      </w:pPr>
      <w:r>
        <w:rPr>
          <w:spacing w:val="-4"/>
          <w:lang w:val="sq-AL"/>
        </w:rPr>
        <w:t xml:space="preserve">14. Referuar çështjes konkrete për gjykim, Gjykata sjell në vëmendje se ajo ka marrë më parë në shqyrtim ligjin nr. 9948, datë 7.7.2008, </w:t>
      </w:r>
      <w:r>
        <w:rPr>
          <w:i/>
          <w:spacing w:val="-4"/>
          <w:lang w:val="sq-AL"/>
        </w:rPr>
        <w:t>“Për shqyrtimin e vlefshmërisë ligjore të krijimit të titujve të pronësisë mbi tokën bujqësore”</w:t>
      </w:r>
      <w:r>
        <w:rPr>
          <w:spacing w:val="-4"/>
          <w:lang w:val="sq-AL"/>
        </w:rPr>
        <w:t xml:space="preserve"> dhe ka çmuar: “</w:t>
      </w:r>
      <w:r>
        <w:rPr>
          <w:i/>
          <w:spacing w:val="-4"/>
          <w:lang w:val="sq-AL"/>
        </w:rPr>
        <w:t>Ky ligj është në pajtim me Kushtetutën vetëm nëse ai interpretohet dhe zbatohet në përputhje me parimet e theksuara prej kësaj Gjykate. Konkretisht, ai nuk prek titujt e pronësisë të dhënë në përputhje me kriteret e parashikuara nga legjislacioni në fuqi në kohën e krijimit të tyre, pasi komisionet vendore janë vetëm konstatuese të pavlefshmërisë, ato nuk mund të anulojnë apo shfuqizojnë tituj të pronësisë apo të urdhërojnë çregjistrimin e këtyre titujve nga regjistri i pasurive të paluajtshme. Është vetëm gjykata, e cila mbi padinë e të interesuarve apo autoriteteve publike përkatëse, vendos përfundimisht në lidhje me të drejtën e pronësisë së subjekteve të interesuara [...] sipas nenit 10/1 të këtij ligji, kur KV-ja, gjatë verifikimit, vëren se krijimi i titujve të pronësisë mbi tokën është bërë në kundërshtim me dispozitat e përcaktuara në nenet 2, 3 dhe 4 të këtij ligji, i paraqet gjykatës së rrethit gjyqësor përkatës një kërkesë për anulimin e aktit administrativ “akti i marrjes së tokës në pronësi”, dhe sipas pikës 2, të nenit 10 të këtij ligji, kërkesa i paraqitet subjektit përkatës nga prefekti dhe objekti i kërkesës së prefektit është deklarimi i pavlefshmërisë së “aktit të marrjes së tokës në pronësi” (shih vendimin nr. 29, datë 31.5.2010 të Gjykatës Kushtetuese).</w:t>
      </w:r>
    </w:p>
    <w:p w:rsidR="00DD7538" w:rsidRDefault="00DD7538" w:rsidP="00DD7538">
      <w:pPr>
        <w:pStyle w:val="Paragrafi"/>
        <w:rPr>
          <w:spacing w:val="-4"/>
          <w:lang w:val="sq-AL"/>
        </w:rPr>
      </w:pPr>
      <w:r>
        <w:rPr>
          <w:spacing w:val="-4"/>
          <w:lang w:val="sq-AL"/>
        </w:rPr>
        <w:t xml:space="preserve">15. Gjykata thekson se qëllimi i ligjit nr. 9948/2008 është verifikimi i titujve të pronësisë së tokave bujqësore për ligjshmërinë e tyre, në mënyrë që të shmanget marrja e pronësisë së tokës bujqësore në kundërshtim me kriteret e përcaktuara nga ligji nr. 7501/1991, “Për tokën” dhe aktet nënligjore të dala në zbatim të tij. Në ligj është parashikuar shprehimisht se kur AMTP-ja e përfituesit të tokës bujqësore shfuqizohet me vendim të gjykatës, prona e përfituar padrejtësisht duhet të kalojë në pronësi të shtetit dhe jo të mbetet në pronësi të personave të tretë. </w:t>
      </w:r>
    </w:p>
    <w:p w:rsidR="00DD7538" w:rsidRDefault="00DD7538" w:rsidP="00DD7538">
      <w:pPr>
        <w:pStyle w:val="Paragrafi"/>
        <w:rPr>
          <w:spacing w:val="-4"/>
          <w:lang w:val="sq-AL"/>
        </w:rPr>
      </w:pPr>
      <w:r>
        <w:rPr>
          <w:spacing w:val="-4"/>
          <w:lang w:val="sq-AL"/>
        </w:rPr>
        <w:t xml:space="preserve">16. Në çështjen konkrete rezulton se Gjykata e Rrethit Gjyqësor Mat dhe Gjykata e Apelit Tiranë kanë marrë në shqyrtim kërkesëpadinë e prefektit të Qarkut Dibër dhe kanë arritur në përfundimin se shkelja e pretenduar prej paditësit (pra, mosqenia i regjistruar në regjistrin e gjendjes civile të fshatit Suç në datën 1.8.1991) nuk është e tillë që ta bëjë absolutisht të pavlefshëm titullin e pronësisë. Të dyja gjykatat e kanë pranuar faktin se kërkuesi ka bërë transferimin e gjendjes civile dhe bashkë me të edhe të lejes së banimit në datën 7.7.1991 nga fshati Suç në qytetin Klos, pra vetëm disa javë para datës që përcakton ligji nr. 7501/1991 si afat përfundimtar për përfitimin e tokës si pjesë e familjes bujqësore, por </w:t>
      </w:r>
      <w:r>
        <w:rPr>
          <w:i/>
          <w:spacing w:val="-4"/>
          <w:lang w:val="sq-AL"/>
        </w:rPr>
        <w:t>de facto</w:t>
      </w:r>
      <w:r>
        <w:rPr>
          <w:spacing w:val="-4"/>
          <w:lang w:val="sq-AL"/>
        </w:rPr>
        <w:t xml:space="preserve"> kërkuesi dhe familja e tij kanë vazhduar të jetojnë në fshatin Suç, gjë që provohet edhe nga fakti se fëmijët e tij kanë frekuentuar shkollën e fshatit Suç. Në këtë këndvështrim, gjykatat kanë konstatuar se ky fakt nuk është i tillë që ta bëjë AMTP-në e përfituar nga kërkuesi një akt absolutisht të pavlefshëm, pasi qëllimi i ligjit nr. 7501/1991 për t’i dhënë një anëtari të familjes bujqësore tokë rezulton i realizuar. Kërkuesi ka qenë vazhdimisht dhe pa ndërprerje banor i fshatit Suç, gjë që është vërtetuar gjatë gjykimit në shkallë të parë dhe në apel. </w:t>
      </w:r>
    </w:p>
    <w:p w:rsidR="00DD7538" w:rsidRDefault="00DD7538" w:rsidP="00DD7538">
      <w:pPr>
        <w:pStyle w:val="Paragrafi"/>
        <w:rPr>
          <w:rFonts w:eastAsia="Times New Roman"/>
          <w:lang w:val="sq-AL"/>
        </w:rPr>
      </w:pPr>
      <w:r>
        <w:rPr>
          <w:spacing w:val="-4"/>
          <w:lang w:val="sq-AL"/>
        </w:rPr>
        <w:t xml:space="preserve">17. Nisur nga sa më lart, Gjykata çmon se Kolegji Administrativ i Gjykatës së Lartë nuk mund të bëjë vlerësim të ndryshëm për të njëjtat fakte nga ato që kanë bërë dy gjykatat më të ulëta, pasi kjo gjë nuk është në përputhje me juridiksionin e asaj gjykate. Gjykata është shprehur se nxjerrja e një konkluzioni të kundërt nga ana e Gjykatës së Lartë, lidhur me provat e marra gjatë gjykimit në dy gjykatat e shkallëve më të ulëta, nuk pajtohet me </w:t>
      </w:r>
      <w:r>
        <w:rPr>
          <w:lang w:val="sq-AL"/>
        </w:rPr>
        <w:t xml:space="preserve">natyrën e gjykimit të saj. Gjykata e Lartë nuk mund të konkludojë </w:t>
      </w:r>
      <w:r>
        <w:rPr>
          <w:i/>
          <w:lang w:val="sq-AL"/>
        </w:rPr>
        <w:t>a priori</w:t>
      </w:r>
      <w:r>
        <w:rPr>
          <w:lang w:val="sq-AL"/>
        </w:rPr>
        <w:t xml:space="preserve"> nëse është vërtetuar apo jo një fakt i caktuar, ndërkohë që nga përmbajtja e vendimeve të të dyja gjykatave më të ulëta rezulton e provuar e kundërta. Nëse ajo vlerëson se provat e administruara nuk janë të mjaftueshme për arritjen e një konkluzioni apo nëse çmon se nevojitet kryerja e vlerësimeve të mëtejshme të tyre, ajo nuk mund të marrë kompetencat e gjykatës të faktit, por duhet ta kthejë çështjen për rishqyrtim, me qëllim plotësimin e të metave të vendimit, por në asnjë rast nuk mund ta zgjidhë vetë çështjen në themel duke rivlerësuar ndryshe faktet dhe provat e marra gjatë gjykimit në shkallët </w:t>
      </w:r>
      <w:r>
        <w:rPr>
          <w:lang w:val="sq-AL"/>
        </w:rPr>
        <w:lastRenderedPageBreak/>
        <w:t>më të ulëta gjyqësore. Një veprim i tillë bie ndesh me parimin e gjykatës së caktuar me ligj, i trajtuar nga jurisprudenca e Gjykatës Kushtetuese (</w:t>
      </w:r>
      <w:r>
        <w:rPr>
          <w:i/>
          <w:lang w:val="sq-AL"/>
        </w:rPr>
        <w:t>shih vendimet nr. 44, datë 19.7.2016; nr. 7, datë 7.2.2017 të Gjykatës Kushtetuese</w:t>
      </w:r>
      <w:r>
        <w:rPr>
          <w:lang w:val="sq-AL"/>
        </w:rPr>
        <w:t>).</w:t>
      </w:r>
      <w:r>
        <w:rPr>
          <w:rFonts w:eastAsia="Times New Roman"/>
          <w:lang w:val="sq-AL"/>
        </w:rPr>
        <w:t xml:space="preserve"> </w:t>
      </w:r>
    </w:p>
    <w:p w:rsidR="00DD7538" w:rsidRPr="00DD7538" w:rsidRDefault="00DD7538" w:rsidP="00DD7538">
      <w:pPr>
        <w:pStyle w:val="Paragrafi"/>
        <w:rPr>
          <w:i/>
          <w:lang w:val="sq-AL"/>
        </w:rPr>
      </w:pPr>
      <w:r>
        <w:rPr>
          <w:rFonts w:eastAsia="Times New Roman"/>
          <w:lang w:val="sq-AL"/>
        </w:rPr>
        <w:t xml:space="preserve">18. Nisur nga sa më lart, Gjykata çmon se </w:t>
      </w:r>
      <w:r>
        <w:rPr>
          <w:lang w:val="sq-AL"/>
        </w:rPr>
        <w:t xml:space="preserve">Kolegji i Gjykatës së Lartë nuk mund të ndryshojë vendimet e gjykatave të faktit dhe të shprehet për themelin e çështjes duke bërë vlerësim të ndryshëm të provave dhe fakteve që janë administruar gjatë gjykimit nga gjykatat më të ulëta.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w:t>
      </w:r>
      <w:r>
        <w:rPr>
          <w:i/>
          <w:lang w:val="sq-AL"/>
        </w:rPr>
        <w:t>(shih vendimet nr. 83, datë 30.12.2015 dhe nr. 20, datë 20.3.2017 të Gjykatës Kushtetuese).</w:t>
      </w:r>
      <w:bookmarkStart w:id="0" w:name="_GoBack"/>
      <w:bookmarkEnd w:id="0"/>
    </w:p>
    <w:p w:rsidR="00DD7538" w:rsidRDefault="00DD7538" w:rsidP="00DD7538">
      <w:pPr>
        <w:pStyle w:val="Paragrafi"/>
        <w:rPr>
          <w:lang w:val="sq-AL"/>
        </w:rPr>
      </w:pPr>
      <w:r>
        <w:rPr>
          <w:lang w:val="sq-AL"/>
        </w:rPr>
        <w:t>19. Kolegji Administrativ në asnjë rast nuk mund ta zgjidhë vetë çështjen në themel, duke rivlerësuar ndryshe faktet dhe provat e marra gjatë gjykimit nga gjykatat më të ulëta. Një veprim i tillë bie ndesh me parimin e gjykatës së caktuar me ligj të zhvilluar në vazhdimësi nga Gjykata Kushtetuese në jurisprudencën e saj (</w:t>
      </w:r>
      <w:r>
        <w:rPr>
          <w:i/>
          <w:lang w:val="sq-AL"/>
        </w:rPr>
        <w:t>shih vendimet nr. 36, datë 30.6.2014; nr. 87, datë 30.12.2016 dhe nr. 56, datë 25.7.2017 të Gjykatës Kushtetuese)</w:t>
      </w:r>
      <w:r>
        <w:rPr>
          <w:lang w:val="sq-AL"/>
        </w:rPr>
        <w:t>.</w:t>
      </w:r>
    </w:p>
    <w:p w:rsidR="00DD7538" w:rsidRDefault="00DD7538" w:rsidP="00DD7538">
      <w:pPr>
        <w:pStyle w:val="Paragrafi"/>
        <w:rPr>
          <w:i/>
          <w:lang w:val="sq-AL"/>
        </w:rPr>
      </w:pPr>
      <w:r>
        <w:rPr>
          <w:lang w:val="sq-AL"/>
        </w:rPr>
        <w:t xml:space="preserve">20. </w:t>
      </w:r>
      <w:r>
        <w:rPr>
          <w:rFonts w:eastAsia="Times New Roman"/>
          <w:lang w:val="sq-AL"/>
        </w:rPr>
        <w:t>Bazuar në standardet e mësipërme kushtetuese, Gjykata vlerëson se në çështjen konkrete Kolegji Administrativ i Gjykatës së Lartë</w:t>
      </w:r>
      <w:r>
        <w:rPr>
          <w:rFonts w:eastAsia="Times New Roman"/>
          <w:bCs/>
          <w:lang w:val="sq-AL"/>
        </w:rPr>
        <w:t xml:space="preserve"> ka tejkaluar kompetencat ligjore, duke cenuar parimin e gjykimit nga një gjykatë e caktuar me ligj, si element i së drejtës për një proces të rregullt ligjor. Për rrjedhojë, pretendimi i kërkuesit është i bazuar dhe duhet pranuar.</w:t>
      </w:r>
    </w:p>
    <w:p w:rsidR="00DD7538" w:rsidRDefault="00DD7538" w:rsidP="00DD7538">
      <w:pPr>
        <w:pStyle w:val="Hapesira7"/>
        <w:rPr>
          <w:lang w:val="sq-AL"/>
        </w:rPr>
      </w:pPr>
    </w:p>
    <w:p w:rsidR="00DD7538" w:rsidRDefault="00DD7538" w:rsidP="00DD7538">
      <w:pPr>
        <w:pStyle w:val="NeniNr"/>
        <w:rPr>
          <w:lang w:val="sq-AL"/>
        </w:rPr>
      </w:pPr>
      <w:r>
        <w:rPr>
          <w:lang w:val="sq-AL"/>
        </w:rPr>
        <w:t>PËR KËTO ARSYE:</w:t>
      </w:r>
    </w:p>
    <w:p w:rsidR="00DD7538" w:rsidRDefault="00DD7538" w:rsidP="00DD7538">
      <w:pPr>
        <w:pStyle w:val="Hapesira7"/>
        <w:rPr>
          <w:lang w:val="sq-AL"/>
        </w:rPr>
      </w:pPr>
    </w:p>
    <w:p w:rsidR="00DD7538" w:rsidRDefault="00DD7538" w:rsidP="00DD7538">
      <w:pPr>
        <w:pStyle w:val="Paragrafi"/>
        <w:rPr>
          <w:rFonts w:eastAsia="Times New Roman"/>
          <w:lang w:val="sq-AL"/>
        </w:rPr>
      </w:pPr>
      <w:r>
        <w:rPr>
          <w:rFonts w:eastAsia="Times New Roman"/>
          <w:lang w:val="sq-AL"/>
        </w:rPr>
        <w:t>Gjykata Kushtetuese e Republikës së Shqipërisë, në mbështetje të neneve 131/1/“f” dhe 134/1/“i” të Kushtetutës, si dhe të neneve 72 e vijuese të ligjit nr. 8577, datë 10.2.2000, “Për organizimin dhe funksionimin e Gjykatës Kushtetuese të Republikës së Shqipërisë”, njëzëri,</w:t>
      </w:r>
    </w:p>
    <w:p w:rsidR="00DD7538" w:rsidRDefault="00DD7538" w:rsidP="00DD7538">
      <w:pPr>
        <w:pStyle w:val="NeniNr"/>
        <w:rPr>
          <w:sz w:val="12"/>
          <w:lang w:val="sq-AL"/>
        </w:rPr>
      </w:pPr>
    </w:p>
    <w:p w:rsidR="00DD7538" w:rsidRDefault="00DD7538" w:rsidP="00DD7538">
      <w:pPr>
        <w:pStyle w:val="NeniNr"/>
        <w:rPr>
          <w:lang w:val="sq-AL"/>
        </w:rPr>
      </w:pPr>
      <w:r>
        <w:rPr>
          <w:lang w:val="sq-AL"/>
        </w:rPr>
        <w:t>VENDOSI:</w:t>
      </w:r>
    </w:p>
    <w:p w:rsidR="00DD7538" w:rsidRDefault="00DD7538" w:rsidP="00DD7538">
      <w:pPr>
        <w:pStyle w:val="Hapesira7"/>
        <w:rPr>
          <w:lang w:val="sq-AL"/>
        </w:rPr>
      </w:pPr>
    </w:p>
    <w:p w:rsidR="00DD7538" w:rsidRDefault="00DD7538" w:rsidP="00DD7538">
      <w:pPr>
        <w:pStyle w:val="Paragrafi"/>
        <w:rPr>
          <w:rFonts w:eastAsia="Times New Roman"/>
          <w:lang w:val="sq-AL"/>
        </w:rPr>
      </w:pPr>
      <w:r>
        <w:rPr>
          <w:rFonts w:eastAsia="Times New Roman"/>
          <w:lang w:val="sq-AL"/>
        </w:rPr>
        <w:t xml:space="preserve">- Pranimin e kërkesës. </w:t>
      </w:r>
    </w:p>
    <w:p w:rsidR="00DD7538" w:rsidRDefault="00DD7538" w:rsidP="00DD7538">
      <w:pPr>
        <w:pStyle w:val="Paragrafi"/>
        <w:rPr>
          <w:rFonts w:eastAsia="Times New Roman"/>
          <w:lang w:val="sq-AL"/>
        </w:rPr>
      </w:pPr>
      <w:r>
        <w:rPr>
          <w:rFonts w:eastAsia="Times New Roman"/>
          <w:lang w:val="sq-AL"/>
        </w:rPr>
        <w:t xml:space="preserve">- Shfuqizimin si të papajtueshëm me Kushtetutën të vendimit nr. 00-2017-143, datë 21.3.2017 të Kolegjit Administrativ të Gjykatës së Lartë. </w:t>
      </w:r>
    </w:p>
    <w:p w:rsidR="00DD7538" w:rsidRDefault="00DD7538" w:rsidP="00DD7538">
      <w:pPr>
        <w:pStyle w:val="Paragrafi"/>
        <w:rPr>
          <w:rFonts w:eastAsia="Times New Roman"/>
          <w:lang w:val="sq-AL"/>
        </w:rPr>
      </w:pPr>
      <w:r>
        <w:rPr>
          <w:lang w:val="sq-AL"/>
        </w:rPr>
        <w:t>- Dërgimin e çështjes për rishqyrtim në Gjykatën e Lartë.</w:t>
      </w:r>
    </w:p>
    <w:p w:rsidR="00DD7538" w:rsidRDefault="00DD7538" w:rsidP="00DD7538">
      <w:pPr>
        <w:pStyle w:val="Paragrafi"/>
        <w:rPr>
          <w:rFonts w:eastAsia="Times New Roman"/>
          <w:lang w:val="sq-AL"/>
        </w:rPr>
      </w:pPr>
      <w:r>
        <w:rPr>
          <w:rFonts w:eastAsia="Times New Roman"/>
          <w:lang w:val="sq-AL"/>
        </w:rPr>
        <w:t>Ky vendim është përfundimtar, i formës së prerë dhe hyn në fuqi ditën e botimit në Fletoren Zyrtare.</w:t>
      </w:r>
      <w:r>
        <w:rPr>
          <w:rFonts w:eastAsia="Times New Roman"/>
          <w:b/>
          <w:bCs/>
          <w:lang w:val="sq-AL"/>
        </w:rPr>
        <w:t xml:space="preserve"> </w:t>
      </w:r>
    </w:p>
    <w:p w:rsidR="00DD7538" w:rsidRDefault="00DD7538" w:rsidP="00DD7538">
      <w:pPr>
        <w:pStyle w:val="Paragrafi"/>
        <w:rPr>
          <w:rFonts w:eastAsia="Times New Roman"/>
          <w:sz w:val="14"/>
          <w:lang w:val="sq-AL"/>
        </w:rPr>
      </w:pPr>
    </w:p>
    <w:p w:rsidR="00DD7538" w:rsidRDefault="00DD7538" w:rsidP="00DD7538">
      <w:pPr>
        <w:pStyle w:val="Paragrafi"/>
        <w:rPr>
          <w:rFonts w:eastAsia="Times New Roman"/>
          <w:lang w:val="sq-AL"/>
        </w:rPr>
      </w:pPr>
      <w:proofErr w:type="spellStart"/>
      <w:r>
        <w:t>Anëtarë</w:t>
      </w:r>
      <w:proofErr w:type="spellEnd"/>
      <w:r>
        <w:t xml:space="preserve">: </w:t>
      </w:r>
      <w:r>
        <w:rPr>
          <w:sz w:val="4"/>
        </w:rPr>
        <w:t xml:space="preserve">   </w:t>
      </w:r>
      <w:r>
        <w:t xml:space="preserve"> </w:t>
      </w:r>
      <w:r>
        <w:rPr>
          <w:sz w:val="4"/>
        </w:rPr>
        <w:t xml:space="preserve"> </w:t>
      </w:r>
      <w:r>
        <w:t xml:space="preserve"> </w:t>
      </w:r>
      <w:r>
        <w:rPr>
          <w:sz w:val="4"/>
        </w:rPr>
        <w:t xml:space="preserve">  </w:t>
      </w:r>
      <w:proofErr w:type="spellStart"/>
      <w:r>
        <w:t>Bashkim</w:t>
      </w:r>
      <w:proofErr w:type="spellEnd"/>
      <w:r>
        <w:t xml:space="preserve">   </w:t>
      </w:r>
      <w:r>
        <w:rPr>
          <w:sz w:val="4"/>
        </w:rPr>
        <w:t xml:space="preserve">  </w:t>
      </w:r>
      <w:proofErr w:type="spellStart"/>
      <w:r>
        <w:t>Dedja</w:t>
      </w:r>
      <w:proofErr w:type="spellEnd"/>
      <w:r>
        <w:tab/>
        <w:t xml:space="preserve"> </w:t>
      </w:r>
      <w:r>
        <w:rPr>
          <w:sz w:val="4"/>
        </w:rPr>
        <w:t xml:space="preserve">     </w:t>
      </w:r>
      <w:r>
        <w:t xml:space="preserve">  (</w:t>
      </w:r>
      <w:proofErr w:type="spellStart"/>
      <w:r>
        <w:t>kryetar</w:t>
      </w:r>
      <w:proofErr w:type="spellEnd"/>
      <w:r>
        <w:t xml:space="preserve">), </w:t>
      </w:r>
      <w:proofErr w:type="spellStart"/>
      <w:r>
        <w:t>Altina</w:t>
      </w:r>
      <w:proofErr w:type="spellEnd"/>
      <w:r>
        <w:rPr>
          <w:sz w:val="4"/>
        </w:rPr>
        <w:t xml:space="preserve"> </w:t>
      </w:r>
      <w:proofErr w:type="spellStart"/>
      <w:r>
        <w:t>Xhoxhaj</w:t>
      </w:r>
      <w:proofErr w:type="spellEnd"/>
      <w:r>
        <w:t xml:space="preserve">, </w:t>
      </w:r>
      <w:proofErr w:type="spellStart"/>
      <w:r>
        <w:t>Vitore</w:t>
      </w:r>
      <w:proofErr w:type="spellEnd"/>
      <w:r>
        <w:t xml:space="preserve"> </w:t>
      </w:r>
      <w:proofErr w:type="spellStart"/>
      <w:r>
        <w:t>Tusha</w:t>
      </w:r>
      <w:proofErr w:type="spellEnd"/>
      <w:r>
        <w:t xml:space="preserve">, </w:t>
      </w:r>
      <w:proofErr w:type="spellStart"/>
      <w:r>
        <w:t>Besnik</w:t>
      </w:r>
      <w:proofErr w:type="spellEnd"/>
      <w:r>
        <w:t xml:space="preserve"> </w:t>
      </w:r>
      <w:proofErr w:type="spellStart"/>
      <w:r>
        <w:t>Imeraj</w:t>
      </w:r>
      <w:proofErr w:type="spellEnd"/>
      <w:r>
        <w:t xml:space="preserve">, </w:t>
      </w:r>
      <w:proofErr w:type="spellStart"/>
      <w:r>
        <w:t>Fatmir</w:t>
      </w:r>
      <w:proofErr w:type="spellEnd"/>
      <w:r>
        <w:t xml:space="preserve"> </w:t>
      </w:r>
      <w:proofErr w:type="spellStart"/>
      <w:r>
        <w:t>Hoxha</w:t>
      </w:r>
      <w:proofErr w:type="spellEnd"/>
      <w:r>
        <w:t xml:space="preserve">, </w:t>
      </w:r>
      <w:proofErr w:type="spellStart"/>
      <w:r>
        <w:t>Gani</w:t>
      </w:r>
      <w:proofErr w:type="spellEnd"/>
      <w:r>
        <w:t xml:space="preserve"> </w:t>
      </w:r>
      <w:proofErr w:type="spellStart"/>
      <w:r>
        <w:t>Dizdari</w:t>
      </w:r>
      <w:proofErr w:type="spellEnd"/>
      <w:r>
        <w:t xml:space="preserve">, </w:t>
      </w:r>
      <w:proofErr w:type="spellStart"/>
      <w:r>
        <w:t>Fatos</w:t>
      </w:r>
      <w:proofErr w:type="spellEnd"/>
      <w:r>
        <w:t xml:space="preserve"> </w:t>
      </w:r>
      <w:proofErr w:type="spellStart"/>
      <w:r>
        <w:t>Lulo</w:t>
      </w:r>
      <w:proofErr w:type="spellEnd"/>
    </w:p>
    <w:p w:rsidR="004D3011" w:rsidRDefault="004D3011"/>
    <w:sectPr w:rsidR="004D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93E"/>
    <w:rsid w:val="004D3011"/>
    <w:rsid w:val="00D7193E"/>
    <w:rsid w:val="00DD7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8A7182-CEB8-476F-9C08-814F6469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D7538"/>
    <w:rPr>
      <w:rFonts w:ascii="Garamond" w:eastAsia="MS Mincho" w:hAnsi="Garamond" w:cs="CG Times"/>
      <w:sz w:val="24"/>
    </w:rPr>
  </w:style>
  <w:style w:type="paragraph" w:customStyle="1" w:styleId="Paragrafi">
    <w:name w:val="Paragrafi"/>
    <w:link w:val="ParagrafiChar"/>
    <w:rsid w:val="00DD753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D7538"/>
    <w:rPr>
      <w:rFonts w:ascii="Garamond" w:eastAsia="MS Mincho" w:hAnsi="Garamond" w:cs="CG Times"/>
      <w:sz w:val="24"/>
      <w:lang w:val="en-GB"/>
    </w:rPr>
  </w:style>
  <w:style w:type="paragraph" w:customStyle="1" w:styleId="NeniNr">
    <w:name w:val="Neni_Nr"/>
    <w:next w:val="Normal"/>
    <w:link w:val="NeniNrChar"/>
    <w:rsid w:val="00DD753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753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D753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55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2269</Words>
  <Characters>12939</Characters>
  <Application>Microsoft Office Word</Application>
  <DocSecurity>0</DocSecurity>
  <Lines>107</Lines>
  <Paragraphs>30</Paragraphs>
  <ScaleCrop>false</ScaleCrop>
  <Company/>
  <LinksUpToDate>false</LinksUpToDate>
  <CharactersWithSpaces>15178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2018-04-06T11:54:00Z</dcterms:created>
  <dcterms:modified xsi:type="dcterms:W3CDTF">2018-04-06T11:55:00Z</dcterms:modified>
</cp:coreProperties>
</file>