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6B5B06" w14:textId="77777777" w:rsidR="00E57208" w:rsidRPr="00E57208" w:rsidRDefault="00E57208" w:rsidP="00E57208">
      <w:pPr>
        <w:spacing w:after="0" w:line="240" w:lineRule="auto"/>
        <w:ind w:firstLine="284"/>
        <w:jc w:val="center"/>
        <w:rPr>
          <w:rFonts w:ascii="Garamond" w:hAnsi="Garamond"/>
          <w:b/>
          <w:bCs/>
          <w:sz w:val="24"/>
          <w:szCs w:val="24"/>
        </w:rPr>
      </w:pPr>
      <w:r w:rsidRPr="00E57208">
        <w:rPr>
          <w:rFonts w:ascii="Garamond" w:hAnsi="Garamond"/>
          <w:b/>
          <w:bCs/>
          <w:sz w:val="24"/>
          <w:szCs w:val="24"/>
        </w:rPr>
        <w:t>VENDIM</w:t>
      </w:r>
    </w:p>
    <w:p w14:paraId="728FBFA8" w14:textId="2EB06402" w:rsidR="00E57208" w:rsidRPr="00E57208" w:rsidRDefault="003711F6" w:rsidP="00E57208">
      <w:pPr>
        <w:spacing w:after="0" w:line="240" w:lineRule="auto"/>
        <w:ind w:firstLine="284"/>
        <w:jc w:val="center"/>
        <w:rPr>
          <w:rFonts w:ascii="Garamond" w:hAnsi="Garamond"/>
          <w:b/>
          <w:bCs/>
          <w:sz w:val="24"/>
          <w:szCs w:val="24"/>
        </w:rPr>
      </w:pPr>
      <w:r>
        <w:rPr>
          <w:rFonts w:ascii="Garamond" w:hAnsi="Garamond"/>
          <w:b/>
          <w:bCs/>
          <w:sz w:val="24"/>
          <w:szCs w:val="24"/>
        </w:rPr>
        <w:t xml:space="preserve">Nr. 35, datë </w:t>
      </w:r>
      <w:r w:rsidR="00E57208" w:rsidRPr="00E57208">
        <w:rPr>
          <w:rFonts w:ascii="Garamond" w:hAnsi="Garamond"/>
          <w:b/>
          <w:bCs/>
          <w:sz w:val="24"/>
          <w:szCs w:val="24"/>
        </w:rPr>
        <w:t>1.11.2021</w:t>
      </w:r>
    </w:p>
    <w:p w14:paraId="7D254E3E" w14:textId="77777777" w:rsidR="00E57208" w:rsidRPr="00E57208" w:rsidRDefault="00E57208" w:rsidP="00E57208">
      <w:pPr>
        <w:spacing w:after="0" w:line="240" w:lineRule="auto"/>
        <w:ind w:firstLine="284"/>
        <w:jc w:val="center"/>
        <w:rPr>
          <w:rFonts w:ascii="Garamond" w:hAnsi="Garamond"/>
          <w:b/>
          <w:bCs/>
          <w:sz w:val="24"/>
          <w:szCs w:val="24"/>
        </w:rPr>
      </w:pPr>
    </w:p>
    <w:p w14:paraId="1B378D66" w14:textId="61AED509" w:rsidR="00E57208" w:rsidRPr="00E57208" w:rsidRDefault="00E57208" w:rsidP="00E57208">
      <w:pPr>
        <w:spacing w:after="0" w:line="240" w:lineRule="auto"/>
        <w:ind w:firstLine="284"/>
        <w:jc w:val="center"/>
        <w:rPr>
          <w:rFonts w:ascii="Garamond" w:hAnsi="Garamond"/>
          <w:b/>
          <w:bCs/>
          <w:sz w:val="24"/>
          <w:szCs w:val="24"/>
        </w:rPr>
      </w:pPr>
      <w:r w:rsidRPr="00E57208">
        <w:rPr>
          <w:rFonts w:ascii="Garamond" w:hAnsi="Garamond"/>
          <w:b/>
          <w:bCs/>
          <w:sz w:val="24"/>
          <w:szCs w:val="24"/>
        </w:rPr>
        <w:t>NË E</w:t>
      </w:r>
      <w:r w:rsidR="003711F6">
        <w:rPr>
          <w:rFonts w:ascii="Garamond" w:hAnsi="Garamond"/>
          <w:b/>
          <w:bCs/>
          <w:sz w:val="24"/>
          <w:szCs w:val="24"/>
        </w:rPr>
        <w:t>MËR TË REPUBLIKËS SË SHQIPËRISË</w:t>
      </w:r>
    </w:p>
    <w:p w14:paraId="3D3832AF" w14:textId="77777777" w:rsidR="00E57208" w:rsidRPr="00E57208" w:rsidRDefault="00E57208" w:rsidP="00E57208">
      <w:pPr>
        <w:spacing w:after="0" w:line="240" w:lineRule="auto"/>
        <w:ind w:firstLine="284"/>
        <w:jc w:val="both"/>
        <w:rPr>
          <w:rFonts w:ascii="Garamond" w:hAnsi="Garamond"/>
          <w:sz w:val="24"/>
          <w:szCs w:val="24"/>
        </w:rPr>
      </w:pPr>
    </w:p>
    <w:p w14:paraId="2FFD38FE" w14:textId="77777777" w:rsidR="00E57208" w:rsidRDefault="00E57208" w:rsidP="00E57208">
      <w:pPr>
        <w:spacing w:after="0" w:line="240" w:lineRule="auto"/>
        <w:ind w:firstLine="284"/>
        <w:jc w:val="both"/>
        <w:rPr>
          <w:rFonts w:ascii="Garamond" w:hAnsi="Garamond"/>
          <w:sz w:val="24"/>
          <w:szCs w:val="24"/>
        </w:rPr>
      </w:pPr>
      <w:r w:rsidRPr="00E57208">
        <w:rPr>
          <w:rFonts w:ascii="Garamond" w:hAnsi="Garamond"/>
          <w:sz w:val="24"/>
          <w:szCs w:val="24"/>
        </w:rPr>
        <w:t>Gjykata Kushtetuese e Republikës së Shqipërisë, e përbërë nga:</w:t>
      </w:r>
    </w:p>
    <w:p w14:paraId="208044D0" w14:textId="77777777" w:rsidR="00E57208" w:rsidRPr="00E57208" w:rsidRDefault="00E57208" w:rsidP="00E57208">
      <w:pPr>
        <w:spacing w:after="0" w:line="240" w:lineRule="auto"/>
        <w:ind w:firstLine="284"/>
        <w:jc w:val="both"/>
        <w:rPr>
          <w:rFonts w:ascii="Garamond" w:hAnsi="Garamond"/>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1276"/>
      </w:tblGrid>
      <w:tr w:rsidR="00E57208" w14:paraId="405986F8" w14:textId="77777777" w:rsidTr="00E57208">
        <w:tc>
          <w:tcPr>
            <w:tcW w:w="2093" w:type="dxa"/>
          </w:tcPr>
          <w:p w14:paraId="29E6092C" w14:textId="1C800E49" w:rsidR="00E57208" w:rsidRDefault="00E57208" w:rsidP="00E57208">
            <w:pPr>
              <w:spacing w:after="0" w:line="240" w:lineRule="auto"/>
              <w:jc w:val="both"/>
              <w:rPr>
                <w:rFonts w:ascii="Garamond" w:hAnsi="Garamond"/>
                <w:sz w:val="24"/>
                <w:szCs w:val="24"/>
              </w:rPr>
            </w:pPr>
            <w:r w:rsidRPr="00E57208">
              <w:rPr>
                <w:rFonts w:ascii="Garamond" w:hAnsi="Garamond"/>
                <w:sz w:val="24"/>
                <w:szCs w:val="24"/>
              </w:rPr>
              <w:t>Vitore Tusha</w:t>
            </w:r>
          </w:p>
        </w:tc>
        <w:tc>
          <w:tcPr>
            <w:tcW w:w="1276" w:type="dxa"/>
          </w:tcPr>
          <w:p w14:paraId="78FA9600" w14:textId="6FE45BE5" w:rsidR="00E57208" w:rsidRDefault="002D49A5" w:rsidP="00E57208">
            <w:pPr>
              <w:spacing w:after="0" w:line="240" w:lineRule="auto"/>
              <w:jc w:val="both"/>
              <w:rPr>
                <w:rFonts w:ascii="Garamond" w:hAnsi="Garamond"/>
                <w:sz w:val="24"/>
                <w:szCs w:val="24"/>
              </w:rPr>
            </w:pPr>
            <w:r w:rsidRPr="00E57208">
              <w:rPr>
                <w:rFonts w:ascii="Garamond" w:hAnsi="Garamond"/>
                <w:sz w:val="24"/>
                <w:szCs w:val="24"/>
              </w:rPr>
              <w:t>kryetare</w:t>
            </w:r>
            <w:r>
              <w:rPr>
                <w:rFonts w:ascii="Garamond" w:hAnsi="Garamond"/>
                <w:sz w:val="24"/>
                <w:szCs w:val="24"/>
              </w:rPr>
              <w:t>;</w:t>
            </w:r>
          </w:p>
        </w:tc>
      </w:tr>
      <w:tr w:rsidR="00E57208" w14:paraId="7941FA56" w14:textId="77777777" w:rsidTr="00E57208">
        <w:tc>
          <w:tcPr>
            <w:tcW w:w="2093" w:type="dxa"/>
          </w:tcPr>
          <w:p w14:paraId="459BB36E" w14:textId="77B0C60E" w:rsidR="00E57208" w:rsidRDefault="00E57208" w:rsidP="00E57208">
            <w:pPr>
              <w:spacing w:after="0" w:line="240" w:lineRule="auto"/>
              <w:jc w:val="both"/>
              <w:rPr>
                <w:rFonts w:ascii="Garamond" w:hAnsi="Garamond"/>
                <w:sz w:val="24"/>
                <w:szCs w:val="24"/>
              </w:rPr>
            </w:pPr>
            <w:proofErr w:type="spellStart"/>
            <w:r w:rsidRPr="00E57208">
              <w:rPr>
                <w:rFonts w:ascii="Garamond" w:hAnsi="Garamond"/>
                <w:sz w:val="24"/>
                <w:szCs w:val="24"/>
              </w:rPr>
              <w:t>Elsa</w:t>
            </w:r>
            <w:proofErr w:type="spellEnd"/>
            <w:r w:rsidRPr="00E57208">
              <w:rPr>
                <w:rFonts w:ascii="Garamond" w:hAnsi="Garamond"/>
                <w:sz w:val="24"/>
                <w:szCs w:val="24"/>
              </w:rPr>
              <w:t xml:space="preserve"> Toska</w:t>
            </w:r>
          </w:p>
        </w:tc>
        <w:tc>
          <w:tcPr>
            <w:tcW w:w="1276" w:type="dxa"/>
          </w:tcPr>
          <w:p w14:paraId="013F6CEA" w14:textId="15E35891" w:rsidR="00E57208" w:rsidRDefault="002D49A5" w:rsidP="00E57208">
            <w:pPr>
              <w:spacing w:after="0" w:line="240" w:lineRule="auto"/>
              <w:jc w:val="both"/>
              <w:rPr>
                <w:rFonts w:ascii="Garamond" w:hAnsi="Garamond"/>
                <w:sz w:val="24"/>
                <w:szCs w:val="24"/>
              </w:rPr>
            </w:pPr>
            <w:r w:rsidRPr="00E57208">
              <w:rPr>
                <w:rFonts w:ascii="Garamond" w:hAnsi="Garamond"/>
                <w:sz w:val="24"/>
                <w:szCs w:val="24"/>
              </w:rPr>
              <w:t>anëtare</w:t>
            </w:r>
            <w:r>
              <w:rPr>
                <w:rFonts w:ascii="Garamond" w:hAnsi="Garamond"/>
                <w:sz w:val="24"/>
                <w:szCs w:val="24"/>
              </w:rPr>
              <w:t>;</w:t>
            </w:r>
          </w:p>
        </w:tc>
      </w:tr>
      <w:tr w:rsidR="00E57208" w14:paraId="6E55198D" w14:textId="77777777" w:rsidTr="00E57208">
        <w:tc>
          <w:tcPr>
            <w:tcW w:w="2093" w:type="dxa"/>
          </w:tcPr>
          <w:p w14:paraId="732DB152" w14:textId="6371718F" w:rsidR="00E57208" w:rsidRDefault="007D550C" w:rsidP="00E57208">
            <w:pPr>
              <w:spacing w:after="0" w:line="240" w:lineRule="auto"/>
              <w:jc w:val="both"/>
              <w:rPr>
                <w:rFonts w:ascii="Garamond" w:hAnsi="Garamond"/>
                <w:sz w:val="24"/>
                <w:szCs w:val="24"/>
              </w:rPr>
            </w:pPr>
            <w:proofErr w:type="spellStart"/>
            <w:r>
              <w:rPr>
                <w:rFonts w:ascii="Garamond" w:hAnsi="Garamond"/>
                <w:sz w:val="24"/>
                <w:szCs w:val="24"/>
              </w:rPr>
              <w:t>Marsida</w:t>
            </w:r>
            <w:proofErr w:type="spellEnd"/>
            <w:r>
              <w:rPr>
                <w:rFonts w:ascii="Garamond" w:hAnsi="Garamond"/>
                <w:sz w:val="24"/>
                <w:szCs w:val="24"/>
              </w:rPr>
              <w:t xml:space="preserve"> </w:t>
            </w:r>
            <w:proofErr w:type="spellStart"/>
            <w:r>
              <w:rPr>
                <w:rFonts w:ascii="Garamond" w:hAnsi="Garamond"/>
                <w:sz w:val="24"/>
                <w:szCs w:val="24"/>
              </w:rPr>
              <w:t>Xhaferllari</w:t>
            </w:r>
            <w:proofErr w:type="spellEnd"/>
          </w:p>
        </w:tc>
        <w:tc>
          <w:tcPr>
            <w:tcW w:w="1276" w:type="dxa"/>
          </w:tcPr>
          <w:p w14:paraId="3AF89ABD" w14:textId="30966A3C" w:rsidR="00E57208" w:rsidRDefault="002D49A5" w:rsidP="00E57208">
            <w:pPr>
              <w:spacing w:after="0" w:line="240" w:lineRule="auto"/>
              <w:jc w:val="both"/>
              <w:rPr>
                <w:rFonts w:ascii="Garamond" w:hAnsi="Garamond"/>
                <w:sz w:val="24"/>
                <w:szCs w:val="24"/>
              </w:rPr>
            </w:pPr>
            <w:r w:rsidRPr="00E57208">
              <w:rPr>
                <w:rFonts w:ascii="Garamond" w:hAnsi="Garamond"/>
                <w:sz w:val="24"/>
                <w:szCs w:val="24"/>
              </w:rPr>
              <w:t>anëtare</w:t>
            </w:r>
            <w:r>
              <w:rPr>
                <w:rFonts w:ascii="Garamond" w:hAnsi="Garamond"/>
                <w:sz w:val="24"/>
                <w:szCs w:val="24"/>
              </w:rPr>
              <w:t>;</w:t>
            </w:r>
          </w:p>
        </w:tc>
      </w:tr>
      <w:tr w:rsidR="00E57208" w14:paraId="477E26B8" w14:textId="77777777" w:rsidTr="00E57208">
        <w:tc>
          <w:tcPr>
            <w:tcW w:w="2093" w:type="dxa"/>
          </w:tcPr>
          <w:p w14:paraId="51C22EB5" w14:textId="333F9D2E" w:rsidR="00E57208" w:rsidRDefault="007D550C" w:rsidP="00E57208">
            <w:pPr>
              <w:spacing w:after="0" w:line="240" w:lineRule="auto"/>
              <w:jc w:val="both"/>
              <w:rPr>
                <w:rFonts w:ascii="Garamond" w:hAnsi="Garamond"/>
                <w:sz w:val="24"/>
                <w:szCs w:val="24"/>
              </w:rPr>
            </w:pPr>
            <w:proofErr w:type="spellStart"/>
            <w:r>
              <w:rPr>
                <w:rFonts w:ascii="Garamond" w:hAnsi="Garamond"/>
                <w:sz w:val="24"/>
                <w:szCs w:val="24"/>
              </w:rPr>
              <w:t>Fiona</w:t>
            </w:r>
            <w:proofErr w:type="spellEnd"/>
            <w:r>
              <w:rPr>
                <w:rFonts w:ascii="Garamond" w:hAnsi="Garamond"/>
                <w:sz w:val="24"/>
                <w:szCs w:val="24"/>
              </w:rPr>
              <w:t xml:space="preserve"> </w:t>
            </w:r>
            <w:proofErr w:type="spellStart"/>
            <w:r>
              <w:rPr>
                <w:rFonts w:ascii="Garamond" w:hAnsi="Garamond"/>
                <w:sz w:val="24"/>
                <w:szCs w:val="24"/>
              </w:rPr>
              <w:t>Papajorgji</w:t>
            </w:r>
            <w:proofErr w:type="spellEnd"/>
          </w:p>
        </w:tc>
        <w:tc>
          <w:tcPr>
            <w:tcW w:w="1276" w:type="dxa"/>
          </w:tcPr>
          <w:p w14:paraId="2186B298" w14:textId="503235E8" w:rsidR="00E57208" w:rsidRDefault="002D49A5" w:rsidP="00E57208">
            <w:pPr>
              <w:spacing w:after="0" w:line="240" w:lineRule="auto"/>
              <w:jc w:val="both"/>
              <w:rPr>
                <w:rFonts w:ascii="Garamond" w:hAnsi="Garamond"/>
                <w:sz w:val="24"/>
                <w:szCs w:val="24"/>
              </w:rPr>
            </w:pPr>
            <w:r w:rsidRPr="00E57208">
              <w:rPr>
                <w:rFonts w:ascii="Garamond" w:hAnsi="Garamond"/>
                <w:sz w:val="24"/>
                <w:szCs w:val="24"/>
              </w:rPr>
              <w:t>anëtare</w:t>
            </w:r>
            <w:r>
              <w:rPr>
                <w:rFonts w:ascii="Garamond" w:hAnsi="Garamond"/>
                <w:sz w:val="24"/>
                <w:szCs w:val="24"/>
              </w:rPr>
              <w:t>;</w:t>
            </w:r>
          </w:p>
        </w:tc>
      </w:tr>
      <w:tr w:rsidR="00E57208" w14:paraId="3811788D" w14:textId="77777777" w:rsidTr="00E57208">
        <w:tc>
          <w:tcPr>
            <w:tcW w:w="2093" w:type="dxa"/>
          </w:tcPr>
          <w:p w14:paraId="4DA02ED8" w14:textId="375D1263" w:rsidR="00E57208" w:rsidRDefault="007D550C" w:rsidP="00E57208">
            <w:pPr>
              <w:spacing w:after="0" w:line="240" w:lineRule="auto"/>
              <w:jc w:val="both"/>
              <w:rPr>
                <w:rFonts w:ascii="Garamond" w:hAnsi="Garamond"/>
                <w:sz w:val="24"/>
                <w:szCs w:val="24"/>
              </w:rPr>
            </w:pPr>
            <w:r>
              <w:rPr>
                <w:rFonts w:ascii="Garamond" w:hAnsi="Garamond"/>
                <w:sz w:val="24"/>
                <w:szCs w:val="24"/>
              </w:rPr>
              <w:t xml:space="preserve">Altin </w:t>
            </w:r>
            <w:proofErr w:type="spellStart"/>
            <w:r>
              <w:rPr>
                <w:rFonts w:ascii="Garamond" w:hAnsi="Garamond"/>
                <w:sz w:val="24"/>
                <w:szCs w:val="24"/>
              </w:rPr>
              <w:t>Binaj</w:t>
            </w:r>
            <w:proofErr w:type="spellEnd"/>
          </w:p>
        </w:tc>
        <w:tc>
          <w:tcPr>
            <w:tcW w:w="1276" w:type="dxa"/>
          </w:tcPr>
          <w:p w14:paraId="1531F1AF" w14:textId="0D2A2DF9" w:rsidR="00E57208" w:rsidRDefault="002D49A5" w:rsidP="00E57208">
            <w:pPr>
              <w:spacing w:after="0" w:line="240" w:lineRule="auto"/>
              <w:jc w:val="both"/>
              <w:rPr>
                <w:rFonts w:ascii="Garamond" w:hAnsi="Garamond"/>
                <w:sz w:val="24"/>
                <w:szCs w:val="24"/>
              </w:rPr>
            </w:pPr>
            <w:r w:rsidRPr="00E57208">
              <w:rPr>
                <w:rFonts w:ascii="Garamond" w:hAnsi="Garamond"/>
                <w:sz w:val="24"/>
                <w:szCs w:val="24"/>
              </w:rPr>
              <w:t>anëtar</w:t>
            </w:r>
            <w:r>
              <w:rPr>
                <w:rFonts w:ascii="Garamond" w:hAnsi="Garamond"/>
                <w:sz w:val="24"/>
                <w:szCs w:val="24"/>
              </w:rPr>
              <w:t>;</w:t>
            </w:r>
          </w:p>
        </w:tc>
      </w:tr>
      <w:tr w:rsidR="00E57208" w14:paraId="089F81CD" w14:textId="77777777" w:rsidTr="00E57208">
        <w:tc>
          <w:tcPr>
            <w:tcW w:w="2093" w:type="dxa"/>
          </w:tcPr>
          <w:p w14:paraId="114A98FC" w14:textId="29472B67" w:rsidR="00E57208" w:rsidRDefault="007D550C" w:rsidP="00E57208">
            <w:pPr>
              <w:spacing w:after="0" w:line="240" w:lineRule="auto"/>
              <w:jc w:val="both"/>
              <w:rPr>
                <w:rFonts w:ascii="Garamond" w:hAnsi="Garamond"/>
                <w:sz w:val="24"/>
                <w:szCs w:val="24"/>
              </w:rPr>
            </w:pPr>
            <w:proofErr w:type="spellStart"/>
            <w:r>
              <w:rPr>
                <w:rFonts w:ascii="Garamond" w:hAnsi="Garamond"/>
                <w:sz w:val="24"/>
                <w:szCs w:val="24"/>
              </w:rPr>
              <w:t>Sonila</w:t>
            </w:r>
            <w:proofErr w:type="spellEnd"/>
            <w:r>
              <w:rPr>
                <w:rFonts w:ascii="Garamond" w:hAnsi="Garamond"/>
                <w:sz w:val="24"/>
                <w:szCs w:val="24"/>
              </w:rPr>
              <w:t xml:space="preserve"> Bejtja</w:t>
            </w:r>
          </w:p>
        </w:tc>
        <w:tc>
          <w:tcPr>
            <w:tcW w:w="1276" w:type="dxa"/>
          </w:tcPr>
          <w:p w14:paraId="75DBB444" w14:textId="1A3AA17D" w:rsidR="00E57208" w:rsidRDefault="002D49A5" w:rsidP="00E57208">
            <w:pPr>
              <w:spacing w:after="0" w:line="240" w:lineRule="auto"/>
              <w:jc w:val="both"/>
              <w:rPr>
                <w:rFonts w:ascii="Garamond" w:hAnsi="Garamond"/>
                <w:sz w:val="24"/>
                <w:szCs w:val="24"/>
              </w:rPr>
            </w:pPr>
            <w:r w:rsidRPr="00E57208">
              <w:rPr>
                <w:rFonts w:ascii="Garamond" w:hAnsi="Garamond"/>
                <w:sz w:val="24"/>
                <w:szCs w:val="24"/>
              </w:rPr>
              <w:t>anëtare</w:t>
            </w:r>
            <w:r>
              <w:rPr>
                <w:rFonts w:ascii="Garamond" w:hAnsi="Garamond"/>
                <w:sz w:val="24"/>
                <w:szCs w:val="24"/>
              </w:rPr>
              <w:t>;</w:t>
            </w:r>
          </w:p>
        </w:tc>
      </w:tr>
      <w:tr w:rsidR="00E57208" w14:paraId="7DB32A52" w14:textId="77777777" w:rsidTr="00E57208">
        <w:tc>
          <w:tcPr>
            <w:tcW w:w="2093" w:type="dxa"/>
          </w:tcPr>
          <w:p w14:paraId="431AB9BB" w14:textId="2CBC8137" w:rsidR="00E57208" w:rsidRPr="00E57208" w:rsidRDefault="007D550C" w:rsidP="00E57208">
            <w:pPr>
              <w:spacing w:after="0" w:line="240" w:lineRule="auto"/>
              <w:jc w:val="both"/>
              <w:rPr>
                <w:rFonts w:ascii="Garamond" w:hAnsi="Garamond"/>
                <w:sz w:val="24"/>
                <w:szCs w:val="24"/>
              </w:rPr>
            </w:pPr>
            <w:r>
              <w:rPr>
                <w:rFonts w:ascii="Garamond" w:hAnsi="Garamond"/>
                <w:sz w:val="24"/>
                <w:szCs w:val="24"/>
              </w:rPr>
              <w:t>Përparim Kalo</w:t>
            </w:r>
          </w:p>
        </w:tc>
        <w:tc>
          <w:tcPr>
            <w:tcW w:w="1276" w:type="dxa"/>
          </w:tcPr>
          <w:p w14:paraId="73542242" w14:textId="27E72FDD" w:rsidR="00E57208" w:rsidRPr="00E57208" w:rsidRDefault="002D49A5" w:rsidP="00E57208">
            <w:pPr>
              <w:spacing w:after="0" w:line="240" w:lineRule="auto"/>
              <w:jc w:val="both"/>
              <w:rPr>
                <w:rFonts w:ascii="Garamond" w:hAnsi="Garamond"/>
                <w:sz w:val="24"/>
                <w:szCs w:val="24"/>
              </w:rPr>
            </w:pPr>
            <w:r w:rsidRPr="00E57208">
              <w:rPr>
                <w:rFonts w:ascii="Garamond" w:hAnsi="Garamond"/>
                <w:sz w:val="24"/>
                <w:szCs w:val="24"/>
              </w:rPr>
              <w:t>anëtar</w:t>
            </w:r>
            <w:r>
              <w:rPr>
                <w:rFonts w:ascii="Garamond" w:hAnsi="Garamond"/>
                <w:sz w:val="24"/>
                <w:szCs w:val="24"/>
              </w:rPr>
              <w:t>,</w:t>
            </w:r>
          </w:p>
        </w:tc>
      </w:tr>
    </w:tbl>
    <w:p w14:paraId="54F58BDD" w14:textId="77777777" w:rsidR="00E57208" w:rsidRDefault="00E57208" w:rsidP="00E57208">
      <w:pPr>
        <w:spacing w:after="0" w:line="240" w:lineRule="auto"/>
        <w:ind w:firstLine="284"/>
        <w:jc w:val="both"/>
        <w:rPr>
          <w:rFonts w:ascii="Garamond" w:hAnsi="Garamond"/>
          <w:sz w:val="24"/>
          <w:szCs w:val="24"/>
        </w:rPr>
      </w:pPr>
    </w:p>
    <w:p w14:paraId="6B037061" w14:textId="29E7914D" w:rsidR="00E57208" w:rsidRPr="00E57208" w:rsidRDefault="00E57208" w:rsidP="00E57208">
      <w:pPr>
        <w:spacing w:after="0" w:line="240" w:lineRule="auto"/>
        <w:ind w:firstLine="284"/>
        <w:jc w:val="both"/>
        <w:rPr>
          <w:rFonts w:ascii="Garamond" w:hAnsi="Garamond"/>
          <w:sz w:val="24"/>
          <w:szCs w:val="24"/>
        </w:rPr>
      </w:pPr>
      <w:r w:rsidRPr="00E57208">
        <w:rPr>
          <w:rFonts w:ascii="Garamond" w:hAnsi="Garamond"/>
          <w:sz w:val="24"/>
          <w:szCs w:val="24"/>
        </w:rPr>
        <w:t xml:space="preserve">me sekretare </w:t>
      </w:r>
      <w:proofErr w:type="spellStart"/>
      <w:r w:rsidRPr="00E57208">
        <w:rPr>
          <w:rFonts w:ascii="Garamond" w:hAnsi="Garamond"/>
          <w:sz w:val="24"/>
          <w:szCs w:val="24"/>
        </w:rPr>
        <w:t>Belma</w:t>
      </w:r>
      <w:proofErr w:type="spellEnd"/>
      <w:r w:rsidRPr="00E57208">
        <w:rPr>
          <w:rFonts w:ascii="Garamond" w:hAnsi="Garamond"/>
          <w:sz w:val="24"/>
          <w:szCs w:val="24"/>
        </w:rPr>
        <w:t xml:space="preserve"> Lleshi, në datën 28.10.2021</w:t>
      </w:r>
      <w:r w:rsidR="0024590A">
        <w:rPr>
          <w:rFonts w:ascii="Garamond" w:hAnsi="Garamond"/>
          <w:sz w:val="24"/>
          <w:szCs w:val="24"/>
        </w:rPr>
        <w:t>,</w:t>
      </w:r>
      <w:r w:rsidRPr="00E57208">
        <w:rPr>
          <w:rFonts w:ascii="Garamond" w:hAnsi="Garamond"/>
          <w:sz w:val="24"/>
          <w:szCs w:val="24"/>
        </w:rPr>
        <w:t xml:space="preserve"> mori në shqyrtim në seancë plenare, mbi bazë dokumentesh, çështjen me nr. 7 (S) të Regjistrit Themeltar, që u përket:</w:t>
      </w:r>
    </w:p>
    <w:p w14:paraId="7F250572" w14:textId="79B8BE42" w:rsidR="00E57208" w:rsidRPr="0098115B" w:rsidRDefault="00E57208" w:rsidP="00E57208">
      <w:pPr>
        <w:spacing w:after="0" w:line="240" w:lineRule="auto"/>
        <w:ind w:firstLine="284"/>
        <w:jc w:val="both"/>
        <w:rPr>
          <w:rFonts w:ascii="Garamond" w:hAnsi="Garamond"/>
          <w:bCs/>
          <w:sz w:val="24"/>
          <w:szCs w:val="24"/>
        </w:rPr>
      </w:pPr>
      <w:r w:rsidRPr="0098115B">
        <w:rPr>
          <w:rFonts w:ascii="Garamond" w:hAnsi="Garamond"/>
          <w:bCs/>
          <w:sz w:val="24"/>
          <w:szCs w:val="24"/>
        </w:rPr>
        <w:t xml:space="preserve">KËRKUES: </w:t>
      </w:r>
      <w:proofErr w:type="spellStart"/>
      <w:r w:rsidR="00AC7001" w:rsidRPr="0098115B">
        <w:rPr>
          <w:rFonts w:ascii="Garamond" w:hAnsi="Garamond"/>
          <w:bCs/>
          <w:sz w:val="24"/>
          <w:szCs w:val="24"/>
        </w:rPr>
        <w:t>Selman</w:t>
      </w:r>
      <w:proofErr w:type="spellEnd"/>
      <w:r w:rsidR="00AC7001" w:rsidRPr="0098115B">
        <w:rPr>
          <w:rFonts w:ascii="Garamond" w:hAnsi="Garamond"/>
          <w:bCs/>
          <w:sz w:val="24"/>
          <w:szCs w:val="24"/>
        </w:rPr>
        <w:t xml:space="preserve"> </w:t>
      </w:r>
      <w:proofErr w:type="spellStart"/>
      <w:r w:rsidR="00AC7001" w:rsidRPr="0098115B">
        <w:rPr>
          <w:rFonts w:ascii="Garamond" w:hAnsi="Garamond"/>
          <w:bCs/>
          <w:sz w:val="24"/>
          <w:szCs w:val="24"/>
        </w:rPr>
        <w:t>Gazidedja</w:t>
      </w:r>
      <w:proofErr w:type="spellEnd"/>
    </w:p>
    <w:p w14:paraId="0D1FA1F2" w14:textId="1B4CDBDC" w:rsidR="00E57208" w:rsidRPr="0098115B" w:rsidRDefault="00E57208" w:rsidP="00E57208">
      <w:pPr>
        <w:spacing w:after="0" w:line="240" w:lineRule="auto"/>
        <w:ind w:firstLine="284"/>
        <w:jc w:val="both"/>
        <w:rPr>
          <w:rFonts w:ascii="Garamond" w:hAnsi="Garamond"/>
          <w:bCs/>
          <w:sz w:val="24"/>
          <w:szCs w:val="24"/>
        </w:rPr>
      </w:pPr>
      <w:r w:rsidRPr="0098115B">
        <w:rPr>
          <w:rFonts w:ascii="Garamond" w:hAnsi="Garamond"/>
          <w:bCs/>
          <w:sz w:val="24"/>
          <w:szCs w:val="24"/>
        </w:rPr>
        <w:t>SUBJEKT I INTERESUAR:</w:t>
      </w:r>
      <w:r w:rsidR="00AC7001">
        <w:rPr>
          <w:rFonts w:ascii="Garamond" w:hAnsi="Garamond"/>
          <w:bCs/>
          <w:sz w:val="24"/>
          <w:szCs w:val="24"/>
        </w:rPr>
        <w:t xml:space="preserve"> </w:t>
      </w:r>
      <w:r w:rsidR="00AC7001" w:rsidRPr="0098115B">
        <w:rPr>
          <w:rFonts w:ascii="Garamond" w:hAnsi="Garamond"/>
          <w:bCs/>
          <w:sz w:val="24"/>
          <w:szCs w:val="24"/>
        </w:rPr>
        <w:t>Drejtoria Rajonale e Sigurimeve Shoqërore, Tiranë</w:t>
      </w:r>
    </w:p>
    <w:p w14:paraId="0619F651" w14:textId="3EFFF1FF" w:rsidR="00E57208" w:rsidRPr="0098115B" w:rsidRDefault="00E57208" w:rsidP="00E57208">
      <w:pPr>
        <w:spacing w:after="0" w:line="240" w:lineRule="auto"/>
        <w:ind w:firstLine="284"/>
        <w:jc w:val="both"/>
        <w:rPr>
          <w:rFonts w:ascii="Garamond" w:hAnsi="Garamond"/>
          <w:bCs/>
          <w:sz w:val="24"/>
          <w:szCs w:val="24"/>
        </w:rPr>
      </w:pPr>
      <w:r w:rsidRPr="0098115B">
        <w:rPr>
          <w:rFonts w:ascii="Garamond" w:hAnsi="Garamond"/>
          <w:bCs/>
          <w:sz w:val="24"/>
          <w:szCs w:val="24"/>
        </w:rPr>
        <w:t>OBJEKTI: Konstatimi i shkeljes së aksesit në një gjykatë të caktuar me ligj.</w:t>
      </w:r>
    </w:p>
    <w:p w14:paraId="2D0B44FA" w14:textId="395AD727" w:rsidR="00E57208" w:rsidRPr="0098115B" w:rsidRDefault="00E57208" w:rsidP="00E57208">
      <w:pPr>
        <w:spacing w:after="0" w:line="240" w:lineRule="auto"/>
        <w:ind w:firstLine="284"/>
        <w:jc w:val="both"/>
        <w:rPr>
          <w:rFonts w:ascii="Garamond" w:hAnsi="Garamond"/>
          <w:bCs/>
          <w:sz w:val="24"/>
          <w:szCs w:val="24"/>
        </w:rPr>
      </w:pPr>
      <w:r w:rsidRPr="0098115B">
        <w:rPr>
          <w:rFonts w:ascii="Garamond" w:hAnsi="Garamond"/>
          <w:bCs/>
          <w:sz w:val="24"/>
          <w:szCs w:val="24"/>
        </w:rPr>
        <w:t>Konstatimi i shkeljes së afatit të arsyeshëm dhe përshpejtimi i procedurave në gjykimin e çështjes administrative nr. 31003-00307-</w:t>
      </w:r>
      <w:r w:rsidR="003E4944">
        <w:rPr>
          <w:rFonts w:ascii="Garamond" w:hAnsi="Garamond"/>
          <w:bCs/>
          <w:sz w:val="24"/>
          <w:szCs w:val="24"/>
        </w:rPr>
        <w:t>00-2018 akti, datë regjistrimi 7.</w:t>
      </w:r>
      <w:r w:rsidRPr="0098115B">
        <w:rPr>
          <w:rFonts w:ascii="Garamond" w:hAnsi="Garamond"/>
          <w:bCs/>
          <w:sz w:val="24"/>
          <w:szCs w:val="24"/>
        </w:rPr>
        <w:t>2.2018 dhe çësht</w:t>
      </w:r>
      <w:r w:rsidR="003E4944">
        <w:rPr>
          <w:rFonts w:ascii="Garamond" w:hAnsi="Garamond"/>
          <w:bCs/>
          <w:sz w:val="24"/>
          <w:szCs w:val="24"/>
        </w:rPr>
        <w:t>jes nr. 8/3 regjistri, datë 18.</w:t>
      </w:r>
      <w:r w:rsidRPr="0098115B">
        <w:rPr>
          <w:rFonts w:ascii="Garamond" w:hAnsi="Garamond"/>
          <w:bCs/>
          <w:sz w:val="24"/>
          <w:szCs w:val="24"/>
        </w:rPr>
        <w:t>9.2020 në Gjykatën e Lartë të Republikës së Shqipërisë.</w:t>
      </w:r>
    </w:p>
    <w:p w14:paraId="2461E7DA" w14:textId="48976967" w:rsidR="00E57208" w:rsidRPr="0098115B" w:rsidRDefault="00E57208" w:rsidP="00E57208">
      <w:pPr>
        <w:spacing w:after="0" w:line="240" w:lineRule="auto"/>
        <w:ind w:firstLine="284"/>
        <w:jc w:val="both"/>
        <w:rPr>
          <w:rFonts w:ascii="Garamond" w:hAnsi="Garamond"/>
          <w:bCs/>
          <w:sz w:val="24"/>
          <w:szCs w:val="24"/>
        </w:rPr>
      </w:pPr>
      <w:r w:rsidRPr="0098115B">
        <w:rPr>
          <w:rFonts w:ascii="Garamond" w:hAnsi="Garamond"/>
          <w:bCs/>
          <w:sz w:val="24"/>
          <w:szCs w:val="24"/>
        </w:rPr>
        <w:t xml:space="preserve">Konstatimi i mungesës së një mjeti efektiv për konstatimin, dëmshpërblimin dhe përshpejtimin e procedurave të sipërpërmendura. </w:t>
      </w:r>
    </w:p>
    <w:p w14:paraId="6A8FEF9A" w14:textId="4EEB379A" w:rsidR="00E57208" w:rsidRPr="0098115B" w:rsidRDefault="00E57208" w:rsidP="00E57208">
      <w:pPr>
        <w:spacing w:after="0" w:line="240" w:lineRule="auto"/>
        <w:ind w:firstLine="284"/>
        <w:jc w:val="both"/>
        <w:rPr>
          <w:rFonts w:ascii="Garamond" w:hAnsi="Garamond"/>
          <w:sz w:val="24"/>
          <w:szCs w:val="24"/>
        </w:rPr>
      </w:pPr>
      <w:r w:rsidRPr="0098115B">
        <w:rPr>
          <w:rFonts w:ascii="Garamond" w:hAnsi="Garamond"/>
          <w:bCs/>
          <w:sz w:val="24"/>
          <w:szCs w:val="24"/>
        </w:rPr>
        <w:t xml:space="preserve">BAZA LIGJORE: </w:t>
      </w:r>
      <w:r w:rsidRPr="0098115B">
        <w:rPr>
          <w:rFonts w:ascii="Garamond" w:hAnsi="Garamond"/>
          <w:sz w:val="24"/>
          <w:szCs w:val="24"/>
        </w:rPr>
        <w:t>Nenet 42, pika 2, 131, pika 1, shkronja “f” dhe 134, pika 1, shkronja “i”, të Kushtetutës së Republikës së Shqipërisë; nenet 6, pika 1, dhe 13, të Konventës Evropiane për të Drejtat e Njeriut (</w:t>
      </w:r>
      <w:proofErr w:type="spellStart"/>
      <w:r w:rsidRPr="0098115B">
        <w:rPr>
          <w:rFonts w:ascii="Garamond" w:hAnsi="Garamond"/>
          <w:i/>
          <w:iCs/>
          <w:sz w:val="24"/>
          <w:szCs w:val="24"/>
        </w:rPr>
        <w:t>KEDNJ</w:t>
      </w:r>
      <w:proofErr w:type="spellEnd"/>
      <w:r w:rsidR="003E4944">
        <w:rPr>
          <w:rFonts w:ascii="Garamond" w:hAnsi="Garamond"/>
          <w:sz w:val="24"/>
          <w:szCs w:val="24"/>
        </w:rPr>
        <w:t>); ligji nr. 8577, datë 10.</w:t>
      </w:r>
      <w:r w:rsidRPr="0098115B">
        <w:rPr>
          <w:rFonts w:ascii="Garamond" w:hAnsi="Garamond"/>
          <w:sz w:val="24"/>
          <w:szCs w:val="24"/>
        </w:rPr>
        <w:t>2.2000</w:t>
      </w:r>
      <w:r w:rsidR="003E4944">
        <w:rPr>
          <w:rFonts w:ascii="Garamond" w:hAnsi="Garamond"/>
          <w:sz w:val="24"/>
          <w:szCs w:val="24"/>
        </w:rPr>
        <w:t>,</w:t>
      </w:r>
      <w:r w:rsidRPr="0098115B">
        <w:rPr>
          <w:rFonts w:ascii="Garamond" w:hAnsi="Garamond"/>
          <w:sz w:val="24"/>
          <w:szCs w:val="24"/>
        </w:rPr>
        <w:t xml:space="preserve"> “Për organizimin dhe funksionimin e Gjykatës Kushtetuese të Republikës së Shqipërisë”, të ndryshuar </w:t>
      </w:r>
      <w:r w:rsidRPr="0098115B">
        <w:rPr>
          <w:rFonts w:ascii="Garamond" w:hAnsi="Garamond"/>
          <w:i/>
          <w:iCs/>
          <w:sz w:val="24"/>
          <w:szCs w:val="24"/>
        </w:rPr>
        <w:t>(ligji nr. 8577/2000</w:t>
      </w:r>
      <w:r w:rsidRPr="0098115B">
        <w:rPr>
          <w:rFonts w:ascii="Garamond" w:hAnsi="Garamond"/>
          <w:sz w:val="24"/>
          <w:szCs w:val="24"/>
        </w:rPr>
        <w:t>).</w:t>
      </w:r>
    </w:p>
    <w:p w14:paraId="2EE7E4FA" w14:textId="77777777" w:rsidR="00E57208" w:rsidRPr="0098115B" w:rsidRDefault="00E57208" w:rsidP="00E57208">
      <w:pPr>
        <w:spacing w:after="0" w:line="240" w:lineRule="auto"/>
        <w:ind w:firstLine="284"/>
        <w:jc w:val="both"/>
        <w:rPr>
          <w:rFonts w:ascii="Garamond" w:hAnsi="Garamond"/>
          <w:sz w:val="24"/>
          <w:szCs w:val="24"/>
        </w:rPr>
      </w:pPr>
    </w:p>
    <w:p w14:paraId="1148123B" w14:textId="77777777" w:rsidR="00E57208" w:rsidRDefault="00E57208" w:rsidP="00E57208">
      <w:pPr>
        <w:spacing w:after="0" w:line="240" w:lineRule="auto"/>
        <w:ind w:firstLine="284"/>
        <w:jc w:val="center"/>
        <w:rPr>
          <w:rFonts w:ascii="Garamond" w:hAnsi="Garamond"/>
          <w:sz w:val="24"/>
          <w:szCs w:val="24"/>
        </w:rPr>
      </w:pPr>
      <w:r w:rsidRPr="0098115B">
        <w:rPr>
          <w:rFonts w:ascii="Garamond" w:hAnsi="Garamond"/>
          <w:bCs/>
          <w:sz w:val="24"/>
          <w:szCs w:val="24"/>
        </w:rPr>
        <w:t>GJYKATA KUSHTETUESE</w:t>
      </w:r>
      <w:r w:rsidRPr="0098115B">
        <w:rPr>
          <w:rFonts w:ascii="Garamond" w:hAnsi="Garamond"/>
          <w:sz w:val="24"/>
          <w:szCs w:val="24"/>
        </w:rPr>
        <w:t>,</w:t>
      </w:r>
    </w:p>
    <w:p w14:paraId="10A74DD6" w14:textId="77777777" w:rsidR="0098115B" w:rsidRPr="0098115B" w:rsidRDefault="0098115B" w:rsidP="00E57208">
      <w:pPr>
        <w:spacing w:after="0" w:line="240" w:lineRule="auto"/>
        <w:ind w:firstLine="284"/>
        <w:jc w:val="center"/>
        <w:rPr>
          <w:rFonts w:ascii="Garamond" w:hAnsi="Garamond"/>
          <w:sz w:val="24"/>
          <w:szCs w:val="24"/>
        </w:rPr>
      </w:pPr>
    </w:p>
    <w:p w14:paraId="14F018E2" w14:textId="54F85130" w:rsidR="00E57208" w:rsidRPr="0098115B" w:rsidRDefault="00E57208" w:rsidP="00E57208">
      <w:pPr>
        <w:spacing w:after="0" w:line="240" w:lineRule="auto"/>
        <w:ind w:firstLine="284"/>
        <w:jc w:val="both"/>
        <w:rPr>
          <w:rFonts w:ascii="Garamond" w:hAnsi="Garamond"/>
          <w:sz w:val="24"/>
          <w:szCs w:val="24"/>
        </w:rPr>
      </w:pPr>
      <w:r w:rsidRPr="0098115B">
        <w:rPr>
          <w:rFonts w:ascii="Garamond" w:hAnsi="Garamond"/>
          <w:sz w:val="24"/>
          <w:szCs w:val="24"/>
        </w:rPr>
        <w:t>pasi dëgjoi relatorin e çështjes Përparim Kalo, mori në shqyrtim pretendimet me shkrim të kërkuesit, i cili kërkoi pranimin e kërkesës, si dhe diskutoi çështjen në tërësi,</w:t>
      </w:r>
    </w:p>
    <w:p w14:paraId="59F75976" w14:textId="77777777" w:rsidR="00E57208" w:rsidRPr="0098115B" w:rsidRDefault="00E57208" w:rsidP="00E57208">
      <w:pPr>
        <w:spacing w:after="0" w:line="240" w:lineRule="auto"/>
        <w:ind w:firstLine="284"/>
        <w:jc w:val="center"/>
        <w:rPr>
          <w:rFonts w:ascii="Garamond" w:hAnsi="Garamond"/>
          <w:bCs/>
          <w:sz w:val="24"/>
          <w:szCs w:val="24"/>
        </w:rPr>
      </w:pPr>
    </w:p>
    <w:p w14:paraId="012FE906" w14:textId="77777777" w:rsidR="00E57208" w:rsidRPr="0098115B" w:rsidRDefault="00E57208" w:rsidP="00E57208">
      <w:pPr>
        <w:spacing w:after="0" w:line="240" w:lineRule="auto"/>
        <w:ind w:firstLine="284"/>
        <w:jc w:val="center"/>
        <w:rPr>
          <w:rFonts w:ascii="Garamond" w:hAnsi="Garamond"/>
          <w:sz w:val="24"/>
          <w:szCs w:val="24"/>
        </w:rPr>
      </w:pPr>
      <w:r w:rsidRPr="0098115B">
        <w:rPr>
          <w:rFonts w:ascii="Garamond" w:hAnsi="Garamond"/>
          <w:bCs/>
          <w:sz w:val="24"/>
          <w:szCs w:val="24"/>
        </w:rPr>
        <w:t>VËREN:</w:t>
      </w:r>
    </w:p>
    <w:p w14:paraId="260B46E6" w14:textId="77777777" w:rsidR="00E57208" w:rsidRPr="00E57208" w:rsidRDefault="00E57208" w:rsidP="00E57208">
      <w:pPr>
        <w:spacing w:after="0" w:line="240" w:lineRule="auto"/>
        <w:ind w:firstLine="284"/>
        <w:jc w:val="center"/>
        <w:rPr>
          <w:rFonts w:ascii="Garamond" w:hAnsi="Garamond"/>
          <w:b/>
          <w:bCs/>
          <w:sz w:val="24"/>
          <w:szCs w:val="24"/>
        </w:rPr>
      </w:pPr>
      <w:r w:rsidRPr="00E57208">
        <w:rPr>
          <w:rFonts w:ascii="Garamond" w:hAnsi="Garamond"/>
          <w:b/>
          <w:bCs/>
          <w:sz w:val="24"/>
          <w:szCs w:val="24"/>
        </w:rPr>
        <w:t>I</w:t>
      </w:r>
    </w:p>
    <w:p w14:paraId="19ABB67B" w14:textId="77777777" w:rsidR="00E57208" w:rsidRDefault="00E57208" w:rsidP="00E57208">
      <w:pPr>
        <w:spacing w:after="0" w:line="240" w:lineRule="auto"/>
        <w:ind w:firstLine="284"/>
        <w:jc w:val="center"/>
        <w:rPr>
          <w:rFonts w:ascii="Garamond" w:hAnsi="Garamond"/>
          <w:b/>
          <w:bCs/>
          <w:sz w:val="24"/>
          <w:szCs w:val="24"/>
        </w:rPr>
      </w:pPr>
      <w:r w:rsidRPr="00E57208">
        <w:rPr>
          <w:rFonts w:ascii="Garamond" w:hAnsi="Garamond"/>
          <w:b/>
          <w:bCs/>
          <w:sz w:val="24"/>
          <w:szCs w:val="24"/>
        </w:rPr>
        <w:t>Rrethanat e çështjes</w:t>
      </w:r>
    </w:p>
    <w:p w14:paraId="30C0FEE4" w14:textId="77777777" w:rsidR="003E4944" w:rsidRPr="00E57208" w:rsidRDefault="003E4944" w:rsidP="00E57208">
      <w:pPr>
        <w:spacing w:after="0" w:line="240" w:lineRule="auto"/>
        <w:ind w:firstLine="284"/>
        <w:jc w:val="center"/>
        <w:rPr>
          <w:rFonts w:ascii="Garamond" w:hAnsi="Garamond"/>
          <w:b/>
          <w:bCs/>
          <w:sz w:val="24"/>
          <w:szCs w:val="24"/>
        </w:rPr>
      </w:pPr>
    </w:p>
    <w:p w14:paraId="0FD0EE46" w14:textId="5EB18C02" w:rsidR="00E57208" w:rsidRPr="00E57208" w:rsidRDefault="00E57208" w:rsidP="00E57208">
      <w:pPr>
        <w:tabs>
          <w:tab w:val="left" w:pos="980"/>
        </w:tabs>
        <w:spacing w:after="0" w:line="240" w:lineRule="auto"/>
        <w:ind w:firstLine="284"/>
        <w:jc w:val="both"/>
        <w:rPr>
          <w:rFonts w:ascii="Garamond" w:hAnsi="Garamond"/>
          <w:sz w:val="24"/>
          <w:szCs w:val="24"/>
        </w:rPr>
      </w:pPr>
      <w:r w:rsidRPr="00E57208">
        <w:rPr>
          <w:rFonts w:ascii="Garamond" w:hAnsi="Garamond"/>
          <w:sz w:val="24"/>
          <w:szCs w:val="24"/>
        </w:rPr>
        <w:t>1.</w:t>
      </w:r>
      <w:r>
        <w:rPr>
          <w:rFonts w:ascii="Garamond" w:hAnsi="Garamond"/>
          <w:sz w:val="24"/>
          <w:szCs w:val="24"/>
        </w:rPr>
        <w:t xml:space="preserve"> </w:t>
      </w:r>
      <w:r w:rsidRPr="00E57208">
        <w:rPr>
          <w:rFonts w:ascii="Garamond" w:hAnsi="Garamond"/>
          <w:sz w:val="24"/>
          <w:szCs w:val="24"/>
        </w:rPr>
        <w:t>Kërkuesit i është miratuar pension i veçantë si minator nëntoke, me vjetërsi pune të përgjithshme 28 vjet, në masën 8,536</w:t>
      </w:r>
      <w:r w:rsidR="006A0473">
        <w:rPr>
          <w:rFonts w:ascii="Garamond" w:hAnsi="Garamond"/>
          <w:sz w:val="24"/>
          <w:szCs w:val="24"/>
        </w:rPr>
        <w:t xml:space="preserve"> lekë, duke filluar prej datës 1.</w:t>
      </w:r>
      <w:r w:rsidRPr="00E57208">
        <w:rPr>
          <w:rFonts w:ascii="Garamond" w:hAnsi="Garamond"/>
          <w:sz w:val="24"/>
          <w:szCs w:val="24"/>
        </w:rPr>
        <w:t>4.20</w:t>
      </w:r>
      <w:r w:rsidR="006A0473">
        <w:rPr>
          <w:rFonts w:ascii="Garamond" w:hAnsi="Garamond"/>
          <w:sz w:val="24"/>
          <w:szCs w:val="24"/>
        </w:rPr>
        <w:t>01, me vendimin nr. 1243, datë 3.</w:t>
      </w:r>
      <w:r w:rsidRPr="00E57208">
        <w:rPr>
          <w:rFonts w:ascii="Garamond" w:hAnsi="Garamond"/>
          <w:sz w:val="24"/>
          <w:szCs w:val="24"/>
        </w:rPr>
        <w:t>9.2001</w:t>
      </w:r>
      <w:r w:rsidR="006A0473">
        <w:rPr>
          <w:rFonts w:ascii="Garamond" w:hAnsi="Garamond"/>
          <w:sz w:val="24"/>
          <w:szCs w:val="24"/>
        </w:rPr>
        <w:t>,</w:t>
      </w:r>
      <w:r w:rsidRPr="00E57208">
        <w:rPr>
          <w:rFonts w:ascii="Garamond" w:hAnsi="Garamond"/>
          <w:sz w:val="24"/>
          <w:szCs w:val="24"/>
        </w:rPr>
        <w:t xml:space="preserve"> të Drejtorisë Rajonale e Sigurimeve Shoqërore Dibër (</w:t>
      </w:r>
      <w:proofErr w:type="spellStart"/>
      <w:r w:rsidRPr="00E57208">
        <w:rPr>
          <w:rFonts w:ascii="Garamond" w:hAnsi="Garamond"/>
          <w:sz w:val="24"/>
          <w:szCs w:val="24"/>
        </w:rPr>
        <w:t>DRSSH</w:t>
      </w:r>
      <w:proofErr w:type="spellEnd"/>
      <w:r w:rsidRPr="00E57208">
        <w:rPr>
          <w:rFonts w:ascii="Garamond" w:hAnsi="Garamond"/>
          <w:sz w:val="24"/>
          <w:szCs w:val="24"/>
        </w:rPr>
        <w:t>). Me ndryshimin e vendbanimit nga Bulqiza në Tiranë në vitin 2002, kërkuesi ka kërkuar kalimin e pensionit në Tiranë.</w:t>
      </w:r>
    </w:p>
    <w:p w14:paraId="5D51BA89" w14:textId="20A3C1EE" w:rsidR="00E57208" w:rsidRPr="00E57208" w:rsidRDefault="00E57208" w:rsidP="00E57208">
      <w:pPr>
        <w:tabs>
          <w:tab w:val="left" w:pos="980"/>
        </w:tabs>
        <w:spacing w:after="0" w:line="240" w:lineRule="auto"/>
        <w:ind w:firstLine="284"/>
        <w:jc w:val="both"/>
        <w:rPr>
          <w:rFonts w:ascii="Garamond" w:hAnsi="Garamond"/>
          <w:sz w:val="24"/>
          <w:szCs w:val="24"/>
        </w:rPr>
      </w:pPr>
      <w:r w:rsidRPr="00E57208">
        <w:rPr>
          <w:rFonts w:ascii="Garamond" w:hAnsi="Garamond"/>
          <w:sz w:val="24"/>
          <w:szCs w:val="24"/>
        </w:rPr>
        <w:t>2.</w:t>
      </w:r>
      <w:r>
        <w:rPr>
          <w:rFonts w:ascii="Garamond" w:hAnsi="Garamond"/>
          <w:sz w:val="24"/>
          <w:szCs w:val="24"/>
        </w:rPr>
        <w:t xml:space="preserve"> </w:t>
      </w:r>
      <w:r w:rsidR="006A0473">
        <w:rPr>
          <w:rFonts w:ascii="Garamond" w:hAnsi="Garamond"/>
          <w:sz w:val="24"/>
          <w:szCs w:val="24"/>
        </w:rPr>
        <w:t>Në datën 19.</w:t>
      </w:r>
      <w:r w:rsidRPr="00E57208">
        <w:rPr>
          <w:rFonts w:ascii="Garamond" w:hAnsi="Garamond"/>
          <w:sz w:val="24"/>
          <w:szCs w:val="24"/>
        </w:rPr>
        <w:t>3.2015 kërkuesi i është drejtuar Agjencisë Lokale të Sigurimeve Shoqërore, Tiranë  për lidhjen e pensionit të pleqërisë, por nuk ka marrë përgjigje dhe, në vijim, e ka p</w:t>
      </w:r>
      <w:r w:rsidR="006A0473">
        <w:rPr>
          <w:rFonts w:ascii="Garamond" w:hAnsi="Garamond"/>
          <w:sz w:val="24"/>
          <w:szCs w:val="24"/>
        </w:rPr>
        <w:t>ërsëritur kërkesën në datën 15.</w:t>
      </w:r>
      <w:r w:rsidRPr="00E57208">
        <w:rPr>
          <w:rFonts w:ascii="Garamond" w:hAnsi="Garamond"/>
          <w:sz w:val="24"/>
          <w:szCs w:val="24"/>
        </w:rPr>
        <w:t xml:space="preserve">4.2016, duke iu drejtuar </w:t>
      </w:r>
      <w:proofErr w:type="spellStart"/>
      <w:r w:rsidRPr="00E57208">
        <w:rPr>
          <w:rFonts w:ascii="Garamond" w:hAnsi="Garamond"/>
          <w:sz w:val="24"/>
          <w:szCs w:val="24"/>
        </w:rPr>
        <w:t>DRSSH</w:t>
      </w:r>
      <w:proofErr w:type="spellEnd"/>
      <w:r w:rsidRPr="00E57208">
        <w:rPr>
          <w:rFonts w:ascii="Garamond" w:hAnsi="Garamond"/>
          <w:sz w:val="24"/>
          <w:szCs w:val="24"/>
        </w:rPr>
        <w:t>-së, Tiranë.</w:t>
      </w:r>
    </w:p>
    <w:p w14:paraId="236E0212" w14:textId="2EA7F738" w:rsidR="00E57208" w:rsidRPr="00E57208" w:rsidRDefault="00E57208" w:rsidP="00E57208">
      <w:pPr>
        <w:tabs>
          <w:tab w:val="left" w:pos="980"/>
        </w:tabs>
        <w:spacing w:after="0" w:line="240" w:lineRule="auto"/>
        <w:ind w:firstLine="284"/>
        <w:jc w:val="both"/>
        <w:rPr>
          <w:rFonts w:ascii="Garamond" w:hAnsi="Garamond"/>
          <w:sz w:val="24"/>
          <w:szCs w:val="24"/>
        </w:rPr>
      </w:pPr>
      <w:r w:rsidRPr="00E57208">
        <w:rPr>
          <w:rFonts w:ascii="Garamond" w:hAnsi="Garamond"/>
          <w:sz w:val="24"/>
          <w:szCs w:val="24"/>
        </w:rPr>
        <w:t>3.</w:t>
      </w:r>
      <w:r>
        <w:rPr>
          <w:rFonts w:ascii="Garamond" w:hAnsi="Garamond"/>
          <w:sz w:val="24"/>
          <w:szCs w:val="24"/>
        </w:rPr>
        <w:t xml:space="preserve"> </w:t>
      </w:r>
      <w:r w:rsidR="006A0473">
        <w:rPr>
          <w:rFonts w:ascii="Garamond" w:hAnsi="Garamond"/>
          <w:sz w:val="24"/>
          <w:szCs w:val="24"/>
        </w:rPr>
        <w:t>Në datën 6.</w:t>
      </w:r>
      <w:r w:rsidRPr="00E57208">
        <w:rPr>
          <w:rFonts w:ascii="Garamond" w:hAnsi="Garamond"/>
          <w:sz w:val="24"/>
          <w:szCs w:val="24"/>
        </w:rPr>
        <w:t xml:space="preserve">5.2016, </w:t>
      </w:r>
      <w:proofErr w:type="spellStart"/>
      <w:r w:rsidRPr="00E57208">
        <w:rPr>
          <w:rFonts w:ascii="Garamond" w:hAnsi="Garamond"/>
          <w:sz w:val="24"/>
          <w:szCs w:val="24"/>
        </w:rPr>
        <w:t>DRSSH</w:t>
      </w:r>
      <w:proofErr w:type="spellEnd"/>
      <w:r w:rsidRPr="00E57208">
        <w:rPr>
          <w:rFonts w:ascii="Garamond" w:hAnsi="Garamond"/>
          <w:sz w:val="24"/>
          <w:szCs w:val="24"/>
        </w:rPr>
        <w:t>-ja, Tiranë i ka përcjellë kërkues</w:t>
      </w:r>
      <w:r w:rsidR="006A0473">
        <w:rPr>
          <w:rFonts w:ascii="Garamond" w:hAnsi="Garamond"/>
          <w:sz w:val="24"/>
          <w:szCs w:val="24"/>
        </w:rPr>
        <w:t>it vendimin nr. 398/2, datë 15.</w:t>
      </w:r>
      <w:r w:rsidRPr="00E57208">
        <w:rPr>
          <w:rFonts w:ascii="Garamond" w:hAnsi="Garamond"/>
          <w:sz w:val="24"/>
          <w:szCs w:val="24"/>
        </w:rPr>
        <w:t>1.2016</w:t>
      </w:r>
      <w:r w:rsidR="006A0473">
        <w:rPr>
          <w:rFonts w:ascii="Garamond" w:hAnsi="Garamond"/>
          <w:sz w:val="24"/>
          <w:szCs w:val="24"/>
        </w:rPr>
        <w:t>,</w:t>
      </w:r>
      <w:r w:rsidRPr="00E57208">
        <w:rPr>
          <w:rFonts w:ascii="Garamond" w:hAnsi="Garamond"/>
          <w:sz w:val="24"/>
          <w:szCs w:val="24"/>
        </w:rPr>
        <w:t xml:space="preserve"> “Për mbylljen e trajtimit të veçantë, caktimin e masës si debitor dhe refuzimin e së drejtës për përfitim pensioni pleqërie”, marrë sipas ligjit nr. 150/2014</w:t>
      </w:r>
      <w:r w:rsidR="00E96BB8">
        <w:rPr>
          <w:rFonts w:ascii="Garamond" w:hAnsi="Garamond"/>
          <w:sz w:val="24"/>
          <w:szCs w:val="24"/>
        </w:rPr>
        <w:t>,</w:t>
      </w:r>
      <w:r w:rsidRPr="00E57208">
        <w:rPr>
          <w:rFonts w:ascii="Garamond" w:hAnsi="Garamond"/>
          <w:sz w:val="24"/>
          <w:szCs w:val="24"/>
        </w:rPr>
        <w:t xml:space="preserve"> “Për pensionet e punonjësve që kanë punuar në miniera, në nëntokë”, pasi, nga verifikimet e kryera, ka konstatuar se ai nuk ka punuar 11 </w:t>
      </w:r>
      <w:r w:rsidRPr="00E57208">
        <w:rPr>
          <w:rFonts w:ascii="Garamond" w:hAnsi="Garamond"/>
          <w:sz w:val="24"/>
          <w:szCs w:val="24"/>
        </w:rPr>
        <w:lastRenderedPageBreak/>
        <w:t>vjet e 6 muaj, afat i përcaktuar për përfitimin e pensionit, sipas ne</w:t>
      </w:r>
      <w:r w:rsidR="00E96BB8">
        <w:rPr>
          <w:rFonts w:ascii="Garamond" w:hAnsi="Garamond"/>
          <w:sz w:val="24"/>
          <w:szCs w:val="24"/>
        </w:rPr>
        <w:t xml:space="preserve">nit 2 të ligjit nr. 8685, datë </w:t>
      </w:r>
      <w:r w:rsidRPr="00E57208">
        <w:rPr>
          <w:rFonts w:ascii="Garamond" w:hAnsi="Garamond"/>
          <w:sz w:val="24"/>
          <w:szCs w:val="24"/>
        </w:rPr>
        <w:t>9.11.2000</w:t>
      </w:r>
      <w:r w:rsidR="00E96BB8">
        <w:rPr>
          <w:rFonts w:ascii="Garamond" w:hAnsi="Garamond"/>
          <w:sz w:val="24"/>
          <w:szCs w:val="24"/>
        </w:rPr>
        <w:t>,</w:t>
      </w:r>
      <w:r w:rsidRPr="00E57208">
        <w:rPr>
          <w:rFonts w:ascii="Garamond" w:hAnsi="Garamond"/>
          <w:sz w:val="24"/>
          <w:szCs w:val="24"/>
        </w:rPr>
        <w:t xml:space="preserve"> “Për një trajtim të veçantë të punonjësve që kanë punuar në miniera, në nëntokë”, të ndryshuar, por vetëm 10 vjet e 5 muaj e 16 ditë. Për këtë arsye atij i është refuzuar kërkesa për përfitim pensioni pleqërie, si dhe është shpallur debitor për shumat e t</w:t>
      </w:r>
      <w:r w:rsidR="00E96BB8">
        <w:rPr>
          <w:rFonts w:ascii="Garamond" w:hAnsi="Garamond"/>
          <w:sz w:val="24"/>
          <w:szCs w:val="24"/>
        </w:rPr>
        <w:t>epërta, të përfituara nga data 1.</w:t>
      </w:r>
      <w:r w:rsidRPr="00E57208">
        <w:rPr>
          <w:rFonts w:ascii="Garamond" w:hAnsi="Garamond"/>
          <w:sz w:val="24"/>
          <w:szCs w:val="24"/>
        </w:rPr>
        <w:t>4</w:t>
      </w:r>
      <w:r w:rsidR="00E96BB8">
        <w:rPr>
          <w:rFonts w:ascii="Garamond" w:hAnsi="Garamond"/>
          <w:sz w:val="24"/>
          <w:szCs w:val="24"/>
        </w:rPr>
        <w:t>.2001 deri në datën 10.</w:t>
      </w:r>
      <w:r w:rsidRPr="00E57208">
        <w:rPr>
          <w:rFonts w:ascii="Garamond" w:hAnsi="Garamond"/>
          <w:sz w:val="24"/>
          <w:szCs w:val="24"/>
        </w:rPr>
        <w:t>7.2012.</w:t>
      </w:r>
    </w:p>
    <w:p w14:paraId="4E524062" w14:textId="1D4C58EA" w:rsidR="00E57208" w:rsidRPr="00E57208" w:rsidRDefault="00E57208" w:rsidP="00E57208">
      <w:pPr>
        <w:tabs>
          <w:tab w:val="left" w:pos="980"/>
        </w:tabs>
        <w:spacing w:after="0" w:line="240" w:lineRule="auto"/>
        <w:ind w:firstLine="284"/>
        <w:jc w:val="both"/>
        <w:rPr>
          <w:rFonts w:ascii="Garamond" w:hAnsi="Garamond"/>
          <w:i/>
          <w:iCs/>
          <w:sz w:val="24"/>
          <w:szCs w:val="24"/>
        </w:rPr>
      </w:pPr>
      <w:r w:rsidRPr="00E57208">
        <w:rPr>
          <w:rFonts w:ascii="Garamond" w:hAnsi="Garamond"/>
          <w:sz w:val="24"/>
          <w:szCs w:val="24"/>
        </w:rPr>
        <w:t>4.</w:t>
      </w:r>
      <w:r>
        <w:rPr>
          <w:rFonts w:ascii="Garamond" w:hAnsi="Garamond"/>
          <w:sz w:val="24"/>
          <w:szCs w:val="24"/>
        </w:rPr>
        <w:t xml:space="preserve"> </w:t>
      </w:r>
      <w:r w:rsidRPr="00E57208">
        <w:rPr>
          <w:rFonts w:ascii="Garamond" w:hAnsi="Garamond"/>
          <w:sz w:val="24"/>
          <w:szCs w:val="24"/>
        </w:rPr>
        <w:t xml:space="preserve">Kërkuesi ka paraqitur padi kundër vendimit të mësipërm të </w:t>
      </w:r>
      <w:proofErr w:type="spellStart"/>
      <w:r w:rsidRPr="00E57208">
        <w:rPr>
          <w:rFonts w:ascii="Garamond" w:hAnsi="Garamond"/>
          <w:sz w:val="24"/>
          <w:szCs w:val="24"/>
        </w:rPr>
        <w:t>DRSSH</w:t>
      </w:r>
      <w:proofErr w:type="spellEnd"/>
      <w:r w:rsidRPr="00E57208">
        <w:rPr>
          <w:rFonts w:ascii="Garamond" w:hAnsi="Garamond"/>
          <w:sz w:val="24"/>
          <w:szCs w:val="24"/>
        </w:rPr>
        <w:t xml:space="preserve">-së Tiranë në Gjykatën Administrative të Shkallës së Parë Tiranë, e cila, me vendimin nr. 4969 (80-2016-5012), datë 25.10.2016, ka vendosur: </w:t>
      </w:r>
      <w:r w:rsidRPr="00E57208">
        <w:rPr>
          <w:rFonts w:ascii="Garamond" w:hAnsi="Garamond"/>
          <w:i/>
          <w:iCs/>
          <w:sz w:val="24"/>
          <w:szCs w:val="24"/>
        </w:rPr>
        <w:t xml:space="preserve">“Pranimin e padisë. Shfuqizimin e aktit administrativ “Vendim nr. D për </w:t>
      </w:r>
      <w:r w:rsidR="00E96BB8">
        <w:rPr>
          <w:rFonts w:ascii="Garamond" w:hAnsi="Garamond"/>
          <w:i/>
          <w:iCs/>
          <w:sz w:val="24"/>
          <w:szCs w:val="24"/>
        </w:rPr>
        <w:t>mbylljen e pensionit”, datë 10.</w:t>
      </w:r>
      <w:r w:rsidRPr="00E57208">
        <w:rPr>
          <w:rFonts w:ascii="Garamond" w:hAnsi="Garamond"/>
          <w:i/>
          <w:iCs/>
          <w:sz w:val="24"/>
          <w:szCs w:val="24"/>
        </w:rPr>
        <w:t xml:space="preserve">7.2015 të </w:t>
      </w:r>
      <w:proofErr w:type="spellStart"/>
      <w:r w:rsidRPr="00E57208">
        <w:rPr>
          <w:rFonts w:ascii="Garamond" w:hAnsi="Garamond"/>
          <w:i/>
          <w:iCs/>
          <w:sz w:val="24"/>
          <w:szCs w:val="24"/>
        </w:rPr>
        <w:t>DRSSH</w:t>
      </w:r>
      <w:proofErr w:type="spellEnd"/>
      <w:r w:rsidRPr="00E57208">
        <w:rPr>
          <w:rFonts w:ascii="Garamond" w:hAnsi="Garamond"/>
          <w:i/>
          <w:iCs/>
          <w:sz w:val="24"/>
          <w:szCs w:val="24"/>
        </w:rPr>
        <w:t xml:space="preserve"> Tiranë dhe për shpalljen debitor të paditësit </w:t>
      </w:r>
      <w:proofErr w:type="spellStart"/>
      <w:r w:rsidRPr="00E57208">
        <w:rPr>
          <w:rFonts w:ascii="Garamond" w:hAnsi="Garamond"/>
          <w:i/>
          <w:iCs/>
          <w:sz w:val="24"/>
          <w:szCs w:val="24"/>
        </w:rPr>
        <w:t>Selman</w:t>
      </w:r>
      <w:proofErr w:type="spellEnd"/>
      <w:r w:rsidRPr="00E57208">
        <w:rPr>
          <w:rFonts w:ascii="Garamond" w:hAnsi="Garamond"/>
          <w:i/>
          <w:iCs/>
          <w:sz w:val="24"/>
          <w:szCs w:val="24"/>
        </w:rPr>
        <w:t xml:space="preserve"> </w:t>
      </w:r>
      <w:proofErr w:type="spellStart"/>
      <w:r w:rsidRPr="00E57208">
        <w:rPr>
          <w:rFonts w:ascii="Garamond" w:hAnsi="Garamond"/>
          <w:i/>
          <w:iCs/>
          <w:sz w:val="24"/>
          <w:szCs w:val="24"/>
        </w:rPr>
        <w:t>Gazidedja</w:t>
      </w:r>
      <w:proofErr w:type="spellEnd"/>
      <w:r w:rsidRPr="00E57208">
        <w:rPr>
          <w:rFonts w:ascii="Garamond" w:hAnsi="Garamond"/>
          <w:i/>
          <w:iCs/>
          <w:sz w:val="24"/>
          <w:szCs w:val="24"/>
        </w:rPr>
        <w:t>, në shumën 2.102.069 (dy milion</w:t>
      </w:r>
      <w:r w:rsidR="00E96BB8">
        <w:rPr>
          <w:rFonts w:ascii="Garamond" w:hAnsi="Garamond"/>
          <w:i/>
          <w:iCs/>
          <w:sz w:val="24"/>
          <w:szCs w:val="24"/>
        </w:rPr>
        <w:t>ë</w:t>
      </w:r>
      <w:r w:rsidRPr="00E57208">
        <w:rPr>
          <w:rFonts w:ascii="Garamond" w:hAnsi="Garamond"/>
          <w:i/>
          <w:iCs/>
          <w:sz w:val="24"/>
          <w:szCs w:val="24"/>
        </w:rPr>
        <w:t xml:space="preserve"> e njëqind e dy mijë e gjashtëdhjetë e nëntë) lekë, si akt administrativ i pabazuar në ligj. Detyrimin e palës së paditur, </w:t>
      </w:r>
      <w:proofErr w:type="spellStart"/>
      <w:r w:rsidRPr="00E57208">
        <w:rPr>
          <w:rFonts w:ascii="Garamond" w:hAnsi="Garamond"/>
          <w:i/>
          <w:iCs/>
          <w:sz w:val="24"/>
          <w:szCs w:val="24"/>
        </w:rPr>
        <w:t>DRSSH</w:t>
      </w:r>
      <w:proofErr w:type="spellEnd"/>
      <w:r w:rsidRPr="00E57208">
        <w:rPr>
          <w:rFonts w:ascii="Garamond" w:hAnsi="Garamond"/>
          <w:i/>
          <w:iCs/>
          <w:sz w:val="24"/>
          <w:szCs w:val="24"/>
        </w:rPr>
        <w:t xml:space="preserve">, t’i caktojë paditësit </w:t>
      </w:r>
      <w:proofErr w:type="spellStart"/>
      <w:r w:rsidRPr="00E57208">
        <w:rPr>
          <w:rFonts w:ascii="Garamond" w:hAnsi="Garamond"/>
          <w:i/>
          <w:iCs/>
          <w:sz w:val="24"/>
          <w:szCs w:val="24"/>
        </w:rPr>
        <w:t>Selman</w:t>
      </w:r>
      <w:proofErr w:type="spellEnd"/>
      <w:r w:rsidRPr="00E57208">
        <w:rPr>
          <w:rFonts w:ascii="Garamond" w:hAnsi="Garamond"/>
          <w:i/>
          <w:iCs/>
          <w:sz w:val="24"/>
          <w:szCs w:val="24"/>
        </w:rPr>
        <w:t xml:space="preserve"> </w:t>
      </w:r>
      <w:proofErr w:type="spellStart"/>
      <w:r w:rsidRPr="00E57208">
        <w:rPr>
          <w:rFonts w:ascii="Garamond" w:hAnsi="Garamond"/>
          <w:i/>
          <w:iCs/>
          <w:sz w:val="24"/>
          <w:szCs w:val="24"/>
        </w:rPr>
        <w:t>Gazidedja</w:t>
      </w:r>
      <w:proofErr w:type="spellEnd"/>
      <w:r w:rsidRPr="00E57208">
        <w:rPr>
          <w:rFonts w:ascii="Garamond" w:hAnsi="Garamond"/>
          <w:i/>
          <w:iCs/>
          <w:sz w:val="24"/>
          <w:szCs w:val="24"/>
        </w:rPr>
        <w:t xml:space="preserve">, pensionin e pleqërisë sipas ligjit, si punonjës nëntoke miniere, nga </w:t>
      </w:r>
      <w:r w:rsidR="00E77F00">
        <w:rPr>
          <w:rFonts w:ascii="Garamond" w:hAnsi="Garamond"/>
          <w:i/>
          <w:iCs/>
          <w:sz w:val="24"/>
          <w:szCs w:val="24"/>
        </w:rPr>
        <w:t>data e paraqitjes së kërkesës, 1.</w:t>
      </w:r>
      <w:r w:rsidRPr="00E57208">
        <w:rPr>
          <w:rFonts w:ascii="Garamond" w:hAnsi="Garamond"/>
          <w:i/>
          <w:iCs/>
          <w:sz w:val="24"/>
          <w:szCs w:val="24"/>
        </w:rPr>
        <w:t>1.2015 e në vazhdim...”.</w:t>
      </w:r>
    </w:p>
    <w:p w14:paraId="447CD342" w14:textId="7064F29F" w:rsidR="00E57208" w:rsidRPr="00E57208" w:rsidRDefault="00E57208" w:rsidP="00E57208">
      <w:pPr>
        <w:tabs>
          <w:tab w:val="left" w:pos="980"/>
        </w:tabs>
        <w:spacing w:after="0" w:line="240" w:lineRule="auto"/>
        <w:ind w:firstLine="284"/>
        <w:jc w:val="both"/>
        <w:rPr>
          <w:rFonts w:ascii="Garamond" w:hAnsi="Garamond"/>
          <w:i/>
          <w:iCs/>
          <w:sz w:val="24"/>
          <w:szCs w:val="24"/>
        </w:rPr>
      </w:pPr>
      <w:r w:rsidRPr="00E57208">
        <w:rPr>
          <w:rFonts w:ascii="Garamond" w:hAnsi="Garamond"/>
          <w:sz w:val="24"/>
          <w:szCs w:val="24"/>
        </w:rPr>
        <w:t>5.</w:t>
      </w:r>
      <w:r>
        <w:rPr>
          <w:rFonts w:ascii="Garamond" w:hAnsi="Garamond"/>
          <w:sz w:val="24"/>
          <w:szCs w:val="24"/>
        </w:rPr>
        <w:t xml:space="preserve"> </w:t>
      </w:r>
      <w:r w:rsidRPr="00E57208">
        <w:rPr>
          <w:rFonts w:ascii="Garamond" w:hAnsi="Garamond"/>
          <w:sz w:val="24"/>
          <w:szCs w:val="24"/>
        </w:rPr>
        <w:t xml:space="preserve">Për ankimin e </w:t>
      </w:r>
      <w:proofErr w:type="spellStart"/>
      <w:r w:rsidRPr="00E57208">
        <w:rPr>
          <w:rFonts w:ascii="Garamond" w:hAnsi="Garamond"/>
          <w:sz w:val="24"/>
          <w:szCs w:val="24"/>
        </w:rPr>
        <w:t>DRSSH</w:t>
      </w:r>
      <w:proofErr w:type="spellEnd"/>
      <w:r w:rsidRPr="00E57208">
        <w:rPr>
          <w:rFonts w:ascii="Garamond" w:hAnsi="Garamond"/>
          <w:sz w:val="24"/>
          <w:szCs w:val="24"/>
        </w:rPr>
        <w:t>-së, Gjykata Administrative e Apel</w:t>
      </w:r>
      <w:r w:rsidR="00E77F00">
        <w:rPr>
          <w:rFonts w:ascii="Garamond" w:hAnsi="Garamond"/>
          <w:sz w:val="24"/>
          <w:szCs w:val="24"/>
        </w:rPr>
        <w:t xml:space="preserve">it, me vendimin nr. 4685, datë </w:t>
      </w:r>
      <w:r w:rsidRPr="00E57208">
        <w:rPr>
          <w:rFonts w:ascii="Garamond" w:hAnsi="Garamond"/>
          <w:sz w:val="24"/>
          <w:szCs w:val="24"/>
        </w:rPr>
        <w:t xml:space="preserve">9.11.2017, ka vendosur: </w:t>
      </w:r>
      <w:r w:rsidRPr="00E57208">
        <w:rPr>
          <w:rFonts w:ascii="Garamond" w:hAnsi="Garamond"/>
          <w:i/>
          <w:iCs/>
          <w:sz w:val="24"/>
          <w:szCs w:val="24"/>
        </w:rPr>
        <w:t xml:space="preserve">“Ndryshimin e vendimit  nr. 4969 (80-2016-5012), datë 25.10.2016, të Gjykatës Administrative të Shkallës së Parë Tiranë. Pranimin e pjesshëm të padisë së paditësit </w:t>
      </w:r>
      <w:proofErr w:type="spellStart"/>
      <w:r w:rsidRPr="00E57208">
        <w:rPr>
          <w:rFonts w:ascii="Garamond" w:hAnsi="Garamond"/>
          <w:i/>
          <w:iCs/>
          <w:sz w:val="24"/>
          <w:szCs w:val="24"/>
        </w:rPr>
        <w:t>Selman</w:t>
      </w:r>
      <w:proofErr w:type="spellEnd"/>
      <w:r w:rsidRPr="00E57208">
        <w:rPr>
          <w:rFonts w:ascii="Garamond" w:hAnsi="Garamond"/>
          <w:i/>
          <w:iCs/>
          <w:sz w:val="24"/>
          <w:szCs w:val="24"/>
        </w:rPr>
        <w:t xml:space="preserve"> </w:t>
      </w:r>
      <w:proofErr w:type="spellStart"/>
      <w:r w:rsidRPr="00E57208">
        <w:rPr>
          <w:rFonts w:ascii="Garamond" w:hAnsi="Garamond"/>
          <w:i/>
          <w:iCs/>
          <w:sz w:val="24"/>
          <w:szCs w:val="24"/>
        </w:rPr>
        <w:t>Gazidedja</w:t>
      </w:r>
      <w:proofErr w:type="spellEnd"/>
      <w:r w:rsidRPr="00E57208">
        <w:rPr>
          <w:rFonts w:ascii="Garamond" w:hAnsi="Garamond"/>
          <w:i/>
          <w:iCs/>
          <w:sz w:val="24"/>
          <w:szCs w:val="24"/>
        </w:rPr>
        <w:t>. Shfuqizimin pjesërisht të vendimit për m</w:t>
      </w:r>
      <w:r w:rsidR="00E77F00">
        <w:rPr>
          <w:rFonts w:ascii="Garamond" w:hAnsi="Garamond"/>
          <w:i/>
          <w:iCs/>
          <w:sz w:val="24"/>
          <w:szCs w:val="24"/>
        </w:rPr>
        <w:t>bylljen e pensionit të datë 10.</w:t>
      </w:r>
      <w:r w:rsidRPr="00E57208">
        <w:rPr>
          <w:rFonts w:ascii="Garamond" w:hAnsi="Garamond"/>
          <w:i/>
          <w:iCs/>
          <w:sz w:val="24"/>
          <w:szCs w:val="24"/>
        </w:rPr>
        <w:t xml:space="preserve">7.2015, lidhur me shpalljen debitor të paditësit </w:t>
      </w:r>
      <w:proofErr w:type="spellStart"/>
      <w:r w:rsidRPr="00E57208">
        <w:rPr>
          <w:rFonts w:ascii="Garamond" w:hAnsi="Garamond"/>
          <w:i/>
          <w:iCs/>
          <w:sz w:val="24"/>
          <w:szCs w:val="24"/>
        </w:rPr>
        <w:t>Selman</w:t>
      </w:r>
      <w:proofErr w:type="spellEnd"/>
      <w:r w:rsidRPr="00E57208">
        <w:rPr>
          <w:rFonts w:ascii="Garamond" w:hAnsi="Garamond"/>
          <w:i/>
          <w:iCs/>
          <w:sz w:val="24"/>
          <w:szCs w:val="24"/>
        </w:rPr>
        <w:t xml:space="preserve"> </w:t>
      </w:r>
      <w:proofErr w:type="spellStart"/>
      <w:r w:rsidRPr="00E57208">
        <w:rPr>
          <w:rFonts w:ascii="Garamond" w:hAnsi="Garamond"/>
          <w:i/>
          <w:iCs/>
          <w:sz w:val="24"/>
          <w:szCs w:val="24"/>
        </w:rPr>
        <w:t>Gazidedja</w:t>
      </w:r>
      <w:proofErr w:type="spellEnd"/>
      <w:r w:rsidRPr="00E57208">
        <w:rPr>
          <w:rFonts w:ascii="Garamond" w:hAnsi="Garamond"/>
          <w:i/>
          <w:iCs/>
          <w:sz w:val="24"/>
          <w:szCs w:val="24"/>
        </w:rPr>
        <w:t>, për përfitimet e të</w:t>
      </w:r>
      <w:r w:rsidR="00E77F00">
        <w:rPr>
          <w:rFonts w:ascii="Garamond" w:hAnsi="Garamond"/>
          <w:i/>
          <w:iCs/>
          <w:sz w:val="24"/>
          <w:szCs w:val="24"/>
        </w:rPr>
        <w:t>rhequra për periudhën nga data 1.4.2001 deri në datën 10.</w:t>
      </w:r>
      <w:r w:rsidRPr="00E57208">
        <w:rPr>
          <w:rFonts w:ascii="Garamond" w:hAnsi="Garamond"/>
          <w:i/>
          <w:iCs/>
          <w:sz w:val="24"/>
          <w:szCs w:val="24"/>
        </w:rPr>
        <w:t>7.2012. Rrëzimin e padisë për pjesën tjetër të kërkimeve...”.</w:t>
      </w:r>
    </w:p>
    <w:p w14:paraId="03C154C9" w14:textId="439F752A"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6. Kërkuesi ka paraqitur rekurs në Gjykatën e Lartë, i cili është regjistruar me nr. 31003-00307-</w:t>
      </w:r>
      <w:r w:rsidR="00E77F00">
        <w:rPr>
          <w:rFonts w:ascii="Garamond" w:hAnsi="Garamond"/>
          <w:sz w:val="24"/>
          <w:szCs w:val="24"/>
        </w:rPr>
        <w:t>00-2018 akti, datë regjistrimi 7.</w:t>
      </w:r>
      <w:r w:rsidRPr="00E57208">
        <w:rPr>
          <w:rFonts w:ascii="Garamond" w:hAnsi="Garamond"/>
          <w:sz w:val="24"/>
          <w:szCs w:val="24"/>
        </w:rPr>
        <w:t xml:space="preserve">2.2018 dhe meqenëse çështja nuk po gjykohej, ai i është drejtuar sërish asaj </w:t>
      </w:r>
      <w:r w:rsidR="00E77F00">
        <w:rPr>
          <w:rFonts w:ascii="Garamond" w:hAnsi="Garamond"/>
          <w:sz w:val="24"/>
          <w:szCs w:val="24"/>
        </w:rPr>
        <w:t>në datën 18.</w:t>
      </w:r>
      <w:r w:rsidRPr="00E57208">
        <w:rPr>
          <w:rFonts w:ascii="Garamond" w:hAnsi="Garamond"/>
          <w:sz w:val="24"/>
          <w:szCs w:val="24"/>
        </w:rPr>
        <w:t>9.2020 për konstatimin e shkeljes së afatit të arsyeshëm dhe përshpejtimin e procedurave të gjykimit të çështjes, bazuar në nenet 399/1-399/12 të Kodit të Procedurës Civile (</w:t>
      </w:r>
      <w:proofErr w:type="spellStart"/>
      <w:r w:rsidRPr="00E57208">
        <w:rPr>
          <w:rFonts w:ascii="Garamond" w:hAnsi="Garamond"/>
          <w:i/>
          <w:iCs/>
          <w:sz w:val="24"/>
          <w:szCs w:val="24"/>
        </w:rPr>
        <w:t>KPC</w:t>
      </w:r>
      <w:proofErr w:type="spellEnd"/>
      <w:r w:rsidRPr="00E57208">
        <w:rPr>
          <w:rFonts w:ascii="Garamond" w:hAnsi="Garamond"/>
          <w:sz w:val="24"/>
          <w:szCs w:val="24"/>
        </w:rPr>
        <w:t xml:space="preserve">). </w:t>
      </w:r>
    </w:p>
    <w:p w14:paraId="2ADE5346" w14:textId="2A2D304E"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7. Me s</w:t>
      </w:r>
      <w:r w:rsidR="00E77F00">
        <w:rPr>
          <w:rFonts w:ascii="Garamond" w:hAnsi="Garamond"/>
          <w:sz w:val="24"/>
          <w:szCs w:val="24"/>
        </w:rPr>
        <w:t xml:space="preserve">hkresën nr. 1919/1 </w:t>
      </w:r>
      <w:proofErr w:type="spellStart"/>
      <w:r w:rsidR="00E77F00">
        <w:rPr>
          <w:rFonts w:ascii="Garamond" w:hAnsi="Garamond"/>
          <w:sz w:val="24"/>
          <w:szCs w:val="24"/>
        </w:rPr>
        <w:t>prot</w:t>
      </w:r>
      <w:proofErr w:type="spellEnd"/>
      <w:r w:rsidR="00E77F00">
        <w:rPr>
          <w:rFonts w:ascii="Garamond" w:hAnsi="Garamond"/>
          <w:sz w:val="24"/>
          <w:szCs w:val="24"/>
        </w:rPr>
        <w:t>., datë 9.</w:t>
      </w:r>
      <w:r w:rsidRPr="00E57208">
        <w:rPr>
          <w:rFonts w:ascii="Garamond" w:hAnsi="Garamond"/>
          <w:sz w:val="24"/>
          <w:szCs w:val="24"/>
        </w:rPr>
        <w:t>9.2020 “</w:t>
      </w:r>
      <w:r w:rsidRPr="00E57208">
        <w:rPr>
          <w:rFonts w:ascii="Garamond" w:hAnsi="Garamond"/>
          <w:i/>
          <w:iCs/>
          <w:sz w:val="24"/>
          <w:szCs w:val="24"/>
        </w:rPr>
        <w:t>Kthim kërkese për konstatim shkelje afati të arsyeshëm</w:t>
      </w:r>
      <w:r w:rsidRPr="00E57208">
        <w:rPr>
          <w:rFonts w:ascii="Garamond" w:hAnsi="Garamond"/>
          <w:sz w:val="24"/>
          <w:szCs w:val="24"/>
        </w:rPr>
        <w:t xml:space="preserve">”, kancelari i Gjykatës së Lartë ka njoftuar kërkuesin se kërkesa për konstatimin e shkeljes së afatit të arsyeshëm dhe përshpejtimin e procedurave nuk është nënshkruar nga një avokat i autorizuar me akt përfaqësimi, kriter i parashikuar në nenin 474 të </w:t>
      </w:r>
      <w:proofErr w:type="spellStart"/>
      <w:r w:rsidRPr="00E57208">
        <w:rPr>
          <w:rFonts w:ascii="Garamond" w:hAnsi="Garamond"/>
          <w:sz w:val="24"/>
          <w:szCs w:val="24"/>
        </w:rPr>
        <w:t>KPC</w:t>
      </w:r>
      <w:proofErr w:type="spellEnd"/>
      <w:r w:rsidRPr="00E57208">
        <w:rPr>
          <w:rFonts w:ascii="Garamond" w:hAnsi="Garamond"/>
          <w:sz w:val="24"/>
          <w:szCs w:val="24"/>
        </w:rPr>
        <w:t>-së dhe, në këto kushte, ia ka kthyer atë për plotësim.</w:t>
      </w:r>
    </w:p>
    <w:p w14:paraId="2E2D7D5F" w14:textId="679AC1C8" w:rsidR="00E57208" w:rsidRPr="00E57208" w:rsidRDefault="00E57208" w:rsidP="00E57208">
      <w:pPr>
        <w:tabs>
          <w:tab w:val="left" w:pos="720"/>
          <w:tab w:val="left" w:pos="980"/>
        </w:tabs>
        <w:spacing w:after="0" w:line="240" w:lineRule="auto"/>
        <w:ind w:firstLine="284"/>
        <w:jc w:val="both"/>
        <w:rPr>
          <w:rFonts w:ascii="Garamond" w:hAnsi="Garamond"/>
          <w:sz w:val="24"/>
          <w:szCs w:val="24"/>
        </w:rPr>
      </w:pPr>
      <w:r>
        <w:rPr>
          <w:rFonts w:ascii="Garamond" w:hAnsi="Garamond"/>
          <w:sz w:val="24"/>
          <w:szCs w:val="24"/>
        </w:rPr>
        <w:t xml:space="preserve"> </w:t>
      </w:r>
      <w:r w:rsidR="00E77F00">
        <w:rPr>
          <w:rFonts w:ascii="Garamond" w:hAnsi="Garamond"/>
          <w:sz w:val="24"/>
          <w:szCs w:val="24"/>
        </w:rPr>
        <w:t>8. Në datën 18.</w:t>
      </w:r>
      <w:r w:rsidRPr="00E57208">
        <w:rPr>
          <w:rFonts w:ascii="Garamond" w:hAnsi="Garamond"/>
          <w:sz w:val="24"/>
          <w:szCs w:val="24"/>
        </w:rPr>
        <w:t xml:space="preserve">9.2020 kërkuesi e ka paraqitur sërish në Gjykatën e Lartë kërkesën për konstatimin e shkeljes së afatit të arsyeshëm dhe përshpejtimin e procedurave, tashmë të nënshkruar prej tij dhe avokatit, por ajo nuk është gjykuar ende. </w:t>
      </w:r>
    </w:p>
    <w:p w14:paraId="222F704B" w14:textId="5D829AAE" w:rsidR="00E57208" w:rsidRPr="00E57208" w:rsidRDefault="00E57208" w:rsidP="00E57208">
      <w:pPr>
        <w:tabs>
          <w:tab w:val="left" w:pos="720"/>
          <w:tab w:val="left" w:pos="98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9. Me shkr</w:t>
      </w:r>
      <w:r w:rsidR="00E77F00">
        <w:rPr>
          <w:rFonts w:ascii="Garamond" w:hAnsi="Garamond"/>
          <w:sz w:val="24"/>
          <w:szCs w:val="24"/>
        </w:rPr>
        <w:t xml:space="preserve">esën nr. 1010/1 </w:t>
      </w:r>
      <w:proofErr w:type="spellStart"/>
      <w:r w:rsidR="00E77F00">
        <w:rPr>
          <w:rFonts w:ascii="Garamond" w:hAnsi="Garamond"/>
          <w:sz w:val="24"/>
          <w:szCs w:val="24"/>
        </w:rPr>
        <w:t>prot</w:t>
      </w:r>
      <w:proofErr w:type="spellEnd"/>
      <w:r w:rsidR="00E77F00">
        <w:rPr>
          <w:rFonts w:ascii="Garamond" w:hAnsi="Garamond"/>
          <w:sz w:val="24"/>
          <w:szCs w:val="24"/>
        </w:rPr>
        <w:t>., datë 1.</w:t>
      </w:r>
      <w:r w:rsidRPr="00E57208">
        <w:rPr>
          <w:rFonts w:ascii="Garamond" w:hAnsi="Garamond"/>
          <w:sz w:val="24"/>
          <w:szCs w:val="24"/>
        </w:rPr>
        <w:t>4.2021 të kancelarit të Gjykatës së Lartë, në vijim të një kërkese tjetër të kërkuesit për marrje informacioni lidhur me statusin e rekursit dhe të kërkesës për konstatimin e shkeljes së afatit të arsyeshëm dhe përshpejtimin e procedurave, ai është njoftuar se të dyja çështjet ndodhen në fazën e studimit, në pritje për t’u shqyrtuar në dhomë këshillimi nga kolegjet përkatëse të Gjykatës së Lartë.</w:t>
      </w:r>
      <w:r w:rsidRPr="00E57208">
        <w:rPr>
          <w:rFonts w:ascii="Garamond" w:hAnsi="Garamond"/>
          <w:i/>
          <w:iCs/>
          <w:sz w:val="24"/>
          <w:szCs w:val="24"/>
        </w:rPr>
        <w:t xml:space="preserve"> </w:t>
      </w:r>
    </w:p>
    <w:p w14:paraId="10F3AB5D" w14:textId="63761CFE"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00E77F00">
        <w:rPr>
          <w:rFonts w:ascii="Garamond" w:hAnsi="Garamond"/>
          <w:sz w:val="24"/>
          <w:szCs w:val="24"/>
        </w:rPr>
        <w:t>10. Në datën 26.</w:t>
      </w:r>
      <w:r w:rsidRPr="00E57208">
        <w:rPr>
          <w:rFonts w:ascii="Garamond" w:hAnsi="Garamond"/>
          <w:sz w:val="24"/>
          <w:szCs w:val="24"/>
        </w:rPr>
        <w:t>4.2021, kërkuesi i është drejtuar Gjykatës Kushtetuese (</w:t>
      </w:r>
      <w:r w:rsidRPr="00E57208">
        <w:rPr>
          <w:rFonts w:ascii="Garamond" w:hAnsi="Garamond"/>
          <w:i/>
          <w:iCs/>
          <w:sz w:val="24"/>
          <w:szCs w:val="24"/>
        </w:rPr>
        <w:t>Gjykata</w:t>
      </w:r>
      <w:r w:rsidRPr="00E57208">
        <w:rPr>
          <w:rFonts w:ascii="Garamond" w:hAnsi="Garamond"/>
          <w:sz w:val="24"/>
          <w:szCs w:val="24"/>
        </w:rPr>
        <w:t xml:space="preserve">), duke pretenduar cenimin e së drejtës për proces të rregullt ligjor, sipas objektit të kërkesës. </w:t>
      </w:r>
      <w:r w:rsidRPr="00E57208">
        <w:rPr>
          <w:rFonts w:ascii="Garamond" w:hAnsi="Garamond"/>
          <w:i/>
          <w:iCs/>
          <w:sz w:val="24"/>
          <w:szCs w:val="24"/>
        </w:rPr>
        <w:t xml:space="preserve"> </w:t>
      </w:r>
      <w:r w:rsidR="00E77F00">
        <w:rPr>
          <w:rFonts w:ascii="Garamond" w:hAnsi="Garamond"/>
          <w:sz w:val="24"/>
          <w:szCs w:val="24"/>
        </w:rPr>
        <w:t>Kolegji i Gjykatës në datën 21.</w:t>
      </w:r>
      <w:r w:rsidRPr="00E57208">
        <w:rPr>
          <w:rFonts w:ascii="Garamond" w:hAnsi="Garamond"/>
          <w:sz w:val="24"/>
          <w:szCs w:val="24"/>
        </w:rPr>
        <w:t>5.2021 ka vendosur kalimin e çështjes për shqyrtim paraprak në Mbledhjen e Gjyqtarëve t</w:t>
      </w:r>
      <w:r w:rsidR="00E77F00">
        <w:rPr>
          <w:rFonts w:ascii="Garamond" w:hAnsi="Garamond"/>
          <w:sz w:val="24"/>
          <w:szCs w:val="24"/>
        </w:rPr>
        <w:t>ë Gjykatës, e cila në datën 28.</w:t>
      </w:r>
      <w:r w:rsidRPr="00E57208">
        <w:rPr>
          <w:rFonts w:ascii="Garamond" w:hAnsi="Garamond"/>
          <w:sz w:val="24"/>
          <w:szCs w:val="24"/>
        </w:rPr>
        <w:t>6.2021 ka vendosur kalimin e çështjes për shqyrtim në seancë plenare, mbi bazë të dokumenteve.</w:t>
      </w:r>
    </w:p>
    <w:p w14:paraId="6F01D883" w14:textId="690B1C89" w:rsidR="00E57208" w:rsidRPr="00E57208" w:rsidRDefault="00E57208" w:rsidP="00E57208">
      <w:pPr>
        <w:tabs>
          <w:tab w:val="left" w:pos="720"/>
        </w:tabs>
        <w:spacing w:after="0" w:line="240" w:lineRule="auto"/>
        <w:ind w:firstLine="284"/>
        <w:jc w:val="both"/>
        <w:rPr>
          <w:rFonts w:ascii="Garamond" w:hAnsi="Garamond"/>
          <w:i/>
          <w:iCs/>
          <w:sz w:val="24"/>
          <w:szCs w:val="24"/>
        </w:rPr>
      </w:pPr>
      <w:r>
        <w:rPr>
          <w:rFonts w:ascii="Garamond" w:hAnsi="Garamond"/>
          <w:sz w:val="24"/>
          <w:szCs w:val="24"/>
        </w:rPr>
        <w:t xml:space="preserve"> </w:t>
      </w:r>
    </w:p>
    <w:p w14:paraId="30E1D0CA" w14:textId="77777777" w:rsidR="00E57208" w:rsidRPr="00E57208" w:rsidRDefault="00E57208" w:rsidP="00E57208">
      <w:pPr>
        <w:spacing w:after="0" w:line="240" w:lineRule="auto"/>
        <w:ind w:firstLine="284"/>
        <w:jc w:val="center"/>
        <w:rPr>
          <w:rFonts w:ascii="Garamond" w:hAnsi="Garamond"/>
          <w:b/>
          <w:bCs/>
          <w:sz w:val="24"/>
          <w:szCs w:val="24"/>
        </w:rPr>
      </w:pPr>
      <w:proofErr w:type="spellStart"/>
      <w:r w:rsidRPr="00E57208">
        <w:rPr>
          <w:rFonts w:ascii="Garamond" w:hAnsi="Garamond"/>
          <w:b/>
          <w:bCs/>
          <w:sz w:val="24"/>
          <w:szCs w:val="24"/>
        </w:rPr>
        <w:t>II</w:t>
      </w:r>
      <w:proofErr w:type="spellEnd"/>
    </w:p>
    <w:p w14:paraId="6213ADF2" w14:textId="049F1812" w:rsidR="00E57208" w:rsidRPr="00E57208" w:rsidRDefault="00E57208" w:rsidP="00E57208">
      <w:pPr>
        <w:spacing w:after="0" w:line="240" w:lineRule="auto"/>
        <w:ind w:firstLine="284"/>
        <w:jc w:val="center"/>
        <w:rPr>
          <w:rFonts w:ascii="Garamond" w:hAnsi="Garamond"/>
          <w:b/>
          <w:bCs/>
          <w:sz w:val="24"/>
          <w:szCs w:val="24"/>
        </w:rPr>
      </w:pPr>
      <w:r w:rsidRPr="00E57208">
        <w:rPr>
          <w:rFonts w:ascii="Garamond" w:hAnsi="Garamond"/>
          <w:b/>
          <w:bCs/>
          <w:sz w:val="24"/>
          <w:szCs w:val="24"/>
        </w:rPr>
        <w:t>Pretendimet në Gjykatën Kushtetuese</w:t>
      </w:r>
    </w:p>
    <w:p w14:paraId="75BF4B00" w14:textId="46A47A99" w:rsidR="00E57208" w:rsidRPr="00E57208" w:rsidRDefault="00E57208" w:rsidP="00E57208">
      <w:pPr>
        <w:tabs>
          <w:tab w:val="left" w:pos="720"/>
          <w:tab w:val="left" w:pos="800"/>
        </w:tabs>
        <w:spacing w:after="0" w:line="240" w:lineRule="auto"/>
        <w:ind w:firstLine="284"/>
        <w:jc w:val="both"/>
        <w:rPr>
          <w:rFonts w:ascii="Garamond" w:hAnsi="Garamond"/>
          <w:sz w:val="24"/>
          <w:szCs w:val="24"/>
        </w:rPr>
      </w:pPr>
      <w:r w:rsidRPr="00E57208">
        <w:rPr>
          <w:rFonts w:ascii="Garamond" w:hAnsi="Garamond"/>
          <w:sz w:val="24"/>
          <w:szCs w:val="24"/>
        </w:rPr>
        <w:t>11</w:t>
      </w:r>
      <w:r w:rsidRPr="00E57208">
        <w:rPr>
          <w:rFonts w:ascii="Garamond" w:hAnsi="Garamond"/>
          <w:b/>
          <w:bCs/>
          <w:i/>
          <w:iCs/>
          <w:sz w:val="24"/>
          <w:szCs w:val="24"/>
        </w:rPr>
        <w:t>. Kërkuesi</w:t>
      </w:r>
      <w:r w:rsidRPr="00E57208">
        <w:rPr>
          <w:rFonts w:ascii="Garamond" w:hAnsi="Garamond"/>
          <w:i/>
          <w:iCs/>
          <w:sz w:val="24"/>
          <w:szCs w:val="24"/>
        </w:rPr>
        <w:t xml:space="preserve"> </w:t>
      </w:r>
      <w:r w:rsidRPr="00E57208">
        <w:rPr>
          <w:rFonts w:ascii="Garamond" w:hAnsi="Garamond"/>
          <w:sz w:val="24"/>
          <w:szCs w:val="24"/>
        </w:rPr>
        <w:t>i është drejtuar Gjykatës, duke parashtruar përmbledhtazi se janë cenuar:</w:t>
      </w:r>
    </w:p>
    <w:p w14:paraId="46AD2307" w14:textId="7E18F1A0" w:rsidR="00E57208" w:rsidRPr="00E57208" w:rsidRDefault="00E77F00" w:rsidP="00E57208">
      <w:pPr>
        <w:pStyle w:val="ListParagraph"/>
        <w:tabs>
          <w:tab w:val="left" w:pos="1080"/>
          <w:tab w:val="left" w:pos="1620"/>
        </w:tabs>
        <w:spacing w:after="0" w:line="240" w:lineRule="auto"/>
        <w:ind w:left="0" w:firstLine="284"/>
        <w:jc w:val="both"/>
        <w:rPr>
          <w:rFonts w:ascii="Garamond" w:hAnsi="Garamond"/>
          <w:sz w:val="24"/>
          <w:szCs w:val="24"/>
        </w:rPr>
      </w:pPr>
      <w:r>
        <w:rPr>
          <w:rFonts w:ascii="Garamond" w:hAnsi="Garamond"/>
          <w:sz w:val="24"/>
          <w:szCs w:val="24"/>
        </w:rPr>
        <w:t xml:space="preserve">11.1 </w:t>
      </w:r>
      <w:r w:rsidR="00E57208" w:rsidRPr="00E57208">
        <w:rPr>
          <w:rFonts w:ascii="Garamond" w:hAnsi="Garamond"/>
          <w:i/>
          <w:iCs/>
          <w:sz w:val="24"/>
          <w:szCs w:val="24"/>
        </w:rPr>
        <w:t xml:space="preserve">E drejta e aksesit dhe gjykimi nga një gjykatë e caktuar me ligj, </w:t>
      </w:r>
      <w:r w:rsidR="00E57208" w:rsidRPr="00E57208">
        <w:rPr>
          <w:rFonts w:ascii="Garamond" w:hAnsi="Garamond"/>
          <w:sz w:val="24"/>
          <w:szCs w:val="24"/>
        </w:rPr>
        <w:t>pasi kërkesa për përshpejtimin e procedurave nga ana e kancelarit të Gjykatës së Lartë i është kthyer pa veprime. Çështja konkrete nuk është shqyrtuar nga një gjyqtar, në kundërshtim me përcaktimet e nenit 57 të ligjit nr. 49/2012</w:t>
      </w:r>
      <w:r w:rsidR="007B34AF">
        <w:rPr>
          <w:rFonts w:ascii="Garamond" w:hAnsi="Garamond"/>
          <w:sz w:val="24"/>
          <w:szCs w:val="24"/>
        </w:rPr>
        <w:t>,</w:t>
      </w:r>
      <w:r w:rsidR="00E57208" w:rsidRPr="00E57208">
        <w:rPr>
          <w:rFonts w:ascii="Garamond" w:hAnsi="Garamond"/>
          <w:sz w:val="24"/>
          <w:szCs w:val="24"/>
        </w:rPr>
        <w:t xml:space="preserve"> “Për gjykatat administrative dhe mosmarrëveshjet administrative”, të ndryshuar (</w:t>
      </w:r>
      <w:r w:rsidR="00E57208" w:rsidRPr="00E57208">
        <w:rPr>
          <w:rFonts w:ascii="Garamond" w:hAnsi="Garamond"/>
          <w:i/>
          <w:iCs/>
          <w:sz w:val="24"/>
          <w:szCs w:val="24"/>
        </w:rPr>
        <w:t>ligji nr. 49/2012</w:t>
      </w:r>
      <w:r w:rsidR="00E57208" w:rsidRPr="00E57208">
        <w:rPr>
          <w:rFonts w:ascii="Garamond" w:hAnsi="Garamond"/>
          <w:sz w:val="24"/>
          <w:szCs w:val="24"/>
        </w:rPr>
        <w:t xml:space="preserve">). </w:t>
      </w:r>
      <w:r w:rsidR="00E57208" w:rsidRPr="00E57208">
        <w:rPr>
          <w:rFonts w:ascii="Garamond" w:hAnsi="Garamond"/>
          <w:sz w:val="24"/>
          <w:szCs w:val="24"/>
        </w:rPr>
        <w:lastRenderedPageBreak/>
        <w:t xml:space="preserve">Edhe sipas nenit 154/a, pika 3, të </w:t>
      </w:r>
      <w:proofErr w:type="spellStart"/>
      <w:r w:rsidR="00E57208" w:rsidRPr="00E57208">
        <w:rPr>
          <w:rFonts w:ascii="Garamond" w:hAnsi="Garamond"/>
          <w:sz w:val="24"/>
          <w:szCs w:val="24"/>
        </w:rPr>
        <w:t>KPC</w:t>
      </w:r>
      <w:proofErr w:type="spellEnd"/>
      <w:r w:rsidR="00E57208" w:rsidRPr="00E57208">
        <w:rPr>
          <w:rFonts w:ascii="Garamond" w:hAnsi="Garamond"/>
          <w:sz w:val="24"/>
          <w:szCs w:val="24"/>
        </w:rPr>
        <w:t xml:space="preserve">-së kthimi i kërkesës pa veprime bëhet nga gjyqtari i vetëm, detyrim që përfshin edhe Gjykatën e Lartë. Përdorimi i termit “nëse” në nenin 399/5 të </w:t>
      </w:r>
      <w:proofErr w:type="spellStart"/>
      <w:r w:rsidR="00E57208" w:rsidRPr="00E57208">
        <w:rPr>
          <w:rFonts w:ascii="Garamond" w:hAnsi="Garamond"/>
          <w:sz w:val="24"/>
          <w:szCs w:val="24"/>
        </w:rPr>
        <w:t>KPC</w:t>
      </w:r>
      <w:proofErr w:type="spellEnd"/>
      <w:r w:rsidR="00E57208" w:rsidRPr="00E57208">
        <w:rPr>
          <w:rFonts w:ascii="Garamond" w:hAnsi="Garamond"/>
          <w:sz w:val="24"/>
          <w:szCs w:val="24"/>
        </w:rPr>
        <w:t xml:space="preserve">-së do të thotë se kërkesa mund të bëhet (pra, edhe të nënshkruhet) nga vetë kërkuesi dhe, nëse bëhet nga avokati, kërkohet akt përfaqësimi. Sipas kërkuesit, kancelari i Gjykatës së Lartë ka bërë interpretimin në themel, duke shkelur kështu nenin 399/5 të </w:t>
      </w:r>
      <w:proofErr w:type="spellStart"/>
      <w:r w:rsidR="00E57208" w:rsidRPr="00E57208">
        <w:rPr>
          <w:rFonts w:ascii="Garamond" w:hAnsi="Garamond"/>
          <w:sz w:val="24"/>
          <w:szCs w:val="24"/>
        </w:rPr>
        <w:t>KPC</w:t>
      </w:r>
      <w:proofErr w:type="spellEnd"/>
      <w:r w:rsidR="00E57208" w:rsidRPr="00E57208">
        <w:rPr>
          <w:rFonts w:ascii="Garamond" w:hAnsi="Garamond"/>
          <w:sz w:val="24"/>
          <w:szCs w:val="24"/>
        </w:rPr>
        <w:t>-së, që është edhe ligji i posaçëm</w:t>
      </w:r>
      <w:r w:rsidR="00E57208" w:rsidRPr="00E57208">
        <w:rPr>
          <w:rFonts w:ascii="Garamond" w:hAnsi="Garamond"/>
          <w:i/>
          <w:iCs/>
          <w:sz w:val="24"/>
          <w:szCs w:val="24"/>
        </w:rPr>
        <w:t xml:space="preserve"> </w:t>
      </w:r>
      <w:r w:rsidR="00E57208" w:rsidRPr="00E57208">
        <w:rPr>
          <w:rFonts w:ascii="Garamond" w:hAnsi="Garamond"/>
          <w:sz w:val="24"/>
          <w:szCs w:val="24"/>
        </w:rPr>
        <w:t xml:space="preserve">për procedurat në fjalë, pasi ka vendosur gjykimin e çështjes në dhomë këshillimi, duke marrë atributet e gjykatës së caktuar me ligj. Sipas kërkuesit, edhe </w:t>
      </w:r>
      <w:proofErr w:type="spellStart"/>
      <w:r w:rsidR="00E57208" w:rsidRPr="00E57208">
        <w:rPr>
          <w:rFonts w:ascii="Garamond" w:hAnsi="Garamond"/>
          <w:sz w:val="24"/>
          <w:szCs w:val="24"/>
        </w:rPr>
        <w:t>KPC</w:t>
      </w:r>
      <w:proofErr w:type="spellEnd"/>
      <w:r w:rsidR="00E57208" w:rsidRPr="00E57208">
        <w:rPr>
          <w:rFonts w:ascii="Garamond" w:hAnsi="Garamond"/>
          <w:sz w:val="24"/>
          <w:szCs w:val="24"/>
        </w:rPr>
        <w:t xml:space="preserve">-ja në nenet 482 dhe 482/a përcakton gjykatën si organin që vendos nëse çështja do të shqyrtohet në dhomë këshillimi ose në seancë. </w:t>
      </w:r>
    </w:p>
    <w:p w14:paraId="7B25B043" w14:textId="76599833" w:rsidR="00E57208" w:rsidRPr="00E57208" w:rsidRDefault="00E77F00" w:rsidP="00E57208">
      <w:pPr>
        <w:pStyle w:val="ListParagraph"/>
        <w:tabs>
          <w:tab w:val="left" w:pos="1080"/>
          <w:tab w:val="left" w:pos="1620"/>
        </w:tabs>
        <w:spacing w:after="0" w:line="240" w:lineRule="auto"/>
        <w:ind w:left="0" w:firstLine="284"/>
        <w:jc w:val="both"/>
        <w:rPr>
          <w:rFonts w:ascii="Garamond" w:hAnsi="Garamond"/>
          <w:sz w:val="24"/>
          <w:szCs w:val="24"/>
        </w:rPr>
      </w:pPr>
      <w:r>
        <w:rPr>
          <w:rFonts w:ascii="Garamond" w:hAnsi="Garamond"/>
          <w:i/>
          <w:iCs/>
          <w:sz w:val="24"/>
          <w:szCs w:val="24"/>
        </w:rPr>
        <w:t>11.2</w:t>
      </w:r>
      <w:r w:rsidR="00E57208">
        <w:rPr>
          <w:rFonts w:ascii="Garamond" w:hAnsi="Garamond"/>
          <w:i/>
          <w:iCs/>
          <w:sz w:val="24"/>
          <w:szCs w:val="24"/>
        </w:rPr>
        <w:t xml:space="preserve"> </w:t>
      </w:r>
      <w:r w:rsidR="00E57208" w:rsidRPr="00E57208">
        <w:rPr>
          <w:rFonts w:ascii="Garamond" w:hAnsi="Garamond"/>
          <w:i/>
          <w:iCs/>
          <w:sz w:val="24"/>
          <w:szCs w:val="24"/>
        </w:rPr>
        <w:t xml:space="preserve"> E drejta për mjet ligjor efektiv për përshpejtimin e procedurave,</w:t>
      </w:r>
      <w:r w:rsidR="00E57208" w:rsidRPr="00E57208">
        <w:rPr>
          <w:rFonts w:ascii="Garamond" w:hAnsi="Garamond"/>
          <w:sz w:val="24"/>
          <w:szCs w:val="24"/>
        </w:rPr>
        <w:t xml:space="preserve"> pasi rekursi është regj</w:t>
      </w:r>
      <w:r>
        <w:rPr>
          <w:rFonts w:ascii="Garamond" w:hAnsi="Garamond"/>
          <w:sz w:val="24"/>
          <w:szCs w:val="24"/>
        </w:rPr>
        <w:t>istruar në Gjykatën e Lartë më 7.</w:t>
      </w:r>
      <w:r w:rsidR="00E57208" w:rsidRPr="00E57208">
        <w:rPr>
          <w:rFonts w:ascii="Garamond" w:hAnsi="Garamond"/>
          <w:sz w:val="24"/>
          <w:szCs w:val="24"/>
        </w:rPr>
        <w:t xml:space="preserve">2.2018 dhe prej më shumë se 3 vjetësh e 8 muajsh nuk ka ende një vendimmarrje. Kërkuesi pretendon se Gjykata e Lartë e ka objektivisht të pamundur nga ana procedurale që ta shqyrtojë ankimin për shkeljen e afatit dhe ndreqjen e pasojave. Sipas tij, edhe pse emërimi i gjyqtarëve të rinj mund të sjellë krijimin e një kolegji të ri në Gjykatën e Lartë, i cili do të shqyrtojë kërkesat për konstatimin e shkeljeve të afatit të arsyeshëm, kjo nuk e ndryshon thelbin e kërkesës, pasi efektiviteti i mjetit juridik vlerësohet nga momenti i paraqitjes së saj, çka do të thotë se Gjykata e Lartë nuk është mjet efektiv për zgjidhjen e pretendimeve që lidhen me shkeljen e afateve procedurale. </w:t>
      </w:r>
    </w:p>
    <w:p w14:paraId="08D7FDF7" w14:textId="301507FD" w:rsidR="00E57208" w:rsidRPr="00E57208" w:rsidRDefault="00E77F00" w:rsidP="00E57208">
      <w:pPr>
        <w:pStyle w:val="ListParagraph"/>
        <w:tabs>
          <w:tab w:val="left" w:pos="1080"/>
          <w:tab w:val="left" w:pos="1620"/>
        </w:tabs>
        <w:spacing w:after="0" w:line="240" w:lineRule="auto"/>
        <w:ind w:left="0" w:firstLine="284"/>
        <w:jc w:val="both"/>
        <w:rPr>
          <w:rFonts w:ascii="Garamond" w:hAnsi="Garamond"/>
          <w:sz w:val="24"/>
          <w:szCs w:val="24"/>
        </w:rPr>
      </w:pPr>
      <w:r>
        <w:rPr>
          <w:rFonts w:ascii="Garamond" w:hAnsi="Garamond"/>
          <w:i/>
          <w:iCs/>
          <w:sz w:val="24"/>
          <w:szCs w:val="24"/>
        </w:rPr>
        <w:t>11.3</w:t>
      </w:r>
      <w:r w:rsidR="00E57208">
        <w:rPr>
          <w:rFonts w:ascii="Garamond" w:hAnsi="Garamond"/>
          <w:i/>
          <w:iCs/>
          <w:sz w:val="24"/>
          <w:szCs w:val="24"/>
        </w:rPr>
        <w:t xml:space="preserve"> </w:t>
      </w:r>
      <w:r w:rsidR="00E57208" w:rsidRPr="00E57208">
        <w:rPr>
          <w:rFonts w:ascii="Garamond" w:hAnsi="Garamond"/>
          <w:i/>
          <w:iCs/>
          <w:sz w:val="24"/>
          <w:szCs w:val="24"/>
        </w:rPr>
        <w:t xml:space="preserve"> E drejta për gjykim brenda afatit të arsyeshëm nga Gjykata e Lartë,</w:t>
      </w:r>
      <w:r w:rsidR="00E57208" w:rsidRPr="00E57208">
        <w:rPr>
          <w:rFonts w:ascii="Garamond" w:hAnsi="Garamond"/>
          <w:sz w:val="24"/>
          <w:szCs w:val="24"/>
        </w:rPr>
        <w:t xml:space="preserve"> pasi as rekursi për themelin e çështjes dhe as kërkesa për përshpejtimin e gjykimit nuk janë gjykuar brenda afateve</w:t>
      </w:r>
      <w:r w:rsidR="00E57208" w:rsidRPr="00E57208">
        <w:rPr>
          <w:rFonts w:ascii="Garamond" w:hAnsi="Garamond"/>
          <w:i/>
          <w:iCs/>
          <w:sz w:val="24"/>
          <w:szCs w:val="24"/>
        </w:rPr>
        <w:t>.</w:t>
      </w:r>
      <w:r w:rsidR="00E57208" w:rsidRPr="00E57208">
        <w:rPr>
          <w:rFonts w:ascii="Garamond" w:hAnsi="Garamond"/>
          <w:sz w:val="24"/>
          <w:szCs w:val="24"/>
        </w:rPr>
        <w:t xml:space="preserve"> Në nenin 399/2 të </w:t>
      </w:r>
      <w:proofErr w:type="spellStart"/>
      <w:r w:rsidR="00E57208" w:rsidRPr="00E57208">
        <w:rPr>
          <w:rFonts w:ascii="Garamond" w:hAnsi="Garamond"/>
          <w:sz w:val="24"/>
          <w:szCs w:val="24"/>
        </w:rPr>
        <w:t>KPC</w:t>
      </w:r>
      <w:proofErr w:type="spellEnd"/>
      <w:r w:rsidR="00E57208" w:rsidRPr="00E57208">
        <w:rPr>
          <w:rFonts w:ascii="Garamond" w:hAnsi="Garamond"/>
          <w:sz w:val="24"/>
          <w:szCs w:val="24"/>
        </w:rPr>
        <w:t>-së është përcaktuar afati 1 vit si i arsyeshëm për shqyrtimin e çështjeve në shkallë të parë dhe në apel. Ndonëse dispozita nuk ka parashikuar afat specifik për çështjet administrative që gjykohen nga Gjykata e Lartë, kjo mungesë parashikimi nuk e bën të pazbatueshme procedurën e kërkesës për konstatimin e shkeljes së afatit të arsyeshëm, pasi në këtë rast gjen zbatim afati i përcaktuar nga neni 60, pika 2, i ligjit nr. 49/2012. Çështja është regjistruar n</w:t>
      </w:r>
      <w:r>
        <w:rPr>
          <w:rFonts w:ascii="Garamond" w:hAnsi="Garamond"/>
          <w:sz w:val="24"/>
          <w:szCs w:val="24"/>
        </w:rPr>
        <w:t>ë Gjykatën e Lartë në datën 7.</w:t>
      </w:r>
      <w:r w:rsidR="00E57208" w:rsidRPr="00E57208">
        <w:rPr>
          <w:rFonts w:ascii="Garamond" w:hAnsi="Garamond"/>
          <w:sz w:val="24"/>
          <w:szCs w:val="24"/>
        </w:rPr>
        <w:t xml:space="preserve">2.2018 dhe deri në paraqitjen e kërkesës për konstatimin e shkeljes së afatit të arsyeshëm kanë kaluar mbi 3 vjet dhe ajo nuk ka kryer asnjë veprim tjetër, përveçse ka caktuar gjyqtarin relator. Në tejkalimin e afatit të arsyeshëm nuk ka ndikuar asnjë prej rrethanave, të parashikuara në nenin 399/2 të </w:t>
      </w:r>
      <w:proofErr w:type="spellStart"/>
      <w:r w:rsidR="00E57208" w:rsidRPr="00E57208">
        <w:rPr>
          <w:rFonts w:ascii="Garamond" w:hAnsi="Garamond"/>
          <w:sz w:val="24"/>
          <w:szCs w:val="24"/>
        </w:rPr>
        <w:t>KPC</w:t>
      </w:r>
      <w:proofErr w:type="spellEnd"/>
      <w:r w:rsidR="00E57208" w:rsidRPr="00E57208">
        <w:rPr>
          <w:rFonts w:ascii="Garamond" w:hAnsi="Garamond"/>
          <w:sz w:val="24"/>
          <w:szCs w:val="24"/>
        </w:rPr>
        <w:t xml:space="preserve">-së dhe nuk mund të shërbejë si justifikim as reforma në drejtësi me pasojat e saj, përfshirë procesin e rivlerësimit të gjyqtarëve. </w:t>
      </w:r>
    </w:p>
    <w:p w14:paraId="6136975D" w14:textId="28A21312" w:rsidR="00E57208" w:rsidRPr="00E57208" w:rsidRDefault="00E57208" w:rsidP="00E57208">
      <w:pPr>
        <w:pStyle w:val="BodyText"/>
        <w:spacing w:after="0" w:line="240" w:lineRule="auto"/>
        <w:ind w:firstLine="284"/>
        <w:rPr>
          <w:rFonts w:ascii="Garamond" w:hAnsi="Garamond"/>
          <w:sz w:val="24"/>
          <w:szCs w:val="24"/>
        </w:rPr>
      </w:pPr>
      <w:r w:rsidRPr="00E57208">
        <w:rPr>
          <w:rFonts w:ascii="Garamond" w:hAnsi="Garamond"/>
          <w:sz w:val="24"/>
          <w:szCs w:val="24"/>
        </w:rPr>
        <w:t>12.</w:t>
      </w:r>
      <w:r w:rsidRPr="00E57208">
        <w:rPr>
          <w:rFonts w:ascii="Garamond" w:hAnsi="Garamond"/>
          <w:b/>
          <w:bCs/>
          <w:i/>
          <w:iCs/>
          <w:sz w:val="24"/>
          <w:szCs w:val="24"/>
        </w:rPr>
        <w:t xml:space="preserve"> Subjekti i interesuar,</w:t>
      </w:r>
      <w:r w:rsidRPr="00E57208">
        <w:rPr>
          <w:rFonts w:ascii="Garamond" w:hAnsi="Garamond"/>
          <w:sz w:val="24"/>
          <w:szCs w:val="24"/>
        </w:rPr>
        <w:t xml:space="preserve"> </w:t>
      </w:r>
      <w:proofErr w:type="spellStart"/>
      <w:r w:rsidRPr="00E57208">
        <w:rPr>
          <w:rFonts w:ascii="Garamond" w:hAnsi="Garamond"/>
          <w:sz w:val="24"/>
          <w:szCs w:val="24"/>
        </w:rPr>
        <w:t>DRSSH</w:t>
      </w:r>
      <w:proofErr w:type="spellEnd"/>
      <w:r w:rsidRPr="00E57208">
        <w:rPr>
          <w:rFonts w:ascii="Garamond" w:hAnsi="Garamond"/>
          <w:sz w:val="24"/>
          <w:szCs w:val="24"/>
        </w:rPr>
        <w:t>-ja, Tiranë, nuk ka paraqitur prapësime, edhe pse është njoftuar rregullisht.</w:t>
      </w:r>
    </w:p>
    <w:p w14:paraId="51D8DCFE" w14:textId="77777777" w:rsidR="00E57208" w:rsidRPr="00E57208" w:rsidRDefault="00E57208" w:rsidP="00E57208">
      <w:pPr>
        <w:spacing w:after="0" w:line="240" w:lineRule="auto"/>
        <w:ind w:firstLine="284"/>
        <w:jc w:val="center"/>
        <w:rPr>
          <w:rFonts w:ascii="Garamond" w:hAnsi="Garamond"/>
          <w:b/>
          <w:bCs/>
          <w:sz w:val="24"/>
          <w:szCs w:val="24"/>
        </w:rPr>
      </w:pPr>
    </w:p>
    <w:p w14:paraId="0659BDB1" w14:textId="5105429A" w:rsidR="00E57208" w:rsidRPr="00E57208" w:rsidRDefault="00E57208" w:rsidP="00E57208">
      <w:pPr>
        <w:spacing w:after="0" w:line="240" w:lineRule="auto"/>
        <w:ind w:firstLine="284"/>
        <w:jc w:val="center"/>
        <w:rPr>
          <w:rFonts w:ascii="Garamond" w:hAnsi="Garamond"/>
          <w:b/>
          <w:bCs/>
          <w:sz w:val="24"/>
          <w:szCs w:val="24"/>
        </w:rPr>
      </w:pPr>
      <w:proofErr w:type="spellStart"/>
      <w:r w:rsidRPr="00E57208">
        <w:rPr>
          <w:rFonts w:ascii="Garamond" w:hAnsi="Garamond"/>
          <w:b/>
          <w:bCs/>
          <w:sz w:val="24"/>
          <w:szCs w:val="24"/>
        </w:rPr>
        <w:t>III</w:t>
      </w:r>
      <w:proofErr w:type="spellEnd"/>
    </w:p>
    <w:p w14:paraId="3BCEE480" w14:textId="77777777" w:rsidR="00E57208" w:rsidRPr="00E57208" w:rsidRDefault="00E57208" w:rsidP="00E57208">
      <w:pPr>
        <w:spacing w:after="0" w:line="240" w:lineRule="auto"/>
        <w:ind w:firstLine="284"/>
        <w:jc w:val="center"/>
        <w:rPr>
          <w:rFonts w:ascii="Garamond" w:hAnsi="Garamond"/>
          <w:b/>
          <w:bCs/>
          <w:sz w:val="24"/>
          <w:szCs w:val="24"/>
        </w:rPr>
      </w:pPr>
      <w:r w:rsidRPr="00E57208">
        <w:rPr>
          <w:rFonts w:ascii="Garamond" w:hAnsi="Garamond"/>
          <w:b/>
          <w:bCs/>
          <w:sz w:val="24"/>
          <w:szCs w:val="24"/>
        </w:rPr>
        <w:t>Vlerësimi i Gjykatës Kushtetuese</w:t>
      </w:r>
    </w:p>
    <w:p w14:paraId="57442CAE" w14:textId="7DAFD4B8" w:rsidR="00E57208" w:rsidRPr="00E57208" w:rsidRDefault="00E57208" w:rsidP="00E57208">
      <w:pPr>
        <w:pStyle w:val="ListParagraph"/>
        <w:spacing w:after="0" w:line="240" w:lineRule="auto"/>
        <w:ind w:left="0" w:firstLine="284"/>
        <w:jc w:val="both"/>
        <w:rPr>
          <w:rFonts w:ascii="Garamond" w:hAnsi="Garamond"/>
          <w:i/>
          <w:iCs/>
          <w:sz w:val="24"/>
          <w:szCs w:val="24"/>
        </w:rPr>
      </w:pPr>
      <w:r w:rsidRPr="00E57208">
        <w:rPr>
          <w:rFonts w:ascii="Garamond" w:hAnsi="Garamond"/>
          <w:i/>
          <w:iCs/>
          <w:sz w:val="24"/>
          <w:szCs w:val="24"/>
        </w:rPr>
        <w:t>A.</w:t>
      </w:r>
      <w:r>
        <w:rPr>
          <w:rFonts w:ascii="Garamond" w:hAnsi="Garamond"/>
          <w:i/>
          <w:iCs/>
          <w:sz w:val="24"/>
          <w:szCs w:val="24"/>
        </w:rPr>
        <w:t xml:space="preserve"> </w:t>
      </w:r>
      <w:r w:rsidRPr="00E57208">
        <w:rPr>
          <w:rFonts w:ascii="Garamond" w:hAnsi="Garamond"/>
          <w:i/>
          <w:iCs/>
          <w:sz w:val="24"/>
          <w:szCs w:val="24"/>
        </w:rPr>
        <w:t>Për legjitimimin e kërkuesit</w:t>
      </w:r>
    </w:p>
    <w:p w14:paraId="6D72EA3F" w14:textId="2A7FC9E7"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 xml:space="preserve">13. Kërkuesi pretendon se i është cenuar e drejta e aksesit dhe gjykimit nga një gjykatë e caktuar me ligj, për shkak të kthimit pa veprime të kërkesës për konstatimin e shkeljes së afatit të arsyeshëm dhe përshpejtimin e procedurave nga ana e kancelarit të Gjykatës së Lartë, si dhe për faktin se ai ka vendosur gjykimin e çështjes në dhomë këshillimi, duke marrë atributet e gjykatës së caktuar me ligj. Ai pretendon se mjetet e parashikuara nga legjislacioni në fuqi për mbrojtjen e kësaj të drejte nuk janë efektive dhe se nuk ka mjete të tjera në dispozicion, duke kërkuar edhe konstatimin e mungesës së mjetit efektiv për konstatimin e shkeljes së afatit të arsyeshëm, dëmshpërblimin dhe përshpejtimin e procedurave, të garantuar në nenin 13 të </w:t>
      </w:r>
      <w:proofErr w:type="spellStart"/>
      <w:r w:rsidRPr="00E57208">
        <w:rPr>
          <w:rFonts w:ascii="Garamond" w:hAnsi="Garamond"/>
          <w:sz w:val="24"/>
          <w:szCs w:val="24"/>
        </w:rPr>
        <w:t>KEDNJ</w:t>
      </w:r>
      <w:proofErr w:type="spellEnd"/>
      <w:r w:rsidRPr="00E57208">
        <w:rPr>
          <w:rFonts w:ascii="Garamond" w:hAnsi="Garamond"/>
          <w:sz w:val="24"/>
          <w:szCs w:val="24"/>
        </w:rPr>
        <w:t xml:space="preserve">-së, të lidhur me nenin 6, paragrafi 1, të saj, si dhe nenin 42 të Kushtetutës. Gjithashtu, kërkuesi pretendon se ka pasur një cenim të së drejtës për proces të rregullt ligjor si pasojë e </w:t>
      </w:r>
      <w:proofErr w:type="spellStart"/>
      <w:r w:rsidRPr="00E57208">
        <w:rPr>
          <w:rFonts w:ascii="Garamond" w:hAnsi="Garamond"/>
          <w:sz w:val="24"/>
          <w:szCs w:val="24"/>
        </w:rPr>
        <w:t>mosgjykimit</w:t>
      </w:r>
      <w:proofErr w:type="spellEnd"/>
      <w:r w:rsidRPr="00E57208">
        <w:rPr>
          <w:rFonts w:ascii="Garamond" w:hAnsi="Garamond"/>
          <w:sz w:val="24"/>
          <w:szCs w:val="24"/>
        </w:rPr>
        <w:t xml:space="preserve"> të çështjes brenda një afati të arsyeshëm, lidhur me procedurat në Gjykatën e Lartë.</w:t>
      </w:r>
    </w:p>
    <w:p w14:paraId="2C435627" w14:textId="3076368F"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 xml:space="preserve">14. Çështja e legjitimimit </w:t>
      </w:r>
      <w:r w:rsidRPr="00E57208">
        <w:rPr>
          <w:rFonts w:ascii="Garamond" w:hAnsi="Garamond"/>
          <w:i/>
          <w:iCs/>
          <w:sz w:val="24"/>
          <w:szCs w:val="24"/>
        </w:rPr>
        <w:t>(</w:t>
      </w:r>
      <w:proofErr w:type="spellStart"/>
      <w:r w:rsidRPr="00E57208">
        <w:rPr>
          <w:rFonts w:ascii="Garamond" w:hAnsi="Garamond"/>
          <w:i/>
          <w:iCs/>
          <w:sz w:val="24"/>
          <w:szCs w:val="24"/>
        </w:rPr>
        <w:t>locus</w:t>
      </w:r>
      <w:proofErr w:type="spellEnd"/>
      <w:r w:rsidRPr="00E57208">
        <w:rPr>
          <w:rFonts w:ascii="Garamond" w:hAnsi="Garamond"/>
          <w:i/>
          <w:iCs/>
          <w:sz w:val="24"/>
          <w:szCs w:val="24"/>
        </w:rPr>
        <w:t xml:space="preserve"> </w:t>
      </w:r>
      <w:proofErr w:type="spellStart"/>
      <w:r w:rsidRPr="00E57208">
        <w:rPr>
          <w:rFonts w:ascii="Garamond" w:hAnsi="Garamond"/>
          <w:i/>
          <w:iCs/>
          <w:sz w:val="24"/>
          <w:szCs w:val="24"/>
        </w:rPr>
        <w:t>standi</w:t>
      </w:r>
      <w:proofErr w:type="spellEnd"/>
      <w:r w:rsidRPr="00E57208">
        <w:rPr>
          <w:rFonts w:ascii="Garamond" w:hAnsi="Garamond"/>
          <w:i/>
          <w:iCs/>
          <w:sz w:val="24"/>
          <w:szCs w:val="24"/>
        </w:rPr>
        <w:t>)</w:t>
      </w:r>
      <w:r w:rsidRPr="00E57208">
        <w:rPr>
          <w:rFonts w:ascii="Garamond" w:hAnsi="Garamond"/>
          <w:sz w:val="24"/>
          <w:szCs w:val="24"/>
        </w:rPr>
        <w:t xml:space="preserve"> është vlerësuar nga Gjykata Kushtetuese si një ndër aspektet kryesore që lidhet me inicimin e një procesi kushtetues. Sipas neneve 131, pika 1, shkronja “f” dhe 134, pika 1, shkronja “i” dhe pika 2, të Kushtetutës, si dhe nenit 71 të ligjit nr. 8577/2000, </w:t>
      </w:r>
      <w:r w:rsidRPr="00E57208">
        <w:rPr>
          <w:rFonts w:ascii="Garamond" w:hAnsi="Garamond"/>
          <w:sz w:val="24"/>
          <w:szCs w:val="24"/>
        </w:rPr>
        <w:lastRenderedPageBreak/>
        <w:t xml:space="preserve">çdo individ, person fizik ose juridik, subjekt i së drejtës private dhe publike, mund të vërë në lëvizje Gjykatën Kushtetuese për gjykimin përfundimtar të ankesave kundër çdo akti të pushtetit publik ose vendimi gjyqësor, që cenon të drejtat dhe liritë themelore të garantuara në Kushtetutë. </w:t>
      </w:r>
    </w:p>
    <w:p w14:paraId="2E4CDDA7" w14:textId="1033D908" w:rsidR="00E57208" w:rsidRPr="00E57208" w:rsidRDefault="00E57208" w:rsidP="00E57208">
      <w:pPr>
        <w:spacing w:after="0" w:line="240" w:lineRule="auto"/>
        <w:ind w:firstLine="284"/>
        <w:jc w:val="both"/>
        <w:rPr>
          <w:rFonts w:ascii="Garamond" w:hAnsi="Garamond"/>
          <w:sz w:val="24"/>
          <w:szCs w:val="24"/>
        </w:rPr>
      </w:pPr>
      <w:r w:rsidRPr="00E57208">
        <w:rPr>
          <w:rFonts w:ascii="Garamond" w:hAnsi="Garamond"/>
          <w:sz w:val="24"/>
          <w:szCs w:val="24"/>
        </w:rPr>
        <w:t xml:space="preserve">15. Ankimi kushtetues individual, në vijim të dispozitave kushtetuese, rregullohet edhe nga dispozitat e ligjit nr. 8577/2000, i cili në nenin 71/a përcakton si kritere legjitimimi shterimin e mjeteve juridike, paraqitjen e kërkesës brenda afatit përkatës, ardhjen drejtpërdrejt e realisht të pasojave, si dhe mundësinë për rivendosjen e së drejtës së shkelur. Këto kritere janë </w:t>
      </w:r>
      <w:proofErr w:type="spellStart"/>
      <w:r w:rsidRPr="00E57208">
        <w:rPr>
          <w:rFonts w:ascii="Garamond" w:hAnsi="Garamond"/>
          <w:sz w:val="24"/>
          <w:szCs w:val="24"/>
        </w:rPr>
        <w:t>kumulative</w:t>
      </w:r>
      <w:proofErr w:type="spellEnd"/>
      <w:r w:rsidRPr="00E57208">
        <w:rPr>
          <w:rFonts w:ascii="Garamond" w:hAnsi="Garamond"/>
          <w:sz w:val="24"/>
          <w:szCs w:val="24"/>
        </w:rPr>
        <w:t>.</w:t>
      </w:r>
    </w:p>
    <w:p w14:paraId="25FFB3EB" w14:textId="29392F2B"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 xml:space="preserve">16. Në analizë të përmbushjes së kriterit </w:t>
      </w:r>
      <w:proofErr w:type="spellStart"/>
      <w:r w:rsidRPr="00E57208">
        <w:rPr>
          <w:rFonts w:ascii="Garamond" w:hAnsi="Garamond"/>
          <w:i/>
          <w:iCs/>
          <w:sz w:val="24"/>
          <w:szCs w:val="24"/>
        </w:rPr>
        <w:t>ratione</w:t>
      </w:r>
      <w:proofErr w:type="spellEnd"/>
      <w:r w:rsidRPr="00E57208">
        <w:rPr>
          <w:rFonts w:ascii="Garamond" w:hAnsi="Garamond"/>
          <w:i/>
          <w:iCs/>
          <w:sz w:val="24"/>
          <w:szCs w:val="24"/>
        </w:rPr>
        <w:t xml:space="preserve"> </w:t>
      </w:r>
      <w:proofErr w:type="spellStart"/>
      <w:r w:rsidRPr="00E57208">
        <w:rPr>
          <w:rFonts w:ascii="Garamond" w:hAnsi="Garamond"/>
          <w:i/>
          <w:iCs/>
          <w:sz w:val="24"/>
          <w:szCs w:val="24"/>
        </w:rPr>
        <w:t>personae</w:t>
      </w:r>
      <w:proofErr w:type="spellEnd"/>
      <w:r w:rsidRPr="00E57208">
        <w:rPr>
          <w:rFonts w:ascii="Garamond" w:hAnsi="Garamond"/>
          <w:sz w:val="24"/>
          <w:szCs w:val="24"/>
        </w:rPr>
        <w:t>, në kuptim të neneve 131, pika 1, shkronja “f”, 134, pika 1, shkronja “i” dhe 134, pika 2, të Kushtetutës, Gjykata vëren se kërkuesi legjitimohet për paraqitjen e kërkesës pranë saj, pasi ka qenë palë në procesin gjyqësor, për të cilin ka ngritur pretendime në këtë Gjykatë dhe ka interes të drejtpërdrejtë.</w:t>
      </w:r>
    </w:p>
    <w:p w14:paraId="0F89213C" w14:textId="1143E871"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 xml:space="preserve">17. Një kriter tjetër paraprak, që duhet të përmbushet nga individi përpara se t’i drejtohet Gjykatës, lidhet me </w:t>
      </w:r>
      <w:r w:rsidRPr="00E57208">
        <w:rPr>
          <w:rFonts w:ascii="Garamond" w:hAnsi="Garamond"/>
          <w:i/>
          <w:iCs/>
          <w:sz w:val="24"/>
          <w:szCs w:val="24"/>
        </w:rPr>
        <w:t>shterimin e mjeteve juridike efektive</w:t>
      </w:r>
      <w:r w:rsidRPr="00E57208">
        <w:rPr>
          <w:rFonts w:ascii="Garamond" w:hAnsi="Garamond"/>
          <w:sz w:val="24"/>
          <w:szCs w:val="24"/>
        </w:rPr>
        <w:t>, që përcaktohet nga nenet 131, pika 1, shkronja “f” dhe 134, pika 1, shkronja “i”, të Kushtetutës, si dhe neni 71/a, pika 1, shkronja “a”, i ligjit nr. 8577/2000.  Shterimi i mjeteve përbën parakusht që duhet përmbushur nga kërkuesi, i cili para se t’i drejtohet Gjykatës duhet të vërtetojë se ka përdorur të gjitha mjetet juridike të njohura nga ligji dhe të mjaftueshme për të rivendosur të drejtat e shkelura. Mjetet juridike shterojnë kur në varësi të rrethanave të çështjes, rregullat procedurale nuk parashikojnë mjete të tjera ankimi (</w:t>
      </w:r>
      <w:r w:rsidR="00EB34D6">
        <w:rPr>
          <w:rFonts w:ascii="Garamond" w:hAnsi="Garamond"/>
          <w:i/>
          <w:iCs/>
          <w:sz w:val="24"/>
          <w:szCs w:val="24"/>
        </w:rPr>
        <w:t>shih vendimin nr. 38, datë 25.</w:t>
      </w:r>
      <w:r w:rsidRPr="00E57208">
        <w:rPr>
          <w:rFonts w:ascii="Garamond" w:hAnsi="Garamond"/>
          <w:i/>
          <w:iCs/>
          <w:sz w:val="24"/>
          <w:szCs w:val="24"/>
        </w:rPr>
        <w:t>4.2017</w:t>
      </w:r>
      <w:r w:rsidR="009B5270">
        <w:rPr>
          <w:rFonts w:ascii="Garamond" w:hAnsi="Garamond"/>
          <w:i/>
          <w:iCs/>
          <w:sz w:val="24"/>
          <w:szCs w:val="24"/>
        </w:rPr>
        <w:t>,</w:t>
      </w:r>
      <w:r w:rsidRPr="00E57208">
        <w:rPr>
          <w:rFonts w:ascii="Garamond" w:hAnsi="Garamond"/>
          <w:i/>
          <w:iCs/>
          <w:sz w:val="24"/>
          <w:szCs w:val="24"/>
        </w:rPr>
        <w:t xml:space="preserve"> të Gjykatës Kushtetuese</w:t>
      </w:r>
      <w:r w:rsidRPr="00E57208">
        <w:rPr>
          <w:rFonts w:ascii="Garamond" w:hAnsi="Garamond"/>
          <w:sz w:val="24"/>
          <w:szCs w:val="24"/>
        </w:rPr>
        <w:t xml:space="preserve">). </w:t>
      </w:r>
    </w:p>
    <w:p w14:paraId="1ACCB9F7" w14:textId="7538F47D" w:rsidR="00E57208" w:rsidRPr="00E57208" w:rsidRDefault="00E57208" w:rsidP="00E57208">
      <w:pPr>
        <w:spacing w:after="0" w:line="240" w:lineRule="auto"/>
        <w:ind w:firstLine="284"/>
        <w:jc w:val="both"/>
        <w:rPr>
          <w:rFonts w:ascii="Garamond" w:hAnsi="Garamond"/>
          <w:b/>
          <w:bCs/>
          <w:sz w:val="24"/>
          <w:szCs w:val="24"/>
        </w:rPr>
      </w:pPr>
      <w:r w:rsidRPr="00E57208">
        <w:rPr>
          <w:rFonts w:ascii="Garamond" w:hAnsi="Garamond"/>
          <w:sz w:val="24"/>
          <w:szCs w:val="24"/>
        </w:rPr>
        <w:t xml:space="preserve">18. Gjithashtu, Gjykata ka pohuar se kërkuesi duhet t’i ketë përdorur të gjitha mjetet juridike në dispozicion për mbrojtjen e së drejtës kushtetuese të pretenduar jo vetëm formalisht, por edhe në kuptimin substancial. Duke qenë se mjeti juridik mund të jetë i ndryshëm, në varësi të llojit të ankimit, efektiviteti i tij vlerësohet jo thjesht nga fakti që është parashikuar me ligj, por edhe nga </w:t>
      </w:r>
      <w:proofErr w:type="spellStart"/>
      <w:r w:rsidRPr="00E57208">
        <w:rPr>
          <w:rFonts w:ascii="Garamond" w:hAnsi="Garamond"/>
          <w:sz w:val="24"/>
          <w:szCs w:val="24"/>
        </w:rPr>
        <w:t>zbatueshmëria</w:t>
      </w:r>
      <w:proofErr w:type="spellEnd"/>
      <w:r w:rsidRPr="00E57208">
        <w:rPr>
          <w:rFonts w:ascii="Garamond" w:hAnsi="Garamond"/>
          <w:sz w:val="24"/>
          <w:szCs w:val="24"/>
        </w:rPr>
        <w:t xml:space="preserve"> e tij (</w:t>
      </w:r>
      <w:r w:rsidR="00E77F00">
        <w:rPr>
          <w:rFonts w:ascii="Garamond" w:hAnsi="Garamond"/>
          <w:i/>
          <w:iCs/>
          <w:sz w:val="24"/>
          <w:szCs w:val="24"/>
        </w:rPr>
        <w:t xml:space="preserve">shih vendimet nr. 33, datë 1.11.2021; nr. 31, datë </w:t>
      </w:r>
      <w:r w:rsidRPr="00E57208">
        <w:rPr>
          <w:rFonts w:ascii="Garamond" w:hAnsi="Garamond"/>
          <w:i/>
          <w:iCs/>
          <w:sz w:val="24"/>
          <w:szCs w:val="24"/>
        </w:rPr>
        <w:t>4.10.2021</w:t>
      </w:r>
      <w:r w:rsidR="009B5270">
        <w:rPr>
          <w:rFonts w:ascii="Garamond" w:hAnsi="Garamond"/>
          <w:i/>
          <w:iCs/>
          <w:sz w:val="24"/>
          <w:szCs w:val="24"/>
        </w:rPr>
        <w:t>,</w:t>
      </w:r>
      <w:r w:rsidRPr="00E57208">
        <w:rPr>
          <w:rFonts w:ascii="Garamond" w:hAnsi="Garamond"/>
          <w:i/>
          <w:iCs/>
          <w:sz w:val="24"/>
          <w:szCs w:val="24"/>
        </w:rPr>
        <w:t xml:space="preserve"> të Gjykatës Kushtetuese</w:t>
      </w:r>
      <w:r w:rsidRPr="00E57208">
        <w:rPr>
          <w:rFonts w:ascii="Garamond" w:hAnsi="Garamond"/>
          <w:sz w:val="24"/>
          <w:szCs w:val="24"/>
        </w:rPr>
        <w:t>).</w:t>
      </w:r>
      <w:r w:rsidRPr="00E57208">
        <w:rPr>
          <w:rFonts w:ascii="Garamond" w:hAnsi="Garamond"/>
          <w:b/>
          <w:bCs/>
          <w:sz w:val="24"/>
          <w:szCs w:val="24"/>
        </w:rPr>
        <w:t xml:space="preserve"> </w:t>
      </w:r>
    </w:p>
    <w:p w14:paraId="6B015BED" w14:textId="25085D84"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19. Thënë ndryshe, ky rregull nënkupton se kërkuesi duhet të shterojë vetëm mjetet juridike “efektive”, para se t’i drejtohet Gjykatës Kushtetuese, në kuptimin e shterimit vetëm të atyre mjeteve juridike, të afta për të rivendosur të drejtën, që pretendohet se është shkelur. Në të kundërt, vetë Gjykata rrezikon të mos konsiderohet si një “mjet efektiv” (</w:t>
      </w:r>
      <w:r w:rsidRPr="00E57208">
        <w:rPr>
          <w:rFonts w:ascii="Garamond" w:hAnsi="Garamond"/>
          <w:i/>
          <w:iCs/>
          <w:sz w:val="24"/>
          <w:szCs w:val="24"/>
        </w:rPr>
        <w:t>shih vendimin nr. 3</w:t>
      </w:r>
      <w:r w:rsidR="00E77F00">
        <w:rPr>
          <w:rFonts w:ascii="Garamond" w:hAnsi="Garamond"/>
          <w:i/>
          <w:iCs/>
          <w:sz w:val="24"/>
          <w:szCs w:val="24"/>
        </w:rPr>
        <w:t xml:space="preserve">3, datë </w:t>
      </w:r>
      <w:r w:rsidRPr="00E57208">
        <w:rPr>
          <w:rFonts w:ascii="Garamond" w:hAnsi="Garamond"/>
          <w:i/>
          <w:iCs/>
          <w:sz w:val="24"/>
          <w:szCs w:val="24"/>
        </w:rPr>
        <w:t>1.11.2021</w:t>
      </w:r>
      <w:r w:rsidR="009B5270">
        <w:rPr>
          <w:rFonts w:ascii="Garamond" w:hAnsi="Garamond"/>
          <w:i/>
          <w:iCs/>
          <w:sz w:val="24"/>
          <w:szCs w:val="24"/>
        </w:rPr>
        <w:t>,</w:t>
      </w:r>
      <w:r w:rsidRPr="00E57208">
        <w:rPr>
          <w:rFonts w:ascii="Garamond" w:hAnsi="Garamond"/>
          <w:i/>
          <w:iCs/>
          <w:sz w:val="24"/>
          <w:szCs w:val="24"/>
        </w:rPr>
        <w:t xml:space="preserve"> të Gjykatës Kushtetuese</w:t>
      </w:r>
      <w:r w:rsidRPr="00E57208">
        <w:rPr>
          <w:rFonts w:ascii="Garamond" w:hAnsi="Garamond"/>
          <w:sz w:val="24"/>
          <w:szCs w:val="24"/>
        </w:rPr>
        <w:t>).</w:t>
      </w:r>
    </w:p>
    <w:p w14:paraId="2E307A6D" w14:textId="19E54D86"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 xml:space="preserve">20. Sipas </w:t>
      </w:r>
      <w:proofErr w:type="spellStart"/>
      <w:r w:rsidRPr="00E57208">
        <w:rPr>
          <w:rFonts w:ascii="Garamond" w:hAnsi="Garamond"/>
          <w:sz w:val="24"/>
          <w:szCs w:val="24"/>
        </w:rPr>
        <w:t>GJEDNJ</w:t>
      </w:r>
      <w:proofErr w:type="spellEnd"/>
      <w:r w:rsidRPr="00E57208">
        <w:rPr>
          <w:rFonts w:ascii="Garamond" w:hAnsi="Garamond"/>
          <w:sz w:val="24"/>
          <w:szCs w:val="24"/>
        </w:rPr>
        <w:t xml:space="preserve">-së, mjeti juridik përshpejtues është “efektiv” nëse përshpejton vendimmarrjen e gjykatës në fjalë. Ajo, gjithashtu, ka theksuar rëndësinë e parimit të </w:t>
      </w:r>
      <w:proofErr w:type="spellStart"/>
      <w:r w:rsidRPr="00E57208">
        <w:rPr>
          <w:rFonts w:ascii="Garamond" w:hAnsi="Garamond"/>
          <w:sz w:val="24"/>
          <w:szCs w:val="24"/>
        </w:rPr>
        <w:t>subsidiaritetit</w:t>
      </w:r>
      <w:proofErr w:type="spellEnd"/>
      <w:r w:rsidRPr="00E57208">
        <w:rPr>
          <w:rFonts w:ascii="Garamond" w:hAnsi="Garamond"/>
          <w:sz w:val="24"/>
          <w:szCs w:val="24"/>
        </w:rPr>
        <w:t xml:space="preserve">, i cili bën të mundur shmangien që individët t’i drejtohen sistematikisht kësaj gjykate për pretendime që mund të shqyrtohen më mirë brenda sistemit juridik kombëtar. Prandaj, aty ku ligjvënësi ose gjykatat vendase kanë marrë përsipër të luajnë rolin e duhur të tyre, duke parashikuar një mjet juridik të brendshëm, kësaj gjykate do t’i duhet të vlerësojë nëse mjeti është ose jo efektiv </w:t>
      </w:r>
      <w:r w:rsidRPr="00E57208">
        <w:rPr>
          <w:rFonts w:ascii="Garamond" w:hAnsi="Garamond"/>
          <w:i/>
          <w:iCs/>
          <w:sz w:val="24"/>
          <w:szCs w:val="24"/>
        </w:rPr>
        <w:t xml:space="preserve">(shih </w:t>
      </w:r>
      <w:proofErr w:type="spellStart"/>
      <w:r w:rsidRPr="00E57208">
        <w:rPr>
          <w:rFonts w:ascii="Garamond" w:hAnsi="Garamond"/>
          <w:i/>
          <w:iCs/>
          <w:sz w:val="24"/>
          <w:szCs w:val="24"/>
        </w:rPr>
        <w:t>Scordino</w:t>
      </w:r>
      <w:proofErr w:type="spellEnd"/>
      <w:r w:rsidRPr="00E57208">
        <w:rPr>
          <w:rFonts w:ascii="Garamond" w:hAnsi="Garamond"/>
          <w:i/>
          <w:iCs/>
          <w:sz w:val="24"/>
          <w:szCs w:val="24"/>
        </w:rPr>
        <w:t xml:space="preserve"> kundër Italisë (nr. 1) [</w:t>
      </w:r>
      <w:proofErr w:type="spellStart"/>
      <w:r w:rsidRPr="00E57208">
        <w:rPr>
          <w:rFonts w:ascii="Garamond" w:hAnsi="Garamond"/>
          <w:i/>
          <w:iCs/>
          <w:sz w:val="24"/>
          <w:szCs w:val="24"/>
        </w:rPr>
        <w:t>GC</w:t>
      </w:r>
      <w:proofErr w:type="spellEnd"/>
      <w:r w:rsidRPr="00E57208">
        <w:rPr>
          <w:rFonts w:ascii="Garamond" w:hAnsi="Garamond"/>
          <w:i/>
          <w:iCs/>
          <w:sz w:val="24"/>
          <w:szCs w:val="24"/>
        </w:rPr>
        <w:t>], 29 mars 2006, §§ 184, 188</w:t>
      </w:r>
      <w:r w:rsidR="00E77F00">
        <w:rPr>
          <w:rFonts w:ascii="Garamond" w:hAnsi="Garamond"/>
          <w:i/>
          <w:iCs/>
          <w:sz w:val="24"/>
          <w:szCs w:val="24"/>
        </w:rPr>
        <w:t>–</w:t>
      </w:r>
      <w:r w:rsidRPr="00E57208">
        <w:rPr>
          <w:rFonts w:ascii="Garamond" w:hAnsi="Garamond"/>
          <w:i/>
          <w:iCs/>
          <w:sz w:val="24"/>
          <w:szCs w:val="24"/>
        </w:rPr>
        <w:t>189).</w:t>
      </w:r>
      <w:r w:rsidRPr="00E57208">
        <w:rPr>
          <w:rFonts w:ascii="Garamond" w:hAnsi="Garamond"/>
          <w:sz w:val="24"/>
          <w:szCs w:val="24"/>
        </w:rPr>
        <w:t xml:space="preserve"> </w:t>
      </w:r>
    </w:p>
    <w:p w14:paraId="14D56DA9" w14:textId="21316A09"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 xml:space="preserve">21. Në rastin konkret, Gjykata do të vlerësojë nëse kërkuesi i ka shteruar mjetet juridike në dispozicion dhe nëse këto kanë qenë efektive, për të garantuar të drejtën e individit për gjykim brenda një afati të arsyeshëm. Në këtë këndvështrim, Gjykata do të shqyrtojë pretendimet e kërkuesit për mungesën e mjetit efektiv të përshpejtimit të procedurave që ajo ka ngritur, në kuptim të nenit 13 të </w:t>
      </w:r>
      <w:proofErr w:type="spellStart"/>
      <w:r w:rsidRPr="00E57208">
        <w:rPr>
          <w:rFonts w:ascii="Garamond" w:hAnsi="Garamond"/>
          <w:sz w:val="24"/>
          <w:szCs w:val="24"/>
        </w:rPr>
        <w:t>KEDNJ</w:t>
      </w:r>
      <w:proofErr w:type="spellEnd"/>
      <w:r w:rsidRPr="00E57208">
        <w:rPr>
          <w:rFonts w:ascii="Garamond" w:hAnsi="Garamond"/>
          <w:sz w:val="24"/>
          <w:szCs w:val="24"/>
        </w:rPr>
        <w:t xml:space="preserve">-së, si dhe për cenimin e aksesit dhe të gjykatës së caktuar me ligj në këtë lloj procedure. </w:t>
      </w:r>
    </w:p>
    <w:p w14:paraId="5ADC9980" w14:textId="65F01F02" w:rsidR="00E57208" w:rsidRPr="00E57208" w:rsidRDefault="00E57208" w:rsidP="00E57208">
      <w:pPr>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22. Sipas të dhënave të Gjykatës së Lartë, rezulton se rekursi i kërkuesit është regji</w:t>
      </w:r>
      <w:r w:rsidR="00E77F00">
        <w:rPr>
          <w:rFonts w:ascii="Garamond" w:hAnsi="Garamond"/>
          <w:sz w:val="24"/>
          <w:szCs w:val="24"/>
        </w:rPr>
        <w:t>struar në datën 7.</w:t>
      </w:r>
      <w:r w:rsidRPr="00E57208">
        <w:rPr>
          <w:rFonts w:ascii="Garamond" w:hAnsi="Garamond"/>
          <w:sz w:val="24"/>
          <w:szCs w:val="24"/>
        </w:rPr>
        <w:t>2.2018, por nuk ka ende një vendimmarrje për të. Gjithashtu, kërkuesi ka paraqitur një kërkesë në Gjykatën e Lartë me objekt konstatimin e shkeljes së afatit të arsyeshëm dhe përshpejtimin e procedurave gjyqësore në gjykimin e çështjes,</w:t>
      </w:r>
      <w:r w:rsidR="00E77F00">
        <w:rPr>
          <w:rFonts w:ascii="Garamond" w:hAnsi="Garamond"/>
          <w:sz w:val="24"/>
          <w:szCs w:val="24"/>
        </w:rPr>
        <w:t xml:space="preserve"> fillimisht në datën 2.9.2020 dhe më pas në datën 18.</w:t>
      </w:r>
      <w:r w:rsidRPr="00E57208">
        <w:rPr>
          <w:rFonts w:ascii="Garamond" w:hAnsi="Garamond"/>
          <w:sz w:val="24"/>
          <w:szCs w:val="24"/>
        </w:rPr>
        <w:t>9.2020, e regjistruar në po atë datë, për të cilën deri në ditën e shqyrtimit të kësaj çështjeje pranë Gjykatës, nuk ishte caktuar ende një datë shqyrtimi.</w:t>
      </w:r>
    </w:p>
    <w:p w14:paraId="5BF9AAAD" w14:textId="4CF85F67"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 xml:space="preserve">23. Gjykata në jurisprudencën e saj e ka legjitimuar individin për paraqitjen e kërkesave me objekt për </w:t>
      </w:r>
      <w:proofErr w:type="spellStart"/>
      <w:r w:rsidRPr="00E57208">
        <w:rPr>
          <w:rFonts w:ascii="Garamond" w:hAnsi="Garamond"/>
          <w:sz w:val="24"/>
          <w:szCs w:val="24"/>
        </w:rPr>
        <w:t>mosgjykimin</w:t>
      </w:r>
      <w:proofErr w:type="spellEnd"/>
      <w:r w:rsidRPr="00E57208">
        <w:rPr>
          <w:rFonts w:ascii="Garamond" w:hAnsi="Garamond"/>
          <w:sz w:val="24"/>
          <w:szCs w:val="24"/>
        </w:rPr>
        <w:t xml:space="preserve"> e çështjeve brenda një afati të arsyeshëm, edhe kur për to nuk ishte dhënë një vendim përfundimtar, ose për mosekzekutimin e vendimit brenda afatit të arsyeshëm, në kuptim të së drejtës për një proces të rregullt ligjor, për shkak se legjislacioni nuk parashikonte mjete të tjera juridike efektive për mbrojtjen e kësaj të drejte kushtetuese (</w:t>
      </w:r>
      <w:r w:rsidRPr="00E57208">
        <w:rPr>
          <w:rFonts w:ascii="Garamond" w:hAnsi="Garamond"/>
          <w:i/>
          <w:iCs/>
          <w:sz w:val="24"/>
          <w:szCs w:val="24"/>
        </w:rPr>
        <w:t>shih vendimet nr. 22, da</w:t>
      </w:r>
      <w:r w:rsidR="00EB34D6">
        <w:rPr>
          <w:rFonts w:ascii="Garamond" w:hAnsi="Garamond"/>
          <w:i/>
          <w:iCs/>
          <w:sz w:val="24"/>
          <w:szCs w:val="24"/>
        </w:rPr>
        <w:t>të 29.</w:t>
      </w:r>
      <w:r w:rsidR="00E77F00">
        <w:rPr>
          <w:rFonts w:ascii="Garamond" w:hAnsi="Garamond"/>
          <w:i/>
          <w:iCs/>
          <w:sz w:val="24"/>
          <w:szCs w:val="24"/>
        </w:rPr>
        <w:t>4.2021; nr. 16, datë 16.</w:t>
      </w:r>
      <w:r w:rsidRPr="00E57208">
        <w:rPr>
          <w:rFonts w:ascii="Garamond" w:hAnsi="Garamond"/>
          <w:i/>
          <w:iCs/>
          <w:sz w:val="24"/>
          <w:szCs w:val="24"/>
        </w:rPr>
        <w:t>3.2021; nr. 69, datë 17.11.2015; nr. 12,</w:t>
      </w:r>
      <w:r w:rsidR="00E77F00">
        <w:rPr>
          <w:rFonts w:ascii="Garamond" w:hAnsi="Garamond"/>
          <w:i/>
          <w:iCs/>
          <w:sz w:val="24"/>
          <w:szCs w:val="24"/>
        </w:rPr>
        <w:t xml:space="preserve"> datë 5.</w:t>
      </w:r>
      <w:r w:rsidRPr="00E57208">
        <w:rPr>
          <w:rFonts w:ascii="Garamond" w:hAnsi="Garamond"/>
          <w:i/>
          <w:iCs/>
          <w:sz w:val="24"/>
          <w:szCs w:val="24"/>
        </w:rPr>
        <w:t>3.2012</w:t>
      </w:r>
      <w:r w:rsidR="009B5270">
        <w:rPr>
          <w:rFonts w:ascii="Garamond" w:hAnsi="Garamond"/>
          <w:i/>
          <w:iCs/>
          <w:sz w:val="24"/>
          <w:szCs w:val="24"/>
        </w:rPr>
        <w:t>,</w:t>
      </w:r>
      <w:r w:rsidRPr="00E57208">
        <w:rPr>
          <w:rFonts w:ascii="Garamond" w:hAnsi="Garamond"/>
          <w:i/>
          <w:iCs/>
          <w:sz w:val="24"/>
          <w:szCs w:val="24"/>
        </w:rPr>
        <w:t xml:space="preserve"> të Gjykatës Kushtetuese</w:t>
      </w:r>
      <w:r w:rsidRPr="00E57208">
        <w:rPr>
          <w:rFonts w:ascii="Garamond" w:hAnsi="Garamond"/>
          <w:sz w:val="24"/>
          <w:szCs w:val="24"/>
        </w:rPr>
        <w:t xml:space="preserve">).  </w:t>
      </w:r>
    </w:p>
    <w:p w14:paraId="14158D43" w14:textId="6F70D313"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00E77F00">
        <w:rPr>
          <w:rFonts w:ascii="Garamond" w:hAnsi="Garamond"/>
          <w:sz w:val="24"/>
          <w:szCs w:val="24"/>
        </w:rPr>
        <w:t>24. Në datën 30.</w:t>
      </w:r>
      <w:r w:rsidRPr="00E57208">
        <w:rPr>
          <w:rFonts w:ascii="Garamond" w:hAnsi="Garamond"/>
          <w:sz w:val="24"/>
          <w:szCs w:val="24"/>
        </w:rPr>
        <w:t>3.2017, ligjvënësi ka miratuar ligjin nr. 38/2017</w:t>
      </w:r>
      <w:r w:rsidR="007B34AF">
        <w:rPr>
          <w:rFonts w:ascii="Garamond" w:hAnsi="Garamond"/>
          <w:sz w:val="24"/>
          <w:szCs w:val="24"/>
        </w:rPr>
        <w:t>,</w:t>
      </w:r>
      <w:r w:rsidRPr="00E57208">
        <w:rPr>
          <w:rFonts w:ascii="Garamond" w:hAnsi="Garamond"/>
          <w:sz w:val="24"/>
          <w:szCs w:val="24"/>
        </w:rPr>
        <w:t xml:space="preserve"> “Për disa ndryshime në Kodin e Procedurës Civile”, i cili ka përfshirë dispozita të reja në </w:t>
      </w:r>
      <w:proofErr w:type="spellStart"/>
      <w:r w:rsidRPr="00E57208">
        <w:rPr>
          <w:rFonts w:ascii="Garamond" w:hAnsi="Garamond"/>
          <w:sz w:val="24"/>
          <w:szCs w:val="24"/>
        </w:rPr>
        <w:t>KPC</w:t>
      </w:r>
      <w:proofErr w:type="spellEnd"/>
      <w:r w:rsidRPr="00E57208">
        <w:rPr>
          <w:rFonts w:ascii="Garamond" w:hAnsi="Garamond"/>
          <w:sz w:val="24"/>
          <w:szCs w:val="24"/>
        </w:rPr>
        <w:t xml:space="preserve"> për afatet e arsyeshme të përfundimit të hetimit, gjykimit ose ekzekutimit të një vendimi </w:t>
      </w:r>
      <w:r w:rsidR="00E77F00">
        <w:rPr>
          <w:rFonts w:ascii="Garamond" w:hAnsi="Garamond"/>
          <w:sz w:val="24"/>
          <w:szCs w:val="24"/>
        </w:rPr>
        <w:t>të formës së prerë, nenet 399/1–</w:t>
      </w:r>
      <w:r w:rsidRPr="00E57208">
        <w:rPr>
          <w:rFonts w:ascii="Garamond" w:hAnsi="Garamond"/>
          <w:sz w:val="24"/>
          <w:szCs w:val="24"/>
        </w:rPr>
        <w:t xml:space="preserve">399/12. Me hyrjen në fuqi </w:t>
      </w:r>
      <w:r w:rsidR="007B34AF">
        <w:rPr>
          <w:rFonts w:ascii="Garamond" w:hAnsi="Garamond"/>
          <w:sz w:val="24"/>
          <w:szCs w:val="24"/>
        </w:rPr>
        <w:t xml:space="preserve">të këtyre ndryshimeve në datën </w:t>
      </w:r>
      <w:r w:rsidRPr="00E57208">
        <w:rPr>
          <w:rFonts w:ascii="Garamond" w:hAnsi="Garamond"/>
          <w:sz w:val="24"/>
          <w:szCs w:val="24"/>
        </w:rPr>
        <w:t xml:space="preserve">5.11.2017, Gjykata ka vlerësuar se legjislacioni vendas parashikon tashmë një mjet juridik ankimi efektiv, i cili garanton si përshpejtimin e procesit gjyqësor, ashtu edhe dëmshpërblimin, pra ofron një rezultat konkret në drejtim të rivendosjes së të drejtës së shkelur për proces gjyqësor brenda afateve të arsyeshme ligjore </w:t>
      </w:r>
      <w:r w:rsidRPr="00E57208">
        <w:rPr>
          <w:rFonts w:ascii="Garamond" w:hAnsi="Garamond"/>
          <w:i/>
          <w:iCs/>
          <w:sz w:val="24"/>
          <w:szCs w:val="24"/>
        </w:rPr>
        <w:t>(shih vendimin nr. 80, datë 18.12.2017</w:t>
      </w:r>
      <w:r w:rsidR="009B5270">
        <w:rPr>
          <w:rFonts w:ascii="Garamond" w:hAnsi="Garamond"/>
          <w:i/>
          <w:iCs/>
          <w:sz w:val="24"/>
          <w:szCs w:val="24"/>
        </w:rPr>
        <w:t>,</w:t>
      </w:r>
      <w:r w:rsidRPr="00E57208">
        <w:rPr>
          <w:rFonts w:ascii="Garamond" w:hAnsi="Garamond"/>
          <w:i/>
          <w:iCs/>
          <w:sz w:val="24"/>
          <w:szCs w:val="24"/>
        </w:rPr>
        <w:t xml:space="preserve"> të Gjykatës Kushtetuese)</w:t>
      </w:r>
      <w:r w:rsidRPr="00E57208">
        <w:rPr>
          <w:rFonts w:ascii="Garamond" w:hAnsi="Garamond"/>
          <w:sz w:val="24"/>
          <w:szCs w:val="24"/>
        </w:rPr>
        <w:t>.</w:t>
      </w:r>
    </w:p>
    <w:p w14:paraId="19D8F1B9" w14:textId="7C511B43" w:rsidR="00E57208" w:rsidRPr="00E57208" w:rsidRDefault="00E57208" w:rsidP="00E57208">
      <w:pPr>
        <w:tabs>
          <w:tab w:val="left" w:pos="720"/>
        </w:tabs>
        <w:spacing w:after="0" w:line="240" w:lineRule="auto"/>
        <w:ind w:firstLine="284"/>
        <w:jc w:val="both"/>
        <w:rPr>
          <w:rFonts w:ascii="Garamond" w:hAnsi="Garamond"/>
          <w:i/>
          <w:iCs/>
          <w:sz w:val="24"/>
          <w:szCs w:val="24"/>
        </w:rPr>
      </w:pPr>
      <w:r>
        <w:rPr>
          <w:rFonts w:ascii="Garamond" w:hAnsi="Garamond"/>
          <w:sz w:val="24"/>
          <w:szCs w:val="24"/>
        </w:rPr>
        <w:t xml:space="preserve"> </w:t>
      </w:r>
      <w:r w:rsidRPr="00E57208">
        <w:rPr>
          <w:rFonts w:ascii="Garamond" w:hAnsi="Garamond"/>
          <w:sz w:val="24"/>
          <w:szCs w:val="24"/>
        </w:rPr>
        <w:t xml:space="preserve">25. </w:t>
      </w:r>
      <w:proofErr w:type="spellStart"/>
      <w:r w:rsidRPr="00E57208">
        <w:rPr>
          <w:rFonts w:ascii="Garamond" w:hAnsi="Garamond"/>
          <w:sz w:val="24"/>
          <w:szCs w:val="24"/>
        </w:rPr>
        <w:t>GJEDNJ</w:t>
      </w:r>
      <w:proofErr w:type="spellEnd"/>
      <w:r w:rsidRPr="00E57208">
        <w:rPr>
          <w:rFonts w:ascii="Garamond" w:hAnsi="Garamond"/>
          <w:sz w:val="24"/>
          <w:szCs w:val="24"/>
        </w:rPr>
        <w:t>-ja ka arritur në përfundimin se mjeti juridik, i parashikuar në nenet 399/1 e vijues</w:t>
      </w:r>
      <w:r w:rsidR="00EB34D6">
        <w:rPr>
          <w:rFonts w:ascii="Garamond" w:hAnsi="Garamond"/>
          <w:sz w:val="24"/>
          <w:szCs w:val="24"/>
        </w:rPr>
        <w:t>e</w:t>
      </w:r>
      <w:r w:rsidRPr="00E57208">
        <w:rPr>
          <w:rFonts w:ascii="Garamond" w:hAnsi="Garamond"/>
          <w:sz w:val="24"/>
          <w:szCs w:val="24"/>
        </w:rPr>
        <w:t xml:space="preserve"> të </w:t>
      </w:r>
      <w:proofErr w:type="spellStart"/>
      <w:r w:rsidRPr="00E57208">
        <w:rPr>
          <w:rFonts w:ascii="Garamond" w:hAnsi="Garamond"/>
          <w:sz w:val="24"/>
          <w:szCs w:val="24"/>
        </w:rPr>
        <w:t>KPC</w:t>
      </w:r>
      <w:proofErr w:type="spellEnd"/>
      <w:r w:rsidRPr="00E57208">
        <w:rPr>
          <w:rFonts w:ascii="Garamond" w:hAnsi="Garamond"/>
          <w:sz w:val="24"/>
          <w:szCs w:val="24"/>
        </w:rPr>
        <w:t xml:space="preserve">-së në parim është efektiv, por, që të jetë i tillë edhe në praktikë, kërkesa për konstatimin e shkeljes së afatit të arsyeshëm dhe përshpejtimin e procedurave, në bazë të nenit 399/6, pika 1, të </w:t>
      </w:r>
      <w:proofErr w:type="spellStart"/>
      <w:r w:rsidRPr="00E57208">
        <w:rPr>
          <w:rFonts w:ascii="Garamond" w:hAnsi="Garamond"/>
          <w:sz w:val="24"/>
          <w:szCs w:val="24"/>
        </w:rPr>
        <w:t>KPC</w:t>
      </w:r>
      <w:proofErr w:type="spellEnd"/>
      <w:r w:rsidRPr="00E57208">
        <w:rPr>
          <w:rFonts w:ascii="Garamond" w:hAnsi="Garamond"/>
          <w:sz w:val="24"/>
          <w:szCs w:val="24"/>
        </w:rPr>
        <w:t>-së, duhet të shqyrtohet me shpejtësi nga gjykata (</w:t>
      </w:r>
      <w:r w:rsidRPr="00E57208">
        <w:rPr>
          <w:rFonts w:ascii="Garamond" w:hAnsi="Garamond"/>
          <w:i/>
          <w:iCs/>
          <w:sz w:val="24"/>
          <w:szCs w:val="24"/>
        </w:rPr>
        <w:t>shih</w:t>
      </w:r>
      <w:r w:rsidRPr="00E57208">
        <w:rPr>
          <w:rFonts w:ascii="Garamond" w:hAnsi="Garamond"/>
          <w:sz w:val="24"/>
          <w:szCs w:val="24"/>
        </w:rPr>
        <w:t xml:space="preserve"> </w:t>
      </w:r>
      <w:proofErr w:type="spellStart"/>
      <w:r w:rsidRPr="00E57208">
        <w:rPr>
          <w:rFonts w:ascii="Garamond" w:hAnsi="Garamond"/>
          <w:i/>
          <w:iCs/>
          <w:sz w:val="24"/>
          <w:szCs w:val="24"/>
        </w:rPr>
        <w:t>Bara</w:t>
      </w:r>
      <w:proofErr w:type="spellEnd"/>
      <w:r w:rsidRPr="00E57208">
        <w:rPr>
          <w:rFonts w:ascii="Garamond" w:hAnsi="Garamond"/>
          <w:i/>
          <w:iCs/>
          <w:sz w:val="24"/>
          <w:szCs w:val="24"/>
        </w:rPr>
        <w:t xml:space="preserve"> dhe </w:t>
      </w:r>
      <w:proofErr w:type="spellStart"/>
      <w:r w:rsidRPr="00E57208">
        <w:rPr>
          <w:rFonts w:ascii="Garamond" w:hAnsi="Garamond"/>
          <w:i/>
          <w:iCs/>
          <w:sz w:val="24"/>
          <w:szCs w:val="24"/>
        </w:rPr>
        <w:t>Kola</w:t>
      </w:r>
      <w:proofErr w:type="spellEnd"/>
      <w:r w:rsidRPr="00E57208">
        <w:rPr>
          <w:rFonts w:ascii="Garamond" w:hAnsi="Garamond"/>
          <w:i/>
          <w:iCs/>
          <w:sz w:val="24"/>
          <w:szCs w:val="24"/>
        </w:rPr>
        <w:t xml:space="preserve"> kundër Shqipërisë, 12 tetor 2021, §§ 107 dhe 119</w:t>
      </w:r>
      <w:r w:rsidRPr="00E57208">
        <w:rPr>
          <w:rFonts w:ascii="Garamond" w:hAnsi="Garamond"/>
          <w:sz w:val="24"/>
          <w:szCs w:val="24"/>
        </w:rPr>
        <w:t>).</w:t>
      </w:r>
      <w:r w:rsidRPr="00E57208">
        <w:rPr>
          <w:rFonts w:ascii="Garamond" w:hAnsi="Garamond"/>
          <w:i/>
          <w:iCs/>
          <w:sz w:val="24"/>
          <w:szCs w:val="24"/>
        </w:rPr>
        <w:t xml:space="preserve"> </w:t>
      </w:r>
    </w:p>
    <w:p w14:paraId="64C176E8" w14:textId="45D4D6DE"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26.</w:t>
      </w:r>
      <w:r w:rsidRPr="00E57208">
        <w:rPr>
          <w:rFonts w:ascii="Garamond" w:hAnsi="Garamond"/>
          <w:i/>
          <w:iCs/>
          <w:sz w:val="24"/>
          <w:szCs w:val="24"/>
        </w:rPr>
        <w:t xml:space="preserve"> </w:t>
      </w:r>
      <w:r w:rsidRPr="00E57208">
        <w:rPr>
          <w:rFonts w:ascii="Garamond" w:hAnsi="Garamond"/>
          <w:sz w:val="24"/>
          <w:szCs w:val="24"/>
        </w:rPr>
        <w:t xml:space="preserve">Po në këtë vendim, për sa i përket shqyrtimit nëse mjeti juridik ishte efektiv në praktikë, </w:t>
      </w:r>
      <w:proofErr w:type="spellStart"/>
      <w:r w:rsidRPr="00E57208">
        <w:rPr>
          <w:rFonts w:ascii="Garamond" w:hAnsi="Garamond"/>
          <w:sz w:val="24"/>
          <w:szCs w:val="24"/>
        </w:rPr>
        <w:t>GJEDNJ</w:t>
      </w:r>
      <w:proofErr w:type="spellEnd"/>
      <w:r w:rsidRPr="00E57208">
        <w:rPr>
          <w:rFonts w:ascii="Garamond" w:hAnsi="Garamond"/>
          <w:sz w:val="24"/>
          <w:szCs w:val="24"/>
        </w:rPr>
        <w:t>-ja ka konstatuar se pas hyrjes në fuqi të mjetit përshpejtues/parandalues   më 5 nëntor 2017, në bazë të neneve 399/6, pika 1, e vijues</w:t>
      </w:r>
      <w:r w:rsidR="009B5270">
        <w:rPr>
          <w:rFonts w:ascii="Garamond" w:hAnsi="Garamond"/>
          <w:sz w:val="24"/>
          <w:szCs w:val="24"/>
        </w:rPr>
        <w:t>e</w:t>
      </w:r>
      <w:r w:rsidRPr="00E57208">
        <w:rPr>
          <w:rFonts w:ascii="Garamond" w:hAnsi="Garamond"/>
          <w:sz w:val="24"/>
          <w:szCs w:val="24"/>
        </w:rPr>
        <w:t xml:space="preserve"> të </w:t>
      </w:r>
      <w:proofErr w:type="spellStart"/>
      <w:r w:rsidRPr="00E57208">
        <w:rPr>
          <w:rFonts w:ascii="Garamond" w:hAnsi="Garamond"/>
          <w:sz w:val="24"/>
          <w:szCs w:val="24"/>
        </w:rPr>
        <w:t>KPC</w:t>
      </w:r>
      <w:proofErr w:type="spellEnd"/>
      <w:r w:rsidRPr="00E57208">
        <w:rPr>
          <w:rFonts w:ascii="Garamond" w:hAnsi="Garamond"/>
          <w:sz w:val="24"/>
          <w:szCs w:val="24"/>
        </w:rPr>
        <w:t xml:space="preserve">-së (dispozitat e reja), në rastin e kërkuesit nuk është efektiv, pasi nuk i ka shërbyer qëllimit të përshpejtimit të procedurave në Gjykatën e Lartë ose parandalimit të </w:t>
      </w:r>
      <w:proofErr w:type="spellStart"/>
      <w:r w:rsidRPr="00E57208">
        <w:rPr>
          <w:rFonts w:ascii="Garamond" w:hAnsi="Garamond"/>
          <w:sz w:val="24"/>
          <w:szCs w:val="24"/>
        </w:rPr>
        <w:t>tejzgjatjes</w:t>
      </w:r>
      <w:proofErr w:type="spellEnd"/>
      <w:r w:rsidRPr="00E57208">
        <w:rPr>
          <w:rFonts w:ascii="Garamond" w:hAnsi="Garamond"/>
          <w:sz w:val="24"/>
          <w:szCs w:val="24"/>
        </w:rPr>
        <w:t xml:space="preserve"> së tyre në mënyrë të paarsyeshme. Për më tepër, kërkuesi nuk ka pasur mundësi të kërkojë as kompensim për kohëzgjatjen e atyre procedurave, në bazë të pikës 3 të nenit 399/6 të </w:t>
      </w:r>
      <w:proofErr w:type="spellStart"/>
      <w:r w:rsidRPr="00E57208">
        <w:rPr>
          <w:rFonts w:ascii="Garamond" w:hAnsi="Garamond"/>
          <w:sz w:val="24"/>
          <w:szCs w:val="24"/>
        </w:rPr>
        <w:t>KPC</w:t>
      </w:r>
      <w:proofErr w:type="spellEnd"/>
      <w:r w:rsidRPr="00E57208">
        <w:rPr>
          <w:rFonts w:ascii="Garamond" w:hAnsi="Garamond"/>
          <w:sz w:val="24"/>
          <w:szCs w:val="24"/>
        </w:rPr>
        <w:t>-së, për shkak të mungesës së konstatimit të cenimit të gjykimit brenda një “afati të arsyeshëm” (</w:t>
      </w:r>
      <w:r w:rsidRPr="00E57208">
        <w:rPr>
          <w:rFonts w:ascii="Garamond" w:hAnsi="Garamond"/>
          <w:i/>
          <w:iCs/>
          <w:sz w:val="24"/>
          <w:szCs w:val="24"/>
        </w:rPr>
        <w:t>po aty, §§ 121-123</w:t>
      </w:r>
      <w:r w:rsidRPr="00E57208">
        <w:rPr>
          <w:rFonts w:ascii="Garamond" w:hAnsi="Garamond"/>
          <w:sz w:val="24"/>
          <w:szCs w:val="24"/>
        </w:rPr>
        <w:t>)</w:t>
      </w:r>
      <w:r w:rsidRPr="00E57208">
        <w:rPr>
          <w:rFonts w:ascii="Garamond" w:hAnsi="Garamond"/>
          <w:i/>
          <w:iCs/>
          <w:sz w:val="24"/>
          <w:szCs w:val="24"/>
        </w:rPr>
        <w:t>.</w:t>
      </w:r>
      <w:r w:rsidRPr="00E57208">
        <w:rPr>
          <w:rFonts w:ascii="Garamond" w:hAnsi="Garamond"/>
          <w:sz w:val="24"/>
          <w:szCs w:val="24"/>
        </w:rPr>
        <w:t xml:space="preserve"> Pavarësisht kësaj, </w:t>
      </w:r>
      <w:proofErr w:type="spellStart"/>
      <w:r w:rsidRPr="00E57208">
        <w:rPr>
          <w:rFonts w:ascii="Garamond" w:hAnsi="Garamond"/>
          <w:sz w:val="24"/>
          <w:szCs w:val="24"/>
        </w:rPr>
        <w:t>GJEDNJ</w:t>
      </w:r>
      <w:proofErr w:type="spellEnd"/>
      <w:r w:rsidRPr="00E57208">
        <w:rPr>
          <w:rFonts w:ascii="Garamond" w:hAnsi="Garamond"/>
          <w:sz w:val="24"/>
          <w:szCs w:val="24"/>
        </w:rPr>
        <w:t xml:space="preserve">-ja është shprehur se qëndrimi i saj në këtë vendim mund të bëhet objekt rishikimi në të ardhmen, në varësi të kapaciteteve të gjykatave vendase për të zhvilluar dhe mbajtur një jurisprudencë të qëndrueshme për zbatimin e mjetit juridik, në përputhje me kriteret e </w:t>
      </w:r>
      <w:proofErr w:type="spellStart"/>
      <w:r w:rsidRPr="00E57208">
        <w:rPr>
          <w:rFonts w:ascii="Garamond" w:hAnsi="Garamond"/>
          <w:sz w:val="24"/>
          <w:szCs w:val="24"/>
        </w:rPr>
        <w:t>KEDNJ</w:t>
      </w:r>
      <w:proofErr w:type="spellEnd"/>
      <w:r w:rsidRPr="00E57208">
        <w:rPr>
          <w:rFonts w:ascii="Garamond" w:hAnsi="Garamond"/>
          <w:sz w:val="24"/>
          <w:szCs w:val="24"/>
        </w:rPr>
        <w:t>-së (</w:t>
      </w:r>
      <w:r w:rsidRPr="00E57208">
        <w:rPr>
          <w:rFonts w:ascii="Garamond" w:hAnsi="Garamond"/>
          <w:i/>
          <w:iCs/>
          <w:sz w:val="24"/>
          <w:szCs w:val="24"/>
        </w:rPr>
        <w:t>po aty, § 120</w:t>
      </w:r>
      <w:r w:rsidRPr="00E57208">
        <w:rPr>
          <w:rFonts w:ascii="Garamond" w:hAnsi="Garamond"/>
          <w:sz w:val="24"/>
          <w:szCs w:val="24"/>
        </w:rPr>
        <w:t>)</w:t>
      </w:r>
      <w:r w:rsidRPr="00E57208">
        <w:rPr>
          <w:rFonts w:ascii="Garamond" w:hAnsi="Garamond"/>
          <w:i/>
          <w:iCs/>
          <w:sz w:val="24"/>
          <w:szCs w:val="24"/>
        </w:rPr>
        <w:t>.</w:t>
      </w:r>
    </w:p>
    <w:p w14:paraId="6CFB9704" w14:textId="565E65E1" w:rsidR="00E57208" w:rsidRPr="00E57208" w:rsidRDefault="00E57208" w:rsidP="00E57208">
      <w:pPr>
        <w:spacing w:after="0" w:line="240" w:lineRule="auto"/>
        <w:ind w:firstLine="284"/>
        <w:jc w:val="both"/>
        <w:rPr>
          <w:rFonts w:ascii="Garamond" w:hAnsi="Garamond"/>
          <w:i/>
          <w:iCs/>
          <w:sz w:val="24"/>
          <w:szCs w:val="24"/>
        </w:rPr>
      </w:pPr>
      <w:r w:rsidRPr="00E57208">
        <w:rPr>
          <w:rFonts w:ascii="Garamond" w:hAnsi="Garamond"/>
          <w:sz w:val="24"/>
          <w:szCs w:val="24"/>
        </w:rPr>
        <w:t>27.</w:t>
      </w:r>
      <w:r w:rsidRPr="00E57208">
        <w:rPr>
          <w:rFonts w:ascii="Garamond" w:hAnsi="Garamond"/>
          <w:i/>
          <w:iCs/>
          <w:sz w:val="24"/>
          <w:szCs w:val="24"/>
        </w:rPr>
        <w:t xml:space="preserve"> </w:t>
      </w:r>
      <w:r w:rsidRPr="00E57208">
        <w:rPr>
          <w:rFonts w:ascii="Garamond" w:hAnsi="Garamond"/>
          <w:sz w:val="24"/>
          <w:szCs w:val="24"/>
        </w:rPr>
        <w:t>Gjykata rithekson se mjetet e parashikuara nga nenet 399/1 e vijues</w:t>
      </w:r>
      <w:r w:rsidR="009B5270">
        <w:rPr>
          <w:rFonts w:ascii="Garamond" w:hAnsi="Garamond"/>
          <w:sz w:val="24"/>
          <w:szCs w:val="24"/>
        </w:rPr>
        <w:t>e</w:t>
      </w:r>
      <w:r w:rsidRPr="00E57208">
        <w:rPr>
          <w:rFonts w:ascii="Garamond" w:hAnsi="Garamond"/>
          <w:sz w:val="24"/>
          <w:szCs w:val="24"/>
        </w:rPr>
        <w:t xml:space="preserve"> të </w:t>
      </w:r>
      <w:proofErr w:type="spellStart"/>
      <w:r w:rsidRPr="00E57208">
        <w:rPr>
          <w:rFonts w:ascii="Garamond" w:hAnsi="Garamond"/>
          <w:sz w:val="24"/>
          <w:szCs w:val="24"/>
        </w:rPr>
        <w:t>KPC</w:t>
      </w:r>
      <w:proofErr w:type="spellEnd"/>
      <w:r w:rsidRPr="00E57208">
        <w:rPr>
          <w:rFonts w:ascii="Garamond" w:hAnsi="Garamond"/>
          <w:sz w:val="24"/>
          <w:szCs w:val="24"/>
        </w:rPr>
        <w:t xml:space="preserve">-së, në parim, janë efektive, pasi plotësojnë standardet lidhur me mjetin efektiv përshpejtues dhe </w:t>
      </w:r>
      <w:proofErr w:type="spellStart"/>
      <w:r w:rsidRPr="00E57208">
        <w:rPr>
          <w:rFonts w:ascii="Garamond" w:hAnsi="Garamond"/>
          <w:sz w:val="24"/>
          <w:szCs w:val="24"/>
        </w:rPr>
        <w:t>dëmshpërblyes</w:t>
      </w:r>
      <w:proofErr w:type="spellEnd"/>
      <w:r w:rsidRPr="00E57208">
        <w:rPr>
          <w:rFonts w:ascii="Garamond" w:hAnsi="Garamond"/>
          <w:sz w:val="24"/>
          <w:szCs w:val="24"/>
        </w:rPr>
        <w:t xml:space="preserve">. Për sa i takon efektivitetit të tyre në praktikë, Gjykata, në këndvështrim të kriterit të shterimit të mjeteve juridike efektive, të parashikuar nga neni 131, pika 1, shkronja “f”, i Kushtetutës, vlerëson se duhen shqyrtuar nën dritën e rrethanave të çdo rasti konkret. Edhe sipas </w:t>
      </w:r>
      <w:proofErr w:type="spellStart"/>
      <w:r w:rsidRPr="00E57208">
        <w:rPr>
          <w:rFonts w:ascii="Garamond" w:hAnsi="Garamond"/>
          <w:sz w:val="24"/>
          <w:szCs w:val="24"/>
        </w:rPr>
        <w:t>GJEDNJ</w:t>
      </w:r>
      <w:proofErr w:type="spellEnd"/>
      <w:r w:rsidRPr="00E57208">
        <w:rPr>
          <w:rFonts w:ascii="Garamond" w:hAnsi="Garamond"/>
          <w:sz w:val="24"/>
          <w:szCs w:val="24"/>
        </w:rPr>
        <w:t xml:space="preserve">-së, kur vlerësohet efektiviteti i një mjeti juridik që lidhet me </w:t>
      </w:r>
      <w:proofErr w:type="spellStart"/>
      <w:r w:rsidRPr="00E57208">
        <w:rPr>
          <w:rFonts w:ascii="Garamond" w:hAnsi="Garamond"/>
          <w:sz w:val="24"/>
          <w:szCs w:val="24"/>
        </w:rPr>
        <w:t>tejzgjatjen</w:t>
      </w:r>
      <w:proofErr w:type="spellEnd"/>
      <w:r w:rsidRPr="00E57208">
        <w:rPr>
          <w:rFonts w:ascii="Garamond" w:hAnsi="Garamond"/>
          <w:sz w:val="24"/>
          <w:szCs w:val="24"/>
        </w:rPr>
        <w:t xml:space="preserve"> e procedurave ka rëndësi të përcaktohet nëse kërkuesit i garantohet zhdëmtim i drejtpërdrejtë dhe i shpejtë sesa mbrojtje e tërthortë e të drejtave për proces të rregullt ligjor (</w:t>
      </w:r>
      <w:r w:rsidRPr="00E57208">
        <w:rPr>
          <w:rFonts w:ascii="Garamond" w:hAnsi="Garamond"/>
          <w:i/>
          <w:iCs/>
          <w:sz w:val="24"/>
          <w:szCs w:val="24"/>
        </w:rPr>
        <w:t>shih</w:t>
      </w:r>
      <w:r w:rsidRPr="00E57208">
        <w:rPr>
          <w:rFonts w:ascii="Garamond" w:hAnsi="Garamond"/>
          <w:sz w:val="24"/>
          <w:szCs w:val="24"/>
        </w:rPr>
        <w:t xml:space="preserve"> </w:t>
      </w:r>
      <w:proofErr w:type="spellStart"/>
      <w:r w:rsidRPr="00E57208">
        <w:rPr>
          <w:rFonts w:ascii="Garamond" w:hAnsi="Garamond"/>
          <w:i/>
          <w:iCs/>
          <w:sz w:val="24"/>
          <w:szCs w:val="24"/>
        </w:rPr>
        <w:t>Bara</w:t>
      </w:r>
      <w:proofErr w:type="spellEnd"/>
      <w:r w:rsidRPr="00E57208">
        <w:rPr>
          <w:rFonts w:ascii="Garamond" w:hAnsi="Garamond"/>
          <w:i/>
          <w:iCs/>
          <w:sz w:val="24"/>
          <w:szCs w:val="24"/>
        </w:rPr>
        <w:t xml:space="preserve"> dhe </w:t>
      </w:r>
      <w:proofErr w:type="spellStart"/>
      <w:r w:rsidRPr="00E57208">
        <w:rPr>
          <w:rFonts w:ascii="Garamond" w:hAnsi="Garamond"/>
          <w:i/>
          <w:iCs/>
          <w:sz w:val="24"/>
          <w:szCs w:val="24"/>
        </w:rPr>
        <w:t>Kola</w:t>
      </w:r>
      <w:proofErr w:type="spellEnd"/>
      <w:r w:rsidRPr="00E57208">
        <w:rPr>
          <w:rFonts w:ascii="Garamond" w:hAnsi="Garamond"/>
          <w:i/>
          <w:iCs/>
          <w:sz w:val="24"/>
          <w:szCs w:val="24"/>
        </w:rPr>
        <w:t xml:space="preserve"> kundër Shqipërisë, 12 tetor 2021, § 76) </w:t>
      </w:r>
      <w:r w:rsidRPr="00E57208">
        <w:rPr>
          <w:rFonts w:ascii="Garamond" w:hAnsi="Garamond"/>
          <w:sz w:val="24"/>
          <w:szCs w:val="24"/>
        </w:rPr>
        <w:t xml:space="preserve">Në këtë aspekt, Gjykata mban në konsideratë edhe faktin se për zbatimin e mjeteve juridike të parashikuara nga </w:t>
      </w:r>
      <w:proofErr w:type="spellStart"/>
      <w:r w:rsidRPr="00E57208">
        <w:rPr>
          <w:rFonts w:ascii="Garamond" w:hAnsi="Garamond"/>
          <w:sz w:val="24"/>
          <w:szCs w:val="24"/>
        </w:rPr>
        <w:t>KPC</w:t>
      </w:r>
      <w:proofErr w:type="spellEnd"/>
      <w:r w:rsidRPr="00E57208">
        <w:rPr>
          <w:rFonts w:ascii="Garamond" w:hAnsi="Garamond"/>
          <w:sz w:val="24"/>
          <w:szCs w:val="24"/>
        </w:rPr>
        <w:t>-ja për konstatimin e shkeljes së afatit të arsyeshëm dhe përshpejtimin e procedurave, nuk ka ende një qëndrim të konsoliduar nga gjykatat e juridiksionit të zakonshëm, duke qenë se janë rregulla relativisht të reja (</w:t>
      </w:r>
      <w:r w:rsidR="00E77F00">
        <w:rPr>
          <w:rFonts w:ascii="Garamond" w:hAnsi="Garamond"/>
          <w:i/>
          <w:iCs/>
          <w:sz w:val="24"/>
          <w:szCs w:val="24"/>
        </w:rPr>
        <w:t xml:space="preserve">shih vendimin nr. 33, datë </w:t>
      </w:r>
      <w:r w:rsidRPr="00E57208">
        <w:rPr>
          <w:rFonts w:ascii="Garamond" w:hAnsi="Garamond"/>
          <w:i/>
          <w:iCs/>
          <w:sz w:val="24"/>
          <w:szCs w:val="24"/>
        </w:rPr>
        <w:t>1.11.2021</w:t>
      </w:r>
      <w:r w:rsidR="009B5270">
        <w:rPr>
          <w:rFonts w:ascii="Garamond" w:hAnsi="Garamond"/>
          <w:i/>
          <w:iCs/>
          <w:sz w:val="24"/>
          <w:szCs w:val="24"/>
        </w:rPr>
        <w:t>,</w:t>
      </w:r>
      <w:r w:rsidRPr="00E57208">
        <w:rPr>
          <w:rFonts w:ascii="Garamond" w:hAnsi="Garamond"/>
          <w:i/>
          <w:iCs/>
          <w:sz w:val="24"/>
          <w:szCs w:val="24"/>
        </w:rPr>
        <w:t xml:space="preserve"> të Gjykatës Kushtetuese</w:t>
      </w:r>
      <w:r w:rsidRPr="00E57208">
        <w:rPr>
          <w:rFonts w:ascii="Garamond" w:hAnsi="Garamond"/>
          <w:sz w:val="24"/>
          <w:szCs w:val="24"/>
        </w:rPr>
        <w:t xml:space="preserve">). </w:t>
      </w:r>
      <w:r w:rsidRPr="00E57208">
        <w:rPr>
          <w:rFonts w:ascii="Garamond" w:hAnsi="Garamond"/>
          <w:color w:val="1F497D"/>
          <w:sz w:val="24"/>
          <w:szCs w:val="24"/>
        </w:rPr>
        <w:t xml:space="preserve">   </w:t>
      </w:r>
    </w:p>
    <w:p w14:paraId="0ADD7482" w14:textId="7E774AD1" w:rsidR="00E57208" w:rsidRPr="00E57208" w:rsidRDefault="00E57208" w:rsidP="00E57208">
      <w:pPr>
        <w:spacing w:after="0" w:line="240" w:lineRule="auto"/>
        <w:ind w:firstLine="284"/>
        <w:jc w:val="both"/>
        <w:rPr>
          <w:rFonts w:ascii="Garamond" w:hAnsi="Garamond"/>
          <w:color w:val="1F497D"/>
          <w:sz w:val="24"/>
          <w:szCs w:val="24"/>
        </w:rPr>
      </w:pPr>
      <w:r w:rsidRPr="00E57208">
        <w:rPr>
          <w:rFonts w:ascii="Garamond" w:hAnsi="Garamond"/>
          <w:sz w:val="24"/>
          <w:szCs w:val="24"/>
        </w:rPr>
        <w:t>28. Përveç sa më sipër, Gjykata ka theksuar se gjykatat e zakonshme, gjatë zbatimit të dispozitave procedurale dhe shqyrtimit të kërkesave për përshpejtim, duhet të shmangin formalizmat e tepruar dhe t’i shqyrtojnë këto lloj kërkesash me përparësi, përndryshe ky mjet juridik do të humbiste qëllimin për të cilin është miratuar nga ligjvënësi. Në këtë aspekt, gjykatat, në shqyrtimin e këtyre kërkesave, duhet të kenë parasysh kritere të tilla, si: lloji i së drejtës objekt kërkimi dhe natyra e çështjes së themelit për të cilën kërkohet përshpejtimi, dëmi i mundshëm që mund t’i vijë kërkuesit, kohëzgjatja e çështjes në shkallë të zakonshme të gjykimit, organizimi i brendshëm i punës në gjykatë, si dhe çdo kriter i rëndësishëm, me qëllim që  të  mos cenohet thelbi i së  drejtës (</w:t>
      </w:r>
      <w:r w:rsidR="00E77F00">
        <w:rPr>
          <w:rFonts w:ascii="Garamond" w:hAnsi="Garamond"/>
          <w:i/>
          <w:iCs/>
          <w:sz w:val="24"/>
          <w:szCs w:val="24"/>
        </w:rPr>
        <w:t xml:space="preserve">shih vendimin nr. 33, datë </w:t>
      </w:r>
      <w:r w:rsidRPr="00E57208">
        <w:rPr>
          <w:rFonts w:ascii="Garamond" w:hAnsi="Garamond"/>
          <w:i/>
          <w:iCs/>
          <w:sz w:val="24"/>
          <w:szCs w:val="24"/>
        </w:rPr>
        <w:t>1.11.2021</w:t>
      </w:r>
      <w:r w:rsidR="009B5270">
        <w:rPr>
          <w:rFonts w:ascii="Garamond" w:hAnsi="Garamond"/>
          <w:i/>
          <w:iCs/>
          <w:sz w:val="24"/>
          <w:szCs w:val="24"/>
        </w:rPr>
        <w:t>,</w:t>
      </w:r>
      <w:r w:rsidRPr="00E57208">
        <w:rPr>
          <w:rFonts w:ascii="Garamond" w:hAnsi="Garamond"/>
          <w:i/>
          <w:iCs/>
          <w:sz w:val="24"/>
          <w:szCs w:val="24"/>
        </w:rPr>
        <w:t xml:space="preserve"> të Gjykatës Kushtetuese</w:t>
      </w:r>
      <w:r w:rsidRPr="00E57208">
        <w:rPr>
          <w:rFonts w:ascii="Garamond" w:hAnsi="Garamond"/>
          <w:sz w:val="24"/>
          <w:szCs w:val="24"/>
        </w:rPr>
        <w:t xml:space="preserve">). </w:t>
      </w:r>
    </w:p>
    <w:p w14:paraId="6CCB6309" w14:textId="10116805" w:rsidR="00E57208" w:rsidRPr="00E57208" w:rsidRDefault="00E57208" w:rsidP="00E57208">
      <w:pPr>
        <w:spacing w:after="0" w:line="240" w:lineRule="auto"/>
        <w:ind w:firstLine="284"/>
        <w:jc w:val="both"/>
        <w:rPr>
          <w:rFonts w:ascii="Garamond" w:hAnsi="Garamond"/>
          <w:sz w:val="24"/>
          <w:szCs w:val="24"/>
        </w:rPr>
      </w:pPr>
      <w:r w:rsidRPr="00E57208">
        <w:rPr>
          <w:rFonts w:ascii="Garamond" w:hAnsi="Garamond"/>
          <w:sz w:val="24"/>
          <w:szCs w:val="24"/>
        </w:rPr>
        <w:t>29. Duke iu kthyer rastit konkret, Gjykata vëren se deri në zhvillimin e seancës plenare mbi bazën e dokumenteve në datën 28.10.2021, Gjykata e Lartë nuk e kishte marrë ende në shqyrtim kërkesën për përshpejtim të rekursit, të paraqitur nga kërkuesi, bazuar në nenet 399/6 e vijues</w:t>
      </w:r>
      <w:r w:rsidR="009B5270">
        <w:rPr>
          <w:rFonts w:ascii="Garamond" w:hAnsi="Garamond"/>
          <w:sz w:val="24"/>
          <w:szCs w:val="24"/>
        </w:rPr>
        <w:t>e</w:t>
      </w:r>
      <w:r w:rsidRPr="00E57208">
        <w:rPr>
          <w:rFonts w:ascii="Garamond" w:hAnsi="Garamond"/>
          <w:sz w:val="24"/>
          <w:szCs w:val="24"/>
        </w:rPr>
        <w:t xml:space="preserve"> të </w:t>
      </w:r>
      <w:proofErr w:type="spellStart"/>
      <w:r w:rsidRPr="00E57208">
        <w:rPr>
          <w:rFonts w:ascii="Garamond" w:hAnsi="Garamond"/>
          <w:sz w:val="24"/>
          <w:szCs w:val="24"/>
        </w:rPr>
        <w:t>KPC</w:t>
      </w:r>
      <w:proofErr w:type="spellEnd"/>
      <w:r w:rsidRPr="00E57208">
        <w:rPr>
          <w:rFonts w:ascii="Garamond" w:hAnsi="Garamond"/>
          <w:sz w:val="24"/>
          <w:szCs w:val="24"/>
        </w:rPr>
        <w:t xml:space="preserve">-së në datën 18 shtator 2020. Kjo kërkesë për përshpejtim, sipas nenit 399/7 të </w:t>
      </w:r>
      <w:proofErr w:type="spellStart"/>
      <w:r w:rsidRPr="00E57208">
        <w:rPr>
          <w:rFonts w:ascii="Garamond" w:hAnsi="Garamond"/>
          <w:sz w:val="24"/>
          <w:szCs w:val="24"/>
        </w:rPr>
        <w:t>të</w:t>
      </w:r>
      <w:proofErr w:type="spellEnd"/>
      <w:r w:rsidRPr="00E57208">
        <w:rPr>
          <w:rFonts w:ascii="Garamond" w:hAnsi="Garamond"/>
          <w:sz w:val="24"/>
          <w:szCs w:val="24"/>
        </w:rPr>
        <w:t xml:space="preserve"> njëjtit kod, duhej të shqyrtohej nga Gjykata e Lartë në dhomë këshillimi brenda 45 ditëve. Po ashtu, Gjykata konstaton se veprimi administrativ për kthimin e kërkesës për përshpejtim nga kancelari i Gjykatës së Lartë, për t’u nënshkruar nga një avokat, nuk ka mbajtur në konsideratë ndryshimin e këtyre kërkesave nga rekurset, në pikëpamje të përmbajtjes, të aksesit dhe sidomos të shpejtësisë që duhet të karakterizojë marrjen në shqyrtim të tyre. Thënë ndryshe, kërkesat për përshpejtim janë trajtuar njësoj si procedurat e zakonshme të gjykimit.</w:t>
      </w:r>
    </w:p>
    <w:p w14:paraId="385E2ADB" w14:textId="42765DEA"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30. Gjykata vlerëson se veprimi administrativ i kancelarit të Gjykatës së Lartë me shkresë</w:t>
      </w:r>
      <w:r w:rsidR="00E77F00">
        <w:rPr>
          <w:rFonts w:ascii="Garamond" w:hAnsi="Garamond"/>
          <w:sz w:val="24"/>
          <w:szCs w:val="24"/>
        </w:rPr>
        <w:t xml:space="preserve">n e tij nr. 1919/1 </w:t>
      </w:r>
      <w:proofErr w:type="spellStart"/>
      <w:r w:rsidR="00E77F00">
        <w:rPr>
          <w:rFonts w:ascii="Garamond" w:hAnsi="Garamond"/>
          <w:sz w:val="24"/>
          <w:szCs w:val="24"/>
        </w:rPr>
        <w:t>prot</w:t>
      </w:r>
      <w:proofErr w:type="spellEnd"/>
      <w:r w:rsidR="00E77F00">
        <w:rPr>
          <w:rFonts w:ascii="Garamond" w:hAnsi="Garamond"/>
          <w:sz w:val="24"/>
          <w:szCs w:val="24"/>
        </w:rPr>
        <w:t>., datë 9.</w:t>
      </w:r>
      <w:r w:rsidRPr="00E57208">
        <w:rPr>
          <w:rFonts w:ascii="Garamond" w:hAnsi="Garamond"/>
          <w:sz w:val="24"/>
          <w:szCs w:val="24"/>
        </w:rPr>
        <w:t>9.2020 “</w:t>
      </w:r>
      <w:r w:rsidRPr="00E57208">
        <w:rPr>
          <w:rFonts w:ascii="Garamond" w:hAnsi="Garamond"/>
          <w:i/>
          <w:iCs/>
          <w:sz w:val="24"/>
          <w:szCs w:val="24"/>
        </w:rPr>
        <w:t>Kthim kërkese për konstatim shkelje afati të arsyeshëm</w:t>
      </w:r>
      <w:r w:rsidRPr="00E57208">
        <w:rPr>
          <w:rFonts w:ascii="Garamond" w:hAnsi="Garamond"/>
          <w:sz w:val="24"/>
          <w:szCs w:val="24"/>
        </w:rPr>
        <w:t xml:space="preserve">”, ka qenë një faktor shtesë që ka ndikuar në vonesat e shkaktuara në shqyrtimin e kërkesës së kërkuesit për konstatimin e shkeljes së afatit të arsyeshëm dhe përshpejtimin e procedurave. </w:t>
      </w:r>
    </w:p>
    <w:p w14:paraId="0F9EE828" w14:textId="006A6AFE"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 xml:space="preserve">31. </w:t>
      </w:r>
      <w:r w:rsidRPr="00E57208">
        <w:rPr>
          <w:rFonts w:ascii="Garamond" w:hAnsi="Garamond"/>
          <w:color w:val="232323"/>
          <w:sz w:val="24"/>
          <w:szCs w:val="24"/>
        </w:rPr>
        <w:t xml:space="preserve">Në vijim, Gjykata evidenton se Gjykata e Lartë ka rifilluar të funksionojë në datën 11 mars 2020 me krijimin e një trupi gjyqësor me 3 gjyqtarë, gjë që vështirësonte shqyrtimin me shpejtësi të kërkesës për përshpejtim, pasi, në bazë të </w:t>
      </w:r>
      <w:r w:rsidRPr="00E57208">
        <w:rPr>
          <w:rFonts w:ascii="Garamond" w:hAnsi="Garamond"/>
          <w:sz w:val="24"/>
          <w:szCs w:val="24"/>
        </w:rPr>
        <w:t xml:space="preserve">nenit 399/6, pika 1, shkronja “c”, të </w:t>
      </w:r>
      <w:proofErr w:type="spellStart"/>
      <w:r w:rsidRPr="00E57208">
        <w:rPr>
          <w:rFonts w:ascii="Garamond" w:hAnsi="Garamond"/>
          <w:sz w:val="24"/>
          <w:szCs w:val="24"/>
        </w:rPr>
        <w:t>KPC</w:t>
      </w:r>
      <w:proofErr w:type="spellEnd"/>
      <w:r w:rsidRPr="00E57208">
        <w:rPr>
          <w:rFonts w:ascii="Garamond" w:hAnsi="Garamond"/>
          <w:sz w:val="24"/>
          <w:szCs w:val="24"/>
        </w:rPr>
        <w:t>-së, këto kërkesa shqyrtohen nga një kolegj tjetër i Gjykatës së Lartë nga ai që shqyrton çështjen e themelit. Megjithatë, Gjykata konstaton se ndonëse numri i gjyqtarëve në Gjykatën e Lartë është rritur në vijim, në mars 2021 funksiononte me 7 gjyqtarë dhe prej korrikut 2021 funksionon me trup prej 9 gjyqtarësh, sërish kërkesa për përshpejtim, e paraqitur nga kërkuesi, nuk është marrë në shqyrtim.</w:t>
      </w:r>
    </w:p>
    <w:p w14:paraId="5E3CFCC7" w14:textId="001C3FC3"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32. Për sa më lart, Gjykata vlerëson se nga paraqitja e kërkesës për përshpejtim deri në ditën e seancës plenare ka kaluar një kohë relativisht e gjatë. Gjykata thekson se nëse një kërkesë përshpejtimi nuk shqyrtohet me shpejtësi, ajo humbet qëllimin e saj për shkak të natyrës së këtyre procedurave, të cilat janë të ndryshme nga një procedurë e zakonshme gjykimi. Për këtë arsye, Gjykata do të ndalet veçanërisht te sjellja e autoriteteve që ndikon në shpejtësinë e gjykimit në rastin konkret.</w:t>
      </w:r>
    </w:p>
    <w:p w14:paraId="64BA4B9D" w14:textId="417E2B36"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33. Gjykata e Lartë, me shkre</w:t>
      </w:r>
      <w:r w:rsidR="00EB34D6">
        <w:rPr>
          <w:rFonts w:ascii="Garamond" w:hAnsi="Garamond"/>
          <w:sz w:val="24"/>
          <w:szCs w:val="24"/>
        </w:rPr>
        <w:t xml:space="preserve">sën  nr. 2081/1 </w:t>
      </w:r>
      <w:proofErr w:type="spellStart"/>
      <w:r w:rsidR="00EB34D6">
        <w:rPr>
          <w:rFonts w:ascii="Garamond" w:hAnsi="Garamond"/>
          <w:sz w:val="24"/>
          <w:szCs w:val="24"/>
        </w:rPr>
        <w:t>prot</w:t>
      </w:r>
      <w:proofErr w:type="spellEnd"/>
      <w:r w:rsidR="00EB34D6">
        <w:rPr>
          <w:rFonts w:ascii="Garamond" w:hAnsi="Garamond"/>
          <w:sz w:val="24"/>
          <w:szCs w:val="24"/>
        </w:rPr>
        <w:t>., datë 22.</w:t>
      </w:r>
      <w:r w:rsidRPr="00E57208">
        <w:rPr>
          <w:rFonts w:ascii="Garamond" w:hAnsi="Garamond"/>
          <w:sz w:val="24"/>
          <w:szCs w:val="24"/>
        </w:rPr>
        <w:t>6.2021, ka informuar Gjykatën se janë 18 çështje të regjistruara për konstatim shkeljeje afati dhe përshpejtim të procedurave, për sa u përket mosmarrëveshjeve që janë në gjykim, të cilat ndodhen në fazën e studimit. Gjykata, referuar faqes zyrtare të Gjykatës së Lartë, konstaton se janë arsyetuar disa vendime me objekt konstatimin e shkeljes së afatit të arsyeshëm dhe përshpejtimin e procedurave për mosmarrëveshje në këtë gjykatë (</w:t>
      </w:r>
      <w:r w:rsidR="00E77F00">
        <w:rPr>
          <w:rFonts w:ascii="Garamond" w:hAnsi="Garamond"/>
          <w:i/>
          <w:iCs/>
          <w:sz w:val="24"/>
          <w:szCs w:val="24"/>
        </w:rPr>
        <w:t xml:space="preserve">shih vendimin nr. 33, datë </w:t>
      </w:r>
      <w:r w:rsidRPr="00E57208">
        <w:rPr>
          <w:rFonts w:ascii="Garamond" w:hAnsi="Garamond"/>
          <w:i/>
          <w:iCs/>
          <w:sz w:val="24"/>
          <w:szCs w:val="24"/>
        </w:rPr>
        <w:t>1.11.2021</w:t>
      </w:r>
      <w:r w:rsidR="009B5270">
        <w:rPr>
          <w:rFonts w:ascii="Garamond" w:hAnsi="Garamond"/>
          <w:i/>
          <w:iCs/>
          <w:sz w:val="24"/>
          <w:szCs w:val="24"/>
        </w:rPr>
        <w:t>,</w:t>
      </w:r>
      <w:r w:rsidRPr="00E57208">
        <w:rPr>
          <w:rFonts w:ascii="Garamond" w:hAnsi="Garamond"/>
          <w:i/>
          <w:iCs/>
          <w:sz w:val="24"/>
          <w:szCs w:val="24"/>
        </w:rPr>
        <w:t xml:space="preserve"> të Gjykatës Kushtetuese</w:t>
      </w:r>
      <w:r w:rsidRPr="00E57208">
        <w:rPr>
          <w:rFonts w:ascii="Garamond" w:hAnsi="Garamond"/>
          <w:sz w:val="24"/>
          <w:szCs w:val="24"/>
        </w:rPr>
        <w:t>).</w:t>
      </w:r>
    </w:p>
    <w:p w14:paraId="59F3A066" w14:textId="614C98D8" w:rsidR="00E57208" w:rsidRPr="00E57208" w:rsidRDefault="00E57208" w:rsidP="00E57208">
      <w:pPr>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 xml:space="preserve">34. Gjykata, referuar </w:t>
      </w:r>
      <w:r w:rsidRPr="00E57208">
        <w:rPr>
          <w:rFonts w:ascii="Garamond" w:hAnsi="Garamond"/>
          <w:i/>
          <w:iCs/>
          <w:sz w:val="24"/>
          <w:szCs w:val="24"/>
        </w:rPr>
        <w:t>Raportit mbi gjendjen e sistemit gjyqësor dhe veprimtarinë e Këshillit të Lartë Gjyqësor për vitin 2020</w:t>
      </w:r>
      <w:r w:rsidRPr="00E57208">
        <w:rPr>
          <w:rFonts w:ascii="Garamond" w:hAnsi="Garamond"/>
          <w:sz w:val="24"/>
          <w:szCs w:val="24"/>
        </w:rPr>
        <w:t xml:space="preserve">, vëren se </w:t>
      </w:r>
      <w:proofErr w:type="spellStart"/>
      <w:r w:rsidRPr="00E57208">
        <w:rPr>
          <w:rFonts w:ascii="Garamond" w:hAnsi="Garamond"/>
          <w:sz w:val="24"/>
          <w:szCs w:val="24"/>
        </w:rPr>
        <w:t>KLGJ</w:t>
      </w:r>
      <w:proofErr w:type="spellEnd"/>
      <w:r w:rsidRPr="00E57208">
        <w:rPr>
          <w:rFonts w:ascii="Garamond" w:hAnsi="Garamond"/>
          <w:sz w:val="24"/>
          <w:szCs w:val="24"/>
        </w:rPr>
        <w:t>-ja ka marrë masa për uljen e numrit të çështjeve të prapambetura dhe rritjen e efikasitetit në Gjykatën e Lartë, duke angazhuar personel ndihmës dhe duke marrë masa të tjera për këtë qëllim. Edhe në shkresën e Gjykatës së Lartë, dërguar për informacion Gjykatës, rezulton se Gjykata e Lartë ka marrë hapa konkretë duke parashikuar një sërë masash me qëllim uljen e numrit të çështjeve të prapambetura brenda një kohe sa më të shpejtë, si: rritja e kapaciteteve njerëzore, inventarizimi i çështjeve, përpunimi deri në shqyrtimin e tyre, si dhe përgatitja e planeve të veprimit me qëllim shqyrtimin e çështjeve sipas kronologjisë kohore dhe specifikës së çështjes.</w:t>
      </w:r>
    </w:p>
    <w:p w14:paraId="725D4524" w14:textId="204C970D"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35. Ndërkohë që Gjykata i ka vlerësuar masat e mësipërme që janë marrë nga autoritetet përkatëse, të cilat së bashku me mjetin përkatës të përshpejtimit të proceseve të gjykimit i shërbejnë qëllimit të rritjes së efektivitetit të veprimtarisë gjyqësore, ajo thekson se ky mjet mund të jetë efektiv në rrethana të zakonshme të organizimit dhe funksionimit të sistemit gjyqësor. Në rastin konkret ngrihen dyshime për mundësitë që mjeti përshpejtues ka për t’iu përgjigjur në shkallën e duhur nevojës së të drejtës së individëve për gjykim brenda afatit të arsyeshëm në raport me mundësitë reale të sistemit gjyqësor, për shkak të vëllimit të lartë të çështjeve, si dhe burimeve njerëzore dhe infrastrukturore të tij në tërësi (</w:t>
      </w:r>
      <w:r w:rsidR="00E77F00">
        <w:rPr>
          <w:rFonts w:ascii="Garamond" w:hAnsi="Garamond"/>
          <w:i/>
          <w:iCs/>
          <w:sz w:val="24"/>
          <w:szCs w:val="24"/>
        </w:rPr>
        <w:t xml:space="preserve">shih vendimin nr. 33, datë </w:t>
      </w:r>
      <w:r w:rsidRPr="00E57208">
        <w:rPr>
          <w:rFonts w:ascii="Garamond" w:hAnsi="Garamond"/>
          <w:i/>
          <w:iCs/>
          <w:sz w:val="24"/>
          <w:szCs w:val="24"/>
        </w:rPr>
        <w:t>1.11.2021</w:t>
      </w:r>
      <w:r w:rsidR="009B5270">
        <w:rPr>
          <w:rFonts w:ascii="Garamond" w:hAnsi="Garamond"/>
          <w:i/>
          <w:iCs/>
          <w:sz w:val="24"/>
          <w:szCs w:val="24"/>
        </w:rPr>
        <w:t>,</w:t>
      </w:r>
      <w:r w:rsidRPr="00E57208">
        <w:rPr>
          <w:rFonts w:ascii="Garamond" w:hAnsi="Garamond"/>
          <w:i/>
          <w:iCs/>
          <w:sz w:val="24"/>
          <w:szCs w:val="24"/>
        </w:rPr>
        <w:t xml:space="preserve"> të Gjykatës Kushtetuese</w:t>
      </w:r>
      <w:r w:rsidRPr="00E57208">
        <w:rPr>
          <w:rFonts w:ascii="Garamond" w:hAnsi="Garamond"/>
          <w:sz w:val="24"/>
          <w:szCs w:val="24"/>
        </w:rPr>
        <w:t>).</w:t>
      </w:r>
    </w:p>
    <w:p w14:paraId="7F3258FB" w14:textId="354B9ECC"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 xml:space="preserve">36. Duke pasur parasysh situatën e mësipërme, Gjykata ka marrë në konsideratë tashmë përpjekjet e autoriteteve shqiptare për përmirësimin e legjislacionit për të parashikuar mjete juridike efektive për kohëzgjatjen e procedurave gjyqësore, si dhe veprimet e ndërmarra nga </w:t>
      </w:r>
      <w:proofErr w:type="spellStart"/>
      <w:r w:rsidRPr="00E57208">
        <w:rPr>
          <w:rFonts w:ascii="Garamond" w:hAnsi="Garamond"/>
          <w:sz w:val="24"/>
          <w:szCs w:val="24"/>
        </w:rPr>
        <w:t>KLGJ</w:t>
      </w:r>
      <w:proofErr w:type="spellEnd"/>
      <w:r w:rsidRPr="00E57208">
        <w:rPr>
          <w:rFonts w:ascii="Garamond" w:hAnsi="Garamond"/>
          <w:sz w:val="24"/>
          <w:szCs w:val="24"/>
        </w:rPr>
        <w:t>-ja dhe Gjykata e Lartë për uljen e numrit të çështjeve për shqyrtim në Gjykatën e Lartë. Megjithatë, ajo ka vlerësuar se Gjykata e Lartë, duke konsideruar natyrën e çështjes së themelit, ngarkesën e kolegjit përkatës dhe ngarkesën e gjyqtarit relator, mund të gjendet në vështirësi për të respektuar afatet ligjore. Pavarësisht këtyre elementeve, Gjykata e Lartë ka detyrimin të sillet në atë mënyrë që kërkesa për përshpejtim të mos e humbasë qëllimin e saj dhe individit të mos i cenohet në thelb e drejta për mjet juridik efektiv (</w:t>
      </w:r>
      <w:r w:rsidR="00E77F00">
        <w:rPr>
          <w:rFonts w:ascii="Garamond" w:hAnsi="Garamond"/>
          <w:i/>
          <w:iCs/>
          <w:sz w:val="24"/>
          <w:szCs w:val="24"/>
        </w:rPr>
        <w:t xml:space="preserve">shih vendimin nr. 33, datë </w:t>
      </w:r>
      <w:r w:rsidRPr="00E57208">
        <w:rPr>
          <w:rFonts w:ascii="Garamond" w:hAnsi="Garamond"/>
          <w:i/>
          <w:iCs/>
          <w:sz w:val="24"/>
          <w:szCs w:val="24"/>
        </w:rPr>
        <w:t>1.11.2021</w:t>
      </w:r>
      <w:r w:rsidR="009B5270">
        <w:rPr>
          <w:rFonts w:ascii="Garamond" w:hAnsi="Garamond"/>
          <w:i/>
          <w:iCs/>
          <w:sz w:val="24"/>
          <w:szCs w:val="24"/>
        </w:rPr>
        <w:t>,</w:t>
      </w:r>
      <w:r w:rsidRPr="00E57208">
        <w:rPr>
          <w:rFonts w:ascii="Garamond" w:hAnsi="Garamond"/>
          <w:i/>
          <w:iCs/>
          <w:sz w:val="24"/>
          <w:szCs w:val="24"/>
        </w:rPr>
        <w:t xml:space="preserve"> të Gjykatës Kushtetuese</w:t>
      </w:r>
      <w:r w:rsidRPr="00E57208">
        <w:rPr>
          <w:rFonts w:ascii="Garamond" w:hAnsi="Garamond"/>
          <w:sz w:val="24"/>
          <w:szCs w:val="24"/>
        </w:rPr>
        <w:t xml:space="preserve">). </w:t>
      </w:r>
    </w:p>
    <w:p w14:paraId="498C8C65" w14:textId="302B262F"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 xml:space="preserve">37. Në rastit konkret, Gjykata çmon se kërkesa për përshpejtim, e paraqitur nga kërkuesi, nuk është marrë në shqyrtim me shpejtësi nga Gjykata e Lartë, që do të thotë se ky mjet juridik nuk i ka shërbyer qëllimit të tij - përshpejtimit të procedurave ose parandalimit të </w:t>
      </w:r>
      <w:proofErr w:type="spellStart"/>
      <w:r w:rsidRPr="00E57208">
        <w:rPr>
          <w:rFonts w:ascii="Garamond" w:hAnsi="Garamond"/>
          <w:sz w:val="24"/>
          <w:szCs w:val="24"/>
        </w:rPr>
        <w:t>tejzgjatjes</w:t>
      </w:r>
      <w:proofErr w:type="spellEnd"/>
      <w:r w:rsidRPr="00E57208">
        <w:rPr>
          <w:rFonts w:ascii="Garamond" w:hAnsi="Garamond"/>
          <w:sz w:val="24"/>
          <w:szCs w:val="24"/>
        </w:rPr>
        <w:t xml:space="preserve"> së paarsyeshme të shqyrtimit të rekursit të kërkuesit para saj. Me fjalë të tjera, mjeti juridik “kërkesa për përshpejtim”, që kërkuesi ka pasur në dispozicion, sipas nenit 399/6 të </w:t>
      </w:r>
      <w:proofErr w:type="spellStart"/>
      <w:r w:rsidRPr="00E57208">
        <w:rPr>
          <w:rFonts w:ascii="Garamond" w:hAnsi="Garamond"/>
          <w:sz w:val="24"/>
          <w:szCs w:val="24"/>
        </w:rPr>
        <w:t>KPC</w:t>
      </w:r>
      <w:proofErr w:type="spellEnd"/>
      <w:r w:rsidRPr="00E57208">
        <w:rPr>
          <w:rFonts w:ascii="Garamond" w:hAnsi="Garamond"/>
          <w:sz w:val="24"/>
          <w:szCs w:val="24"/>
        </w:rPr>
        <w:t xml:space="preserve">-së, nuk ka qenë </w:t>
      </w:r>
      <w:r w:rsidRPr="00E57208">
        <w:rPr>
          <w:rFonts w:ascii="Garamond" w:hAnsi="Garamond"/>
          <w:i/>
          <w:iCs/>
          <w:sz w:val="24"/>
          <w:szCs w:val="24"/>
        </w:rPr>
        <w:t>efektiv</w:t>
      </w:r>
      <w:r w:rsidRPr="00E57208">
        <w:rPr>
          <w:rFonts w:ascii="Garamond" w:hAnsi="Garamond"/>
          <w:sz w:val="24"/>
          <w:szCs w:val="24"/>
        </w:rPr>
        <w:t>, për rrjedhojë Gjykata vlerëson se kërkuesi e ka përmbushur kriterin e shterimit të mjetit juridik</w:t>
      </w:r>
      <w:r w:rsidRPr="00E57208">
        <w:rPr>
          <w:rStyle w:val="FootnoteReference"/>
          <w:rFonts w:ascii="Garamond" w:hAnsi="Garamond"/>
          <w:sz w:val="24"/>
          <w:szCs w:val="24"/>
        </w:rPr>
        <w:footnoteReference w:id="2"/>
      </w:r>
      <w:r w:rsidRPr="00E57208">
        <w:rPr>
          <w:rFonts w:ascii="Garamond" w:hAnsi="Garamond"/>
          <w:sz w:val="24"/>
          <w:szCs w:val="24"/>
        </w:rPr>
        <w:t>.</w:t>
      </w:r>
    </w:p>
    <w:p w14:paraId="2FF2D83B" w14:textId="6A67813D"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 xml:space="preserve">38. Për sa i përket pretendimit të kërkuesit për shpërblimin e dëmit të shkaktuar për shkak të </w:t>
      </w:r>
      <w:proofErr w:type="spellStart"/>
      <w:r w:rsidRPr="00E57208">
        <w:rPr>
          <w:rFonts w:ascii="Garamond" w:hAnsi="Garamond"/>
          <w:sz w:val="24"/>
          <w:szCs w:val="24"/>
        </w:rPr>
        <w:t>mosshqyrtimit</w:t>
      </w:r>
      <w:proofErr w:type="spellEnd"/>
      <w:r w:rsidRPr="00E57208">
        <w:rPr>
          <w:rFonts w:ascii="Garamond" w:hAnsi="Garamond"/>
          <w:sz w:val="24"/>
          <w:szCs w:val="24"/>
        </w:rPr>
        <w:t xml:space="preserve"> të çështjes brenda një afati të arsyeshëm, në parashtrimet e tij  ka kërkuar caktimin e një shpërblimi të drejtë, si dhe detyrimin e Këshillit të Ministrave për të siguruar ekzekutimin e vendimit ose caktimin e një organi tjetër të ngarkuar me zbatimin e tij. Gjykata vlerëson se, bazuar në nenin 131 të Kushtetutës, ky pretendim i kërkuesit nuk bën pjesë në juridiksionin e saj.</w:t>
      </w:r>
    </w:p>
    <w:p w14:paraId="125E2B99" w14:textId="7063D0EE"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39. Në lidhje me kriterin tjetër, atë të respektimit të afatit të paraqitjes së kërkesës, bazuar në nenin 71/a, pika 1, shkronja “b”, të ligjit nr. 8577/2000, Gjykata vëren se në kushtet e</w:t>
      </w:r>
      <w:r w:rsidRPr="00E57208">
        <w:rPr>
          <w:rFonts w:ascii="Garamond" w:hAnsi="Garamond"/>
          <w:color w:val="232323"/>
          <w:sz w:val="24"/>
          <w:szCs w:val="24"/>
        </w:rPr>
        <w:t xml:space="preserve"> një shkeljeje që vazhdon të ekzistojë, pavarësisht se nuk ka vendim përfundimtar për kërkesën për konstatimin e shkeljes së afatit të arsyeshëm dhe përshpejtimin e procedurave, kërkuesit i lind e drejta </w:t>
      </w:r>
      <w:r w:rsidRPr="00E57208">
        <w:rPr>
          <w:rFonts w:ascii="Garamond" w:hAnsi="Garamond"/>
          <w:sz w:val="24"/>
          <w:szCs w:val="24"/>
        </w:rPr>
        <w:t xml:space="preserve">t’i drejtohet Gjykatës në çdo kohë përgjatë periudhës që shkelja vazhdon. Në rastin konkret afati është tejkaluar dhe, në këtë kuptim, kërkuesi legjitimohet edhe </w:t>
      </w:r>
      <w:proofErr w:type="spellStart"/>
      <w:r w:rsidRPr="00E57208">
        <w:rPr>
          <w:rFonts w:ascii="Garamond" w:hAnsi="Garamond"/>
          <w:i/>
          <w:iCs/>
          <w:sz w:val="24"/>
          <w:szCs w:val="24"/>
        </w:rPr>
        <w:t>ratione</w:t>
      </w:r>
      <w:proofErr w:type="spellEnd"/>
      <w:r w:rsidRPr="00E57208">
        <w:rPr>
          <w:rFonts w:ascii="Garamond" w:hAnsi="Garamond"/>
          <w:i/>
          <w:iCs/>
          <w:sz w:val="24"/>
          <w:szCs w:val="24"/>
        </w:rPr>
        <w:t xml:space="preserve"> </w:t>
      </w:r>
      <w:proofErr w:type="spellStart"/>
      <w:r w:rsidRPr="00E57208">
        <w:rPr>
          <w:rFonts w:ascii="Garamond" w:hAnsi="Garamond"/>
          <w:i/>
          <w:iCs/>
          <w:sz w:val="24"/>
          <w:szCs w:val="24"/>
        </w:rPr>
        <w:t>temporis</w:t>
      </w:r>
      <w:proofErr w:type="spellEnd"/>
      <w:r w:rsidRPr="00E57208">
        <w:rPr>
          <w:rFonts w:ascii="Garamond" w:hAnsi="Garamond"/>
          <w:sz w:val="24"/>
          <w:szCs w:val="24"/>
        </w:rPr>
        <w:t>.</w:t>
      </w:r>
    </w:p>
    <w:p w14:paraId="16385990" w14:textId="53F2DE05"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 xml:space="preserve">40. Për sa i takon legjitimimit </w:t>
      </w:r>
      <w:proofErr w:type="spellStart"/>
      <w:r w:rsidRPr="00E57208">
        <w:rPr>
          <w:rFonts w:ascii="Garamond" w:hAnsi="Garamond"/>
          <w:i/>
          <w:iCs/>
          <w:sz w:val="24"/>
          <w:szCs w:val="24"/>
        </w:rPr>
        <w:t>ratione</w:t>
      </w:r>
      <w:proofErr w:type="spellEnd"/>
      <w:r w:rsidRPr="00E57208">
        <w:rPr>
          <w:rFonts w:ascii="Garamond" w:hAnsi="Garamond"/>
          <w:i/>
          <w:iCs/>
          <w:sz w:val="24"/>
          <w:szCs w:val="24"/>
        </w:rPr>
        <w:t xml:space="preserve"> </w:t>
      </w:r>
      <w:proofErr w:type="spellStart"/>
      <w:r w:rsidRPr="00E57208">
        <w:rPr>
          <w:rFonts w:ascii="Garamond" w:hAnsi="Garamond"/>
          <w:i/>
          <w:iCs/>
          <w:sz w:val="24"/>
          <w:szCs w:val="24"/>
        </w:rPr>
        <w:t>materiae</w:t>
      </w:r>
      <w:proofErr w:type="spellEnd"/>
      <w:r w:rsidRPr="00E57208">
        <w:rPr>
          <w:rFonts w:ascii="Garamond" w:hAnsi="Garamond"/>
          <w:sz w:val="24"/>
          <w:szCs w:val="24"/>
        </w:rPr>
        <w:t xml:space="preserve">, Gjykata vlerëson se në vështrim të neneve 42 dhe 131, pika 1, shkronja “f”, të Kushtetutës, pretendimi për kohëzgjatjen e paarsyeshme të procesit të themelit përbën objekt vlerësimi për kontrollin kushtetues. </w:t>
      </w:r>
    </w:p>
    <w:p w14:paraId="75327040" w14:textId="50D55A00" w:rsidR="00E57208" w:rsidRPr="00E57208" w:rsidRDefault="00E57208" w:rsidP="00E57208">
      <w:pPr>
        <w:tabs>
          <w:tab w:val="left" w:pos="720"/>
        </w:tabs>
        <w:spacing w:after="0" w:line="240" w:lineRule="auto"/>
        <w:ind w:firstLine="284"/>
        <w:rPr>
          <w:rFonts w:ascii="Garamond" w:hAnsi="Garamond"/>
          <w:i/>
          <w:iCs/>
          <w:sz w:val="24"/>
          <w:szCs w:val="24"/>
        </w:rPr>
      </w:pPr>
      <w:r>
        <w:rPr>
          <w:rFonts w:ascii="Garamond" w:hAnsi="Garamond"/>
          <w:i/>
          <w:iCs/>
          <w:sz w:val="24"/>
          <w:szCs w:val="24"/>
        </w:rPr>
        <w:t xml:space="preserve"> </w:t>
      </w:r>
      <w:r w:rsidRPr="00E57208">
        <w:rPr>
          <w:rFonts w:ascii="Garamond" w:hAnsi="Garamond"/>
          <w:i/>
          <w:iCs/>
          <w:sz w:val="24"/>
          <w:szCs w:val="24"/>
        </w:rPr>
        <w:t xml:space="preserve">B. Për shqyrtimin e çështjes brenda një afati të arsyeshëm </w:t>
      </w:r>
    </w:p>
    <w:p w14:paraId="2B093F49" w14:textId="7811E821"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 xml:space="preserve">41. Kërkuesi pretendon se i është cenuar e drejta e gjykimit brenda një afati të arsyeshëm, në veçanti në Gjykatën e Lartë, e garantuar në nenin 42 të Kushtetutës dhe nenin 6 të </w:t>
      </w:r>
      <w:proofErr w:type="spellStart"/>
      <w:r w:rsidRPr="00E57208">
        <w:rPr>
          <w:rFonts w:ascii="Garamond" w:hAnsi="Garamond"/>
          <w:sz w:val="24"/>
          <w:szCs w:val="24"/>
        </w:rPr>
        <w:t>KEDNJ</w:t>
      </w:r>
      <w:proofErr w:type="spellEnd"/>
      <w:r w:rsidRPr="00E57208">
        <w:rPr>
          <w:rFonts w:ascii="Garamond" w:hAnsi="Garamond"/>
          <w:sz w:val="24"/>
          <w:szCs w:val="24"/>
        </w:rPr>
        <w:t>-së, për sa i përket procesit të themelit të çështjes.</w:t>
      </w:r>
    </w:p>
    <w:p w14:paraId="1CCDAD10" w14:textId="2DB47FF7"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 xml:space="preserve">42. Sipas nenit 42 të Kushtetutës, kushdo, për mbrojtjen e të drejtave, lirive dhe interesave të tij kushtetues dhe ligjorë, ose në rastin e akuzave të ngritura kundër tij, ka të drejtën e një gjykimi të drejtë dhe publik brenda një afati të arsyeshëm nga një gjykatë e pavarur dhe e paanshme e caktuar me ligj. </w:t>
      </w:r>
    </w:p>
    <w:p w14:paraId="1974F49D" w14:textId="64171C50"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43. Sipas jurisprudencës së Gjykatës, e drejta për një proces të rregullt ligjor, pjesë e të cilit është edhe gjykimi brenda një afati të arsyeshëm, luan një rol qendror në sistemin e mbrojtjes së të drejtave të njeriut (</w:t>
      </w:r>
      <w:r w:rsidR="00EB34D6">
        <w:rPr>
          <w:rFonts w:ascii="Garamond" w:hAnsi="Garamond"/>
          <w:i/>
          <w:iCs/>
          <w:sz w:val="24"/>
          <w:szCs w:val="24"/>
        </w:rPr>
        <w:t>shih vendimin nr. 18, datë 19.</w:t>
      </w:r>
      <w:r w:rsidRPr="00E57208">
        <w:rPr>
          <w:rFonts w:ascii="Garamond" w:hAnsi="Garamond"/>
          <w:i/>
          <w:iCs/>
          <w:sz w:val="24"/>
          <w:szCs w:val="24"/>
        </w:rPr>
        <w:t>7.2005</w:t>
      </w:r>
      <w:r w:rsidR="00EB34D6">
        <w:rPr>
          <w:rFonts w:ascii="Garamond" w:hAnsi="Garamond"/>
          <w:i/>
          <w:iCs/>
          <w:sz w:val="24"/>
          <w:szCs w:val="24"/>
        </w:rPr>
        <w:t>,</w:t>
      </w:r>
      <w:r w:rsidRPr="00E57208">
        <w:rPr>
          <w:rFonts w:ascii="Garamond" w:hAnsi="Garamond"/>
          <w:i/>
          <w:iCs/>
          <w:sz w:val="24"/>
          <w:szCs w:val="24"/>
        </w:rPr>
        <w:t xml:space="preserve"> të Gjykatës Kushtetuese</w:t>
      </w:r>
      <w:r w:rsidRPr="00E57208">
        <w:rPr>
          <w:rFonts w:ascii="Garamond" w:hAnsi="Garamond"/>
          <w:sz w:val="24"/>
          <w:szCs w:val="24"/>
        </w:rPr>
        <w:t>). Kjo dispozitë vendos detyrimin për organizimin e sistemit ligjor në mënyrë të tillë që gjykatat të plotësojnë kërkesat e standardeve për një proces të rregull ligjor, përfshirë këtu edhe atë të gjykimit brenda afatit të arsyeshëm. Në këtë drejtim, gjykatat kanë për detyrë të sigurojnë që të gjitha subjektet që marrin pjesë në proces të sillen në mënyrë që të evitojnë çdo vonesë të panevojshme (</w:t>
      </w:r>
      <w:r w:rsidR="00EB34D6">
        <w:rPr>
          <w:rFonts w:ascii="Garamond" w:hAnsi="Garamond"/>
          <w:i/>
          <w:iCs/>
          <w:sz w:val="24"/>
          <w:szCs w:val="24"/>
        </w:rPr>
        <w:t>shih vendimet nr. 42, datë 25.</w:t>
      </w:r>
      <w:r w:rsidRPr="00E57208">
        <w:rPr>
          <w:rFonts w:ascii="Garamond" w:hAnsi="Garamond"/>
          <w:i/>
          <w:iCs/>
          <w:sz w:val="24"/>
          <w:szCs w:val="24"/>
        </w:rPr>
        <w:t>5.2017; nr. 22,</w:t>
      </w:r>
      <w:r w:rsidR="00EB34D6">
        <w:rPr>
          <w:rFonts w:ascii="Garamond" w:hAnsi="Garamond"/>
          <w:i/>
          <w:iCs/>
          <w:sz w:val="24"/>
          <w:szCs w:val="24"/>
        </w:rPr>
        <w:t xml:space="preserve"> datë 20.</w:t>
      </w:r>
      <w:r w:rsidR="00E77F00">
        <w:rPr>
          <w:rFonts w:ascii="Garamond" w:hAnsi="Garamond"/>
          <w:i/>
          <w:iCs/>
          <w:sz w:val="24"/>
          <w:szCs w:val="24"/>
        </w:rPr>
        <w:t>3.2017; nr. 12, datë 5.</w:t>
      </w:r>
      <w:r w:rsidRPr="00E57208">
        <w:rPr>
          <w:rFonts w:ascii="Garamond" w:hAnsi="Garamond"/>
          <w:i/>
          <w:iCs/>
          <w:sz w:val="24"/>
          <w:szCs w:val="24"/>
        </w:rPr>
        <w:t>3.2012</w:t>
      </w:r>
      <w:r w:rsidR="00EB34D6">
        <w:rPr>
          <w:rFonts w:ascii="Garamond" w:hAnsi="Garamond"/>
          <w:i/>
          <w:iCs/>
          <w:sz w:val="24"/>
          <w:szCs w:val="24"/>
        </w:rPr>
        <w:t>,</w:t>
      </w:r>
      <w:r w:rsidRPr="00E57208">
        <w:rPr>
          <w:rFonts w:ascii="Garamond" w:hAnsi="Garamond"/>
          <w:i/>
          <w:iCs/>
          <w:sz w:val="24"/>
          <w:szCs w:val="24"/>
        </w:rPr>
        <w:t xml:space="preserve"> të Gjykatës Kushtetuese</w:t>
      </w:r>
      <w:r w:rsidRPr="00E57208">
        <w:rPr>
          <w:rFonts w:ascii="Garamond" w:hAnsi="Garamond"/>
          <w:sz w:val="24"/>
          <w:szCs w:val="24"/>
        </w:rPr>
        <w:t>).</w:t>
      </w:r>
    </w:p>
    <w:p w14:paraId="36D8EE8C" w14:textId="3117C01E"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44. Lidhur me kërkesat për konstatimin e cenimit të së drejtës kushtetuese për një proces të rregullt ligjor, si pasoj</w:t>
      </w:r>
      <w:r w:rsidRPr="00E57208">
        <w:rPr>
          <w:rFonts w:ascii="Garamond" w:hAnsi="Garamond"/>
          <w:spacing w:val="15"/>
          <w:sz w:val="24"/>
          <w:szCs w:val="24"/>
        </w:rPr>
        <w:t>ë</w:t>
      </w:r>
      <w:r w:rsidRPr="00E57208">
        <w:rPr>
          <w:rFonts w:ascii="Garamond" w:hAnsi="Garamond"/>
          <w:sz w:val="24"/>
          <w:szCs w:val="24"/>
        </w:rPr>
        <w:t xml:space="preserve"> e </w:t>
      </w:r>
      <w:proofErr w:type="spellStart"/>
      <w:r w:rsidRPr="00E57208">
        <w:rPr>
          <w:rFonts w:ascii="Garamond" w:hAnsi="Garamond"/>
          <w:sz w:val="24"/>
          <w:szCs w:val="24"/>
        </w:rPr>
        <w:t>mosgjykimit</w:t>
      </w:r>
      <w:proofErr w:type="spellEnd"/>
      <w:r w:rsidRPr="00E57208">
        <w:rPr>
          <w:rFonts w:ascii="Garamond" w:hAnsi="Garamond"/>
          <w:sz w:val="24"/>
          <w:szCs w:val="24"/>
        </w:rPr>
        <w:t xml:space="preserve"> të çështjes brenda afatit të arsyeshëm, ka theksuar se </w:t>
      </w:r>
      <w:proofErr w:type="spellStart"/>
      <w:r w:rsidRPr="00E57208">
        <w:rPr>
          <w:rFonts w:ascii="Garamond" w:hAnsi="Garamond"/>
          <w:sz w:val="24"/>
          <w:szCs w:val="24"/>
        </w:rPr>
        <w:t>arsyeshmëria</w:t>
      </w:r>
      <w:proofErr w:type="spellEnd"/>
      <w:r w:rsidRPr="00E57208">
        <w:rPr>
          <w:rFonts w:ascii="Garamond" w:hAnsi="Garamond"/>
          <w:sz w:val="24"/>
          <w:szCs w:val="24"/>
        </w:rPr>
        <w:t xml:space="preserve"> e zgjatjes së procesit duhet të vlerësohet sipas rrethanave të veçanta të çështjes, duke pasur parasysh sidomos sjelljen e k</w:t>
      </w:r>
      <w:r w:rsidRPr="00E57208">
        <w:rPr>
          <w:rFonts w:ascii="Garamond" w:hAnsi="Garamond"/>
          <w:spacing w:val="15"/>
          <w:sz w:val="24"/>
          <w:szCs w:val="24"/>
        </w:rPr>
        <w:t>ë</w:t>
      </w:r>
      <w:r w:rsidRPr="00E57208">
        <w:rPr>
          <w:rFonts w:ascii="Garamond" w:hAnsi="Garamond"/>
          <w:sz w:val="24"/>
          <w:szCs w:val="24"/>
        </w:rPr>
        <w:t>rkuesit dhe rrezikun q</w:t>
      </w:r>
      <w:r w:rsidRPr="00E57208">
        <w:rPr>
          <w:rFonts w:ascii="Garamond" w:hAnsi="Garamond"/>
          <w:spacing w:val="15"/>
          <w:sz w:val="24"/>
          <w:szCs w:val="24"/>
        </w:rPr>
        <w:t>ë</w:t>
      </w:r>
      <w:r w:rsidRPr="00E57208">
        <w:rPr>
          <w:rFonts w:ascii="Garamond" w:hAnsi="Garamond"/>
          <w:sz w:val="24"/>
          <w:szCs w:val="24"/>
        </w:rPr>
        <w:t xml:space="preserve"> </w:t>
      </w:r>
      <w:proofErr w:type="spellStart"/>
      <w:r w:rsidRPr="00E57208">
        <w:rPr>
          <w:rFonts w:ascii="Garamond" w:hAnsi="Garamond"/>
          <w:sz w:val="24"/>
          <w:szCs w:val="24"/>
        </w:rPr>
        <w:t>passjell</w:t>
      </w:r>
      <w:proofErr w:type="spellEnd"/>
      <w:r w:rsidRPr="00E57208">
        <w:rPr>
          <w:rFonts w:ascii="Garamond" w:hAnsi="Garamond"/>
          <w:sz w:val="24"/>
          <w:szCs w:val="24"/>
        </w:rPr>
        <w:t xml:space="preserve"> p</w:t>
      </w:r>
      <w:r w:rsidRPr="00E57208">
        <w:rPr>
          <w:rFonts w:ascii="Garamond" w:hAnsi="Garamond"/>
          <w:spacing w:val="15"/>
          <w:sz w:val="24"/>
          <w:szCs w:val="24"/>
        </w:rPr>
        <w:t>ë</w:t>
      </w:r>
      <w:r w:rsidRPr="00E57208">
        <w:rPr>
          <w:rFonts w:ascii="Garamond" w:hAnsi="Garamond"/>
          <w:sz w:val="24"/>
          <w:szCs w:val="24"/>
        </w:rPr>
        <w:t xml:space="preserve">r të kjo </w:t>
      </w:r>
      <w:proofErr w:type="spellStart"/>
      <w:r w:rsidRPr="00E57208">
        <w:rPr>
          <w:rFonts w:ascii="Garamond" w:hAnsi="Garamond"/>
          <w:sz w:val="24"/>
          <w:szCs w:val="24"/>
        </w:rPr>
        <w:t>tejzgjatje</w:t>
      </w:r>
      <w:proofErr w:type="spellEnd"/>
      <w:r w:rsidRPr="00E57208">
        <w:rPr>
          <w:rFonts w:ascii="Garamond" w:hAnsi="Garamond"/>
          <w:sz w:val="24"/>
          <w:szCs w:val="24"/>
        </w:rPr>
        <w:t xml:space="preserve"> e afateve t</w:t>
      </w:r>
      <w:r w:rsidRPr="00E57208">
        <w:rPr>
          <w:rFonts w:ascii="Garamond" w:hAnsi="Garamond"/>
          <w:spacing w:val="15"/>
          <w:sz w:val="24"/>
          <w:szCs w:val="24"/>
        </w:rPr>
        <w:t>ë</w:t>
      </w:r>
      <w:r w:rsidRPr="00E57208">
        <w:rPr>
          <w:rFonts w:ascii="Garamond" w:hAnsi="Garamond"/>
          <w:sz w:val="24"/>
          <w:szCs w:val="24"/>
        </w:rPr>
        <w:t xml:space="preserve"> gjykimit, </w:t>
      </w:r>
      <w:proofErr w:type="spellStart"/>
      <w:r w:rsidRPr="00E57208">
        <w:rPr>
          <w:rFonts w:ascii="Garamond" w:hAnsi="Garamond"/>
          <w:sz w:val="24"/>
          <w:szCs w:val="24"/>
        </w:rPr>
        <w:t>kompleksitetin</w:t>
      </w:r>
      <w:proofErr w:type="spellEnd"/>
      <w:r w:rsidRPr="00E57208">
        <w:rPr>
          <w:rFonts w:ascii="Garamond" w:hAnsi="Garamond"/>
          <w:sz w:val="24"/>
          <w:szCs w:val="24"/>
        </w:rPr>
        <w:t xml:space="preserve"> e çështjes, si dhe sjelljen e autoriteteve (</w:t>
      </w:r>
      <w:r w:rsidRPr="00E57208">
        <w:rPr>
          <w:rFonts w:ascii="Garamond" w:hAnsi="Garamond"/>
          <w:i/>
          <w:iCs/>
          <w:sz w:val="24"/>
          <w:szCs w:val="24"/>
        </w:rPr>
        <w:t>shih vendimet nr.</w:t>
      </w:r>
      <w:r w:rsidR="00E77F00">
        <w:rPr>
          <w:rFonts w:ascii="Garamond" w:hAnsi="Garamond"/>
          <w:i/>
          <w:iCs/>
          <w:sz w:val="24"/>
          <w:szCs w:val="24"/>
        </w:rPr>
        <w:t xml:space="preserve"> </w:t>
      </w:r>
      <w:r w:rsidRPr="00E57208">
        <w:rPr>
          <w:rFonts w:ascii="Garamond" w:hAnsi="Garamond"/>
          <w:i/>
          <w:iCs/>
          <w:sz w:val="24"/>
          <w:szCs w:val="24"/>
        </w:rPr>
        <w:t>16,</w:t>
      </w:r>
      <w:r w:rsidR="00E77F00">
        <w:rPr>
          <w:rFonts w:ascii="Garamond" w:hAnsi="Garamond"/>
          <w:i/>
          <w:iCs/>
          <w:sz w:val="24"/>
          <w:szCs w:val="24"/>
        </w:rPr>
        <w:t xml:space="preserve"> datë 16.3.2021; nr. 76, datë </w:t>
      </w:r>
      <w:r w:rsidRPr="00E57208">
        <w:rPr>
          <w:rFonts w:ascii="Garamond" w:hAnsi="Garamond"/>
          <w:i/>
          <w:iCs/>
          <w:sz w:val="24"/>
          <w:szCs w:val="24"/>
        </w:rPr>
        <w:t>4.12.2017</w:t>
      </w:r>
      <w:r w:rsidR="009B5270">
        <w:rPr>
          <w:rFonts w:ascii="Garamond" w:hAnsi="Garamond"/>
          <w:i/>
          <w:iCs/>
          <w:sz w:val="24"/>
          <w:szCs w:val="24"/>
        </w:rPr>
        <w:t>,</w:t>
      </w:r>
      <w:r w:rsidRPr="00E57208">
        <w:rPr>
          <w:rFonts w:ascii="Garamond" w:hAnsi="Garamond"/>
          <w:i/>
          <w:iCs/>
          <w:sz w:val="24"/>
          <w:szCs w:val="24"/>
        </w:rPr>
        <w:t xml:space="preserve"> të Gjykatës Kushtetuese</w:t>
      </w:r>
      <w:r w:rsidRPr="00E57208">
        <w:rPr>
          <w:rFonts w:ascii="Garamond" w:hAnsi="Garamond"/>
          <w:sz w:val="24"/>
          <w:szCs w:val="24"/>
        </w:rPr>
        <w:t>).</w:t>
      </w:r>
    </w:p>
    <w:p w14:paraId="43FB7D55" w14:textId="2F002483" w:rsidR="00E57208" w:rsidRPr="00E57208" w:rsidRDefault="00E57208" w:rsidP="00E57208">
      <w:pPr>
        <w:tabs>
          <w:tab w:val="left" w:pos="720"/>
        </w:tabs>
        <w:spacing w:after="0" w:line="240" w:lineRule="auto"/>
        <w:ind w:firstLine="284"/>
        <w:jc w:val="both"/>
        <w:rPr>
          <w:rFonts w:ascii="Garamond" w:hAnsi="Garamond"/>
          <w:i/>
          <w:iCs/>
          <w:sz w:val="24"/>
          <w:szCs w:val="24"/>
        </w:rPr>
      </w:pPr>
      <w:r>
        <w:rPr>
          <w:rFonts w:ascii="Garamond" w:hAnsi="Garamond"/>
          <w:i/>
          <w:iCs/>
          <w:sz w:val="24"/>
          <w:szCs w:val="24"/>
        </w:rPr>
        <w:t xml:space="preserve"> </w:t>
      </w:r>
      <w:r w:rsidRPr="00E57208">
        <w:rPr>
          <w:rFonts w:ascii="Garamond" w:hAnsi="Garamond"/>
          <w:i/>
          <w:iCs/>
          <w:sz w:val="24"/>
          <w:szCs w:val="24"/>
        </w:rPr>
        <w:t>i.</w:t>
      </w:r>
      <w:r>
        <w:rPr>
          <w:rFonts w:ascii="Garamond" w:hAnsi="Garamond"/>
          <w:i/>
          <w:iCs/>
          <w:sz w:val="24"/>
          <w:szCs w:val="24"/>
        </w:rPr>
        <w:t xml:space="preserve"> </w:t>
      </w:r>
      <w:r w:rsidRPr="00E57208">
        <w:rPr>
          <w:rFonts w:ascii="Garamond" w:hAnsi="Garamond"/>
          <w:i/>
          <w:iCs/>
          <w:sz w:val="24"/>
          <w:szCs w:val="24"/>
        </w:rPr>
        <w:t xml:space="preserve">Periudha që duhet marrë në konsideratë </w:t>
      </w:r>
    </w:p>
    <w:p w14:paraId="2203F78E" w14:textId="4C1FFFA3"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45. Gjykata ka vlerësuar se kohëzgjatja e procesit normalisht llogaritet nga momenti i fillimit të procesit gjyqësor, deri në momentin kur jepet vendimi (</w:t>
      </w:r>
      <w:r w:rsidRPr="00E57208">
        <w:rPr>
          <w:rFonts w:ascii="Garamond" w:hAnsi="Garamond"/>
          <w:i/>
          <w:iCs/>
          <w:sz w:val="24"/>
          <w:szCs w:val="24"/>
        </w:rPr>
        <w:t>shih vendimin nr. 83, datë 30.12.2015</w:t>
      </w:r>
      <w:r w:rsidR="00E77F00">
        <w:rPr>
          <w:rFonts w:ascii="Garamond" w:hAnsi="Garamond"/>
          <w:i/>
          <w:iCs/>
          <w:sz w:val="24"/>
          <w:szCs w:val="24"/>
        </w:rPr>
        <w:t>,</w:t>
      </w:r>
      <w:r w:rsidRPr="00E57208">
        <w:rPr>
          <w:rFonts w:ascii="Garamond" w:hAnsi="Garamond"/>
          <w:i/>
          <w:iCs/>
          <w:sz w:val="24"/>
          <w:szCs w:val="24"/>
        </w:rPr>
        <w:t xml:space="preserve"> të Gjykatës Kushtetuese</w:t>
      </w:r>
      <w:r w:rsidRPr="00E57208">
        <w:rPr>
          <w:rFonts w:ascii="Garamond" w:hAnsi="Garamond"/>
          <w:sz w:val="24"/>
          <w:szCs w:val="24"/>
        </w:rPr>
        <w:t>)</w:t>
      </w:r>
      <w:r w:rsidRPr="00E57208">
        <w:rPr>
          <w:rFonts w:ascii="Garamond" w:hAnsi="Garamond"/>
          <w:i/>
          <w:iCs/>
          <w:sz w:val="24"/>
          <w:szCs w:val="24"/>
        </w:rPr>
        <w:t>.</w:t>
      </w:r>
      <w:r w:rsidRPr="00E57208">
        <w:rPr>
          <w:rFonts w:ascii="Garamond" w:hAnsi="Garamond"/>
          <w:sz w:val="24"/>
          <w:szCs w:val="24"/>
        </w:rPr>
        <w:t xml:space="preserve"> </w:t>
      </w:r>
    </w:p>
    <w:p w14:paraId="0D3CB59E" w14:textId="27F49686"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 xml:space="preserve">46. Lidhur me periudhën </w:t>
      </w:r>
      <w:r w:rsidRPr="00E57208">
        <w:rPr>
          <w:rFonts w:ascii="Garamond" w:hAnsi="Garamond"/>
          <w:i/>
          <w:iCs/>
          <w:sz w:val="24"/>
          <w:szCs w:val="24"/>
        </w:rPr>
        <w:t xml:space="preserve">që duhet marrë në konsideratë, </w:t>
      </w:r>
      <w:r w:rsidRPr="00E57208">
        <w:rPr>
          <w:rFonts w:ascii="Garamond" w:hAnsi="Garamond"/>
          <w:sz w:val="24"/>
          <w:szCs w:val="24"/>
        </w:rPr>
        <w:t>Gjykata vëren se pretendimet e kërkuesit për cenimin e së drejtës për një proces të rregullt ligjor l</w:t>
      </w:r>
      <w:r w:rsidR="00E77F00">
        <w:rPr>
          <w:rFonts w:ascii="Garamond" w:hAnsi="Garamond"/>
          <w:sz w:val="24"/>
          <w:szCs w:val="24"/>
        </w:rPr>
        <w:t>idhen me periudhën nga data 7.</w:t>
      </w:r>
      <w:r w:rsidRPr="00E57208">
        <w:rPr>
          <w:rFonts w:ascii="Garamond" w:hAnsi="Garamond"/>
          <w:sz w:val="24"/>
          <w:szCs w:val="24"/>
        </w:rPr>
        <w:t xml:space="preserve">2.2018, kur rekursi është regjistruar në Gjykatën e Lartë, deri ditën e gjykimit nga Gjykata,  ku rekursi i kërkuesit ende nuk është marrë në shqyrtim nga ajo gjykatë.  </w:t>
      </w:r>
    </w:p>
    <w:p w14:paraId="6D101642" w14:textId="2B9B49C2"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47. Për sa i takon gjykimit të mosmarrëveshjeve administrative, në pikën 2 të nenit 60</w:t>
      </w:r>
      <w:r w:rsidR="00E77F00">
        <w:rPr>
          <w:rFonts w:ascii="Garamond" w:hAnsi="Garamond"/>
          <w:sz w:val="24"/>
          <w:szCs w:val="24"/>
        </w:rPr>
        <w:t>,</w:t>
      </w:r>
      <w:r w:rsidRPr="00E57208">
        <w:rPr>
          <w:rFonts w:ascii="Garamond" w:hAnsi="Garamond"/>
          <w:sz w:val="24"/>
          <w:szCs w:val="24"/>
        </w:rPr>
        <w:t xml:space="preserve"> të ligjit nr. 49/2012 parashikohet se Gjykata e Lartë e shqyrton çështjen brenda 90 ditëve nga data e ardhjes së rekursit dhe akteve bashkëlidhur prej gjykatës në të cilën është dorëzuar rekursi. Nga dosja përkatëse, Gjykata konstaton se rekursi i kërkue</w:t>
      </w:r>
      <w:r w:rsidR="00E77F00">
        <w:rPr>
          <w:rFonts w:ascii="Garamond" w:hAnsi="Garamond"/>
          <w:sz w:val="24"/>
          <w:szCs w:val="24"/>
        </w:rPr>
        <w:t>sit është regjistruar në datën 7.</w:t>
      </w:r>
      <w:r w:rsidRPr="00E57208">
        <w:rPr>
          <w:rFonts w:ascii="Garamond" w:hAnsi="Garamond"/>
          <w:sz w:val="24"/>
          <w:szCs w:val="24"/>
        </w:rPr>
        <w:t>2.2018 dhe është e natyrshme që kërkuesi të kishte pritshmëri për shqyrtimin e çështjes së tij brenda afatit ligjor të lartpërmendur.</w:t>
      </w:r>
    </w:p>
    <w:p w14:paraId="1D32D418" w14:textId="2637AFBA"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 xml:space="preserve">48. Për sa më lart, Gjykata vlerëson se </w:t>
      </w:r>
      <w:r w:rsidRPr="00E57208">
        <w:rPr>
          <w:rFonts w:ascii="Garamond" w:hAnsi="Garamond"/>
          <w:i/>
          <w:iCs/>
          <w:sz w:val="24"/>
          <w:szCs w:val="24"/>
        </w:rPr>
        <w:t xml:space="preserve">prima </w:t>
      </w:r>
      <w:proofErr w:type="spellStart"/>
      <w:r w:rsidRPr="00E57208">
        <w:rPr>
          <w:rFonts w:ascii="Garamond" w:hAnsi="Garamond"/>
          <w:i/>
          <w:iCs/>
          <w:sz w:val="24"/>
          <w:szCs w:val="24"/>
        </w:rPr>
        <w:t>facie</w:t>
      </w:r>
      <w:proofErr w:type="spellEnd"/>
      <w:r w:rsidRPr="00E57208">
        <w:rPr>
          <w:rFonts w:ascii="Garamond" w:hAnsi="Garamond"/>
          <w:sz w:val="24"/>
          <w:szCs w:val="24"/>
        </w:rPr>
        <w:t xml:space="preserve"> në rastin konkret ka </w:t>
      </w:r>
      <w:proofErr w:type="spellStart"/>
      <w:r w:rsidRPr="00E57208">
        <w:rPr>
          <w:rFonts w:ascii="Garamond" w:hAnsi="Garamond"/>
          <w:sz w:val="24"/>
          <w:szCs w:val="24"/>
        </w:rPr>
        <w:t>tejzgjatje</w:t>
      </w:r>
      <w:proofErr w:type="spellEnd"/>
      <w:r w:rsidRPr="00E57208">
        <w:rPr>
          <w:rFonts w:ascii="Garamond" w:hAnsi="Garamond"/>
          <w:sz w:val="24"/>
          <w:szCs w:val="24"/>
        </w:rPr>
        <w:t xml:space="preserve"> të procedurave gjyqësore dhe për të arritur në përfundimin nëse kemi të bëjmë me cenim të së drejtës për gjykim brenda një afati të arsyeshëm, duhet të analizohen elementet e tjera.   </w:t>
      </w:r>
    </w:p>
    <w:p w14:paraId="70118A2B" w14:textId="77777777" w:rsidR="00E57208" w:rsidRPr="00E57208" w:rsidRDefault="00E57208" w:rsidP="00E57208">
      <w:pPr>
        <w:tabs>
          <w:tab w:val="left" w:pos="1080"/>
        </w:tabs>
        <w:spacing w:after="0" w:line="240" w:lineRule="auto"/>
        <w:ind w:firstLine="284"/>
        <w:jc w:val="both"/>
        <w:rPr>
          <w:rFonts w:ascii="Garamond" w:hAnsi="Garamond"/>
          <w:i/>
          <w:iCs/>
          <w:sz w:val="24"/>
          <w:szCs w:val="24"/>
        </w:rPr>
      </w:pPr>
      <w:proofErr w:type="spellStart"/>
      <w:r w:rsidRPr="00E57208">
        <w:rPr>
          <w:rFonts w:ascii="Garamond" w:hAnsi="Garamond"/>
          <w:i/>
          <w:iCs/>
          <w:sz w:val="24"/>
          <w:szCs w:val="24"/>
        </w:rPr>
        <w:t>ii</w:t>
      </w:r>
      <w:proofErr w:type="spellEnd"/>
      <w:r w:rsidRPr="00E57208">
        <w:rPr>
          <w:rFonts w:ascii="Garamond" w:hAnsi="Garamond"/>
          <w:i/>
          <w:iCs/>
          <w:sz w:val="24"/>
          <w:szCs w:val="24"/>
        </w:rPr>
        <w:t xml:space="preserve">. Sjellja/interesi për kërkuesin dhe rreziku që sjell </w:t>
      </w:r>
      <w:proofErr w:type="spellStart"/>
      <w:r w:rsidRPr="00E57208">
        <w:rPr>
          <w:rFonts w:ascii="Garamond" w:hAnsi="Garamond"/>
          <w:i/>
          <w:iCs/>
          <w:sz w:val="24"/>
          <w:szCs w:val="24"/>
        </w:rPr>
        <w:t>tejzgjatja</w:t>
      </w:r>
      <w:proofErr w:type="spellEnd"/>
      <w:r w:rsidRPr="00E57208">
        <w:rPr>
          <w:rFonts w:ascii="Garamond" w:hAnsi="Garamond"/>
          <w:i/>
          <w:iCs/>
          <w:sz w:val="24"/>
          <w:szCs w:val="24"/>
        </w:rPr>
        <w:t xml:space="preserve"> e procedurave për të</w:t>
      </w:r>
    </w:p>
    <w:p w14:paraId="3F051A45" w14:textId="773207BA"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 xml:space="preserve">49. Gjykata në jurisprudencën e saj është shprehur se vlerësimi i sjelljes është një element përcaktues i kohëzgjatjes së arsyeshme të procedimeve, duke analizuar rrethanat nëse kërkuesi ka vepruar në përputhje me të drejtat procedurale, duke shfaqur ose jo interes të vazhdueshëm për gjykimin e çështjes brenda një afati sa më të përshtatshëm për të dhe nëse ai është bërë shkak ose ka shkaktuar vonesa në këtë drejtim </w:t>
      </w:r>
      <w:r w:rsidRPr="00E57208">
        <w:rPr>
          <w:rFonts w:ascii="Garamond" w:hAnsi="Garamond"/>
          <w:i/>
          <w:iCs/>
          <w:sz w:val="24"/>
          <w:szCs w:val="24"/>
        </w:rPr>
        <w:t>(shih vendimin nr. 69, datë 17.11.2015</w:t>
      </w:r>
      <w:r w:rsidR="009B5270">
        <w:rPr>
          <w:rFonts w:ascii="Garamond" w:hAnsi="Garamond"/>
          <w:i/>
          <w:iCs/>
          <w:sz w:val="24"/>
          <w:szCs w:val="24"/>
        </w:rPr>
        <w:t>,</w:t>
      </w:r>
      <w:r w:rsidRPr="00E57208">
        <w:rPr>
          <w:rFonts w:ascii="Garamond" w:hAnsi="Garamond"/>
          <w:i/>
          <w:iCs/>
          <w:sz w:val="24"/>
          <w:szCs w:val="24"/>
        </w:rPr>
        <w:t xml:space="preserve"> të Gjykatës Kushtetuese</w:t>
      </w:r>
      <w:r w:rsidRPr="00E57208">
        <w:rPr>
          <w:rFonts w:ascii="Garamond" w:hAnsi="Garamond"/>
          <w:sz w:val="24"/>
          <w:szCs w:val="24"/>
        </w:rPr>
        <w:t>).</w:t>
      </w:r>
    </w:p>
    <w:p w14:paraId="41CD9F29" w14:textId="5288E1F2"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 xml:space="preserve">50. Sipas </w:t>
      </w:r>
      <w:proofErr w:type="spellStart"/>
      <w:r w:rsidRPr="00E57208">
        <w:rPr>
          <w:rFonts w:ascii="Garamond" w:hAnsi="Garamond"/>
          <w:sz w:val="24"/>
          <w:szCs w:val="24"/>
        </w:rPr>
        <w:t>GJEDNJ</w:t>
      </w:r>
      <w:proofErr w:type="spellEnd"/>
      <w:r w:rsidRPr="00E57208">
        <w:rPr>
          <w:rFonts w:ascii="Garamond" w:hAnsi="Garamond"/>
          <w:sz w:val="24"/>
          <w:szCs w:val="24"/>
        </w:rPr>
        <w:t xml:space="preserve">-së, sjellja e kërkuesve është faktor objektiv që duhet të merret parasysh për të vlerësuar nëse është tejkaluar koha e arsyeshme në kuadër të nenit 6, paragrafi 1 të Konventës </w:t>
      </w:r>
      <w:r w:rsidRPr="00E57208">
        <w:rPr>
          <w:rFonts w:ascii="Garamond" w:hAnsi="Garamond"/>
          <w:i/>
          <w:iCs/>
          <w:sz w:val="24"/>
          <w:szCs w:val="24"/>
        </w:rPr>
        <w:t xml:space="preserve">(shih </w:t>
      </w:r>
      <w:proofErr w:type="spellStart"/>
      <w:r w:rsidRPr="00E57208">
        <w:rPr>
          <w:rFonts w:ascii="Garamond" w:hAnsi="Garamond"/>
          <w:i/>
          <w:iCs/>
          <w:sz w:val="24"/>
          <w:szCs w:val="24"/>
        </w:rPr>
        <w:t>Humen</w:t>
      </w:r>
      <w:proofErr w:type="spellEnd"/>
      <w:r w:rsidRPr="00E57208">
        <w:rPr>
          <w:rFonts w:ascii="Garamond" w:hAnsi="Garamond"/>
          <w:i/>
          <w:iCs/>
          <w:sz w:val="24"/>
          <w:szCs w:val="24"/>
        </w:rPr>
        <w:t xml:space="preserve"> kundër Polonisë [</w:t>
      </w:r>
      <w:proofErr w:type="spellStart"/>
      <w:r w:rsidRPr="00E57208">
        <w:rPr>
          <w:rFonts w:ascii="Garamond" w:hAnsi="Garamond"/>
          <w:i/>
          <w:iCs/>
          <w:sz w:val="24"/>
          <w:szCs w:val="24"/>
        </w:rPr>
        <w:t>GC</w:t>
      </w:r>
      <w:proofErr w:type="spellEnd"/>
      <w:r w:rsidRPr="00E57208">
        <w:rPr>
          <w:rFonts w:ascii="Garamond" w:hAnsi="Garamond"/>
          <w:i/>
          <w:iCs/>
          <w:sz w:val="24"/>
          <w:szCs w:val="24"/>
        </w:rPr>
        <w:t>], 15 tetor 1999, § 66</w:t>
      </w:r>
      <w:r w:rsidRPr="00E57208">
        <w:rPr>
          <w:rFonts w:ascii="Garamond" w:hAnsi="Garamond"/>
          <w:sz w:val="24"/>
          <w:szCs w:val="24"/>
        </w:rPr>
        <w:t>)</w:t>
      </w:r>
      <w:r w:rsidRPr="00E57208">
        <w:rPr>
          <w:rFonts w:ascii="Garamond" w:hAnsi="Garamond"/>
          <w:i/>
          <w:iCs/>
          <w:sz w:val="24"/>
          <w:szCs w:val="24"/>
        </w:rPr>
        <w:t xml:space="preserve">. </w:t>
      </w:r>
      <w:r w:rsidRPr="00E57208">
        <w:rPr>
          <w:rFonts w:ascii="Garamond" w:hAnsi="Garamond"/>
          <w:sz w:val="24"/>
          <w:szCs w:val="24"/>
        </w:rPr>
        <w:t>Disa kategori çështjesh, për shkak të natyrës së tyre, kërkojnë përshpejtim të posaçëm gjykimi në procedurat vendase. Në këto raste duhet të merret parasysh çfarë vihet në pikëpyetje për kërkuesin. Kjo do të thotë se disa çështje që lidhen me interesa “vetjake e jetësore”, siç janë ato të kujdestarisë, marrëdhëniet e punës (</w:t>
      </w:r>
      <w:r w:rsidRPr="00E57208">
        <w:rPr>
          <w:rFonts w:ascii="Garamond" w:hAnsi="Garamond"/>
          <w:i/>
          <w:iCs/>
          <w:sz w:val="24"/>
          <w:szCs w:val="24"/>
        </w:rPr>
        <w:t xml:space="preserve">shih </w:t>
      </w:r>
      <w:proofErr w:type="spellStart"/>
      <w:r w:rsidRPr="00E57208">
        <w:rPr>
          <w:rFonts w:ascii="Garamond" w:hAnsi="Garamond"/>
          <w:i/>
          <w:iCs/>
          <w:sz w:val="24"/>
          <w:szCs w:val="24"/>
        </w:rPr>
        <w:t>Tsikakis</w:t>
      </w:r>
      <w:proofErr w:type="spellEnd"/>
      <w:r w:rsidRPr="00E57208">
        <w:rPr>
          <w:rFonts w:ascii="Garamond" w:hAnsi="Garamond"/>
          <w:i/>
          <w:iCs/>
          <w:sz w:val="24"/>
          <w:szCs w:val="24"/>
        </w:rPr>
        <w:t xml:space="preserve"> k. Gjermanisë, 10 shkurt 2011, §§ 64 dhe 68; </w:t>
      </w:r>
      <w:proofErr w:type="spellStart"/>
      <w:r w:rsidRPr="00E57208">
        <w:rPr>
          <w:rFonts w:ascii="Garamond" w:hAnsi="Garamond"/>
          <w:i/>
          <w:iCs/>
          <w:sz w:val="24"/>
          <w:szCs w:val="24"/>
        </w:rPr>
        <w:t>Thlimmenos</w:t>
      </w:r>
      <w:proofErr w:type="spellEnd"/>
      <w:r w:rsidRPr="00E57208">
        <w:rPr>
          <w:rFonts w:ascii="Garamond" w:hAnsi="Garamond"/>
          <w:i/>
          <w:iCs/>
          <w:sz w:val="24"/>
          <w:szCs w:val="24"/>
        </w:rPr>
        <w:t xml:space="preserve"> k. Greqisë [</w:t>
      </w:r>
      <w:proofErr w:type="spellStart"/>
      <w:r w:rsidRPr="00E57208">
        <w:rPr>
          <w:rFonts w:ascii="Garamond" w:hAnsi="Garamond"/>
          <w:i/>
          <w:iCs/>
          <w:sz w:val="24"/>
          <w:szCs w:val="24"/>
        </w:rPr>
        <w:t>GC</w:t>
      </w:r>
      <w:proofErr w:type="spellEnd"/>
      <w:r w:rsidRPr="00E57208">
        <w:rPr>
          <w:rFonts w:ascii="Garamond" w:hAnsi="Garamond"/>
          <w:i/>
          <w:iCs/>
          <w:sz w:val="24"/>
          <w:szCs w:val="24"/>
        </w:rPr>
        <w:t>], 6 prill 2000, §§ 60 dhe 62</w:t>
      </w:r>
      <w:r w:rsidRPr="00E57208">
        <w:rPr>
          <w:rFonts w:ascii="Garamond" w:hAnsi="Garamond"/>
          <w:sz w:val="24"/>
          <w:szCs w:val="24"/>
        </w:rPr>
        <w:t xml:space="preserve">) lipset të trajtohen me përparësi dhe shpejtësi të veçantë.  </w:t>
      </w:r>
    </w:p>
    <w:p w14:paraId="085FB66C" w14:textId="00AB7260"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 xml:space="preserve">51. Duke iu kthyer rastit në shqyrtim, Gjykata vëren se kërkuesi ka vepruar në përputhje me të drejtat procedurale dhe nuk rezulton të jetë bërë shkak ose të ketë shkaktuar vonesa në këtë drejtim, përkundrazi, nuk e ka humbur interesin, madje e ka shfaqur atë në mënyrë të pandërprerë, duke kërkuar madje edhe përshpejtimin e gjykimit të çështjes. Për sa i përket kriterit të interesit për kërkuesin dhe rrezikut që </w:t>
      </w:r>
      <w:proofErr w:type="spellStart"/>
      <w:r w:rsidRPr="00E57208">
        <w:rPr>
          <w:rFonts w:ascii="Garamond" w:hAnsi="Garamond"/>
          <w:sz w:val="24"/>
          <w:szCs w:val="24"/>
        </w:rPr>
        <w:t>passjell</w:t>
      </w:r>
      <w:proofErr w:type="spellEnd"/>
      <w:r w:rsidRPr="00E57208">
        <w:rPr>
          <w:rFonts w:ascii="Garamond" w:hAnsi="Garamond"/>
          <w:sz w:val="24"/>
          <w:szCs w:val="24"/>
        </w:rPr>
        <w:t xml:space="preserve"> </w:t>
      </w:r>
      <w:proofErr w:type="spellStart"/>
      <w:r w:rsidRPr="00E57208">
        <w:rPr>
          <w:rFonts w:ascii="Garamond" w:hAnsi="Garamond"/>
          <w:sz w:val="24"/>
          <w:szCs w:val="24"/>
        </w:rPr>
        <w:t>tejzgjatja</w:t>
      </w:r>
      <w:proofErr w:type="spellEnd"/>
      <w:r w:rsidRPr="00E57208">
        <w:rPr>
          <w:rFonts w:ascii="Garamond" w:hAnsi="Garamond"/>
          <w:sz w:val="24"/>
          <w:szCs w:val="24"/>
        </w:rPr>
        <w:t xml:space="preserve"> e procedurave për të, Gjykata vlerëson se çështja konkrete është e një natyre të tillë që interesi i kërkuesit nga kohëzgjatja e tepruar e procedurave gjyqësore rrezikohet në shkallë të konsiderueshme, për sa kohë objekt i kërkesëpadisë së tij ka të bëjë me të drejta vetjake siç është përfitimi i pensionit.</w:t>
      </w:r>
    </w:p>
    <w:p w14:paraId="5AE60E7F" w14:textId="13F5D8EC"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 xml:space="preserve">52. Nga ana tjetër, nga pikëpamja e shpejtësisë në gjykim, Gjykata evidenton se </w:t>
      </w:r>
      <w:r w:rsidRPr="00E57208">
        <w:rPr>
          <w:rFonts w:ascii="Garamond" w:hAnsi="Garamond"/>
          <w:i/>
          <w:iCs/>
          <w:sz w:val="24"/>
          <w:szCs w:val="24"/>
        </w:rPr>
        <w:t>në parim</w:t>
      </w:r>
      <w:r w:rsidRPr="00E57208">
        <w:rPr>
          <w:rFonts w:ascii="Garamond" w:hAnsi="Garamond"/>
          <w:sz w:val="24"/>
          <w:szCs w:val="24"/>
        </w:rPr>
        <w:t xml:space="preserve"> çështjet administrative, ligjvënësi i ka përcaktuar si çështje që kërkojnë shpejtësi në gjykimin e tyre, duke parashikuar afate më të shpejta gjykimi (</w:t>
      </w:r>
      <w:r w:rsidRPr="00E57208">
        <w:rPr>
          <w:rFonts w:ascii="Garamond" w:hAnsi="Garamond"/>
          <w:i/>
          <w:iCs/>
          <w:sz w:val="24"/>
          <w:szCs w:val="24"/>
        </w:rPr>
        <w:t>sh</w:t>
      </w:r>
      <w:r w:rsidR="00E77F00">
        <w:rPr>
          <w:rFonts w:ascii="Garamond" w:hAnsi="Garamond"/>
          <w:i/>
          <w:iCs/>
          <w:sz w:val="24"/>
          <w:szCs w:val="24"/>
        </w:rPr>
        <w:t xml:space="preserve">ih vendimin nr. 33, datë </w:t>
      </w:r>
      <w:r w:rsidRPr="00E57208">
        <w:rPr>
          <w:rFonts w:ascii="Garamond" w:hAnsi="Garamond"/>
          <w:i/>
          <w:iCs/>
          <w:sz w:val="24"/>
          <w:szCs w:val="24"/>
        </w:rPr>
        <w:t>1.11.2021</w:t>
      </w:r>
      <w:r w:rsidR="00E77F00">
        <w:rPr>
          <w:rFonts w:ascii="Garamond" w:hAnsi="Garamond"/>
          <w:i/>
          <w:iCs/>
          <w:sz w:val="24"/>
          <w:szCs w:val="24"/>
        </w:rPr>
        <w:t>,</w:t>
      </w:r>
      <w:r w:rsidRPr="00E57208">
        <w:rPr>
          <w:rFonts w:ascii="Garamond" w:hAnsi="Garamond"/>
          <w:i/>
          <w:iCs/>
          <w:sz w:val="24"/>
          <w:szCs w:val="24"/>
        </w:rPr>
        <w:t xml:space="preserve"> të Gjykatës Kushtetuese</w:t>
      </w:r>
      <w:r w:rsidRPr="00E57208">
        <w:rPr>
          <w:rFonts w:ascii="Garamond" w:hAnsi="Garamond"/>
          <w:sz w:val="24"/>
          <w:szCs w:val="24"/>
        </w:rPr>
        <w:t>)</w:t>
      </w:r>
      <w:r w:rsidRPr="00E57208">
        <w:rPr>
          <w:rFonts w:ascii="Garamond" w:hAnsi="Garamond"/>
          <w:i/>
          <w:iCs/>
          <w:sz w:val="24"/>
          <w:szCs w:val="24"/>
        </w:rPr>
        <w:t>.</w:t>
      </w:r>
    </w:p>
    <w:p w14:paraId="46C6FFFE" w14:textId="5AC4C7C3"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 xml:space="preserve">53. Në përfundim, Gjykata çmon se në rastin konkret </w:t>
      </w:r>
      <w:proofErr w:type="spellStart"/>
      <w:r w:rsidRPr="00E57208">
        <w:rPr>
          <w:rFonts w:ascii="Garamond" w:hAnsi="Garamond"/>
          <w:sz w:val="24"/>
          <w:szCs w:val="24"/>
        </w:rPr>
        <w:t>tejzgjatja</w:t>
      </w:r>
      <w:proofErr w:type="spellEnd"/>
      <w:r w:rsidRPr="00E57208">
        <w:rPr>
          <w:rFonts w:ascii="Garamond" w:hAnsi="Garamond"/>
          <w:sz w:val="24"/>
          <w:szCs w:val="24"/>
        </w:rPr>
        <w:t xml:space="preserve"> e procedurave gjyqësore paraqet një shkallë të konsiderueshme rreziku për interesin e kërkuesit.</w:t>
      </w:r>
    </w:p>
    <w:p w14:paraId="7F4888C3" w14:textId="77777777" w:rsidR="00E57208" w:rsidRPr="00E57208" w:rsidRDefault="00E57208" w:rsidP="00E57208">
      <w:pPr>
        <w:pStyle w:val="ListParagraph"/>
        <w:tabs>
          <w:tab w:val="left" w:pos="1080"/>
        </w:tabs>
        <w:spacing w:after="0" w:line="240" w:lineRule="auto"/>
        <w:ind w:left="0" w:firstLine="284"/>
        <w:jc w:val="both"/>
        <w:rPr>
          <w:rFonts w:ascii="Garamond" w:hAnsi="Garamond"/>
          <w:i/>
          <w:iCs/>
          <w:sz w:val="24"/>
          <w:szCs w:val="24"/>
        </w:rPr>
      </w:pPr>
      <w:proofErr w:type="spellStart"/>
      <w:r w:rsidRPr="00E57208">
        <w:rPr>
          <w:rFonts w:ascii="Garamond" w:hAnsi="Garamond"/>
          <w:i/>
          <w:iCs/>
          <w:sz w:val="24"/>
          <w:szCs w:val="24"/>
        </w:rPr>
        <w:t>iii</w:t>
      </w:r>
      <w:proofErr w:type="spellEnd"/>
      <w:r w:rsidRPr="00E57208">
        <w:rPr>
          <w:rFonts w:ascii="Garamond" w:hAnsi="Garamond"/>
          <w:i/>
          <w:iCs/>
          <w:sz w:val="24"/>
          <w:szCs w:val="24"/>
        </w:rPr>
        <w:t>.</w:t>
      </w:r>
      <w:r w:rsidRPr="00E57208">
        <w:rPr>
          <w:rFonts w:ascii="Garamond" w:hAnsi="Garamond"/>
          <w:sz w:val="24"/>
          <w:szCs w:val="24"/>
        </w:rPr>
        <w:t xml:space="preserve"> </w:t>
      </w:r>
      <w:r w:rsidRPr="00E57208">
        <w:rPr>
          <w:rFonts w:ascii="Garamond" w:hAnsi="Garamond"/>
          <w:i/>
          <w:iCs/>
          <w:sz w:val="24"/>
          <w:szCs w:val="24"/>
        </w:rPr>
        <w:t>Kompleksiteti i çështjes</w:t>
      </w:r>
    </w:p>
    <w:p w14:paraId="25BEE92E" w14:textId="5551CB94"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54. Gjykata ka theksuar se për vlerësimin e kompleksitetit të procedimeve duhet të kenë rëndësi të gjitha aspektet e çështjes, përfshirë objektin e saj, faktet e kundërshtuara dhe volumin e provave shkresore. Kompleksiteti i çështjes, në balancë me parimin e sigurimit të administrimit të përshtatshëm të drejtësisë, mund të justifikojë kohëzgjatje kohore të konsiderueshme (</w:t>
      </w:r>
      <w:r w:rsidRPr="00E57208">
        <w:rPr>
          <w:rFonts w:ascii="Garamond" w:hAnsi="Garamond"/>
          <w:i/>
          <w:iCs/>
          <w:sz w:val="24"/>
          <w:szCs w:val="24"/>
        </w:rPr>
        <w:t>shih vendimet nr. 16, da</w:t>
      </w:r>
      <w:r w:rsidR="00E77F00">
        <w:rPr>
          <w:rFonts w:ascii="Garamond" w:hAnsi="Garamond"/>
          <w:i/>
          <w:iCs/>
          <w:sz w:val="24"/>
          <w:szCs w:val="24"/>
        </w:rPr>
        <w:t>të 16.3.2021; nr. 22, datë 20.</w:t>
      </w:r>
      <w:r w:rsidRPr="00E57208">
        <w:rPr>
          <w:rFonts w:ascii="Garamond" w:hAnsi="Garamond"/>
          <w:i/>
          <w:iCs/>
          <w:sz w:val="24"/>
          <w:szCs w:val="24"/>
        </w:rPr>
        <w:t>3.2017;  nr.</w:t>
      </w:r>
      <w:r w:rsidR="00E77F00">
        <w:rPr>
          <w:rFonts w:ascii="Garamond" w:hAnsi="Garamond"/>
          <w:i/>
          <w:iCs/>
          <w:sz w:val="24"/>
          <w:szCs w:val="24"/>
        </w:rPr>
        <w:t xml:space="preserve"> 14, datë 10.</w:t>
      </w:r>
      <w:r w:rsidRPr="00E57208">
        <w:rPr>
          <w:rFonts w:ascii="Garamond" w:hAnsi="Garamond"/>
          <w:i/>
          <w:iCs/>
          <w:sz w:val="24"/>
          <w:szCs w:val="24"/>
        </w:rPr>
        <w:t>3.2016</w:t>
      </w:r>
      <w:r w:rsidR="00E77F00">
        <w:rPr>
          <w:rFonts w:ascii="Garamond" w:hAnsi="Garamond"/>
          <w:i/>
          <w:iCs/>
          <w:sz w:val="24"/>
          <w:szCs w:val="24"/>
        </w:rPr>
        <w:t>,</w:t>
      </w:r>
      <w:r w:rsidRPr="00E57208">
        <w:rPr>
          <w:rFonts w:ascii="Garamond" w:hAnsi="Garamond"/>
          <w:i/>
          <w:iCs/>
          <w:sz w:val="24"/>
          <w:szCs w:val="24"/>
        </w:rPr>
        <w:t xml:space="preserve"> të Gjykatës Kushtetuese</w:t>
      </w:r>
      <w:r w:rsidRPr="00E57208">
        <w:rPr>
          <w:rFonts w:ascii="Garamond" w:hAnsi="Garamond"/>
          <w:sz w:val="24"/>
          <w:szCs w:val="24"/>
        </w:rPr>
        <w:t>). Ajo ka theksuar, gjithashtu, se kompleksiteti i çështjes lidhet me një sërë faktorësh, siç janë natyra e fakteve dhe provave të çështjes, aspekte të ligjit ose ndërthurjes së ligjeve apo akteve, numri i palëve pjesëmarrëse në proces (</w:t>
      </w:r>
      <w:r w:rsidR="00E77F00">
        <w:rPr>
          <w:rFonts w:ascii="Garamond" w:hAnsi="Garamond"/>
          <w:i/>
          <w:iCs/>
          <w:sz w:val="24"/>
          <w:szCs w:val="24"/>
        </w:rPr>
        <w:t xml:space="preserve">shih vendimin 33, datë </w:t>
      </w:r>
      <w:r w:rsidRPr="00E57208">
        <w:rPr>
          <w:rFonts w:ascii="Garamond" w:hAnsi="Garamond"/>
          <w:i/>
          <w:iCs/>
          <w:sz w:val="24"/>
          <w:szCs w:val="24"/>
        </w:rPr>
        <w:t>1.11.2021</w:t>
      </w:r>
      <w:r w:rsidR="00E77F00">
        <w:rPr>
          <w:rFonts w:ascii="Garamond" w:hAnsi="Garamond"/>
          <w:i/>
          <w:iCs/>
          <w:sz w:val="24"/>
          <w:szCs w:val="24"/>
        </w:rPr>
        <w:t>,</w:t>
      </w:r>
      <w:r w:rsidRPr="00E57208">
        <w:rPr>
          <w:rFonts w:ascii="Garamond" w:hAnsi="Garamond"/>
          <w:i/>
          <w:iCs/>
          <w:sz w:val="24"/>
          <w:szCs w:val="24"/>
        </w:rPr>
        <w:t xml:space="preserve"> të Gjykatës Kushtetuese</w:t>
      </w:r>
      <w:r w:rsidRPr="00E57208">
        <w:rPr>
          <w:rFonts w:ascii="Garamond" w:hAnsi="Garamond"/>
          <w:sz w:val="24"/>
          <w:szCs w:val="24"/>
        </w:rPr>
        <w:t>.)</w:t>
      </w:r>
    </w:p>
    <w:p w14:paraId="28045C49" w14:textId="20FBB323" w:rsidR="00E57208" w:rsidRPr="00E57208" w:rsidRDefault="00E57208" w:rsidP="00E57208">
      <w:pPr>
        <w:tabs>
          <w:tab w:val="left" w:pos="720"/>
          <w:tab w:val="left" w:pos="1160"/>
          <w:tab w:val="left" w:pos="126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55. Gjykata konstaton se në rastin në shqyrtim mosmarrëveshja objekt gjykimi është e natyrës administrative dhe i nënshtrohet rregullave të përcaktuara në ligjin nr. 49/2012. Nga shqyrtimi i akteve përkatëse të paraqitura nga kërkuesi, duke iu referuar objektit të kërkesëpadisë së tij, vlerësimit të provave për këtë çështje, si dhe palëve pjesëmarrëse në proces, Gjykata vëren se çështja konkrete nuk paraqet rrethana veçanërisht të vështira ose komplekse që mund të justifikonin vonesën në shqyrtimin e saj, prandaj çmon se merr rëndësi vlerësimi i sjelljes së autoriteteve.</w:t>
      </w:r>
      <w:r>
        <w:rPr>
          <w:rFonts w:ascii="Garamond" w:hAnsi="Garamond"/>
          <w:sz w:val="24"/>
          <w:szCs w:val="24"/>
        </w:rPr>
        <w:t xml:space="preserve"> </w:t>
      </w:r>
    </w:p>
    <w:p w14:paraId="5B90EABE" w14:textId="77777777" w:rsidR="00E57208" w:rsidRPr="00E57208" w:rsidRDefault="00E57208" w:rsidP="00E57208">
      <w:pPr>
        <w:pStyle w:val="ListParagraph"/>
        <w:tabs>
          <w:tab w:val="left" w:pos="1080"/>
        </w:tabs>
        <w:spacing w:after="0" w:line="240" w:lineRule="auto"/>
        <w:ind w:left="0" w:firstLine="284"/>
        <w:jc w:val="both"/>
        <w:rPr>
          <w:rFonts w:ascii="Garamond" w:hAnsi="Garamond"/>
          <w:i/>
          <w:iCs/>
          <w:sz w:val="24"/>
          <w:szCs w:val="24"/>
        </w:rPr>
      </w:pPr>
      <w:proofErr w:type="spellStart"/>
      <w:r w:rsidRPr="00E57208">
        <w:rPr>
          <w:rFonts w:ascii="Garamond" w:hAnsi="Garamond"/>
          <w:i/>
          <w:iCs/>
          <w:sz w:val="24"/>
          <w:szCs w:val="24"/>
        </w:rPr>
        <w:t>iv</w:t>
      </w:r>
      <w:proofErr w:type="spellEnd"/>
      <w:r w:rsidRPr="00E57208">
        <w:rPr>
          <w:rFonts w:ascii="Garamond" w:hAnsi="Garamond"/>
          <w:i/>
          <w:iCs/>
          <w:sz w:val="24"/>
          <w:szCs w:val="24"/>
        </w:rPr>
        <w:t xml:space="preserve">. Sjellja e autoriteteve </w:t>
      </w:r>
    </w:p>
    <w:p w14:paraId="618A541D" w14:textId="555F59B0"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 xml:space="preserve">56. Gjykata ka theksuar se neni 42 i Kushtetutës, si dhe neni 6 i </w:t>
      </w:r>
      <w:proofErr w:type="spellStart"/>
      <w:r w:rsidRPr="00E57208">
        <w:rPr>
          <w:rFonts w:ascii="Garamond" w:hAnsi="Garamond"/>
          <w:sz w:val="24"/>
          <w:szCs w:val="24"/>
        </w:rPr>
        <w:t>KEDNJ</w:t>
      </w:r>
      <w:proofErr w:type="spellEnd"/>
      <w:r w:rsidRPr="00E57208">
        <w:rPr>
          <w:rFonts w:ascii="Garamond" w:hAnsi="Garamond"/>
          <w:sz w:val="24"/>
          <w:szCs w:val="24"/>
        </w:rPr>
        <w:t>-së vendosin detyrimin për organizimin e sistemit ligjor të vendit në mënyrë të tillë që gjykatat të plotësojnë kërkesat e standardeve për një proces të rregull ligjor, përfshirë këtu edhe atë të gjykimit brenda afatit të arsyeshëm. Në këtë drejtim, gjykatat kanë për detyrë të sigurojnë që të gjitha subjektet që marrin pjesë në proces të sillen në mënyrë që të evitojnë çdo vonesë të panevojshme (</w:t>
      </w:r>
      <w:r w:rsidRPr="00E57208">
        <w:rPr>
          <w:rFonts w:ascii="Garamond" w:hAnsi="Garamond"/>
          <w:i/>
          <w:iCs/>
          <w:sz w:val="24"/>
          <w:szCs w:val="24"/>
        </w:rPr>
        <w:t>shih vendimet nr. 16,</w:t>
      </w:r>
      <w:r w:rsidR="00EB34D6">
        <w:rPr>
          <w:rFonts w:ascii="Garamond" w:hAnsi="Garamond"/>
          <w:i/>
          <w:iCs/>
          <w:sz w:val="24"/>
          <w:szCs w:val="24"/>
        </w:rPr>
        <w:t xml:space="preserve"> datë 16.</w:t>
      </w:r>
      <w:r w:rsidR="00E77F00">
        <w:rPr>
          <w:rFonts w:ascii="Garamond" w:hAnsi="Garamond"/>
          <w:i/>
          <w:iCs/>
          <w:sz w:val="24"/>
          <w:szCs w:val="24"/>
        </w:rPr>
        <w:t>3.2021; nr. 76, datë 4.12.2017; nr. 22, datë 20.3.2017; nr. 12, datë 5.</w:t>
      </w:r>
      <w:r w:rsidRPr="00E57208">
        <w:rPr>
          <w:rFonts w:ascii="Garamond" w:hAnsi="Garamond"/>
          <w:i/>
          <w:iCs/>
          <w:sz w:val="24"/>
          <w:szCs w:val="24"/>
        </w:rPr>
        <w:t>3.2012</w:t>
      </w:r>
      <w:r w:rsidR="009B5270">
        <w:rPr>
          <w:rFonts w:ascii="Garamond" w:hAnsi="Garamond"/>
          <w:i/>
          <w:iCs/>
          <w:sz w:val="24"/>
          <w:szCs w:val="24"/>
        </w:rPr>
        <w:t>,</w:t>
      </w:r>
      <w:r w:rsidRPr="00E57208">
        <w:rPr>
          <w:rFonts w:ascii="Garamond" w:hAnsi="Garamond"/>
          <w:i/>
          <w:iCs/>
          <w:sz w:val="24"/>
          <w:szCs w:val="24"/>
        </w:rPr>
        <w:t xml:space="preserve"> të Gjykatës Kushtetuese</w:t>
      </w:r>
      <w:r w:rsidRPr="00E57208">
        <w:rPr>
          <w:rFonts w:ascii="Garamond" w:hAnsi="Garamond"/>
          <w:sz w:val="24"/>
          <w:szCs w:val="24"/>
        </w:rPr>
        <w:t xml:space="preserve">). </w:t>
      </w:r>
    </w:p>
    <w:p w14:paraId="12C9B541" w14:textId="46009D2A" w:rsidR="00E57208" w:rsidRPr="00E57208" w:rsidRDefault="00E57208" w:rsidP="00E57208">
      <w:pPr>
        <w:spacing w:after="0" w:line="240" w:lineRule="auto"/>
        <w:ind w:firstLine="284"/>
        <w:jc w:val="both"/>
        <w:rPr>
          <w:rFonts w:ascii="Garamond" w:hAnsi="Garamond"/>
          <w:sz w:val="24"/>
          <w:szCs w:val="24"/>
        </w:rPr>
      </w:pPr>
      <w:r w:rsidRPr="00E57208">
        <w:rPr>
          <w:rFonts w:ascii="Garamond" w:hAnsi="Garamond"/>
          <w:sz w:val="24"/>
          <w:szCs w:val="24"/>
        </w:rPr>
        <w:t xml:space="preserve">57. Në vlerësimin e kohëzgjatjes së përgjithshme të procedurave, Gjykata ka treguar një qasje më të kujdesshme për të, duke pasur parasysh ndryshimet që solli reforma në sistemin e drejtësisë në vendin tonë dhe efektet e saj, veçanërisht lidhur me plotësimin e numrit të gjyqtarëve në gjykata dhe numrin e madh të çështjeve në pritje për t’u shqyrtuar. Megjithatë, ajo ka vënë re se parashikimi i një reforme të kësaj natyre nuk mund të justifikojë vonesat, pasi shteti është i detyruar të organizojë hyrjen në fuqi dhe zbatimin e masave që shmangin </w:t>
      </w:r>
      <w:proofErr w:type="spellStart"/>
      <w:r w:rsidRPr="00E57208">
        <w:rPr>
          <w:rFonts w:ascii="Garamond" w:hAnsi="Garamond"/>
          <w:sz w:val="24"/>
          <w:szCs w:val="24"/>
        </w:rPr>
        <w:t>tejzgjatjen</w:t>
      </w:r>
      <w:proofErr w:type="spellEnd"/>
      <w:r w:rsidRPr="00E57208">
        <w:rPr>
          <w:rFonts w:ascii="Garamond" w:hAnsi="Garamond"/>
          <w:sz w:val="24"/>
          <w:szCs w:val="24"/>
        </w:rPr>
        <w:t xml:space="preserve"> e shqyrtimit të çështjeve në pritje. Në këtë drejtim, akumulimi i përkohshëm i çështjeve nuk e ngarkon shtetin me përgjegjësi, me kusht që ky i fundit të ketë ndërmarrë veprime të menjëhershme që synojnë përmirësimin e situatës për të zgjidhur një situatë të këtij lloji</w:t>
      </w:r>
      <w:r w:rsidRPr="00E57208">
        <w:rPr>
          <w:rFonts w:ascii="Garamond" w:hAnsi="Garamond"/>
          <w:i/>
          <w:iCs/>
          <w:sz w:val="24"/>
          <w:szCs w:val="24"/>
        </w:rPr>
        <w:t>.</w:t>
      </w:r>
      <w:r w:rsidRPr="00E57208">
        <w:rPr>
          <w:rFonts w:ascii="Garamond" w:hAnsi="Garamond"/>
          <w:sz w:val="24"/>
          <w:szCs w:val="24"/>
        </w:rPr>
        <w:t xml:space="preserve"> Pavarësisht se ka disa metoda që mund të zbatohen nga gjykatat për të nxitur përkohësisht përshpejtimin e gjykimit të çështjeve, nëse edhe një zgjidhje e tillë rezulton në </w:t>
      </w:r>
      <w:proofErr w:type="spellStart"/>
      <w:r w:rsidRPr="00E57208">
        <w:rPr>
          <w:rFonts w:ascii="Garamond" w:hAnsi="Garamond"/>
          <w:sz w:val="24"/>
          <w:szCs w:val="24"/>
        </w:rPr>
        <w:t>tejzgjatje</w:t>
      </w:r>
      <w:proofErr w:type="spellEnd"/>
      <w:r w:rsidRPr="00E57208">
        <w:rPr>
          <w:rFonts w:ascii="Garamond" w:hAnsi="Garamond"/>
          <w:sz w:val="24"/>
          <w:szCs w:val="24"/>
        </w:rPr>
        <w:t xml:space="preserve"> dhe kthehet në një problem të organizimit strukturor, atëherë shteti duhet të sigurojë miratimin e masave më efektive dhe të organizojë sistemin gjyqësor, në mënyrë që të garantohet e drejta për të marrë një vendim përfundimtar brenda një periudhe të arsyeshme</w:t>
      </w:r>
      <w:r w:rsidR="00E77F00">
        <w:rPr>
          <w:rFonts w:ascii="Garamond" w:hAnsi="Garamond"/>
          <w:i/>
          <w:iCs/>
          <w:sz w:val="24"/>
          <w:szCs w:val="24"/>
        </w:rPr>
        <w:t xml:space="preserve"> (shih vendimin nr. 33, datë </w:t>
      </w:r>
      <w:r w:rsidRPr="00E57208">
        <w:rPr>
          <w:rFonts w:ascii="Garamond" w:hAnsi="Garamond"/>
          <w:i/>
          <w:iCs/>
          <w:sz w:val="24"/>
          <w:szCs w:val="24"/>
        </w:rPr>
        <w:t>1.11.2021</w:t>
      </w:r>
      <w:r w:rsidR="009B5270">
        <w:rPr>
          <w:rFonts w:ascii="Garamond" w:hAnsi="Garamond"/>
          <w:i/>
          <w:iCs/>
          <w:sz w:val="24"/>
          <w:szCs w:val="24"/>
        </w:rPr>
        <w:t>,</w:t>
      </w:r>
      <w:r w:rsidRPr="00E57208">
        <w:rPr>
          <w:rFonts w:ascii="Garamond" w:hAnsi="Garamond"/>
          <w:i/>
          <w:iCs/>
          <w:sz w:val="24"/>
          <w:szCs w:val="24"/>
        </w:rPr>
        <w:t xml:space="preserve"> të Gjykatës Kushtetuese</w:t>
      </w:r>
      <w:r w:rsidRPr="00E57208">
        <w:rPr>
          <w:rFonts w:ascii="Garamond" w:hAnsi="Garamond"/>
          <w:sz w:val="24"/>
          <w:szCs w:val="24"/>
        </w:rPr>
        <w:t xml:space="preserve">). </w:t>
      </w:r>
    </w:p>
    <w:p w14:paraId="5F3B347C" w14:textId="209A2123" w:rsidR="00E57208" w:rsidRPr="00E57208" w:rsidRDefault="00E57208" w:rsidP="00E57208">
      <w:pPr>
        <w:spacing w:after="0" w:line="240" w:lineRule="auto"/>
        <w:ind w:firstLine="284"/>
        <w:jc w:val="both"/>
        <w:rPr>
          <w:rFonts w:ascii="Garamond" w:hAnsi="Garamond"/>
          <w:sz w:val="24"/>
          <w:szCs w:val="24"/>
        </w:rPr>
      </w:pPr>
      <w:r w:rsidRPr="00E57208">
        <w:rPr>
          <w:rFonts w:ascii="Garamond" w:hAnsi="Garamond"/>
          <w:sz w:val="24"/>
          <w:szCs w:val="24"/>
        </w:rPr>
        <w:t xml:space="preserve">58. Gjykata ka vërejtur se Gjykata e Lartë ka ndërmarrë hapa konkretë, duke parashikuar një sërë masash me qëllim uljen e numrit të çështjeve të prapambetura brenda një kohe sa më të shpejtë, por ajo rithekson se masat e marra nga autoritetet shqiptare nuk janë të mjaftueshme, përderisa procedurat në Gjykatën e Lartë po zgjasin tej afateve të arsyeshme </w:t>
      </w:r>
      <w:r w:rsidR="00E77F00">
        <w:rPr>
          <w:rFonts w:ascii="Garamond" w:hAnsi="Garamond"/>
          <w:i/>
          <w:iCs/>
          <w:sz w:val="24"/>
          <w:szCs w:val="24"/>
        </w:rPr>
        <w:t xml:space="preserve">(shih vendimin nr. 33, datë </w:t>
      </w:r>
      <w:r w:rsidRPr="00E57208">
        <w:rPr>
          <w:rFonts w:ascii="Garamond" w:hAnsi="Garamond"/>
          <w:i/>
          <w:iCs/>
          <w:sz w:val="24"/>
          <w:szCs w:val="24"/>
        </w:rPr>
        <w:t>1.11.2021</w:t>
      </w:r>
      <w:r w:rsidR="009B5270">
        <w:rPr>
          <w:rFonts w:ascii="Garamond" w:hAnsi="Garamond"/>
          <w:i/>
          <w:iCs/>
          <w:sz w:val="24"/>
          <w:szCs w:val="24"/>
        </w:rPr>
        <w:t>,</w:t>
      </w:r>
      <w:r w:rsidRPr="00E57208">
        <w:rPr>
          <w:rFonts w:ascii="Garamond" w:hAnsi="Garamond"/>
          <w:i/>
          <w:iCs/>
          <w:sz w:val="24"/>
          <w:szCs w:val="24"/>
        </w:rPr>
        <w:t xml:space="preserve"> të Gjykatës Kushtetuese</w:t>
      </w:r>
      <w:r w:rsidRPr="00E57208">
        <w:rPr>
          <w:rFonts w:ascii="Garamond" w:hAnsi="Garamond"/>
          <w:sz w:val="24"/>
          <w:szCs w:val="24"/>
        </w:rPr>
        <w:t>).</w:t>
      </w:r>
    </w:p>
    <w:p w14:paraId="168D41DA" w14:textId="528EA08D" w:rsidR="00E57208" w:rsidRPr="00E57208" w:rsidRDefault="00E57208" w:rsidP="00E57208">
      <w:pPr>
        <w:tabs>
          <w:tab w:val="left" w:pos="720"/>
        </w:tabs>
        <w:spacing w:after="0" w:line="240" w:lineRule="auto"/>
        <w:ind w:firstLine="284"/>
        <w:jc w:val="both"/>
        <w:rPr>
          <w:rFonts w:ascii="Garamond" w:hAnsi="Garamond"/>
          <w:sz w:val="24"/>
          <w:szCs w:val="24"/>
        </w:rPr>
      </w:pPr>
      <w:r w:rsidRPr="00E57208">
        <w:rPr>
          <w:rFonts w:ascii="Garamond" w:hAnsi="Garamond"/>
          <w:sz w:val="24"/>
          <w:szCs w:val="24"/>
        </w:rPr>
        <w:t xml:space="preserve"> </w:t>
      </w:r>
      <w:r>
        <w:rPr>
          <w:rFonts w:ascii="Garamond" w:hAnsi="Garamond"/>
          <w:sz w:val="24"/>
          <w:szCs w:val="24"/>
        </w:rPr>
        <w:t xml:space="preserve"> </w:t>
      </w:r>
      <w:r w:rsidRPr="00E57208">
        <w:rPr>
          <w:rFonts w:ascii="Garamond" w:hAnsi="Garamond"/>
          <w:sz w:val="24"/>
          <w:szCs w:val="24"/>
        </w:rPr>
        <w:t xml:space="preserve">59. Lidhur me gjykimin e mosmarrëveshjeve administrative, siç është edhe rasti konkret, Gjykata ka vërejtur se garantimi i kryerjes së procesit të rregullt gjyqësor brenda afateve të shpejta dhe të arsyeshme, të parashikuar nga neni 3 i ligjit nr. 49/2012, është parim me rëndësi të veçantë. Ky ka qenë edhe qëllimi i ligjvënësit në krijimin e gjykatave administrative. Ky ligj synon thjeshtimin e procedurave që kanë objekt zgjidhjen e mosmarrëveshjeve administrative. Afatet konkrete të përcaktuara në ligj për gjykimin e çështjeve duhet të zbatohen nga gjykatat administrative për shqyrtimin e çështjeve. Për më tepër, ligji nr. 49/2012 ka parashikuar afate të </w:t>
      </w:r>
      <w:proofErr w:type="spellStart"/>
      <w:r w:rsidRPr="00E57208">
        <w:rPr>
          <w:rFonts w:ascii="Garamond" w:hAnsi="Garamond"/>
          <w:sz w:val="24"/>
          <w:szCs w:val="24"/>
        </w:rPr>
        <w:t>mirëpërcaktuara</w:t>
      </w:r>
      <w:proofErr w:type="spellEnd"/>
      <w:r w:rsidRPr="00E57208">
        <w:rPr>
          <w:rFonts w:ascii="Garamond" w:hAnsi="Garamond"/>
          <w:sz w:val="24"/>
          <w:szCs w:val="24"/>
        </w:rPr>
        <w:t xml:space="preserve"> për gjykimin në shkallë të parë (neni 25 </w:t>
      </w:r>
      <w:r w:rsidR="009B5270">
        <w:rPr>
          <w:rFonts w:ascii="Garamond" w:hAnsi="Garamond"/>
          <w:sz w:val="24"/>
          <w:szCs w:val="24"/>
        </w:rPr>
        <w:t>–</w:t>
      </w:r>
      <w:r w:rsidRPr="00E57208">
        <w:rPr>
          <w:rFonts w:ascii="Garamond" w:hAnsi="Garamond"/>
          <w:sz w:val="24"/>
          <w:szCs w:val="24"/>
        </w:rPr>
        <w:t xml:space="preserve"> për veprimet përgatitore, neni 27 </w:t>
      </w:r>
      <w:r w:rsidR="009B5270">
        <w:rPr>
          <w:rFonts w:ascii="Garamond" w:hAnsi="Garamond"/>
          <w:sz w:val="24"/>
          <w:szCs w:val="24"/>
        </w:rPr>
        <w:t>–</w:t>
      </w:r>
      <w:r w:rsidRPr="00E57208">
        <w:rPr>
          <w:rFonts w:ascii="Garamond" w:hAnsi="Garamond"/>
          <w:sz w:val="24"/>
          <w:szCs w:val="24"/>
        </w:rPr>
        <w:t xml:space="preserve"> për caktimin e seancës gjyqësore), për gjykimin në apel (neni 48, pika 2 </w:t>
      </w:r>
      <w:r w:rsidR="009B5270">
        <w:rPr>
          <w:rFonts w:ascii="Garamond" w:hAnsi="Garamond"/>
          <w:sz w:val="24"/>
          <w:szCs w:val="24"/>
        </w:rPr>
        <w:t>–</w:t>
      </w:r>
      <w:r w:rsidRPr="00E57208">
        <w:rPr>
          <w:rFonts w:ascii="Garamond" w:hAnsi="Garamond"/>
          <w:sz w:val="24"/>
          <w:szCs w:val="24"/>
        </w:rPr>
        <w:t xml:space="preserve"> për shqyrtimin e çështjes nga gjykata e apelit), si dhe për gjykimin në Gjykatën e Lartë (neni 60, pika 2 – rasti në shqyrtim) (</w:t>
      </w:r>
      <w:r w:rsidRPr="00E57208">
        <w:rPr>
          <w:rFonts w:ascii="Garamond" w:hAnsi="Garamond"/>
          <w:i/>
          <w:iCs/>
          <w:sz w:val="24"/>
          <w:szCs w:val="24"/>
        </w:rPr>
        <w:t>shih vendimet nr.</w:t>
      </w:r>
      <w:r w:rsidR="009B5270">
        <w:rPr>
          <w:rFonts w:ascii="Garamond" w:hAnsi="Garamond"/>
          <w:i/>
          <w:iCs/>
          <w:sz w:val="24"/>
          <w:szCs w:val="24"/>
        </w:rPr>
        <w:t xml:space="preserve"> </w:t>
      </w:r>
      <w:r w:rsidRPr="00E57208">
        <w:rPr>
          <w:rFonts w:ascii="Garamond" w:hAnsi="Garamond"/>
          <w:i/>
          <w:iCs/>
          <w:sz w:val="24"/>
          <w:szCs w:val="24"/>
        </w:rPr>
        <w:t>16, da</w:t>
      </w:r>
      <w:r w:rsidR="00EB34D6">
        <w:rPr>
          <w:rFonts w:ascii="Garamond" w:hAnsi="Garamond"/>
          <w:i/>
          <w:iCs/>
          <w:sz w:val="24"/>
          <w:szCs w:val="24"/>
        </w:rPr>
        <w:t>të 16.3.2021; nr. 59, datë 16.</w:t>
      </w:r>
      <w:r w:rsidRPr="00E57208">
        <w:rPr>
          <w:rFonts w:ascii="Garamond" w:hAnsi="Garamond"/>
          <w:i/>
          <w:iCs/>
          <w:sz w:val="24"/>
          <w:szCs w:val="24"/>
        </w:rPr>
        <w:t>9.2016</w:t>
      </w:r>
      <w:r w:rsidR="009B5270">
        <w:rPr>
          <w:rFonts w:ascii="Garamond" w:hAnsi="Garamond"/>
          <w:i/>
          <w:iCs/>
          <w:sz w:val="24"/>
          <w:szCs w:val="24"/>
        </w:rPr>
        <w:t>,</w:t>
      </w:r>
      <w:r w:rsidRPr="00E57208">
        <w:rPr>
          <w:rFonts w:ascii="Garamond" w:hAnsi="Garamond"/>
          <w:i/>
          <w:iCs/>
          <w:sz w:val="24"/>
          <w:szCs w:val="24"/>
        </w:rPr>
        <w:t xml:space="preserve"> të Gjykatës Kushtetuese</w:t>
      </w:r>
      <w:r w:rsidRPr="00E57208">
        <w:rPr>
          <w:rFonts w:ascii="Garamond" w:hAnsi="Garamond"/>
          <w:sz w:val="24"/>
          <w:szCs w:val="24"/>
        </w:rPr>
        <w:t>).</w:t>
      </w:r>
    </w:p>
    <w:p w14:paraId="44240915" w14:textId="4E4FB5F3"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 xml:space="preserve">60. Gjykata është shprehur se respektimi rigoroz i ligjit përbën detyrim për Gjykatën e Lartë, për shkak të pozicionit dhe rolit të saj si gjykatë ligji, për sa kohë ajo ka për detyrë të kontrollojë mënyrën e zbatimit të ligjit material dhe procedural nga ana e gjykatave më të ulëta. Nga i njëjti këndvështrim, për çështje të ngjashme, Gjykata ka vlerësuar se numri i lartë i çështjeve që kanë në ngarkim këto gjykata, nuk mund të përdoren si argumente për të përligjur vonesat në shqyrtimin e çështjeve. Ngarkesa e gjykatave nuk është argument kushtetues që mund të justifikojë </w:t>
      </w:r>
      <w:proofErr w:type="spellStart"/>
      <w:r w:rsidRPr="00E57208">
        <w:rPr>
          <w:rFonts w:ascii="Garamond" w:hAnsi="Garamond"/>
          <w:sz w:val="24"/>
          <w:szCs w:val="24"/>
        </w:rPr>
        <w:t>mosgjykimin</w:t>
      </w:r>
      <w:proofErr w:type="spellEnd"/>
      <w:r w:rsidRPr="00E57208">
        <w:rPr>
          <w:rFonts w:ascii="Garamond" w:hAnsi="Garamond"/>
          <w:sz w:val="24"/>
          <w:szCs w:val="24"/>
        </w:rPr>
        <w:t xml:space="preserve"> e çështjeve brenda afateve të përcaktuara nga ligjvënësi. Në të kundërt, është detyrë e këtij të fundit të marrë masat dhe të gjejë mjetet e duhura për ndryshimin e gjendjes faktike (vonesa në shqyrtimin e çështjeve nga Gjykata e Lartë), me qëllim që ligjet të zbatohen dhe gjykatat e të gjitha niveleve të funksionojnë normalisht (</w:t>
      </w:r>
      <w:r w:rsidRPr="00E57208">
        <w:rPr>
          <w:rFonts w:ascii="Garamond" w:hAnsi="Garamond"/>
          <w:i/>
          <w:iCs/>
          <w:sz w:val="24"/>
          <w:szCs w:val="24"/>
        </w:rPr>
        <w:t>shih vendimet nr.</w:t>
      </w:r>
      <w:r w:rsidR="008F6E86">
        <w:rPr>
          <w:rFonts w:ascii="Garamond" w:hAnsi="Garamond"/>
          <w:i/>
          <w:iCs/>
          <w:sz w:val="24"/>
          <w:szCs w:val="24"/>
        </w:rPr>
        <w:t xml:space="preserve"> </w:t>
      </w:r>
      <w:r w:rsidRPr="00E57208">
        <w:rPr>
          <w:rFonts w:ascii="Garamond" w:hAnsi="Garamond"/>
          <w:i/>
          <w:iCs/>
          <w:sz w:val="24"/>
          <w:szCs w:val="24"/>
        </w:rPr>
        <w:t>16</w:t>
      </w:r>
      <w:r w:rsidR="00EB34D6">
        <w:rPr>
          <w:rFonts w:ascii="Garamond" w:hAnsi="Garamond"/>
          <w:i/>
          <w:iCs/>
          <w:sz w:val="24"/>
          <w:szCs w:val="24"/>
        </w:rPr>
        <w:t>, datë 16.</w:t>
      </w:r>
      <w:r w:rsidR="00E77F00">
        <w:rPr>
          <w:rFonts w:ascii="Garamond" w:hAnsi="Garamond"/>
          <w:i/>
          <w:iCs/>
          <w:sz w:val="24"/>
          <w:szCs w:val="24"/>
        </w:rPr>
        <w:t>3.2021; nr. 3, datë 6.12.2018; nr. 46, datë 3.7.2017;  nr. 59, datë 16.</w:t>
      </w:r>
      <w:r w:rsidRPr="00E57208">
        <w:rPr>
          <w:rFonts w:ascii="Garamond" w:hAnsi="Garamond"/>
          <w:i/>
          <w:iCs/>
          <w:sz w:val="24"/>
          <w:szCs w:val="24"/>
        </w:rPr>
        <w:t>9.2016</w:t>
      </w:r>
      <w:r w:rsidR="00E77F00">
        <w:rPr>
          <w:rFonts w:ascii="Garamond" w:hAnsi="Garamond"/>
          <w:i/>
          <w:iCs/>
          <w:sz w:val="24"/>
          <w:szCs w:val="24"/>
        </w:rPr>
        <w:t>,</w:t>
      </w:r>
      <w:r w:rsidRPr="00E57208">
        <w:rPr>
          <w:rFonts w:ascii="Garamond" w:hAnsi="Garamond"/>
          <w:i/>
          <w:iCs/>
          <w:sz w:val="24"/>
          <w:szCs w:val="24"/>
        </w:rPr>
        <w:t xml:space="preserve"> të Gjykatës Kushtetuese</w:t>
      </w:r>
      <w:r w:rsidRPr="00E57208">
        <w:rPr>
          <w:rFonts w:ascii="Garamond" w:hAnsi="Garamond"/>
          <w:sz w:val="24"/>
          <w:szCs w:val="24"/>
        </w:rPr>
        <w:t>).</w:t>
      </w:r>
    </w:p>
    <w:p w14:paraId="357D5002" w14:textId="466834B1" w:rsidR="00E57208" w:rsidRPr="00E57208" w:rsidRDefault="00E57208" w:rsidP="00E57208">
      <w:pPr>
        <w:tabs>
          <w:tab w:val="left" w:pos="720"/>
          <w:tab w:val="left" w:pos="116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61. Duke vlerësuar  sa më sipër,</w:t>
      </w:r>
      <w:r w:rsidRPr="00E57208">
        <w:rPr>
          <w:rFonts w:ascii="Garamond" w:hAnsi="Garamond"/>
          <w:i/>
          <w:iCs/>
          <w:sz w:val="24"/>
          <w:szCs w:val="24"/>
        </w:rPr>
        <w:t xml:space="preserve"> </w:t>
      </w:r>
      <w:r w:rsidRPr="00E57208">
        <w:rPr>
          <w:rFonts w:ascii="Garamond" w:hAnsi="Garamond"/>
          <w:sz w:val="24"/>
          <w:szCs w:val="24"/>
        </w:rPr>
        <w:t xml:space="preserve">si dhe duke parë edhe sjelljen e autoriteteve, e cila nuk ka qenë në nivelin e duhur, për sa i përket eficiencës dhe efikasitetit të masave të deritanishme të marra prej tyre, pasi nuk i kanë garantuar individit të drejtën për mjete juridike </w:t>
      </w:r>
      <w:r w:rsidRPr="00E57208">
        <w:rPr>
          <w:rFonts w:ascii="Garamond" w:hAnsi="Garamond"/>
          <w:i/>
          <w:iCs/>
          <w:sz w:val="24"/>
          <w:szCs w:val="24"/>
        </w:rPr>
        <w:t>efektive</w:t>
      </w:r>
      <w:r w:rsidRPr="00E57208">
        <w:rPr>
          <w:rFonts w:ascii="Garamond" w:hAnsi="Garamond"/>
          <w:sz w:val="24"/>
          <w:szCs w:val="24"/>
        </w:rPr>
        <w:t xml:space="preserve"> ankimi, në kuptim të nenit 13 të </w:t>
      </w:r>
      <w:proofErr w:type="spellStart"/>
      <w:r w:rsidRPr="00E57208">
        <w:rPr>
          <w:rFonts w:ascii="Garamond" w:hAnsi="Garamond"/>
          <w:sz w:val="24"/>
          <w:szCs w:val="24"/>
        </w:rPr>
        <w:t>KEDNJ</w:t>
      </w:r>
      <w:proofErr w:type="spellEnd"/>
      <w:r w:rsidRPr="00E57208">
        <w:rPr>
          <w:rFonts w:ascii="Garamond" w:hAnsi="Garamond"/>
          <w:sz w:val="24"/>
          <w:szCs w:val="24"/>
        </w:rPr>
        <w:t xml:space="preserve">-së, por edhe për shkak të natyrës së pretendimit të tij që lidhet me mjete të domosdoshme të jetesës, siç është e drejta e pensionit, Gjykata e sheh me vend të konstatojë cenimin e procesit të rregullt për shkak të </w:t>
      </w:r>
      <w:proofErr w:type="spellStart"/>
      <w:r w:rsidRPr="00E57208">
        <w:rPr>
          <w:rFonts w:ascii="Garamond" w:hAnsi="Garamond"/>
          <w:sz w:val="24"/>
          <w:szCs w:val="24"/>
        </w:rPr>
        <w:t>mosshqyrtimit</w:t>
      </w:r>
      <w:proofErr w:type="spellEnd"/>
      <w:r w:rsidRPr="00E57208">
        <w:rPr>
          <w:rFonts w:ascii="Garamond" w:hAnsi="Garamond"/>
          <w:sz w:val="24"/>
          <w:szCs w:val="24"/>
        </w:rPr>
        <w:t xml:space="preserve"> të çështjes brenda afatit të arsyeshëm. Gjykata thekson, gjithashtu, domosdoshmërinë e përshpejtimit të procedurës së gjykimit të rekursit të paraqitur nga kërkuesi dhe, për këtë qëllim, bazuar në nenin 81, pika 3, të ligjit nr. 8577/2000, ajo do të caktojë në pjesën urdhëruese të këtij vendimi edhe afatin brenda të cilit duhet të veprojë Gjykata e Lartë. Në vlerësimin e Gjykatës, ky afat konsiderohet i arsyeshëm dhe i përgjigjet kushteve dhe mundësive të Gjykatës së Lartë për të vepruar në çështjen e kërkuesit.</w:t>
      </w:r>
    </w:p>
    <w:p w14:paraId="7B4D4027" w14:textId="514B1C78" w:rsidR="00E57208" w:rsidRPr="00E57208" w:rsidRDefault="00E57208" w:rsidP="00E57208">
      <w:pPr>
        <w:tabs>
          <w:tab w:val="left" w:pos="720"/>
        </w:tabs>
        <w:spacing w:after="0" w:line="240" w:lineRule="auto"/>
        <w:ind w:firstLine="284"/>
        <w:jc w:val="both"/>
        <w:rPr>
          <w:rFonts w:ascii="Garamond" w:hAnsi="Garamond"/>
          <w:sz w:val="24"/>
          <w:szCs w:val="24"/>
        </w:rPr>
      </w:pPr>
      <w:r>
        <w:rPr>
          <w:rFonts w:ascii="Garamond" w:hAnsi="Garamond"/>
          <w:sz w:val="24"/>
          <w:szCs w:val="24"/>
        </w:rPr>
        <w:t xml:space="preserve"> </w:t>
      </w:r>
      <w:r w:rsidRPr="00E57208">
        <w:rPr>
          <w:rFonts w:ascii="Garamond" w:hAnsi="Garamond"/>
          <w:sz w:val="24"/>
          <w:szCs w:val="24"/>
        </w:rPr>
        <w:t xml:space="preserve">62. Në këto kushte, Gjykata vëren se ka </w:t>
      </w:r>
      <w:proofErr w:type="spellStart"/>
      <w:r w:rsidRPr="00E57208">
        <w:rPr>
          <w:rFonts w:ascii="Garamond" w:hAnsi="Garamond"/>
          <w:sz w:val="24"/>
          <w:szCs w:val="24"/>
        </w:rPr>
        <w:t>tejzgjatje</w:t>
      </w:r>
      <w:proofErr w:type="spellEnd"/>
      <w:r w:rsidRPr="00E57208">
        <w:rPr>
          <w:rFonts w:ascii="Garamond" w:hAnsi="Garamond"/>
          <w:sz w:val="24"/>
          <w:szCs w:val="24"/>
        </w:rPr>
        <w:t xml:space="preserve"> të procedurave gjyqësore, që, së pari, nuk i atribuohet kërkuesit, i cili ka vepruar në përputhje me të drejtat dhe detyrimet procedurale dhe nuk rezulton të jetë bërë pengesë për vonesa dhe, së dyti, nuk vjen nga kompleksiteti i çështjes, e cila për nga natyra e saj nuk mund të bëhej shkak për </w:t>
      </w:r>
      <w:proofErr w:type="spellStart"/>
      <w:r w:rsidRPr="00E57208">
        <w:rPr>
          <w:rFonts w:ascii="Garamond" w:hAnsi="Garamond"/>
          <w:sz w:val="24"/>
          <w:szCs w:val="24"/>
        </w:rPr>
        <w:t>tejzgjatjen</w:t>
      </w:r>
      <w:proofErr w:type="spellEnd"/>
      <w:r w:rsidRPr="00E57208">
        <w:rPr>
          <w:rFonts w:ascii="Garamond" w:hAnsi="Garamond"/>
          <w:sz w:val="24"/>
          <w:szCs w:val="24"/>
        </w:rPr>
        <w:t xml:space="preserve"> e afatit. Së fundi, duke u nisur nga sjellja e autoriteteve, veprimet dhe mosveprimet e të cilave kanë shkaktuar </w:t>
      </w:r>
      <w:proofErr w:type="spellStart"/>
      <w:r w:rsidRPr="00E57208">
        <w:rPr>
          <w:rFonts w:ascii="Garamond" w:hAnsi="Garamond"/>
          <w:sz w:val="24"/>
          <w:szCs w:val="24"/>
        </w:rPr>
        <w:t>tejzgjatjen</w:t>
      </w:r>
      <w:proofErr w:type="spellEnd"/>
      <w:r w:rsidRPr="00E57208">
        <w:rPr>
          <w:rFonts w:ascii="Garamond" w:hAnsi="Garamond"/>
          <w:sz w:val="24"/>
          <w:szCs w:val="24"/>
        </w:rPr>
        <w:t xml:space="preserve"> e afatit të arsyeshëm, Gjykata vlerëson se ky pretendim i kërkuesit është i bazuar dhe duhet pranuar.</w:t>
      </w:r>
    </w:p>
    <w:p w14:paraId="5DA2FF31" w14:textId="2AC80CF6" w:rsidR="00E57208" w:rsidRPr="00E57208" w:rsidRDefault="00E57208" w:rsidP="00E57208">
      <w:pPr>
        <w:spacing w:after="0" w:line="240" w:lineRule="auto"/>
        <w:ind w:firstLine="284"/>
        <w:jc w:val="both"/>
        <w:rPr>
          <w:rFonts w:ascii="Garamond" w:hAnsi="Garamond"/>
          <w:sz w:val="24"/>
          <w:szCs w:val="24"/>
        </w:rPr>
      </w:pPr>
      <w:r w:rsidRPr="00E57208">
        <w:rPr>
          <w:rFonts w:ascii="Garamond" w:hAnsi="Garamond"/>
          <w:sz w:val="24"/>
          <w:szCs w:val="24"/>
        </w:rPr>
        <w:t xml:space="preserve">63. Si përfundim, bazuar në sa më sipër, Gjykata çmon se në rastin konkret është cenuar e drejta për një proces të rregullt ligjor, si rezultat i </w:t>
      </w:r>
      <w:proofErr w:type="spellStart"/>
      <w:r w:rsidRPr="00E57208">
        <w:rPr>
          <w:rFonts w:ascii="Garamond" w:hAnsi="Garamond"/>
          <w:sz w:val="24"/>
          <w:szCs w:val="24"/>
        </w:rPr>
        <w:t>mosgjykimit</w:t>
      </w:r>
      <w:proofErr w:type="spellEnd"/>
      <w:r w:rsidRPr="00E57208">
        <w:rPr>
          <w:rFonts w:ascii="Garamond" w:hAnsi="Garamond"/>
          <w:sz w:val="24"/>
          <w:szCs w:val="24"/>
        </w:rPr>
        <w:t xml:space="preserve"> të çështjes në Gjykatën e Lartë brenda afatit të arsyeshëm.</w:t>
      </w:r>
    </w:p>
    <w:p w14:paraId="1159B713" w14:textId="003CAD55" w:rsidR="00E57208" w:rsidRDefault="00E57208" w:rsidP="00E57208">
      <w:pPr>
        <w:spacing w:after="0" w:line="240" w:lineRule="auto"/>
        <w:ind w:firstLine="284"/>
        <w:jc w:val="center"/>
        <w:rPr>
          <w:rFonts w:ascii="Garamond" w:hAnsi="Garamond"/>
          <w:bCs/>
          <w:sz w:val="24"/>
          <w:szCs w:val="24"/>
        </w:rPr>
      </w:pPr>
      <w:r w:rsidRPr="009B5270">
        <w:rPr>
          <w:rFonts w:ascii="Garamond" w:hAnsi="Garamond"/>
          <w:bCs/>
          <w:sz w:val="24"/>
          <w:szCs w:val="24"/>
        </w:rPr>
        <w:t>PËR KËTO ARSYE,</w:t>
      </w:r>
    </w:p>
    <w:p w14:paraId="44B212AB" w14:textId="77777777" w:rsidR="009B5270" w:rsidRPr="009B5270" w:rsidRDefault="009B5270" w:rsidP="00E57208">
      <w:pPr>
        <w:spacing w:after="0" w:line="240" w:lineRule="auto"/>
        <w:ind w:firstLine="284"/>
        <w:jc w:val="center"/>
        <w:rPr>
          <w:rFonts w:ascii="Garamond" w:hAnsi="Garamond"/>
          <w:sz w:val="24"/>
          <w:szCs w:val="24"/>
        </w:rPr>
      </w:pPr>
    </w:p>
    <w:p w14:paraId="39D11338" w14:textId="34B187CB" w:rsidR="00E57208" w:rsidRPr="00E57208" w:rsidRDefault="00E57208" w:rsidP="00E57208">
      <w:pPr>
        <w:spacing w:after="0" w:line="240" w:lineRule="auto"/>
        <w:ind w:firstLine="284"/>
        <w:jc w:val="both"/>
        <w:rPr>
          <w:rFonts w:ascii="Garamond" w:hAnsi="Garamond"/>
          <w:sz w:val="24"/>
          <w:szCs w:val="24"/>
        </w:rPr>
      </w:pPr>
      <w:r w:rsidRPr="00E57208">
        <w:rPr>
          <w:rFonts w:ascii="Garamond" w:hAnsi="Garamond"/>
          <w:sz w:val="24"/>
          <w:szCs w:val="24"/>
        </w:rPr>
        <w:t xml:space="preserve">Gjykata Kushtetuese e Republikës së Shqipërisë, në mbështetje të neneve 131, pika 1, shkronja “f” dhe 134, pika 1, shkronja “i”, të Kushtetutës, si dhe neneve 71 dhe </w:t>
      </w:r>
      <w:r w:rsidR="007B34AF">
        <w:rPr>
          <w:rFonts w:ascii="Garamond" w:hAnsi="Garamond"/>
          <w:sz w:val="24"/>
          <w:szCs w:val="24"/>
        </w:rPr>
        <w:t>72 të ligjit nr. 8577, datë 10.</w:t>
      </w:r>
      <w:r w:rsidRPr="00E57208">
        <w:rPr>
          <w:rFonts w:ascii="Garamond" w:hAnsi="Garamond"/>
          <w:sz w:val="24"/>
          <w:szCs w:val="24"/>
        </w:rPr>
        <w:t>2.2000</w:t>
      </w:r>
      <w:r w:rsidR="007B34AF">
        <w:rPr>
          <w:rFonts w:ascii="Garamond" w:hAnsi="Garamond"/>
          <w:sz w:val="24"/>
          <w:szCs w:val="24"/>
        </w:rPr>
        <w:t>,</w:t>
      </w:r>
      <w:r w:rsidRPr="00E57208">
        <w:rPr>
          <w:rFonts w:ascii="Garamond" w:hAnsi="Garamond"/>
          <w:sz w:val="24"/>
          <w:szCs w:val="24"/>
        </w:rPr>
        <w:t xml:space="preserve"> “Për organizimin dhe funksionimin e Gjykatës Kushtetuese të Republikës së Shqipërisë”, të ndryshuar, me shumicë votash, </w:t>
      </w:r>
    </w:p>
    <w:p w14:paraId="24DB117B" w14:textId="77777777" w:rsidR="00E57208" w:rsidRPr="00E57208" w:rsidRDefault="00E57208" w:rsidP="00E57208">
      <w:pPr>
        <w:spacing w:after="0" w:line="240" w:lineRule="auto"/>
        <w:ind w:firstLine="284"/>
        <w:jc w:val="center"/>
        <w:rPr>
          <w:rFonts w:ascii="Garamond" w:hAnsi="Garamond"/>
          <w:b/>
          <w:bCs/>
          <w:sz w:val="24"/>
          <w:szCs w:val="24"/>
        </w:rPr>
      </w:pPr>
    </w:p>
    <w:p w14:paraId="30976E60" w14:textId="6220067B" w:rsidR="00E57208" w:rsidRPr="00E57208" w:rsidRDefault="00E57208" w:rsidP="00E57208">
      <w:pPr>
        <w:spacing w:after="0" w:line="240" w:lineRule="auto"/>
        <w:ind w:firstLine="284"/>
        <w:jc w:val="center"/>
        <w:rPr>
          <w:rFonts w:ascii="Garamond" w:hAnsi="Garamond"/>
          <w:bCs/>
          <w:sz w:val="24"/>
          <w:szCs w:val="24"/>
        </w:rPr>
      </w:pPr>
      <w:r w:rsidRPr="00E57208">
        <w:rPr>
          <w:rFonts w:ascii="Garamond" w:hAnsi="Garamond"/>
          <w:bCs/>
          <w:sz w:val="24"/>
          <w:szCs w:val="24"/>
        </w:rPr>
        <w:t>VENDOSI:</w:t>
      </w:r>
    </w:p>
    <w:p w14:paraId="01A57C25" w14:textId="77777777" w:rsidR="00E57208" w:rsidRPr="00E57208" w:rsidRDefault="00E57208" w:rsidP="00E57208">
      <w:pPr>
        <w:spacing w:after="0" w:line="240" w:lineRule="auto"/>
        <w:ind w:firstLine="284"/>
        <w:jc w:val="center"/>
        <w:rPr>
          <w:rFonts w:ascii="Garamond" w:hAnsi="Garamond"/>
          <w:b/>
          <w:bCs/>
          <w:sz w:val="24"/>
          <w:szCs w:val="24"/>
        </w:rPr>
      </w:pPr>
    </w:p>
    <w:p w14:paraId="3C722EAB" w14:textId="32E1C486" w:rsidR="00E57208" w:rsidRPr="00E57208" w:rsidRDefault="00E57208" w:rsidP="00E57208">
      <w:pPr>
        <w:pStyle w:val="ListParagraph"/>
        <w:spacing w:after="0" w:line="240" w:lineRule="auto"/>
        <w:ind w:left="0" w:firstLine="284"/>
        <w:jc w:val="both"/>
        <w:rPr>
          <w:rFonts w:ascii="Garamond" w:hAnsi="Garamond"/>
          <w:sz w:val="24"/>
          <w:szCs w:val="24"/>
        </w:rPr>
      </w:pPr>
      <w:r w:rsidRPr="00E57208">
        <w:rPr>
          <w:rFonts w:ascii="Garamond" w:hAnsi="Garamond"/>
          <w:sz w:val="24"/>
          <w:szCs w:val="24"/>
        </w:rPr>
        <w:t>1.</w:t>
      </w:r>
      <w:r>
        <w:rPr>
          <w:rFonts w:ascii="Garamond" w:hAnsi="Garamond"/>
          <w:sz w:val="24"/>
          <w:szCs w:val="24"/>
        </w:rPr>
        <w:t xml:space="preserve"> </w:t>
      </w:r>
      <w:r w:rsidRPr="00E57208">
        <w:rPr>
          <w:rFonts w:ascii="Garamond" w:hAnsi="Garamond"/>
          <w:sz w:val="24"/>
          <w:szCs w:val="24"/>
        </w:rPr>
        <w:t xml:space="preserve">Pranimin pjesërisht të kërkesës. </w:t>
      </w:r>
    </w:p>
    <w:p w14:paraId="03752F24" w14:textId="3795AC27" w:rsidR="00E57208" w:rsidRPr="00E57208" w:rsidRDefault="00E57208" w:rsidP="00E57208">
      <w:pPr>
        <w:pStyle w:val="ListParagraph"/>
        <w:spacing w:after="0" w:line="240" w:lineRule="auto"/>
        <w:ind w:left="0" w:firstLine="284"/>
        <w:jc w:val="both"/>
        <w:rPr>
          <w:rFonts w:ascii="Garamond" w:hAnsi="Garamond"/>
          <w:sz w:val="24"/>
          <w:szCs w:val="24"/>
        </w:rPr>
      </w:pPr>
      <w:r w:rsidRPr="00E57208">
        <w:rPr>
          <w:rFonts w:ascii="Garamond" w:hAnsi="Garamond"/>
          <w:sz w:val="24"/>
          <w:szCs w:val="24"/>
        </w:rPr>
        <w:t>2.</w:t>
      </w:r>
      <w:r>
        <w:rPr>
          <w:rFonts w:ascii="Garamond" w:hAnsi="Garamond"/>
          <w:sz w:val="24"/>
          <w:szCs w:val="24"/>
        </w:rPr>
        <w:t xml:space="preserve"> </w:t>
      </w:r>
      <w:r w:rsidRPr="00E57208">
        <w:rPr>
          <w:rFonts w:ascii="Garamond" w:hAnsi="Garamond"/>
          <w:sz w:val="24"/>
          <w:szCs w:val="24"/>
        </w:rPr>
        <w:t>Konstatimin e cenimit të së drejtës për gjykim brenda një afati të arsyeshëm.</w:t>
      </w:r>
    </w:p>
    <w:p w14:paraId="419E2376" w14:textId="2CDB55E5" w:rsidR="00E57208" w:rsidRPr="00E57208" w:rsidRDefault="00E57208" w:rsidP="00E57208">
      <w:pPr>
        <w:pStyle w:val="ListParagraph"/>
        <w:spacing w:after="0" w:line="240" w:lineRule="auto"/>
        <w:ind w:left="0" w:firstLine="284"/>
        <w:jc w:val="both"/>
        <w:rPr>
          <w:rFonts w:ascii="Garamond" w:hAnsi="Garamond"/>
          <w:sz w:val="24"/>
          <w:szCs w:val="24"/>
        </w:rPr>
      </w:pPr>
      <w:r w:rsidRPr="00E57208">
        <w:rPr>
          <w:rFonts w:ascii="Garamond" w:hAnsi="Garamond"/>
          <w:sz w:val="24"/>
          <w:szCs w:val="24"/>
        </w:rPr>
        <w:t>3.</w:t>
      </w:r>
      <w:r>
        <w:rPr>
          <w:rFonts w:ascii="Garamond" w:hAnsi="Garamond"/>
          <w:sz w:val="24"/>
          <w:szCs w:val="24"/>
        </w:rPr>
        <w:t xml:space="preserve"> </w:t>
      </w:r>
      <w:r w:rsidRPr="00E57208">
        <w:rPr>
          <w:rFonts w:ascii="Garamond" w:hAnsi="Garamond"/>
          <w:sz w:val="24"/>
          <w:szCs w:val="24"/>
        </w:rPr>
        <w:t>Detyrimin e Gjykatës së Lartë për të gjykuar çështjen brenda 6 muajve nga data e hyrjes në fuqi të këtij vendimi.</w:t>
      </w:r>
    </w:p>
    <w:p w14:paraId="42E1A16B" w14:textId="0B728D20" w:rsidR="00E57208" w:rsidRPr="00E57208" w:rsidRDefault="00E57208" w:rsidP="00E57208">
      <w:pPr>
        <w:pStyle w:val="ListParagraph"/>
        <w:spacing w:after="0" w:line="240" w:lineRule="auto"/>
        <w:ind w:left="0" w:firstLine="284"/>
        <w:jc w:val="both"/>
        <w:rPr>
          <w:rFonts w:ascii="Garamond" w:hAnsi="Garamond"/>
          <w:sz w:val="24"/>
          <w:szCs w:val="24"/>
        </w:rPr>
      </w:pPr>
      <w:r w:rsidRPr="00E57208">
        <w:rPr>
          <w:rFonts w:ascii="Garamond" w:hAnsi="Garamond"/>
          <w:sz w:val="24"/>
          <w:szCs w:val="24"/>
        </w:rPr>
        <w:t>4.</w:t>
      </w:r>
      <w:r>
        <w:rPr>
          <w:rFonts w:ascii="Garamond" w:hAnsi="Garamond"/>
          <w:sz w:val="24"/>
          <w:szCs w:val="24"/>
        </w:rPr>
        <w:t xml:space="preserve"> </w:t>
      </w:r>
      <w:r w:rsidRPr="00E57208">
        <w:rPr>
          <w:rFonts w:ascii="Garamond" w:hAnsi="Garamond"/>
          <w:sz w:val="24"/>
          <w:szCs w:val="24"/>
        </w:rPr>
        <w:t>Rrëzimin e kërkimeve të tjera.</w:t>
      </w:r>
    </w:p>
    <w:p w14:paraId="64FA6DA5" w14:textId="77777777" w:rsidR="00E57208" w:rsidRPr="00E57208" w:rsidRDefault="00E57208" w:rsidP="00E57208">
      <w:pPr>
        <w:spacing w:after="0" w:line="240" w:lineRule="auto"/>
        <w:ind w:firstLine="284"/>
        <w:jc w:val="both"/>
        <w:rPr>
          <w:rFonts w:ascii="Garamond" w:hAnsi="Garamond"/>
          <w:sz w:val="24"/>
          <w:szCs w:val="24"/>
        </w:rPr>
      </w:pPr>
      <w:r w:rsidRPr="00E57208">
        <w:rPr>
          <w:rFonts w:ascii="Garamond" w:hAnsi="Garamond"/>
          <w:sz w:val="24"/>
          <w:szCs w:val="24"/>
        </w:rPr>
        <w:t>Ky vendim është përfundimtar, i formës së prerë dhe hyn në fuqi ditën e botimit në Fletoren Zyrtare.</w:t>
      </w:r>
    </w:p>
    <w:p w14:paraId="0D060070" w14:textId="35585A00" w:rsidR="00E57208" w:rsidRPr="00E57208" w:rsidRDefault="007B34AF" w:rsidP="00E57208">
      <w:pPr>
        <w:tabs>
          <w:tab w:val="left" w:pos="0"/>
        </w:tabs>
        <w:spacing w:after="0" w:line="240" w:lineRule="auto"/>
        <w:ind w:firstLine="284"/>
        <w:jc w:val="both"/>
        <w:rPr>
          <w:rFonts w:ascii="Garamond" w:hAnsi="Garamond"/>
          <w:b/>
          <w:bCs/>
          <w:sz w:val="24"/>
          <w:szCs w:val="24"/>
        </w:rPr>
      </w:pPr>
      <w:r>
        <w:rPr>
          <w:rFonts w:ascii="Garamond" w:hAnsi="Garamond"/>
          <w:b/>
          <w:bCs/>
          <w:sz w:val="24"/>
          <w:szCs w:val="24"/>
        </w:rPr>
        <w:t xml:space="preserve">Marrë më </w:t>
      </w:r>
      <w:r w:rsidR="00E57208" w:rsidRPr="00E57208">
        <w:rPr>
          <w:rFonts w:ascii="Garamond" w:hAnsi="Garamond"/>
          <w:b/>
          <w:bCs/>
          <w:sz w:val="24"/>
          <w:szCs w:val="24"/>
        </w:rPr>
        <w:t>1.11.2021</w:t>
      </w:r>
      <w:r>
        <w:rPr>
          <w:rFonts w:ascii="Garamond" w:hAnsi="Garamond"/>
          <w:b/>
          <w:bCs/>
          <w:sz w:val="24"/>
          <w:szCs w:val="24"/>
        </w:rPr>
        <w:t>.</w:t>
      </w:r>
    </w:p>
    <w:p w14:paraId="3A4B8FF2" w14:textId="24CB756F" w:rsidR="00E57208" w:rsidRDefault="007B34AF" w:rsidP="00E57208">
      <w:pPr>
        <w:spacing w:after="0" w:line="240" w:lineRule="auto"/>
        <w:ind w:firstLine="284"/>
        <w:rPr>
          <w:rFonts w:ascii="Garamond" w:hAnsi="Garamond"/>
          <w:b/>
          <w:bCs/>
          <w:sz w:val="24"/>
          <w:szCs w:val="24"/>
        </w:rPr>
      </w:pPr>
      <w:r>
        <w:rPr>
          <w:rFonts w:ascii="Garamond" w:hAnsi="Garamond"/>
          <w:b/>
          <w:bCs/>
          <w:sz w:val="24"/>
          <w:szCs w:val="24"/>
        </w:rPr>
        <w:t xml:space="preserve">Shpallur më </w:t>
      </w:r>
      <w:r w:rsidR="00E57208" w:rsidRPr="00E57208">
        <w:rPr>
          <w:rFonts w:ascii="Garamond" w:hAnsi="Garamond"/>
          <w:b/>
          <w:bCs/>
          <w:sz w:val="24"/>
          <w:szCs w:val="24"/>
        </w:rPr>
        <w:t>1.12.2021</w:t>
      </w:r>
      <w:r>
        <w:rPr>
          <w:rFonts w:ascii="Garamond" w:hAnsi="Garamond"/>
          <w:b/>
          <w:bCs/>
          <w:sz w:val="24"/>
          <w:szCs w:val="24"/>
        </w:rPr>
        <w:t>.</w:t>
      </w:r>
    </w:p>
    <w:p w14:paraId="2C64EB8E" w14:textId="77777777" w:rsidR="007B34AF" w:rsidRPr="007B34AF" w:rsidRDefault="007B34AF" w:rsidP="00E57208">
      <w:pPr>
        <w:spacing w:after="0" w:line="240" w:lineRule="auto"/>
        <w:ind w:firstLine="284"/>
        <w:rPr>
          <w:rFonts w:ascii="Garamond" w:hAnsi="Garamond"/>
          <w:bCs/>
          <w:sz w:val="24"/>
          <w:szCs w:val="24"/>
        </w:rPr>
      </w:pPr>
    </w:p>
    <w:p w14:paraId="464F7997" w14:textId="27E8E6A0" w:rsidR="007B34AF" w:rsidRPr="007B34AF" w:rsidRDefault="007B34AF" w:rsidP="00E57208">
      <w:pPr>
        <w:spacing w:after="0" w:line="240" w:lineRule="auto"/>
        <w:ind w:firstLine="284"/>
        <w:rPr>
          <w:rFonts w:ascii="Garamond" w:hAnsi="Garamond"/>
          <w:bCs/>
          <w:sz w:val="24"/>
          <w:szCs w:val="24"/>
        </w:rPr>
      </w:pPr>
      <w:r w:rsidRPr="007B34AF">
        <w:rPr>
          <w:rFonts w:ascii="Garamond" w:hAnsi="Garamond"/>
          <w:bCs/>
          <w:sz w:val="24"/>
          <w:szCs w:val="24"/>
        </w:rPr>
        <w:t xml:space="preserve">Kryetare: </w:t>
      </w:r>
      <w:r w:rsidRPr="007B34AF">
        <w:rPr>
          <w:rFonts w:ascii="Garamond" w:hAnsi="Garamond"/>
          <w:bCs/>
          <w:sz w:val="24"/>
          <w:szCs w:val="24"/>
        </w:rPr>
        <w:t>Vitore Tusha</w:t>
      </w:r>
    </w:p>
    <w:p w14:paraId="36AD8452" w14:textId="18966CFB" w:rsidR="007B34AF" w:rsidRPr="007B34AF" w:rsidRDefault="007B34AF" w:rsidP="00E57208">
      <w:pPr>
        <w:spacing w:after="0" w:line="240" w:lineRule="auto"/>
        <w:ind w:firstLine="284"/>
        <w:rPr>
          <w:rFonts w:ascii="Garamond" w:hAnsi="Garamond"/>
          <w:bCs/>
          <w:sz w:val="24"/>
          <w:szCs w:val="24"/>
        </w:rPr>
      </w:pPr>
      <w:r w:rsidRPr="007B34AF">
        <w:rPr>
          <w:rFonts w:ascii="Garamond" w:hAnsi="Garamond"/>
          <w:bCs/>
          <w:sz w:val="24"/>
          <w:szCs w:val="24"/>
        </w:rPr>
        <w:t xml:space="preserve">Anëtarë pro: </w:t>
      </w:r>
      <w:proofErr w:type="spellStart"/>
      <w:r w:rsidRPr="007B34AF">
        <w:rPr>
          <w:rFonts w:ascii="Garamond" w:hAnsi="Garamond"/>
          <w:bCs/>
          <w:sz w:val="24"/>
          <w:szCs w:val="24"/>
        </w:rPr>
        <w:t>Marsida</w:t>
      </w:r>
      <w:proofErr w:type="spellEnd"/>
      <w:r w:rsidRPr="007B34AF">
        <w:rPr>
          <w:rFonts w:ascii="Garamond" w:hAnsi="Garamond"/>
          <w:bCs/>
          <w:sz w:val="24"/>
          <w:szCs w:val="24"/>
        </w:rPr>
        <w:t xml:space="preserve"> </w:t>
      </w:r>
      <w:proofErr w:type="spellStart"/>
      <w:r w:rsidRPr="007B34AF">
        <w:rPr>
          <w:rFonts w:ascii="Garamond" w:hAnsi="Garamond"/>
          <w:bCs/>
          <w:sz w:val="24"/>
          <w:szCs w:val="24"/>
        </w:rPr>
        <w:t>Xhaferllari</w:t>
      </w:r>
      <w:proofErr w:type="spellEnd"/>
      <w:r w:rsidRPr="007B34AF">
        <w:rPr>
          <w:rFonts w:ascii="Garamond" w:hAnsi="Garamond"/>
          <w:bCs/>
          <w:sz w:val="24"/>
          <w:szCs w:val="24"/>
        </w:rPr>
        <w:t xml:space="preserve">, </w:t>
      </w:r>
      <w:proofErr w:type="spellStart"/>
      <w:r w:rsidRPr="007B34AF">
        <w:rPr>
          <w:rFonts w:ascii="Garamond" w:hAnsi="Garamond"/>
          <w:bCs/>
          <w:sz w:val="24"/>
          <w:szCs w:val="24"/>
        </w:rPr>
        <w:t>Elsa</w:t>
      </w:r>
      <w:proofErr w:type="spellEnd"/>
      <w:r w:rsidRPr="007B34AF">
        <w:rPr>
          <w:rFonts w:ascii="Garamond" w:hAnsi="Garamond"/>
          <w:bCs/>
          <w:sz w:val="24"/>
          <w:szCs w:val="24"/>
        </w:rPr>
        <w:t xml:space="preserve"> Toska</w:t>
      </w:r>
      <w:r w:rsidRPr="007B34AF">
        <w:rPr>
          <w:rFonts w:ascii="Garamond" w:hAnsi="Garamond"/>
          <w:bCs/>
          <w:sz w:val="24"/>
          <w:szCs w:val="24"/>
        </w:rPr>
        <w:t xml:space="preserve">, </w:t>
      </w:r>
      <w:proofErr w:type="spellStart"/>
      <w:r w:rsidRPr="007B34AF">
        <w:rPr>
          <w:rFonts w:ascii="Garamond" w:hAnsi="Garamond"/>
          <w:bCs/>
          <w:sz w:val="24"/>
          <w:szCs w:val="24"/>
        </w:rPr>
        <w:t>Fiona</w:t>
      </w:r>
      <w:proofErr w:type="spellEnd"/>
      <w:r w:rsidRPr="007B34AF">
        <w:rPr>
          <w:rFonts w:ascii="Garamond" w:hAnsi="Garamond"/>
          <w:bCs/>
          <w:sz w:val="24"/>
          <w:szCs w:val="24"/>
        </w:rPr>
        <w:t xml:space="preserve"> </w:t>
      </w:r>
      <w:proofErr w:type="spellStart"/>
      <w:r w:rsidRPr="007B34AF">
        <w:rPr>
          <w:rFonts w:ascii="Garamond" w:hAnsi="Garamond"/>
          <w:bCs/>
          <w:sz w:val="24"/>
          <w:szCs w:val="24"/>
        </w:rPr>
        <w:t>Papajorgji</w:t>
      </w:r>
      <w:proofErr w:type="spellEnd"/>
      <w:r w:rsidRPr="007B34AF">
        <w:rPr>
          <w:rFonts w:ascii="Garamond" w:hAnsi="Garamond"/>
          <w:bCs/>
          <w:sz w:val="24"/>
          <w:szCs w:val="24"/>
        </w:rPr>
        <w:t xml:space="preserve">, </w:t>
      </w:r>
      <w:r w:rsidRPr="007B34AF">
        <w:rPr>
          <w:rFonts w:ascii="Garamond" w:hAnsi="Garamond"/>
          <w:bCs/>
          <w:sz w:val="24"/>
          <w:szCs w:val="24"/>
        </w:rPr>
        <w:t>Përparim Kalo</w:t>
      </w:r>
      <w:r w:rsidRPr="007B34AF">
        <w:rPr>
          <w:rFonts w:ascii="Garamond" w:hAnsi="Garamond"/>
          <w:bCs/>
          <w:sz w:val="24"/>
          <w:szCs w:val="24"/>
        </w:rPr>
        <w:t xml:space="preserve">, </w:t>
      </w:r>
      <w:proofErr w:type="spellStart"/>
      <w:r w:rsidRPr="007B34AF">
        <w:rPr>
          <w:rFonts w:ascii="Garamond" w:hAnsi="Garamond"/>
          <w:bCs/>
          <w:sz w:val="24"/>
          <w:szCs w:val="24"/>
        </w:rPr>
        <w:t>Sonila</w:t>
      </w:r>
      <w:proofErr w:type="spellEnd"/>
      <w:r w:rsidRPr="007B34AF">
        <w:rPr>
          <w:rFonts w:ascii="Garamond" w:hAnsi="Garamond"/>
          <w:bCs/>
          <w:sz w:val="24"/>
          <w:szCs w:val="24"/>
        </w:rPr>
        <w:t xml:space="preserve"> Bejtja</w:t>
      </w:r>
    </w:p>
    <w:p w14:paraId="4479645C" w14:textId="6567C723" w:rsidR="007B34AF" w:rsidRPr="007B34AF" w:rsidRDefault="007B34AF" w:rsidP="007B34AF">
      <w:pPr>
        <w:spacing w:after="0" w:line="240" w:lineRule="auto"/>
        <w:ind w:firstLine="284"/>
        <w:rPr>
          <w:rFonts w:ascii="Garamond" w:hAnsi="Garamond"/>
          <w:sz w:val="24"/>
          <w:szCs w:val="24"/>
        </w:rPr>
      </w:pPr>
      <w:r w:rsidRPr="007B34AF">
        <w:rPr>
          <w:rFonts w:ascii="Garamond" w:hAnsi="Garamond"/>
          <w:bCs/>
          <w:sz w:val="24"/>
          <w:szCs w:val="24"/>
        </w:rPr>
        <w:t xml:space="preserve">Anëtarë </w:t>
      </w:r>
      <w:r w:rsidRPr="007B34AF">
        <w:rPr>
          <w:rFonts w:ascii="Garamond" w:hAnsi="Garamond"/>
          <w:bCs/>
          <w:sz w:val="24"/>
          <w:szCs w:val="24"/>
        </w:rPr>
        <w:t>kundër</w:t>
      </w:r>
      <w:r w:rsidRPr="007B34AF">
        <w:rPr>
          <w:rFonts w:ascii="Garamond" w:hAnsi="Garamond"/>
          <w:bCs/>
          <w:sz w:val="24"/>
          <w:szCs w:val="24"/>
        </w:rPr>
        <w:t>:</w:t>
      </w:r>
      <w:r w:rsidRPr="007B34AF">
        <w:rPr>
          <w:rFonts w:ascii="Garamond" w:hAnsi="Garamond"/>
          <w:bCs/>
          <w:sz w:val="24"/>
          <w:szCs w:val="24"/>
        </w:rPr>
        <w:t xml:space="preserve"> </w:t>
      </w:r>
      <w:r w:rsidRPr="007B34AF">
        <w:rPr>
          <w:rFonts w:ascii="Garamond" w:hAnsi="Garamond"/>
          <w:bCs/>
          <w:sz w:val="24"/>
          <w:szCs w:val="24"/>
        </w:rPr>
        <w:t xml:space="preserve">Altin </w:t>
      </w:r>
      <w:proofErr w:type="spellStart"/>
      <w:r w:rsidRPr="007B34AF">
        <w:rPr>
          <w:rFonts w:ascii="Garamond" w:hAnsi="Garamond"/>
          <w:bCs/>
          <w:sz w:val="24"/>
          <w:szCs w:val="24"/>
        </w:rPr>
        <w:t>Binaj</w:t>
      </w:r>
      <w:proofErr w:type="spellEnd"/>
    </w:p>
    <w:p w14:paraId="34B95186" w14:textId="77777777" w:rsidR="007B34AF" w:rsidRPr="00E57208" w:rsidRDefault="007B34AF" w:rsidP="00E57208">
      <w:pPr>
        <w:spacing w:after="0" w:line="240" w:lineRule="auto"/>
        <w:ind w:firstLine="284"/>
        <w:rPr>
          <w:rFonts w:ascii="Garamond" w:hAnsi="Garamond"/>
          <w:sz w:val="24"/>
          <w:szCs w:val="24"/>
        </w:rPr>
      </w:pPr>
    </w:p>
    <w:p w14:paraId="46B9DFF6" w14:textId="1572FF88" w:rsidR="00E57208" w:rsidRDefault="00E57208" w:rsidP="00E57208">
      <w:pPr>
        <w:spacing w:after="0" w:line="240" w:lineRule="auto"/>
        <w:ind w:firstLine="284"/>
        <w:jc w:val="center"/>
        <w:rPr>
          <w:rFonts w:ascii="Garamond" w:hAnsi="Garamond"/>
          <w:b/>
          <w:bCs/>
          <w:sz w:val="24"/>
          <w:szCs w:val="24"/>
        </w:rPr>
      </w:pPr>
      <w:r w:rsidRPr="00E57208">
        <w:rPr>
          <w:rFonts w:ascii="Garamond" w:hAnsi="Garamond"/>
          <w:b/>
          <w:bCs/>
          <w:sz w:val="24"/>
          <w:szCs w:val="24"/>
        </w:rPr>
        <w:t>MENDIM PAKICE</w:t>
      </w:r>
    </w:p>
    <w:p w14:paraId="6FAC54F7" w14:textId="77777777" w:rsidR="00474944" w:rsidRPr="00E57208" w:rsidRDefault="00474944" w:rsidP="00E57208">
      <w:pPr>
        <w:spacing w:after="0" w:line="240" w:lineRule="auto"/>
        <w:ind w:firstLine="284"/>
        <w:jc w:val="center"/>
        <w:rPr>
          <w:rFonts w:ascii="Garamond" w:hAnsi="Garamond"/>
          <w:b/>
          <w:bCs/>
          <w:sz w:val="24"/>
          <w:szCs w:val="24"/>
        </w:rPr>
      </w:pPr>
    </w:p>
    <w:p w14:paraId="7FC77616" w14:textId="097DEFF2" w:rsidR="00E57208" w:rsidRPr="00E57208" w:rsidRDefault="00E57208" w:rsidP="00E57208">
      <w:pPr>
        <w:tabs>
          <w:tab w:val="left" w:pos="1080"/>
        </w:tabs>
        <w:spacing w:after="0" w:line="240" w:lineRule="auto"/>
        <w:ind w:firstLine="284"/>
        <w:jc w:val="both"/>
        <w:rPr>
          <w:rFonts w:ascii="Garamond" w:hAnsi="Garamond"/>
          <w:sz w:val="24"/>
          <w:szCs w:val="24"/>
        </w:rPr>
      </w:pPr>
      <w:r w:rsidRPr="00E57208">
        <w:rPr>
          <w:rFonts w:ascii="Garamond" w:hAnsi="Garamond"/>
          <w:sz w:val="24"/>
          <w:szCs w:val="24"/>
        </w:rPr>
        <w:t>1.</w:t>
      </w:r>
      <w:r>
        <w:rPr>
          <w:rFonts w:ascii="Garamond" w:hAnsi="Garamond"/>
          <w:sz w:val="24"/>
          <w:szCs w:val="24"/>
        </w:rPr>
        <w:t xml:space="preserve"> </w:t>
      </w:r>
      <w:r w:rsidRPr="00E57208">
        <w:rPr>
          <w:rFonts w:ascii="Garamond" w:hAnsi="Garamond"/>
          <w:sz w:val="24"/>
          <w:szCs w:val="24"/>
        </w:rPr>
        <w:t xml:space="preserve">Në gjykimin kushtetues të çështjes me kërkues shtetasin </w:t>
      </w:r>
      <w:proofErr w:type="spellStart"/>
      <w:r w:rsidRPr="00E57208">
        <w:rPr>
          <w:rFonts w:ascii="Garamond" w:hAnsi="Garamond"/>
          <w:sz w:val="24"/>
          <w:szCs w:val="24"/>
        </w:rPr>
        <w:t>Selman</w:t>
      </w:r>
      <w:proofErr w:type="spellEnd"/>
      <w:r w:rsidRPr="00E57208">
        <w:rPr>
          <w:rFonts w:ascii="Garamond" w:hAnsi="Garamond"/>
          <w:sz w:val="24"/>
          <w:szCs w:val="24"/>
        </w:rPr>
        <w:t xml:space="preserve"> </w:t>
      </w:r>
      <w:proofErr w:type="spellStart"/>
      <w:r w:rsidRPr="00E57208">
        <w:rPr>
          <w:rFonts w:ascii="Garamond" w:hAnsi="Garamond"/>
          <w:sz w:val="24"/>
          <w:szCs w:val="24"/>
        </w:rPr>
        <w:t>Gazidedja</w:t>
      </w:r>
      <w:proofErr w:type="spellEnd"/>
      <w:r w:rsidRPr="00E57208">
        <w:rPr>
          <w:rFonts w:ascii="Garamond" w:hAnsi="Garamond"/>
          <w:sz w:val="24"/>
          <w:szCs w:val="24"/>
        </w:rPr>
        <w:t xml:space="preserve">, jam kundër qëndrimit të shumicës për pranimin pjesërisht të kërkesës, pasi vlerësoj se kërkuesi nuk i ka shteruar mjetet juridike efektive në dispozicion përpara se t’i drejtohej Gjykatës dhe, për rrjedhojë, në kushtet e </w:t>
      </w:r>
      <w:proofErr w:type="spellStart"/>
      <w:r w:rsidRPr="00E57208">
        <w:rPr>
          <w:rFonts w:ascii="Garamond" w:hAnsi="Garamond"/>
          <w:sz w:val="24"/>
          <w:szCs w:val="24"/>
        </w:rPr>
        <w:t>mospërmbushjes</w:t>
      </w:r>
      <w:proofErr w:type="spellEnd"/>
      <w:r w:rsidRPr="00E57208">
        <w:rPr>
          <w:rFonts w:ascii="Garamond" w:hAnsi="Garamond"/>
          <w:sz w:val="24"/>
          <w:szCs w:val="24"/>
        </w:rPr>
        <w:t xml:space="preserve"> së këtij kriteri të legjitimimit, kërkesa e tij duhej të rrëzohej. Për këtë arsye, bazuar në nenin 132, pika 3, të Kushtetutës dhe nenin 72, pika 8, të ligjit nr. 8577/2000, që parashikojnë publikimin e mendimit të pakicës së bashku me vendimin përfundimtar, në vijim po parashtroj argumentet që mbështesin qëndrimin e mësipërm. </w:t>
      </w:r>
    </w:p>
    <w:p w14:paraId="220A2879" w14:textId="77777777" w:rsidR="00E57208" w:rsidRPr="00E57208" w:rsidRDefault="00E57208" w:rsidP="00E57208">
      <w:pPr>
        <w:spacing w:after="0" w:line="240" w:lineRule="auto"/>
        <w:ind w:firstLine="284"/>
        <w:jc w:val="both"/>
        <w:rPr>
          <w:rFonts w:ascii="Garamond" w:hAnsi="Garamond"/>
          <w:sz w:val="24"/>
          <w:szCs w:val="24"/>
        </w:rPr>
      </w:pPr>
      <w:r w:rsidRPr="00E57208">
        <w:rPr>
          <w:rFonts w:ascii="Garamond" w:hAnsi="Garamond"/>
          <w:sz w:val="24"/>
          <w:szCs w:val="24"/>
        </w:rPr>
        <w:t xml:space="preserve">2.  Sikurse u përmend edhe më sipër, pakica vlerëson se kërkuesi nuk legjitimohet t’i drejtohet Gjykatës, për shkak se ai nuk i ka shteruar më parë të gjitha mjetet juridike efektive që ka në dispozicion nga legjislacioni shqiptar. </w:t>
      </w:r>
    </w:p>
    <w:p w14:paraId="77FBF5C5" w14:textId="6F05B95A" w:rsidR="00E57208" w:rsidRPr="00E57208" w:rsidRDefault="00E57208" w:rsidP="00E57208">
      <w:pPr>
        <w:tabs>
          <w:tab w:val="left" w:pos="1080"/>
        </w:tabs>
        <w:spacing w:after="0" w:line="240" w:lineRule="auto"/>
        <w:ind w:firstLine="284"/>
        <w:jc w:val="both"/>
        <w:rPr>
          <w:rFonts w:ascii="Garamond" w:hAnsi="Garamond"/>
          <w:sz w:val="24"/>
          <w:szCs w:val="24"/>
        </w:rPr>
      </w:pPr>
      <w:r w:rsidRPr="00E57208">
        <w:rPr>
          <w:rFonts w:ascii="Garamond" w:hAnsi="Garamond"/>
          <w:sz w:val="24"/>
          <w:szCs w:val="24"/>
        </w:rPr>
        <w:t>3.</w:t>
      </w:r>
      <w:r>
        <w:rPr>
          <w:rFonts w:ascii="Garamond" w:hAnsi="Garamond"/>
          <w:sz w:val="24"/>
          <w:szCs w:val="24"/>
        </w:rPr>
        <w:t xml:space="preserve"> </w:t>
      </w:r>
      <w:r w:rsidRPr="00E57208">
        <w:rPr>
          <w:rFonts w:ascii="Garamond" w:hAnsi="Garamond"/>
          <w:sz w:val="24"/>
          <w:szCs w:val="24"/>
        </w:rPr>
        <w:t xml:space="preserve"> Ashtu si me të drejtë ka theksuar edhe shumica, çështja e legjitimimit </w:t>
      </w:r>
      <w:r w:rsidRPr="00E57208">
        <w:rPr>
          <w:rFonts w:ascii="Garamond" w:hAnsi="Garamond"/>
          <w:i/>
          <w:iCs/>
          <w:sz w:val="24"/>
          <w:szCs w:val="24"/>
        </w:rPr>
        <w:t>(</w:t>
      </w:r>
      <w:proofErr w:type="spellStart"/>
      <w:r w:rsidRPr="00E57208">
        <w:rPr>
          <w:rFonts w:ascii="Garamond" w:hAnsi="Garamond"/>
          <w:i/>
          <w:iCs/>
          <w:sz w:val="24"/>
          <w:szCs w:val="24"/>
        </w:rPr>
        <w:t>locus</w:t>
      </w:r>
      <w:proofErr w:type="spellEnd"/>
      <w:r w:rsidRPr="00E57208">
        <w:rPr>
          <w:rFonts w:ascii="Garamond" w:hAnsi="Garamond"/>
          <w:i/>
          <w:iCs/>
          <w:sz w:val="24"/>
          <w:szCs w:val="24"/>
        </w:rPr>
        <w:t xml:space="preserve"> </w:t>
      </w:r>
      <w:proofErr w:type="spellStart"/>
      <w:r w:rsidRPr="00E57208">
        <w:rPr>
          <w:rFonts w:ascii="Garamond" w:hAnsi="Garamond"/>
          <w:i/>
          <w:iCs/>
          <w:sz w:val="24"/>
          <w:szCs w:val="24"/>
        </w:rPr>
        <w:t>standi</w:t>
      </w:r>
      <w:proofErr w:type="spellEnd"/>
      <w:r w:rsidRPr="00E57208">
        <w:rPr>
          <w:rFonts w:ascii="Garamond" w:hAnsi="Garamond"/>
          <w:i/>
          <w:iCs/>
          <w:sz w:val="24"/>
          <w:szCs w:val="24"/>
        </w:rPr>
        <w:t>)</w:t>
      </w:r>
      <w:r w:rsidRPr="00E57208">
        <w:rPr>
          <w:rFonts w:ascii="Garamond" w:hAnsi="Garamond"/>
          <w:sz w:val="24"/>
          <w:szCs w:val="24"/>
        </w:rPr>
        <w:t xml:space="preserve"> është vlerësuar nga Gjykata si një ndër aspektet kryesore që lidhet me inicimin e një procesi kushtetues. Sipas neneve 131, pika 1, shkronja “f” dhe 134, pika 1, shkronja “i” dhe pika 2, të Kushtetutës, si dhe nenit 71</w:t>
      </w:r>
      <w:r w:rsidR="00E77F00">
        <w:rPr>
          <w:rFonts w:ascii="Garamond" w:hAnsi="Garamond"/>
          <w:sz w:val="24"/>
          <w:szCs w:val="24"/>
        </w:rPr>
        <w:t>,</w:t>
      </w:r>
      <w:r w:rsidRPr="00E57208">
        <w:rPr>
          <w:rFonts w:ascii="Garamond" w:hAnsi="Garamond"/>
          <w:sz w:val="24"/>
          <w:szCs w:val="24"/>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w:t>
      </w:r>
    </w:p>
    <w:p w14:paraId="18106C66" w14:textId="06E90519" w:rsidR="00E57208" w:rsidRPr="00E57208" w:rsidRDefault="00E57208" w:rsidP="00E57208">
      <w:pPr>
        <w:tabs>
          <w:tab w:val="left" w:pos="1080"/>
        </w:tabs>
        <w:spacing w:after="0" w:line="240" w:lineRule="auto"/>
        <w:ind w:firstLine="284"/>
        <w:jc w:val="both"/>
        <w:rPr>
          <w:rFonts w:ascii="Garamond" w:hAnsi="Garamond"/>
          <w:sz w:val="24"/>
          <w:szCs w:val="24"/>
        </w:rPr>
      </w:pPr>
      <w:r w:rsidRPr="00E57208">
        <w:rPr>
          <w:rFonts w:ascii="Garamond" w:hAnsi="Garamond"/>
          <w:sz w:val="24"/>
          <w:szCs w:val="24"/>
        </w:rPr>
        <w:t>4.</w:t>
      </w:r>
      <w:r>
        <w:rPr>
          <w:rFonts w:ascii="Garamond" w:hAnsi="Garamond"/>
          <w:sz w:val="24"/>
          <w:szCs w:val="24"/>
        </w:rPr>
        <w:t xml:space="preserve"> </w:t>
      </w:r>
      <w:r w:rsidRPr="00E57208">
        <w:rPr>
          <w:rFonts w:ascii="Garamond" w:hAnsi="Garamond"/>
          <w:sz w:val="24"/>
          <w:szCs w:val="24"/>
        </w:rPr>
        <w:t xml:space="preserve">Ankimi kushtetues individual, në çdo rast, duhet të plotësojë kriteret e nenit 71/a të ligjit nr. 8577/2000, që lidhen me shterimin e mjeteve juridike, afatin e paraqitjes së kërkesës, pasojat negative të pësuara në mënyrë të drejtpërdrejtë e reale, si dhe mundësinë për rivendosjen në vend të së drejtës së shkelur të individit. </w:t>
      </w:r>
    </w:p>
    <w:p w14:paraId="491B32D6" w14:textId="7887E72F" w:rsidR="00E57208" w:rsidRPr="00E57208" w:rsidRDefault="00E57208" w:rsidP="00E57208">
      <w:pPr>
        <w:tabs>
          <w:tab w:val="left" w:pos="1080"/>
        </w:tabs>
        <w:spacing w:after="0" w:line="240" w:lineRule="auto"/>
        <w:ind w:firstLine="284"/>
        <w:jc w:val="both"/>
        <w:rPr>
          <w:rFonts w:ascii="Garamond" w:hAnsi="Garamond"/>
          <w:sz w:val="24"/>
          <w:szCs w:val="24"/>
        </w:rPr>
      </w:pPr>
      <w:r w:rsidRPr="00E57208">
        <w:rPr>
          <w:rFonts w:ascii="Garamond" w:hAnsi="Garamond"/>
          <w:sz w:val="24"/>
          <w:szCs w:val="24"/>
        </w:rPr>
        <w:t>5.</w:t>
      </w:r>
      <w:r>
        <w:rPr>
          <w:rFonts w:ascii="Garamond" w:hAnsi="Garamond"/>
          <w:sz w:val="24"/>
          <w:szCs w:val="24"/>
        </w:rPr>
        <w:t xml:space="preserve"> </w:t>
      </w:r>
      <w:r w:rsidRPr="00E57208">
        <w:rPr>
          <w:rFonts w:ascii="Garamond" w:hAnsi="Garamond"/>
          <w:sz w:val="24"/>
          <w:szCs w:val="24"/>
        </w:rPr>
        <w:t xml:space="preserve">Në kuptim të sa më sipër, një nga kriteret paraprake që duhet të përmbushet nga individi përpara se t’i drejtohet Gjykatës lidhet me </w:t>
      </w:r>
      <w:r w:rsidRPr="00E57208">
        <w:rPr>
          <w:rFonts w:ascii="Garamond" w:hAnsi="Garamond"/>
          <w:i/>
          <w:iCs/>
          <w:sz w:val="24"/>
          <w:szCs w:val="24"/>
        </w:rPr>
        <w:t>shterimin e mjeteve  juridike efektive</w:t>
      </w:r>
      <w:r w:rsidRPr="00E57208">
        <w:rPr>
          <w:rFonts w:ascii="Garamond" w:hAnsi="Garamond"/>
          <w:sz w:val="24"/>
          <w:szCs w:val="24"/>
        </w:rPr>
        <w:t>, që përcaktohet nga nenet 131, pika 1, shkronja “f” dhe 134, pika 1, shkronja “i”, të Kushtetutës, si dhe neni 71/a, pika 1, shkronja “a”, i ligjit nr. 8577/2000. Ky rregull nënkupton që kërkuesi duhet të shfrytëzojë në rrugë normale mjetet juridike, të cilat janë të përshtatshme, të disponueshme dhe të frytshme për një çështje konkrete</w:t>
      </w:r>
      <w:r w:rsidRPr="00E57208">
        <w:rPr>
          <w:rFonts w:ascii="Garamond" w:hAnsi="Garamond"/>
          <w:i/>
          <w:iCs/>
          <w:sz w:val="24"/>
          <w:szCs w:val="24"/>
        </w:rPr>
        <w:t>.</w:t>
      </w:r>
      <w:r w:rsidRPr="00E57208">
        <w:rPr>
          <w:rFonts w:ascii="Garamond" w:hAnsi="Garamond"/>
          <w:sz w:val="24"/>
          <w:szCs w:val="24"/>
        </w:rPr>
        <w:t xml:space="preserve"> Shterimi i mjeteve përbën parakusht që duhet përmbushur nga kërkuesi, i cili, para se t’i drejtohet Gjykatës duhet të vërtetojë se i ka përdorur të gjitha mjetet juridike të njohura nga ligji dhe të mjaftueshme për të rivendosur të drejtat e shkelura. Mjetet juridike shterojnë kur në varësi të rrethanave të çështjes rregullat procedurale nuk parashikojnë mjete të tjera ankimi (</w:t>
      </w:r>
      <w:r w:rsidR="00E77F00">
        <w:rPr>
          <w:rFonts w:ascii="Garamond" w:hAnsi="Garamond"/>
          <w:i/>
          <w:iCs/>
          <w:sz w:val="24"/>
          <w:szCs w:val="24"/>
        </w:rPr>
        <w:t>shih vendimin nr. 38, datë 25.</w:t>
      </w:r>
      <w:r w:rsidRPr="00E57208">
        <w:rPr>
          <w:rFonts w:ascii="Garamond" w:hAnsi="Garamond"/>
          <w:i/>
          <w:iCs/>
          <w:sz w:val="24"/>
          <w:szCs w:val="24"/>
        </w:rPr>
        <w:t>4.2017</w:t>
      </w:r>
      <w:r w:rsidR="00986243">
        <w:rPr>
          <w:rFonts w:ascii="Garamond" w:hAnsi="Garamond"/>
          <w:i/>
          <w:iCs/>
          <w:sz w:val="24"/>
          <w:szCs w:val="24"/>
        </w:rPr>
        <w:t>,</w:t>
      </w:r>
      <w:r w:rsidRPr="00E57208">
        <w:rPr>
          <w:rFonts w:ascii="Garamond" w:hAnsi="Garamond"/>
          <w:i/>
          <w:iCs/>
          <w:sz w:val="24"/>
          <w:szCs w:val="24"/>
        </w:rPr>
        <w:t xml:space="preserve"> të Gjykatës Kushtetuese</w:t>
      </w:r>
      <w:r w:rsidRPr="00E57208">
        <w:rPr>
          <w:rFonts w:ascii="Garamond" w:hAnsi="Garamond"/>
          <w:sz w:val="24"/>
          <w:szCs w:val="24"/>
        </w:rPr>
        <w:t xml:space="preserve">).  </w:t>
      </w:r>
    </w:p>
    <w:p w14:paraId="337A14E8" w14:textId="613AC2C7" w:rsidR="00E57208" w:rsidRPr="00E57208" w:rsidRDefault="00E57208" w:rsidP="00E57208">
      <w:pPr>
        <w:tabs>
          <w:tab w:val="left" w:pos="1080"/>
        </w:tabs>
        <w:spacing w:after="0" w:line="240" w:lineRule="auto"/>
        <w:ind w:firstLine="284"/>
        <w:jc w:val="both"/>
        <w:rPr>
          <w:rFonts w:ascii="Garamond" w:hAnsi="Garamond"/>
          <w:sz w:val="24"/>
          <w:szCs w:val="24"/>
        </w:rPr>
      </w:pPr>
      <w:r w:rsidRPr="00E57208">
        <w:rPr>
          <w:rFonts w:ascii="Garamond" w:hAnsi="Garamond"/>
          <w:sz w:val="24"/>
          <w:szCs w:val="24"/>
        </w:rPr>
        <w:t>6. Lidhur me objektin e çështjes në këtë</w:t>
      </w:r>
      <w:r w:rsidR="00E77F00">
        <w:rPr>
          <w:rFonts w:ascii="Garamond" w:hAnsi="Garamond"/>
          <w:sz w:val="24"/>
          <w:szCs w:val="24"/>
        </w:rPr>
        <w:t xml:space="preserve"> gjykim rezulton se prej datës </w:t>
      </w:r>
      <w:r w:rsidRPr="00E57208">
        <w:rPr>
          <w:rFonts w:ascii="Garamond" w:hAnsi="Garamond"/>
          <w:sz w:val="24"/>
          <w:szCs w:val="24"/>
        </w:rPr>
        <w:t>5.11.2017, kur kanë hyrë në fuqi ndry</w:t>
      </w:r>
      <w:r w:rsidR="00E77F00">
        <w:rPr>
          <w:rFonts w:ascii="Garamond" w:hAnsi="Garamond"/>
          <w:sz w:val="24"/>
          <w:szCs w:val="24"/>
        </w:rPr>
        <w:t>shimet ligjore në nenet 399/1–</w:t>
      </w:r>
      <w:r w:rsidRPr="00E57208">
        <w:rPr>
          <w:rFonts w:ascii="Garamond" w:hAnsi="Garamond"/>
          <w:sz w:val="24"/>
          <w:szCs w:val="24"/>
        </w:rPr>
        <w:t xml:space="preserve">399/12 të </w:t>
      </w:r>
      <w:proofErr w:type="spellStart"/>
      <w:r w:rsidRPr="00E57208">
        <w:rPr>
          <w:rFonts w:ascii="Garamond" w:hAnsi="Garamond"/>
          <w:sz w:val="24"/>
          <w:szCs w:val="24"/>
        </w:rPr>
        <w:t>KPC</w:t>
      </w:r>
      <w:proofErr w:type="spellEnd"/>
      <w:r w:rsidRPr="00E57208">
        <w:rPr>
          <w:rFonts w:ascii="Garamond" w:hAnsi="Garamond"/>
          <w:sz w:val="24"/>
          <w:szCs w:val="24"/>
        </w:rPr>
        <w:t xml:space="preserve">-së, legjislacioni shqiptar parashikon një mjet juridik ankimi </w:t>
      </w:r>
      <w:r w:rsidRPr="00E57208">
        <w:rPr>
          <w:rFonts w:ascii="Garamond" w:hAnsi="Garamond"/>
          <w:i/>
          <w:iCs/>
          <w:sz w:val="24"/>
          <w:szCs w:val="24"/>
        </w:rPr>
        <w:t>efekti</w:t>
      </w:r>
      <w:r w:rsidRPr="00E57208">
        <w:rPr>
          <w:rFonts w:ascii="Garamond" w:hAnsi="Garamond"/>
          <w:sz w:val="24"/>
          <w:szCs w:val="24"/>
        </w:rPr>
        <w:t>v, i cili garanton përshpejtimin e procesit gjyqësor, si dhe dëmshpërblimin, pra sjell rezultat konkret në rivendosjen e së drejtës së shkelur për kryerjen e procesit gjyqësor brenda afateve të arsyeshme ligjore (</w:t>
      </w:r>
      <w:r w:rsidRPr="00E57208">
        <w:rPr>
          <w:rFonts w:ascii="Garamond" w:hAnsi="Garamond"/>
          <w:i/>
          <w:iCs/>
          <w:sz w:val="24"/>
          <w:szCs w:val="24"/>
        </w:rPr>
        <w:t>shih vendimin nr. 80, datë 18.12.2017</w:t>
      </w:r>
      <w:r w:rsidR="00986243">
        <w:rPr>
          <w:rFonts w:ascii="Garamond" w:hAnsi="Garamond"/>
          <w:i/>
          <w:iCs/>
          <w:sz w:val="24"/>
          <w:szCs w:val="24"/>
        </w:rPr>
        <w:t xml:space="preserve">, </w:t>
      </w:r>
      <w:r w:rsidRPr="00E57208">
        <w:rPr>
          <w:rFonts w:ascii="Garamond" w:hAnsi="Garamond"/>
          <w:i/>
          <w:iCs/>
          <w:sz w:val="24"/>
          <w:szCs w:val="24"/>
        </w:rPr>
        <w:t>të Gjykatës Kushtetuese</w:t>
      </w:r>
      <w:r w:rsidRPr="00E57208">
        <w:rPr>
          <w:rFonts w:ascii="Garamond" w:hAnsi="Garamond"/>
          <w:sz w:val="24"/>
          <w:szCs w:val="24"/>
        </w:rPr>
        <w:t>).</w:t>
      </w:r>
    </w:p>
    <w:p w14:paraId="6D80E7F6" w14:textId="06D05106" w:rsidR="00E57208" w:rsidRPr="00E57208" w:rsidRDefault="001351AC" w:rsidP="00E57208">
      <w:pPr>
        <w:tabs>
          <w:tab w:val="left" w:pos="1080"/>
        </w:tabs>
        <w:spacing w:after="0" w:line="240" w:lineRule="auto"/>
        <w:ind w:firstLine="284"/>
        <w:jc w:val="both"/>
        <w:rPr>
          <w:rFonts w:ascii="Garamond" w:hAnsi="Garamond"/>
          <w:sz w:val="24"/>
          <w:szCs w:val="24"/>
        </w:rPr>
      </w:pPr>
      <w:r>
        <w:rPr>
          <w:rFonts w:ascii="Garamond" w:hAnsi="Garamond"/>
          <w:sz w:val="24"/>
          <w:szCs w:val="24"/>
        </w:rPr>
        <w:t>7.</w:t>
      </w:r>
      <w:r w:rsidR="00E57208" w:rsidRPr="00E57208">
        <w:rPr>
          <w:rFonts w:ascii="Garamond" w:hAnsi="Garamond"/>
          <w:sz w:val="24"/>
          <w:szCs w:val="24"/>
        </w:rPr>
        <w:t xml:space="preserve"> Edhe </w:t>
      </w:r>
      <w:proofErr w:type="spellStart"/>
      <w:r w:rsidR="00E57208" w:rsidRPr="00E57208">
        <w:rPr>
          <w:rFonts w:ascii="Garamond" w:hAnsi="Garamond"/>
          <w:sz w:val="24"/>
          <w:szCs w:val="24"/>
        </w:rPr>
        <w:t>GJEDNJ</w:t>
      </w:r>
      <w:proofErr w:type="spellEnd"/>
      <w:r w:rsidR="00E57208" w:rsidRPr="00E57208">
        <w:rPr>
          <w:rFonts w:ascii="Garamond" w:hAnsi="Garamond"/>
          <w:sz w:val="24"/>
          <w:szCs w:val="24"/>
        </w:rPr>
        <w:t xml:space="preserve">-ja, në vendimin </w:t>
      </w:r>
      <w:proofErr w:type="spellStart"/>
      <w:r w:rsidR="00E57208" w:rsidRPr="00E57208">
        <w:rPr>
          <w:rFonts w:ascii="Garamond" w:hAnsi="Garamond"/>
          <w:i/>
          <w:iCs/>
          <w:sz w:val="24"/>
          <w:szCs w:val="24"/>
        </w:rPr>
        <w:t>Bara</w:t>
      </w:r>
      <w:proofErr w:type="spellEnd"/>
      <w:r w:rsidR="00E57208" w:rsidRPr="00E57208">
        <w:rPr>
          <w:rFonts w:ascii="Garamond" w:hAnsi="Garamond"/>
          <w:i/>
          <w:iCs/>
          <w:sz w:val="24"/>
          <w:szCs w:val="24"/>
        </w:rPr>
        <w:t xml:space="preserve"> dhe </w:t>
      </w:r>
      <w:proofErr w:type="spellStart"/>
      <w:r w:rsidR="00E57208" w:rsidRPr="00E57208">
        <w:rPr>
          <w:rFonts w:ascii="Garamond" w:hAnsi="Garamond"/>
          <w:i/>
          <w:iCs/>
          <w:sz w:val="24"/>
          <w:szCs w:val="24"/>
        </w:rPr>
        <w:t>Kola</w:t>
      </w:r>
      <w:proofErr w:type="spellEnd"/>
      <w:r w:rsidR="00E57208" w:rsidRPr="00E57208">
        <w:rPr>
          <w:rFonts w:ascii="Garamond" w:hAnsi="Garamond"/>
          <w:i/>
          <w:iCs/>
          <w:sz w:val="24"/>
          <w:szCs w:val="24"/>
        </w:rPr>
        <w:t xml:space="preserve"> kundër Shqipërisë, datë 12 tetor 2021</w:t>
      </w:r>
      <w:r w:rsidR="00E57208" w:rsidRPr="00E57208">
        <w:rPr>
          <w:rFonts w:ascii="Garamond" w:hAnsi="Garamond"/>
          <w:sz w:val="24"/>
          <w:szCs w:val="24"/>
        </w:rPr>
        <w:t>, ka arritur në përfundimin se mjeti juridik, i parashikuar në nenet 399/1 e vijues</w:t>
      </w:r>
      <w:r w:rsidR="009B5270">
        <w:rPr>
          <w:rFonts w:ascii="Garamond" w:hAnsi="Garamond"/>
          <w:sz w:val="24"/>
          <w:szCs w:val="24"/>
        </w:rPr>
        <w:t>e</w:t>
      </w:r>
      <w:r w:rsidR="00E57208" w:rsidRPr="00E57208">
        <w:rPr>
          <w:rFonts w:ascii="Garamond" w:hAnsi="Garamond"/>
          <w:sz w:val="24"/>
          <w:szCs w:val="24"/>
        </w:rPr>
        <w:t xml:space="preserve"> të </w:t>
      </w:r>
      <w:proofErr w:type="spellStart"/>
      <w:r w:rsidR="00E57208" w:rsidRPr="00E57208">
        <w:rPr>
          <w:rFonts w:ascii="Garamond" w:hAnsi="Garamond"/>
          <w:sz w:val="24"/>
          <w:szCs w:val="24"/>
        </w:rPr>
        <w:t>KPC</w:t>
      </w:r>
      <w:proofErr w:type="spellEnd"/>
      <w:r w:rsidR="00E57208" w:rsidRPr="00E57208">
        <w:rPr>
          <w:rFonts w:ascii="Garamond" w:hAnsi="Garamond"/>
          <w:sz w:val="24"/>
          <w:szCs w:val="24"/>
        </w:rPr>
        <w:t xml:space="preserve">-së është efektiv, por që të mbetet i tillë edhe në praktikë, kërkesa për konstatimin e shkeljes dhe përshpejtimin e procedurave, në bazë të nenit 399/6, pika 1, të </w:t>
      </w:r>
      <w:proofErr w:type="spellStart"/>
      <w:r w:rsidR="00E57208" w:rsidRPr="00E57208">
        <w:rPr>
          <w:rFonts w:ascii="Garamond" w:hAnsi="Garamond"/>
          <w:sz w:val="24"/>
          <w:szCs w:val="24"/>
        </w:rPr>
        <w:t>KPC</w:t>
      </w:r>
      <w:proofErr w:type="spellEnd"/>
      <w:r w:rsidR="00E57208" w:rsidRPr="00E57208">
        <w:rPr>
          <w:rFonts w:ascii="Garamond" w:hAnsi="Garamond"/>
          <w:sz w:val="24"/>
          <w:szCs w:val="24"/>
        </w:rPr>
        <w:t>-së, duhet të shqyrtohet me shpejtësi nga gjykata (</w:t>
      </w:r>
      <w:r w:rsidR="00E57208" w:rsidRPr="00E57208">
        <w:rPr>
          <w:rFonts w:ascii="Garamond" w:hAnsi="Garamond"/>
          <w:i/>
          <w:iCs/>
          <w:sz w:val="24"/>
          <w:szCs w:val="24"/>
        </w:rPr>
        <w:t>shih paragrafët 107 dhe 119</w:t>
      </w:r>
      <w:r w:rsidR="00E57208" w:rsidRPr="00E57208">
        <w:rPr>
          <w:rFonts w:ascii="Garamond" w:hAnsi="Garamond"/>
          <w:sz w:val="24"/>
          <w:szCs w:val="24"/>
        </w:rPr>
        <w:t>).</w:t>
      </w:r>
      <w:r w:rsidR="00E57208" w:rsidRPr="00E57208">
        <w:rPr>
          <w:rFonts w:ascii="Garamond" w:hAnsi="Garamond"/>
          <w:i/>
          <w:iCs/>
          <w:sz w:val="24"/>
          <w:szCs w:val="24"/>
        </w:rPr>
        <w:t xml:space="preserve"> </w:t>
      </w:r>
    </w:p>
    <w:p w14:paraId="054FC6DA" w14:textId="00C1186B" w:rsidR="00E57208" w:rsidRPr="00E57208" w:rsidRDefault="00E57208" w:rsidP="00E57208">
      <w:pPr>
        <w:tabs>
          <w:tab w:val="left" w:pos="1080"/>
        </w:tabs>
        <w:spacing w:after="0" w:line="240" w:lineRule="auto"/>
        <w:ind w:firstLine="284"/>
        <w:jc w:val="both"/>
        <w:rPr>
          <w:rFonts w:ascii="Garamond" w:hAnsi="Garamond"/>
          <w:sz w:val="24"/>
          <w:szCs w:val="24"/>
        </w:rPr>
      </w:pPr>
      <w:r w:rsidRPr="00E57208">
        <w:rPr>
          <w:rFonts w:ascii="Garamond" w:hAnsi="Garamond"/>
          <w:sz w:val="24"/>
          <w:szCs w:val="24"/>
        </w:rPr>
        <w:t>8.</w:t>
      </w:r>
      <w:r w:rsidR="001351AC">
        <w:rPr>
          <w:rFonts w:ascii="Garamond" w:hAnsi="Garamond"/>
          <w:sz w:val="24"/>
          <w:szCs w:val="24"/>
        </w:rPr>
        <w:t xml:space="preserve"> </w:t>
      </w:r>
      <w:r w:rsidRPr="00E57208">
        <w:rPr>
          <w:rFonts w:ascii="Garamond" w:hAnsi="Garamond"/>
          <w:sz w:val="24"/>
          <w:szCs w:val="24"/>
        </w:rPr>
        <w:t xml:space="preserve">Sa  më lart, duke ndjekur edhe linjën e jurisprudencës së </w:t>
      </w:r>
      <w:proofErr w:type="spellStart"/>
      <w:r w:rsidRPr="00E57208">
        <w:rPr>
          <w:rFonts w:ascii="Garamond" w:hAnsi="Garamond"/>
          <w:sz w:val="24"/>
          <w:szCs w:val="24"/>
        </w:rPr>
        <w:t>GJEDNJ</w:t>
      </w:r>
      <w:proofErr w:type="spellEnd"/>
      <w:r w:rsidRPr="00E57208">
        <w:rPr>
          <w:rFonts w:ascii="Garamond" w:hAnsi="Garamond"/>
          <w:sz w:val="24"/>
          <w:szCs w:val="24"/>
        </w:rPr>
        <w:t>-së, pakica bashkohet me vlerësimin e shumicës se nenet 399/1 e vijues</w:t>
      </w:r>
      <w:r w:rsidR="009B5270">
        <w:rPr>
          <w:rFonts w:ascii="Garamond" w:hAnsi="Garamond"/>
          <w:sz w:val="24"/>
          <w:szCs w:val="24"/>
        </w:rPr>
        <w:t>e</w:t>
      </w:r>
      <w:r w:rsidRPr="00E57208">
        <w:rPr>
          <w:rFonts w:ascii="Garamond" w:hAnsi="Garamond"/>
          <w:sz w:val="24"/>
          <w:szCs w:val="24"/>
        </w:rPr>
        <w:t xml:space="preserve"> të </w:t>
      </w:r>
      <w:proofErr w:type="spellStart"/>
      <w:r w:rsidRPr="00E57208">
        <w:rPr>
          <w:rFonts w:ascii="Garamond" w:hAnsi="Garamond"/>
          <w:sz w:val="24"/>
          <w:szCs w:val="24"/>
        </w:rPr>
        <w:t>KPC</w:t>
      </w:r>
      <w:proofErr w:type="spellEnd"/>
      <w:r w:rsidRPr="00E57208">
        <w:rPr>
          <w:rFonts w:ascii="Garamond" w:hAnsi="Garamond"/>
          <w:sz w:val="24"/>
          <w:szCs w:val="24"/>
        </w:rPr>
        <w:t xml:space="preserve">-së janë efektive në parim, pasi plotësojnë standardet lidhur me mjetin efektiv përshpejtues dhe </w:t>
      </w:r>
      <w:proofErr w:type="spellStart"/>
      <w:r w:rsidRPr="00E57208">
        <w:rPr>
          <w:rFonts w:ascii="Garamond" w:hAnsi="Garamond"/>
          <w:sz w:val="24"/>
          <w:szCs w:val="24"/>
        </w:rPr>
        <w:t>dëmshpërblyes</w:t>
      </w:r>
      <w:proofErr w:type="spellEnd"/>
      <w:r w:rsidRPr="00E57208">
        <w:rPr>
          <w:rFonts w:ascii="Garamond" w:hAnsi="Garamond"/>
          <w:sz w:val="24"/>
          <w:szCs w:val="24"/>
        </w:rPr>
        <w:t xml:space="preserve"> dhe se në këndvështrim të kriterit të shterimit të mjeteve juridike </w:t>
      </w:r>
      <w:r w:rsidRPr="00E57208">
        <w:rPr>
          <w:rFonts w:ascii="Garamond" w:hAnsi="Garamond"/>
          <w:i/>
          <w:iCs/>
          <w:sz w:val="24"/>
          <w:szCs w:val="24"/>
        </w:rPr>
        <w:t>efektive</w:t>
      </w:r>
      <w:r w:rsidRPr="00E57208">
        <w:rPr>
          <w:rFonts w:ascii="Garamond" w:hAnsi="Garamond"/>
          <w:sz w:val="24"/>
          <w:szCs w:val="24"/>
        </w:rPr>
        <w:t xml:space="preserve">, të parashikuar nga neni 131, pika 1, shkronja “f”, i Kushtetutës, Gjykata duhet të shqyrtojë efektivitetin e këtij mjeti në dritën e rrethanave të çdo rasti konkret. </w:t>
      </w:r>
    </w:p>
    <w:p w14:paraId="608C3DAF" w14:textId="59F87D3B" w:rsidR="00E57208" w:rsidRPr="00E57208" w:rsidRDefault="001351AC" w:rsidP="00E57208">
      <w:pPr>
        <w:tabs>
          <w:tab w:val="left" w:pos="1080"/>
        </w:tabs>
        <w:spacing w:after="0" w:line="240" w:lineRule="auto"/>
        <w:ind w:firstLine="284"/>
        <w:jc w:val="both"/>
        <w:rPr>
          <w:rFonts w:ascii="Garamond" w:hAnsi="Garamond"/>
          <w:sz w:val="24"/>
          <w:szCs w:val="24"/>
        </w:rPr>
      </w:pPr>
      <w:r>
        <w:rPr>
          <w:rFonts w:ascii="Garamond" w:hAnsi="Garamond"/>
          <w:sz w:val="24"/>
          <w:szCs w:val="24"/>
        </w:rPr>
        <w:t xml:space="preserve">9. </w:t>
      </w:r>
      <w:r w:rsidR="00E57208" w:rsidRPr="00E57208">
        <w:rPr>
          <w:rFonts w:ascii="Garamond" w:hAnsi="Garamond"/>
          <w:sz w:val="24"/>
          <w:szCs w:val="24"/>
        </w:rPr>
        <w:t xml:space="preserve">Po ashtu, lidhur me sa më sipër, sikurse me të drejtë ka theksuar edhe shumica, duhet mbajtur në konsideratë edhe fakti se për zbatimin e mjeteve juridike të parashikuara nga </w:t>
      </w:r>
      <w:proofErr w:type="spellStart"/>
      <w:r w:rsidR="00E57208" w:rsidRPr="00E57208">
        <w:rPr>
          <w:rFonts w:ascii="Garamond" w:hAnsi="Garamond"/>
          <w:sz w:val="24"/>
          <w:szCs w:val="24"/>
        </w:rPr>
        <w:t>KPC</w:t>
      </w:r>
      <w:proofErr w:type="spellEnd"/>
      <w:r w:rsidR="00E57208" w:rsidRPr="00E57208">
        <w:rPr>
          <w:rFonts w:ascii="Garamond" w:hAnsi="Garamond"/>
          <w:sz w:val="24"/>
          <w:szCs w:val="24"/>
        </w:rPr>
        <w:t>-ja për konstatimin e shkeljes së afatit të arsyeshëm dhe përshpejtimin e procedurave nuk ka ende një qëndrim të konsoliduar nga gjykatat e juridiksionit të zakonshëm, duke qenë se janë rregulla relativisht të reja, ndërkohë që  gjykatat e zakonshme, gjatë zbatimit të dispozitave procedurale dhe shqyrtimit të kërkesave për përshpejtim, duhet të shmangin formalizmat e tepruar dhe të shqyrtojnë këto lloj kërkesash me përparësi, përndryshe ky mjet ankimi do të humbiste qëllimin për të cilin është miratuar nga ligjvënësi. Në këtë aspekt, gjykatat, në shqyrtimin e këtyre kërkesave, duhet të kenë parasysh kritere të tilla, si: lloji i së drejtës objekt kërkimi dhe natyra e çështjes së themelit për të cilën kërkohet përshpejtimi, dëmi i mundshëm që mund t’i vijë kërkuesit, kohëzgjatja e çështjes në shkallë të zakonshme të gjykimit, organizimi i brendshëm i punës në gjykatë, si dhe çdo kriter i rëndësishëm, me qëllim që  të  mos cenohet thelbi i së  drejtës (</w:t>
      </w:r>
      <w:r w:rsidR="00E57208" w:rsidRPr="00E57208">
        <w:rPr>
          <w:rFonts w:ascii="Garamond" w:hAnsi="Garamond"/>
          <w:i/>
          <w:iCs/>
          <w:sz w:val="24"/>
          <w:szCs w:val="24"/>
        </w:rPr>
        <w:t>shih</w:t>
      </w:r>
      <w:r w:rsidR="00E57208" w:rsidRPr="00E57208">
        <w:rPr>
          <w:rFonts w:ascii="Garamond" w:hAnsi="Garamond"/>
          <w:sz w:val="24"/>
          <w:szCs w:val="24"/>
        </w:rPr>
        <w:t xml:space="preserve"> </w:t>
      </w:r>
      <w:r w:rsidR="00E57208" w:rsidRPr="00E57208">
        <w:rPr>
          <w:rFonts w:ascii="Garamond" w:hAnsi="Garamond"/>
          <w:i/>
          <w:iCs/>
          <w:sz w:val="24"/>
          <w:szCs w:val="24"/>
        </w:rPr>
        <w:t>paragrafët 27 dhe 28 të vendimit</w:t>
      </w:r>
      <w:r w:rsidR="00E57208" w:rsidRPr="00E57208">
        <w:rPr>
          <w:rFonts w:ascii="Garamond" w:hAnsi="Garamond"/>
          <w:sz w:val="24"/>
          <w:szCs w:val="24"/>
        </w:rPr>
        <w:t xml:space="preserve">). </w:t>
      </w:r>
    </w:p>
    <w:p w14:paraId="7F274E05" w14:textId="0AD26E0E" w:rsidR="00E57208" w:rsidRPr="00E57208" w:rsidRDefault="00E57208" w:rsidP="00E57208">
      <w:pPr>
        <w:tabs>
          <w:tab w:val="left" w:pos="1080"/>
        </w:tabs>
        <w:spacing w:after="0" w:line="240" w:lineRule="auto"/>
        <w:ind w:firstLine="284"/>
        <w:jc w:val="both"/>
        <w:rPr>
          <w:rFonts w:ascii="Garamond" w:hAnsi="Garamond"/>
          <w:sz w:val="24"/>
          <w:szCs w:val="24"/>
        </w:rPr>
      </w:pPr>
      <w:r w:rsidRPr="00E57208">
        <w:rPr>
          <w:rFonts w:ascii="Garamond" w:hAnsi="Garamond"/>
          <w:sz w:val="24"/>
          <w:szCs w:val="24"/>
        </w:rPr>
        <w:t>10.</w:t>
      </w:r>
      <w:r w:rsidR="001351AC">
        <w:rPr>
          <w:rFonts w:ascii="Garamond" w:hAnsi="Garamond"/>
          <w:sz w:val="24"/>
          <w:szCs w:val="24"/>
        </w:rPr>
        <w:t xml:space="preserve"> </w:t>
      </w:r>
      <w:r w:rsidRPr="00E57208">
        <w:rPr>
          <w:rFonts w:ascii="Garamond" w:hAnsi="Garamond"/>
          <w:sz w:val="24"/>
          <w:szCs w:val="24"/>
        </w:rPr>
        <w:t>Por duke qenë i të njëjtit mendim për kriteret e përgjithshme që duhen mbajtur në konsideratë për të përcaktuar efektivitetin edhe në praktikë të neneve 399/1 e vijues</w:t>
      </w:r>
      <w:r w:rsidR="009B5270">
        <w:rPr>
          <w:rFonts w:ascii="Garamond" w:hAnsi="Garamond"/>
          <w:sz w:val="24"/>
          <w:szCs w:val="24"/>
        </w:rPr>
        <w:t>e</w:t>
      </w:r>
      <w:r w:rsidRPr="00E57208">
        <w:rPr>
          <w:rFonts w:ascii="Garamond" w:hAnsi="Garamond"/>
          <w:sz w:val="24"/>
          <w:szCs w:val="24"/>
        </w:rPr>
        <w:t xml:space="preserve"> të </w:t>
      </w:r>
      <w:proofErr w:type="spellStart"/>
      <w:r w:rsidRPr="00E57208">
        <w:rPr>
          <w:rFonts w:ascii="Garamond" w:hAnsi="Garamond"/>
          <w:sz w:val="24"/>
          <w:szCs w:val="24"/>
        </w:rPr>
        <w:t>KPC</w:t>
      </w:r>
      <w:proofErr w:type="spellEnd"/>
      <w:r w:rsidRPr="00E57208">
        <w:rPr>
          <w:rFonts w:ascii="Garamond" w:hAnsi="Garamond"/>
          <w:sz w:val="24"/>
          <w:szCs w:val="24"/>
        </w:rPr>
        <w:t xml:space="preserve">-së, pakica ka qëndrim të ndryshëm me shumicën në përfundimin që ajo ka nxjerrë, pas aplikimit të këtyre kritereve në çështjen në gjykim. </w:t>
      </w:r>
    </w:p>
    <w:p w14:paraId="21E901CA" w14:textId="5EFCEF71" w:rsidR="00E57208" w:rsidRPr="00E57208" w:rsidRDefault="00E57208" w:rsidP="00E57208">
      <w:pPr>
        <w:tabs>
          <w:tab w:val="left" w:pos="1080"/>
        </w:tabs>
        <w:spacing w:after="0" w:line="240" w:lineRule="auto"/>
        <w:ind w:firstLine="284"/>
        <w:jc w:val="both"/>
        <w:rPr>
          <w:rFonts w:ascii="Garamond" w:hAnsi="Garamond"/>
          <w:sz w:val="24"/>
          <w:szCs w:val="24"/>
        </w:rPr>
      </w:pPr>
      <w:r w:rsidRPr="00E57208">
        <w:rPr>
          <w:rFonts w:ascii="Garamond" w:hAnsi="Garamond"/>
          <w:sz w:val="24"/>
          <w:szCs w:val="24"/>
        </w:rPr>
        <w:t>11.</w:t>
      </w:r>
      <w:r w:rsidR="001351AC">
        <w:rPr>
          <w:rFonts w:ascii="Garamond" w:hAnsi="Garamond"/>
          <w:sz w:val="24"/>
          <w:szCs w:val="24"/>
        </w:rPr>
        <w:t xml:space="preserve"> </w:t>
      </w:r>
      <w:r w:rsidRPr="00E57208">
        <w:rPr>
          <w:rFonts w:ascii="Garamond" w:hAnsi="Garamond"/>
          <w:sz w:val="24"/>
          <w:szCs w:val="24"/>
        </w:rPr>
        <w:t>Duke iu kthyer rastit konkret, rezulton se rekursi i kërkuesit është regjistru</w:t>
      </w:r>
      <w:r w:rsidR="00E77F00">
        <w:rPr>
          <w:rFonts w:ascii="Garamond" w:hAnsi="Garamond"/>
          <w:sz w:val="24"/>
          <w:szCs w:val="24"/>
        </w:rPr>
        <w:t>ar në Gjykatën e Lartë me datë 7.</w:t>
      </w:r>
      <w:r w:rsidRPr="00E57208">
        <w:rPr>
          <w:rFonts w:ascii="Garamond" w:hAnsi="Garamond"/>
          <w:sz w:val="24"/>
          <w:szCs w:val="24"/>
        </w:rPr>
        <w:t>2.2018 dhe nuk është gjykuar ende. Gjithashtu kër</w:t>
      </w:r>
      <w:r w:rsidR="00E77F00">
        <w:rPr>
          <w:rFonts w:ascii="Garamond" w:hAnsi="Garamond"/>
          <w:sz w:val="24"/>
          <w:szCs w:val="24"/>
        </w:rPr>
        <w:t>kuesi ka paraqitur në datën 18.</w:t>
      </w:r>
      <w:r w:rsidRPr="00E57208">
        <w:rPr>
          <w:rFonts w:ascii="Garamond" w:hAnsi="Garamond"/>
          <w:sz w:val="24"/>
          <w:szCs w:val="24"/>
        </w:rPr>
        <w:t xml:space="preserve">9.2020 në Gjykatën e Lartë edhe një kërkesë për konstatimin prej saj të shkeljes së afatit të arsyeshëm dhe përshpejtimin e procedurave gjyqësore në gjykimin e kësaj çështjeje, kërkesë e cila është në fazën e studimit. </w:t>
      </w:r>
    </w:p>
    <w:p w14:paraId="02F6727C" w14:textId="114C026E" w:rsidR="00E57208" w:rsidRPr="00E57208" w:rsidRDefault="00E57208" w:rsidP="00E57208">
      <w:pPr>
        <w:tabs>
          <w:tab w:val="left" w:pos="1080"/>
        </w:tabs>
        <w:spacing w:after="0" w:line="240" w:lineRule="auto"/>
        <w:ind w:firstLine="284"/>
        <w:jc w:val="both"/>
        <w:rPr>
          <w:rFonts w:ascii="Garamond" w:hAnsi="Garamond"/>
          <w:sz w:val="24"/>
          <w:szCs w:val="24"/>
        </w:rPr>
      </w:pPr>
      <w:r w:rsidRPr="00E57208">
        <w:rPr>
          <w:rFonts w:ascii="Garamond" w:hAnsi="Garamond"/>
          <w:sz w:val="24"/>
          <w:szCs w:val="24"/>
        </w:rPr>
        <w:t xml:space="preserve">12.   Lidhur me afatin e shqyrtimit të rekursit elementë të rëndësishëm për t’u konsideruar janë numri mjaft i lartë i çështjeve të mbetura në gjykim, si dhe mungesa për arsye të njohura objektive e numrit të kolegjeve të parashikuar nga ligji për funksionimin normal të asaj gjykate, i domosdoshëm sidomos për shqyrtimin e kërkesave për përshpejtimin e procedurave gjyqësore. </w:t>
      </w:r>
    </w:p>
    <w:p w14:paraId="4392B931" w14:textId="075016BD" w:rsidR="00E57208" w:rsidRPr="00E57208" w:rsidRDefault="00E57208" w:rsidP="00E57208">
      <w:pPr>
        <w:tabs>
          <w:tab w:val="left" w:pos="1080"/>
        </w:tabs>
        <w:spacing w:after="0" w:line="240" w:lineRule="auto"/>
        <w:ind w:firstLine="284"/>
        <w:jc w:val="both"/>
        <w:rPr>
          <w:rFonts w:ascii="Garamond" w:hAnsi="Garamond"/>
          <w:color w:val="232323"/>
          <w:sz w:val="24"/>
          <w:szCs w:val="24"/>
        </w:rPr>
      </w:pPr>
      <w:r w:rsidRPr="00E57208">
        <w:rPr>
          <w:rFonts w:ascii="Garamond" w:hAnsi="Garamond"/>
          <w:sz w:val="24"/>
          <w:szCs w:val="24"/>
        </w:rPr>
        <w:t xml:space="preserve">13. </w:t>
      </w:r>
      <w:r w:rsidRPr="00E57208">
        <w:rPr>
          <w:rFonts w:ascii="Garamond" w:hAnsi="Garamond"/>
          <w:color w:val="232323"/>
          <w:sz w:val="24"/>
          <w:szCs w:val="24"/>
        </w:rPr>
        <w:t>Gjykata e Lartë nuk ka qenë tërësisht funksionale që nga muaji maj 2019. Ajo ka rifilluar të funksionojë në 11 mars 2020 me krijimin e një trupe gjyqësore prej tri gjyqtarësh dhe në datë 19 mars 2021 në këtë gjykatë u shtuan edhe katër gjyqtarë të tjerë, t</w:t>
      </w:r>
      <w:r w:rsidR="00E77F00">
        <w:rPr>
          <w:rFonts w:ascii="Garamond" w:hAnsi="Garamond"/>
          <w:color w:val="232323"/>
          <w:sz w:val="24"/>
          <w:szCs w:val="24"/>
        </w:rPr>
        <w:t xml:space="preserve">ë cilët në mbledhjen e datës </w:t>
      </w:r>
      <w:r w:rsidRPr="00E57208">
        <w:rPr>
          <w:rFonts w:ascii="Garamond" w:hAnsi="Garamond"/>
          <w:color w:val="232323"/>
          <w:sz w:val="24"/>
          <w:szCs w:val="24"/>
        </w:rPr>
        <w:t>1 prill 2021 të Këshillit të Gjykatës së Lartë, u caktuan në disa kolegje të Gjykatës së Lartë. Prej korrikut 2021 Gjykata e Lartë ka gjithsej në trupën e vet gjyqësore nëntë gjyqtarë.</w:t>
      </w:r>
    </w:p>
    <w:p w14:paraId="6ED764D7" w14:textId="05125714" w:rsidR="00E57208" w:rsidRPr="00E57208" w:rsidRDefault="001351AC" w:rsidP="00E57208">
      <w:pPr>
        <w:tabs>
          <w:tab w:val="left" w:pos="1080"/>
        </w:tabs>
        <w:spacing w:after="0" w:line="240" w:lineRule="auto"/>
        <w:ind w:firstLine="284"/>
        <w:jc w:val="both"/>
        <w:rPr>
          <w:rFonts w:ascii="Garamond" w:hAnsi="Garamond"/>
          <w:sz w:val="24"/>
          <w:szCs w:val="24"/>
        </w:rPr>
      </w:pPr>
      <w:r>
        <w:rPr>
          <w:rFonts w:ascii="Garamond" w:hAnsi="Garamond"/>
          <w:color w:val="232323"/>
          <w:sz w:val="24"/>
          <w:szCs w:val="24"/>
        </w:rPr>
        <w:t>14.</w:t>
      </w:r>
      <w:r w:rsidR="00E57208" w:rsidRPr="00E57208">
        <w:rPr>
          <w:rFonts w:ascii="Garamond" w:hAnsi="Garamond"/>
          <w:color w:val="232323"/>
          <w:sz w:val="24"/>
          <w:szCs w:val="24"/>
        </w:rPr>
        <w:t xml:space="preserve"> Sikurse konstatohet edhe nga kronologjia e mësipërme kohore, qysh nga momenti i paraqitjes së kërkesës, në muajin shtator 2020 dhe deri në muajin prill 2021, Gjykata e Lartë e ka pa</w:t>
      </w:r>
      <w:r w:rsidR="00B007BA">
        <w:rPr>
          <w:rFonts w:ascii="Garamond" w:hAnsi="Garamond"/>
          <w:color w:val="232323"/>
          <w:sz w:val="24"/>
          <w:szCs w:val="24"/>
        </w:rPr>
        <w:t>s</w:t>
      </w:r>
      <w:r w:rsidR="00E57208" w:rsidRPr="00E57208">
        <w:rPr>
          <w:rFonts w:ascii="Garamond" w:hAnsi="Garamond"/>
          <w:color w:val="232323"/>
          <w:sz w:val="24"/>
          <w:szCs w:val="24"/>
        </w:rPr>
        <w:t xml:space="preserve">ur të pamundur objektivisht të marrë në shqyrtim kërkesën për konstatimin e shkeljes së afatit të arsyeshëm dhe përshpejtimin e procedurave në gjykimin e çështjes së kërkuesit </w:t>
      </w:r>
      <w:proofErr w:type="spellStart"/>
      <w:r w:rsidR="00E57208" w:rsidRPr="00E57208">
        <w:rPr>
          <w:rFonts w:ascii="Garamond" w:hAnsi="Garamond"/>
          <w:color w:val="232323"/>
          <w:sz w:val="24"/>
          <w:szCs w:val="24"/>
        </w:rPr>
        <w:t>Selman</w:t>
      </w:r>
      <w:proofErr w:type="spellEnd"/>
      <w:r w:rsidR="00E57208" w:rsidRPr="00E57208">
        <w:rPr>
          <w:rFonts w:ascii="Garamond" w:hAnsi="Garamond"/>
          <w:color w:val="232323"/>
          <w:sz w:val="24"/>
          <w:szCs w:val="24"/>
        </w:rPr>
        <w:t xml:space="preserve"> </w:t>
      </w:r>
      <w:proofErr w:type="spellStart"/>
      <w:r w:rsidR="00E57208" w:rsidRPr="00E57208">
        <w:rPr>
          <w:rFonts w:ascii="Garamond" w:hAnsi="Garamond"/>
          <w:color w:val="232323"/>
          <w:sz w:val="24"/>
          <w:szCs w:val="24"/>
        </w:rPr>
        <w:t>Gazidedja</w:t>
      </w:r>
      <w:proofErr w:type="spellEnd"/>
      <w:r w:rsidR="00E57208" w:rsidRPr="00E57208">
        <w:rPr>
          <w:rFonts w:ascii="Garamond" w:hAnsi="Garamond"/>
          <w:color w:val="232323"/>
          <w:sz w:val="24"/>
          <w:szCs w:val="24"/>
        </w:rPr>
        <w:t xml:space="preserve">, </w:t>
      </w:r>
      <w:r w:rsidR="00E57208" w:rsidRPr="00E57208">
        <w:rPr>
          <w:rFonts w:ascii="Garamond" w:hAnsi="Garamond"/>
          <w:sz w:val="24"/>
          <w:szCs w:val="24"/>
        </w:rPr>
        <w:t xml:space="preserve">për shkak se deri në atë periudhë ajo ka pasur vetëm një kolegj, ndërkohë që në bazë të nenit 399/6, pika 1, shkronja “c”, të </w:t>
      </w:r>
      <w:proofErr w:type="spellStart"/>
      <w:r w:rsidR="00E57208" w:rsidRPr="00E57208">
        <w:rPr>
          <w:rFonts w:ascii="Garamond" w:hAnsi="Garamond"/>
          <w:sz w:val="24"/>
          <w:szCs w:val="24"/>
        </w:rPr>
        <w:t>KPC</w:t>
      </w:r>
      <w:proofErr w:type="spellEnd"/>
      <w:r w:rsidR="00E57208" w:rsidRPr="00E57208">
        <w:rPr>
          <w:rFonts w:ascii="Garamond" w:hAnsi="Garamond"/>
          <w:sz w:val="24"/>
          <w:szCs w:val="24"/>
        </w:rPr>
        <w:t xml:space="preserve">-së, këto kërkesa shqyrtohen nga një kolegj tjetër i Gjykatës së Lartë nga ai që shqyrton çështjen e themelit. Ky është një fakt i rëndësishëm që dallon çështjen në gjykim nga rasti </w:t>
      </w:r>
      <w:proofErr w:type="spellStart"/>
      <w:r w:rsidR="00E57208" w:rsidRPr="00E57208">
        <w:rPr>
          <w:rFonts w:ascii="Garamond" w:hAnsi="Garamond"/>
          <w:sz w:val="24"/>
          <w:szCs w:val="24"/>
        </w:rPr>
        <w:t>Bara</w:t>
      </w:r>
      <w:proofErr w:type="spellEnd"/>
      <w:r w:rsidR="00E57208" w:rsidRPr="00E57208">
        <w:rPr>
          <w:rFonts w:ascii="Garamond" w:hAnsi="Garamond"/>
          <w:sz w:val="24"/>
          <w:szCs w:val="24"/>
        </w:rPr>
        <w:t xml:space="preserve"> &amp; </w:t>
      </w:r>
      <w:proofErr w:type="spellStart"/>
      <w:r w:rsidR="00E57208" w:rsidRPr="00E57208">
        <w:rPr>
          <w:rFonts w:ascii="Garamond" w:hAnsi="Garamond"/>
          <w:sz w:val="24"/>
          <w:szCs w:val="24"/>
        </w:rPr>
        <w:t>Kola</w:t>
      </w:r>
      <w:proofErr w:type="spellEnd"/>
      <w:r w:rsidR="00E57208" w:rsidRPr="00E57208">
        <w:rPr>
          <w:rFonts w:ascii="Garamond" w:hAnsi="Garamond"/>
          <w:sz w:val="24"/>
          <w:szCs w:val="24"/>
        </w:rPr>
        <w:t xml:space="preserve">, në të cilën kërkesa për përshpejtimin e procedurave ishte paraqitur në Gjykatën e Lartë në një moment kohor kur ajo kishte edhe kolegje të tjera për shqyrtimin e kërkesave. </w:t>
      </w:r>
    </w:p>
    <w:p w14:paraId="58448D5B" w14:textId="0CF3B41B" w:rsidR="00E57208" w:rsidRPr="00E57208" w:rsidRDefault="001351AC" w:rsidP="00E57208">
      <w:pPr>
        <w:tabs>
          <w:tab w:val="left" w:pos="1080"/>
        </w:tabs>
        <w:spacing w:after="0" w:line="240" w:lineRule="auto"/>
        <w:ind w:firstLine="284"/>
        <w:jc w:val="both"/>
        <w:rPr>
          <w:rFonts w:ascii="Garamond" w:hAnsi="Garamond"/>
          <w:sz w:val="24"/>
          <w:szCs w:val="24"/>
        </w:rPr>
      </w:pPr>
      <w:r>
        <w:rPr>
          <w:rFonts w:ascii="Garamond" w:hAnsi="Garamond"/>
          <w:sz w:val="24"/>
          <w:szCs w:val="24"/>
        </w:rPr>
        <w:t>15.</w:t>
      </w:r>
      <w:r w:rsidR="00E57208" w:rsidRPr="00E57208">
        <w:rPr>
          <w:rFonts w:ascii="Garamond" w:hAnsi="Garamond"/>
          <w:sz w:val="24"/>
          <w:szCs w:val="24"/>
        </w:rPr>
        <w:t xml:space="preserve"> Nga ana tjetër, Gjykata e Lartë, me shkre</w:t>
      </w:r>
      <w:r w:rsidR="00EB34D6">
        <w:rPr>
          <w:rFonts w:ascii="Garamond" w:hAnsi="Garamond"/>
          <w:sz w:val="24"/>
          <w:szCs w:val="24"/>
        </w:rPr>
        <w:t xml:space="preserve">sën  nr. 2081/1 </w:t>
      </w:r>
      <w:proofErr w:type="spellStart"/>
      <w:r w:rsidR="00EB34D6">
        <w:rPr>
          <w:rFonts w:ascii="Garamond" w:hAnsi="Garamond"/>
          <w:sz w:val="24"/>
          <w:szCs w:val="24"/>
        </w:rPr>
        <w:t>prot</w:t>
      </w:r>
      <w:proofErr w:type="spellEnd"/>
      <w:r w:rsidR="00EB34D6">
        <w:rPr>
          <w:rFonts w:ascii="Garamond" w:hAnsi="Garamond"/>
          <w:sz w:val="24"/>
          <w:szCs w:val="24"/>
        </w:rPr>
        <w:t>., datë 22.</w:t>
      </w:r>
      <w:r w:rsidR="00E57208" w:rsidRPr="00E57208">
        <w:rPr>
          <w:rFonts w:ascii="Garamond" w:hAnsi="Garamond"/>
          <w:sz w:val="24"/>
          <w:szCs w:val="24"/>
        </w:rPr>
        <w:t>6.2021, ka informuar Gjykatën se janë 18 çështje të regjistruara për konstatim shkelje afati dhe përshpejtim të procedurave, për sa u përket mosmarrëveshjeve që janë në gjykim, të cilat ndodhen në fazën e studimit. Ndërkohë, referuar faqes zyrtare të Gjykatës së Lartë, rezulton se deri në muajin nëntor 2021, pas krijimit të kolegjeve të tjera të përmendura më sipër, janë zhvilluar gjykime dhe janë marrë disa vendime për çështje me objekt konstatimin e shkeljes së afatit të arsyeshëm dhe përshpejtimin e procedurave për mosmarrëveshje në atë gjykatë.</w:t>
      </w:r>
    </w:p>
    <w:p w14:paraId="5256CB11" w14:textId="36CB8E35" w:rsidR="001351AC" w:rsidRDefault="001351AC" w:rsidP="00E57208">
      <w:pPr>
        <w:tabs>
          <w:tab w:val="left" w:pos="1080"/>
        </w:tabs>
        <w:spacing w:after="0" w:line="240" w:lineRule="auto"/>
        <w:ind w:firstLine="284"/>
        <w:jc w:val="both"/>
        <w:rPr>
          <w:rFonts w:ascii="Garamond" w:hAnsi="Garamond"/>
          <w:sz w:val="24"/>
          <w:szCs w:val="24"/>
        </w:rPr>
      </w:pPr>
      <w:r>
        <w:rPr>
          <w:rFonts w:ascii="Garamond" w:hAnsi="Garamond"/>
          <w:sz w:val="24"/>
          <w:szCs w:val="24"/>
        </w:rPr>
        <w:t xml:space="preserve">16. </w:t>
      </w:r>
      <w:r w:rsidR="00E57208" w:rsidRPr="00E57208">
        <w:rPr>
          <w:rFonts w:ascii="Garamond" w:hAnsi="Garamond"/>
          <w:sz w:val="24"/>
          <w:szCs w:val="24"/>
        </w:rPr>
        <w:t xml:space="preserve">Po ashtu, referuar </w:t>
      </w:r>
      <w:r w:rsidR="00E57208" w:rsidRPr="00E57208">
        <w:rPr>
          <w:rFonts w:ascii="Garamond" w:hAnsi="Garamond"/>
          <w:i/>
          <w:iCs/>
          <w:sz w:val="24"/>
          <w:szCs w:val="24"/>
        </w:rPr>
        <w:t>Raportit mbi gjendjen e sistemit gjyqësor dhe veprimtarinë e Këshillit të Lartë Gjyqësor për vitin 2020</w:t>
      </w:r>
      <w:r w:rsidR="00E57208" w:rsidRPr="00E57208">
        <w:rPr>
          <w:rFonts w:ascii="Garamond" w:hAnsi="Garamond"/>
          <w:sz w:val="24"/>
          <w:szCs w:val="24"/>
        </w:rPr>
        <w:t xml:space="preserve">, vërehet se edhe </w:t>
      </w:r>
      <w:proofErr w:type="spellStart"/>
      <w:r w:rsidR="00E57208" w:rsidRPr="00E57208">
        <w:rPr>
          <w:rFonts w:ascii="Garamond" w:hAnsi="Garamond"/>
          <w:sz w:val="24"/>
          <w:szCs w:val="24"/>
        </w:rPr>
        <w:t>KLGJ</w:t>
      </w:r>
      <w:proofErr w:type="spellEnd"/>
      <w:r w:rsidR="00E57208" w:rsidRPr="00E57208">
        <w:rPr>
          <w:rFonts w:ascii="Garamond" w:hAnsi="Garamond"/>
          <w:sz w:val="24"/>
          <w:szCs w:val="24"/>
        </w:rPr>
        <w:t>-ja ka marrë masa për reduktimin e çështjeve të prapambetura dhe rritjen e efikasitetit në Gjykatën e Lartë duke shtuar staf mbështetës dhe marrë masa të tjera për këtë qëllim. Edhe me shkresën e Gjykatës së Lartë dërguar për informacion Gjykatës, rezulton se Gjykata e Lartë ka marrë hapa konkretë, duke parashikuar një sërë masash me qëllim uljen e numrit të çështjeve të prapambetura brenda një kohe sa më të shpejtë, si: rritja e kapaciteteve njerëzore, inventarizimi i çështjeve, përpunimi i tyre deri në shqyrtimin e tyre, përgatitja e planeve të veprimit me qëllim shqyrtimin e çështjeve sipas kronologjisë kohore dhe specifikës së çështjes (</w:t>
      </w:r>
      <w:r w:rsidR="00E57208" w:rsidRPr="00E57208">
        <w:rPr>
          <w:rFonts w:ascii="Garamond" w:hAnsi="Garamond"/>
          <w:i/>
          <w:iCs/>
          <w:sz w:val="24"/>
          <w:szCs w:val="24"/>
        </w:rPr>
        <w:t>shih paragrafin 34 të vendimi</w:t>
      </w:r>
      <w:bookmarkStart w:id="0" w:name="_GoBack"/>
      <w:r w:rsidR="00E57208" w:rsidRPr="00104B86">
        <w:rPr>
          <w:rFonts w:ascii="Garamond" w:hAnsi="Garamond"/>
          <w:i/>
          <w:iCs/>
          <w:sz w:val="24"/>
          <w:szCs w:val="24"/>
        </w:rPr>
        <w:t>t</w:t>
      </w:r>
      <w:r w:rsidRPr="00104B86">
        <w:rPr>
          <w:rFonts w:ascii="Garamond" w:hAnsi="Garamond"/>
          <w:i/>
          <w:sz w:val="24"/>
          <w:szCs w:val="24"/>
        </w:rPr>
        <w:t>).</w:t>
      </w:r>
      <w:bookmarkEnd w:id="0"/>
    </w:p>
    <w:p w14:paraId="010AB43F" w14:textId="2340FACD" w:rsidR="00E57208" w:rsidRPr="00E57208" w:rsidRDefault="001351AC" w:rsidP="00E57208">
      <w:pPr>
        <w:tabs>
          <w:tab w:val="left" w:pos="1080"/>
        </w:tabs>
        <w:spacing w:after="0" w:line="240" w:lineRule="auto"/>
        <w:ind w:firstLine="284"/>
        <w:jc w:val="both"/>
        <w:rPr>
          <w:rFonts w:ascii="Garamond" w:hAnsi="Garamond"/>
          <w:sz w:val="24"/>
          <w:szCs w:val="24"/>
        </w:rPr>
      </w:pPr>
      <w:r>
        <w:rPr>
          <w:rFonts w:ascii="Garamond" w:hAnsi="Garamond"/>
          <w:sz w:val="24"/>
          <w:szCs w:val="24"/>
        </w:rPr>
        <w:t xml:space="preserve">17. </w:t>
      </w:r>
      <w:r w:rsidR="00E57208" w:rsidRPr="00E57208">
        <w:rPr>
          <w:rFonts w:ascii="Garamond" w:hAnsi="Garamond"/>
          <w:sz w:val="24"/>
          <w:szCs w:val="24"/>
        </w:rPr>
        <w:t xml:space="preserve">Nga analiza në tërësinë e tyre të rrethanave të përmendura më sipër, të vlerësuara në kuadrin e çështjes konkrete, sidomos të atyre që kanë të bëjnë me faktin se në kohën e paraqitjes së kërkesës për konstatimin e shkeljes së afatit të arsyeshëm dhe përshpejtimin e procedurave të gjykimit të çështjes në Gjykatën e Lartë, kjo e fundit ishte në pamundësi objektive për të shqyrtuar kërkesën, me faktin se aktualisht kërkesa është në fazë studimi në Gjykatën e Lartë, me faktin se në Gjykatën e Lartë janë duke u gjykuar aktualisht kërkesa me objekt të njëjtë me atë të kërkuesit </w:t>
      </w:r>
      <w:proofErr w:type="spellStart"/>
      <w:r w:rsidR="00E57208" w:rsidRPr="00E57208">
        <w:rPr>
          <w:rFonts w:ascii="Garamond" w:hAnsi="Garamond"/>
          <w:sz w:val="24"/>
          <w:szCs w:val="24"/>
        </w:rPr>
        <w:t>Selman</w:t>
      </w:r>
      <w:proofErr w:type="spellEnd"/>
      <w:r w:rsidR="00E57208" w:rsidRPr="00E57208">
        <w:rPr>
          <w:rFonts w:ascii="Garamond" w:hAnsi="Garamond"/>
          <w:sz w:val="24"/>
          <w:szCs w:val="24"/>
        </w:rPr>
        <w:t xml:space="preserve"> </w:t>
      </w:r>
      <w:proofErr w:type="spellStart"/>
      <w:r w:rsidR="00E57208" w:rsidRPr="00E57208">
        <w:rPr>
          <w:rFonts w:ascii="Garamond" w:hAnsi="Garamond"/>
          <w:sz w:val="24"/>
          <w:szCs w:val="24"/>
        </w:rPr>
        <w:t>Gazidedja</w:t>
      </w:r>
      <w:proofErr w:type="spellEnd"/>
      <w:r w:rsidR="00E57208" w:rsidRPr="00E57208">
        <w:rPr>
          <w:rFonts w:ascii="Garamond" w:hAnsi="Garamond"/>
          <w:sz w:val="24"/>
          <w:szCs w:val="24"/>
        </w:rPr>
        <w:t>, krijohet bindja e plotë e pakicës se mjeti ligjor në rastin konkret është efektiv edhe në praktikë dhe kërkuesi nuk legjitimohet t’i drejtohet Gjykatës Kushtetuese përpara se të përfundojë gjykimi i kërkesës në Gjykatën e Lartë.</w:t>
      </w:r>
    </w:p>
    <w:p w14:paraId="12B17DE0" w14:textId="5478885B" w:rsidR="00E57208" w:rsidRDefault="00E57208" w:rsidP="00E57208">
      <w:pPr>
        <w:tabs>
          <w:tab w:val="left" w:pos="1080"/>
        </w:tabs>
        <w:spacing w:after="0" w:line="240" w:lineRule="auto"/>
        <w:ind w:firstLine="284"/>
        <w:jc w:val="both"/>
        <w:rPr>
          <w:rFonts w:ascii="Garamond" w:hAnsi="Garamond"/>
          <w:sz w:val="24"/>
          <w:szCs w:val="24"/>
        </w:rPr>
      </w:pPr>
      <w:r w:rsidRPr="00E57208">
        <w:rPr>
          <w:rFonts w:ascii="Garamond" w:hAnsi="Garamond"/>
          <w:sz w:val="24"/>
          <w:szCs w:val="24"/>
        </w:rPr>
        <w:t>18.</w:t>
      </w:r>
      <w:r w:rsidR="001351AC">
        <w:rPr>
          <w:rFonts w:ascii="Garamond" w:hAnsi="Garamond"/>
          <w:sz w:val="24"/>
          <w:szCs w:val="24"/>
        </w:rPr>
        <w:t xml:space="preserve"> </w:t>
      </w:r>
      <w:r w:rsidRPr="00E57208">
        <w:rPr>
          <w:rFonts w:ascii="Garamond" w:hAnsi="Garamond"/>
          <w:sz w:val="24"/>
          <w:szCs w:val="24"/>
        </w:rPr>
        <w:t xml:space="preserve">Si rrjedhim i përfundimit të mësipërm, në vlerësimin e pakicës kërkesa e shtetasit </w:t>
      </w:r>
      <w:proofErr w:type="spellStart"/>
      <w:r w:rsidRPr="00E57208">
        <w:rPr>
          <w:rFonts w:ascii="Garamond" w:hAnsi="Garamond"/>
          <w:sz w:val="24"/>
          <w:szCs w:val="24"/>
        </w:rPr>
        <w:t>Selman</w:t>
      </w:r>
      <w:proofErr w:type="spellEnd"/>
      <w:r w:rsidRPr="00E57208">
        <w:rPr>
          <w:rFonts w:ascii="Garamond" w:hAnsi="Garamond"/>
          <w:sz w:val="24"/>
          <w:szCs w:val="24"/>
        </w:rPr>
        <w:t xml:space="preserve"> </w:t>
      </w:r>
      <w:proofErr w:type="spellStart"/>
      <w:r w:rsidRPr="00E57208">
        <w:rPr>
          <w:rFonts w:ascii="Garamond" w:hAnsi="Garamond"/>
          <w:sz w:val="24"/>
          <w:szCs w:val="24"/>
        </w:rPr>
        <w:t>Gazidedja</w:t>
      </w:r>
      <w:proofErr w:type="spellEnd"/>
      <w:r w:rsidRPr="00E57208">
        <w:rPr>
          <w:rFonts w:ascii="Garamond" w:hAnsi="Garamond"/>
          <w:sz w:val="24"/>
          <w:szCs w:val="24"/>
        </w:rPr>
        <w:t xml:space="preserve"> duhej të ishte rrëzuar. </w:t>
      </w:r>
    </w:p>
    <w:p w14:paraId="2F13DDA2" w14:textId="77777777" w:rsidR="001351AC" w:rsidRPr="00E57208" w:rsidRDefault="001351AC" w:rsidP="00E57208">
      <w:pPr>
        <w:tabs>
          <w:tab w:val="left" w:pos="1080"/>
        </w:tabs>
        <w:spacing w:after="0" w:line="240" w:lineRule="auto"/>
        <w:ind w:firstLine="284"/>
        <w:jc w:val="both"/>
        <w:rPr>
          <w:rFonts w:ascii="Garamond" w:hAnsi="Garamond"/>
          <w:sz w:val="24"/>
          <w:szCs w:val="24"/>
        </w:rPr>
      </w:pPr>
    </w:p>
    <w:p w14:paraId="54C669B3" w14:textId="44C4E0AF" w:rsidR="00E57208" w:rsidRPr="00F45568" w:rsidRDefault="00F45568" w:rsidP="00E57208">
      <w:pPr>
        <w:spacing w:after="0" w:line="240" w:lineRule="auto"/>
        <w:ind w:firstLine="284"/>
        <w:jc w:val="both"/>
        <w:rPr>
          <w:rFonts w:ascii="Garamond" w:hAnsi="Garamond"/>
          <w:sz w:val="24"/>
          <w:szCs w:val="24"/>
        </w:rPr>
      </w:pPr>
      <w:r w:rsidRPr="00F45568">
        <w:rPr>
          <w:rFonts w:ascii="Garamond" w:hAnsi="Garamond"/>
          <w:bCs/>
          <w:sz w:val="24"/>
          <w:szCs w:val="24"/>
        </w:rPr>
        <w:t>Anëtar</w:t>
      </w:r>
      <w:r w:rsidR="00466366" w:rsidRPr="00F45568">
        <w:rPr>
          <w:rFonts w:ascii="Garamond" w:hAnsi="Garamond"/>
          <w:bCs/>
          <w:sz w:val="24"/>
          <w:szCs w:val="24"/>
        </w:rPr>
        <w:t>: A</w:t>
      </w:r>
      <w:r w:rsidR="00E57208" w:rsidRPr="00F45568">
        <w:rPr>
          <w:rFonts w:ascii="Garamond" w:hAnsi="Garamond"/>
          <w:bCs/>
          <w:sz w:val="24"/>
          <w:szCs w:val="24"/>
        </w:rPr>
        <w:t xml:space="preserve">ltin </w:t>
      </w:r>
      <w:proofErr w:type="spellStart"/>
      <w:r w:rsidR="00E57208" w:rsidRPr="00F45568">
        <w:rPr>
          <w:rFonts w:ascii="Garamond" w:hAnsi="Garamond"/>
          <w:bCs/>
          <w:sz w:val="24"/>
          <w:szCs w:val="24"/>
        </w:rPr>
        <w:t>Binaj</w:t>
      </w:r>
      <w:proofErr w:type="spellEnd"/>
      <w:r w:rsidR="00E57208" w:rsidRPr="00F45568">
        <w:rPr>
          <w:rFonts w:ascii="Garamond" w:hAnsi="Garamond"/>
          <w:bCs/>
          <w:sz w:val="24"/>
          <w:szCs w:val="24"/>
        </w:rPr>
        <w:t xml:space="preserve"> </w:t>
      </w:r>
    </w:p>
    <w:p w14:paraId="69FEC5AA" w14:textId="77777777" w:rsidR="001351AC" w:rsidRDefault="001351AC" w:rsidP="00E57208">
      <w:pPr>
        <w:spacing w:after="0" w:line="240" w:lineRule="auto"/>
        <w:ind w:firstLine="284"/>
        <w:jc w:val="center"/>
        <w:rPr>
          <w:rFonts w:ascii="Garamond" w:hAnsi="Garamond"/>
          <w:sz w:val="24"/>
          <w:szCs w:val="24"/>
        </w:rPr>
      </w:pPr>
    </w:p>
    <w:sectPr w:rsidR="001351AC" w:rsidSect="000A74EF">
      <w:pgSz w:w="12240" w:h="15840"/>
      <w:pgMar w:top="1260" w:right="1440" w:bottom="117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4A6AE4" w16cex:dateUtc="2021-11-25T19:04:00Z"/>
  <w16cex:commentExtensible w16cex:durableId="254A6A52" w16cex:dateUtc="2021-11-25T19:02: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13D706" w14:textId="77777777" w:rsidR="007D550C" w:rsidRDefault="007D550C" w:rsidP="00C15B90">
      <w:pPr>
        <w:spacing w:after="0" w:line="240" w:lineRule="auto"/>
      </w:pPr>
      <w:r>
        <w:separator/>
      </w:r>
    </w:p>
  </w:endnote>
  <w:endnote w:type="continuationSeparator" w:id="0">
    <w:p w14:paraId="10D509BB" w14:textId="77777777" w:rsidR="007D550C" w:rsidRDefault="007D550C" w:rsidP="00C15B90">
      <w:pPr>
        <w:spacing w:after="0" w:line="240" w:lineRule="auto"/>
      </w:pPr>
      <w:r>
        <w:continuationSeparator/>
      </w:r>
    </w:p>
  </w:endnote>
  <w:endnote w:type="continuationNotice" w:id="1">
    <w:p w14:paraId="3AC54E20" w14:textId="77777777" w:rsidR="007D550C" w:rsidRDefault="007D55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AFD890" w14:textId="77777777" w:rsidR="007D550C" w:rsidRDefault="007D550C" w:rsidP="00C15B90">
      <w:pPr>
        <w:spacing w:after="0" w:line="240" w:lineRule="auto"/>
      </w:pPr>
      <w:r>
        <w:separator/>
      </w:r>
    </w:p>
  </w:footnote>
  <w:footnote w:type="continuationSeparator" w:id="0">
    <w:p w14:paraId="69FB31A1" w14:textId="77777777" w:rsidR="007D550C" w:rsidRDefault="007D550C" w:rsidP="00C15B90">
      <w:pPr>
        <w:spacing w:after="0" w:line="240" w:lineRule="auto"/>
      </w:pPr>
      <w:r>
        <w:continuationSeparator/>
      </w:r>
    </w:p>
  </w:footnote>
  <w:footnote w:type="continuationNotice" w:id="1">
    <w:p w14:paraId="31D8FBD6" w14:textId="77777777" w:rsidR="007D550C" w:rsidRDefault="007D550C">
      <w:pPr>
        <w:spacing w:after="0" w:line="240" w:lineRule="auto"/>
      </w:pPr>
    </w:p>
  </w:footnote>
  <w:footnote w:id="2">
    <w:p w14:paraId="0D0F42DC" w14:textId="7CBBF5A5" w:rsidR="007D550C" w:rsidRPr="00F2598E" w:rsidRDefault="007D550C" w:rsidP="00F2598E">
      <w:pPr>
        <w:pStyle w:val="FootnoteText"/>
        <w:spacing w:after="0" w:line="240" w:lineRule="auto"/>
        <w:rPr>
          <w:rFonts w:ascii="Garamond" w:hAnsi="Garamond"/>
        </w:rPr>
      </w:pPr>
      <w:r w:rsidRPr="00F2598E">
        <w:rPr>
          <w:rStyle w:val="FootnoteReference"/>
          <w:rFonts w:ascii="Garamond" w:hAnsi="Garamond"/>
        </w:rPr>
        <w:footnoteRef/>
      </w:r>
      <w:r w:rsidRPr="00F2598E">
        <w:rPr>
          <w:rFonts w:ascii="Garamond" w:hAnsi="Garamond"/>
        </w:rPr>
        <w:t xml:space="preserve"> </w:t>
      </w:r>
      <w:proofErr w:type="spellStart"/>
      <w:r w:rsidRPr="00F2598E">
        <w:rPr>
          <w:rFonts w:ascii="Garamond" w:hAnsi="Garamond"/>
        </w:rPr>
        <w:t>Anëtari</w:t>
      </w:r>
      <w:proofErr w:type="spellEnd"/>
      <w:r w:rsidRPr="00F2598E">
        <w:rPr>
          <w:rFonts w:ascii="Garamond" w:hAnsi="Garamond"/>
        </w:rPr>
        <w:t xml:space="preserve"> A. </w:t>
      </w:r>
      <w:proofErr w:type="spellStart"/>
      <w:r w:rsidRPr="00F2598E">
        <w:rPr>
          <w:rFonts w:ascii="Garamond" w:hAnsi="Garamond"/>
        </w:rPr>
        <w:t>Binaj</w:t>
      </w:r>
      <w:proofErr w:type="spellEnd"/>
      <w:r w:rsidRPr="00F2598E">
        <w:rPr>
          <w:rFonts w:ascii="Garamond" w:hAnsi="Garamond"/>
        </w:rPr>
        <w:t xml:space="preserve"> </w:t>
      </w:r>
      <w:proofErr w:type="spellStart"/>
      <w:r w:rsidRPr="00F2598E">
        <w:rPr>
          <w:rFonts w:ascii="Garamond" w:hAnsi="Garamond"/>
        </w:rPr>
        <w:t>votoi</w:t>
      </w:r>
      <w:proofErr w:type="spellEnd"/>
      <w:r w:rsidRPr="00F2598E">
        <w:rPr>
          <w:rFonts w:ascii="Garamond" w:hAnsi="Garamond"/>
        </w:rPr>
        <w:t xml:space="preserve"> </w:t>
      </w:r>
      <w:proofErr w:type="spellStart"/>
      <w:r w:rsidRPr="00F2598E">
        <w:rPr>
          <w:rFonts w:ascii="Garamond" w:hAnsi="Garamond"/>
        </w:rPr>
        <w:t>kundër</w:t>
      </w:r>
      <w:proofErr w:type="spellEnd"/>
      <w:r w:rsidR="00EB34D6">
        <w:rPr>
          <w:rFonts w:ascii="Garamond" w:hAnsi="Garamond"/>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2D429A"/>
    <w:multiLevelType w:val="hybridMultilevel"/>
    <w:tmpl w:val="E7B470A2"/>
    <w:lvl w:ilvl="0" w:tplc="60D4146E">
      <w:start w:val="1"/>
      <w:numFmt w:val="decimal"/>
      <w:lvlText w:val="%1."/>
      <w:lvlJc w:val="left"/>
      <w:pPr>
        <w:ind w:left="1080" w:hanging="360"/>
      </w:pPr>
      <w:rPr>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9E92C6F"/>
    <w:multiLevelType w:val="hybridMultilevel"/>
    <w:tmpl w:val="D554B0C2"/>
    <w:lvl w:ilvl="0" w:tplc="5208969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3A625ED"/>
    <w:multiLevelType w:val="hybridMultilevel"/>
    <w:tmpl w:val="FE5A6D6C"/>
    <w:lvl w:ilvl="0" w:tplc="56DE15D8">
      <w:start w:val="1"/>
      <w:numFmt w:val="decimal"/>
      <w:lvlText w:val="%1."/>
      <w:lvlJc w:val="left"/>
      <w:pPr>
        <w:ind w:left="720" w:hanging="360"/>
      </w:pPr>
      <w:rPr>
        <w:rFonts w:ascii="Times New Roman" w:eastAsia="MS Mincho"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64B67DB"/>
    <w:multiLevelType w:val="multilevel"/>
    <w:tmpl w:val="364C4E9A"/>
    <w:lvl w:ilvl="0">
      <w:start w:val="11"/>
      <w:numFmt w:val="decimal"/>
      <w:lvlText w:val="%1."/>
      <w:lvlJc w:val="left"/>
      <w:pPr>
        <w:ind w:left="480" w:hanging="480"/>
      </w:pPr>
      <w:rPr>
        <w:rFonts w:eastAsia="MS Mincho" w:hint="default"/>
      </w:rPr>
    </w:lvl>
    <w:lvl w:ilvl="1">
      <w:start w:val="1"/>
      <w:numFmt w:val="decimal"/>
      <w:lvlText w:val="%1.%2."/>
      <w:lvlJc w:val="left"/>
      <w:pPr>
        <w:ind w:left="1920" w:hanging="480"/>
      </w:pPr>
      <w:rPr>
        <w:rFonts w:eastAsia="MS Mincho" w:hint="default"/>
      </w:rPr>
    </w:lvl>
    <w:lvl w:ilvl="2">
      <w:start w:val="1"/>
      <w:numFmt w:val="decimal"/>
      <w:lvlText w:val="%1.%2.%3."/>
      <w:lvlJc w:val="left"/>
      <w:pPr>
        <w:ind w:left="3600" w:hanging="720"/>
      </w:pPr>
      <w:rPr>
        <w:rFonts w:eastAsia="MS Mincho" w:hint="default"/>
      </w:rPr>
    </w:lvl>
    <w:lvl w:ilvl="3">
      <w:start w:val="1"/>
      <w:numFmt w:val="decimal"/>
      <w:lvlText w:val="%1.%2.%3.%4."/>
      <w:lvlJc w:val="left"/>
      <w:pPr>
        <w:ind w:left="5040" w:hanging="720"/>
      </w:pPr>
      <w:rPr>
        <w:rFonts w:eastAsia="MS Mincho" w:hint="default"/>
      </w:rPr>
    </w:lvl>
    <w:lvl w:ilvl="4">
      <w:start w:val="1"/>
      <w:numFmt w:val="decimal"/>
      <w:lvlText w:val="%1.%2.%3.%4.%5."/>
      <w:lvlJc w:val="left"/>
      <w:pPr>
        <w:ind w:left="6840" w:hanging="1080"/>
      </w:pPr>
      <w:rPr>
        <w:rFonts w:eastAsia="MS Mincho" w:hint="default"/>
      </w:rPr>
    </w:lvl>
    <w:lvl w:ilvl="5">
      <w:start w:val="1"/>
      <w:numFmt w:val="decimal"/>
      <w:lvlText w:val="%1.%2.%3.%4.%5.%6."/>
      <w:lvlJc w:val="left"/>
      <w:pPr>
        <w:ind w:left="8280" w:hanging="1080"/>
      </w:pPr>
      <w:rPr>
        <w:rFonts w:eastAsia="MS Mincho" w:hint="default"/>
      </w:rPr>
    </w:lvl>
    <w:lvl w:ilvl="6">
      <w:start w:val="1"/>
      <w:numFmt w:val="decimal"/>
      <w:lvlText w:val="%1.%2.%3.%4.%5.%6.%7."/>
      <w:lvlJc w:val="left"/>
      <w:pPr>
        <w:ind w:left="10080" w:hanging="1440"/>
      </w:pPr>
      <w:rPr>
        <w:rFonts w:eastAsia="MS Mincho" w:hint="default"/>
      </w:rPr>
    </w:lvl>
    <w:lvl w:ilvl="7">
      <w:start w:val="1"/>
      <w:numFmt w:val="decimal"/>
      <w:lvlText w:val="%1.%2.%3.%4.%5.%6.%7.%8."/>
      <w:lvlJc w:val="left"/>
      <w:pPr>
        <w:ind w:left="11520" w:hanging="1440"/>
      </w:pPr>
      <w:rPr>
        <w:rFonts w:eastAsia="MS Mincho" w:hint="default"/>
      </w:rPr>
    </w:lvl>
    <w:lvl w:ilvl="8">
      <w:start w:val="1"/>
      <w:numFmt w:val="decimal"/>
      <w:lvlText w:val="%1.%2.%3.%4.%5.%6.%7.%8.%9."/>
      <w:lvlJc w:val="left"/>
      <w:pPr>
        <w:ind w:left="13320" w:hanging="1800"/>
      </w:pPr>
      <w:rPr>
        <w:rFonts w:eastAsia="MS Mincho" w:hint="default"/>
      </w:rPr>
    </w:lvl>
  </w:abstractNum>
  <w:abstractNum w:abstractNumId="4">
    <w:nsid w:val="4B9C5FDB"/>
    <w:multiLevelType w:val="hybridMultilevel"/>
    <w:tmpl w:val="B53A2A00"/>
    <w:lvl w:ilvl="0" w:tplc="2892E374">
      <w:start w:val="1"/>
      <w:numFmt w:val="decimal"/>
      <w:lvlText w:val="%1."/>
      <w:lvlJc w:val="left"/>
      <w:pPr>
        <w:ind w:left="495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BD82746"/>
    <w:multiLevelType w:val="multilevel"/>
    <w:tmpl w:val="79BE0490"/>
    <w:lvl w:ilvl="0">
      <w:start w:val="1"/>
      <w:numFmt w:val="decimal"/>
      <w:lvlText w:val="%1."/>
      <w:lvlJc w:val="left"/>
      <w:pPr>
        <w:ind w:left="720" w:hanging="360"/>
      </w:pPr>
      <w:rPr>
        <w:rFonts w:hint="default"/>
        <w:b w:val="0"/>
        <w:i w:val="0"/>
      </w:rPr>
    </w:lvl>
    <w:lvl w:ilvl="1">
      <w:start w:val="1"/>
      <w:numFmt w:val="decimal"/>
      <w:isLgl/>
      <w:lvlText w:val="%1.%2"/>
      <w:lvlJc w:val="left"/>
      <w:pPr>
        <w:ind w:left="1069" w:hanging="360"/>
      </w:pPr>
      <w:rPr>
        <w:rFonts w:ascii="Times New Roman" w:eastAsia="MS Mincho" w:hAnsi="Times New Roman" w:cs="Times New Roman" w:hint="default"/>
        <w:i w:val="0"/>
      </w:rPr>
    </w:lvl>
    <w:lvl w:ilvl="2">
      <w:start w:val="1"/>
      <w:numFmt w:val="decimal"/>
      <w:isLgl/>
      <w:lvlText w:val="%1.%2.%3"/>
      <w:lvlJc w:val="left"/>
      <w:pPr>
        <w:ind w:left="1778" w:hanging="720"/>
      </w:pPr>
      <w:rPr>
        <w:rFonts w:ascii="Times New Roman" w:eastAsia="MS Mincho" w:hAnsi="Times New Roman" w:cs="Times New Roman" w:hint="default"/>
        <w:i w:val="0"/>
      </w:rPr>
    </w:lvl>
    <w:lvl w:ilvl="3">
      <w:start w:val="1"/>
      <w:numFmt w:val="decimal"/>
      <w:isLgl/>
      <w:lvlText w:val="%1.%2.%3.%4"/>
      <w:lvlJc w:val="left"/>
      <w:pPr>
        <w:ind w:left="2127" w:hanging="720"/>
      </w:pPr>
      <w:rPr>
        <w:rFonts w:ascii="Times New Roman" w:eastAsia="MS Mincho" w:hAnsi="Times New Roman" w:cs="Times New Roman" w:hint="default"/>
        <w:i/>
      </w:rPr>
    </w:lvl>
    <w:lvl w:ilvl="4">
      <w:start w:val="1"/>
      <w:numFmt w:val="decimal"/>
      <w:isLgl/>
      <w:lvlText w:val="%1.%2.%3.%4.%5"/>
      <w:lvlJc w:val="left"/>
      <w:pPr>
        <w:ind w:left="2836" w:hanging="1080"/>
      </w:pPr>
      <w:rPr>
        <w:rFonts w:ascii="Times New Roman" w:eastAsia="MS Mincho" w:hAnsi="Times New Roman" w:cs="Times New Roman" w:hint="default"/>
        <w:i/>
      </w:rPr>
    </w:lvl>
    <w:lvl w:ilvl="5">
      <w:start w:val="1"/>
      <w:numFmt w:val="decimal"/>
      <w:isLgl/>
      <w:lvlText w:val="%1.%2.%3.%4.%5.%6"/>
      <w:lvlJc w:val="left"/>
      <w:pPr>
        <w:ind w:left="3185" w:hanging="1080"/>
      </w:pPr>
      <w:rPr>
        <w:rFonts w:ascii="Times New Roman" w:eastAsia="MS Mincho" w:hAnsi="Times New Roman" w:cs="Times New Roman" w:hint="default"/>
        <w:i/>
      </w:rPr>
    </w:lvl>
    <w:lvl w:ilvl="6">
      <w:start w:val="1"/>
      <w:numFmt w:val="decimal"/>
      <w:isLgl/>
      <w:lvlText w:val="%1.%2.%3.%4.%5.%6.%7"/>
      <w:lvlJc w:val="left"/>
      <w:pPr>
        <w:ind w:left="3894" w:hanging="1440"/>
      </w:pPr>
      <w:rPr>
        <w:rFonts w:ascii="Times New Roman" w:eastAsia="MS Mincho" w:hAnsi="Times New Roman" w:cs="Times New Roman" w:hint="default"/>
        <w:i/>
      </w:rPr>
    </w:lvl>
    <w:lvl w:ilvl="7">
      <w:start w:val="1"/>
      <w:numFmt w:val="decimal"/>
      <w:isLgl/>
      <w:lvlText w:val="%1.%2.%3.%4.%5.%6.%7.%8"/>
      <w:lvlJc w:val="left"/>
      <w:pPr>
        <w:ind w:left="4243" w:hanging="1440"/>
      </w:pPr>
      <w:rPr>
        <w:rFonts w:ascii="Times New Roman" w:eastAsia="MS Mincho" w:hAnsi="Times New Roman" w:cs="Times New Roman" w:hint="default"/>
        <w:i/>
      </w:rPr>
    </w:lvl>
    <w:lvl w:ilvl="8">
      <w:start w:val="1"/>
      <w:numFmt w:val="decimal"/>
      <w:isLgl/>
      <w:lvlText w:val="%1.%2.%3.%4.%5.%6.%7.%8.%9"/>
      <w:lvlJc w:val="left"/>
      <w:pPr>
        <w:ind w:left="4952" w:hanging="1800"/>
      </w:pPr>
      <w:rPr>
        <w:rFonts w:ascii="Times New Roman" w:eastAsia="MS Mincho" w:hAnsi="Times New Roman" w:cs="Times New Roman" w:hint="default"/>
        <w:i/>
      </w:rPr>
    </w:lvl>
  </w:abstractNum>
  <w:abstractNum w:abstractNumId="6">
    <w:nsid w:val="6C500144"/>
    <w:multiLevelType w:val="hybridMultilevel"/>
    <w:tmpl w:val="334A244A"/>
    <w:lvl w:ilvl="0" w:tplc="3C3A038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A444505"/>
    <w:multiLevelType w:val="hybridMultilevel"/>
    <w:tmpl w:val="662036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2"/>
  </w:num>
  <w:num w:numId="4">
    <w:abstractNumId w:val="3"/>
  </w:num>
  <w:num w:numId="5">
    <w:abstractNumId w:val="4"/>
  </w:num>
  <w:num w:numId="6">
    <w:abstractNumId w:val="7"/>
  </w:num>
  <w:num w:numId="7">
    <w:abstractNumId w:val="6"/>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1598"/>
    <w:rsid w:val="00003B1A"/>
    <w:rsid w:val="00003BCD"/>
    <w:rsid w:val="000040FD"/>
    <w:rsid w:val="000045BC"/>
    <w:rsid w:val="00004762"/>
    <w:rsid w:val="0000606A"/>
    <w:rsid w:val="00006894"/>
    <w:rsid w:val="00006972"/>
    <w:rsid w:val="00007670"/>
    <w:rsid w:val="00007E06"/>
    <w:rsid w:val="000105EF"/>
    <w:rsid w:val="000142F1"/>
    <w:rsid w:val="0001453A"/>
    <w:rsid w:val="00014725"/>
    <w:rsid w:val="0001514B"/>
    <w:rsid w:val="000157DA"/>
    <w:rsid w:val="00015AC5"/>
    <w:rsid w:val="00020E26"/>
    <w:rsid w:val="000211F4"/>
    <w:rsid w:val="000221BB"/>
    <w:rsid w:val="00022AE3"/>
    <w:rsid w:val="00023117"/>
    <w:rsid w:val="00023A22"/>
    <w:rsid w:val="00026815"/>
    <w:rsid w:val="000310A4"/>
    <w:rsid w:val="00031712"/>
    <w:rsid w:val="00032BE9"/>
    <w:rsid w:val="000332A2"/>
    <w:rsid w:val="000339EF"/>
    <w:rsid w:val="00033D5B"/>
    <w:rsid w:val="000353BF"/>
    <w:rsid w:val="0003563B"/>
    <w:rsid w:val="00036F1D"/>
    <w:rsid w:val="00037313"/>
    <w:rsid w:val="00040050"/>
    <w:rsid w:val="00040628"/>
    <w:rsid w:val="00041110"/>
    <w:rsid w:val="00041507"/>
    <w:rsid w:val="00042268"/>
    <w:rsid w:val="00042D85"/>
    <w:rsid w:val="000441E5"/>
    <w:rsid w:val="00044299"/>
    <w:rsid w:val="00044C24"/>
    <w:rsid w:val="000463E2"/>
    <w:rsid w:val="000507BB"/>
    <w:rsid w:val="00054DCD"/>
    <w:rsid w:val="00056D7F"/>
    <w:rsid w:val="00056FE7"/>
    <w:rsid w:val="0005706E"/>
    <w:rsid w:val="00057E12"/>
    <w:rsid w:val="0006102F"/>
    <w:rsid w:val="00061334"/>
    <w:rsid w:val="0006277D"/>
    <w:rsid w:val="00062BAC"/>
    <w:rsid w:val="00065BEF"/>
    <w:rsid w:val="0006650A"/>
    <w:rsid w:val="00066C1C"/>
    <w:rsid w:val="00067077"/>
    <w:rsid w:val="000678D7"/>
    <w:rsid w:val="00070D57"/>
    <w:rsid w:val="00071105"/>
    <w:rsid w:val="00071987"/>
    <w:rsid w:val="0007245C"/>
    <w:rsid w:val="00073B0A"/>
    <w:rsid w:val="00074D72"/>
    <w:rsid w:val="0007649B"/>
    <w:rsid w:val="0008005B"/>
    <w:rsid w:val="00080A72"/>
    <w:rsid w:val="000819C3"/>
    <w:rsid w:val="0008324F"/>
    <w:rsid w:val="000835CA"/>
    <w:rsid w:val="00085C7B"/>
    <w:rsid w:val="00085E79"/>
    <w:rsid w:val="00090BC1"/>
    <w:rsid w:val="000940E9"/>
    <w:rsid w:val="00095680"/>
    <w:rsid w:val="00095C64"/>
    <w:rsid w:val="00097A8E"/>
    <w:rsid w:val="00097EE9"/>
    <w:rsid w:val="000A0659"/>
    <w:rsid w:val="000A1A3F"/>
    <w:rsid w:val="000A1AF9"/>
    <w:rsid w:val="000A214A"/>
    <w:rsid w:val="000A2F06"/>
    <w:rsid w:val="000A6B2A"/>
    <w:rsid w:val="000A6D56"/>
    <w:rsid w:val="000A70EF"/>
    <w:rsid w:val="000A74EF"/>
    <w:rsid w:val="000B1F6B"/>
    <w:rsid w:val="000B235A"/>
    <w:rsid w:val="000B3470"/>
    <w:rsid w:val="000B5EDD"/>
    <w:rsid w:val="000B68F7"/>
    <w:rsid w:val="000B711F"/>
    <w:rsid w:val="000B7BD7"/>
    <w:rsid w:val="000C01A3"/>
    <w:rsid w:val="000C04AC"/>
    <w:rsid w:val="000C04B4"/>
    <w:rsid w:val="000C1733"/>
    <w:rsid w:val="000C1926"/>
    <w:rsid w:val="000C1F38"/>
    <w:rsid w:val="000C268C"/>
    <w:rsid w:val="000C2F72"/>
    <w:rsid w:val="000C31F1"/>
    <w:rsid w:val="000C3BDE"/>
    <w:rsid w:val="000C52F6"/>
    <w:rsid w:val="000C5BC4"/>
    <w:rsid w:val="000C6250"/>
    <w:rsid w:val="000C7AC1"/>
    <w:rsid w:val="000C7F39"/>
    <w:rsid w:val="000D4BF1"/>
    <w:rsid w:val="000D61C4"/>
    <w:rsid w:val="000D688B"/>
    <w:rsid w:val="000D6C24"/>
    <w:rsid w:val="000E12D6"/>
    <w:rsid w:val="000E18A2"/>
    <w:rsid w:val="000E2272"/>
    <w:rsid w:val="000E238B"/>
    <w:rsid w:val="000E3718"/>
    <w:rsid w:val="000E4C51"/>
    <w:rsid w:val="000E4D2A"/>
    <w:rsid w:val="000E5EEC"/>
    <w:rsid w:val="000F02BB"/>
    <w:rsid w:val="000F0952"/>
    <w:rsid w:val="000F33F1"/>
    <w:rsid w:val="000F4354"/>
    <w:rsid w:val="000F4797"/>
    <w:rsid w:val="000F4A4B"/>
    <w:rsid w:val="000F50CC"/>
    <w:rsid w:val="00104B86"/>
    <w:rsid w:val="00105501"/>
    <w:rsid w:val="0010570F"/>
    <w:rsid w:val="001072E1"/>
    <w:rsid w:val="00107CCA"/>
    <w:rsid w:val="001109B2"/>
    <w:rsid w:val="00111B04"/>
    <w:rsid w:val="0011246D"/>
    <w:rsid w:val="00117453"/>
    <w:rsid w:val="00123815"/>
    <w:rsid w:val="00124321"/>
    <w:rsid w:val="00124EC2"/>
    <w:rsid w:val="001255DE"/>
    <w:rsid w:val="00130757"/>
    <w:rsid w:val="001319AA"/>
    <w:rsid w:val="001351AC"/>
    <w:rsid w:val="00135C62"/>
    <w:rsid w:val="00135DC2"/>
    <w:rsid w:val="00140E2A"/>
    <w:rsid w:val="0014189B"/>
    <w:rsid w:val="00141E85"/>
    <w:rsid w:val="001428FC"/>
    <w:rsid w:val="00143F0F"/>
    <w:rsid w:val="001440B4"/>
    <w:rsid w:val="0014569D"/>
    <w:rsid w:val="00146758"/>
    <w:rsid w:val="001469B4"/>
    <w:rsid w:val="00146EFB"/>
    <w:rsid w:val="00147AE4"/>
    <w:rsid w:val="00147DD6"/>
    <w:rsid w:val="0015067B"/>
    <w:rsid w:val="0015381D"/>
    <w:rsid w:val="0016015F"/>
    <w:rsid w:val="00160EAE"/>
    <w:rsid w:val="00161FB6"/>
    <w:rsid w:val="00163E78"/>
    <w:rsid w:val="00165750"/>
    <w:rsid w:val="00165AF7"/>
    <w:rsid w:val="00165BEB"/>
    <w:rsid w:val="00166292"/>
    <w:rsid w:val="00167C06"/>
    <w:rsid w:val="0017156A"/>
    <w:rsid w:val="0017257A"/>
    <w:rsid w:val="00172EDD"/>
    <w:rsid w:val="00174E67"/>
    <w:rsid w:val="00177474"/>
    <w:rsid w:val="00181A5B"/>
    <w:rsid w:val="00181E31"/>
    <w:rsid w:val="00182649"/>
    <w:rsid w:val="001831BD"/>
    <w:rsid w:val="0018338D"/>
    <w:rsid w:val="001834CC"/>
    <w:rsid w:val="001843BC"/>
    <w:rsid w:val="00184464"/>
    <w:rsid w:val="0018531D"/>
    <w:rsid w:val="00185861"/>
    <w:rsid w:val="00186B89"/>
    <w:rsid w:val="00187A79"/>
    <w:rsid w:val="00187B9B"/>
    <w:rsid w:val="00187D90"/>
    <w:rsid w:val="00191CE3"/>
    <w:rsid w:val="001922E4"/>
    <w:rsid w:val="00192665"/>
    <w:rsid w:val="001950D6"/>
    <w:rsid w:val="0019512D"/>
    <w:rsid w:val="001974EB"/>
    <w:rsid w:val="001A2AFF"/>
    <w:rsid w:val="001A314A"/>
    <w:rsid w:val="001A4BD5"/>
    <w:rsid w:val="001A4C87"/>
    <w:rsid w:val="001A657E"/>
    <w:rsid w:val="001A685D"/>
    <w:rsid w:val="001B078A"/>
    <w:rsid w:val="001B07CC"/>
    <w:rsid w:val="001B3C61"/>
    <w:rsid w:val="001B4365"/>
    <w:rsid w:val="001B6366"/>
    <w:rsid w:val="001B7E75"/>
    <w:rsid w:val="001C005F"/>
    <w:rsid w:val="001C11DD"/>
    <w:rsid w:val="001C162F"/>
    <w:rsid w:val="001C291B"/>
    <w:rsid w:val="001C365E"/>
    <w:rsid w:val="001C3A60"/>
    <w:rsid w:val="001C564F"/>
    <w:rsid w:val="001C7DF5"/>
    <w:rsid w:val="001D01A7"/>
    <w:rsid w:val="001D1A69"/>
    <w:rsid w:val="001D1E84"/>
    <w:rsid w:val="001D2766"/>
    <w:rsid w:val="001D5BE7"/>
    <w:rsid w:val="001D6AA9"/>
    <w:rsid w:val="001D7AA7"/>
    <w:rsid w:val="001D7BBB"/>
    <w:rsid w:val="001E30A1"/>
    <w:rsid w:val="001E43DB"/>
    <w:rsid w:val="001E70AB"/>
    <w:rsid w:val="001E74A7"/>
    <w:rsid w:val="001E7B2F"/>
    <w:rsid w:val="001F0429"/>
    <w:rsid w:val="001F0E7B"/>
    <w:rsid w:val="001F16D3"/>
    <w:rsid w:val="001F2290"/>
    <w:rsid w:val="001F5C5B"/>
    <w:rsid w:val="001F69ED"/>
    <w:rsid w:val="001F6D6B"/>
    <w:rsid w:val="001F7676"/>
    <w:rsid w:val="0020044A"/>
    <w:rsid w:val="0020046F"/>
    <w:rsid w:val="002013A1"/>
    <w:rsid w:val="00201DB1"/>
    <w:rsid w:val="00202FE7"/>
    <w:rsid w:val="00204887"/>
    <w:rsid w:val="00205BD0"/>
    <w:rsid w:val="00206CBA"/>
    <w:rsid w:val="00207D97"/>
    <w:rsid w:val="00210405"/>
    <w:rsid w:val="002105DC"/>
    <w:rsid w:val="002128B0"/>
    <w:rsid w:val="00212A76"/>
    <w:rsid w:val="00212D28"/>
    <w:rsid w:val="002134D9"/>
    <w:rsid w:val="00213947"/>
    <w:rsid w:val="00215386"/>
    <w:rsid w:val="00215F2C"/>
    <w:rsid w:val="00216AE6"/>
    <w:rsid w:val="002219BA"/>
    <w:rsid w:val="0022239B"/>
    <w:rsid w:val="00224337"/>
    <w:rsid w:val="00224D5B"/>
    <w:rsid w:val="002254A8"/>
    <w:rsid w:val="00226C04"/>
    <w:rsid w:val="00227B4D"/>
    <w:rsid w:val="00227BA1"/>
    <w:rsid w:val="00230235"/>
    <w:rsid w:val="002319B2"/>
    <w:rsid w:val="00231C68"/>
    <w:rsid w:val="00231CAD"/>
    <w:rsid w:val="002320D4"/>
    <w:rsid w:val="0023292E"/>
    <w:rsid w:val="00236195"/>
    <w:rsid w:val="002374E7"/>
    <w:rsid w:val="00240814"/>
    <w:rsid w:val="00243F86"/>
    <w:rsid w:val="00244B8B"/>
    <w:rsid w:val="0024590A"/>
    <w:rsid w:val="002471C2"/>
    <w:rsid w:val="00251EAD"/>
    <w:rsid w:val="00252540"/>
    <w:rsid w:val="002538C9"/>
    <w:rsid w:val="00253D70"/>
    <w:rsid w:val="002543C1"/>
    <w:rsid w:val="00256AE1"/>
    <w:rsid w:val="00257829"/>
    <w:rsid w:val="0026043B"/>
    <w:rsid w:val="00261122"/>
    <w:rsid w:val="00263C55"/>
    <w:rsid w:val="00265328"/>
    <w:rsid w:val="0026585C"/>
    <w:rsid w:val="002703DF"/>
    <w:rsid w:val="00270877"/>
    <w:rsid w:val="00271980"/>
    <w:rsid w:val="00272017"/>
    <w:rsid w:val="002737F3"/>
    <w:rsid w:val="0027405D"/>
    <w:rsid w:val="00275505"/>
    <w:rsid w:val="002815B4"/>
    <w:rsid w:val="00281FAC"/>
    <w:rsid w:val="00283309"/>
    <w:rsid w:val="00283F8F"/>
    <w:rsid w:val="0028421B"/>
    <w:rsid w:val="00285A6C"/>
    <w:rsid w:val="002868BE"/>
    <w:rsid w:val="00286994"/>
    <w:rsid w:val="00286B03"/>
    <w:rsid w:val="00290918"/>
    <w:rsid w:val="00290926"/>
    <w:rsid w:val="00290D21"/>
    <w:rsid w:val="00291728"/>
    <w:rsid w:val="0029178A"/>
    <w:rsid w:val="00291FD8"/>
    <w:rsid w:val="00294554"/>
    <w:rsid w:val="002947DB"/>
    <w:rsid w:val="0029528C"/>
    <w:rsid w:val="00296383"/>
    <w:rsid w:val="00296F7E"/>
    <w:rsid w:val="002A0B16"/>
    <w:rsid w:val="002A284F"/>
    <w:rsid w:val="002A4DB1"/>
    <w:rsid w:val="002A54D4"/>
    <w:rsid w:val="002A617C"/>
    <w:rsid w:val="002A7506"/>
    <w:rsid w:val="002A7DF9"/>
    <w:rsid w:val="002B1170"/>
    <w:rsid w:val="002B2718"/>
    <w:rsid w:val="002B2CCC"/>
    <w:rsid w:val="002B4DFB"/>
    <w:rsid w:val="002B5B39"/>
    <w:rsid w:val="002B60EB"/>
    <w:rsid w:val="002B6217"/>
    <w:rsid w:val="002B67B4"/>
    <w:rsid w:val="002B6E50"/>
    <w:rsid w:val="002B7B01"/>
    <w:rsid w:val="002C217F"/>
    <w:rsid w:val="002C23C5"/>
    <w:rsid w:val="002C37A1"/>
    <w:rsid w:val="002C490A"/>
    <w:rsid w:val="002C584E"/>
    <w:rsid w:val="002C5AFB"/>
    <w:rsid w:val="002C5C3E"/>
    <w:rsid w:val="002C6FF2"/>
    <w:rsid w:val="002D1EC9"/>
    <w:rsid w:val="002D3D88"/>
    <w:rsid w:val="002D4890"/>
    <w:rsid w:val="002D49A5"/>
    <w:rsid w:val="002D52E9"/>
    <w:rsid w:val="002D53B3"/>
    <w:rsid w:val="002D6CF2"/>
    <w:rsid w:val="002E07DA"/>
    <w:rsid w:val="002E282D"/>
    <w:rsid w:val="002E3DA8"/>
    <w:rsid w:val="002E51F8"/>
    <w:rsid w:val="002E71B7"/>
    <w:rsid w:val="002F08C7"/>
    <w:rsid w:val="002F0E04"/>
    <w:rsid w:val="002F30D0"/>
    <w:rsid w:val="002F333E"/>
    <w:rsid w:val="002F3FA7"/>
    <w:rsid w:val="002F40FE"/>
    <w:rsid w:val="002F45BE"/>
    <w:rsid w:val="002F5409"/>
    <w:rsid w:val="002F7E53"/>
    <w:rsid w:val="003003BB"/>
    <w:rsid w:val="00302BD8"/>
    <w:rsid w:val="0030321E"/>
    <w:rsid w:val="00305F08"/>
    <w:rsid w:val="0030651E"/>
    <w:rsid w:val="00307F88"/>
    <w:rsid w:val="003109CC"/>
    <w:rsid w:val="0031371B"/>
    <w:rsid w:val="00313AD3"/>
    <w:rsid w:val="00314FA0"/>
    <w:rsid w:val="00320074"/>
    <w:rsid w:val="003201AE"/>
    <w:rsid w:val="003205D4"/>
    <w:rsid w:val="00320A91"/>
    <w:rsid w:val="00320AF0"/>
    <w:rsid w:val="00321DA8"/>
    <w:rsid w:val="003228FE"/>
    <w:rsid w:val="00322CFB"/>
    <w:rsid w:val="0032635B"/>
    <w:rsid w:val="00330CC6"/>
    <w:rsid w:val="00331D2F"/>
    <w:rsid w:val="003330A2"/>
    <w:rsid w:val="00334375"/>
    <w:rsid w:val="003344C5"/>
    <w:rsid w:val="0033455D"/>
    <w:rsid w:val="00334910"/>
    <w:rsid w:val="00334A16"/>
    <w:rsid w:val="003358AA"/>
    <w:rsid w:val="00335932"/>
    <w:rsid w:val="0034194D"/>
    <w:rsid w:val="00341C8D"/>
    <w:rsid w:val="00343AAE"/>
    <w:rsid w:val="0034569D"/>
    <w:rsid w:val="003460EB"/>
    <w:rsid w:val="0034692E"/>
    <w:rsid w:val="00347A2F"/>
    <w:rsid w:val="003506C4"/>
    <w:rsid w:val="00350C35"/>
    <w:rsid w:val="00351497"/>
    <w:rsid w:val="00351DCA"/>
    <w:rsid w:val="00352142"/>
    <w:rsid w:val="00352312"/>
    <w:rsid w:val="003527B7"/>
    <w:rsid w:val="00353A22"/>
    <w:rsid w:val="00353A48"/>
    <w:rsid w:val="00354170"/>
    <w:rsid w:val="00354467"/>
    <w:rsid w:val="00354C78"/>
    <w:rsid w:val="00356090"/>
    <w:rsid w:val="003566B9"/>
    <w:rsid w:val="003579A3"/>
    <w:rsid w:val="0036037E"/>
    <w:rsid w:val="00360FDF"/>
    <w:rsid w:val="003614B0"/>
    <w:rsid w:val="003616D8"/>
    <w:rsid w:val="00363931"/>
    <w:rsid w:val="00363EB8"/>
    <w:rsid w:val="00364A0D"/>
    <w:rsid w:val="00364CAB"/>
    <w:rsid w:val="00366F9A"/>
    <w:rsid w:val="003711F6"/>
    <w:rsid w:val="003729F6"/>
    <w:rsid w:val="00372F72"/>
    <w:rsid w:val="00373159"/>
    <w:rsid w:val="00373189"/>
    <w:rsid w:val="003741BE"/>
    <w:rsid w:val="00376403"/>
    <w:rsid w:val="0037641E"/>
    <w:rsid w:val="003800DF"/>
    <w:rsid w:val="003832A3"/>
    <w:rsid w:val="00383D8E"/>
    <w:rsid w:val="00385090"/>
    <w:rsid w:val="0038578A"/>
    <w:rsid w:val="0038582F"/>
    <w:rsid w:val="003866B1"/>
    <w:rsid w:val="003872AC"/>
    <w:rsid w:val="0038782F"/>
    <w:rsid w:val="003903CF"/>
    <w:rsid w:val="00390BDE"/>
    <w:rsid w:val="00391526"/>
    <w:rsid w:val="00391739"/>
    <w:rsid w:val="003925CB"/>
    <w:rsid w:val="00392AE8"/>
    <w:rsid w:val="00394F26"/>
    <w:rsid w:val="00394F73"/>
    <w:rsid w:val="00395450"/>
    <w:rsid w:val="00396F52"/>
    <w:rsid w:val="003A42F9"/>
    <w:rsid w:val="003B1A31"/>
    <w:rsid w:val="003B1DC1"/>
    <w:rsid w:val="003B2965"/>
    <w:rsid w:val="003B30DB"/>
    <w:rsid w:val="003B314E"/>
    <w:rsid w:val="003B3522"/>
    <w:rsid w:val="003B503F"/>
    <w:rsid w:val="003B5F47"/>
    <w:rsid w:val="003B6046"/>
    <w:rsid w:val="003B6058"/>
    <w:rsid w:val="003B6740"/>
    <w:rsid w:val="003B6C8D"/>
    <w:rsid w:val="003B6EA7"/>
    <w:rsid w:val="003B7DA3"/>
    <w:rsid w:val="003B7FF7"/>
    <w:rsid w:val="003C0ADA"/>
    <w:rsid w:val="003C0BC0"/>
    <w:rsid w:val="003C2071"/>
    <w:rsid w:val="003C3AB9"/>
    <w:rsid w:val="003C74B0"/>
    <w:rsid w:val="003C7563"/>
    <w:rsid w:val="003D008F"/>
    <w:rsid w:val="003D07F6"/>
    <w:rsid w:val="003D09B6"/>
    <w:rsid w:val="003D0F71"/>
    <w:rsid w:val="003D1403"/>
    <w:rsid w:val="003D2DFA"/>
    <w:rsid w:val="003D3D4A"/>
    <w:rsid w:val="003D51A6"/>
    <w:rsid w:val="003D608B"/>
    <w:rsid w:val="003D7696"/>
    <w:rsid w:val="003E4944"/>
    <w:rsid w:val="003E5E03"/>
    <w:rsid w:val="003E6282"/>
    <w:rsid w:val="003F0789"/>
    <w:rsid w:val="003F0FAD"/>
    <w:rsid w:val="003F10C8"/>
    <w:rsid w:val="003F196D"/>
    <w:rsid w:val="003F1C70"/>
    <w:rsid w:val="003F1FCA"/>
    <w:rsid w:val="003F3178"/>
    <w:rsid w:val="003F3411"/>
    <w:rsid w:val="003F48DC"/>
    <w:rsid w:val="003F4911"/>
    <w:rsid w:val="003F670E"/>
    <w:rsid w:val="003F7F7D"/>
    <w:rsid w:val="00400E8B"/>
    <w:rsid w:val="004011F7"/>
    <w:rsid w:val="00403AA6"/>
    <w:rsid w:val="004048E3"/>
    <w:rsid w:val="004048FA"/>
    <w:rsid w:val="00405B87"/>
    <w:rsid w:val="004064D5"/>
    <w:rsid w:val="0040656B"/>
    <w:rsid w:val="00407C1D"/>
    <w:rsid w:val="00410096"/>
    <w:rsid w:val="00410140"/>
    <w:rsid w:val="00410E31"/>
    <w:rsid w:val="00411B5D"/>
    <w:rsid w:val="00412FEA"/>
    <w:rsid w:val="00413831"/>
    <w:rsid w:val="00413DCB"/>
    <w:rsid w:val="0041418A"/>
    <w:rsid w:val="00416783"/>
    <w:rsid w:val="00421291"/>
    <w:rsid w:val="004212AD"/>
    <w:rsid w:val="004222E9"/>
    <w:rsid w:val="00422860"/>
    <w:rsid w:val="00424D26"/>
    <w:rsid w:val="004253FE"/>
    <w:rsid w:val="00425592"/>
    <w:rsid w:val="00426AAC"/>
    <w:rsid w:val="00427358"/>
    <w:rsid w:val="00431CCB"/>
    <w:rsid w:val="00432022"/>
    <w:rsid w:val="004320F0"/>
    <w:rsid w:val="004321F5"/>
    <w:rsid w:val="004352A3"/>
    <w:rsid w:val="00435329"/>
    <w:rsid w:val="00436D3F"/>
    <w:rsid w:val="00436DF4"/>
    <w:rsid w:val="00440196"/>
    <w:rsid w:val="004412E4"/>
    <w:rsid w:val="0044230D"/>
    <w:rsid w:val="004424A7"/>
    <w:rsid w:val="00442A93"/>
    <w:rsid w:val="004434D4"/>
    <w:rsid w:val="004446DC"/>
    <w:rsid w:val="00445AF3"/>
    <w:rsid w:val="0044630F"/>
    <w:rsid w:val="004468A7"/>
    <w:rsid w:val="0044706F"/>
    <w:rsid w:val="004506D2"/>
    <w:rsid w:val="00452514"/>
    <w:rsid w:val="00452937"/>
    <w:rsid w:val="00453E0A"/>
    <w:rsid w:val="004543FA"/>
    <w:rsid w:val="004546D7"/>
    <w:rsid w:val="004565DE"/>
    <w:rsid w:val="004568D9"/>
    <w:rsid w:val="00461982"/>
    <w:rsid w:val="004634E5"/>
    <w:rsid w:val="00464A26"/>
    <w:rsid w:val="004656F4"/>
    <w:rsid w:val="00465887"/>
    <w:rsid w:val="004659E0"/>
    <w:rsid w:val="00466366"/>
    <w:rsid w:val="00466434"/>
    <w:rsid w:val="004667F9"/>
    <w:rsid w:val="0047049A"/>
    <w:rsid w:val="00470B25"/>
    <w:rsid w:val="004717D0"/>
    <w:rsid w:val="004730B7"/>
    <w:rsid w:val="00474944"/>
    <w:rsid w:val="004749AF"/>
    <w:rsid w:val="00480547"/>
    <w:rsid w:val="00481162"/>
    <w:rsid w:val="00481F69"/>
    <w:rsid w:val="00483EF9"/>
    <w:rsid w:val="00485683"/>
    <w:rsid w:val="004861F4"/>
    <w:rsid w:val="00486B66"/>
    <w:rsid w:val="00486BA1"/>
    <w:rsid w:val="004906D2"/>
    <w:rsid w:val="00490F2C"/>
    <w:rsid w:val="00491680"/>
    <w:rsid w:val="004920D6"/>
    <w:rsid w:val="004930E0"/>
    <w:rsid w:val="0049329D"/>
    <w:rsid w:val="004937D5"/>
    <w:rsid w:val="0049462E"/>
    <w:rsid w:val="0049544E"/>
    <w:rsid w:val="00496265"/>
    <w:rsid w:val="004976D9"/>
    <w:rsid w:val="004A1172"/>
    <w:rsid w:val="004A21CE"/>
    <w:rsid w:val="004A266A"/>
    <w:rsid w:val="004A28FF"/>
    <w:rsid w:val="004A5A8E"/>
    <w:rsid w:val="004B1206"/>
    <w:rsid w:val="004B1DCD"/>
    <w:rsid w:val="004B23E4"/>
    <w:rsid w:val="004B4AEA"/>
    <w:rsid w:val="004B4F99"/>
    <w:rsid w:val="004B5C8E"/>
    <w:rsid w:val="004B7735"/>
    <w:rsid w:val="004C061C"/>
    <w:rsid w:val="004C2999"/>
    <w:rsid w:val="004C4C18"/>
    <w:rsid w:val="004C4D6D"/>
    <w:rsid w:val="004C658E"/>
    <w:rsid w:val="004C7294"/>
    <w:rsid w:val="004C750E"/>
    <w:rsid w:val="004D1FC6"/>
    <w:rsid w:val="004D31BD"/>
    <w:rsid w:val="004D3342"/>
    <w:rsid w:val="004D4913"/>
    <w:rsid w:val="004D5851"/>
    <w:rsid w:val="004D7437"/>
    <w:rsid w:val="004E2530"/>
    <w:rsid w:val="004E2FB2"/>
    <w:rsid w:val="004E5884"/>
    <w:rsid w:val="004E589B"/>
    <w:rsid w:val="004F037C"/>
    <w:rsid w:val="004F0461"/>
    <w:rsid w:val="004F046B"/>
    <w:rsid w:val="004F1278"/>
    <w:rsid w:val="004F209D"/>
    <w:rsid w:val="004F2FCE"/>
    <w:rsid w:val="004F3DEB"/>
    <w:rsid w:val="004F3F4B"/>
    <w:rsid w:val="004F4107"/>
    <w:rsid w:val="004F59CC"/>
    <w:rsid w:val="005006EF"/>
    <w:rsid w:val="00500DAF"/>
    <w:rsid w:val="005031B6"/>
    <w:rsid w:val="00504B96"/>
    <w:rsid w:val="00504FA4"/>
    <w:rsid w:val="00507E41"/>
    <w:rsid w:val="00510B2C"/>
    <w:rsid w:val="00511D1A"/>
    <w:rsid w:val="00511EA3"/>
    <w:rsid w:val="005130CD"/>
    <w:rsid w:val="0051456D"/>
    <w:rsid w:val="0051495A"/>
    <w:rsid w:val="00514AC3"/>
    <w:rsid w:val="0051591B"/>
    <w:rsid w:val="005179F6"/>
    <w:rsid w:val="00521A01"/>
    <w:rsid w:val="00522D34"/>
    <w:rsid w:val="0052310A"/>
    <w:rsid w:val="00523770"/>
    <w:rsid w:val="005239AC"/>
    <w:rsid w:val="00525A16"/>
    <w:rsid w:val="00525BCD"/>
    <w:rsid w:val="00526399"/>
    <w:rsid w:val="005300C2"/>
    <w:rsid w:val="005323E6"/>
    <w:rsid w:val="005326CA"/>
    <w:rsid w:val="00533963"/>
    <w:rsid w:val="00535852"/>
    <w:rsid w:val="005364B5"/>
    <w:rsid w:val="00536F77"/>
    <w:rsid w:val="00540705"/>
    <w:rsid w:val="0054085E"/>
    <w:rsid w:val="005419F3"/>
    <w:rsid w:val="00541B67"/>
    <w:rsid w:val="005429E0"/>
    <w:rsid w:val="00542E66"/>
    <w:rsid w:val="00543641"/>
    <w:rsid w:val="00544609"/>
    <w:rsid w:val="00545E13"/>
    <w:rsid w:val="005468FD"/>
    <w:rsid w:val="00550249"/>
    <w:rsid w:val="005504D7"/>
    <w:rsid w:val="005515EA"/>
    <w:rsid w:val="00552892"/>
    <w:rsid w:val="00552B83"/>
    <w:rsid w:val="005531A5"/>
    <w:rsid w:val="005537BC"/>
    <w:rsid w:val="00554A6F"/>
    <w:rsid w:val="00555C56"/>
    <w:rsid w:val="005565FE"/>
    <w:rsid w:val="00556AF9"/>
    <w:rsid w:val="00557E10"/>
    <w:rsid w:val="005600E0"/>
    <w:rsid w:val="00561F20"/>
    <w:rsid w:val="0056288D"/>
    <w:rsid w:val="0056357E"/>
    <w:rsid w:val="0056534B"/>
    <w:rsid w:val="0056710C"/>
    <w:rsid w:val="00567CF2"/>
    <w:rsid w:val="00570AA2"/>
    <w:rsid w:val="005714BA"/>
    <w:rsid w:val="00571562"/>
    <w:rsid w:val="00573FB9"/>
    <w:rsid w:val="00574554"/>
    <w:rsid w:val="00576EF2"/>
    <w:rsid w:val="005804DB"/>
    <w:rsid w:val="005807B9"/>
    <w:rsid w:val="00580A8C"/>
    <w:rsid w:val="00580B45"/>
    <w:rsid w:val="00580F29"/>
    <w:rsid w:val="00583AF0"/>
    <w:rsid w:val="005850E3"/>
    <w:rsid w:val="005864D4"/>
    <w:rsid w:val="00586813"/>
    <w:rsid w:val="005908BA"/>
    <w:rsid w:val="00592EDA"/>
    <w:rsid w:val="00594DFB"/>
    <w:rsid w:val="00595578"/>
    <w:rsid w:val="005970EC"/>
    <w:rsid w:val="005A0135"/>
    <w:rsid w:val="005A085F"/>
    <w:rsid w:val="005A5AFA"/>
    <w:rsid w:val="005A6E40"/>
    <w:rsid w:val="005B2FF4"/>
    <w:rsid w:val="005B3445"/>
    <w:rsid w:val="005B6C0F"/>
    <w:rsid w:val="005B704A"/>
    <w:rsid w:val="005B7063"/>
    <w:rsid w:val="005B7835"/>
    <w:rsid w:val="005C008F"/>
    <w:rsid w:val="005C39B3"/>
    <w:rsid w:val="005C43D2"/>
    <w:rsid w:val="005C4A18"/>
    <w:rsid w:val="005C4E88"/>
    <w:rsid w:val="005C517E"/>
    <w:rsid w:val="005C656B"/>
    <w:rsid w:val="005C715E"/>
    <w:rsid w:val="005C7C9D"/>
    <w:rsid w:val="005C7D6B"/>
    <w:rsid w:val="005D351D"/>
    <w:rsid w:val="005D5498"/>
    <w:rsid w:val="005D6B59"/>
    <w:rsid w:val="005D7394"/>
    <w:rsid w:val="005E0011"/>
    <w:rsid w:val="005E24E2"/>
    <w:rsid w:val="005E3083"/>
    <w:rsid w:val="005E34FB"/>
    <w:rsid w:val="005E3C26"/>
    <w:rsid w:val="005F0D8A"/>
    <w:rsid w:val="005F2718"/>
    <w:rsid w:val="005F2BAB"/>
    <w:rsid w:val="005F2CE6"/>
    <w:rsid w:val="005F3355"/>
    <w:rsid w:val="005F34DC"/>
    <w:rsid w:val="005F3580"/>
    <w:rsid w:val="005F3E2C"/>
    <w:rsid w:val="005F4EDE"/>
    <w:rsid w:val="005F7C11"/>
    <w:rsid w:val="00600530"/>
    <w:rsid w:val="00601741"/>
    <w:rsid w:val="006021F5"/>
    <w:rsid w:val="0060298C"/>
    <w:rsid w:val="0060767A"/>
    <w:rsid w:val="00612994"/>
    <w:rsid w:val="00616567"/>
    <w:rsid w:val="00616843"/>
    <w:rsid w:val="0061694C"/>
    <w:rsid w:val="00620775"/>
    <w:rsid w:val="0062131F"/>
    <w:rsid w:val="00621DD3"/>
    <w:rsid w:val="00625ED7"/>
    <w:rsid w:val="00626693"/>
    <w:rsid w:val="00627B1D"/>
    <w:rsid w:val="00627FF5"/>
    <w:rsid w:val="00630227"/>
    <w:rsid w:val="006325A2"/>
    <w:rsid w:val="006336CF"/>
    <w:rsid w:val="00634507"/>
    <w:rsid w:val="00635F8A"/>
    <w:rsid w:val="00636153"/>
    <w:rsid w:val="006405BC"/>
    <w:rsid w:val="00640E21"/>
    <w:rsid w:val="00641BBA"/>
    <w:rsid w:val="006422A1"/>
    <w:rsid w:val="0064378C"/>
    <w:rsid w:val="00643D6B"/>
    <w:rsid w:val="006444F6"/>
    <w:rsid w:val="00644A30"/>
    <w:rsid w:val="00644D69"/>
    <w:rsid w:val="006455B6"/>
    <w:rsid w:val="006459CC"/>
    <w:rsid w:val="006461DA"/>
    <w:rsid w:val="00647554"/>
    <w:rsid w:val="006501CA"/>
    <w:rsid w:val="0065069D"/>
    <w:rsid w:val="00651A49"/>
    <w:rsid w:val="006524E3"/>
    <w:rsid w:val="006545F7"/>
    <w:rsid w:val="006576C6"/>
    <w:rsid w:val="00657BC7"/>
    <w:rsid w:val="00660F3A"/>
    <w:rsid w:val="006626DF"/>
    <w:rsid w:val="00663002"/>
    <w:rsid w:val="00663FEA"/>
    <w:rsid w:val="00664D54"/>
    <w:rsid w:val="00664DAE"/>
    <w:rsid w:val="006670D8"/>
    <w:rsid w:val="00672547"/>
    <w:rsid w:val="00673654"/>
    <w:rsid w:val="00673870"/>
    <w:rsid w:val="006774F1"/>
    <w:rsid w:val="00680471"/>
    <w:rsid w:val="00680F82"/>
    <w:rsid w:val="0068137D"/>
    <w:rsid w:val="0068208A"/>
    <w:rsid w:val="006825CC"/>
    <w:rsid w:val="006825DA"/>
    <w:rsid w:val="006831D6"/>
    <w:rsid w:val="00683DBD"/>
    <w:rsid w:val="00684CFA"/>
    <w:rsid w:val="00686C0C"/>
    <w:rsid w:val="006876BA"/>
    <w:rsid w:val="00690216"/>
    <w:rsid w:val="006902D1"/>
    <w:rsid w:val="00691168"/>
    <w:rsid w:val="006967DD"/>
    <w:rsid w:val="006968FF"/>
    <w:rsid w:val="006A0473"/>
    <w:rsid w:val="006A38FC"/>
    <w:rsid w:val="006A3CFB"/>
    <w:rsid w:val="006A4444"/>
    <w:rsid w:val="006A463A"/>
    <w:rsid w:val="006A4CA5"/>
    <w:rsid w:val="006A5C4B"/>
    <w:rsid w:val="006A6164"/>
    <w:rsid w:val="006A635C"/>
    <w:rsid w:val="006A74D8"/>
    <w:rsid w:val="006B037D"/>
    <w:rsid w:val="006B1232"/>
    <w:rsid w:val="006B171C"/>
    <w:rsid w:val="006B176F"/>
    <w:rsid w:val="006B278B"/>
    <w:rsid w:val="006B2E05"/>
    <w:rsid w:val="006B33AF"/>
    <w:rsid w:val="006B3F46"/>
    <w:rsid w:val="006B4EC9"/>
    <w:rsid w:val="006B7BB4"/>
    <w:rsid w:val="006B7F71"/>
    <w:rsid w:val="006C0823"/>
    <w:rsid w:val="006C2BA8"/>
    <w:rsid w:val="006C2C5F"/>
    <w:rsid w:val="006C360F"/>
    <w:rsid w:val="006C4781"/>
    <w:rsid w:val="006C5067"/>
    <w:rsid w:val="006C56A2"/>
    <w:rsid w:val="006C5A70"/>
    <w:rsid w:val="006C7638"/>
    <w:rsid w:val="006C7A47"/>
    <w:rsid w:val="006D021C"/>
    <w:rsid w:val="006D0B94"/>
    <w:rsid w:val="006D1540"/>
    <w:rsid w:val="006D2F43"/>
    <w:rsid w:val="006D3CAE"/>
    <w:rsid w:val="006D4BDC"/>
    <w:rsid w:val="006D53EC"/>
    <w:rsid w:val="006D7893"/>
    <w:rsid w:val="006E1ACC"/>
    <w:rsid w:val="006E3EB0"/>
    <w:rsid w:val="006E3FA5"/>
    <w:rsid w:val="006E508D"/>
    <w:rsid w:val="006E5BB3"/>
    <w:rsid w:val="006E63B4"/>
    <w:rsid w:val="006E7DE0"/>
    <w:rsid w:val="006F1461"/>
    <w:rsid w:val="006F278E"/>
    <w:rsid w:val="006F2C96"/>
    <w:rsid w:val="006F44CC"/>
    <w:rsid w:val="006F475E"/>
    <w:rsid w:val="006F7A99"/>
    <w:rsid w:val="00701B7F"/>
    <w:rsid w:val="00702D8D"/>
    <w:rsid w:val="00703A9E"/>
    <w:rsid w:val="00703DC6"/>
    <w:rsid w:val="0070438C"/>
    <w:rsid w:val="00705226"/>
    <w:rsid w:val="00705403"/>
    <w:rsid w:val="00707C81"/>
    <w:rsid w:val="007128D2"/>
    <w:rsid w:val="00712DF5"/>
    <w:rsid w:val="00712EE9"/>
    <w:rsid w:val="00715ABA"/>
    <w:rsid w:val="007200D0"/>
    <w:rsid w:val="00720AB5"/>
    <w:rsid w:val="00721772"/>
    <w:rsid w:val="00721C2C"/>
    <w:rsid w:val="0072441D"/>
    <w:rsid w:val="007244E3"/>
    <w:rsid w:val="00727C52"/>
    <w:rsid w:val="007300E4"/>
    <w:rsid w:val="007316E4"/>
    <w:rsid w:val="007318D0"/>
    <w:rsid w:val="007327DD"/>
    <w:rsid w:val="00734C22"/>
    <w:rsid w:val="00737F72"/>
    <w:rsid w:val="0074184E"/>
    <w:rsid w:val="0074207F"/>
    <w:rsid w:val="00742853"/>
    <w:rsid w:val="00743E74"/>
    <w:rsid w:val="007448F2"/>
    <w:rsid w:val="00744AF4"/>
    <w:rsid w:val="00745A5C"/>
    <w:rsid w:val="0075023F"/>
    <w:rsid w:val="0075049D"/>
    <w:rsid w:val="007505F3"/>
    <w:rsid w:val="0075425D"/>
    <w:rsid w:val="00754D99"/>
    <w:rsid w:val="00755C33"/>
    <w:rsid w:val="00756CE8"/>
    <w:rsid w:val="00757A43"/>
    <w:rsid w:val="007615F6"/>
    <w:rsid w:val="00762D91"/>
    <w:rsid w:val="00762DE0"/>
    <w:rsid w:val="00765DE7"/>
    <w:rsid w:val="00766F73"/>
    <w:rsid w:val="007709CB"/>
    <w:rsid w:val="0077107D"/>
    <w:rsid w:val="0077179A"/>
    <w:rsid w:val="007725D0"/>
    <w:rsid w:val="00773C88"/>
    <w:rsid w:val="00774BAF"/>
    <w:rsid w:val="00774DC9"/>
    <w:rsid w:val="00775E99"/>
    <w:rsid w:val="00775F5D"/>
    <w:rsid w:val="00776449"/>
    <w:rsid w:val="00776FF1"/>
    <w:rsid w:val="00780196"/>
    <w:rsid w:val="007805B7"/>
    <w:rsid w:val="00781AB8"/>
    <w:rsid w:val="00782A72"/>
    <w:rsid w:val="00782C2B"/>
    <w:rsid w:val="00783212"/>
    <w:rsid w:val="00783A25"/>
    <w:rsid w:val="0078432E"/>
    <w:rsid w:val="00784796"/>
    <w:rsid w:val="00785873"/>
    <w:rsid w:val="00785BFD"/>
    <w:rsid w:val="00785EAE"/>
    <w:rsid w:val="00787518"/>
    <w:rsid w:val="00790B37"/>
    <w:rsid w:val="00790C0A"/>
    <w:rsid w:val="00792191"/>
    <w:rsid w:val="00792E05"/>
    <w:rsid w:val="007941C5"/>
    <w:rsid w:val="007A0142"/>
    <w:rsid w:val="007A1E87"/>
    <w:rsid w:val="007A26A4"/>
    <w:rsid w:val="007A35B3"/>
    <w:rsid w:val="007A55D1"/>
    <w:rsid w:val="007A59CA"/>
    <w:rsid w:val="007A67C6"/>
    <w:rsid w:val="007A7665"/>
    <w:rsid w:val="007B01AD"/>
    <w:rsid w:val="007B090D"/>
    <w:rsid w:val="007B0F5F"/>
    <w:rsid w:val="007B14C7"/>
    <w:rsid w:val="007B2100"/>
    <w:rsid w:val="007B34AF"/>
    <w:rsid w:val="007B3D02"/>
    <w:rsid w:val="007B4561"/>
    <w:rsid w:val="007B5A24"/>
    <w:rsid w:val="007B6206"/>
    <w:rsid w:val="007B7711"/>
    <w:rsid w:val="007C0452"/>
    <w:rsid w:val="007C04AD"/>
    <w:rsid w:val="007C10C8"/>
    <w:rsid w:val="007C13DD"/>
    <w:rsid w:val="007C1621"/>
    <w:rsid w:val="007C2DCC"/>
    <w:rsid w:val="007C3F87"/>
    <w:rsid w:val="007C5631"/>
    <w:rsid w:val="007C69D9"/>
    <w:rsid w:val="007C7821"/>
    <w:rsid w:val="007C7AAB"/>
    <w:rsid w:val="007D0327"/>
    <w:rsid w:val="007D1995"/>
    <w:rsid w:val="007D2F98"/>
    <w:rsid w:val="007D3CEF"/>
    <w:rsid w:val="007D550C"/>
    <w:rsid w:val="007D633B"/>
    <w:rsid w:val="007E0648"/>
    <w:rsid w:val="007E1F0B"/>
    <w:rsid w:val="007E28FC"/>
    <w:rsid w:val="007E6C12"/>
    <w:rsid w:val="007E7D6F"/>
    <w:rsid w:val="007F061E"/>
    <w:rsid w:val="007F32CA"/>
    <w:rsid w:val="007F474B"/>
    <w:rsid w:val="007F4B04"/>
    <w:rsid w:val="007F4CAB"/>
    <w:rsid w:val="007F5EE9"/>
    <w:rsid w:val="007F71DB"/>
    <w:rsid w:val="00802732"/>
    <w:rsid w:val="00802813"/>
    <w:rsid w:val="00802DDE"/>
    <w:rsid w:val="00804E11"/>
    <w:rsid w:val="0080530D"/>
    <w:rsid w:val="008059CD"/>
    <w:rsid w:val="00806218"/>
    <w:rsid w:val="00806541"/>
    <w:rsid w:val="0080761F"/>
    <w:rsid w:val="008105C1"/>
    <w:rsid w:val="008151C5"/>
    <w:rsid w:val="0081547C"/>
    <w:rsid w:val="008159A2"/>
    <w:rsid w:val="00816A03"/>
    <w:rsid w:val="00816D8A"/>
    <w:rsid w:val="0082201B"/>
    <w:rsid w:val="00823AC7"/>
    <w:rsid w:val="00824DFC"/>
    <w:rsid w:val="00826360"/>
    <w:rsid w:val="008273A3"/>
    <w:rsid w:val="0082790E"/>
    <w:rsid w:val="00827B3F"/>
    <w:rsid w:val="00830035"/>
    <w:rsid w:val="008302A9"/>
    <w:rsid w:val="00832D97"/>
    <w:rsid w:val="00833D26"/>
    <w:rsid w:val="008374C7"/>
    <w:rsid w:val="00837583"/>
    <w:rsid w:val="00840559"/>
    <w:rsid w:val="008414EB"/>
    <w:rsid w:val="008419A9"/>
    <w:rsid w:val="00841B53"/>
    <w:rsid w:val="00843595"/>
    <w:rsid w:val="008453F0"/>
    <w:rsid w:val="008459B1"/>
    <w:rsid w:val="00845A3E"/>
    <w:rsid w:val="00845C76"/>
    <w:rsid w:val="008468DC"/>
    <w:rsid w:val="0085066B"/>
    <w:rsid w:val="0085300F"/>
    <w:rsid w:val="00854849"/>
    <w:rsid w:val="0085485A"/>
    <w:rsid w:val="00855725"/>
    <w:rsid w:val="00856737"/>
    <w:rsid w:val="00857EB3"/>
    <w:rsid w:val="00860F19"/>
    <w:rsid w:val="0086130C"/>
    <w:rsid w:val="00862D69"/>
    <w:rsid w:val="0086367C"/>
    <w:rsid w:val="00863BFE"/>
    <w:rsid w:val="00863D18"/>
    <w:rsid w:val="00863E47"/>
    <w:rsid w:val="008645BB"/>
    <w:rsid w:val="00865383"/>
    <w:rsid w:val="0086744A"/>
    <w:rsid w:val="00867DBB"/>
    <w:rsid w:val="00867F4A"/>
    <w:rsid w:val="008718F0"/>
    <w:rsid w:val="00873058"/>
    <w:rsid w:val="00873C0B"/>
    <w:rsid w:val="00875A12"/>
    <w:rsid w:val="00877494"/>
    <w:rsid w:val="00877F2D"/>
    <w:rsid w:val="00880D09"/>
    <w:rsid w:val="00882FE4"/>
    <w:rsid w:val="00883ACC"/>
    <w:rsid w:val="008852CB"/>
    <w:rsid w:val="00885742"/>
    <w:rsid w:val="00885A78"/>
    <w:rsid w:val="00887B4D"/>
    <w:rsid w:val="008940AE"/>
    <w:rsid w:val="00894287"/>
    <w:rsid w:val="00894B26"/>
    <w:rsid w:val="00894F2E"/>
    <w:rsid w:val="008954C5"/>
    <w:rsid w:val="00897679"/>
    <w:rsid w:val="008A1CDF"/>
    <w:rsid w:val="008A2F35"/>
    <w:rsid w:val="008A37A8"/>
    <w:rsid w:val="008A3D80"/>
    <w:rsid w:val="008A4C4B"/>
    <w:rsid w:val="008A555E"/>
    <w:rsid w:val="008B00DC"/>
    <w:rsid w:val="008B090E"/>
    <w:rsid w:val="008B0CB6"/>
    <w:rsid w:val="008B1DF2"/>
    <w:rsid w:val="008B1FC6"/>
    <w:rsid w:val="008B2279"/>
    <w:rsid w:val="008B2551"/>
    <w:rsid w:val="008B2B2C"/>
    <w:rsid w:val="008B3F9C"/>
    <w:rsid w:val="008B455F"/>
    <w:rsid w:val="008B64FF"/>
    <w:rsid w:val="008B6D2E"/>
    <w:rsid w:val="008C0284"/>
    <w:rsid w:val="008C062B"/>
    <w:rsid w:val="008C108E"/>
    <w:rsid w:val="008C1C6B"/>
    <w:rsid w:val="008C2322"/>
    <w:rsid w:val="008C304B"/>
    <w:rsid w:val="008C3EEF"/>
    <w:rsid w:val="008C5265"/>
    <w:rsid w:val="008C5540"/>
    <w:rsid w:val="008C6488"/>
    <w:rsid w:val="008C6D42"/>
    <w:rsid w:val="008C702E"/>
    <w:rsid w:val="008C76C8"/>
    <w:rsid w:val="008C7710"/>
    <w:rsid w:val="008C7DB6"/>
    <w:rsid w:val="008D1410"/>
    <w:rsid w:val="008D2824"/>
    <w:rsid w:val="008D2827"/>
    <w:rsid w:val="008D40AD"/>
    <w:rsid w:val="008D593A"/>
    <w:rsid w:val="008D6484"/>
    <w:rsid w:val="008D6676"/>
    <w:rsid w:val="008D7071"/>
    <w:rsid w:val="008D7C38"/>
    <w:rsid w:val="008D7DF6"/>
    <w:rsid w:val="008E0CB8"/>
    <w:rsid w:val="008E0E44"/>
    <w:rsid w:val="008E150E"/>
    <w:rsid w:val="008E43CC"/>
    <w:rsid w:val="008E643D"/>
    <w:rsid w:val="008E6B6B"/>
    <w:rsid w:val="008E6B84"/>
    <w:rsid w:val="008F09CC"/>
    <w:rsid w:val="008F2E02"/>
    <w:rsid w:val="008F3256"/>
    <w:rsid w:val="008F358D"/>
    <w:rsid w:val="008F4E28"/>
    <w:rsid w:val="008F50CA"/>
    <w:rsid w:val="008F554E"/>
    <w:rsid w:val="008F5FEC"/>
    <w:rsid w:val="008F607C"/>
    <w:rsid w:val="008F6B77"/>
    <w:rsid w:val="008F6E86"/>
    <w:rsid w:val="008F743F"/>
    <w:rsid w:val="009017B7"/>
    <w:rsid w:val="00902988"/>
    <w:rsid w:val="00902C34"/>
    <w:rsid w:val="009034CF"/>
    <w:rsid w:val="009045F8"/>
    <w:rsid w:val="0090463E"/>
    <w:rsid w:val="00906D0D"/>
    <w:rsid w:val="0090724A"/>
    <w:rsid w:val="009075C7"/>
    <w:rsid w:val="00907DFB"/>
    <w:rsid w:val="00910749"/>
    <w:rsid w:val="009109B0"/>
    <w:rsid w:val="00910AE2"/>
    <w:rsid w:val="009118DF"/>
    <w:rsid w:val="00912274"/>
    <w:rsid w:val="00912ACA"/>
    <w:rsid w:val="00916266"/>
    <w:rsid w:val="0092115E"/>
    <w:rsid w:val="00921179"/>
    <w:rsid w:val="00921975"/>
    <w:rsid w:val="00921CD0"/>
    <w:rsid w:val="009224AC"/>
    <w:rsid w:val="009248F8"/>
    <w:rsid w:val="00924D57"/>
    <w:rsid w:val="009275F0"/>
    <w:rsid w:val="009310E7"/>
    <w:rsid w:val="009325F3"/>
    <w:rsid w:val="0093279C"/>
    <w:rsid w:val="009333E0"/>
    <w:rsid w:val="00934CE9"/>
    <w:rsid w:val="00935ACF"/>
    <w:rsid w:val="00935BAE"/>
    <w:rsid w:val="009367B6"/>
    <w:rsid w:val="00936893"/>
    <w:rsid w:val="00936C7E"/>
    <w:rsid w:val="00936CB5"/>
    <w:rsid w:val="00936EC1"/>
    <w:rsid w:val="00937D06"/>
    <w:rsid w:val="00940107"/>
    <w:rsid w:val="00941595"/>
    <w:rsid w:val="009426C5"/>
    <w:rsid w:val="00942F52"/>
    <w:rsid w:val="009437E5"/>
    <w:rsid w:val="00943B86"/>
    <w:rsid w:val="009447FF"/>
    <w:rsid w:val="009449F7"/>
    <w:rsid w:val="00946C63"/>
    <w:rsid w:val="0095182D"/>
    <w:rsid w:val="0095191D"/>
    <w:rsid w:val="00952206"/>
    <w:rsid w:val="009543DB"/>
    <w:rsid w:val="0095478F"/>
    <w:rsid w:val="009557F7"/>
    <w:rsid w:val="009574BB"/>
    <w:rsid w:val="009578FC"/>
    <w:rsid w:val="00957D06"/>
    <w:rsid w:val="009610C5"/>
    <w:rsid w:val="009624EB"/>
    <w:rsid w:val="00962968"/>
    <w:rsid w:val="0096475A"/>
    <w:rsid w:val="00966240"/>
    <w:rsid w:val="009669C1"/>
    <w:rsid w:val="00966D9A"/>
    <w:rsid w:val="009676DD"/>
    <w:rsid w:val="009724DC"/>
    <w:rsid w:val="0097283A"/>
    <w:rsid w:val="0097387F"/>
    <w:rsid w:val="0097419B"/>
    <w:rsid w:val="00974397"/>
    <w:rsid w:val="0097446D"/>
    <w:rsid w:val="009747A5"/>
    <w:rsid w:val="00975242"/>
    <w:rsid w:val="00976DA7"/>
    <w:rsid w:val="00977301"/>
    <w:rsid w:val="0097742F"/>
    <w:rsid w:val="00977E76"/>
    <w:rsid w:val="00980707"/>
    <w:rsid w:val="00980B95"/>
    <w:rsid w:val="00980BBE"/>
    <w:rsid w:val="00981147"/>
    <w:rsid w:val="0098115B"/>
    <w:rsid w:val="0098119A"/>
    <w:rsid w:val="00981565"/>
    <w:rsid w:val="009818B1"/>
    <w:rsid w:val="009823B9"/>
    <w:rsid w:val="00982E03"/>
    <w:rsid w:val="00982E59"/>
    <w:rsid w:val="009839DC"/>
    <w:rsid w:val="00984338"/>
    <w:rsid w:val="009845A9"/>
    <w:rsid w:val="00985BE9"/>
    <w:rsid w:val="00985E7D"/>
    <w:rsid w:val="009860B3"/>
    <w:rsid w:val="00986243"/>
    <w:rsid w:val="00986C57"/>
    <w:rsid w:val="00987415"/>
    <w:rsid w:val="00991D7E"/>
    <w:rsid w:val="009920B9"/>
    <w:rsid w:val="00992A17"/>
    <w:rsid w:val="00993D6E"/>
    <w:rsid w:val="00993FA5"/>
    <w:rsid w:val="009941EA"/>
    <w:rsid w:val="00995310"/>
    <w:rsid w:val="00996577"/>
    <w:rsid w:val="00997DE2"/>
    <w:rsid w:val="009A23D4"/>
    <w:rsid w:val="009A34AA"/>
    <w:rsid w:val="009A3F00"/>
    <w:rsid w:val="009A5EE9"/>
    <w:rsid w:val="009A5FED"/>
    <w:rsid w:val="009A6438"/>
    <w:rsid w:val="009A7E52"/>
    <w:rsid w:val="009B00FE"/>
    <w:rsid w:val="009B0E50"/>
    <w:rsid w:val="009B5270"/>
    <w:rsid w:val="009B6D74"/>
    <w:rsid w:val="009B7F4D"/>
    <w:rsid w:val="009C203E"/>
    <w:rsid w:val="009C3A00"/>
    <w:rsid w:val="009C4984"/>
    <w:rsid w:val="009C5217"/>
    <w:rsid w:val="009C5FC3"/>
    <w:rsid w:val="009C6CC0"/>
    <w:rsid w:val="009D00EC"/>
    <w:rsid w:val="009D173D"/>
    <w:rsid w:val="009D22B9"/>
    <w:rsid w:val="009D4AEB"/>
    <w:rsid w:val="009D7445"/>
    <w:rsid w:val="009E0826"/>
    <w:rsid w:val="009E0AE7"/>
    <w:rsid w:val="009E1598"/>
    <w:rsid w:val="009E15FF"/>
    <w:rsid w:val="009E24EF"/>
    <w:rsid w:val="009E25A3"/>
    <w:rsid w:val="009E3FC5"/>
    <w:rsid w:val="009E4AE7"/>
    <w:rsid w:val="009E5461"/>
    <w:rsid w:val="009E5DAF"/>
    <w:rsid w:val="009F0C0D"/>
    <w:rsid w:val="009F2AF8"/>
    <w:rsid w:val="009F4800"/>
    <w:rsid w:val="009F52C8"/>
    <w:rsid w:val="009F52CA"/>
    <w:rsid w:val="009F64CB"/>
    <w:rsid w:val="009F6C8C"/>
    <w:rsid w:val="009F78BB"/>
    <w:rsid w:val="00A01662"/>
    <w:rsid w:val="00A01D89"/>
    <w:rsid w:val="00A06BAD"/>
    <w:rsid w:val="00A07CAE"/>
    <w:rsid w:val="00A13B7F"/>
    <w:rsid w:val="00A15622"/>
    <w:rsid w:val="00A1644D"/>
    <w:rsid w:val="00A16AFB"/>
    <w:rsid w:val="00A16C18"/>
    <w:rsid w:val="00A16E18"/>
    <w:rsid w:val="00A174E3"/>
    <w:rsid w:val="00A17A7A"/>
    <w:rsid w:val="00A208A4"/>
    <w:rsid w:val="00A21844"/>
    <w:rsid w:val="00A21DAE"/>
    <w:rsid w:val="00A21DFB"/>
    <w:rsid w:val="00A21E65"/>
    <w:rsid w:val="00A22DCD"/>
    <w:rsid w:val="00A24748"/>
    <w:rsid w:val="00A25680"/>
    <w:rsid w:val="00A2617A"/>
    <w:rsid w:val="00A2656B"/>
    <w:rsid w:val="00A30EA5"/>
    <w:rsid w:val="00A32F25"/>
    <w:rsid w:val="00A33A7D"/>
    <w:rsid w:val="00A34242"/>
    <w:rsid w:val="00A34B4A"/>
    <w:rsid w:val="00A43504"/>
    <w:rsid w:val="00A449C0"/>
    <w:rsid w:val="00A4636B"/>
    <w:rsid w:val="00A46EBF"/>
    <w:rsid w:val="00A4719A"/>
    <w:rsid w:val="00A47E7F"/>
    <w:rsid w:val="00A504C4"/>
    <w:rsid w:val="00A51CE4"/>
    <w:rsid w:val="00A5247D"/>
    <w:rsid w:val="00A5316D"/>
    <w:rsid w:val="00A53287"/>
    <w:rsid w:val="00A562DD"/>
    <w:rsid w:val="00A5692E"/>
    <w:rsid w:val="00A56A75"/>
    <w:rsid w:val="00A570CF"/>
    <w:rsid w:val="00A576AD"/>
    <w:rsid w:val="00A577E5"/>
    <w:rsid w:val="00A60C41"/>
    <w:rsid w:val="00A63802"/>
    <w:rsid w:val="00A63B22"/>
    <w:rsid w:val="00A64151"/>
    <w:rsid w:val="00A649AC"/>
    <w:rsid w:val="00A64CCF"/>
    <w:rsid w:val="00A64D98"/>
    <w:rsid w:val="00A672D5"/>
    <w:rsid w:val="00A6773B"/>
    <w:rsid w:val="00A70A63"/>
    <w:rsid w:val="00A70EEB"/>
    <w:rsid w:val="00A72735"/>
    <w:rsid w:val="00A74BAF"/>
    <w:rsid w:val="00A75304"/>
    <w:rsid w:val="00A75FF2"/>
    <w:rsid w:val="00A7750A"/>
    <w:rsid w:val="00A779D8"/>
    <w:rsid w:val="00A77CEE"/>
    <w:rsid w:val="00A77ECB"/>
    <w:rsid w:val="00A806E7"/>
    <w:rsid w:val="00A84559"/>
    <w:rsid w:val="00A84F36"/>
    <w:rsid w:val="00A855B4"/>
    <w:rsid w:val="00A87AE0"/>
    <w:rsid w:val="00A87F88"/>
    <w:rsid w:val="00A90115"/>
    <w:rsid w:val="00A918A4"/>
    <w:rsid w:val="00A92B2C"/>
    <w:rsid w:val="00A930E5"/>
    <w:rsid w:val="00A93C8A"/>
    <w:rsid w:val="00A93F94"/>
    <w:rsid w:val="00A94029"/>
    <w:rsid w:val="00A94816"/>
    <w:rsid w:val="00A95F7B"/>
    <w:rsid w:val="00A9643D"/>
    <w:rsid w:val="00A96977"/>
    <w:rsid w:val="00A96EB4"/>
    <w:rsid w:val="00A970CC"/>
    <w:rsid w:val="00A973C0"/>
    <w:rsid w:val="00A975DA"/>
    <w:rsid w:val="00A979B9"/>
    <w:rsid w:val="00AA0710"/>
    <w:rsid w:val="00AA0AF4"/>
    <w:rsid w:val="00AA0CE2"/>
    <w:rsid w:val="00AA2397"/>
    <w:rsid w:val="00AA25E5"/>
    <w:rsid w:val="00AA2B2F"/>
    <w:rsid w:val="00AA405E"/>
    <w:rsid w:val="00AA4B0E"/>
    <w:rsid w:val="00AA4C5A"/>
    <w:rsid w:val="00AA4FF0"/>
    <w:rsid w:val="00AA607F"/>
    <w:rsid w:val="00AB1E9E"/>
    <w:rsid w:val="00AB21C8"/>
    <w:rsid w:val="00AB2404"/>
    <w:rsid w:val="00AB25DC"/>
    <w:rsid w:val="00AB4B4C"/>
    <w:rsid w:val="00AB5B18"/>
    <w:rsid w:val="00AB5DBD"/>
    <w:rsid w:val="00AB6985"/>
    <w:rsid w:val="00AB79C6"/>
    <w:rsid w:val="00AC011C"/>
    <w:rsid w:val="00AC0AED"/>
    <w:rsid w:val="00AC0E0F"/>
    <w:rsid w:val="00AC183C"/>
    <w:rsid w:val="00AC2356"/>
    <w:rsid w:val="00AC294C"/>
    <w:rsid w:val="00AC2C89"/>
    <w:rsid w:val="00AC300B"/>
    <w:rsid w:val="00AC51AD"/>
    <w:rsid w:val="00AC5EBF"/>
    <w:rsid w:val="00AC67AE"/>
    <w:rsid w:val="00AC7001"/>
    <w:rsid w:val="00AC7582"/>
    <w:rsid w:val="00AC76E3"/>
    <w:rsid w:val="00AC7900"/>
    <w:rsid w:val="00AC7C2F"/>
    <w:rsid w:val="00AD0306"/>
    <w:rsid w:val="00AD0BB4"/>
    <w:rsid w:val="00AD0D54"/>
    <w:rsid w:val="00AD1E8E"/>
    <w:rsid w:val="00AD21F7"/>
    <w:rsid w:val="00AD27D2"/>
    <w:rsid w:val="00AD4A38"/>
    <w:rsid w:val="00AD4A80"/>
    <w:rsid w:val="00AD58D6"/>
    <w:rsid w:val="00AE00B0"/>
    <w:rsid w:val="00AE0FAB"/>
    <w:rsid w:val="00AE1EC5"/>
    <w:rsid w:val="00AE2655"/>
    <w:rsid w:val="00AE307E"/>
    <w:rsid w:val="00AE32B8"/>
    <w:rsid w:val="00AE3FD5"/>
    <w:rsid w:val="00AE4521"/>
    <w:rsid w:val="00AE5F2B"/>
    <w:rsid w:val="00AE712D"/>
    <w:rsid w:val="00AE7A12"/>
    <w:rsid w:val="00AF0BC4"/>
    <w:rsid w:val="00AF1019"/>
    <w:rsid w:val="00AF134A"/>
    <w:rsid w:val="00AF18B8"/>
    <w:rsid w:val="00AF2F95"/>
    <w:rsid w:val="00AF3390"/>
    <w:rsid w:val="00AF3A5E"/>
    <w:rsid w:val="00AF3D77"/>
    <w:rsid w:val="00AF5902"/>
    <w:rsid w:val="00AF7E0A"/>
    <w:rsid w:val="00B007BA"/>
    <w:rsid w:val="00B0197B"/>
    <w:rsid w:val="00B042F6"/>
    <w:rsid w:val="00B04746"/>
    <w:rsid w:val="00B067FA"/>
    <w:rsid w:val="00B11938"/>
    <w:rsid w:val="00B120E9"/>
    <w:rsid w:val="00B12976"/>
    <w:rsid w:val="00B12C97"/>
    <w:rsid w:val="00B15004"/>
    <w:rsid w:val="00B206C3"/>
    <w:rsid w:val="00B21BC1"/>
    <w:rsid w:val="00B21F72"/>
    <w:rsid w:val="00B246EF"/>
    <w:rsid w:val="00B24F72"/>
    <w:rsid w:val="00B25C1C"/>
    <w:rsid w:val="00B31268"/>
    <w:rsid w:val="00B31506"/>
    <w:rsid w:val="00B33C16"/>
    <w:rsid w:val="00B35ABE"/>
    <w:rsid w:val="00B36031"/>
    <w:rsid w:val="00B4283D"/>
    <w:rsid w:val="00B430CD"/>
    <w:rsid w:val="00B43215"/>
    <w:rsid w:val="00B437FD"/>
    <w:rsid w:val="00B443E0"/>
    <w:rsid w:val="00B46279"/>
    <w:rsid w:val="00B467CA"/>
    <w:rsid w:val="00B46AC2"/>
    <w:rsid w:val="00B46D56"/>
    <w:rsid w:val="00B46DFB"/>
    <w:rsid w:val="00B50779"/>
    <w:rsid w:val="00B51BF8"/>
    <w:rsid w:val="00B531C8"/>
    <w:rsid w:val="00B5343D"/>
    <w:rsid w:val="00B54730"/>
    <w:rsid w:val="00B549AA"/>
    <w:rsid w:val="00B54B4B"/>
    <w:rsid w:val="00B55CA0"/>
    <w:rsid w:val="00B55EA2"/>
    <w:rsid w:val="00B57E39"/>
    <w:rsid w:val="00B60224"/>
    <w:rsid w:val="00B606EC"/>
    <w:rsid w:val="00B61FA0"/>
    <w:rsid w:val="00B622D5"/>
    <w:rsid w:val="00B62899"/>
    <w:rsid w:val="00B70737"/>
    <w:rsid w:val="00B72058"/>
    <w:rsid w:val="00B72508"/>
    <w:rsid w:val="00B726A2"/>
    <w:rsid w:val="00B73449"/>
    <w:rsid w:val="00B74E2F"/>
    <w:rsid w:val="00B75C76"/>
    <w:rsid w:val="00B76394"/>
    <w:rsid w:val="00B7740D"/>
    <w:rsid w:val="00B82AFB"/>
    <w:rsid w:val="00B82BDD"/>
    <w:rsid w:val="00B85C63"/>
    <w:rsid w:val="00B869C6"/>
    <w:rsid w:val="00B87DD4"/>
    <w:rsid w:val="00B90A87"/>
    <w:rsid w:val="00B92AFF"/>
    <w:rsid w:val="00B93C58"/>
    <w:rsid w:val="00BA3488"/>
    <w:rsid w:val="00BA4C37"/>
    <w:rsid w:val="00BA50C1"/>
    <w:rsid w:val="00BA79E2"/>
    <w:rsid w:val="00BB1BCD"/>
    <w:rsid w:val="00BB201A"/>
    <w:rsid w:val="00BB3825"/>
    <w:rsid w:val="00BB4387"/>
    <w:rsid w:val="00BB4FAA"/>
    <w:rsid w:val="00BB5217"/>
    <w:rsid w:val="00BB7421"/>
    <w:rsid w:val="00BC03A7"/>
    <w:rsid w:val="00BC0F36"/>
    <w:rsid w:val="00BC103C"/>
    <w:rsid w:val="00BC22C3"/>
    <w:rsid w:val="00BC50D5"/>
    <w:rsid w:val="00BC720C"/>
    <w:rsid w:val="00BD088D"/>
    <w:rsid w:val="00BD162F"/>
    <w:rsid w:val="00BD1C7A"/>
    <w:rsid w:val="00BD27EC"/>
    <w:rsid w:val="00BD397E"/>
    <w:rsid w:val="00BD5808"/>
    <w:rsid w:val="00BD5B6F"/>
    <w:rsid w:val="00BD69DD"/>
    <w:rsid w:val="00BD7201"/>
    <w:rsid w:val="00BD73B9"/>
    <w:rsid w:val="00BE022E"/>
    <w:rsid w:val="00BE07DC"/>
    <w:rsid w:val="00BE20C0"/>
    <w:rsid w:val="00BE2A78"/>
    <w:rsid w:val="00BE4560"/>
    <w:rsid w:val="00BE50F2"/>
    <w:rsid w:val="00BE573D"/>
    <w:rsid w:val="00BE684F"/>
    <w:rsid w:val="00BE6921"/>
    <w:rsid w:val="00BE70D7"/>
    <w:rsid w:val="00BE79A7"/>
    <w:rsid w:val="00BE7B1A"/>
    <w:rsid w:val="00BF02BB"/>
    <w:rsid w:val="00BF15DC"/>
    <w:rsid w:val="00BF43E3"/>
    <w:rsid w:val="00BF52BB"/>
    <w:rsid w:val="00BF5624"/>
    <w:rsid w:val="00BF5AAB"/>
    <w:rsid w:val="00BF5E5C"/>
    <w:rsid w:val="00BF68AC"/>
    <w:rsid w:val="00BF7F98"/>
    <w:rsid w:val="00C0061F"/>
    <w:rsid w:val="00C01659"/>
    <w:rsid w:val="00C01826"/>
    <w:rsid w:val="00C02315"/>
    <w:rsid w:val="00C04ABB"/>
    <w:rsid w:val="00C05D8B"/>
    <w:rsid w:val="00C06DA4"/>
    <w:rsid w:val="00C07B56"/>
    <w:rsid w:val="00C11826"/>
    <w:rsid w:val="00C122EE"/>
    <w:rsid w:val="00C12516"/>
    <w:rsid w:val="00C149EE"/>
    <w:rsid w:val="00C14C07"/>
    <w:rsid w:val="00C15277"/>
    <w:rsid w:val="00C1570A"/>
    <w:rsid w:val="00C15B90"/>
    <w:rsid w:val="00C15EB8"/>
    <w:rsid w:val="00C16A30"/>
    <w:rsid w:val="00C16AD8"/>
    <w:rsid w:val="00C20272"/>
    <w:rsid w:val="00C20432"/>
    <w:rsid w:val="00C21C26"/>
    <w:rsid w:val="00C22083"/>
    <w:rsid w:val="00C22A38"/>
    <w:rsid w:val="00C22BCA"/>
    <w:rsid w:val="00C242B2"/>
    <w:rsid w:val="00C2511C"/>
    <w:rsid w:val="00C26E07"/>
    <w:rsid w:val="00C2724E"/>
    <w:rsid w:val="00C27D06"/>
    <w:rsid w:val="00C303EC"/>
    <w:rsid w:val="00C30887"/>
    <w:rsid w:val="00C32CBB"/>
    <w:rsid w:val="00C33504"/>
    <w:rsid w:val="00C33536"/>
    <w:rsid w:val="00C33902"/>
    <w:rsid w:val="00C41297"/>
    <w:rsid w:val="00C41C33"/>
    <w:rsid w:val="00C43EC3"/>
    <w:rsid w:val="00C45E18"/>
    <w:rsid w:val="00C50043"/>
    <w:rsid w:val="00C500CF"/>
    <w:rsid w:val="00C5122D"/>
    <w:rsid w:val="00C51576"/>
    <w:rsid w:val="00C52DCB"/>
    <w:rsid w:val="00C55C28"/>
    <w:rsid w:val="00C55C45"/>
    <w:rsid w:val="00C5632B"/>
    <w:rsid w:val="00C578AF"/>
    <w:rsid w:val="00C57D99"/>
    <w:rsid w:val="00C646AC"/>
    <w:rsid w:val="00C65C8D"/>
    <w:rsid w:val="00C663C7"/>
    <w:rsid w:val="00C70230"/>
    <w:rsid w:val="00C70481"/>
    <w:rsid w:val="00C70C51"/>
    <w:rsid w:val="00C710BD"/>
    <w:rsid w:val="00C7133A"/>
    <w:rsid w:val="00C71CA1"/>
    <w:rsid w:val="00C72354"/>
    <w:rsid w:val="00C724A1"/>
    <w:rsid w:val="00C72C0B"/>
    <w:rsid w:val="00C72E76"/>
    <w:rsid w:val="00C73018"/>
    <w:rsid w:val="00C73AB4"/>
    <w:rsid w:val="00C74883"/>
    <w:rsid w:val="00C751F0"/>
    <w:rsid w:val="00C75DDA"/>
    <w:rsid w:val="00C7706E"/>
    <w:rsid w:val="00C8147E"/>
    <w:rsid w:val="00C820AA"/>
    <w:rsid w:val="00C8214A"/>
    <w:rsid w:val="00C83C80"/>
    <w:rsid w:val="00C83DB4"/>
    <w:rsid w:val="00C84935"/>
    <w:rsid w:val="00C8655E"/>
    <w:rsid w:val="00C90F66"/>
    <w:rsid w:val="00C938D7"/>
    <w:rsid w:val="00C94AE8"/>
    <w:rsid w:val="00C95D9E"/>
    <w:rsid w:val="00C96019"/>
    <w:rsid w:val="00C971AD"/>
    <w:rsid w:val="00CA06EC"/>
    <w:rsid w:val="00CA1C60"/>
    <w:rsid w:val="00CA1EA3"/>
    <w:rsid w:val="00CA288A"/>
    <w:rsid w:val="00CA28FB"/>
    <w:rsid w:val="00CA4D33"/>
    <w:rsid w:val="00CA584D"/>
    <w:rsid w:val="00CA602C"/>
    <w:rsid w:val="00CA77AF"/>
    <w:rsid w:val="00CA7F4B"/>
    <w:rsid w:val="00CB1C44"/>
    <w:rsid w:val="00CB2F39"/>
    <w:rsid w:val="00CB3119"/>
    <w:rsid w:val="00CB35B4"/>
    <w:rsid w:val="00CB3D2F"/>
    <w:rsid w:val="00CB402D"/>
    <w:rsid w:val="00CB5D18"/>
    <w:rsid w:val="00CB76EB"/>
    <w:rsid w:val="00CC01F4"/>
    <w:rsid w:val="00CC1A04"/>
    <w:rsid w:val="00CC3309"/>
    <w:rsid w:val="00CC4716"/>
    <w:rsid w:val="00CC79BC"/>
    <w:rsid w:val="00CD3DCD"/>
    <w:rsid w:val="00CD6E11"/>
    <w:rsid w:val="00CE1422"/>
    <w:rsid w:val="00CE1F87"/>
    <w:rsid w:val="00CE25B3"/>
    <w:rsid w:val="00CE3D7B"/>
    <w:rsid w:val="00CE5C4B"/>
    <w:rsid w:val="00CF1895"/>
    <w:rsid w:val="00CF1B9F"/>
    <w:rsid w:val="00CF4B86"/>
    <w:rsid w:val="00CF5333"/>
    <w:rsid w:val="00CF58BF"/>
    <w:rsid w:val="00CF63E6"/>
    <w:rsid w:val="00CF77E7"/>
    <w:rsid w:val="00D00C5F"/>
    <w:rsid w:val="00D00FDE"/>
    <w:rsid w:val="00D012BC"/>
    <w:rsid w:val="00D031A2"/>
    <w:rsid w:val="00D03707"/>
    <w:rsid w:val="00D04D6A"/>
    <w:rsid w:val="00D06533"/>
    <w:rsid w:val="00D06B7E"/>
    <w:rsid w:val="00D07319"/>
    <w:rsid w:val="00D07DAE"/>
    <w:rsid w:val="00D10195"/>
    <w:rsid w:val="00D11835"/>
    <w:rsid w:val="00D131EB"/>
    <w:rsid w:val="00D1483D"/>
    <w:rsid w:val="00D14A54"/>
    <w:rsid w:val="00D15546"/>
    <w:rsid w:val="00D163F4"/>
    <w:rsid w:val="00D1787A"/>
    <w:rsid w:val="00D25171"/>
    <w:rsid w:val="00D25922"/>
    <w:rsid w:val="00D27D27"/>
    <w:rsid w:val="00D314AA"/>
    <w:rsid w:val="00D3215B"/>
    <w:rsid w:val="00D335F4"/>
    <w:rsid w:val="00D339C6"/>
    <w:rsid w:val="00D365A9"/>
    <w:rsid w:val="00D37CFE"/>
    <w:rsid w:val="00D400D0"/>
    <w:rsid w:val="00D412CD"/>
    <w:rsid w:val="00D41E4E"/>
    <w:rsid w:val="00D42290"/>
    <w:rsid w:val="00D431D4"/>
    <w:rsid w:val="00D443CF"/>
    <w:rsid w:val="00D44AF2"/>
    <w:rsid w:val="00D45AA7"/>
    <w:rsid w:val="00D460AF"/>
    <w:rsid w:val="00D5151F"/>
    <w:rsid w:val="00D52500"/>
    <w:rsid w:val="00D53D77"/>
    <w:rsid w:val="00D54822"/>
    <w:rsid w:val="00D56730"/>
    <w:rsid w:val="00D5686C"/>
    <w:rsid w:val="00D570DD"/>
    <w:rsid w:val="00D57D36"/>
    <w:rsid w:val="00D611E2"/>
    <w:rsid w:val="00D6173F"/>
    <w:rsid w:val="00D61BA5"/>
    <w:rsid w:val="00D61F53"/>
    <w:rsid w:val="00D620AA"/>
    <w:rsid w:val="00D620F9"/>
    <w:rsid w:val="00D63487"/>
    <w:rsid w:val="00D654AD"/>
    <w:rsid w:val="00D66DCC"/>
    <w:rsid w:val="00D677DE"/>
    <w:rsid w:val="00D7090C"/>
    <w:rsid w:val="00D72A50"/>
    <w:rsid w:val="00D72C97"/>
    <w:rsid w:val="00D757BD"/>
    <w:rsid w:val="00D77FEE"/>
    <w:rsid w:val="00D80163"/>
    <w:rsid w:val="00D817E4"/>
    <w:rsid w:val="00D82595"/>
    <w:rsid w:val="00D82BC0"/>
    <w:rsid w:val="00D8376B"/>
    <w:rsid w:val="00D8389C"/>
    <w:rsid w:val="00D83D2D"/>
    <w:rsid w:val="00D874DB"/>
    <w:rsid w:val="00D87518"/>
    <w:rsid w:val="00D918FE"/>
    <w:rsid w:val="00D9284F"/>
    <w:rsid w:val="00D94FC0"/>
    <w:rsid w:val="00D96BB0"/>
    <w:rsid w:val="00D96E0A"/>
    <w:rsid w:val="00D975EB"/>
    <w:rsid w:val="00D97766"/>
    <w:rsid w:val="00DA07A1"/>
    <w:rsid w:val="00DA5B83"/>
    <w:rsid w:val="00DB016E"/>
    <w:rsid w:val="00DB0C71"/>
    <w:rsid w:val="00DB2A04"/>
    <w:rsid w:val="00DB2A14"/>
    <w:rsid w:val="00DB3F17"/>
    <w:rsid w:val="00DB5374"/>
    <w:rsid w:val="00DB5CCE"/>
    <w:rsid w:val="00DB6AEE"/>
    <w:rsid w:val="00DB78D5"/>
    <w:rsid w:val="00DB7AEE"/>
    <w:rsid w:val="00DC0C43"/>
    <w:rsid w:val="00DC117A"/>
    <w:rsid w:val="00DC4387"/>
    <w:rsid w:val="00DC45D9"/>
    <w:rsid w:val="00DC4E44"/>
    <w:rsid w:val="00DC5269"/>
    <w:rsid w:val="00DC5B92"/>
    <w:rsid w:val="00DC6C69"/>
    <w:rsid w:val="00DC6E81"/>
    <w:rsid w:val="00DC792E"/>
    <w:rsid w:val="00DD13B1"/>
    <w:rsid w:val="00DD1BAE"/>
    <w:rsid w:val="00DD1FD3"/>
    <w:rsid w:val="00DD4D6E"/>
    <w:rsid w:val="00DD51EA"/>
    <w:rsid w:val="00DD53ED"/>
    <w:rsid w:val="00DD5868"/>
    <w:rsid w:val="00DD7001"/>
    <w:rsid w:val="00DD7751"/>
    <w:rsid w:val="00DD7F46"/>
    <w:rsid w:val="00DE0542"/>
    <w:rsid w:val="00DE0561"/>
    <w:rsid w:val="00DE0E17"/>
    <w:rsid w:val="00DE13E9"/>
    <w:rsid w:val="00DE399E"/>
    <w:rsid w:val="00DE591F"/>
    <w:rsid w:val="00DE6D64"/>
    <w:rsid w:val="00DE73FA"/>
    <w:rsid w:val="00DE7964"/>
    <w:rsid w:val="00DE7CB0"/>
    <w:rsid w:val="00DF30B7"/>
    <w:rsid w:val="00DF4A36"/>
    <w:rsid w:val="00DF4DF4"/>
    <w:rsid w:val="00DF5C3E"/>
    <w:rsid w:val="00DF5D50"/>
    <w:rsid w:val="00DF5E43"/>
    <w:rsid w:val="00DF632B"/>
    <w:rsid w:val="00DF636A"/>
    <w:rsid w:val="00DF76A9"/>
    <w:rsid w:val="00DF76C6"/>
    <w:rsid w:val="00DF79CD"/>
    <w:rsid w:val="00E001AE"/>
    <w:rsid w:val="00E00C54"/>
    <w:rsid w:val="00E017BF"/>
    <w:rsid w:val="00E01CE3"/>
    <w:rsid w:val="00E02DF9"/>
    <w:rsid w:val="00E04B82"/>
    <w:rsid w:val="00E04C63"/>
    <w:rsid w:val="00E103D8"/>
    <w:rsid w:val="00E12F95"/>
    <w:rsid w:val="00E147F2"/>
    <w:rsid w:val="00E165C1"/>
    <w:rsid w:val="00E16733"/>
    <w:rsid w:val="00E21E19"/>
    <w:rsid w:val="00E241F7"/>
    <w:rsid w:val="00E244D5"/>
    <w:rsid w:val="00E2487C"/>
    <w:rsid w:val="00E2499F"/>
    <w:rsid w:val="00E25445"/>
    <w:rsid w:val="00E25F46"/>
    <w:rsid w:val="00E264A3"/>
    <w:rsid w:val="00E27CE3"/>
    <w:rsid w:val="00E3104F"/>
    <w:rsid w:val="00E318EC"/>
    <w:rsid w:val="00E33158"/>
    <w:rsid w:val="00E3315C"/>
    <w:rsid w:val="00E33F5C"/>
    <w:rsid w:val="00E3422F"/>
    <w:rsid w:val="00E350A7"/>
    <w:rsid w:val="00E353B0"/>
    <w:rsid w:val="00E354B8"/>
    <w:rsid w:val="00E37386"/>
    <w:rsid w:val="00E378A7"/>
    <w:rsid w:val="00E4024D"/>
    <w:rsid w:val="00E40591"/>
    <w:rsid w:val="00E40BEE"/>
    <w:rsid w:val="00E40EDD"/>
    <w:rsid w:val="00E4138C"/>
    <w:rsid w:val="00E43649"/>
    <w:rsid w:val="00E436C3"/>
    <w:rsid w:val="00E44C0E"/>
    <w:rsid w:val="00E47A82"/>
    <w:rsid w:val="00E47B9B"/>
    <w:rsid w:val="00E5072C"/>
    <w:rsid w:val="00E5323A"/>
    <w:rsid w:val="00E53C24"/>
    <w:rsid w:val="00E53F9B"/>
    <w:rsid w:val="00E54ED9"/>
    <w:rsid w:val="00E54F9B"/>
    <w:rsid w:val="00E56B1E"/>
    <w:rsid w:val="00E57208"/>
    <w:rsid w:val="00E609E0"/>
    <w:rsid w:val="00E60E5E"/>
    <w:rsid w:val="00E6281B"/>
    <w:rsid w:val="00E62C98"/>
    <w:rsid w:val="00E63C33"/>
    <w:rsid w:val="00E63C91"/>
    <w:rsid w:val="00E6420F"/>
    <w:rsid w:val="00E65C31"/>
    <w:rsid w:val="00E716F6"/>
    <w:rsid w:val="00E7367D"/>
    <w:rsid w:val="00E738E1"/>
    <w:rsid w:val="00E7404C"/>
    <w:rsid w:val="00E751B8"/>
    <w:rsid w:val="00E75487"/>
    <w:rsid w:val="00E76714"/>
    <w:rsid w:val="00E77B4E"/>
    <w:rsid w:val="00E77DF9"/>
    <w:rsid w:val="00E77F00"/>
    <w:rsid w:val="00E80257"/>
    <w:rsid w:val="00E809DB"/>
    <w:rsid w:val="00E81D36"/>
    <w:rsid w:val="00E82EAC"/>
    <w:rsid w:val="00E831E1"/>
    <w:rsid w:val="00E86FCF"/>
    <w:rsid w:val="00E87F0C"/>
    <w:rsid w:val="00E914C5"/>
    <w:rsid w:val="00E9385E"/>
    <w:rsid w:val="00E93861"/>
    <w:rsid w:val="00E94979"/>
    <w:rsid w:val="00E954FB"/>
    <w:rsid w:val="00E95F43"/>
    <w:rsid w:val="00E96349"/>
    <w:rsid w:val="00E96AA7"/>
    <w:rsid w:val="00E96BB8"/>
    <w:rsid w:val="00E96D56"/>
    <w:rsid w:val="00E96ED6"/>
    <w:rsid w:val="00EA0887"/>
    <w:rsid w:val="00EA0A02"/>
    <w:rsid w:val="00EA1F2A"/>
    <w:rsid w:val="00EA25F7"/>
    <w:rsid w:val="00EA2DA5"/>
    <w:rsid w:val="00EA375C"/>
    <w:rsid w:val="00EA5300"/>
    <w:rsid w:val="00EA58AB"/>
    <w:rsid w:val="00EA5F36"/>
    <w:rsid w:val="00EA67B5"/>
    <w:rsid w:val="00EB031C"/>
    <w:rsid w:val="00EB059C"/>
    <w:rsid w:val="00EB1C27"/>
    <w:rsid w:val="00EB2E3A"/>
    <w:rsid w:val="00EB34D6"/>
    <w:rsid w:val="00EB6C17"/>
    <w:rsid w:val="00EC1474"/>
    <w:rsid w:val="00EC646B"/>
    <w:rsid w:val="00EC64F4"/>
    <w:rsid w:val="00EC6BC1"/>
    <w:rsid w:val="00EC717C"/>
    <w:rsid w:val="00ED0416"/>
    <w:rsid w:val="00ED0D12"/>
    <w:rsid w:val="00ED17D1"/>
    <w:rsid w:val="00ED281E"/>
    <w:rsid w:val="00ED319E"/>
    <w:rsid w:val="00ED3FB9"/>
    <w:rsid w:val="00ED4524"/>
    <w:rsid w:val="00ED49B9"/>
    <w:rsid w:val="00ED5520"/>
    <w:rsid w:val="00ED7C2B"/>
    <w:rsid w:val="00EE1ABB"/>
    <w:rsid w:val="00EE1CBA"/>
    <w:rsid w:val="00EE37C0"/>
    <w:rsid w:val="00EF025F"/>
    <w:rsid w:val="00EF2547"/>
    <w:rsid w:val="00EF522A"/>
    <w:rsid w:val="00EF5E98"/>
    <w:rsid w:val="00EF6171"/>
    <w:rsid w:val="00EF7163"/>
    <w:rsid w:val="00F008B9"/>
    <w:rsid w:val="00F00A60"/>
    <w:rsid w:val="00F01553"/>
    <w:rsid w:val="00F015C9"/>
    <w:rsid w:val="00F0172C"/>
    <w:rsid w:val="00F018FB"/>
    <w:rsid w:val="00F021E2"/>
    <w:rsid w:val="00F026FA"/>
    <w:rsid w:val="00F02F2B"/>
    <w:rsid w:val="00F046D6"/>
    <w:rsid w:val="00F04DCF"/>
    <w:rsid w:val="00F05D7F"/>
    <w:rsid w:val="00F069EB"/>
    <w:rsid w:val="00F118CC"/>
    <w:rsid w:val="00F119A2"/>
    <w:rsid w:val="00F11F60"/>
    <w:rsid w:val="00F12DE6"/>
    <w:rsid w:val="00F12F41"/>
    <w:rsid w:val="00F13B06"/>
    <w:rsid w:val="00F13E49"/>
    <w:rsid w:val="00F14F7A"/>
    <w:rsid w:val="00F159B2"/>
    <w:rsid w:val="00F178FB"/>
    <w:rsid w:val="00F24CEF"/>
    <w:rsid w:val="00F25294"/>
    <w:rsid w:val="00F2598E"/>
    <w:rsid w:val="00F25A5B"/>
    <w:rsid w:val="00F2651C"/>
    <w:rsid w:val="00F303DA"/>
    <w:rsid w:val="00F31076"/>
    <w:rsid w:val="00F31501"/>
    <w:rsid w:val="00F33176"/>
    <w:rsid w:val="00F33687"/>
    <w:rsid w:val="00F33C62"/>
    <w:rsid w:val="00F348FA"/>
    <w:rsid w:val="00F355F1"/>
    <w:rsid w:val="00F357C4"/>
    <w:rsid w:val="00F36215"/>
    <w:rsid w:val="00F36435"/>
    <w:rsid w:val="00F367A0"/>
    <w:rsid w:val="00F375FE"/>
    <w:rsid w:val="00F40A1E"/>
    <w:rsid w:val="00F415D6"/>
    <w:rsid w:val="00F4191A"/>
    <w:rsid w:val="00F41B75"/>
    <w:rsid w:val="00F43278"/>
    <w:rsid w:val="00F43523"/>
    <w:rsid w:val="00F454C9"/>
    <w:rsid w:val="00F45568"/>
    <w:rsid w:val="00F477D8"/>
    <w:rsid w:val="00F479DA"/>
    <w:rsid w:val="00F47FED"/>
    <w:rsid w:val="00F50A0A"/>
    <w:rsid w:val="00F50D82"/>
    <w:rsid w:val="00F50DE6"/>
    <w:rsid w:val="00F536FF"/>
    <w:rsid w:val="00F53744"/>
    <w:rsid w:val="00F53D1C"/>
    <w:rsid w:val="00F54B01"/>
    <w:rsid w:val="00F553B8"/>
    <w:rsid w:val="00F56579"/>
    <w:rsid w:val="00F56CD0"/>
    <w:rsid w:val="00F572F2"/>
    <w:rsid w:val="00F57702"/>
    <w:rsid w:val="00F60418"/>
    <w:rsid w:val="00F60672"/>
    <w:rsid w:val="00F63106"/>
    <w:rsid w:val="00F639CB"/>
    <w:rsid w:val="00F63F15"/>
    <w:rsid w:val="00F64B5F"/>
    <w:rsid w:val="00F64F36"/>
    <w:rsid w:val="00F6650B"/>
    <w:rsid w:val="00F66B25"/>
    <w:rsid w:val="00F703C2"/>
    <w:rsid w:val="00F706BA"/>
    <w:rsid w:val="00F70B6F"/>
    <w:rsid w:val="00F70C51"/>
    <w:rsid w:val="00F732A7"/>
    <w:rsid w:val="00F734B0"/>
    <w:rsid w:val="00F73773"/>
    <w:rsid w:val="00F7539B"/>
    <w:rsid w:val="00F75EB9"/>
    <w:rsid w:val="00F76054"/>
    <w:rsid w:val="00F76AF8"/>
    <w:rsid w:val="00F76BDF"/>
    <w:rsid w:val="00F80300"/>
    <w:rsid w:val="00F80367"/>
    <w:rsid w:val="00F80DA2"/>
    <w:rsid w:val="00F811F8"/>
    <w:rsid w:val="00F8142C"/>
    <w:rsid w:val="00F8154F"/>
    <w:rsid w:val="00F81EDE"/>
    <w:rsid w:val="00F81F28"/>
    <w:rsid w:val="00F82042"/>
    <w:rsid w:val="00F823D1"/>
    <w:rsid w:val="00F82F3B"/>
    <w:rsid w:val="00F838C1"/>
    <w:rsid w:val="00F84916"/>
    <w:rsid w:val="00F86113"/>
    <w:rsid w:val="00F875B0"/>
    <w:rsid w:val="00F911F3"/>
    <w:rsid w:val="00F921EC"/>
    <w:rsid w:val="00F92386"/>
    <w:rsid w:val="00F924AF"/>
    <w:rsid w:val="00F92BAB"/>
    <w:rsid w:val="00F92E17"/>
    <w:rsid w:val="00F9353D"/>
    <w:rsid w:val="00F937DB"/>
    <w:rsid w:val="00F97104"/>
    <w:rsid w:val="00F97681"/>
    <w:rsid w:val="00F97758"/>
    <w:rsid w:val="00FA24AE"/>
    <w:rsid w:val="00FA25A7"/>
    <w:rsid w:val="00FA4810"/>
    <w:rsid w:val="00FA5415"/>
    <w:rsid w:val="00FB1783"/>
    <w:rsid w:val="00FB18F7"/>
    <w:rsid w:val="00FB284B"/>
    <w:rsid w:val="00FB3394"/>
    <w:rsid w:val="00FB3A2B"/>
    <w:rsid w:val="00FB41AB"/>
    <w:rsid w:val="00FB4782"/>
    <w:rsid w:val="00FB4FC3"/>
    <w:rsid w:val="00FB5573"/>
    <w:rsid w:val="00FC11C4"/>
    <w:rsid w:val="00FC286C"/>
    <w:rsid w:val="00FC4F88"/>
    <w:rsid w:val="00FC65FE"/>
    <w:rsid w:val="00FC704D"/>
    <w:rsid w:val="00FC710D"/>
    <w:rsid w:val="00FC751C"/>
    <w:rsid w:val="00FC763A"/>
    <w:rsid w:val="00FC7818"/>
    <w:rsid w:val="00FD0D08"/>
    <w:rsid w:val="00FD2ED2"/>
    <w:rsid w:val="00FD3BD7"/>
    <w:rsid w:val="00FD3D4D"/>
    <w:rsid w:val="00FD4126"/>
    <w:rsid w:val="00FD6A0B"/>
    <w:rsid w:val="00FE1107"/>
    <w:rsid w:val="00FE1FA8"/>
    <w:rsid w:val="00FE30E6"/>
    <w:rsid w:val="00FE5A60"/>
    <w:rsid w:val="00FE70FC"/>
    <w:rsid w:val="00FE75DF"/>
    <w:rsid w:val="00FF0034"/>
    <w:rsid w:val="00FF1D9C"/>
    <w:rsid w:val="00FF1E0B"/>
    <w:rsid w:val="00FF1FDF"/>
    <w:rsid w:val="00FF3F00"/>
    <w:rsid w:val="00FF4A7C"/>
    <w:rsid w:val="00FF4BA9"/>
    <w:rsid w:val="00FF575D"/>
    <w:rsid w:val="00FF6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A0561"/>
  <w15:docId w15:val="{4ED7909C-815E-4676-88D9-B4340A429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1598"/>
    <w:pPr>
      <w:spacing w:after="200" w:line="276" w:lineRule="auto"/>
    </w:pPr>
    <w:rPr>
      <w:sz w:val="22"/>
      <w:szCs w:val="22"/>
      <w:lang w:val="sq-AL"/>
    </w:rPr>
  </w:style>
  <w:style w:type="paragraph" w:styleId="Heading5">
    <w:name w:val="heading 5"/>
    <w:basedOn w:val="Normal"/>
    <w:next w:val="Normal"/>
    <w:link w:val="Heading5Char"/>
    <w:uiPriority w:val="9"/>
    <w:unhideWhenUsed/>
    <w:qFormat/>
    <w:rsid w:val="00181A5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B90"/>
    <w:pPr>
      <w:tabs>
        <w:tab w:val="center" w:pos="4680"/>
        <w:tab w:val="right" w:pos="9360"/>
      </w:tabs>
    </w:pPr>
  </w:style>
  <w:style w:type="character" w:customStyle="1" w:styleId="HeaderChar">
    <w:name w:val="Header Char"/>
    <w:link w:val="Header"/>
    <w:uiPriority w:val="99"/>
    <w:rsid w:val="00C15B90"/>
    <w:rPr>
      <w:sz w:val="22"/>
      <w:szCs w:val="22"/>
      <w:lang w:val="sq-AL"/>
    </w:rPr>
  </w:style>
  <w:style w:type="paragraph" w:styleId="Footer">
    <w:name w:val="footer"/>
    <w:basedOn w:val="Normal"/>
    <w:link w:val="FooterChar"/>
    <w:uiPriority w:val="99"/>
    <w:unhideWhenUsed/>
    <w:rsid w:val="00C15B90"/>
    <w:pPr>
      <w:tabs>
        <w:tab w:val="center" w:pos="4680"/>
        <w:tab w:val="right" w:pos="9360"/>
      </w:tabs>
    </w:pPr>
  </w:style>
  <w:style w:type="character" w:customStyle="1" w:styleId="FooterChar">
    <w:name w:val="Footer Char"/>
    <w:link w:val="Footer"/>
    <w:uiPriority w:val="99"/>
    <w:rsid w:val="00C15B90"/>
    <w:rPr>
      <w:sz w:val="22"/>
      <w:szCs w:val="22"/>
      <w:lang w:val="sq-AL"/>
    </w:rPr>
  </w:style>
  <w:style w:type="paragraph" w:customStyle="1" w:styleId="ju-005fpara">
    <w:name w:val="ju-005fpara"/>
    <w:basedOn w:val="Normal"/>
    <w:rsid w:val="00C57D99"/>
    <w:pPr>
      <w:spacing w:after="0" w:line="240" w:lineRule="auto"/>
      <w:ind w:firstLine="280"/>
      <w:jc w:val="both"/>
    </w:pPr>
    <w:rPr>
      <w:rFonts w:ascii="Times New Roman" w:hAnsi="Times New Roman"/>
      <w:sz w:val="24"/>
      <w:szCs w:val="24"/>
      <w:lang w:val="en-US"/>
    </w:rPr>
  </w:style>
  <w:style w:type="character" w:customStyle="1" w:styleId="normal--char">
    <w:name w:val="normal--char"/>
    <w:basedOn w:val="DefaultParagraphFont"/>
    <w:rsid w:val="00C57D99"/>
  </w:style>
  <w:style w:type="paragraph" w:styleId="FootnoteText">
    <w:name w:val="footnote text"/>
    <w:aliases w:val="Char Char, Char1,Footnote Text Char1 Char Char Char,Footnote Text Char Char Char Char Char,Car,Char1"/>
    <w:basedOn w:val="Normal"/>
    <w:link w:val="FootnoteTextChar"/>
    <w:unhideWhenUsed/>
    <w:rsid w:val="00AC7582"/>
    <w:rPr>
      <w:sz w:val="20"/>
      <w:szCs w:val="20"/>
      <w:lang w:val="en-US"/>
    </w:rPr>
  </w:style>
  <w:style w:type="character" w:customStyle="1" w:styleId="FootnoteTextChar">
    <w:name w:val="Footnote Text Char"/>
    <w:aliases w:val="Char Char Char, Char1 Char,Footnote Text Char1 Char Char Char Char,Footnote Text Char Char Char Char Char Char,Car Char,Char1 Char"/>
    <w:basedOn w:val="DefaultParagraphFont"/>
    <w:link w:val="FootnoteText"/>
    <w:rsid w:val="00AC7582"/>
  </w:style>
  <w:style w:type="paragraph" w:styleId="ListParagraph">
    <w:name w:val="List Paragraph"/>
    <w:aliases w:val="List Paragraph2"/>
    <w:basedOn w:val="Normal"/>
    <w:link w:val="ListParagraphChar"/>
    <w:uiPriority w:val="34"/>
    <w:qFormat/>
    <w:rsid w:val="00D1483D"/>
    <w:pPr>
      <w:spacing w:after="160" w:line="259" w:lineRule="auto"/>
      <w:ind w:left="720"/>
      <w:contextualSpacing/>
    </w:pPr>
  </w:style>
  <w:style w:type="character" w:customStyle="1" w:styleId="ListParagraphChar">
    <w:name w:val="List Paragraph Char"/>
    <w:aliases w:val="List Paragraph2 Char"/>
    <w:link w:val="ListParagraph"/>
    <w:uiPriority w:val="34"/>
    <w:rsid w:val="00D1483D"/>
    <w:rPr>
      <w:rFonts w:ascii="Calibri" w:eastAsia="Calibri" w:hAnsi="Calibri" w:cs="Times New Roman"/>
      <w:sz w:val="22"/>
      <w:szCs w:val="22"/>
    </w:rPr>
  </w:style>
  <w:style w:type="character" w:styleId="FootnoteReference">
    <w:name w:val="footnote reference"/>
    <w:uiPriority w:val="99"/>
    <w:semiHidden/>
    <w:unhideWhenUsed/>
    <w:rsid w:val="008B1FC6"/>
    <w:rPr>
      <w:vertAlign w:val="superscript"/>
    </w:rPr>
  </w:style>
  <w:style w:type="paragraph" w:styleId="BalloonText">
    <w:name w:val="Balloon Text"/>
    <w:basedOn w:val="Normal"/>
    <w:link w:val="BalloonTextChar"/>
    <w:uiPriority w:val="99"/>
    <w:semiHidden/>
    <w:unhideWhenUsed/>
    <w:rsid w:val="00C710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710BD"/>
    <w:rPr>
      <w:rFonts w:ascii="Tahoma" w:hAnsi="Tahoma" w:cs="Tahoma"/>
      <w:sz w:val="16"/>
      <w:szCs w:val="16"/>
      <w:lang w:val="sq-AL"/>
    </w:rPr>
  </w:style>
  <w:style w:type="paragraph" w:styleId="NormalWeb">
    <w:name w:val="Normal (Web)"/>
    <w:basedOn w:val="Normal"/>
    <w:uiPriority w:val="99"/>
    <w:unhideWhenUsed/>
    <w:rsid w:val="000C01A3"/>
    <w:pPr>
      <w:spacing w:before="100" w:beforeAutospacing="1" w:after="100" w:afterAutospacing="1" w:line="240" w:lineRule="auto"/>
    </w:pPr>
    <w:rPr>
      <w:rFonts w:ascii="Times New Roman" w:eastAsia="Times New Roman" w:hAnsi="Times New Roman"/>
      <w:sz w:val="24"/>
      <w:szCs w:val="24"/>
      <w:lang w:val="en-US"/>
    </w:rPr>
  </w:style>
  <w:style w:type="character" w:styleId="Strong">
    <w:name w:val="Strong"/>
    <w:uiPriority w:val="22"/>
    <w:qFormat/>
    <w:rsid w:val="00FC7818"/>
    <w:rPr>
      <w:b/>
      <w:bCs/>
    </w:rPr>
  </w:style>
  <w:style w:type="character" w:styleId="Emphasis">
    <w:name w:val="Emphasis"/>
    <w:uiPriority w:val="20"/>
    <w:qFormat/>
    <w:rsid w:val="00FC7818"/>
    <w:rPr>
      <w:i/>
      <w:iCs/>
    </w:rPr>
  </w:style>
  <w:style w:type="character" w:styleId="Hyperlink">
    <w:name w:val="Hyperlink"/>
    <w:uiPriority w:val="99"/>
    <w:semiHidden/>
    <w:unhideWhenUsed/>
    <w:rsid w:val="00FC7818"/>
    <w:rPr>
      <w:color w:val="0000FF"/>
      <w:u w:val="single"/>
    </w:rPr>
  </w:style>
  <w:style w:type="character" w:customStyle="1" w:styleId="TitleChar">
    <w:name w:val="Title Char"/>
    <w:locked/>
    <w:rsid w:val="00216AE6"/>
    <w:rPr>
      <w:b/>
      <w:bCs/>
      <w:sz w:val="24"/>
      <w:szCs w:val="24"/>
    </w:rPr>
  </w:style>
  <w:style w:type="paragraph" w:styleId="Title">
    <w:name w:val="Title"/>
    <w:aliases w:val="Char"/>
    <w:basedOn w:val="Normal"/>
    <w:link w:val="TitleChar1"/>
    <w:qFormat/>
    <w:rsid w:val="00216AE6"/>
    <w:pPr>
      <w:spacing w:after="0" w:line="240" w:lineRule="auto"/>
      <w:jc w:val="center"/>
    </w:pPr>
    <w:rPr>
      <w:b/>
      <w:bCs/>
      <w:sz w:val="24"/>
      <w:szCs w:val="24"/>
      <w:lang w:val="en-US"/>
    </w:rPr>
  </w:style>
  <w:style w:type="character" w:customStyle="1" w:styleId="TitleChar1">
    <w:name w:val="Title Char1"/>
    <w:aliases w:val="Char Char1"/>
    <w:link w:val="Title"/>
    <w:rsid w:val="00216AE6"/>
    <w:rPr>
      <w:b/>
      <w:bCs/>
      <w:sz w:val="24"/>
      <w:szCs w:val="24"/>
    </w:rPr>
  </w:style>
  <w:style w:type="character" w:styleId="CommentReference">
    <w:name w:val="annotation reference"/>
    <w:basedOn w:val="DefaultParagraphFont"/>
    <w:uiPriority w:val="99"/>
    <w:semiHidden/>
    <w:unhideWhenUsed/>
    <w:rsid w:val="00AB1E9E"/>
    <w:rPr>
      <w:sz w:val="16"/>
      <w:szCs w:val="16"/>
    </w:rPr>
  </w:style>
  <w:style w:type="paragraph" w:styleId="CommentText">
    <w:name w:val="annotation text"/>
    <w:basedOn w:val="Normal"/>
    <w:link w:val="CommentTextChar"/>
    <w:uiPriority w:val="99"/>
    <w:unhideWhenUsed/>
    <w:rsid w:val="00AB1E9E"/>
    <w:pPr>
      <w:spacing w:line="240" w:lineRule="auto"/>
    </w:pPr>
    <w:rPr>
      <w:sz w:val="20"/>
      <w:szCs w:val="20"/>
    </w:rPr>
  </w:style>
  <w:style w:type="character" w:customStyle="1" w:styleId="CommentTextChar">
    <w:name w:val="Comment Text Char"/>
    <w:basedOn w:val="DefaultParagraphFont"/>
    <w:link w:val="CommentText"/>
    <w:uiPriority w:val="99"/>
    <w:rsid w:val="00AB1E9E"/>
    <w:rPr>
      <w:lang w:val="sq-AL"/>
    </w:rPr>
  </w:style>
  <w:style w:type="paragraph" w:styleId="CommentSubject">
    <w:name w:val="annotation subject"/>
    <w:basedOn w:val="CommentText"/>
    <w:next w:val="CommentText"/>
    <w:link w:val="CommentSubjectChar"/>
    <w:uiPriority w:val="99"/>
    <w:semiHidden/>
    <w:unhideWhenUsed/>
    <w:rsid w:val="00AB1E9E"/>
    <w:rPr>
      <w:b/>
      <w:bCs/>
    </w:rPr>
  </w:style>
  <w:style w:type="character" w:customStyle="1" w:styleId="CommentSubjectChar">
    <w:name w:val="Comment Subject Char"/>
    <w:basedOn w:val="CommentTextChar"/>
    <w:link w:val="CommentSubject"/>
    <w:uiPriority w:val="99"/>
    <w:semiHidden/>
    <w:rsid w:val="00AB1E9E"/>
    <w:rPr>
      <w:b/>
      <w:bCs/>
      <w:lang w:val="sq-AL"/>
    </w:rPr>
  </w:style>
  <w:style w:type="paragraph" w:styleId="Revision">
    <w:name w:val="Revision"/>
    <w:hidden/>
    <w:uiPriority w:val="99"/>
    <w:semiHidden/>
    <w:rsid w:val="00AB1E9E"/>
    <w:rPr>
      <w:sz w:val="22"/>
      <w:szCs w:val="22"/>
      <w:lang w:val="sq-AL"/>
    </w:rPr>
  </w:style>
  <w:style w:type="character" w:customStyle="1" w:styleId="Heading5Char">
    <w:name w:val="Heading 5 Char"/>
    <w:basedOn w:val="DefaultParagraphFont"/>
    <w:link w:val="Heading5"/>
    <w:uiPriority w:val="9"/>
    <w:rsid w:val="00181A5B"/>
    <w:rPr>
      <w:rFonts w:asciiTheme="majorHAnsi" w:eastAsiaTheme="majorEastAsia" w:hAnsiTheme="majorHAnsi" w:cstheme="majorBidi"/>
      <w:color w:val="243F60" w:themeColor="accent1" w:themeShade="7F"/>
      <w:sz w:val="22"/>
      <w:szCs w:val="22"/>
      <w:lang w:val="sq-AL"/>
    </w:rPr>
  </w:style>
  <w:style w:type="paragraph" w:styleId="BodyTextIndent">
    <w:name w:val="Body Text Indent"/>
    <w:basedOn w:val="Normal"/>
    <w:link w:val="BodyTextIndentChar"/>
    <w:rsid w:val="001D1A69"/>
    <w:pPr>
      <w:spacing w:after="120" w:line="240" w:lineRule="auto"/>
      <w:ind w:left="283"/>
    </w:pPr>
    <w:rPr>
      <w:rFonts w:ascii="Times New Roman" w:eastAsia="Times New Roman" w:hAnsi="Times New Roman"/>
      <w:sz w:val="24"/>
      <w:szCs w:val="24"/>
      <w:lang w:val="en-US"/>
    </w:rPr>
  </w:style>
  <w:style w:type="character" w:customStyle="1" w:styleId="BodyTextIndentChar">
    <w:name w:val="Body Text Indent Char"/>
    <w:basedOn w:val="DefaultParagraphFont"/>
    <w:link w:val="BodyTextIndent"/>
    <w:rsid w:val="001D1A69"/>
    <w:rPr>
      <w:rFonts w:ascii="Times New Roman" w:eastAsia="Times New Roman" w:hAnsi="Times New Roman"/>
      <w:sz w:val="24"/>
      <w:szCs w:val="24"/>
    </w:rPr>
  </w:style>
  <w:style w:type="paragraph" w:styleId="BodyText">
    <w:name w:val="Body Text"/>
    <w:basedOn w:val="Normal"/>
    <w:link w:val="BodyTextChar"/>
    <w:uiPriority w:val="99"/>
    <w:unhideWhenUsed/>
    <w:rsid w:val="00EB2E3A"/>
    <w:pPr>
      <w:spacing w:after="120"/>
    </w:pPr>
  </w:style>
  <w:style w:type="character" w:customStyle="1" w:styleId="BodyTextChar">
    <w:name w:val="Body Text Char"/>
    <w:basedOn w:val="DefaultParagraphFont"/>
    <w:link w:val="BodyText"/>
    <w:uiPriority w:val="99"/>
    <w:rsid w:val="00EB2E3A"/>
    <w:rPr>
      <w:sz w:val="22"/>
      <w:szCs w:val="22"/>
      <w:lang w:val="sq-AL"/>
    </w:rPr>
  </w:style>
  <w:style w:type="paragraph" w:styleId="TOC1">
    <w:name w:val="toc 1"/>
    <w:basedOn w:val="Normal"/>
    <w:autoRedefine/>
    <w:uiPriority w:val="39"/>
    <w:unhideWhenUsed/>
    <w:rsid w:val="00B21F72"/>
    <w:pPr>
      <w:spacing w:after="0" w:line="360" w:lineRule="auto"/>
      <w:ind w:firstLine="720"/>
      <w:jc w:val="both"/>
    </w:pPr>
    <w:rPr>
      <w:rFonts w:ascii="Times New Roman" w:eastAsiaTheme="minorHAnsi" w:hAnsi="Times New Roman"/>
      <w:sz w:val="24"/>
      <w:szCs w:val="24"/>
      <w:lang w:eastAsia="sq-AL"/>
    </w:rPr>
  </w:style>
  <w:style w:type="character" w:customStyle="1" w:styleId="s7d2086b4">
    <w:name w:val="s7d2086b4"/>
    <w:basedOn w:val="DefaultParagraphFont"/>
    <w:rsid w:val="00296F7E"/>
  </w:style>
  <w:style w:type="paragraph" w:customStyle="1" w:styleId="s899b3e47">
    <w:name w:val="s899b3e47"/>
    <w:basedOn w:val="Normal"/>
    <w:rsid w:val="007F4CAB"/>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s68f5eaef">
    <w:name w:val="s68f5eaef"/>
    <w:basedOn w:val="DefaultParagraphFont"/>
    <w:rsid w:val="007F4CAB"/>
  </w:style>
  <w:style w:type="character" w:customStyle="1" w:styleId="sbc73225d">
    <w:name w:val="sbc73225d"/>
    <w:basedOn w:val="DefaultParagraphFont"/>
    <w:rsid w:val="007F4CAB"/>
  </w:style>
  <w:style w:type="character" w:styleId="PlaceholderText">
    <w:name w:val="Placeholder Text"/>
    <w:basedOn w:val="DefaultParagraphFont"/>
    <w:uiPriority w:val="99"/>
    <w:semiHidden/>
    <w:rsid w:val="001F69ED"/>
    <w:rPr>
      <w:color w:val="808080"/>
    </w:rPr>
  </w:style>
  <w:style w:type="table" w:styleId="TableGrid">
    <w:name w:val="Table Grid"/>
    <w:basedOn w:val="TableNormal"/>
    <w:uiPriority w:val="59"/>
    <w:rsid w:val="00E5720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889">
      <w:bodyDiv w:val="1"/>
      <w:marLeft w:val="0"/>
      <w:marRight w:val="0"/>
      <w:marTop w:val="0"/>
      <w:marBottom w:val="0"/>
      <w:divBdr>
        <w:top w:val="none" w:sz="0" w:space="0" w:color="auto"/>
        <w:left w:val="none" w:sz="0" w:space="0" w:color="auto"/>
        <w:bottom w:val="none" w:sz="0" w:space="0" w:color="auto"/>
        <w:right w:val="none" w:sz="0" w:space="0" w:color="auto"/>
      </w:divBdr>
      <w:divsChild>
        <w:div w:id="1153106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2890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353607">
      <w:bodyDiv w:val="1"/>
      <w:marLeft w:val="0"/>
      <w:marRight w:val="0"/>
      <w:marTop w:val="0"/>
      <w:marBottom w:val="0"/>
      <w:divBdr>
        <w:top w:val="none" w:sz="0" w:space="0" w:color="auto"/>
        <w:left w:val="none" w:sz="0" w:space="0" w:color="auto"/>
        <w:bottom w:val="none" w:sz="0" w:space="0" w:color="auto"/>
        <w:right w:val="none" w:sz="0" w:space="0" w:color="auto"/>
      </w:divBdr>
    </w:div>
    <w:div w:id="154807101">
      <w:bodyDiv w:val="1"/>
      <w:marLeft w:val="0"/>
      <w:marRight w:val="0"/>
      <w:marTop w:val="0"/>
      <w:marBottom w:val="0"/>
      <w:divBdr>
        <w:top w:val="none" w:sz="0" w:space="0" w:color="auto"/>
        <w:left w:val="none" w:sz="0" w:space="0" w:color="auto"/>
        <w:bottom w:val="none" w:sz="0" w:space="0" w:color="auto"/>
        <w:right w:val="none" w:sz="0" w:space="0" w:color="auto"/>
      </w:divBdr>
    </w:div>
    <w:div w:id="425883351">
      <w:bodyDiv w:val="1"/>
      <w:marLeft w:val="0"/>
      <w:marRight w:val="0"/>
      <w:marTop w:val="0"/>
      <w:marBottom w:val="0"/>
      <w:divBdr>
        <w:top w:val="none" w:sz="0" w:space="0" w:color="auto"/>
        <w:left w:val="none" w:sz="0" w:space="0" w:color="auto"/>
        <w:bottom w:val="none" w:sz="0" w:space="0" w:color="auto"/>
        <w:right w:val="none" w:sz="0" w:space="0" w:color="auto"/>
      </w:divBdr>
    </w:div>
    <w:div w:id="474765388">
      <w:bodyDiv w:val="1"/>
      <w:marLeft w:val="0"/>
      <w:marRight w:val="0"/>
      <w:marTop w:val="0"/>
      <w:marBottom w:val="0"/>
      <w:divBdr>
        <w:top w:val="none" w:sz="0" w:space="0" w:color="auto"/>
        <w:left w:val="none" w:sz="0" w:space="0" w:color="auto"/>
        <w:bottom w:val="none" w:sz="0" w:space="0" w:color="auto"/>
        <w:right w:val="none" w:sz="0" w:space="0" w:color="auto"/>
      </w:divBdr>
    </w:div>
    <w:div w:id="712073254">
      <w:bodyDiv w:val="1"/>
      <w:marLeft w:val="0"/>
      <w:marRight w:val="0"/>
      <w:marTop w:val="0"/>
      <w:marBottom w:val="0"/>
      <w:divBdr>
        <w:top w:val="none" w:sz="0" w:space="0" w:color="auto"/>
        <w:left w:val="none" w:sz="0" w:space="0" w:color="auto"/>
        <w:bottom w:val="none" w:sz="0" w:space="0" w:color="auto"/>
        <w:right w:val="none" w:sz="0" w:space="0" w:color="auto"/>
      </w:divBdr>
    </w:div>
    <w:div w:id="825392646">
      <w:bodyDiv w:val="1"/>
      <w:marLeft w:val="0"/>
      <w:marRight w:val="0"/>
      <w:marTop w:val="0"/>
      <w:marBottom w:val="0"/>
      <w:divBdr>
        <w:top w:val="none" w:sz="0" w:space="0" w:color="auto"/>
        <w:left w:val="none" w:sz="0" w:space="0" w:color="auto"/>
        <w:bottom w:val="none" w:sz="0" w:space="0" w:color="auto"/>
        <w:right w:val="none" w:sz="0" w:space="0" w:color="auto"/>
      </w:divBdr>
    </w:div>
    <w:div w:id="973100936">
      <w:bodyDiv w:val="1"/>
      <w:marLeft w:val="0"/>
      <w:marRight w:val="0"/>
      <w:marTop w:val="0"/>
      <w:marBottom w:val="0"/>
      <w:divBdr>
        <w:top w:val="none" w:sz="0" w:space="0" w:color="auto"/>
        <w:left w:val="none" w:sz="0" w:space="0" w:color="auto"/>
        <w:bottom w:val="none" w:sz="0" w:space="0" w:color="auto"/>
        <w:right w:val="none" w:sz="0" w:space="0" w:color="auto"/>
      </w:divBdr>
    </w:div>
    <w:div w:id="982154980">
      <w:bodyDiv w:val="1"/>
      <w:marLeft w:val="0"/>
      <w:marRight w:val="0"/>
      <w:marTop w:val="0"/>
      <w:marBottom w:val="0"/>
      <w:divBdr>
        <w:top w:val="none" w:sz="0" w:space="0" w:color="auto"/>
        <w:left w:val="none" w:sz="0" w:space="0" w:color="auto"/>
        <w:bottom w:val="none" w:sz="0" w:space="0" w:color="auto"/>
        <w:right w:val="none" w:sz="0" w:space="0" w:color="auto"/>
      </w:divBdr>
    </w:div>
    <w:div w:id="987900652">
      <w:bodyDiv w:val="1"/>
      <w:marLeft w:val="0"/>
      <w:marRight w:val="0"/>
      <w:marTop w:val="0"/>
      <w:marBottom w:val="0"/>
      <w:divBdr>
        <w:top w:val="none" w:sz="0" w:space="0" w:color="auto"/>
        <w:left w:val="none" w:sz="0" w:space="0" w:color="auto"/>
        <w:bottom w:val="none" w:sz="0" w:space="0" w:color="auto"/>
        <w:right w:val="none" w:sz="0" w:space="0" w:color="auto"/>
      </w:divBdr>
    </w:div>
    <w:div w:id="1067147742">
      <w:bodyDiv w:val="1"/>
      <w:marLeft w:val="0"/>
      <w:marRight w:val="0"/>
      <w:marTop w:val="0"/>
      <w:marBottom w:val="0"/>
      <w:divBdr>
        <w:top w:val="none" w:sz="0" w:space="0" w:color="auto"/>
        <w:left w:val="none" w:sz="0" w:space="0" w:color="auto"/>
        <w:bottom w:val="none" w:sz="0" w:space="0" w:color="auto"/>
        <w:right w:val="none" w:sz="0" w:space="0" w:color="auto"/>
      </w:divBdr>
    </w:div>
    <w:div w:id="1161776417">
      <w:bodyDiv w:val="1"/>
      <w:marLeft w:val="0"/>
      <w:marRight w:val="0"/>
      <w:marTop w:val="0"/>
      <w:marBottom w:val="0"/>
      <w:divBdr>
        <w:top w:val="none" w:sz="0" w:space="0" w:color="auto"/>
        <w:left w:val="none" w:sz="0" w:space="0" w:color="auto"/>
        <w:bottom w:val="none" w:sz="0" w:space="0" w:color="auto"/>
        <w:right w:val="none" w:sz="0" w:space="0" w:color="auto"/>
      </w:divBdr>
    </w:div>
    <w:div w:id="1167285939">
      <w:bodyDiv w:val="1"/>
      <w:marLeft w:val="0"/>
      <w:marRight w:val="0"/>
      <w:marTop w:val="0"/>
      <w:marBottom w:val="0"/>
      <w:divBdr>
        <w:top w:val="none" w:sz="0" w:space="0" w:color="auto"/>
        <w:left w:val="none" w:sz="0" w:space="0" w:color="auto"/>
        <w:bottom w:val="none" w:sz="0" w:space="0" w:color="auto"/>
        <w:right w:val="none" w:sz="0" w:space="0" w:color="auto"/>
      </w:divBdr>
    </w:div>
    <w:div w:id="1251424049">
      <w:bodyDiv w:val="1"/>
      <w:marLeft w:val="0"/>
      <w:marRight w:val="0"/>
      <w:marTop w:val="0"/>
      <w:marBottom w:val="0"/>
      <w:divBdr>
        <w:top w:val="none" w:sz="0" w:space="0" w:color="auto"/>
        <w:left w:val="none" w:sz="0" w:space="0" w:color="auto"/>
        <w:bottom w:val="none" w:sz="0" w:space="0" w:color="auto"/>
        <w:right w:val="none" w:sz="0" w:space="0" w:color="auto"/>
      </w:divBdr>
    </w:div>
    <w:div w:id="1348092422">
      <w:bodyDiv w:val="1"/>
      <w:marLeft w:val="0"/>
      <w:marRight w:val="0"/>
      <w:marTop w:val="0"/>
      <w:marBottom w:val="0"/>
      <w:divBdr>
        <w:top w:val="none" w:sz="0" w:space="0" w:color="auto"/>
        <w:left w:val="none" w:sz="0" w:space="0" w:color="auto"/>
        <w:bottom w:val="none" w:sz="0" w:space="0" w:color="auto"/>
        <w:right w:val="none" w:sz="0" w:space="0" w:color="auto"/>
      </w:divBdr>
    </w:div>
    <w:div w:id="1391080666">
      <w:bodyDiv w:val="1"/>
      <w:marLeft w:val="0"/>
      <w:marRight w:val="0"/>
      <w:marTop w:val="0"/>
      <w:marBottom w:val="0"/>
      <w:divBdr>
        <w:top w:val="none" w:sz="0" w:space="0" w:color="auto"/>
        <w:left w:val="none" w:sz="0" w:space="0" w:color="auto"/>
        <w:bottom w:val="none" w:sz="0" w:space="0" w:color="auto"/>
        <w:right w:val="none" w:sz="0" w:space="0" w:color="auto"/>
      </w:divBdr>
    </w:div>
    <w:div w:id="1465584148">
      <w:bodyDiv w:val="1"/>
      <w:marLeft w:val="0"/>
      <w:marRight w:val="0"/>
      <w:marTop w:val="0"/>
      <w:marBottom w:val="0"/>
      <w:divBdr>
        <w:top w:val="none" w:sz="0" w:space="0" w:color="auto"/>
        <w:left w:val="none" w:sz="0" w:space="0" w:color="auto"/>
        <w:bottom w:val="none" w:sz="0" w:space="0" w:color="auto"/>
        <w:right w:val="none" w:sz="0" w:space="0" w:color="auto"/>
      </w:divBdr>
    </w:div>
    <w:div w:id="1550190902">
      <w:bodyDiv w:val="1"/>
      <w:marLeft w:val="0"/>
      <w:marRight w:val="0"/>
      <w:marTop w:val="0"/>
      <w:marBottom w:val="0"/>
      <w:divBdr>
        <w:top w:val="none" w:sz="0" w:space="0" w:color="auto"/>
        <w:left w:val="none" w:sz="0" w:space="0" w:color="auto"/>
        <w:bottom w:val="none" w:sz="0" w:space="0" w:color="auto"/>
        <w:right w:val="none" w:sz="0" w:space="0" w:color="auto"/>
      </w:divBdr>
    </w:div>
    <w:div w:id="2007514441">
      <w:bodyDiv w:val="1"/>
      <w:marLeft w:val="0"/>
      <w:marRight w:val="0"/>
      <w:marTop w:val="0"/>
      <w:marBottom w:val="0"/>
      <w:divBdr>
        <w:top w:val="none" w:sz="0" w:space="0" w:color="auto"/>
        <w:left w:val="none" w:sz="0" w:space="0" w:color="auto"/>
        <w:bottom w:val="none" w:sz="0" w:space="0" w:color="auto"/>
        <w:right w:val="none" w:sz="0" w:space="0" w:color="auto"/>
      </w:divBdr>
    </w:div>
    <w:div w:id="2039623374">
      <w:bodyDiv w:val="1"/>
      <w:marLeft w:val="0"/>
      <w:marRight w:val="0"/>
      <w:marTop w:val="0"/>
      <w:marBottom w:val="0"/>
      <w:divBdr>
        <w:top w:val="none" w:sz="0" w:space="0" w:color="auto"/>
        <w:left w:val="none" w:sz="0" w:space="0" w:color="auto"/>
        <w:bottom w:val="none" w:sz="0" w:space="0" w:color="auto"/>
        <w:right w:val="none" w:sz="0" w:space="0" w:color="auto"/>
      </w:divBdr>
    </w:div>
    <w:div w:id="2078629315">
      <w:bodyDiv w:val="1"/>
      <w:marLeft w:val="0"/>
      <w:marRight w:val="0"/>
      <w:marTop w:val="0"/>
      <w:marBottom w:val="0"/>
      <w:divBdr>
        <w:top w:val="none" w:sz="0" w:space="0" w:color="auto"/>
        <w:left w:val="none" w:sz="0" w:space="0" w:color="auto"/>
        <w:bottom w:val="none" w:sz="0" w:space="0" w:color="auto"/>
        <w:right w:val="none" w:sz="0" w:space="0" w:color="auto"/>
      </w:divBdr>
    </w:div>
    <w:div w:id="2089688336">
      <w:bodyDiv w:val="1"/>
      <w:marLeft w:val="0"/>
      <w:marRight w:val="0"/>
      <w:marTop w:val="0"/>
      <w:marBottom w:val="0"/>
      <w:divBdr>
        <w:top w:val="none" w:sz="0" w:space="0" w:color="auto"/>
        <w:left w:val="none" w:sz="0" w:space="0" w:color="auto"/>
        <w:bottom w:val="none" w:sz="0" w:space="0" w:color="auto"/>
        <w:right w:val="none" w:sz="0" w:space="0" w:color="auto"/>
      </w:divBdr>
    </w:div>
    <w:div w:id="2139377153">
      <w:bodyDiv w:val="1"/>
      <w:marLeft w:val="0"/>
      <w:marRight w:val="0"/>
      <w:marTop w:val="0"/>
      <w:marBottom w:val="0"/>
      <w:divBdr>
        <w:top w:val="none" w:sz="0" w:space="0" w:color="auto"/>
        <w:left w:val="none" w:sz="0" w:space="0" w:color="auto"/>
        <w:bottom w:val="none" w:sz="0" w:space="0" w:color="auto"/>
        <w:right w:val="none" w:sz="0" w:space="0" w:color="auto"/>
      </w:divBdr>
    </w:div>
    <w:div w:id="2144693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C8C8D99D7EA4961A7FF5D30483DDD9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Nr_x002e__x0020_akti>
    <Data_x0020_e_x0020_Krijimit xmlns="0e656187-b300-4fb0-8bf4-3a50f872073c">2021-12-06T08:25:00Z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2021-12-02T23:00:00Z</Date_x0020_protokolli>
    <Titulli xmlns="0e656187-b300-4fb0-8bf4-3a50f872073c">Konstatimi i shkeljes së aksesit në një gjykatë të caktuar me ligj. Konstatimi i shkeljes së afatit të arsyeshëm dhe përshpejtimi i procedurave në gjykimin e çështjes administrative nr. 31003-00307-00-2018 akti, datë regjistrimi 7.2.2018 dhe çështjes nr. 8/3 regjistri, datë 18.9.2020 në Gjykatën e Lartë të Republikës së Shqipërisë. Konstatimi i mungesës së një mjeti efektiv për konstatimin, dëmshpërblimin dhe përshpejtimin e procedurave të sipërpërmendura </Titulli>
    <Modifikuesi xmlns="0e656187-b300-4fb0-8bf4-3a50f872073c">nevila.samarxhi</Modifikuesi>
    <Nr_x002e__x0020_prot_x0020_QBZ xmlns="0e656187-b300-4fb0-8bf4-3a50f872073c">1642/1</Nr_x002e__x0020_prot_x0020_QBZ>
    <Data_x0020_e_x0020_Modifikimit xmlns="0e656187-b300-4fb0-8bf4-3a50f872073c">2021-12-06T09:35:44Z</Data_x0020_e_x0020_Modifikimit>
    <Dekretuar xmlns="0e656187-b300-4fb0-8bf4-3a50f872073c">false</Dekretuar>
    <Data xmlns="0e656187-b300-4fb0-8bf4-3a50f872073c">2021-10-31T23:00:00Z</Data>
    <Nr_x002e__x0020_protokolli_x0020_i_x0020_aktit xmlns="0e656187-b300-4fb0-8bf4-3a50f872073c">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C8C8D99D7EA4961A7FF5D30483DDD9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63011A-CE3C-41AC-820C-C4F1259BC6EB}">
  <ds:schemaRefs>
    <ds:schemaRef ds:uri="http://schemas.microsoft.com/sharepoint/v3/contenttype/forms"/>
  </ds:schemaRefs>
</ds:datastoreItem>
</file>

<file path=customXml/itemProps2.xml><?xml version="1.0" encoding="utf-8"?>
<ds:datastoreItem xmlns:ds="http://schemas.openxmlformats.org/officeDocument/2006/customXml" ds:itemID="{92213155-9BE2-43EC-8BEF-235C7F6BA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F579C4B-38A6-4551-A9EF-78C0FC36F505}">
  <ds:schemaRefs>
    <ds:schemaRef ds:uri="http://schemas.microsoft.com/office/2006/documentManagement/types"/>
    <ds:schemaRef ds:uri="http://purl.org/dc/dcmitype/"/>
    <ds:schemaRef ds:uri="http://www.w3.org/XML/1998/namespace"/>
    <ds:schemaRef ds:uri="http://purl.org/dc/elements/1.1/"/>
    <ds:schemaRef ds:uri="http://purl.org/dc/terms/"/>
    <ds:schemaRef ds:uri="http://schemas.microsoft.com/office/2006/metadata/properties"/>
    <ds:schemaRef ds:uri="http://schemas.openxmlformats.org/package/2006/metadata/core-properties"/>
    <ds:schemaRef ds:uri="0e656187-b300-4fb0-8bf4-3a50f872073c"/>
  </ds:schemaRefs>
</ds:datastoreItem>
</file>

<file path=customXml/itemProps4.xml><?xml version="1.0" encoding="utf-8"?>
<ds:datastoreItem xmlns:ds="http://schemas.openxmlformats.org/officeDocument/2006/customXml" ds:itemID="{35405A51-005B-43C0-92D2-1B2B242C2F74}">
  <ds:schemaRefs>
    <ds:schemaRef ds:uri="http://schemas.microsoft.com/sharepoint/v3/contenttype/forms"/>
  </ds:schemaRefs>
</ds:datastoreItem>
</file>

<file path=customXml/itemProps5.xml><?xml version="1.0" encoding="utf-8"?>
<ds:datastoreItem xmlns:ds="http://schemas.openxmlformats.org/officeDocument/2006/customXml" ds:itemID="{E7E3EB0F-F158-4B82-9A1C-770AB9748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6466299-7164-4A03-974C-C23CCA580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13</Pages>
  <Words>7869</Words>
  <Characters>44854</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Konstatimi i shkeljes së aksesit në një gjykatë të caktuar me ligj. Konstatimi i shkeljes së afatit të arsyeshëm dhe përshpejtimi i procedurave në gjykimin e çështjes administrative nr. 31003-00307-00-2018 akti, datë regjistrimi 7.2.2018 dhe çështjes nr. </vt:lpstr>
    </vt:vector>
  </TitlesOfParts>
  <Company/>
  <LinksUpToDate>false</LinksUpToDate>
  <CharactersWithSpaces>52618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Konstatimi i shkeljes së aksesit në një gjykatë të caktuar me ligj. Konstatimi i shkeljes së afatit të arsyeshëm dhe përshpejtimi i procedurave në gjykimin e çështjes administrative nr. 31003-00307-00-2018 akti, datë regjistrimi 7.2.2018 dhe çështjes nr. 8/3 regjistri, datë 18.9.2020 në Gjykatën e Lartë të Republikës së Shqipërisë. Konstatimi i mungesës së një mjeti efektiv për konstatimin, dëmshpërblimin dhe përshpejtimin e procedurave të sipërpërmendura</dc:title>
  <dc:creator>user</dc:creator>
  <cp:lastModifiedBy>Alma Lisaku</cp:lastModifiedBy>
  <cp:revision>33</cp:revision>
  <cp:lastPrinted>2021-12-01T09:37:00Z</cp:lastPrinted>
  <dcterms:created xsi:type="dcterms:W3CDTF">2021-12-03T12:54:00Z</dcterms:created>
  <dcterms:modified xsi:type="dcterms:W3CDTF">2021-12-06T10:50:00Z</dcterms:modified>
</cp:coreProperties>
</file>