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060D6"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VENDIM</w:t>
      </w:r>
    </w:p>
    <w:p w14:paraId="248060D7"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Nr.</w:t>
      </w:r>
      <w:r>
        <w:rPr>
          <w:rFonts w:ascii="Garamond" w:hAnsi="Garamond" w:cs="Times New Roman"/>
          <w:b/>
          <w:bCs/>
          <w:color w:val="000000"/>
          <w:sz w:val="24"/>
          <w:szCs w:val="24"/>
        </w:rPr>
        <w:t xml:space="preserve"> </w:t>
      </w:r>
      <w:r w:rsidRPr="009B3691">
        <w:rPr>
          <w:rFonts w:ascii="Garamond" w:hAnsi="Garamond" w:cs="Times New Roman"/>
          <w:b/>
          <w:bCs/>
          <w:color w:val="000000"/>
          <w:sz w:val="24"/>
          <w:szCs w:val="24"/>
        </w:rPr>
        <w:t>21, datë 26.9.2022</w:t>
      </w:r>
    </w:p>
    <w:p w14:paraId="248060D8" w14:textId="77777777" w:rsid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p>
    <w:p w14:paraId="248060D9"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NË E</w:t>
      </w:r>
      <w:r>
        <w:rPr>
          <w:rFonts w:ascii="Garamond" w:hAnsi="Garamond" w:cs="Times New Roman"/>
          <w:b/>
          <w:bCs/>
          <w:color w:val="000000"/>
          <w:sz w:val="24"/>
          <w:szCs w:val="24"/>
        </w:rPr>
        <w:t>MËR TË REPUBLIKËS SË SHQIPËRISË</w:t>
      </w:r>
    </w:p>
    <w:p w14:paraId="248060DA" w14:textId="77777777" w:rsidR="009B3691" w:rsidRDefault="009B3691" w:rsidP="009B3691">
      <w:pPr>
        <w:tabs>
          <w:tab w:val="left" w:pos="1080"/>
        </w:tabs>
        <w:autoSpaceDE w:val="0"/>
        <w:autoSpaceDN w:val="0"/>
        <w:adjustRightInd w:val="0"/>
        <w:spacing w:after="0" w:line="240" w:lineRule="auto"/>
        <w:ind w:firstLine="284"/>
        <w:rPr>
          <w:rFonts w:ascii="Garamond" w:hAnsi="Garamond" w:cs="Times New Roman"/>
          <w:color w:val="000000"/>
          <w:sz w:val="24"/>
          <w:szCs w:val="24"/>
        </w:rPr>
      </w:pPr>
    </w:p>
    <w:p w14:paraId="248060DB" w14:textId="77777777" w:rsidR="009B3691" w:rsidRPr="009B3691" w:rsidRDefault="009B3691" w:rsidP="009B3691">
      <w:pPr>
        <w:tabs>
          <w:tab w:val="left" w:pos="1080"/>
        </w:tabs>
        <w:autoSpaceDE w:val="0"/>
        <w:autoSpaceDN w:val="0"/>
        <w:adjustRightInd w:val="0"/>
        <w:spacing w:after="0" w:line="240" w:lineRule="auto"/>
        <w:ind w:firstLine="284"/>
        <w:rPr>
          <w:rFonts w:ascii="Garamond" w:hAnsi="Garamond" w:cs="Times New Roman"/>
          <w:color w:val="000000"/>
          <w:sz w:val="24"/>
          <w:szCs w:val="24"/>
        </w:rPr>
      </w:pPr>
      <w:r w:rsidRPr="009B3691">
        <w:rPr>
          <w:rFonts w:ascii="Garamond" w:hAnsi="Garamond" w:cs="Times New Roman"/>
          <w:color w:val="000000"/>
          <w:sz w:val="24"/>
          <w:szCs w:val="24"/>
        </w:rPr>
        <w:t>Gjykata Kushtetuese e Republikës së Shqipërisë, e përbërë nga:</w:t>
      </w:r>
    </w:p>
    <w:p w14:paraId="248060DC" w14:textId="4DF5425E"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 xml:space="preserve">Vitore Tusha </w:t>
      </w:r>
      <w:r w:rsidR="009B3691">
        <w:rPr>
          <w:rFonts w:ascii="Garamond" w:hAnsi="Garamond" w:cs="Times New Roman"/>
          <w:color w:val="000000"/>
          <w:sz w:val="24"/>
          <w:szCs w:val="24"/>
        </w:rPr>
        <w:tab/>
      </w:r>
      <w:r w:rsidRPr="009B3691">
        <w:rPr>
          <w:rFonts w:ascii="Garamond" w:hAnsi="Garamond" w:cs="Times New Roman"/>
          <w:color w:val="000000"/>
          <w:sz w:val="24"/>
          <w:szCs w:val="24"/>
        </w:rPr>
        <w:t>kryetare</w:t>
      </w:r>
      <w:r>
        <w:rPr>
          <w:rFonts w:ascii="Garamond" w:hAnsi="Garamond" w:cs="Times New Roman"/>
          <w:color w:val="000000"/>
          <w:sz w:val="24"/>
          <w:szCs w:val="24"/>
        </w:rPr>
        <w:t>;</w:t>
      </w:r>
    </w:p>
    <w:p w14:paraId="248060DD" w14:textId="54FFE8CA"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proofErr w:type="spellStart"/>
      <w:r>
        <w:rPr>
          <w:rFonts w:ascii="Garamond" w:hAnsi="Garamond" w:cs="Times New Roman"/>
          <w:color w:val="000000"/>
          <w:sz w:val="24"/>
          <w:szCs w:val="24"/>
        </w:rPr>
        <w:t>Marsida</w:t>
      </w:r>
      <w:proofErr w:type="spellEnd"/>
      <w:r>
        <w:rPr>
          <w:rFonts w:ascii="Garamond" w:hAnsi="Garamond" w:cs="Times New Roman"/>
          <w:color w:val="000000"/>
          <w:sz w:val="24"/>
          <w:szCs w:val="24"/>
        </w:rPr>
        <w:t xml:space="preserve"> </w:t>
      </w:r>
      <w:proofErr w:type="spellStart"/>
      <w:r>
        <w:rPr>
          <w:rFonts w:ascii="Garamond" w:hAnsi="Garamond" w:cs="Times New Roman"/>
          <w:color w:val="000000"/>
          <w:sz w:val="24"/>
          <w:szCs w:val="24"/>
        </w:rPr>
        <w:t>Xhaferllari</w:t>
      </w:r>
      <w:proofErr w:type="spellEnd"/>
      <w:r w:rsidR="009B3691" w:rsidRPr="009B3691">
        <w:rPr>
          <w:rFonts w:ascii="Garamond" w:hAnsi="Garamond" w:cs="Times New Roman"/>
          <w:color w:val="000000"/>
          <w:sz w:val="24"/>
          <w:szCs w:val="24"/>
        </w:rPr>
        <w:t xml:space="preserve"> </w:t>
      </w:r>
      <w:r w:rsidRPr="009B3691">
        <w:rPr>
          <w:rFonts w:ascii="Garamond" w:hAnsi="Garamond" w:cs="Times New Roman"/>
          <w:color w:val="000000"/>
          <w:sz w:val="24"/>
          <w:szCs w:val="24"/>
        </w:rPr>
        <w:t>anëtare</w:t>
      </w:r>
      <w:r>
        <w:rPr>
          <w:rFonts w:ascii="Garamond" w:hAnsi="Garamond" w:cs="Times New Roman"/>
          <w:color w:val="000000"/>
          <w:sz w:val="24"/>
          <w:szCs w:val="24"/>
        </w:rPr>
        <w:t>;</w:t>
      </w:r>
    </w:p>
    <w:p w14:paraId="248060DE" w14:textId="789262A6"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proofErr w:type="spellStart"/>
      <w:r>
        <w:rPr>
          <w:rFonts w:ascii="Garamond" w:hAnsi="Garamond" w:cs="Times New Roman"/>
          <w:color w:val="000000"/>
          <w:sz w:val="24"/>
          <w:szCs w:val="24"/>
        </w:rPr>
        <w:t>Fiona</w:t>
      </w:r>
      <w:proofErr w:type="spellEnd"/>
      <w:r>
        <w:rPr>
          <w:rFonts w:ascii="Garamond" w:hAnsi="Garamond" w:cs="Times New Roman"/>
          <w:color w:val="000000"/>
          <w:sz w:val="24"/>
          <w:szCs w:val="24"/>
        </w:rPr>
        <w:t xml:space="preserve"> </w:t>
      </w:r>
      <w:proofErr w:type="spellStart"/>
      <w:r>
        <w:rPr>
          <w:rFonts w:ascii="Garamond" w:hAnsi="Garamond" w:cs="Times New Roman"/>
          <w:color w:val="000000"/>
          <w:sz w:val="24"/>
          <w:szCs w:val="24"/>
        </w:rPr>
        <w:t>Papajorgji</w:t>
      </w:r>
      <w:proofErr w:type="spellEnd"/>
      <w:r w:rsidR="009B3691" w:rsidRPr="009B3691">
        <w:rPr>
          <w:rFonts w:ascii="Garamond" w:hAnsi="Garamond" w:cs="Times New Roman"/>
          <w:color w:val="000000"/>
          <w:sz w:val="24"/>
          <w:szCs w:val="24"/>
        </w:rPr>
        <w:t xml:space="preserve"> </w:t>
      </w:r>
      <w:r w:rsidR="009B3691">
        <w:rPr>
          <w:rFonts w:ascii="Garamond" w:hAnsi="Garamond" w:cs="Times New Roman"/>
          <w:color w:val="000000"/>
          <w:sz w:val="24"/>
          <w:szCs w:val="24"/>
        </w:rPr>
        <w:tab/>
      </w:r>
      <w:r w:rsidRPr="009B3691">
        <w:rPr>
          <w:rFonts w:ascii="Garamond" w:hAnsi="Garamond" w:cs="Times New Roman"/>
          <w:color w:val="000000"/>
          <w:sz w:val="24"/>
          <w:szCs w:val="24"/>
        </w:rPr>
        <w:t>anëtare</w:t>
      </w:r>
      <w:r>
        <w:rPr>
          <w:rFonts w:ascii="Garamond" w:hAnsi="Garamond" w:cs="Times New Roman"/>
          <w:color w:val="000000"/>
          <w:sz w:val="24"/>
          <w:szCs w:val="24"/>
        </w:rPr>
        <w:t>;</w:t>
      </w:r>
    </w:p>
    <w:p w14:paraId="248060DF" w14:textId="22DF6F45"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proofErr w:type="spellStart"/>
      <w:r>
        <w:rPr>
          <w:rFonts w:ascii="Garamond" w:hAnsi="Garamond" w:cs="Times New Roman"/>
          <w:color w:val="000000"/>
          <w:sz w:val="24"/>
          <w:szCs w:val="24"/>
        </w:rPr>
        <w:t>Elsa</w:t>
      </w:r>
      <w:proofErr w:type="spellEnd"/>
      <w:r>
        <w:rPr>
          <w:rFonts w:ascii="Garamond" w:hAnsi="Garamond" w:cs="Times New Roman"/>
          <w:color w:val="000000"/>
          <w:sz w:val="24"/>
          <w:szCs w:val="24"/>
        </w:rPr>
        <w:t xml:space="preserve"> Toska</w:t>
      </w:r>
      <w:r>
        <w:rPr>
          <w:rFonts w:ascii="Garamond" w:hAnsi="Garamond" w:cs="Times New Roman"/>
          <w:color w:val="000000"/>
          <w:sz w:val="24"/>
          <w:szCs w:val="24"/>
        </w:rPr>
        <w:tab/>
      </w:r>
      <w:r w:rsidR="009B3691">
        <w:rPr>
          <w:rFonts w:ascii="Garamond" w:hAnsi="Garamond" w:cs="Times New Roman"/>
          <w:color w:val="000000"/>
          <w:sz w:val="24"/>
          <w:szCs w:val="24"/>
        </w:rPr>
        <w:tab/>
      </w:r>
      <w:r w:rsidRPr="009B3691">
        <w:rPr>
          <w:rFonts w:ascii="Garamond" w:hAnsi="Garamond" w:cs="Times New Roman"/>
          <w:color w:val="000000"/>
          <w:sz w:val="24"/>
          <w:szCs w:val="24"/>
        </w:rPr>
        <w:t>anëtare</w:t>
      </w:r>
      <w:r>
        <w:rPr>
          <w:rFonts w:ascii="Garamond" w:hAnsi="Garamond" w:cs="Times New Roman"/>
          <w:color w:val="000000"/>
          <w:sz w:val="24"/>
          <w:szCs w:val="24"/>
        </w:rPr>
        <w:t>;</w:t>
      </w:r>
    </w:p>
    <w:p w14:paraId="248060E0" w14:textId="70BC725F"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proofErr w:type="spellStart"/>
      <w:r>
        <w:rPr>
          <w:rFonts w:ascii="Garamond" w:hAnsi="Garamond" w:cs="Times New Roman"/>
          <w:color w:val="000000"/>
          <w:sz w:val="24"/>
          <w:szCs w:val="24"/>
        </w:rPr>
        <w:t>Sonila</w:t>
      </w:r>
      <w:proofErr w:type="spellEnd"/>
      <w:r>
        <w:rPr>
          <w:rFonts w:ascii="Garamond" w:hAnsi="Garamond" w:cs="Times New Roman"/>
          <w:color w:val="000000"/>
          <w:sz w:val="24"/>
          <w:szCs w:val="24"/>
        </w:rPr>
        <w:t xml:space="preserve"> Bejtja</w:t>
      </w:r>
      <w:r w:rsidR="009B3691">
        <w:rPr>
          <w:rFonts w:ascii="Garamond" w:hAnsi="Garamond" w:cs="Times New Roman"/>
          <w:color w:val="000000"/>
          <w:sz w:val="24"/>
          <w:szCs w:val="24"/>
        </w:rPr>
        <w:tab/>
      </w:r>
      <w:r>
        <w:rPr>
          <w:rFonts w:ascii="Garamond" w:hAnsi="Garamond" w:cs="Times New Roman"/>
          <w:color w:val="000000"/>
          <w:sz w:val="24"/>
          <w:szCs w:val="24"/>
        </w:rPr>
        <w:tab/>
      </w:r>
      <w:r w:rsidRPr="009B3691">
        <w:rPr>
          <w:rFonts w:ascii="Garamond" w:hAnsi="Garamond" w:cs="Times New Roman"/>
          <w:color w:val="000000"/>
          <w:sz w:val="24"/>
          <w:szCs w:val="24"/>
        </w:rPr>
        <w:t>anëtare</w:t>
      </w:r>
      <w:r>
        <w:rPr>
          <w:rFonts w:ascii="Garamond" w:hAnsi="Garamond" w:cs="Times New Roman"/>
          <w:color w:val="000000"/>
          <w:sz w:val="24"/>
          <w:szCs w:val="24"/>
        </w:rPr>
        <w:t>;</w:t>
      </w:r>
    </w:p>
    <w:p w14:paraId="248060E1" w14:textId="087C8B38" w:rsidR="009B3691" w:rsidRPr="009B3691" w:rsidRDefault="004E0E1D" w:rsidP="009B3691">
      <w:pPr>
        <w:autoSpaceDE w:val="0"/>
        <w:autoSpaceDN w:val="0"/>
        <w:adjustRightInd w:val="0"/>
        <w:spacing w:after="0" w:line="240" w:lineRule="auto"/>
        <w:ind w:firstLine="284"/>
        <w:rPr>
          <w:rFonts w:ascii="Garamond" w:hAnsi="Garamond" w:cs="Times New Roman"/>
          <w:color w:val="000000"/>
          <w:sz w:val="24"/>
          <w:szCs w:val="24"/>
        </w:rPr>
      </w:pPr>
      <w:proofErr w:type="spellStart"/>
      <w:r>
        <w:rPr>
          <w:rFonts w:ascii="Garamond" w:hAnsi="Garamond" w:cs="Times New Roman"/>
          <w:color w:val="000000"/>
          <w:sz w:val="24"/>
          <w:szCs w:val="24"/>
        </w:rPr>
        <w:t>Sandër</w:t>
      </w:r>
      <w:proofErr w:type="spellEnd"/>
      <w:r>
        <w:rPr>
          <w:rFonts w:ascii="Garamond" w:hAnsi="Garamond" w:cs="Times New Roman"/>
          <w:color w:val="000000"/>
          <w:sz w:val="24"/>
          <w:szCs w:val="24"/>
        </w:rPr>
        <w:t xml:space="preserve"> Beci </w:t>
      </w:r>
      <w:r w:rsidR="009B3691">
        <w:rPr>
          <w:rFonts w:ascii="Garamond" w:hAnsi="Garamond" w:cs="Times New Roman"/>
          <w:color w:val="000000"/>
          <w:sz w:val="24"/>
          <w:szCs w:val="24"/>
        </w:rPr>
        <w:tab/>
      </w:r>
      <w:r w:rsidRPr="009B3691">
        <w:rPr>
          <w:rFonts w:ascii="Garamond" w:hAnsi="Garamond" w:cs="Times New Roman"/>
          <w:color w:val="000000"/>
          <w:sz w:val="24"/>
          <w:szCs w:val="24"/>
        </w:rPr>
        <w:t>anëtar</w:t>
      </w:r>
      <w:r>
        <w:rPr>
          <w:rFonts w:ascii="Garamond" w:hAnsi="Garamond" w:cs="Times New Roman"/>
          <w:color w:val="000000"/>
          <w:sz w:val="24"/>
          <w:szCs w:val="24"/>
        </w:rPr>
        <w:t>;</w:t>
      </w:r>
    </w:p>
    <w:p w14:paraId="248060E2" w14:textId="2CF59B9E" w:rsidR="009B3691" w:rsidRPr="009B3691" w:rsidRDefault="004E0E1D" w:rsidP="009B369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Altin </w:t>
      </w:r>
      <w:proofErr w:type="spellStart"/>
      <w:r>
        <w:rPr>
          <w:rFonts w:ascii="Garamond" w:hAnsi="Garamond" w:cs="Times New Roman"/>
          <w:color w:val="000000"/>
          <w:sz w:val="24"/>
          <w:szCs w:val="24"/>
        </w:rPr>
        <w:t>Binaj</w:t>
      </w:r>
      <w:proofErr w:type="spellEnd"/>
      <w:r>
        <w:rPr>
          <w:rFonts w:ascii="Garamond" w:hAnsi="Garamond" w:cs="Times New Roman"/>
          <w:color w:val="000000"/>
          <w:sz w:val="24"/>
          <w:szCs w:val="24"/>
        </w:rPr>
        <w:t xml:space="preserve"> </w:t>
      </w:r>
      <w:r w:rsidR="009B3691">
        <w:rPr>
          <w:rFonts w:ascii="Garamond" w:hAnsi="Garamond" w:cs="Times New Roman"/>
          <w:color w:val="000000"/>
          <w:sz w:val="24"/>
          <w:szCs w:val="24"/>
        </w:rPr>
        <w:tab/>
      </w:r>
      <w:r>
        <w:rPr>
          <w:rFonts w:ascii="Garamond" w:hAnsi="Garamond" w:cs="Times New Roman"/>
          <w:color w:val="000000"/>
          <w:sz w:val="24"/>
          <w:szCs w:val="24"/>
        </w:rPr>
        <w:tab/>
      </w:r>
      <w:r w:rsidRPr="009B3691">
        <w:rPr>
          <w:rFonts w:ascii="Garamond" w:hAnsi="Garamond" w:cs="Times New Roman"/>
          <w:color w:val="000000"/>
          <w:sz w:val="24"/>
          <w:szCs w:val="24"/>
        </w:rPr>
        <w:t>anëtar</w:t>
      </w:r>
      <w:r>
        <w:rPr>
          <w:rFonts w:ascii="Garamond" w:hAnsi="Garamond" w:cs="Times New Roman"/>
          <w:color w:val="000000"/>
          <w:sz w:val="24"/>
          <w:szCs w:val="24"/>
        </w:rPr>
        <w:t>,</w:t>
      </w:r>
    </w:p>
    <w:p w14:paraId="248060E3" w14:textId="77777777" w:rsidR="009B3691" w:rsidRPr="009B3691" w:rsidRDefault="009B3691" w:rsidP="009B3691">
      <w:pPr>
        <w:autoSpaceDE w:val="0"/>
        <w:autoSpaceDN w:val="0"/>
        <w:adjustRightInd w:val="0"/>
        <w:spacing w:after="0" w:line="240" w:lineRule="auto"/>
        <w:ind w:firstLine="284"/>
        <w:rPr>
          <w:rFonts w:ascii="Garamond" w:hAnsi="Garamond" w:cs="Times New Roman"/>
          <w:color w:val="000000"/>
          <w:sz w:val="24"/>
          <w:szCs w:val="24"/>
        </w:rPr>
      </w:pPr>
    </w:p>
    <w:p w14:paraId="248060E4" w14:textId="641E792E" w:rsidR="009B3691" w:rsidRPr="009B3691" w:rsidRDefault="009B3691" w:rsidP="009B3691">
      <w:pPr>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me sekre</w:t>
      </w:r>
      <w:r w:rsidR="002F23AA">
        <w:rPr>
          <w:rFonts w:ascii="Garamond" w:hAnsi="Garamond" w:cs="Times New Roman"/>
          <w:color w:val="000000"/>
          <w:sz w:val="24"/>
          <w:szCs w:val="24"/>
        </w:rPr>
        <w:t xml:space="preserve">tare </w:t>
      </w:r>
      <w:proofErr w:type="spellStart"/>
      <w:r w:rsidR="002F23AA">
        <w:rPr>
          <w:rFonts w:ascii="Garamond" w:hAnsi="Garamond" w:cs="Times New Roman"/>
          <w:color w:val="000000"/>
          <w:sz w:val="24"/>
          <w:szCs w:val="24"/>
        </w:rPr>
        <w:t>Enina</w:t>
      </w:r>
      <w:proofErr w:type="spellEnd"/>
      <w:r w:rsidR="002F23AA">
        <w:rPr>
          <w:rFonts w:ascii="Garamond" w:hAnsi="Garamond" w:cs="Times New Roman"/>
          <w:color w:val="000000"/>
          <w:sz w:val="24"/>
          <w:szCs w:val="24"/>
        </w:rPr>
        <w:t xml:space="preserve"> </w:t>
      </w:r>
      <w:proofErr w:type="spellStart"/>
      <w:r w:rsidR="002F23AA">
        <w:rPr>
          <w:rFonts w:ascii="Garamond" w:hAnsi="Garamond" w:cs="Times New Roman"/>
          <w:color w:val="000000"/>
          <w:sz w:val="24"/>
          <w:szCs w:val="24"/>
        </w:rPr>
        <w:t>Kotoni</w:t>
      </w:r>
      <w:proofErr w:type="spellEnd"/>
      <w:r w:rsidR="002F23AA">
        <w:rPr>
          <w:rFonts w:ascii="Garamond" w:hAnsi="Garamond" w:cs="Times New Roman"/>
          <w:color w:val="000000"/>
          <w:sz w:val="24"/>
          <w:szCs w:val="24"/>
        </w:rPr>
        <w:t>, në datën 20.</w:t>
      </w:r>
      <w:r w:rsidRPr="009B3691">
        <w:rPr>
          <w:rFonts w:ascii="Garamond" w:hAnsi="Garamond" w:cs="Times New Roman"/>
          <w:color w:val="000000"/>
          <w:sz w:val="24"/>
          <w:szCs w:val="24"/>
        </w:rPr>
        <w:t>9.2022 mori në shqyrtim në seancë plenare publike, çështjen nr. 1 (L) 2022 të Regjistrit Themeltar, që u përket:</w:t>
      </w:r>
    </w:p>
    <w:p w14:paraId="248060E5"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bCs/>
          <w:color w:val="000000"/>
          <w:sz w:val="24"/>
          <w:szCs w:val="24"/>
        </w:rPr>
        <w:t xml:space="preserve">KËRKUES: LUAN DACI, </w:t>
      </w:r>
      <w:r w:rsidRPr="009B3691">
        <w:rPr>
          <w:rFonts w:ascii="Garamond" w:hAnsi="Garamond" w:cs="Times New Roman"/>
          <w:color w:val="000000"/>
          <w:sz w:val="24"/>
          <w:szCs w:val="24"/>
        </w:rPr>
        <w:t xml:space="preserve">përfaqësuar nga avokat </w:t>
      </w:r>
      <w:proofErr w:type="spellStart"/>
      <w:r w:rsidRPr="009B3691">
        <w:rPr>
          <w:rFonts w:ascii="Garamond" w:hAnsi="Garamond" w:cs="Times New Roman"/>
          <w:color w:val="000000"/>
          <w:sz w:val="24"/>
          <w:szCs w:val="24"/>
        </w:rPr>
        <w:t>Jordan</w:t>
      </w:r>
      <w:proofErr w:type="spellEnd"/>
      <w:r w:rsidRPr="009B3691">
        <w:rPr>
          <w:rFonts w:ascii="Garamond" w:hAnsi="Garamond" w:cs="Times New Roman"/>
          <w:color w:val="000000"/>
          <w:sz w:val="24"/>
          <w:szCs w:val="24"/>
        </w:rPr>
        <w:t xml:space="preserve"> Daci</w:t>
      </w:r>
    </w:p>
    <w:p w14:paraId="248060E6"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B3691">
        <w:rPr>
          <w:rFonts w:ascii="Garamond" w:hAnsi="Garamond" w:cs="Times New Roman"/>
          <w:bCs/>
          <w:color w:val="000000"/>
          <w:sz w:val="24"/>
          <w:szCs w:val="24"/>
        </w:rPr>
        <w:t>SUBJEKT I INTERESUAR:</w:t>
      </w:r>
    </w:p>
    <w:p w14:paraId="248060E7" w14:textId="407A3DC7" w:rsidR="009B3691" w:rsidRPr="009B3691" w:rsidRDefault="002F23AA" w:rsidP="009B3691">
      <w:pPr>
        <w:tabs>
          <w:tab w:val="left" w:pos="84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bCs/>
          <w:color w:val="000000"/>
          <w:sz w:val="24"/>
          <w:szCs w:val="24"/>
        </w:rPr>
        <w:t>Prokuroria e Posaçme kundër Korrupsionit dhe Krimit të Organizuar</w:t>
      </w:r>
      <w:r w:rsidR="009B3691" w:rsidRPr="009B3691">
        <w:rPr>
          <w:rFonts w:ascii="Garamond" w:hAnsi="Garamond" w:cs="Times New Roman"/>
          <w:bCs/>
          <w:color w:val="000000"/>
          <w:sz w:val="24"/>
          <w:szCs w:val="24"/>
        </w:rPr>
        <w:t xml:space="preserve">, </w:t>
      </w:r>
      <w:r w:rsidR="009B3691" w:rsidRPr="009B3691">
        <w:rPr>
          <w:rFonts w:ascii="Garamond" w:hAnsi="Garamond" w:cs="Times New Roman"/>
          <w:color w:val="000000"/>
          <w:sz w:val="24"/>
          <w:szCs w:val="24"/>
        </w:rPr>
        <w:t>në mungesë</w:t>
      </w:r>
    </w:p>
    <w:p w14:paraId="248060E8" w14:textId="0E5BED30"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B3691">
        <w:rPr>
          <w:rFonts w:ascii="Garamond" w:hAnsi="Garamond" w:cs="Times New Roman"/>
          <w:bCs/>
          <w:color w:val="000000"/>
          <w:sz w:val="24"/>
          <w:szCs w:val="24"/>
        </w:rPr>
        <w:t>OBJEKTI: Shfuq</w:t>
      </w:r>
      <w:r w:rsidR="002F23AA">
        <w:rPr>
          <w:rFonts w:ascii="Garamond" w:hAnsi="Garamond" w:cs="Times New Roman"/>
          <w:bCs/>
          <w:color w:val="000000"/>
          <w:sz w:val="24"/>
          <w:szCs w:val="24"/>
        </w:rPr>
        <w:t xml:space="preserve">izimi i vendimeve nr. 32, datë </w:t>
      </w:r>
      <w:r w:rsidRPr="009B3691">
        <w:rPr>
          <w:rFonts w:ascii="Garamond" w:hAnsi="Garamond" w:cs="Times New Roman"/>
          <w:bCs/>
          <w:color w:val="000000"/>
          <w:sz w:val="24"/>
          <w:szCs w:val="24"/>
        </w:rPr>
        <w:t>1.12.2020</w:t>
      </w:r>
      <w:r w:rsidR="002F23AA">
        <w:rPr>
          <w:rFonts w:ascii="Garamond" w:hAnsi="Garamond" w:cs="Times New Roman"/>
          <w:bCs/>
          <w:color w:val="000000"/>
          <w:sz w:val="24"/>
          <w:szCs w:val="24"/>
        </w:rPr>
        <w:t>,</w:t>
      </w:r>
      <w:r w:rsidRPr="009B3691">
        <w:rPr>
          <w:rFonts w:ascii="Garamond" w:hAnsi="Garamond" w:cs="Times New Roman"/>
          <w:bCs/>
          <w:color w:val="000000"/>
          <w:sz w:val="24"/>
          <w:szCs w:val="24"/>
        </w:rPr>
        <w:t xml:space="preserve"> të Gjykatës së Posaçme të Shkallës së Parë për Korrupsionin dhe Kr</w:t>
      </w:r>
      <w:r w:rsidR="006E62F1">
        <w:rPr>
          <w:rFonts w:ascii="Garamond" w:hAnsi="Garamond" w:cs="Times New Roman"/>
          <w:bCs/>
          <w:color w:val="000000"/>
          <w:sz w:val="24"/>
          <w:szCs w:val="24"/>
        </w:rPr>
        <w:t>imin e Organizuar; nr. 5, datë 8.</w:t>
      </w:r>
      <w:r w:rsidRPr="009B3691">
        <w:rPr>
          <w:rFonts w:ascii="Garamond" w:hAnsi="Garamond" w:cs="Times New Roman"/>
          <w:bCs/>
          <w:color w:val="000000"/>
          <w:sz w:val="24"/>
          <w:szCs w:val="24"/>
        </w:rPr>
        <w:t>3.2021</w:t>
      </w:r>
      <w:r w:rsidR="006E62F1">
        <w:rPr>
          <w:rFonts w:ascii="Garamond" w:hAnsi="Garamond" w:cs="Times New Roman"/>
          <w:bCs/>
          <w:color w:val="000000"/>
          <w:sz w:val="24"/>
          <w:szCs w:val="24"/>
        </w:rPr>
        <w:t>,</w:t>
      </w:r>
      <w:r w:rsidRPr="009B3691">
        <w:rPr>
          <w:rFonts w:ascii="Garamond" w:hAnsi="Garamond" w:cs="Times New Roman"/>
          <w:bCs/>
          <w:color w:val="000000"/>
          <w:sz w:val="24"/>
          <w:szCs w:val="24"/>
        </w:rPr>
        <w:t xml:space="preserve"> të Gjykatës së Posaçme të Apelit për Korrupsionin dhe Krimin e Organizuar; nr. 00-2021-670 (63), datë 26.10.2021</w:t>
      </w:r>
      <w:r w:rsidR="00CE66E6">
        <w:rPr>
          <w:rFonts w:ascii="Garamond" w:hAnsi="Garamond" w:cs="Times New Roman"/>
          <w:bCs/>
          <w:color w:val="000000"/>
          <w:sz w:val="24"/>
          <w:szCs w:val="24"/>
        </w:rPr>
        <w:t>,</w:t>
      </w:r>
      <w:r w:rsidRPr="009B3691">
        <w:rPr>
          <w:rFonts w:ascii="Garamond" w:hAnsi="Garamond" w:cs="Times New Roman"/>
          <w:bCs/>
          <w:color w:val="000000"/>
          <w:sz w:val="24"/>
          <w:szCs w:val="24"/>
        </w:rPr>
        <w:t xml:space="preserve"> të Kolegjit Penal të Gjykatës së Lartë, si të papajtueshme me Kushtetutën e Republikës së Shqipërisë.</w:t>
      </w:r>
    </w:p>
    <w:p w14:paraId="248060E9" w14:textId="228B95B7" w:rsidR="009B3691" w:rsidRPr="009B3691" w:rsidRDefault="004E0E1D" w:rsidP="009B369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 xml:space="preserve"> </w:t>
      </w:r>
      <w:r w:rsidR="009B3691" w:rsidRPr="009B3691">
        <w:rPr>
          <w:rFonts w:ascii="Garamond" w:hAnsi="Garamond" w:cs="Times New Roman"/>
          <w:bCs/>
          <w:color w:val="000000"/>
          <w:sz w:val="24"/>
          <w:szCs w:val="24"/>
        </w:rPr>
        <w:t>Kthimi i çështjes për rigjykim në Gjykatën e Posaçme të Shkallës së Parë për Korrupsionin dhe Krimin e Organizuar.</w:t>
      </w:r>
    </w:p>
    <w:p w14:paraId="248060EA" w14:textId="3636F80B"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B3691">
        <w:rPr>
          <w:rFonts w:ascii="Garamond" w:hAnsi="Garamond" w:cs="Times New Roman"/>
          <w:bCs/>
          <w:color w:val="000000"/>
          <w:sz w:val="24"/>
          <w:szCs w:val="24"/>
        </w:rPr>
        <w:t>BAZA LIGJORE:</w:t>
      </w:r>
      <w:r w:rsidRPr="009B3691">
        <w:rPr>
          <w:rFonts w:ascii="Garamond" w:hAnsi="Garamond" w:cs="Times New Roman"/>
          <w:b/>
          <w:bCs/>
          <w:color w:val="000000"/>
          <w:sz w:val="24"/>
          <w:szCs w:val="24"/>
        </w:rPr>
        <w:t xml:space="preserve"> </w:t>
      </w:r>
      <w:r w:rsidRPr="009B3691">
        <w:rPr>
          <w:rFonts w:ascii="Garamond" w:hAnsi="Garamond" w:cs="Times New Roman"/>
          <w:color w:val="000000"/>
          <w:sz w:val="24"/>
          <w:szCs w:val="24"/>
        </w:rPr>
        <w:t xml:space="preserve">Nenet 3, 4, 5, 17, 29, 33, 42, 43, 122, 131, pika 1, shkronja “f” dhe 134, pika 1, shkronja “i”, të Kushtetutës së Republikës së Shqipërisë; nenet 1, 6, 7, 13, 14, 15, 16, 17 dhe 18 të Konventës Evropiane për të Drejtat e Njeriut </w:t>
      </w:r>
      <w:r w:rsidRPr="009B3691">
        <w:rPr>
          <w:rFonts w:ascii="Garamond" w:hAnsi="Garamond" w:cs="Times New Roman"/>
          <w:i/>
          <w:iCs/>
          <w:color w:val="000000"/>
          <w:sz w:val="24"/>
          <w:szCs w:val="24"/>
        </w:rPr>
        <w:t>(</w:t>
      </w:r>
      <w:proofErr w:type="spellStart"/>
      <w:r w:rsidRPr="009B3691">
        <w:rPr>
          <w:rFonts w:ascii="Garamond" w:hAnsi="Garamond" w:cs="Times New Roman"/>
          <w:i/>
          <w:iCs/>
          <w:color w:val="000000"/>
          <w:sz w:val="24"/>
          <w:szCs w:val="24"/>
        </w:rPr>
        <w:t>KEDNJ</w:t>
      </w:r>
      <w:proofErr w:type="spellEnd"/>
      <w:r w:rsidRPr="009B3691">
        <w:rPr>
          <w:rFonts w:ascii="Garamond" w:hAnsi="Garamond" w:cs="Times New Roman"/>
          <w:i/>
          <w:iCs/>
          <w:color w:val="000000"/>
          <w:sz w:val="24"/>
          <w:szCs w:val="24"/>
        </w:rPr>
        <w:t>)</w:t>
      </w:r>
      <w:r w:rsidRPr="009B3691">
        <w:rPr>
          <w:rFonts w:ascii="Garamond" w:hAnsi="Garamond" w:cs="Times New Roman"/>
          <w:color w:val="000000"/>
          <w:sz w:val="24"/>
          <w:szCs w:val="24"/>
        </w:rPr>
        <w:t xml:space="preserve"> dhe neni 2 i Protokollit Shtesë nr. 7; neni 14 i Paktit Ndërkombëtar të </w:t>
      </w:r>
      <w:proofErr w:type="spellStart"/>
      <w:r w:rsidRPr="009B3691">
        <w:rPr>
          <w:rFonts w:ascii="Garamond" w:hAnsi="Garamond" w:cs="Times New Roman"/>
          <w:color w:val="000000"/>
          <w:sz w:val="24"/>
          <w:szCs w:val="24"/>
        </w:rPr>
        <w:t>të</w:t>
      </w:r>
      <w:proofErr w:type="spellEnd"/>
      <w:r w:rsidRPr="009B3691">
        <w:rPr>
          <w:rFonts w:ascii="Garamond" w:hAnsi="Garamond" w:cs="Times New Roman"/>
          <w:color w:val="000000"/>
          <w:sz w:val="24"/>
          <w:szCs w:val="24"/>
        </w:rPr>
        <w:t xml:space="preserve"> Drejtave Civile dhe Politike; nenet 22, 27, 49, 50, 70, 71/a dhe 71</w:t>
      </w:r>
      <w:r w:rsidR="0083794C">
        <w:rPr>
          <w:rFonts w:ascii="Garamond" w:hAnsi="Garamond" w:cs="Times New Roman"/>
          <w:color w:val="000000"/>
          <w:sz w:val="24"/>
          <w:szCs w:val="24"/>
        </w:rPr>
        <w:t>/b të ligjit nr. 8577, datë 10.</w:t>
      </w:r>
      <w:r w:rsidRPr="009B3691">
        <w:rPr>
          <w:rFonts w:ascii="Garamond" w:hAnsi="Garamond" w:cs="Times New Roman"/>
          <w:color w:val="000000"/>
          <w:sz w:val="24"/>
          <w:szCs w:val="24"/>
        </w:rPr>
        <w:t>2.2000</w:t>
      </w:r>
      <w:r w:rsidR="0083794C">
        <w:rPr>
          <w:rFonts w:ascii="Garamond" w:hAnsi="Garamond" w:cs="Times New Roman"/>
          <w:color w:val="000000"/>
          <w:sz w:val="24"/>
          <w:szCs w:val="24"/>
        </w:rPr>
        <w:t>,</w:t>
      </w:r>
      <w:r w:rsidRPr="009B3691">
        <w:rPr>
          <w:rFonts w:ascii="Garamond" w:hAnsi="Garamond" w:cs="Times New Roman"/>
          <w:color w:val="000000"/>
          <w:sz w:val="24"/>
          <w:szCs w:val="24"/>
        </w:rPr>
        <w:t xml:space="preserve"> “Për organizimin dhe funksionimin e Gjykatës Kushtetuese të Republikës së Shqipërisë”, të ndryshuar </w:t>
      </w:r>
      <w:r w:rsidRPr="009B3691">
        <w:rPr>
          <w:rFonts w:ascii="Garamond" w:hAnsi="Garamond" w:cs="Times New Roman"/>
          <w:i/>
          <w:iCs/>
          <w:color w:val="000000"/>
          <w:sz w:val="24"/>
          <w:szCs w:val="24"/>
        </w:rPr>
        <w:t>(ligji nr. 8577/2000).</w:t>
      </w:r>
    </w:p>
    <w:p w14:paraId="248060EB" w14:textId="77777777" w:rsidR="009B3691" w:rsidRPr="009B3691" w:rsidRDefault="009B3691" w:rsidP="009B3691">
      <w:pPr>
        <w:tabs>
          <w:tab w:val="left" w:pos="84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248060EC" w14:textId="77777777" w:rsidR="009B3691" w:rsidRPr="006E62F1" w:rsidRDefault="009B3691" w:rsidP="009B3691">
      <w:pPr>
        <w:tabs>
          <w:tab w:val="left" w:pos="2880"/>
        </w:tabs>
        <w:autoSpaceDE w:val="0"/>
        <w:autoSpaceDN w:val="0"/>
        <w:adjustRightInd w:val="0"/>
        <w:spacing w:after="0" w:line="240" w:lineRule="auto"/>
        <w:ind w:firstLine="284"/>
        <w:jc w:val="center"/>
        <w:rPr>
          <w:rFonts w:ascii="Garamond" w:hAnsi="Garamond" w:cs="Times New Roman"/>
          <w:color w:val="000000"/>
          <w:sz w:val="24"/>
          <w:szCs w:val="24"/>
        </w:rPr>
      </w:pPr>
      <w:r w:rsidRPr="006E62F1">
        <w:rPr>
          <w:rFonts w:ascii="Garamond" w:hAnsi="Garamond" w:cs="Times New Roman"/>
          <w:color w:val="000000"/>
          <w:sz w:val="24"/>
          <w:szCs w:val="24"/>
        </w:rPr>
        <w:t>GJYKATA KUSHTETUESE,</w:t>
      </w:r>
    </w:p>
    <w:p w14:paraId="248060ED" w14:textId="77777777" w:rsidR="009B3691" w:rsidRPr="009B3691" w:rsidRDefault="009B3691" w:rsidP="009B3691">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48060EE"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pasi dëgjoi relatorin e çështjes Altin </w:t>
      </w:r>
      <w:proofErr w:type="spellStart"/>
      <w:r w:rsidRPr="009B3691">
        <w:rPr>
          <w:rFonts w:ascii="Garamond" w:hAnsi="Garamond" w:cs="Times New Roman"/>
          <w:color w:val="000000"/>
          <w:sz w:val="24"/>
          <w:szCs w:val="24"/>
        </w:rPr>
        <w:t>Binaj</w:t>
      </w:r>
      <w:proofErr w:type="spellEnd"/>
      <w:r w:rsidRPr="009B3691">
        <w:rPr>
          <w:rFonts w:ascii="Garamond" w:hAnsi="Garamond" w:cs="Times New Roman"/>
          <w:color w:val="000000"/>
          <w:sz w:val="24"/>
          <w:szCs w:val="24"/>
        </w:rPr>
        <w:t>, shqyrtoi pretendimet e paraqitura nga kërkuesi Luan Daci, i cili kërkoi pranimin e kërkesës, parashtrimet e paraqitura me shkrim nga subjekti i interesuar, Prokuroria e Posaçme kundër Korrupsionit dhe Krimit të Organizuar (</w:t>
      </w:r>
      <w:r w:rsidRPr="009B3691">
        <w:rPr>
          <w:rFonts w:ascii="Garamond" w:hAnsi="Garamond" w:cs="Times New Roman"/>
          <w:i/>
          <w:iCs/>
          <w:color w:val="000000"/>
          <w:sz w:val="24"/>
          <w:szCs w:val="24"/>
        </w:rPr>
        <w:t>Prokuroria e Posaçme),</w:t>
      </w:r>
      <w:r w:rsidRPr="009B3691">
        <w:rPr>
          <w:rFonts w:ascii="Garamond" w:hAnsi="Garamond" w:cs="Times New Roman"/>
          <w:color w:val="000000"/>
          <w:sz w:val="24"/>
          <w:szCs w:val="24"/>
        </w:rPr>
        <w:t xml:space="preserve"> që kërkoi rrëzimin e kërkesës, si dhe diskutoi çështjen në tërësi,</w:t>
      </w:r>
    </w:p>
    <w:p w14:paraId="248060EF"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48060F0" w14:textId="77777777" w:rsidR="009B3691" w:rsidRPr="006E62F1" w:rsidRDefault="009B3691" w:rsidP="009B3691">
      <w:pPr>
        <w:autoSpaceDE w:val="0"/>
        <w:autoSpaceDN w:val="0"/>
        <w:adjustRightInd w:val="0"/>
        <w:spacing w:after="0" w:line="240" w:lineRule="auto"/>
        <w:ind w:firstLine="284"/>
        <w:jc w:val="center"/>
        <w:rPr>
          <w:rFonts w:ascii="Garamond" w:hAnsi="Garamond" w:cs="Times New Roman"/>
          <w:color w:val="000000"/>
          <w:sz w:val="24"/>
          <w:szCs w:val="24"/>
        </w:rPr>
      </w:pPr>
      <w:r w:rsidRPr="006E62F1">
        <w:rPr>
          <w:rFonts w:ascii="Garamond" w:hAnsi="Garamond" w:cs="Times New Roman"/>
          <w:color w:val="000000"/>
          <w:sz w:val="24"/>
          <w:szCs w:val="24"/>
        </w:rPr>
        <w:t>VËREN:</w:t>
      </w:r>
    </w:p>
    <w:p w14:paraId="248060F1" w14:textId="77777777" w:rsid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p>
    <w:p w14:paraId="248060F2"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I</w:t>
      </w:r>
    </w:p>
    <w:p w14:paraId="248060F3"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Rrethanat e çështjes</w:t>
      </w:r>
    </w:p>
    <w:p w14:paraId="248060F4" w14:textId="77777777" w:rsid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48060F5" w14:textId="5CDAC08C"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1. Kuvendi i Republikës së Shqipërisë </w:t>
      </w:r>
      <w:r w:rsidRPr="009B3691">
        <w:rPr>
          <w:rFonts w:ascii="Garamond" w:hAnsi="Garamond" w:cs="Times New Roman"/>
          <w:i/>
          <w:iCs/>
          <w:color w:val="000000"/>
          <w:sz w:val="24"/>
          <w:szCs w:val="24"/>
        </w:rPr>
        <w:t>(Kuvendi)</w:t>
      </w:r>
      <w:r w:rsidRPr="009B3691">
        <w:rPr>
          <w:rFonts w:ascii="Garamond" w:hAnsi="Garamond" w:cs="Times New Roman"/>
          <w:color w:val="000000"/>
          <w:sz w:val="24"/>
          <w:szCs w:val="24"/>
        </w:rPr>
        <w:t>, me</w:t>
      </w:r>
      <w:r w:rsidR="0083794C">
        <w:rPr>
          <w:rFonts w:ascii="Garamond" w:hAnsi="Garamond" w:cs="Times New Roman"/>
          <w:color w:val="000000"/>
          <w:sz w:val="24"/>
          <w:szCs w:val="24"/>
        </w:rPr>
        <w:t xml:space="preserve"> vendimin nr. 82/2017, datë 17.</w:t>
      </w:r>
      <w:r w:rsidRPr="009B3691">
        <w:rPr>
          <w:rFonts w:ascii="Garamond" w:hAnsi="Garamond" w:cs="Times New Roman"/>
          <w:color w:val="000000"/>
          <w:sz w:val="24"/>
          <w:szCs w:val="24"/>
        </w:rPr>
        <w:t xml:space="preserve">6.2017, ka zgjedhur kërkuesin Luan Daci </w:t>
      </w:r>
      <w:r w:rsidRPr="009B3691">
        <w:rPr>
          <w:rFonts w:ascii="Garamond" w:hAnsi="Garamond" w:cs="Times New Roman"/>
          <w:i/>
          <w:iCs/>
          <w:color w:val="000000"/>
          <w:sz w:val="24"/>
          <w:szCs w:val="24"/>
        </w:rPr>
        <w:t>(kërkuesi)</w:t>
      </w:r>
      <w:r w:rsidRPr="009B3691">
        <w:rPr>
          <w:rFonts w:ascii="Garamond" w:hAnsi="Garamond" w:cs="Times New Roman"/>
          <w:color w:val="000000"/>
          <w:sz w:val="24"/>
          <w:szCs w:val="24"/>
        </w:rPr>
        <w:t xml:space="preserve"> gjyqtar në Kolegjin e Posaçëm të Apelimit </w:t>
      </w:r>
      <w:r w:rsidRPr="009B3691">
        <w:rPr>
          <w:rFonts w:ascii="Garamond" w:hAnsi="Garamond" w:cs="Times New Roman"/>
          <w:i/>
          <w:iCs/>
          <w:color w:val="000000"/>
          <w:sz w:val="24"/>
          <w:szCs w:val="24"/>
        </w:rPr>
        <w:t>(</w:t>
      </w:r>
      <w:proofErr w:type="spellStart"/>
      <w:r w:rsidRPr="009B3691">
        <w:rPr>
          <w:rFonts w:ascii="Garamond" w:hAnsi="Garamond" w:cs="Times New Roman"/>
          <w:i/>
          <w:iCs/>
          <w:color w:val="000000"/>
          <w:sz w:val="24"/>
          <w:szCs w:val="24"/>
        </w:rPr>
        <w:t>KPA</w:t>
      </w:r>
      <w:proofErr w:type="spellEnd"/>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 xml:space="preserve">Zgjedhja e tij në përbërje të këtij institucioni kushtetues ka ardhur në përmbyllje të një procesi të administruar nga Institucioni i Avokatit të Popullit </w:t>
      </w:r>
      <w:r w:rsidRPr="009B3691">
        <w:rPr>
          <w:rFonts w:ascii="Garamond" w:hAnsi="Garamond" w:cs="Times New Roman"/>
          <w:i/>
          <w:iCs/>
          <w:color w:val="000000"/>
          <w:sz w:val="24"/>
          <w:szCs w:val="24"/>
        </w:rPr>
        <w:t>(Avokati i Populli)</w:t>
      </w:r>
      <w:r w:rsidRPr="009B3691">
        <w:rPr>
          <w:rFonts w:ascii="Garamond" w:hAnsi="Garamond" w:cs="Times New Roman"/>
          <w:color w:val="000000"/>
          <w:sz w:val="24"/>
          <w:szCs w:val="24"/>
        </w:rPr>
        <w:t xml:space="preserve"> dhe Kuvendi</w:t>
      </w:r>
      <w:r w:rsidRPr="009B3691">
        <w:rPr>
          <w:rFonts w:ascii="Garamond" w:hAnsi="Garamond" w:cs="Times New Roman"/>
          <w:i/>
          <w:iCs/>
          <w:color w:val="000000"/>
          <w:sz w:val="24"/>
          <w:szCs w:val="24"/>
        </w:rPr>
        <w:t>.</w:t>
      </w:r>
      <w:r w:rsidRPr="009B3691">
        <w:rPr>
          <w:rFonts w:ascii="Garamond" w:hAnsi="Garamond" w:cs="Times New Roman"/>
          <w:color w:val="000000"/>
          <w:sz w:val="24"/>
          <w:szCs w:val="24"/>
        </w:rPr>
        <w:t xml:space="preserve"> Konkretisht, kërkuesi në datën </w:t>
      </w:r>
      <w:r w:rsidR="0083794C">
        <w:rPr>
          <w:rFonts w:ascii="Garamond" w:hAnsi="Garamond" w:cs="Times New Roman"/>
          <w:color w:val="000000"/>
          <w:sz w:val="24"/>
          <w:szCs w:val="24"/>
        </w:rPr>
        <w:t>3.</w:t>
      </w:r>
      <w:r w:rsidRPr="009B3691">
        <w:rPr>
          <w:rFonts w:ascii="Garamond" w:hAnsi="Garamond" w:cs="Times New Roman"/>
          <w:color w:val="000000"/>
          <w:sz w:val="24"/>
          <w:szCs w:val="24"/>
        </w:rPr>
        <w:t xml:space="preserve">2.2017 i ka paraqitur Avokatit të Popullit kërkesën për aplikim dhe emërim </w:t>
      </w:r>
      <w:r w:rsidRPr="009B3691">
        <w:rPr>
          <w:rFonts w:ascii="Garamond" w:hAnsi="Garamond" w:cs="Times New Roman"/>
          <w:color w:val="000000"/>
          <w:sz w:val="24"/>
          <w:szCs w:val="24"/>
        </w:rPr>
        <w:lastRenderedPageBreak/>
        <w:t>në vendet vakante, të shpallura në bazë të ligjit nr. 84/2016</w:t>
      </w:r>
      <w:r w:rsidR="00FD05E0">
        <w:rPr>
          <w:rFonts w:ascii="Garamond" w:hAnsi="Garamond" w:cs="Times New Roman"/>
          <w:color w:val="000000"/>
          <w:sz w:val="24"/>
          <w:szCs w:val="24"/>
        </w:rPr>
        <w:t>,</w:t>
      </w:r>
      <w:r w:rsidRPr="009B3691">
        <w:rPr>
          <w:rFonts w:ascii="Garamond" w:hAnsi="Garamond" w:cs="Times New Roman"/>
          <w:color w:val="000000"/>
          <w:sz w:val="24"/>
          <w:szCs w:val="24"/>
        </w:rPr>
        <w:t xml:space="preserve"> “Për rivlerësimin kalimtar të gjyqtarëve dhe prokurorëve në Republikën e Shqipërisë” </w:t>
      </w:r>
      <w:r w:rsidRPr="009B3691">
        <w:rPr>
          <w:rFonts w:ascii="Garamond" w:hAnsi="Garamond" w:cs="Times New Roman"/>
          <w:i/>
          <w:iCs/>
          <w:color w:val="000000"/>
          <w:sz w:val="24"/>
          <w:szCs w:val="24"/>
        </w:rPr>
        <w:t>(ligji nr. 84/2016)</w:t>
      </w:r>
      <w:r w:rsidRPr="009B3691">
        <w:rPr>
          <w:rFonts w:ascii="Garamond" w:hAnsi="Garamond" w:cs="Times New Roman"/>
          <w:color w:val="000000"/>
          <w:sz w:val="24"/>
          <w:szCs w:val="24"/>
        </w:rPr>
        <w:t>.</w:t>
      </w:r>
    </w:p>
    <w:p w14:paraId="248060F6"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 Ndërkohë, nga kallëzimi i paraqitur në Prokurorinë e Posaçme dhe materialet bashkëlidhur, ka rezultuar se kërkuesi deri në vitin 1997 ka ushtruar funksionin e gjyqtarit në Gjykatën e Rrethit Gjyqësor Tiranë dhe Këshilli i Lartë i Drejtësisë, me vendimin nr. 6, datë 24.12.1997, pas propozimit të ministrit të Drejtësisë, ka vendosur: </w:t>
      </w:r>
      <w:r w:rsidRPr="009B3691">
        <w:rPr>
          <w:rFonts w:ascii="Garamond" w:hAnsi="Garamond" w:cs="Times New Roman"/>
          <w:i/>
          <w:iCs/>
          <w:color w:val="000000"/>
          <w:sz w:val="24"/>
          <w:szCs w:val="24"/>
        </w:rPr>
        <w:t xml:space="preserve">“Z. Luan Daci, largohet nga detyra e gjyqtarit për shkelje të </w:t>
      </w:r>
      <w:proofErr w:type="spellStart"/>
      <w:r w:rsidRPr="00351227">
        <w:rPr>
          <w:rFonts w:ascii="Garamond" w:hAnsi="Garamond" w:cs="Times New Roman"/>
          <w:i/>
          <w:iCs/>
          <w:color w:val="000000"/>
          <w:sz w:val="24"/>
          <w:szCs w:val="24"/>
        </w:rPr>
        <w:t>ligjës</w:t>
      </w:r>
      <w:proofErr w:type="spellEnd"/>
      <w:r w:rsidRPr="009B3691">
        <w:rPr>
          <w:rFonts w:ascii="Garamond" w:hAnsi="Garamond" w:cs="Times New Roman"/>
          <w:i/>
          <w:iCs/>
          <w:color w:val="000000"/>
          <w:sz w:val="24"/>
          <w:szCs w:val="24"/>
        </w:rPr>
        <w:t xml:space="preserve"> dhe paaftësi në detyrë”, </w:t>
      </w:r>
      <w:r w:rsidRPr="009B3691">
        <w:rPr>
          <w:rFonts w:ascii="Garamond" w:hAnsi="Garamond" w:cs="Times New Roman"/>
          <w:color w:val="000000"/>
          <w:sz w:val="24"/>
          <w:szCs w:val="24"/>
        </w:rPr>
        <w:t>rrethanë të cilën kërkuesi nuk e kishte pasqyruar në kërkesën për aplikim.</w:t>
      </w:r>
    </w:p>
    <w:p w14:paraId="248060F7"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 Mbi këto fakte, Prokuroria e Posaçme ka regjistruar procedimin penal nr. 56 të vitit 2020 për veprën penale “Falsifikimi i dokumenteve”, të parashikuar nga neni 186, paragrafi i parë, i Kodit Penal </w:t>
      </w:r>
      <w:r w:rsidRPr="009B3691">
        <w:rPr>
          <w:rFonts w:ascii="Garamond" w:hAnsi="Garamond" w:cs="Times New Roman"/>
          <w:i/>
          <w:iCs/>
          <w:color w:val="000000"/>
          <w:sz w:val="24"/>
          <w:szCs w:val="24"/>
        </w:rPr>
        <w:t>(</w:t>
      </w:r>
      <w:proofErr w:type="spellStart"/>
      <w:r w:rsidRPr="009B3691">
        <w:rPr>
          <w:rFonts w:ascii="Garamond" w:hAnsi="Garamond" w:cs="Times New Roman"/>
          <w:i/>
          <w:iCs/>
          <w:color w:val="000000"/>
          <w:sz w:val="24"/>
          <w:szCs w:val="24"/>
        </w:rPr>
        <w:t>KP</w:t>
      </w:r>
      <w:proofErr w:type="spellEnd"/>
      <w:r w:rsidRPr="009B3691">
        <w:rPr>
          <w:rFonts w:ascii="Garamond" w:hAnsi="Garamond" w:cs="Times New Roman"/>
          <w:i/>
          <w:iCs/>
          <w:color w:val="000000"/>
          <w:sz w:val="24"/>
          <w:szCs w:val="24"/>
        </w:rPr>
        <w:t>).</w:t>
      </w:r>
      <w:r w:rsidRPr="009B3691">
        <w:rPr>
          <w:rFonts w:ascii="Garamond" w:hAnsi="Garamond" w:cs="Times New Roman"/>
          <w:color w:val="000000"/>
          <w:sz w:val="24"/>
          <w:szCs w:val="24"/>
        </w:rPr>
        <w:t xml:space="preserve"> </w:t>
      </w:r>
    </w:p>
    <w:p w14:paraId="248060F8" w14:textId="6656ACE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 Gjatë fazës së hetimeve paraprake, Prokuroria e Posaçme i është drejtuar Gjykatës së Posaçme të Shkallës së Parë për Korrupsionin dhe Krimin e Organizuar </w:t>
      </w:r>
      <w:r w:rsidRPr="009B3691">
        <w:rPr>
          <w:rFonts w:ascii="Garamond" w:hAnsi="Garamond" w:cs="Times New Roman"/>
          <w:i/>
          <w:iCs/>
          <w:color w:val="000000"/>
          <w:sz w:val="24"/>
          <w:szCs w:val="24"/>
        </w:rPr>
        <w:t xml:space="preserve">(Gjykata e Posaçme e Shkallës së Parë) </w:t>
      </w:r>
      <w:r w:rsidRPr="009B3691">
        <w:rPr>
          <w:rFonts w:ascii="Garamond" w:hAnsi="Garamond" w:cs="Times New Roman"/>
          <w:color w:val="000000"/>
          <w:sz w:val="24"/>
          <w:szCs w:val="24"/>
        </w:rPr>
        <w:t>për caktimin e masës ndaluese “Pezullimi i ushtrimit të një detyre a shërbimi publik”. Gjykata e Posaçme e Shkallës së Par</w:t>
      </w:r>
      <w:r w:rsidR="006E62F1">
        <w:rPr>
          <w:rFonts w:ascii="Garamond" w:hAnsi="Garamond" w:cs="Times New Roman"/>
          <w:color w:val="000000"/>
          <w:sz w:val="24"/>
          <w:szCs w:val="24"/>
        </w:rPr>
        <w:t>ë, me vendimin nr. 54, datë 20.</w:t>
      </w:r>
      <w:r w:rsidRPr="009B3691">
        <w:rPr>
          <w:rFonts w:ascii="Garamond" w:hAnsi="Garamond" w:cs="Times New Roman"/>
          <w:color w:val="000000"/>
          <w:sz w:val="24"/>
          <w:szCs w:val="24"/>
        </w:rPr>
        <w:t xml:space="preserve">5.2020, ka vendosur pranimin e kërkesës me arsyetimin se niveli i provave të administruara deri në këtë fazë krijonte dyshimin se kërkuesi ishte autor i veprës penale. </w:t>
      </w:r>
    </w:p>
    <w:p w14:paraId="248060F9" w14:textId="6064995A"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B3691">
        <w:rPr>
          <w:rFonts w:ascii="Garamond" w:hAnsi="Garamond" w:cs="Times New Roman"/>
          <w:color w:val="000000"/>
          <w:sz w:val="24"/>
          <w:szCs w:val="24"/>
        </w:rPr>
        <w:t xml:space="preserve">5. Ndaj vendimit ka ushtruar ankim kërkuesi dhe Gjykata e Posaçme e Apelit për Korrupsionin dhe Krimin e Organizuar </w:t>
      </w:r>
      <w:r w:rsidRPr="009B3691">
        <w:rPr>
          <w:rFonts w:ascii="Garamond" w:hAnsi="Garamond" w:cs="Times New Roman"/>
          <w:i/>
          <w:iCs/>
          <w:color w:val="000000"/>
          <w:sz w:val="24"/>
          <w:szCs w:val="24"/>
        </w:rPr>
        <w:t>(Gjykata e Posaçme e Apelit)</w:t>
      </w:r>
      <w:r w:rsidR="0083794C">
        <w:rPr>
          <w:rFonts w:ascii="Garamond" w:hAnsi="Garamond" w:cs="Times New Roman"/>
          <w:color w:val="000000"/>
          <w:sz w:val="24"/>
          <w:szCs w:val="24"/>
        </w:rPr>
        <w:t>, me vendimin nr. 15, datë 5.</w:t>
      </w:r>
      <w:r w:rsidRPr="009B3691">
        <w:rPr>
          <w:rFonts w:ascii="Garamond" w:hAnsi="Garamond" w:cs="Times New Roman"/>
          <w:color w:val="000000"/>
          <w:sz w:val="24"/>
          <w:szCs w:val="24"/>
        </w:rPr>
        <w:t>6.2020, ka vendosur shfuqizi</w:t>
      </w:r>
      <w:r w:rsidR="0083794C">
        <w:rPr>
          <w:rFonts w:ascii="Garamond" w:hAnsi="Garamond" w:cs="Times New Roman"/>
          <w:color w:val="000000"/>
          <w:sz w:val="24"/>
          <w:szCs w:val="24"/>
        </w:rPr>
        <w:t>min e vendimit nr. 54, datë 20.</w:t>
      </w:r>
      <w:r w:rsidRPr="009B3691">
        <w:rPr>
          <w:rFonts w:ascii="Garamond" w:hAnsi="Garamond" w:cs="Times New Roman"/>
          <w:color w:val="000000"/>
          <w:sz w:val="24"/>
          <w:szCs w:val="24"/>
        </w:rPr>
        <w:t>5.2020</w:t>
      </w:r>
      <w:r w:rsidR="00CE66E6">
        <w:rPr>
          <w:rFonts w:ascii="Garamond" w:hAnsi="Garamond" w:cs="Times New Roman"/>
          <w:color w:val="000000"/>
          <w:sz w:val="24"/>
          <w:szCs w:val="24"/>
        </w:rPr>
        <w:t>,</w:t>
      </w:r>
      <w:r w:rsidRPr="009B3691">
        <w:rPr>
          <w:rFonts w:ascii="Garamond" w:hAnsi="Garamond" w:cs="Times New Roman"/>
          <w:color w:val="000000"/>
          <w:sz w:val="24"/>
          <w:szCs w:val="24"/>
        </w:rPr>
        <w:t xml:space="preserve"> të Gjykatës së Posaçme të Shkallës së Parë. Në vendim Gjykata ka arsyetuar</w:t>
      </w:r>
      <w:r w:rsidR="006E62F1">
        <w:rPr>
          <w:rFonts w:ascii="Garamond" w:hAnsi="Garamond" w:cs="Times New Roman"/>
          <w:color w:val="000000"/>
          <w:sz w:val="24"/>
          <w:szCs w:val="24"/>
        </w:rPr>
        <w:t>,</w:t>
      </w:r>
      <w:r w:rsidRPr="009B3691">
        <w:rPr>
          <w:rFonts w:ascii="Garamond" w:hAnsi="Garamond" w:cs="Times New Roman"/>
          <w:color w:val="000000"/>
          <w:sz w:val="24"/>
          <w:szCs w:val="24"/>
        </w:rPr>
        <w:t xml:space="preserve"> se</w:t>
      </w:r>
      <w:r w:rsidR="006E62F1">
        <w:rPr>
          <w:rFonts w:ascii="Garamond" w:hAnsi="Garamond" w:cs="Times New Roman"/>
          <w:color w:val="000000"/>
          <w:sz w:val="24"/>
          <w:szCs w:val="24"/>
        </w:rPr>
        <w:t>:</w:t>
      </w:r>
      <w:r w:rsidRPr="009B3691">
        <w:rPr>
          <w:rFonts w:ascii="Garamond" w:hAnsi="Garamond" w:cs="Times New Roman"/>
          <w:color w:val="000000"/>
          <w:sz w:val="24"/>
          <w:szCs w:val="24"/>
        </w:rPr>
        <w:t xml:space="preserve"> </w:t>
      </w:r>
      <w:r w:rsidRPr="009B3691">
        <w:rPr>
          <w:rFonts w:ascii="Garamond" w:hAnsi="Garamond" w:cs="Times New Roman"/>
          <w:i/>
          <w:iCs/>
          <w:color w:val="000000"/>
          <w:sz w:val="24"/>
          <w:szCs w:val="24"/>
        </w:rPr>
        <w:t>“duke qenë përpara mungesës së kundërligjshmërisë së faktit, pra përpara një fakti jo penal, nuk përmbushet kushti, në radhë i pari, i caktimit të kuj</w:t>
      </w:r>
      <w:r w:rsidR="006E62F1">
        <w:rPr>
          <w:rFonts w:ascii="Garamond" w:hAnsi="Garamond" w:cs="Times New Roman"/>
          <w:i/>
          <w:iCs/>
          <w:color w:val="000000"/>
          <w:sz w:val="24"/>
          <w:szCs w:val="24"/>
        </w:rPr>
        <w:t>t</w:t>
      </w:r>
      <w:r w:rsidRPr="009B3691">
        <w:rPr>
          <w:rFonts w:ascii="Garamond" w:hAnsi="Garamond" w:cs="Times New Roman"/>
          <w:i/>
          <w:iCs/>
          <w:color w:val="000000"/>
          <w:sz w:val="24"/>
          <w:szCs w:val="24"/>
        </w:rPr>
        <w:t>do mase sigurimi personal, që është ai i dyshimit të arsyeshëm, sepse ky dyshim i arsyeshëm duhet të bjerë mbi faktin penal dhe jo mbi atë jo penal. Rrjedhimisht, sepse me vendim të Gjykatës së Shkallës së Parë është caktuar një masë ndaluese, në situatën e mungesës së kushtit të “dyshimit të arsyeshëm” kur në këtë situatë ligji e ndalon caktimin e saj, ky kolegj vlerëson se ajo duhet të shfuqizohet” (shih faqen 4 të vendimit të Gjykatës së Posaçme të Apelit).</w:t>
      </w:r>
    </w:p>
    <w:p w14:paraId="248060FA" w14:textId="2324DAF9"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6. Ndaj këtij vendimi ka ushtruar rekurs Prokuroria e Posaçme. Çështja me objekt caktimin e masës ndaluese “Pezullimi i ushtrimit të një detyre a shërbimi publik” është regjistruar në Gjykatën e Lartë në datën 24.6.2020. Kolegji Penal i Gjykatës së Lartë, me vendimin e ndërmjetëm të datës 18.9.2020, ka vendosur kalimin për gjykim të çështjes penale. </w:t>
      </w:r>
    </w:p>
    <w:p w14:paraId="248060FB" w14:textId="57F13BED"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7. Ndërkohë me vendimin e prokurorëve të datës 15.7.2020, kërkuesit i është komunikuar akuza, duke u marrë në cilësinë e të pandehurit për veprën penale “Falsifikimi i dokumenteve”, të parashikuar nga neni 186, paragrafi i parë, i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-së. Në vijim, çështja është dërguar për gjykim.</w:t>
      </w:r>
    </w:p>
    <w:p w14:paraId="248060FC" w14:textId="737E1728"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8. Gjykata e Posaçme e Shkallës së </w:t>
      </w:r>
      <w:r w:rsidR="0083794C">
        <w:rPr>
          <w:rFonts w:ascii="Garamond" w:hAnsi="Garamond" w:cs="Times New Roman"/>
          <w:color w:val="000000"/>
          <w:sz w:val="24"/>
          <w:szCs w:val="24"/>
        </w:rPr>
        <w:t xml:space="preserve">Parë, me vendimin nr. 32, datë </w:t>
      </w:r>
      <w:r w:rsidRPr="009B3691">
        <w:rPr>
          <w:rFonts w:ascii="Garamond" w:hAnsi="Garamond" w:cs="Times New Roman"/>
          <w:color w:val="000000"/>
          <w:sz w:val="24"/>
          <w:szCs w:val="24"/>
        </w:rPr>
        <w:t>1.12.2020,</w:t>
      </w:r>
      <w:r w:rsidRPr="009B3691">
        <w:rPr>
          <w:rFonts w:ascii="Garamond" w:hAnsi="Garamond" w:cs="Times New Roman"/>
          <w:b/>
          <w:bCs/>
          <w:color w:val="000000"/>
          <w:sz w:val="24"/>
          <w:szCs w:val="24"/>
        </w:rPr>
        <w:t xml:space="preserve"> </w:t>
      </w:r>
      <w:r w:rsidRPr="009B3691">
        <w:rPr>
          <w:rFonts w:ascii="Garamond" w:hAnsi="Garamond" w:cs="Times New Roman"/>
          <w:color w:val="000000"/>
          <w:sz w:val="24"/>
          <w:szCs w:val="24"/>
        </w:rPr>
        <w:t xml:space="preserve">ka vendosur: </w:t>
      </w:r>
      <w:r w:rsidRPr="009B3691">
        <w:rPr>
          <w:rFonts w:ascii="Garamond" w:hAnsi="Garamond" w:cs="Times New Roman"/>
          <w:i/>
          <w:iCs/>
          <w:color w:val="000000"/>
          <w:sz w:val="24"/>
          <w:szCs w:val="24"/>
        </w:rPr>
        <w:t xml:space="preserve">“Deklarimin fajtor të </w:t>
      </w:r>
      <w:proofErr w:type="spellStart"/>
      <w:r w:rsidRPr="009B3691">
        <w:rPr>
          <w:rFonts w:ascii="Garamond" w:hAnsi="Garamond" w:cs="Times New Roman"/>
          <w:i/>
          <w:iCs/>
          <w:color w:val="000000"/>
          <w:sz w:val="24"/>
          <w:szCs w:val="24"/>
        </w:rPr>
        <w:t>të</w:t>
      </w:r>
      <w:proofErr w:type="spellEnd"/>
      <w:r w:rsidRPr="009B3691">
        <w:rPr>
          <w:rFonts w:ascii="Garamond" w:hAnsi="Garamond" w:cs="Times New Roman"/>
          <w:i/>
          <w:iCs/>
          <w:color w:val="000000"/>
          <w:sz w:val="24"/>
          <w:szCs w:val="24"/>
        </w:rPr>
        <w:t xml:space="preserve"> pandehurit Luan Daci, për kryerjen e veprës penale të “Falsifikimit të dokumenteve”, të parashikuar nga neni 186/1 i </w:t>
      </w:r>
      <w:proofErr w:type="spellStart"/>
      <w:r w:rsidRPr="009B3691">
        <w:rPr>
          <w:rFonts w:ascii="Garamond" w:hAnsi="Garamond" w:cs="Times New Roman"/>
          <w:i/>
          <w:iCs/>
          <w:color w:val="000000"/>
          <w:sz w:val="24"/>
          <w:szCs w:val="24"/>
        </w:rPr>
        <w:t>KP</w:t>
      </w:r>
      <w:proofErr w:type="spellEnd"/>
      <w:r w:rsidRPr="009B3691">
        <w:rPr>
          <w:rFonts w:ascii="Garamond" w:hAnsi="Garamond" w:cs="Times New Roman"/>
          <w:i/>
          <w:iCs/>
          <w:color w:val="000000"/>
          <w:sz w:val="24"/>
          <w:szCs w:val="24"/>
        </w:rPr>
        <w:t xml:space="preserve"> dhe dënimin e tij me 6 (gjashtë) muaj burgim. Në bazë të nenit 63 të K.</w:t>
      </w:r>
      <w:r w:rsidR="00704F8B">
        <w:rPr>
          <w:rFonts w:ascii="Garamond" w:hAnsi="Garamond" w:cs="Times New Roman"/>
          <w:i/>
          <w:iCs/>
          <w:color w:val="000000"/>
          <w:sz w:val="24"/>
          <w:szCs w:val="24"/>
        </w:rPr>
        <w:t xml:space="preserve"> </w:t>
      </w:r>
      <w:r w:rsidRPr="009B3691">
        <w:rPr>
          <w:rFonts w:ascii="Garamond" w:hAnsi="Garamond" w:cs="Times New Roman"/>
          <w:i/>
          <w:iCs/>
          <w:color w:val="000000"/>
          <w:sz w:val="24"/>
          <w:szCs w:val="24"/>
        </w:rPr>
        <w:t>Penal urdhërohet pezullimi i ekzekutimit të dënimit me burgim</w:t>
      </w:r>
      <w:r w:rsidR="004E0E1D">
        <w:rPr>
          <w:rFonts w:ascii="Garamond" w:hAnsi="Garamond" w:cs="Times New Roman"/>
          <w:i/>
          <w:iCs/>
          <w:color w:val="000000"/>
          <w:sz w:val="24"/>
          <w:szCs w:val="24"/>
        </w:rPr>
        <w:t xml:space="preserve"> </w:t>
      </w:r>
      <w:r w:rsidRPr="009B3691">
        <w:rPr>
          <w:rFonts w:ascii="Garamond" w:hAnsi="Garamond" w:cs="Times New Roman"/>
          <w:i/>
          <w:iCs/>
          <w:color w:val="000000"/>
          <w:sz w:val="24"/>
          <w:szCs w:val="24"/>
        </w:rPr>
        <w:t>me kusht që i pandehuri të mos kryejë vepër tjetër penale brenda një afati prove prej 12 muajsh.”.</w:t>
      </w:r>
    </w:p>
    <w:p w14:paraId="248060FD" w14:textId="5C94D926"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9. Ndaj vendimit të mësipërm ka ushtruar ankim kërkuesi, si dhe apel kundërshtues Prokuroria e Posaçme. Gjykata e Posaçme e Apelit, me vendimin nr.</w:t>
      </w:r>
      <w:r w:rsidR="0083794C">
        <w:rPr>
          <w:rFonts w:ascii="Garamond" w:hAnsi="Garamond" w:cs="Times New Roman"/>
          <w:color w:val="000000"/>
          <w:sz w:val="24"/>
          <w:szCs w:val="24"/>
        </w:rPr>
        <w:t xml:space="preserve"> 5, datë </w:t>
      </w:r>
      <w:r w:rsidRPr="009B3691">
        <w:rPr>
          <w:rFonts w:ascii="Garamond" w:hAnsi="Garamond" w:cs="Times New Roman"/>
          <w:color w:val="000000"/>
          <w:sz w:val="24"/>
          <w:szCs w:val="24"/>
        </w:rPr>
        <w:t>8.3.2021,</w:t>
      </w:r>
      <w:r w:rsidRPr="009B3691">
        <w:rPr>
          <w:rFonts w:ascii="Garamond" w:hAnsi="Garamond" w:cs="Times New Roman"/>
          <w:b/>
          <w:bCs/>
          <w:color w:val="000000"/>
          <w:sz w:val="24"/>
          <w:szCs w:val="24"/>
        </w:rPr>
        <w:t xml:space="preserve"> </w:t>
      </w:r>
      <w:r w:rsidRPr="009B3691">
        <w:rPr>
          <w:rFonts w:ascii="Garamond" w:hAnsi="Garamond" w:cs="Times New Roman"/>
          <w:color w:val="000000"/>
          <w:sz w:val="24"/>
          <w:szCs w:val="24"/>
        </w:rPr>
        <w:t>ka vendosur:</w:t>
      </w:r>
      <w:r w:rsidRPr="009B3691">
        <w:rPr>
          <w:rFonts w:ascii="Garamond" w:hAnsi="Garamond" w:cs="Times New Roman"/>
          <w:i/>
          <w:iCs/>
          <w:color w:val="000000"/>
          <w:sz w:val="24"/>
          <w:szCs w:val="24"/>
        </w:rPr>
        <w:t xml:space="preserve"> “Lënien n</w:t>
      </w:r>
      <w:r w:rsidR="00483317">
        <w:rPr>
          <w:rFonts w:ascii="Garamond" w:hAnsi="Garamond" w:cs="Times New Roman"/>
          <w:i/>
          <w:iCs/>
          <w:color w:val="000000"/>
          <w:sz w:val="24"/>
          <w:szCs w:val="24"/>
        </w:rPr>
        <w:t xml:space="preserve">ë fuqi të vendimit nr. 32 datë </w:t>
      </w:r>
      <w:r w:rsidRPr="009B3691">
        <w:rPr>
          <w:rFonts w:ascii="Garamond" w:hAnsi="Garamond" w:cs="Times New Roman"/>
          <w:i/>
          <w:iCs/>
          <w:color w:val="000000"/>
          <w:sz w:val="24"/>
          <w:szCs w:val="24"/>
        </w:rPr>
        <w:t>1.12.2020</w:t>
      </w:r>
      <w:r w:rsidR="00483317">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së Posaçme të Shkallës së Parë për Korrupsionin dhe Krimin e Organizuar”.</w:t>
      </w:r>
    </w:p>
    <w:p w14:paraId="248060FE" w14:textId="303F59D2"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10. </w:t>
      </w:r>
      <w:r w:rsidR="00483317">
        <w:rPr>
          <w:rFonts w:ascii="Garamond" w:hAnsi="Garamond" w:cs="Times New Roman"/>
          <w:color w:val="000000"/>
          <w:sz w:val="24"/>
          <w:szCs w:val="24"/>
        </w:rPr>
        <w:t>Ndaj këtij vendimi në datën 20.</w:t>
      </w:r>
      <w:r w:rsidRPr="009B3691">
        <w:rPr>
          <w:rFonts w:ascii="Garamond" w:hAnsi="Garamond" w:cs="Times New Roman"/>
          <w:color w:val="000000"/>
          <w:sz w:val="24"/>
          <w:szCs w:val="24"/>
        </w:rPr>
        <w:t xml:space="preserve">4.2021 kërkuesi ka ushtruar rekurs. Kolegji Penal i Gjykatës së Lartë, në dhomë këshillimi, duke marrë parasysh edhe dy kërkesat për përshpejtimin e shqyrtimit të rekursit të paraqitura nga kërkuesi dhe nga </w:t>
      </w:r>
      <w:proofErr w:type="spellStart"/>
      <w:r w:rsidRPr="009B3691">
        <w:rPr>
          <w:rFonts w:ascii="Garamond" w:hAnsi="Garamond" w:cs="Times New Roman"/>
          <w:color w:val="000000"/>
          <w:sz w:val="24"/>
          <w:szCs w:val="24"/>
        </w:rPr>
        <w:t>KPA</w:t>
      </w:r>
      <w:proofErr w:type="spellEnd"/>
      <w:r w:rsidRPr="009B3691">
        <w:rPr>
          <w:rFonts w:ascii="Garamond" w:hAnsi="Garamond" w:cs="Times New Roman"/>
          <w:color w:val="000000"/>
          <w:sz w:val="24"/>
          <w:szCs w:val="24"/>
        </w:rPr>
        <w:t xml:space="preserve">-ja, me vendimin nr. 00-2021-670 (63), datë 26.10.2021, ka vendosur: </w:t>
      </w:r>
      <w:r w:rsidRPr="009B3691">
        <w:rPr>
          <w:rFonts w:ascii="Garamond" w:hAnsi="Garamond" w:cs="Times New Roman"/>
          <w:i/>
          <w:iCs/>
          <w:color w:val="000000"/>
          <w:sz w:val="24"/>
          <w:szCs w:val="24"/>
        </w:rPr>
        <w:t>“Mospranimin e rekursit të paraqitur nga kërkuesi Luan Da</w:t>
      </w:r>
      <w:r w:rsidR="00483317">
        <w:rPr>
          <w:rFonts w:ascii="Garamond" w:hAnsi="Garamond" w:cs="Times New Roman"/>
          <w:i/>
          <w:iCs/>
          <w:color w:val="000000"/>
          <w:sz w:val="24"/>
          <w:szCs w:val="24"/>
        </w:rPr>
        <w:t>ci kundër vendimit nr. 5, datë 8.</w:t>
      </w:r>
      <w:r w:rsidRPr="009B3691">
        <w:rPr>
          <w:rFonts w:ascii="Garamond" w:hAnsi="Garamond" w:cs="Times New Roman"/>
          <w:i/>
          <w:iCs/>
          <w:color w:val="000000"/>
          <w:sz w:val="24"/>
          <w:szCs w:val="24"/>
        </w:rPr>
        <w:t>3.2021</w:t>
      </w:r>
      <w:r w:rsidR="00483317">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së Posaçme të Apelit për Korrupsionin dhe Krimin e Organizuar”, </w:t>
      </w:r>
      <w:r w:rsidRPr="009B3691">
        <w:rPr>
          <w:rFonts w:ascii="Garamond" w:hAnsi="Garamond" w:cs="Times New Roman"/>
          <w:color w:val="000000"/>
          <w:sz w:val="24"/>
          <w:szCs w:val="24"/>
        </w:rPr>
        <w:t>me arsyetimin se</w:t>
      </w:r>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nuk</w:t>
      </w:r>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 xml:space="preserve">përmbante asnjë shkak ligjor të kërkuar nga neni 432 i Kodit të Procedurës Penale </w:t>
      </w:r>
      <w:r w:rsidRPr="009B3691">
        <w:rPr>
          <w:rFonts w:ascii="Garamond" w:hAnsi="Garamond" w:cs="Times New Roman"/>
          <w:i/>
          <w:iCs/>
          <w:color w:val="000000"/>
          <w:sz w:val="24"/>
          <w:szCs w:val="24"/>
        </w:rPr>
        <w:t>(</w:t>
      </w:r>
      <w:proofErr w:type="spellStart"/>
      <w:r w:rsidRPr="009B3691">
        <w:rPr>
          <w:rFonts w:ascii="Garamond" w:hAnsi="Garamond" w:cs="Times New Roman"/>
          <w:i/>
          <w:iCs/>
          <w:color w:val="000000"/>
          <w:sz w:val="24"/>
          <w:szCs w:val="24"/>
        </w:rPr>
        <w:t>KPP</w:t>
      </w:r>
      <w:proofErr w:type="spellEnd"/>
      <w:r w:rsidRPr="009B3691">
        <w:rPr>
          <w:rFonts w:ascii="Garamond" w:hAnsi="Garamond" w:cs="Times New Roman"/>
          <w:i/>
          <w:iCs/>
          <w:color w:val="000000"/>
          <w:sz w:val="24"/>
          <w:szCs w:val="24"/>
        </w:rPr>
        <w:t>).</w:t>
      </w:r>
      <w:r w:rsidRPr="009B3691">
        <w:rPr>
          <w:rFonts w:ascii="Garamond" w:hAnsi="Garamond" w:cs="Times New Roman"/>
          <w:color w:val="000000"/>
          <w:sz w:val="24"/>
          <w:szCs w:val="24"/>
        </w:rPr>
        <w:t xml:space="preserve"> Pas përfundimit të çështjes së themelit, Kolegji Penal i Gjykatës së Lartë, për </w:t>
      </w:r>
      <w:r w:rsidRPr="009B3691">
        <w:rPr>
          <w:rFonts w:ascii="Garamond" w:hAnsi="Garamond" w:cs="Times New Roman"/>
          <w:color w:val="000000"/>
          <w:sz w:val="24"/>
          <w:szCs w:val="24"/>
        </w:rPr>
        <w:lastRenderedPageBreak/>
        <w:t>rekursin e paraqitur nga Prokuroria e Posaçme për caktimin e masës ndaluese, me vendimin</w:t>
      </w:r>
      <w:r w:rsidR="00483317">
        <w:rPr>
          <w:rFonts w:ascii="Garamond" w:hAnsi="Garamond" w:cs="Times New Roman"/>
          <w:color w:val="000000"/>
          <w:sz w:val="24"/>
          <w:szCs w:val="24"/>
        </w:rPr>
        <w:t xml:space="preserve"> nr. 00-2022-116 (55), datë 18.</w:t>
      </w:r>
      <w:r w:rsidRPr="009B3691">
        <w:rPr>
          <w:rFonts w:ascii="Garamond" w:hAnsi="Garamond" w:cs="Times New Roman"/>
          <w:color w:val="000000"/>
          <w:sz w:val="24"/>
          <w:szCs w:val="24"/>
        </w:rPr>
        <w:t>2.2022, ka vendosur mospranimin e tij, pasi Prokuroria e Posaçme kishte paraqitur kërkesë për heqje dorë nga rekursi.</w:t>
      </w:r>
    </w:p>
    <w:p w14:paraId="248060FF" w14:textId="555B6FC7" w:rsidR="009B3691" w:rsidRPr="009B3691" w:rsidRDefault="00483317" w:rsidP="0083794C">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11. Kërkuesi në datën 17.</w:t>
      </w:r>
      <w:r w:rsidR="009B3691" w:rsidRPr="009B3691">
        <w:rPr>
          <w:rFonts w:ascii="Garamond" w:hAnsi="Garamond" w:cs="Times New Roman"/>
          <w:color w:val="000000"/>
          <w:sz w:val="24"/>
          <w:szCs w:val="24"/>
        </w:rPr>
        <w:t xml:space="preserve">1.2022 i është drejtuar Gjykatës Kushtetuese </w:t>
      </w:r>
      <w:r w:rsidR="009B3691" w:rsidRPr="009B3691">
        <w:rPr>
          <w:rFonts w:ascii="Garamond" w:hAnsi="Garamond" w:cs="Times New Roman"/>
          <w:i/>
          <w:iCs/>
          <w:color w:val="000000"/>
          <w:sz w:val="24"/>
          <w:szCs w:val="24"/>
        </w:rPr>
        <w:t>(Gjykata)</w:t>
      </w:r>
      <w:r w:rsidR="009B3691" w:rsidRPr="009B3691">
        <w:rPr>
          <w:rFonts w:ascii="Garamond" w:hAnsi="Garamond" w:cs="Times New Roman"/>
          <w:color w:val="000000"/>
          <w:sz w:val="24"/>
          <w:szCs w:val="24"/>
        </w:rPr>
        <w:t xml:space="preserve"> me ankim kushtetues individual sipas objektit të sipërcituar. </w:t>
      </w:r>
      <w:r>
        <w:rPr>
          <w:rFonts w:ascii="Garamond" w:hAnsi="Garamond" w:cs="Times New Roman"/>
          <w:color w:val="000000"/>
          <w:sz w:val="24"/>
          <w:szCs w:val="24"/>
        </w:rPr>
        <w:t>Kolegji i Gjykatës në datën 11.</w:t>
      </w:r>
      <w:r w:rsidR="009B3691" w:rsidRPr="009B3691">
        <w:rPr>
          <w:rFonts w:ascii="Garamond" w:hAnsi="Garamond" w:cs="Times New Roman"/>
          <w:color w:val="000000"/>
          <w:sz w:val="24"/>
          <w:szCs w:val="24"/>
        </w:rPr>
        <w:t>3.2022 ka vendosur kalimin e çështjes për shqyrtim paraprak në Mbledhjen e Gjyqtarëve, e cila në datën 30.3.2022 ka vendosur kalimin e çështjes për shqyrtim në seancë plenare publike.</w:t>
      </w:r>
    </w:p>
    <w:p w14:paraId="24806100" w14:textId="77777777" w:rsid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p>
    <w:p w14:paraId="24806101"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9B3691">
        <w:rPr>
          <w:rFonts w:ascii="Garamond" w:hAnsi="Garamond" w:cs="Times New Roman"/>
          <w:b/>
          <w:bCs/>
          <w:color w:val="000000"/>
          <w:sz w:val="24"/>
          <w:szCs w:val="24"/>
        </w:rPr>
        <w:t>II</w:t>
      </w:r>
      <w:proofErr w:type="spellEnd"/>
    </w:p>
    <w:p w14:paraId="24806102" w14:textId="77777777" w:rsidR="009B3691" w:rsidRDefault="009B3691" w:rsidP="009B3691">
      <w:pPr>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Pretendimet në Gjykatën Kushtetuese</w:t>
      </w:r>
    </w:p>
    <w:p w14:paraId="24806103"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color w:val="000000"/>
          <w:sz w:val="24"/>
          <w:szCs w:val="24"/>
        </w:rPr>
      </w:pPr>
    </w:p>
    <w:p w14:paraId="24806104"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12. Kërkuesi ka parashtruar, në mënyrë të përmbledhur, se vendimet gjyqësore të kundërshtuara kanë cenuar:</w:t>
      </w:r>
    </w:p>
    <w:p w14:paraId="24806105" w14:textId="461FF842" w:rsidR="009B3691" w:rsidRPr="009B3691" w:rsidRDefault="00483317"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Të drejtën për proces të rregullt ligjor</w:t>
      </w:r>
      <w:r w:rsidR="009B3691" w:rsidRPr="009B3691">
        <w:rPr>
          <w:rFonts w:ascii="Garamond" w:hAnsi="Garamond" w:cs="Times New Roman"/>
          <w:color w:val="000000"/>
          <w:sz w:val="24"/>
          <w:szCs w:val="24"/>
        </w:rPr>
        <w:t xml:space="preserve"> në aspektet e mëposhtme:</w:t>
      </w:r>
    </w:p>
    <w:p w14:paraId="24806106" w14:textId="6333D9EE"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12.1.1</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Parimi i paanshmërisë dhe pavarësisë,</w:t>
      </w:r>
      <w:r w:rsidR="009B3691" w:rsidRPr="009B3691">
        <w:rPr>
          <w:rFonts w:ascii="Garamond" w:hAnsi="Garamond" w:cs="Times New Roman"/>
          <w:color w:val="000000"/>
          <w:sz w:val="24"/>
          <w:szCs w:val="24"/>
        </w:rPr>
        <w:t xml:space="preserve"> pasi çështja e themelit në Gjykatën e Lartë është gjykuar nga i njëjti gjyqtar relator sikurse edhe çështja për caktimin e masës së sigurimit “Pezullimi i ushtrimit të një detyre a shërbimi publik”. Për këtë të fundit, i njëjti trup gjykues i Gjykatës së Lartë ka vendosur kalimin për gjykim të çështjes penale, ndërsa çështja e themelit (vendimet e së cilës janë objekt i ankimit kushtetues) është shqyrtuar në dhomë këshillimi. Ky qëndrim nuk është në përputhje me të drejtën për një proces të rregullt ligjor, pasi janë përdorur standarde të ndryshme për shqyrtimin e rekursit.</w:t>
      </w:r>
    </w:p>
    <w:p w14:paraId="24806107" w14:textId="048EBA84"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12.1.2</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Standardi i arsyetimit të vendimit gjyqësor</w:t>
      </w:r>
      <w:r w:rsidR="009B3691" w:rsidRPr="009B3691">
        <w:rPr>
          <w:rFonts w:ascii="Garamond" w:hAnsi="Garamond" w:cs="Times New Roman"/>
          <w:color w:val="000000"/>
          <w:sz w:val="24"/>
          <w:szCs w:val="24"/>
        </w:rPr>
        <w:t>, pasi gjykatat kanë arsyetuar në mënyrë kontradiktore e jo të ligjshme. Ato kanë bërë një interpretim të zgjeruar, duke krijuar një normë të re, krijimi i së cilës është atribut i ligjvënësit. Kërkesa ka si qëllim vënien në lëvizje të organit procedues dhe nuk cenon interesin publik që në këto organe të zgjidhen persona që plotësojnë kriteret. Gjykata gabon në arsyetim duke i atribuuar kërkesës vlerën e shkresës private dhe i ngatërron me qëllim elementet e domosdoshme të përmbajtjes së një akti sipas parashikimeve të Kodit të Procedurave Administrative</w:t>
      </w:r>
      <w:r w:rsidR="009B3691" w:rsidRPr="009B3691">
        <w:rPr>
          <w:rFonts w:ascii="Garamond" w:hAnsi="Garamond" w:cs="Times New Roman"/>
          <w:i/>
          <w:iCs/>
          <w:color w:val="000000"/>
          <w:sz w:val="24"/>
          <w:szCs w:val="24"/>
        </w:rPr>
        <w:t>,</w:t>
      </w:r>
      <w:r w:rsidR="009B3691" w:rsidRPr="009B3691">
        <w:rPr>
          <w:rFonts w:ascii="Garamond" w:hAnsi="Garamond" w:cs="Times New Roman"/>
          <w:color w:val="000000"/>
          <w:sz w:val="24"/>
          <w:szCs w:val="24"/>
        </w:rPr>
        <w:t xml:space="preserve"> si dhe elementet e figurës së veprës penale të falsifikimit të dokumenteve. Gjykata e Lartë abuzon kur shprehet se Gjykata e Posaçme e Apelit ka dhënë përgjigje për secilin pretendim, pasi në fakt ajo gjykatë ka arsyetuar njëlloj si Gjykata e Posaçme e Shkallës së Parë. Gjykatat, duke përfshirë edhe Gjykatën e Lartë, në vendimet e tyre injorojnë faktin që edhe sipas doktrinës së huaj, së cilës ato i referohen, falsifikimi ideologjik bëhet nga nëpunësi publik dhe jo nga një person privat.</w:t>
      </w:r>
    </w:p>
    <w:p w14:paraId="24806108" w14:textId="7F4F207F"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12.1.3</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 xml:space="preserve">E drejta për të mos u dënuar pa ligj, </w:t>
      </w:r>
      <w:r w:rsidR="009B3691" w:rsidRPr="009B3691">
        <w:rPr>
          <w:rFonts w:ascii="Garamond" w:hAnsi="Garamond" w:cs="Times New Roman"/>
          <w:color w:val="000000"/>
          <w:sz w:val="24"/>
          <w:szCs w:val="24"/>
        </w:rPr>
        <w:t xml:space="preserve">e parashikuar në nenin 29 të Kushtetutës, pasi vepra penale për të cilën është deklaruar fajtor kërkuesi nuk parashikohet në ligj dhe nuk ekziston si fakt juridik. Akuza dhe vendimet e gjykatave, në thelb, kanë dhënë një dënim pa ligj, pasi </w:t>
      </w:r>
      <w:proofErr w:type="spellStart"/>
      <w:r w:rsidR="009B3691" w:rsidRPr="009B3691">
        <w:rPr>
          <w:rFonts w:ascii="Garamond" w:hAnsi="Garamond" w:cs="Times New Roman"/>
          <w:color w:val="000000"/>
          <w:sz w:val="24"/>
          <w:szCs w:val="24"/>
        </w:rPr>
        <w:t>KP</w:t>
      </w:r>
      <w:proofErr w:type="spellEnd"/>
      <w:r w:rsidR="009B3691" w:rsidRPr="009B3691">
        <w:rPr>
          <w:rFonts w:ascii="Garamond" w:hAnsi="Garamond" w:cs="Times New Roman"/>
          <w:color w:val="000000"/>
          <w:sz w:val="24"/>
          <w:szCs w:val="24"/>
        </w:rPr>
        <w:t xml:space="preserve">-ja nuk parashikon veprën penale të falsifikimit ideologjik dhe “falsifikimi intelektual” është një shprehje pa asnjë kuptim gjuhësor dhe ligjor, madje nuk e njeh as jurisprudenca shqiptare. Gjykatat kanë interpretuar gabim nenin 186 të </w:t>
      </w:r>
      <w:proofErr w:type="spellStart"/>
      <w:r w:rsidR="009B3691" w:rsidRPr="009B3691">
        <w:rPr>
          <w:rFonts w:ascii="Garamond" w:hAnsi="Garamond" w:cs="Times New Roman"/>
          <w:color w:val="000000"/>
          <w:sz w:val="24"/>
          <w:szCs w:val="24"/>
        </w:rPr>
        <w:t>KP</w:t>
      </w:r>
      <w:proofErr w:type="spellEnd"/>
      <w:r w:rsidR="009B3691" w:rsidRPr="009B3691">
        <w:rPr>
          <w:rFonts w:ascii="Garamond" w:hAnsi="Garamond" w:cs="Times New Roman"/>
          <w:color w:val="000000"/>
          <w:sz w:val="24"/>
          <w:szCs w:val="24"/>
        </w:rPr>
        <w:t xml:space="preserve">-së lidhur me ekzistencën ose jo të veprës penale për të cilën është dënuar kërkuesi. Ato kanë bërë një vlerësim të gjerë dhe praktikisht kanë </w:t>
      </w:r>
      <w:proofErr w:type="spellStart"/>
      <w:r w:rsidR="009B3691" w:rsidRPr="009B3691">
        <w:rPr>
          <w:rFonts w:ascii="Garamond" w:hAnsi="Garamond" w:cs="Times New Roman"/>
          <w:color w:val="000000"/>
          <w:sz w:val="24"/>
          <w:szCs w:val="24"/>
        </w:rPr>
        <w:t>kriminalizuar</w:t>
      </w:r>
      <w:proofErr w:type="spellEnd"/>
      <w:r w:rsidR="009B3691" w:rsidRPr="009B3691">
        <w:rPr>
          <w:rFonts w:ascii="Garamond" w:hAnsi="Garamond" w:cs="Times New Roman"/>
          <w:color w:val="000000"/>
          <w:sz w:val="24"/>
          <w:szCs w:val="24"/>
        </w:rPr>
        <w:t xml:space="preserve"> çdo lloj shkrese që mund të përmbajë të dhëna “false” pa marrë parasysh juridikisht natyrën, qëllimin, funksionin dhe efektin e dokumentit.</w:t>
      </w:r>
    </w:p>
    <w:p w14:paraId="24806109" w14:textId="74991A88"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12.1.4</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E drejta për t’u dëgjuar para se të gjykohet</w:t>
      </w:r>
      <w:r w:rsidR="009B3691" w:rsidRPr="009B3691">
        <w:rPr>
          <w:rFonts w:ascii="Garamond" w:hAnsi="Garamond" w:cs="Times New Roman"/>
          <w:color w:val="000000"/>
          <w:sz w:val="24"/>
          <w:szCs w:val="24"/>
        </w:rPr>
        <w:t>, pasi çështja në Gjykatën e Lartë është shqyrtuar në dhomën e këshillimit pa praninë e palëve. Për shkak të problematikës dhe kompleksitetit të çështjes, duke respektuar parimin e barazisë para ligjit, ekzistonte një interes i lartë publik që çështja e kërkuesit të merrte një trajtim të gjithanshëm dhe shterues nëpërmjet shqyrtimit në seancë gjyqësore për të dëgjuar palët. Gjithashtu, ka kontradikta mes vendimit objekt ankimi kushte</w:t>
      </w:r>
      <w:r w:rsidR="0083794C">
        <w:rPr>
          <w:rFonts w:ascii="Garamond" w:hAnsi="Garamond" w:cs="Times New Roman"/>
          <w:color w:val="000000"/>
          <w:sz w:val="24"/>
          <w:szCs w:val="24"/>
        </w:rPr>
        <w:t>tues dhe vendimit nr. 15, datë 5.</w:t>
      </w:r>
      <w:r w:rsidR="009B3691" w:rsidRPr="009B3691">
        <w:rPr>
          <w:rFonts w:ascii="Garamond" w:hAnsi="Garamond" w:cs="Times New Roman"/>
          <w:color w:val="000000"/>
          <w:sz w:val="24"/>
          <w:szCs w:val="24"/>
        </w:rPr>
        <w:t>6.2020</w:t>
      </w:r>
      <w:r w:rsidR="00CE66E6">
        <w:rPr>
          <w:rFonts w:ascii="Garamond" w:hAnsi="Garamond" w:cs="Times New Roman"/>
          <w:color w:val="000000"/>
          <w:sz w:val="24"/>
          <w:szCs w:val="24"/>
        </w:rPr>
        <w:t>,</w:t>
      </w:r>
      <w:r w:rsidR="009B3691" w:rsidRPr="009B3691">
        <w:rPr>
          <w:rFonts w:ascii="Garamond" w:hAnsi="Garamond" w:cs="Times New Roman"/>
          <w:color w:val="000000"/>
          <w:sz w:val="24"/>
          <w:szCs w:val="24"/>
        </w:rPr>
        <w:t xml:space="preserve"> të Gjykatës së Posaçme të Apelit (me objekt caktimin e masës së sigurimit). </w:t>
      </w:r>
    </w:p>
    <w:p w14:paraId="2480610A" w14:textId="17E1F100"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lastRenderedPageBreak/>
        <w:t>12.1.5</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 xml:space="preserve">E drejta për ankim efektiv sipas nenit 43 të Kushtetutës, </w:t>
      </w:r>
      <w:r w:rsidR="009B3691" w:rsidRPr="009B3691">
        <w:rPr>
          <w:rFonts w:ascii="Garamond" w:hAnsi="Garamond" w:cs="Times New Roman"/>
          <w:color w:val="000000"/>
          <w:sz w:val="24"/>
          <w:szCs w:val="24"/>
        </w:rPr>
        <w:t>e cila</w:t>
      </w:r>
      <w:r w:rsidR="009B3691" w:rsidRPr="009B3691">
        <w:rPr>
          <w:rFonts w:ascii="Garamond" w:hAnsi="Garamond" w:cs="Times New Roman"/>
          <w:i/>
          <w:iCs/>
          <w:color w:val="000000"/>
          <w:sz w:val="24"/>
          <w:szCs w:val="24"/>
        </w:rPr>
        <w:t xml:space="preserve"> </w:t>
      </w:r>
      <w:r w:rsidR="009B3691" w:rsidRPr="009B3691">
        <w:rPr>
          <w:rFonts w:ascii="Garamond" w:hAnsi="Garamond" w:cs="Times New Roman"/>
          <w:color w:val="000000"/>
          <w:sz w:val="24"/>
          <w:szCs w:val="24"/>
        </w:rPr>
        <w:t>nënkupton ekzistencën e mjeteve të ankimit efektiv, por në rastin konkret ankimi në Gjykatën e Apelit dhe rekursi në Gjykatën e Lartë nuk kanë rezultuar të jenë mjete ankimi efektive.</w:t>
      </w:r>
    </w:p>
    <w:p w14:paraId="2480610B" w14:textId="7BA08D3E"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12.1.6</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E drejta për zgjidhjen efektive dhe e apelit në çështjet penale</w:t>
      </w:r>
      <w:r w:rsidR="009B3691" w:rsidRPr="009B3691">
        <w:rPr>
          <w:rFonts w:ascii="Garamond" w:hAnsi="Garamond" w:cs="Times New Roman"/>
          <w:color w:val="000000"/>
          <w:sz w:val="24"/>
          <w:szCs w:val="24"/>
        </w:rPr>
        <w:t xml:space="preserve">, të parashikuara në nenin 13 të </w:t>
      </w:r>
      <w:proofErr w:type="spellStart"/>
      <w:r w:rsidR="009B3691" w:rsidRPr="009B3691">
        <w:rPr>
          <w:rFonts w:ascii="Garamond" w:hAnsi="Garamond" w:cs="Times New Roman"/>
          <w:color w:val="000000"/>
          <w:sz w:val="24"/>
          <w:szCs w:val="24"/>
        </w:rPr>
        <w:t>KEDNJ</w:t>
      </w:r>
      <w:proofErr w:type="spellEnd"/>
      <w:r w:rsidR="009B3691" w:rsidRPr="009B3691">
        <w:rPr>
          <w:rFonts w:ascii="Garamond" w:hAnsi="Garamond" w:cs="Times New Roman"/>
          <w:color w:val="000000"/>
          <w:sz w:val="24"/>
          <w:szCs w:val="24"/>
        </w:rPr>
        <w:t>-së dhe në nenin 2 të Protokollit Shtesë nr. 7 të saj, pasi çdo ankim pas zbatimit të dënimeve nuk do të bënte të mundur një “</w:t>
      </w:r>
      <w:proofErr w:type="spellStart"/>
      <w:r w:rsidR="009B3691" w:rsidRPr="009B3691">
        <w:rPr>
          <w:rFonts w:ascii="Garamond" w:hAnsi="Garamond" w:cs="Times New Roman"/>
          <w:i/>
          <w:iCs/>
          <w:color w:val="000000"/>
          <w:sz w:val="24"/>
          <w:szCs w:val="24"/>
        </w:rPr>
        <w:t>restitutio</w:t>
      </w:r>
      <w:proofErr w:type="spellEnd"/>
      <w:r w:rsidR="009B3691" w:rsidRPr="009B3691">
        <w:rPr>
          <w:rFonts w:ascii="Garamond" w:hAnsi="Garamond" w:cs="Times New Roman"/>
          <w:i/>
          <w:iCs/>
          <w:color w:val="000000"/>
          <w:sz w:val="24"/>
          <w:szCs w:val="24"/>
        </w:rPr>
        <w:t xml:space="preserve"> </w:t>
      </w:r>
      <w:proofErr w:type="spellStart"/>
      <w:r w:rsidR="009B3691" w:rsidRPr="009B3691">
        <w:rPr>
          <w:rFonts w:ascii="Garamond" w:hAnsi="Garamond" w:cs="Times New Roman"/>
          <w:i/>
          <w:iCs/>
          <w:color w:val="000000"/>
          <w:sz w:val="24"/>
          <w:szCs w:val="24"/>
        </w:rPr>
        <w:t>integrum</w:t>
      </w:r>
      <w:proofErr w:type="spellEnd"/>
      <w:r w:rsidR="009B3691" w:rsidRPr="009B3691">
        <w:rPr>
          <w:rFonts w:ascii="Garamond" w:hAnsi="Garamond" w:cs="Times New Roman"/>
          <w:i/>
          <w:iCs/>
          <w:color w:val="000000"/>
          <w:sz w:val="24"/>
          <w:szCs w:val="24"/>
        </w:rPr>
        <w:t>”</w:t>
      </w:r>
      <w:r w:rsidR="009B3691" w:rsidRPr="009B3691">
        <w:rPr>
          <w:rFonts w:ascii="Garamond" w:hAnsi="Garamond" w:cs="Times New Roman"/>
          <w:color w:val="000000"/>
          <w:sz w:val="24"/>
          <w:szCs w:val="24"/>
        </w:rPr>
        <w:t xml:space="preserve"> të </w:t>
      </w:r>
      <w:proofErr w:type="spellStart"/>
      <w:r w:rsidR="009B3691" w:rsidRPr="009B3691">
        <w:rPr>
          <w:rFonts w:ascii="Garamond" w:hAnsi="Garamond" w:cs="Times New Roman"/>
          <w:color w:val="000000"/>
          <w:sz w:val="24"/>
          <w:szCs w:val="24"/>
        </w:rPr>
        <w:t>të</w:t>
      </w:r>
      <w:proofErr w:type="spellEnd"/>
      <w:r w:rsidR="009B3691" w:rsidRPr="009B3691">
        <w:rPr>
          <w:rFonts w:ascii="Garamond" w:hAnsi="Garamond" w:cs="Times New Roman"/>
          <w:color w:val="000000"/>
          <w:sz w:val="24"/>
          <w:szCs w:val="24"/>
        </w:rPr>
        <w:t xml:space="preserve"> drejtave dhe interesave të ligjshme të subjekteve që do të mund të cenoheshin.</w:t>
      </w:r>
    </w:p>
    <w:p w14:paraId="2480610C" w14:textId="62AD4FC8"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12.2</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Nenin 17 të Kushtetutës dhe parimin e proporcionalitetit</w:t>
      </w:r>
      <w:r w:rsidR="009B3691" w:rsidRPr="009B3691">
        <w:rPr>
          <w:rFonts w:ascii="Garamond" w:hAnsi="Garamond" w:cs="Times New Roman"/>
          <w:color w:val="000000"/>
          <w:sz w:val="24"/>
          <w:szCs w:val="24"/>
        </w:rPr>
        <w:t>, pasi qëndrimi i gjykatave se neni</w:t>
      </w:r>
      <w:r w:rsidR="0083794C">
        <w:rPr>
          <w:rFonts w:ascii="Garamond" w:hAnsi="Garamond" w:cs="Times New Roman"/>
          <w:color w:val="000000"/>
          <w:sz w:val="24"/>
          <w:szCs w:val="24"/>
        </w:rPr>
        <w:t xml:space="preserve"> 33 i ligjit nr. 9877, datë 18.</w:t>
      </w:r>
      <w:r w:rsidR="009B3691" w:rsidRPr="009B3691">
        <w:rPr>
          <w:rFonts w:ascii="Garamond" w:hAnsi="Garamond" w:cs="Times New Roman"/>
          <w:color w:val="000000"/>
          <w:sz w:val="24"/>
          <w:szCs w:val="24"/>
        </w:rPr>
        <w:t>2.2008</w:t>
      </w:r>
      <w:r w:rsidR="0083794C">
        <w:rPr>
          <w:rFonts w:ascii="Garamond" w:hAnsi="Garamond" w:cs="Times New Roman"/>
          <w:color w:val="000000"/>
          <w:sz w:val="24"/>
          <w:szCs w:val="24"/>
        </w:rPr>
        <w:t>,</w:t>
      </w:r>
      <w:r w:rsidR="009B3691" w:rsidRPr="009B3691">
        <w:rPr>
          <w:rFonts w:ascii="Garamond" w:hAnsi="Garamond" w:cs="Times New Roman"/>
          <w:color w:val="000000"/>
          <w:sz w:val="24"/>
          <w:szCs w:val="24"/>
        </w:rPr>
        <w:t xml:space="preserve"> “Për organizimin e pushtetit gjyqësor në Republikën e Shqipërisë” </w:t>
      </w:r>
      <w:r w:rsidR="009B3691" w:rsidRPr="009B3691">
        <w:rPr>
          <w:rFonts w:ascii="Garamond" w:hAnsi="Garamond" w:cs="Times New Roman"/>
          <w:i/>
          <w:iCs/>
          <w:color w:val="000000"/>
          <w:sz w:val="24"/>
          <w:szCs w:val="24"/>
        </w:rPr>
        <w:t>(ligji nr. 9877/2008)</w:t>
      </w:r>
      <w:r w:rsidR="009B3691" w:rsidRPr="009B3691">
        <w:rPr>
          <w:rFonts w:ascii="Garamond" w:hAnsi="Garamond" w:cs="Times New Roman"/>
          <w:color w:val="000000"/>
          <w:sz w:val="24"/>
          <w:szCs w:val="24"/>
        </w:rPr>
        <w:t xml:space="preserve"> parashikon se masa e shkarkimit nga detyra nuk shuhet asnjëherë, është ndalim krejtësisht jo logjik dhe që bie ndesh me të kuptuarit e normave juridike si pjesë e një rendi juridik. Nëse kjo normë do të nënkuptohej si ndalim i përgjithshëm dhe i përhershëm i lidhur me një masë disiplinore, do të ishte një normë antikushtetuese, sepse bie ndesh me parimin e proporcionalitetit.</w:t>
      </w:r>
    </w:p>
    <w:p w14:paraId="2480610D" w14:textId="0D59C8D6" w:rsidR="009B3691" w:rsidRPr="009B3691" w:rsidRDefault="00483317" w:rsidP="009B3691">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12.3</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Parimin e mosdiskriminimit,</w:t>
      </w:r>
      <w:r w:rsidR="009B3691" w:rsidRPr="009B3691">
        <w:rPr>
          <w:rFonts w:ascii="Garamond" w:hAnsi="Garamond" w:cs="Times New Roman"/>
          <w:color w:val="000000"/>
          <w:sz w:val="24"/>
          <w:szCs w:val="24"/>
        </w:rPr>
        <w:t xml:space="preserve"> pasi kërkuesi diskriminohet në raport me persona të tjerë, subjekt të masave të sigurisë, të cilët kanë të drejtën e ankimit ndaj vendimit për refuzimin ose pranimin e kërkesës për shuarje</w:t>
      </w:r>
      <w:r w:rsidR="009B3691" w:rsidRPr="009B3691">
        <w:rPr>
          <w:rFonts w:ascii="Garamond" w:hAnsi="Garamond" w:cs="Times New Roman"/>
          <w:i/>
          <w:iCs/>
          <w:color w:val="000000"/>
          <w:sz w:val="24"/>
          <w:szCs w:val="24"/>
        </w:rPr>
        <w:t>.</w:t>
      </w:r>
      <w:r w:rsidR="009B3691" w:rsidRPr="009B3691">
        <w:rPr>
          <w:rFonts w:ascii="Garamond" w:hAnsi="Garamond" w:cs="Times New Roman"/>
          <w:b/>
          <w:bCs/>
          <w:i/>
          <w:iCs/>
          <w:color w:val="000000"/>
          <w:sz w:val="24"/>
          <w:szCs w:val="24"/>
        </w:rPr>
        <w:t xml:space="preserve"> </w:t>
      </w:r>
      <w:r w:rsidR="009B3691" w:rsidRPr="009B3691">
        <w:rPr>
          <w:rFonts w:ascii="Garamond" w:hAnsi="Garamond" w:cs="Times New Roman"/>
          <w:color w:val="000000"/>
          <w:sz w:val="24"/>
          <w:szCs w:val="24"/>
        </w:rPr>
        <w:t xml:space="preserve">Një shkelje disiplinore nuk mund të sjellë pasoja të përhershme juridike ndaj një personi, ndërkohë që një gjë të tillë nuk e bën as dënimi penal për krimet më të rënda. Gjykatat kanë arsyetuar për shuarjen ose jo të masës disiplinore në mënyrë të paqartë dhe paragjykuese. Shuarja e masës disiplinore parashikohet edhe në rastin më ekstrem, sikurse është </w:t>
      </w:r>
      <w:proofErr w:type="spellStart"/>
      <w:r w:rsidR="009B3691" w:rsidRPr="009B3691">
        <w:rPr>
          <w:rFonts w:ascii="Garamond" w:hAnsi="Garamond" w:cs="Times New Roman"/>
          <w:color w:val="000000"/>
          <w:sz w:val="24"/>
          <w:szCs w:val="24"/>
        </w:rPr>
        <w:t>dekriminalizimi</w:t>
      </w:r>
      <w:proofErr w:type="spellEnd"/>
      <w:r w:rsidR="009B3691" w:rsidRPr="009B3691">
        <w:rPr>
          <w:rFonts w:ascii="Garamond" w:hAnsi="Garamond" w:cs="Times New Roman"/>
          <w:color w:val="000000"/>
          <w:sz w:val="24"/>
          <w:szCs w:val="24"/>
        </w:rPr>
        <w:t>.</w:t>
      </w:r>
    </w:p>
    <w:p w14:paraId="2480610E" w14:textId="1F2F4751" w:rsidR="009B3691" w:rsidRPr="009B3691" w:rsidRDefault="00483317" w:rsidP="009B3691">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12.4</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Dinjitetin,</w:t>
      </w:r>
      <w:r w:rsidR="009B3691" w:rsidRPr="009B3691">
        <w:rPr>
          <w:rFonts w:ascii="Garamond" w:hAnsi="Garamond" w:cs="Times New Roman"/>
          <w:color w:val="000000"/>
          <w:sz w:val="24"/>
          <w:szCs w:val="24"/>
        </w:rPr>
        <w:t xml:space="preserve"> pasi është dëmtuar rëndë reputacioni dhe interesat financiare, si dhe disa parime, ai i ligjshmërisë, shtetit të së drejtës, hierarkisë së normave juridike, ndarjes së pushteteve dhe i së drejtës ndërkombëtare të detyrueshme.</w:t>
      </w:r>
    </w:p>
    <w:p w14:paraId="2480610F" w14:textId="77777777" w:rsidR="009B3691" w:rsidRPr="009B3691" w:rsidRDefault="009B3691" w:rsidP="009B3691">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b/>
          <w:bCs/>
          <w:i/>
          <w:iCs/>
          <w:color w:val="000000"/>
          <w:sz w:val="24"/>
          <w:szCs w:val="24"/>
        </w:rPr>
        <w:t>13. Subjekti i interesuar, Prokuroria e Posaçme,</w:t>
      </w:r>
      <w:r w:rsidRPr="009B3691">
        <w:rPr>
          <w:rFonts w:ascii="Garamond" w:hAnsi="Garamond" w:cs="Times New Roman"/>
          <w:color w:val="000000"/>
          <w:sz w:val="24"/>
          <w:szCs w:val="24"/>
        </w:rPr>
        <w:t xml:space="preserve"> ka paraqitur parashtrime me shkrim, duke prapësuar se pretendimet e kërkuesit janë të pabazuara. Në mënyrë të përmbledhur argumentet janë si më poshtë:</w:t>
      </w:r>
    </w:p>
    <w:p w14:paraId="24806110" w14:textId="7F914BF1" w:rsidR="009B3691" w:rsidRPr="009B3691" w:rsidRDefault="00483317" w:rsidP="009B3691">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13.1</w:t>
      </w:r>
      <w:r w:rsidR="004E0E1D">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 xml:space="preserve">Në lidhje me standardin e arsyetimit të vendimit gjyqësor, </w:t>
      </w:r>
      <w:r w:rsidR="009B3691" w:rsidRPr="009B3691">
        <w:rPr>
          <w:rFonts w:ascii="Garamond" w:hAnsi="Garamond" w:cs="Times New Roman"/>
          <w:color w:val="000000"/>
          <w:sz w:val="24"/>
          <w:szCs w:val="24"/>
        </w:rPr>
        <w:t xml:space="preserve">gjykatat kanë trajtuar në mënyrë shteruese të gjitha pretendimet, për rrjedhojë pretendimi është i pabazuar. Mospajtimi me arsyetimin e gjykatave, që kanë shqyrtuar çështjen penale në ngarkim të kërkuesit për çështje që kanë të bëjnë me interpretimin e ligjit penal, në veçanti të nenit 186 të </w:t>
      </w:r>
      <w:proofErr w:type="spellStart"/>
      <w:r w:rsidR="009B3691" w:rsidRPr="009B3691">
        <w:rPr>
          <w:rFonts w:ascii="Garamond" w:hAnsi="Garamond" w:cs="Times New Roman"/>
          <w:color w:val="000000"/>
          <w:sz w:val="24"/>
          <w:szCs w:val="24"/>
        </w:rPr>
        <w:t>KP</w:t>
      </w:r>
      <w:proofErr w:type="spellEnd"/>
      <w:r w:rsidR="009B3691" w:rsidRPr="009B3691">
        <w:rPr>
          <w:rFonts w:ascii="Garamond" w:hAnsi="Garamond" w:cs="Times New Roman"/>
          <w:color w:val="000000"/>
          <w:sz w:val="24"/>
          <w:szCs w:val="24"/>
        </w:rPr>
        <w:t>-së, nuk përbën shkak në vetvete që këto pretendime të ngrihen në nivel të juridiksionit kushtetues.</w:t>
      </w:r>
    </w:p>
    <w:p w14:paraId="24806111" w14:textId="4378E63D" w:rsidR="009B3691" w:rsidRPr="009B3691" w:rsidRDefault="004E174F" w:rsidP="009B3691">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13.2</w:t>
      </w:r>
      <w:bookmarkStart w:id="0" w:name="_GoBack"/>
      <w:bookmarkEnd w:id="0"/>
      <w:r w:rsidR="004E0E1D">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Për pretendimin e dënimit pa ligj,</w:t>
      </w:r>
      <w:r w:rsidR="009B3691" w:rsidRPr="009B3691">
        <w:rPr>
          <w:rFonts w:ascii="Garamond" w:hAnsi="Garamond" w:cs="Times New Roman"/>
          <w:color w:val="000000"/>
          <w:sz w:val="24"/>
          <w:szCs w:val="24"/>
        </w:rPr>
        <w:t xml:space="preserve"> kërkuesi nuk është dënuar për ndonjë vepër penale të paparashikuar në ligj, por për veprën penale “Falsifikimi i dokumenteve”, të parashikuar në nenin 186, paragrafi i parë, të </w:t>
      </w:r>
      <w:proofErr w:type="spellStart"/>
      <w:r w:rsidR="009B3691" w:rsidRPr="009B3691">
        <w:rPr>
          <w:rFonts w:ascii="Garamond" w:hAnsi="Garamond" w:cs="Times New Roman"/>
          <w:color w:val="000000"/>
          <w:sz w:val="24"/>
          <w:szCs w:val="24"/>
        </w:rPr>
        <w:t>KP</w:t>
      </w:r>
      <w:proofErr w:type="spellEnd"/>
      <w:r w:rsidR="009B3691" w:rsidRPr="009B3691">
        <w:rPr>
          <w:rFonts w:ascii="Garamond" w:hAnsi="Garamond" w:cs="Times New Roman"/>
          <w:color w:val="000000"/>
          <w:sz w:val="24"/>
          <w:szCs w:val="24"/>
        </w:rPr>
        <w:t>-së. Gjatë proceseve gjyqësore, pretendimi se fakti nuk përbën vepër penale dhe se fakti penal nuk ekziston është vlerësuar nga të tria gjykatat, të cilat kanë arsyetuar se fakti penal ekziston dhe se ai është kryer nga kërkuesi.</w:t>
      </w:r>
    </w:p>
    <w:p w14:paraId="24806112" w14:textId="1D0E847D" w:rsidR="009B3691" w:rsidRPr="009B3691" w:rsidRDefault="00483317" w:rsidP="009B3691">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13.3</w:t>
      </w:r>
      <w:r w:rsidR="004E0E1D">
        <w:rPr>
          <w:rFonts w:ascii="Garamond" w:hAnsi="Garamond" w:cs="Times New Roman"/>
          <w:color w:val="000000"/>
          <w:sz w:val="24"/>
          <w:szCs w:val="24"/>
        </w:rPr>
        <w:t xml:space="preserve"> </w:t>
      </w:r>
      <w:r w:rsidR="009B3691" w:rsidRPr="009B3691">
        <w:rPr>
          <w:rFonts w:ascii="Garamond" w:hAnsi="Garamond" w:cs="Times New Roman"/>
          <w:color w:val="000000"/>
          <w:sz w:val="24"/>
          <w:szCs w:val="24"/>
        </w:rPr>
        <w:t>Pretendimi i kërkuesit se masa disiplinore “largim nga detyra” është shuar, është i pabazuar, pasi pika 1 e nenit 6 të ligjit nr. 84/2016 nuk e lidh ekzistencën e saj me ndonjë afat kohor. Ligji në momentin e aplikimit është ligji nr. 96/2016, i cili në nenin 150, pika 3, parashikon</w:t>
      </w:r>
      <w:r>
        <w:rPr>
          <w:rFonts w:ascii="Garamond" w:hAnsi="Garamond" w:cs="Times New Roman"/>
          <w:color w:val="000000"/>
          <w:sz w:val="24"/>
          <w:szCs w:val="24"/>
        </w:rPr>
        <w:t>,</w:t>
      </w:r>
      <w:r w:rsidR="009B3691" w:rsidRPr="009B3691">
        <w:rPr>
          <w:rFonts w:ascii="Garamond" w:hAnsi="Garamond" w:cs="Times New Roman"/>
          <w:color w:val="000000"/>
          <w:sz w:val="24"/>
          <w:szCs w:val="24"/>
        </w:rPr>
        <w:t xml:space="preserve"> se</w:t>
      </w:r>
      <w:r>
        <w:rPr>
          <w:rFonts w:ascii="Garamond" w:hAnsi="Garamond" w:cs="Times New Roman"/>
          <w:color w:val="000000"/>
          <w:sz w:val="24"/>
          <w:szCs w:val="24"/>
        </w:rPr>
        <w:t>:</w:t>
      </w:r>
      <w:r w:rsidR="009B3691" w:rsidRPr="009B3691">
        <w:rPr>
          <w:rFonts w:ascii="Garamond" w:hAnsi="Garamond" w:cs="Times New Roman"/>
          <w:color w:val="000000"/>
          <w:sz w:val="24"/>
          <w:szCs w:val="24"/>
        </w:rPr>
        <w:t xml:space="preserve"> </w:t>
      </w:r>
      <w:r w:rsidR="009B3691" w:rsidRPr="009B3691">
        <w:rPr>
          <w:rFonts w:ascii="Garamond" w:hAnsi="Garamond" w:cs="Times New Roman"/>
          <w:i/>
          <w:iCs/>
          <w:color w:val="000000"/>
          <w:sz w:val="24"/>
          <w:szCs w:val="24"/>
        </w:rPr>
        <w:t>“masa disiplinore e shkarkimit nga detyra nuk shuhet dhe nuk fshihet nga regjistri”.</w:t>
      </w:r>
    </w:p>
    <w:p w14:paraId="24806113" w14:textId="25C4393F" w:rsidR="009B3691" w:rsidRPr="009B3691" w:rsidRDefault="00483317" w:rsidP="009B3691">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13.4</w:t>
      </w:r>
      <w:r w:rsidR="004E0E1D">
        <w:rPr>
          <w:rFonts w:ascii="Garamond" w:hAnsi="Garamond" w:cs="Times New Roman"/>
          <w:color w:val="000000"/>
          <w:sz w:val="24"/>
          <w:szCs w:val="24"/>
        </w:rPr>
        <w:t xml:space="preserve"> </w:t>
      </w:r>
      <w:r w:rsidR="009B3691" w:rsidRPr="009B3691">
        <w:rPr>
          <w:rFonts w:ascii="Garamond" w:hAnsi="Garamond" w:cs="Times New Roman"/>
          <w:color w:val="000000"/>
          <w:sz w:val="24"/>
          <w:szCs w:val="24"/>
        </w:rPr>
        <w:t>Pretendimet e parashtruara në Gjykatën Kushtetuese nuk kanë të bëjnë me shkeljen e një dispozite kushtetuese, të ndonjë parimi ose të drejte kushtetuese ose procedurale. Pretendimet, në thelb, lidhen me mënyrën e zbatimit dhe interpretimin e ligjit material penal, me interpretimin e nocioneve “dokument” dhe “falsifikim”, si dhe me vlerësimin e provave të paraqitura e të shqyrtuara në gjykim, për rrjedhojë ato nuk janë pjesë e juridiksionit kushtetues, por përfshihen në juridiksionin e gjykatave të zakonshme.</w:t>
      </w:r>
    </w:p>
    <w:p w14:paraId="24806114" w14:textId="77777777" w:rsidR="009B3691" w:rsidRPr="009B3691" w:rsidRDefault="009B3691" w:rsidP="009B369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4806115" w14:textId="77777777" w:rsidR="009B3691" w:rsidRPr="009B3691" w:rsidRDefault="009B3691" w:rsidP="009B369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9B3691">
        <w:rPr>
          <w:rFonts w:ascii="Garamond" w:hAnsi="Garamond" w:cs="Times New Roman"/>
          <w:b/>
          <w:bCs/>
          <w:color w:val="000000"/>
          <w:sz w:val="24"/>
          <w:szCs w:val="24"/>
        </w:rPr>
        <w:t>III</w:t>
      </w:r>
      <w:proofErr w:type="spellEnd"/>
    </w:p>
    <w:p w14:paraId="24806116" w14:textId="77777777" w:rsidR="009B3691" w:rsidRPr="009B3691" w:rsidRDefault="009B3691" w:rsidP="009B369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B3691">
        <w:rPr>
          <w:rFonts w:ascii="Garamond" w:hAnsi="Garamond" w:cs="Times New Roman"/>
          <w:b/>
          <w:bCs/>
          <w:color w:val="000000"/>
          <w:sz w:val="24"/>
          <w:szCs w:val="24"/>
        </w:rPr>
        <w:t>Vlerësimi i Gjykatës Kushtetuese</w:t>
      </w:r>
    </w:p>
    <w:p w14:paraId="24806117" w14:textId="77777777" w:rsidR="009B3691" w:rsidRPr="009B3691" w:rsidRDefault="009B3691" w:rsidP="009B3691">
      <w:pPr>
        <w:tabs>
          <w:tab w:val="left" w:pos="1080"/>
        </w:tabs>
        <w:autoSpaceDE w:val="0"/>
        <w:autoSpaceDN w:val="0"/>
        <w:adjustRightInd w:val="0"/>
        <w:spacing w:after="0" w:line="240" w:lineRule="auto"/>
        <w:ind w:firstLine="284"/>
        <w:rPr>
          <w:rFonts w:ascii="Garamond" w:hAnsi="Garamond" w:cs="Times New Roman"/>
          <w:i/>
          <w:iCs/>
          <w:color w:val="000000"/>
          <w:sz w:val="24"/>
          <w:szCs w:val="24"/>
        </w:rPr>
      </w:pPr>
      <w:r w:rsidRPr="009B3691">
        <w:rPr>
          <w:rFonts w:ascii="Garamond" w:hAnsi="Garamond" w:cs="Times New Roman"/>
          <w:i/>
          <w:iCs/>
          <w:color w:val="000000"/>
          <w:sz w:val="24"/>
          <w:szCs w:val="24"/>
        </w:rPr>
        <w:t>A. Për kërkesën për të thirrur si subjekt të interesuar Avokatin e Popullit</w:t>
      </w:r>
    </w:p>
    <w:p w14:paraId="24806118" w14:textId="33C464DC"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14. Kërkuesi në parashtr</w:t>
      </w:r>
      <w:r w:rsidR="0083794C">
        <w:rPr>
          <w:rFonts w:ascii="Garamond" w:hAnsi="Garamond" w:cs="Times New Roman"/>
          <w:color w:val="000000"/>
          <w:sz w:val="24"/>
          <w:szCs w:val="24"/>
        </w:rPr>
        <w:t>imet e depozituara në datën 22.</w:t>
      </w:r>
      <w:r w:rsidRPr="009B3691">
        <w:rPr>
          <w:rFonts w:ascii="Garamond" w:hAnsi="Garamond" w:cs="Times New Roman"/>
          <w:color w:val="000000"/>
          <w:sz w:val="24"/>
          <w:szCs w:val="24"/>
        </w:rPr>
        <w:t>4.2022, si dhe në seancën plenare publike ka kërkuar thirrjen e Avokatit të Popullit si subjekt të interesuar, në ndihmë të gjykimit kushtetues, pasi është institucioni që ka kryer të gjitha procedurat dhe ka administruar dokumentacionin që është bërë shkak për procedimin penal ndaj kërkuesit.</w:t>
      </w:r>
    </w:p>
    <w:p w14:paraId="24806119" w14:textId="309BC8AC"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9B3691">
        <w:rPr>
          <w:rFonts w:ascii="Garamond" w:hAnsi="Garamond" w:cs="Times New Roman"/>
          <w:color w:val="000000"/>
          <w:sz w:val="24"/>
          <w:szCs w:val="24"/>
        </w:rPr>
        <w:t xml:space="preserve">15. Gjykata vëren se në nenin 39, shkronjat “b”, “c” dhe “ç”, të ligjit nr. 8577/2000 janë përcaktuar subjektet që marrin pjesë në gjykimin kushtetues. Në lidhje me subjektet e interesuara që thirren në çështje me interes publik, Gjykata është shprehur se në vlerësimin e legjitimimit të subjektit të interesuar bazohet jo vetëm në interes të subjektit, por dhe të gjykimit kushtetues. Në këtë vështrim, në gjykimet kushtetuese legjitimohen si subjekte të interesuara ato subjekte që, për shkak të veprimtarisë ose rrethanave, mund të kontribuojnë në shqyrtimin e çështjes që po gjykohet, pavarësisht nëse thirren në gjykim me kërkesën e kërkuesit apo dhe kryesisht nga Gjykata </w:t>
      </w:r>
      <w:r w:rsidR="0083794C">
        <w:rPr>
          <w:rFonts w:ascii="Garamond" w:hAnsi="Garamond" w:cs="Times New Roman"/>
          <w:i/>
          <w:iCs/>
          <w:color w:val="000000"/>
          <w:sz w:val="24"/>
          <w:szCs w:val="24"/>
        </w:rPr>
        <w:t>(shih vendimet nr. 18, datë 7.7.2022; nr. 9, datë 1.3.2021; nr. 9, datë 23.</w:t>
      </w:r>
      <w:r w:rsidRPr="009B3691">
        <w:rPr>
          <w:rFonts w:ascii="Garamond" w:hAnsi="Garamond" w:cs="Times New Roman"/>
          <w:i/>
          <w:iCs/>
          <w:color w:val="000000"/>
          <w:sz w:val="24"/>
          <w:szCs w:val="24"/>
        </w:rPr>
        <w:t>3.2010; nr. 29, datë 21.10.2009</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p>
    <w:p w14:paraId="2480611A"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9B3691">
        <w:rPr>
          <w:rFonts w:ascii="Garamond" w:hAnsi="Garamond" w:cs="Times New Roman"/>
          <w:color w:val="000000"/>
          <w:sz w:val="24"/>
          <w:szCs w:val="24"/>
        </w:rPr>
        <w:t>16. Për sa më lart, Gjykata mori në shqyrtim kërkesën për të thirrur Avokatin e Popullit, si subjekt të interesuar, dhe vlerësoi se nuk ekziston nevoja e pjesëmarrjes të tij në interes të këtij gjykimi kushtetues</w:t>
      </w:r>
      <w:r w:rsidRPr="009B3691">
        <w:rPr>
          <w:rFonts w:ascii="Garamond" w:hAnsi="Garamond" w:cs="Calibri"/>
          <w:color w:val="000000"/>
          <w:sz w:val="24"/>
          <w:szCs w:val="24"/>
        </w:rPr>
        <w:t>.</w:t>
      </w:r>
    </w:p>
    <w:p w14:paraId="2480611B" w14:textId="77777777" w:rsidR="009B3691" w:rsidRPr="009B3691" w:rsidRDefault="009B3691" w:rsidP="009B3691">
      <w:pPr>
        <w:tabs>
          <w:tab w:val="left" w:pos="1080"/>
        </w:tabs>
        <w:autoSpaceDE w:val="0"/>
        <w:autoSpaceDN w:val="0"/>
        <w:adjustRightInd w:val="0"/>
        <w:spacing w:after="0" w:line="240" w:lineRule="auto"/>
        <w:ind w:firstLine="284"/>
        <w:rPr>
          <w:rFonts w:ascii="Garamond" w:hAnsi="Garamond" w:cs="Times New Roman"/>
          <w:i/>
          <w:iCs/>
          <w:color w:val="000000"/>
          <w:sz w:val="24"/>
          <w:szCs w:val="24"/>
        </w:rPr>
      </w:pPr>
      <w:r w:rsidRPr="009B3691">
        <w:rPr>
          <w:rFonts w:ascii="Garamond" w:hAnsi="Garamond" w:cs="Times New Roman"/>
          <w:i/>
          <w:iCs/>
          <w:color w:val="000000"/>
          <w:sz w:val="24"/>
          <w:szCs w:val="24"/>
        </w:rPr>
        <w:t>B. Për legjitimimin e kërkuesit</w:t>
      </w:r>
    </w:p>
    <w:p w14:paraId="2480611C"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17. Çështja e legjitimimit (</w:t>
      </w:r>
      <w:proofErr w:type="spellStart"/>
      <w:r w:rsidRPr="009B3691">
        <w:rPr>
          <w:rFonts w:ascii="Garamond" w:hAnsi="Garamond" w:cs="Times New Roman"/>
          <w:i/>
          <w:iCs/>
          <w:color w:val="000000"/>
          <w:sz w:val="24"/>
          <w:szCs w:val="24"/>
        </w:rPr>
        <w:t>locus</w:t>
      </w:r>
      <w:proofErr w:type="spellEnd"/>
      <w:r w:rsidRPr="009B3691">
        <w:rPr>
          <w:rFonts w:ascii="Garamond" w:hAnsi="Garamond" w:cs="Times New Roman"/>
          <w:i/>
          <w:iCs/>
          <w:color w:val="000000"/>
          <w:sz w:val="24"/>
          <w:szCs w:val="24"/>
        </w:rPr>
        <w:t xml:space="preserve"> </w:t>
      </w:r>
      <w:proofErr w:type="spellStart"/>
      <w:r w:rsidRPr="009B3691">
        <w:rPr>
          <w:rFonts w:ascii="Garamond" w:hAnsi="Garamond" w:cs="Times New Roman"/>
          <w:i/>
          <w:iCs/>
          <w:color w:val="000000"/>
          <w:sz w:val="24"/>
          <w:szCs w:val="24"/>
        </w:rPr>
        <w:t>standi</w:t>
      </w:r>
      <w:proofErr w:type="spellEnd"/>
      <w:r w:rsidRPr="009B3691">
        <w:rPr>
          <w:rFonts w:ascii="Garamond" w:hAnsi="Garamond" w:cs="Times New Roman"/>
          <w:color w:val="000000"/>
          <w:sz w:val="24"/>
          <w:szCs w:val="24"/>
        </w:rPr>
        <w:t xml:space="preserve">) është një ndër aspektet kryesore që lidhet me inicimin e një procesi kushtetues. Individi, në kuptim të neneve 131, pika 1, shkronja “f”, 134, pika 1, shkronja “i” dhe 134, pika 2, të Kushtetutës, si dhe nenit 71 të ligjit nr. 8577/2000, mund të vërë në lëvizje Gjykatën Kushtetuese për gjykimin përfundimtar të ankesave kundër çdo akti të pushtetit publik ose vendimi gjyqësor që cenon të drejtat dhe liritë themelore të garantuara në Kushtetutë. </w:t>
      </w:r>
    </w:p>
    <w:p w14:paraId="2480611D"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18.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2480611E"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19. Kriteret për pranueshmërinë e ankimit kushtetues individual janë të natyrës </w:t>
      </w:r>
      <w:proofErr w:type="spellStart"/>
      <w:r w:rsidRPr="009B3691">
        <w:rPr>
          <w:rFonts w:ascii="Garamond" w:hAnsi="Garamond" w:cs="Times New Roman"/>
          <w:color w:val="000000"/>
          <w:sz w:val="24"/>
          <w:szCs w:val="24"/>
        </w:rPr>
        <w:t>kumulative</w:t>
      </w:r>
      <w:proofErr w:type="spellEnd"/>
      <w:r w:rsidRPr="009B3691">
        <w:rPr>
          <w:rFonts w:ascii="Garamond" w:hAnsi="Garamond" w:cs="Times New Roman"/>
          <w:color w:val="000000"/>
          <w:sz w:val="24"/>
          <w:szCs w:val="24"/>
        </w:rPr>
        <w:t>, pra duhet të plotësohen njëkohësisht. Në këtë vështrim, mjafton mosplotësimi i njërit prej tyre që kërkuesi të mos legjitimohet për vënien në lëvizje të gjykimit kushtetues.</w:t>
      </w:r>
    </w:p>
    <w:p w14:paraId="2480611F"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20. </w:t>
      </w:r>
      <w:r w:rsidRPr="009B3691">
        <w:rPr>
          <w:rFonts w:ascii="Garamond" w:hAnsi="Garamond" w:cs="Times New Roman"/>
          <w:sz w:val="24"/>
          <w:szCs w:val="24"/>
        </w:rPr>
        <w:t>Gjykata vlerëson se kërkuesi</w:t>
      </w:r>
      <w:r w:rsidRPr="009B3691">
        <w:rPr>
          <w:rFonts w:ascii="Garamond" w:hAnsi="Garamond" w:cs="Times New Roman"/>
          <w:color w:val="000000"/>
          <w:sz w:val="24"/>
          <w:szCs w:val="24"/>
        </w:rPr>
        <w:t xml:space="preserve">, si individ, legjitimohet </w:t>
      </w:r>
      <w:proofErr w:type="spellStart"/>
      <w:r w:rsidRPr="009B3691">
        <w:rPr>
          <w:rFonts w:ascii="Garamond" w:hAnsi="Garamond" w:cs="Times New Roman"/>
          <w:i/>
          <w:iCs/>
          <w:color w:val="000000"/>
          <w:sz w:val="24"/>
          <w:szCs w:val="24"/>
        </w:rPr>
        <w:t>ratione</w:t>
      </w:r>
      <w:proofErr w:type="spellEnd"/>
      <w:r w:rsidRPr="009B3691">
        <w:rPr>
          <w:rFonts w:ascii="Garamond" w:hAnsi="Garamond" w:cs="Times New Roman"/>
          <w:i/>
          <w:iCs/>
          <w:color w:val="000000"/>
          <w:sz w:val="24"/>
          <w:szCs w:val="24"/>
        </w:rPr>
        <w:t xml:space="preserve"> </w:t>
      </w:r>
      <w:proofErr w:type="spellStart"/>
      <w:r w:rsidRPr="009B3691">
        <w:rPr>
          <w:rFonts w:ascii="Garamond" w:hAnsi="Garamond" w:cs="Times New Roman"/>
          <w:i/>
          <w:iCs/>
          <w:color w:val="000000"/>
          <w:sz w:val="24"/>
          <w:szCs w:val="24"/>
        </w:rPr>
        <w:t>personae</w:t>
      </w:r>
      <w:proofErr w:type="spellEnd"/>
      <w:r w:rsidRPr="009B3691">
        <w:rPr>
          <w:rFonts w:ascii="Garamond" w:hAnsi="Garamond" w:cs="Times New Roman"/>
          <w:color w:val="000000"/>
          <w:sz w:val="24"/>
          <w:szCs w:val="24"/>
        </w:rPr>
        <w:t>, në kuptim të neneve 131, pika 1, shkronja “f” dhe 134, pika 1, shkronja “i”, të Kushtetutës, pasi është palë në procesin gjyqësor penal, për të cilin ka ngritur pretendime në këtë Gjykatë dhe ka interes të drejtpërdrejtë në çështjen e parashtruar.</w:t>
      </w:r>
    </w:p>
    <w:p w14:paraId="24806120"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21. Në lidhje me kriterin e </w:t>
      </w:r>
      <w:r w:rsidRPr="009B3691">
        <w:rPr>
          <w:rFonts w:ascii="Garamond" w:hAnsi="Garamond" w:cs="Times New Roman"/>
          <w:i/>
          <w:iCs/>
          <w:color w:val="000000"/>
          <w:sz w:val="24"/>
          <w:szCs w:val="24"/>
        </w:rPr>
        <w:t>shterimit të mjeteve juridike efektive</w:t>
      </w:r>
      <w:r w:rsidRPr="009B3691">
        <w:rPr>
          <w:rFonts w:ascii="Garamond" w:hAnsi="Garamond" w:cs="Times New Roman"/>
          <w:color w:val="000000"/>
          <w:sz w:val="24"/>
          <w:szCs w:val="24"/>
        </w:rPr>
        <w:t>, në rastin konkret kërkuesi i është drejtuar Gjykatës me ankim kushtetues individual për shfuqizimin e vendimeve sipas objektit, pas përfundimit të procesit gjyqësor në të tria shkallët e gjyqësorit, duke paraqitur përpara tyre, në substancë, pretendimet e parashtruara në ankimin kushtetues. Për rrjedhojë, kërkuesi i ka shteruar mjetet juridike efektive në dispozicion.</w:t>
      </w:r>
    </w:p>
    <w:p w14:paraId="24806121" w14:textId="636E2C4C"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22. Për sa i përket legjitimimit </w:t>
      </w:r>
      <w:proofErr w:type="spellStart"/>
      <w:r w:rsidRPr="009B3691">
        <w:rPr>
          <w:rFonts w:ascii="Garamond" w:hAnsi="Garamond" w:cs="Times New Roman"/>
          <w:i/>
          <w:iCs/>
          <w:color w:val="000000"/>
          <w:sz w:val="24"/>
          <w:szCs w:val="24"/>
        </w:rPr>
        <w:t>ratione</w:t>
      </w:r>
      <w:proofErr w:type="spellEnd"/>
      <w:r w:rsidRPr="009B3691">
        <w:rPr>
          <w:rFonts w:ascii="Garamond" w:hAnsi="Garamond" w:cs="Times New Roman"/>
          <w:i/>
          <w:iCs/>
          <w:color w:val="000000"/>
          <w:sz w:val="24"/>
          <w:szCs w:val="24"/>
        </w:rPr>
        <w:t xml:space="preserve"> </w:t>
      </w:r>
      <w:proofErr w:type="spellStart"/>
      <w:r w:rsidRPr="009B3691">
        <w:rPr>
          <w:rFonts w:ascii="Garamond" w:hAnsi="Garamond" w:cs="Times New Roman"/>
          <w:i/>
          <w:iCs/>
          <w:color w:val="000000"/>
          <w:sz w:val="24"/>
          <w:szCs w:val="24"/>
        </w:rPr>
        <w:t>temporis</w:t>
      </w:r>
      <w:proofErr w:type="spellEnd"/>
      <w:r w:rsidRPr="009B3691">
        <w:rPr>
          <w:rFonts w:ascii="Garamond" w:hAnsi="Garamond" w:cs="Times New Roman"/>
          <w:color w:val="000000"/>
          <w:sz w:val="24"/>
          <w:szCs w:val="24"/>
        </w:rPr>
        <w:t>, Gjykata vëren se shkronja “b” e pikës 1 të nenit 71/a</w:t>
      </w:r>
      <w:r w:rsidR="0083794C">
        <w:rPr>
          <w:rFonts w:ascii="Garamond" w:hAnsi="Garamond" w:cs="Times New Roman"/>
          <w:color w:val="000000"/>
          <w:sz w:val="24"/>
          <w:szCs w:val="24"/>
        </w:rPr>
        <w:t>,</w:t>
      </w:r>
      <w:r w:rsidRPr="009B3691">
        <w:rPr>
          <w:rFonts w:ascii="Garamond" w:hAnsi="Garamond" w:cs="Times New Roman"/>
          <w:color w:val="000000"/>
          <w:sz w:val="24"/>
          <w:szCs w:val="24"/>
        </w:rPr>
        <w:t xml:space="preserve"> të ligjit nr. 8577/2000 parashikon se afati për paraqitjen e ankimit kushtetues individual është 4 muaj nga konstatimi i cenimit të së drejtës. Nga aktet bashkëlidhur kërkesës rezulton se procesi gjyqësor i kundërshtuar nga kërkuesi ka përfunduar me vendimin nr. 00-2021-670 (63), datë 26.10.2021</w:t>
      </w:r>
      <w:r w:rsidR="00CE66E6">
        <w:rPr>
          <w:rFonts w:ascii="Garamond" w:hAnsi="Garamond" w:cs="Times New Roman"/>
          <w:color w:val="000000"/>
          <w:sz w:val="24"/>
          <w:szCs w:val="24"/>
        </w:rPr>
        <w:t>,</w:t>
      </w:r>
      <w:r w:rsidRPr="009B3691">
        <w:rPr>
          <w:rFonts w:ascii="Garamond" w:hAnsi="Garamond" w:cs="Times New Roman"/>
          <w:color w:val="000000"/>
          <w:sz w:val="24"/>
          <w:szCs w:val="24"/>
        </w:rPr>
        <w:t xml:space="preserve"> të Kolegjit Penal të Gjykatës së Lartë, kurse ankimi kushtetues individual është dep</w:t>
      </w:r>
      <w:r w:rsidR="0083794C">
        <w:rPr>
          <w:rFonts w:ascii="Garamond" w:hAnsi="Garamond" w:cs="Times New Roman"/>
          <w:color w:val="000000"/>
          <w:sz w:val="24"/>
          <w:szCs w:val="24"/>
        </w:rPr>
        <w:t>ozituar në Gjykatë në datën 17.</w:t>
      </w:r>
      <w:r w:rsidRPr="009B3691">
        <w:rPr>
          <w:rFonts w:ascii="Garamond" w:hAnsi="Garamond" w:cs="Times New Roman"/>
          <w:color w:val="000000"/>
          <w:sz w:val="24"/>
          <w:szCs w:val="24"/>
        </w:rPr>
        <w:t>1.2022, pra brenda afatit 4-mujor të parashikuar nga ligji.</w:t>
      </w:r>
    </w:p>
    <w:p w14:paraId="24806122"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23. Për legjitimimin </w:t>
      </w:r>
      <w:proofErr w:type="spellStart"/>
      <w:r w:rsidRPr="009B3691">
        <w:rPr>
          <w:rFonts w:ascii="Garamond" w:hAnsi="Garamond" w:cs="Times New Roman"/>
          <w:i/>
          <w:iCs/>
          <w:color w:val="000000"/>
          <w:sz w:val="24"/>
          <w:szCs w:val="24"/>
        </w:rPr>
        <w:t>ratione</w:t>
      </w:r>
      <w:proofErr w:type="spellEnd"/>
      <w:r w:rsidRPr="009B3691">
        <w:rPr>
          <w:rFonts w:ascii="Garamond" w:hAnsi="Garamond" w:cs="Times New Roman"/>
          <w:i/>
          <w:iCs/>
          <w:color w:val="000000"/>
          <w:sz w:val="24"/>
          <w:szCs w:val="24"/>
        </w:rPr>
        <w:t xml:space="preserve"> </w:t>
      </w:r>
      <w:proofErr w:type="spellStart"/>
      <w:r w:rsidRPr="009B3691">
        <w:rPr>
          <w:rFonts w:ascii="Garamond" w:hAnsi="Garamond" w:cs="Times New Roman"/>
          <w:i/>
          <w:iCs/>
          <w:color w:val="000000"/>
          <w:sz w:val="24"/>
          <w:szCs w:val="24"/>
        </w:rPr>
        <w:t>materiae</w:t>
      </w:r>
      <w:proofErr w:type="spellEnd"/>
      <w:r w:rsidRPr="009B3691">
        <w:rPr>
          <w:rFonts w:ascii="Garamond" w:hAnsi="Garamond" w:cs="Times New Roman"/>
          <w:color w:val="000000"/>
          <w:sz w:val="24"/>
          <w:szCs w:val="24"/>
        </w:rPr>
        <w:t xml:space="preserve"> kërkuesi ka parashtruar se gjatë gjykimit është cenuar e drejta për proces të rregullt ligjor, për rrjedhojë Gjykata vlerëson se pretendimet janë në juridiksionin e saj dhe në vijim do të shqyrtojë </w:t>
      </w:r>
      <w:proofErr w:type="spellStart"/>
      <w:r w:rsidRPr="009B3691">
        <w:rPr>
          <w:rFonts w:ascii="Garamond" w:hAnsi="Garamond" w:cs="Times New Roman"/>
          <w:color w:val="000000"/>
          <w:sz w:val="24"/>
          <w:szCs w:val="24"/>
        </w:rPr>
        <w:t>bazueshmërinë</w:t>
      </w:r>
      <w:proofErr w:type="spellEnd"/>
      <w:r w:rsidRPr="009B3691">
        <w:rPr>
          <w:rFonts w:ascii="Garamond" w:hAnsi="Garamond" w:cs="Times New Roman"/>
          <w:color w:val="000000"/>
          <w:sz w:val="24"/>
          <w:szCs w:val="24"/>
        </w:rPr>
        <w:t xml:space="preserve"> e tyre.</w:t>
      </w:r>
    </w:p>
    <w:p w14:paraId="24806123"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4806124"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B3691">
        <w:rPr>
          <w:rFonts w:ascii="Garamond" w:hAnsi="Garamond" w:cs="Times New Roman"/>
          <w:i/>
          <w:iCs/>
          <w:color w:val="000000"/>
          <w:sz w:val="24"/>
          <w:szCs w:val="24"/>
        </w:rPr>
        <w:t>C. Për themelin e pretendimeve</w:t>
      </w:r>
    </w:p>
    <w:p w14:paraId="24806125"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9B3691">
        <w:rPr>
          <w:rFonts w:ascii="Garamond" w:hAnsi="Garamond" w:cs="Times New Roman"/>
          <w:i/>
          <w:iCs/>
          <w:color w:val="000000"/>
          <w:sz w:val="24"/>
          <w:szCs w:val="24"/>
        </w:rPr>
        <w:t>C.1</w:t>
      </w:r>
      <w:proofErr w:type="spellEnd"/>
      <w:r w:rsidRPr="009B3691">
        <w:rPr>
          <w:rFonts w:ascii="Garamond" w:hAnsi="Garamond" w:cs="Times New Roman"/>
          <w:i/>
          <w:iCs/>
          <w:color w:val="000000"/>
          <w:sz w:val="24"/>
          <w:szCs w:val="24"/>
        </w:rPr>
        <w:t xml:space="preserve">. Për pretendimin e cenimit të parimit të paanshmërisë </w:t>
      </w:r>
    </w:p>
    <w:p w14:paraId="24806126"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24. Kërkuesi ka parashtruar se gjatë gjykimit në Gjykatën e Lartë është cenuar parimi i paanshmërisë</w:t>
      </w:r>
      <w:r w:rsidRPr="009B3691">
        <w:rPr>
          <w:rFonts w:ascii="Garamond" w:hAnsi="Garamond" w:cs="Times New Roman"/>
          <w:i/>
          <w:iCs/>
          <w:color w:val="000000"/>
          <w:sz w:val="24"/>
          <w:szCs w:val="24"/>
        </w:rPr>
        <w:t>,</w:t>
      </w:r>
      <w:r w:rsidRPr="009B3691">
        <w:rPr>
          <w:rFonts w:ascii="Garamond" w:hAnsi="Garamond" w:cs="Times New Roman"/>
          <w:color w:val="000000"/>
          <w:sz w:val="24"/>
          <w:szCs w:val="24"/>
        </w:rPr>
        <w:t xml:space="preserve"> pasi çështja objekt shqyrtimi është gjykuar nga i njëjti gjyqtar sikurse edhe çështja me objekt kundërshtimin e vendimit të Gjykatës së Posaçme të Apelit për caktimin e masës ndaluese. I njëjti trup gjykues i Gjykatës së Lartë për çështjen me objekt caktimin e masës ndaluese ka vendosur kalimin për shqyrtim në seancë gjyqësore, ndërsa për çështjen e themelit ka vendosur shqyrtimin në dhomën e këshillimit. Ky qëndrim nuk është në përputhje me të drejtën për një proces të rregullt ligjor, pasi janë përdorur standarde të ndryshme për pranimin e rekursit.</w:t>
      </w:r>
    </w:p>
    <w:p w14:paraId="24806127"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25. Subjekti i interesuar, Prokuroria e Posaçme, nuk ka parashtruar prapësime në lidhje me këtë pretendim.</w:t>
      </w:r>
    </w:p>
    <w:p w14:paraId="24806128" w14:textId="14A65A32"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26. Gjykata ka theksuar se gjykimi nga një gjykatë e paanshme është një nga elementet e rëndësishme të procesit të rregullt ligjor, i garantuar nga neni 42 i Kushtetutës dhe neni 6 i </w:t>
      </w:r>
      <w:proofErr w:type="spellStart"/>
      <w:r w:rsidRPr="009B3691">
        <w:rPr>
          <w:rFonts w:ascii="Garamond" w:hAnsi="Garamond" w:cs="Times New Roman"/>
          <w:color w:val="000000"/>
          <w:sz w:val="24"/>
          <w:szCs w:val="24"/>
        </w:rPr>
        <w:t>KEDNJ</w:t>
      </w:r>
      <w:proofErr w:type="spellEnd"/>
      <w:r w:rsidRPr="009B3691">
        <w:rPr>
          <w:rFonts w:ascii="Garamond" w:hAnsi="Garamond" w:cs="Times New Roman"/>
          <w:color w:val="000000"/>
          <w:sz w:val="24"/>
          <w:szCs w:val="24"/>
        </w:rPr>
        <w:t xml:space="preserve">-së.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0083794C">
        <w:rPr>
          <w:rFonts w:ascii="Garamond" w:hAnsi="Garamond" w:cs="Times New Roman"/>
          <w:i/>
          <w:iCs/>
          <w:color w:val="000000"/>
          <w:sz w:val="24"/>
          <w:szCs w:val="24"/>
        </w:rPr>
        <w:t>(shih vendimet nr. 10, datë 12.4.2022; nr. 49, datë 10.</w:t>
      </w:r>
      <w:r w:rsidRPr="009B3691">
        <w:rPr>
          <w:rFonts w:ascii="Garamond" w:hAnsi="Garamond" w:cs="Times New Roman"/>
          <w:i/>
          <w:iCs/>
          <w:color w:val="000000"/>
          <w:sz w:val="24"/>
          <w:szCs w:val="24"/>
        </w:rPr>
        <w:t>7.2015</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xml:space="preserve">. </w:t>
      </w:r>
    </w:p>
    <w:p w14:paraId="24806129" w14:textId="4CDEE9EF"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27. Në jurisprudencën e saj Gjykata ka theksuar se parimi i paanshmërisë ka në vetvete elementin e vet</w:t>
      </w:r>
      <w:r w:rsidRPr="009B3691">
        <w:rPr>
          <w:rFonts w:ascii="Garamond" w:hAnsi="Garamond" w:cs="Times New Roman"/>
          <w:i/>
          <w:iCs/>
          <w:color w:val="000000"/>
          <w:sz w:val="24"/>
          <w:szCs w:val="24"/>
        </w:rPr>
        <w:t xml:space="preserve"> subjektiv</w:t>
      </w:r>
      <w:r w:rsidRPr="009B3691">
        <w:rPr>
          <w:rFonts w:ascii="Garamond" w:hAnsi="Garamond" w:cs="Times New Roman"/>
          <w:color w:val="000000"/>
          <w:sz w:val="24"/>
          <w:szCs w:val="24"/>
        </w:rPr>
        <w:t>, i cili lidhet ngushtë me bindjen e brendshme që krijon gjyqtari për zgjidhjen e çështjes në gjykim, si dhe elementin</w:t>
      </w:r>
      <w:r w:rsidRPr="009B3691">
        <w:rPr>
          <w:rFonts w:ascii="Garamond" w:hAnsi="Garamond" w:cs="Times New Roman"/>
          <w:i/>
          <w:iCs/>
          <w:color w:val="000000"/>
          <w:sz w:val="24"/>
          <w:szCs w:val="24"/>
        </w:rPr>
        <w:t xml:space="preserve"> objektiv,</w:t>
      </w:r>
      <w:r w:rsidRPr="009B3691">
        <w:rPr>
          <w:rFonts w:ascii="Garamond" w:hAnsi="Garamond" w:cs="Times New Roman"/>
          <w:color w:val="000000"/>
          <w:sz w:val="24"/>
          <w:szCs w:val="24"/>
        </w:rPr>
        <w:t xml:space="preserve">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Në shtetin e së drejtës kërkesa për një gjykim të paanshëm merr rëndësi të veçantë në funksion të besimit në dhënien e drejtësisë, që në shoqëritë demokratike duhet ta krijojnë në çdo rast jo vetëm palët në gjykim, por dhe çdo qytetar i thjeshtë</w:t>
      </w:r>
      <w:r w:rsidRPr="009B3691">
        <w:rPr>
          <w:rFonts w:ascii="Garamond" w:hAnsi="Garamond" w:cs="Times New Roman"/>
          <w:i/>
          <w:iCs/>
          <w:color w:val="000000"/>
          <w:sz w:val="24"/>
          <w:szCs w:val="24"/>
        </w:rPr>
        <w:t xml:space="preserve"> </w:t>
      </w:r>
      <w:r w:rsidR="0083794C">
        <w:rPr>
          <w:rFonts w:ascii="Garamond" w:hAnsi="Garamond" w:cs="Times New Roman"/>
          <w:i/>
          <w:iCs/>
          <w:color w:val="000000"/>
          <w:sz w:val="24"/>
          <w:szCs w:val="24"/>
        </w:rPr>
        <w:t>(shih vendimet nr. 15, datë 11.</w:t>
      </w:r>
      <w:r w:rsidRPr="009B3691">
        <w:rPr>
          <w:rFonts w:ascii="Garamond" w:hAnsi="Garamond" w:cs="Times New Roman"/>
          <w:i/>
          <w:iCs/>
          <w:color w:val="000000"/>
          <w:sz w:val="24"/>
          <w:szCs w:val="24"/>
        </w:rPr>
        <w:t>3.2021; nr. 6, dat</w:t>
      </w:r>
      <w:r w:rsidR="0083794C">
        <w:rPr>
          <w:rFonts w:ascii="Garamond" w:hAnsi="Garamond" w:cs="Times New Roman"/>
          <w:i/>
          <w:iCs/>
          <w:color w:val="000000"/>
          <w:sz w:val="24"/>
          <w:szCs w:val="24"/>
        </w:rPr>
        <w:t>ë 29.</w:t>
      </w:r>
      <w:r w:rsidRPr="009B3691">
        <w:rPr>
          <w:rFonts w:ascii="Garamond" w:hAnsi="Garamond" w:cs="Times New Roman"/>
          <w:i/>
          <w:iCs/>
          <w:color w:val="000000"/>
          <w:sz w:val="24"/>
          <w:szCs w:val="24"/>
        </w:rPr>
        <w:t>3.2018</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w:t>
      </w:r>
    </w:p>
    <w:p w14:paraId="2480612A" w14:textId="4FBB16CD"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28. Jurisprudenca e Gjykatës ka evidentuar se parimi i paanshmërisë në gjykim, në këndvështrim të përbërjes së trupit gjykues, duhet të respektohet në çdo shkallë të gjykimit, duke mos përjashtuar as shqyrtimin e çështjes në dhomën e këshillimit të Gjykatës së Lartë. Për</w:t>
      </w:r>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 xml:space="preserve">Gjykatën është konsideruar gjykatë e njëanshme trupi gjykues në përbërje të </w:t>
      </w:r>
      <w:proofErr w:type="spellStart"/>
      <w:r w:rsidRPr="009B3691">
        <w:rPr>
          <w:rFonts w:ascii="Garamond" w:hAnsi="Garamond" w:cs="Times New Roman"/>
          <w:color w:val="000000"/>
          <w:sz w:val="24"/>
          <w:szCs w:val="24"/>
        </w:rPr>
        <w:t>të</w:t>
      </w:r>
      <w:proofErr w:type="spellEnd"/>
      <w:r w:rsidRPr="009B3691">
        <w:rPr>
          <w:rFonts w:ascii="Garamond" w:hAnsi="Garamond" w:cs="Times New Roman"/>
          <w:color w:val="000000"/>
          <w:sz w:val="24"/>
          <w:szCs w:val="24"/>
        </w:rPr>
        <w:t xml:space="preserve"> cilit ka qenë i pranishëm qoftë edhe vetëm një gjyqtar, i cili në këndvështrimin objektiv nuk jepte garanci për një gjykim të paanshëm. Gjykata ka theksuar</w:t>
      </w:r>
      <w:r w:rsidR="00045004">
        <w:rPr>
          <w:rFonts w:ascii="Garamond" w:hAnsi="Garamond" w:cs="Times New Roman"/>
          <w:color w:val="000000"/>
          <w:sz w:val="24"/>
          <w:szCs w:val="24"/>
        </w:rPr>
        <w:t>,</w:t>
      </w:r>
      <w:r w:rsidRPr="009B3691">
        <w:rPr>
          <w:rFonts w:ascii="Garamond" w:hAnsi="Garamond" w:cs="Times New Roman"/>
          <w:color w:val="000000"/>
          <w:sz w:val="24"/>
          <w:szCs w:val="24"/>
        </w:rPr>
        <w:t xml:space="preserve"> se</w:t>
      </w:r>
      <w:r w:rsidR="00045004">
        <w:rPr>
          <w:rFonts w:ascii="Garamond" w:hAnsi="Garamond" w:cs="Times New Roman"/>
          <w:color w:val="000000"/>
          <w:sz w:val="24"/>
          <w:szCs w:val="24"/>
        </w:rPr>
        <w:t>:</w:t>
      </w:r>
      <w:r w:rsidRPr="009B3691">
        <w:rPr>
          <w:rFonts w:ascii="Garamond" w:hAnsi="Garamond" w:cs="Times New Roman"/>
          <w:color w:val="000000"/>
          <w:sz w:val="24"/>
          <w:szCs w:val="24"/>
        </w:rPr>
        <w:t xml:space="preserve"> “thjesht dhe vetëm pjesëmarrja e një ose më shumë gjyqtarëve në një procedim të mëparshëm,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 (</w:t>
      </w:r>
      <w:r w:rsidR="0083794C">
        <w:rPr>
          <w:rFonts w:ascii="Garamond" w:hAnsi="Garamond" w:cs="Times New Roman"/>
          <w:i/>
          <w:iCs/>
          <w:color w:val="000000"/>
          <w:sz w:val="24"/>
          <w:szCs w:val="24"/>
        </w:rPr>
        <w:t>shih vendimin nr. 21, datë 29.</w:t>
      </w:r>
      <w:r w:rsidRPr="009B3691">
        <w:rPr>
          <w:rFonts w:ascii="Garamond" w:hAnsi="Garamond" w:cs="Times New Roman"/>
          <w:i/>
          <w:iCs/>
          <w:color w:val="000000"/>
          <w:sz w:val="24"/>
          <w:szCs w:val="24"/>
        </w:rPr>
        <w:t>4.2010</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w:t>
      </w:r>
    </w:p>
    <w:p w14:paraId="2480612B" w14:textId="795C1B74"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29. Ligji procedural penal përcakton rregulla të tilla që bëjnë dallim thelbësor mes fazës së hetimit paraprak dhe fazës së gjykimit. Në fazën e gjykimit, gjykata duhet të marrë vendime pa qenë e ndikuar nga vendimmarrja e mëparshme, qoftë edhe kur ato bazohen në dyshime të arsyeshme. Gjykata ka çmuar se paragjykimi eventual për paanësinë e gjyqtarit mund të ngrihet në hipotezën kur gjyqtari është shprehur në një procedim tjetër me një vlerësim që ka të bëjë me përmbajtjen e të njëjtit fakt, në lidhje me të njëjtin subjekt </w:t>
      </w:r>
      <w:r w:rsidRPr="009B3691">
        <w:rPr>
          <w:rFonts w:ascii="Garamond" w:hAnsi="Garamond" w:cs="Times New Roman"/>
          <w:i/>
          <w:iCs/>
          <w:color w:val="000000"/>
          <w:sz w:val="24"/>
          <w:szCs w:val="24"/>
        </w:rPr>
        <w:t>(shih vendimet nr. 10, da</w:t>
      </w:r>
      <w:r w:rsidR="0083794C">
        <w:rPr>
          <w:rFonts w:ascii="Garamond" w:hAnsi="Garamond" w:cs="Times New Roman"/>
          <w:i/>
          <w:iCs/>
          <w:color w:val="000000"/>
          <w:sz w:val="24"/>
          <w:szCs w:val="24"/>
        </w:rPr>
        <w:t>të 12.</w:t>
      </w:r>
      <w:r w:rsidR="00483317">
        <w:rPr>
          <w:rFonts w:ascii="Garamond" w:hAnsi="Garamond" w:cs="Times New Roman"/>
          <w:i/>
          <w:iCs/>
          <w:color w:val="000000"/>
          <w:sz w:val="24"/>
          <w:szCs w:val="24"/>
        </w:rPr>
        <w:t>4.2022; nr. 49, datë 10.7.2015; nr. 21, datë 29.</w:t>
      </w:r>
      <w:r w:rsidRPr="009B3691">
        <w:rPr>
          <w:rFonts w:ascii="Garamond" w:hAnsi="Garamond" w:cs="Times New Roman"/>
          <w:i/>
          <w:iCs/>
          <w:color w:val="000000"/>
          <w:sz w:val="24"/>
          <w:szCs w:val="24"/>
        </w:rPr>
        <w:t>4.2010</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xml:space="preserve">. </w:t>
      </w:r>
    </w:p>
    <w:p w14:paraId="2480612C" w14:textId="5D961ED6"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30. Në funksion të këtij parimi të rëndësishëm kushtetues, konkretisht lidhur me papajtueshmërinë për shkak të pjesëmarrjes në procedim, në pikën 2 të nenit 15 të </w:t>
      </w:r>
      <w:proofErr w:type="spellStart"/>
      <w:r w:rsidRPr="009B3691">
        <w:rPr>
          <w:rFonts w:ascii="Garamond" w:hAnsi="Garamond" w:cs="Times New Roman"/>
          <w:color w:val="000000"/>
          <w:sz w:val="24"/>
          <w:szCs w:val="24"/>
        </w:rPr>
        <w:t>KPP</w:t>
      </w:r>
      <w:proofErr w:type="spellEnd"/>
      <w:r w:rsidRPr="009B3691">
        <w:rPr>
          <w:rFonts w:ascii="Garamond" w:hAnsi="Garamond" w:cs="Times New Roman"/>
          <w:color w:val="000000"/>
          <w:sz w:val="24"/>
          <w:szCs w:val="24"/>
        </w:rPr>
        <w:t>-së parashikohet se nuk mund të marrë pjesë në gjykim gjyqtari që ka shqyrtuar kërkesat e palëve gjatë hetimeve paraprake ose në seancë paraprake për të njëjtin procedim, me përjashtim të rasteve kur parashikohet ndryshe në këtë Kod.</w:t>
      </w:r>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 xml:space="preserve">Ky detyrim parashikohet edhe nga neni 17, pika 1, shkronja “e”, i </w:t>
      </w:r>
      <w:proofErr w:type="spellStart"/>
      <w:r w:rsidRPr="009B3691">
        <w:rPr>
          <w:rFonts w:ascii="Garamond" w:hAnsi="Garamond" w:cs="Times New Roman"/>
          <w:color w:val="000000"/>
          <w:sz w:val="24"/>
          <w:szCs w:val="24"/>
        </w:rPr>
        <w:t>KPP</w:t>
      </w:r>
      <w:proofErr w:type="spellEnd"/>
      <w:r w:rsidRPr="009B3691">
        <w:rPr>
          <w:rFonts w:ascii="Garamond" w:hAnsi="Garamond" w:cs="Times New Roman"/>
          <w:color w:val="000000"/>
          <w:sz w:val="24"/>
          <w:szCs w:val="24"/>
        </w:rPr>
        <w:t xml:space="preserve">-së, sipas të cilit gjyqtari duhet të heqë dorë nga gjykimi i çështjes konkrete kur ndodhet në një nga kushtet e papajtueshmërisë, të parashikuara nga neni 15 i </w:t>
      </w:r>
      <w:proofErr w:type="spellStart"/>
      <w:r w:rsidRPr="009B3691">
        <w:rPr>
          <w:rFonts w:ascii="Garamond" w:hAnsi="Garamond" w:cs="Times New Roman"/>
          <w:color w:val="000000"/>
          <w:sz w:val="24"/>
          <w:szCs w:val="24"/>
        </w:rPr>
        <w:t>KPP</w:t>
      </w:r>
      <w:proofErr w:type="spellEnd"/>
      <w:r w:rsidRPr="009B3691">
        <w:rPr>
          <w:rFonts w:ascii="Garamond" w:hAnsi="Garamond" w:cs="Times New Roman"/>
          <w:color w:val="000000"/>
          <w:sz w:val="24"/>
          <w:szCs w:val="24"/>
        </w:rPr>
        <w:t xml:space="preserve">-së. Në këtë drejtim, edhe Gjykata është shprehur se ligji nuk përjashton që gjyqtari, i cili ka shqyrtuar një kërkesë gjatë hetimit paraprak, të shqyrtojë një kërkesë tjetër të </w:t>
      </w:r>
      <w:proofErr w:type="spellStart"/>
      <w:r w:rsidRPr="009B3691">
        <w:rPr>
          <w:rFonts w:ascii="Garamond" w:hAnsi="Garamond" w:cs="Times New Roman"/>
          <w:color w:val="000000"/>
          <w:sz w:val="24"/>
          <w:szCs w:val="24"/>
        </w:rPr>
        <w:t>të</w:t>
      </w:r>
      <w:proofErr w:type="spellEnd"/>
      <w:r w:rsidRPr="009B3691">
        <w:rPr>
          <w:rFonts w:ascii="Garamond" w:hAnsi="Garamond" w:cs="Times New Roman"/>
          <w:color w:val="000000"/>
          <w:sz w:val="24"/>
          <w:szCs w:val="24"/>
        </w:rPr>
        <w:t xml:space="preserve"> njëjtit lloj ose të një lloji tjetër në të njëjtin procedim, por parimi është që gjyqtari që ka vleftësuar çdo kërkesë të prokurorit gjatë hetimeve paraprake, ka papajtueshmëri me gjyqtarin që merr pjesë në gjykimin e çështjes (</w:t>
      </w:r>
      <w:r w:rsidRPr="009B3691">
        <w:rPr>
          <w:rFonts w:ascii="Garamond" w:hAnsi="Garamond" w:cs="Times New Roman"/>
          <w:i/>
          <w:iCs/>
          <w:color w:val="000000"/>
          <w:sz w:val="24"/>
          <w:szCs w:val="24"/>
        </w:rPr>
        <w:t>shih vendimet nr. 18, datë 2.4.2012; nr. 40, datë 22.9.2011</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xml:space="preserve">). </w:t>
      </w:r>
    </w:p>
    <w:p w14:paraId="2480612D" w14:textId="55E717F9" w:rsidR="009B3691" w:rsidRPr="009B3691" w:rsidRDefault="009B3691" w:rsidP="0083794C">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31. Gjykata mban në konsideratë gjithashtu jo vetëm pozicionin dhe rolin kushtetues të Gjykatës së Lartë si gjykatë ligji, për sa kohë ajo ka për detyrë të kontrollojë mënyrën e zbatimit të ligjit material dhe procedural nga ana e gjykatave më të ulëta </w:t>
      </w:r>
      <w:r w:rsidR="0083794C">
        <w:rPr>
          <w:rFonts w:ascii="Garamond" w:hAnsi="Garamond" w:cs="Times New Roman"/>
          <w:i/>
          <w:iCs/>
          <w:color w:val="000000"/>
          <w:sz w:val="24"/>
          <w:szCs w:val="24"/>
        </w:rPr>
        <w:t>(shih vendimet nr. 20, datë 22.</w:t>
      </w:r>
      <w:r w:rsidRPr="009B3691">
        <w:rPr>
          <w:rFonts w:ascii="Garamond" w:hAnsi="Garamond" w:cs="Times New Roman"/>
          <w:i/>
          <w:iCs/>
          <w:color w:val="000000"/>
          <w:sz w:val="24"/>
          <w:szCs w:val="24"/>
        </w:rPr>
        <w:t>9.2022; nr. 35, datë 1.11.2021; nr. 3, datë 6.2.2018</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xml:space="preserve">, por edhe funksionin që kryejnë kolegjet e saj në seleksionimin e rekurseve që nuk përmbajnë shkaqe të parashikuara nga ligji </w:t>
      </w:r>
      <w:r w:rsidR="0083794C">
        <w:rPr>
          <w:rFonts w:ascii="Garamond" w:hAnsi="Garamond" w:cs="Times New Roman"/>
          <w:i/>
          <w:iCs/>
          <w:color w:val="000000"/>
          <w:sz w:val="24"/>
          <w:szCs w:val="24"/>
        </w:rPr>
        <w:t>(shih vendimet nr. 14, datë 21.</w:t>
      </w:r>
      <w:r w:rsidRPr="009B3691">
        <w:rPr>
          <w:rFonts w:ascii="Garamond" w:hAnsi="Garamond" w:cs="Times New Roman"/>
          <w:i/>
          <w:iCs/>
          <w:color w:val="000000"/>
          <w:sz w:val="24"/>
          <w:szCs w:val="24"/>
        </w:rPr>
        <w:t>6.2022; nr. 6, datë 16.2.2021; nr. 64, datë 16.10.2017</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xml:space="preserve">. Në këtë drejtim, respektimi i parimit të paanshmërisë në Gjykatën e Lartë vlerësohet në këndvështrim të rrethanave të veçanta të çështjeve konkrete, të lidhura me procesin që zhvillohet në atë gjykatë, si dhe me natyrën dhe </w:t>
      </w:r>
      <w:proofErr w:type="spellStart"/>
      <w:r w:rsidRPr="009B3691">
        <w:rPr>
          <w:rFonts w:ascii="Garamond" w:hAnsi="Garamond" w:cs="Times New Roman"/>
          <w:color w:val="000000"/>
          <w:sz w:val="24"/>
          <w:szCs w:val="24"/>
        </w:rPr>
        <w:t>kompleksitetin</w:t>
      </w:r>
      <w:proofErr w:type="spellEnd"/>
      <w:r w:rsidRPr="009B3691">
        <w:rPr>
          <w:rFonts w:ascii="Garamond" w:hAnsi="Garamond" w:cs="Times New Roman"/>
          <w:color w:val="000000"/>
          <w:sz w:val="24"/>
          <w:szCs w:val="24"/>
        </w:rPr>
        <w:t xml:space="preserve"> e çështjes.</w:t>
      </w:r>
    </w:p>
    <w:p w14:paraId="2480612E" w14:textId="1D8F903D"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32. Në rastin konkret, pas regjistrimit të procedimit penal, Prokuroria e Posaçme i është drejtuar Gjykatës së Posaçme të Shkallës së Parë për caktimin e masës ndaluese “Pezullimi i ushtrimit të një detyre a shërbimi publik”, e cil</w:t>
      </w:r>
      <w:r w:rsidR="0083794C">
        <w:rPr>
          <w:rFonts w:ascii="Garamond" w:hAnsi="Garamond" w:cs="Times New Roman"/>
          <w:color w:val="000000"/>
          <w:sz w:val="24"/>
          <w:szCs w:val="24"/>
        </w:rPr>
        <w:t>a, me vendimin nr. 54, datë 20.</w:t>
      </w:r>
      <w:r w:rsidRPr="009B3691">
        <w:rPr>
          <w:rFonts w:ascii="Garamond" w:hAnsi="Garamond" w:cs="Times New Roman"/>
          <w:color w:val="000000"/>
          <w:sz w:val="24"/>
          <w:szCs w:val="24"/>
        </w:rPr>
        <w:t>5.2020, ka vendosur pranimin e kërkesës. Ndaj vendimit ka ushtruar ankim kërkuesi dhe Gjykata e Posaçme e Apeli</w:t>
      </w:r>
      <w:r w:rsidR="00483317">
        <w:rPr>
          <w:rFonts w:ascii="Garamond" w:hAnsi="Garamond" w:cs="Times New Roman"/>
          <w:color w:val="000000"/>
          <w:sz w:val="24"/>
          <w:szCs w:val="24"/>
        </w:rPr>
        <w:t>t, me vendimin nr. 15, datë 5.</w:t>
      </w:r>
      <w:r w:rsidRPr="009B3691">
        <w:rPr>
          <w:rFonts w:ascii="Garamond" w:hAnsi="Garamond" w:cs="Times New Roman"/>
          <w:color w:val="000000"/>
          <w:sz w:val="24"/>
          <w:szCs w:val="24"/>
        </w:rPr>
        <w:t>6.2020, ka vendosur shfuqizi</w:t>
      </w:r>
      <w:r w:rsidR="00483317">
        <w:rPr>
          <w:rFonts w:ascii="Garamond" w:hAnsi="Garamond" w:cs="Times New Roman"/>
          <w:color w:val="000000"/>
          <w:sz w:val="24"/>
          <w:szCs w:val="24"/>
        </w:rPr>
        <w:t>min e vendimit nr. 54, datë 20.</w:t>
      </w:r>
      <w:r w:rsidRPr="009B3691">
        <w:rPr>
          <w:rFonts w:ascii="Garamond" w:hAnsi="Garamond" w:cs="Times New Roman"/>
          <w:color w:val="000000"/>
          <w:sz w:val="24"/>
          <w:szCs w:val="24"/>
        </w:rPr>
        <w:t>5.2020</w:t>
      </w:r>
      <w:r w:rsidR="00CE66E6">
        <w:rPr>
          <w:rFonts w:ascii="Garamond" w:hAnsi="Garamond" w:cs="Times New Roman"/>
          <w:color w:val="000000"/>
          <w:sz w:val="24"/>
          <w:szCs w:val="24"/>
        </w:rPr>
        <w:t>,</w:t>
      </w:r>
      <w:r w:rsidRPr="009B3691">
        <w:rPr>
          <w:rFonts w:ascii="Garamond" w:hAnsi="Garamond" w:cs="Times New Roman"/>
          <w:color w:val="000000"/>
          <w:sz w:val="24"/>
          <w:szCs w:val="24"/>
        </w:rPr>
        <w:t xml:space="preserve"> të Gjykatës së Posaçme të Shkallës së Parë, pasi e ka vlerësuar faktin, për të cilin kërkohej caktimi i masës ndaluese, si jo penal. Mbi rekursin e ushtruar nga Prokuroria e Posaçme, çështja për caktimin e masës ndaluese është regjistruar në Gjykatën e Lartë në</w:t>
      </w:r>
      <w:r w:rsidR="00483317">
        <w:rPr>
          <w:rFonts w:ascii="Garamond" w:hAnsi="Garamond" w:cs="Times New Roman"/>
          <w:color w:val="000000"/>
          <w:sz w:val="24"/>
          <w:szCs w:val="24"/>
        </w:rPr>
        <w:t xml:space="preserve"> datën 24.</w:t>
      </w:r>
      <w:r w:rsidRPr="009B3691">
        <w:rPr>
          <w:rFonts w:ascii="Garamond" w:hAnsi="Garamond" w:cs="Times New Roman"/>
          <w:color w:val="000000"/>
          <w:sz w:val="24"/>
          <w:szCs w:val="24"/>
        </w:rPr>
        <w:t xml:space="preserve">6.2020, ku është caktuar trupi gjykues i përbërë nga gjyqtarët </w:t>
      </w:r>
      <w:proofErr w:type="spellStart"/>
      <w:r w:rsidRPr="009B3691">
        <w:rPr>
          <w:rFonts w:ascii="Garamond" w:hAnsi="Garamond" w:cs="Times New Roman"/>
          <w:color w:val="000000"/>
          <w:sz w:val="24"/>
          <w:szCs w:val="24"/>
        </w:rPr>
        <w:t>S.S</w:t>
      </w:r>
      <w:proofErr w:type="spellEnd"/>
      <w:r w:rsidRPr="009B3691">
        <w:rPr>
          <w:rFonts w:ascii="Garamond" w:hAnsi="Garamond" w:cs="Times New Roman"/>
          <w:color w:val="000000"/>
          <w:sz w:val="24"/>
          <w:szCs w:val="24"/>
        </w:rPr>
        <w:t xml:space="preserve">., </w:t>
      </w:r>
      <w:proofErr w:type="spellStart"/>
      <w:r w:rsidRPr="009B3691">
        <w:rPr>
          <w:rFonts w:ascii="Garamond" w:hAnsi="Garamond" w:cs="Times New Roman"/>
          <w:color w:val="000000"/>
          <w:sz w:val="24"/>
          <w:szCs w:val="24"/>
        </w:rPr>
        <w:t>E.P</w:t>
      </w:r>
      <w:proofErr w:type="spellEnd"/>
      <w:r w:rsidRPr="009B3691">
        <w:rPr>
          <w:rFonts w:ascii="Garamond" w:hAnsi="Garamond" w:cs="Times New Roman"/>
          <w:color w:val="000000"/>
          <w:sz w:val="24"/>
          <w:szCs w:val="24"/>
        </w:rPr>
        <w:t xml:space="preserve">. dhe </w:t>
      </w:r>
      <w:proofErr w:type="spellStart"/>
      <w:r w:rsidRPr="009B3691">
        <w:rPr>
          <w:rFonts w:ascii="Garamond" w:hAnsi="Garamond" w:cs="Times New Roman"/>
          <w:color w:val="000000"/>
          <w:sz w:val="24"/>
          <w:szCs w:val="24"/>
        </w:rPr>
        <w:t>I.P</w:t>
      </w:r>
      <w:proofErr w:type="spellEnd"/>
      <w:r w:rsidRPr="009B3691">
        <w:rPr>
          <w:rFonts w:ascii="Garamond" w:hAnsi="Garamond" w:cs="Times New Roman"/>
          <w:color w:val="000000"/>
          <w:sz w:val="24"/>
          <w:szCs w:val="24"/>
        </w:rPr>
        <w:t>. (relator). Kolegji Penal i Gjykatës së Lartë, në</w:t>
      </w:r>
      <w:r w:rsidR="00483317">
        <w:rPr>
          <w:rFonts w:ascii="Garamond" w:hAnsi="Garamond" w:cs="Times New Roman"/>
          <w:color w:val="000000"/>
          <w:sz w:val="24"/>
          <w:szCs w:val="24"/>
        </w:rPr>
        <w:t xml:space="preserve"> dhomë këshillimi, në datën 18.</w:t>
      </w:r>
      <w:r w:rsidRPr="009B3691">
        <w:rPr>
          <w:rFonts w:ascii="Garamond" w:hAnsi="Garamond" w:cs="Times New Roman"/>
          <w:color w:val="000000"/>
          <w:sz w:val="24"/>
          <w:szCs w:val="24"/>
        </w:rPr>
        <w:t xml:space="preserve">9.2020 ka vendosur kalimin për gjykim të çështjes penale. </w:t>
      </w:r>
    </w:p>
    <w:p w14:paraId="2480612F" w14:textId="6D8B802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33. Ndërkohë kërkuesit i është komunikuar akuza duke u marrë në cilësinë e të pandehurit për veprën penale “Falsifikimi i dokumenteve”. Gjykata e Posaçme e Shkallës së </w:t>
      </w:r>
      <w:r w:rsidR="00483317">
        <w:rPr>
          <w:rFonts w:ascii="Garamond" w:hAnsi="Garamond" w:cs="Times New Roman"/>
          <w:color w:val="000000"/>
          <w:sz w:val="24"/>
          <w:szCs w:val="24"/>
        </w:rPr>
        <w:t xml:space="preserve">Parë, me vendimin nr. 32, datë </w:t>
      </w:r>
      <w:r w:rsidRPr="009B3691">
        <w:rPr>
          <w:rFonts w:ascii="Garamond" w:hAnsi="Garamond" w:cs="Times New Roman"/>
          <w:color w:val="000000"/>
          <w:sz w:val="24"/>
          <w:szCs w:val="24"/>
        </w:rPr>
        <w:t>1.12.2020, ndër të tjera, ka vendosur deklarimin fajtor të kërkuesit dhe dënimin e tij me 6 muaj burgim. Pas ankimit të kërkuesit, Gjykata e Posaçme e Apel</w:t>
      </w:r>
      <w:r w:rsidR="00483317">
        <w:rPr>
          <w:rFonts w:ascii="Garamond" w:hAnsi="Garamond" w:cs="Times New Roman"/>
          <w:color w:val="000000"/>
          <w:sz w:val="24"/>
          <w:szCs w:val="24"/>
        </w:rPr>
        <w:t>it, me vendimin nr. 5, datë 8.</w:t>
      </w:r>
      <w:r w:rsidRPr="009B3691">
        <w:rPr>
          <w:rFonts w:ascii="Garamond" w:hAnsi="Garamond" w:cs="Times New Roman"/>
          <w:color w:val="000000"/>
          <w:sz w:val="24"/>
          <w:szCs w:val="24"/>
        </w:rPr>
        <w:t>3.2021, ka vendosur lënien në fuqi të vendimit Gjykatës së Posaçme të Shkallës së Parë. Mbi rekursin e ushtruar nga kërkuesi çështja është regjistrua</w:t>
      </w:r>
      <w:r w:rsidR="0083794C">
        <w:rPr>
          <w:rFonts w:ascii="Garamond" w:hAnsi="Garamond" w:cs="Times New Roman"/>
          <w:color w:val="000000"/>
          <w:sz w:val="24"/>
          <w:szCs w:val="24"/>
        </w:rPr>
        <w:t>r në Gjykatën e Lartë në datën 8.</w:t>
      </w:r>
      <w:r w:rsidRPr="009B3691">
        <w:rPr>
          <w:rFonts w:ascii="Garamond" w:hAnsi="Garamond" w:cs="Times New Roman"/>
          <w:color w:val="000000"/>
          <w:sz w:val="24"/>
          <w:szCs w:val="24"/>
        </w:rPr>
        <w:t xml:space="preserve">6.2021. Kolegji Penal i Gjykatës së Lartë, në dhomë këshillimi, me trup gjykues të përbërë nga gjyqtarët </w:t>
      </w:r>
      <w:proofErr w:type="spellStart"/>
      <w:r w:rsidRPr="009B3691">
        <w:rPr>
          <w:rFonts w:ascii="Garamond" w:hAnsi="Garamond" w:cs="Times New Roman"/>
          <w:color w:val="000000"/>
          <w:sz w:val="24"/>
          <w:szCs w:val="24"/>
        </w:rPr>
        <w:t>I.P</w:t>
      </w:r>
      <w:proofErr w:type="spellEnd"/>
      <w:r w:rsidRPr="009B3691">
        <w:rPr>
          <w:rFonts w:ascii="Garamond" w:hAnsi="Garamond" w:cs="Times New Roman"/>
          <w:color w:val="000000"/>
          <w:sz w:val="24"/>
          <w:szCs w:val="24"/>
        </w:rPr>
        <w:t xml:space="preserve">., </w:t>
      </w:r>
      <w:proofErr w:type="spellStart"/>
      <w:r w:rsidRPr="009B3691">
        <w:rPr>
          <w:rFonts w:ascii="Garamond" w:hAnsi="Garamond" w:cs="Times New Roman"/>
          <w:color w:val="000000"/>
          <w:sz w:val="24"/>
          <w:szCs w:val="24"/>
        </w:rPr>
        <w:t>A.V</w:t>
      </w:r>
      <w:proofErr w:type="spellEnd"/>
      <w:r w:rsidRPr="009B3691">
        <w:rPr>
          <w:rFonts w:ascii="Garamond" w:hAnsi="Garamond" w:cs="Times New Roman"/>
          <w:color w:val="000000"/>
          <w:sz w:val="24"/>
          <w:szCs w:val="24"/>
        </w:rPr>
        <w:t xml:space="preserve">. dhe </w:t>
      </w:r>
      <w:proofErr w:type="spellStart"/>
      <w:r w:rsidRPr="009B3691">
        <w:rPr>
          <w:rFonts w:ascii="Garamond" w:hAnsi="Garamond" w:cs="Times New Roman"/>
          <w:color w:val="000000"/>
          <w:sz w:val="24"/>
          <w:szCs w:val="24"/>
        </w:rPr>
        <w:t>K.K</w:t>
      </w:r>
      <w:proofErr w:type="spellEnd"/>
      <w:r w:rsidRPr="009B3691">
        <w:rPr>
          <w:rFonts w:ascii="Garamond" w:hAnsi="Garamond" w:cs="Times New Roman"/>
          <w:color w:val="000000"/>
          <w:sz w:val="24"/>
          <w:szCs w:val="24"/>
        </w:rPr>
        <w:t xml:space="preserve">. (relator), me vendimin nr. 00-2021-670 (63), datë 26.10.2021, ka vendosur mospranimin e rekursit, pasi nuk përmbante asnjë shkak ligjor të parashikuar nga nenin 432 i </w:t>
      </w:r>
      <w:proofErr w:type="spellStart"/>
      <w:r w:rsidRPr="009B3691">
        <w:rPr>
          <w:rFonts w:ascii="Garamond" w:hAnsi="Garamond" w:cs="Times New Roman"/>
          <w:color w:val="000000"/>
          <w:sz w:val="24"/>
          <w:szCs w:val="24"/>
        </w:rPr>
        <w:t>KPP</w:t>
      </w:r>
      <w:proofErr w:type="spellEnd"/>
      <w:r w:rsidRPr="009B3691">
        <w:rPr>
          <w:rFonts w:ascii="Garamond" w:hAnsi="Garamond" w:cs="Times New Roman"/>
          <w:color w:val="000000"/>
          <w:sz w:val="24"/>
          <w:szCs w:val="24"/>
        </w:rPr>
        <w:t>-së.</w:t>
      </w:r>
    </w:p>
    <w:p w14:paraId="24806130"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34. Gjykata çmon se në rastin konkret objekt i rekurseve të ushtruara, si në rastin e vleftësimit të masës ndaluese, ashtu edhe në shqyrtimin e çështjes për kryerjen e veprës penale, ka qenë vlerësimi i faktit, duke analizuar të njëjtat prova dhe rrethana të çështjes. Të dyja gjykimet, pavarësisht nga forma dhe referenca ligjore e paraqitjes së pretendimeve,</w:t>
      </w:r>
      <w:r w:rsidRPr="009B3691">
        <w:rPr>
          <w:rFonts w:ascii="Garamond" w:hAnsi="Garamond" w:cs="Calibri"/>
          <w:color w:val="000000"/>
        </w:rPr>
        <w:t xml:space="preserve"> </w:t>
      </w:r>
      <w:r w:rsidRPr="009B3691">
        <w:rPr>
          <w:rFonts w:ascii="Garamond" w:hAnsi="Garamond" w:cs="Times New Roman"/>
          <w:color w:val="000000"/>
          <w:sz w:val="24"/>
          <w:szCs w:val="24"/>
        </w:rPr>
        <w:t xml:space="preserve">lidhen me shqyrtimin dhe vlerësimin në tërësi të </w:t>
      </w:r>
      <w:proofErr w:type="spellStart"/>
      <w:r w:rsidRPr="009B3691">
        <w:rPr>
          <w:rFonts w:ascii="Garamond" w:hAnsi="Garamond" w:cs="Times New Roman"/>
          <w:color w:val="000000"/>
          <w:sz w:val="24"/>
          <w:szCs w:val="24"/>
        </w:rPr>
        <w:t>të</w:t>
      </w:r>
      <w:proofErr w:type="spellEnd"/>
      <w:r w:rsidRPr="009B3691">
        <w:rPr>
          <w:rFonts w:ascii="Garamond" w:hAnsi="Garamond" w:cs="Times New Roman"/>
          <w:color w:val="000000"/>
          <w:sz w:val="24"/>
          <w:szCs w:val="24"/>
        </w:rPr>
        <w:t xml:space="preserve"> njëjtit fakt, nëse përbën ose jo vepër penale. </w:t>
      </w:r>
    </w:p>
    <w:p w14:paraId="24806131" w14:textId="737EC5EB"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35. Konkretisht, Gjykata vëren se gjyqtari </w:t>
      </w:r>
      <w:proofErr w:type="spellStart"/>
      <w:r w:rsidRPr="009B3691">
        <w:rPr>
          <w:rFonts w:ascii="Garamond" w:hAnsi="Garamond" w:cs="Times New Roman"/>
          <w:color w:val="000000"/>
          <w:sz w:val="24"/>
          <w:szCs w:val="24"/>
        </w:rPr>
        <w:t>I.P</w:t>
      </w:r>
      <w:proofErr w:type="spellEnd"/>
      <w:r w:rsidRPr="009B3691">
        <w:rPr>
          <w:rFonts w:ascii="Garamond" w:hAnsi="Garamond" w:cs="Times New Roman"/>
          <w:color w:val="000000"/>
          <w:sz w:val="24"/>
          <w:szCs w:val="24"/>
        </w:rPr>
        <w:t>. ka qenë pjesë e trupit gjykues në dy kolegje penale të Gjykatës së Lartë.</w:t>
      </w:r>
      <w:r w:rsidR="0083794C">
        <w:rPr>
          <w:rFonts w:ascii="Garamond" w:hAnsi="Garamond" w:cs="Times New Roman"/>
          <w:color w:val="000000"/>
          <w:sz w:val="24"/>
          <w:szCs w:val="24"/>
        </w:rPr>
        <w:t xml:space="preserve"> Në njërin kolegj, në datën 18.</w:t>
      </w:r>
      <w:r w:rsidRPr="009B3691">
        <w:rPr>
          <w:rFonts w:ascii="Garamond" w:hAnsi="Garamond" w:cs="Times New Roman"/>
          <w:color w:val="000000"/>
          <w:sz w:val="24"/>
          <w:szCs w:val="24"/>
        </w:rPr>
        <w:t>9.2020</w:t>
      </w:r>
      <w:r w:rsidR="0083794C">
        <w:rPr>
          <w:rFonts w:ascii="Garamond" w:hAnsi="Garamond" w:cs="Times New Roman"/>
          <w:color w:val="000000"/>
          <w:sz w:val="24"/>
          <w:szCs w:val="24"/>
        </w:rPr>
        <w:t>,</w:t>
      </w:r>
      <w:r w:rsidRPr="009B3691">
        <w:rPr>
          <w:rFonts w:ascii="Garamond" w:hAnsi="Garamond" w:cs="Times New Roman"/>
          <w:color w:val="000000"/>
          <w:sz w:val="24"/>
          <w:szCs w:val="24"/>
        </w:rPr>
        <w:t xml:space="preserve"> ka vlerësuar shkaqet e rekursit të ushtruar nga Prokuroria e Posaçme dhe aktet e masës ndaluese duke vendosur kalimin për shqyrtim të çështjes në seancë gjyqësore me praninë e palëve. Në kolegjin tjetër, në datën 26.10.2021, ka shqyrtuar çështjen në dhomë këshillimi dhe ka vlerësuar shkaqet e rekursit të ushtruar nga kërkuesi, duke analizuar të njëjtat rrethana dhe të njëjtin fakt, të cilësuar si</w:t>
      </w:r>
      <w:r w:rsidR="004E0E1D">
        <w:rPr>
          <w:rFonts w:ascii="Garamond" w:hAnsi="Garamond" w:cs="Times New Roman"/>
          <w:color w:val="000000"/>
          <w:sz w:val="24"/>
          <w:szCs w:val="24"/>
        </w:rPr>
        <w:t xml:space="preserve"> </w:t>
      </w:r>
      <w:r w:rsidRPr="009B3691">
        <w:rPr>
          <w:rFonts w:ascii="Garamond" w:hAnsi="Garamond" w:cs="Times New Roman"/>
          <w:color w:val="000000"/>
          <w:sz w:val="24"/>
          <w:szCs w:val="24"/>
        </w:rPr>
        <w:t>penal, duke vendosur mbi fajësinë e kërkuesit.</w:t>
      </w:r>
    </w:p>
    <w:p w14:paraId="24806132"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36. Gjykata vlerëson se në çështjen konkrete, për shkak të natyrës së veçantë të saj, kompleksitetit, pjesëmarrja e të njëjtit gjyqtar në dy vendime të dhëna nga kolegjet penale të Gjykatës së Lartë, duke vlerësuar aktet për të njëjtat rrethana dhe duke e dokumentuar këtë vlerësim, krijon dyshime në respektimin e kriterit objektiv të parimit të paanshmërisë. Ndërkohë, objektivisht ka ekzistuar mundësia për shmangien e pjesëmarrjes së të njëjtit gjyqtar në të dyja gjykimit, pasi, sikurse rezultoi, çështja gjyqësore penale për themelin është regjistruar rreth një vit pas regjistrimit të çështjes për caktimin e masës ndaluese dhe është shqyrtuar rreth katër muaj përpara çështjes për caktimin e masës së sigurimit.</w:t>
      </w:r>
    </w:p>
    <w:p w14:paraId="24806133"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37. Për sa më lart, Gjykata çmon se pretendimi për cenimin e parimit të paanshmërisë gjatë gjykimit në Gjykatën e Lartë është i bazuar.</w:t>
      </w:r>
    </w:p>
    <w:p w14:paraId="24806134"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9B3691">
        <w:rPr>
          <w:rFonts w:ascii="Garamond" w:hAnsi="Garamond" w:cs="Times New Roman"/>
          <w:i/>
          <w:iCs/>
          <w:color w:val="000000"/>
          <w:sz w:val="24"/>
          <w:szCs w:val="24"/>
        </w:rPr>
        <w:t>C.2</w:t>
      </w:r>
      <w:proofErr w:type="spellEnd"/>
      <w:r w:rsidRPr="009B3691">
        <w:rPr>
          <w:rFonts w:ascii="Garamond" w:hAnsi="Garamond" w:cs="Times New Roman"/>
          <w:i/>
          <w:iCs/>
          <w:color w:val="000000"/>
          <w:sz w:val="24"/>
          <w:szCs w:val="24"/>
        </w:rPr>
        <w:t>. Për pretendimin e cenimit të standardit të arsyetimit të vendimit gjyqësor të lidhur me dënimin pa ligj</w:t>
      </w:r>
    </w:p>
    <w:p w14:paraId="24806135"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38. Kërkuesi ka pretenduar se gjykatat kanë arsyetuar në mënyrë kontradiktore e jo të ligjshme. Ato kanë bërë një interpretim të zgjeruar duke krijuar një normë të re, krijimi i së cilës është atribut i ligjvënësit. Gjykatat në thelb kanë dhënë një dënim pa ligj, pasi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 xml:space="preserve">-ja nuk parashikon veprën penale të falsifikimit ideologjik dhe “falsifikimi intelektual” është një shprehje pa asnjë kuptim gjuhësor dhe ligjor, madje nuk e njeh as jurisprudenca shqiptare. Gjykatat kanë interpretuar gabim nenin 186 të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-së lidhur me ekzistencën ose jo të veprës penale, për të cilën është dënuar kërkuesi.</w:t>
      </w:r>
    </w:p>
    <w:p w14:paraId="24806136"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39. Subjekti i interesuar, Prokuroria e Posaçme, ka prapësuar se gjykatat kanë trajtuar në mënyrë shteruese të gjitha pretendimet, për rrjedhojë pretendimi është i pabazuar. Mospajtimi me arsyetimin e gjykatave, që kanë shqyrtuar çështjen penale në ngarkim të kërkuesit për çështje që kanë të bëjnë me interpretimin e ligjit penal, në veçanti të nenit 186 të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 xml:space="preserve">-së, nuk përbën shkak në vetvete që këto pretendime të ngrihen në nivel të juridiksionit kushtetues. Kërkuesi nuk është dënuar për ndonjë vepër penale të paparashikuar në ligj, por për veprën penale “Falsifikimi i dokumenteve”, të parashikuar në nenin 186, paragrafi i parë, të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-së.</w:t>
      </w:r>
    </w:p>
    <w:p w14:paraId="24806137" w14:textId="54C9B595"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40. E drejta për një proces të rregullt ligjor, që i garantohet individit nga nenet 42 dhe 142, pika 1, të Kushtetutës, përfshin edhe të drejtën për të pasur një vendim gjyqësor të arsyetuar. Gjykata në jurisprudencën e saj ka theksuar vazhdimisht se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9B3691">
        <w:rPr>
          <w:rFonts w:ascii="Garamond" w:hAnsi="Garamond" w:cs="Times New Roman"/>
          <w:i/>
          <w:iCs/>
          <w:color w:val="000000"/>
          <w:sz w:val="24"/>
          <w:szCs w:val="24"/>
        </w:rPr>
        <w:t>shih vendimin nr. 67, datë 10.11.2017</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 Gjithsesi, zbatimi i këtij parimi është vlerësuar nga Gjykata rast pas rasti, në varësi të rrethanave konkrete të çështjes, duke analizuar nëse vendimet gjyqësore të kundërshtuara e kanë përmbushur në mënyrë të mjaftueshme detyrimin për arsyetimin e tyre. Gjykata ka theksuar, gjithashtu, se ky detyrim ndryshon në varësi të rrethanave të çështjes konkrete dhe natyrës së vendimit, dhe se masa e arsyetimit varet nga natyra e vendimit në fjalë (</w:t>
      </w:r>
      <w:r w:rsidR="0083794C">
        <w:rPr>
          <w:rFonts w:ascii="Garamond" w:hAnsi="Garamond" w:cs="Times New Roman"/>
          <w:i/>
          <w:iCs/>
          <w:color w:val="000000"/>
          <w:sz w:val="24"/>
          <w:szCs w:val="24"/>
        </w:rPr>
        <w:t>shih vendimet nr. 6, datë 16.</w:t>
      </w:r>
      <w:r w:rsidRPr="009B3691">
        <w:rPr>
          <w:rFonts w:ascii="Garamond" w:hAnsi="Garamond" w:cs="Times New Roman"/>
          <w:i/>
          <w:iCs/>
          <w:color w:val="000000"/>
          <w:sz w:val="24"/>
          <w:szCs w:val="24"/>
        </w:rPr>
        <w:t>2.2021; nr. 79, datë 14.12.2017</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r w:rsidRPr="009B3691">
        <w:rPr>
          <w:rFonts w:ascii="Garamond" w:hAnsi="Garamond" w:cs="Times New Roman"/>
          <w:color w:val="000000"/>
          <w:sz w:val="24"/>
          <w:szCs w:val="24"/>
        </w:rPr>
        <w:t>).</w:t>
      </w:r>
    </w:p>
    <w:p w14:paraId="24806138" w14:textId="5947F3B0"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41. Gjykata në këtë drejtim ka vlerësuar se është kompetencë e Kolegjit Civil/Penal (dhoma e këshillimit) të analizojë dhe çmojë nëse shkaqet e ngritura në rekurs janë në përputhje me kërkesat e ligjit. Megjithatë, ky standard nuk duhet kuptuar sikur i mundëson Gjykatës së Lartë ushtrimin e kompetencës së mësipërme në mënyrë </w:t>
      </w:r>
      <w:proofErr w:type="spellStart"/>
      <w:r w:rsidRPr="009B3691">
        <w:rPr>
          <w:rFonts w:ascii="Garamond" w:hAnsi="Garamond" w:cs="Times New Roman"/>
          <w:color w:val="000000"/>
          <w:sz w:val="24"/>
          <w:szCs w:val="24"/>
        </w:rPr>
        <w:t>diskrecionale</w:t>
      </w:r>
      <w:proofErr w:type="spellEnd"/>
      <w:r w:rsidRPr="009B3691">
        <w:rPr>
          <w:rFonts w:ascii="Garamond" w:hAnsi="Garamond" w:cs="Times New Roman"/>
          <w:color w:val="000000"/>
          <w:sz w:val="24"/>
          <w:szCs w:val="24"/>
        </w:rPr>
        <w:t xml:space="preserve">. Gjykata ka theksuar se standardet kushtetuese për një proces të rregullt ligjor duhen respektuar në të gjitha fazat e gjykimit, përfshirë këtu shqyrtimin e rekursit nga Gjykata e Lartë në dhomën e këshillimit </w:t>
      </w:r>
      <w:r w:rsidR="00483317">
        <w:rPr>
          <w:rFonts w:ascii="Garamond" w:hAnsi="Garamond" w:cs="Times New Roman"/>
          <w:i/>
          <w:iCs/>
          <w:color w:val="000000"/>
          <w:sz w:val="24"/>
          <w:szCs w:val="24"/>
        </w:rPr>
        <w:t>(shih vendimet nr. 6, datë 16.</w:t>
      </w:r>
      <w:r w:rsidRPr="009B3691">
        <w:rPr>
          <w:rFonts w:ascii="Garamond" w:hAnsi="Garamond" w:cs="Times New Roman"/>
          <w:i/>
          <w:iCs/>
          <w:color w:val="000000"/>
          <w:sz w:val="24"/>
          <w:szCs w:val="24"/>
        </w:rPr>
        <w:t xml:space="preserve">2.2021; </w:t>
      </w:r>
      <w:r w:rsidR="00483317">
        <w:rPr>
          <w:rFonts w:ascii="Garamond" w:hAnsi="Garamond" w:cs="Times New Roman"/>
          <w:i/>
          <w:iCs/>
          <w:color w:val="000000"/>
          <w:sz w:val="24"/>
          <w:szCs w:val="24"/>
        </w:rPr>
        <w:t>nr. 27, datë 27.</w:t>
      </w:r>
      <w:r w:rsidRPr="009B3691">
        <w:rPr>
          <w:rFonts w:ascii="Garamond" w:hAnsi="Garamond" w:cs="Times New Roman"/>
          <w:i/>
          <w:iCs/>
          <w:color w:val="000000"/>
          <w:sz w:val="24"/>
          <w:szCs w:val="24"/>
        </w:rPr>
        <w:t>3.2017</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p>
    <w:p w14:paraId="24806139"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42. Gjykata thekson se në paragrafin e parë të nenin 29 të Kushtetutës parashikohet: </w:t>
      </w:r>
      <w:r w:rsidRPr="009B3691">
        <w:rPr>
          <w:rFonts w:ascii="Garamond" w:hAnsi="Garamond" w:cs="Times New Roman"/>
          <w:i/>
          <w:iCs/>
          <w:color w:val="000000"/>
          <w:sz w:val="24"/>
          <w:szCs w:val="24"/>
        </w:rPr>
        <w:t xml:space="preserve">“Askush nuk mund të akuzohet ose të deklarohet fajtor për një vepër penale, e cila nuk konsiderohet e tillë me ligj në kohën e kryerjes së saj, me përjashtim të veprave, të cilat në kohën e kryerjes së tyre, përbënin krime lufte ose krime kundër njerëzimit sipas së drejtës ndërkombëtare”. </w:t>
      </w:r>
      <w:r w:rsidRPr="009B3691">
        <w:rPr>
          <w:rFonts w:ascii="Garamond" w:hAnsi="Garamond" w:cs="Times New Roman"/>
          <w:color w:val="000000"/>
          <w:sz w:val="24"/>
          <w:szCs w:val="24"/>
        </w:rPr>
        <w:t xml:space="preserve">Ndërsa në nenin 2 të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 xml:space="preserve">-së parashikohet: </w:t>
      </w:r>
      <w:r w:rsidRPr="009B3691">
        <w:rPr>
          <w:rFonts w:ascii="Garamond" w:hAnsi="Garamond" w:cs="Times New Roman"/>
          <w:i/>
          <w:iCs/>
          <w:color w:val="000000"/>
          <w:sz w:val="24"/>
          <w:szCs w:val="24"/>
        </w:rPr>
        <w:t>“askush nuk mund të dënohet penalisht për një vepër penale që më parë nuk është parashikuar shprehimisht në ligj si krim ose kundërvajtje penale. Askush nuk mund të dënohet me një lloj dhe masë dënimi të paparashikuar në ligj.”.</w:t>
      </w:r>
    </w:p>
    <w:p w14:paraId="2480613A" w14:textId="385C899E"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B3691">
        <w:rPr>
          <w:rFonts w:ascii="Garamond" w:hAnsi="Garamond" w:cs="Times New Roman"/>
          <w:color w:val="000000"/>
          <w:sz w:val="24"/>
          <w:szCs w:val="24"/>
        </w:rPr>
        <w:t xml:space="preserve">43. Gjykata rithekson se </w:t>
      </w:r>
      <w:proofErr w:type="spellStart"/>
      <w:r w:rsidRPr="009B3691">
        <w:rPr>
          <w:rFonts w:ascii="Garamond" w:hAnsi="Garamond" w:cs="Times New Roman"/>
          <w:color w:val="000000"/>
          <w:sz w:val="24"/>
          <w:szCs w:val="24"/>
        </w:rPr>
        <w:t>KP</w:t>
      </w:r>
      <w:proofErr w:type="spellEnd"/>
      <w:r w:rsidRPr="009B3691">
        <w:rPr>
          <w:rFonts w:ascii="Garamond" w:hAnsi="Garamond" w:cs="Times New Roman"/>
          <w:color w:val="000000"/>
          <w:sz w:val="24"/>
          <w:szCs w:val="24"/>
        </w:rPr>
        <w:t xml:space="preserve">-ja përbën ligjin më të rëndësishëm, ku përmblidhen në mënyrë të sistemuar dispozitat penalo-juridike. Ky Kod përmban jo vetëm parimet kryesore mbi të cilat duhet të mbështetet drejtësia penale, por edhe veprat të cilat konsiderohen si të dënueshme. Një nga parimet kryesore që përshkon këtë Kod është edhe parimi i ligjshmërisë që nënkupton parashikimin me ligj të veprave penale dhe </w:t>
      </w:r>
      <w:proofErr w:type="spellStart"/>
      <w:r w:rsidRPr="009B3691">
        <w:rPr>
          <w:rFonts w:ascii="Garamond" w:hAnsi="Garamond" w:cs="Times New Roman"/>
          <w:color w:val="000000"/>
          <w:sz w:val="24"/>
          <w:szCs w:val="24"/>
        </w:rPr>
        <w:t>mosdënimin</w:t>
      </w:r>
      <w:proofErr w:type="spellEnd"/>
      <w:r w:rsidRPr="009B3691">
        <w:rPr>
          <w:rFonts w:ascii="Garamond" w:hAnsi="Garamond" w:cs="Times New Roman"/>
          <w:color w:val="000000"/>
          <w:sz w:val="24"/>
          <w:szCs w:val="24"/>
        </w:rPr>
        <w:t xml:space="preserve"> për një vepër që nuk është parashikuar shprehimisht si krim ose kundërvajtje penale. Qëllimi i këtij parimi është jo vetëm respektimi i ligjit për çdo rast dhe për çdo vepër penale, por edhe njohja e subjekteve me të gjitha ato veprime apo mosveprime, të cilat konsiderohen të dënueshme. Duke qenë se Kodi Penal, krahas Kushtetutës, është burimi kryesor i së drejtës penale dhe në zbatim të parimit të ligjshmërisë, parashikimi i veprave penale duhet të bëhet pikërisht në këtë Kod, si ligji bazë që parashikon krimet dhe kundërvajtjet penale ose në një ligj të </w:t>
      </w:r>
      <w:r w:rsidR="00483317" w:rsidRPr="009B3691">
        <w:rPr>
          <w:rFonts w:ascii="Garamond" w:hAnsi="Garamond" w:cs="Times New Roman"/>
          <w:color w:val="000000"/>
          <w:sz w:val="24"/>
          <w:szCs w:val="24"/>
        </w:rPr>
        <w:t>barasvlershëm</w:t>
      </w:r>
      <w:r w:rsidRPr="009B3691">
        <w:rPr>
          <w:rFonts w:ascii="Garamond" w:hAnsi="Garamond" w:cs="Times New Roman"/>
          <w:color w:val="000000"/>
          <w:sz w:val="24"/>
          <w:szCs w:val="24"/>
        </w:rPr>
        <w:t xml:space="preserve"> me të nga fuqia juridike. Një gjë e tillë i vjen në ndihmë shtetasve, të cilët mund të orientohen më mirë në kuadrin e gjerë të ligjeve që mund të parashikojnë vepra penale, me qëllim njohjen e tyre me ndalimet ligjore sipas fushave të ndryshme </w:t>
      </w:r>
      <w:r w:rsidRPr="009B3691">
        <w:rPr>
          <w:rFonts w:ascii="Garamond" w:hAnsi="Garamond" w:cs="Times New Roman"/>
          <w:i/>
          <w:iCs/>
          <w:color w:val="000000"/>
          <w:sz w:val="24"/>
          <w:szCs w:val="24"/>
        </w:rPr>
        <w:t>(</w:t>
      </w:r>
      <w:r w:rsidR="00483317">
        <w:rPr>
          <w:rFonts w:ascii="Garamond" w:hAnsi="Garamond" w:cs="Times New Roman"/>
          <w:i/>
          <w:iCs/>
          <w:color w:val="000000"/>
          <w:sz w:val="24"/>
          <w:szCs w:val="24"/>
        </w:rPr>
        <w:t>shiko vendimet nr. 50, datë 10.7.2015; nr. 3, datë 5.</w:t>
      </w:r>
      <w:r w:rsidRPr="009B3691">
        <w:rPr>
          <w:rFonts w:ascii="Garamond" w:hAnsi="Garamond" w:cs="Times New Roman"/>
          <w:i/>
          <w:iCs/>
          <w:color w:val="000000"/>
          <w:sz w:val="24"/>
          <w:szCs w:val="24"/>
        </w:rPr>
        <w:t>2.2010</w:t>
      </w:r>
      <w:r w:rsidR="00CE66E6">
        <w:rPr>
          <w:rFonts w:ascii="Garamond" w:hAnsi="Garamond" w:cs="Times New Roman"/>
          <w:i/>
          <w:iCs/>
          <w:color w:val="000000"/>
          <w:sz w:val="24"/>
          <w:szCs w:val="24"/>
        </w:rPr>
        <w:t>,</w:t>
      </w:r>
      <w:r w:rsidRPr="009B3691">
        <w:rPr>
          <w:rFonts w:ascii="Garamond" w:hAnsi="Garamond" w:cs="Times New Roman"/>
          <w:i/>
          <w:iCs/>
          <w:color w:val="000000"/>
          <w:sz w:val="24"/>
          <w:szCs w:val="24"/>
        </w:rPr>
        <w:t xml:space="preserve"> të Gjykatës Kushtetuese).</w:t>
      </w:r>
    </w:p>
    <w:p w14:paraId="2480613B"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44. Në çështjen konkrete, sikurse u parashtrua më sipër, rekursi i paraqitur nga Prokuroria e Posaçme për vendosjen e masës ndaluese është shqyrtuar në seancë gjyqësore, ndërsa rekursi i paraqitur nga kërkuesi ndaj vendimit të Gjykatës së Posaçme të Apelit për çështjen penale të themelit është shqyrtuar në dhomën e këshillimit. Gjykata konstaton se, nga përmbajtja e vendimit nr. 00-2021-670 (63), datë 26.10.2021 (çështja e themelit), Kolegji Penal është shprehur se nuk rezulton që kërkuesi të ketë argumentuar nëse nga gjykatat më të ulëta ka pasur zbatim të gabuar të ligjit material ose procedural apo nëse vendimet e gjykatave më të ulëta bien në kundërshtim me praktikën e Kolegjit Penal ose të Gjykatës së Lartë </w:t>
      </w:r>
      <w:r w:rsidRPr="009B3691">
        <w:rPr>
          <w:rFonts w:ascii="Garamond" w:hAnsi="Garamond" w:cs="Times New Roman"/>
          <w:i/>
          <w:iCs/>
          <w:color w:val="000000"/>
          <w:sz w:val="24"/>
          <w:szCs w:val="24"/>
        </w:rPr>
        <w:t>(shih paragrafin 60 të vendimit të Kolegjit Penal të Gjykatës së Lartë)</w:t>
      </w:r>
      <w:r w:rsidRPr="009B3691">
        <w:rPr>
          <w:rFonts w:ascii="Garamond" w:hAnsi="Garamond" w:cs="Times New Roman"/>
          <w:color w:val="000000"/>
          <w:sz w:val="24"/>
          <w:szCs w:val="24"/>
        </w:rPr>
        <w:t xml:space="preserve">. Por, nga ana tjetër, Kolegji Penal në arsyetim ka vijuar se, pavarësisht kësaj, çmon se duhet t’u kthejë përgjigje disa prej pretendimeve të ngritura në rekurs, duke veçuar ato që meritojnë vëmendje të veçantë </w:t>
      </w:r>
      <w:r w:rsidRPr="009B3691">
        <w:rPr>
          <w:rFonts w:ascii="Garamond" w:hAnsi="Garamond" w:cs="Times New Roman"/>
          <w:i/>
          <w:iCs/>
          <w:color w:val="000000"/>
          <w:sz w:val="24"/>
          <w:szCs w:val="24"/>
        </w:rPr>
        <w:t>(shih paragrafin 61 të vendimit të Kolegjit Penal të Gjykatës së Lartë)</w:t>
      </w:r>
      <w:r w:rsidRPr="009B3691">
        <w:rPr>
          <w:rFonts w:ascii="Garamond" w:hAnsi="Garamond" w:cs="Times New Roman"/>
          <w:color w:val="000000"/>
          <w:sz w:val="24"/>
          <w:szCs w:val="24"/>
        </w:rPr>
        <w:t>.</w:t>
      </w:r>
    </w:p>
    <w:p w14:paraId="2480613C" w14:textId="511854B4"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45. Gjykata vëren se pretendimi kryesor i kërkuesit ka qenë cenimi i së drejtës për një proces të rregullt ligjor për shkak të dënimit pa ligj. Për këtë pretendim, Kolegji Penal i Gjykatës së Lartë ka arsyetuar: </w:t>
      </w:r>
      <w:r w:rsidRPr="009B3691">
        <w:rPr>
          <w:rFonts w:ascii="Garamond" w:hAnsi="Garamond" w:cs="Times New Roman"/>
          <w:i/>
          <w:iCs/>
          <w:color w:val="000000"/>
          <w:sz w:val="24"/>
          <w:szCs w:val="24"/>
        </w:rPr>
        <w:t>“Jurisprudenca e Kolegjit Penal të Gjykatës së Lartë ka njohur dhe analizuar metodën e falsifikimit intelektual si një nga mënyrat e kryerjes së veprës penale të falsifikimit të dokumenteve të parashikuar nga neni 186 i Kodit Penal. Për falsifikimin intelektual Kolegji Penal i Gjykatës së Lartë në vendimin nr. 00-2017-</w:t>
      </w:r>
      <w:r w:rsidR="0083794C">
        <w:rPr>
          <w:rFonts w:ascii="Garamond" w:hAnsi="Garamond" w:cs="Times New Roman"/>
          <w:i/>
          <w:iCs/>
          <w:color w:val="000000"/>
          <w:sz w:val="24"/>
          <w:szCs w:val="24"/>
        </w:rPr>
        <w:t>581 i Vendimit (111), datë 12.7.</w:t>
      </w:r>
      <w:r w:rsidRPr="009B3691">
        <w:rPr>
          <w:rFonts w:ascii="Garamond" w:hAnsi="Garamond" w:cs="Times New Roman"/>
          <w:i/>
          <w:iCs/>
          <w:color w:val="000000"/>
          <w:sz w:val="24"/>
          <w:szCs w:val="24"/>
        </w:rPr>
        <w:t xml:space="preserve">2017, shprehet se: “...Falsifikimi intelektual kryhet me anë të krijimit tërësisht të aktit, dokumentit, me anë të </w:t>
      </w:r>
      <w:proofErr w:type="spellStart"/>
      <w:r w:rsidRPr="009B3691">
        <w:rPr>
          <w:rFonts w:ascii="Garamond" w:hAnsi="Garamond" w:cs="Times New Roman"/>
          <w:i/>
          <w:iCs/>
          <w:color w:val="000000"/>
          <w:sz w:val="24"/>
          <w:szCs w:val="24"/>
        </w:rPr>
        <w:t>të</w:t>
      </w:r>
      <w:proofErr w:type="spellEnd"/>
      <w:r w:rsidRPr="009B3691">
        <w:rPr>
          <w:rFonts w:ascii="Garamond" w:hAnsi="Garamond" w:cs="Times New Roman"/>
          <w:i/>
          <w:iCs/>
          <w:color w:val="000000"/>
          <w:sz w:val="24"/>
          <w:szCs w:val="24"/>
        </w:rPr>
        <w:t xml:space="preserve"> cilit një subjekt fizik apo juridik, publik ose privat, shpreh vullnet, merr përsipër të drejta dhe detyrime, të cilat realisht nuk i ka shprehur...”.”...Vepra penale e falsifikimit të dokumenteve si njëra nga format e kryerjes e përmendur më sipër, mund të bëhet në dy mënyra: ose duke vepruar drejtpërsëdrejti mbi dokumentin, duke i bërë shtesa a tjetërsime të paligjshme, apo me çdo veprim tjetër material një dokumenti ekzistues të mëparshëm. Në këtë rast, do të ndodhemi përpara falsifikimit “material”; apo në mënyrën tjetër që konsiston në falsifikimin e përmbajtjes së dokumentit, pa prekur formën e tij, duke ndryshuar konceptin dhe brendinë e dokumentit. Në këtë rast, kemi të bëjmë me falsifikim “intelektual” që cenon pjesën përshkruese-dëftuese të dokumentit...”. Rrjedhimisht, pretendimi i të gjykuarit se ai është i dënuar pa ligj nuk qëndron pasi ai nuk gjen mbështetje në jurisprudencën e Gjykatës së Lartë.</w:t>
      </w:r>
      <w:r w:rsidRPr="009B3691">
        <w:rPr>
          <w:rFonts w:ascii="Garamond" w:hAnsi="Garamond" w:cs="Times New Roman"/>
          <w:i/>
          <w:iCs/>
          <w:sz w:val="24"/>
          <w:szCs w:val="24"/>
        </w:rPr>
        <w:t xml:space="preserve"> Gjykata e Lartë në praktikën e saj gjyqësore ka pranuar metodën e falsifikimit intelektual si një nga mënyrat e realizimit të veprës penale të falsifikimit të dokumentit të parashikuar nga neni 186 i Kodit Penal” (shih paragrafët 81 dhe 82 të vendimit nr. 00-2021-670 (63), datë 26.10.2021</w:t>
      </w:r>
      <w:r w:rsidR="00CE66E6">
        <w:rPr>
          <w:rFonts w:ascii="Garamond" w:hAnsi="Garamond" w:cs="Times New Roman"/>
          <w:i/>
          <w:iCs/>
          <w:sz w:val="24"/>
          <w:szCs w:val="24"/>
        </w:rPr>
        <w:t>,</w:t>
      </w:r>
      <w:r w:rsidRPr="009B3691">
        <w:rPr>
          <w:rFonts w:ascii="Garamond" w:hAnsi="Garamond" w:cs="Times New Roman"/>
          <w:i/>
          <w:iCs/>
          <w:sz w:val="24"/>
          <w:szCs w:val="24"/>
        </w:rPr>
        <w:t xml:space="preserve"> të Kolegjit Penal të Gjykatës së Lartë).</w:t>
      </w:r>
    </w:p>
    <w:p w14:paraId="2480613D"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 xml:space="preserve">46. Nisur nga arsyetimi i Kolegjit Penal të Gjykatës së Lartë në çështjen konkrete, Gjykata duke mbajtur në konsideratë edhe rolin </w:t>
      </w:r>
      <w:proofErr w:type="spellStart"/>
      <w:r w:rsidRPr="009B3691">
        <w:rPr>
          <w:rFonts w:ascii="Garamond" w:hAnsi="Garamond" w:cs="Times New Roman"/>
          <w:color w:val="000000"/>
          <w:sz w:val="24"/>
          <w:szCs w:val="24"/>
        </w:rPr>
        <w:t>subsidiar</w:t>
      </w:r>
      <w:proofErr w:type="spellEnd"/>
      <w:r w:rsidRPr="009B3691">
        <w:rPr>
          <w:rFonts w:ascii="Garamond" w:hAnsi="Garamond" w:cs="Times New Roman"/>
          <w:color w:val="000000"/>
          <w:sz w:val="24"/>
          <w:szCs w:val="24"/>
        </w:rPr>
        <w:t xml:space="preserve"> të saj në respektimin në tërësi të së drejtës për një proces të rregullt ligjor, e në rastin konkret të standardit të arsyetimit të vendimit gjyqësor të lidhur me dënimin pa ligj (paragrafi i parë i nenit 29 të Kushtetutës), vlerëson se vendimi i Kolegjit Penal të Gjykatës së Lartë nuk i plotëson standardet e vendosura për arsyetimin e vendimit gjyqësor. Arsyetimi i vendimit për pretendimin kryesor të kërkuesit, atë të dënimit pa ligj, nuk rezulton të jetë i qartë dhe i plotë. Kolegji Penal për këtë pretendim është mjaftuar me arsyetimin e mësipërm dhe duke u bazuar në argumente të lidhura me precedentin gjyqësor.</w:t>
      </w:r>
    </w:p>
    <w:p w14:paraId="2480613E"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47. Ashtu sikundër u theksua me lart (</w:t>
      </w:r>
      <w:r w:rsidRPr="009B3691">
        <w:rPr>
          <w:rFonts w:ascii="Garamond" w:hAnsi="Garamond" w:cs="Times New Roman"/>
          <w:i/>
          <w:iCs/>
          <w:color w:val="000000"/>
          <w:sz w:val="24"/>
          <w:szCs w:val="24"/>
        </w:rPr>
        <w:t>shih paragrafin 40 të këtij vendimi</w:t>
      </w:r>
      <w:r w:rsidRPr="009B3691">
        <w:rPr>
          <w:rFonts w:ascii="Garamond" w:hAnsi="Garamond" w:cs="Times New Roman"/>
          <w:color w:val="000000"/>
          <w:sz w:val="24"/>
          <w:szCs w:val="24"/>
        </w:rPr>
        <w:t xml:space="preserve">), detyrimi për arsyetim ndryshon në varësi të rrethanave të çështjes konkrete dhe natyrës së vendimit, dhe masa e arsyetimit varet nga natyra e vendimit në fjalë. Ndaj ky vlerësim i Gjykatës për pamjaftueshmërinë e arsyetimit merr më tepër rëndësi, nisur nga natyra e veçantë dhe kompleksiteti i çështjes konkrete. Detyrimi për arsyetim </w:t>
      </w:r>
      <w:proofErr w:type="spellStart"/>
      <w:r w:rsidRPr="009B3691">
        <w:rPr>
          <w:rFonts w:ascii="Garamond" w:hAnsi="Garamond" w:cs="Times New Roman"/>
          <w:color w:val="000000"/>
          <w:sz w:val="24"/>
          <w:szCs w:val="24"/>
        </w:rPr>
        <w:t>presupozon</w:t>
      </w:r>
      <w:proofErr w:type="spellEnd"/>
      <w:r w:rsidRPr="009B3691">
        <w:rPr>
          <w:rFonts w:ascii="Garamond" w:hAnsi="Garamond" w:cs="Times New Roman"/>
          <w:color w:val="000000"/>
          <w:sz w:val="24"/>
          <w:szCs w:val="24"/>
        </w:rPr>
        <w:t xml:space="preserve"> gjithsesi që një palë në proces mund të presë një përgjigje specifike dhe të shprehur për ato parashtrime që janë përcaktuese për përfundimin e procesit në fjalë, pra pretendimi kryesor për dënimin pa ligj duhej të kishte vëmendje të shtuar nga Kolegji Penal. Gjithashtu, Gjykata vëren se Kolegji Penal i Gjykatës së Lartë e ka shqyrtuar çështjen në dhomën e këshillimit, duke mos dhënë arsyet për </w:t>
      </w:r>
      <w:proofErr w:type="spellStart"/>
      <w:r w:rsidRPr="009B3691">
        <w:rPr>
          <w:rFonts w:ascii="Garamond" w:hAnsi="Garamond" w:cs="Times New Roman"/>
          <w:color w:val="000000"/>
          <w:sz w:val="24"/>
          <w:szCs w:val="24"/>
        </w:rPr>
        <w:t>mosshqyrtimin</w:t>
      </w:r>
      <w:proofErr w:type="spellEnd"/>
      <w:r w:rsidRPr="009B3691">
        <w:rPr>
          <w:rFonts w:ascii="Garamond" w:hAnsi="Garamond" w:cs="Times New Roman"/>
          <w:color w:val="000000"/>
          <w:sz w:val="24"/>
          <w:szCs w:val="24"/>
        </w:rPr>
        <w:t xml:space="preserve"> e saj në seancë gjyqësore dhe nuk ka argumentuar për pretendimin thelbësor të kërkuesit, që lidhet me funksionin kushtetues të Gjykatës së Lartë, sipas së cilit, ajo shqyrton çështje lidhur me kuptimin dhe zbatimin e ligjit për të siguruar njësimin ose zhvillimin e praktikës gjyqësore.</w:t>
      </w:r>
    </w:p>
    <w:p w14:paraId="2480613F"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color w:val="000000"/>
          <w:sz w:val="24"/>
          <w:szCs w:val="24"/>
        </w:rPr>
        <w:t>48. Për sa më lart,</w:t>
      </w:r>
      <w:r w:rsidRPr="009B3691">
        <w:rPr>
          <w:rFonts w:ascii="Garamond" w:hAnsi="Garamond" w:cs="Times New Roman"/>
          <w:i/>
          <w:iCs/>
          <w:color w:val="000000"/>
          <w:sz w:val="24"/>
          <w:szCs w:val="24"/>
        </w:rPr>
        <w:t xml:space="preserve"> </w:t>
      </w:r>
      <w:r w:rsidRPr="009B3691">
        <w:rPr>
          <w:rFonts w:ascii="Garamond" w:hAnsi="Garamond" w:cs="Times New Roman"/>
          <w:color w:val="000000"/>
          <w:sz w:val="24"/>
          <w:szCs w:val="24"/>
        </w:rPr>
        <w:t>Gjykata vlerëson se pretendimi i kërkuesit për cenimin e standardit të arsyetimit të vendimit gjyqësor të lidhur me dënimin pa ligj është i bazuar.</w:t>
      </w:r>
    </w:p>
    <w:p w14:paraId="24806140"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9B3691">
        <w:rPr>
          <w:rFonts w:ascii="Garamond" w:hAnsi="Garamond" w:cs="Times New Roman"/>
          <w:color w:val="000000"/>
          <w:sz w:val="24"/>
          <w:szCs w:val="24"/>
        </w:rPr>
        <w:t xml:space="preserve">49. </w:t>
      </w:r>
      <w:r w:rsidRPr="009B3691">
        <w:rPr>
          <w:rFonts w:ascii="Garamond" w:hAnsi="Garamond" w:cs="Times New Roman"/>
          <w:sz w:val="24"/>
          <w:szCs w:val="24"/>
        </w:rPr>
        <w:t>Për sa u takon pretendimeve të tjera, Gjykata vlerëson të mos ndalet në analizimin e tyre, për sa kohë çështja do të merret përsëri në shqyrtim nga Gjykata e Lartë, e cila, në funksion të rolit të saj si gjykatë e ligjit dhe si kontrolluese e respektimit të standardeve kushtetuese nga gjykatat më të ulëta, duhet t’u japë përgjigje të arsyetuar pretendimeve të ngritura në rekurs.</w:t>
      </w:r>
    </w:p>
    <w:p w14:paraId="24806141"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B3691">
        <w:rPr>
          <w:rFonts w:ascii="Garamond" w:hAnsi="Garamond" w:cs="Times New Roman"/>
          <w:sz w:val="24"/>
          <w:szCs w:val="24"/>
        </w:rPr>
        <w:t>50. Në përfundim, Gjykata çmon se pretendimet e kërkuesit, sipas arsyetimit të mësipërm, janë të bazuara.</w:t>
      </w:r>
    </w:p>
    <w:p w14:paraId="24806142" w14:textId="77777777" w:rsidR="009B3691" w:rsidRPr="009B3691" w:rsidRDefault="009B3691" w:rsidP="009B36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4806143" w14:textId="77777777" w:rsidR="009B3691" w:rsidRPr="009B3691" w:rsidRDefault="009B3691" w:rsidP="009B3691">
      <w:pPr>
        <w:autoSpaceDE w:val="0"/>
        <w:autoSpaceDN w:val="0"/>
        <w:adjustRightInd w:val="0"/>
        <w:spacing w:after="0" w:line="240" w:lineRule="auto"/>
        <w:ind w:firstLine="284"/>
        <w:jc w:val="center"/>
        <w:rPr>
          <w:rFonts w:ascii="Garamond" w:hAnsi="Garamond" w:cs="Times New Roman"/>
          <w:color w:val="000000"/>
          <w:sz w:val="24"/>
          <w:szCs w:val="24"/>
        </w:rPr>
      </w:pPr>
      <w:r w:rsidRPr="009B3691">
        <w:rPr>
          <w:rFonts w:ascii="Garamond" w:hAnsi="Garamond" w:cs="Times New Roman"/>
          <w:bCs/>
          <w:color w:val="000000"/>
          <w:sz w:val="24"/>
          <w:szCs w:val="24"/>
        </w:rPr>
        <w:t>PËR KËTO ARSYE,</w:t>
      </w:r>
    </w:p>
    <w:p w14:paraId="24806144" w14:textId="77777777" w:rsidR="009B3691" w:rsidRPr="009B3691" w:rsidRDefault="009B3691" w:rsidP="009B3691">
      <w:pPr>
        <w:spacing w:after="0" w:line="240" w:lineRule="auto"/>
        <w:ind w:firstLine="284"/>
        <w:jc w:val="both"/>
        <w:rPr>
          <w:rFonts w:ascii="Garamond" w:hAnsi="Garamond" w:cs="Times New Roman"/>
          <w:sz w:val="24"/>
          <w:szCs w:val="24"/>
        </w:rPr>
      </w:pPr>
    </w:p>
    <w:p w14:paraId="24806145" w14:textId="612136F7" w:rsidR="002E7A34" w:rsidRPr="009B3691" w:rsidRDefault="002E7A34" w:rsidP="009B3691">
      <w:pPr>
        <w:spacing w:after="0" w:line="240" w:lineRule="auto"/>
        <w:ind w:firstLine="284"/>
        <w:jc w:val="both"/>
        <w:rPr>
          <w:rFonts w:ascii="Garamond" w:hAnsi="Garamond" w:cs="Times New Roman"/>
          <w:sz w:val="24"/>
          <w:szCs w:val="24"/>
        </w:rPr>
      </w:pPr>
      <w:r w:rsidRPr="009B3691">
        <w:rPr>
          <w:rFonts w:ascii="Garamond" w:hAnsi="Garamond" w:cs="Times New Roman"/>
          <w:sz w:val="24"/>
          <w:szCs w:val="24"/>
        </w:rPr>
        <w:t xml:space="preserve">Gjykata Kushtetuese e Republikës së Shqipërisë, në mbështetje të neneve 131, pika 1, shkronja “f” dhe 134, pika 1, shkronja “i”, të Kushtetutës, si dhe neneve 71 dhe </w:t>
      </w:r>
      <w:r w:rsidR="00483317">
        <w:rPr>
          <w:rFonts w:ascii="Garamond" w:hAnsi="Garamond" w:cs="Times New Roman"/>
          <w:sz w:val="24"/>
          <w:szCs w:val="24"/>
        </w:rPr>
        <w:t>72</w:t>
      </w:r>
      <w:r w:rsidR="0083794C">
        <w:rPr>
          <w:rFonts w:ascii="Garamond" w:hAnsi="Garamond" w:cs="Times New Roman"/>
          <w:sz w:val="24"/>
          <w:szCs w:val="24"/>
        </w:rPr>
        <w:t>,</w:t>
      </w:r>
      <w:r w:rsidR="00483317">
        <w:rPr>
          <w:rFonts w:ascii="Garamond" w:hAnsi="Garamond" w:cs="Times New Roman"/>
          <w:sz w:val="24"/>
          <w:szCs w:val="24"/>
        </w:rPr>
        <w:t xml:space="preserve"> të ligjit nr. 8577, datë 10.</w:t>
      </w:r>
      <w:r w:rsidRPr="009B3691">
        <w:rPr>
          <w:rFonts w:ascii="Garamond" w:hAnsi="Garamond" w:cs="Times New Roman"/>
          <w:sz w:val="24"/>
          <w:szCs w:val="24"/>
        </w:rPr>
        <w:t>2.2000</w:t>
      </w:r>
      <w:r w:rsidR="00483317">
        <w:rPr>
          <w:rFonts w:ascii="Garamond" w:hAnsi="Garamond" w:cs="Times New Roman"/>
          <w:sz w:val="24"/>
          <w:szCs w:val="24"/>
        </w:rPr>
        <w:t>,</w:t>
      </w:r>
      <w:r w:rsidRPr="009B3691">
        <w:rPr>
          <w:rFonts w:ascii="Garamond" w:hAnsi="Garamond" w:cs="Times New Roman"/>
          <w:sz w:val="24"/>
          <w:szCs w:val="24"/>
        </w:rPr>
        <w:t xml:space="preserve"> “Për organizimin dhe funksionimin e Gjykatës Kushtetuese të Republikës së Shqipërisë”, të ndryshuar, </w:t>
      </w:r>
      <w:r w:rsidR="001E44CC" w:rsidRPr="009B3691">
        <w:rPr>
          <w:rFonts w:ascii="Garamond" w:hAnsi="Garamond" w:cs="Times New Roman"/>
          <w:sz w:val="24"/>
          <w:szCs w:val="24"/>
        </w:rPr>
        <w:t>nj</w:t>
      </w:r>
      <w:r w:rsidR="00AA7EC5" w:rsidRPr="009B3691">
        <w:rPr>
          <w:rFonts w:ascii="Garamond" w:hAnsi="Garamond" w:cs="Times New Roman"/>
          <w:sz w:val="24"/>
          <w:szCs w:val="24"/>
        </w:rPr>
        <w:t>ë</w:t>
      </w:r>
      <w:r w:rsidR="001E44CC" w:rsidRPr="009B3691">
        <w:rPr>
          <w:rFonts w:ascii="Garamond" w:hAnsi="Garamond" w:cs="Times New Roman"/>
          <w:sz w:val="24"/>
          <w:szCs w:val="24"/>
        </w:rPr>
        <w:t>z</w:t>
      </w:r>
      <w:r w:rsidR="00AA7EC5" w:rsidRPr="009B3691">
        <w:rPr>
          <w:rFonts w:ascii="Garamond" w:hAnsi="Garamond" w:cs="Times New Roman"/>
          <w:sz w:val="24"/>
          <w:szCs w:val="24"/>
        </w:rPr>
        <w:t>ë</w:t>
      </w:r>
      <w:r w:rsidR="001E44CC" w:rsidRPr="009B3691">
        <w:rPr>
          <w:rFonts w:ascii="Garamond" w:hAnsi="Garamond" w:cs="Times New Roman"/>
          <w:sz w:val="24"/>
          <w:szCs w:val="24"/>
        </w:rPr>
        <w:t>ri</w:t>
      </w:r>
      <w:r w:rsidR="0039075D" w:rsidRPr="009B3691">
        <w:rPr>
          <w:rStyle w:val="FootnoteReference"/>
          <w:rFonts w:ascii="Garamond" w:hAnsi="Garamond" w:cs="Times New Roman"/>
          <w:sz w:val="24"/>
          <w:szCs w:val="24"/>
        </w:rPr>
        <w:footnoteReference w:id="2"/>
      </w:r>
      <w:r w:rsidRPr="009B3691">
        <w:rPr>
          <w:rFonts w:ascii="Garamond" w:hAnsi="Garamond" w:cs="Times New Roman"/>
          <w:sz w:val="24"/>
          <w:szCs w:val="24"/>
        </w:rPr>
        <w:t>,</w:t>
      </w:r>
    </w:p>
    <w:p w14:paraId="24806146" w14:textId="77777777" w:rsidR="0059428C" w:rsidRPr="009B3691" w:rsidRDefault="0059428C" w:rsidP="009B3691">
      <w:pPr>
        <w:shd w:val="clear" w:color="auto" w:fill="FFFFFF" w:themeFill="background1"/>
        <w:spacing w:after="0" w:line="240" w:lineRule="auto"/>
        <w:ind w:firstLine="284"/>
        <w:contextualSpacing/>
        <w:jc w:val="center"/>
        <w:rPr>
          <w:rFonts w:ascii="Garamond" w:hAnsi="Garamond" w:cs="Times New Roman"/>
          <w:b/>
          <w:bCs/>
          <w:sz w:val="24"/>
          <w:szCs w:val="24"/>
        </w:rPr>
      </w:pPr>
    </w:p>
    <w:p w14:paraId="24806147" w14:textId="77777777" w:rsidR="00DD5522" w:rsidRDefault="009B3691" w:rsidP="009B3691">
      <w:pPr>
        <w:shd w:val="clear" w:color="auto" w:fill="FFFFFF" w:themeFill="background1"/>
        <w:spacing w:after="0" w:line="240" w:lineRule="auto"/>
        <w:ind w:firstLine="284"/>
        <w:contextualSpacing/>
        <w:jc w:val="center"/>
        <w:rPr>
          <w:rFonts w:ascii="Garamond" w:hAnsi="Garamond" w:cs="Times New Roman"/>
          <w:bCs/>
          <w:sz w:val="24"/>
          <w:szCs w:val="24"/>
        </w:rPr>
      </w:pPr>
      <w:r w:rsidRPr="009B3691">
        <w:rPr>
          <w:rFonts w:ascii="Garamond" w:hAnsi="Garamond" w:cs="Times New Roman"/>
          <w:bCs/>
          <w:sz w:val="24"/>
          <w:szCs w:val="24"/>
        </w:rPr>
        <w:t>VENDOS</w:t>
      </w:r>
      <w:r w:rsidR="00DD5522" w:rsidRPr="009B3691">
        <w:rPr>
          <w:rFonts w:ascii="Garamond" w:hAnsi="Garamond" w:cs="Times New Roman"/>
          <w:bCs/>
          <w:sz w:val="24"/>
          <w:szCs w:val="24"/>
        </w:rPr>
        <w:t>I:</w:t>
      </w:r>
    </w:p>
    <w:p w14:paraId="28A5722A" w14:textId="77777777" w:rsidR="0083794C" w:rsidRPr="009B3691" w:rsidRDefault="0083794C" w:rsidP="009B3691">
      <w:pPr>
        <w:shd w:val="clear" w:color="auto" w:fill="FFFFFF" w:themeFill="background1"/>
        <w:spacing w:after="0" w:line="240" w:lineRule="auto"/>
        <w:ind w:firstLine="284"/>
        <w:contextualSpacing/>
        <w:jc w:val="center"/>
        <w:rPr>
          <w:rFonts w:ascii="Garamond" w:eastAsia="Calibri" w:hAnsi="Garamond" w:cs="Times New Roman"/>
          <w:sz w:val="24"/>
          <w:szCs w:val="24"/>
          <w:lang w:eastAsia="fr-FR"/>
        </w:rPr>
      </w:pPr>
    </w:p>
    <w:p w14:paraId="24806148" w14:textId="77777777" w:rsidR="008668E8" w:rsidRPr="009B3691" w:rsidRDefault="009B3691" w:rsidP="009B3691">
      <w:pPr>
        <w:spacing w:after="0" w:line="240" w:lineRule="auto"/>
        <w:ind w:firstLine="284"/>
        <w:jc w:val="both"/>
        <w:rPr>
          <w:rFonts w:ascii="Garamond" w:hAnsi="Garamond"/>
          <w:sz w:val="24"/>
        </w:rPr>
      </w:pPr>
      <w:r>
        <w:rPr>
          <w:rFonts w:ascii="Garamond" w:hAnsi="Garamond"/>
          <w:sz w:val="24"/>
        </w:rPr>
        <w:t xml:space="preserve">1. </w:t>
      </w:r>
      <w:r w:rsidR="008668E8" w:rsidRPr="009B3691">
        <w:rPr>
          <w:rFonts w:ascii="Garamond" w:hAnsi="Garamond"/>
          <w:sz w:val="24"/>
        </w:rPr>
        <w:t>Pranimin pjesërisht të kërkesës.</w:t>
      </w:r>
    </w:p>
    <w:p w14:paraId="24806149" w14:textId="2D766338" w:rsidR="008668E8" w:rsidRPr="009B3691" w:rsidRDefault="009B3691" w:rsidP="009B3691">
      <w:pPr>
        <w:spacing w:after="0" w:line="240" w:lineRule="auto"/>
        <w:ind w:firstLine="284"/>
        <w:jc w:val="both"/>
        <w:rPr>
          <w:rFonts w:ascii="Garamond" w:hAnsi="Garamond"/>
          <w:sz w:val="24"/>
        </w:rPr>
      </w:pPr>
      <w:r>
        <w:rPr>
          <w:rFonts w:ascii="Garamond" w:hAnsi="Garamond"/>
          <w:sz w:val="24"/>
        </w:rPr>
        <w:t xml:space="preserve">2. </w:t>
      </w:r>
      <w:r w:rsidR="008668E8" w:rsidRPr="009B3691">
        <w:rPr>
          <w:rFonts w:ascii="Garamond" w:hAnsi="Garamond"/>
          <w:sz w:val="24"/>
        </w:rPr>
        <w:t xml:space="preserve">Shfuqizimin </w:t>
      </w:r>
      <w:r w:rsidR="00AE4F00" w:rsidRPr="009B3691">
        <w:rPr>
          <w:rFonts w:ascii="Garamond" w:hAnsi="Garamond"/>
          <w:sz w:val="24"/>
        </w:rPr>
        <w:t>e vendimit nr. 00-2021-670 (63), datë 26.10.2021</w:t>
      </w:r>
      <w:r w:rsidR="00CE66E6">
        <w:rPr>
          <w:rFonts w:ascii="Garamond" w:hAnsi="Garamond"/>
          <w:sz w:val="24"/>
        </w:rPr>
        <w:t>,</w:t>
      </w:r>
      <w:r w:rsidR="00AE4F00" w:rsidRPr="009B3691">
        <w:rPr>
          <w:rFonts w:ascii="Garamond" w:hAnsi="Garamond"/>
          <w:sz w:val="24"/>
        </w:rPr>
        <w:t xml:space="preserve"> të Kolegjit Penal të Gjykatës së Lartë, </w:t>
      </w:r>
      <w:r w:rsidR="008668E8" w:rsidRPr="009B3691">
        <w:rPr>
          <w:rFonts w:ascii="Garamond" w:hAnsi="Garamond"/>
          <w:sz w:val="24"/>
        </w:rPr>
        <w:t>si të papajtueshëm me Kushtet</w:t>
      </w:r>
      <w:r w:rsidR="00CB5517" w:rsidRPr="009B3691">
        <w:rPr>
          <w:rFonts w:ascii="Garamond" w:hAnsi="Garamond"/>
          <w:sz w:val="24"/>
        </w:rPr>
        <w:t>utën e Republikës së Shqipërisë.</w:t>
      </w:r>
    </w:p>
    <w:p w14:paraId="2480614A" w14:textId="77777777" w:rsidR="008668E8" w:rsidRPr="009B3691" w:rsidRDefault="009B3691" w:rsidP="009B3691">
      <w:pPr>
        <w:spacing w:after="0" w:line="240" w:lineRule="auto"/>
        <w:ind w:firstLine="284"/>
        <w:jc w:val="both"/>
        <w:rPr>
          <w:rFonts w:ascii="Garamond" w:hAnsi="Garamond"/>
          <w:sz w:val="24"/>
        </w:rPr>
      </w:pPr>
      <w:r>
        <w:rPr>
          <w:rFonts w:ascii="Garamond" w:hAnsi="Garamond"/>
          <w:sz w:val="24"/>
        </w:rPr>
        <w:t xml:space="preserve">3. </w:t>
      </w:r>
      <w:r w:rsidR="008668E8" w:rsidRPr="009B3691">
        <w:rPr>
          <w:rFonts w:ascii="Garamond" w:hAnsi="Garamond"/>
          <w:sz w:val="24"/>
        </w:rPr>
        <w:t>Dërgimin e çështjes për ri</w:t>
      </w:r>
      <w:r w:rsidR="00340BC3" w:rsidRPr="009B3691">
        <w:rPr>
          <w:rFonts w:ascii="Garamond" w:hAnsi="Garamond"/>
          <w:sz w:val="24"/>
        </w:rPr>
        <w:t xml:space="preserve">gjykim </w:t>
      </w:r>
      <w:r w:rsidR="00AE4F00" w:rsidRPr="009B3691">
        <w:rPr>
          <w:rFonts w:ascii="Garamond" w:hAnsi="Garamond"/>
          <w:sz w:val="24"/>
        </w:rPr>
        <w:t>në Gjykatën e Lartë.</w:t>
      </w:r>
    </w:p>
    <w:p w14:paraId="2480614B" w14:textId="77777777" w:rsidR="00DD5522" w:rsidRPr="009B3691" w:rsidRDefault="00A9276F" w:rsidP="009B3691">
      <w:pPr>
        <w:spacing w:after="0" w:line="240" w:lineRule="auto"/>
        <w:ind w:firstLine="284"/>
        <w:jc w:val="both"/>
        <w:rPr>
          <w:rFonts w:ascii="Garamond" w:hAnsi="Garamond"/>
          <w:sz w:val="24"/>
        </w:rPr>
      </w:pPr>
      <w:r w:rsidRPr="009B3691">
        <w:rPr>
          <w:rFonts w:ascii="Garamond" w:hAnsi="Garamond"/>
          <w:sz w:val="24"/>
        </w:rPr>
        <w:t xml:space="preserve">Ky vendim është përfundimtar </w:t>
      </w:r>
      <w:r w:rsidR="00DD5522" w:rsidRPr="009B3691">
        <w:rPr>
          <w:rFonts w:ascii="Garamond" w:hAnsi="Garamond"/>
          <w:sz w:val="24"/>
        </w:rPr>
        <w:t>dhe hyn në fuqi ditën e botimit në Fletoren Zyrtare.</w:t>
      </w:r>
    </w:p>
    <w:p w14:paraId="2480614C" w14:textId="77777777" w:rsidR="009B3691" w:rsidRDefault="009B3691" w:rsidP="009B3691">
      <w:pPr>
        <w:shd w:val="clear" w:color="auto" w:fill="FFFFFF" w:themeFill="background1"/>
        <w:spacing w:after="0" w:line="240" w:lineRule="auto"/>
        <w:ind w:firstLine="284"/>
        <w:contextualSpacing/>
        <w:jc w:val="both"/>
        <w:rPr>
          <w:rFonts w:ascii="Garamond" w:hAnsi="Garamond" w:cs="Times New Roman"/>
          <w:b/>
          <w:bCs/>
          <w:sz w:val="24"/>
          <w:szCs w:val="24"/>
        </w:rPr>
      </w:pPr>
    </w:p>
    <w:p w14:paraId="2480614D" w14:textId="093F172C" w:rsidR="00DD5522" w:rsidRPr="009B3691" w:rsidRDefault="00483317" w:rsidP="009B3691">
      <w:pPr>
        <w:shd w:val="clear" w:color="auto" w:fill="FFFFFF" w:themeFill="background1"/>
        <w:spacing w:after="0" w:line="240" w:lineRule="auto"/>
        <w:ind w:firstLine="284"/>
        <w:contextualSpacing/>
        <w:jc w:val="both"/>
        <w:rPr>
          <w:rFonts w:ascii="Garamond" w:hAnsi="Garamond" w:cs="Times New Roman"/>
          <w:bCs/>
          <w:sz w:val="24"/>
          <w:szCs w:val="24"/>
        </w:rPr>
      </w:pPr>
      <w:r>
        <w:rPr>
          <w:rFonts w:ascii="Garamond" w:hAnsi="Garamond" w:cs="Times New Roman"/>
          <w:bCs/>
          <w:sz w:val="24"/>
          <w:szCs w:val="24"/>
        </w:rPr>
        <w:t>Marrë më 26.</w:t>
      </w:r>
      <w:r w:rsidR="008668E8" w:rsidRPr="009B3691">
        <w:rPr>
          <w:rFonts w:ascii="Garamond" w:hAnsi="Garamond" w:cs="Times New Roman"/>
          <w:bCs/>
          <w:sz w:val="24"/>
          <w:szCs w:val="24"/>
        </w:rPr>
        <w:t>9</w:t>
      </w:r>
      <w:r w:rsidR="00F564AD" w:rsidRPr="009B3691">
        <w:rPr>
          <w:rFonts w:ascii="Garamond" w:hAnsi="Garamond" w:cs="Times New Roman"/>
          <w:bCs/>
          <w:sz w:val="24"/>
          <w:szCs w:val="24"/>
        </w:rPr>
        <w:t>.202</w:t>
      </w:r>
      <w:r w:rsidR="00EF4D06" w:rsidRPr="009B3691">
        <w:rPr>
          <w:rFonts w:ascii="Garamond" w:hAnsi="Garamond" w:cs="Times New Roman"/>
          <w:bCs/>
          <w:sz w:val="24"/>
          <w:szCs w:val="24"/>
        </w:rPr>
        <w:t>2</w:t>
      </w:r>
      <w:r>
        <w:rPr>
          <w:rFonts w:ascii="Garamond" w:hAnsi="Garamond" w:cs="Times New Roman"/>
          <w:bCs/>
          <w:sz w:val="24"/>
          <w:szCs w:val="24"/>
        </w:rPr>
        <w:t>.</w:t>
      </w:r>
    </w:p>
    <w:p w14:paraId="2480614E" w14:textId="1520DE90" w:rsidR="00DD5522" w:rsidRDefault="00DD5522" w:rsidP="009B3691">
      <w:pPr>
        <w:shd w:val="clear" w:color="auto" w:fill="FFFFFF" w:themeFill="background1"/>
        <w:spacing w:after="0" w:line="240" w:lineRule="auto"/>
        <w:ind w:firstLine="284"/>
        <w:contextualSpacing/>
        <w:jc w:val="both"/>
        <w:rPr>
          <w:rFonts w:ascii="Garamond" w:hAnsi="Garamond" w:cs="Times New Roman"/>
          <w:bCs/>
          <w:sz w:val="24"/>
          <w:szCs w:val="24"/>
        </w:rPr>
      </w:pPr>
      <w:r w:rsidRPr="009B3691">
        <w:rPr>
          <w:rFonts w:ascii="Garamond" w:hAnsi="Garamond" w:cs="Times New Roman"/>
          <w:bCs/>
          <w:sz w:val="24"/>
          <w:szCs w:val="24"/>
        </w:rPr>
        <w:t>Shpallur më</w:t>
      </w:r>
      <w:r w:rsidR="007F188F" w:rsidRPr="009B3691">
        <w:rPr>
          <w:rFonts w:ascii="Garamond" w:hAnsi="Garamond" w:cs="Times New Roman"/>
          <w:bCs/>
          <w:sz w:val="24"/>
          <w:szCs w:val="24"/>
        </w:rPr>
        <w:t xml:space="preserve"> 28.10</w:t>
      </w:r>
      <w:r w:rsidRPr="009B3691">
        <w:rPr>
          <w:rFonts w:ascii="Garamond" w:hAnsi="Garamond" w:cs="Times New Roman"/>
          <w:bCs/>
          <w:sz w:val="24"/>
          <w:szCs w:val="24"/>
        </w:rPr>
        <w:t>.202</w:t>
      </w:r>
      <w:r w:rsidR="00F772B5" w:rsidRPr="009B3691">
        <w:rPr>
          <w:rFonts w:ascii="Garamond" w:hAnsi="Garamond" w:cs="Times New Roman"/>
          <w:bCs/>
          <w:sz w:val="24"/>
          <w:szCs w:val="24"/>
        </w:rPr>
        <w:t>2</w:t>
      </w:r>
      <w:r w:rsidR="00483317">
        <w:rPr>
          <w:rFonts w:ascii="Garamond" w:hAnsi="Garamond" w:cs="Times New Roman"/>
          <w:bCs/>
          <w:sz w:val="24"/>
          <w:szCs w:val="24"/>
        </w:rPr>
        <w:t>.</w:t>
      </w:r>
    </w:p>
    <w:p w14:paraId="2480614F" w14:textId="77777777" w:rsidR="009B3691" w:rsidRPr="009B3691" w:rsidRDefault="009B3691" w:rsidP="009B3691">
      <w:pPr>
        <w:shd w:val="clear" w:color="auto" w:fill="FFFFFF" w:themeFill="background1"/>
        <w:spacing w:after="0" w:line="240" w:lineRule="auto"/>
        <w:ind w:firstLine="284"/>
        <w:contextualSpacing/>
        <w:jc w:val="both"/>
        <w:rPr>
          <w:rFonts w:ascii="Garamond" w:hAnsi="Garamond" w:cs="Times New Roman"/>
          <w:bCs/>
          <w:sz w:val="24"/>
          <w:szCs w:val="24"/>
        </w:rPr>
      </w:pPr>
    </w:p>
    <w:p w14:paraId="24806150" w14:textId="77777777" w:rsidR="007F188F" w:rsidRDefault="009B3691" w:rsidP="009B3691">
      <w:pPr>
        <w:spacing w:after="0" w:line="240" w:lineRule="auto"/>
        <w:ind w:firstLine="284"/>
        <w:jc w:val="both"/>
        <w:rPr>
          <w:rFonts w:ascii="Garamond" w:hAnsi="Garamond"/>
          <w:bCs/>
          <w:sz w:val="24"/>
          <w:szCs w:val="24"/>
        </w:rPr>
      </w:pPr>
      <w:r>
        <w:rPr>
          <w:rFonts w:ascii="Garamond" w:hAnsi="Garamond"/>
          <w:bCs/>
          <w:sz w:val="24"/>
          <w:szCs w:val="24"/>
        </w:rPr>
        <w:t xml:space="preserve">Kryetare: </w:t>
      </w:r>
      <w:r w:rsidRPr="009B3691">
        <w:rPr>
          <w:rFonts w:ascii="Garamond" w:hAnsi="Garamond"/>
          <w:bCs/>
          <w:sz w:val="24"/>
          <w:szCs w:val="24"/>
        </w:rPr>
        <w:t xml:space="preserve">Vitore Tusha </w:t>
      </w:r>
    </w:p>
    <w:p w14:paraId="24806152" w14:textId="6E19716C" w:rsidR="007F188F" w:rsidRPr="009B3691" w:rsidRDefault="009B3691" w:rsidP="0083794C">
      <w:pPr>
        <w:spacing w:after="0" w:line="240" w:lineRule="auto"/>
        <w:ind w:firstLine="284"/>
        <w:jc w:val="both"/>
        <w:rPr>
          <w:rFonts w:ascii="Garamond" w:hAnsi="Garamond"/>
          <w:b/>
          <w:bCs/>
          <w:sz w:val="24"/>
          <w:szCs w:val="24"/>
        </w:rPr>
      </w:pPr>
      <w:r>
        <w:rPr>
          <w:rFonts w:ascii="Garamond" w:hAnsi="Garamond"/>
          <w:bCs/>
          <w:sz w:val="24"/>
          <w:szCs w:val="24"/>
        </w:rPr>
        <w:t>Anëtar</w:t>
      </w:r>
      <w:r w:rsidR="00483317">
        <w:rPr>
          <w:rFonts w:ascii="Garamond" w:hAnsi="Garamond"/>
          <w:bCs/>
          <w:sz w:val="24"/>
          <w:szCs w:val="24"/>
        </w:rPr>
        <w:t>ë</w:t>
      </w:r>
      <w:r>
        <w:rPr>
          <w:rFonts w:ascii="Garamond" w:hAnsi="Garamond"/>
          <w:bCs/>
          <w:sz w:val="24"/>
          <w:szCs w:val="24"/>
        </w:rPr>
        <w:t>:</w:t>
      </w:r>
      <w:r w:rsidRPr="009B3691">
        <w:rPr>
          <w:rFonts w:ascii="Garamond" w:hAnsi="Garamond"/>
          <w:bCs/>
          <w:sz w:val="24"/>
          <w:szCs w:val="24"/>
        </w:rPr>
        <w:t xml:space="preserve"> </w:t>
      </w:r>
      <w:proofErr w:type="spellStart"/>
      <w:r w:rsidRPr="009B3691">
        <w:rPr>
          <w:rFonts w:ascii="Garamond" w:hAnsi="Garamond"/>
          <w:bCs/>
          <w:sz w:val="24"/>
          <w:szCs w:val="24"/>
        </w:rPr>
        <w:t>Fiona</w:t>
      </w:r>
      <w:proofErr w:type="spellEnd"/>
      <w:r w:rsidRPr="009B3691">
        <w:rPr>
          <w:rFonts w:ascii="Garamond" w:hAnsi="Garamond"/>
          <w:bCs/>
          <w:sz w:val="24"/>
          <w:szCs w:val="24"/>
        </w:rPr>
        <w:t xml:space="preserve"> </w:t>
      </w:r>
      <w:proofErr w:type="spellStart"/>
      <w:r w:rsidRPr="009B3691">
        <w:rPr>
          <w:rFonts w:ascii="Garamond" w:hAnsi="Garamond"/>
          <w:bCs/>
          <w:sz w:val="24"/>
          <w:szCs w:val="24"/>
        </w:rPr>
        <w:t>Papajorgji</w:t>
      </w:r>
      <w:proofErr w:type="spellEnd"/>
      <w:r>
        <w:rPr>
          <w:rFonts w:ascii="Garamond" w:hAnsi="Garamond"/>
          <w:bCs/>
          <w:sz w:val="24"/>
          <w:szCs w:val="24"/>
        </w:rPr>
        <w:t>,</w:t>
      </w:r>
      <w:r w:rsidRPr="009B3691">
        <w:rPr>
          <w:rFonts w:ascii="Garamond" w:hAnsi="Garamond"/>
          <w:bCs/>
          <w:sz w:val="24"/>
          <w:szCs w:val="24"/>
        </w:rPr>
        <w:t xml:space="preserve"> </w:t>
      </w:r>
      <w:proofErr w:type="spellStart"/>
      <w:r w:rsidRPr="009B3691">
        <w:rPr>
          <w:rFonts w:ascii="Garamond" w:hAnsi="Garamond"/>
          <w:bCs/>
          <w:sz w:val="24"/>
          <w:szCs w:val="24"/>
        </w:rPr>
        <w:t>Marsida</w:t>
      </w:r>
      <w:proofErr w:type="spellEnd"/>
      <w:r w:rsidRPr="009B3691">
        <w:rPr>
          <w:rFonts w:ascii="Garamond" w:hAnsi="Garamond"/>
          <w:bCs/>
          <w:sz w:val="24"/>
          <w:szCs w:val="24"/>
        </w:rPr>
        <w:t xml:space="preserve"> </w:t>
      </w:r>
      <w:proofErr w:type="spellStart"/>
      <w:r w:rsidRPr="009B3691">
        <w:rPr>
          <w:rFonts w:ascii="Garamond" w:hAnsi="Garamond"/>
          <w:bCs/>
          <w:sz w:val="24"/>
          <w:szCs w:val="24"/>
        </w:rPr>
        <w:t>Xhaferllari</w:t>
      </w:r>
      <w:proofErr w:type="spellEnd"/>
      <w:r>
        <w:rPr>
          <w:rFonts w:ascii="Garamond" w:hAnsi="Garamond"/>
          <w:bCs/>
          <w:sz w:val="24"/>
          <w:szCs w:val="24"/>
        </w:rPr>
        <w:t>,</w:t>
      </w:r>
      <w:r w:rsidRPr="009B3691">
        <w:rPr>
          <w:rFonts w:ascii="Garamond" w:hAnsi="Garamond"/>
          <w:bCs/>
          <w:sz w:val="24"/>
          <w:szCs w:val="24"/>
        </w:rPr>
        <w:t xml:space="preserve"> </w:t>
      </w:r>
      <w:proofErr w:type="spellStart"/>
      <w:r w:rsidRPr="009B3691">
        <w:rPr>
          <w:rFonts w:ascii="Garamond" w:hAnsi="Garamond"/>
          <w:bCs/>
          <w:sz w:val="24"/>
          <w:szCs w:val="24"/>
        </w:rPr>
        <w:t>Sonila</w:t>
      </w:r>
      <w:proofErr w:type="spellEnd"/>
      <w:r w:rsidRPr="009B3691">
        <w:rPr>
          <w:rFonts w:ascii="Garamond" w:hAnsi="Garamond"/>
          <w:bCs/>
          <w:sz w:val="24"/>
          <w:szCs w:val="24"/>
        </w:rPr>
        <w:t xml:space="preserve"> Bejtja</w:t>
      </w:r>
      <w:r>
        <w:rPr>
          <w:rFonts w:ascii="Garamond" w:hAnsi="Garamond"/>
          <w:bCs/>
          <w:sz w:val="24"/>
          <w:szCs w:val="24"/>
        </w:rPr>
        <w:t>,</w:t>
      </w:r>
      <w:r w:rsidRPr="009B3691">
        <w:rPr>
          <w:rFonts w:ascii="Garamond" w:hAnsi="Garamond"/>
          <w:bCs/>
          <w:sz w:val="24"/>
          <w:szCs w:val="24"/>
        </w:rPr>
        <w:t xml:space="preserve"> </w:t>
      </w:r>
      <w:proofErr w:type="spellStart"/>
      <w:r w:rsidRPr="009B3691">
        <w:rPr>
          <w:rFonts w:ascii="Garamond" w:hAnsi="Garamond"/>
          <w:bCs/>
          <w:sz w:val="24"/>
          <w:szCs w:val="24"/>
        </w:rPr>
        <w:t>Elsa</w:t>
      </w:r>
      <w:proofErr w:type="spellEnd"/>
      <w:r w:rsidRPr="009B3691">
        <w:rPr>
          <w:rFonts w:ascii="Garamond" w:hAnsi="Garamond"/>
          <w:bCs/>
          <w:sz w:val="24"/>
          <w:szCs w:val="24"/>
        </w:rPr>
        <w:t xml:space="preserve"> Toska</w:t>
      </w:r>
      <w:r>
        <w:rPr>
          <w:rFonts w:ascii="Garamond" w:hAnsi="Garamond"/>
          <w:bCs/>
          <w:sz w:val="24"/>
          <w:szCs w:val="24"/>
        </w:rPr>
        <w:t>,</w:t>
      </w:r>
      <w:r w:rsidRPr="009B3691">
        <w:rPr>
          <w:rFonts w:ascii="Garamond" w:hAnsi="Garamond"/>
          <w:bCs/>
          <w:sz w:val="24"/>
          <w:szCs w:val="24"/>
        </w:rPr>
        <w:t xml:space="preserve"> Altin </w:t>
      </w:r>
      <w:proofErr w:type="spellStart"/>
      <w:r w:rsidRPr="009B3691">
        <w:rPr>
          <w:rFonts w:ascii="Garamond" w:hAnsi="Garamond"/>
          <w:bCs/>
          <w:sz w:val="24"/>
          <w:szCs w:val="24"/>
        </w:rPr>
        <w:t>Binaj</w:t>
      </w:r>
      <w:proofErr w:type="spellEnd"/>
      <w:r>
        <w:rPr>
          <w:rFonts w:ascii="Garamond" w:hAnsi="Garamond"/>
          <w:bCs/>
          <w:sz w:val="24"/>
          <w:szCs w:val="24"/>
        </w:rPr>
        <w:t>,</w:t>
      </w:r>
      <w:r w:rsidRPr="009B3691">
        <w:rPr>
          <w:rFonts w:ascii="Garamond" w:hAnsi="Garamond"/>
          <w:bCs/>
          <w:sz w:val="24"/>
          <w:szCs w:val="24"/>
        </w:rPr>
        <w:t xml:space="preserve"> </w:t>
      </w:r>
      <w:proofErr w:type="spellStart"/>
      <w:r w:rsidRPr="009B3691">
        <w:rPr>
          <w:rFonts w:ascii="Garamond" w:hAnsi="Garamond"/>
          <w:bCs/>
          <w:sz w:val="24"/>
          <w:szCs w:val="24"/>
        </w:rPr>
        <w:t>Sandër</w:t>
      </w:r>
      <w:proofErr w:type="spellEnd"/>
      <w:r w:rsidRPr="009B3691">
        <w:rPr>
          <w:rFonts w:ascii="Garamond" w:hAnsi="Garamond"/>
          <w:bCs/>
          <w:sz w:val="24"/>
          <w:szCs w:val="24"/>
        </w:rPr>
        <w:t xml:space="preserve"> Beci</w:t>
      </w:r>
    </w:p>
    <w:sectPr w:rsidR="007F188F" w:rsidRPr="009B3691" w:rsidSect="009B3691">
      <w:footerReference w:type="default" r:id="rId13"/>
      <w:pgSz w:w="11909" w:h="16834"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2CCCF" w14:textId="77777777" w:rsidR="004E0E1D" w:rsidRDefault="004E0E1D" w:rsidP="000B4E01">
      <w:pPr>
        <w:spacing w:after="0" w:line="240" w:lineRule="auto"/>
      </w:pPr>
      <w:r>
        <w:separator/>
      </w:r>
    </w:p>
  </w:endnote>
  <w:endnote w:type="continuationSeparator" w:id="0">
    <w:p w14:paraId="7248BE6F" w14:textId="77777777" w:rsidR="004E0E1D" w:rsidRDefault="004E0E1D" w:rsidP="000B4E01">
      <w:pPr>
        <w:spacing w:after="0" w:line="240" w:lineRule="auto"/>
      </w:pPr>
      <w:r>
        <w:continuationSeparator/>
      </w:r>
    </w:p>
  </w:endnote>
  <w:endnote w:type="continuationNotice" w:id="1">
    <w:p w14:paraId="5A58C966" w14:textId="77777777" w:rsidR="002B6079" w:rsidRDefault="002B6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06157" w14:textId="77777777" w:rsidR="004E0E1D" w:rsidRDefault="004E0E1D">
    <w:pPr>
      <w:pStyle w:val="Footer"/>
      <w:jc w:val="right"/>
    </w:pPr>
  </w:p>
  <w:p w14:paraId="24806158" w14:textId="77777777" w:rsidR="004E0E1D" w:rsidRDefault="004E0E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8AFC0" w14:textId="77777777" w:rsidR="004E0E1D" w:rsidRDefault="004E0E1D" w:rsidP="000B4E01">
      <w:pPr>
        <w:spacing w:after="0" w:line="240" w:lineRule="auto"/>
      </w:pPr>
      <w:r>
        <w:separator/>
      </w:r>
    </w:p>
  </w:footnote>
  <w:footnote w:type="continuationSeparator" w:id="0">
    <w:p w14:paraId="4CBD71F0" w14:textId="77777777" w:rsidR="004E0E1D" w:rsidRDefault="004E0E1D" w:rsidP="000B4E01">
      <w:pPr>
        <w:spacing w:after="0" w:line="240" w:lineRule="auto"/>
      </w:pPr>
      <w:r>
        <w:continuationSeparator/>
      </w:r>
    </w:p>
  </w:footnote>
  <w:footnote w:type="continuationNotice" w:id="1">
    <w:p w14:paraId="5F6E8CB8" w14:textId="77777777" w:rsidR="002B6079" w:rsidRDefault="002B6079">
      <w:pPr>
        <w:spacing w:after="0" w:line="240" w:lineRule="auto"/>
      </w:pPr>
    </w:p>
  </w:footnote>
  <w:footnote w:id="2">
    <w:p w14:paraId="24806159" w14:textId="77777777" w:rsidR="004E0E1D" w:rsidRPr="009B3691" w:rsidRDefault="004E0E1D" w:rsidP="009B3691">
      <w:pPr>
        <w:pStyle w:val="FootnoteText"/>
        <w:jc w:val="both"/>
        <w:rPr>
          <w:rFonts w:ascii="Garamond" w:hAnsi="Garamond"/>
          <w:lang w:val="en-US"/>
        </w:rPr>
      </w:pPr>
      <w:r w:rsidRPr="009B3691">
        <w:rPr>
          <w:rStyle w:val="FootnoteReference"/>
          <w:rFonts w:ascii="Garamond" w:hAnsi="Garamond"/>
        </w:rPr>
        <w:footnoteRef/>
      </w:r>
      <w:r w:rsidRPr="009B3691">
        <w:rPr>
          <w:rFonts w:ascii="Garamond" w:hAnsi="Garamond"/>
        </w:rPr>
        <w:t xml:space="preserve"> </w:t>
      </w:r>
      <w:r w:rsidRPr="009B3691">
        <w:rPr>
          <w:rFonts w:ascii="Garamond" w:hAnsi="Garamond" w:cs="Times New Roman"/>
        </w:rPr>
        <w:t xml:space="preserve">Gjyqtarët Altin </w:t>
      </w:r>
      <w:proofErr w:type="spellStart"/>
      <w:r w:rsidRPr="009B3691">
        <w:rPr>
          <w:rFonts w:ascii="Garamond" w:hAnsi="Garamond" w:cs="Times New Roman"/>
        </w:rPr>
        <w:t>Binaj</w:t>
      </w:r>
      <w:proofErr w:type="spellEnd"/>
      <w:r w:rsidRPr="009B3691">
        <w:rPr>
          <w:rFonts w:ascii="Garamond" w:hAnsi="Garamond" w:cs="Times New Roman"/>
        </w:rPr>
        <w:t xml:space="preserve"> dhe </w:t>
      </w:r>
      <w:proofErr w:type="spellStart"/>
      <w:r w:rsidRPr="009B3691">
        <w:rPr>
          <w:rFonts w:ascii="Garamond" w:hAnsi="Garamond" w:cs="Times New Roman"/>
        </w:rPr>
        <w:t>Sandër</w:t>
      </w:r>
      <w:proofErr w:type="spellEnd"/>
      <w:r w:rsidRPr="009B3691">
        <w:rPr>
          <w:rFonts w:ascii="Garamond" w:hAnsi="Garamond" w:cs="Times New Roman"/>
        </w:rPr>
        <w:t xml:space="preserve"> Beci votuan vetëm për cenimin e parimit të paanshmërisë gjatë gjykimit në Gjykatën e Lartë.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7875"/>
    <w:multiLevelType w:val="multilevel"/>
    <w:tmpl w:val="28C8C4A2"/>
    <w:lvl w:ilvl="0">
      <w:start w:val="42"/>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3E5C32"/>
    <w:multiLevelType w:val="multilevel"/>
    <w:tmpl w:val="C640FBA8"/>
    <w:lvl w:ilvl="0">
      <w:start w:val="18"/>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0F113AA9"/>
    <w:multiLevelType w:val="hybridMultilevel"/>
    <w:tmpl w:val="55E815C8"/>
    <w:lvl w:ilvl="0" w:tplc="CE4E3658">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365A9"/>
    <w:multiLevelType w:val="multilevel"/>
    <w:tmpl w:val="C778C3F6"/>
    <w:lvl w:ilvl="0">
      <w:start w:val="8"/>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AE50122"/>
    <w:multiLevelType w:val="hybridMultilevel"/>
    <w:tmpl w:val="317A75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E91C4F"/>
    <w:multiLevelType w:val="hybridMultilevel"/>
    <w:tmpl w:val="D5083942"/>
    <w:lvl w:ilvl="0" w:tplc="0409000F">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A34D3C"/>
    <w:multiLevelType w:val="multilevel"/>
    <w:tmpl w:val="A26449D4"/>
    <w:lvl w:ilvl="0">
      <w:start w:val="10"/>
      <w:numFmt w:val="decimal"/>
      <w:lvlText w:val="%1."/>
      <w:lvlJc w:val="left"/>
      <w:pPr>
        <w:ind w:left="480" w:hanging="480"/>
      </w:pPr>
      <w:rPr>
        <w:rFonts w:hint="default"/>
        <w:b w:val="0"/>
        <w:i w:val="0"/>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9">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49E06C0"/>
    <w:multiLevelType w:val="hybridMultilevel"/>
    <w:tmpl w:val="324612EA"/>
    <w:lvl w:ilvl="0" w:tplc="D7601D24">
      <w:start w:val="1"/>
      <w:numFmt w:val="decimal"/>
      <w:lvlText w:val="%1."/>
      <w:lvlJc w:val="left"/>
      <w:pPr>
        <w:ind w:left="644" w:hanging="360"/>
      </w:pPr>
      <w:rPr>
        <w:rFonts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1">
    <w:nsid w:val="26DE463A"/>
    <w:multiLevelType w:val="hybridMultilevel"/>
    <w:tmpl w:val="7548C88E"/>
    <w:lvl w:ilvl="0" w:tplc="D83AEB18">
      <w:start w:val="50"/>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nsid w:val="296B2423"/>
    <w:multiLevelType w:val="multilevel"/>
    <w:tmpl w:val="712ACF7C"/>
    <w:lvl w:ilvl="0">
      <w:start w:val="12"/>
      <w:numFmt w:val="decimal"/>
      <w:lvlText w:val="%1."/>
      <w:lvlJc w:val="left"/>
      <w:pPr>
        <w:ind w:left="1260" w:hanging="360"/>
      </w:pPr>
      <w:rPr>
        <w:rFonts w:hint="default"/>
      </w:rPr>
    </w:lvl>
    <w:lvl w:ilvl="1">
      <w:start w:val="1"/>
      <w:numFmt w:val="decimal"/>
      <w:isLgl/>
      <w:lvlText w:val="%1.%2."/>
      <w:lvlJc w:val="left"/>
      <w:pPr>
        <w:ind w:left="1380" w:hanging="480"/>
      </w:pPr>
      <w:rPr>
        <w:rFonts w:hint="default"/>
        <w:i w:val="0"/>
      </w:rPr>
    </w:lvl>
    <w:lvl w:ilvl="2">
      <w:start w:val="1"/>
      <w:numFmt w:val="decimal"/>
      <w:isLgl/>
      <w:lvlText w:val="%1.%2.%3."/>
      <w:lvlJc w:val="left"/>
      <w:pPr>
        <w:ind w:left="1620" w:hanging="720"/>
      </w:pPr>
      <w:rPr>
        <w:rFonts w:hint="default"/>
        <w:i w:val="0"/>
      </w:rPr>
    </w:lvl>
    <w:lvl w:ilvl="3">
      <w:start w:val="1"/>
      <w:numFmt w:val="decimal"/>
      <w:isLgl/>
      <w:lvlText w:val="%1.%2.%3.%4."/>
      <w:lvlJc w:val="left"/>
      <w:pPr>
        <w:ind w:left="1620" w:hanging="720"/>
      </w:pPr>
      <w:rPr>
        <w:rFonts w:hint="default"/>
        <w:i/>
      </w:rPr>
    </w:lvl>
    <w:lvl w:ilvl="4">
      <w:start w:val="1"/>
      <w:numFmt w:val="decimal"/>
      <w:isLgl/>
      <w:lvlText w:val="%1.%2.%3.%4.%5."/>
      <w:lvlJc w:val="left"/>
      <w:pPr>
        <w:ind w:left="1980" w:hanging="1080"/>
      </w:pPr>
      <w:rPr>
        <w:rFonts w:hint="default"/>
        <w:i/>
      </w:rPr>
    </w:lvl>
    <w:lvl w:ilvl="5">
      <w:start w:val="1"/>
      <w:numFmt w:val="decimal"/>
      <w:isLgl/>
      <w:lvlText w:val="%1.%2.%3.%4.%5.%6."/>
      <w:lvlJc w:val="left"/>
      <w:pPr>
        <w:ind w:left="1980" w:hanging="1080"/>
      </w:pPr>
      <w:rPr>
        <w:rFonts w:hint="default"/>
        <w:i/>
      </w:rPr>
    </w:lvl>
    <w:lvl w:ilvl="6">
      <w:start w:val="1"/>
      <w:numFmt w:val="decimal"/>
      <w:isLgl/>
      <w:lvlText w:val="%1.%2.%3.%4.%5.%6.%7."/>
      <w:lvlJc w:val="left"/>
      <w:pPr>
        <w:ind w:left="2340" w:hanging="1440"/>
      </w:pPr>
      <w:rPr>
        <w:rFonts w:hint="default"/>
        <w:i/>
      </w:rPr>
    </w:lvl>
    <w:lvl w:ilvl="7">
      <w:start w:val="1"/>
      <w:numFmt w:val="decimal"/>
      <w:isLgl/>
      <w:lvlText w:val="%1.%2.%3.%4.%5.%6.%7.%8."/>
      <w:lvlJc w:val="left"/>
      <w:pPr>
        <w:ind w:left="2340" w:hanging="1440"/>
      </w:pPr>
      <w:rPr>
        <w:rFonts w:hint="default"/>
        <w:i/>
      </w:rPr>
    </w:lvl>
    <w:lvl w:ilvl="8">
      <w:start w:val="1"/>
      <w:numFmt w:val="decimal"/>
      <w:isLgl/>
      <w:lvlText w:val="%1.%2.%3.%4.%5.%6.%7.%8.%9."/>
      <w:lvlJc w:val="left"/>
      <w:pPr>
        <w:ind w:left="2700" w:hanging="1800"/>
      </w:pPr>
      <w:rPr>
        <w:rFonts w:hint="default"/>
        <w:i/>
      </w:rPr>
    </w:lvl>
  </w:abstractNum>
  <w:abstractNum w:abstractNumId="13">
    <w:nsid w:val="39356C1E"/>
    <w:multiLevelType w:val="hybridMultilevel"/>
    <w:tmpl w:val="C6788F00"/>
    <w:lvl w:ilvl="0" w:tplc="AD8C7068">
      <w:start w:val="1"/>
      <w:numFmt w:val="upperRoman"/>
      <w:pStyle w:val="Heading1"/>
      <w:lvlText w:val="%1."/>
      <w:lvlJc w:val="left"/>
      <w:pPr>
        <w:tabs>
          <w:tab w:val="num" w:pos="1176"/>
        </w:tabs>
        <w:ind w:left="1176" w:hanging="720"/>
      </w:pPr>
      <w:rPr>
        <w:rFonts w:ascii="Arial" w:hAnsi="Arial" w:hint="default"/>
      </w:rPr>
    </w:lvl>
    <w:lvl w:ilvl="1" w:tplc="8236F918">
      <w:start w:val="1"/>
      <w:numFmt w:val="upperLetter"/>
      <w:pStyle w:val="Heading2"/>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FCF1A4A"/>
    <w:multiLevelType w:val="hybridMultilevel"/>
    <w:tmpl w:val="C04A7572"/>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78D2F35"/>
    <w:multiLevelType w:val="hybridMultilevel"/>
    <w:tmpl w:val="AE6E3D80"/>
    <w:lvl w:ilvl="0" w:tplc="EDC65690">
      <w:start w:val="24"/>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47D44876"/>
    <w:multiLevelType w:val="multilevel"/>
    <w:tmpl w:val="51EE67E0"/>
    <w:lvl w:ilvl="0">
      <w:start w:val="46"/>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
    <w:nsid w:val="4FC2085C"/>
    <w:multiLevelType w:val="multilevel"/>
    <w:tmpl w:val="EF9A7E50"/>
    <w:lvl w:ilvl="0">
      <w:start w:val="25"/>
      <w:numFmt w:val="decimal"/>
      <w:lvlText w:val="%1."/>
      <w:lvlJc w:val="left"/>
      <w:pPr>
        <w:ind w:left="1440" w:hanging="360"/>
      </w:pPr>
      <w:rPr>
        <w:rFonts w:ascii="Times New Roman" w:eastAsiaTheme="minorHAnsi" w:hAnsi="Times New Roman" w:cs="Times New Roman" w:hint="default"/>
        <w:b w:val="0"/>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2610F1F"/>
    <w:multiLevelType w:val="hybridMultilevel"/>
    <w:tmpl w:val="C48CA7CC"/>
    <w:lvl w:ilvl="0" w:tplc="DAFECA7E">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5B4406B9"/>
    <w:multiLevelType w:val="multilevel"/>
    <w:tmpl w:val="262E0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B6A2CC4"/>
    <w:multiLevelType w:val="hybridMultilevel"/>
    <w:tmpl w:val="DA2A07BA"/>
    <w:lvl w:ilvl="0" w:tplc="5E82F5CA">
      <w:start w:val="39"/>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3C24EB6"/>
    <w:multiLevelType w:val="multilevel"/>
    <w:tmpl w:val="117E72E4"/>
    <w:lvl w:ilvl="0">
      <w:start w:val="2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8752569"/>
    <w:multiLevelType w:val="hybridMultilevel"/>
    <w:tmpl w:val="D54A0892"/>
    <w:lvl w:ilvl="0" w:tplc="D5826D6A">
      <w:start w:val="20"/>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4">
    <w:nsid w:val="68BB2AA4"/>
    <w:multiLevelType w:val="hybridMultilevel"/>
    <w:tmpl w:val="DE48168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297616"/>
    <w:multiLevelType w:val="multilevel"/>
    <w:tmpl w:val="C9904F5C"/>
    <w:lvl w:ilvl="0">
      <w:start w:val="21"/>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255677C"/>
    <w:multiLevelType w:val="hybridMultilevel"/>
    <w:tmpl w:val="321CC882"/>
    <w:lvl w:ilvl="0" w:tplc="58B45FF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E023C6"/>
    <w:multiLevelType w:val="hybridMultilevel"/>
    <w:tmpl w:val="0A34BB74"/>
    <w:lvl w:ilvl="0" w:tplc="0E320ABC">
      <w:start w:val="5"/>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27"/>
  </w:num>
  <w:num w:numId="3">
    <w:abstractNumId w:val="12"/>
  </w:num>
  <w:num w:numId="4">
    <w:abstractNumId w:val="24"/>
  </w:num>
  <w:num w:numId="5">
    <w:abstractNumId w:val="22"/>
  </w:num>
  <w:num w:numId="6">
    <w:abstractNumId w:val="0"/>
  </w:num>
  <w:num w:numId="7">
    <w:abstractNumId w:val="4"/>
  </w:num>
  <w:num w:numId="8">
    <w:abstractNumId w:val="19"/>
  </w:num>
  <w:num w:numId="9">
    <w:abstractNumId w:val="18"/>
  </w:num>
  <w:num w:numId="10">
    <w:abstractNumId w:val="6"/>
  </w:num>
  <w:num w:numId="11">
    <w:abstractNumId w:val="14"/>
  </w:num>
  <w:num w:numId="12">
    <w:abstractNumId w:val="13"/>
  </w:num>
  <w:num w:numId="13">
    <w:abstractNumId w:val="3"/>
  </w:num>
  <w:num w:numId="14">
    <w:abstractNumId w:val="25"/>
  </w:num>
  <w:num w:numId="15">
    <w:abstractNumId w:val="1"/>
  </w:num>
  <w:num w:numId="16">
    <w:abstractNumId w:val="11"/>
  </w:num>
  <w:num w:numId="17">
    <w:abstractNumId w:val="16"/>
  </w:num>
  <w:num w:numId="18">
    <w:abstractNumId w:val="10"/>
  </w:num>
  <w:num w:numId="19">
    <w:abstractNumId w:val="10"/>
  </w:num>
  <w:num w:numId="20">
    <w:abstractNumId w:val="2"/>
  </w:num>
  <w:num w:numId="21">
    <w:abstractNumId w:val="23"/>
  </w:num>
  <w:num w:numId="22">
    <w:abstractNumId w:val="9"/>
  </w:num>
  <w:num w:numId="23">
    <w:abstractNumId w:val="26"/>
  </w:num>
  <w:num w:numId="24">
    <w:abstractNumId w:val="7"/>
  </w:num>
  <w:num w:numId="25">
    <w:abstractNumId w:val="28"/>
  </w:num>
  <w:num w:numId="26">
    <w:abstractNumId w:val="8"/>
  </w:num>
  <w:num w:numId="27">
    <w:abstractNumId w:val="15"/>
  </w:num>
  <w:num w:numId="28">
    <w:abstractNumId w:val="17"/>
  </w:num>
  <w:num w:numId="29">
    <w:abstractNumId w:val="21"/>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DE"/>
    <w:rsid w:val="00001680"/>
    <w:rsid w:val="00001992"/>
    <w:rsid w:val="000025BE"/>
    <w:rsid w:val="0000406F"/>
    <w:rsid w:val="00013AA6"/>
    <w:rsid w:val="00013C78"/>
    <w:rsid w:val="000140DE"/>
    <w:rsid w:val="0001472A"/>
    <w:rsid w:val="000152E3"/>
    <w:rsid w:val="000152FB"/>
    <w:rsid w:val="00016287"/>
    <w:rsid w:val="000164F4"/>
    <w:rsid w:val="00016A7E"/>
    <w:rsid w:val="00023B31"/>
    <w:rsid w:val="00026E8A"/>
    <w:rsid w:val="00027183"/>
    <w:rsid w:val="000277B7"/>
    <w:rsid w:val="000314BF"/>
    <w:rsid w:val="00032F3D"/>
    <w:rsid w:val="00033AF7"/>
    <w:rsid w:val="00035421"/>
    <w:rsid w:val="00035841"/>
    <w:rsid w:val="000427EF"/>
    <w:rsid w:val="00043067"/>
    <w:rsid w:val="0004316F"/>
    <w:rsid w:val="00044A2F"/>
    <w:rsid w:val="00044D4C"/>
    <w:rsid w:val="00045004"/>
    <w:rsid w:val="0004692C"/>
    <w:rsid w:val="00050E16"/>
    <w:rsid w:val="00051D3C"/>
    <w:rsid w:val="00053491"/>
    <w:rsid w:val="00057096"/>
    <w:rsid w:val="000600E6"/>
    <w:rsid w:val="000632A4"/>
    <w:rsid w:val="00066564"/>
    <w:rsid w:val="00066773"/>
    <w:rsid w:val="000673B1"/>
    <w:rsid w:val="000719C6"/>
    <w:rsid w:val="00073F35"/>
    <w:rsid w:val="0007448F"/>
    <w:rsid w:val="00076309"/>
    <w:rsid w:val="000765DD"/>
    <w:rsid w:val="00080119"/>
    <w:rsid w:val="00081869"/>
    <w:rsid w:val="00082B19"/>
    <w:rsid w:val="00084A58"/>
    <w:rsid w:val="0008631C"/>
    <w:rsid w:val="000863E2"/>
    <w:rsid w:val="000873D9"/>
    <w:rsid w:val="00091226"/>
    <w:rsid w:val="00094D76"/>
    <w:rsid w:val="00095C82"/>
    <w:rsid w:val="0009665E"/>
    <w:rsid w:val="00097007"/>
    <w:rsid w:val="00097FE9"/>
    <w:rsid w:val="000A1CBB"/>
    <w:rsid w:val="000A3887"/>
    <w:rsid w:val="000A3E38"/>
    <w:rsid w:val="000A659C"/>
    <w:rsid w:val="000A7775"/>
    <w:rsid w:val="000B162D"/>
    <w:rsid w:val="000B1D8A"/>
    <w:rsid w:val="000B4E01"/>
    <w:rsid w:val="000B6D2E"/>
    <w:rsid w:val="000C5422"/>
    <w:rsid w:val="000C6BA9"/>
    <w:rsid w:val="000D0AA9"/>
    <w:rsid w:val="000E3844"/>
    <w:rsid w:val="000E6229"/>
    <w:rsid w:val="000E791D"/>
    <w:rsid w:val="000F48A4"/>
    <w:rsid w:val="000F5823"/>
    <w:rsid w:val="0010089C"/>
    <w:rsid w:val="00104166"/>
    <w:rsid w:val="00104D1B"/>
    <w:rsid w:val="00105FC6"/>
    <w:rsid w:val="00106E83"/>
    <w:rsid w:val="00107883"/>
    <w:rsid w:val="00113CFD"/>
    <w:rsid w:val="00121737"/>
    <w:rsid w:val="00121B63"/>
    <w:rsid w:val="00123F81"/>
    <w:rsid w:val="00126AED"/>
    <w:rsid w:val="00126DAB"/>
    <w:rsid w:val="00127E1C"/>
    <w:rsid w:val="00131229"/>
    <w:rsid w:val="001332B9"/>
    <w:rsid w:val="0013731E"/>
    <w:rsid w:val="00137AA5"/>
    <w:rsid w:val="00140168"/>
    <w:rsid w:val="00141020"/>
    <w:rsid w:val="001429CF"/>
    <w:rsid w:val="0015145C"/>
    <w:rsid w:val="00152587"/>
    <w:rsid w:val="00154261"/>
    <w:rsid w:val="00155454"/>
    <w:rsid w:val="00164BC7"/>
    <w:rsid w:val="001677DE"/>
    <w:rsid w:val="001733FA"/>
    <w:rsid w:val="001742D3"/>
    <w:rsid w:val="00180F99"/>
    <w:rsid w:val="00181269"/>
    <w:rsid w:val="00182337"/>
    <w:rsid w:val="00185F0E"/>
    <w:rsid w:val="00185F32"/>
    <w:rsid w:val="00187BEB"/>
    <w:rsid w:val="00191837"/>
    <w:rsid w:val="00196F42"/>
    <w:rsid w:val="001A2407"/>
    <w:rsid w:val="001A332E"/>
    <w:rsid w:val="001A3DD1"/>
    <w:rsid w:val="001A464A"/>
    <w:rsid w:val="001A6C90"/>
    <w:rsid w:val="001B0397"/>
    <w:rsid w:val="001B154A"/>
    <w:rsid w:val="001B2760"/>
    <w:rsid w:val="001B2AC4"/>
    <w:rsid w:val="001C10C5"/>
    <w:rsid w:val="001C1F43"/>
    <w:rsid w:val="001D77FE"/>
    <w:rsid w:val="001D78E1"/>
    <w:rsid w:val="001E3CFA"/>
    <w:rsid w:val="001E44CC"/>
    <w:rsid w:val="001F25BA"/>
    <w:rsid w:val="001F2D7A"/>
    <w:rsid w:val="00200594"/>
    <w:rsid w:val="00205A03"/>
    <w:rsid w:val="0021078F"/>
    <w:rsid w:val="00210AC5"/>
    <w:rsid w:val="00210B24"/>
    <w:rsid w:val="00213131"/>
    <w:rsid w:val="00213D1F"/>
    <w:rsid w:val="00213F82"/>
    <w:rsid w:val="0021437D"/>
    <w:rsid w:val="00214918"/>
    <w:rsid w:val="00215334"/>
    <w:rsid w:val="00215CC0"/>
    <w:rsid w:val="00216397"/>
    <w:rsid w:val="0021684D"/>
    <w:rsid w:val="002253E2"/>
    <w:rsid w:val="00225601"/>
    <w:rsid w:val="0023005C"/>
    <w:rsid w:val="002307EC"/>
    <w:rsid w:val="00231319"/>
    <w:rsid w:val="00232535"/>
    <w:rsid w:val="002335AB"/>
    <w:rsid w:val="00233F77"/>
    <w:rsid w:val="002373A8"/>
    <w:rsid w:val="00237838"/>
    <w:rsid w:val="00240824"/>
    <w:rsid w:val="00241408"/>
    <w:rsid w:val="00243A1C"/>
    <w:rsid w:val="0025062E"/>
    <w:rsid w:val="00253961"/>
    <w:rsid w:val="00257D58"/>
    <w:rsid w:val="00260662"/>
    <w:rsid w:val="002610EB"/>
    <w:rsid w:val="00261753"/>
    <w:rsid w:val="00262665"/>
    <w:rsid w:val="002633E1"/>
    <w:rsid w:val="0026407A"/>
    <w:rsid w:val="002648A3"/>
    <w:rsid w:val="00280287"/>
    <w:rsid w:val="002814CE"/>
    <w:rsid w:val="00281A50"/>
    <w:rsid w:val="0028530F"/>
    <w:rsid w:val="00292824"/>
    <w:rsid w:val="00293D5D"/>
    <w:rsid w:val="00294061"/>
    <w:rsid w:val="002943B7"/>
    <w:rsid w:val="002947CB"/>
    <w:rsid w:val="00295E8A"/>
    <w:rsid w:val="00296377"/>
    <w:rsid w:val="002967BC"/>
    <w:rsid w:val="002A0133"/>
    <w:rsid w:val="002A30CC"/>
    <w:rsid w:val="002A5859"/>
    <w:rsid w:val="002A77DC"/>
    <w:rsid w:val="002B0AE8"/>
    <w:rsid w:val="002B10E9"/>
    <w:rsid w:val="002B2B2F"/>
    <w:rsid w:val="002B45B6"/>
    <w:rsid w:val="002B6079"/>
    <w:rsid w:val="002B6B0E"/>
    <w:rsid w:val="002B6D44"/>
    <w:rsid w:val="002B79E5"/>
    <w:rsid w:val="002C3313"/>
    <w:rsid w:val="002C3DCA"/>
    <w:rsid w:val="002C3DF4"/>
    <w:rsid w:val="002D25B2"/>
    <w:rsid w:val="002D57AF"/>
    <w:rsid w:val="002D60DD"/>
    <w:rsid w:val="002D7D07"/>
    <w:rsid w:val="002E1A1A"/>
    <w:rsid w:val="002E1FCE"/>
    <w:rsid w:val="002E3E64"/>
    <w:rsid w:val="002E433C"/>
    <w:rsid w:val="002E7A34"/>
    <w:rsid w:val="002F0357"/>
    <w:rsid w:val="002F1827"/>
    <w:rsid w:val="002F23AA"/>
    <w:rsid w:val="002F36F4"/>
    <w:rsid w:val="002F6825"/>
    <w:rsid w:val="002F68BB"/>
    <w:rsid w:val="002F7811"/>
    <w:rsid w:val="002F7AF6"/>
    <w:rsid w:val="00300122"/>
    <w:rsid w:val="003002E7"/>
    <w:rsid w:val="003017A6"/>
    <w:rsid w:val="00303092"/>
    <w:rsid w:val="00305A5D"/>
    <w:rsid w:val="00307838"/>
    <w:rsid w:val="00313A8B"/>
    <w:rsid w:val="0031687B"/>
    <w:rsid w:val="0031776E"/>
    <w:rsid w:val="003228E9"/>
    <w:rsid w:val="00323CAE"/>
    <w:rsid w:val="0032670F"/>
    <w:rsid w:val="003274E6"/>
    <w:rsid w:val="00327FB3"/>
    <w:rsid w:val="00330FC8"/>
    <w:rsid w:val="003354BA"/>
    <w:rsid w:val="00340BC3"/>
    <w:rsid w:val="00344F68"/>
    <w:rsid w:val="00346267"/>
    <w:rsid w:val="00346BD6"/>
    <w:rsid w:val="00347F67"/>
    <w:rsid w:val="00351227"/>
    <w:rsid w:val="00351DA8"/>
    <w:rsid w:val="00352C2B"/>
    <w:rsid w:val="00353008"/>
    <w:rsid w:val="0035378C"/>
    <w:rsid w:val="00353DBF"/>
    <w:rsid w:val="0035462B"/>
    <w:rsid w:val="003549B2"/>
    <w:rsid w:val="00354DE5"/>
    <w:rsid w:val="00356CF7"/>
    <w:rsid w:val="003600B7"/>
    <w:rsid w:val="00361CF2"/>
    <w:rsid w:val="003733FC"/>
    <w:rsid w:val="003736FB"/>
    <w:rsid w:val="00373A12"/>
    <w:rsid w:val="0037662E"/>
    <w:rsid w:val="00380FDD"/>
    <w:rsid w:val="003819A4"/>
    <w:rsid w:val="00384AF9"/>
    <w:rsid w:val="00384EDD"/>
    <w:rsid w:val="00385E7F"/>
    <w:rsid w:val="0039048B"/>
    <w:rsid w:val="0039075D"/>
    <w:rsid w:val="0039334F"/>
    <w:rsid w:val="00394E50"/>
    <w:rsid w:val="003A0F31"/>
    <w:rsid w:val="003A121C"/>
    <w:rsid w:val="003A40DC"/>
    <w:rsid w:val="003A64B7"/>
    <w:rsid w:val="003B2336"/>
    <w:rsid w:val="003B2C99"/>
    <w:rsid w:val="003B5E9F"/>
    <w:rsid w:val="003C0158"/>
    <w:rsid w:val="003C02BA"/>
    <w:rsid w:val="003C1ED0"/>
    <w:rsid w:val="003C4FFB"/>
    <w:rsid w:val="003C7299"/>
    <w:rsid w:val="003D0A98"/>
    <w:rsid w:val="003D0F60"/>
    <w:rsid w:val="003D51E5"/>
    <w:rsid w:val="003D5EE1"/>
    <w:rsid w:val="003E24E7"/>
    <w:rsid w:val="003E256D"/>
    <w:rsid w:val="003E7F3C"/>
    <w:rsid w:val="003F2D10"/>
    <w:rsid w:val="003F34F4"/>
    <w:rsid w:val="003F46FD"/>
    <w:rsid w:val="003F7A7E"/>
    <w:rsid w:val="00401344"/>
    <w:rsid w:val="00401435"/>
    <w:rsid w:val="00404749"/>
    <w:rsid w:val="00405CAD"/>
    <w:rsid w:val="00406519"/>
    <w:rsid w:val="004074D2"/>
    <w:rsid w:val="00412243"/>
    <w:rsid w:val="00413CB0"/>
    <w:rsid w:val="004229AC"/>
    <w:rsid w:val="00425D8B"/>
    <w:rsid w:val="004263CC"/>
    <w:rsid w:val="00427D74"/>
    <w:rsid w:val="00427F70"/>
    <w:rsid w:val="00430D7A"/>
    <w:rsid w:val="00434E5F"/>
    <w:rsid w:val="00437DB4"/>
    <w:rsid w:val="0044312A"/>
    <w:rsid w:val="00445444"/>
    <w:rsid w:val="00447BEC"/>
    <w:rsid w:val="00452F85"/>
    <w:rsid w:val="00456D01"/>
    <w:rsid w:val="004630FE"/>
    <w:rsid w:val="00464779"/>
    <w:rsid w:val="0046696B"/>
    <w:rsid w:val="00470457"/>
    <w:rsid w:val="00470FB4"/>
    <w:rsid w:val="004721EB"/>
    <w:rsid w:val="00472CAE"/>
    <w:rsid w:val="00472CFA"/>
    <w:rsid w:val="00477F13"/>
    <w:rsid w:val="0048050B"/>
    <w:rsid w:val="00483317"/>
    <w:rsid w:val="00483903"/>
    <w:rsid w:val="00484520"/>
    <w:rsid w:val="004849D2"/>
    <w:rsid w:val="004871F2"/>
    <w:rsid w:val="00487CBB"/>
    <w:rsid w:val="004905D5"/>
    <w:rsid w:val="00490E13"/>
    <w:rsid w:val="0049267C"/>
    <w:rsid w:val="004930D5"/>
    <w:rsid w:val="00493F2C"/>
    <w:rsid w:val="0049630D"/>
    <w:rsid w:val="00497186"/>
    <w:rsid w:val="004975A1"/>
    <w:rsid w:val="004A0F58"/>
    <w:rsid w:val="004A7754"/>
    <w:rsid w:val="004A7CF8"/>
    <w:rsid w:val="004B247C"/>
    <w:rsid w:val="004B309B"/>
    <w:rsid w:val="004B39D2"/>
    <w:rsid w:val="004B411A"/>
    <w:rsid w:val="004B6714"/>
    <w:rsid w:val="004B73FE"/>
    <w:rsid w:val="004C1CBD"/>
    <w:rsid w:val="004C36BC"/>
    <w:rsid w:val="004C56EA"/>
    <w:rsid w:val="004C7964"/>
    <w:rsid w:val="004D1C07"/>
    <w:rsid w:val="004E0E1D"/>
    <w:rsid w:val="004E174F"/>
    <w:rsid w:val="004E2F6E"/>
    <w:rsid w:val="004E4E94"/>
    <w:rsid w:val="004E5367"/>
    <w:rsid w:val="00500984"/>
    <w:rsid w:val="00506BDB"/>
    <w:rsid w:val="00510A08"/>
    <w:rsid w:val="00511AF9"/>
    <w:rsid w:val="00514365"/>
    <w:rsid w:val="00515F22"/>
    <w:rsid w:val="00516DDE"/>
    <w:rsid w:val="00517082"/>
    <w:rsid w:val="00517B47"/>
    <w:rsid w:val="00526C88"/>
    <w:rsid w:val="00526CE7"/>
    <w:rsid w:val="00526EF0"/>
    <w:rsid w:val="00533117"/>
    <w:rsid w:val="00542A91"/>
    <w:rsid w:val="00543469"/>
    <w:rsid w:val="005460EE"/>
    <w:rsid w:val="00550922"/>
    <w:rsid w:val="005512BB"/>
    <w:rsid w:val="00551519"/>
    <w:rsid w:val="00552427"/>
    <w:rsid w:val="005527E5"/>
    <w:rsid w:val="005532BE"/>
    <w:rsid w:val="00560589"/>
    <w:rsid w:val="005616AE"/>
    <w:rsid w:val="00561A52"/>
    <w:rsid w:val="005627A1"/>
    <w:rsid w:val="00565232"/>
    <w:rsid w:val="00567F74"/>
    <w:rsid w:val="0057265D"/>
    <w:rsid w:val="0057461F"/>
    <w:rsid w:val="00574B29"/>
    <w:rsid w:val="005849DF"/>
    <w:rsid w:val="00584B98"/>
    <w:rsid w:val="00587E69"/>
    <w:rsid w:val="0059109E"/>
    <w:rsid w:val="0059428C"/>
    <w:rsid w:val="00594495"/>
    <w:rsid w:val="005951FE"/>
    <w:rsid w:val="00596BF9"/>
    <w:rsid w:val="00597ACF"/>
    <w:rsid w:val="00597CDF"/>
    <w:rsid w:val="005A1FD6"/>
    <w:rsid w:val="005A2A76"/>
    <w:rsid w:val="005B048E"/>
    <w:rsid w:val="005B118A"/>
    <w:rsid w:val="005B4313"/>
    <w:rsid w:val="005B4C80"/>
    <w:rsid w:val="005B61B9"/>
    <w:rsid w:val="005B70D0"/>
    <w:rsid w:val="005C0297"/>
    <w:rsid w:val="005C18FA"/>
    <w:rsid w:val="005C2E91"/>
    <w:rsid w:val="005C4136"/>
    <w:rsid w:val="005D07A4"/>
    <w:rsid w:val="005D2BCE"/>
    <w:rsid w:val="005D7F92"/>
    <w:rsid w:val="005E05E9"/>
    <w:rsid w:val="005E2AC3"/>
    <w:rsid w:val="005E5A33"/>
    <w:rsid w:val="005E67B1"/>
    <w:rsid w:val="005E7446"/>
    <w:rsid w:val="005F3855"/>
    <w:rsid w:val="005F3F9F"/>
    <w:rsid w:val="005F75D8"/>
    <w:rsid w:val="00600719"/>
    <w:rsid w:val="00600986"/>
    <w:rsid w:val="00602801"/>
    <w:rsid w:val="00602A96"/>
    <w:rsid w:val="00603C67"/>
    <w:rsid w:val="00605F41"/>
    <w:rsid w:val="00612D2C"/>
    <w:rsid w:val="00613869"/>
    <w:rsid w:val="00621563"/>
    <w:rsid w:val="0062174D"/>
    <w:rsid w:val="0062481A"/>
    <w:rsid w:val="00624DDE"/>
    <w:rsid w:val="0062692D"/>
    <w:rsid w:val="0062721E"/>
    <w:rsid w:val="00631DE3"/>
    <w:rsid w:val="00637952"/>
    <w:rsid w:val="00640033"/>
    <w:rsid w:val="00643986"/>
    <w:rsid w:val="00644032"/>
    <w:rsid w:val="00650109"/>
    <w:rsid w:val="006507F6"/>
    <w:rsid w:val="00652298"/>
    <w:rsid w:val="00662AC5"/>
    <w:rsid w:val="0066428C"/>
    <w:rsid w:val="00672A2A"/>
    <w:rsid w:val="006751F0"/>
    <w:rsid w:val="00677DBA"/>
    <w:rsid w:val="00682147"/>
    <w:rsid w:val="0068214E"/>
    <w:rsid w:val="0068362C"/>
    <w:rsid w:val="006846F0"/>
    <w:rsid w:val="0068478D"/>
    <w:rsid w:val="00684C66"/>
    <w:rsid w:val="00692707"/>
    <w:rsid w:val="006937B1"/>
    <w:rsid w:val="00695FB3"/>
    <w:rsid w:val="00696E5F"/>
    <w:rsid w:val="00697239"/>
    <w:rsid w:val="006A1B89"/>
    <w:rsid w:val="006A6553"/>
    <w:rsid w:val="006B07BD"/>
    <w:rsid w:val="006B2C02"/>
    <w:rsid w:val="006B5E01"/>
    <w:rsid w:val="006B6E01"/>
    <w:rsid w:val="006B7768"/>
    <w:rsid w:val="006C4BFB"/>
    <w:rsid w:val="006C4C39"/>
    <w:rsid w:val="006D2792"/>
    <w:rsid w:val="006D410A"/>
    <w:rsid w:val="006D44AB"/>
    <w:rsid w:val="006D7C4D"/>
    <w:rsid w:val="006E35EA"/>
    <w:rsid w:val="006E47E1"/>
    <w:rsid w:val="006E4B4F"/>
    <w:rsid w:val="006E5FC8"/>
    <w:rsid w:val="006E62F1"/>
    <w:rsid w:val="006F0172"/>
    <w:rsid w:val="006F08AC"/>
    <w:rsid w:val="006F0A62"/>
    <w:rsid w:val="006F13FF"/>
    <w:rsid w:val="006F1D11"/>
    <w:rsid w:val="006F28B9"/>
    <w:rsid w:val="006F50DA"/>
    <w:rsid w:val="00701217"/>
    <w:rsid w:val="00701BA8"/>
    <w:rsid w:val="00704807"/>
    <w:rsid w:val="00704F8B"/>
    <w:rsid w:val="00707D8B"/>
    <w:rsid w:val="00710A41"/>
    <w:rsid w:val="00711D2C"/>
    <w:rsid w:val="007355DB"/>
    <w:rsid w:val="00742010"/>
    <w:rsid w:val="00742CB2"/>
    <w:rsid w:val="00743449"/>
    <w:rsid w:val="007473FE"/>
    <w:rsid w:val="007501B9"/>
    <w:rsid w:val="00751839"/>
    <w:rsid w:val="00752A22"/>
    <w:rsid w:val="00752D08"/>
    <w:rsid w:val="007546A0"/>
    <w:rsid w:val="00757E4C"/>
    <w:rsid w:val="00763912"/>
    <w:rsid w:val="00766CA4"/>
    <w:rsid w:val="00772666"/>
    <w:rsid w:val="00772C6F"/>
    <w:rsid w:val="007738C2"/>
    <w:rsid w:val="00774B9C"/>
    <w:rsid w:val="0077524B"/>
    <w:rsid w:val="00775DF4"/>
    <w:rsid w:val="00776272"/>
    <w:rsid w:val="0077631C"/>
    <w:rsid w:val="00776F0B"/>
    <w:rsid w:val="007776C0"/>
    <w:rsid w:val="00780C5C"/>
    <w:rsid w:val="00780CFF"/>
    <w:rsid w:val="00781ECB"/>
    <w:rsid w:val="00782D9A"/>
    <w:rsid w:val="007841F5"/>
    <w:rsid w:val="0078438D"/>
    <w:rsid w:val="00784F5A"/>
    <w:rsid w:val="00792F17"/>
    <w:rsid w:val="0079523B"/>
    <w:rsid w:val="0079563C"/>
    <w:rsid w:val="007A55E6"/>
    <w:rsid w:val="007A5CF1"/>
    <w:rsid w:val="007A768A"/>
    <w:rsid w:val="007A7D11"/>
    <w:rsid w:val="007B2959"/>
    <w:rsid w:val="007B569F"/>
    <w:rsid w:val="007B6A3D"/>
    <w:rsid w:val="007B7AE1"/>
    <w:rsid w:val="007C1472"/>
    <w:rsid w:val="007C1BDC"/>
    <w:rsid w:val="007D30FD"/>
    <w:rsid w:val="007D3737"/>
    <w:rsid w:val="007D4C73"/>
    <w:rsid w:val="007D654A"/>
    <w:rsid w:val="007E32DD"/>
    <w:rsid w:val="007F028C"/>
    <w:rsid w:val="007F188F"/>
    <w:rsid w:val="007F264D"/>
    <w:rsid w:val="007F3BB9"/>
    <w:rsid w:val="007F50F5"/>
    <w:rsid w:val="007F5DF7"/>
    <w:rsid w:val="0080176E"/>
    <w:rsid w:val="00802DBD"/>
    <w:rsid w:val="008033FD"/>
    <w:rsid w:val="008039D2"/>
    <w:rsid w:val="00804E3F"/>
    <w:rsid w:val="00806038"/>
    <w:rsid w:val="00807345"/>
    <w:rsid w:val="00811EBA"/>
    <w:rsid w:val="00812C32"/>
    <w:rsid w:val="008148CB"/>
    <w:rsid w:val="00814B90"/>
    <w:rsid w:val="00820363"/>
    <w:rsid w:val="0082161D"/>
    <w:rsid w:val="00822E9F"/>
    <w:rsid w:val="00826DDF"/>
    <w:rsid w:val="00830CEE"/>
    <w:rsid w:val="00833B16"/>
    <w:rsid w:val="00834128"/>
    <w:rsid w:val="00836BE9"/>
    <w:rsid w:val="0083794C"/>
    <w:rsid w:val="00837B72"/>
    <w:rsid w:val="0084115F"/>
    <w:rsid w:val="00842771"/>
    <w:rsid w:val="008441EF"/>
    <w:rsid w:val="00844879"/>
    <w:rsid w:val="008470DF"/>
    <w:rsid w:val="00852670"/>
    <w:rsid w:val="00854F89"/>
    <w:rsid w:val="0085585C"/>
    <w:rsid w:val="00857228"/>
    <w:rsid w:val="00862DC3"/>
    <w:rsid w:val="008633F0"/>
    <w:rsid w:val="00864AC2"/>
    <w:rsid w:val="008668E8"/>
    <w:rsid w:val="00867AC0"/>
    <w:rsid w:val="00870F49"/>
    <w:rsid w:val="008736A2"/>
    <w:rsid w:val="00873B8D"/>
    <w:rsid w:val="00873C7C"/>
    <w:rsid w:val="00873DDC"/>
    <w:rsid w:val="00873DE8"/>
    <w:rsid w:val="00876149"/>
    <w:rsid w:val="00886F7C"/>
    <w:rsid w:val="00891112"/>
    <w:rsid w:val="00891650"/>
    <w:rsid w:val="00891A19"/>
    <w:rsid w:val="00892D85"/>
    <w:rsid w:val="00893A6F"/>
    <w:rsid w:val="008968E1"/>
    <w:rsid w:val="008975A9"/>
    <w:rsid w:val="008A05FF"/>
    <w:rsid w:val="008A1035"/>
    <w:rsid w:val="008A4C28"/>
    <w:rsid w:val="008A5558"/>
    <w:rsid w:val="008B266C"/>
    <w:rsid w:val="008B4E69"/>
    <w:rsid w:val="008B6736"/>
    <w:rsid w:val="008B7B0C"/>
    <w:rsid w:val="008B7BA5"/>
    <w:rsid w:val="008C02D7"/>
    <w:rsid w:val="008C1A2C"/>
    <w:rsid w:val="008C3C5A"/>
    <w:rsid w:val="008C7D4A"/>
    <w:rsid w:val="008D0129"/>
    <w:rsid w:val="008D2677"/>
    <w:rsid w:val="008D3C7E"/>
    <w:rsid w:val="008D5E12"/>
    <w:rsid w:val="008D7434"/>
    <w:rsid w:val="008E6835"/>
    <w:rsid w:val="008E6A66"/>
    <w:rsid w:val="008F0508"/>
    <w:rsid w:val="008F3419"/>
    <w:rsid w:val="0091326F"/>
    <w:rsid w:val="00913D63"/>
    <w:rsid w:val="00914C44"/>
    <w:rsid w:val="00915DB5"/>
    <w:rsid w:val="00923692"/>
    <w:rsid w:val="00924819"/>
    <w:rsid w:val="009375EB"/>
    <w:rsid w:val="00942FF4"/>
    <w:rsid w:val="00945C6E"/>
    <w:rsid w:val="0094677A"/>
    <w:rsid w:val="009501D3"/>
    <w:rsid w:val="00950BEA"/>
    <w:rsid w:val="00950D66"/>
    <w:rsid w:val="0095167A"/>
    <w:rsid w:val="00952B11"/>
    <w:rsid w:val="009540D8"/>
    <w:rsid w:val="00954343"/>
    <w:rsid w:val="00954C65"/>
    <w:rsid w:val="00955958"/>
    <w:rsid w:val="009568E2"/>
    <w:rsid w:val="009579FC"/>
    <w:rsid w:val="00960C56"/>
    <w:rsid w:val="00961278"/>
    <w:rsid w:val="0096127D"/>
    <w:rsid w:val="0096233B"/>
    <w:rsid w:val="009639CB"/>
    <w:rsid w:val="00964644"/>
    <w:rsid w:val="00966978"/>
    <w:rsid w:val="0096750B"/>
    <w:rsid w:val="00967674"/>
    <w:rsid w:val="00967805"/>
    <w:rsid w:val="00970D62"/>
    <w:rsid w:val="00972BCE"/>
    <w:rsid w:val="00973E7B"/>
    <w:rsid w:val="00974B2F"/>
    <w:rsid w:val="0098035F"/>
    <w:rsid w:val="00981E07"/>
    <w:rsid w:val="009827B1"/>
    <w:rsid w:val="00983F0F"/>
    <w:rsid w:val="009864C6"/>
    <w:rsid w:val="009864E9"/>
    <w:rsid w:val="009865C4"/>
    <w:rsid w:val="00990364"/>
    <w:rsid w:val="00992FA1"/>
    <w:rsid w:val="00994A70"/>
    <w:rsid w:val="009A2D33"/>
    <w:rsid w:val="009A49FD"/>
    <w:rsid w:val="009A62F3"/>
    <w:rsid w:val="009B039B"/>
    <w:rsid w:val="009B20B1"/>
    <w:rsid w:val="009B2223"/>
    <w:rsid w:val="009B3691"/>
    <w:rsid w:val="009B429D"/>
    <w:rsid w:val="009B6B36"/>
    <w:rsid w:val="009B7F85"/>
    <w:rsid w:val="009C1514"/>
    <w:rsid w:val="009D0507"/>
    <w:rsid w:val="009D4461"/>
    <w:rsid w:val="009E1F65"/>
    <w:rsid w:val="009E367C"/>
    <w:rsid w:val="009E55D6"/>
    <w:rsid w:val="009F306B"/>
    <w:rsid w:val="009F351A"/>
    <w:rsid w:val="00A01219"/>
    <w:rsid w:val="00A023F2"/>
    <w:rsid w:val="00A03ED2"/>
    <w:rsid w:val="00A104BA"/>
    <w:rsid w:val="00A10993"/>
    <w:rsid w:val="00A12D3F"/>
    <w:rsid w:val="00A1314A"/>
    <w:rsid w:val="00A14BDB"/>
    <w:rsid w:val="00A152E3"/>
    <w:rsid w:val="00A202EA"/>
    <w:rsid w:val="00A26CFB"/>
    <w:rsid w:val="00A324F7"/>
    <w:rsid w:val="00A4086B"/>
    <w:rsid w:val="00A4332E"/>
    <w:rsid w:val="00A5070C"/>
    <w:rsid w:val="00A53256"/>
    <w:rsid w:val="00A60253"/>
    <w:rsid w:val="00A62292"/>
    <w:rsid w:val="00A64124"/>
    <w:rsid w:val="00A64785"/>
    <w:rsid w:val="00A70511"/>
    <w:rsid w:val="00A71E08"/>
    <w:rsid w:val="00A768A7"/>
    <w:rsid w:val="00A76E6C"/>
    <w:rsid w:val="00A80324"/>
    <w:rsid w:val="00A846DD"/>
    <w:rsid w:val="00A85709"/>
    <w:rsid w:val="00A8576B"/>
    <w:rsid w:val="00A85B15"/>
    <w:rsid w:val="00A902DA"/>
    <w:rsid w:val="00A90356"/>
    <w:rsid w:val="00A9276F"/>
    <w:rsid w:val="00A94E41"/>
    <w:rsid w:val="00A952FD"/>
    <w:rsid w:val="00A95364"/>
    <w:rsid w:val="00A9659A"/>
    <w:rsid w:val="00AA1EEA"/>
    <w:rsid w:val="00AA2932"/>
    <w:rsid w:val="00AA60AE"/>
    <w:rsid w:val="00AA7DD9"/>
    <w:rsid w:val="00AA7EC5"/>
    <w:rsid w:val="00AB00DB"/>
    <w:rsid w:val="00AB01DB"/>
    <w:rsid w:val="00AB0A6A"/>
    <w:rsid w:val="00AB116F"/>
    <w:rsid w:val="00AB2CDA"/>
    <w:rsid w:val="00AB4856"/>
    <w:rsid w:val="00AB60AF"/>
    <w:rsid w:val="00AB73C6"/>
    <w:rsid w:val="00AC1CB8"/>
    <w:rsid w:val="00AC1CF1"/>
    <w:rsid w:val="00AC37AD"/>
    <w:rsid w:val="00AC5D98"/>
    <w:rsid w:val="00AD3140"/>
    <w:rsid w:val="00AD4BA6"/>
    <w:rsid w:val="00AD706C"/>
    <w:rsid w:val="00AE0915"/>
    <w:rsid w:val="00AE1C61"/>
    <w:rsid w:val="00AE1F91"/>
    <w:rsid w:val="00AE2FBB"/>
    <w:rsid w:val="00AE3AC6"/>
    <w:rsid w:val="00AE4B8A"/>
    <w:rsid w:val="00AE4F00"/>
    <w:rsid w:val="00AF0B00"/>
    <w:rsid w:val="00AF2A65"/>
    <w:rsid w:val="00AF5261"/>
    <w:rsid w:val="00AF5ADE"/>
    <w:rsid w:val="00AF6A4B"/>
    <w:rsid w:val="00B037B5"/>
    <w:rsid w:val="00B0401B"/>
    <w:rsid w:val="00B05121"/>
    <w:rsid w:val="00B0640E"/>
    <w:rsid w:val="00B07DAE"/>
    <w:rsid w:val="00B122E5"/>
    <w:rsid w:val="00B12FF4"/>
    <w:rsid w:val="00B205F4"/>
    <w:rsid w:val="00B20AE9"/>
    <w:rsid w:val="00B21E7A"/>
    <w:rsid w:val="00B25F30"/>
    <w:rsid w:val="00B34056"/>
    <w:rsid w:val="00B34303"/>
    <w:rsid w:val="00B36C90"/>
    <w:rsid w:val="00B4458E"/>
    <w:rsid w:val="00B44D8A"/>
    <w:rsid w:val="00B46003"/>
    <w:rsid w:val="00B461C8"/>
    <w:rsid w:val="00B504AB"/>
    <w:rsid w:val="00B51A2B"/>
    <w:rsid w:val="00B53EE9"/>
    <w:rsid w:val="00B544C5"/>
    <w:rsid w:val="00B54BF2"/>
    <w:rsid w:val="00B558EF"/>
    <w:rsid w:val="00B61328"/>
    <w:rsid w:val="00B61F93"/>
    <w:rsid w:val="00B62D50"/>
    <w:rsid w:val="00B63B01"/>
    <w:rsid w:val="00B64290"/>
    <w:rsid w:val="00B64C88"/>
    <w:rsid w:val="00B64FD8"/>
    <w:rsid w:val="00B66222"/>
    <w:rsid w:val="00B66CC4"/>
    <w:rsid w:val="00B70AF1"/>
    <w:rsid w:val="00B71952"/>
    <w:rsid w:val="00B72660"/>
    <w:rsid w:val="00B7423D"/>
    <w:rsid w:val="00B759EF"/>
    <w:rsid w:val="00B865C8"/>
    <w:rsid w:val="00B87250"/>
    <w:rsid w:val="00B96DAF"/>
    <w:rsid w:val="00BA04C5"/>
    <w:rsid w:val="00BA05FE"/>
    <w:rsid w:val="00BA175C"/>
    <w:rsid w:val="00BA5A0D"/>
    <w:rsid w:val="00BA5EC3"/>
    <w:rsid w:val="00BB06A0"/>
    <w:rsid w:val="00BB234C"/>
    <w:rsid w:val="00BB2726"/>
    <w:rsid w:val="00BB4488"/>
    <w:rsid w:val="00BB7150"/>
    <w:rsid w:val="00BC3881"/>
    <w:rsid w:val="00BC4B93"/>
    <w:rsid w:val="00BC64BA"/>
    <w:rsid w:val="00BC758C"/>
    <w:rsid w:val="00BD0002"/>
    <w:rsid w:val="00BD6CFE"/>
    <w:rsid w:val="00BE26E8"/>
    <w:rsid w:val="00BE2E3E"/>
    <w:rsid w:val="00BE4A06"/>
    <w:rsid w:val="00BE50FF"/>
    <w:rsid w:val="00BE5F9B"/>
    <w:rsid w:val="00BF05FA"/>
    <w:rsid w:val="00BF2BC3"/>
    <w:rsid w:val="00BF30AA"/>
    <w:rsid w:val="00BF6F75"/>
    <w:rsid w:val="00BF7908"/>
    <w:rsid w:val="00C03634"/>
    <w:rsid w:val="00C0649E"/>
    <w:rsid w:val="00C07A73"/>
    <w:rsid w:val="00C07DEA"/>
    <w:rsid w:val="00C10119"/>
    <w:rsid w:val="00C14571"/>
    <w:rsid w:val="00C15D73"/>
    <w:rsid w:val="00C1719F"/>
    <w:rsid w:val="00C1748B"/>
    <w:rsid w:val="00C176D9"/>
    <w:rsid w:val="00C17A3C"/>
    <w:rsid w:val="00C211E5"/>
    <w:rsid w:val="00C24908"/>
    <w:rsid w:val="00C25BC2"/>
    <w:rsid w:val="00C31B27"/>
    <w:rsid w:val="00C374E5"/>
    <w:rsid w:val="00C4334A"/>
    <w:rsid w:val="00C43F65"/>
    <w:rsid w:val="00C45A41"/>
    <w:rsid w:val="00C46029"/>
    <w:rsid w:val="00C467EB"/>
    <w:rsid w:val="00C47E32"/>
    <w:rsid w:val="00C51084"/>
    <w:rsid w:val="00C51F88"/>
    <w:rsid w:val="00C54EF5"/>
    <w:rsid w:val="00C57ABA"/>
    <w:rsid w:val="00C6036B"/>
    <w:rsid w:val="00C624FD"/>
    <w:rsid w:val="00C62C1C"/>
    <w:rsid w:val="00C63589"/>
    <w:rsid w:val="00C65CD6"/>
    <w:rsid w:val="00C6632C"/>
    <w:rsid w:val="00C66E81"/>
    <w:rsid w:val="00C74A99"/>
    <w:rsid w:val="00C76D38"/>
    <w:rsid w:val="00C80B00"/>
    <w:rsid w:val="00C80BC1"/>
    <w:rsid w:val="00C818CD"/>
    <w:rsid w:val="00C82A9E"/>
    <w:rsid w:val="00C86745"/>
    <w:rsid w:val="00C87167"/>
    <w:rsid w:val="00C87C6D"/>
    <w:rsid w:val="00C90095"/>
    <w:rsid w:val="00C933A8"/>
    <w:rsid w:val="00C95DBE"/>
    <w:rsid w:val="00C96B0D"/>
    <w:rsid w:val="00C97BDB"/>
    <w:rsid w:val="00C97F22"/>
    <w:rsid w:val="00CA1097"/>
    <w:rsid w:val="00CA2281"/>
    <w:rsid w:val="00CA3F80"/>
    <w:rsid w:val="00CA4F6A"/>
    <w:rsid w:val="00CB5517"/>
    <w:rsid w:val="00CC077F"/>
    <w:rsid w:val="00CC07FB"/>
    <w:rsid w:val="00CC1620"/>
    <w:rsid w:val="00CC21E5"/>
    <w:rsid w:val="00CD0975"/>
    <w:rsid w:val="00CD1DEC"/>
    <w:rsid w:val="00CD4E74"/>
    <w:rsid w:val="00CE2878"/>
    <w:rsid w:val="00CE2CA7"/>
    <w:rsid w:val="00CE2D4D"/>
    <w:rsid w:val="00CE66E6"/>
    <w:rsid w:val="00CE6F9B"/>
    <w:rsid w:val="00CE74B9"/>
    <w:rsid w:val="00CF1820"/>
    <w:rsid w:val="00CF5BC7"/>
    <w:rsid w:val="00CF5E43"/>
    <w:rsid w:val="00CF698B"/>
    <w:rsid w:val="00D02595"/>
    <w:rsid w:val="00D034AE"/>
    <w:rsid w:val="00D05E4A"/>
    <w:rsid w:val="00D06E42"/>
    <w:rsid w:val="00D06F9A"/>
    <w:rsid w:val="00D12822"/>
    <w:rsid w:val="00D230E3"/>
    <w:rsid w:val="00D23754"/>
    <w:rsid w:val="00D25767"/>
    <w:rsid w:val="00D26DA3"/>
    <w:rsid w:val="00D27CCB"/>
    <w:rsid w:val="00D3086D"/>
    <w:rsid w:val="00D34EEE"/>
    <w:rsid w:val="00D367AC"/>
    <w:rsid w:val="00D444F8"/>
    <w:rsid w:val="00D454EA"/>
    <w:rsid w:val="00D46049"/>
    <w:rsid w:val="00D46554"/>
    <w:rsid w:val="00D46E52"/>
    <w:rsid w:val="00D54A3D"/>
    <w:rsid w:val="00D64639"/>
    <w:rsid w:val="00D66574"/>
    <w:rsid w:val="00D67915"/>
    <w:rsid w:val="00D71BC9"/>
    <w:rsid w:val="00D72591"/>
    <w:rsid w:val="00D73FB6"/>
    <w:rsid w:val="00D77601"/>
    <w:rsid w:val="00D81A12"/>
    <w:rsid w:val="00D90617"/>
    <w:rsid w:val="00D976E3"/>
    <w:rsid w:val="00DA0C1F"/>
    <w:rsid w:val="00DA1631"/>
    <w:rsid w:val="00DA26F0"/>
    <w:rsid w:val="00DB338D"/>
    <w:rsid w:val="00DB7626"/>
    <w:rsid w:val="00DC0B5D"/>
    <w:rsid w:val="00DC3CB2"/>
    <w:rsid w:val="00DC605E"/>
    <w:rsid w:val="00DC6770"/>
    <w:rsid w:val="00DD1F97"/>
    <w:rsid w:val="00DD4248"/>
    <w:rsid w:val="00DD44A9"/>
    <w:rsid w:val="00DD50A8"/>
    <w:rsid w:val="00DD5522"/>
    <w:rsid w:val="00DD69F1"/>
    <w:rsid w:val="00DD7E48"/>
    <w:rsid w:val="00DE0085"/>
    <w:rsid w:val="00DE1576"/>
    <w:rsid w:val="00DE1D37"/>
    <w:rsid w:val="00DE3777"/>
    <w:rsid w:val="00DE3A57"/>
    <w:rsid w:val="00DE4298"/>
    <w:rsid w:val="00DE75E8"/>
    <w:rsid w:val="00DF1152"/>
    <w:rsid w:val="00DF2DCD"/>
    <w:rsid w:val="00DF5BF2"/>
    <w:rsid w:val="00DF7D42"/>
    <w:rsid w:val="00E01C01"/>
    <w:rsid w:val="00E10996"/>
    <w:rsid w:val="00E10E20"/>
    <w:rsid w:val="00E14346"/>
    <w:rsid w:val="00E15F48"/>
    <w:rsid w:val="00E22466"/>
    <w:rsid w:val="00E23787"/>
    <w:rsid w:val="00E3132B"/>
    <w:rsid w:val="00E31ABB"/>
    <w:rsid w:val="00E34CD0"/>
    <w:rsid w:val="00E36778"/>
    <w:rsid w:val="00E43313"/>
    <w:rsid w:val="00E460D2"/>
    <w:rsid w:val="00E514B2"/>
    <w:rsid w:val="00E61A25"/>
    <w:rsid w:val="00E63F12"/>
    <w:rsid w:val="00E64A00"/>
    <w:rsid w:val="00E73C9D"/>
    <w:rsid w:val="00E75634"/>
    <w:rsid w:val="00E7748E"/>
    <w:rsid w:val="00E779AB"/>
    <w:rsid w:val="00E83DC0"/>
    <w:rsid w:val="00E85483"/>
    <w:rsid w:val="00E9001C"/>
    <w:rsid w:val="00E9550D"/>
    <w:rsid w:val="00E96763"/>
    <w:rsid w:val="00EA15BA"/>
    <w:rsid w:val="00EA30F5"/>
    <w:rsid w:val="00EB096D"/>
    <w:rsid w:val="00EB0FA5"/>
    <w:rsid w:val="00EB1570"/>
    <w:rsid w:val="00EB2E0B"/>
    <w:rsid w:val="00EB5755"/>
    <w:rsid w:val="00EB7ECB"/>
    <w:rsid w:val="00EC100F"/>
    <w:rsid w:val="00EC7A45"/>
    <w:rsid w:val="00ED1A3D"/>
    <w:rsid w:val="00EE0BFC"/>
    <w:rsid w:val="00EE0C87"/>
    <w:rsid w:val="00EF0F5E"/>
    <w:rsid w:val="00EF120B"/>
    <w:rsid w:val="00EF369B"/>
    <w:rsid w:val="00EF45F0"/>
    <w:rsid w:val="00EF4D06"/>
    <w:rsid w:val="00EF612A"/>
    <w:rsid w:val="00EF6A4C"/>
    <w:rsid w:val="00EF7BBD"/>
    <w:rsid w:val="00EF7E6D"/>
    <w:rsid w:val="00F0151D"/>
    <w:rsid w:val="00F05545"/>
    <w:rsid w:val="00F10EAF"/>
    <w:rsid w:val="00F1488B"/>
    <w:rsid w:val="00F156EC"/>
    <w:rsid w:val="00F210AF"/>
    <w:rsid w:val="00F21747"/>
    <w:rsid w:val="00F319BF"/>
    <w:rsid w:val="00F3383A"/>
    <w:rsid w:val="00F35B7C"/>
    <w:rsid w:val="00F37C48"/>
    <w:rsid w:val="00F42902"/>
    <w:rsid w:val="00F43420"/>
    <w:rsid w:val="00F434AD"/>
    <w:rsid w:val="00F43B7D"/>
    <w:rsid w:val="00F4448A"/>
    <w:rsid w:val="00F50C70"/>
    <w:rsid w:val="00F543F3"/>
    <w:rsid w:val="00F54B33"/>
    <w:rsid w:val="00F560A2"/>
    <w:rsid w:val="00F564AD"/>
    <w:rsid w:val="00F57AF6"/>
    <w:rsid w:val="00F63F80"/>
    <w:rsid w:val="00F752C1"/>
    <w:rsid w:val="00F772B5"/>
    <w:rsid w:val="00F813D6"/>
    <w:rsid w:val="00F81A7E"/>
    <w:rsid w:val="00F81AC1"/>
    <w:rsid w:val="00F82726"/>
    <w:rsid w:val="00F86C40"/>
    <w:rsid w:val="00F87953"/>
    <w:rsid w:val="00F908F3"/>
    <w:rsid w:val="00F90920"/>
    <w:rsid w:val="00F926F6"/>
    <w:rsid w:val="00F93033"/>
    <w:rsid w:val="00F9422F"/>
    <w:rsid w:val="00F97DB8"/>
    <w:rsid w:val="00FA6464"/>
    <w:rsid w:val="00FA6FCC"/>
    <w:rsid w:val="00FB0791"/>
    <w:rsid w:val="00FB07C5"/>
    <w:rsid w:val="00FB08F3"/>
    <w:rsid w:val="00FB4BAB"/>
    <w:rsid w:val="00FB6086"/>
    <w:rsid w:val="00FB7162"/>
    <w:rsid w:val="00FC346B"/>
    <w:rsid w:val="00FC7313"/>
    <w:rsid w:val="00FC78D1"/>
    <w:rsid w:val="00FC7FDD"/>
    <w:rsid w:val="00FD05E0"/>
    <w:rsid w:val="00FD0C9F"/>
    <w:rsid w:val="00FD1415"/>
    <w:rsid w:val="00FD2B6E"/>
    <w:rsid w:val="00FD5BF6"/>
    <w:rsid w:val="00FD6C62"/>
    <w:rsid w:val="00FE3645"/>
    <w:rsid w:val="00FE4AE8"/>
    <w:rsid w:val="00FE4D77"/>
    <w:rsid w:val="00FE74F6"/>
    <w:rsid w:val="00FF1D99"/>
    <w:rsid w:val="00FF48FB"/>
    <w:rsid w:val="00FF4E90"/>
    <w:rsid w:val="00FF72D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8060D6"/>
  <w15:docId w15:val="{BFA0B933-F1C0-48A1-95FD-4A804619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 Char"/>
    <w:basedOn w:val="Normal"/>
    <w:next w:val="Normal"/>
    <w:link w:val="Heading1Char"/>
    <w:qFormat/>
    <w:rsid w:val="00710A41"/>
    <w:pPr>
      <w:keepNext/>
      <w:numPr>
        <w:numId w:val="12"/>
      </w:numPr>
      <w:spacing w:after="0" w:line="240" w:lineRule="auto"/>
      <w:outlineLvl w:val="0"/>
    </w:pPr>
    <w:rPr>
      <w:rFonts w:ascii="Arial" w:eastAsia="Times New Roman" w:hAnsi="Arial" w:cs="Times New Roman"/>
      <w:b/>
      <w:bCs/>
      <w:iCs/>
      <w:spacing w:val="-3"/>
      <w:lang w:val="en-GB"/>
    </w:rPr>
  </w:style>
  <w:style w:type="paragraph" w:styleId="Heading2">
    <w:name w:val="heading 2"/>
    <w:basedOn w:val="Normal"/>
    <w:next w:val="Normal"/>
    <w:link w:val="Heading2Char"/>
    <w:qFormat/>
    <w:rsid w:val="00710A41"/>
    <w:pPr>
      <w:keepNext/>
      <w:numPr>
        <w:ilvl w:val="1"/>
        <w:numId w:val="12"/>
      </w:numPr>
      <w:tabs>
        <w:tab w:val="right" w:pos="9356"/>
      </w:tabs>
      <w:spacing w:after="0" w:line="240" w:lineRule="auto"/>
      <w:outlineLvl w:val="1"/>
    </w:pPr>
    <w:rPr>
      <w:rFonts w:ascii="Arial" w:eastAsia="Times New Roman" w:hAnsi="Arial" w:cs="Times New Roman"/>
      <w:b/>
      <w:bCs/>
      <w:iCs/>
      <w:spacing w:val="-3"/>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DDE"/>
  </w:style>
  <w:style w:type="paragraph" w:styleId="Footer">
    <w:name w:val="footer"/>
    <w:basedOn w:val="Normal"/>
    <w:link w:val="FooterChar"/>
    <w:uiPriority w:val="99"/>
    <w:unhideWhenUsed/>
    <w:rsid w:val="00516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DDE"/>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D30F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DD5522"/>
  </w:style>
  <w:style w:type="character" w:customStyle="1" w:styleId="Heading1Char">
    <w:name w:val="Heading 1 Char"/>
    <w:aliases w:val=" Char Char"/>
    <w:basedOn w:val="DefaultParagraphFont"/>
    <w:link w:val="Heading1"/>
    <w:rsid w:val="00710A41"/>
    <w:rPr>
      <w:rFonts w:ascii="Arial" w:eastAsia="Times New Roman" w:hAnsi="Arial" w:cs="Times New Roman"/>
      <w:b/>
      <w:bCs/>
      <w:iCs/>
      <w:spacing w:val="-3"/>
      <w:lang w:val="en-GB"/>
    </w:rPr>
  </w:style>
  <w:style w:type="character" w:customStyle="1" w:styleId="Heading2Char">
    <w:name w:val="Heading 2 Char"/>
    <w:basedOn w:val="DefaultParagraphFont"/>
    <w:link w:val="Heading2"/>
    <w:rsid w:val="00710A41"/>
    <w:rPr>
      <w:rFonts w:ascii="Arial" w:eastAsia="Times New Roman" w:hAnsi="Arial" w:cs="Times New Roman"/>
      <w:b/>
      <w:bCs/>
      <w:iCs/>
      <w:spacing w:val="-3"/>
      <w:lang w:val="en-GB" w:eastAsia="fr-FR"/>
    </w:rPr>
  </w:style>
  <w:style w:type="character" w:styleId="CommentReference">
    <w:name w:val="annotation reference"/>
    <w:basedOn w:val="DefaultParagraphFont"/>
    <w:uiPriority w:val="99"/>
    <w:semiHidden/>
    <w:unhideWhenUsed/>
    <w:rsid w:val="006B6E01"/>
    <w:rPr>
      <w:sz w:val="16"/>
      <w:szCs w:val="16"/>
    </w:rPr>
  </w:style>
  <w:style w:type="paragraph" w:styleId="CommentText">
    <w:name w:val="annotation text"/>
    <w:basedOn w:val="Normal"/>
    <w:link w:val="CommentTextChar"/>
    <w:uiPriority w:val="99"/>
    <w:unhideWhenUsed/>
    <w:rsid w:val="006B6E01"/>
    <w:pPr>
      <w:spacing w:line="240" w:lineRule="auto"/>
    </w:pPr>
    <w:rPr>
      <w:sz w:val="20"/>
      <w:szCs w:val="20"/>
    </w:rPr>
  </w:style>
  <w:style w:type="character" w:customStyle="1" w:styleId="CommentTextChar">
    <w:name w:val="Comment Text Char"/>
    <w:basedOn w:val="DefaultParagraphFont"/>
    <w:link w:val="CommentText"/>
    <w:uiPriority w:val="99"/>
    <w:semiHidden/>
    <w:rsid w:val="006B6E01"/>
    <w:rPr>
      <w:sz w:val="20"/>
      <w:szCs w:val="20"/>
    </w:rPr>
  </w:style>
  <w:style w:type="paragraph" w:styleId="CommentSubject">
    <w:name w:val="annotation subject"/>
    <w:basedOn w:val="CommentText"/>
    <w:next w:val="CommentText"/>
    <w:link w:val="CommentSubjectChar"/>
    <w:uiPriority w:val="99"/>
    <w:semiHidden/>
    <w:unhideWhenUsed/>
    <w:rsid w:val="006B6E01"/>
    <w:rPr>
      <w:b/>
      <w:bCs/>
    </w:rPr>
  </w:style>
  <w:style w:type="character" w:customStyle="1" w:styleId="CommentSubjectChar">
    <w:name w:val="Comment Subject Char"/>
    <w:basedOn w:val="CommentTextChar"/>
    <w:link w:val="CommentSubject"/>
    <w:uiPriority w:val="99"/>
    <w:semiHidden/>
    <w:rsid w:val="006B6E01"/>
    <w:rPr>
      <w:b/>
      <w:bCs/>
      <w:sz w:val="20"/>
      <w:szCs w:val="20"/>
    </w:rPr>
  </w:style>
  <w:style w:type="paragraph" w:styleId="BalloonText">
    <w:name w:val="Balloon Text"/>
    <w:basedOn w:val="Normal"/>
    <w:link w:val="BalloonTextChar"/>
    <w:uiPriority w:val="99"/>
    <w:semiHidden/>
    <w:unhideWhenUsed/>
    <w:rsid w:val="006B6E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E01"/>
    <w:rPr>
      <w:rFonts w:ascii="Segoe UI" w:hAnsi="Segoe UI" w:cs="Segoe UI"/>
      <w:sz w:val="18"/>
      <w:szCs w:val="18"/>
    </w:rPr>
  </w:style>
  <w:style w:type="character" w:customStyle="1" w:styleId="hps">
    <w:name w:val="hps"/>
    <w:basedOn w:val="DefaultParagraphFont"/>
    <w:rsid w:val="0078438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w:basedOn w:val="Normal"/>
    <w:link w:val="FootnoteTextChar"/>
    <w:uiPriority w:val="99"/>
    <w:unhideWhenUsed/>
    <w:rsid w:val="0039075D"/>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39075D"/>
    <w:rPr>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39075D"/>
    <w:rPr>
      <w:vertAlign w:val="superscript"/>
    </w:rPr>
  </w:style>
  <w:style w:type="paragraph" w:styleId="BodyText3">
    <w:name w:val="Body Text 3"/>
    <w:basedOn w:val="Normal"/>
    <w:link w:val="BodyText3Char"/>
    <w:uiPriority w:val="99"/>
    <w:semiHidden/>
    <w:unhideWhenUsed/>
    <w:rsid w:val="00774B9C"/>
    <w:pPr>
      <w:spacing w:after="120"/>
    </w:pPr>
    <w:rPr>
      <w:sz w:val="16"/>
      <w:szCs w:val="16"/>
    </w:rPr>
  </w:style>
  <w:style w:type="character" w:customStyle="1" w:styleId="BodyText3Char">
    <w:name w:val="Body Text 3 Char"/>
    <w:basedOn w:val="DefaultParagraphFont"/>
    <w:link w:val="BodyText3"/>
    <w:rsid w:val="00774B9C"/>
    <w:rPr>
      <w:sz w:val="16"/>
      <w:szCs w:val="16"/>
    </w:rPr>
  </w:style>
  <w:style w:type="paragraph" w:customStyle="1" w:styleId="ju-005fpara">
    <w:name w:val="ju-005fpara"/>
    <w:basedOn w:val="Normal"/>
    <w:rsid w:val="0066428C"/>
    <w:pPr>
      <w:spacing w:after="0" w:line="240" w:lineRule="auto"/>
      <w:ind w:firstLine="280"/>
      <w:jc w:val="both"/>
    </w:pPr>
    <w:rPr>
      <w:rFonts w:ascii="Times New Roman" w:eastAsia="MS Mincho" w:hAnsi="Times New Roman" w:cs="Times New Roman"/>
      <w:sz w:val="24"/>
      <w:szCs w:val="24"/>
      <w:lang w:val="en-US"/>
    </w:rPr>
  </w:style>
  <w:style w:type="paragraph" w:styleId="BodyTextIndent">
    <w:name w:val="Body Text Indent"/>
    <w:basedOn w:val="Normal"/>
    <w:link w:val="BodyTextIndentChar"/>
    <w:uiPriority w:val="99"/>
    <w:unhideWhenUsed/>
    <w:rsid w:val="00FC78D1"/>
    <w:pPr>
      <w:spacing w:after="120"/>
      <w:ind w:left="360"/>
    </w:pPr>
  </w:style>
  <w:style w:type="character" w:customStyle="1" w:styleId="BodyTextIndentChar">
    <w:name w:val="Body Text Indent Char"/>
    <w:basedOn w:val="DefaultParagraphFont"/>
    <w:link w:val="BodyTextIndent"/>
    <w:uiPriority w:val="99"/>
    <w:rsid w:val="00FC78D1"/>
  </w:style>
  <w:style w:type="paragraph" w:customStyle="1" w:styleId="Char2">
    <w:name w:val="Char2"/>
    <w:basedOn w:val="Normal"/>
    <w:link w:val="FootnoteReference"/>
    <w:uiPriority w:val="99"/>
    <w:rsid w:val="00AB0A6A"/>
    <w:pPr>
      <w:spacing w:line="240" w:lineRule="exact"/>
    </w:pPr>
    <w:rPr>
      <w:vertAlign w:val="superscript"/>
    </w:rPr>
  </w:style>
  <w:style w:type="paragraph" w:styleId="PlainText">
    <w:name w:val="Plain Text"/>
    <w:basedOn w:val="Normal"/>
    <w:link w:val="PlainTextChar"/>
    <w:uiPriority w:val="99"/>
    <w:unhideWhenUsed/>
    <w:rsid w:val="00AB0A6A"/>
    <w:pPr>
      <w:spacing w:after="0" w:line="240" w:lineRule="auto"/>
      <w:jc w:val="both"/>
    </w:pPr>
    <w:rPr>
      <w:rFonts w:ascii="Consolas" w:eastAsia="Times New Roman" w:hAnsi="Consolas" w:cs="Consolas"/>
      <w:sz w:val="21"/>
      <w:szCs w:val="21"/>
      <w:lang w:val="en-US" w:bidi="en-US"/>
    </w:rPr>
  </w:style>
  <w:style w:type="character" w:customStyle="1" w:styleId="PlainTextChar">
    <w:name w:val="Plain Text Char"/>
    <w:basedOn w:val="DefaultParagraphFont"/>
    <w:link w:val="PlainText"/>
    <w:uiPriority w:val="99"/>
    <w:rsid w:val="00AB0A6A"/>
    <w:rPr>
      <w:rFonts w:ascii="Consolas" w:eastAsia="Times New Roman" w:hAnsi="Consolas" w:cs="Consolas"/>
      <w:sz w:val="21"/>
      <w:szCs w:val="21"/>
      <w:lang w:val="en-US" w:bidi="en-US"/>
    </w:rPr>
  </w:style>
  <w:style w:type="paragraph" w:styleId="BodyText2">
    <w:name w:val="Body Text 2"/>
    <w:basedOn w:val="Normal"/>
    <w:link w:val="BodyText2Char"/>
    <w:uiPriority w:val="99"/>
    <w:semiHidden/>
    <w:unhideWhenUsed/>
    <w:rsid w:val="00CE2D4D"/>
    <w:pPr>
      <w:spacing w:after="120" w:line="480" w:lineRule="auto"/>
    </w:pPr>
    <w:rPr>
      <w:rFonts w:ascii="Calibri" w:hAnsi="Calibri" w:cs="Calibri"/>
      <w:lang w:eastAsia="sq-AL"/>
    </w:rPr>
  </w:style>
  <w:style w:type="character" w:customStyle="1" w:styleId="BodyText2Char">
    <w:name w:val="Body Text 2 Char"/>
    <w:basedOn w:val="DefaultParagraphFont"/>
    <w:link w:val="BodyText2"/>
    <w:uiPriority w:val="99"/>
    <w:semiHidden/>
    <w:rsid w:val="00CE2D4D"/>
    <w:rPr>
      <w:rFonts w:ascii="Calibri" w:hAnsi="Calibri" w:cs="Calibri"/>
      <w:lang w:eastAsia="sq-AL"/>
    </w:rPr>
  </w:style>
  <w:style w:type="paragraph" w:styleId="BodyText">
    <w:name w:val="Body Text"/>
    <w:basedOn w:val="Normal"/>
    <w:link w:val="BodyTextChar"/>
    <w:uiPriority w:val="99"/>
    <w:semiHidden/>
    <w:unhideWhenUsed/>
    <w:rsid w:val="002B45B6"/>
    <w:pPr>
      <w:spacing w:after="120"/>
    </w:pPr>
  </w:style>
  <w:style w:type="character" w:customStyle="1" w:styleId="BodyTextChar">
    <w:name w:val="Body Text Char"/>
    <w:basedOn w:val="DefaultParagraphFont"/>
    <w:link w:val="BodyText"/>
    <w:semiHidden/>
    <w:rsid w:val="002B4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8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9EB2F5857644278AC47721F83F7D0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2022-10-31T13:49:19Z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2022-10-30T23:00:00Z</Date_x0020_protokolli>
    <Titulli xmlns="0e656187-b300-4fb0-8bf4-3a50f872073c">Shfuqizimi i vendimeve nr. 32, datë 01.12.2020 të Gjykatës së Posaçme të Shkallës së Parë për Korrupsionin dhe Krimin e Organizuar; nr. 5, datë 08.03.2021 të Gjykatës së Posaçme të Apelit për Korrupsionin dhe Krimin e Organizuar; nr. 00-2021-670 (63), datë 26.10.2021 të Kolegjit Penal të Gjykatës së Lartë, si të papajtueshme me Kushtetutën e Republikës së Shqipërisë. Kthimi i çështjes për rigjykim në Gjykatën e Posaçme të Shkallës së Parë për Korrupsionin dhe Krimin e Organizuar.</Titulli>
    <Modifikuesi xmlns="0e656187-b300-4fb0-8bf4-3a50f872073c">ermira.bukaci</Modifikuesi>
    <Nr_x002e__x0020_prot_x0020_QBZ xmlns="0e656187-b300-4fb0-8bf4-3a50f872073c">1600/1</Nr_x002e__x0020_prot_x0020_QBZ>
    <Data_x0020_e_x0020_Modifikimit xmlns="0e656187-b300-4fb0-8bf4-3a50f872073c">2022-11-01T09:42:53Z</Data_x0020_e_x0020_Modifikimit>
    <Dekretuar xmlns="0e656187-b300-4fb0-8bf4-3a50f872073c">false</Dekretuar>
    <Data xmlns="0e656187-b300-4fb0-8bf4-3a50f872073c">2022-09-25T22:00:00Z</Data>
    <Nr_x002e__x0020_protokolli_x0020_i_x0020_aktit xmlns="0e656187-b300-4fb0-8bf4-3a50f872073c">462/4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EB2F5857644278AC47721F83F7D0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9E5A4-BE3C-4B9B-85C4-853349265B37}">
  <ds:schemaRefs>
    <ds:schemaRef ds:uri="http://schemas.microsoft.com/sharepoint/v3/contenttype/forms"/>
  </ds:schemaRefs>
</ds:datastoreItem>
</file>

<file path=customXml/itemProps2.xml><?xml version="1.0" encoding="utf-8"?>
<ds:datastoreItem xmlns:ds="http://schemas.openxmlformats.org/officeDocument/2006/customXml" ds:itemID="{311E3568-D616-41D9-8EDB-653C1C949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21E1F05-1F7A-4468-B3D1-CDFD0285218F}">
  <ds:schemaRef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F86830E5-CF0A-45EC-97C7-1151E0166B77}">
  <ds:schemaRefs>
    <ds:schemaRef ds:uri="http://schemas.microsoft.com/sharepoint/v3/contenttype/forms"/>
  </ds:schemaRefs>
</ds:datastoreItem>
</file>

<file path=customXml/itemProps5.xml><?xml version="1.0" encoding="utf-8"?>
<ds:datastoreItem xmlns:ds="http://schemas.openxmlformats.org/officeDocument/2006/customXml" ds:itemID="{75E87340-DAAA-45AD-8CED-6AB8E0DA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B24E02-C33F-46D2-8A89-C02452920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6067</Words>
  <Characters>34585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Kondili, Këshilltare Ligjore</dc:creator>
  <cp:lastModifiedBy>Alma Lisaku</cp:lastModifiedBy>
  <cp:revision>23</cp:revision>
  <cp:lastPrinted>2022-10-28T11:19:00Z</cp:lastPrinted>
  <dcterms:created xsi:type="dcterms:W3CDTF">2022-11-01T09:38:00Z</dcterms:created>
  <dcterms:modified xsi:type="dcterms:W3CDTF">2022-11-01T11:00:00Z</dcterms:modified>
</cp:coreProperties>
</file>