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B7600" w14:textId="67B7C58A" w:rsidR="005237F6" w:rsidRPr="0035508F" w:rsidRDefault="009005E3" w:rsidP="009005E3">
      <w:pPr>
        <w:spacing w:after="0" w:line="240" w:lineRule="auto"/>
        <w:ind w:firstLine="284"/>
        <w:jc w:val="center"/>
        <w:rPr>
          <w:rFonts w:ascii="Garamond" w:hAnsi="Garamond"/>
          <w:b/>
          <w:sz w:val="24"/>
          <w:szCs w:val="24"/>
          <w:lang w:val="sq-AL"/>
        </w:rPr>
      </w:pPr>
      <w:r w:rsidRPr="0035508F">
        <w:rPr>
          <w:rFonts w:ascii="Garamond" w:hAnsi="Garamond"/>
          <w:b/>
          <w:sz w:val="24"/>
          <w:szCs w:val="24"/>
          <w:lang w:val="sq-AL"/>
        </w:rPr>
        <w:t>VENDIM</w:t>
      </w:r>
    </w:p>
    <w:p w14:paraId="01AFBB7D" w14:textId="3895D922" w:rsidR="005F5040" w:rsidRPr="0035508F" w:rsidRDefault="009005E3" w:rsidP="009005E3">
      <w:pPr>
        <w:spacing w:after="0" w:line="240" w:lineRule="auto"/>
        <w:ind w:firstLine="284"/>
        <w:jc w:val="center"/>
        <w:rPr>
          <w:rFonts w:ascii="Garamond" w:hAnsi="Garamond"/>
          <w:b/>
          <w:sz w:val="24"/>
          <w:szCs w:val="24"/>
          <w:lang w:val="sq-AL"/>
        </w:rPr>
      </w:pPr>
      <w:r w:rsidRPr="0035508F">
        <w:rPr>
          <w:rFonts w:ascii="Garamond" w:hAnsi="Garamond"/>
          <w:b/>
          <w:sz w:val="24"/>
          <w:szCs w:val="24"/>
          <w:lang w:val="sq-AL"/>
        </w:rPr>
        <w:t>Nr</w:t>
      </w:r>
      <w:r w:rsidR="00121461" w:rsidRPr="0035508F">
        <w:rPr>
          <w:rFonts w:ascii="Garamond" w:hAnsi="Garamond"/>
          <w:b/>
          <w:sz w:val="24"/>
          <w:szCs w:val="24"/>
          <w:lang w:val="sq-AL"/>
        </w:rPr>
        <w:t>. 7</w:t>
      </w:r>
      <w:r w:rsidR="000C55A5" w:rsidRPr="0035508F">
        <w:rPr>
          <w:rFonts w:ascii="Garamond" w:hAnsi="Garamond"/>
          <w:b/>
          <w:sz w:val="24"/>
          <w:szCs w:val="24"/>
          <w:lang w:val="sq-AL"/>
        </w:rPr>
        <w:t>, datë 2</w:t>
      </w:r>
      <w:r w:rsidR="00121461" w:rsidRPr="0035508F">
        <w:rPr>
          <w:rFonts w:ascii="Garamond" w:hAnsi="Garamond"/>
          <w:b/>
          <w:sz w:val="24"/>
          <w:szCs w:val="24"/>
          <w:lang w:val="sq-AL"/>
        </w:rPr>
        <w:t>1</w:t>
      </w:r>
      <w:r w:rsidR="000C55A5" w:rsidRPr="0035508F">
        <w:rPr>
          <w:rFonts w:ascii="Garamond" w:hAnsi="Garamond"/>
          <w:b/>
          <w:sz w:val="24"/>
          <w:szCs w:val="24"/>
          <w:lang w:val="sq-AL"/>
        </w:rPr>
        <w:t>.2.2023</w:t>
      </w:r>
    </w:p>
    <w:p w14:paraId="10223752" w14:textId="77777777" w:rsidR="009005E3" w:rsidRPr="0035508F" w:rsidRDefault="009005E3" w:rsidP="009005E3">
      <w:pPr>
        <w:spacing w:after="0" w:line="240" w:lineRule="auto"/>
        <w:ind w:firstLine="284"/>
        <w:jc w:val="center"/>
        <w:rPr>
          <w:rFonts w:ascii="Garamond" w:hAnsi="Garamond"/>
          <w:b/>
          <w:sz w:val="24"/>
          <w:szCs w:val="24"/>
          <w:lang w:val="sq-AL"/>
        </w:rPr>
      </w:pPr>
    </w:p>
    <w:p w14:paraId="02987534" w14:textId="6422D072"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NË EMËR TË REPUBLIKËS SË SHQIPËRISË</w:t>
      </w:r>
    </w:p>
    <w:p w14:paraId="2DD4FF5E"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558AD2" w14:textId="4830C87B" w:rsidR="009005E3" w:rsidRPr="0035508F" w:rsidRDefault="009005E3" w:rsidP="009005E3">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Gjykata Kushtetuese e Republikës së Shqipërisë, e përbërë nga:</w:t>
      </w:r>
    </w:p>
    <w:p w14:paraId="6FBB8AAE" w14:textId="06952456"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Holta Zaçaj</w:t>
      </w:r>
      <w:r w:rsidR="002A1B46">
        <w:rPr>
          <w:rFonts w:ascii="Garamond" w:hAnsi="Garamond" w:cs="Times New Roman"/>
          <w:color w:val="FF0000"/>
          <w:sz w:val="24"/>
          <w:szCs w:val="24"/>
          <w:lang w:val="sq-AL"/>
        </w:rPr>
        <w:tab/>
      </w:r>
      <w:r w:rsidR="002A1B46">
        <w:rPr>
          <w:rFonts w:ascii="Garamond" w:hAnsi="Garamond" w:cs="Times New Roman"/>
          <w:color w:val="FF0000"/>
          <w:sz w:val="24"/>
          <w:szCs w:val="24"/>
          <w:lang w:val="sq-AL"/>
        </w:rPr>
        <w:tab/>
      </w:r>
      <w:r w:rsidR="008B7129" w:rsidRPr="0035508F">
        <w:rPr>
          <w:rFonts w:ascii="Garamond" w:hAnsi="Garamond" w:cs="Times New Roman"/>
          <w:color w:val="000000"/>
          <w:sz w:val="24"/>
          <w:szCs w:val="24"/>
          <w:lang w:val="sq-AL"/>
        </w:rPr>
        <w:t>kryetare;</w:t>
      </w:r>
    </w:p>
    <w:p w14:paraId="08C420BD" w14:textId="139747B4" w:rsidR="009005E3" w:rsidRPr="0035508F" w:rsidRDefault="008B7129"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Fiona Papajorgji</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color w:val="000000"/>
          <w:sz w:val="24"/>
          <w:szCs w:val="24"/>
          <w:lang w:val="sq-AL"/>
        </w:rPr>
        <w:tab/>
      </w:r>
      <w:r w:rsidRPr="0035508F">
        <w:rPr>
          <w:rFonts w:ascii="Garamond" w:hAnsi="Garamond" w:cs="Times New Roman"/>
          <w:color w:val="000000"/>
          <w:sz w:val="24"/>
          <w:szCs w:val="24"/>
          <w:lang w:val="sq-AL"/>
        </w:rPr>
        <w:t>anëtare;</w:t>
      </w:r>
      <w:r w:rsidR="009005E3" w:rsidRPr="0035508F">
        <w:rPr>
          <w:rFonts w:ascii="Garamond" w:hAnsi="Garamond" w:cs="Times New Roman"/>
          <w:color w:val="000000"/>
          <w:sz w:val="24"/>
          <w:szCs w:val="24"/>
          <w:lang w:val="sq-AL"/>
        </w:rPr>
        <w:t xml:space="preserve"> </w:t>
      </w:r>
    </w:p>
    <w:p w14:paraId="672898F2" w14:textId="6E218BFD" w:rsidR="009005E3" w:rsidRPr="0035508F" w:rsidRDefault="008B7129"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Elsa Toska</w:t>
      </w:r>
      <w:r w:rsidR="009005E3" w:rsidRPr="0035508F">
        <w:rPr>
          <w:rFonts w:ascii="Garamond" w:hAnsi="Garamond" w:cs="Times New Roman"/>
          <w:color w:val="000000"/>
          <w:sz w:val="24"/>
          <w:szCs w:val="24"/>
          <w:lang w:val="sq-AL"/>
        </w:rPr>
        <w:tab/>
        <w:t xml:space="preserve"> </w:t>
      </w:r>
      <w:r w:rsidRPr="0035508F">
        <w:rPr>
          <w:rFonts w:ascii="Garamond" w:hAnsi="Garamond" w:cs="Times New Roman"/>
          <w:color w:val="000000"/>
          <w:sz w:val="24"/>
          <w:szCs w:val="24"/>
          <w:lang w:val="sq-AL"/>
        </w:rPr>
        <w:tab/>
        <w:t>anëtare;</w:t>
      </w:r>
      <w:r w:rsidR="00D71742">
        <w:rPr>
          <w:rFonts w:ascii="Garamond" w:hAnsi="Garamond" w:cs="Times New Roman"/>
          <w:color w:val="000000"/>
          <w:sz w:val="24"/>
          <w:szCs w:val="24"/>
          <w:lang w:val="sq-AL"/>
        </w:rPr>
        <w:t xml:space="preserve"> </w:t>
      </w:r>
    </w:p>
    <w:p w14:paraId="1B807527" w14:textId="787E5A87"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Sonila Bejtja</w:t>
      </w:r>
      <w:r w:rsidR="00D71742">
        <w:rPr>
          <w:rFonts w:ascii="Garamond" w:hAnsi="Garamond" w:cs="Times New Roman"/>
          <w:color w:val="000000"/>
          <w:sz w:val="24"/>
          <w:szCs w:val="24"/>
          <w:lang w:val="sq-AL"/>
        </w:rPr>
        <w:t xml:space="preserve"> </w:t>
      </w:r>
      <w:r w:rsidRPr="0035508F">
        <w:rPr>
          <w:rFonts w:ascii="Garamond" w:hAnsi="Garamond" w:cs="Times New Roman"/>
          <w:color w:val="000000"/>
          <w:sz w:val="24"/>
          <w:szCs w:val="24"/>
          <w:lang w:val="sq-AL"/>
        </w:rPr>
        <w:tab/>
      </w:r>
      <w:r w:rsidR="008B7129" w:rsidRPr="0035508F">
        <w:rPr>
          <w:rFonts w:ascii="Garamond" w:hAnsi="Garamond" w:cs="Times New Roman"/>
          <w:color w:val="000000"/>
          <w:sz w:val="24"/>
          <w:szCs w:val="24"/>
          <w:lang w:val="sq-AL"/>
        </w:rPr>
        <w:t>anëtare;</w:t>
      </w:r>
      <w:r w:rsidR="00D71742">
        <w:rPr>
          <w:rFonts w:ascii="Garamond" w:hAnsi="Garamond" w:cs="Times New Roman"/>
          <w:color w:val="000000"/>
          <w:sz w:val="24"/>
          <w:szCs w:val="24"/>
          <w:lang w:val="sq-AL"/>
        </w:rPr>
        <w:t xml:space="preserve"> </w:t>
      </w:r>
    </w:p>
    <w:p w14:paraId="2A1B0899" w14:textId="3F250C0B"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Sandër Beci</w:t>
      </w:r>
      <w:r w:rsidR="00D71742">
        <w:rPr>
          <w:rFonts w:ascii="Garamond" w:hAnsi="Garamond" w:cs="Times New Roman"/>
          <w:color w:val="000000"/>
          <w:sz w:val="24"/>
          <w:szCs w:val="24"/>
          <w:lang w:val="sq-AL"/>
        </w:rPr>
        <w:t xml:space="preserve"> </w:t>
      </w:r>
      <w:r w:rsidRPr="0035508F">
        <w:rPr>
          <w:rFonts w:ascii="Garamond" w:hAnsi="Garamond" w:cs="Times New Roman"/>
          <w:color w:val="000000"/>
          <w:sz w:val="24"/>
          <w:szCs w:val="24"/>
          <w:lang w:val="sq-AL"/>
        </w:rPr>
        <w:tab/>
      </w:r>
      <w:r w:rsidR="008B7129" w:rsidRPr="0035508F">
        <w:rPr>
          <w:rFonts w:ascii="Garamond" w:hAnsi="Garamond" w:cs="Times New Roman"/>
          <w:color w:val="000000"/>
          <w:sz w:val="24"/>
          <w:szCs w:val="24"/>
          <w:lang w:val="sq-AL"/>
        </w:rPr>
        <w:t>anëtar;</w:t>
      </w:r>
    </w:p>
    <w:p w14:paraId="6A25AE98" w14:textId="766BC75D"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Ilir Toska</w:t>
      </w:r>
      <w:r w:rsidR="00D71742">
        <w:rPr>
          <w:rFonts w:ascii="Garamond" w:hAnsi="Garamond" w:cs="Times New Roman"/>
          <w:color w:val="000000"/>
          <w:sz w:val="24"/>
          <w:szCs w:val="24"/>
          <w:lang w:val="sq-AL"/>
        </w:rPr>
        <w:t xml:space="preserve"> </w:t>
      </w:r>
      <w:r w:rsidRPr="0035508F">
        <w:rPr>
          <w:rFonts w:ascii="Garamond" w:hAnsi="Garamond" w:cs="Times New Roman"/>
          <w:color w:val="000000"/>
          <w:sz w:val="24"/>
          <w:szCs w:val="24"/>
          <w:lang w:val="sq-AL"/>
        </w:rPr>
        <w:tab/>
      </w:r>
      <w:r w:rsidRPr="0035508F">
        <w:rPr>
          <w:rFonts w:ascii="Garamond" w:hAnsi="Garamond" w:cs="Times New Roman"/>
          <w:color w:val="000000"/>
          <w:sz w:val="24"/>
          <w:szCs w:val="24"/>
          <w:lang w:val="sq-AL"/>
        </w:rPr>
        <w:tab/>
      </w:r>
      <w:r w:rsidR="008B7129" w:rsidRPr="0035508F">
        <w:rPr>
          <w:rFonts w:ascii="Garamond" w:hAnsi="Garamond" w:cs="Times New Roman"/>
          <w:color w:val="000000"/>
          <w:sz w:val="24"/>
          <w:szCs w:val="24"/>
          <w:lang w:val="sq-AL"/>
        </w:rPr>
        <w:t>anëtar;</w:t>
      </w:r>
    </w:p>
    <w:p w14:paraId="42A7F554" w14:textId="1E2E65B0"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Genti Ibrahimi </w:t>
      </w:r>
      <w:r w:rsidRPr="0035508F">
        <w:rPr>
          <w:rFonts w:ascii="Garamond" w:hAnsi="Garamond" w:cs="Times New Roman"/>
          <w:color w:val="000000"/>
          <w:sz w:val="24"/>
          <w:szCs w:val="24"/>
          <w:lang w:val="sq-AL"/>
        </w:rPr>
        <w:tab/>
      </w:r>
      <w:r w:rsidR="008B7129" w:rsidRPr="0035508F">
        <w:rPr>
          <w:rFonts w:ascii="Garamond" w:hAnsi="Garamond" w:cs="Times New Roman"/>
          <w:color w:val="000000"/>
          <w:sz w:val="24"/>
          <w:szCs w:val="24"/>
          <w:lang w:val="sq-AL"/>
        </w:rPr>
        <w:t>anëtar;</w:t>
      </w:r>
    </w:p>
    <w:p w14:paraId="407B77E0" w14:textId="71CCC1D3"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Marjana Semini </w:t>
      </w:r>
      <w:r w:rsidRPr="0035508F">
        <w:rPr>
          <w:rFonts w:ascii="Garamond" w:hAnsi="Garamond" w:cs="Times New Roman"/>
          <w:color w:val="000000"/>
          <w:sz w:val="24"/>
          <w:szCs w:val="24"/>
          <w:lang w:val="sq-AL"/>
        </w:rPr>
        <w:tab/>
      </w:r>
      <w:r w:rsidR="008B7129" w:rsidRPr="0035508F">
        <w:rPr>
          <w:rFonts w:ascii="Garamond" w:hAnsi="Garamond" w:cs="Times New Roman"/>
          <w:color w:val="000000"/>
          <w:sz w:val="24"/>
          <w:szCs w:val="24"/>
          <w:lang w:val="sq-AL"/>
        </w:rPr>
        <w:t>anëtare;</w:t>
      </w:r>
    </w:p>
    <w:p w14:paraId="5BB2967A" w14:textId="670BB551"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Marsida Xhaferllari</w:t>
      </w:r>
      <w:r w:rsidR="00D71742">
        <w:rPr>
          <w:rFonts w:ascii="Garamond" w:hAnsi="Garamond" w:cs="Times New Roman"/>
          <w:color w:val="000000"/>
          <w:sz w:val="24"/>
          <w:szCs w:val="24"/>
          <w:lang w:val="sq-AL"/>
        </w:rPr>
        <w:t xml:space="preserve"> </w:t>
      </w:r>
      <w:r w:rsidR="008B7129" w:rsidRPr="0035508F">
        <w:rPr>
          <w:rFonts w:ascii="Garamond" w:hAnsi="Garamond" w:cs="Times New Roman"/>
          <w:color w:val="000000"/>
          <w:sz w:val="24"/>
          <w:szCs w:val="24"/>
          <w:lang w:val="sq-AL"/>
        </w:rPr>
        <w:t>anëtare,</w:t>
      </w:r>
      <w:r w:rsidR="00D71742">
        <w:rPr>
          <w:rFonts w:ascii="Garamond" w:hAnsi="Garamond" w:cs="Times New Roman"/>
          <w:color w:val="000000"/>
          <w:sz w:val="24"/>
          <w:szCs w:val="24"/>
          <w:lang w:val="sq-AL"/>
        </w:rPr>
        <w:t xml:space="preserve"> </w:t>
      </w:r>
    </w:p>
    <w:p w14:paraId="5A15CC04" w14:textId="4A0FE936"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me sekretare Belma Lleshi, </w:t>
      </w:r>
      <w:r w:rsidR="00E157FC">
        <w:rPr>
          <w:rFonts w:ascii="Garamond" w:hAnsi="Garamond" w:cs="Times New Roman"/>
          <w:color w:val="000000"/>
          <w:sz w:val="24"/>
          <w:szCs w:val="24"/>
          <w:lang w:val="sq-AL"/>
        </w:rPr>
        <w:t>m</w:t>
      </w:r>
      <w:r w:rsidRPr="0035508F">
        <w:rPr>
          <w:rFonts w:ascii="Garamond" w:hAnsi="Garamond" w:cs="Times New Roman"/>
          <w:color w:val="000000"/>
          <w:sz w:val="24"/>
          <w:szCs w:val="24"/>
          <w:lang w:val="sq-AL"/>
        </w:rPr>
        <w:t>ë datë 21.2.2023 mori në shqyrtim në seancë plenare mbi bazë të dokumenteve çështjen nr. 20 (A) 2022 të Regjistrit Themeltar, që u përket:</w:t>
      </w:r>
    </w:p>
    <w:p w14:paraId="788056FB" w14:textId="469A6324" w:rsidR="009005E3" w:rsidRPr="0035508F" w:rsidRDefault="009005E3" w:rsidP="009005E3">
      <w:pPr>
        <w:tabs>
          <w:tab w:val="left" w:pos="1440"/>
          <w:tab w:val="left" w:pos="28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508F">
        <w:rPr>
          <w:rFonts w:ascii="Garamond" w:hAnsi="Garamond" w:cs="Times New Roman"/>
          <w:b/>
          <w:bCs/>
          <w:color w:val="000000"/>
          <w:sz w:val="24"/>
          <w:szCs w:val="24"/>
          <w:lang w:val="sq-AL"/>
        </w:rPr>
        <w:t xml:space="preserve"> </w:t>
      </w:r>
      <w:r w:rsidRPr="0035508F">
        <w:rPr>
          <w:rFonts w:ascii="Garamond" w:hAnsi="Garamond" w:cs="Times New Roman"/>
          <w:bCs/>
          <w:color w:val="000000"/>
          <w:sz w:val="24"/>
          <w:szCs w:val="24"/>
          <w:lang w:val="sq-AL"/>
        </w:rPr>
        <w:t xml:space="preserve">KËRKUES: </w:t>
      </w:r>
      <w:r w:rsidR="00AF3D00" w:rsidRPr="0035508F">
        <w:rPr>
          <w:rFonts w:ascii="Garamond" w:hAnsi="Garamond" w:cs="Times New Roman"/>
          <w:bCs/>
          <w:color w:val="000000"/>
          <w:sz w:val="24"/>
          <w:szCs w:val="24"/>
          <w:lang w:val="sq-AL"/>
        </w:rPr>
        <w:t>Aleksandër Dhima</w:t>
      </w:r>
    </w:p>
    <w:p w14:paraId="022BA376" w14:textId="6243102B" w:rsidR="009005E3" w:rsidRPr="0035508F" w:rsidRDefault="002A1B46" w:rsidP="009005E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508F">
        <w:rPr>
          <w:rFonts w:ascii="Garamond" w:hAnsi="Garamond" w:cs="Times New Roman"/>
          <w:bCs/>
          <w:color w:val="000000"/>
          <w:sz w:val="24"/>
          <w:szCs w:val="24"/>
          <w:lang w:val="sq-AL"/>
        </w:rPr>
        <w:t xml:space="preserve"> SUBJEKT </w:t>
      </w:r>
      <w:r>
        <w:rPr>
          <w:rFonts w:ascii="Garamond" w:hAnsi="Garamond" w:cs="Times New Roman"/>
          <w:bCs/>
          <w:color w:val="000000"/>
          <w:sz w:val="24"/>
          <w:szCs w:val="24"/>
          <w:lang w:val="sq-AL"/>
        </w:rPr>
        <w:t>I</w:t>
      </w:r>
      <w:r w:rsidRPr="0035508F">
        <w:rPr>
          <w:rFonts w:ascii="Garamond" w:hAnsi="Garamond" w:cs="Times New Roman"/>
          <w:bCs/>
          <w:color w:val="000000"/>
          <w:sz w:val="24"/>
          <w:szCs w:val="24"/>
          <w:lang w:val="sq-AL"/>
        </w:rPr>
        <w:t xml:space="preserve"> INTERESUAR: </w:t>
      </w:r>
    </w:p>
    <w:p w14:paraId="5F2AA661" w14:textId="3BED3A58" w:rsidR="009005E3" w:rsidRPr="0035508F" w:rsidRDefault="00AF3D00" w:rsidP="009005E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508F">
        <w:rPr>
          <w:rFonts w:ascii="Garamond" w:hAnsi="Garamond" w:cs="Times New Roman"/>
          <w:bCs/>
          <w:color w:val="000000"/>
          <w:sz w:val="24"/>
          <w:szCs w:val="24"/>
          <w:lang w:val="sq-AL"/>
        </w:rPr>
        <w:t xml:space="preserve"> Drejtoria Rajonale </w:t>
      </w:r>
      <w:r>
        <w:rPr>
          <w:rFonts w:ascii="Garamond" w:hAnsi="Garamond" w:cs="Times New Roman"/>
          <w:bCs/>
          <w:color w:val="000000"/>
          <w:sz w:val="24"/>
          <w:szCs w:val="24"/>
          <w:lang w:val="sq-AL"/>
        </w:rPr>
        <w:t>e</w:t>
      </w:r>
      <w:r w:rsidRPr="0035508F">
        <w:rPr>
          <w:rFonts w:ascii="Garamond" w:hAnsi="Garamond" w:cs="Times New Roman"/>
          <w:bCs/>
          <w:color w:val="000000"/>
          <w:sz w:val="24"/>
          <w:szCs w:val="24"/>
          <w:lang w:val="sq-AL"/>
        </w:rPr>
        <w:t xml:space="preserve"> Sigurimeve Shoqërore, Tiranë</w:t>
      </w:r>
    </w:p>
    <w:p w14:paraId="1600FAF3" w14:textId="35417714" w:rsidR="009005E3" w:rsidRPr="0035508F" w:rsidRDefault="00D71742" w:rsidP="009005E3">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 </w:t>
      </w:r>
      <w:r w:rsidR="009005E3" w:rsidRPr="0035508F">
        <w:rPr>
          <w:rFonts w:ascii="Garamond" w:hAnsi="Garamond" w:cs="Times New Roman"/>
          <w:bCs/>
          <w:color w:val="000000"/>
          <w:sz w:val="24"/>
          <w:szCs w:val="24"/>
          <w:lang w:val="sq-AL"/>
        </w:rPr>
        <w:t>OBJEKTI:</w:t>
      </w:r>
      <w:r>
        <w:rPr>
          <w:rFonts w:ascii="Garamond" w:hAnsi="Garamond" w:cs="Times New Roman"/>
          <w:bCs/>
          <w:color w:val="000000"/>
          <w:sz w:val="24"/>
          <w:szCs w:val="24"/>
          <w:lang w:val="sq-AL"/>
        </w:rPr>
        <w:t xml:space="preserve"> </w:t>
      </w:r>
      <w:r w:rsidR="009005E3" w:rsidRPr="0035508F">
        <w:rPr>
          <w:rFonts w:ascii="Garamond" w:hAnsi="Garamond" w:cs="Times New Roman"/>
          <w:bCs/>
          <w:color w:val="000000"/>
          <w:sz w:val="24"/>
          <w:szCs w:val="24"/>
          <w:lang w:val="sq-AL"/>
        </w:rPr>
        <w:t>Shfuqizimi i vendimit nr. 00-2022-1183 (189), datë 13.5.2022</w:t>
      </w:r>
      <w:r w:rsidR="00AB6E41">
        <w:rPr>
          <w:rFonts w:ascii="Garamond" w:hAnsi="Garamond" w:cs="Times New Roman"/>
          <w:bCs/>
          <w:color w:val="000000"/>
          <w:sz w:val="24"/>
          <w:szCs w:val="24"/>
          <w:lang w:val="sq-AL"/>
        </w:rPr>
        <w:t>,</w:t>
      </w:r>
      <w:bookmarkStart w:id="0" w:name="_GoBack"/>
      <w:bookmarkEnd w:id="0"/>
      <w:r w:rsidR="009005E3" w:rsidRPr="0035508F">
        <w:rPr>
          <w:rFonts w:ascii="Garamond" w:hAnsi="Garamond" w:cs="Times New Roman"/>
          <w:bCs/>
          <w:color w:val="000000"/>
          <w:sz w:val="24"/>
          <w:szCs w:val="24"/>
          <w:lang w:val="sq-AL"/>
        </w:rPr>
        <w:t xml:space="preserve"> të Kolegjit Administrativ të Gjykatës së Lartë, si i papajtueshëm me Kushtetutën e Republikës së Shqipërisë dhe dërgimi i çështjes për rigjykim në Gjykatën e Lartë.</w:t>
      </w:r>
    </w:p>
    <w:p w14:paraId="4C915D2F" w14:textId="6687733C"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bCs/>
          <w:color w:val="000000"/>
          <w:sz w:val="24"/>
          <w:szCs w:val="24"/>
          <w:lang w:val="sq-AL"/>
        </w:rPr>
        <w:t>BAZA LIGJORE:</w:t>
      </w:r>
      <w:r w:rsidR="00D71742">
        <w:rPr>
          <w:rFonts w:ascii="Garamond" w:hAnsi="Garamond" w:cs="Times New Roman"/>
          <w:bCs/>
          <w:color w:val="000000"/>
          <w:sz w:val="24"/>
          <w:szCs w:val="24"/>
          <w:lang w:val="sq-AL"/>
        </w:rPr>
        <w:t xml:space="preserve"> </w:t>
      </w:r>
      <w:r w:rsidR="00520146">
        <w:rPr>
          <w:rFonts w:ascii="Garamond" w:hAnsi="Garamond" w:cs="Times New Roman"/>
          <w:color w:val="000000"/>
          <w:sz w:val="24"/>
          <w:szCs w:val="24"/>
          <w:lang w:val="sq-AL"/>
        </w:rPr>
        <w:t>n</w:t>
      </w:r>
      <w:r w:rsidRPr="0035508F">
        <w:rPr>
          <w:rFonts w:ascii="Garamond" w:hAnsi="Garamond" w:cs="Times New Roman"/>
          <w:color w:val="000000"/>
          <w:sz w:val="24"/>
          <w:szCs w:val="24"/>
          <w:lang w:val="sq-AL"/>
        </w:rPr>
        <w:t>enet 42, 131, shkronja “f” dhe 134, pika 1, shkronja “i”, të Kushtetutës së Republikës së Shqipërisë; nenet 27, 49, pika 3, shkronja “c”, 50, pika 4, 71 dhe 71</w:t>
      </w:r>
      <w:r w:rsidR="00520146">
        <w:rPr>
          <w:rFonts w:ascii="Garamond" w:hAnsi="Garamond" w:cs="Times New Roman"/>
          <w:color w:val="000000"/>
          <w:sz w:val="24"/>
          <w:szCs w:val="24"/>
          <w:lang w:val="sq-AL"/>
        </w:rPr>
        <w:t>/a të ligjit nr. 8577, datë 10.</w:t>
      </w:r>
      <w:r w:rsidRPr="0035508F">
        <w:rPr>
          <w:rFonts w:ascii="Garamond" w:hAnsi="Garamond" w:cs="Times New Roman"/>
          <w:color w:val="000000"/>
          <w:sz w:val="24"/>
          <w:szCs w:val="24"/>
          <w:lang w:val="sq-AL"/>
        </w:rPr>
        <w:t>2.2000 “Për organizimin dhe funksionimin e Gjykatës Kushtetuese të Republikës së Shqipërisë”, të ndryshuar (</w:t>
      </w:r>
      <w:r w:rsidRPr="0035508F">
        <w:rPr>
          <w:rFonts w:ascii="Garamond" w:hAnsi="Garamond" w:cs="Times New Roman"/>
          <w:i/>
          <w:iCs/>
          <w:color w:val="000000"/>
          <w:sz w:val="24"/>
          <w:szCs w:val="24"/>
          <w:lang w:val="sq-AL"/>
        </w:rPr>
        <w:t>ligji nr. 8577/2000</w:t>
      </w:r>
      <w:r w:rsidRPr="0035508F">
        <w:rPr>
          <w:rFonts w:ascii="Garamond" w:hAnsi="Garamond" w:cs="Times New Roman"/>
          <w:color w:val="000000"/>
          <w:sz w:val="24"/>
          <w:szCs w:val="24"/>
          <w:lang w:val="sq-AL"/>
        </w:rPr>
        <w:t>).</w:t>
      </w:r>
    </w:p>
    <w:p w14:paraId="7FB0ABBD"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7B95F6E"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5508F">
        <w:rPr>
          <w:rFonts w:ascii="Garamond" w:hAnsi="Garamond" w:cs="Times New Roman"/>
          <w:bCs/>
          <w:color w:val="000000"/>
          <w:sz w:val="24"/>
          <w:szCs w:val="24"/>
          <w:lang w:val="sq-AL"/>
        </w:rPr>
        <w:t>GJYKATA KUSHTETUESE</w:t>
      </w:r>
      <w:r w:rsidRPr="0035508F">
        <w:rPr>
          <w:rFonts w:ascii="Garamond" w:hAnsi="Garamond" w:cs="Times New Roman"/>
          <w:color w:val="000000"/>
          <w:sz w:val="24"/>
          <w:szCs w:val="24"/>
          <w:lang w:val="sq-AL"/>
        </w:rPr>
        <w:t>,</w:t>
      </w:r>
    </w:p>
    <w:p w14:paraId="477FC077"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D8EDCD8"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pasi dëgjoi relatoren e çështjes Marsida Xhaferllari, mori në shqyrtim parashtrimet me shkrim të kërkuesit, i cili ka kërkuar pranimin e kërkesës, konstatoi mungesën e prapësimeve me shkrim të subjektit të interesuar Drejtorisë Rajonale të Sigurimeve Shoqërore Tiranë </w:t>
      </w:r>
      <w:r w:rsidRPr="0035508F">
        <w:rPr>
          <w:rFonts w:ascii="Garamond" w:hAnsi="Garamond" w:cs="Times New Roman"/>
          <w:i/>
          <w:iCs/>
          <w:color w:val="000000"/>
          <w:sz w:val="24"/>
          <w:szCs w:val="24"/>
          <w:lang w:val="sq-AL"/>
        </w:rPr>
        <w:t>(DRSSH</w:t>
      </w:r>
      <w:r w:rsidRPr="0035508F">
        <w:rPr>
          <w:rFonts w:ascii="Garamond" w:hAnsi="Garamond" w:cs="Times New Roman"/>
          <w:color w:val="000000"/>
          <w:sz w:val="24"/>
          <w:szCs w:val="24"/>
          <w:lang w:val="sq-AL"/>
        </w:rPr>
        <w:t>), si dhe diskutoi çështjen në tërësi,</w:t>
      </w:r>
    </w:p>
    <w:p w14:paraId="4CBB3B29"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5D974ED" w14:textId="142F070F" w:rsidR="009005E3" w:rsidRPr="003A2C3E" w:rsidRDefault="009005E3" w:rsidP="009005E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A2C3E">
        <w:rPr>
          <w:rFonts w:ascii="Garamond" w:hAnsi="Garamond" w:cs="Times New Roman"/>
          <w:bCs/>
          <w:color w:val="000000"/>
          <w:sz w:val="24"/>
          <w:szCs w:val="24"/>
          <w:lang w:val="sq-AL"/>
        </w:rPr>
        <w:t>VËREN:</w:t>
      </w:r>
    </w:p>
    <w:p w14:paraId="75A4FFDB" w14:textId="77777777" w:rsidR="003A2C3E" w:rsidRDefault="003A2C3E"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2678A8E"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I</w:t>
      </w:r>
    </w:p>
    <w:p w14:paraId="193B36FD"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Rrethanat e çështjes</w:t>
      </w:r>
    </w:p>
    <w:p w14:paraId="6B2E8437" w14:textId="7777777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FB953BE" w14:textId="7DBA3F52"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1. Kërkuesi Aleksandër Dhima është emëruar në detyrën e oficerit të shërbimit aktiv në Forcat e Armatosura me urdhrin nr. 0337, datë 28.12.1969 të ministrit të Mbrojtjes. Ai e ka kryer këtë detyrë për 23 vjet, 11 muaj e 15 ditë deri në daljen në rezervë me urdhrin</w:t>
      </w:r>
      <w:r w:rsidR="00D71742">
        <w:rPr>
          <w:rFonts w:ascii="Garamond" w:hAnsi="Garamond" w:cs="Times New Roman"/>
          <w:color w:val="000000"/>
          <w:sz w:val="24"/>
          <w:szCs w:val="24"/>
          <w:lang w:val="sq-AL"/>
        </w:rPr>
        <w:t xml:space="preserve"> </w:t>
      </w:r>
      <w:r w:rsidRPr="0035508F">
        <w:rPr>
          <w:rFonts w:ascii="Garamond" w:hAnsi="Garamond" w:cs="Times New Roman"/>
          <w:color w:val="000000"/>
          <w:sz w:val="24"/>
          <w:szCs w:val="24"/>
          <w:lang w:val="sq-AL"/>
        </w:rPr>
        <w:t xml:space="preserve">nr. 3014, datë 16.12.1993 të ministrit të Mbrojtjes, për shkak të reformës në Forcat e Armatosura. </w:t>
      </w:r>
    </w:p>
    <w:p w14:paraId="53CE4C9B" w14:textId="5EC2B75A"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2. Kërkuesi është trajtuar me pension të parakohshëm për vjetërsi shërbimi për periudhën 1.1.1999–6.9.1999. </w:t>
      </w:r>
      <w:r w:rsidR="00E157FC">
        <w:rPr>
          <w:rFonts w:ascii="Garamond" w:hAnsi="Garamond" w:cs="Times New Roman"/>
          <w:color w:val="000000"/>
          <w:sz w:val="24"/>
          <w:szCs w:val="24"/>
          <w:lang w:val="sq-AL"/>
        </w:rPr>
        <w:t>M</w:t>
      </w:r>
      <w:r w:rsidRPr="0035508F">
        <w:rPr>
          <w:rFonts w:ascii="Garamond" w:hAnsi="Garamond" w:cs="Times New Roman"/>
          <w:color w:val="000000"/>
          <w:sz w:val="24"/>
          <w:szCs w:val="24"/>
          <w:lang w:val="sq-AL"/>
        </w:rPr>
        <w:t>ë datë 6.9.1999 ai është punësuar në Drejtorinë e Përgjithshme të Doganave dhe për këtë shkak i është ndërprerë pensioni i parakohshëm për vjetërsi shërbimi bazuar në nenin 11, paragrafi i katër</w:t>
      </w:r>
      <w:r w:rsidR="0077652A">
        <w:rPr>
          <w:rFonts w:ascii="Garamond" w:hAnsi="Garamond" w:cs="Times New Roman"/>
          <w:color w:val="000000"/>
          <w:sz w:val="24"/>
          <w:szCs w:val="24"/>
          <w:lang w:val="sq-AL"/>
        </w:rPr>
        <w:t>t, të ligjit nr. 8087, datë 13.</w:t>
      </w:r>
      <w:r w:rsidRPr="0035508F">
        <w:rPr>
          <w:rFonts w:ascii="Garamond" w:hAnsi="Garamond" w:cs="Times New Roman"/>
          <w:color w:val="000000"/>
          <w:sz w:val="24"/>
          <w:szCs w:val="24"/>
          <w:lang w:val="sq-AL"/>
        </w:rPr>
        <w:t xml:space="preserve">3.1996 “Për sigurimin shoqëror suplementar të </w:t>
      </w:r>
      <w:r w:rsidRPr="0035508F">
        <w:rPr>
          <w:rFonts w:ascii="Garamond" w:hAnsi="Garamond" w:cs="Times New Roman"/>
          <w:color w:val="000000"/>
          <w:sz w:val="24"/>
          <w:szCs w:val="24"/>
          <w:lang w:val="sq-AL"/>
        </w:rPr>
        <w:lastRenderedPageBreak/>
        <w:t>ushtarakëve të Forcave të Armatosura të Republikës së Shqipërisë, të ushtarakëve të Ministrisë së Rendit Publik dhe Shërbimit Informativ Kombëtar” (</w:t>
      </w:r>
      <w:r w:rsidRPr="0035508F">
        <w:rPr>
          <w:rFonts w:ascii="Garamond" w:hAnsi="Garamond" w:cs="Times New Roman"/>
          <w:i/>
          <w:iCs/>
          <w:color w:val="000000"/>
          <w:sz w:val="24"/>
          <w:szCs w:val="24"/>
          <w:lang w:val="sq-AL"/>
        </w:rPr>
        <w:t>ligji nr. 8087/1996</w:t>
      </w:r>
      <w:r w:rsidRPr="0035508F">
        <w:rPr>
          <w:rFonts w:ascii="Garamond" w:hAnsi="Garamond" w:cs="Times New Roman"/>
          <w:color w:val="000000"/>
          <w:sz w:val="24"/>
          <w:szCs w:val="24"/>
          <w:lang w:val="sq-AL"/>
        </w:rPr>
        <w:t>). Kjo dispozitë ligjore parashikonte ndërprerjen e pagesës kur përfituesi rititullohej ushtarak aktiv ose punësohej.</w:t>
      </w:r>
    </w:p>
    <w:p w14:paraId="2C5DB312" w14:textId="5759CA65"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pacing w:val="-15"/>
          <w:sz w:val="24"/>
          <w:szCs w:val="24"/>
          <w:lang w:val="sq-AL"/>
        </w:rPr>
        <w:t xml:space="preserve">3. Me ligjin </w:t>
      </w:r>
      <w:r w:rsidR="0077652A">
        <w:rPr>
          <w:rFonts w:ascii="Garamond" w:hAnsi="Garamond" w:cs="Times New Roman"/>
          <w:color w:val="000000"/>
          <w:sz w:val="24"/>
          <w:szCs w:val="24"/>
          <w:lang w:val="sq-AL"/>
        </w:rPr>
        <w:t>nr. 9210, datë 23.</w:t>
      </w:r>
      <w:r w:rsidRPr="0035508F">
        <w:rPr>
          <w:rFonts w:ascii="Garamond" w:hAnsi="Garamond" w:cs="Times New Roman"/>
          <w:color w:val="000000"/>
          <w:sz w:val="24"/>
          <w:szCs w:val="24"/>
          <w:lang w:val="sq-AL"/>
        </w:rPr>
        <w:t>3.2004 “Për statusin e ushtarakut të Forcave të Armatosura të Republikës së Shqipërisë” (</w:t>
      </w:r>
      <w:r w:rsidRPr="0035508F">
        <w:rPr>
          <w:rFonts w:ascii="Garamond" w:hAnsi="Garamond" w:cs="Times New Roman"/>
          <w:i/>
          <w:iCs/>
          <w:color w:val="000000"/>
          <w:sz w:val="24"/>
          <w:szCs w:val="24"/>
          <w:lang w:val="sq-AL"/>
        </w:rPr>
        <w:t>ligji nr. 9210/2004</w:t>
      </w:r>
      <w:r w:rsidRPr="0035508F">
        <w:rPr>
          <w:rFonts w:ascii="Garamond" w:hAnsi="Garamond" w:cs="Times New Roman"/>
          <w:color w:val="000000"/>
          <w:sz w:val="24"/>
          <w:szCs w:val="24"/>
          <w:lang w:val="sq-AL"/>
        </w:rPr>
        <w:t>)</w:t>
      </w:r>
      <w:r w:rsidR="0077652A">
        <w:rPr>
          <w:rFonts w:ascii="Garamond" w:hAnsi="Garamond" w:cs="Times New Roman"/>
          <w:color w:val="000000"/>
          <w:spacing w:val="-15"/>
          <w:sz w:val="24"/>
          <w:szCs w:val="24"/>
          <w:lang w:val="sq-AL"/>
        </w:rPr>
        <w:t>, hyrë në fuqi më 14.</w:t>
      </w:r>
      <w:r w:rsidRPr="0035508F">
        <w:rPr>
          <w:rFonts w:ascii="Garamond" w:hAnsi="Garamond" w:cs="Times New Roman"/>
          <w:color w:val="000000"/>
          <w:spacing w:val="-15"/>
          <w:sz w:val="24"/>
          <w:szCs w:val="24"/>
          <w:lang w:val="sq-AL"/>
        </w:rPr>
        <w:t>5.2004, u parashikua se pensioni i parakohshëm për vjetërsi shërbimi nuk ndërpritet në rastin e punësimit (</w:t>
      </w:r>
      <w:r w:rsidRPr="0035508F">
        <w:rPr>
          <w:rFonts w:ascii="Garamond" w:hAnsi="Garamond" w:cs="Times New Roman"/>
          <w:i/>
          <w:iCs/>
          <w:color w:val="000000"/>
          <w:spacing w:val="-15"/>
          <w:sz w:val="24"/>
          <w:szCs w:val="24"/>
          <w:lang w:val="sq-AL"/>
        </w:rPr>
        <w:t>neni 35, pika 2</w:t>
      </w:r>
      <w:r w:rsidRPr="0035508F">
        <w:rPr>
          <w:rFonts w:ascii="Garamond" w:hAnsi="Garamond" w:cs="Times New Roman"/>
          <w:color w:val="000000"/>
          <w:spacing w:val="-15"/>
          <w:sz w:val="24"/>
          <w:szCs w:val="24"/>
          <w:lang w:val="sq-AL"/>
        </w:rPr>
        <w:t xml:space="preserve">). Ndërsa me </w:t>
      </w:r>
      <w:r w:rsidR="0077652A">
        <w:rPr>
          <w:rFonts w:ascii="Garamond" w:hAnsi="Garamond" w:cs="Times New Roman"/>
          <w:color w:val="000000"/>
          <w:sz w:val="24"/>
          <w:szCs w:val="24"/>
          <w:lang w:val="sq-AL"/>
        </w:rPr>
        <w:t>ligjin nr. 9418, datë 20.</w:t>
      </w:r>
      <w:r w:rsidRPr="0035508F">
        <w:rPr>
          <w:rFonts w:ascii="Garamond" w:hAnsi="Garamond" w:cs="Times New Roman"/>
          <w:color w:val="000000"/>
          <w:sz w:val="24"/>
          <w:szCs w:val="24"/>
          <w:lang w:val="sq-AL"/>
        </w:rPr>
        <w:t>5.2005 “Për sigurimin shoqëror suplementar të ushtarakëve të Forcave të Armatosura të Republikës së Shqipërisë” (</w:t>
      </w:r>
      <w:r w:rsidRPr="0035508F">
        <w:rPr>
          <w:rFonts w:ascii="Garamond" w:hAnsi="Garamond" w:cs="Times New Roman"/>
          <w:i/>
          <w:iCs/>
          <w:color w:val="000000"/>
          <w:sz w:val="24"/>
          <w:szCs w:val="24"/>
          <w:lang w:val="sq-AL"/>
        </w:rPr>
        <w:t>ligji nr. 9418/2005</w:t>
      </w:r>
      <w:r w:rsidRPr="0035508F">
        <w:rPr>
          <w:rFonts w:ascii="Garamond" w:hAnsi="Garamond" w:cs="Times New Roman"/>
          <w:color w:val="000000"/>
          <w:sz w:val="24"/>
          <w:szCs w:val="24"/>
          <w:lang w:val="sq-AL"/>
        </w:rPr>
        <w:t xml:space="preserve">), hyrë në fuqi më 1.1.2006, u parashikua se ky lloj pensioni ndërpritej vetëm nëse ushtaraku rikthehej në shërbim aktiv dhe se masa e përfitimit </w:t>
      </w:r>
      <w:r w:rsidRPr="0035508F">
        <w:rPr>
          <w:rFonts w:ascii="Garamond" w:hAnsi="Garamond" w:cs="Times New Roman"/>
          <w:color w:val="000000"/>
          <w:spacing w:val="-15"/>
          <w:sz w:val="24"/>
          <w:szCs w:val="24"/>
          <w:lang w:val="sq-AL"/>
        </w:rPr>
        <w:t>nuk mund të ishte më e madhe se katërfishi i pensionit bazë (</w:t>
      </w:r>
      <w:r w:rsidRPr="0035508F">
        <w:rPr>
          <w:rFonts w:ascii="Garamond" w:hAnsi="Garamond" w:cs="Times New Roman"/>
          <w:i/>
          <w:iCs/>
          <w:color w:val="000000"/>
          <w:spacing w:val="-15"/>
          <w:sz w:val="24"/>
          <w:szCs w:val="24"/>
          <w:lang w:val="sq-AL"/>
        </w:rPr>
        <w:t>neni 14, pikat 3 dhe 4</w:t>
      </w:r>
      <w:r w:rsidRPr="0035508F">
        <w:rPr>
          <w:rFonts w:ascii="Garamond" w:hAnsi="Garamond" w:cs="Times New Roman"/>
          <w:color w:val="000000"/>
          <w:spacing w:val="-15"/>
          <w:sz w:val="24"/>
          <w:szCs w:val="24"/>
          <w:lang w:val="sq-AL"/>
        </w:rPr>
        <w:t>), ky i fundit i përcaktu</w:t>
      </w:r>
      <w:r w:rsidR="0077652A">
        <w:rPr>
          <w:rFonts w:ascii="Garamond" w:hAnsi="Garamond" w:cs="Times New Roman"/>
          <w:color w:val="000000"/>
          <w:spacing w:val="-15"/>
          <w:sz w:val="24"/>
          <w:szCs w:val="24"/>
          <w:lang w:val="sq-AL"/>
        </w:rPr>
        <w:t>ar nga ligji nr. 7703, datë 11.</w:t>
      </w:r>
      <w:r w:rsidRPr="0035508F">
        <w:rPr>
          <w:rFonts w:ascii="Garamond" w:hAnsi="Garamond" w:cs="Times New Roman"/>
          <w:color w:val="000000"/>
          <w:spacing w:val="-15"/>
          <w:sz w:val="24"/>
          <w:szCs w:val="24"/>
          <w:lang w:val="sq-AL"/>
        </w:rPr>
        <w:t>5.1993 “Për sigurimet shoqërore në Republikën e Shqipërisë” (</w:t>
      </w:r>
      <w:r w:rsidRPr="0035508F">
        <w:rPr>
          <w:rFonts w:ascii="Garamond" w:hAnsi="Garamond" w:cs="Times New Roman"/>
          <w:i/>
          <w:iCs/>
          <w:color w:val="000000"/>
          <w:spacing w:val="-15"/>
          <w:sz w:val="24"/>
          <w:szCs w:val="24"/>
          <w:lang w:val="sq-AL"/>
        </w:rPr>
        <w:t>ligji nr. 7703/1993</w:t>
      </w:r>
      <w:r w:rsidRPr="0035508F">
        <w:rPr>
          <w:rFonts w:ascii="Garamond" w:hAnsi="Garamond" w:cs="Times New Roman"/>
          <w:color w:val="000000"/>
          <w:spacing w:val="-15"/>
          <w:sz w:val="24"/>
          <w:szCs w:val="24"/>
          <w:lang w:val="sq-AL"/>
        </w:rPr>
        <w:t>). Sipas ligj</w:t>
      </w:r>
      <w:r w:rsidR="0077652A">
        <w:rPr>
          <w:rFonts w:ascii="Garamond" w:hAnsi="Garamond" w:cs="Times New Roman"/>
          <w:color w:val="000000"/>
          <w:spacing w:val="-15"/>
          <w:sz w:val="24"/>
          <w:szCs w:val="24"/>
          <w:lang w:val="sq-AL"/>
        </w:rPr>
        <w:t>it ndryshues nr. 9481, datë 16.</w:t>
      </w:r>
      <w:r w:rsidRPr="0035508F">
        <w:rPr>
          <w:rFonts w:ascii="Garamond" w:hAnsi="Garamond" w:cs="Times New Roman"/>
          <w:color w:val="000000"/>
          <w:spacing w:val="-15"/>
          <w:sz w:val="24"/>
          <w:szCs w:val="24"/>
          <w:lang w:val="sq-AL"/>
        </w:rPr>
        <w:t xml:space="preserve">2.2006, </w:t>
      </w:r>
      <w:r w:rsidRPr="0035508F">
        <w:rPr>
          <w:rFonts w:ascii="Garamond" w:hAnsi="Garamond" w:cs="Times New Roman"/>
          <w:color w:val="000000"/>
          <w:sz w:val="24"/>
          <w:szCs w:val="24"/>
          <w:lang w:val="sq-AL"/>
        </w:rPr>
        <w:t>masa e përfitimit të pensionit të parakohshëm për vjetërsi shërbimi, kur ushtaraku punësohej në sektorin publik, u barazua me pensionin bazë në shkallë vendi (</w:t>
      </w:r>
      <w:r w:rsidRPr="0035508F">
        <w:rPr>
          <w:rFonts w:ascii="Garamond" w:hAnsi="Garamond" w:cs="Times New Roman"/>
          <w:i/>
          <w:iCs/>
          <w:color w:val="000000"/>
          <w:sz w:val="24"/>
          <w:szCs w:val="24"/>
          <w:lang w:val="sq-AL"/>
        </w:rPr>
        <w:t>neni 2</w:t>
      </w:r>
      <w:r w:rsidRPr="0035508F">
        <w:rPr>
          <w:rFonts w:ascii="Garamond" w:hAnsi="Garamond" w:cs="Times New Roman"/>
          <w:color w:val="000000"/>
          <w:sz w:val="24"/>
          <w:szCs w:val="24"/>
          <w:lang w:val="sq-AL"/>
        </w:rPr>
        <w:t xml:space="preserve">). </w:t>
      </w:r>
    </w:p>
    <w:p w14:paraId="21AB8E6F" w14:textId="432CB79B" w:rsidR="009005E3" w:rsidRPr="0035508F" w:rsidRDefault="00DF5E69" w:rsidP="009005E3">
      <w:pPr>
        <w:tabs>
          <w:tab w:val="left" w:pos="1080"/>
        </w:tab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Pr>
          <w:rFonts w:ascii="Garamond" w:hAnsi="Garamond" w:cs="Times New Roman"/>
          <w:color w:val="000000"/>
          <w:sz w:val="24"/>
          <w:szCs w:val="24"/>
          <w:lang w:val="sq-AL"/>
        </w:rPr>
        <w:t xml:space="preserve">4. Më pas, </w:t>
      </w:r>
      <w:r w:rsidR="00E157FC">
        <w:rPr>
          <w:rFonts w:ascii="Garamond" w:hAnsi="Garamond" w:cs="Times New Roman"/>
          <w:color w:val="000000"/>
          <w:sz w:val="24"/>
          <w:szCs w:val="24"/>
          <w:lang w:val="sq-AL"/>
        </w:rPr>
        <w:t>m</w:t>
      </w:r>
      <w:r>
        <w:rPr>
          <w:rFonts w:ascii="Garamond" w:hAnsi="Garamond" w:cs="Times New Roman"/>
          <w:color w:val="000000"/>
          <w:sz w:val="24"/>
          <w:szCs w:val="24"/>
          <w:lang w:val="sq-AL"/>
        </w:rPr>
        <w:t>ë datë 27.</w:t>
      </w:r>
      <w:r w:rsidR="009005E3" w:rsidRPr="0035508F">
        <w:rPr>
          <w:rFonts w:ascii="Garamond" w:hAnsi="Garamond" w:cs="Times New Roman"/>
          <w:color w:val="000000"/>
          <w:sz w:val="24"/>
          <w:szCs w:val="24"/>
          <w:lang w:val="sq-AL"/>
        </w:rPr>
        <w:t>6.2009, ka hyrë në fuqi ligji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sidR="009005E3" w:rsidRPr="0035508F">
        <w:rPr>
          <w:rFonts w:ascii="Garamond" w:hAnsi="Garamond" w:cs="Times New Roman"/>
          <w:i/>
          <w:iCs/>
          <w:color w:val="000000"/>
          <w:sz w:val="24"/>
          <w:szCs w:val="24"/>
          <w:lang w:val="sq-AL"/>
        </w:rPr>
        <w:t>ligji nr. 10142/2009</w:t>
      </w:r>
      <w:r w:rsidR="009005E3" w:rsidRPr="0035508F">
        <w:rPr>
          <w:rFonts w:ascii="Garamond" w:hAnsi="Garamond" w:cs="Times New Roman"/>
          <w:color w:val="000000"/>
          <w:sz w:val="24"/>
          <w:szCs w:val="24"/>
          <w:lang w:val="sq-AL"/>
        </w:rPr>
        <w:t>). Neni 14, pika 4 i tij parashikon se kur përfituesi punësohet në vende të tjera pune, që nuk lidhen me funksionin e tij të mëparshëm, masa e pensionit të parakohshëm për vjetërsi shërbimi bëhet sa një pension bazë, i përcaktuar nga Këshilli i Ministrave, në përputhje me ligjin nr. 7703/1993.</w:t>
      </w:r>
    </w:p>
    <w:p w14:paraId="4D840A72" w14:textId="0B021230"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5. DRSSH-ja, bazuar në ligji nr. 10142/2009, ka rishqyrtuar të ardhurat e tij dhe, në përfundim, me vendimin nr. 106/1, datë 30.6.2009, i ka ricaktuar pension të parakohshëm për vjetërsi shërbimi, me fillim</w:t>
      </w:r>
      <w:r w:rsidR="0077652A">
        <w:rPr>
          <w:rFonts w:ascii="Garamond" w:hAnsi="Garamond" w:cs="Times New Roman"/>
          <w:color w:val="000000"/>
          <w:sz w:val="24"/>
          <w:szCs w:val="24"/>
          <w:lang w:val="sq-AL"/>
        </w:rPr>
        <w:t xml:space="preserve"> pagese nga data 1.</w:t>
      </w:r>
      <w:r w:rsidRPr="0035508F">
        <w:rPr>
          <w:rFonts w:ascii="Garamond" w:hAnsi="Garamond" w:cs="Times New Roman"/>
          <w:color w:val="000000"/>
          <w:sz w:val="24"/>
          <w:szCs w:val="24"/>
          <w:lang w:val="sq-AL"/>
        </w:rPr>
        <w:t xml:space="preserve">7.2009. </w:t>
      </w:r>
    </w:p>
    <w:p w14:paraId="5D919440" w14:textId="69DECAB8" w:rsidR="009005E3" w:rsidRPr="0035508F" w:rsidRDefault="0077652A"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6. </w:t>
      </w:r>
      <w:r w:rsidR="00E157FC">
        <w:rPr>
          <w:rFonts w:ascii="Garamond" w:hAnsi="Garamond" w:cs="Times New Roman"/>
          <w:color w:val="000000"/>
          <w:sz w:val="24"/>
          <w:szCs w:val="24"/>
          <w:lang w:val="sq-AL"/>
        </w:rPr>
        <w:t>M</w:t>
      </w:r>
      <w:r>
        <w:rPr>
          <w:rFonts w:ascii="Garamond" w:hAnsi="Garamond" w:cs="Times New Roman"/>
          <w:color w:val="000000"/>
          <w:sz w:val="24"/>
          <w:szCs w:val="24"/>
          <w:lang w:val="sq-AL"/>
        </w:rPr>
        <w:t>ë datë 7.</w:t>
      </w:r>
      <w:r w:rsidR="009005E3" w:rsidRPr="0035508F">
        <w:rPr>
          <w:rFonts w:ascii="Garamond" w:hAnsi="Garamond" w:cs="Times New Roman"/>
          <w:color w:val="000000"/>
          <w:sz w:val="24"/>
          <w:szCs w:val="24"/>
          <w:lang w:val="sq-AL"/>
        </w:rPr>
        <w:t>5.2015, kërkuesi ka ngritur padi me objekt rinjohjen e së drejtës së pensionit të parakohshëm për vjet</w:t>
      </w:r>
      <w:r>
        <w:rPr>
          <w:rFonts w:ascii="Garamond" w:hAnsi="Garamond" w:cs="Times New Roman"/>
          <w:color w:val="000000"/>
          <w:sz w:val="24"/>
          <w:szCs w:val="24"/>
          <w:lang w:val="sq-AL"/>
        </w:rPr>
        <w:t>ërsi shërbimi për periudhën 14.5.2004–</w:t>
      </w:r>
      <w:r w:rsidR="009005E3" w:rsidRPr="0035508F">
        <w:rPr>
          <w:rFonts w:ascii="Garamond" w:hAnsi="Garamond" w:cs="Times New Roman"/>
          <w:color w:val="000000"/>
          <w:sz w:val="24"/>
          <w:szCs w:val="24"/>
          <w:lang w:val="sq-AL"/>
        </w:rPr>
        <w:t>30</w:t>
      </w:r>
      <w:r>
        <w:rPr>
          <w:rFonts w:ascii="Garamond" w:hAnsi="Garamond" w:cs="Times New Roman"/>
          <w:color w:val="000000"/>
          <w:sz w:val="24"/>
          <w:szCs w:val="24"/>
          <w:lang w:val="sq-AL"/>
        </w:rPr>
        <w:t>.</w:t>
      </w:r>
      <w:r w:rsidR="009005E3" w:rsidRPr="0035508F">
        <w:rPr>
          <w:rFonts w:ascii="Garamond" w:hAnsi="Garamond" w:cs="Times New Roman"/>
          <w:color w:val="000000"/>
          <w:sz w:val="24"/>
          <w:szCs w:val="24"/>
          <w:lang w:val="sq-AL"/>
        </w:rPr>
        <w:t>6.2009, bazuar në nenin 35, pika 2, të ligjit nr. 9210/2004 dhe pagimin e kë</w:t>
      </w:r>
      <w:r>
        <w:rPr>
          <w:rFonts w:ascii="Garamond" w:hAnsi="Garamond" w:cs="Times New Roman"/>
          <w:color w:val="000000"/>
          <w:sz w:val="24"/>
          <w:szCs w:val="24"/>
          <w:lang w:val="sq-AL"/>
        </w:rPr>
        <w:t xml:space="preserve">tij përfitimi deri </w:t>
      </w:r>
      <w:r w:rsidR="00497B14">
        <w:rPr>
          <w:rFonts w:ascii="Garamond" w:hAnsi="Garamond" w:cs="Times New Roman"/>
          <w:color w:val="000000"/>
          <w:sz w:val="24"/>
          <w:szCs w:val="24"/>
          <w:lang w:val="sq-AL"/>
        </w:rPr>
        <w:t>m</w:t>
      </w:r>
      <w:r>
        <w:rPr>
          <w:rFonts w:ascii="Garamond" w:hAnsi="Garamond" w:cs="Times New Roman"/>
          <w:color w:val="000000"/>
          <w:sz w:val="24"/>
          <w:szCs w:val="24"/>
          <w:lang w:val="sq-AL"/>
        </w:rPr>
        <w:t>ë datë 30.</w:t>
      </w:r>
      <w:r w:rsidR="009005E3" w:rsidRPr="0035508F">
        <w:rPr>
          <w:rFonts w:ascii="Garamond" w:hAnsi="Garamond" w:cs="Times New Roman"/>
          <w:color w:val="000000"/>
          <w:sz w:val="24"/>
          <w:szCs w:val="24"/>
          <w:lang w:val="sq-AL"/>
        </w:rPr>
        <w:t>6.2006, së bashku me kamatat. Gjykata Administrative e Shkallës së Parë Tiranë, me vendimin nr</w:t>
      </w:r>
      <w:r>
        <w:rPr>
          <w:rFonts w:ascii="Garamond" w:hAnsi="Garamond" w:cs="Times New Roman"/>
          <w:color w:val="000000"/>
          <w:sz w:val="24"/>
          <w:szCs w:val="24"/>
          <w:lang w:val="sq-AL"/>
        </w:rPr>
        <w:t>. 3688 (80-2015-2194), datë 8.</w:t>
      </w:r>
      <w:r w:rsidR="009005E3" w:rsidRPr="0035508F">
        <w:rPr>
          <w:rFonts w:ascii="Garamond" w:hAnsi="Garamond" w:cs="Times New Roman"/>
          <w:color w:val="000000"/>
          <w:sz w:val="24"/>
          <w:szCs w:val="24"/>
          <w:lang w:val="sq-AL"/>
        </w:rPr>
        <w:t>7.2015, ka pranuar pjesërisht padinë, duke i njohur kërkuesit të drejtën e pensionit të parakohshëm për vjetërsi shërbimi për periudhën e kërkuar, si dhe duke urdhëruar DRSSH-në, të llogariste masën e përfitimit sipas ligjit.</w:t>
      </w:r>
    </w:p>
    <w:p w14:paraId="34F1371D" w14:textId="59844471"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7. DRSSH-ja, ka paraqitur ankim ndaj vendimit, duke pretenduar se gjykata e shkallës së parë ka gabuar në zbatimin e ligjit lidhur me formulën pa kufizim të masës së pensionit, pasi ligji nr. 9210/2004 nuk ka qenë në fuqi në kohën e daljes së kërkuesit në rezervë. Masa e pensionit të parakohshëm, sipas ligjit nr. 9418/2005, është e barabartë me pensionin bazë. Po kështu, DRSSH-ja ka parashtruar s</w:t>
      </w:r>
      <w:r w:rsidR="00DF5E69">
        <w:rPr>
          <w:rFonts w:ascii="Garamond" w:hAnsi="Garamond" w:cs="Times New Roman"/>
          <w:color w:val="000000"/>
          <w:sz w:val="24"/>
          <w:szCs w:val="24"/>
          <w:lang w:val="sq-AL"/>
        </w:rPr>
        <w:t>e pas vendimit nr. 33, datë 24.</w:t>
      </w:r>
      <w:r w:rsidRPr="0035508F">
        <w:rPr>
          <w:rFonts w:ascii="Garamond" w:hAnsi="Garamond" w:cs="Times New Roman"/>
          <w:color w:val="000000"/>
          <w:sz w:val="24"/>
          <w:szCs w:val="24"/>
          <w:lang w:val="sq-AL"/>
        </w:rPr>
        <w:t>6.2010 të Gjykatës Kushtetuese (</w:t>
      </w:r>
      <w:r w:rsidRPr="0035508F">
        <w:rPr>
          <w:rFonts w:ascii="Garamond" w:hAnsi="Garamond" w:cs="Times New Roman"/>
          <w:i/>
          <w:iCs/>
          <w:color w:val="000000"/>
          <w:sz w:val="24"/>
          <w:szCs w:val="24"/>
          <w:lang w:val="sq-AL"/>
        </w:rPr>
        <w:t>Gjykata</w:t>
      </w:r>
      <w:r w:rsidRPr="0035508F">
        <w:rPr>
          <w:rFonts w:ascii="Garamond" w:hAnsi="Garamond" w:cs="Times New Roman"/>
          <w:color w:val="000000"/>
          <w:sz w:val="24"/>
          <w:szCs w:val="24"/>
          <w:lang w:val="sq-AL"/>
        </w:rPr>
        <w:t>), ajo po rillogarit masat e pensioneve të ushtarakëve dhe konflikti me kërkuesin për masën e përfitimit do të shqyrtohet në rrugë administrative prej saj.</w:t>
      </w:r>
      <w:r w:rsidR="00D71742">
        <w:rPr>
          <w:rFonts w:ascii="Garamond" w:hAnsi="Garamond" w:cs="Times New Roman"/>
          <w:color w:val="000000"/>
          <w:sz w:val="24"/>
          <w:szCs w:val="24"/>
          <w:lang w:val="sq-AL"/>
        </w:rPr>
        <w:t xml:space="preserve"> </w:t>
      </w:r>
    </w:p>
    <w:p w14:paraId="24DC218A" w14:textId="0C42428E"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8. Gjykata Administrative e Apelit,</w:t>
      </w:r>
      <w:r w:rsidR="00DF5E69">
        <w:rPr>
          <w:rFonts w:ascii="Garamond" w:hAnsi="Garamond" w:cs="Times New Roman"/>
          <w:color w:val="000000"/>
          <w:sz w:val="24"/>
          <w:szCs w:val="24"/>
          <w:lang w:val="sq-AL"/>
        </w:rPr>
        <w:t xml:space="preserve"> me vendimin nr. 2953, datë 13.</w:t>
      </w:r>
      <w:r w:rsidRPr="0035508F">
        <w:rPr>
          <w:rFonts w:ascii="Garamond" w:hAnsi="Garamond" w:cs="Times New Roman"/>
          <w:color w:val="000000"/>
          <w:sz w:val="24"/>
          <w:szCs w:val="24"/>
          <w:lang w:val="sq-AL"/>
        </w:rPr>
        <w:t xml:space="preserve">7.2018, ka vendosur lënien në fuqi të vendimit të gjykatës administrative të shkallës së parë, me arsyetimin se kërkuesi duhej të trajtohej me pension të parakohshëm për vjetërsi shërbimi, bazuar në ligjet nr. 9210/2004 dhe nr. 9418/2005, sipas të cilëve përfitimi ndërpritej vetëm kur ushtaraku përfitues rikthehej në shërbimin aktiv. Lidhur me shkakun e ngritur nga DRSSH-ja në apel se masa e pensionit do të shqyrtohej në rrugë administrative, Gjykata Administrative e Apelit ka evidentuar se mosmarrëveshja konkrete ka për objekt njohjen e së drejtës së përfitimit, ndërsa për masën e përfitimit gjykata administrative e shkallës së parë ka urdhëruar llogaritjen e saj sipas ligjit. </w:t>
      </w:r>
    </w:p>
    <w:p w14:paraId="2BFF61FB" w14:textId="2B3199E0"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9. </w:t>
      </w:r>
      <w:r w:rsidR="00497B14">
        <w:rPr>
          <w:rFonts w:ascii="Garamond" w:hAnsi="Garamond" w:cs="Times New Roman"/>
          <w:color w:val="000000"/>
          <w:sz w:val="24"/>
          <w:szCs w:val="24"/>
          <w:lang w:val="sq-AL"/>
        </w:rPr>
        <w:t>M</w:t>
      </w:r>
      <w:r w:rsidRPr="0035508F">
        <w:rPr>
          <w:rFonts w:ascii="Garamond" w:hAnsi="Garamond" w:cs="Times New Roman"/>
          <w:color w:val="000000"/>
          <w:sz w:val="24"/>
          <w:szCs w:val="24"/>
          <w:lang w:val="sq-AL"/>
        </w:rPr>
        <w:t xml:space="preserve">ë datë </w:t>
      </w:r>
      <w:r w:rsidR="00DF5E69">
        <w:rPr>
          <w:rFonts w:ascii="Garamond" w:hAnsi="Garamond" w:cs="Times New Roman"/>
          <w:color w:val="000000"/>
          <w:sz w:val="24"/>
          <w:szCs w:val="24"/>
          <w:lang w:val="sq-AL"/>
        </w:rPr>
        <w:t>30.</w:t>
      </w:r>
      <w:r w:rsidRPr="0035508F">
        <w:rPr>
          <w:rFonts w:ascii="Garamond" w:hAnsi="Garamond" w:cs="Times New Roman"/>
          <w:color w:val="000000"/>
          <w:sz w:val="24"/>
          <w:szCs w:val="24"/>
          <w:lang w:val="sq-AL"/>
        </w:rPr>
        <w:t xml:space="preserve">7.2018 DRSSH-ja, me pretendimin e zbatimit të keq të ligjit, ka ushtruar rekurs ndaj vendimit të Gjykatës Administrative të Apelit, për pjesën e pranuar të padisë, duke kërkuar, </w:t>
      </w:r>
      <w:r w:rsidRPr="0035508F">
        <w:rPr>
          <w:rFonts w:ascii="Garamond" w:hAnsi="Garamond" w:cs="Times New Roman"/>
          <w:color w:val="000000"/>
          <w:sz w:val="24"/>
          <w:szCs w:val="24"/>
          <w:lang w:val="sq-AL"/>
        </w:rPr>
        <w:lastRenderedPageBreak/>
        <w:t>gjithashtu, edhe pezullimin e ekzekutimit të vendimit. Kjo kërkesë e fundit është pranuar nga Kolegji Administrativ i Gjykatës së Lartë (</w:t>
      </w:r>
      <w:r w:rsidRPr="0035508F">
        <w:rPr>
          <w:rFonts w:ascii="Garamond" w:hAnsi="Garamond" w:cs="Times New Roman"/>
          <w:i/>
          <w:iCs/>
          <w:color w:val="000000"/>
          <w:sz w:val="24"/>
          <w:szCs w:val="24"/>
          <w:lang w:val="sq-AL"/>
        </w:rPr>
        <w:t>Gjykata e Lartë</w:t>
      </w:r>
      <w:r w:rsidRPr="0035508F">
        <w:rPr>
          <w:rFonts w:ascii="Garamond" w:hAnsi="Garamond" w:cs="Times New Roman"/>
          <w:color w:val="000000"/>
          <w:sz w:val="24"/>
          <w:szCs w:val="24"/>
          <w:lang w:val="sq-AL"/>
        </w:rPr>
        <w:t>) me vendimin nr. 576, datë 24.10.2018. Në përfundim të shqyrtimit të rekursit Gjykata e Lartë, me vendimin n</w:t>
      </w:r>
      <w:r w:rsidR="00DF5E69">
        <w:rPr>
          <w:rFonts w:ascii="Garamond" w:hAnsi="Garamond" w:cs="Times New Roman"/>
          <w:color w:val="000000"/>
          <w:sz w:val="24"/>
          <w:szCs w:val="24"/>
          <w:lang w:val="sq-AL"/>
        </w:rPr>
        <w:t>r. 00-2022-1183 (189), datë 13.</w:t>
      </w:r>
      <w:r w:rsidRPr="0035508F">
        <w:rPr>
          <w:rFonts w:ascii="Garamond" w:hAnsi="Garamond" w:cs="Times New Roman"/>
          <w:color w:val="000000"/>
          <w:sz w:val="24"/>
          <w:szCs w:val="24"/>
          <w:lang w:val="sq-AL"/>
        </w:rPr>
        <w:t xml:space="preserve">5.2022, ka vendosur prishjen e vendimeve të gjykatave më të ulëta dhe pushimin e gjykimit të çështjes, pasi: (i) kërkuesi në momentin e ndërprerjes së pensionit nuk kishte shteruar rrugën administrative të ankimit ndaj vendimit të DRSSH-së, bazuar në nenin 86 të ligjit nr. 7703/1993; (ii) dhe padia e tij ishte paraqitur 11 vjet pas ndërprerjes së pensionit dhe 6 vjet pas afatit fundor të pagesës, ndaj ajo ishte ushtruar jashtë afatit 3-vjeçar të parashikuar nga neni 62, pika 3, i ligjit nr. 7703/1993. </w:t>
      </w:r>
    </w:p>
    <w:p w14:paraId="7F5EB285" w14:textId="0D9A6297" w:rsidR="009005E3" w:rsidRPr="0035508F" w:rsidRDefault="00DF5E69"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10. </w:t>
      </w:r>
      <w:r w:rsidR="00C75E93">
        <w:rPr>
          <w:rFonts w:ascii="Garamond" w:hAnsi="Garamond" w:cs="Times New Roman"/>
          <w:color w:val="000000"/>
          <w:sz w:val="24"/>
          <w:szCs w:val="24"/>
          <w:lang w:val="sq-AL"/>
        </w:rPr>
        <w:t>M</w:t>
      </w:r>
      <w:r>
        <w:rPr>
          <w:rFonts w:ascii="Garamond" w:hAnsi="Garamond" w:cs="Times New Roman"/>
          <w:color w:val="000000"/>
          <w:sz w:val="24"/>
          <w:szCs w:val="24"/>
          <w:lang w:val="sq-AL"/>
        </w:rPr>
        <w:t>ë datë 18.</w:t>
      </w:r>
      <w:r w:rsidR="009005E3" w:rsidRPr="0035508F">
        <w:rPr>
          <w:rFonts w:ascii="Garamond" w:hAnsi="Garamond" w:cs="Times New Roman"/>
          <w:color w:val="000000"/>
          <w:sz w:val="24"/>
          <w:szCs w:val="24"/>
          <w:lang w:val="sq-AL"/>
        </w:rPr>
        <w:t xml:space="preserve">8.2022, kërkuesi i është drejtuar Gjykatës me ankim kushtetues individual, duke kërkuar shfuqizimin e vendimit të Gjykatës së Lartë si të papajtueshëm me Kushtetutën dhe dërgimin e çështjes për rigjykim. Kolegji i Gjykatës </w:t>
      </w:r>
      <w:r w:rsidR="00C75E93">
        <w:rPr>
          <w:rFonts w:ascii="Garamond" w:hAnsi="Garamond" w:cs="Times New Roman"/>
          <w:color w:val="000000"/>
          <w:sz w:val="24"/>
          <w:szCs w:val="24"/>
          <w:lang w:val="sq-AL"/>
        </w:rPr>
        <w:t>m</w:t>
      </w:r>
      <w:r w:rsidR="009005E3" w:rsidRPr="0035508F">
        <w:rPr>
          <w:rFonts w:ascii="Garamond" w:hAnsi="Garamond" w:cs="Times New Roman"/>
          <w:color w:val="000000"/>
          <w:sz w:val="24"/>
          <w:szCs w:val="24"/>
          <w:lang w:val="sq-AL"/>
        </w:rPr>
        <w:t xml:space="preserve">ë datë 11.11.2022, bazuar në nenin 21, pika 1, të ligjit nr. 8577/2000, ka vendosur kalimin e çështjes për shqyrtim në seancë plenare mbi bazë të </w:t>
      </w:r>
      <w:r w:rsidRPr="0035508F">
        <w:rPr>
          <w:rFonts w:ascii="Garamond" w:hAnsi="Garamond" w:cs="Times New Roman"/>
          <w:color w:val="000000"/>
          <w:sz w:val="24"/>
          <w:szCs w:val="24"/>
          <w:lang w:val="sq-AL"/>
        </w:rPr>
        <w:t>dokumenteve</w:t>
      </w:r>
      <w:r w:rsidR="009005E3" w:rsidRPr="0035508F">
        <w:rPr>
          <w:rFonts w:ascii="Garamond" w:hAnsi="Garamond" w:cs="Times New Roman"/>
          <w:color w:val="000000"/>
          <w:sz w:val="24"/>
          <w:szCs w:val="24"/>
          <w:lang w:val="sq-AL"/>
        </w:rPr>
        <w:t>.</w:t>
      </w:r>
    </w:p>
    <w:p w14:paraId="6EF39E6F"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3120DED"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II</w:t>
      </w:r>
    </w:p>
    <w:p w14:paraId="36ACEB7B"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Pretendimet në Gjykatën Kushtetuese</w:t>
      </w:r>
    </w:p>
    <w:p w14:paraId="729333E7" w14:textId="7777777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2D291DF" w14:textId="62415C49"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11. </w:t>
      </w:r>
      <w:r w:rsidRPr="0035508F">
        <w:rPr>
          <w:rFonts w:ascii="Garamond" w:hAnsi="Garamond" w:cs="Times New Roman"/>
          <w:b/>
          <w:bCs/>
          <w:i/>
          <w:iCs/>
          <w:color w:val="000000"/>
          <w:sz w:val="24"/>
          <w:szCs w:val="24"/>
          <w:lang w:val="sq-AL"/>
        </w:rPr>
        <w:t>Kërkuesi</w:t>
      </w:r>
      <w:r w:rsidRPr="0035508F">
        <w:rPr>
          <w:rFonts w:ascii="Garamond" w:hAnsi="Garamond" w:cs="Times New Roman"/>
          <w:color w:val="000000"/>
          <w:sz w:val="24"/>
          <w:szCs w:val="24"/>
          <w:lang w:val="sq-AL"/>
        </w:rPr>
        <w:t>, në mënyrë të përmbledhur, ka parashtruar se vendimi i kundërshtuar ka cenuar:</w:t>
      </w:r>
    </w:p>
    <w:p w14:paraId="0332D6BB" w14:textId="55C088A1" w:rsidR="009005E3" w:rsidRPr="0035508F" w:rsidRDefault="00DF5E69" w:rsidP="009005E3">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Të drejtën për një proces të rregullt ligjor</w:t>
      </w:r>
      <w:r w:rsidR="009005E3" w:rsidRPr="0035508F">
        <w:rPr>
          <w:rFonts w:ascii="Garamond" w:hAnsi="Garamond" w:cs="Times New Roman"/>
          <w:color w:val="000000"/>
          <w:sz w:val="24"/>
          <w:szCs w:val="24"/>
          <w:lang w:val="sq-AL"/>
        </w:rPr>
        <w:t>, të garantuar nga neni 42 i Kushtetutës, në aspektet e mëposhtme:</w:t>
      </w:r>
    </w:p>
    <w:p w14:paraId="506478AF" w14:textId="556C44E2" w:rsidR="009005E3" w:rsidRPr="0035508F" w:rsidRDefault="00DF5E69"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11.1.1</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E drejta e aksesit</w:t>
      </w:r>
      <w:r w:rsidR="009005E3" w:rsidRPr="0035508F">
        <w:rPr>
          <w:rFonts w:ascii="Garamond" w:hAnsi="Garamond" w:cs="Times New Roman"/>
          <w:color w:val="000000"/>
          <w:sz w:val="24"/>
          <w:szCs w:val="24"/>
          <w:lang w:val="sq-AL"/>
        </w:rPr>
        <w:t xml:space="preserve">, pasi çështja e tij u pushua, duke mos i dhënë zgjidhje së drejtës së përfitimit të pensionit të parakohshëm për vjetërsi shërbimi. Ankimi administrativ nuk ka qenë i detyrueshëm sipas legjislacionit të posaçëm, ndërsa e drejta e pensionit të parakohshëm për vjetërsi shërbimi nuk parashkruhet. Gjykata e Lartë ka cenuar </w:t>
      </w:r>
      <w:r w:rsidR="009005E3" w:rsidRPr="0035508F">
        <w:rPr>
          <w:rFonts w:ascii="Garamond" w:hAnsi="Garamond" w:cs="Times New Roman"/>
          <w:i/>
          <w:iCs/>
          <w:color w:val="000000"/>
          <w:sz w:val="24"/>
          <w:szCs w:val="24"/>
          <w:lang w:val="sq-AL"/>
        </w:rPr>
        <w:t>parimin e disponibilitetit të padisë,</w:t>
      </w:r>
      <w:r w:rsidR="009005E3" w:rsidRPr="0035508F">
        <w:rPr>
          <w:rFonts w:ascii="Garamond" w:hAnsi="Garamond" w:cs="Times New Roman"/>
          <w:color w:val="000000"/>
          <w:sz w:val="24"/>
          <w:szCs w:val="24"/>
          <w:lang w:val="sq-AL"/>
        </w:rPr>
        <w:t xml:space="preserve"> pasi në marrjen e vendimit nuk iu referua shkakut ligjor, si dhe situatës lig</w:t>
      </w:r>
      <w:r>
        <w:rPr>
          <w:rFonts w:ascii="Garamond" w:hAnsi="Garamond" w:cs="Times New Roman"/>
          <w:color w:val="000000"/>
          <w:sz w:val="24"/>
          <w:szCs w:val="24"/>
          <w:lang w:val="sq-AL"/>
        </w:rPr>
        <w:t xml:space="preserve">jore që ekzistonte </w:t>
      </w:r>
      <w:r w:rsidR="00C75E93">
        <w:rPr>
          <w:rFonts w:ascii="Garamond" w:hAnsi="Garamond" w:cs="Times New Roman"/>
          <w:color w:val="000000"/>
          <w:sz w:val="24"/>
          <w:szCs w:val="24"/>
          <w:lang w:val="sq-AL"/>
        </w:rPr>
        <w:t>m</w:t>
      </w:r>
      <w:r>
        <w:rPr>
          <w:rFonts w:ascii="Garamond" w:hAnsi="Garamond" w:cs="Times New Roman"/>
          <w:color w:val="000000"/>
          <w:sz w:val="24"/>
          <w:szCs w:val="24"/>
          <w:lang w:val="sq-AL"/>
        </w:rPr>
        <w:t>ë datë 14.</w:t>
      </w:r>
      <w:r w:rsidR="009005E3" w:rsidRPr="0035508F">
        <w:rPr>
          <w:rFonts w:ascii="Garamond" w:hAnsi="Garamond" w:cs="Times New Roman"/>
          <w:color w:val="000000"/>
          <w:sz w:val="24"/>
          <w:szCs w:val="24"/>
          <w:lang w:val="sq-AL"/>
        </w:rPr>
        <w:t>5.2004 kur u hoq ndalimi i pensionit të parakohshëm në rastet e punësimit të ushtarakut.</w:t>
      </w:r>
    </w:p>
    <w:p w14:paraId="3976A69F" w14:textId="359B7FB9" w:rsidR="009005E3" w:rsidRPr="0035508F" w:rsidRDefault="009005E3"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11.1.2 </w:t>
      </w:r>
      <w:r w:rsidRPr="0035508F">
        <w:rPr>
          <w:rFonts w:ascii="Garamond" w:hAnsi="Garamond" w:cs="Times New Roman"/>
          <w:i/>
          <w:iCs/>
          <w:color w:val="000000"/>
          <w:sz w:val="24"/>
          <w:szCs w:val="24"/>
          <w:lang w:val="sq-AL"/>
        </w:rPr>
        <w:t xml:space="preserve">Parimi i sigurisë juridike, </w:t>
      </w:r>
      <w:r w:rsidRPr="0035508F">
        <w:rPr>
          <w:rFonts w:ascii="Garamond" w:hAnsi="Garamond" w:cs="Times New Roman"/>
          <w:color w:val="000000"/>
          <w:sz w:val="24"/>
          <w:szCs w:val="24"/>
          <w:lang w:val="sq-AL"/>
        </w:rPr>
        <w:t>pasi Gjykata e Lartë ka vendosur në dyshim të drejtën e pensionit të parakohshëm për vjetërsi shërbimi në rast punësimi, e cila është e drejtë e fituar nga ligjet nr. 9210/2004 dhe nr. 9418/2005</w:t>
      </w:r>
      <w:r w:rsidRPr="0035508F">
        <w:rPr>
          <w:rFonts w:ascii="Garamond" w:hAnsi="Garamond" w:cs="Times New Roman"/>
          <w:color w:val="000000"/>
          <w:spacing w:val="-15"/>
          <w:sz w:val="24"/>
          <w:szCs w:val="24"/>
          <w:lang w:val="sq-AL"/>
        </w:rPr>
        <w:t>.</w:t>
      </w:r>
      <w:r w:rsidRPr="0035508F">
        <w:rPr>
          <w:rFonts w:ascii="Garamond" w:hAnsi="Garamond" w:cs="Times New Roman"/>
          <w:color w:val="000000"/>
          <w:sz w:val="24"/>
          <w:szCs w:val="24"/>
          <w:lang w:val="sq-AL"/>
        </w:rPr>
        <w:t xml:space="preserve"> </w:t>
      </w:r>
    </w:p>
    <w:p w14:paraId="17E2F276" w14:textId="6DE2E84F" w:rsidR="009005E3" w:rsidRPr="0035508F" w:rsidRDefault="00DF5E69"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11.1.3</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 xml:space="preserve">Parimi i gjësë së gjykuar, </w:t>
      </w:r>
      <w:r w:rsidR="009005E3" w:rsidRPr="0035508F">
        <w:rPr>
          <w:rFonts w:ascii="Garamond" w:hAnsi="Garamond" w:cs="Times New Roman"/>
          <w:color w:val="000000"/>
          <w:sz w:val="24"/>
          <w:szCs w:val="24"/>
          <w:lang w:val="sq-AL"/>
        </w:rPr>
        <w:t xml:space="preserve">pasi e drejta për pension të parakohshëm për vjetërsi shërbimi ka qenë objekt shqyrtimi disa herë në të gjitha shkallët e gjyqësorit deri në Gjykatën e Lartë, e cila ka mbajtur qëndrimin se kjo e drejtë mund të kërkohet </w:t>
      </w:r>
      <w:r w:rsidR="00DA6E7D" w:rsidRPr="0035508F">
        <w:rPr>
          <w:rFonts w:ascii="Garamond" w:hAnsi="Garamond" w:cs="Times New Roman"/>
          <w:color w:val="000000"/>
          <w:sz w:val="24"/>
          <w:szCs w:val="24"/>
          <w:lang w:val="sq-AL"/>
        </w:rPr>
        <w:t>drejtpërdrejt</w:t>
      </w:r>
      <w:r w:rsidR="009005E3" w:rsidRPr="0035508F">
        <w:rPr>
          <w:rFonts w:ascii="Garamond" w:hAnsi="Garamond" w:cs="Times New Roman"/>
          <w:color w:val="000000"/>
          <w:sz w:val="24"/>
          <w:szCs w:val="24"/>
          <w:lang w:val="sq-AL"/>
        </w:rPr>
        <w:t xml:space="preserve"> në gjykatë dhe nuk parashkruhet. </w:t>
      </w:r>
    </w:p>
    <w:p w14:paraId="787C6464" w14:textId="123E0E48" w:rsidR="009005E3" w:rsidRPr="0035508F" w:rsidRDefault="00DF5E69"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11.1.4</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 xml:space="preserve">E drejta për një gjykim të drejtë, </w:t>
      </w:r>
      <w:r w:rsidR="009005E3" w:rsidRPr="0035508F">
        <w:rPr>
          <w:rFonts w:ascii="Garamond" w:hAnsi="Garamond" w:cs="Times New Roman"/>
          <w:color w:val="000000"/>
          <w:sz w:val="24"/>
          <w:szCs w:val="24"/>
          <w:lang w:val="sq-AL"/>
        </w:rPr>
        <w:t xml:space="preserve">pasi gjykimi dhe vendimi janë bazuar në nenet 62 dhe 86 të ligjit nr. 7703/1993, të cilat nuk përcaktojnë pozitën juridike të ushtarakut për përfitimin e pensionit të parakohshëm për vjetërsi shërbimi, gjë e cila rregullohet nga legjislacioni i posaçëm. </w:t>
      </w:r>
    </w:p>
    <w:p w14:paraId="57245420" w14:textId="04B1FADF" w:rsidR="009005E3" w:rsidRPr="0035508F" w:rsidRDefault="00DF5E69"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11.1.5</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 xml:space="preserve">E drejta për gjykim brenda një afati të arsyeshëm, </w:t>
      </w:r>
      <w:r w:rsidR="009005E3" w:rsidRPr="0035508F">
        <w:rPr>
          <w:rFonts w:ascii="Garamond" w:hAnsi="Garamond" w:cs="Times New Roman"/>
          <w:color w:val="000000"/>
          <w:sz w:val="24"/>
          <w:szCs w:val="24"/>
          <w:lang w:val="sq-AL"/>
        </w:rPr>
        <w:t>pasi rekursi u shqyrtua pas 3 vjetësh e 10 muajve, duke tejkaluar afatin 90-ditor të parashikuar në ligjin nr. 49/2012 “Për gjykatat administrative dhe gjykimin e mosmarrëveshjeve administrative”, të ndryshuar (</w:t>
      </w:r>
      <w:r w:rsidR="009005E3" w:rsidRPr="0035508F">
        <w:rPr>
          <w:rFonts w:ascii="Garamond" w:hAnsi="Garamond" w:cs="Times New Roman"/>
          <w:i/>
          <w:iCs/>
          <w:color w:val="000000"/>
          <w:sz w:val="24"/>
          <w:szCs w:val="24"/>
          <w:lang w:val="sq-AL"/>
        </w:rPr>
        <w:t>ligji nr. 49/2012</w:t>
      </w:r>
      <w:r w:rsidR="009005E3" w:rsidRPr="0035508F">
        <w:rPr>
          <w:rFonts w:ascii="Garamond" w:hAnsi="Garamond" w:cs="Times New Roman"/>
          <w:color w:val="000000"/>
          <w:sz w:val="24"/>
          <w:szCs w:val="24"/>
          <w:lang w:val="sq-AL"/>
        </w:rPr>
        <w:t xml:space="preserve">). </w:t>
      </w:r>
    </w:p>
    <w:p w14:paraId="27BC3CF2" w14:textId="6F5BB4CD" w:rsidR="009005E3" w:rsidRPr="0035508F" w:rsidRDefault="00DF5E69" w:rsidP="009005E3">
      <w:pPr>
        <w:tabs>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color w:val="000000"/>
          <w:sz w:val="24"/>
          <w:szCs w:val="24"/>
          <w:lang w:val="sq-AL"/>
        </w:rPr>
        <w:t>11.1.6</w:t>
      </w:r>
      <w:r w:rsidR="009005E3" w:rsidRPr="0035508F">
        <w:rPr>
          <w:rFonts w:ascii="Garamond" w:hAnsi="Garamond" w:cs="Times New Roman"/>
          <w:color w:val="000000"/>
          <w:sz w:val="24"/>
          <w:szCs w:val="24"/>
          <w:lang w:val="sq-AL"/>
        </w:rPr>
        <w:t xml:space="preserve"> </w:t>
      </w:r>
      <w:r w:rsidR="009005E3" w:rsidRPr="0035508F">
        <w:rPr>
          <w:rFonts w:ascii="Garamond" w:hAnsi="Garamond" w:cs="Times New Roman"/>
          <w:i/>
          <w:iCs/>
          <w:color w:val="000000"/>
          <w:sz w:val="24"/>
          <w:szCs w:val="24"/>
          <w:lang w:val="sq-AL"/>
        </w:rPr>
        <w:t>Parimi i paanshmërisë dhe paanësisë</w:t>
      </w:r>
      <w:r w:rsidR="009005E3" w:rsidRPr="0035508F">
        <w:rPr>
          <w:rFonts w:ascii="Garamond" w:hAnsi="Garamond" w:cs="Times New Roman"/>
          <w:color w:val="000000"/>
          <w:sz w:val="24"/>
          <w:szCs w:val="24"/>
          <w:lang w:val="sq-AL"/>
        </w:rPr>
        <w:t xml:space="preserve">, pasi Gjykata e Lartë ka paragjykuar çështjen dhe ka ndihmuar interesat e palës tjetër ndërgjyqëse. Ajo nuk ka respektuar praktikën e mëparshme të saj, pasi ka zbatuar ligjin e përgjithshëm, duke shmangur ligjin e posaçëm. Ky i fundit parashikon shprehimisht të drejtën e ankimit në gjykatë, ndaj Gjykata e Lartë ka ndryshuar bazën juridike të padisë pa kërkesë. Vendimi unifikues nr. 1, datë 26.11.2010 ka përcaktuar se ndjekja e rrugës administrative është e detyrueshme vetëm nëse ligji e parashikon shprehimisht. Në një rast tjetër të ngjashëm, Gjykata e Lartë ka arsyetuar se e drejta për pension është e paparashkrueshme. </w:t>
      </w:r>
    </w:p>
    <w:p w14:paraId="7B7AEA46" w14:textId="41313101" w:rsidR="009005E3" w:rsidRPr="0035508F" w:rsidRDefault="009005E3" w:rsidP="009005E3">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11.2 </w:t>
      </w:r>
      <w:r w:rsidRPr="0035508F">
        <w:rPr>
          <w:rFonts w:ascii="Garamond" w:hAnsi="Garamond" w:cs="Times New Roman"/>
          <w:i/>
          <w:iCs/>
          <w:color w:val="000000"/>
          <w:sz w:val="24"/>
          <w:szCs w:val="24"/>
          <w:lang w:val="sq-AL"/>
        </w:rPr>
        <w:t xml:space="preserve">Të drejtën e pensionit, </w:t>
      </w:r>
      <w:r w:rsidRPr="0035508F">
        <w:rPr>
          <w:rFonts w:ascii="Garamond" w:hAnsi="Garamond" w:cs="Times New Roman"/>
          <w:color w:val="000000"/>
          <w:sz w:val="24"/>
          <w:szCs w:val="24"/>
          <w:lang w:val="sq-AL"/>
        </w:rPr>
        <w:t xml:space="preserve">të garantuar nga neni 52 i Kushtetutës, pasi Gjykata e Lartë i ka mohuar të drejtën e fituar nga ligji, duke i cenuar në këtë mënyrë nivelin e jetesës, në kushtet kur kjo e drejtë </w:t>
      </w:r>
      <w:r w:rsidRPr="0035508F">
        <w:rPr>
          <w:rFonts w:ascii="Garamond" w:hAnsi="Garamond" w:cs="Times New Roman"/>
          <w:color w:val="000000"/>
          <w:sz w:val="24"/>
          <w:szCs w:val="24"/>
          <w:lang w:val="sq-AL"/>
        </w:rPr>
        <w:lastRenderedPageBreak/>
        <w:t xml:space="preserve">nuk parashkruhet dhe legjislacioni që parashikon këtë të drejtë nuk detyron ushtrimin e ankimit në rrugë administrative. </w:t>
      </w:r>
    </w:p>
    <w:p w14:paraId="357A81E1" w14:textId="374D45B0"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b/>
          <w:bCs/>
          <w:color w:val="000000"/>
          <w:sz w:val="24"/>
          <w:szCs w:val="24"/>
          <w:lang w:val="sq-AL"/>
        </w:rPr>
        <w:t xml:space="preserve">12. </w:t>
      </w:r>
      <w:r w:rsidRPr="0035508F">
        <w:rPr>
          <w:rFonts w:ascii="Garamond" w:hAnsi="Garamond" w:cs="Times New Roman"/>
          <w:b/>
          <w:bCs/>
          <w:i/>
          <w:iCs/>
          <w:color w:val="000000"/>
          <w:sz w:val="24"/>
          <w:szCs w:val="24"/>
          <w:lang w:val="sq-AL"/>
        </w:rPr>
        <w:t>Subjekti i interesuar,</w:t>
      </w:r>
      <w:r w:rsidRPr="0035508F">
        <w:rPr>
          <w:rFonts w:ascii="Garamond" w:hAnsi="Garamond" w:cs="Times New Roman"/>
          <w:color w:val="000000"/>
          <w:sz w:val="24"/>
          <w:szCs w:val="24"/>
          <w:lang w:val="sq-AL"/>
        </w:rPr>
        <w:t xml:space="preserve"> DRSSH-ja, nuk ka paraqitur prapësime me shkrim, edhe pse është njoftuar rregullisht.</w:t>
      </w:r>
    </w:p>
    <w:p w14:paraId="37D577B8" w14:textId="77777777"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35EA5AA" w14:textId="77777777" w:rsidR="009005E3" w:rsidRPr="0035508F" w:rsidRDefault="009005E3" w:rsidP="009005E3">
      <w:pPr>
        <w:tabs>
          <w:tab w:val="left" w:pos="17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III</w:t>
      </w:r>
    </w:p>
    <w:p w14:paraId="310619BD"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508F">
        <w:rPr>
          <w:rFonts w:ascii="Garamond" w:hAnsi="Garamond" w:cs="Times New Roman"/>
          <w:b/>
          <w:bCs/>
          <w:color w:val="000000"/>
          <w:sz w:val="24"/>
          <w:szCs w:val="24"/>
          <w:lang w:val="sq-AL"/>
        </w:rPr>
        <w:t>Vlerësimi i Gjykatës Kushtetuese</w:t>
      </w:r>
    </w:p>
    <w:p w14:paraId="143B23ED" w14:textId="7777777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2163D3A" w14:textId="3A57AA2D"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i/>
          <w:iCs/>
          <w:color w:val="000000"/>
          <w:sz w:val="24"/>
          <w:szCs w:val="24"/>
          <w:lang w:val="sq-AL"/>
        </w:rPr>
        <w:t>A. Për legjitimimin e kërkuesit</w:t>
      </w:r>
    </w:p>
    <w:p w14:paraId="3A37C48B" w14:textId="377A70B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13. Çështja e legjitimimit (</w:t>
      </w:r>
      <w:r w:rsidRPr="0035508F">
        <w:rPr>
          <w:rFonts w:ascii="Garamond" w:hAnsi="Garamond" w:cs="Times New Roman"/>
          <w:i/>
          <w:iCs/>
          <w:color w:val="000000"/>
          <w:sz w:val="24"/>
          <w:szCs w:val="24"/>
          <w:lang w:val="sq-AL"/>
        </w:rPr>
        <w:t>locus standi</w:t>
      </w:r>
      <w:r w:rsidRPr="0035508F">
        <w:rPr>
          <w:rFonts w:ascii="Garamond" w:hAnsi="Garamond" w:cs="Times New Roman"/>
          <w:color w:val="000000"/>
          <w:sz w:val="24"/>
          <w:szCs w:val="24"/>
          <w:lang w:val="sq-AL"/>
        </w:rPr>
        <w:t xml:space="preserve">)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87BE69C" w14:textId="731F256E"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14. Gjykata vëren se kërkuesi, si individ, legjitimohet </w:t>
      </w:r>
      <w:r w:rsidRPr="0035508F">
        <w:rPr>
          <w:rFonts w:ascii="Garamond" w:hAnsi="Garamond" w:cs="Times New Roman"/>
          <w:i/>
          <w:iCs/>
          <w:color w:val="000000"/>
          <w:sz w:val="24"/>
          <w:szCs w:val="24"/>
          <w:lang w:val="sq-AL"/>
        </w:rPr>
        <w:t>ratione personae</w:t>
      </w:r>
      <w:r w:rsidRPr="0035508F">
        <w:rPr>
          <w:rFonts w:ascii="Garamond" w:hAnsi="Garamond" w:cs="Times New Roman"/>
          <w:color w:val="000000"/>
          <w:sz w:val="24"/>
          <w:szCs w:val="24"/>
          <w:lang w:val="sq-AL"/>
        </w:rPr>
        <w:t xml:space="preserve">, në kuptim të neneve 131, pika 1, shkronja “f” dhe 134, pikat 1, shkronja “i” dhe 2, të Kushtetutës, pasi ka qenë palë në procesin gjyqësor në të cilin është dhënë vendimi i kundërshtuar mbi të drejtën për pension të parakohshëm për vjetërsi shërbimi, ndaj ai ka interes të drejtpërdrejtë në çështjen e parashtruar. </w:t>
      </w:r>
    </w:p>
    <w:p w14:paraId="144AA78C" w14:textId="3D383C4D"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15. Në lidhje me kriterin e </w:t>
      </w:r>
      <w:r w:rsidRPr="0035508F">
        <w:rPr>
          <w:rFonts w:ascii="Garamond" w:hAnsi="Garamond" w:cs="Times New Roman"/>
          <w:i/>
          <w:iCs/>
          <w:color w:val="000000"/>
          <w:sz w:val="24"/>
          <w:szCs w:val="24"/>
          <w:lang w:val="sq-AL"/>
        </w:rPr>
        <w:t>shterimit të mjeteve juridike efektive</w:t>
      </w:r>
      <w:r w:rsidRPr="0035508F">
        <w:rPr>
          <w:rFonts w:ascii="Garamond" w:hAnsi="Garamond" w:cs="Times New Roman"/>
          <w:color w:val="000000"/>
          <w:sz w:val="24"/>
          <w:szCs w:val="24"/>
          <w:lang w:val="sq-AL"/>
        </w:rPr>
        <w:t>,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35508F">
        <w:rPr>
          <w:rFonts w:ascii="Garamond" w:hAnsi="Garamond" w:cs="Times New Roman"/>
          <w:i/>
          <w:iCs/>
          <w:sz w:val="24"/>
          <w:szCs w:val="24"/>
          <w:lang w:val="sq-AL"/>
        </w:rPr>
        <w:t>shih vendimet nr. 10, datë</w:t>
      </w:r>
      <w:r w:rsidR="00D71742">
        <w:rPr>
          <w:rFonts w:ascii="Garamond" w:hAnsi="Garamond" w:cs="Times New Roman"/>
          <w:i/>
          <w:iCs/>
          <w:sz w:val="24"/>
          <w:szCs w:val="24"/>
          <w:lang w:val="sq-AL"/>
        </w:rPr>
        <w:t xml:space="preserve"> </w:t>
      </w:r>
      <w:r w:rsidR="0077652A">
        <w:rPr>
          <w:rFonts w:ascii="Garamond" w:hAnsi="Garamond" w:cs="Times New Roman"/>
          <w:i/>
          <w:iCs/>
          <w:sz w:val="24"/>
          <w:szCs w:val="24"/>
          <w:lang w:val="sq-AL"/>
        </w:rPr>
        <w:t>4.3.2021; nr. 56, datë 25.7.2017; nr. 56, datë 21.</w:t>
      </w:r>
      <w:r w:rsidRPr="0035508F">
        <w:rPr>
          <w:rFonts w:ascii="Garamond" w:hAnsi="Garamond" w:cs="Times New Roman"/>
          <w:i/>
          <w:iCs/>
          <w:sz w:val="24"/>
          <w:szCs w:val="24"/>
          <w:lang w:val="sq-AL"/>
        </w:rPr>
        <w:t>7.2015 të Gjykatës Kushtetuese</w:t>
      </w:r>
      <w:r w:rsidRPr="0035508F">
        <w:rPr>
          <w:rFonts w:ascii="Garamond" w:hAnsi="Garamond" w:cs="Times New Roman"/>
          <w:sz w:val="24"/>
          <w:szCs w:val="24"/>
          <w:lang w:val="sq-AL"/>
        </w:rPr>
        <w:t>).</w:t>
      </w:r>
    </w:p>
    <w:p w14:paraId="0F0A542B" w14:textId="0A097384"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16. Në çështjen konkrete, Gjykata konstaton se pretendimin për cenimin e së drejtës për t’u gjykuar brenda një afati të arsyeshëm, kërkuesi e ka parashtruar drejtpërdrejt në ankimin kushtetues, duke mos shteruar paraprakisht mjetet juridike efektive të</w:t>
      </w:r>
      <w:r w:rsidR="0077652A">
        <w:rPr>
          <w:rFonts w:ascii="Garamond" w:hAnsi="Garamond" w:cs="Times New Roman"/>
          <w:color w:val="000000"/>
          <w:sz w:val="24"/>
          <w:szCs w:val="24"/>
          <w:lang w:val="sq-AL"/>
        </w:rPr>
        <w:t xml:space="preserve"> parashikuara nga nenet 399/1–</w:t>
      </w:r>
      <w:r w:rsidRPr="0035508F">
        <w:rPr>
          <w:rFonts w:ascii="Garamond" w:hAnsi="Garamond" w:cs="Times New Roman"/>
          <w:color w:val="000000"/>
          <w:sz w:val="24"/>
          <w:szCs w:val="24"/>
          <w:lang w:val="sq-AL"/>
        </w:rPr>
        <w:t>399/12 të Kodit të Procedurës Civile (</w:t>
      </w:r>
      <w:r w:rsidRPr="0035508F">
        <w:rPr>
          <w:rFonts w:ascii="Garamond" w:hAnsi="Garamond" w:cs="Times New Roman"/>
          <w:i/>
          <w:iCs/>
          <w:color w:val="000000"/>
          <w:sz w:val="24"/>
          <w:szCs w:val="24"/>
          <w:lang w:val="sq-AL"/>
        </w:rPr>
        <w:t>KPC</w:t>
      </w:r>
      <w:r w:rsidRPr="0035508F">
        <w:rPr>
          <w:rFonts w:ascii="Garamond" w:hAnsi="Garamond" w:cs="Times New Roman"/>
          <w:color w:val="000000"/>
          <w:sz w:val="24"/>
          <w:szCs w:val="24"/>
          <w:lang w:val="sq-AL"/>
        </w:rPr>
        <w:t>). Jurisprudenca kushtetuese ka pohuar se, si rregull, shqyrtimi i pretendimeve në lidhje me kohëzgjatjen e arsyeshme të gjykimit, duhet të bëhet nga gjykatat e zakonshme, sipas kompetencës që parashikon ky kod, në përputhje me parimin e subsidiaritetit (</w:t>
      </w:r>
      <w:r w:rsidR="0077652A">
        <w:rPr>
          <w:rFonts w:ascii="Garamond" w:hAnsi="Garamond" w:cs="Times New Roman"/>
          <w:i/>
          <w:iCs/>
          <w:color w:val="000000"/>
          <w:sz w:val="24"/>
          <w:szCs w:val="24"/>
          <w:lang w:val="sq-AL"/>
        </w:rPr>
        <w:t>shih vendimet nr. 3, datë 17.2.2022; nr. 2, datë 17.</w:t>
      </w:r>
      <w:r w:rsidRPr="0035508F">
        <w:rPr>
          <w:rFonts w:ascii="Garamond" w:hAnsi="Garamond" w:cs="Times New Roman"/>
          <w:i/>
          <w:iCs/>
          <w:color w:val="000000"/>
          <w:sz w:val="24"/>
          <w:szCs w:val="24"/>
          <w:lang w:val="sq-AL"/>
        </w:rPr>
        <w:t>2.2022 të Gjykatës Kushtetuese</w:t>
      </w:r>
      <w:r w:rsidRPr="0035508F">
        <w:rPr>
          <w:rFonts w:ascii="Garamond" w:hAnsi="Garamond" w:cs="Times New Roman"/>
          <w:color w:val="000000"/>
          <w:sz w:val="24"/>
          <w:szCs w:val="24"/>
          <w:lang w:val="sq-AL"/>
        </w:rPr>
        <w:t xml:space="preserve">). Për rrjedhojë, Gjykata vlerëson se ky pretendim nuk mund të merret në shqyrtim, për sa kohë që kërkuesi nuk i ka shteruar mjetet ligjore efektive përpara se të vinte në lëvizje gjykimin kushtetues. </w:t>
      </w:r>
    </w:p>
    <w:p w14:paraId="1A4BB2D7" w14:textId="58395DD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17. Për sa u përket pretendimeve të tjera, Gjykata çmon se kërkuesi nuk ka mjete të tjera në dispozicion, për rrjedhojë ai e plotëson kriterin e shterimit të mjeteve juridike efektive, në kuptim të nenit 131, pika 1, shkronja “f”, të Kushtetutës</w:t>
      </w:r>
      <w:r w:rsidRPr="0035508F">
        <w:rPr>
          <w:rFonts w:ascii="Garamond" w:hAnsi="Garamond" w:cs="Times New Roman"/>
          <w:color w:val="000000"/>
          <w:spacing w:val="15"/>
          <w:sz w:val="24"/>
          <w:szCs w:val="24"/>
          <w:lang w:val="sq-AL"/>
        </w:rPr>
        <w:t>.</w:t>
      </w:r>
      <w:r w:rsidR="00D71742">
        <w:rPr>
          <w:rFonts w:ascii="Garamond" w:hAnsi="Garamond" w:cs="Times New Roman"/>
          <w:color w:val="000000"/>
          <w:spacing w:val="15"/>
          <w:sz w:val="24"/>
          <w:szCs w:val="24"/>
          <w:lang w:val="sq-AL"/>
        </w:rPr>
        <w:t xml:space="preserve"> </w:t>
      </w:r>
    </w:p>
    <w:p w14:paraId="6518A4F1" w14:textId="663BB2CC"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18. Po kështu, Gjykata vlerëson se kërkuesi legjitimohet </w:t>
      </w:r>
      <w:r w:rsidRPr="0035508F">
        <w:rPr>
          <w:rFonts w:ascii="Garamond" w:hAnsi="Garamond" w:cs="Times New Roman"/>
          <w:i/>
          <w:iCs/>
          <w:color w:val="000000"/>
          <w:sz w:val="24"/>
          <w:szCs w:val="24"/>
          <w:lang w:val="sq-AL"/>
        </w:rPr>
        <w:t xml:space="preserve">ratione temporis, </w:t>
      </w:r>
      <w:r w:rsidRPr="0035508F">
        <w:rPr>
          <w:rFonts w:ascii="Garamond" w:hAnsi="Garamond" w:cs="Times New Roman"/>
          <w:color w:val="000000"/>
          <w:sz w:val="24"/>
          <w:szCs w:val="24"/>
          <w:lang w:val="sq-AL"/>
        </w:rPr>
        <w:t>pasi vendimi i kundërshtuar i G</w:t>
      </w:r>
      <w:r w:rsidR="0077652A">
        <w:rPr>
          <w:rFonts w:ascii="Garamond" w:hAnsi="Garamond" w:cs="Times New Roman"/>
          <w:color w:val="000000"/>
          <w:sz w:val="24"/>
          <w:szCs w:val="24"/>
          <w:lang w:val="sq-AL"/>
        </w:rPr>
        <w:t>jykatës së Lartë mban datën 13.</w:t>
      </w:r>
      <w:r w:rsidRPr="0035508F">
        <w:rPr>
          <w:rFonts w:ascii="Garamond" w:hAnsi="Garamond" w:cs="Times New Roman"/>
          <w:color w:val="000000"/>
          <w:sz w:val="24"/>
          <w:szCs w:val="24"/>
          <w:lang w:val="sq-AL"/>
        </w:rPr>
        <w:t>5.2022, kurse ankimi kushtetues është dërguar nëpërmje</w:t>
      </w:r>
      <w:r w:rsidR="0077652A">
        <w:rPr>
          <w:rFonts w:ascii="Garamond" w:hAnsi="Garamond" w:cs="Times New Roman"/>
          <w:color w:val="000000"/>
          <w:sz w:val="24"/>
          <w:szCs w:val="24"/>
          <w:lang w:val="sq-AL"/>
        </w:rPr>
        <w:t xml:space="preserve">t shërbimit postar </w:t>
      </w:r>
      <w:r w:rsidR="00E157FC">
        <w:rPr>
          <w:rFonts w:ascii="Garamond" w:hAnsi="Garamond" w:cs="Times New Roman"/>
          <w:color w:val="000000"/>
          <w:sz w:val="24"/>
          <w:szCs w:val="24"/>
          <w:lang w:val="sq-AL"/>
        </w:rPr>
        <w:t>m</w:t>
      </w:r>
      <w:r w:rsidR="0077652A">
        <w:rPr>
          <w:rFonts w:ascii="Garamond" w:hAnsi="Garamond" w:cs="Times New Roman"/>
          <w:color w:val="000000"/>
          <w:sz w:val="24"/>
          <w:szCs w:val="24"/>
          <w:lang w:val="sq-AL"/>
        </w:rPr>
        <w:t>ë datë 18.</w:t>
      </w:r>
      <w:r w:rsidRPr="0035508F">
        <w:rPr>
          <w:rFonts w:ascii="Garamond" w:hAnsi="Garamond" w:cs="Times New Roman"/>
          <w:color w:val="000000"/>
          <w:sz w:val="24"/>
          <w:szCs w:val="24"/>
          <w:lang w:val="sq-AL"/>
        </w:rPr>
        <w:t>8.2022, brenda afatit 4-mujor, të parashikuar nga neni 71/a, pika 1, shkronja “b”, i ligjit nr. 8577/2000.</w:t>
      </w:r>
    </w:p>
    <w:p w14:paraId="7D7C8C49" w14:textId="57DEE214"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19. Në drejtim të legjitimimit </w:t>
      </w:r>
      <w:r w:rsidRPr="0035508F">
        <w:rPr>
          <w:rFonts w:ascii="Garamond" w:hAnsi="Garamond" w:cs="Times New Roman"/>
          <w:i/>
          <w:iCs/>
          <w:color w:val="000000"/>
          <w:sz w:val="24"/>
          <w:szCs w:val="24"/>
          <w:lang w:val="sq-AL"/>
        </w:rPr>
        <w:t>ratione materiae,</w:t>
      </w:r>
      <w:r w:rsidRPr="0035508F">
        <w:rPr>
          <w:rFonts w:ascii="Garamond" w:hAnsi="Garamond" w:cs="Times New Roman"/>
          <w:color w:val="000000"/>
          <w:sz w:val="24"/>
          <w:szCs w:val="24"/>
          <w:lang w:val="sq-AL"/>
        </w:rPr>
        <w:t xml:space="preserve"> kërkuesi ka pretenduar se nga vendimi gjyqësor i kundërshtuar atij i janë cenuar e drejta për një proces të rregullt ligjor në aspektet e aksesit, sigurisë juridike, gjësë së gjykuar, gjykimit të drejtë, paanshmërisë dhe paanësisë, si dhe e drejta për pension. </w:t>
      </w:r>
      <w:r w:rsidRPr="0035508F">
        <w:rPr>
          <w:rFonts w:ascii="Garamond" w:hAnsi="Garamond" w:cs="Times New Roman"/>
          <w:color w:val="000000"/>
          <w:sz w:val="24"/>
          <w:szCs w:val="24"/>
          <w:lang w:val="sq-AL"/>
        </w:rPr>
        <w:lastRenderedPageBreak/>
        <w:t>Në thelb, ai kundërshton pushimin e gjykimit të çështjes së tij nga Gjykata e Lartë, me pretendimin se të drejtën e pensionit të parakohshëm për vjetërsi shërbimi e kishte fituar nga ligji, por padia e tij mbeti pa përgjigje si rezultat i interpretimit të pasaktë të ligjit mbi detyrimin për shterimin e ankimit administrativ dhe afatin e paraqitjes së padisë, duke shkelur në këtë mënyrë të drejtën e aksesit në gjykatë. Kërkuesi, në funksion të këtij pretendimi, parashtron edhe argumentet për sigurinë juridike, gjënë e gjykuar, gjykimin e drejtë, paanshmërinë dhe paanësinë e Gjykatës së Lartë.</w:t>
      </w:r>
    </w:p>
    <w:p w14:paraId="2E1ECB73" w14:textId="751E2ABE"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20. Gjykata, duke mbajtur në konsideratë se argumentet lidhen me mënyrën e përfundimit të procesit gjyqësor të zhvilluar ndaj kërkuesit, çmon ta analizojë çështjen e paraqitur në këndvështrim të nenit 42 të Kushtetutës, sipas të cilit një e drejtë e njohur me ligj nuk mund të cenohet pa një proces të rregullt ligjor dhe se kushdo, për mbrojtjen e saj, ka të drejtën e një gjykimi të drejtë nga një gjykatë. Në vlerësimin e pretendimeve të kërkuesit, Gjykata evidenton se standardet kushtetuese që garantojnë procesin e rregullt ligjor dhe gjykimin e drejtë, përfshirë të drejtën për akses, janë ngushtësisht të lidhura nga pikëpamja organike dhe funksionale me njëra-tjetrën, në mënyrë të tillë që cenimi edhe i vetëm njërit standard ndikon në mënyrë të pashmangshme në cenimin e të tjerave (</w:t>
      </w:r>
      <w:r w:rsidRPr="0035508F">
        <w:rPr>
          <w:rFonts w:ascii="Garamond" w:hAnsi="Garamond" w:cs="Times New Roman"/>
          <w:i/>
          <w:iCs/>
          <w:color w:val="000000"/>
          <w:sz w:val="24"/>
          <w:szCs w:val="24"/>
          <w:lang w:val="sq-AL"/>
        </w:rPr>
        <w:t>shih vendimin nr. 40, datë 22.12.2022 të Gjykatës Kushtetuese).</w:t>
      </w:r>
      <w:r w:rsidRPr="0035508F">
        <w:rPr>
          <w:rFonts w:ascii="Garamond" w:hAnsi="Garamond" w:cs="Times New Roman"/>
          <w:color w:val="000000"/>
          <w:sz w:val="24"/>
          <w:szCs w:val="24"/>
          <w:lang w:val="sq-AL"/>
        </w:rPr>
        <w:t xml:space="preserve"> </w:t>
      </w:r>
    </w:p>
    <w:p w14:paraId="6E6FC93A" w14:textId="2E916B7B"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color w:val="000000"/>
          <w:sz w:val="24"/>
          <w:szCs w:val="24"/>
          <w:lang w:val="sq-AL"/>
        </w:rPr>
        <w:t xml:space="preserve">21. Për sa më lart, për të përcaktuar nëse kërkuesit i është cenuar e drejta për proces të rregullt ligjor, është e rëndësishme të analizohet në themel nëse procesi i zhvilluar nga Gjykata e Lartë, e cila ka dhënë vendimin e kundërshtuar, ka përmbushur standardet e procesit të rregullt në këndvështrim të së drejtës së aksesit. </w:t>
      </w:r>
    </w:p>
    <w:p w14:paraId="59AE43B2"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508F">
        <w:rPr>
          <w:rFonts w:ascii="Garamond" w:hAnsi="Garamond" w:cs="Times New Roman"/>
          <w:i/>
          <w:iCs/>
          <w:color w:val="000000"/>
          <w:sz w:val="24"/>
          <w:szCs w:val="24"/>
          <w:lang w:val="sq-AL"/>
        </w:rPr>
        <w:t xml:space="preserve">B. Për themelin e pretendimeve </w:t>
      </w:r>
    </w:p>
    <w:p w14:paraId="0D67F39C" w14:textId="1731D84B"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i/>
          <w:iCs/>
          <w:color w:val="000000"/>
          <w:sz w:val="24"/>
          <w:szCs w:val="24"/>
          <w:lang w:val="sq-AL"/>
        </w:rPr>
        <w:t xml:space="preserve">B.1 Për cenimin e së drejtës së aksesit </w:t>
      </w:r>
    </w:p>
    <w:p w14:paraId="67F96962" w14:textId="19671082" w:rsidR="009005E3" w:rsidRPr="0035508F" w:rsidRDefault="009005E3" w:rsidP="009005E3">
      <w:pPr>
        <w:tabs>
          <w:tab w:val="left" w:pos="1080"/>
          <w:tab w:val="left" w:pos="1440"/>
          <w:tab w:val="left" w:pos="1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22. Kërkuesi ka pretenduar se Gjykata e Lartë, duke pushuar gjykimin e çështjes së tij, i ka mohuar të drejtën e përfitimit të pensionit të parakohshëm për vjet</w:t>
      </w:r>
      <w:r w:rsidR="00DF5E69">
        <w:rPr>
          <w:rFonts w:ascii="Garamond" w:hAnsi="Garamond" w:cs="Times New Roman"/>
          <w:color w:val="000000"/>
          <w:sz w:val="24"/>
          <w:szCs w:val="24"/>
          <w:lang w:val="sq-AL"/>
        </w:rPr>
        <w:t>ërsi shërbimi për periudhën 14.5.2004–30.</w:t>
      </w:r>
      <w:r w:rsidRPr="0035508F">
        <w:rPr>
          <w:rFonts w:ascii="Garamond" w:hAnsi="Garamond" w:cs="Times New Roman"/>
          <w:color w:val="000000"/>
          <w:sz w:val="24"/>
          <w:szCs w:val="24"/>
          <w:lang w:val="sq-AL"/>
        </w:rPr>
        <w:t>6.2009, në masën e pensionit bazë në shkallë vendi. Sipas tij, Gjykata e Lartë në rastin e tij nuk ka respektuar jurisprudencën e saj se sipas ligjeve të posaçme nr. 8087/1996, nr. 9418/2005 dhe nr. 10142/2009, paraqitja e ankimit administrativ nuk ka qenë i detyrueshëm. Po kështu, sipas kërkuesit, Gjykata e Lartë ka gabuar në përfundimin se padia e tij është parashkruar, pasi neni 31 të ligjit nr. 9418/2005 parashikon se e drejta e pensionit të parakohshëm për vjetërsi shërbimi nuk parashkruhet. Gjykata e Lartë ka cenuar parimin e disponibilitetit të padisë, pasi ndryshoi vetë bazën juridike të zgjidhjes së çështjes, në kundërshtim me nenet 16 dhe 185 të KPC-së. Ajo nuk shqyrtoi dhe nuk vendosi për situatën lig</w:t>
      </w:r>
      <w:r w:rsidR="00DF5E69">
        <w:rPr>
          <w:rFonts w:ascii="Garamond" w:hAnsi="Garamond" w:cs="Times New Roman"/>
          <w:color w:val="000000"/>
          <w:sz w:val="24"/>
          <w:szCs w:val="24"/>
          <w:lang w:val="sq-AL"/>
        </w:rPr>
        <w:t xml:space="preserve">jore që ekzistonte </w:t>
      </w:r>
      <w:r w:rsidR="00E157FC">
        <w:rPr>
          <w:rFonts w:ascii="Garamond" w:hAnsi="Garamond" w:cs="Times New Roman"/>
          <w:color w:val="000000"/>
          <w:sz w:val="24"/>
          <w:szCs w:val="24"/>
          <w:lang w:val="sq-AL"/>
        </w:rPr>
        <w:t>m</w:t>
      </w:r>
      <w:r w:rsidR="00DF5E69">
        <w:rPr>
          <w:rFonts w:ascii="Garamond" w:hAnsi="Garamond" w:cs="Times New Roman"/>
          <w:color w:val="000000"/>
          <w:sz w:val="24"/>
          <w:szCs w:val="24"/>
          <w:lang w:val="sq-AL"/>
        </w:rPr>
        <w:t>ë datë 14.</w:t>
      </w:r>
      <w:r w:rsidRPr="0035508F">
        <w:rPr>
          <w:rFonts w:ascii="Garamond" w:hAnsi="Garamond" w:cs="Times New Roman"/>
          <w:color w:val="000000"/>
          <w:sz w:val="24"/>
          <w:szCs w:val="24"/>
          <w:lang w:val="sq-AL"/>
        </w:rPr>
        <w:t>5.2004 kur kërkuesit i lindi e drejta e mosndërprerjes së trajtimit me pension të parakohshëm.</w:t>
      </w:r>
    </w:p>
    <w:p w14:paraId="664CB9E7" w14:textId="39D9D053" w:rsidR="009005E3" w:rsidRPr="0035508F" w:rsidRDefault="009005E3" w:rsidP="009005E3">
      <w:pPr>
        <w:tabs>
          <w:tab w:val="left" w:pos="1080"/>
          <w:tab w:val="left" w:pos="1440"/>
          <w:tab w:val="left" w:pos="1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23. Gjykata ka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Megjithatë, e drejta e aksesit mund të kufizohet kur bëhet fjalë për kushtet e pranueshmërisë së një ankimi, siç janë afatet e përcaktuara në Kushtetutë dhe ligje </w:t>
      </w:r>
      <w:r w:rsidR="0077652A">
        <w:rPr>
          <w:rFonts w:ascii="Garamond" w:hAnsi="Garamond" w:cs="Times New Roman"/>
          <w:i/>
          <w:iCs/>
          <w:color w:val="000000"/>
          <w:sz w:val="24"/>
          <w:szCs w:val="24"/>
          <w:lang w:val="sq-AL"/>
        </w:rPr>
        <w:t>(shih vendimet nr. 9, datë 7.</w:t>
      </w:r>
      <w:r w:rsidRPr="0035508F">
        <w:rPr>
          <w:rFonts w:ascii="Garamond" w:hAnsi="Garamond" w:cs="Times New Roman"/>
          <w:i/>
          <w:iCs/>
          <w:color w:val="000000"/>
          <w:sz w:val="24"/>
          <w:szCs w:val="24"/>
          <w:lang w:val="sq-AL"/>
        </w:rPr>
        <w:t>2.2017; nr. 18, datë</w:t>
      </w:r>
      <w:r w:rsidR="0077652A">
        <w:rPr>
          <w:rFonts w:ascii="Garamond" w:hAnsi="Garamond" w:cs="Times New Roman"/>
          <w:i/>
          <w:iCs/>
          <w:color w:val="000000"/>
          <w:sz w:val="24"/>
          <w:szCs w:val="24"/>
          <w:lang w:val="sq-AL"/>
        </w:rPr>
        <w:t xml:space="preserve"> 31.3.2014; nr. 17, datë 19.</w:t>
      </w:r>
      <w:r w:rsidRPr="0035508F">
        <w:rPr>
          <w:rFonts w:ascii="Garamond" w:hAnsi="Garamond" w:cs="Times New Roman"/>
          <w:i/>
          <w:iCs/>
          <w:color w:val="000000"/>
          <w:sz w:val="24"/>
          <w:szCs w:val="24"/>
          <w:lang w:val="sq-AL"/>
        </w:rPr>
        <w:t>6.2009 të Gjykatës Kushtetuese)</w:t>
      </w:r>
      <w:r w:rsidRPr="0035508F">
        <w:rPr>
          <w:rFonts w:ascii="Garamond" w:hAnsi="Garamond" w:cs="Times New Roman"/>
          <w:color w:val="000000"/>
          <w:sz w:val="24"/>
          <w:szCs w:val="24"/>
          <w:lang w:val="sq-AL"/>
        </w:rPr>
        <w:t xml:space="preserve">. </w:t>
      </w:r>
    </w:p>
    <w:p w14:paraId="2884C2F0" w14:textId="50C5D442"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24. Në rastin kur kushtet e paraqitjes së ankimit ose padisë, siç është afati, janë përcaktuar nga ligji, Gjykata ka vënë në dukje rëndësinë kushtetuese që ka zbatimi dhe interpretimi i dispozitave ligjore nga gjykatat e juridiksionit të zakonshëm, përfshirë Gjykatën e Lartë, me qëllim që individit t’i garantohet procesi i rregullt në aspektet e aksesit në gjykatë dhe të mbrojtjes efektive</w:t>
      </w:r>
      <w:r w:rsidRPr="0035508F">
        <w:rPr>
          <w:rFonts w:ascii="Garamond" w:hAnsi="Garamond" w:cs="Times New Roman"/>
          <w:i/>
          <w:iCs/>
          <w:color w:val="000000"/>
          <w:sz w:val="24"/>
          <w:szCs w:val="24"/>
          <w:lang w:val="sq-AL"/>
        </w:rPr>
        <w:t xml:space="preserve"> (shih vendimin nr. 40, datë 22.12.2022 të Gjykatës Kushtetuese</w:t>
      </w:r>
      <w:r w:rsidRPr="0035508F">
        <w:rPr>
          <w:rFonts w:ascii="Garamond" w:hAnsi="Garamond" w:cs="Times New Roman"/>
          <w:color w:val="000000"/>
          <w:sz w:val="24"/>
          <w:szCs w:val="24"/>
          <w:lang w:val="sq-AL"/>
        </w:rPr>
        <w:t xml:space="preserve">). Ndonëse interpretimi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w:t>
      </w:r>
      <w:r w:rsidRPr="0035508F">
        <w:rPr>
          <w:rFonts w:ascii="Garamond" w:hAnsi="Garamond" w:cs="Times New Roman"/>
          <w:color w:val="000000"/>
          <w:sz w:val="24"/>
          <w:szCs w:val="24"/>
          <w:lang w:val="sq-AL"/>
        </w:rPr>
        <w:lastRenderedPageBreak/>
        <w:t xml:space="preserve">të palëve. Në këto raste, Gjykata bën një vlerësim të natyrës kushtetuese, të dallueshëm nga ai i gjykatave të juridiksionit të zakonshëm </w:t>
      </w:r>
      <w:r w:rsidRPr="0035508F">
        <w:rPr>
          <w:rFonts w:ascii="Garamond" w:hAnsi="Garamond" w:cs="Times New Roman"/>
          <w:i/>
          <w:iCs/>
          <w:color w:val="000000"/>
          <w:sz w:val="24"/>
          <w:szCs w:val="24"/>
          <w:lang w:val="sq-AL"/>
        </w:rPr>
        <w:t>(shih vendi</w:t>
      </w:r>
      <w:r w:rsidR="0077652A">
        <w:rPr>
          <w:rFonts w:ascii="Garamond" w:hAnsi="Garamond" w:cs="Times New Roman"/>
          <w:i/>
          <w:iCs/>
          <w:color w:val="000000"/>
          <w:sz w:val="24"/>
          <w:szCs w:val="24"/>
          <w:lang w:val="sq-AL"/>
        </w:rPr>
        <w:t>met nr. 2, datë 17.</w:t>
      </w:r>
      <w:r w:rsidRPr="0035508F">
        <w:rPr>
          <w:rFonts w:ascii="Garamond" w:hAnsi="Garamond" w:cs="Times New Roman"/>
          <w:i/>
          <w:iCs/>
          <w:color w:val="000000"/>
          <w:sz w:val="24"/>
          <w:szCs w:val="24"/>
          <w:lang w:val="sq-AL"/>
        </w:rPr>
        <w:t>2.2022; nr. 3, da</w:t>
      </w:r>
      <w:r w:rsidR="0077652A">
        <w:rPr>
          <w:rFonts w:ascii="Garamond" w:hAnsi="Garamond" w:cs="Times New Roman"/>
          <w:i/>
          <w:iCs/>
          <w:color w:val="000000"/>
          <w:sz w:val="24"/>
          <w:szCs w:val="24"/>
          <w:lang w:val="sq-AL"/>
        </w:rPr>
        <w:t>të 23.2.2016; nr. 62, datë 23.</w:t>
      </w:r>
      <w:r w:rsidRPr="0035508F">
        <w:rPr>
          <w:rFonts w:ascii="Garamond" w:hAnsi="Garamond" w:cs="Times New Roman"/>
          <w:i/>
          <w:iCs/>
          <w:color w:val="000000"/>
          <w:sz w:val="24"/>
          <w:szCs w:val="24"/>
          <w:lang w:val="sq-AL"/>
        </w:rPr>
        <w:t>9.2015 të Gjykatës Kushtetuese)</w:t>
      </w:r>
      <w:r w:rsidRPr="0035508F">
        <w:rPr>
          <w:rFonts w:ascii="Garamond" w:hAnsi="Garamond" w:cs="Times New Roman"/>
          <w:color w:val="000000"/>
          <w:sz w:val="24"/>
          <w:szCs w:val="24"/>
          <w:lang w:val="sq-AL"/>
        </w:rPr>
        <w:t xml:space="preserve">. </w:t>
      </w:r>
    </w:p>
    <w:p w14:paraId="083739DF" w14:textId="3800DD29"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25. Duke iu kthyer rastit në shqyrtim, Gjykata konstaton se kërkuesi është trajtuar me pension të parakohshëm për vjet</w:t>
      </w:r>
      <w:r w:rsidR="0077652A">
        <w:rPr>
          <w:rFonts w:ascii="Garamond" w:hAnsi="Garamond" w:cs="Times New Roman"/>
          <w:color w:val="000000"/>
          <w:sz w:val="24"/>
          <w:szCs w:val="24"/>
          <w:lang w:val="sq-AL"/>
        </w:rPr>
        <w:t>ërsi shërbimi për periudhën 1.</w:t>
      </w:r>
      <w:r w:rsidRPr="0035508F">
        <w:rPr>
          <w:rFonts w:ascii="Garamond" w:hAnsi="Garamond" w:cs="Times New Roman"/>
          <w:color w:val="000000"/>
          <w:sz w:val="24"/>
          <w:szCs w:val="24"/>
          <w:lang w:val="sq-AL"/>
        </w:rPr>
        <w:t>1.1</w:t>
      </w:r>
      <w:r w:rsidR="0077652A">
        <w:rPr>
          <w:rFonts w:ascii="Garamond" w:hAnsi="Garamond" w:cs="Times New Roman"/>
          <w:color w:val="000000"/>
          <w:sz w:val="24"/>
          <w:szCs w:val="24"/>
          <w:lang w:val="sq-AL"/>
        </w:rPr>
        <w:t>999–6.</w:t>
      </w:r>
      <w:r w:rsidRPr="0035508F">
        <w:rPr>
          <w:rFonts w:ascii="Garamond" w:hAnsi="Garamond" w:cs="Times New Roman"/>
          <w:color w:val="000000"/>
          <w:sz w:val="24"/>
          <w:szCs w:val="24"/>
          <w:lang w:val="sq-AL"/>
        </w:rPr>
        <w:t>9.1999, që iu ndërpre për shkak të punësim</w:t>
      </w:r>
      <w:r w:rsidR="0077652A">
        <w:rPr>
          <w:rFonts w:ascii="Garamond" w:hAnsi="Garamond" w:cs="Times New Roman"/>
          <w:color w:val="000000"/>
          <w:sz w:val="24"/>
          <w:szCs w:val="24"/>
          <w:lang w:val="sq-AL"/>
        </w:rPr>
        <w:t xml:space="preserve">it në sektorin publik </w:t>
      </w:r>
      <w:r w:rsidR="00E157FC">
        <w:rPr>
          <w:rFonts w:ascii="Garamond" w:hAnsi="Garamond" w:cs="Times New Roman"/>
          <w:color w:val="000000"/>
          <w:sz w:val="24"/>
          <w:szCs w:val="24"/>
          <w:lang w:val="sq-AL"/>
        </w:rPr>
        <w:t>m</w:t>
      </w:r>
      <w:r w:rsidR="0077652A">
        <w:rPr>
          <w:rFonts w:ascii="Garamond" w:hAnsi="Garamond" w:cs="Times New Roman"/>
          <w:color w:val="000000"/>
          <w:sz w:val="24"/>
          <w:szCs w:val="24"/>
          <w:lang w:val="sq-AL"/>
        </w:rPr>
        <w:t>ë datë 6.</w:t>
      </w:r>
      <w:r w:rsidRPr="0035508F">
        <w:rPr>
          <w:rFonts w:ascii="Garamond" w:hAnsi="Garamond" w:cs="Times New Roman"/>
          <w:color w:val="000000"/>
          <w:sz w:val="24"/>
          <w:szCs w:val="24"/>
          <w:lang w:val="sq-AL"/>
        </w:rPr>
        <w:t>9.1999. Me hyrjen në fuqi të ligjit nr. 10142/2009, DRSSH-ja ka rishqyrtuar të ardhurat e kërkuesit dhe i ka caktuar atij pension të parakohshëm për vjetërsi shërbimi, m</w:t>
      </w:r>
      <w:r w:rsidR="0077652A">
        <w:rPr>
          <w:rFonts w:ascii="Garamond" w:hAnsi="Garamond" w:cs="Times New Roman"/>
          <w:color w:val="000000"/>
          <w:sz w:val="24"/>
          <w:szCs w:val="24"/>
          <w:lang w:val="sq-AL"/>
        </w:rPr>
        <w:t>e fillim pagese nga data 1.</w:t>
      </w:r>
      <w:r w:rsidRPr="0035508F">
        <w:rPr>
          <w:rFonts w:ascii="Garamond" w:hAnsi="Garamond" w:cs="Times New Roman"/>
          <w:color w:val="000000"/>
          <w:sz w:val="24"/>
          <w:szCs w:val="24"/>
          <w:lang w:val="sq-AL"/>
        </w:rPr>
        <w:t>7.2009, duke mos ia njohur këtë të drejt</w:t>
      </w:r>
      <w:r w:rsidR="0077652A">
        <w:rPr>
          <w:rFonts w:ascii="Garamond" w:hAnsi="Garamond" w:cs="Times New Roman"/>
          <w:color w:val="000000"/>
          <w:sz w:val="24"/>
          <w:szCs w:val="24"/>
          <w:lang w:val="sq-AL"/>
        </w:rPr>
        <w:t>ë atij për periudhën 14.5.2004–1.</w:t>
      </w:r>
      <w:r w:rsidRPr="0035508F">
        <w:rPr>
          <w:rFonts w:ascii="Garamond" w:hAnsi="Garamond" w:cs="Times New Roman"/>
          <w:color w:val="000000"/>
          <w:sz w:val="24"/>
          <w:szCs w:val="24"/>
          <w:lang w:val="sq-AL"/>
        </w:rPr>
        <w:t>7.2009. Gjykata e shkallës së parë dhe gjykata e apelit e kanë pranuar padinë e kërkuesit për njohjen e së drejtës në këtë periudhë, ndërsa Gjykata e Lartë i ka prishur vendimet, duke vendosur pushimin e gjykimit të çështjes. Kjo e fundit ka arsyetuar se paditësi (kërkuesi), në kohën kur i është ndërprerë pensioni i parakohshëm, nuk ka ushtruar ankim ndaj vendimit të DRSSH-së për këtë ndërprerje, në përputhje me parashikimet e nenit 86 të ligjit nr. 7703/1993, për rrjedhojë ai nuk mund të kërkojë gjyqësisht një të drejtë pa ezauruar më parë ankimin administrativ (</w:t>
      </w:r>
      <w:r w:rsidRPr="0035508F">
        <w:rPr>
          <w:rFonts w:ascii="Garamond" w:hAnsi="Garamond" w:cs="Times New Roman"/>
          <w:i/>
          <w:iCs/>
          <w:color w:val="000000"/>
          <w:sz w:val="24"/>
          <w:szCs w:val="24"/>
          <w:lang w:val="sq-AL"/>
        </w:rPr>
        <w:t>shih paragrafin 18 të vendimit të Gjykatës së Lartë</w:t>
      </w:r>
      <w:r w:rsidRPr="0035508F">
        <w:rPr>
          <w:rFonts w:ascii="Garamond" w:hAnsi="Garamond" w:cs="Times New Roman"/>
          <w:color w:val="000000"/>
          <w:sz w:val="24"/>
          <w:szCs w:val="24"/>
          <w:lang w:val="sq-AL"/>
        </w:rPr>
        <w:t>). Po kështu, sipas saj, padia është ush</w:t>
      </w:r>
      <w:r w:rsidR="0077652A">
        <w:rPr>
          <w:rFonts w:ascii="Garamond" w:hAnsi="Garamond" w:cs="Times New Roman"/>
          <w:color w:val="000000"/>
          <w:sz w:val="24"/>
          <w:szCs w:val="24"/>
          <w:lang w:val="sq-AL"/>
        </w:rPr>
        <w:t xml:space="preserve">truar </w:t>
      </w:r>
      <w:r w:rsidR="00E157FC">
        <w:rPr>
          <w:rFonts w:ascii="Garamond" w:hAnsi="Garamond" w:cs="Times New Roman"/>
          <w:color w:val="000000"/>
          <w:sz w:val="24"/>
          <w:szCs w:val="24"/>
          <w:lang w:val="sq-AL"/>
        </w:rPr>
        <w:t>m</w:t>
      </w:r>
      <w:r w:rsidR="0077652A">
        <w:rPr>
          <w:rFonts w:ascii="Garamond" w:hAnsi="Garamond" w:cs="Times New Roman"/>
          <w:color w:val="000000"/>
          <w:sz w:val="24"/>
          <w:szCs w:val="24"/>
          <w:lang w:val="sq-AL"/>
        </w:rPr>
        <w:t>ë datë 7.</w:t>
      </w:r>
      <w:r w:rsidRPr="0035508F">
        <w:rPr>
          <w:rFonts w:ascii="Garamond" w:hAnsi="Garamond" w:cs="Times New Roman"/>
          <w:color w:val="000000"/>
          <w:sz w:val="24"/>
          <w:szCs w:val="24"/>
          <w:lang w:val="sq-AL"/>
        </w:rPr>
        <w:t>5.2015, rreth 11 vjet pas ndërprerjes së pensionit dhe 6 vjet pas afatit fundor të pagesës që ai kërkon, kësisoj ajo konsiderohet se nuk është ushtruar brenda afatit ligjor 3-vjeçar të parashikuar në nenin 62, pika 3, të ligjit nr. 7703/1993 (</w:t>
      </w:r>
      <w:r w:rsidRPr="0035508F">
        <w:rPr>
          <w:rFonts w:ascii="Garamond" w:hAnsi="Garamond" w:cs="Times New Roman"/>
          <w:i/>
          <w:iCs/>
          <w:color w:val="000000"/>
          <w:sz w:val="24"/>
          <w:szCs w:val="24"/>
          <w:lang w:val="sq-AL"/>
        </w:rPr>
        <w:t>shih paragrafin 20, po aty</w:t>
      </w:r>
      <w:r w:rsidRPr="0035508F">
        <w:rPr>
          <w:rFonts w:ascii="Garamond" w:hAnsi="Garamond" w:cs="Times New Roman"/>
          <w:color w:val="000000"/>
          <w:sz w:val="24"/>
          <w:szCs w:val="24"/>
          <w:lang w:val="sq-AL"/>
        </w:rPr>
        <w:t xml:space="preserve">). </w:t>
      </w:r>
    </w:p>
    <w:p w14:paraId="49B3DAD5" w14:textId="7F2DEACC"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26. Gjykata vëren se gjykimi i çështjes së kërkuesit është pushuar nga Gjykata e Lartë për shkak se nuk janë plotësuar kushtet formale të shqyrtimit në themel të padisë, që lidhen me shterimin e ankimit administrativ dhe afatin e ngritjes së padisë. Ato parashikohen nga ligji si kushte për ngritjen e padisë për të garantuar respektivisht rolin subsidiar të administratës publike dhe parimin e sigurisë juridike, megjithatë duhet mbajtur në konsideratë se në thelbin e tyre, kushtet formale të paraqitjes së padisë kufizojnë me ligj aksesin në gjykatë. Për shkak të natyrës dhe rëndësisë së tyre, ligji përcakton se kushtet formale të ngritjes së padisë janë të verifikueshme nga gjykata edhe kryesisht, pa pasur nevojë për kërkesë paraprake nga palët (</w:t>
      </w:r>
      <w:r w:rsidRPr="0035508F">
        <w:rPr>
          <w:rFonts w:ascii="Garamond" w:hAnsi="Garamond" w:cs="Times New Roman"/>
          <w:i/>
          <w:iCs/>
          <w:color w:val="000000"/>
          <w:sz w:val="24"/>
          <w:szCs w:val="24"/>
          <w:lang w:val="sq-AL"/>
        </w:rPr>
        <w:t>shih nenet 16, 18 dhe 19 të ligjit nr. 49/2012</w:t>
      </w:r>
      <w:r w:rsidRPr="0035508F">
        <w:rPr>
          <w:rFonts w:ascii="Garamond" w:hAnsi="Garamond" w:cs="Times New Roman"/>
          <w:color w:val="000000"/>
          <w:sz w:val="24"/>
          <w:szCs w:val="24"/>
          <w:lang w:val="sq-AL"/>
        </w:rPr>
        <w:t xml:space="preserve">). Për shkak të këtyre karakteristikave, është e qartë se verifikimi i kushteve formale të padisë përbën çështje me natyrë ligjore. </w:t>
      </w:r>
    </w:p>
    <w:p w14:paraId="13DEE769" w14:textId="4708E296"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27. Në këtë drejtim, Gjykata evidenton se në procedurën e shqyrtimit të rekursit nga Gjykata e Lartë, ligjvënësi ka parashikuar disa kërkesa specifike në nenin 473/a, paragrafi 2, të KPC-së, i cili është i zbatueshëm në gjykimin administrativ, bazuar në nenin 1, pika 2, të ligjit nr. 49/2012. Sipas këtyre dispozitave,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po këtij kodi, në harmoni me nenin 62, pika 1, shkronja “c”, të ligjit nr. 49/2012, parashikon se Gjykata e Lartë, nëse e vlerëson të nevojshme për shkak të problematikës ose kompleksitetit të çështjes, vendos shqyrtimin e çështjes në seancë gjyqësore me praninë e palëve. </w:t>
      </w:r>
    </w:p>
    <w:p w14:paraId="69606C4D" w14:textId="29CFD251"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28. Duke iu referuar akteve në dosjen gjyqësore, Gjykata konstaton se në çështjen e kërkuesit shterimi i ankimit administrativ dhe afati i ngritjes së padisë nuk janë paraqitur si shkaqe në rekursin e shqyrtuar në Gjykatën e Lartë. Kjo do të thotë se ato janë verifikuar si çështje ligjore për herë të parë dhe me nismë të vetë Gjykatës së Lartë në procedurën e shqyrtimit të rekursit në dhomën e këshillimit. Në këtë mënyrë, kërkuesit nuk i është dhënë mundësia të paraqesë paraprakisht mendimin e tij për çështjet ligjore të analizuara nga Gjykata e Lartë. Ai është vendosur në pozicionin e pamundësisë për t’u mbrojtur efektivisht për to, duke u përballur me një vendim gjyqësor, që nuk i jepte përgjigje përfundimtare pretendimit që ai kishte për të drejtën e pensionit të parakohshëm për vjetërsi shërbimi. Për rrjedhojë, pretendimi i kërkuesit për cenimin e së drejtës së aksesit në gjykatë është i bazuar dhe vendimi i Gjykatës së Lartë duhet shfuqizuar.</w:t>
      </w:r>
    </w:p>
    <w:p w14:paraId="3327B8EA" w14:textId="1805F7DA" w:rsidR="009005E3" w:rsidRPr="0035508F" w:rsidRDefault="009005E3" w:rsidP="009005E3">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29. Gjykata, duke mbajtur në konsideratë se në zbatim të parimit të </w:t>
      </w:r>
      <w:r w:rsidRPr="0035508F">
        <w:rPr>
          <w:rFonts w:ascii="Garamond" w:hAnsi="Garamond" w:cs="Times New Roman"/>
          <w:i/>
          <w:iCs/>
          <w:color w:val="000000"/>
          <w:sz w:val="24"/>
          <w:szCs w:val="24"/>
          <w:lang w:val="sq-AL"/>
        </w:rPr>
        <w:t xml:space="preserve">subsidiaritetit </w:t>
      </w:r>
      <w:r w:rsidRPr="0035508F">
        <w:rPr>
          <w:rFonts w:ascii="Garamond" w:hAnsi="Garamond" w:cs="Times New Roman"/>
          <w:color w:val="000000"/>
          <w:sz w:val="24"/>
          <w:szCs w:val="24"/>
          <w:lang w:val="sq-AL"/>
        </w:rPr>
        <w:t>kontrolli i respektimit të standardeve kushtetuese është funksion edhe i Gjykatës së Lartë, çmon të mos ndalet në analizimin e pretendimeve të tjera të kërkuesit, që kanë të bëjnë me procesin e rregullt ligjor që ka vendosur për të drejtën e pensionit të parakohshëm për vjetërsi shërbimi, për sa kohë që çështja do të merret sërish në shqyrtim nga ajo gjykatë, e cila duhet t’u japë atyre përgjigje të arsyetuar.</w:t>
      </w:r>
    </w:p>
    <w:p w14:paraId="15EDB4EA" w14:textId="47965F81"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30. Në përfundim, Gjykata vlerëson se ankimi kushtetues i kërkuesit, sipas arsyetimit të mësipërm, është i bazuar, ndaj duhet pranuar. </w:t>
      </w:r>
    </w:p>
    <w:p w14:paraId="5B42288F" w14:textId="77777777"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3744C1F"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5508F">
        <w:rPr>
          <w:rFonts w:ascii="Garamond" w:hAnsi="Garamond" w:cs="Times New Roman"/>
          <w:bCs/>
          <w:color w:val="000000"/>
          <w:sz w:val="24"/>
          <w:szCs w:val="24"/>
          <w:lang w:val="sq-AL"/>
        </w:rPr>
        <w:t>PËR KËTO ARSYE,</w:t>
      </w:r>
    </w:p>
    <w:p w14:paraId="3BDDEA14" w14:textId="77777777" w:rsidR="009005E3" w:rsidRPr="0035508F" w:rsidRDefault="009005E3" w:rsidP="009005E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993639" w14:textId="261E2680"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 xml:space="preserve">Gjykata Kushtetuese e Republikës së Shqipërisë, në mbështetje të neneve 131, pika 1, shkronja “f” dhe 134, pika 1, shkronja “i”, të Kushtetutës, si dhe neneve 71 dhe </w:t>
      </w:r>
      <w:r w:rsidR="00DF5E69">
        <w:rPr>
          <w:rFonts w:ascii="Garamond" w:hAnsi="Garamond" w:cs="Times New Roman"/>
          <w:color w:val="000000"/>
          <w:sz w:val="24"/>
          <w:szCs w:val="24"/>
          <w:lang w:val="sq-AL"/>
        </w:rPr>
        <w:t>72, të ligjit nr. 8577, datë 10.</w:t>
      </w:r>
      <w:r w:rsidRPr="0035508F">
        <w:rPr>
          <w:rFonts w:ascii="Garamond" w:hAnsi="Garamond" w:cs="Times New Roman"/>
          <w:color w:val="000000"/>
          <w:sz w:val="24"/>
          <w:szCs w:val="24"/>
          <w:lang w:val="sq-AL"/>
        </w:rPr>
        <w:t>2.2000</w:t>
      </w:r>
      <w:r w:rsidR="00DF5E69">
        <w:rPr>
          <w:rFonts w:ascii="Garamond" w:hAnsi="Garamond" w:cs="Times New Roman"/>
          <w:color w:val="000000"/>
          <w:sz w:val="24"/>
          <w:szCs w:val="24"/>
          <w:lang w:val="sq-AL"/>
        </w:rPr>
        <w:t>,</w:t>
      </w:r>
      <w:r w:rsidRPr="0035508F">
        <w:rPr>
          <w:rFonts w:ascii="Garamond" w:hAnsi="Garamond" w:cs="Times New Roman"/>
          <w:color w:val="000000"/>
          <w:sz w:val="24"/>
          <w:szCs w:val="24"/>
          <w:lang w:val="sq-AL"/>
        </w:rPr>
        <w:t xml:space="preserve"> “Për organizimin dhe funksionimin e Gjykatës Kushtetuese të Republikës së Shqipërisë”, të ndryshuar, njëzëri, </w:t>
      </w:r>
    </w:p>
    <w:p w14:paraId="33C2174D" w14:textId="77777777" w:rsidR="009005E3" w:rsidRPr="0035508F" w:rsidRDefault="009005E3" w:rsidP="009005E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47C035" w14:textId="1415C460" w:rsidR="009005E3" w:rsidRPr="0035508F" w:rsidRDefault="009005E3" w:rsidP="009005E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5508F">
        <w:rPr>
          <w:rFonts w:ascii="Garamond" w:hAnsi="Garamond" w:cs="Times New Roman"/>
          <w:bCs/>
          <w:color w:val="000000"/>
          <w:sz w:val="24"/>
          <w:szCs w:val="24"/>
          <w:lang w:val="sq-AL"/>
        </w:rPr>
        <w:t>VENDOSI:</w:t>
      </w:r>
    </w:p>
    <w:p w14:paraId="5FA585B2" w14:textId="5744B389" w:rsidR="009005E3" w:rsidRPr="0035508F" w:rsidRDefault="009005E3" w:rsidP="009005E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1. Pranimin e kërkesës.</w:t>
      </w:r>
    </w:p>
    <w:p w14:paraId="6C06F2B3" w14:textId="66115A41" w:rsidR="009005E3" w:rsidRPr="0035508F" w:rsidRDefault="009005E3" w:rsidP="009005E3">
      <w:pPr>
        <w:tabs>
          <w:tab w:val="left" w:pos="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2. Shfuqizimin e vendimit n</w:t>
      </w:r>
      <w:r w:rsidR="00DF5E69">
        <w:rPr>
          <w:rFonts w:ascii="Garamond" w:hAnsi="Garamond" w:cs="Times New Roman"/>
          <w:color w:val="000000"/>
          <w:sz w:val="24"/>
          <w:szCs w:val="24"/>
          <w:lang w:val="sq-AL"/>
        </w:rPr>
        <w:t>r. 00-2022-1183 (189), datë 13.</w:t>
      </w:r>
      <w:r w:rsidRPr="0035508F">
        <w:rPr>
          <w:rFonts w:ascii="Garamond" w:hAnsi="Garamond" w:cs="Times New Roman"/>
          <w:color w:val="000000"/>
          <w:sz w:val="24"/>
          <w:szCs w:val="24"/>
          <w:lang w:val="sq-AL"/>
        </w:rPr>
        <w:t>5.2022</w:t>
      </w:r>
      <w:r w:rsidR="00DF5E69">
        <w:rPr>
          <w:rFonts w:ascii="Garamond" w:hAnsi="Garamond" w:cs="Times New Roman"/>
          <w:color w:val="000000"/>
          <w:sz w:val="24"/>
          <w:szCs w:val="24"/>
          <w:lang w:val="sq-AL"/>
        </w:rPr>
        <w:t>,</w:t>
      </w:r>
      <w:r w:rsidRPr="0035508F">
        <w:rPr>
          <w:rFonts w:ascii="Garamond" w:hAnsi="Garamond" w:cs="Times New Roman"/>
          <w:color w:val="000000"/>
          <w:sz w:val="24"/>
          <w:szCs w:val="24"/>
          <w:lang w:val="sq-AL"/>
        </w:rPr>
        <w:t xml:space="preserve"> të Kolegjit Administrativ të Gjykatës së Lartë, si të papajtueshëm me Kushtetutën e Republikës së Shqipërisë.</w:t>
      </w:r>
    </w:p>
    <w:p w14:paraId="6199B297" w14:textId="2BE07210" w:rsidR="009005E3" w:rsidRPr="0035508F" w:rsidRDefault="009005E3" w:rsidP="009005E3">
      <w:pPr>
        <w:tabs>
          <w:tab w:val="left" w:pos="8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508F">
        <w:rPr>
          <w:rFonts w:ascii="Garamond" w:hAnsi="Garamond" w:cs="Times New Roman"/>
          <w:color w:val="000000"/>
          <w:sz w:val="24"/>
          <w:szCs w:val="24"/>
          <w:lang w:val="sq-AL"/>
        </w:rPr>
        <w:t>3.</w:t>
      </w:r>
      <w:r w:rsidR="00D71742">
        <w:rPr>
          <w:rFonts w:ascii="Garamond" w:hAnsi="Garamond" w:cs="Times New Roman"/>
          <w:color w:val="000000"/>
          <w:sz w:val="24"/>
          <w:szCs w:val="24"/>
          <w:lang w:val="sq-AL"/>
        </w:rPr>
        <w:t xml:space="preserve"> </w:t>
      </w:r>
      <w:r w:rsidRPr="0035508F">
        <w:rPr>
          <w:rFonts w:ascii="Garamond" w:hAnsi="Garamond" w:cs="Times New Roman"/>
          <w:color w:val="000000"/>
          <w:sz w:val="24"/>
          <w:szCs w:val="24"/>
          <w:lang w:val="sq-AL"/>
        </w:rPr>
        <w:t>Dërgimin e çështjes për rishqyrtim në Kolegjin Administrativ të Gjykatës së Lartë.</w:t>
      </w:r>
    </w:p>
    <w:p w14:paraId="6065248B" w14:textId="66A431E7" w:rsidR="009005E3" w:rsidRPr="0035508F" w:rsidRDefault="00D71742" w:rsidP="009005E3">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9005E3" w:rsidRPr="0035508F">
        <w:rPr>
          <w:rFonts w:ascii="Garamond" w:hAnsi="Garamond" w:cs="Times New Roman"/>
          <w:color w:val="000000"/>
          <w:sz w:val="24"/>
          <w:szCs w:val="24"/>
          <w:lang w:val="sq-AL"/>
        </w:rPr>
        <w:t>Ky vendim është përfundimtar dhe hyn në fuqi ditën e botimit në Fletoren</w:t>
      </w:r>
      <w:r w:rsidR="009005E3" w:rsidRPr="0035508F">
        <w:rPr>
          <w:rFonts w:ascii="Garamond" w:hAnsi="Garamond" w:cs="Times New Roman"/>
          <w:b/>
          <w:bCs/>
          <w:color w:val="000000"/>
          <w:sz w:val="24"/>
          <w:szCs w:val="24"/>
          <w:lang w:val="sq-AL"/>
        </w:rPr>
        <w:t xml:space="preserve"> </w:t>
      </w:r>
      <w:r w:rsidR="009005E3" w:rsidRPr="0035508F">
        <w:rPr>
          <w:rFonts w:ascii="Garamond" w:hAnsi="Garamond" w:cs="Times New Roman"/>
          <w:color w:val="000000"/>
          <w:sz w:val="24"/>
          <w:szCs w:val="24"/>
          <w:lang w:val="sq-AL"/>
        </w:rPr>
        <w:t>Zyrtare.</w:t>
      </w:r>
    </w:p>
    <w:p w14:paraId="2337D299" w14:textId="77777777" w:rsidR="009005E3" w:rsidRPr="0035508F" w:rsidRDefault="009005E3" w:rsidP="009005E3">
      <w:pPr>
        <w:autoSpaceDE w:val="0"/>
        <w:autoSpaceDN w:val="0"/>
        <w:adjustRightInd w:val="0"/>
        <w:spacing w:after="0" w:line="240" w:lineRule="auto"/>
        <w:ind w:firstLine="284"/>
        <w:rPr>
          <w:rFonts w:ascii="Garamond" w:hAnsi="Garamond" w:cs="Times New Roman"/>
          <w:b/>
          <w:bCs/>
          <w:color w:val="000000"/>
          <w:sz w:val="24"/>
          <w:szCs w:val="24"/>
          <w:lang w:val="sq-AL"/>
        </w:rPr>
      </w:pPr>
    </w:p>
    <w:p w14:paraId="2F96F2DA" w14:textId="5A9BC1AA" w:rsidR="009005E3" w:rsidRPr="00DF5E69" w:rsidRDefault="009005E3" w:rsidP="009005E3">
      <w:pPr>
        <w:autoSpaceDE w:val="0"/>
        <w:autoSpaceDN w:val="0"/>
        <w:adjustRightInd w:val="0"/>
        <w:spacing w:after="0" w:line="240" w:lineRule="auto"/>
        <w:ind w:firstLine="284"/>
        <w:rPr>
          <w:rFonts w:ascii="Garamond" w:hAnsi="Garamond" w:cs="Times New Roman"/>
          <w:bCs/>
          <w:color w:val="000000"/>
          <w:sz w:val="24"/>
          <w:szCs w:val="24"/>
          <w:lang w:val="sq-AL"/>
        </w:rPr>
      </w:pPr>
      <w:r w:rsidRPr="00DF5E69">
        <w:rPr>
          <w:rFonts w:ascii="Garamond" w:hAnsi="Garamond" w:cs="Times New Roman"/>
          <w:bCs/>
          <w:color w:val="000000"/>
          <w:sz w:val="24"/>
          <w:szCs w:val="24"/>
          <w:lang w:val="sq-AL"/>
        </w:rPr>
        <w:t>Marrë</w:t>
      </w:r>
      <w:r w:rsidR="00DF5E69" w:rsidRPr="00DF5E69">
        <w:rPr>
          <w:rFonts w:ascii="Garamond" w:hAnsi="Garamond" w:cs="Times New Roman"/>
          <w:bCs/>
          <w:color w:val="000000"/>
          <w:sz w:val="24"/>
          <w:szCs w:val="24"/>
          <w:lang w:val="sq-AL"/>
        </w:rPr>
        <w:t>, më 21.</w:t>
      </w:r>
      <w:r w:rsidRPr="00DF5E69">
        <w:rPr>
          <w:rFonts w:ascii="Garamond" w:hAnsi="Garamond" w:cs="Times New Roman"/>
          <w:bCs/>
          <w:color w:val="000000"/>
          <w:sz w:val="24"/>
          <w:szCs w:val="24"/>
          <w:lang w:val="sq-AL"/>
        </w:rPr>
        <w:t>2.2023</w:t>
      </w:r>
      <w:r w:rsidR="00DF5E69" w:rsidRPr="00DF5E69">
        <w:rPr>
          <w:rFonts w:ascii="Garamond" w:hAnsi="Garamond" w:cs="Times New Roman"/>
          <w:bCs/>
          <w:color w:val="000000"/>
          <w:sz w:val="24"/>
          <w:szCs w:val="24"/>
          <w:lang w:val="sq-AL"/>
        </w:rPr>
        <w:t>.</w:t>
      </w:r>
    </w:p>
    <w:p w14:paraId="4CEF62AC" w14:textId="246177DE" w:rsidR="009005E3" w:rsidRPr="00DF5E69" w:rsidRDefault="009005E3" w:rsidP="009005E3">
      <w:pPr>
        <w:autoSpaceDE w:val="0"/>
        <w:autoSpaceDN w:val="0"/>
        <w:adjustRightInd w:val="0"/>
        <w:spacing w:after="0" w:line="240" w:lineRule="auto"/>
        <w:ind w:firstLine="284"/>
        <w:rPr>
          <w:rFonts w:ascii="Garamond" w:hAnsi="Garamond" w:cs="Times New Roman"/>
          <w:bCs/>
          <w:color w:val="000000"/>
          <w:sz w:val="24"/>
          <w:szCs w:val="24"/>
          <w:lang w:val="sq-AL"/>
        </w:rPr>
      </w:pPr>
      <w:r w:rsidRPr="00DF5E69">
        <w:rPr>
          <w:rFonts w:ascii="Garamond" w:hAnsi="Garamond" w:cs="Times New Roman"/>
          <w:bCs/>
          <w:color w:val="000000"/>
          <w:sz w:val="24"/>
          <w:szCs w:val="24"/>
          <w:lang w:val="sq-AL"/>
        </w:rPr>
        <w:t>Shpallur</w:t>
      </w:r>
      <w:r w:rsidR="00DF5E69" w:rsidRPr="00DF5E69">
        <w:rPr>
          <w:rFonts w:ascii="Garamond" w:hAnsi="Garamond" w:cs="Times New Roman"/>
          <w:bCs/>
          <w:color w:val="000000"/>
          <w:sz w:val="24"/>
          <w:szCs w:val="24"/>
          <w:lang w:val="sq-AL"/>
        </w:rPr>
        <w:t>, më 23.</w:t>
      </w:r>
      <w:r w:rsidRPr="00DF5E69">
        <w:rPr>
          <w:rFonts w:ascii="Garamond" w:hAnsi="Garamond" w:cs="Times New Roman"/>
          <w:bCs/>
          <w:color w:val="000000"/>
          <w:sz w:val="24"/>
          <w:szCs w:val="24"/>
          <w:lang w:val="sq-AL"/>
        </w:rPr>
        <w:t>3.2023</w:t>
      </w:r>
      <w:r w:rsidR="00DF5E69" w:rsidRPr="00DF5E69">
        <w:rPr>
          <w:rFonts w:ascii="Garamond" w:hAnsi="Garamond" w:cs="Times New Roman"/>
          <w:bCs/>
          <w:color w:val="000000"/>
          <w:sz w:val="24"/>
          <w:szCs w:val="24"/>
          <w:lang w:val="sq-AL"/>
        </w:rPr>
        <w:t>.</w:t>
      </w:r>
    </w:p>
    <w:p w14:paraId="16A93348" w14:textId="77777777" w:rsidR="009005E3" w:rsidRPr="0035508F" w:rsidRDefault="009005E3" w:rsidP="009005E3">
      <w:pPr>
        <w:autoSpaceDE w:val="0"/>
        <w:autoSpaceDN w:val="0"/>
        <w:adjustRightInd w:val="0"/>
        <w:spacing w:after="0" w:line="240" w:lineRule="auto"/>
        <w:ind w:firstLine="284"/>
        <w:rPr>
          <w:rFonts w:ascii="Garamond" w:hAnsi="Garamond" w:cs="Times New Roman"/>
          <w:color w:val="000000"/>
          <w:sz w:val="24"/>
          <w:szCs w:val="24"/>
          <w:lang w:val="sq-AL"/>
        </w:rPr>
      </w:pPr>
    </w:p>
    <w:p w14:paraId="221B4E40" w14:textId="54A550A7" w:rsidR="009005E3" w:rsidRPr="0035508F" w:rsidRDefault="009005E3" w:rsidP="009005E3">
      <w:pPr>
        <w:autoSpaceDE w:val="0"/>
        <w:autoSpaceDN w:val="0"/>
        <w:adjustRightInd w:val="0"/>
        <w:spacing w:after="0" w:line="240" w:lineRule="auto"/>
        <w:ind w:firstLine="284"/>
        <w:rPr>
          <w:rFonts w:ascii="Garamond" w:hAnsi="Garamond" w:cs="Times New Roman"/>
          <w:color w:val="000000"/>
          <w:sz w:val="24"/>
          <w:szCs w:val="24"/>
          <w:lang w:val="sq-AL"/>
        </w:rPr>
      </w:pPr>
      <w:r w:rsidRPr="0035508F">
        <w:rPr>
          <w:rFonts w:ascii="Garamond" w:hAnsi="Garamond" w:cs="Times New Roman"/>
          <w:b/>
          <w:color w:val="000000"/>
          <w:sz w:val="24"/>
          <w:szCs w:val="24"/>
          <w:lang w:val="sq-AL"/>
        </w:rPr>
        <w:t>Kryetare:</w:t>
      </w:r>
      <w:r w:rsidR="003A7BAB" w:rsidRPr="0035508F">
        <w:rPr>
          <w:rFonts w:ascii="Garamond" w:hAnsi="Garamond" w:cs="Times New Roman"/>
          <w:bCs/>
          <w:color w:val="000000"/>
          <w:sz w:val="24"/>
          <w:szCs w:val="24"/>
          <w:lang w:val="sq-AL"/>
        </w:rPr>
        <w:t xml:space="preserve"> Holta Zaçaj </w:t>
      </w:r>
    </w:p>
    <w:p w14:paraId="0C95A9A5" w14:textId="0FB234F1" w:rsidR="009005E3" w:rsidRPr="0035508F" w:rsidRDefault="003A7BAB" w:rsidP="009005E3">
      <w:pPr>
        <w:autoSpaceDE w:val="0"/>
        <w:autoSpaceDN w:val="0"/>
        <w:adjustRightInd w:val="0"/>
        <w:spacing w:after="0" w:line="240" w:lineRule="auto"/>
        <w:ind w:firstLine="284"/>
        <w:rPr>
          <w:rFonts w:ascii="Garamond" w:hAnsi="Garamond" w:cs="Times New Roman"/>
          <w:color w:val="000000"/>
          <w:sz w:val="24"/>
          <w:szCs w:val="24"/>
          <w:lang w:val="sq-AL"/>
        </w:rPr>
      </w:pPr>
      <w:r w:rsidRPr="0035508F">
        <w:rPr>
          <w:rFonts w:ascii="Garamond" w:hAnsi="Garamond" w:cs="Times New Roman"/>
          <w:b/>
          <w:color w:val="000000"/>
          <w:sz w:val="24"/>
          <w:szCs w:val="24"/>
          <w:lang w:val="sq-AL"/>
        </w:rPr>
        <w:t>Anëtarë</w:t>
      </w:r>
      <w:r w:rsidRPr="0035508F">
        <w:rPr>
          <w:rFonts w:ascii="Garamond" w:hAnsi="Garamond" w:cs="Times New Roman"/>
          <w:color w:val="000000"/>
          <w:sz w:val="24"/>
          <w:szCs w:val="24"/>
          <w:lang w:val="sq-AL"/>
        </w:rPr>
        <w:t xml:space="preserve">: </w:t>
      </w:r>
      <w:r w:rsidRPr="0035508F">
        <w:rPr>
          <w:rFonts w:ascii="Garamond" w:hAnsi="Garamond" w:cs="Times New Roman"/>
          <w:bCs/>
          <w:color w:val="000000"/>
          <w:sz w:val="24"/>
          <w:szCs w:val="24"/>
          <w:lang w:val="sq-AL"/>
        </w:rPr>
        <w:t>Elsa Toska, Fiona Papajorgji, Ilir Toska, Sandër Beci, Sonila Bejtja, Marsida Xhaferllari, Marjana Semini, Genti Ibrahimi</w:t>
      </w:r>
    </w:p>
    <w:p w14:paraId="42A5B03B" w14:textId="77777777" w:rsidR="003A7BAB" w:rsidRPr="0035508F" w:rsidRDefault="003A7BAB" w:rsidP="009005E3">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sectPr w:rsidR="003A7BAB" w:rsidRPr="00355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75D23"/>
    <w:rsid w:val="0009171B"/>
    <w:rsid w:val="000956ED"/>
    <w:rsid w:val="000A39B7"/>
    <w:rsid w:val="000A77D9"/>
    <w:rsid w:val="000C55A5"/>
    <w:rsid w:val="00121461"/>
    <w:rsid w:val="0012538B"/>
    <w:rsid w:val="00141B18"/>
    <w:rsid w:val="00142C2B"/>
    <w:rsid w:val="00160E68"/>
    <w:rsid w:val="00175424"/>
    <w:rsid w:val="00183018"/>
    <w:rsid w:val="00190C3D"/>
    <w:rsid w:val="001944EB"/>
    <w:rsid w:val="0019635C"/>
    <w:rsid w:val="001D2ABC"/>
    <w:rsid w:val="001D2F1F"/>
    <w:rsid w:val="001D3A2F"/>
    <w:rsid w:val="001E0EB0"/>
    <w:rsid w:val="00202065"/>
    <w:rsid w:val="00204F93"/>
    <w:rsid w:val="00213728"/>
    <w:rsid w:val="00252C2A"/>
    <w:rsid w:val="00257E0A"/>
    <w:rsid w:val="002821F2"/>
    <w:rsid w:val="002929DC"/>
    <w:rsid w:val="002A1B46"/>
    <w:rsid w:val="002A23A7"/>
    <w:rsid w:val="002B7B82"/>
    <w:rsid w:val="002C3DC5"/>
    <w:rsid w:val="002C7879"/>
    <w:rsid w:val="002D71C7"/>
    <w:rsid w:val="002E2CDE"/>
    <w:rsid w:val="003346E6"/>
    <w:rsid w:val="00334BDB"/>
    <w:rsid w:val="00336C31"/>
    <w:rsid w:val="00345F96"/>
    <w:rsid w:val="0034608A"/>
    <w:rsid w:val="0035508F"/>
    <w:rsid w:val="003673CA"/>
    <w:rsid w:val="00373E4A"/>
    <w:rsid w:val="00375DE4"/>
    <w:rsid w:val="003956A3"/>
    <w:rsid w:val="00397301"/>
    <w:rsid w:val="003A0634"/>
    <w:rsid w:val="003A2C3E"/>
    <w:rsid w:val="003A7BAB"/>
    <w:rsid w:val="003B4312"/>
    <w:rsid w:val="003B57C7"/>
    <w:rsid w:val="003D12F1"/>
    <w:rsid w:val="003D54AD"/>
    <w:rsid w:val="003D693A"/>
    <w:rsid w:val="00421355"/>
    <w:rsid w:val="00425784"/>
    <w:rsid w:val="004604CD"/>
    <w:rsid w:val="00462CFB"/>
    <w:rsid w:val="004948FB"/>
    <w:rsid w:val="00497200"/>
    <w:rsid w:val="00497B14"/>
    <w:rsid w:val="004C0C4E"/>
    <w:rsid w:val="004C25A2"/>
    <w:rsid w:val="004C3178"/>
    <w:rsid w:val="004D4267"/>
    <w:rsid w:val="00504AE4"/>
    <w:rsid w:val="00505829"/>
    <w:rsid w:val="00520146"/>
    <w:rsid w:val="005237F6"/>
    <w:rsid w:val="00567F21"/>
    <w:rsid w:val="00571B80"/>
    <w:rsid w:val="0058238F"/>
    <w:rsid w:val="00592C00"/>
    <w:rsid w:val="00597694"/>
    <w:rsid w:val="005B0B35"/>
    <w:rsid w:val="005B5967"/>
    <w:rsid w:val="005B7AE1"/>
    <w:rsid w:val="005C301C"/>
    <w:rsid w:val="005E0B02"/>
    <w:rsid w:val="005F5040"/>
    <w:rsid w:val="006032E2"/>
    <w:rsid w:val="00681454"/>
    <w:rsid w:val="006945EE"/>
    <w:rsid w:val="006A512D"/>
    <w:rsid w:val="006E6768"/>
    <w:rsid w:val="00710CF1"/>
    <w:rsid w:val="0072369E"/>
    <w:rsid w:val="0077652A"/>
    <w:rsid w:val="007A0E53"/>
    <w:rsid w:val="007A6FEA"/>
    <w:rsid w:val="007C2D06"/>
    <w:rsid w:val="007D20DA"/>
    <w:rsid w:val="007D4E26"/>
    <w:rsid w:val="007F1F00"/>
    <w:rsid w:val="007F20FF"/>
    <w:rsid w:val="008A2062"/>
    <w:rsid w:val="008B7129"/>
    <w:rsid w:val="008C2627"/>
    <w:rsid w:val="008D0DF7"/>
    <w:rsid w:val="008E44CB"/>
    <w:rsid w:val="009005E3"/>
    <w:rsid w:val="00943A32"/>
    <w:rsid w:val="009547F5"/>
    <w:rsid w:val="00983036"/>
    <w:rsid w:val="009B2B45"/>
    <w:rsid w:val="009E40DB"/>
    <w:rsid w:val="009E4E0D"/>
    <w:rsid w:val="00A0127D"/>
    <w:rsid w:val="00A0283C"/>
    <w:rsid w:val="00A20C98"/>
    <w:rsid w:val="00A24CF9"/>
    <w:rsid w:val="00A25B9A"/>
    <w:rsid w:val="00A32E87"/>
    <w:rsid w:val="00A4586F"/>
    <w:rsid w:val="00A46623"/>
    <w:rsid w:val="00A6527C"/>
    <w:rsid w:val="00A87F12"/>
    <w:rsid w:val="00A925C9"/>
    <w:rsid w:val="00AA3CC7"/>
    <w:rsid w:val="00AA47BF"/>
    <w:rsid w:val="00AA6249"/>
    <w:rsid w:val="00AB6E41"/>
    <w:rsid w:val="00AC7C81"/>
    <w:rsid w:val="00AD2604"/>
    <w:rsid w:val="00AD3E46"/>
    <w:rsid w:val="00AD7C20"/>
    <w:rsid w:val="00AF3D00"/>
    <w:rsid w:val="00B034C3"/>
    <w:rsid w:val="00B33946"/>
    <w:rsid w:val="00B63506"/>
    <w:rsid w:val="00B76F3D"/>
    <w:rsid w:val="00B86D15"/>
    <w:rsid w:val="00BA244C"/>
    <w:rsid w:val="00BA2E85"/>
    <w:rsid w:val="00BB55ED"/>
    <w:rsid w:val="00BD0463"/>
    <w:rsid w:val="00BD0BEA"/>
    <w:rsid w:val="00BD36DF"/>
    <w:rsid w:val="00BE3604"/>
    <w:rsid w:val="00BE73BE"/>
    <w:rsid w:val="00C07057"/>
    <w:rsid w:val="00C20549"/>
    <w:rsid w:val="00C30D0F"/>
    <w:rsid w:val="00C5501C"/>
    <w:rsid w:val="00C634C1"/>
    <w:rsid w:val="00C71BED"/>
    <w:rsid w:val="00C75E93"/>
    <w:rsid w:val="00CA67DB"/>
    <w:rsid w:val="00CA70A2"/>
    <w:rsid w:val="00CC12D4"/>
    <w:rsid w:val="00CD3537"/>
    <w:rsid w:val="00CE2A8A"/>
    <w:rsid w:val="00CE5249"/>
    <w:rsid w:val="00CF6387"/>
    <w:rsid w:val="00D12A76"/>
    <w:rsid w:val="00D20D88"/>
    <w:rsid w:val="00D63ABD"/>
    <w:rsid w:val="00D63DA7"/>
    <w:rsid w:val="00D67248"/>
    <w:rsid w:val="00D70F22"/>
    <w:rsid w:val="00D71742"/>
    <w:rsid w:val="00D8097B"/>
    <w:rsid w:val="00DA4EAA"/>
    <w:rsid w:val="00DA6E7D"/>
    <w:rsid w:val="00DB1844"/>
    <w:rsid w:val="00DE03AC"/>
    <w:rsid w:val="00DF5E69"/>
    <w:rsid w:val="00E04762"/>
    <w:rsid w:val="00E05E21"/>
    <w:rsid w:val="00E157FC"/>
    <w:rsid w:val="00E4133D"/>
    <w:rsid w:val="00E44413"/>
    <w:rsid w:val="00E61BC2"/>
    <w:rsid w:val="00E702BD"/>
    <w:rsid w:val="00E944F8"/>
    <w:rsid w:val="00EC5ECD"/>
    <w:rsid w:val="00ED307F"/>
    <w:rsid w:val="00ED57FF"/>
    <w:rsid w:val="00EE4477"/>
    <w:rsid w:val="00EF1574"/>
    <w:rsid w:val="00F51CB4"/>
    <w:rsid w:val="00F6783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BB7D"/>
  <w15:docId w15:val="{B33A3DEB-F7CE-4CFD-BBF1-C4F1E904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
    <w:basedOn w:val="Normal"/>
    <w:link w:val="FootnoteTextChar"/>
    <w:uiPriority w:val="99"/>
    <w:rsid w:val="009005E3"/>
    <w:pPr>
      <w:autoSpaceDE w:val="0"/>
      <w:autoSpaceDN w:val="0"/>
      <w:adjustRightInd w:val="0"/>
      <w:spacing w:after="200" w:line="276" w:lineRule="atLeast"/>
    </w:pPr>
    <w:rPr>
      <w:rFonts w:ascii="Times New Roman" w:hAnsi="Times New Roman" w:cs="Times New Roman"/>
      <w:color w:val="000000"/>
      <w:sz w:val="20"/>
      <w:szCs w:val="20"/>
      <w:lang w:val="sq-AL"/>
    </w:rPr>
  </w:style>
  <w:style w:type="character" w:customStyle="1" w:styleId="FootnoteTextChar">
    <w:name w:val="Footnote Text Char"/>
    <w:aliases w:val="Footnote Text Cha Char"/>
    <w:basedOn w:val="DefaultParagraphFont"/>
    <w:link w:val="FootnoteText"/>
    <w:uiPriority w:val="99"/>
    <w:rsid w:val="009005E3"/>
    <w:rPr>
      <w:rFonts w:ascii="Times New Roman" w:hAnsi="Times New Roman" w:cs="Times New Roman"/>
      <w:color w:val="000000"/>
      <w:sz w:val="20"/>
      <w:szCs w:val="20"/>
      <w:lang w:val="sq-AL"/>
    </w:rPr>
  </w:style>
  <w:style w:type="paragraph" w:customStyle="1" w:styleId="JuPara">
    <w:name w:val="Ju_Para"/>
    <w:aliases w:val="Left,First line:  0 cm"/>
    <w:basedOn w:val="Normal"/>
    <w:uiPriority w:val="99"/>
    <w:rsid w:val="009005E3"/>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BodyText">
    <w:name w:val="Body Text"/>
    <w:basedOn w:val="Normal"/>
    <w:link w:val="BodyTextChar"/>
    <w:uiPriority w:val="99"/>
    <w:rsid w:val="009005E3"/>
    <w:pPr>
      <w:autoSpaceDE w:val="0"/>
      <w:autoSpaceDN w:val="0"/>
      <w:adjustRightInd w:val="0"/>
      <w:spacing w:after="200" w:line="302" w:lineRule="atLeast"/>
      <w:jc w:val="both"/>
    </w:pPr>
    <w:rPr>
      <w:rFonts w:ascii="Times New Roman" w:hAnsi="Times New Roman" w:cs="Times New Roman"/>
      <w:color w:val="000000"/>
      <w:sz w:val="21"/>
      <w:szCs w:val="21"/>
      <w:lang w:val="sq-AL"/>
    </w:rPr>
  </w:style>
  <w:style w:type="character" w:customStyle="1" w:styleId="BodyTextChar">
    <w:name w:val="Body Text Char"/>
    <w:basedOn w:val="DefaultParagraphFont"/>
    <w:link w:val="BodyText"/>
    <w:uiPriority w:val="99"/>
    <w:rsid w:val="009005E3"/>
    <w:rPr>
      <w:rFonts w:ascii="Times New Roman" w:hAnsi="Times New Roman" w:cs="Times New Roman"/>
      <w:color w:val="000000"/>
      <w:sz w:val="21"/>
      <w:szCs w:val="21"/>
      <w:lang w:val="sq-AL"/>
    </w:rPr>
  </w:style>
  <w:style w:type="paragraph" w:styleId="ListParagraph">
    <w:name w:val="List Paragraph"/>
    <w:aliases w:val="List Paragraph2"/>
    <w:basedOn w:val="Normal"/>
    <w:uiPriority w:val="99"/>
    <w:qFormat/>
    <w:rsid w:val="009005E3"/>
    <w:pPr>
      <w:autoSpaceDE w:val="0"/>
      <w:autoSpaceDN w:val="0"/>
      <w:adjustRightInd w:val="0"/>
      <w:spacing w:after="200" w:line="276" w:lineRule="atLeast"/>
      <w:ind w:left="720"/>
    </w:pPr>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F61F6B9662E412A84D8B843B67D86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2023-03-27T11:27:28Z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2023-03-26T22:00:00Z</Date_x0020_protokolli>
    <Titulli xmlns="0e656187-b300-4fb0-8bf4-3a50f872073c">Me objekt shfuqizimin e vendimit nr. 00-2022-1183 (189), datë 13.5.2022, të Kolegjit Administrativ të Gjykatës së Lartë, si të  papajtueshëm me Kushtetutën e Republikës së Shqipërisë dhe dërgimin e çështjes për rigjykim në Gjykatën e Lartë </Titulli>
    <Modifikuesi xmlns="0e656187-b300-4fb0-8bf4-3a50f872073c">valjeta.kaftalli</Modifikuesi>
    <Nr_x002e__x0020_prot_x0020_QBZ xmlns="0e656187-b300-4fb0-8bf4-3a50f872073c">448/1</Nr_x002e__x0020_prot_x0020_QBZ>
    <Data_x0020_e_x0020_Modifikimit xmlns="0e656187-b300-4fb0-8bf4-3a50f872073c">2023-03-28T08:07:54Z</Data_x0020_e_x0020_Modifikimit>
    <Dekretuar xmlns="0e656187-b300-4fb0-8bf4-3a50f872073c">false</Dekretuar>
    <Data xmlns="0e656187-b300-4fb0-8bf4-3a50f872073c">2023-02-20T23:00:00Z</Data>
    <Nr_x002e__x0020_protokolli_x0020_i_x0020_aktit xmlns="0e656187-b300-4fb0-8bf4-3a50f872073c">680/10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F61F6B9662E412A84D8B843B67D86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D64E3-C81B-4B36-896A-192675D7E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DE5D8D4-80B8-480A-8FBC-6C98EC0E1667}">
  <ds:schemaRefs>
    <ds:schemaRef ds:uri="http://purl.org/dc/elements/1.1/"/>
    <ds:schemaRef ds:uri="http://purl.org/dc/dcmitype/"/>
    <ds:schemaRef ds:uri="0e656187-b300-4fb0-8bf4-3a50f872073c"/>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CCD281F-C4CA-4B59-9344-F75FFFD74AC2}">
  <ds:schemaRefs>
    <ds:schemaRef ds:uri="http://schemas.microsoft.com/sharepoint/v3/contenttype/forms"/>
  </ds:schemaRefs>
</ds:datastoreItem>
</file>

<file path=customXml/itemProps4.xml><?xml version="1.0" encoding="utf-8"?>
<ds:datastoreItem xmlns:ds="http://schemas.openxmlformats.org/officeDocument/2006/customXml" ds:itemID="{376D0E92-8CFC-4F26-B968-5FE90F86A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14A5E59-7DB4-4F73-B569-6A8A22C9956F}">
  <ds:schemaRefs>
    <ds:schemaRef ds:uri="http://schemas.microsoft.com/sharepoint/v3/contenttype/forms"/>
  </ds:schemaRefs>
</ds:datastoreItem>
</file>

<file path=customXml/itemProps6.xml><?xml version="1.0" encoding="utf-8"?>
<ds:datastoreItem xmlns:ds="http://schemas.openxmlformats.org/officeDocument/2006/customXml" ds:itemID="{86F2D720-6B02-4D60-81C1-3A71A787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3776</Words>
  <Characters>21525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Shfuqizimi i vendimit nr. 00-2022-1183 (189), datë 13.05.2022 të Kolegjit Administrativ të Gjykatës së Lartë, si i papajtueshëm me Kushtetutën e Republikës së Shqipërisë dhe dërgimi i çështjes për rigjykim në Gjykatën e Lartë</vt:lpstr>
    </vt:vector>
  </TitlesOfParts>
  <Company/>
  <LinksUpToDate>false</LinksUpToDate>
  <CharactersWithSpaces>25251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00-2022-1183 (189), datë 13.05.2022 të Kolegjit Administrativ të Gjykatës së Lartë, si i papajtueshëm me Kushtetutën e Republikës së Shqipërisë dhe dërgimi i çështjes për rigjykim në Gjykatën e Lartë</dc:title>
  <dc:creator>Entela Suli</dc:creator>
  <cp:lastModifiedBy>Alma Lisaku</cp:lastModifiedBy>
  <cp:revision>22</cp:revision>
  <dcterms:created xsi:type="dcterms:W3CDTF">2023-03-27T11:27:00Z</dcterms:created>
  <dcterms:modified xsi:type="dcterms:W3CDTF">2023-03-28T11:23:00Z</dcterms:modified>
</cp:coreProperties>
</file>