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6773D4" w14:textId="005E6B2E" w:rsidR="00D131FE" w:rsidRPr="00320F47" w:rsidRDefault="00D131FE" w:rsidP="00A77DE1">
      <w:pPr>
        <w:spacing w:after="0" w:line="240" w:lineRule="auto"/>
        <w:ind w:firstLine="284"/>
        <w:jc w:val="center"/>
        <w:rPr>
          <w:rFonts w:ascii="Garamond" w:hAnsi="Garamond"/>
          <w:b/>
          <w:bCs/>
          <w:sz w:val="24"/>
          <w:szCs w:val="24"/>
        </w:rPr>
      </w:pPr>
      <w:bookmarkStart w:id="0" w:name="_Hlk137134625"/>
      <w:bookmarkStart w:id="1" w:name="_Hlk138330438"/>
      <w:r w:rsidRPr="00320F47">
        <w:rPr>
          <w:rFonts w:ascii="Garamond" w:hAnsi="Garamond"/>
          <w:b/>
          <w:bCs/>
          <w:sz w:val="24"/>
          <w:szCs w:val="24"/>
        </w:rPr>
        <w:t>VENDIM</w:t>
      </w:r>
    </w:p>
    <w:p w14:paraId="4142662E" w14:textId="3CFA7CB5" w:rsidR="00D131FE" w:rsidRPr="00320F47" w:rsidRDefault="00D131FE" w:rsidP="00A77DE1">
      <w:pPr>
        <w:spacing w:after="0" w:line="240" w:lineRule="auto"/>
        <w:ind w:firstLine="284"/>
        <w:jc w:val="center"/>
        <w:rPr>
          <w:rFonts w:ascii="Garamond" w:hAnsi="Garamond"/>
          <w:b/>
          <w:bCs/>
          <w:sz w:val="24"/>
          <w:szCs w:val="24"/>
        </w:rPr>
      </w:pPr>
      <w:r w:rsidRPr="00320F47">
        <w:rPr>
          <w:rFonts w:ascii="Garamond" w:hAnsi="Garamond"/>
          <w:b/>
          <w:bCs/>
          <w:sz w:val="24"/>
          <w:szCs w:val="24"/>
        </w:rPr>
        <w:t>Nr. 29, datë 26.5.2023</w:t>
      </w:r>
    </w:p>
    <w:p w14:paraId="0D52CFCC" w14:textId="77777777" w:rsidR="00D131FE" w:rsidRPr="00320F47" w:rsidRDefault="00D131FE" w:rsidP="00A77DE1">
      <w:pPr>
        <w:spacing w:after="0" w:line="240" w:lineRule="auto"/>
        <w:ind w:firstLine="284"/>
        <w:jc w:val="center"/>
        <w:rPr>
          <w:rFonts w:ascii="Garamond" w:hAnsi="Garamond"/>
          <w:b/>
          <w:bCs/>
          <w:sz w:val="24"/>
          <w:szCs w:val="24"/>
        </w:rPr>
      </w:pPr>
    </w:p>
    <w:p w14:paraId="2AB37CFA" w14:textId="77777777" w:rsidR="00320F47" w:rsidRPr="00320F47" w:rsidRDefault="00D131FE" w:rsidP="00A77DE1">
      <w:pPr>
        <w:spacing w:after="0" w:line="240" w:lineRule="auto"/>
        <w:ind w:firstLine="284"/>
        <w:jc w:val="center"/>
        <w:rPr>
          <w:rFonts w:ascii="Garamond" w:hAnsi="Garamond"/>
          <w:b/>
          <w:sz w:val="24"/>
          <w:szCs w:val="24"/>
        </w:rPr>
      </w:pPr>
      <w:r w:rsidRPr="00320F47">
        <w:rPr>
          <w:rFonts w:ascii="Garamond" w:hAnsi="Garamond"/>
          <w:b/>
          <w:sz w:val="24"/>
          <w:szCs w:val="24"/>
        </w:rPr>
        <w:t>NË E</w:t>
      </w:r>
      <w:r w:rsidR="00320F47" w:rsidRPr="00320F47">
        <w:rPr>
          <w:rFonts w:ascii="Garamond" w:hAnsi="Garamond"/>
          <w:b/>
          <w:sz w:val="24"/>
          <w:szCs w:val="24"/>
        </w:rPr>
        <w:t>MËR TË REPUBLIKËS SË SHQIPËRISË</w:t>
      </w:r>
    </w:p>
    <w:p w14:paraId="34AAE84B" w14:textId="4B30D04A" w:rsidR="00D131FE" w:rsidRPr="00320F47" w:rsidRDefault="00320F47" w:rsidP="00A77DE1">
      <w:pPr>
        <w:spacing w:after="0" w:line="240" w:lineRule="auto"/>
        <w:ind w:firstLine="284"/>
        <w:jc w:val="center"/>
        <w:rPr>
          <w:rFonts w:ascii="Garamond" w:hAnsi="Garamond"/>
          <w:b/>
          <w:sz w:val="24"/>
          <w:szCs w:val="24"/>
        </w:rPr>
      </w:pPr>
      <w:r w:rsidRPr="00320F47">
        <w:rPr>
          <w:rFonts w:ascii="Garamond" w:hAnsi="Garamond"/>
          <w:b/>
          <w:sz w:val="24"/>
          <w:szCs w:val="24"/>
        </w:rPr>
        <w:t xml:space="preserve"> </w:t>
      </w:r>
    </w:p>
    <w:p w14:paraId="1B9E57E5" w14:textId="594D1C1D" w:rsidR="00D131FE" w:rsidRPr="00320F47" w:rsidRDefault="00D131FE" w:rsidP="00A77DE1">
      <w:pPr>
        <w:tabs>
          <w:tab w:val="left" w:pos="720"/>
        </w:tabs>
        <w:spacing w:after="0" w:line="240" w:lineRule="auto"/>
        <w:ind w:firstLine="284"/>
        <w:jc w:val="both"/>
        <w:rPr>
          <w:rFonts w:ascii="Garamond" w:hAnsi="Garamond"/>
          <w:sz w:val="24"/>
          <w:szCs w:val="24"/>
        </w:rPr>
      </w:pPr>
      <w:r w:rsidRPr="00320F47">
        <w:rPr>
          <w:rFonts w:ascii="Garamond" w:hAnsi="Garamond"/>
          <w:sz w:val="24"/>
          <w:szCs w:val="24"/>
        </w:rPr>
        <w:t>Gjykata Kushtetuese e Republikës së Shqipërisë, e përbërë nga:</w:t>
      </w:r>
    </w:p>
    <w:tbl>
      <w:tblPr>
        <w:tblStyle w:val="TableGrid"/>
        <w:tblW w:w="0" w:type="auto"/>
        <w:tblInd w:w="4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5"/>
        <w:gridCol w:w="1134"/>
      </w:tblGrid>
      <w:tr w:rsidR="00A77DE1" w:rsidRPr="00320F47" w14:paraId="1B45FBCE" w14:textId="77777777" w:rsidTr="00320F47">
        <w:tc>
          <w:tcPr>
            <w:tcW w:w="2235" w:type="dxa"/>
          </w:tcPr>
          <w:p w14:paraId="30F0787C" w14:textId="685F29DE" w:rsidR="00A77DE1" w:rsidRPr="00320F47" w:rsidRDefault="00A77DE1" w:rsidP="00A77DE1">
            <w:pPr>
              <w:jc w:val="both"/>
              <w:rPr>
                <w:rFonts w:ascii="Garamond" w:hAnsi="Garamond"/>
                <w:sz w:val="24"/>
                <w:szCs w:val="24"/>
              </w:rPr>
            </w:pPr>
            <w:proofErr w:type="spellStart"/>
            <w:r w:rsidRPr="00320F47">
              <w:rPr>
                <w:rFonts w:ascii="Garamond" w:hAnsi="Garamond"/>
                <w:sz w:val="24"/>
                <w:szCs w:val="24"/>
              </w:rPr>
              <w:t>Holta</w:t>
            </w:r>
            <w:proofErr w:type="spellEnd"/>
            <w:r w:rsidRPr="00320F47">
              <w:rPr>
                <w:rFonts w:ascii="Garamond" w:hAnsi="Garamond"/>
                <w:sz w:val="24"/>
                <w:szCs w:val="24"/>
              </w:rPr>
              <w:t xml:space="preserve"> </w:t>
            </w:r>
            <w:proofErr w:type="spellStart"/>
            <w:r w:rsidRPr="00320F47">
              <w:rPr>
                <w:rFonts w:ascii="Garamond" w:hAnsi="Garamond"/>
                <w:sz w:val="24"/>
                <w:szCs w:val="24"/>
              </w:rPr>
              <w:t>Zaçaj</w:t>
            </w:r>
            <w:proofErr w:type="spellEnd"/>
            <w:r w:rsidRPr="00320F47">
              <w:rPr>
                <w:rFonts w:ascii="Garamond" w:hAnsi="Garamond"/>
                <w:sz w:val="24"/>
                <w:szCs w:val="24"/>
              </w:rPr>
              <w:t xml:space="preserve">, </w:t>
            </w:r>
          </w:p>
        </w:tc>
        <w:tc>
          <w:tcPr>
            <w:tcW w:w="1134" w:type="dxa"/>
          </w:tcPr>
          <w:p w14:paraId="144AF92D" w14:textId="34DA91AF" w:rsidR="00A77DE1" w:rsidRPr="00320F47" w:rsidRDefault="00320F47" w:rsidP="00A77DE1">
            <w:pPr>
              <w:jc w:val="both"/>
              <w:rPr>
                <w:rFonts w:ascii="Garamond" w:hAnsi="Garamond"/>
                <w:sz w:val="24"/>
                <w:szCs w:val="24"/>
              </w:rPr>
            </w:pPr>
            <w:r w:rsidRPr="00320F47">
              <w:rPr>
                <w:rFonts w:ascii="Garamond" w:hAnsi="Garamond"/>
                <w:sz w:val="24"/>
                <w:szCs w:val="24"/>
              </w:rPr>
              <w:t>kryetare</w:t>
            </w:r>
            <w:r>
              <w:rPr>
                <w:rFonts w:ascii="Garamond" w:hAnsi="Garamond"/>
                <w:sz w:val="24"/>
                <w:szCs w:val="24"/>
              </w:rPr>
              <w:t>;</w:t>
            </w:r>
          </w:p>
        </w:tc>
      </w:tr>
      <w:tr w:rsidR="00A77DE1" w:rsidRPr="00320F47" w14:paraId="3A404E7F" w14:textId="77777777" w:rsidTr="00320F47">
        <w:tc>
          <w:tcPr>
            <w:tcW w:w="2235" w:type="dxa"/>
          </w:tcPr>
          <w:p w14:paraId="66D9DA1C" w14:textId="74D88B32" w:rsidR="00A77DE1" w:rsidRPr="00320F47" w:rsidRDefault="00A77DE1" w:rsidP="00A77DE1">
            <w:pPr>
              <w:jc w:val="both"/>
              <w:rPr>
                <w:rFonts w:ascii="Garamond" w:hAnsi="Garamond"/>
                <w:sz w:val="24"/>
                <w:szCs w:val="24"/>
              </w:rPr>
            </w:pPr>
            <w:proofErr w:type="spellStart"/>
            <w:r w:rsidRPr="00320F47">
              <w:rPr>
                <w:rFonts w:ascii="Garamond" w:hAnsi="Garamond"/>
                <w:sz w:val="24"/>
                <w:szCs w:val="24"/>
              </w:rPr>
              <w:t>Marsida</w:t>
            </w:r>
            <w:proofErr w:type="spellEnd"/>
            <w:r w:rsidRPr="00320F47">
              <w:rPr>
                <w:rFonts w:ascii="Garamond" w:hAnsi="Garamond"/>
                <w:sz w:val="24"/>
                <w:szCs w:val="24"/>
              </w:rPr>
              <w:t xml:space="preserve"> </w:t>
            </w:r>
            <w:proofErr w:type="spellStart"/>
            <w:r w:rsidRPr="00320F47">
              <w:rPr>
                <w:rFonts w:ascii="Garamond" w:hAnsi="Garamond"/>
                <w:sz w:val="24"/>
                <w:szCs w:val="24"/>
              </w:rPr>
              <w:t>Xhaferllari</w:t>
            </w:r>
            <w:proofErr w:type="spellEnd"/>
            <w:r w:rsidRPr="00320F47">
              <w:rPr>
                <w:rFonts w:ascii="Garamond" w:hAnsi="Garamond"/>
                <w:sz w:val="24"/>
                <w:szCs w:val="24"/>
              </w:rPr>
              <w:t>,</w:t>
            </w:r>
          </w:p>
        </w:tc>
        <w:tc>
          <w:tcPr>
            <w:tcW w:w="1134" w:type="dxa"/>
          </w:tcPr>
          <w:p w14:paraId="4E9160ED" w14:textId="1C6E5423" w:rsidR="00A77DE1" w:rsidRPr="00320F47" w:rsidRDefault="00320F47" w:rsidP="00A77DE1">
            <w:pPr>
              <w:jc w:val="both"/>
              <w:rPr>
                <w:rFonts w:ascii="Garamond" w:hAnsi="Garamond"/>
                <w:sz w:val="24"/>
                <w:szCs w:val="24"/>
              </w:rPr>
            </w:pPr>
            <w:r>
              <w:rPr>
                <w:rFonts w:ascii="Garamond" w:hAnsi="Garamond"/>
                <w:sz w:val="24"/>
                <w:szCs w:val="24"/>
              </w:rPr>
              <w:t>anëtare;</w:t>
            </w:r>
            <w:r w:rsidRPr="00320F47">
              <w:rPr>
                <w:rFonts w:ascii="Garamond" w:hAnsi="Garamond"/>
                <w:sz w:val="24"/>
                <w:szCs w:val="24"/>
              </w:rPr>
              <w:t xml:space="preserve"> </w:t>
            </w:r>
          </w:p>
        </w:tc>
      </w:tr>
      <w:tr w:rsidR="00A77DE1" w:rsidRPr="00320F47" w14:paraId="4F832E19" w14:textId="77777777" w:rsidTr="00320F47">
        <w:tc>
          <w:tcPr>
            <w:tcW w:w="2235" w:type="dxa"/>
          </w:tcPr>
          <w:p w14:paraId="50103547" w14:textId="3260E58A" w:rsidR="00A77DE1" w:rsidRPr="00320F47" w:rsidRDefault="00A77DE1" w:rsidP="00A77DE1">
            <w:pPr>
              <w:jc w:val="both"/>
              <w:rPr>
                <w:rFonts w:ascii="Garamond" w:hAnsi="Garamond"/>
                <w:sz w:val="24"/>
                <w:szCs w:val="24"/>
              </w:rPr>
            </w:pPr>
            <w:proofErr w:type="spellStart"/>
            <w:r w:rsidRPr="00320F47">
              <w:rPr>
                <w:rFonts w:ascii="Garamond" w:hAnsi="Garamond"/>
                <w:sz w:val="24"/>
                <w:szCs w:val="24"/>
              </w:rPr>
              <w:t>Fiona</w:t>
            </w:r>
            <w:proofErr w:type="spellEnd"/>
            <w:r w:rsidRPr="00320F47">
              <w:rPr>
                <w:rFonts w:ascii="Garamond" w:hAnsi="Garamond"/>
                <w:sz w:val="24"/>
                <w:szCs w:val="24"/>
              </w:rPr>
              <w:t xml:space="preserve"> </w:t>
            </w:r>
            <w:proofErr w:type="spellStart"/>
            <w:r w:rsidRPr="00320F47">
              <w:rPr>
                <w:rFonts w:ascii="Garamond" w:hAnsi="Garamond"/>
                <w:sz w:val="24"/>
                <w:szCs w:val="24"/>
              </w:rPr>
              <w:t>Papajorgji</w:t>
            </w:r>
            <w:proofErr w:type="spellEnd"/>
            <w:r w:rsidRPr="00320F47">
              <w:rPr>
                <w:rFonts w:ascii="Garamond" w:hAnsi="Garamond"/>
                <w:sz w:val="24"/>
                <w:szCs w:val="24"/>
              </w:rPr>
              <w:t>,</w:t>
            </w:r>
          </w:p>
        </w:tc>
        <w:tc>
          <w:tcPr>
            <w:tcW w:w="1134" w:type="dxa"/>
          </w:tcPr>
          <w:p w14:paraId="18D8C827" w14:textId="109E7561" w:rsidR="00A77DE1" w:rsidRPr="00320F47" w:rsidRDefault="00320F47" w:rsidP="00A77DE1">
            <w:pPr>
              <w:jc w:val="both"/>
              <w:rPr>
                <w:rFonts w:ascii="Garamond" w:hAnsi="Garamond"/>
                <w:sz w:val="24"/>
                <w:szCs w:val="24"/>
              </w:rPr>
            </w:pPr>
            <w:r>
              <w:rPr>
                <w:rFonts w:ascii="Garamond" w:hAnsi="Garamond"/>
                <w:sz w:val="24"/>
                <w:szCs w:val="24"/>
              </w:rPr>
              <w:t>anëtare;</w:t>
            </w:r>
          </w:p>
        </w:tc>
      </w:tr>
      <w:tr w:rsidR="00A77DE1" w:rsidRPr="00320F47" w14:paraId="3D05F6E5" w14:textId="77777777" w:rsidTr="00320F47">
        <w:tc>
          <w:tcPr>
            <w:tcW w:w="2235" w:type="dxa"/>
          </w:tcPr>
          <w:p w14:paraId="768C5C2E" w14:textId="62B73851" w:rsidR="00A77DE1" w:rsidRPr="00320F47" w:rsidRDefault="00A77DE1" w:rsidP="00A77DE1">
            <w:pPr>
              <w:jc w:val="both"/>
              <w:rPr>
                <w:rFonts w:ascii="Garamond" w:hAnsi="Garamond"/>
                <w:sz w:val="24"/>
                <w:szCs w:val="24"/>
              </w:rPr>
            </w:pPr>
            <w:proofErr w:type="spellStart"/>
            <w:r w:rsidRPr="00320F47">
              <w:rPr>
                <w:rFonts w:ascii="Garamond" w:hAnsi="Garamond"/>
                <w:sz w:val="24"/>
                <w:szCs w:val="24"/>
              </w:rPr>
              <w:t>Elsa</w:t>
            </w:r>
            <w:proofErr w:type="spellEnd"/>
            <w:r w:rsidRPr="00320F47">
              <w:rPr>
                <w:rFonts w:ascii="Garamond" w:hAnsi="Garamond"/>
                <w:sz w:val="24"/>
                <w:szCs w:val="24"/>
              </w:rPr>
              <w:t xml:space="preserve"> Toska,</w:t>
            </w:r>
          </w:p>
        </w:tc>
        <w:tc>
          <w:tcPr>
            <w:tcW w:w="1134" w:type="dxa"/>
          </w:tcPr>
          <w:p w14:paraId="01B94E85" w14:textId="2E3A66A1" w:rsidR="00A77DE1" w:rsidRPr="00320F47" w:rsidRDefault="00320F47" w:rsidP="00A77DE1">
            <w:pPr>
              <w:jc w:val="both"/>
              <w:rPr>
                <w:rFonts w:ascii="Garamond" w:hAnsi="Garamond"/>
                <w:sz w:val="24"/>
                <w:szCs w:val="24"/>
              </w:rPr>
            </w:pPr>
            <w:r>
              <w:rPr>
                <w:rFonts w:ascii="Garamond" w:hAnsi="Garamond"/>
                <w:sz w:val="24"/>
                <w:szCs w:val="24"/>
              </w:rPr>
              <w:t>anëtare;</w:t>
            </w:r>
          </w:p>
        </w:tc>
      </w:tr>
      <w:tr w:rsidR="00A77DE1" w:rsidRPr="00320F47" w14:paraId="4D11606E" w14:textId="77777777" w:rsidTr="00320F47">
        <w:tc>
          <w:tcPr>
            <w:tcW w:w="2235" w:type="dxa"/>
          </w:tcPr>
          <w:p w14:paraId="28DD79F9" w14:textId="29F867D9" w:rsidR="00A77DE1" w:rsidRPr="00320F47" w:rsidRDefault="00A77DE1" w:rsidP="00A77DE1">
            <w:pPr>
              <w:jc w:val="both"/>
              <w:rPr>
                <w:rFonts w:ascii="Garamond" w:hAnsi="Garamond"/>
                <w:sz w:val="24"/>
                <w:szCs w:val="24"/>
              </w:rPr>
            </w:pPr>
            <w:proofErr w:type="spellStart"/>
            <w:r w:rsidRPr="00320F47">
              <w:rPr>
                <w:rFonts w:ascii="Garamond" w:hAnsi="Garamond"/>
                <w:sz w:val="24"/>
                <w:szCs w:val="24"/>
              </w:rPr>
              <w:t>Sonila</w:t>
            </w:r>
            <w:proofErr w:type="spellEnd"/>
            <w:r w:rsidRPr="00320F47">
              <w:rPr>
                <w:rFonts w:ascii="Garamond" w:hAnsi="Garamond"/>
                <w:sz w:val="24"/>
                <w:szCs w:val="24"/>
              </w:rPr>
              <w:t xml:space="preserve"> Bejtja, </w:t>
            </w:r>
          </w:p>
        </w:tc>
        <w:tc>
          <w:tcPr>
            <w:tcW w:w="1134" w:type="dxa"/>
          </w:tcPr>
          <w:p w14:paraId="539D1A93" w14:textId="47A442CF" w:rsidR="00A77DE1" w:rsidRPr="00320F47" w:rsidRDefault="00320F47" w:rsidP="00A77DE1">
            <w:pPr>
              <w:jc w:val="both"/>
              <w:rPr>
                <w:rFonts w:ascii="Garamond" w:hAnsi="Garamond"/>
                <w:sz w:val="24"/>
                <w:szCs w:val="24"/>
              </w:rPr>
            </w:pPr>
            <w:r>
              <w:rPr>
                <w:rFonts w:ascii="Garamond" w:hAnsi="Garamond"/>
                <w:sz w:val="24"/>
                <w:szCs w:val="24"/>
              </w:rPr>
              <w:t>anëtare;</w:t>
            </w:r>
          </w:p>
        </w:tc>
      </w:tr>
      <w:tr w:rsidR="00A77DE1" w:rsidRPr="00320F47" w14:paraId="291D6F80" w14:textId="77777777" w:rsidTr="00320F47">
        <w:tc>
          <w:tcPr>
            <w:tcW w:w="2235" w:type="dxa"/>
          </w:tcPr>
          <w:p w14:paraId="2EAD2C6F" w14:textId="66B54826" w:rsidR="00A77DE1" w:rsidRPr="00320F47" w:rsidRDefault="00A77DE1" w:rsidP="00A77DE1">
            <w:pPr>
              <w:jc w:val="both"/>
              <w:rPr>
                <w:rFonts w:ascii="Garamond" w:hAnsi="Garamond"/>
                <w:sz w:val="24"/>
                <w:szCs w:val="24"/>
              </w:rPr>
            </w:pPr>
            <w:r w:rsidRPr="00320F47">
              <w:rPr>
                <w:rFonts w:ascii="Garamond" w:hAnsi="Garamond"/>
                <w:sz w:val="24"/>
                <w:szCs w:val="24"/>
              </w:rPr>
              <w:t>Ilir Toska,</w:t>
            </w:r>
          </w:p>
        </w:tc>
        <w:tc>
          <w:tcPr>
            <w:tcW w:w="1134" w:type="dxa"/>
          </w:tcPr>
          <w:p w14:paraId="448E7B4F" w14:textId="03A3D61F" w:rsidR="00A77DE1" w:rsidRPr="00320F47" w:rsidRDefault="00320F47" w:rsidP="00A77DE1">
            <w:pPr>
              <w:jc w:val="both"/>
              <w:rPr>
                <w:rFonts w:ascii="Garamond" w:hAnsi="Garamond"/>
                <w:sz w:val="24"/>
                <w:szCs w:val="24"/>
              </w:rPr>
            </w:pPr>
            <w:r w:rsidRPr="00320F47">
              <w:rPr>
                <w:rFonts w:ascii="Garamond" w:hAnsi="Garamond"/>
                <w:sz w:val="24"/>
                <w:szCs w:val="24"/>
              </w:rPr>
              <w:t>anëtar</w:t>
            </w:r>
            <w:r>
              <w:rPr>
                <w:rFonts w:ascii="Garamond" w:hAnsi="Garamond"/>
                <w:sz w:val="24"/>
                <w:szCs w:val="24"/>
              </w:rPr>
              <w:t>;</w:t>
            </w:r>
          </w:p>
        </w:tc>
      </w:tr>
      <w:tr w:rsidR="00A77DE1" w:rsidRPr="00320F47" w14:paraId="0BA0A47D" w14:textId="77777777" w:rsidTr="00320F47">
        <w:tc>
          <w:tcPr>
            <w:tcW w:w="2235" w:type="dxa"/>
          </w:tcPr>
          <w:p w14:paraId="694B4742" w14:textId="539DB837" w:rsidR="00A77DE1" w:rsidRPr="00320F47" w:rsidRDefault="00A77DE1" w:rsidP="00A77DE1">
            <w:pPr>
              <w:jc w:val="both"/>
              <w:rPr>
                <w:rFonts w:ascii="Garamond" w:hAnsi="Garamond"/>
                <w:sz w:val="24"/>
                <w:szCs w:val="24"/>
              </w:rPr>
            </w:pPr>
            <w:r w:rsidRPr="00320F47">
              <w:rPr>
                <w:rFonts w:ascii="Garamond" w:hAnsi="Garamond"/>
                <w:sz w:val="24"/>
                <w:szCs w:val="24"/>
              </w:rPr>
              <w:t>Genti Ibrahimi,</w:t>
            </w:r>
          </w:p>
        </w:tc>
        <w:tc>
          <w:tcPr>
            <w:tcW w:w="1134" w:type="dxa"/>
          </w:tcPr>
          <w:p w14:paraId="07F98CF1" w14:textId="3F5A0B59" w:rsidR="00A77DE1" w:rsidRPr="00320F47" w:rsidRDefault="00320F47" w:rsidP="00A77DE1">
            <w:pPr>
              <w:jc w:val="both"/>
              <w:rPr>
                <w:rFonts w:ascii="Garamond" w:hAnsi="Garamond"/>
                <w:sz w:val="24"/>
                <w:szCs w:val="24"/>
              </w:rPr>
            </w:pPr>
            <w:r w:rsidRPr="00320F47">
              <w:rPr>
                <w:rFonts w:ascii="Garamond" w:hAnsi="Garamond"/>
                <w:sz w:val="24"/>
                <w:szCs w:val="24"/>
              </w:rPr>
              <w:t>anëtar</w:t>
            </w:r>
            <w:r>
              <w:rPr>
                <w:rFonts w:ascii="Garamond" w:hAnsi="Garamond"/>
                <w:sz w:val="24"/>
                <w:szCs w:val="24"/>
              </w:rPr>
              <w:t>;</w:t>
            </w:r>
          </w:p>
        </w:tc>
      </w:tr>
      <w:tr w:rsidR="00A77DE1" w:rsidRPr="00320F47" w14:paraId="10475DA0" w14:textId="77777777" w:rsidTr="00320F47">
        <w:tc>
          <w:tcPr>
            <w:tcW w:w="2235" w:type="dxa"/>
          </w:tcPr>
          <w:p w14:paraId="2CD305F6" w14:textId="64B0EAB9" w:rsidR="00A77DE1" w:rsidRPr="00320F47" w:rsidRDefault="00A77DE1" w:rsidP="00A77DE1">
            <w:pPr>
              <w:jc w:val="both"/>
              <w:rPr>
                <w:rFonts w:ascii="Garamond" w:hAnsi="Garamond"/>
                <w:sz w:val="24"/>
                <w:szCs w:val="24"/>
              </w:rPr>
            </w:pPr>
            <w:proofErr w:type="spellStart"/>
            <w:r w:rsidRPr="00320F47">
              <w:rPr>
                <w:rFonts w:ascii="Garamond" w:hAnsi="Garamond"/>
                <w:sz w:val="24"/>
                <w:szCs w:val="24"/>
              </w:rPr>
              <w:t>Marjana</w:t>
            </w:r>
            <w:proofErr w:type="spellEnd"/>
            <w:r w:rsidRPr="00320F47">
              <w:rPr>
                <w:rFonts w:ascii="Garamond" w:hAnsi="Garamond"/>
                <w:sz w:val="24"/>
                <w:szCs w:val="24"/>
              </w:rPr>
              <w:t xml:space="preserve"> </w:t>
            </w:r>
            <w:proofErr w:type="spellStart"/>
            <w:r w:rsidRPr="00320F47">
              <w:rPr>
                <w:rFonts w:ascii="Garamond" w:hAnsi="Garamond"/>
                <w:sz w:val="24"/>
                <w:szCs w:val="24"/>
              </w:rPr>
              <w:t>Semini</w:t>
            </w:r>
            <w:proofErr w:type="spellEnd"/>
            <w:r w:rsidRPr="00320F47">
              <w:rPr>
                <w:rFonts w:ascii="Garamond" w:hAnsi="Garamond"/>
                <w:sz w:val="24"/>
                <w:szCs w:val="24"/>
              </w:rPr>
              <w:t>,</w:t>
            </w:r>
          </w:p>
        </w:tc>
        <w:tc>
          <w:tcPr>
            <w:tcW w:w="1134" w:type="dxa"/>
          </w:tcPr>
          <w:p w14:paraId="36986AD6" w14:textId="7C7235FC" w:rsidR="00A77DE1" w:rsidRPr="00320F47" w:rsidRDefault="00320F47" w:rsidP="00A77DE1">
            <w:pPr>
              <w:jc w:val="both"/>
              <w:rPr>
                <w:rFonts w:ascii="Garamond" w:hAnsi="Garamond"/>
                <w:sz w:val="24"/>
                <w:szCs w:val="24"/>
              </w:rPr>
            </w:pPr>
            <w:r w:rsidRPr="00320F47">
              <w:rPr>
                <w:rFonts w:ascii="Garamond" w:hAnsi="Garamond"/>
                <w:sz w:val="24"/>
                <w:szCs w:val="24"/>
              </w:rPr>
              <w:t>anëtare</w:t>
            </w:r>
            <w:r>
              <w:rPr>
                <w:rFonts w:ascii="Garamond" w:hAnsi="Garamond"/>
                <w:sz w:val="24"/>
                <w:szCs w:val="24"/>
              </w:rPr>
              <w:t>;</w:t>
            </w:r>
          </w:p>
        </w:tc>
      </w:tr>
      <w:tr w:rsidR="00A77DE1" w:rsidRPr="00320F47" w14:paraId="58BC9607" w14:textId="77777777" w:rsidTr="00320F47">
        <w:tc>
          <w:tcPr>
            <w:tcW w:w="2235" w:type="dxa"/>
          </w:tcPr>
          <w:p w14:paraId="4FAAA1AC" w14:textId="7229A5C1" w:rsidR="00A77DE1" w:rsidRPr="00320F47" w:rsidRDefault="00A77DE1" w:rsidP="00A77DE1">
            <w:pPr>
              <w:jc w:val="both"/>
              <w:rPr>
                <w:rFonts w:ascii="Garamond" w:hAnsi="Garamond"/>
                <w:sz w:val="24"/>
                <w:szCs w:val="24"/>
              </w:rPr>
            </w:pPr>
            <w:proofErr w:type="spellStart"/>
            <w:r w:rsidRPr="00320F47">
              <w:rPr>
                <w:rFonts w:ascii="Garamond" w:hAnsi="Garamond"/>
                <w:sz w:val="24"/>
                <w:szCs w:val="24"/>
              </w:rPr>
              <w:t>Sandër</w:t>
            </w:r>
            <w:proofErr w:type="spellEnd"/>
            <w:r w:rsidRPr="00320F47">
              <w:rPr>
                <w:rFonts w:ascii="Garamond" w:hAnsi="Garamond"/>
                <w:sz w:val="24"/>
                <w:szCs w:val="24"/>
              </w:rPr>
              <w:t xml:space="preserve"> Beci,</w:t>
            </w:r>
          </w:p>
        </w:tc>
        <w:tc>
          <w:tcPr>
            <w:tcW w:w="1134" w:type="dxa"/>
          </w:tcPr>
          <w:p w14:paraId="60091D79" w14:textId="448E10E3" w:rsidR="00A77DE1" w:rsidRPr="00320F47" w:rsidRDefault="00320F47" w:rsidP="00A77DE1">
            <w:pPr>
              <w:jc w:val="both"/>
              <w:rPr>
                <w:rFonts w:ascii="Garamond" w:hAnsi="Garamond"/>
                <w:sz w:val="24"/>
                <w:szCs w:val="24"/>
              </w:rPr>
            </w:pPr>
            <w:r w:rsidRPr="00320F47">
              <w:rPr>
                <w:rFonts w:ascii="Garamond" w:hAnsi="Garamond"/>
                <w:sz w:val="24"/>
                <w:szCs w:val="24"/>
              </w:rPr>
              <w:t>anëtar</w:t>
            </w:r>
            <w:r>
              <w:rPr>
                <w:rFonts w:ascii="Garamond" w:hAnsi="Garamond"/>
                <w:sz w:val="24"/>
                <w:szCs w:val="24"/>
              </w:rPr>
              <w:t>,</w:t>
            </w:r>
          </w:p>
        </w:tc>
      </w:tr>
    </w:tbl>
    <w:p w14:paraId="66B16C10" w14:textId="0F7A7E18" w:rsidR="00D131FE" w:rsidRPr="00320F47" w:rsidRDefault="00D131FE" w:rsidP="00A77DE1">
      <w:pPr>
        <w:spacing w:after="0" w:line="240" w:lineRule="auto"/>
        <w:ind w:firstLine="284"/>
        <w:jc w:val="both"/>
        <w:rPr>
          <w:rFonts w:ascii="Garamond" w:hAnsi="Garamond"/>
          <w:sz w:val="24"/>
          <w:szCs w:val="24"/>
        </w:rPr>
      </w:pPr>
      <w:r w:rsidRPr="00320F47">
        <w:rPr>
          <w:rFonts w:ascii="Garamond" w:hAnsi="Garamond"/>
          <w:sz w:val="24"/>
          <w:szCs w:val="24"/>
        </w:rPr>
        <w:t>me sekre</w:t>
      </w:r>
      <w:r w:rsidR="00320F47">
        <w:rPr>
          <w:rFonts w:ascii="Garamond" w:hAnsi="Garamond"/>
          <w:sz w:val="24"/>
          <w:szCs w:val="24"/>
        </w:rPr>
        <w:t xml:space="preserve">tare </w:t>
      </w:r>
      <w:proofErr w:type="spellStart"/>
      <w:r w:rsidR="00320F47">
        <w:rPr>
          <w:rFonts w:ascii="Garamond" w:hAnsi="Garamond"/>
          <w:sz w:val="24"/>
          <w:szCs w:val="24"/>
        </w:rPr>
        <w:t>Belma</w:t>
      </w:r>
      <w:proofErr w:type="spellEnd"/>
      <w:r w:rsidR="00320F47">
        <w:rPr>
          <w:rFonts w:ascii="Garamond" w:hAnsi="Garamond"/>
          <w:sz w:val="24"/>
          <w:szCs w:val="24"/>
        </w:rPr>
        <w:t xml:space="preserve"> Lleshi, në datën 26.</w:t>
      </w:r>
      <w:r w:rsidRPr="00320F47">
        <w:rPr>
          <w:rFonts w:ascii="Garamond" w:hAnsi="Garamond"/>
          <w:sz w:val="24"/>
          <w:szCs w:val="24"/>
        </w:rPr>
        <w:t>5.2023</w:t>
      </w:r>
      <w:r w:rsidR="00320F47">
        <w:rPr>
          <w:rFonts w:ascii="Garamond" w:hAnsi="Garamond"/>
          <w:sz w:val="24"/>
          <w:szCs w:val="24"/>
        </w:rPr>
        <w:t>,</w:t>
      </w:r>
      <w:r w:rsidRPr="00320F47">
        <w:rPr>
          <w:rFonts w:ascii="Garamond" w:hAnsi="Garamond"/>
          <w:sz w:val="24"/>
          <w:szCs w:val="24"/>
        </w:rPr>
        <w:t xml:space="preserve"> mori në shqyrtim në seancë plenare mbi bazë të dokumenteve çështjen nr. 3 (T) 2022 të Regjistrit Themeltar, që u përket:</w:t>
      </w:r>
    </w:p>
    <w:p w14:paraId="6A8C87C8" w14:textId="7F50AAC0" w:rsidR="00D131FE" w:rsidRPr="00320F47" w:rsidRDefault="00D131FE" w:rsidP="00A77DE1">
      <w:pPr>
        <w:tabs>
          <w:tab w:val="left" w:pos="2880"/>
        </w:tabs>
        <w:spacing w:after="0" w:line="240" w:lineRule="auto"/>
        <w:ind w:firstLine="284"/>
        <w:jc w:val="both"/>
        <w:rPr>
          <w:rFonts w:ascii="Garamond" w:hAnsi="Garamond"/>
          <w:sz w:val="24"/>
          <w:szCs w:val="24"/>
        </w:rPr>
      </w:pPr>
      <w:r w:rsidRPr="00320F47">
        <w:rPr>
          <w:rFonts w:ascii="Garamond" w:hAnsi="Garamond"/>
          <w:sz w:val="24"/>
          <w:szCs w:val="24"/>
        </w:rPr>
        <w:t>KËRKUES:</w:t>
      </w:r>
      <w:r w:rsidR="00A77DE1" w:rsidRPr="00320F47">
        <w:rPr>
          <w:rFonts w:ascii="Garamond" w:hAnsi="Garamond"/>
          <w:sz w:val="24"/>
          <w:szCs w:val="24"/>
        </w:rPr>
        <w:t xml:space="preserve"> Trojan </w:t>
      </w:r>
      <w:proofErr w:type="spellStart"/>
      <w:r w:rsidR="00A77DE1" w:rsidRPr="00320F47">
        <w:rPr>
          <w:rFonts w:ascii="Garamond" w:hAnsi="Garamond"/>
          <w:sz w:val="24"/>
          <w:szCs w:val="24"/>
        </w:rPr>
        <w:t>Pavllovski</w:t>
      </w:r>
      <w:proofErr w:type="spellEnd"/>
    </w:p>
    <w:p w14:paraId="1F7285AB" w14:textId="6944096D" w:rsidR="00D131FE" w:rsidRPr="00320F47" w:rsidRDefault="00A77DE1" w:rsidP="00A77DE1">
      <w:pPr>
        <w:spacing w:after="0" w:line="240" w:lineRule="auto"/>
        <w:ind w:firstLine="284"/>
        <w:jc w:val="both"/>
        <w:rPr>
          <w:rFonts w:ascii="Garamond" w:hAnsi="Garamond"/>
          <w:sz w:val="24"/>
          <w:szCs w:val="24"/>
        </w:rPr>
      </w:pPr>
      <w:r w:rsidRPr="00320F47">
        <w:rPr>
          <w:rFonts w:ascii="Garamond" w:hAnsi="Garamond"/>
          <w:sz w:val="24"/>
          <w:szCs w:val="24"/>
        </w:rPr>
        <w:t>SUBJEKTE TË INTERESUARA: Ministria e Bujqësisë dhe Zhvillimit Rural,</w:t>
      </w:r>
      <w:r w:rsidR="00320F47">
        <w:rPr>
          <w:rFonts w:ascii="Garamond" w:hAnsi="Garamond"/>
          <w:sz w:val="24"/>
          <w:szCs w:val="24"/>
        </w:rPr>
        <w:t xml:space="preserve"> </w:t>
      </w:r>
      <w:r w:rsidRPr="00320F47">
        <w:rPr>
          <w:rFonts w:ascii="Garamond" w:hAnsi="Garamond"/>
          <w:sz w:val="24"/>
          <w:szCs w:val="24"/>
        </w:rPr>
        <w:t>Departamenti i Administratës Publike</w:t>
      </w:r>
    </w:p>
    <w:p w14:paraId="2057F4F0" w14:textId="4573E5C1" w:rsidR="00D131FE" w:rsidRPr="00320F47" w:rsidRDefault="00D131FE" w:rsidP="00A77DE1">
      <w:pPr>
        <w:spacing w:after="0" w:line="240" w:lineRule="auto"/>
        <w:ind w:firstLine="284"/>
        <w:jc w:val="both"/>
        <w:rPr>
          <w:rFonts w:ascii="Garamond" w:hAnsi="Garamond"/>
          <w:sz w:val="24"/>
          <w:szCs w:val="24"/>
        </w:rPr>
      </w:pPr>
      <w:r w:rsidRPr="00320F47">
        <w:rPr>
          <w:rFonts w:ascii="Garamond" w:hAnsi="Garamond"/>
          <w:sz w:val="24"/>
          <w:szCs w:val="24"/>
        </w:rPr>
        <w:t>OBJEKTI:</w:t>
      </w:r>
      <w:r w:rsidR="00624736">
        <w:rPr>
          <w:rFonts w:ascii="Garamond" w:hAnsi="Garamond"/>
          <w:sz w:val="24"/>
          <w:szCs w:val="24"/>
        </w:rPr>
        <w:t xml:space="preserve"> </w:t>
      </w:r>
      <w:r w:rsidRPr="00320F47">
        <w:rPr>
          <w:rFonts w:ascii="Garamond" w:hAnsi="Garamond"/>
          <w:sz w:val="24"/>
          <w:szCs w:val="24"/>
        </w:rPr>
        <w:t>Shfuqizimi i vendimit n</w:t>
      </w:r>
      <w:r w:rsidR="00320F47">
        <w:rPr>
          <w:rFonts w:ascii="Garamond" w:hAnsi="Garamond"/>
          <w:sz w:val="24"/>
          <w:szCs w:val="24"/>
        </w:rPr>
        <w:t>r. 00-2022-1029 (210), datë 26.</w:t>
      </w:r>
      <w:r w:rsidRPr="00320F47">
        <w:rPr>
          <w:rFonts w:ascii="Garamond" w:hAnsi="Garamond"/>
          <w:sz w:val="24"/>
          <w:szCs w:val="24"/>
        </w:rPr>
        <w:t>5.2022</w:t>
      </w:r>
      <w:r w:rsidR="00320F47">
        <w:rPr>
          <w:rFonts w:ascii="Garamond" w:hAnsi="Garamond"/>
          <w:sz w:val="24"/>
          <w:szCs w:val="24"/>
        </w:rPr>
        <w:t>,</w:t>
      </w:r>
      <w:r w:rsidRPr="00320F47">
        <w:rPr>
          <w:rFonts w:ascii="Garamond" w:hAnsi="Garamond"/>
          <w:sz w:val="24"/>
          <w:szCs w:val="24"/>
        </w:rPr>
        <w:t xml:space="preserve"> të Kolegjit Administrativ të Gjykatës së Lartë, si i papajtueshëm me Kushtetutën e Republikës së Shqipërisë.</w:t>
      </w:r>
    </w:p>
    <w:p w14:paraId="1778E7F5" w14:textId="1E6CAEAC" w:rsidR="00D131FE" w:rsidRPr="00320F47" w:rsidRDefault="00D131FE" w:rsidP="00A77DE1">
      <w:pPr>
        <w:spacing w:after="0" w:line="240" w:lineRule="auto"/>
        <w:ind w:firstLine="284"/>
        <w:jc w:val="both"/>
        <w:rPr>
          <w:rFonts w:ascii="Garamond" w:hAnsi="Garamond"/>
          <w:sz w:val="24"/>
          <w:szCs w:val="24"/>
        </w:rPr>
      </w:pPr>
      <w:r w:rsidRPr="00320F47">
        <w:rPr>
          <w:rFonts w:ascii="Garamond" w:hAnsi="Garamond"/>
          <w:sz w:val="24"/>
          <w:szCs w:val="24"/>
        </w:rPr>
        <w:t>BAZA LIGJORE:</w:t>
      </w:r>
      <w:r w:rsidR="00624736">
        <w:rPr>
          <w:rFonts w:ascii="Garamond" w:hAnsi="Garamond"/>
          <w:b/>
          <w:sz w:val="24"/>
          <w:szCs w:val="24"/>
        </w:rPr>
        <w:t xml:space="preserve"> </w:t>
      </w:r>
      <w:r w:rsidRPr="00320F47">
        <w:rPr>
          <w:rFonts w:ascii="Garamond" w:hAnsi="Garamond"/>
          <w:sz w:val="24"/>
          <w:szCs w:val="24"/>
        </w:rPr>
        <w:t xml:space="preserve">Nenet 4, pika 1, 11, pika 3, 15, 17, pika 1, 18, pikat 1 dhe 2, 35, pika 3, 41, pika 1, 42, 43, 59, 116, 142, pika 1 dhe 146, pika 2, të Kushtetutës së Republikës së Shqipërisë; nenet 1, 27, 39, 42, 71, 71/a dhe 76, pika </w:t>
      </w:r>
      <w:r w:rsidR="00320F47">
        <w:rPr>
          <w:rFonts w:ascii="Garamond" w:hAnsi="Garamond"/>
          <w:sz w:val="24"/>
          <w:szCs w:val="24"/>
        </w:rPr>
        <w:t>6, të ligjit nr. 8577, datë 10.</w:t>
      </w:r>
      <w:r w:rsidRPr="00320F47">
        <w:rPr>
          <w:rFonts w:ascii="Garamond" w:hAnsi="Garamond"/>
          <w:sz w:val="24"/>
          <w:szCs w:val="24"/>
        </w:rPr>
        <w:t>2.2000</w:t>
      </w:r>
      <w:r w:rsidR="00320F47">
        <w:rPr>
          <w:rFonts w:ascii="Garamond" w:hAnsi="Garamond"/>
          <w:sz w:val="24"/>
          <w:szCs w:val="24"/>
        </w:rPr>
        <w:t>,</w:t>
      </w:r>
      <w:r w:rsidRPr="00320F47">
        <w:rPr>
          <w:rFonts w:ascii="Garamond" w:hAnsi="Garamond"/>
          <w:sz w:val="24"/>
          <w:szCs w:val="24"/>
        </w:rPr>
        <w:t xml:space="preserve"> “Për organizimin dhe funksionimin e Gjykatës Kushtetuese të Republikës së Shqipërisë”, të ndryshuar (</w:t>
      </w:r>
      <w:r w:rsidRPr="00320F47">
        <w:rPr>
          <w:rFonts w:ascii="Garamond" w:hAnsi="Garamond"/>
          <w:i/>
          <w:sz w:val="24"/>
          <w:szCs w:val="24"/>
        </w:rPr>
        <w:t>ligji nr. 8577/2000</w:t>
      </w:r>
      <w:r w:rsidRPr="00320F47">
        <w:rPr>
          <w:rFonts w:ascii="Garamond" w:hAnsi="Garamond"/>
          <w:sz w:val="24"/>
          <w:szCs w:val="24"/>
        </w:rPr>
        <w:t>).</w:t>
      </w:r>
    </w:p>
    <w:p w14:paraId="14674ED0" w14:textId="77777777" w:rsidR="00D131FE" w:rsidRPr="00320F47" w:rsidRDefault="00D131FE" w:rsidP="00A77DE1">
      <w:pPr>
        <w:spacing w:after="0" w:line="240" w:lineRule="auto"/>
        <w:ind w:firstLine="284"/>
        <w:jc w:val="both"/>
        <w:rPr>
          <w:rFonts w:ascii="Garamond" w:hAnsi="Garamond"/>
          <w:b/>
          <w:sz w:val="24"/>
          <w:szCs w:val="24"/>
        </w:rPr>
      </w:pPr>
    </w:p>
    <w:p w14:paraId="5A474CDD" w14:textId="77777777" w:rsidR="00D131FE" w:rsidRPr="00320F47" w:rsidRDefault="00D131FE" w:rsidP="00A77DE1">
      <w:pPr>
        <w:spacing w:after="0" w:line="240" w:lineRule="auto"/>
        <w:ind w:firstLine="284"/>
        <w:jc w:val="center"/>
        <w:rPr>
          <w:rFonts w:ascii="Garamond" w:hAnsi="Garamond"/>
          <w:sz w:val="24"/>
          <w:szCs w:val="24"/>
        </w:rPr>
      </w:pPr>
      <w:r w:rsidRPr="00320F47">
        <w:rPr>
          <w:rFonts w:ascii="Garamond" w:hAnsi="Garamond"/>
          <w:sz w:val="24"/>
          <w:szCs w:val="24"/>
        </w:rPr>
        <w:t>GJYKATA KUSHTETUESE,</w:t>
      </w:r>
    </w:p>
    <w:p w14:paraId="6D152CED" w14:textId="77777777" w:rsidR="00A77DE1" w:rsidRPr="00320F47" w:rsidRDefault="00A77DE1" w:rsidP="00624736">
      <w:pPr>
        <w:spacing w:after="0" w:line="240" w:lineRule="auto"/>
        <w:ind w:firstLine="288"/>
        <w:jc w:val="both"/>
        <w:rPr>
          <w:rFonts w:ascii="Garamond" w:hAnsi="Garamond"/>
          <w:sz w:val="24"/>
          <w:szCs w:val="24"/>
        </w:rPr>
      </w:pPr>
    </w:p>
    <w:p w14:paraId="7C5CA92D" w14:textId="77777777" w:rsidR="00D131FE" w:rsidRPr="00320F47" w:rsidRDefault="00D131FE" w:rsidP="00624736">
      <w:pPr>
        <w:spacing w:after="0" w:line="240" w:lineRule="auto"/>
        <w:ind w:firstLine="288"/>
        <w:jc w:val="both"/>
        <w:rPr>
          <w:rFonts w:ascii="Garamond" w:hAnsi="Garamond"/>
          <w:sz w:val="24"/>
          <w:szCs w:val="24"/>
        </w:rPr>
      </w:pPr>
      <w:r w:rsidRPr="00320F47">
        <w:rPr>
          <w:rFonts w:ascii="Garamond" w:hAnsi="Garamond"/>
          <w:sz w:val="24"/>
          <w:szCs w:val="24"/>
        </w:rPr>
        <w:t xml:space="preserve">pasi dëgjoi relatorin e çështjes </w:t>
      </w:r>
      <w:proofErr w:type="spellStart"/>
      <w:r w:rsidRPr="00320F47">
        <w:rPr>
          <w:rFonts w:ascii="Garamond" w:hAnsi="Garamond"/>
          <w:sz w:val="24"/>
          <w:szCs w:val="24"/>
        </w:rPr>
        <w:t>Sandër</w:t>
      </w:r>
      <w:proofErr w:type="spellEnd"/>
      <w:r w:rsidRPr="00320F47">
        <w:rPr>
          <w:rFonts w:ascii="Garamond" w:hAnsi="Garamond"/>
          <w:sz w:val="24"/>
          <w:szCs w:val="24"/>
        </w:rPr>
        <w:t xml:space="preserve"> Beci, mori në shqyrtim parashtrimet me shkrim të kërkuesit, i cili ka kërkuar pranimin e kërkesës, prapësimet me shkrim të subjekteve të interesuara Ministrisë së Bujqësisë dhe Zhvillimit Rural (</w:t>
      </w:r>
      <w:r w:rsidRPr="00320F47">
        <w:rPr>
          <w:rFonts w:ascii="Garamond" w:hAnsi="Garamond"/>
          <w:i/>
          <w:sz w:val="24"/>
          <w:szCs w:val="24"/>
        </w:rPr>
        <w:t>MBZHR</w:t>
      </w:r>
      <w:r w:rsidRPr="00320F47">
        <w:rPr>
          <w:rFonts w:ascii="Garamond" w:hAnsi="Garamond"/>
          <w:sz w:val="24"/>
          <w:szCs w:val="24"/>
        </w:rPr>
        <w:t>) dhe Departamentit të Administratës Publike (</w:t>
      </w:r>
      <w:r w:rsidRPr="00320F47">
        <w:rPr>
          <w:rFonts w:ascii="Garamond" w:hAnsi="Garamond"/>
          <w:i/>
          <w:sz w:val="24"/>
          <w:szCs w:val="24"/>
        </w:rPr>
        <w:t>DAP</w:t>
      </w:r>
      <w:r w:rsidRPr="00320F47">
        <w:rPr>
          <w:rFonts w:ascii="Garamond" w:hAnsi="Garamond"/>
          <w:sz w:val="24"/>
          <w:szCs w:val="24"/>
        </w:rPr>
        <w:t>), që kanë kërkuar rrëzimin e kërkesës, si dhe diskutoi çështjen në tërësi,</w:t>
      </w:r>
    </w:p>
    <w:p w14:paraId="09D31CF6" w14:textId="77777777" w:rsidR="00D131FE" w:rsidRPr="00320F47" w:rsidRDefault="00D131FE" w:rsidP="00A77DE1">
      <w:pPr>
        <w:spacing w:after="0" w:line="240" w:lineRule="auto"/>
        <w:ind w:firstLine="284"/>
        <w:jc w:val="both"/>
        <w:rPr>
          <w:rFonts w:ascii="Garamond" w:hAnsi="Garamond"/>
          <w:b/>
          <w:sz w:val="24"/>
          <w:szCs w:val="24"/>
        </w:rPr>
      </w:pPr>
    </w:p>
    <w:p w14:paraId="030AB55B" w14:textId="5451CE02" w:rsidR="00D131FE" w:rsidRPr="00320F47" w:rsidRDefault="00A77DE1" w:rsidP="00A77DE1">
      <w:pPr>
        <w:spacing w:after="0" w:line="240" w:lineRule="auto"/>
        <w:ind w:firstLine="284"/>
        <w:jc w:val="center"/>
        <w:rPr>
          <w:rFonts w:ascii="Garamond" w:hAnsi="Garamond"/>
          <w:sz w:val="24"/>
          <w:szCs w:val="24"/>
        </w:rPr>
      </w:pPr>
      <w:r w:rsidRPr="00320F47">
        <w:rPr>
          <w:rFonts w:ascii="Garamond" w:hAnsi="Garamond"/>
          <w:sz w:val="24"/>
          <w:szCs w:val="24"/>
        </w:rPr>
        <w:t>VËRE</w:t>
      </w:r>
      <w:r w:rsidR="00D131FE" w:rsidRPr="00320F47">
        <w:rPr>
          <w:rFonts w:ascii="Garamond" w:hAnsi="Garamond"/>
          <w:sz w:val="24"/>
          <w:szCs w:val="24"/>
        </w:rPr>
        <w:t>N:</w:t>
      </w:r>
    </w:p>
    <w:p w14:paraId="4CDC0913" w14:textId="77777777" w:rsidR="00D131FE" w:rsidRPr="00320F47" w:rsidRDefault="00D131FE" w:rsidP="00A77DE1">
      <w:pPr>
        <w:spacing w:after="0" w:line="240" w:lineRule="auto"/>
        <w:ind w:firstLine="284"/>
        <w:jc w:val="center"/>
        <w:rPr>
          <w:rFonts w:ascii="Garamond" w:hAnsi="Garamond"/>
          <w:sz w:val="24"/>
          <w:szCs w:val="24"/>
        </w:rPr>
      </w:pPr>
      <w:r w:rsidRPr="00320F47">
        <w:rPr>
          <w:rFonts w:ascii="Garamond" w:hAnsi="Garamond"/>
          <w:sz w:val="24"/>
          <w:szCs w:val="24"/>
        </w:rPr>
        <w:t>I</w:t>
      </w:r>
    </w:p>
    <w:p w14:paraId="3054ED68" w14:textId="77777777" w:rsidR="00D131FE" w:rsidRPr="00320F47" w:rsidRDefault="00D131FE" w:rsidP="00A77DE1">
      <w:pPr>
        <w:spacing w:after="0" w:line="240" w:lineRule="auto"/>
        <w:ind w:firstLine="284"/>
        <w:jc w:val="center"/>
        <w:rPr>
          <w:rFonts w:ascii="Garamond" w:hAnsi="Garamond"/>
          <w:b/>
          <w:sz w:val="24"/>
          <w:szCs w:val="24"/>
        </w:rPr>
      </w:pPr>
      <w:r w:rsidRPr="00320F47">
        <w:rPr>
          <w:rFonts w:ascii="Garamond" w:hAnsi="Garamond"/>
          <w:b/>
          <w:sz w:val="24"/>
          <w:szCs w:val="24"/>
        </w:rPr>
        <w:t>Rrethanat e çështjes</w:t>
      </w:r>
    </w:p>
    <w:p w14:paraId="615902B5" w14:textId="77777777" w:rsidR="00A77DE1" w:rsidRPr="00320F47" w:rsidRDefault="00A77DE1" w:rsidP="00624736">
      <w:pPr>
        <w:spacing w:after="0" w:line="240" w:lineRule="auto"/>
        <w:ind w:firstLine="288"/>
        <w:jc w:val="both"/>
        <w:rPr>
          <w:rFonts w:ascii="Garamond" w:hAnsi="Garamond"/>
          <w:b/>
          <w:sz w:val="24"/>
          <w:szCs w:val="24"/>
        </w:rPr>
      </w:pPr>
    </w:p>
    <w:p w14:paraId="45246E8C" w14:textId="4B9D4A72" w:rsidR="00D131FE" w:rsidRPr="00320F47" w:rsidRDefault="00D131FE" w:rsidP="00624736">
      <w:pPr>
        <w:pStyle w:val="ListParagraph"/>
        <w:shd w:val="clear" w:color="auto" w:fill="FFFFFF"/>
        <w:tabs>
          <w:tab w:val="left" w:pos="1080"/>
        </w:tabs>
        <w:spacing w:after="0" w:line="240" w:lineRule="auto"/>
        <w:ind w:left="0" w:firstLine="288"/>
        <w:contextualSpacing w:val="0"/>
        <w:jc w:val="both"/>
        <w:rPr>
          <w:rFonts w:ascii="Garamond" w:hAnsi="Garamond"/>
          <w:sz w:val="24"/>
          <w:szCs w:val="24"/>
          <w:lang w:val="sq-AL"/>
        </w:rPr>
      </w:pPr>
      <w:r w:rsidRPr="00320F47">
        <w:rPr>
          <w:rFonts w:ascii="Garamond" w:hAnsi="Garamond"/>
          <w:sz w:val="24"/>
          <w:szCs w:val="24"/>
          <w:lang w:val="sq-AL"/>
        </w:rPr>
        <w:t>1.</w:t>
      </w:r>
      <w:r w:rsidR="00A77DE1" w:rsidRPr="00320F47">
        <w:rPr>
          <w:rFonts w:ascii="Garamond" w:hAnsi="Garamond"/>
          <w:sz w:val="24"/>
          <w:szCs w:val="24"/>
          <w:lang w:val="sq-AL"/>
        </w:rPr>
        <w:t xml:space="preserve"> </w:t>
      </w:r>
      <w:r w:rsidRPr="00320F47">
        <w:rPr>
          <w:rFonts w:ascii="Garamond" w:hAnsi="Garamond"/>
          <w:sz w:val="24"/>
          <w:szCs w:val="24"/>
          <w:lang w:val="sq-AL"/>
        </w:rPr>
        <w:t xml:space="preserve">Kërkuesi </w:t>
      </w:r>
      <w:r w:rsidR="00320F47">
        <w:rPr>
          <w:rFonts w:ascii="Garamond" w:hAnsi="Garamond"/>
          <w:sz w:val="24"/>
          <w:szCs w:val="24"/>
          <w:lang w:val="sq-AL"/>
        </w:rPr>
        <w:t xml:space="preserve">Trojan </w:t>
      </w:r>
      <w:proofErr w:type="spellStart"/>
      <w:r w:rsidR="00320F47">
        <w:rPr>
          <w:rFonts w:ascii="Garamond" w:hAnsi="Garamond"/>
          <w:sz w:val="24"/>
          <w:szCs w:val="24"/>
          <w:lang w:val="sq-AL"/>
        </w:rPr>
        <w:t>Pavllovski</w:t>
      </w:r>
      <w:proofErr w:type="spellEnd"/>
      <w:r w:rsidR="00320F47">
        <w:rPr>
          <w:rFonts w:ascii="Garamond" w:hAnsi="Garamond"/>
          <w:sz w:val="24"/>
          <w:szCs w:val="24"/>
          <w:lang w:val="sq-AL"/>
        </w:rPr>
        <w:t>, në datën 11.</w:t>
      </w:r>
      <w:r w:rsidRPr="00320F47">
        <w:rPr>
          <w:rFonts w:ascii="Garamond" w:hAnsi="Garamond"/>
          <w:sz w:val="24"/>
          <w:szCs w:val="24"/>
          <w:lang w:val="sq-AL"/>
        </w:rPr>
        <w:t>1.2013, ka nënshkruar kontratën për fillimin e marrëdhënieve të përkohshme të punës në Ministrinë e Bujqësisë, Ushqimit dhe Mbrojtjes së Konsumatorit (</w:t>
      </w:r>
      <w:r w:rsidRPr="00320F47">
        <w:rPr>
          <w:rFonts w:ascii="Garamond" w:hAnsi="Garamond"/>
          <w:i/>
          <w:sz w:val="24"/>
          <w:szCs w:val="24"/>
          <w:lang w:val="sq-AL"/>
        </w:rPr>
        <w:t>sot Ministria e Bujqësisë dhe Zhvillimit Rural</w:t>
      </w:r>
      <w:r w:rsidRPr="00320F47">
        <w:rPr>
          <w:rFonts w:ascii="Garamond" w:hAnsi="Garamond"/>
          <w:sz w:val="24"/>
          <w:szCs w:val="24"/>
          <w:lang w:val="sq-AL"/>
        </w:rPr>
        <w:t>), në pozicionin e përgjegjësit në sektorin e marketingut dhe tregjeve bujqësore. Në</w:t>
      </w:r>
      <w:r w:rsidR="00320F47">
        <w:rPr>
          <w:rFonts w:ascii="Garamond" w:hAnsi="Garamond"/>
          <w:sz w:val="24"/>
          <w:szCs w:val="24"/>
          <w:lang w:val="sq-AL"/>
        </w:rPr>
        <w:t xml:space="preserve"> vijim, me shkresën e datës 31.</w:t>
      </w:r>
      <w:r w:rsidRPr="00320F47">
        <w:rPr>
          <w:rFonts w:ascii="Garamond" w:hAnsi="Garamond"/>
          <w:sz w:val="24"/>
          <w:szCs w:val="24"/>
          <w:lang w:val="sq-AL"/>
        </w:rPr>
        <w:t>1.2013</w:t>
      </w:r>
      <w:r w:rsidR="00320F47">
        <w:rPr>
          <w:rFonts w:ascii="Garamond" w:hAnsi="Garamond"/>
          <w:sz w:val="24"/>
          <w:szCs w:val="24"/>
          <w:lang w:val="sq-AL"/>
        </w:rPr>
        <w:t>,</w:t>
      </w:r>
      <w:r w:rsidRPr="00320F47">
        <w:rPr>
          <w:rFonts w:ascii="Garamond" w:hAnsi="Garamond"/>
          <w:sz w:val="24"/>
          <w:szCs w:val="24"/>
          <w:lang w:val="sq-AL"/>
        </w:rPr>
        <w:t xml:space="preserve"> të sekretarit të përgjithshëm të MBZHR-së, ai është emëruar përkohësisht në këtë detyrë, deri në përfundimin e procedurave të konkurrimit, sipas ligjit nr. 8549, datë 11.11.1999</w:t>
      </w:r>
      <w:r w:rsidR="00320F47">
        <w:rPr>
          <w:rFonts w:ascii="Garamond" w:hAnsi="Garamond"/>
          <w:sz w:val="24"/>
          <w:szCs w:val="24"/>
          <w:lang w:val="sq-AL"/>
        </w:rPr>
        <w:t>,</w:t>
      </w:r>
      <w:r w:rsidRPr="00320F47">
        <w:rPr>
          <w:rFonts w:ascii="Garamond" w:hAnsi="Garamond"/>
          <w:sz w:val="24"/>
          <w:szCs w:val="24"/>
          <w:lang w:val="sq-AL"/>
        </w:rPr>
        <w:t xml:space="preserve"> “Statusi i nëpunësit civil”, të ndryshuar (</w:t>
      </w:r>
      <w:r w:rsidRPr="00320F47">
        <w:rPr>
          <w:rFonts w:ascii="Garamond" w:hAnsi="Garamond"/>
          <w:i/>
          <w:sz w:val="24"/>
          <w:szCs w:val="24"/>
          <w:lang w:val="sq-AL"/>
        </w:rPr>
        <w:t>ligji nr. 8549/1999</w:t>
      </w:r>
      <w:r w:rsidR="00320F47">
        <w:rPr>
          <w:rFonts w:ascii="Garamond" w:hAnsi="Garamond"/>
          <w:sz w:val="24"/>
          <w:szCs w:val="24"/>
          <w:lang w:val="sq-AL"/>
        </w:rPr>
        <w:t>). Në datën 16.</w:t>
      </w:r>
      <w:r w:rsidRPr="00320F47">
        <w:rPr>
          <w:rFonts w:ascii="Garamond" w:hAnsi="Garamond"/>
          <w:sz w:val="24"/>
          <w:szCs w:val="24"/>
          <w:lang w:val="sq-AL"/>
        </w:rPr>
        <w:t>4.2013, DAP-i e ka emëruar atë nëpunës civil në periudhë prove.</w:t>
      </w:r>
    </w:p>
    <w:p w14:paraId="21B1BA71" w14:textId="276E028F" w:rsidR="00D131FE" w:rsidRPr="00320F47" w:rsidRDefault="00D131FE" w:rsidP="00624736">
      <w:pPr>
        <w:pStyle w:val="ListParagraph"/>
        <w:shd w:val="clear" w:color="auto" w:fill="FFFFFF"/>
        <w:tabs>
          <w:tab w:val="left" w:pos="1080"/>
        </w:tabs>
        <w:spacing w:after="0" w:line="240" w:lineRule="auto"/>
        <w:ind w:left="0" w:firstLine="288"/>
        <w:contextualSpacing w:val="0"/>
        <w:jc w:val="both"/>
        <w:rPr>
          <w:rFonts w:ascii="Garamond" w:hAnsi="Garamond"/>
          <w:sz w:val="24"/>
          <w:szCs w:val="24"/>
          <w:lang w:val="sq-AL"/>
        </w:rPr>
      </w:pPr>
      <w:r w:rsidRPr="00320F47">
        <w:rPr>
          <w:rFonts w:ascii="Garamond" w:hAnsi="Garamond"/>
          <w:sz w:val="24"/>
          <w:szCs w:val="24"/>
          <w:lang w:val="sq-AL"/>
        </w:rPr>
        <w:t>2.</w:t>
      </w:r>
      <w:r w:rsidR="00A77DE1" w:rsidRPr="00320F47">
        <w:rPr>
          <w:rFonts w:ascii="Garamond" w:hAnsi="Garamond"/>
          <w:sz w:val="24"/>
          <w:szCs w:val="24"/>
          <w:lang w:val="sq-AL"/>
        </w:rPr>
        <w:t xml:space="preserve"> </w:t>
      </w:r>
      <w:r w:rsidR="00320F47">
        <w:rPr>
          <w:rFonts w:ascii="Garamond" w:hAnsi="Garamond"/>
          <w:sz w:val="24"/>
          <w:szCs w:val="24"/>
          <w:lang w:val="sq-AL"/>
        </w:rPr>
        <w:t>Në datën 30.</w:t>
      </w:r>
      <w:r w:rsidRPr="00320F47">
        <w:rPr>
          <w:rFonts w:ascii="Garamond" w:hAnsi="Garamond"/>
          <w:sz w:val="24"/>
          <w:szCs w:val="24"/>
          <w:lang w:val="sq-AL"/>
        </w:rPr>
        <w:t>5.2013</w:t>
      </w:r>
      <w:r w:rsidR="00320F47">
        <w:rPr>
          <w:rFonts w:ascii="Garamond" w:hAnsi="Garamond"/>
          <w:sz w:val="24"/>
          <w:szCs w:val="24"/>
          <w:lang w:val="sq-AL"/>
        </w:rPr>
        <w:t>,</w:t>
      </w:r>
      <w:r w:rsidRPr="00320F47">
        <w:rPr>
          <w:rFonts w:ascii="Garamond" w:hAnsi="Garamond"/>
          <w:sz w:val="24"/>
          <w:szCs w:val="24"/>
          <w:lang w:val="sq-AL"/>
        </w:rPr>
        <w:t xml:space="preserve"> Kuvendi ka miratuar ligjin nr. 152/2013</w:t>
      </w:r>
      <w:r w:rsidR="00320F47">
        <w:rPr>
          <w:rFonts w:ascii="Garamond" w:hAnsi="Garamond"/>
          <w:sz w:val="24"/>
          <w:szCs w:val="24"/>
          <w:lang w:val="sq-AL"/>
        </w:rPr>
        <w:t>,</w:t>
      </w:r>
      <w:r w:rsidRPr="00320F47">
        <w:rPr>
          <w:rFonts w:ascii="Garamond" w:hAnsi="Garamond"/>
          <w:sz w:val="24"/>
          <w:szCs w:val="24"/>
          <w:lang w:val="sq-AL"/>
        </w:rPr>
        <w:t xml:space="preserve"> “Për nëpunësin civil” (</w:t>
      </w:r>
      <w:r w:rsidRPr="00320F47">
        <w:rPr>
          <w:rFonts w:ascii="Garamond" w:hAnsi="Garamond"/>
          <w:i/>
          <w:sz w:val="24"/>
          <w:szCs w:val="24"/>
          <w:lang w:val="sq-AL"/>
        </w:rPr>
        <w:t>ligji nr. 152/2013</w:t>
      </w:r>
      <w:r w:rsidRPr="00320F47">
        <w:rPr>
          <w:rFonts w:ascii="Garamond" w:hAnsi="Garamond"/>
          <w:sz w:val="24"/>
          <w:szCs w:val="24"/>
          <w:lang w:val="sq-AL"/>
        </w:rPr>
        <w:t>), i cili parashikonte datën 1 tetor 2013</w:t>
      </w:r>
      <w:r w:rsidR="00320F47">
        <w:rPr>
          <w:rFonts w:ascii="Garamond" w:hAnsi="Garamond"/>
          <w:sz w:val="24"/>
          <w:szCs w:val="24"/>
          <w:lang w:val="sq-AL"/>
        </w:rPr>
        <w:t>,</w:t>
      </w:r>
      <w:r w:rsidRPr="00320F47">
        <w:rPr>
          <w:rFonts w:ascii="Garamond" w:hAnsi="Garamond"/>
          <w:sz w:val="24"/>
          <w:szCs w:val="24"/>
          <w:lang w:val="sq-AL"/>
        </w:rPr>
        <w:t xml:space="preserve"> si momentin e hyrjes në fuqi (</w:t>
      </w:r>
      <w:r w:rsidRPr="00320F47">
        <w:rPr>
          <w:rFonts w:ascii="Garamond" w:hAnsi="Garamond"/>
          <w:i/>
          <w:sz w:val="24"/>
          <w:szCs w:val="24"/>
          <w:lang w:val="sq-AL"/>
        </w:rPr>
        <w:t>neni 72</w:t>
      </w:r>
      <w:r w:rsidRPr="00320F47">
        <w:rPr>
          <w:rFonts w:ascii="Garamond" w:hAnsi="Garamond"/>
          <w:sz w:val="24"/>
          <w:szCs w:val="24"/>
          <w:lang w:val="sq-AL"/>
        </w:rPr>
        <w:t xml:space="preserve">). Hyrja në </w:t>
      </w:r>
      <w:r w:rsidRPr="00320F47">
        <w:rPr>
          <w:rFonts w:ascii="Garamond" w:hAnsi="Garamond"/>
          <w:sz w:val="24"/>
          <w:szCs w:val="24"/>
          <w:lang w:val="sq-AL"/>
        </w:rPr>
        <w:lastRenderedPageBreak/>
        <w:t>fuqi e këtij ligji sillte si pasojë shfuqizimin e ligjit nr. 8549/1999</w:t>
      </w:r>
      <w:r w:rsidR="00320F47">
        <w:rPr>
          <w:rFonts w:ascii="Garamond" w:hAnsi="Garamond"/>
          <w:sz w:val="24"/>
          <w:szCs w:val="24"/>
          <w:lang w:val="sq-AL"/>
        </w:rPr>
        <w:t>,</w:t>
      </w:r>
      <w:r w:rsidRPr="00320F47">
        <w:rPr>
          <w:rFonts w:ascii="Garamond" w:hAnsi="Garamond"/>
          <w:sz w:val="24"/>
          <w:szCs w:val="24"/>
          <w:lang w:val="sq-AL"/>
        </w:rPr>
        <w:t xml:space="preserve"> dhe të çdo dispozite tjetër në kundërshtim me të (</w:t>
      </w:r>
      <w:r w:rsidRPr="00320F47">
        <w:rPr>
          <w:rFonts w:ascii="Garamond" w:hAnsi="Garamond"/>
          <w:i/>
          <w:sz w:val="24"/>
          <w:szCs w:val="24"/>
          <w:lang w:val="sq-AL"/>
        </w:rPr>
        <w:t>neni 70</w:t>
      </w:r>
      <w:r w:rsidRPr="00320F47">
        <w:rPr>
          <w:rFonts w:ascii="Garamond" w:hAnsi="Garamond"/>
          <w:sz w:val="24"/>
          <w:szCs w:val="24"/>
          <w:lang w:val="sq-AL"/>
        </w:rPr>
        <w:t>). Gjatë kohës që pritej hyrja në fuqi e ligjit, Këshilli i Ministrave ka miratuar</w:t>
      </w:r>
      <w:r w:rsidR="00320F47">
        <w:rPr>
          <w:rFonts w:ascii="Garamond" w:hAnsi="Garamond"/>
          <w:sz w:val="24"/>
          <w:szCs w:val="24"/>
          <w:lang w:val="sq-AL"/>
        </w:rPr>
        <w:t xml:space="preserve"> aktin normativ nr. 5, datë 30.</w:t>
      </w:r>
      <w:r w:rsidRPr="00320F47">
        <w:rPr>
          <w:rFonts w:ascii="Garamond" w:hAnsi="Garamond"/>
          <w:sz w:val="24"/>
          <w:szCs w:val="24"/>
          <w:lang w:val="sq-AL"/>
        </w:rPr>
        <w:t>9.2013</w:t>
      </w:r>
      <w:r w:rsidR="00320F47">
        <w:rPr>
          <w:rFonts w:ascii="Garamond" w:hAnsi="Garamond"/>
          <w:sz w:val="24"/>
          <w:szCs w:val="24"/>
          <w:lang w:val="sq-AL"/>
        </w:rPr>
        <w:t>,</w:t>
      </w:r>
      <w:r w:rsidRPr="00320F47">
        <w:rPr>
          <w:rFonts w:ascii="Garamond" w:hAnsi="Garamond"/>
          <w:sz w:val="24"/>
          <w:szCs w:val="24"/>
          <w:lang w:val="sq-AL"/>
        </w:rPr>
        <w:t xml:space="preserve"> “Për disa ndryshime në ligjin nr.</w:t>
      </w:r>
      <w:r w:rsidR="00320F47">
        <w:rPr>
          <w:rFonts w:ascii="Garamond" w:hAnsi="Garamond"/>
          <w:sz w:val="24"/>
          <w:szCs w:val="24"/>
          <w:lang w:val="sq-AL"/>
        </w:rPr>
        <w:t xml:space="preserve"> </w:t>
      </w:r>
      <w:r w:rsidRPr="00320F47">
        <w:rPr>
          <w:rFonts w:ascii="Garamond" w:hAnsi="Garamond"/>
          <w:sz w:val="24"/>
          <w:szCs w:val="24"/>
          <w:lang w:val="sq-AL"/>
        </w:rPr>
        <w:t>152/2013</w:t>
      </w:r>
      <w:r w:rsidR="00320F47">
        <w:rPr>
          <w:rFonts w:ascii="Garamond" w:hAnsi="Garamond"/>
          <w:sz w:val="24"/>
          <w:szCs w:val="24"/>
          <w:lang w:val="sq-AL"/>
        </w:rPr>
        <w:t>,</w:t>
      </w:r>
      <w:r w:rsidRPr="00320F47">
        <w:rPr>
          <w:rFonts w:ascii="Garamond" w:hAnsi="Garamond"/>
          <w:sz w:val="24"/>
          <w:szCs w:val="24"/>
          <w:lang w:val="sq-AL"/>
        </w:rPr>
        <w:t xml:space="preserve"> “Për nëpunësin civil”” (</w:t>
      </w:r>
      <w:r w:rsidRPr="00320F47">
        <w:rPr>
          <w:rFonts w:ascii="Garamond" w:hAnsi="Garamond"/>
          <w:i/>
          <w:sz w:val="24"/>
          <w:szCs w:val="24"/>
          <w:lang w:val="sq-AL"/>
        </w:rPr>
        <w:t>akti normativ nr. 5/2013</w:t>
      </w:r>
      <w:r w:rsidRPr="00320F47">
        <w:rPr>
          <w:rFonts w:ascii="Garamond" w:hAnsi="Garamond"/>
          <w:sz w:val="24"/>
          <w:szCs w:val="24"/>
          <w:lang w:val="sq-AL"/>
        </w:rPr>
        <w:t xml:space="preserve">), me qëllim shtyrjen në kohë të efekteve të ligjit nr. 152/2013. Akti normativ ka hyrë në fuqi menjëherë dhe është miratuar nga Kuvendi me ligjin nr. 161/2013, datë 17.10.2013. Këto dy akte janë shfuqizuar nga </w:t>
      </w:r>
      <w:r w:rsidRPr="00320F47">
        <w:rPr>
          <w:rFonts w:ascii="Garamond" w:hAnsi="Garamond"/>
          <w:spacing w:val="1"/>
          <w:sz w:val="24"/>
          <w:szCs w:val="24"/>
          <w:bdr w:val="none" w:sz="0" w:space="0" w:color="auto" w:frame="1"/>
          <w:lang w:val="sq-AL"/>
        </w:rPr>
        <w:t>Gjykata Kushtetuese (</w:t>
      </w:r>
      <w:r w:rsidRPr="00320F47">
        <w:rPr>
          <w:rFonts w:ascii="Garamond" w:hAnsi="Garamond"/>
          <w:i/>
          <w:spacing w:val="1"/>
          <w:sz w:val="24"/>
          <w:szCs w:val="24"/>
          <w:bdr w:val="none" w:sz="0" w:space="0" w:color="auto" w:frame="1"/>
          <w:lang w:val="sq-AL"/>
        </w:rPr>
        <w:t>Gjykata</w:t>
      </w:r>
      <w:r w:rsidRPr="00320F47">
        <w:rPr>
          <w:rFonts w:ascii="Garamond" w:hAnsi="Garamond"/>
          <w:spacing w:val="1"/>
          <w:sz w:val="24"/>
          <w:szCs w:val="24"/>
          <w:bdr w:val="none" w:sz="0" w:space="0" w:color="auto" w:frame="1"/>
          <w:lang w:val="sq-AL"/>
        </w:rPr>
        <w:t xml:space="preserve">) me vendimin nr. </w:t>
      </w:r>
      <w:r w:rsidR="00320F47">
        <w:rPr>
          <w:rFonts w:ascii="Garamond" w:hAnsi="Garamond"/>
          <w:sz w:val="24"/>
          <w:szCs w:val="24"/>
          <w:lang w:val="sq-AL"/>
        </w:rPr>
        <w:t>5, datë 5.</w:t>
      </w:r>
      <w:r w:rsidRPr="00320F47">
        <w:rPr>
          <w:rFonts w:ascii="Garamond" w:hAnsi="Garamond"/>
          <w:sz w:val="24"/>
          <w:szCs w:val="24"/>
          <w:lang w:val="sq-AL"/>
        </w:rPr>
        <w:t>2.2014 (</w:t>
      </w:r>
      <w:r w:rsidRPr="00320F47">
        <w:rPr>
          <w:rFonts w:ascii="Garamond" w:hAnsi="Garamond"/>
          <w:i/>
          <w:sz w:val="24"/>
          <w:szCs w:val="24"/>
          <w:lang w:val="sq-AL"/>
        </w:rPr>
        <w:t>vendimi nr. 5/2014</w:t>
      </w:r>
      <w:r w:rsidRPr="00320F47">
        <w:rPr>
          <w:rFonts w:ascii="Garamond" w:hAnsi="Garamond"/>
          <w:sz w:val="24"/>
          <w:szCs w:val="24"/>
          <w:lang w:val="sq-AL"/>
        </w:rPr>
        <w:t>), i cili ka hyrë në fuqi në ditën e botimit në Fl</w:t>
      </w:r>
      <w:r w:rsidR="00320F47">
        <w:rPr>
          <w:rFonts w:ascii="Garamond" w:hAnsi="Garamond"/>
          <w:sz w:val="24"/>
          <w:szCs w:val="24"/>
          <w:lang w:val="sq-AL"/>
        </w:rPr>
        <w:t>etoren Zyrtare nr. 18, datë 26.</w:t>
      </w:r>
      <w:r w:rsidRPr="00320F47">
        <w:rPr>
          <w:rFonts w:ascii="Garamond" w:hAnsi="Garamond"/>
          <w:sz w:val="24"/>
          <w:szCs w:val="24"/>
          <w:lang w:val="sq-AL"/>
        </w:rPr>
        <w:t>2.2014.</w:t>
      </w:r>
    </w:p>
    <w:p w14:paraId="3A4A42C3" w14:textId="06EF992D" w:rsidR="00D131FE" w:rsidRPr="00320F47" w:rsidRDefault="00D131FE" w:rsidP="00624736">
      <w:pPr>
        <w:pStyle w:val="ListParagraph"/>
        <w:shd w:val="clear" w:color="auto" w:fill="FFFFFF"/>
        <w:tabs>
          <w:tab w:val="left" w:pos="1080"/>
        </w:tabs>
        <w:spacing w:after="0" w:line="240" w:lineRule="auto"/>
        <w:ind w:left="0" w:firstLine="288"/>
        <w:contextualSpacing w:val="0"/>
        <w:jc w:val="both"/>
        <w:rPr>
          <w:rFonts w:ascii="Garamond" w:hAnsi="Garamond"/>
          <w:sz w:val="24"/>
          <w:szCs w:val="24"/>
          <w:lang w:val="sq-AL"/>
        </w:rPr>
      </w:pPr>
      <w:r w:rsidRPr="00320F47">
        <w:rPr>
          <w:rFonts w:ascii="Garamond" w:hAnsi="Garamond"/>
          <w:sz w:val="24"/>
          <w:szCs w:val="24"/>
          <w:lang w:val="sq-AL"/>
        </w:rPr>
        <w:t>3.</w:t>
      </w:r>
      <w:r w:rsidR="00A77DE1" w:rsidRPr="00320F47">
        <w:rPr>
          <w:rFonts w:ascii="Garamond" w:hAnsi="Garamond"/>
          <w:sz w:val="24"/>
          <w:szCs w:val="24"/>
          <w:lang w:val="sq-AL"/>
        </w:rPr>
        <w:t xml:space="preserve"> </w:t>
      </w:r>
      <w:r w:rsidRPr="00320F47">
        <w:rPr>
          <w:rFonts w:ascii="Garamond" w:hAnsi="Garamond"/>
          <w:sz w:val="24"/>
          <w:szCs w:val="24"/>
          <w:lang w:val="sq-AL"/>
        </w:rPr>
        <w:t>Në datën 30.10.2013</w:t>
      </w:r>
      <w:r w:rsidR="00320F47">
        <w:rPr>
          <w:rFonts w:ascii="Garamond" w:hAnsi="Garamond"/>
          <w:sz w:val="24"/>
          <w:szCs w:val="24"/>
          <w:lang w:val="sq-AL"/>
        </w:rPr>
        <w:t>,</w:t>
      </w:r>
      <w:r w:rsidRPr="00320F47">
        <w:rPr>
          <w:rFonts w:ascii="Garamond" w:hAnsi="Garamond"/>
          <w:sz w:val="24"/>
          <w:szCs w:val="24"/>
          <w:lang w:val="sq-AL"/>
        </w:rPr>
        <w:t xml:space="preserve"> kërkuesi është njoftuar lidhur me propozimin për kalimin në </w:t>
      </w:r>
      <w:proofErr w:type="spellStart"/>
      <w:r w:rsidRPr="00320F47">
        <w:rPr>
          <w:rFonts w:ascii="Garamond" w:hAnsi="Garamond"/>
          <w:sz w:val="24"/>
          <w:szCs w:val="24"/>
          <w:lang w:val="sq-AL"/>
        </w:rPr>
        <w:t>listëpritjeje</w:t>
      </w:r>
      <w:proofErr w:type="spellEnd"/>
      <w:r w:rsidRPr="00320F47">
        <w:rPr>
          <w:rFonts w:ascii="Garamond" w:hAnsi="Garamond"/>
          <w:sz w:val="24"/>
          <w:szCs w:val="24"/>
          <w:lang w:val="sq-AL"/>
        </w:rPr>
        <w:t xml:space="preserve">, për shkak të ristrukturimit të përgjithshëm të organikës së institucionit, në zbatim të ligjit nr. </w:t>
      </w:r>
      <w:r w:rsidR="00320F47">
        <w:rPr>
          <w:rFonts w:ascii="Garamond" w:hAnsi="Garamond"/>
          <w:sz w:val="24"/>
          <w:szCs w:val="24"/>
          <w:lang w:val="sq-AL"/>
        </w:rPr>
        <w:t xml:space="preserve">8549/1999. Me shkresën e datës </w:t>
      </w:r>
      <w:r w:rsidRPr="00320F47">
        <w:rPr>
          <w:rFonts w:ascii="Garamond" w:hAnsi="Garamond"/>
          <w:sz w:val="24"/>
          <w:szCs w:val="24"/>
          <w:lang w:val="sq-AL"/>
        </w:rPr>
        <w:t xml:space="preserve">6.11.2013, MBZHR-ja i ka propozuar DAP-it kalimin në </w:t>
      </w:r>
      <w:proofErr w:type="spellStart"/>
      <w:r w:rsidRPr="00320F47">
        <w:rPr>
          <w:rFonts w:ascii="Garamond" w:hAnsi="Garamond"/>
          <w:sz w:val="24"/>
          <w:szCs w:val="24"/>
          <w:lang w:val="sq-AL"/>
        </w:rPr>
        <w:t>listëpritjeje</w:t>
      </w:r>
      <w:proofErr w:type="spellEnd"/>
      <w:r w:rsidRPr="00320F47">
        <w:rPr>
          <w:rFonts w:ascii="Garamond" w:hAnsi="Garamond"/>
          <w:sz w:val="24"/>
          <w:szCs w:val="24"/>
          <w:lang w:val="sq-AL"/>
        </w:rPr>
        <w:t xml:space="preserve"> të kërkuesit, i cili është miratuar me shkresën e datës 13.11.2013. Në vijim, sekretari i përgjithshëm i MBZHR-së ka njoftuar kërkuesin me shkresën e datës 22.11.2013. Duke mos qenë dako</w:t>
      </w:r>
      <w:r w:rsidR="00320F47">
        <w:rPr>
          <w:rFonts w:ascii="Garamond" w:hAnsi="Garamond"/>
          <w:sz w:val="24"/>
          <w:szCs w:val="24"/>
          <w:lang w:val="sq-AL"/>
        </w:rPr>
        <w:t>rd me këtë vendim, në datën 20.</w:t>
      </w:r>
      <w:r w:rsidRPr="00320F47">
        <w:rPr>
          <w:rFonts w:ascii="Garamond" w:hAnsi="Garamond"/>
          <w:sz w:val="24"/>
          <w:szCs w:val="24"/>
          <w:lang w:val="sq-AL"/>
        </w:rPr>
        <w:t>3.2014</w:t>
      </w:r>
      <w:r w:rsidR="00320F47">
        <w:rPr>
          <w:rFonts w:ascii="Garamond" w:hAnsi="Garamond"/>
          <w:sz w:val="24"/>
          <w:szCs w:val="24"/>
          <w:lang w:val="sq-AL"/>
        </w:rPr>
        <w:t>,</w:t>
      </w:r>
      <w:r w:rsidRPr="00320F47">
        <w:rPr>
          <w:rFonts w:ascii="Garamond" w:hAnsi="Garamond"/>
          <w:sz w:val="24"/>
          <w:szCs w:val="24"/>
          <w:lang w:val="sq-AL"/>
        </w:rPr>
        <w:t xml:space="preserve"> ai i është drejtuar gjykatës me kërkesëpadi për pavlefshmërinë absolute të shkresës së datës 22.11.2013 dhe shkresës së datës 13.11.2013, si dhe të pasojave të tyre, kthimin në vendin e punës ose në vendet e shpallura të lira, si dhe konfirmimin e statusit të nëpunësit civil.</w:t>
      </w:r>
    </w:p>
    <w:p w14:paraId="4DF01824" w14:textId="1305A3E4" w:rsidR="00D131FE" w:rsidRPr="00320F47" w:rsidRDefault="00D131FE" w:rsidP="00624736">
      <w:pPr>
        <w:pStyle w:val="ListParagraph"/>
        <w:shd w:val="clear" w:color="auto" w:fill="FFFFFF"/>
        <w:tabs>
          <w:tab w:val="left" w:pos="108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left="0" w:firstLine="288"/>
        <w:contextualSpacing w:val="0"/>
        <w:jc w:val="both"/>
        <w:rPr>
          <w:rFonts w:ascii="Garamond" w:hAnsi="Garamond"/>
          <w:sz w:val="24"/>
          <w:szCs w:val="24"/>
          <w:lang w:val="sq-AL"/>
        </w:rPr>
      </w:pPr>
      <w:r w:rsidRPr="00320F47">
        <w:rPr>
          <w:rFonts w:ascii="Garamond" w:hAnsi="Garamond"/>
          <w:sz w:val="24"/>
          <w:szCs w:val="24"/>
          <w:lang w:val="sq-AL"/>
        </w:rPr>
        <w:t>4.</w:t>
      </w:r>
      <w:r w:rsidR="00A77DE1" w:rsidRPr="00320F47">
        <w:rPr>
          <w:rFonts w:ascii="Garamond" w:hAnsi="Garamond"/>
          <w:sz w:val="24"/>
          <w:szCs w:val="24"/>
          <w:lang w:val="sq-AL"/>
        </w:rPr>
        <w:t xml:space="preserve"> </w:t>
      </w:r>
      <w:r w:rsidRPr="00320F47">
        <w:rPr>
          <w:rFonts w:ascii="Garamond" w:hAnsi="Garamond"/>
          <w:sz w:val="24"/>
          <w:szCs w:val="24"/>
          <w:lang w:val="sq-AL"/>
        </w:rPr>
        <w:t>Gjykata Administrative e Shkallës së Parë Tiranë,</w:t>
      </w:r>
      <w:r w:rsidR="00320F47">
        <w:rPr>
          <w:rFonts w:ascii="Garamond" w:hAnsi="Garamond"/>
          <w:sz w:val="24"/>
          <w:szCs w:val="24"/>
          <w:lang w:val="sq-AL"/>
        </w:rPr>
        <w:t xml:space="preserve"> me vendimin nr. 3610, datë 26.</w:t>
      </w:r>
      <w:r w:rsidRPr="00320F47">
        <w:rPr>
          <w:rFonts w:ascii="Garamond" w:hAnsi="Garamond"/>
          <w:sz w:val="24"/>
          <w:szCs w:val="24"/>
          <w:lang w:val="sq-AL"/>
        </w:rPr>
        <w:t xml:space="preserve">6.2014, ka rrëzuar padinë e kërkuesit si të pabazuar në ligj dhe në prova, pasi ka </w:t>
      </w:r>
      <w:proofErr w:type="spellStart"/>
      <w:r w:rsidRPr="00320F47">
        <w:rPr>
          <w:rFonts w:ascii="Garamond" w:hAnsi="Garamond"/>
          <w:sz w:val="24"/>
          <w:szCs w:val="24"/>
          <w:lang w:val="sq-AL"/>
        </w:rPr>
        <w:t>konkluduar</w:t>
      </w:r>
      <w:proofErr w:type="spellEnd"/>
      <w:r w:rsidRPr="00320F47">
        <w:rPr>
          <w:rFonts w:ascii="Garamond" w:hAnsi="Garamond"/>
          <w:sz w:val="24"/>
          <w:szCs w:val="24"/>
          <w:lang w:val="sq-AL"/>
        </w:rPr>
        <w:t xml:space="preserve"> se referuar kohës së kryerjes së veprimeve administrative, objekt verifikimi, dhe kuadrit ligjor që ka qenë në fuqi në atë kohë, çështja zgjidhet mbështetur në ligjin nr. 8549/1999 dhe aktet nënligjore të nxjerra në zbatim të tij. Sipas saj, në rastin në gjykim nuk u konstatua asnjë nga rastet e pavlefshmërisë absolute të një akti administrativ, sipas përcaktimeve të neneve 115 dhe 116</w:t>
      </w:r>
      <w:r w:rsidR="00320F47">
        <w:rPr>
          <w:rFonts w:ascii="Garamond" w:hAnsi="Garamond"/>
          <w:sz w:val="24"/>
          <w:szCs w:val="24"/>
          <w:lang w:val="sq-AL"/>
        </w:rPr>
        <w:t>,</w:t>
      </w:r>
      <w:r w:rsidRPr="00320F47">
        <w:rPr>
          <w:rFonts w:ascii="Garamond" w:hAnsi="Garamond"/>
          <w:sz w:val="24"/>
          <w:szCs w:val="24"/>
          <w:lang w:val="sq-AL"/>
        </w:rPr>
        <w:t xml:space="preserve"> të Kodit të Procedurave Administrative (</w:t>
      </w:r>
      <w:r w:rsidRPr="00320F47">
        <w:rPr>
          <w:rFonts w:ascii="Garamond" w:hAnsi="Garamond"/>
          <w:i/>
          <w:sz w:val="24"/>
          <w:szCs w:val="24"/>
          <w:lang w:val="sq-AL"/>
        </w:rPr>
        <w:t>KPA</w:t>
      </w:r>
      <w:r w:rsidRPr="00320F47">
        <w:rPr>
          <w:rFonts w:ascii="Garamond" w:hAnsi="Garamond"/>
          <w:sz w:val="24"/>
          <w:szCs w:val="24"/>
          <w:lang w:val="sq-AL"/>
        </w:rPr>
        <w:t>).</w:t>
      </w:r>
    </w:p>
    <w:p w14:paraId="0EDB0D19" w14:textId="4066B6CF" w:rsidR="00D131FE" w:rsidRPr="00320F47" w:rsidRDefault="00D131FE" w:rsidP="00624736">
      <w:pPr>
        <w:pStyle w:val="ListParagraph"/>
        <w:shd w:val="clear" w:color="auto" w:fill="FFFFFF"/>
        <w:tabs>
          <w:tab w:val="left" w:pos="108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left="0" w:firstLine="288"/>
        <w:contextualSpacing w:val="0"/>
        <w:jc w:val="both"/>
        <w:rPr>
          <w:rFonts w:ascii="Garamond" w:hAnsi="Garamond"/>
          <w:sz w:val="24"/>
          <w:szCs w:val="24"/>
          <w:lang w:val="sq-AL"/>
        </w:rPr>
      </w:pPr>
      <w:r w:rsidRPr="00320F47">
        <w:rPr>
          <w:rFonts w:ascii="Garamond" w:hAnsi="Garamond"/>
          <w:sz w:val="24"/>
          <w:szCs w:val="24"/>
          <w:lang w:val="sq-AL"/>
        </w:rPr>
        <w:t>5.</w:t>
      </w:r>
      <w:r w:rsidR="00A77DE1" w:rsidRPr="00320F47">
        <w:rPr>
          <w:rFonts w:ascii="Garamond" w:hAnsi="Garamond"/>
          <w:sz w:val="24"/>
          <w:szCs w:val="24"/>
          <w:lang w:val="sq-AL"/>
        </w:rPr>
        <w:t xml:space="preserve"> </w:t>
      </w:r>
      <w:r w:rsidRPr="00320F47">
        <w:rPr>
          <w:rFonts w:ascii="Garamond" w:hAnsi="Garamond"/>
          <w:sz w:val="24"/>
          <w:szCs w:val="24"/>
          <w:lang w:val="sq-AL"/>
        </w:rPr>
        <w:t>Mbi bazën e ankimit të kërkuesit, Gjykata Administrative e Ape</w:t>
      </w:r>
      <w:r w:rsidR="00320F47">
        <w:rPr>
          <w:rFonts w:ascii="Garamond" w:hAnsi="Garamond"/>
          <w:sz w:val="24"/>
          <w:szCs w:val="24"/>
          <w:lang w:val="sq-AL"/>
        </w:rPr>
        <w:t>lit, me vendimin nr. 414, datë 3.</w:t>
      </w:r>
      <w:r w:rsidRPr="00320F47">
        <w:rPr>
          <w:rFonts w:ascii="Garamond" w:hAnsi="Garamond"/>
          <w:sz w:val="24"/>
          <w:szCs w:val="24"/>
          <w:lang w:val="sq-AL"/>
        </w:rPr>
        <w:t xml:space="preserve">3.2016, ka vendosur ndryshimin e vendimit të gjykatës administrative të shkallës së parë, pranimin pjesërisht të padisë, konstatimin e pavlefshmërisë absolute të akteve të kundërshtuara, kthimin e tij në vendin e mëparshëm të punës ose në një vend tjetër ekuivalent me të, si dhe pagesën e pagës nga momenti i ndërprerjes së marrëdhënies së punës deri në ekzekutimin e këtij vendimi. Ajo gjykatë ka vlerësuar se në rastin në shqyrtim gjen zbatim ligji nr. 152/2013, i </w:t>
      </w:r>
      <w:r w:rsidR="00320F47">
        <w:rPr>
          <w:rFonts w:ascii="Garamond" w:hAnsi="Garamond"/>
          <w:sz w:val="24"/>
          <w:szCs w:val="24"/>
          <w:lang w:val="sq-AL"/>
        </w:rPr>
        <w:t xml:space="preserve">cili i shtrin efektet nga data </w:t>
      </w:r>
      <w:r w:rsidRPr="00320F47">
        <w:rPr>
          <w:rFonts w:ascii="Garamond" w:hAnsi="Garamond"/>
          <w:sz w:val="24"/>
          <w:szCs w:val="24"/>
          <w:lang w:val="sq-AL"/>
        </w:rPr>
        <w:t>1.10.2013, për sa kohë që për këtë çështje nuk ka ende një vendim të formës së prerë, pasi ajo është në gjykim në këtë gjykatë, si dhe për pasojë të rrëzimit të shkakut që shtynte në kohë efektet ligjore të tij. Ajo ka tërhequr vëmendjen mbi faktin se aktet objekt gjykimi i përkasin kohës pas hyrjes në fuqi të ligj</w:t>
      </w:r>
      <w:r w:rsidR="00320F47">
        <w:rPr>
          <w:rFonts w:ascii="Garamond" w:hAnsi="Garamond"/>
          <w:sz w:val="24"/>
          <w:szCs w:val="24"/>
          <w:lang w:val="sq-AL"/>
        </w:rPr>
        <w:t xml:space="preserve">it nr. 152/2013, pra pas datës </w:t>
      </w:r>
      <w:r w:rsidRPr="00320F47">
        <w:rPr>
          <w:rFonts w:ascii="Garamond" w:hAnsi="Garamond"/>
          <w:sz w:val="24"/>
          <w:szCs w:val="24"/>
          <w:lang w:val="sq-AL"/>
        </w:rPr>
        <w:t xml:space="preserve">1.10.213, dhe se e gjithë procedura e ndjekur për kalimin e kërkuesit në </w:t>
      </w:r>
      <w:proofErr w:type="spellStart"/>
      <w:r w:rsidRPr="00320F47">
        <w:rPr>
          <w:rFonts w:ascii="Garamond" w:hAnsi="Garamond"/>
          <w:sz w:val="24"/>
          <w:szCs w:val="24"/>
          <w:lang w:val="sq-AL"/>
        </w:rPr>
        <w:t>listëpritjeje</w:t>
      </w:r>
      <w:proofErr w:type="spellEnd"/>
      <w:r w:rsidRPr="00320F47">
        <w:rPr>
          <w:rFonts w:ascii="Garamond" w:hAnsi="Garamond"/>
          <w:sz w:val="24"/>
          <w:szCs w:val="24"/>
          <w:lang w:val="sq-AL"/>
        </w:rPr>
        <w:t xml:space="preserve"> ka nisur dhe ka përfunduar pas hyrjes në fuqi, çka e bën të detyrueshëm zbatimin e këtij ligji. Kundër këtij vendimi kanë ushtruar rekurs DAP-i dhe MBZHR-ja, si dhe dy </w:t>
      </w:r>
      <w:proofErr w:type="spellStart"/>
      <w:r w:rsidRPr="00320F47">
        <w:rPr>
          <w:rFonts w:ascii="Garamond" w:hAnsi="Garamond"/>
          <w:sz w:val="24"/>
          <w:szCs w:val="24"/>
          <w:lang w:val="sq-AL"/>
        </w:rPr>
        <w:t>kundërrekurse</w:t>
      </w:r>
      <w:proofErr w:type="spellEnd"/>
      <w:r w:rsidRPr="00320F47">
        <w:rPr>
          <w:rFonts w:ascii="Garamond" w:hAnsi="Garamond"/>
          <w:sz w:val="24"/>
          <w:szCs w:val="24"/>
          <w:lang w:val="sq-AL"/>
        </w:rPr>
        <w:t xml:space="preserve"> kërkuesi.</w:t>
      </w:r>
    </w:p>
    <w:p w14:paraId="049240C4" w14:textId="431DEBD0" w:rsidR="00D131FE" w:rsidRPr="00320F47" w:rsidRDefault="00D131FE" w:rsidP="00624736">
      <w:pPr>
        <w:pStyle w:val="ListParagraph"/>
        <w:shd w:val="clear" w:color="auto" w:fill="FFFFFF"/>
        <w:tabs>
          <w:tab w:val="left" w:pos="108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left="0" w:firstLine="288"/>
        <w:contextualSpacing w:val="0"/>
        <w:jc w:val="both"/>
        <w:rPr>
          <w:rFonts w:ascii="Garamond" w:hAnsi="Garamond"/>
          <w:sz w:val="24"/>
          <w:szCs w:val="24"/>
          <w:lang w:val="sq-AL"/>
        </w:rPr>
      </w:pPr>
      <w:r w:rsidRPr="00320F47">
        <w:rPr>
          <w:rFonts w:ascii="Garamond" w:hAnsi="Garamond"/>
          <w:sz w:val="24"/>
          <w:szCs w:val="24"/>
          <w:lang w:val="sq-AL"/>
        </w:rPr>
        <w:t>6.</w:t>
      </w:r>
      <w:r w:rsidR="00A77DE1" w:rsidRPr="00320F47">
        <w:rPr>
          <w:rFonts w:ascii="Garamond" w:hAnsi="Garamond"/>
          <w:sz w:val="24"/>
          <w:szCs w:val="24"/>
          <w:lang w:val="sq-AL"/>
        </w:rPr>
        <w:t xml:space="preserve"> </w:t>
      </w:r>
      <w:r w:rsidRPr="00320F47">
        <w:rPr>
          <w:rFonts w:ascii="Garamond" w:hAnsi="Garamond"/>
          <w:sz w:val="24"/>
          <w:szCs w:val="24"/>
          <w:lang w:val="sq-AL"/>
        </w:rPr>
        <w:t>Kolegji Administrativ i Gjykatës së Lartë, fillimisht</w:t>
      </w:r>
      <w:r w:rsidR="00320F47">
        <w:rPr>
          <w:rFonts w:ascii="Garamond" w:hAnsi="Garamond"/>
          <w:sz w:val="24"/>
          <w:szCs w:val="24"/>
          <w:lang w:val="sq-AL"/>
        </w:rPr>
        <w:t>, me vendimin nr. 221, datë 14.</w:t>
      </w:r>
      <w:r w:rsidRPr="00320F47">
        <w:rPr>
          <w:rFonts w:ascii="Garamond" w:hAnsi="Garamond"/>
          <w:sz w:val="24"/>
          <w:szCs w:val="24"/>
          <w:lang w:val="sq-AL"/>
        </w:rPr>
        <w:t>4.2016</w:t>
      </w:r>
      <w:r w:rsidR="00320F47">
        <w:rPr>
          <w:rFonts w:ascii="Garamond" w:hAnsi="Garamond"/>
          <w:sz w:val="24"/>
          <w:szCs w:val="24"/>
          <w:lang w:val="sq-AL"/>
        </w:rPr>
        <w:t>,</w:t>
      </w:r>
      <w:r w:rsidRPr="00320F47">
        <w:rPr>
          <w:rFonts w:ascii="Garamond" w:hAnsi="Garamond"/>
          <w:sz w:val="24"/>
          <w:szCs w:val="24"/>
          <w:lang w:val="sq-AL"/>
        </w:rPr>
        <w:t xml:space="preserve"> (</w:t>
      </w:r>
      <w:r w:rsidRPr="00320F47">
        <w:rPr>
          <w:rFonts w:ascii="Garamond" w:hAnsi="Garamond"/>
          <w:i/>
          <w:sz w:val="24"/>
          <w:szCs w:val="24"/>
          <w:lang w:val="sq-AL"/>
        </w:rPr>
        <w:t>vendimi nr. 221/2016</w:t>
      </w:r>
      <w:r w:rsidRPr="00320F47">
        <w:rPr>
          <w:rFonts w:ascii="Garamond" w:hAnsi="Garamond"/>
          <w:sz w:val="24"/>
          <w:szCs w:val="24"/>
          <w:lang w:val="sq-AL"/>
        </w:rPr>
        <w:t>), ka vendosur pezullimin e ekzekutimit të vendimit të Gjykatës Administrative të Apelit dhe me vendimin nr. 221/1, dat</w:t>
      </w:r>
      <w:r w:rsidR="00320F47">
        <w:rPr>
          <w:rFonts w:ascii="Garamond" w:hAnsi="Garamond"/>
          <w:sz w:val="24"/>
          <w:szCs w:val="24"/>
          <w:lang w:val="sq-AL"/>
        </w:rPr>
        <w:t xml:space="preserve">ë </w:t>
      </w:r>
      <w:r w:rsidRPr="00320F47">
        <w:rPr>
          <w:rFonts w:ascii="Garamond" w:hAnsi="Garamond"/>
          <w:sz w:val="24"/>
          <w:szCs w:val="24"/>
          <w:lang w:val="sq-AL"/>
        </w:rPr>
        <w:t>6.11.2018, nuk ka pranuar kërkesën e kërkuesit për revokimin e at</w:t>
      </w:r>
      <w:r w:rsidR="00320F47">
        <w:rPr>
          <w:rFonts w:ascii="Garamond" w:hAnsi="Garamond"/>
          <w:sz w:val="24"/>
          <w:szCs w:val="24"/>
          <w:lang w:val="sq-AL"/>
        </w:rPr>
        <w:t>ij vendimi. Ndërsa në datën 13.</w:t>
      </w:r>
      <w:r w:rsidRPr="00320F47">
        <w:rPr>
          <w:rFonts w:ascii="Garamond" w:hAnsi="Garamond"/>
          <w:sz w:val="24"/>
          <w:szCs w:val="24"/>
          <w:lang w:val="sq-AL"/>
        </w:rPr>
        <w:t>2.2018</w:t>
      </w:r>
      <w:r w:rsidR="00320F47">
        <w:rPr>
          <w:rFonts w:ascii="Garamond" w:hAnsi="Garamond"/>
          <w:sz w:val="24"/>
          <w:szCs w:val="24"/>
          <w:lang w:val="sq-AL"/>
        </w:rPr>
        <w:t>,</w:t>
      </w:r>
      <w:r w:rsidRPr="00320F47">
        <w:rPr>
          <w:rFonts w:ascii="Garamond" w:hAnsi="Garamond"/>
          <w:sz w:val="24"/>
          <w:szCs w:val="24"/>
          <w:lang w:val="sq-AL"/>
        </w:rPr>
        <w:t xml:space="preserve"> ka vendosur kalimin e çështjes për gjykim në seancë gjyqësore me praninë e palëve </w:t>
      </w:r>
      <w:proofErr w:type="spellStart"/>
      <w:r w:rsidRPr="00320F47">
        <w:rPr>
          <w:rFonts w:ascii="Garamond" w:hAnsi="Garamond"/>
          <w:sz w:val="24"/>
          <w:szCs w:val="24"/>
          <w:lang w:val="sq-AL"/>
        </w:rPr>
        <w:t>ndërgjyqëse</w:t>
      </w:r>
      <w:proofErr w:type="spellEnd"/>
      <w:r w:rsidRPr="00320F47">
        <w:rPr>
          <w:rFonts w:ascii="Garamond" w:hAnsi="Garamond"/>
          <w:sz w:val="24"/>
          <w:szCs w:val="24"/>
          <w:lang w:val="sq-AL"/>
        </w:rPr>
        <w:t>.</w:t>
      </w:r>
    </w:p>
    <w:p w14:paraId="79CB5A05" w14:textId="528DC2C8" w:rsidR="00D131FE" w:rsidRPr="00320F47" w:rsidRDefault="00D131FE" w:rsidP="00624736">
      <w:pPr>
        <w:pStyle w:val="ListParagraph"/>
        <w:shd w:val="clear" w:color="auto" w:fill="FFFFFF"/>
        <w:tabs>
          <w:tab w:val="left" w:pos="1080"/>
        </w:tabs>
        <w:spacing w:after="0" w:line="240" w:lineRule="auto"/>
        <w:ind w:left="0" w:firstLine="288"/>
        <w:contextualSpacing w:val="0"/>
        <w:jc w:val="both"/>
        <w:rPr>
          <w:rFonts w:ascii="Garamond" w:hAnsi="Garamond"/>
          <w:sz w:val="24"/>
          <w:szCs w:val="24"/>
          <w:lang w:val="sq-AL"/>
        </w:rPr>
      </w:pPr>
      <w:r w:rsidRPr="00320F47">
        <w:rPr>
          <w:rFonts w:ascii="Garamond" w:hAnsi="Garamond"/>
          <w:sz w:val="24"/>
          <w:szCs w:val="24"/>
          <w:lang w:val="sq-AL"/>
        </w:rPr>
        <w:t>7.</w:t>
      </w:r>
      <w:r w:rsidR="00A77DE1" w:rsidRPr="00320F47">
        <w:rPr>
          <w:rFonts w:ascii="Garamond" w:hAnsi="Garamond"/>
          <w:sz w:val="24"/>
          <w:szCs w:val="24"/>
          <w:lang w:val="sq-AL"/>
        </w:rPr>
        <w:t xml:space="preserve"> </w:t>
      </w:r>
      <w:r w:rsidR="00320F47">
        <w:rPr>
          <w:rFonts w:ascii="Garamond" w:hAnsi="Garamond"/>
          <w:sz w:val="24"/>
          <w:szCs w:val="24"/>
          <w:lang w:val="sq-AL"/>
        </w:rPr>
        <w:t>Kërkuesi në datën 28.</w:t>
      </w:r>
      <w:r w:rsidRPr="00320F47">
        <w:rPr>
          <w:rFonts w:ascii="Garamond" w:hAnsi="Garamond"/>
          <w:sz w:val="24"/>
          <w:szCs w:val="24"/>
          <w:lang w:val="sq-AL"/>
        </w:rPr>
        <w:t>5.2020</w:t>
      </w:r>
      <w:r w:rsidR="00320F47">
        <w:rPr>
          <w:rFonts w:ascii="Garamond" w:hAnsi="Garamond"/>
          <w:sz w:val="24"/>
          <w:szCs w:val="24"/>
          <w:lang w:val="sq-AL"/>
        </w:rPr>
        <w:t>,</w:t>
      </w:r>
      <w:r w:rsidRPr="00320F47">
        <w:rPr>
          <w:rFonts w:ascii="Garamond" w:hAnsi="Garamond"/>
          <w:sz w:val="24"/>
          <w:szCs w:val="24"/>
          <w:lang w:val="sq-AL"/>
        </w:rPr>
        <w:t xml:space="preserve"> ka paraqitur në Gjykatën e Lartë kërkesë për revokimin e vendimit nr. 221/2016 dhe të njëjtën kërkesë ai e k</w:t>
      </w:r>
      <w:r w:rsidR="00320F47">
        <w:rPr>
          <w:rFonts w:ascii="Garamond" w:hAnsi="Garamond"/>
          <w:sz w:val="24"/>
          <w:szCs w:val="24"/>
          <w:lang w:val="sq-AL"/>
        </w:rPr>
        <w:t>a paraqitur sërish në datën 25.6.2021. Po kështu, në datën 31.</w:t>
      </w:r>
      <w:r w:rsidRPr="00320F47">
        <w:rPr>
          <w:rFonts w:ascii="Garamond" w:hAnsi="Garamond"/>
          <w:sz w:val="24"/>
          <w:szCs w:val="24"/>
          <w:lang w:val="sq-AL"/>
        </w:rPr>
        <w:t>5.2021, ai i është drejtuar zëvendëskryetarit të Gjykatës së Lartë me kërkesë për gjykimin e çështjes së tij me procedurë të</w:t>
      </w:r>
      <w:r w:rsidR="00320F47">
        <w:rPr>
          <w:rFonts w:ascii="Garamond" w:hAnsi="Garamond"/>
          <w:sz w:val="24"/>
          <w:szCs w:val="24"/>
          <w:lang w:val="sq-AL"/>
        </w:rPr>
        <w:t xml:space="preserve"> përshpejtuar, ndërsa në datën </w:t>
      </w:r>
      <w:r w:rsidRPr="00320F47">
        <w:rPr>
          <w:rFonts w:ascii="Garamond" w:hAnsi="Garamond"/>
          <w:sz w:val="24"/>
          <w:szCs w:val="24"/>
          <w:lang w:val="sq-AL"/>
        </w:rPr>
        <w:t xml:space="preserve">1.11.2021, nëpërmjet avokatit të tij, ka paraqitur dy kërkesa të tjera, duke kërkuar revokimin e vendimit për kalimin e çështjes në seancë gjyqësore dhe kthimin e saj për shqyrtim në dhomën e këshillimit, revokimin e </w:t>
      </w:r>
      <w:r w:rsidRPr="00320F47">
        <w:rPr>
          <w:rFonts w:ascii="Garamond" w:hAnsi="Garamond"/>
          <w:sz w:val="24"/>
          <w:szCs w:val="24"/>
          <w:lang w:val="sq-AL"/>
        </w:rPr>
        <w:lastRenderedPageBreak/>
        <w:t xml:space="preserve">vendimit nr. 221/2016, si dhe shqyrtimin e kërkesave brenda një afati të arsyeshëm </w:t>
      </w:r>
      <w:r w:rsidR="00320F47">
        <w:rPr>
          <w:rFonts w:ascii="Garamond" w:hAnsi="Garamond"/>
          <w:sz w:val="24"/>
          <w:szCs w:val="24"/>
          <w:lang w:val="sq-AL"/>
        </w:rPr>
        <w:t>ligjor. Me kërkesën e datës 20.</w:t>
      </w:r>
      <w:r w:rsidRPr="00320F47">
        <w:rPr>
          <w:rFonts w:ascii="Garamond" w:hAnsi="Garamond"/>
          <w:sz w:val="24"/>
          <w:szCs w:val="24"/>
          <w:lang w:val="sq-AL"/>
        </w:rPr>
        <w:t>4.2022</w:t>
      </w:r>
      <w:r w:rsidR="00320F47">
        <w:rPr>
          <w:rFonts w:ascii="Garamond" w:hAnsi="Garamond"/>
          <w:sz w:val="24"/>
          <w:szCs w:val="24"/>
          <w:lang w:val="sq-AL"/>
        </w:rPr>
        <w:t>,</w:t>
      </w:r>
      <w:r w:rsidRPr="00320F47">
        <w:rPr>
          <w:rFonts w:ascii="Garamond" w:hAnsi="Garamond"/>
          <w:sz w:val="24"/>
          <w:szCs w:val="24"/>
          <w:lang w:val="sq-AL"/>
        </w:rPr>
        <w:t xml:space="preserve"> kërkuesi ka kërkuar informacion lidhur me ecurinë dhe statusin e gjykimit të çështjes së tij.</w:t>
      </w:r>
    </w:p>
    <w:p w14:paraId="09496236" w14:textId="2FDCD268" w:rsidR="00D131FE" w:rsidRPr="00320F47" w:rsidRDefault="00D131FE" w:rsidP="00624736">
      <w:pPr>
        <w:pStyle w:val="ListParagraph"/>
        <w:shd w:val="clear" w:color="auto" w:fill="FFFFFF"/>
        <w:tabs>
          <w:tab w:val="left" w:pos="1080"/>
        </w:tabs>
        <w:spacing w:after="0" w:line="240" w:lineRule="auto"/>
        <w:ind w:left="0" w:firstLine="288"/>
        <w:contextualSpacing w:val="0"/>
        <w:jc w:val="both"/>
        <w:rPr>
          <w:rFonts w:ascii="Garamond" w:hAnsi="Garamond"/>
          <w:sz w:val="24"/>
          <w:szCs w:val="24"/>
          <w:lang w:val="sq-AL"/>
        </w:rPr>
      </w:pPr>
      <w:r w:rsidRPr="00320F47">
        <w:rPr>
          <w:rFonts w:ascii="Garamond" w:hAnsi="Garamond"/>
          <w:sz w:val="24"/>
          <w:szCs w:val="24"/>
          <w:lang w:val="sq-AL"/>
        </w:rPr>
        <w:t>8.</w:t>
      </w:r>
      <w:r w:rsidR="00A77DE1" w:rsidRPr="00320F47">
        <w:rPr>
          <w:rFonts w:ascii="Garamond" w:hAnsi="Garamond"/>
          <w:sz w:val="24"/>
          <w:szCs w:val="24"/>
          <w:lang w:val="sq-AL"/>
        </w:rPr>
        <w:t xml:space="preserve"> </w:t>
      </w:r>
      <w:r w:rsidRPr="00320F47">
        <w:rPr>
          <w:rFonts w:ascii="Garamond" w:hAnsi="Garamond"/>
          <w:sz w:val="24"/>
          <w:szCs w:val="24"/>
          <w:lang w:val="sq-AL"/>
        </w:rPr>
        <w:t>Gjykat</w:t>
      </w:r>
      <w:r w:rsidR="00A932F3">
        <w:rPr>
          <w:rFonts w:ascii="Garamond" w:hAnsi="Garamond"/>
          <w:sz w:val="24"/>
          <w:szCs w:val="24"/>
          <w:lang w:val="sq-AL"/>
        </w:rPr>
        <w:t>a e Lartë, me vendimin e datës 9.</w:t>
      </w:r>
      <w:r w:rsidRPr="00320F47">
        <w:rPr>
          <w:rFonts w:ascii="Garamond" w:hAnsi="Garamond"/>
          <w:sz w:val="24"/>
          <w:szCs w:val="24"/>
          <w:lang w:val="sq-AL"/>
        </w:rPr>
        <w:t>5.2022, k</w:t>
      </w:r>
      <w:r w:rsidR="00320F47">
        <w:rPr>
          <w:rFonts w:ascii="Garamond" w:hAnsi="Garamond"/>
          <w:sz w:val="24"/>
          <w:szCs w:val="24"/>
          <w:lang w:val="sq-AL"/>
        </w:rPr>
        <w:t>a revokuar vendimin e datës 13.</w:t>
      </w:r>
      <w:r w:rsidRPr="00320F47">
        <w:rPr>
          <w:rFonts w:ascii="Garamond" w:hAnsi="Garamond"/>
          <w:sz w:val="24"/>
          <w:szCs w:val="24"/>
          <w:lang w:val="sq-AL"/>
        </w:rPr>
        <w:t>2.2018</w:t>
      </w:r>
      <w:r w:rsidR="00320F47">
        <w:rPr>
          <w:rFonts w:ascii="Garamond" w:hAnsi="Garamond"/>
          <w:sz w:val="24"/>
          <w:szCs w:val="24"/>
          <w:lang w:val="sq-AL"/>
        </w:rPr>
        <w:t>,</w:t>
      </w:r>
      <w:r w:rsidRPr="00320F47">
        <w:rPr>
          <w:rFonts w:ascii="Garamond" w:hAnsi="Garamond"/>
          <w:sz w:val="24"/>
          <w:szCs w:val="24"/>
          <w:lang w:val="sq-AL"/>
        </w:rPr>
        <w:t xml:space="preserve"> dhe ka vendosur shqyrtimin e çështjes në dhomën e këshillimit mbi b</w:t>
      </w:r>
      <w:r w:rsidR="00320F47">
        <w:rPr>
          <w:rFonts w:ascii="Garamond" w:hAnsi="Garamond"/>
          <w:sz w:val="24"/>
          <w:szCs w:val="24"/>
          <w:lang w:val="sq-AL"/>
        </w:rPr>
        <w:t>azë të dokumenteve në datën 26.</w:t>
      </w:r>
      <w:r w:rsidRPr="00320F47">
        <w:rPr>
          <w:rFonts w:ascii="Garamond" w:hAnsi="Garamond"/>
          <w:sz w:val="24"/>
          <w:szCs w:val="24"/>
          <w:lang w:val="sq-AL"/>
        </w:rPr>
        <w:t>5.2022. Më pas, me vendimin n</w:t>
      </w:r>
      <w:r w:rsidR="00320F47">
        <w:rPr>
          <w:rFonts w:ascii="Garamond" w:hAnsi="Garamond"/>
          <w:sz w:val="24"/>
          <w:szCs w:val="24"/>
          <w:lang w:val="sq-AL"/>
        </w:rPr>
        <w:t>r. 00-2022-1029 (210), datë 26.</w:t>
      </w:r>
      <w:r w:rsidRPr="00320F47">
        <w:rPr>
          <w:rFonts w:ascii="Garamond" w:hAnsi="Garamond"/>
          <w:sz w:val="24"/>
          <w:szCs w:val="24"/>
          <w:lang w:val="sq-AL"/>
        </w:rPr>
        <w:t>5.2022, kjo gjykatë, ka vendosur pri</w:t>
      </w:r>
      <w:r w:rsidR="00320F47">
        <w:rPr>
          <w:rFonts w:ascii="Garamond" w:hAnsi="Garamond"/>
          <w:sz w:val="24"/>
          <w:szCs w:val="24"/>
          <w:lang w:val="sq-AL"/>
        </w:rPr>
        <w:t>shjen e vendimit nr. 414, datë 3.</w:t>
      </w:r>
      <w:r w:rsidRPr="00320F47">
        <w:rPr>
          <w:rFonts w:ascii="Garamond" w:hAnsi="Garamond"/>
          <w:sz w:val="24"/>
          <w:szCs w:val="24"/>
          <w:lang w:val="sq-AL"/>
        </w:rPr>
        <w:t>3.2016</w:t>
      </w:r>
      <w:r w:rsidR="00320F47">
        <w:rPr>
          <w:rFonts w:ascii="Garamond" w:hAnsi="Garamond"/>
          <w:sz w:val="24"/>
          <w:szCs w:val="24"/>
          <w:lang w:val="sq-AL"/>
        </w:rPr>
        <w:t>,</w:t>
      </w:r>
      <w:r w:rsidRPr="00320F47">
        <w:rPr>
          <w:rFonts w:ascii="Garamond" w:hAnsi="Garamond"/>
          <w:sz w:val="24"/>
          <w:szCs w:val="24"/>
          <w:lang w:val="sq-AL"/>
        </w:rPr>
        <w:t xml:space="preserve"> të Gjykatës Administrative të Apelit dhe lënien në fuqi</w:t>
      </w:r>
      <w:r w:rsidR="00320F47">
        <w:rPr>
          <w:rFonts w:ascii="Garamond" w:hAnsi="Garamond"/>
          <w:sz w:val="24"/>
          <w:szCs w:val="24"/>
          <w:lang w:val="sq-AL"/>
        </w:rPr>
        <w:t xml:space="preserve"> të vendimit nr. 3610, datë 26.</w:t>
      </w:r>
      <w:r w:rsidRPr="00320F47">
        <w:rPr>
          <w:rFonts w:ascii="Garamond" w:hAnsi="Garamond"/>
          <w:sz w:val="24"/>
          <w:szCs w:val="24"/>
          <w:lang w:val="sq-AL"/>
        </w:rPr>
        <w:t>6.2014</w:t>
      </w:r>
      <w:r w:rsidR="00320F47">
        <w:rPr>
          <w:rFonts w:ascii="Garamond" w:hAnsi="Garamond"/>
          <w:sz w:val="24"/>
          <w:szCs w:val="24"/>
          <w:lang w:val="sq-AL"/>
        </w:rPr>
        <w:t>,</w:t>
      </w:r>
      <w:r w:rsidRPr="00320F47">
        <w:rPr>
          <w:rFonts w:ascii="Garamond" w:hAnsi="Garamond"/>
          <w:sz w:val="24"/>
          <w:szCs w:val="24"/>
          <w:lang w:val="sq-AL"/>
        </w:rPr>
        <w:t xml:space="preserve"> të Gjykatës Administrative të Shkallës së Parë Tiranë. Gjykata e Lartë ka arsyetuar se rekursi përmbante shkaqe nga ato të parashikuara në nenin 58 të ligjit nr. 49/2012</w:t>
      </w:r>
      <w:r w:rsidR="00320F47">
        <w:rPr>
          <w:rFonts w:ascii="Garamond" w:hAnsi="Garamond"/>
          <w:sz w:val="24"/>
          <w:szCs w:val="24"/>
          <w:lang w:val="sq-AL"/>
        </w:rPr>
        <w:t>,</w:t>
      </w:r>
      <w:r w:rsidRPr="00320F47">
        <w:rPr>
          <w:rFonts w:ascii="Garamond" w:hAnsi="Garamond"/>
          <w:sz w:val="24"/>
          <w:szCs w:val="24"/>
          <w:lang w:val="sq-AL"/>
        </w:rPr>
        <w:t xml:space="preserve"> “Për gjykatat administrative dhe gjykimin e mosmarrëveshjeve administrative”, të ndryshuar (</w:t>
      </w:r>
      <w:r w:rsidRPr="00320F47">
        <w:rPr>
          <w:rFonts w:ascii="Garamond" w:hAnsi="Garamond"/>
          <w:i/>
          <w:sz w:val="24"/>
          <w:szCs w:val="24"/>
          <w:lang w:val="sq-AL"/>
        </w:rPr>
        <w:t>ligji nr. 49/2012</w:t>
      </w:r>
      <w:r w:rsidRPr="00320F47">
        <w:rPr>
          <w:rFonts w:ascii="Garamond" w:hAnsi="Garamond"/>
          <w:sz w:val="24"/>
          <w:szCs w:val="24"/>
          <w:lang w:val="sq-AL"/>
        </w:rPr>
        <w:t>), pasi qëndrimi i Gjykatës Administrative të Apelit ishte i gabuar dhe arsyetimi nuk përputhej me parashikimet e ligjeve nr. 8549/1999 dhe nr. 49/2012, si dhe të KPA-së të vitit 1999, që gjejnë zbatim në rastin konkret.</w:t>
      </w:r>
    </w:p>
    <w:p w14:paraId="5F4976C6" w14:textId="655C4FBF" w:rsidR="00D131FE" w:rsidRPr="00320F47" w:rsidRDefault="00D131FE" w:rsidP="00624736">
      <w:pPr>
        <w:pStyle w:val="ListParagraph"/>
        <w:shd w:val="clear" w:color="auto" w:fill="FFFFFF"/>
        <w:tabs>
          <w:tab w:val="left" w:pos="360"/>
          <w:tab w:val="left" w:pos="990"/>
          <w:tab w:val="left" w:pos="1080"/>
        </w:tabs>
        <w:spacing w:after="0" w:line="240" w:lineRule="auto"/>
        <w:ind w:left="0" w:firstLine="288"/>
        <w:contextualSpacing w:val="0"/>
        <w:jc w:val="both"/>
        <w:rPr>
          <w:rFonts w:ascii="Garamond" w:hAnsi="Garamond"/>
          <w:sz w:val="24"/>
          <w:szCs w:val="24"/>
          <w:lang w:val="sq-AL"/>
        </w:rPr>
      </w:pPr>
      <w:r w:rsidRPr="00320F47">
        <w:rPr>
          <w:rFonts w:ascii="Garamond" w:hAnsi="Garamond"/>
          <w:spacing w:val="15"/>
          <w:sz w:val="24"/>
          <w:szCs w:val="24"/>
          <w:lang w:val="sq-AL"/>
        </w:rPr>
        <w:t>9.</w:t>
      </w:r>
      <w:r w:rsidR="00A77DE1" w:rsidRPr="00320F47">
        <w:rPr>
          <w:rFonts w:ascii="Garamond" w:hAnsi="Garamond"/>
          <w:spacing w:val="15"/>
          <w:sz w:val="24"/>
          <w:szCs w:val="24"/>
          <w:lang w:val="sq-AL"/>
        </w:rPr>
        <w:t xml:space="preserve"> </w:t>
      </w:r>
      <w:r w:rsidRPr="00320F47">
        <w:rPr>
          <w:rFonts w:ascii="Garamond" w:hAnsi="Garamond"/>
          <w:spacing w:val="1"/>
          <w:sz w:val="24"/>
          <w:szCs w:val="24"/>
          <w:bdr w:val="none" w:sz="0" w:space="0" w:color="auto" w:frame="1"/>
          <w:lang w:val="sq-AL"/>
        </w:rPr>
        <w:t>Në datën 12.10.2022</w:t>
      </w:r>
      <w:r w:rsidR="00320F47">
        <w:rPr>
          <w:rFonts w:ascii="Garamond" w:hAnsi="Garamond"/>
          <w:spacing w:val="1"/>
          <w:sz w:val="24"/>
          <w:szCs w:val="24"/>
          <w:bdr w:val="none" w:sz="0" w:space="0" w:color="auto" w:frame="1"/>
          <w:lang w:val="sq-AL"/>
        </w:rPr>
        <w:t>,</w:t>
      </w:r>
      <w:r w:rsidRPr="00320F47">
        <w:rPr>
          <w:rFonts w:ascii="Garamond" w:hAnsi="Garamond"/>
          <w:spacing w:val="1"/>
          <w:sz w:val="24"/>
          <w:szCs w:val="24"/>
          <w:bdr w:val="none" w:sz="0" w:space="0" w:color="auto" w:frame="1"/>
          <w:lang w:val="sq-AL"/>
        </w:rPr>
        <w:t xml:space="preserve"> kërkuesi i është drejtuar Gjykatës Kushtetuese </w:t>
      </w:r>
      <w:r w:rsidRPr="00320F47">
        <w:rPr>
          <w:rFonts w:ascii="Garamond" w:hAnsi="Garamond"/>
          <w:i/>
          <w:spacing w:val="1"/>
          <w:sz w:val="24"/>
          <w:szCs w:val="24"/>
          <w:bdr w:val="none" w:sz="0" w:space="0" w:color="auto" w:frame="1"/>
          <w:lang w:val="sq-AL"/>
        </w:rPr>
        <w:t>(Gjykata)</w:t>
      </w:r>
      <w:r w:rsidRPr="00320F47">
        <w:rPr>
          <w:rFonts w:ascii="Garamond" w:hAnsi="Garamond"/>
          <w:spacing w:val="1"/>
          <w:sz w:val="24"/>
          <w:szCs w:val="24"/>
          <w:bdr w:val="none" w:sz="0" w:space="0" w:color="auto" w:frame="1"/>
          <w:lang w:val="sq-AL"/>
        </w:rPr>
        <w:t xml:space="preserve"> me ankim kushtetues individual për shfuqizimin e </w:t>
      </w:r>
      <w:r w:rsidRPr="00320F47">
        <w:rPr>
          <w:rFonts w:ascii="Garamond" w:hAnsi="Garamond"/>
          <w:sz w:val="24"/>
          <w:szCs w:val="24"/>
          <w:lang w:val="sq-AL"/>
        </w:rPr>
        <w:t>vendimit n</w:t>
      </w:r>
      <w:r w:rsidR="00320F47">
        <w:rPr>
          <w:rFonts w:ascii="Garamond" w:hAnsi="Garamond"/>
          <w:sz w:val="24"/>
          <w:szCs w:val="24"/>
          <w:lang w:val="sq-AL"/>
        </w:rPr>
        <w:t>r. 00-2022-1029 (210), datë 26.</w:t>
      </w:r>
      <w:r w:rsidRPr="00320F47">
        <w:rPr>
          <w:rFonts w:ascii="Garamond" w:hAnsi="Garamond"/>
          <w:sz w:val="24"/>
          <w:szCs w:val="24"/>
          <w:lang w:val="sq-AL"/>
        </w:rPr>
        <w:t>5.2022</w:t>
      </w:r>
      <w:r w:rsidR="00320F47">
        <w:rPr>
          <w:rFonts w:ascii="Garamond" w:hAnsi="Garamond"/>
          <w:sz w:val="24"/>
          <w:szCs w:val="24"/>
          <w:lang w:val="sq-AL"/>
        </w:rPr>
        <w:t>,</w:t>
      </w:r>
      <w:r w:rsidRPr="00320F47">
        <w:rPr>
          <w:rFonts w:ascii="Garamond" w:hAnsi="Garamond"/>
          <w:sz w:val="24"/>
          <w:szCs w:val="24"/>
          <w:lang w:val="sq-AL"/>
        </w:rPr>
        <w:t xml:space="preserve"> të Kolegjit Administrativ të Gjykatës së Lartë, si të papajtueshëm me Kushtetutën. </w:t>
      </w:r>
      <w:r w:rsidR="00320F47">
        <w:rPr>
          <w:rFonts w:ascii="Garamond" w:hAnsi="Garamond"/>
          <w:sz w:val="24"/>
          <w:szCs w:val="24"/>
          <w:lang w:val="sq-AL"/>
        </w:rPr>
        <w:t>Kolegji i Gjykatës në datën 11.</w:t>
      </w:r>
      <w:r w:rsidRPr="00320F47">
        <w:rPr>
          <w:rFonts w:ascii="Garamond" w:hAnsi="Garamond"/>
          <w:sz w:val="24"/>
          <w:szCs w:val="24"/>
          <w:lang w:val="sq-AL"/>
        </w:rPr>
        <w:t>1.2023, bazuar në nenin 21, pika 1, të ligjit nr. 8577/2000, ka vendosur kalimin e çështjes për shqyrtim në seancë plenare mbi bazë të dokumenteve. Fillimisht, seanca plenare për shqyrtimin e çësh</w:t>
      </w:r>
      <w:r w:rsidR="00320F47">
        <w:rPr>
          <w:rFonts w:ascii="Garamond" w:hAnsi="Garamond"/>
          <w:sz w:val="24"/>
          <w:szCs w:val="24"/>
          <w:lang w:val="sq-AL"/>
        </w:rPr>
        <w:t>tjes është caktuar në datën 20.</w:t>
      </w:r>
      <w:r w:rsidRPr="00320F47">
        <w:rPr>
          <w:rFonts w:ascii="Garamond" w:hAnsi="Garamond"/>
          <w:sz w:val="24"/>
          <w:szCs w:val="24"/>
          <w:lang w:val="sq-AL"/>
        </w:rPr>
        <w:t>4.2023, por për arsye objektive zhvillimi i sa</w:t>
      </w:r>
      <w:r w:rsidR="00320F47">
        <w:rPr>
          <w:rFonts w:ascii="Garamond" w:hAnsi="Garamond"/>
          <w:sz w:val="24"/>
          <w:szCs w:val="24"/>
          <w:lang w:val="sq-AL"/>
        </w:rPr>
        <w:t>j është shtyrë për në datën 26.</w:t>
      </w:r>
      <w:r w:rsidRPr="00320F47">
        <w:rPr>
          <w:rFonts w:ascii="Garamond" w:hAnsi="Garamond"/>
          <w:sz w:val="24"/>
          <w:szCs w:val="24"/>
          <w:lang w:val="sq-AL"/>
        </w:rPr>
        <w:t>5.2023, ndryshim për të cilin palët janë njoftuar rregullisht.</w:t>
      </w:r>
    </w:p>
    <w:p w14:paraId="205E7CDF" w14:textId="77777777" w:rsidR="00D131FE" w:rsidRPr="00320F47" w:rsidRDefault="00D131FE" w:rsidP="00624736">
      <w:pPr>
        <w:spacing w:after="0" w:line="240" w:lineRule="auto"/>
        <w:ind w:firstLine="288"/>
        <w:jc w:val="both"/>
        <w:rPr>
          <w:rFonts w:ascii="Garamond" w:hAnsi="Garamond"/>
          <w:b/>
          <w:sz w:val="24"/>
          <w:szCs w:val="24"/>
        </w:rPr>
      </w:pPr>
    </w:p>
    <w:p w14:paraId="63E942EA" w14:textId="77777777" w:rsidR="00D131FE" w:rsidRPr="00320F47" w:rsidRDefault="00D131FE" w:rsidP="00624736">
      <w:pPr>
        <w:spacing w:after="0" w:line="240" w:lineRule="auto"/>
        <w:ind w:firstLine="288"/>
        <w:jc w:val="center"/>
        <w:rPr>
          <w:rFonts w:ascii="Garamond" w:hAnsi="Garamond"/>
          <w:sz w:val="24"/>
          <w:szCs w:val="24"/>
        </w:rPr>
      </w:pPr>
      <w:bookmarkStart w:id="2" w:name="_GoBack"/>
      <w:r w:rsidRPr="00320F47">
        <w:rPr>
          <w:rFonts w:ascii="Garamond" w:hAnsi="Garamond"/>
          <w:sz w:val="24"/>
          <w:szCs w:val="24"/>
        </w:rPr>
        <w:t>II</w:t>
      </w:r>
    </w:p>
    <w:p w14:paraId="06B8E4ED" w14:textId="77777777" w:rsidR="00D131FE" w:rsidRPr="00320F47" w:rsidRDefault="00D131FE" w:rsidP="00624736">
      <w:pPr>
        <w:pStyle w:val="ListParagraph"/>
        <w:spacing w:after="0" w:line="240" w:lineRule="auto"/>
        <w:ind w:left="0" w:firstLine="288"/>
        <w:contextualSpacing w:val="0"/>
        <w:jc w:val="center"/>
        <w:rPr>
          <w:rFonts w:ascii="Garamond" w:hAnsi="Garamond"/>
          <w:b/>
          <w:sz w:val="24"/>
          <w:szCs w:val="24"/>
          <w:lang w:val="sq-AL"/>
        </w:rPr>
      </w:pPr>
      <w:r w:rsidRPr="00320F47">
        <w:rPr>
          <w:rFonts w:ascii="Garamond" w:hAnsi="Garamond"/>
          <w:b/>
          <w:sz w:val="24"/>
          <w:szCs w:val="24"/>
          <w:lang w:val="sq-AL"/>
        </w:rPr>
        <w:t>Pretendimet në Gjykatën Kushtetuese</w:t>
      </w:r>
    </w:p>
    <w:bookmarkEnd w:id="2"/>
    <w:p w14:paraId="60697F40" w14:textId="77777777" w:rsidR="00A77DE1" w:rsidRPr="00320F47" w:rsidRDefault="00A77DE1" w:rsidP="00624736">
      <w:pPr>
        <w:pStyle w:val="ListParagraph"/>
        <w:spacing w:after="0" w:line="240" w:lineRule="auto"/>
        <w:ind w:left="0" w:firstLine="288"/>
        <w:contextualSpacing w:val="0"/>
        <w:jc w:val="both"/>
        <w:rPr>
          <w:rFonts w:ascii="Garamond" w:hAnsi="Garamond"/>
          <w:b/>
          <w:sz w:val="24"/>
          <w:szCs w:val="24"/>
          <w:lang w:val="sq-AL"/>
        </w:rPr>
      </w:pPr>
    </w:p>
    <w:p w14:paraId="7E330A5F" w14:textId="7A9E495B" w:rsidR="00D131FE" w:rsidRPr="00320F47" w:rsidRDefault="00D131FE" w:rsidP="00624736">
      <w:pPr>
        <w:pStyle w:val="ListParagraph"/>
        <w:tabs>
          <w:tab w:val="left" w:pos="720"/>
          <w:tab w:val="left" w:pos="1080"/>
        </w:tabs>
        <w:spacing w:after="0" w:line="240" w:lineRule="auto"/>
        <w:ind w:left="0" w:firstLine="288"/>
        <w:contextualSpacing w:val="0"/>
        <w:jc w:val="both"/>
        <w:rPr>
          <w:rFonts w:ascii="Garamond" w:hAnsi="Garamond"/>
          <w:i/>
          <w:sz w:val="24"/>
          <w:szCs w:val="24"/>
          <w:lang w:val="sq-AL"/>
        </w:rPr>
      </w:pPr>
      <w:r w:rsidRPr="00320F47">
        <w:rPr>
          <w:rFonts w:ascii="Garamond" w:hAnsi="Garamond"/>
          <w:sz w:val="24"/>
          <w:szCs w:val="24"/>
          <w:lang w:val="sq-AL"/>
        </w:rPr>
        <w:t>10.</w:t>
      </w:r>
      <w:r w:rsidR="00A77DE1" w:rsidRPr="00320F47">
        <w:rPr>
          <w:rFonts w:ascii="Garamond" w:hAnsi="Garamond"/>
          <w:sz w:val="24"/>
          <w:szCs w:val="24"/>
          <w:lang w:val="sq-AL"/>
        </w:rPr>
        <w:t xml:space="preserve"> </w:t>
      </w:r>
      <w:r w:rsidRPr="00320F47">
        <w:rPr>
          <w:rFonts w:ascii="Garamond" w:hAnsi="Garamond"/>
          <w:b/>
          <w:i/>
          <w:sz w:val="24"/>
          <w:szCs w:val="24"/>
          <w:lang w:val="sq-AL"/>
        </w:rPr>
        <w:t>Kërkuesi</w:t>
      </w:r>
      <w:r w:rsidRPr="00320F47">
        <w:rPr>
          <w:rFonts w:ascii="Garamond" w:hAnsi="Garamond"/>
          <w:kern w:val="28"/>
          <w:sz w:val="24"/>
          <w:szCs w:val="24"/>
          <w:lang w:val="sq-AL"/>
        </w:rPr>
        <w:t xml:space="preserve">, </w:t>
      </w:r>
      <w:r w:rsidRPr="00320F47">
        <w:rPr>
          <w:rFonts w:ascii="Garamond" w:hAnsi="Garamond"/>
          <w:sz w:val="24"/>
          <w:szCs w:val="24"/>
          <w:lang w:val="sq-AL"/>
        </w:rPr>
        <w:t>në mënyrë të përmbledhur, ka pretenduar cenimin e së drejtës për proces të rregullt ligjor, të garantuar nga neni 42 i Kushtetutës, në drejtim të:</w:t>
      </w:r>
    </w:p>
    <w:p w14:paraId="0721DA26" w14:textId="3D3830E6" w:rsidR="00D131FE" w:rsidRPr="00320F47" w:rsidRDefault="00D131FE" w:rsidP="00624736">
      <w:pPr>
        <w:pStyle w:val="ListParagraph"/>
        <w:tabs>
          <w:tab w:val="left" w:pos="2160"/>
        </w:tabs>
        <w:spacing w:after="0" w:line="240" w:lineRule="auto"/>
        <w:ind w:left="0" w:firstLine="288"/>
        <w:contextualSpacing w:val="0"/>
        <w:jc w:val="both"/>
        <w:rPr>
          <w:rFonts w:ascii="Garamond" w:hAnsi="Garamond"/>
          <w:sz w:val="24"/>
          <w:szCs w:val="24"/>
          <w:lang w:val="sq-AL"/>
        </w:rPr>
      </w:pPr>
      <w:r w:rsidRPr="00320F47">
        <w:rPr>
          <w:rFonts w:ascii="Garamond" w:hAnsi="Garamond"/>
          <w:sz w:val="24"/>
          <w:szCs w:val="24"/>
          <w:lang w:val="sq-AL"/>
        </w:rPr>
        <w:t>10.1.</w:t>
      </w:r>
      <w:r w:rsidR="00A77DE1" w:rsidRPr="00320F47">
        <w:rPr>
          <w:rFonts w:ascii="Garamond" w:hAnsi="Garamond"/>
          <w:sz w:val="24"/>
          <w:szCs w:val="24"/>
          <w:lang w:val="sq-AL"/>
        </w:rPr>
        <w:t xml:space="preserve"> </w:t>
      </w:r>
      <w:bookmarkStart w:id="3" w:name="_Hlk138163673"/>
      <w:r w:rsidRPr="00320F47">
        <w:rPr>
          <w:rFonts w:ascii="Garamond" w:hAnsi="Garamond"/>
          <w:i/>
          <w:sz w:val="24"/>
          <w:szCs w:val="24"/>
          <w:lang w:val="sq-AL"/>
        </w:rPr>
        <w:t xml:space="preserve">Parimit të gjykatës së caktuar me ligj, </w:t>
      </w:r>
      <w:r w:rsidRPr="00320F47">
        <w:rPr>
          <w:rFonts w:ascii="Garamond" w:hAnsi="Garamond"/>
          <w:sz w:val="24"/>
          <w:szCs w:val="24"/>
          <w:lang w:val="sq-AL"/>
        </w:rPr>
        <w:t xml:space="preserve">pasi </w:t>
      </w:r>
      <w:r w:rsidRPr="00320F47">
        <w:rPr>
          <w:rFonts w:ascii="Garamond" w:hAnsi="Garamond"/>
          <w:spacing w:val="2"/>
          <w:sz w:val="24"/>
          <w:szCs w:val="24"/>
          <w:lang w:val="sq-AL"/>
        </w:rPr>
        <w:t>Kolegji Administrativ i Gjykatës së Lartë ka marrë një vendim që ka ndryshuar praktikën gjyqësore dhe një kompetencë e tillë, bazuar në dispozitat e Kodit të Procedurës Civile (</w:t>
      </w:r>
      <w:r w:rsidRPr="00320F47">
        <w:rPr>
          <w:rFonts w:ascii="Garamond" w:hAnsi="Garamond"/>
          <w:i/>
          <w:spacing w:val="2"/>
          <w:sz w:val="24"/>
          <w:szCs w:val="24"/>
          <w:lang w:val="sq-AL"/>
        </w:rPr>
        <w:t>KPC</w:t>
      </w:r>
      <w:r w:rsidRPr="00320F47">
        <w:rPr>
          <w:rFonts w:ascii="Garamond" w:hAnsi="Garamond"/>
          <w:spacing w:val="2"/>
          <w:sz w:val="24"/>
          <w:szCs w:val="24"/>
          <w:lang w:val="sq-AL"/>
        </w:rPr>
        <w:t>), i takonte v</w:t>
      </w:r>
      <w:r w:rsidRPr="00320F47">
        <w:rPr>
          <w:rFonts w:ascii="Garamond" w:hAnsi="Garamond"/>
          <w:sz w:val="24"/>
          <w:szCs w:val="24"/>
          <w:lang w:val="sq-AL"/>
        </w:rPr>
        <w:t>etëm Kolegjeve të Bashkuara të Gjykatës së Lartë. Vendimi është i</w:t>
      </w:r>
      <w:r w:rsidRPr="00320F47">
        <w:rPr>
          <w:rFonts w:ascii="Garamond" w:hAnsi="Garamond"/>
          <w:spacing w:val="2"/>
          <w:sz w:val="24"/>
          <w:szCs w:val="24"/>
          <w:lang w:val="sq-AL"/>
        </w:rPr>
        <w:t xml:space="preserve"> ndryshëm nga praktika e vendosur më herët nga ky kolegj në </w:t>
      </w:r>
      <w:r w:rsidR="00320F47">
        <w:rPr>
          <w:rFonts w:ascii="Garamond" w:hAnsi="Garamond"/>
          <w:spacing w:val="2"/>
          <w:sz w:val="24"/>
          <w:szCs w:val="24"/>
          <w:lang w:val="sq-AL"/>
        </w:rPr>
        <w:t>vendimin nr. 00-2014-730, datë 6.</w:t>
      </w:r>
      <w:r w:rsidRPr="00320F47">
        <w:rPr>
          <w:rFonts w:ascii="Garamond" w:hAnsi="Garamond"/>
          <w:spacing w:val="2"/>
          <w:sz w:val="24"/>
          <w:szCs w:val="24"/>
          <w:lang w:val="sq-AL"/>
        </w:rPr>
        <w:t xml:space="preserve">3.2014, gjë e cila i ka </w:t>
      </w:r>
      <w:r w:rsidRPr="00320F47">
        <w:rPr>
          <w:rFonts w:ascii="Garamond" w:hAnsi="Garamond"/>
          <w:sz w:val="24"/>
          <w:szCs w:val="24"/>
          <w:lang w:val="sq-AL"/>
        </w:rPr>
        <w:t>sjellë kërkuesit pasoja të pafavorshme.</w:t>
      </w:r>
    </w:p>
    <w:p w14:paraId="38BA8C31" w14:textId="57101294" w:rsidR="00D131FE" w:rsidRPr="00320F47" w:rsidRDefault="00D131FE" w:rsidP="00624736">
      <w:pPr>
        <w:pStyle w:val="ListParagraph"/>
        <w:tabs>
          <w:tab w:val="left" w:pos="2160"/>
        </w:tabs>
        <w:spacing w:after="0" w:line="240" w:lineRule="auto"/>
        <w:ind w:left="0" w:firstLine="288"/>
        <w:contextualSpacing w:val="0"/>
        <w:jc w:val="both"/>
        <w:rPr>
          <w:rFonts w:ascii="Garamond" w:hAnsi="Garamond"/>
          <w:sz w:val="24"/>
          <w:szCs w:val="24"/>
          <w:lang w:val="sq-AL"/>
        </w:rPr>
      </w:pPr>
      <w:r w:rsidRPr="00320F47">
        <w:rPr>
          <w:rFonts w:ascii="Garamond" w:hAnsi="Garamond"/>
          <w:sz w:val="24"/>
          <w:szCs w:val="24"/>
          <w:lang w:val="sq-AL"/>
        </w:rPr>
        <w:t>10.2.</w:t>
      </w:r>
      <w:r w:rsidR="00A77DE1" w:rsidRPr="00320F47">
        <w:rPr>
          <w:rFonts w:ascii="Garamond" w:hAnsi="Garamond"/>
          <w:sz w:val="24"/>
          <w:szCs w:val="24"/>
          <w:lang w:val="sq-AL"/>
        </w:rPr>
        <w:t xml:space="preserve"> </w:t>
      </w:r>
      <w:r w:rsidRPr="00320F47">
        <w:rPr>
          <w:rFonts w:ascii="Garamond" w:hAnsi="Garamond"/>
          <w:i/>
          <w:sz w:val="24"/>
          <w:szCs w:val="24"/>
          <w:lang w:val="sq-AL"/>
        </w:rPr>
        <w:t>Parimit të sigurisë juridike</w:t>
      </w:r>
      <w:r w:rsidRPr="00320F47">
        <w:rPr>
          <w:rFonts w:ascii="Garamond" w:hAnsi="Garamond"/>
          <w:sz w:val="24"/>
          <w:szCs w:val="24"/>
          <w:lang w:val="sq-AL"/>
        </w:rPr>
        <w:t xml:space="preserve">, pasi gjykata duhet të mbrojë </w:t>
      </w:r>
      <w:proofErr w:type="spellStart"/>
      <w:r w:rsidRPr="00320F47">
        <w:rPr>
          <w:rFonts w:ascii="Garamond" w:hAnsi="Garamond"/>
          <w:sz w:val="24"/>
          <w:szCs w:val="24"/>
          <w:lang w:val="sq-AL"/>
        </w:rPr>
        <w:t>pritshmëritë</w:t>
      </w:r>
      <w:proofErr w:type="spellEnd"/>
      <w:r w:rsidRPr="00320F47">
        <w:rPr>
          <w:rFonts w:ascii="Garamond" w:hAnsi="Garamond"/>
          <w:sz w:val="24"/>
          <w:szCs w:val="24"/>
          <w:lang w:val="sq-AL"/>
        </w:rPr>
        <w:t xml:space="preserve"> legjitime që rrjedhin nga zbatimi i normave juridike që janë në fuqi në kohën kur individët ushtrojnë të drejtat e tyre. Vendimi bie në kundërshtim me efektet e vendimit nr. 5/2014</w:t>
      </w:r>
      <w:r w:rsidR="004719EA">
        <w:rPr>
          <w:rFonts w:ascii="Garamond" w:hAnsi="Garamond"/>
          <w:sz w:val="24"/>
          <w:szCs w:val="24"/>
          <w:lang w:val="sq-AL"/>
        </w:rPr>
        <w:t>,</w:t>
      </w:r>
      <w:r w:rsidRPr="00320F47">
        <w:rPr>
          <w:rFonts w:ascii="Garamond" w:hAnsi="Garamond"/>
          <w:sz w:val="24"/>
          <w:szCs w:val="24"/>
          <w:lang w:val="sq-AL"/>
        </w:rPr>
        <w:t xml:space="preserve"> të Gjykatës, në shkelje të nenit 76, pika 2, të ligjit nr. 8577/2000, duke njohur si të vlefshme aktet administrative të nxjerra bazuar në një akt normativ të shpallur si të papajtueshëm me Kushtetutën. Kjo ka sjellë edhe cenimin e </w:t>
      </w:r>
      <w:r w:rsidRPr="00320F47">
        <w:rPr>
          <w:rFonts w:ascii="Garamond" w:hAnsi="Garamond"/>
          <w:i/>
          <w:sz w:val="24"/>
          <w:szCs w:val="24"/>
          <w:lang w:val="sq-AL"/>
        </w:rPr>
        <w:t>së drejtës për gjykim të drejtë</w:t>
      </w:r>
      <w:r w:rsidRPr="00320F47">
        <w:rPr>
          <w:rFonts w:ascii="Garamond" w:hAnsi="Garamond"/>
          <w:sz w:val="24"/>
          <w:szCs w:val="24"/>
          <w:lang w:val="sq-AL"/>
        </w:rPr>
        <w:t xml:space="preserve">. </w:t>
      </w:r>
    </w:p>
    <w:p w14:paraId="67A109F7" w14:textId="1F6AE7DC" w:rsidR="00D131FE" w:rsidRPr="00320F47" w:rsidRDefault="00D131FE" w:rsidP="00624736">
      <w:pPr>
        <w:pStyle w:val="ListParagraph"/>
        <w:tabs>
          <w:tab w:val="left" w:pos="2160"/>
        </w:tabs>
        <w:spacing w:after="0" w:line="240" w:lineRule="auto"/>
        <w:ind w:left="0" w:firstLine="288"/>
        <w:contextualSpacing w:val="0"/>
        <w:jc w:val="both"/>
        <w:rPr>
          <w:rFonts w:ascii="Garamond" w:hAnsi="Garamond"/>
          <w:sz w:val="24"/>
          <w:szCs w:val="24"/>
          <w:lang w:val="sq-AL"/>
        </w:rPr>
      </w:pPr>
      <w:r w:rsidRPr="00320F47">
        <w:rPr>
          <w:rFonts w:ascii="Garamond" w:hAnsi="Garamond"/>
          <w:sz w:val="24"/>
          <w:szCs w:val="24"/>
          <w:lang w:val="sq-AL"/>
        </w:rPr>
        <w:t>10.3.</w:t>
      </w:r>
      <w:r w:rsidR="00A77DE1" w:rsidRPr="00320F47">
        <w:rPr>
          <w:rFonts w:ascii="Garamond" w:hAnsi="Garamond"/>
          <w:sz w:val="24"/>
          <w:szCs w:val="24"/>
          <w:lang w:val="sq-AL"/>
        </w:rPr>
        <w:t xml:space="preserve"> </w:t>
      </w:r>
      <w:r w:rsidRPr="00320F47">
        <w:rPr>
          <w:rFonts w:ascii="Garamond" w:hAnsi="Garamond"/>
          <w:i/>
          <w:sz w:val="24"/>
          <w:szCs w:val="24"/>
          <w:lang w:val="sq-AL"/>
        </w:rPr>
        <w:t xml:space="preserve">Së drejtës së mbrojtjes, </w:t>
      </w:r>
      <w:r w:rsidRPr="00320F47">
        <w:rPr>
          <w:rFonts w:ascii="Garamond" w:hAnsi="Garamond"/>
          <w:sz w:val="24"/>
          <w:szCs w:val="24"/>
          <w:lang w:val="sq-AL"/>
        </w:rPr>
        <w:t>pasi nuk është njoftuar lidhur me vendimin e revokimit për kalimin e çështjes në seancë gjyqësore, duke i mohuar mundësinë për t’u njohur me arsyet e këtij vendimi dhe të paraqitjes së parashtrimeve</w:t>
      </w:r>
      <w:r w:rsidR="00624736">
        <w:rPr>
          <w:rFonts w:ascii="Garamond" w:hAnsi="Garamond"/>
          <w:sz w:val="24"/>
          <w:szCs w:val="24"/>
          <w:lang w:val="sq-AL"/>
        </w:rPr>
        <w:t xml:space="preserve"> </w:t>
      </w:r>
      <w:r w:rsidRPr="00320F47">
        <w:rPr>
          <w:rFonts w:ascii="Garamond" w:hAnsi="Garamond"/>
          <w:sz w:val="24"/>
          <w:szCs w:val="24"/>
          <w:lang w:val="sq-AL"/>
        </w:rPr>
        <w:t>përpara zhvillimit të seancës në dhomën e këshillimit. Po kështu, kjo mundësi atij nuk i është dhënë edhe për faktin se është njoftuar 9 ditë përpara zhvillimit të seancës.</w:t>
      </w:r>
    </w:p>
    <w:p w14:paraId="28084497" w14:textId="06F23434" w:rsidR="00D131FE" w:rsidRPr="00320F47" w:rsidRDefault="00D131FE" w:rsidP="00624736">
      <w:pPr>
        <w:pStyle w:val="ListParagraph"/>
        <w:tabs>
          <w:tab w:val="left" w:pos="2160"/>
        </w:tabs>
        <w:spacing w:after="0" w:line="240" w:lineRule="auto"/>
        <w:ind w:left="0" w:firstLine="288"/>
        <w:contextualSpacing w:val="0"/>
        <w:jc w:val="both"/>
        <w:rPr>
          <w:rFonts w:ascii="Garamond" w:hAnsi="Garamond"/>
          <w:sz w:val="24"/>
          <w:szCs w:val="24"/>
          <w:lang w:val="sq-AL"/>
        </w:rPr>
      </w:pPr>
      <w:r w:rsidRPr="00320F47">
        <w:rPr>
          <w:rFonts w:ascii="Garamond" w:hAnsi="Garamond"/>
          <w:sz w:val="24"/>
          <w:szCs w:val="24"/>
          <w:lang w:val="sq-AL"/>
        </w:rPr>
        <w:t>10.4.</w:t>
      </w:r>
      <w:r w:rsidR="00A77DE1" w:rsidRPr="00320F47">
        <w:rPr>
          <w:rFonts w:ascii="Garamond" w:hAnsi="Garamond"/>
          <w:sz w:val="24"/>
          <w:szCs w:val="24"/>
          <w:lang w:val="sq-AL"/>
        </w:rPr>
        <w:t xml:space="preserve"> </w:t>
      </w:r>
      <w:r w:rsidRPr="00320F47">
        <w:rPr>
          <w:rFonts w:ascii="Garamond" w:hAnsi="Garamond"/>
          <w:i/>
          <w:sz w:val="24"/>
          <w:szCs w:val="24"/>
          <w:lang w:val="sq-AL"/>
        </w:rPr>
        <w:t xml:space="preserve">Së drejtës për gjykim brenda një afati të arsyeshëm, </w:t>
      </w:r>
      <w:r w:rsidRPr="00320F47">
        <w:rPr>
          <w:rFonts w:ascii="Garamond" w:hAnsi="Garamond"/>
          <w:sz w:val="24"/>
          <w:szCs w:val="24"/>
          <w:lang w:val="sq-AL"/>
        </w:rPr>
        <w:t xml:space="preserve">pasi Gjykatës së Lartë i është dashur më shumë se 6 vjet për të gjykuar përfundimisht çështjen e tij, ekzekutimi i së cilës ishte pezulluar dhe ajo nuk paraqitej komplekse ose e ndërlikuar, madje kategorizohej në çështje që shqyrtohen me procedurë të përshpejtuar. Kërkesave të tij, jo vetëm që nuk u janë kthyer përgjigje, por as nuk janë shqyrtuar </w:t>
      </w:r>
      <w:bookmarkEnd w:id="3"/>
      <w:r w:rsidRPr="00320F47">
        <w:rPr>
          <w:rFonts w:ascii="Garamond" w:hAnsi="Garamond"/>
          <w:sz w:val="24"/>
          <w:szCs w:val="24"/>
          <w:lang w:val="sq-AL"/>
        </w:rPr>
        <w:t>nga gjykata.</w:t>
      </w:r>
    </w:p>
    <w:p w14:paraId="603C11FF" w14:textId="0E5F0FD9" w:rsidR="00D131FE" w:rsidRPr="00320F47" w:rsidRDefault="00D131FE" w:rsidP="00624736">
      <w:pPr>
        <w:pStyle w:val="BodyText"/>
        <w:tabs>
          <w:tab w:val="left" w:pos="1080"/>
        </w:tabs>
        <w:spacing w:line="240" w:lineRule="auto"/>
        <w:ind w:firstLine="288"/>
        <w:rPr>
          <w:rFonts w:ascii="Garamond" w:hAnsi="Garamond"/>
          <w:sz w:val="24"/>
        </w:rPr>
      </w:pPr>
      <w:r w:rsidRPr="00320F47">
        <w:rPr>
          <w:rFonts w:ascii="Garamond" w:hAnsi="Garamond"/>
          <w:b/>
          <w:bCs/>
          <w:sz w:val="24"/>
        </w:rPr>
        <w:t>11.</w:t>
      </w:r>
      <w:r w:rsidR="00A77DE1" w:rsidRPr="00320F47">
        <w:rPr>
          <w:rFonts w:ascii="Garamond" w:hAnsi="Garamond"/>
          <w:b/>
          <w:bCs/>
          <w:sz w:val="24"/>
        </w:rPr>
        <w:t xml:space="preserve"> </w:t>
      </w:r>
      <w:r w:rsidRPr="00320F47">
        <w:rPr>
          <w:rFonts w:ascii="Garamond" w:hAnsi="Garamond"/>
          <w:b/>
          <w:i/>
          <w:sz w:val="24"/>
        </w:rPr>
        <w:t>Subjekti i interesuar, MBZHR-ja,</w:t>
      </w:r>
      <w:r w:rsidRPr="00320F47">
        <w:rPr>
          <w:rFonts w:ascii="Garamond" w:hAnsi="Garamond"/>
          <w:sz w:val="24"/>
        </w:rPr>
        <w:t xml:space="preserve"> në mënyrë të përmbledhur, ka prapësuar se:</w:t>
      </w:r>
    </w:p>
    <w:p w14:paraId="7B8B45DD" w14:textId="58DF239F" w:rsidR="00D131FE" w:rsidRPr="00320F47" w:rsidRDefault="00D131FE" w:rsidP="00624736">
      <w:pPr>
        <w:pStyle w:val="BodyText"/>
        <w:tabs>
          <w:tab w:val="left" w:pos="1260"/>
        </w:tabs>
        <w:spacing w:line="240" w:lineRule="auto"/>
        <w:ind w:firstLine="288"/>
        <w:rPr>
          <w:rFonts w:ascii="Garamond" w:hAnsi="Garamond"/>
          <w:sz w:val="24"/>
        </w:rPr>
      </w:pPr>
      <w:r w:rsidRPr="00320F47">
        <w:rPr>
          <w:rFonts w:ascii="Garamond" w:hAnsi="Garamond"/>
          <w:sz w:val="24"/>
        </w:rPr>
        <w:t>11.1.</w:t>
      </w:r>
      <w:r w:rsidR="00A77DE1" w:rsidRPr="00320F47">
        <w:rPr>
          <w:rFonts w:ascii="Garamond" w:hAnsi="Garamond"/>
          <w:sz w:val="24"/>
        </w:rPr>
        <w:t xml:space="preserve"> </w:t>
      </w:r>
      <w:r w:rsidRPr="00320F47">
        <w:rPr>
          <w:rFonts w:ascii="Garamond" w:hAnsi="Garamond"/>
          <w:sz w:val="24"/>
        </w:rPr>
        <w:t xml:space="preserve">Pretendimi për </w:t>
      </w:r>
      <w:r w:rsidRPr="00320F47">
        <w:rPr>
          <w:rFonts w:ascii="Garamond" w:hAnsi="Garamond"/>
          <w:i/>
          <w:sz w:val="24"/>
        </w:rPr>
        <w:t>cenimin e parimit të gjykatës së caktuar me ligj</w:t>
      </w:r>
      <w:r w:rsidRPr="00320F47">
        <w:rPr>
          <w:rFonts w:ascii="Garamond" w:hAnsi="Garamond"/>
          <w:sz w:val="24"/>
        </w:rPr>
        <w:t xml:space="preserve"> është i pabazuar, pasi vendimi i referuar i Kolegjit Administrativ të Gjykatës së Lartë ka si objekt të tij zgjidhjen e çështjes së juridiksionit, nëse ajo i përkiste atij administrativ ose civil dhe nuk është shprehur për zgjidhjen në themel të çështjes. Vendimi i referuar nuk është i detyrueshëm për gjykatat e nivelit më të ulët.</w:t>
      </w:r>
    </w:p>
    <w:p w14:paraId="29043482" w14:textId="2FB8C943" w:rsidR="00D131FE" w:rsidRPr="00320F47" w:rsidRDefault="00D131FE" w:rsidP="00624736">
      <w:pPr>
        <w:pStyle w:val="BodyText"/>
        <w:tabs>
          <w:tab w:val="left" w:pos="1260"/>
        </w:tabs>
        <w:spacing w:line="240" w:lineRule="auto"/>
        <w:ind w:firstLine="288"/>
        <w:rPr>
          <w:rFonts w:ascii="Garamond" w:hAnsi="Garamond"/>
          <w:sz w:val="24"/>
        </w:rPr>
      </w:pPr>
      <w:r w:rsidRPr="00320F47">
        <w:rPr>
          <w:rFonts w:ascii="Garamond" w:hAnsi="Garamond"/>
          <w:sz w:val="24"/>
        </w:rPr>
        <w:t>11.2.</w:t>
      </w:r>
      <w:r w:rsidR="00A77DE1" w:rsidRPr="00320F47">
        <w:rPr>
          <w:rFonts w:ascii="Garamond" w:hAnsi="Garamond"/>
          <w:sz w:val="24"/>
        </w:rPr>
        <w:t xml:space="preserve"> </w:t>
      </w:r>
      <w:r w:rsidRPr="00320F47">
        <w:rPr>
          <w:rFonts w:ascii="Garamond" w:hAnsi="Garamond"/>
          <w:sz w:val="24"/>
        </w:rPr>
        <w:t xml:space="preserve">Pretendimi për </w:t>
      </w:r>
      <w:r w:rsidRPr="00320F47">
        <w:rPr>
          <w:rFonts w:ascii="Garamond" w:hAnsi="Garamond"/>
          <w:i/>
          <w:sz w:val="24"/>
        </w:rPr>
        <w:t>cenimin e parimit të sigurisë</w:t>
      </w:r>
      <w:r w:rsidRPr="00320F47">
        <w:rPr>
          <w:rFonts w:ascii="Garamond" w:hAnsi="Garamond"/>
          <w:sz w:val="24"/>
        </w:rPr>
        <w:t xml:space="preserve"> nuk qëndron, pasi është detyrë e ligjvënësit që nëpërmjet akteve të tij të rregullojë me hollësi të drejtat e individëve të parashikuara në Kushtetutë. Në rastin e kërkuesit, akti administrativ për kalimin e tij në </w:t>
      </w:r>
      <w:proofErr w:type="spellStart"/>
      <w:r w:rsidRPr="00320F47">
        <w:rPr>
          <w:rFonts w:ascii="Garamond" w:hAnsi="Garamond"/>
          <w:sz w:val="24"/>
        </w:rPr>
        <w:t>listëpritjeje</w:t>
      </w:r>
      <w:proofErr w:type="spellEnd"/>
      <w:r w:rsidRPr="00320F47">
        <w:rPr>
          <w:rFonts w:ascii="Garamond" w:hAnsi="Garamond"/>
          <w:sz w:val="24"/>
        </w:rPr>
        <w:t xml:space="preserve"> është i ligjshëm, pasi është nxjerrë nga organi kompetent, i cili ka respektuar procedurat e ligjit nr. 8549/1999</w:t>
      </w:r>
      <w:r w:rsidR="00320F47">
        <w:rPr>
          <w:rFonts w:ascii="Garamond" w:hAnsi="Garamond"/>
          <w:sz w:val="24"/>
        </w:rPr>
        <w:t>,</w:t>
      </w:r>
      <w:r w:rsidRPr="00320F47">
        <w:rPr>
          <w:rFonts w:ascii="Garamond" w:hAnsi="Garamond"/>
          <w:sz w:val="24"/>
        </w:rPr>
        <w:t xml:space="preserve"> që ka qenë në fuqi në atë kohë. Ky ligj parashikonte rastin e largimit nga shërbimi civil për shkak të mbylljes ose ristrukturimit të institucionit dhe zbatimi i tij mbështetet edhe në nenin 68 të ligjit nr. 152/2013. Sipas këtij të fundit, procedurat e nisura, bazuar në ligjin nr. 8549/1999, përfundojnë sipas dispozitave të po këtij ligji. Për rrjedhojë, edhe pretendimi për </w:t>
      </w:r>
      <w:r w:rsidRPr="00320F47">
        <w:rPr>
          <w:rFonts w:ascii="Garamond" w:hAnsi="Garamond"/>
          <w:i/>
          <w:sz w:val="24"/>
        </w:rPr>
        <w:t>cenimin e së drejtës për gjykim të drejtë</w:t>
      </w:r>
      <w:r w:rsidRPr="00320F47">
        <w:rPr>
          <w:rFonts w:ascii="Garamond" w:hAnsi="Garamond"/>
          <w:sz w:val="24"/>
        </w:rPr>
        <w:t xml:space="preserve"> nuk është i bazuar në ligj. </w:t>
      </w:r>
    </w:p>
    <w:p w14:paraId="215F3792" w14:textId="186BCFDE" w:rsidR="00D131FE" w:rsidRPr="00320F47" w:rsidRDefault="00D131FE" w:rsidP="00624736">
      <w:pPr>
        <w:pStyle w:val="BodyText"/>
        <w:tabs>
          <w:tab w:val="left" w:pos="1260"/>
        </w:tabs>
        <w:spacing w:line="240" w:lineRule="auto"/>
        <w:ind w:firstLine="288"/>
        <w:rPr>
          <w:rFonts w:ascii="Garamond" w:hAnsi="Garamond"/>
          <w:sz w:val="24"/>
        </w:rPr>
      </w:pPr>
      <w:r w:rsidRPr="00320F47">
        <w:rPr>
          <w:rFonts w:ascii="Garamond" w:hAnsi="Garamond"/>
          <w:sz w:val="24"/>
        </w:rPr>
        <w:t>11.3.</w:t>
      </w:r>
      <w:r w:rsidR="00A77DE1" w:rsidRPr="00320F47">
        <w:rPr>
          <w:rFonts w:ascii="Garamond" w:hAnsi="Garamond"/>
          <w:sz w:val="24"/>
        </w:rPr>
        <w:t xml:space="preserve"> </w:t>
      </w:r>
      <w:r w:rsidRPr="00320F47">
        <w:rPr>
          <w:rFonts w:ascii="Garamond" w:hAnsi="Garamond"/>
          <w:sz w:val="24"/>
        </w:rPr>
        <w:t xml:space="preserve">Lidhur me pretendimin për </w:t>
      </w:r>
      <w:r w:rsidRPr="00320F47">
        <w:rPr>
          <w:rFonts w:ascii="Garamond" w:hAnsi="Garamond"/>
          <w:i/>
          <w:sz w:val="24"/>
        </w:rPr>
        <w:t>cenimin e së drejtës së mbrojtjes</w:t>
      </w:r>
      <w:r w:rsidRPr="00320F47">
        <w:rPr>
          <w:rFonts w:ascii="Garamond" w:hAnsi="Garamond"/>
          <w:sz w:val="24"/>
        </w:rPr>
        <w:t xml:space="preserve"> për shkak të mosdhënies së mundësisë për t’u njohur me vendimin për kalimin e çështjes për gjykim në dhomën e këshillimit dhe paraqitjes së parashtrimeve me shkrim përpara zhvillimit të saj, kërkuesi nuk ka paraqitur argumente kushtetuese, por vetëm ka sqaruar kronologjinë e si</w:t>
      </w:r>
      <w:r w:rsidR="00320F47">
        <w:rPr>
          <w:rFonts w:ascii="Garamond" w:hAnsi="Garamond"/>
          <w:sz w:val="24"/>
        </w:rPr>
        <w:t>tuatës. Me shkresën e datës 16.</w:t>
      </w:r>
      <w:r w:rsidRPr="00320F47">
        <w:rPr>
          <w:rFonts w:ascii="Garamond" w:hAnsi="Garamond"/>
          <w:sz w:val="24"/>
        </w:rPr>
        <w:t>5.2021</w:t>
      </w:r>
      <w:r w:rsidR="00320F47">
        <w:rPr>
          <w:rFonts w:ascii="Garamond" w:hAnsi="Garamond"/>
          <w:sz w:val="24"/>
        </w:rPr>
        <w:t>,</w:t>
      </w:r>
      <w:r w:rsidRPr="00320F47">
        <w:rPr>
          <w:rFonts w:ascii="Garamond" w:hAnsi="Garamond"/>
          <w:sz w:val="24"/>
        </w:rPr>
        <w:t xml:space="preserve"> kërkuesi ka marrë dijeni për datën e zhvillimit të seancës gjyqësore dhe nuk ka paraqitur parashtrime me shkrim në përgjigje të saj. </w:t>
      </w:r>
    </w:p>
    <w:p w14:paraId="5CE3956F" w14:textId="16237591" w:rsidR="00D131FE" w:rsidRPr="00320F47" w:rsidRDefault="00D131FE" w:rsidP="00624736">
      <w:pPr>
        <w:pStyle w:val="BodyText"/>
        <w:tabs>
          <w:tab w:val="left" w:pos="1260"/>
        </w:tabs>
        <w:spacing w:line="240" w:lineRule="auto"/>
        <w:ind w:firstLine="288"/>
        <w:rPr>
          <w:rFonts w:ascii="Garamond" w:hAnsi="Garamond"/>
          <w:sz w:val="24"/>
        </w:rPr>
      </w:pPr>
      <w:r w:rsidRPr="00320F47">
        <w:rPr>
          <w:rFonts w:ascii="Garamond" w:hAnsi="Garamond"/>
          <w:sz w:val="24"/>
        </w:rPr>
        <w:t>11.4.</w:t>
      </w:r>
      <w:r w:rsidR="00A77DE1" w:rsidRPr="00320F47">
        <w:rPr>
          <w:rFonts w:ascii="Garamond" w:hAnsi="Garamond"/>
          <w:sz w:val="24"/>
        </w:rPr>
        <w:t xml:space="preserve"> </w:t>
      </w:r>
      <w:r w:rsidRPr="00320F47">
        <w:rPr>
          <w:rFonts w:ascii="Garamond" w:hAnsi="Garamond"/>
          <w:sz w:val="24"/>
        </w:rPr>
        <w:t xml:space="preserve">Pretendimi për </w:t>
      </w:r>
      <w:r w:rsidRPr="00320F47">
        <w:rPr>
          <w:rFonts w:ascii="Garamond" w:hAnsi="Garamond"/>
          <w:i/>
          <w:sz w:val="24"/>
        </w:rPr>
        <w:t>cenimin e së drejtës për gjykim brenda një afati të arsyeshëm</w:t>
      </w:r>
      <w:r w:rsidRPr="00320F47">
        <w:rPr>
          <w:rFonts w:ascii="Garamond" w:hAnsi="Garamond"/>
          <w:sz w:val="24"/>
        </w:rPr>
        <w:t xml:space="preserve"> është i pabazuar, pasi vonesa ka ndodhur për shkaqe që qëndrojnë përtej vullnetit të Gjykatës së Lartë, të cilat lidhen me efektet e zbatimit të reformës në drejtësi. Po kështu, pavarësisht se ai ka pretenduar cenimin e kësaj të drejte, nuk ka argumentuar lidhjen me rrethanat dhe faktet e çështjes në aspekt të </w:t>
      </w:r>
      <w:proofErr w:type="spellStart"/>
      <w:r w:rsidRPr="00320F47">
        <w:rPr>
          <w:rFonts w:ascii="Garamond" w:hAnsi="Garamond"/>
          <w:sz w:val="24"/>
        </w:rPr>
        <w:t>kompleksitetit</w:t>
      </w:r>
      <w:proofErr w:type="spellEnd"/>
      <w:r w:rsidRPr="00320F47">
        <w:rPr>
          <w:rFonts w:ascii="Garamond" w:hAnsi="Garamond"/>
          <w:sz w:val="24"/>
        </w:rPr>
        <w:t xml:space="preserve"> të çështjes, objektit të mosmarrëveshjes, të procedimit ose të gjykimit, si dhe sjelljes së organit që po kryen procedurat. Në rastin konkret, kërkuesi nuk ka provuar se ka treguar interes për gjykimin sa më të shpejtë të çështjes dhe nuk e ka përdorur mjetin ligjor për të kërkuar përshpejtimin bazuar në nenin 460, pika 3, të KPC-së.</w:t>
      </w:r>
    </w:p>
    <w:p w14:paraId="21E8A269" w14:textId="6D76B8F5" w:rsidR="00D131FE" w:rsidRPr="00320F47" w:rsidRDefault="00D131FE" w:rsidP="00624736">
      <w:pPr>
        <w:pStyle w:val="BodyText"/>
        <w:tabs>
          <w:tab w:val="left" w:pos="1080"/>
          <w:tab w:val="left" w:pos="1800"/>
        </w:tabs>
        <w:spacing w:line="240" w:lineRule="auto"/>
        <w:ind w:firstLine="288"/>
        <w:rPr>
          <w:rFonts w:ascii="Garamond" w:hAnsi="Garamond"/>
          <w:sz w:val="24"/>
        </w:rPr>
      </w:pPr>
      <w:r w:rsidRPr="00320F47">
        <w:rPr>
          <w:rFonts w:ascii="Garamond" w:hAnsi="Garamond"/>
          <w:b/>
          <w:bCs/>
          <w:sz w:val="24"/>
        </w:rPr>
        <w:t>12.</w:t>
      </w:r>
      <w:r w:rsidR="00A77DE1" w:rsidRPr="00320F47">
        <w:rPr>
          <w:rFonts w:ascii="Garamond" w:hAnsi="Garamond"/>
          <w:b/>
          <w:bCs/>
          <w:sz w:val="24"/>
        </w:rPr>
        <w:t xml:space="preserve"> </w:t>
      </w:r>
      <w:r w:rsidRPr="00320F47">
        <w:rPr>
          <w:rFonts w:ascii="Garamond" w:hAnsi="Garamond"/>
          <w:b/>
          <w:i/>
          <w:sz w:val="24"/>
        </w:rPr>
        <w:t>Subjekti i interesuar, DAP-i</w:t>
      </w:r>
      <w:r w:rsidRPr="00320F47">
        <w:rPr>
          <w:rFonts w:ascii="Garamond" w:hAnsi="Garamond"/>
          <w:sz w:val="24"/>
        </w:rPr>
        <w:t>, në mënyrë të përmbledhur, ka prapësuar se:</w:t>
      </w:r>
    </w:p>
    <w:p w14:paraId="74AB5CE0" w14:textId="62FBCB66" w:rsidR="00D131FE" w:rsidRPr="00320F47" w:rsidRDefault="00D131FE" w:rsidP="00624736">
      <w:pPr>
        <w:pStyle w:val="BodyText"/>
        <w:tabs>
          <w:tab w:val="left" w:pos="1260"/>
        </w:tabs>
        <w:spacing w:line="240" w:lineRule="auto"/>
        <w:ind w:firstLine="288"/>
        <w:rPr>
          <w:rFonts w:ascii="Garamond" w:hAnsi="Garamond"/>
          <w:sz w:val="24"/>
        </w:rPr>
      </w:pPr>
      <w:r w:rsidRPr="00320F47">
        <w:rPr>
          <w:rFonts w:ascii="Garamond" w:hAnsi="Garamond"/>
          <w:sz w:val="24"/>
        </w:rPr>
        <w:t>12.1.</w:t>
      </w:r>
      <w:r w:rsidR="00A77DE1" w:rsidRPr="00320F47">
        <w:rPr>
          <w:rFonts w:ascii="Garamond" w:hAnsi="Garamond"/>
          <w:sz w:val="24"/>
        </w:rPr>
        <w:t xml:space="preserve"> </w:t>
      </w:r>
      <w:r w:rsidRPr="00320F47">
        <w:rPr>
          <w:rFonts w:ascii="Garamond" w:hAnsi="Garamond"/>
          <w:sz w:val="24"/>
        </w:rPr>
        <w:t xml:space="preserve">Pretendimi i kërkuesit për </w:t>
      </w:r>
      <w:r w:rsidRPr="00320F47">
        <w:rPr>
          <w:rFonts w:ascii="Garamond" w:hAnsi="Garamond"/>
          <w:i/>
          <w:sz w:val="24"/>
        </w:rPr>
        <w:t>cenimin e parimit të gjykatës së caktuar me ligj</w:t>
      </w:r>
      <w:r w:rsidRPr="00320F47">
        <w:rPr>
          <w:rFonts w:ascii="Garamond" w:hAnsi="Garamond"/>
          <w:sz w:val="24"/>
        </w:rPr>
        <w:t xml:space="preserve"> është haptazi i pabazuar, pasi nuk rezulton të ketë çështje të ngjashme me rastin në shqyrtim, ku trupat e Kolegjit Administrativ të kenë mbajtur qëndrime të ndryshme ose vendimmarrja e tyre nuk ka qenë unanime në lidhje me efektet e vendimit nr. 5/2014</w:t>
      </w:r>
      <w:r w:rsidR="00320F47">
        <w:rPr>
          <w:rFonts w:ascii="Garamond" w:hAnsi="Garamond"/>
          <w:sz w:val="24"/>
        </w:rPr>
        <w:t>,</w:t>
      </w:r>
      <w:r w:rsidRPr="00320F47">
        <w:rPr>
          <w:rFonts w:ascii="Garamond" w:hAnsi="Garamond"/>
          <w:sz w:val="24"/>
        </w:rPr>
        <w:t xml:space="preserve"> të Gjykatës. Kolegji Administrativ i Gjykatës së Lartë, në rastin në shqyrtim, nuk ndodhej në kushtet e nenit 62/a</w:t>
      </w:r>
      <w:r w:rsidR="00320F47">
        <w:rPr>
          <w:rFonts w:ascii="Garamond" w:hAnsi="Garamond"/>
          <w:sz w:val="24"/>
        </w:rPr>
        <w:t>,</w:t>
      </w:r>
      <w:r w:rsidRPr="00320F47">
        <w:rPr>
          <w:rFonts w:ascii="Garamond" w:hAnsi="Garamond"/>
          <w:sz w:val="24"/>
        </w:rPr>
        <w:t xml:space="preserve"> të ligjit nr. 49/2012</w:t>
      </w:r>
      <w:r w:rsidR="00320F47">
        <w:rPr>
          <w:rFonts w:ascii="Garamond" w:hAnsi="Garamond"/>
          <w:sz w:val="24"/>
        </w:rPr>
        <w:t>,</w:t>
      </w:r>
      <w:r w:rsidRPr="00320F47">
        <w:rPr>
          <w:rFonts w:ascii="Garamond" w:hAnsi="Garamond"/>
          <w:sz w:val="24"/>
        </w:rPr>
        <w:t xml:space="preserve"> për nisjen e procedurës për të njësuar ose ndryshuar praktikën gjyqësore. Përfundimi i arritur nga gjykata për ligjin e zbatueshëm përbën çështje të interpretimit dhe zbatimit të ligjit, gjë e cila nuk përfshihet në juridiksionin kushtetues.</w:t>
      </w:r>
    </w:p>
    <w:p w14:paraId="6D16E932" w14:textId="1978016C" w:rsidR="00D131FE" w:rsidRPr="00320F47" w:rsidRDefault="00D131FE" w:rsidP="00624736">
      <w:pPr>
        <w:pStyle w:val="BodyText"/>
        <w:tabs>
          <w:tab w:val="left" w:pos="1260"/>
        </w:tabs>
        <w:spacing w:line="240" w:lineRule="auto"/>
        <w:ind w:firstLine="288"/>
        <w:rPr>
          <w:rFonts w:ascii="Garamond" w:hAnsi="Garamond"/>
          <w:sz w:val="24"/>
        </w:rPr>
      </w:pPr>
      <w:r w:rsidRPr="00320F47">
        <w:rPr>
          <w:rFonts w:ascii="Garamond" w:hAnsi="Garamond"/>
          <w:sz w:val="24"/>
        </w:rPr>
        <w:t>12.2.</w:t>
      </w:r>
      <w:r w:rsidR="00A77DE1" w:rsidRPr="00320F47">
        <w:rPr>
          <w:rFonts w:ascii="Garamond" w:hAnsi="Garamond"/>
          <w:sz w:val="24"/>
        </w:rPr>
        <w:t xml:space="preserve"> </w:t>
      </w:r>
      <w:r w:rsidRPr="00320F47">
        <w:rPr>
          <w:rFonts w:ascii="Garamond" w:hAnsi="Garamond"/>
          <w:sz w:val="24"/>
        </w:rPr>
        <w:t xml:space="preserve">Pretendimi për </w:t>
      </w:r>
      <w:r w:rsidRPr="00320F47">
        <w:rPr>
          <w:rFonts w:ascii="Garamond" w:hAnsi="Garamond"/>
          <w:i/>
          <w:sz w:val="24"/>
        </w:rPr>
        <w:t>cenimin e parimit të sigurisë juridike</w:t>
      </w:r>
      <w:r w:rsidRPr="00320F47">
        <w:rPr>
          <w:rFonts w:ascii="Garamond" w:hAnsi="Garamond"/>
          <w:sz w:val="24"/>
        </w:rPr>
        <w:t xml:space="preserve"> nuk qëndron, pasi ky parim lidhet me besimin te sistemi juridik për </w:t>
      </w:r>
      <w:proofErr w:type="spellStart"/>
      <w:r w:rsidRPr="00320F47">
        <w:rPr>
          <w:rFonts w:ascii="Garamond" w:hAnsi="Garamond"/>
          <w:sz w:val="24"/>
        </w:rPr>
        <w:t>mosndryshimin</w:t>
      </w:r>
      <w:proofErr w:type="spellEnd"/>
      <w:r w:rsidRPr="00320F47">
        <w:rPr>
          <w:rFonts w:ascii="Garamond" w:hAnsi="Garamond"/>
          <w:sz w:val="24"/>
        </w:rPr>
        <w:t xml:space="preserve"> e një situate të favorshme ligjore dhe nuk lidhet me pushtetin gjyqësor. Në rastin konkret, vendimi nr. 5/2014</w:t>
      </w:r>
      <w:r w:rsidR="00320F47">
        <w:rPr>
          <w:rFonts w:ascii="Garamond" w:hAnsi="Garamond"/>
          <w:sz w:val="24"/>
        </w:rPr>
        <w:t>,</w:t>
      </w:r>
      <w:r w:rsidRPr="00320F47">
        <w:rPr>
          <w:rFonts w:ascii="Garamond" w:hAnsi="Garamond"/>
          <w:sz w:val="24"/>
        </w:rPr>
        <w:t xml:space="preserve"> i Gjykatës do të kishte efekt prapaveprues, sipas nenit 76, pika 2, shkronja “b”, të ligjit nr. 8577/2000, nëse çështja do të kishte qenë në</w:t>
      </w:r>
      <w:r w:rsidR="00320F47">
        <w:rPr>
          <w:rFonts w:ascii="Garamond" w:hAnsi="Garamond"/>
          <w:sz w:val="24"/>
        </w:rPr>
        <w:t xml:space="preserve"> shqyrtim gjyqësor në datën 26.</w:t>
      </w:r>
      <w:r w:rsidRPr="00320F47">
        <w:rPr>
          <w:rFonts w:ascii="Garamond" w:hAnsi="Garamond"/>
          <w:sz w:val="24"/>
        </w:rPr>
        <w:t>2.2014, ndërsa kërkuesi e k</w:t>
      </w:r>
      <w:r w:rsidR="00320F47">
        <w:rPr>
          <w:rFonts w:ascii="Garamond" w:hAnsi="Garamond"/>
          <w:sz w:val="24"/>
        </w:rPr>
        <w:t>a paraqitur padinë në datën 20.</w:t>
      </w:r>
      <w:r w:rsidRPr="00320F47">
        <w:rPr>
          <w:rFonts w:ascii="Garamond" w:hAnsi="Garamond"/>
          <w:sz w:val="24"/>
        </w:rPr>
        <w:t xml:space="preserve">3.2014, pra pas hyrjes në fuqi të këtij vendimi. Kërkuesi duhet t’i adresonte gjykatës argumente për pavlefshmërinë e aktit administrativ të kalimit në </w:t>
      </w:r>
      <w:proofErr w:type="spellStart"/>
      <w:r w:rsidRPr="00320F47">
        <w:rPr>
          <w:rFonts w:ascii="Garamond" w:hAnsi="Garamond"/>
          <w:sz w:val="24"/>
        </w:rPr>
        <w:t>listëpritjeje</w:t>
      </w:r>
      <w:proofErr w:type="spellEnd"/>
      <w:r w:rsidRPr="00320F47">
        <w:rPr>
          <w:rFonts w:ascii="Garamond" w:hAnsi="Garamond"/>
          <w:sz w:val="24"/>
        </w:rPr>
        <w:t>, referuar ligjit që ka vepruar në atë kohë dhe jo ligjit të mëvonshëm. Përcaktimi i ligjit të zbatueshëm për zgjidhjen e çështjes përfshihet brenda kompetencave të Gjykatës së Lartë, si gjykatë e ligjit.</w:t>
      </w:r>
    </w:p>
    <w:p w14:paraId="22FD0BB1" w14:textId="1105A03B" w:rsidR="00D131FE" w:rsidRPr="00320F47" w:rsidRDefault="00D131FE" w:rsidP="00624736">
      <w:pPr>
        <w:pStyle w:val="BodyText"/>
        <w:tabs>
          <w:tab w:val="left" w:pos="1260"/>
        </w:tabs>
        <w:spacing w:line="240" w:lineRule="auto"/>
        <w:ind w:firstLine="288"/>
        <w:rPr>
          <w:rFonts w:ascii="Garamond" w:hAnsi="Garamond"/>
          <w:b/>
          <w:sz w:val="24"/>
        </w:rPr>
      </w:pPr>
      <w:r w:rsidRPr="00320F47">
        <w:rPr>
          <w:rFonts w:ascii="Garamond" w:hAnsi="Garamond"/>
          <w:sz w:val="24"/>
        </w:rPr>
        <w:t>12.3.</w:t>
      </w:r>
      <w:r w:rsidR="00A77DE1" w:rsidRPr="00320F47">
        <w:rPr>
          <w:rFonts w:ascii="Garamond" w:hAnsi="Garamond"/>
          <w:sz w:val="24"/>
        </w:rPr>
        <w:t xml:space="preserve"> </w:t>
      </w:r>
      <w:r w:rsidRPr="00320F47">
        <w:rPr>
          <w:rFonts w:ascii="Garamond" w:hAnsi="Garamond"/>
          <w:sz w:val="24"/>
        </w:rPr>
        <w:t xml:space="preserve">Pretendimi lidhur me mungesën e njoftimeve, në thelb, lidhet me </w:t>
      </w:r>
      <w:r w:rsidRPr="00320F47">
        <w:rPr>
          <w:rFonts w:ascii="Garamond" w:hAnsi="Garamond"/>
          <w:i/>
          <w:sz w:val="24"/>
        </w:rPr>
        <w:t xml:space="preserve">të drejtën e </w:t>
      </w:r>
      <w:proofErr w:type="spellStart"/>
      <w:r w:rsidRPr="00320F47">
        <w:rPr>
          <w:rFonts w:ascii="Garamond" w:hAnsi="Garamond"/>
          <w:i/>
          <w:sz w:val="24"/>
        </w:rPr>
        <w:t>aksesit</w:t>
      </w:r>
      <w:proofErr w:type="spellEnd"/>
      <w:r w:rsidRPr="00320F47">
        <w:rPr>
          <w:rFonts w:ascii="Garamond" w:hAnsi="Garamond"/>
          <w:i/>
          <w:sz w:val="24"/>
        </w:rPr>
        <w:t>, për t’u dëgjuar dhe mbrojtur</w:t>
      </w:r>
      <w:r w:rsidRPr="00320F47">
        <w:rPr>
          <w:rFonts w:ascii="Garamond" w:hAnsi="Garamond"/>
          <w:sz w:val="24"/>
        </w:rPr>
        <w:t xml:space="preserve">, i cili rezulton të jetë i pabazuar. Njoftimi me shpallje është publikuar në faqen elektronike të Gjykatës </w:t>
      </w:r>
      <w:r w:rsidR="00320F47">
        <w:rPr>
          <w:rFonts w:ascii="Garamond" w:hAnsi="Garamond"/>
          <w:sz w:val="24"/>
        </w:rPr>
        <w:t>së Lartë në datën 10.</w:t>
      </w:r>
      <w:r w:rsidRPr="00320F47">
        <w:rPr>
          <w:rFonts w:ascii="Garamond" w:hAnsi="Garamond"/>
          <w:sz w:val="24"/>
        </w:rPr>
        <w:t>5.2022</w:t>
      </w:r>
      <w:r w:rsidR="00320F47">
        <w:rPr>
          <w:rFonts w:ascii="Garamond" w:hAnsi="Garamond"/>
          <w:sz w:val="24"/>
        </w:rPr>
        <w:t>, pra 15 ditë përpara datës 26.</w:t>
      </w:r>
      <w:r w:rsidRPr="00320F47">
        <w:rPr>
          <w:rFonts w:ascii="Garamond" w:hAnsi="Garamond"/>
          <w:sz w:val="24"/>
        </w:rPr>
        <w:t>5.2022</w:t>
      </w:r>
      <w:r w:rsidR="00320F47">
        <w:rPr>
          <w:rFonts w:ascii="Garamond" w:hAnsi="Garamond"/>
          <w:sz w:val="24"/>
        </w:rPr>
        <w:t>,</w:t>
      </w:r>
      <w:r w:rsidRPr="00320F47">
        <w:rPr>
          <w:rFonts w:ascii="Garamond" w:hAnsi="Garamond"/>
          <w:sz w:val="24"/>
        </w:rPr>
        <w:t xml:space="preserve"> kur është zhvilluar gjykimi. Kërkuesit i është krijuar mundësia për të paraqitur argumentet e tij me shkrim, pasi ai ka paraqitur </w:t>
      </w:r>
      <w:proofErr w:type="spellStart"/>
      <w:r w:rsidRPr="00320F47">
        <w:rPr>
          <w:rFonts w:ascii="Garamond" w:hAnsi="Garamond"/>
          <w:sz w:val="24"/>
        </w:rPr>
        <w:t>kundërrekurs</w:t>
      </w:r>
      <w:proofErr w:type="spellEnd"/>
      <w:r w:rsidRPr="00320F47">
        <w:rPr>
          <w:rFonts w:ascii="Garamond" w:hAnsi="Garamond"/>
          <w:sz w:val="24"/>
        </w:rPr>
        <w:t>. Ai nuk ka provuar se vendimi i kundërshtuar do të ishte i ndryshëm nëse ai do të kishte marrë dijeni 15 ditë përpara datës së zhvillimit të seancës. Po kështu, nuk rezulton që ai t’i jetë drejtuar me kërkesë Gjykatës së Lartë për shtyrjen e seancës, me qëllim respektimin e afatit të njoftimit.</w:t>
      </w:r>
    </w:p>
    <w:p w14:paraId="60B647C3" w14:textId="19B1DC73" w:rsidR="00D131FE" w:rsidRPr="00320F47" w:rsidRDefault="00D131FE" w:rsidP="00624736">
      <w:pPr>
        <w:pStyle w:val="BodyText"/>
        <w:tabs>
          <w:tab w:val="left" w:pos="1260"/>
        </w:tabs>
        <w:spacing w:line="240" w:lineRule="auto"/>
        <w:ind w:firstLine="288"/>
        <w:rPr>
          <w:rFonts w:ascii="Garamond" w:hAnsi="Garamond"/>
          <w:sz w:val="24"/>
        </w:rPr>
      </w:pPr>
      <w:r w:rsidRPr="00320F47">
        <w:rPr>
          <w:rFonts w:ascii="Garamond" w:hAnsi="Garamond"/>
          <w:sz w:val="24"/>
        </w:rPr>
        <w:t>12.4.</w:t>
      </w:r>
      <w:r w:rsidR="00A77DE1" w:rsidRPr="00320F47">
        <w:rPr>
          <w:rFonts w:ascii="Garamond" w:hAnsi="Garamond"/>
          <w:sz w:val="24"/>
        </w:rPr>
        <w:t xml:space="preserve"> </w:t>
      </w:r>
      <w:r w:rsidRPr="00320F47">
        <w:rPr>
          <w:rFonts w:ascii="Garamond" w:hAnsi="Garamond"/>
          <w:sz w:val="24"/>
        </w:rPr>
        <w:t xml:space="preserve">Pretendimi për </w:t>
      </w:r>
      <w:r w:rsidRPr="00320F47">
        <w:rPr>
          <w:rFonts w:ascii="Garamond" w:hAnsi="Garamond"/>
          <w:i/>
          <w:sz w:val="24"/>
        </w:rPr>
        <w:t>cenimin e së drejtës për gjykim brenda një afati të arsyeshëm</w:t>
      </w:r>
      <w:r w:rsidRPr="00320F47">
        <w:rPr>
          <w:rFonts w:ascii="Garamond" w:hAnsi="Garamond"/>
          <w:sz w:val="24"/>
        </w:rPr>
        <w:t xml:space="preserve"> nuk qëndron, pasi zgjatja e afatit është pasojë e faktorëve objektivë të njohur, si reforma në drejtësi dhe procesi i </w:t>
      </w:r>
      <w:proofErr w:type="spellStart"/>
      <w:r w:rsidRPr="00320F47">
        <w:rPr>
          <w:rFonts w:ascii="Garamond" w:hAnsi="Garamond"/>
          <w:i/>
          <w:sz w:val="24"/>
        </w:rPr>
        <w:t>vetingut</w:t>
      </w:r>
      <w:proofErr w:type="spellEnd"/>
      <w:r w:rsidRPr="00320F47">
        <w:rPr>
          <w:rFonts w:ascii="Garamond" w:hAnsi="Garamond"/>
          <w:sz w:val="24"/>
        </w:rPr>
        <w:t>. Kërkuesi nuk ka paraqitur kërkesë për përshpejtimin e shqyrtimit të rekursit bazuar në ndryshimet e KPC-së të vitit 2017, megjithëse ka pasur kohë të mjaftueshme në dispozicion për t’u njohur dhe për t’i shfrytëzuar ato, duke mos shteruar kështu mjetet juridike efektive në dispozicion.</w:t>
      </w:r>
    </w:p>
    <w:p w14:paraId="4BEBE219" w14:textId="77777777" w:rsidR="00D131FE" w:rsidRPr="00320F47" w:rsidRDefault="00D131FE" w:rsidP="00A77DE1">
      <w:pPr>
        <w:pStyle w:val="BodyText"/>
        <w:tabs>
          <w:tab w:val="left" w:pos="1260"/>
        </w:tabs>
        <w:spacing w:line="240" w:lineRule="auto"/>
        <w:ind w:firstLine="284"/>
        <w:rPr>
          <w:rFonts w:ascii="Garamond" w:hAnsi="Garamond"/>
          <w:b/>
          <w:sz w:val="24"/>
        </w:rPr>
      </w:pPr>
    </w:p>
    <w:p w14:paraId="334DC641" w14:textId="77777777" w:rsidR="00D131FE" w:rsidRPr="00320F47" w:rsidRDefault="00D131FE" w:rsidP="00A77DE1">
      <w:pPr>
        <w:tabs>
          <w:tab w:val="left" w:pos="0"/>
        </w:tabs>
        <w:spacing w:after="0" w:line="240" w:lineRule="auto"/>
        <w:ind w:firstLine="284"/>
        <w:jc w:val="center"/>
        <w:rPr>
          <w:rFonts w:ascii="Garamond" w:hAnsi="Garamond"/>
          <w:b/>
          <w:sz w:val="24"/>
          <w:szCs w:val="24"/>
        </w:rPr>
      </w:pPr>
      <w:r w:rsidRPr="00320F47">
        <w:rPr>
          <w:rFonts w:ascii="Garamond" w:hAnsi="Garamond"/>
          <w:b/>
          <w:sz w:val="24"/>
          <w:szCs w:val="24"/>
        </w:rPr>
        <w:t>III</w:t>
      </w:r>
    </w:p>
    <w:p w14:paraId="49BB780A" w14:textId="77777777" w:rsidR="00D131FE" w:rsidRPr="00320F47" w:rsidRDefault="00D131FE" w:rsidP="00A77DE1">
      <w:pPr>
        <w:tabs>
          <w:tab w:val="left" w:pos="0"/>
        </w:tabs>
        <w:spacing w:after="0" w:line="240" w:lineRule="auto"/>
        <w:ind w:firstLine="284"/>
        <w:jc w:val="center"/>
        <w:rPr>
          <w:rFonts w:ascii="Garamond" w:hAnsi="Garamond"/>
          <w:b/>
          <w:sz w:val="24"/>
          <w:szCs w:val="24"/>
        </w:rPr>
      </w:pPr>
      <w:r w:rsidRPr="00320F47">
        <w:rPr>
          <w:rFonts w:ascii="Garamond" w:hAnsi="Garamond"/>
          <w:b/>
          <w:sz w:val="24"/>
          <w:szCs w:val="24"/>
        </w:rPr>
        <w:t>Vlerësimi i Gjykatës Kushtetuese</w:t>
      </w:r>
    </w:p>
    <w:p w14:paraId="4A439D88" w14:textId="77777777" w:rsidR="00A77DE1" w:rsidRPr="00320F47" w:rsidRDefault="00A77DE1" w:rsidP="00A77DE1">
      <w:pPr>
        <w:tabs>
          <w:tab w:val="left" w:pos="0"/>
        </w:tabs>
        <w:spacing w:after="0" w:line="240" w:lineRule="auto"/>
        <w:ind w:firstLine="284"/>
        <w:jc w:val="center"/>
        <w:rPr>
          <w:rFonts w:ascii="Garamond" w:hAnsi="Garamond"/>
          <w:b/>
          <w:sz w:val="24"/>
          <w:szCs w:val="24"/>
        </w:rPr>
      </w:pPr>
    </w:p>
    <w:p w14:paraId="37F8FBF6" w14:textId="09BDF90B" w:rsidR="00D131FE" w:rsidRPr="00320F47" w:rsidRDefault="00D131FE" w:rsidP="00624736">
      <w:pPr>
        <w:pStyle w:val="ListParagraph"/>
        <w:tabs>
          <w:tab w:val="left" w:pos="1080"/>
        </w:tabs>
        <w:spacing w:after="0" w:line="240" w:lineRule="auto"/>
        <w:ind w:left="0" w:firstLine="288"/>
        <w:contextualSpacing w:val="0"/>
        <w:jc w:val="both"/>
        <w:rPr>
          <w:rFonts w:ascii="Garamond" w:hAnsi="Garamond"/>
          <w:i/>
          <w:sz w:val="24"/>
          <w:szCs w:val="24"/>
          <w:lang w:val="sq-AL"/>
        </w:rPr>
      </w:pPr>
      <w:r w:rsidRPr="00320F47">
        <w:rPr>
          <w:rFonts w:ascii="Garamond" w:hAnsi="Garamond"/>
          <w:i/>
          <w:iCs/>
          <w:sz w:val="24"/>
          <w:szCs w:val="24"/>
          <w:lang w:val="sq-AL"/>
        </w:rPr>
        <w:t>A.</w:t>
      </w:r>
      <w:r w:rsidR="00A77DE1" w:rsidRPr="00320F47">
        <w:rPr>
          <w:rFonts w:ascii="Garamond" w:hAnsi="Garamond"/>
          <w:i/>
          <w:iCs/>
          <w:sz w:val="24"/>
          <w:szCs w:val="24"/>
          <w:lang w:val="sq-AL"/>
        </w:rPr>
        <w:t xml:space="preserve"> </w:t>
      </w:r>
      <w:r w:rsidRPr="00320F47">
        <w:rPr>
          <w:rFonts w:ascii="Garamond" w:hAnsi="Garamond"/>
          <w:i/>
          <w:sz w:val="24"/>
          <w:szCs w:val="24"/>
          <w:lang w:val="sq-AL"/>
        </w:rPr>
        <w:t>Për legjitimimin e kërkuesit</w:t>
      </w:r>
    </w:p>
    <w:p w14:paraId="65E6EE85" w14:textId="0CDAD259" w:rsidR="00D131FE" w:rsidRPr="00320F47" w:rsidRDefault="00D131FE" w:rsidP="00624736">
      <w:pPr>
        <w:pStyle w:val="ListParagraph"/>
        <w:tabs>
          <w:tab w:val="left" w:pos="1080"/>
        </w:tabs>
        <w:spacing w:after="0" w:line="240" w:lineRule="auto"/>
        <w:ind w:left="0" w:firstLine="288"/>
        <w:contextualSpacing w:val="0"/>
        <w:jc w:val="both"/>
        <w:rPr>
          <w:rFonts w:ascii="Garamond" w:hAnsi="Garamond"/>
          <w:i/>
          <w:sz w:val="24"/>
          <w:szCs w:val="24"/>
          <w:lang w:val="sq-AL"/>
        </w:rPr>
      </w:pPr>
      <w:r w:rsidRPr="00320F47">
        <w:rPr>
          <w:rFonts w:ascii="Garamond" w:hAnsi="Garamond"/>
          <w:sz w:val="24"/>
          <w:szCs w:val="24"/>
          <w:lang w:val="sq-AL"/>
        </w:rPr>
        <w:t>13.</w:t>
      </w:r>
      <w:r w:rsidR="00A77DE1" w:rsidRPr="00320F47">
        <w:rPr>
          <w:rFonts w:ascii="Garamond" w:hAnsi="Garamond"/>
          <w:sz w:val="24"/>
          <w:szCs w:val="24"/>
          <w:lang w:val="sq-AL"/>
        </w:rPr>
        <w:t xml:space="preserve"> </w:t>
      </w:r>
      <w:r w:rsidRPr="00320F47">
        <w:rPr>
          <w:rFonts w:ascii="Garamond" w:hAnsi="Garamond"/>
          <w:sz w:val="24"/>
          <w:szCs w:val="24"/>
          <w:lang w:val="sq-AL"/>
        </w:rPr>
        <w:t>Çështja e legjitimimit (</w:t>
      </w:r>
      <w:proofErr w:type="spellStart"/>
      <w:r w:rsidRPr="00320F47">
        <w:rPr>
          <w:rFonts w:ascii="Garamond" w:hAnsi="Garamond"/>
          <w:i/>
          <w:sz w:val="24"/>
          <w:szCs w:val="24"/>
          <w:lang w:val="sq-AL"/>
        </w:rPr>
        <w:t>locus</w:t>
      </w:r>
      <w:proofErr w:type="spellEnd"/>
      <w:r w:rsidRPr="00320F47">
        <w:rPr>
          <w:rFonts w:ascii="Garamond" w:hAnsi="Garamond"/>
          <w:i/>
          <w:sz w:val="24"/>
          <w:szCs w:val="24"/>
          <w:lang w:val="sq-AL"/>
        </w:rPr>
        <w:t xml:space="preserve"> </w:t>
      </w:r>
      <w:proofErr w:type="spellStart"/>
      <w:r w:rsidRPr="00320F47">
        <w:rPr>
          <w:rFonts w:ascii="Garamond" w:hAnsi="Garamond"/>
          <w:i/>
          <w:sz w:val="24"/>
          <w:szCs w:val="24"/>
          <w:lang w:val="sq-AL"/>
        </w:rPr>
        <w:t>standi</w:t>
      </w:r>
      <w:proofErr w:type="spellEnd"/>
      <w:r w:rsidRPr="00320F47">
        <w:rPr>
          <w:rFonts w:ascii="Garamond" w:hAnsi="Garamond"/>
          <w:sz w:val="24"/>
          <w:szCs w:val="24"/>
          <w:lang w:val="sq-AL"/>
        </w:rPr>
        <w:t>) është një ndër aspektet kryesore që lidhet me nisjen e një procesi kushtetues. Sipas neneve 131, pika 1, shkronja “f” dhe 134, pikat 1, shkronja “i” dhe 2, të Kushtetutës, si dhe nenit 71</w:t>
      </w:r>
      <w:r w:rsidR="00320F47">
        <w:rPr>
          <w:rFonts w:ascii="Garamond" w:hAnsi="Garamond"/>
          <w:sz w:val="24"/>
          <w:szCs w:val="24"/>
          <w:lang w:val="sq-AL"/>
        </w:rPr>
        <w:t>,</w:t>
      </w:r>
      <w:r w:rsidRPr="00320F47">
        <w:rPr>
          <w:rFonts w:ascii="Garamond" w:hAnsi="Garamond"/>
          <w:sz w:val="24"/>
          <w:szCs w:val="24"/>
          <w:lang w:val="sq-AL"/>
        </w:rPr>
        <w:t xml:space="preserve">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e nenit 71/a</w:t>
      </w:r>
      <w:r w:rsidR="00320F47">
        <w:rPr>
          <w:rFonts w:ascii="Garamond" w:hAnsi="Garamond"/>
          <w:sz w:val="24"/>
          <w:szCs w:val="24"/>
          <w:lang w:val="sq-AL"/>
        </w:rPr>
        <w:t>,</w:t>
      </w:r>
      <w:r w:rsidRPr="00320F47">
        <w:rPr>
          <w:rFonts w:ascii="Garamond" w:hAnsi="Garamond"/>
          <w:sz w:val="24"/>
          <w:szCs w:val="24"/>
          <w:lang w:val="sq-AL"/>
        </w:rPr>
        <w:t xml:space="preserve"> të ligjit nr. 8577/2000, që lidhen me shterimin e mjeteve juridike efektive, afatin e paraqitjes së kërkesës, pasojat negative të pësuara në mënyrë të drejtpërdrejtë e reale, mundësinë për rivendosjen e së drejtës së shkelur, si dhe rregullimet e veçanta ligjore të shqyrtimit paraprak të kërkesës.</w:t>
      </w:r>
    </w:p>
    <w:p w14:paraId="67596292" w14:textId="571DF13C" w:rsidR="00D131FE" w:rsidRPr="00320F47" w:rsidRDefault="00D131FE" w:rsidP="00624736">
      <w:pPr>
        <w:pStyle w:val="ListParagraph"/>
        <w:tabs>
          <w:tab w:val="left" w:pos="1080"/>
        </w:tabs>
        <w:spacing w:after="0" w:line="240" w:lineRule="auto"/>
        <w:ind w:left="0" w:firstLine="288"/>
        <w:contextualSpacing w:val="0"/>
        <w:jc w:val="both"/>
        <w:rPr>
          <w:rFonts w:ascii="Garamond" w:hAnsi="Garamond"/>
          <w:i/>
          <w:sz w:val="24"/>
          <w:szCs w:val="24"/>
          <w:lang w:val="sq-AL"/>
        </w:rPr>
      </w:pPr>
      <w:r w:rsidRPr="00320F47">
        <w:rPr>
          <w:rFonts w:ascii="Garamond" w:hAnsi="Garamond"/>
          <w:sz w:val="24"/>
          <w:szCs w:val="24"/>
          <w:lang w:val="sq-AL"/>
        </w:rPr>
        <w:t>14.</w:t>
      </w:r>
      <w:r w:rsidR="00A77DE1" w:rsidRPr="00320F47">
        <w:rPr>
          <w:rFonts w:ascii="Garamond" w:hAnsi="Garamond"/>
          <w:sz w:val="24"/>
          <w:szCs w:val="24"/>
          <w:lang w:val="sq-AL"/>
        </w:rPr>
        <w:t xml:space="preserve"> </w:t>
      </w:r>
      <w:r w:rsidRPr="00320F47">
        <w:rPr>
          <w:rFonts w:ascii="Garamond" w:hAnsi="Garamond"/>
          <w:sz w:val="24"/>
          <w:szCs w:val="24"/>
          <w:lang w:val="sq-AL"/>
        </w:rPr>
        <w:t xml:space="preserve">Gjykata çmon se kërkuesi, si individ, legjitimohet </w:t>
      </w:r>
      <w:proofErr w:type="spellStart"/>
      <w:r w:rsidRPr="00320F47">
        <w:rPr>
          <w:rFonts w:ascii="Garamond" w:hAnsi="Garamond"/>
          <w:i/>
          <w:sz w:val="24"/>
          <w:szCs w:val="24"/>
          <w:lang w:val="sq-AL"/>
        </w:rPr>
        <w:t>ratione</w:t>
      </w:r>
      <w:proofErr w:type="spellEnd"/>
      <w:r w:rsidRPr="00320F47">
        <w:rPr>
          <w:rFonts w:ascii="Garamond" w:hAnsi="Garamond"/>
          <w:i/>
          <w:sz w:val="24"/>
          <w:szCs w:val="24"/>
          <w:lang w:val="sq-AL"/>
        </w:rPr>
        <w:t xml:space="preserve"> </w:t>
      </w:r>
      <w:proofErr w:type="spellStart"/>
      <w:r w:rsidRPr="00320F47">
        <w:rPr>
          <w:rFonts w:ascii="Garamond" w:hAnsi="Garamond"/>
          <w:i/>
          <w:sz w:val="24"/>
          <w:szCs w:val="24"/>
          <w:lang w:val="sq-AL"/>
        </w:rPr>
        <w:t>personae</w:t>
      </w:r>
      <w:proofErr w:type="spellEnd"/>
      <w:r w:rsidRPr="00320F47">
        <w:rPr>
          <w:rFonts w:ascii="Garamond" w:hAnsi="Garamond"/>
          <w:sz w:val="24"/>
          <w:szCs w:val="24"/>
          <w:lang w:val="sq-AL"/>
        </w:rPr>
        <w:t xml:space="preserve">, në kuptim të neneve 131, pika 1, shkronja “f” dhe 134, pikat 1, shkronja “i” dhe 2, të Kushtetutës, pasi ka qenë palë në procesin gjyqësor, në të cilin është vendosur për padinë e tij me objekt marrëdhëniet e punës, ndaj ka interes të drejtpërdrejtë për çështjen e parashtruar. </w:t>
      </w:r>
    </w:p>
    <w:p w14:paraId="6B275759" w14:textId="321D882E" w:rsidR="00D131FE" w:rsidRPr="00320F47" w:rsidRDefault="00D131FE" w:rsidP="00624736">
      <w:pPr>
        <w:pStyle w:val="ListParagraph"/>
        <w:tabs>
          <w:tab w:val="left" w:pos="1080"/>
        </w:tabs>
        <w:spacing w:after="0" w:line="240" w:lineRule="auto"/>
        <w:ind w:left="0" w:firstLine="288"/>
        <w:contextualSpacing w:val="0"/>
        <w:jc w:val="both"/>
        <w:rPr>
          <w:rFonts w:ascii="Garamond" w:hAnsi="Garamond"/>
          <w:i/>
          <w:sz w:val="24"/>
          <w:szCs w:val="24"/>
          <w:lang w:val="sq-AL"/>
        </w:rPr>
      </w:pPr>
      <w:r w:rsidRPr="00320F47">
        <w:rPr>
          <w:rFonts w:ascii="Garamond" w:hAnsi="Garamond"/>
          <w:sz w:val="24"/>
          <w:szCs w:val="24"/>
          <w:lang w:val="sq-AL"/>
        </w:rPr>
        <w:t>15.</w:t>
      </w:r>
      <w:r w:rsidR="00A77DE1" w:rsidRPr="00320F47">
        <w:rPr>
          <w:rFonts w:ascii="Garamond" w:hAnsi="Garamond"/>
          <w:sz w:val="24"/>
          <w:szCs w:val="24"/>
          <w:lang w:val="sq-AL"/>
        </w:rPr>
        <w:t xml:space="preserve"> </w:t>
      </w:r>
      <w:r w:rsidRPr="00320F47">
        <w:rPr>
          <w:rFonts w:ascii="Garamond" w:hAnsi="Garamond"/>
          <w:sz w:val="24"/>
          <w:szCs w:val="24"/>
          <w:lang w:val="sq-AL"/>
        </w:rPr>
        <w:t xml:space="preserve">Në lidhje me kriterin e </w:t>
      </w:r>
      <w:r w:rsidRPr="00320F47">
        <w:rPr>
          <w:rFonts w:ascii="Garamond" w:hAnsi="Garamond"/>
          <w:i/>
          <w:sz w:val="24"/>
          <w:szCs w:val="24"/>
          <w:lang w:val="sq-AL"/>
        </w:rPr>
        <w:t>shterimit të mjeteve juridike efektive</w:t>
      </w:r>
      <w:r w:rsidRPr="00320F47">
        <w:rPr>
          <w:rFonts w:ascii="Garamond" w:hAnsi="Garamond"/>
          <w:sz w:val="24"/>
          <w:szCs w:val="24"/>
          <w:lang w:val="sq-AL"/>
        </w:rPr>
        <w:t xml:space="preserve">, Gjykata ka pohuar se, në kuptim të nenit 131, pika 1, shkronja “f”, të Kushtetutës, mbrojtja kushtetuese ka funksion përfundimtar dhe, si e tillë, mund të aplikohet vetëm në lidhje me vendime, për të cilat kanë përfunduar procedurat gjyqësore. Kontrolli kushtetues ka natyrë </w:t>
      </w:r>
      <w:proofErr w:type="spellStart"/>
      <w:r w:rsidRPr="00320F47">
        <w:rPr>
          <w:rFonts w:ascii="Garamond" w:hAnsi="Garamond"/>
          <w:sz w:val="24"/>
          <w:szCs w:val="24"/>
          <w:lang w:val="sq-AL"/>
        </w:rPr>
        <w:t>subsidiare</w:t>
      </w:r>
      <w:proofErr w:type="spellEnd"/>
      <w:r w:rsidRPr="00320F47">
        <w:rPr>
          <w:rFonts w:ascii="Garamond" w:hAnsi="Garamond"/>
          <w:sz w:val="24"/>
          <w:szCs w:val="24"/>
          <w:lang w:val="sq-AL"/>
        </w:rPr>
        <w:t>, që do të thotë se individi duhet t’i ketë shteruar mjetet dhe rrugët e tjera ligjore (</w:t>
      </w:r>
      <w:r w:rsidRPr="00320F47">
        <w:rPr>
          <w:rFonts w:ascii="Garamond" w:hAnsi="Garamond"/>
          <w:i/>
          <w:sz w:val="24"/>
          <w:szCs w:val="24"/>
          <w:lang w:val="sq-AL"/>
        </w:rPr>
        <w:t>shih vendimet nr. 23, datë 10.10.2022; nr. 14, da</w:t>
      </w:r>
      <w:r w:rsidR="00320F47">
        <w:rPr>
          <w:rFonts w:ascii="Garamond" w:hAnsi="Garamond"/>
          <w:i/>
          <w:sz w:val="24"/>
          <w:szCs w:val="24"/>
          <w:lang w:val="sq-AL"/>
        </w:rPr>
        <w:t>të 11.3.2021; nr. 17, datë 16.</w:t>
      </w:r>
      <w:r w:rsidRPr="00320F47">
        <w:rPr>
          <w:rFonts w:ascii="Garamond" w:hAnsi="Garamond"/>
          <w:i/>
          <w:sz w:val="24"/>
          <w:szCs w:val="24"/>
          <w:lang w:val="sq-AL"/>
        </w:rPr>
        <w:t>5.2011</w:t>
      </w:r>
      <w:r w:rsidR="00320F47">
        <w:rPr>
          <w:rFonts w:ascii="Garamond" w:hAnsi="Garamond"/>
          <w:i/>
          <w:sz w:val="24"/>
          <w:szCs w:val="24"/>
          <w:lang w:val="sq-AL"/>
        </w:rPr>
        <w:t>,</w:t>
      </w:r>
      <w:r w:rsidRPr="00320F47">
        <w:rPr>
          <w:rFonts w:ascii="Garamond" w:hAnsi="Garamond"/>
          <w:i/>
          <w:sz w:val="24"/>
          <w:szCs w:val="24"/>
          <w:lang w:val="sq-AL"/>
        </w:rPr>
        <w:t xml:space="preserve"> të Gjykatës Kushtetuese</w:t>
      </w:r>
      <w:r w:rsidRPr="00320F47">
        <w:rPr>
          <w:rFonts w:ascii="Garamond" w:hAnsi="Garamond"/>
          <w:sz w:val="24"/>
          <w:szCs w:val="24"/>
          <w:lang w:val="sq-AL"/>
        </w:rPr>
        <w:t xml:space="preserve">). Në thelb, ky rregull synon t’u japë organeve publike dhe, në veçanti, gjykatave të juridiksionit të zakonshëm mundësinë të parandalojnë ose korrigjojnë në substancë shkeljet e pretenduara të </w:t>
      </w:r>
      <w:proofErr w:type="spellStart"/>
      <w:r w:rsidRPr="00320F47">
        <w:rPr>
          <w:rFonts w:ascii="Garamond" w:hAnsi="Garamond"/>
          <w:sz w:val="24"/>
          <w:szCs w:val="24"/>
          <w:lang w:val="sq-AL"/>
        </w:rPr>
        <w:t>të</w:t>
      </w:r>
      <w:proofErr w:type="spellEnd"/>
      <w:r w:rsidRPr="00320F47">
        <w:rPr>
          <w:rFonts w:ascii="Garamond" w:hAnsi="Garamond"/>
          <w:sz w:val="24"/>
          <w:szCs w:val="24"/>
          <w:lang w:val="sq-AL"/>
        </w:rPr>
        <w:t xml:space="preserve"> drejtave kushtetuese të individit. Ana tjetër e rregullit të shterimit të mjeteve juridike efektive përfshin detyrimin e vetë individit që të tregojë kujdesin dhe vëmendjen e duhur për të paraqitur kërkesa, kundërshtime ose ankime te organet publike dhe gjykatat e juridiksionit të zakonshëm për rrethanat që mbështesin pretendimet për cenimin e të drejtave kushtetuese (</w:t>
      </w:r>
      <w:r w:rsidR="00320F47">
        <w:rPr>
          <w:rFonts w:ascii="Garamond" w:hAnsi="Garamond"/>
          <w:i/>
          <w:sz w:val="24"/>
          <w:szCs w:val="24"/>
          <w:lang w:val="sq-AL"/>
        </w:rPr>
        <w:t>shih vendimet nr. 10, datë 7.</w:t>
      </w:r>
      <w:r w:rsidRPr="00320F47">
        <w:rPr>
          <w:rFonts w:ascii="Garamond" w:hAnsi="Garamond"/>
          <w:i/>
          <w:sz w:val="24"/>
          <w:szCs w:val="24"/>
          <w:lang w:val="sq-AL"/>
        </w:rPr>
        <w:t>3.2023; nr. 25, datë 13.10.2022</w:t>
      </w:r>
      <w:r w:rsidR="00320F47">
        <w:rPr>
          <w:rFonts w:ascii="Garamond" w:hAnsi="Garamond"/>
          <w:i/>
          <w:sz w:val="24"/>
          <w:szCs w:val="24"/>
          <w:lang w:val="sq-AL"/>
        </w:rPr>
        <w:t>,</w:t>
      </w:r>
      <w:r w:rsidRPr="00320F47">
        <w:rPr>
          <w:rFonts w:ascii="Garamond" w:hAnsi="Garamond"/>
          <w:i/>
          <w:sz w:val="24"/>
          <w:szCs w:val="24"/>
          <w:lang w:val="sq-AL"/>
        </w:rPr>
        <w:t xml:space="preserve"> të Gjykatës Kushtetuese</w:t>
      </w:r>
      <w:r w:rsidRPr="00320F47">
        <w:rPr>
          <w:rFonts w:ascii="Garamond" w:hAnsi="Garamond"/>
          <w:sz w:val="24"/>
          <w:szCs w:val="24"/>
          <w:lang w:val="sq-AL"/>
        </w:rPr>
        <w:t>).</w:t>
      </w:r>
    </w:p>
    <w:p w14:paraId="5F4EE924" w14:textId="38630456" w:rsidR="00D131FE" w:rsidRPr="00320F47" w:rsidRDefault="00D131FE" w:rsidP="00624736">
      <w:pPr>
        <w:pStyle w:val="ListParagraph"/>
        <w:tabs>
          <w:tab w:val="left" w:pos="1080"/>
        </w:tabs>
        <w:spacing w:after="0" w:line="240" w:lineRule="auto"/>
        <w:ind w:left="0" w:firstLine="288"/>
        <w:contextualSpacing w:val="0"/>
        <w:jc w:val="both"/>
        <w:rPr>
          <w:rFonts w:ascii="Garamond" w:hAnsi="Garamond"/>
          <w:sz w:val="24"/>
          <w:szCs w:val="24"/>
          <w:lang w:val="sq-AL"/>
        </w:rPr>
      </w:pPr>
      <w:r w:rsidRPr="00320F47">
        <w:rPr>
          <w:rFonts w:ascii="Garamond" w:hAnsi="Garamond"/>
          <w:sz w:val="24"/>
          <w:szCs w:val="24"/>
          <w:lang w:val="sq-AL"/>
        </w:rPr>
        <w:t>16.</w:t>
      </w:r>
      <w:r w:rsidR="00A77DE1" w:rsidRPr="00320F47">
        <w:rPr>
          <w:rFonts w:ascii="Garamond" w:hAnsi="Garamond"/>
          <w:sz w:val="24"/>
          <w:szCs w:val="24"/>
          <w:lang w:val="sq-AL"/>
        </w:rPr>
        <w:t xml:space="preserve"> </w:t>
      </w:r>
      <w:r w:rsidRPr="00320F47">
        <w:rPr>
          <w:rFonts w:ascii="Garamond" w:hAnsi="Garamond"/>
          <w:sz w:val="24"/>
          <w:szCs w:val="24"/>
          <w:lang w:val="sq-AL"/>
        </w:rPr>
        <w:t xml:space="preserve">Në çështjen konkrete Gjykata konstaton se kërkuesi ka pretenduar, ndër të tjera, cenimin e së drejtës për gjykim brenda një afati të arsyeshëm, për shkak se Gjykatës së Lartë i është dashur më shumë se 6 vjet për të gjykuar përfundimisht çështjen e tij, e cila nuk paraqitej komplekse ose e ndërlikuar. Sipas tij, </w:t>
      </w:r>
      <w:proofErr w:type="spellStart"/>
      <w:r w:rsidRPr="00320F47">
        <w:rPr>
          <w:rFonts w:ascii="Garamond" w:hAnsi="Garamond"/>
          <w:sz w:val="24"/>
          <w:szCs w:val="24"/>
          <w:lang w:val="sq-AL"/>
        </w:rPr>
        <w:t>mosshqyrtimi</w:t>
      </w:r>
      <w:proofErr w:type="spellEnd"/>
      <w:r w:rsidRPr="00320F47">
        <w:rPr>
          <w:rFonts w:ascii="Garamond" w:hAnsi="Garamond"/>
          <w:sz w:val="24"/>
          <w:szCs w:val="24"/>
          <w:lang w:val="sq-AL"/>
        </w:rPr>
        <w:t xml:space="preserve"> në kohë i çështjes i ka cenuar edhe të drejtat për të fituar mjetet e jetesës me punë të ligjshme të zgjedhur vetë, për të zgjedhur profesionin dhe vendin e punës, për barazinë e armëve dhe mosekzekutimin në kohë të vendimeve gjyqësore të formës së prerë etj.</w:t>
      </w:r>
    </w:p>
    <w:p w14:paraId="7152F500" w14:textId="1F3E3A6B" w:rsidR="00D131FE" w:rsidRPr="00320F47" w:rsidRDefault="00D131FE" w:rsidP="00624736">
      <w:pPr>
        <w:pStyle w:val="BodyText"/>
        <w:tabs>
          <w:tab w:val="left" w:pos="1080"/>
        </w:tabs>
        <w:spacing w:line="240" w:lineRule="auto"/>
        <w:ind w:firstLine="288"/>
        <w:rPr>
          <w:rFonts w:ascii="Garamond" w:hAnsi="Garamond"/>
          <w:sz w:val="24"/>
        </w:rPr>
      </w:pPr>
      <w:r w:rsidRPr="00320F47">
        <w:rPr>
          <w:rFonts w:ascii="Garamond" w:hAnsi="Garamond"/>
          <w:sz w:val="24"/>
        </w:rPr>
        <w:t>17.</w:t>
      </w:r>
      <w:r w:rsidR="00A77DE1" w:rsidRPr="00320F47">
        <w:rPr>
          <w:rFonts w:ascii="Garamond" w:hAnsi="Garamond"/>
          <w:sz w:val="24"/>
        </w:rPr>
        <w:t xml:space="preserve"> </w:t>
      </w:r>
      <w:r w:rsidRPr="00320F47">
        <w:rPr>
          <w:rFonts w:ascii="Garamond" w:hAnsi="Garamond"/>
          <w:sz w:val="24"/>
        </w:rPr>
        <w:t xml:space="preserve">Subjektet e interesuara, MBZHR-ja dhe DAP-i, kanë prapësuar se ky pretendim është i pabazuar, pasi vonesa ka ardhur për shkaqe që qëndrojnë përtej vullnetit të Gjykatës së Lartë, të cilat lidhen me efektet e zbatimit të reformës në drejtësi dhe procesit të </w:t>
      </w:r>
      <w:proofErr w:type="spellStart"/>
      <w:r w:rsidRPr="00320F47">
        <w:rPr>
          <w:rFonts w:ascii="Garamond" w:hAnsi="Garamond"/>
          <w:i/>
          <w:sz w:val="24"/>
        </w:rPr>
        <w:t>vetingut</w:t>
      </w:r>
      <w:proofErr w:type="spellEnd"/>
      <w:r w:rsidRPr="00320F47">
        <w:rPr>
          <w:rFonts w:ascii="Garamond" w:hAnsi="Garamond"/>
          <w:sz w:val="24"/>
        </w:rPr>
        <w:t>, dhe se kërkuesi nuk ka paraqitur kërkesë për përshpejtimin e shqyrtimit të çështjes, sipas dispozitave të KPC-së të ndryshuara në vitin 2017, duke mos shteruar kështu mjetet juridike efektive në dispozicion.</w:t>
      </w:r>
    </w:p>
    <w:p w14:paraId="168DE28F" w14:textId="0A9887CA" w:rsidR="00D131FE" w:rsidRPr="00320F47" w:rsidRDefault="00D131FE" w:rsidP="00624736">
      <w:pPr>
        <w:pStyle w:val="ListParagraph"/>
        <w:tabs>
          <w:tab w:val="left" w:pos="720"/>
          <w:tab w:val="left" w:pos="1080"/>
        </w:tabs>
        <w:spacing w:after="0" w:line="240" w:lineRule="auto"/>
        <w:ind w:left="0" w:firstLine="288"/>
        <w:contextualSpacing w:val="0"/>
        <w:jc w:val="both"/>
        <w:rPr>
          <w:rFonts w:ascii="Garamond" w:hAnsi="Garamond"/>
          <w:sz w:val="24"/>
          <w:szCs w:val="24"/>
          <w:lang w:val="sq-AL"/>
        </w:rPr>
      </w:pPr>
      <w:r w:rsidRPr="00320F47">
        <w:rPr>
          <w:rFonts w:ascii="Garamond" w:hAnsi="Garamond"/>
          <w:sz w:val="24"/>
          <w:szCs w:val="24"/>
          <w:lang w:val="sq-AL"/>
        </w:rPr>
        <w:t>18.</w:t>
      </w:r>
      <w:r w:rsidR="00A77DE1" w:rsidRPr="00320F47">
        <w:rPr>
          <w:rFonts w:ascii="Garamond" w:hAnsi="Garamond"/>
          <w:sz w:val="24"/>
          <w:szCs w:val="24"/>
          <w:lang w:val="sq-AL"/>
        </w:rPr>
        <w:t xml:space="preserve"> </w:t>
      </w:r>
      <w:r w:rsidR="00320F47">
        <w:rPr>
          <w:rFonts w:ascii="Garamond" w:hAnsi="Garamond"/>
          <w:sz w:val="24"/>
          <w:szCs w:val="24"/>
          <w:lang w:val="sq-AL"/>
        </w:rPr>
        <w:t>Në datën 31.</w:t>
      </w:r>
      <w:r w:rsidRPr="00320F47">
        <w:rPr>
          <w:rFonts w:ascii="Garamond" w:hAnsi="Garamond"/>
          <w:sz w:val="24"/>
          <w:szCs w:val="24"/>
          <w:lang w:val="sq-AL"/>
        </w:rPr>
        <w:t>5.2021</w:t>
      </w:r>
      <w:r w:rsidR="00320F47">
        <w:rPr>
          <w:rFonts w:ascii="Garamond" w:hAnsi="Garamond"/>
          <w:sz w:val="24"/>
          <w:szCs w:val="24"/>
          <w:lang w:val="sq-AL"/>
        </w:rPr>
        <w:t>,</w:t>
      </w:r>
      <w:r w:rsidRPr="00320F47">
        <w:rPr>
          <w:rFonts w:ascii="Garamond" w:hAnsi="Garamond"/>
          <w:sz w:val="24"/>
          <w:szCs w:val="24"/>
          <w:lang w:val="sq-AL"/>
        </w:rPr>
        <w:t xml:space="preserve"> kërkuesi i ka kërkuar Gjykatës së Lartë gjykimin e çështjes me procedurë të përshpejtuar, me argumentin se ajo përfshihej në kategorinë e këtyre çështjeve, pasi ekzekutimi i saj ishte pezulluar dhe ai kishte mundësi të kufizuara ekonomike, si dhe rreth 5 vjet në pritje </w:t>
      </w:r>
      <w:r w:rsidR="00320F47">
        <w:rPr>
          <w:rFonts w:ascii="Garamond" w:hAnsi="Garamond"/>
          <w:sz w:val="24"/>
          <w:szCs w:val="24"/>
          <w:lang w:val="sq-AL"/>
        </w:rPr>
        <w:t xml:space="preserve">të shqyrtimit të saj. Në datën </w:t>
      </w:r>
      <w:r w:rsidRPr="00320F47">
        <w:rPr>
          <w:rFonts w:ascii="Garamond" w:hAnsi="Garamond"/>
          <w:sz w:val="24"/>
          <w:szCs w:val="24"/>
          <w:lang w:val="sq-AL"/>
        </w:rPr>
        <w:t xml:space="preserve">3.11.2021 Gjykata e Lartë e ka informuar kërkuesin se çështjet shqyrtohen në bazë të një radhe gjykimi, në përputhje me periudhën e regjistrimit të dosjes në sekretarinë gjyqësore dhe se çështjet administrative me objekt zgjidhjen e mosmarrëveshjeve të punës regjistrohen në kategorinë e çështjeve administrative, të tipit “Të </w:t>
      </w:r>
      <w:r w:rsidR="00320F47">
        <w:rPr>
          <w:rFonts w:ascii="Garamond" w:hAnsi="Garamond"/>
          <w:sz w:val="24"/>
          <w:szCs w:val="24"/>
          <w:lang w:val="sq-AL"/>
        </w:rPr>
        <w:t>tjera”. Po kështu, në datën 16.</w:t>
      </w:r>
      <w:r w:rsidRPr="00320F47">
        <w:rPr>
          <w:rFonts w:ascii="Garamond" w:hAnsi="Garamond"/>
          <w:sz w:val="24"/>
          <w:szCs w:val="24"/>
          <w:lang w:val="sq-AL"/>
        </w:rPr>
        <w:t>5.2022, po ajo gjykatë, e ka informuar se çështja administrative që i përket themelit të padisë dhe kërkesa e revokimit të vendimit të pezullimi</w:t>
      </w:r>
      <w:r w:rsidR="00320F47">
        <w:rPr>
          <w:rFonts w:ascii="Garamond" w:hAnsi="Garamond"/>
          <w:sz w:val="24"/>
          <w:szCs w:val="24"/>
          <w:lang w:val="sq-AL"/>
        </w:rPr>
        <w:t>t do të shqyrtohen në datën 26.</w:t>
      </w:r>
      <w:r w:rsidRPr="00320F47">
        <w:rPr>
          <w:rFonts w:ascii="Garamond" w:hAnsi="Garamond"/>
          <w:sz w:val="24"/>
          <w:szCs w:val="24"/>
          <w:lang w:val="sq-AL"/>
        </w:rPr>
        <w:t>5.2022, datë në të cilën ajo ka disponuar përfundimisht me vendimin objekt të ankimit kushtetues.</w:t>
      </w:r>
    </w:p>
    <w:p w14:paraId="5C394E9B" w14:textId="7EFF165E" w:rsidR="00D131FE" w:rsidRPr="00320F47" w:rsidRDefault="00D131FE" w:rsidP="00624736">
      <w:pPr>
        <w:pStyle w:val="BodyText"/>
        <w:tabs>
          <w:tab w:val="left" w:pos="1080"/>
        </w:tabs>
        <w:spacing w:line="240" w:lineRule="auto"/>
        <w:ind w:firstLine="288"/>
        <w:rPr>
          <w:rFonts w:ascii="Garamond" w:hAnsi="Garamond"/>
          <w:sz w:val="24"/>
        </w:rPr>
      </w:pPr>
      <w:r w:rsidRPr="00320F47">
        <w:rPr>
          <w:rFonts w:ascii="Garamond" w:hAnsi="Garamond"/>
          <w:sz w:val="24"/>
        </w:rPr>
        <w:t>19.</w:t>
      </w:r>
      <w:r w:rsidR="00A77DE1" w:rsidRPr="00320F47">
        <w:rPr>
          <w:rFonts w:ascii="Garamond" w:hAnsi="Garamond"/>
          <w:sz w:val="24"/>
        </w:rPr>
        <w:t xml:space="preserve"> </w:t>
      </w:r>
      <w:r w:rsidRPr="00320F47">
        <w:rPr>
          <w:rFonts w:ascii="Garamond" w:hAnsi="Garamond"/>
          <w:sz w:val="24"/>
        </w:rPr>
        <w:t>Gjykata evidenton se me ndryshimet që i janë bërë KPC-së me ligji</w:t>
      </w:r>
      <w:r w:rsidR="00320F47">
        <w:rPr>
          <w:rFonts w:ascii="Garamond" w:hAnsi="Garamond"/>
          <w:sz w:val="24"/>
        </w:rPr>
        <w:t xml:space="preserve">n nr. 38/2017, hyrë në fuqi më </w:t>
      </w:r>
      <w:r w:rsidRPr="00320F47">
        <w:rPr>
          <w:rFonts w:ascii="Garamond" w:hAnsi="Garamond"/>
          <w:sz w:val="24"/>
        </w:rPr>
        <w:t>5.11.2017, është përcaktuar, ndër të tjera, se cilat konsiderohen afate të arsyeshme (</w:t>
      </w:r>
      <w:r w:rsidRPr="00320F47">
        <w:rPr>
          <w:rFonts w:ascii="Garamond" w:hAnsi="Garamond"/>
          <w:i/>
          <w:sz w:val="24"/>
        </w:rPr>
        <w:t>neni 399/2</w:t>
      </w:r>
      <w:r w:rsidRPr="00320F47">
        <w:rPr>
          <w:rFonts w:ascii="Garamond" w:hAnsi="Garamond"/>
          <w:sz w:val="24"/>
        </w:rPr>
        <w:t>), cili konsiderohet shpërblim i drejtë (</w:t>
      </w:r>
      <w:r w:rsidRPr="00320F47">
        <w:rPr>
          <w:rFonts w:ascii="Garamond" w:hAnsi="Garamond"/>
          <w:i/>
          <w:sz w:val="24"/>
        </w:rPr>
        <w:t>neni 399/3</w:t>
      </w:r>
      <w:r w:rsidRPr="00320F47">
        <w:rPr>
          <w:rFonts w:ascii="Garamond" w:hAnsi="Garamond"/>
          <w:sz w:val="24"/>
        </w:rPr>
        <w:t>), cila është gjykata kompetente për shqyrtimin e kërkesës për konstatimin e shkeljes dhe përshpejtimin e procedurave (</w:t>
      </w:r>
      <w:r w:rsidRPr="00320F47">
        <w:rPr>
          <w:rFonts w:ascii="Garamond" w:hAnsi="Garamond"/>
          <w:i/>
          <w:sz w:val="24"/>
        </w:rPr>
        <w:t>nenet 399/4 dhe 399/6</w:t>
      </w:r>
      <w:r w:rsidRPr="00320F47">
        <w:rPr>
          <w:rFonts w:ascii="Garamond" w:hAnsi="Garamond"/>
          <w:sz w:val="24"/>
        </w:rPr>
        <w:t>), përfshirë rregullat për gjykimin e kërkesës (</w:t>
      </w:r>
      <w:r w:rsidRPr="00320F47">
        <w:rPr>
          <w:rFonts w:ascii="Garamond" w:hAnsi="Garamond"/>
          <w:i/>
          <w:sz w:val="24"/>
        </w:rPr>
        <w:t>neni 399/7</w:t>
      </w:r>
      <w:r w:rsidRPr="00320F47">
        <w:rPr>
          <w:rFonts w:ascii="Garamond" w:hAnsi="Garamond"/>
          <w:sz w:val="24"/>
        </w:rPr>
        <w:t xml:space="preserve">). Në këtë mënyrë, ligji procedural ka parashikuar mjete ligjore/instrumente efektive për t’i garantuar individit mbrojtjen e së drejtës për gjykimin brenda një afati të arsyeshëm, të cilat, sipas jurisprudencës së kësaj Gjykate, në parim, janë efektive, ndërsa në praktikë efektiviteti i tyre duhet shqyrtuar nën dritën e rrethanave të çdo rasti konkret </w:t>
      </w:r>
      <w:r w:rsidRPr="00320F47">
        <w:rPr>
          <w:rFonts w:ascii="Garamond" w:hAnsi="Garamond"/>
          <w:i/>
          <w:sz w:val="24"/>
        </w:rPr>
        <w:t>(shih v</w:t>
      </w:r>
      <w:r w:rsidR="00320F47">
        <w:rPr>
          <w:rFonts w:ascii="Garamond" w:hAnsi="Garamond"/>
          <w:i/>
          <w:sz w:val="24"/>
        </w:rPr>
        <w:t>endimet nr. 10, datë 7.3.2023; nr. 3, datë 17.2.2022; nr. 2, datë 17.</w:t>
      </w:r>
      <w:r w:rsidRPr="00320F47">
        <w:rPr>
          <w:rFonts w:ascii="Garamond" w:hAnsi="Garamond"/>
          <w:i/>
          <w:sz w:val="24"/>
        </w:rPr>
        <w:t>2.2022</w:t>
      </w:r>
      <w:r w:rsidR="00320F47">
        <w:rPr>
          <w:rFonts w:ascii="Garamond" w:hAnsi="Garamond"/>
          <w:i/>
          <w:sz w:val="24"/>
        </w:rPr>
        <w:t>,</w:t>
      </w:r>
      <w:r w:rsidRPr="00320F47">
        <w:rPr>
          <w:rFonts w:ascii="Garamond" w:hAnsi="Garamond"/>
          <w:i/>
          <w:sz w:val="24"/>
        </w:rPr>
        <w:t xml:space="preserve"> të Gjykatës Kushtetuese)</w:t>
      </w:r>
      <w:r w:rsidRPr="00320F47">
        <w:rPr>
          <w:rFonts w:ascii="Garamond" w:hAnsi="Garamond"/>
          <w:sz w:val="24"/>
        </w:rPr>
        <w:t>.</w:t>
      </w:r>
    </w:p>
    <w:p w14:paraId="1D89752A" w14:textId="3869C236" w:rsidR="00D131FE" w:rsidRPr="00320F47" w:rsidRDefault="00D131FE" w:rsidP="00624736">
      <w:pPr>
        <w:pStyle w:val="BodyText"/>
        <w:tabs>
          <w:tab w:val="left" w:pos="1080"/>
        </w:tabs>
        <w:spacing w:line="240" w:lineRule="auto"/>
        <w:ind w:firstLine="288"/>
        <w:rPr>
          <w:rFonts w:ascii="Garamond" w:hAnsi="Garamond"/>
          <w:sz w:val="24"/>
        </w:rPr>
      </w:pPr>
      <w:r w:rsidRPr="00320F47">
        <w:rPr>
          <w:rFonts w:ascii="Garamond" w:hAnsi="Garamond"/>
          <w:sz w:val="24"/>
        </w:rPr>
        <w:t>20.</w:t>
      </w:r>
      <w:r w:rsidR="00A77DE1" w:rsidRPr="00320F47">
        <w:rPr>
          <w:rFonts w:ascii="Garamond" w:hAnsi="Garamond"/>
          <w:sz w:val="24"/>
        </w:rPr>
        <w:t xml:space="preserve"> </w:t>
      </w:r>
      <w:r w:rsidRPr="00320F47">
        <w:rPr>
          <w:rFonts w:ascii="Garamond" w:hAnsi="Garamond"/>
          <w:sz w:val="24"/>
        </w:rPr>
        <w:t>Në rastin në shqyrtim, Gj</w:t>
      </w:r>
      <w:r w:rsidR="00320F47">
        <w:rPr>
          <w:rFonts w:ascii="Garamond" w:hAnsi="Garamond"/>
          <w:sz w:val="24"/>
        </w:rPr>
        <w:t>ykata konstaton se në datën 31.</w:t>
      </w:r>
      <w:r w:rsidRPr="00320F47">
        <w:rPr>
          <w:rFonts w:ascii="Garamond" w:hAnsi="Garamond"/>
          <w:sz w:val="24"/>
        </w:rPr>
        <w:t>5.2021</w:t>
      </w:r>
      <w:r w:rsidR="00320F47">
        <w:rPr>
          <w:rFonts w:ascii="Garamond" w:hAnsi="Garamond"/>
          <w:sz w:val="24"/>
        </w:rPr>
        <w:t>,</w:t>
      </w:r>
      <w:r w:rsidRPr="00320F47">
        <w:rPr>
          <w:rFonts w:ascii="Garamond" w:hAnsi="Garamond"/>
          <w:sz w:val="24"/>
        </w:rPr>
        <w:t xml:space="preserve"> kërkuesi i ka kërkuar zëvendëskryetarit të Gjykatës së Lartë gjykimin e çështjes së tij me procedurë të përshpejtuar. Gjykata vëren se ky mjet ligjor i përdorur prej tij nuk është ai i parashikuar në nenet 399/1 e vijues të KPC-së, i cili garanton mbrojtjen e së drejtës kushtetuese të gjykimit brenda afatit të arsyeshëm përpara Gjykatës së Lartë. Në këtë situatë, sikurse me të drejtë ka parashtruar edhe subjekti i interesuar, DAP-i, Gjykata vlerëson se kërkuesi nuk ka shteruar mjetet juridike efektive që ka pasur në dispozicion për mbrojtjen e saj. Për rrjedhojë, ajo nuk mund të shqyrtojë as pretendimet që lidhen me cenimin e të drejtave me natyrë ekonomike të pretenduara, për shkak të vonesës së gjykimit nga Gjykata e Lartë.</w:t>
      </w:r>
    </w:p>
    <w:p w14:paraId="3D609277" w14:textId="5B7E7ED6" w:rsidR="00D131FE" w:rsidRPr="00320F47" w:rsidRDefault="00D131FE" w:rsidP="00624736">
      <w:pPr>
        <w:pStyle w:val="BodyText"/>
        <w:tabs>
          <w:tab w:val="left" w:pos="1080"/>
        </w:tabs>
        <w:spacing w:line="240" w:lineRule="auto"/>
        <w:ind w:firstLine="288"/>
        <w:rPr>
          <w:rFonts w:ascii="Garamond" w:hAnsi="Garamond"/>
          <w:sz w:val="24"/>
        </w:rPr>
      </w:pPr>
      <w:r w:rsidRPr="00320F47">
        <w:rPr>
          <w:rFonts w:ascii="Garamond" w:hAnsi="Garamond"/>
          <w:sz w:val="24"/>
        </w:rPr>
        <w:t>21.</w:t>
      </w:r>
      <w:r w:rsidR="00A77DE1" w:rsidRPr="00320F47">
        <w:rPr>
          <w:rFonts w:ascii="Garamond" w:hAnsi="Garamond"/>
          <w:sz w:val="24"/>
        </w:rPr>
        <w:t xml:space="preserve"> </w:t>
      </w:r>
      <w:r w:rsidRPr="00320F47">
        <w:rPr>
          <w:rFonts w:ascii="Garamond" w:hAnsi="Garamond"/>
          <w:sz w:val="24"/>
        </w:rPr>
        <w:t>Për sa u takon pretendimeve të tjera që lidhen me cenimin e parimit të gjykatës së caktuar me ligj, parimit të sigurisë juridike të lidhur me gjykimin e drejtë, si dhe së drejtës së mbrojtjes, Gjykata çmon se kërkuesi nuk ka më mjete të tjera ankimi ndaj vendimit të Gjykatës së Lartë që ka përmbyllur gjykimin në themel të padisë së tij, për rrjedhojë ai e ka plotësuar kriterin e shterimit të mjeteve juridike efektive.</w:t>
      </w:r>
    </w:p>
    <w:p w14:paraId="3CDFC0A3" w14:textId="572F399A" w:rsidR="00D131FE" w:rsidRPr="00320F47" w:rsidRDefault="00D131FE" w:rsidP="00624736">
      <w:pPr>
        <w:pStyle w:val="BodyText"/>
        <w:tabs>
          <w:tab w:val="left" w:pos="1080"/>
        </w:tabs>
        <w:spacing w:line="240" w:lineRule="auto"/>
        <w:ind w:firstLine="288"/>
        <w:rPr>
          <w:rFonts w:ascii="Garamond" w:hAnsi="Garamond"/>
          <w:sz w:val="24"/>
        </w:rPr>
      </w:pPr>
      <w:r w:rsidRPr="00320F47">
        <w:rPr>
          <w:rFonts w:ascii="Garamond" w:hAnsi="Garamond"/>
          <w:sz w:val="24"/>
        </w:rPr>
        <w:t>22.</w:t>
      </w:r>
      <w:r w:rsidR="00A77DE1" w:rsidRPr="00320F47">
        <w:rPr>
          <w:rFonts w:ascii="Garamond" w:hAnsi="Garamond"/>
          <w:sz w:val="24"/>
        </w:rPr>
        <w:t xml:space="preserve"> </w:t>
      </w:r>
      <w:r w:rsidRPr="00320F47">
        <w:rPr>
          <w:rFonts w:ascii="Garamond" w:hAnsi="Garamond"/>
          <w:sz w:val="24"/>
        </w:rPr>
        <w:t xml:space="preserve">Lidhur me legjitimimin </w:t>
      </w:r>
      <w:proofErr w:type="spellStart"/>
      <w:r w:rsidRPr="00320F47">
        <w:rPr>
          <w:rFonts w:ascii="Garamond" w:hAnsi="Garamond"/>
          <w:i/>
          <w:sz w:val="24"/>
        </w:rPr>
        <w:t>ratione</w:t>
      </w:r>
      <w:proofErr w:type="spellEnd"/>
      <w:r w:rsidRPr="00320F47">
        <w:rPr>
          <w:rFonts w:ascii="Garamond" w:hAnsi="Garamond"/>
          <w:i/>
          <w:sz w:val="24"/>
        </w:rPr>
        <w:t xml:space="preserve"> </w:t>
      </w:r>
      <w:proofErr w:type="spellStart"/>
      <w:r w:rsidRPr="00320F47">
        <w:rPr>
          <w:rFonts w:ascii="Garamond" w:hAnsi="Garamond"/>
          <w:i/>
          <w:sz w:val="24"/>
        </w:rPr>
        <w:t>temporis</w:t>
      </w:r>
      <w:proofErr w:type="spellEnd"/>
      <w:r w:rsidRPr="00320F47">
        <w:rPr>
          <w:rFonts w:ascii="Garamond" w:hAnsi="Garamond"/>
          <w:sz w:val="24"/>
        </w:rPr>
        <w:t>, bazuar në nenin 71/a, pika 1, shkronja “b”, të ligjit nr. 8577/2000, afati për paraqitjen e ankimit kushtetues individual është 4 muaj nga konstatimi i cenimit të së drejtës. Në rastin konkret, Gjykata vëren se vendimi i G</w:t>
      </w:r>
      <w:r w:rsidR="00320F47">
        <w:rPr>
          <w:rFonts w:ascii="Garamond" w:hAnsi="Garamond"/>
          <w:sz w:val="24"/>
        </w:rPr>
        <w:t>jykatës së Lartë mban datën 26.</w:t>
      </w:r>
      <w:r w:rsidRPr="00320F47">
        <w:rPr>
          <w:rFonts w:ascii="Garamond" w:hAnsi="Garamond"/>
          <w:sz w:val="24"/>
        </w:rPr>
        <w:t xml:space="preserve">5.2022, ndërsa ankimi kushtetues individual është paraqitur në datën 12.10.2022, pra pas 4 muajve e 16 ditëve. Sipas akteve bashkëlidhur ankimit kushtetues të paraqitura nga vetë kërkuesi, rezulton se palët </w:t>
      </w:r>
      <w:proofErr w:type="spellStart"/>
      <w:r w:rsidRPr="00320F47">
        <w:rPr>
          <w:rFonts w:ascii="Garamond" w:hAnsi="Garamond"/>
          <w:sz w:val="24"/>
        </w:rPr>
        <w:t>ndërgjyqëse</w:t>
      </w:r>
      <w:proofErr w:type="spellEnd"/>
      <w:r w:rsidRPr="00320F47">
        <w:rPr>
          <w:rFonts w:ascii="Garamond" w:hAnsi="Garamond"/>
          <w:sz w:val="24"/>
        </w:rPr>
        <w:t xml:space="preserve"> kanë marrë dijeni për vendimin e kundërshtuar nëpërmjet njoftimit elektronik në adresat e kontaktit, përfshirë edhe</w:t>
      </w:r>
      <w:r w:rsidR="00320F47">
        <w:rPr>
          <w:rFonts w:ascii="Garamond" w:hAnsi="Garamond"/>
          <w:sz w:val="24"/>
        </w:rPr>
        <w:t xml:space="preserve"> atë të kërkuesit, në datën 13.</w:t>
      </w:r>
      <w:r w:rsidRPr="00320F47">
        <w:rPr>
          <w:rFonts w:ascii="Garamond" w:hAnsi="Garamond"/>
          <w:sz w:val="24"/>
        </w:rPr>
        <w:t>6.2022. Për rrjedhojë, Gjykata vlerëson se ankimi kushtetues është paraqitur brenda afatit ligjor 4-mujor.</w:t>
      </w:r>
    </w:p>
    <w:p w14:paraId="6EEE0C25" w14:textId="39573F33" w:rsidR="00D131FE" w:rsidRPr="00320F47" w:rsidRDefault="00D131FE" w:rsidP="00624736">
      <w:pPr>
        <w:pStyle w:val="BodyText"/>
        <w:tabs>
          <w:tab w:val="left" w:pos="1080"/>
        </w:tabs>
        <w:spacing w:line="240" w:lineRule="auto"/>
        <w:ind w:firstLine="288"/>
        <w:rPr>
          <w:rFonts w:ascii="Garamond" w:hAnsi="Garamond"/>
          <w:sz w:val="24"/>
        </w:rPr>
      </w:pPr>
      <w:r w:rsidRPr="00320F47">
        <w:rPr>
          <w:rFonts w:ascii="Garamond" w:hAnsi="Garamond"/>
          <w:sz w:val="24"/>
        </w:rPr>
        <w:t>23.</w:t>
      </w:r>
      <w:r w:rsidR="00A77DE1" w:rsidRPr="00320F47">
        <w:rPr>
          <w:rFonts w:ascii="Garamond" w:hAnsi="Garamond"/>
          <w:sz w:val="24"/>
        </w:rPr>
        <w:t xml:space="preserve"> </w:t>
      </w:r>
      <w:r w:rsidRPr="00320F47">
        <w:rPr>
          <w:rFonts w:ascii="Garamond" w:hAnsi="Garamond"/>
          <w:sz w:val="24"/>
        </w:rPr>
        <w:t xml:space="preserve">Në drejtim të kriterit të legjitimimit </w:t>
      </w:r>
      <w:proofErr w:type="spellStart"/>
      <w:r w:rsidRPr="00320F47">
        <w:rPr>
          <w:rFonts w:ascii="Garamond" w:hAnsi="Garamond"/>
          <w:i/>
          <w:sz w:val="24"/>
        </w:rPr>
        <w:t>ratione</w:t>
      </w:r>
      <w:proofErr w:type="spellEnd"/>
      <w:r w:rsidRPr="00320F47">
        <w:rPr>
          <w:rFonts w:ascii="Garamond" w:hAnsi="Garamond"/>
          <w:i/>
          <w:sz w:val="24"/>
        </w:rPr>
        <w:t xml:space="preserve"> </w:t>
      </w:r>
      <w:proofErr w:type="spellStart"/>
      <w:r w:rsidRPr="00320F47">
        <w:rPr>
          <w:rFonts w:ascii="Garamond" w:hAnsi="Garamond"/>
          <w:i/>
          <w:sz w:val="24"/>
        </w:rPr>
        <w:t>materiae</w:t>
      </w:r>
      <w:proofErr w:type="spellEnd"/>
      <w:r w:rsidRPr="00320F47">
        <w:rPr>
          <w:rFonts w:ascii="Garamond" w:hAnsi="Garamond"/>
          <w:sz w:val="24"/>
        </w:rPr>
        <w:t xml:space="preserve">, kërkuesi ka kundërshtuar veprimet administrative të ndërmarra nga institucionet e administratës publike për kalimin e tij në </w:t>
      </w:r>
      <w:proofErr w:type="spellStart"/>
      <w:r w:rsidRPr="00320F47">
        <w:rPr>
          <w:rFonts w:ascii="Garamond" w:hAnsi="Garamond"/>
          <w:sz w:val="24"/>
        </w:rPr>
        <w:t>listëpritjeje</w:t>
      </w:r>
      <w:proofErr w:type="spellEnd"/>
      <w:r w:rsidRPr="00320F47">
        <w:rPr>
          <w:rFonts w:ascii="Garamond" w:hAnsi="Garamond"/>
          <w:sz w:val="24"/>
        </w:rPr>
        <w:t xml:space="preserve">, me pasojë cenimin e marrëdhënieve të punës dhe procesin gjyqësor të iniciuar prej tij për pavlefshmërinë e këtyre veprimeve. Sipas tij, Gjykata e Lartë ka cenuar të drejtën për një proces të rregullt ligjor, në drejtim të parimit të gjykatës së caktuar me ligj, parimit të sigurisë juridike të lidhur me gjykimin e drejtë, si dhe së drejtës së mbrojtjes, të garantuara nga neni 42 i Kushtetutës. </w:t>
      </w:r>
    </w:p>
    <w:p w14:paraId="3D54ECF7" w14:textId="49C1BA03" w:rsidR="00D131FE" w:rsidRPr="00320F47" w:rsidRDefault="00D131FE" w:rsidP="00624736">
      <w:pPr>
        <w:pStyle w:val="BodyText"/>
        <w:tabs>
          <w:tab w:val="left" w:pos="1080"/>
        </w:tabs>
        <w:spacing w:line="240" w:lineRule="auto"/>
        <w:ind w:firstLine="288"/>
        <w:rPr>
          <w:rFonts w:ascii="Garamond" w:hAnsi="Garamond"/>
          <w:sz w:val="24"/>
        </w:rPr>
      </w:pPr>
      <w:r w:rsidRPr="00320F47">
        <w:rPr>
          <w:rFonts w:ascii="Garamond" w:hAnsi="Garamond"/>
          <w:sz w:val="24"/>
        </w:rPr>
        <w:t>24.</w:t>
      </w:r>
      <w:r w:rsidR="00A77DE1" w:rsidRPr="00320F47">
        <w:rPr>
          <w:rFonts w:ascii="Garamond" w:hAnsi="Garamond"/>
          <w:sz w:val="24"/>
        </w:rPr>
        <w:t xml:space="preserve"> </w:t>
      </w:r>
      <w:r w:rsidRPr="00320F47">
        <w:rPr>
          <w:rFonts w:ascii="Garamond" w:hAnsi="Garamond"/>
          <w:sz w:val="24"/>
        </w:rPr>
        <w:t>Kërkuesi ka pretenduar cenimin e parimit të sigurisë juridike të lidhur me gjykimin e drejtë, pasi Gjykata e Lartë ka zbatuar gabim ligjin referuar efekteve të vendimit nr. 5/2014</w:t>
      </w:r>
      <w:r w:rsidR="00320F47">
        <w:rPr>
          <w:rFonts w:ascii="Garamond" w:hAnsi="Garamond"/>
          <w:sz w:val="24"/>
        </w:rPr>
        <w:t>,</w:t>
      </w:r>
      <w:r w:rsidRPr="00320F47">
        <w:rPr>
          <w:rFonts w:ascii="Garamond" w:hAnsi="Garamond"/>
          <w:sz w:val="24"/>
        </w:rPr>
        <w:t xml:space="preserve"> të Gjykatës, në shkelje të nenit 76, pika 2, të ligjit nr. 8577/2000. Sipas tij, vendimi i kundërshtuar rrëzon të gjitha pasojat e këtij vendimi, duke njohur si të vlefshme aktet administrative të dala nga një akt normativ i shpallur si i papajtueshëm me Kushtetutën. Po kështu, ai ka argumentuar se kur gjykatat e juridiksionit të zakonshëm, përmes interpretimit dhe zbatimit të ligjit, cenojnë parimet, standardet dhe të drejtat kushtetuese, atëherë interpretimi i ligjit i nënshtrohet kontrollit kushtetues. </w:t>
      </w:r>
    </w:p>
    <w:p w14:paraId="7E138D94" w14:textId="329E4A16" w:rsidR="00D131FE" w:rsidRPr="00320F47" w:rsidRDefault="00D131FE" w:rsidP="00624736">
      <w:pPr>
        <w:pStyle w:val="BodyText"/>
        <w:tabs>
          <w:tab w:val="left" w:pos="1080"/>
        </w:tabs>
        <w:spacing w:line="240" w:lineRule="auto"/>
        <w:ind w:firstLine="288"/>
        <w:rPr>
          <w:rFonts w:ascii="Garamond" w:hAnsi="Garamond"/>
          <w:sz w:val="24"/>
        </w:rPr>
      </w:pPr>
      <w:r w:rsidRPr="00320F47">
        <w:rPr>
          <w:rFonts w:ascii="Garamond" w:hAnsi="Garamond"/>
          <w:sz w:val="24"/>
        </w:rPr>
        <w:t>25.</w:t>
      </w:r>
      <w:r w:rsidR="00A77DE1" w:rsidRPr="00320F47">
        <w:rPr>
          <w:rFonts w:ascii="Garamond" w:hAnsi="Garamond"/>
          <w:sz w:val="24"/>
        </w:rPr>
        <w:t xml:space="preserve"> </w:t>
      </w:r>
      <w:r w:rsidRPr="00320F47">
        <w:rPr>
          <w:rFonts w:ascii="Garamond" w:hAnsi="Garamond"/>
          <w:sz w:val="24"/>
        </w:rPr>
        <w:t>Subjektet e interesuara, MBZHR-ja dhe DAP-i, kanë prapësuar se pretendimet janë të pabazuara, pasi Gjykata e Lartë ka zbatuar ligjin që ka qenë në fuqi në kohën e nxjerrjes së akteve të kundërshtuara, për të cilat janë respektuar procedurat ligjore. Zbatimi i këtij ligji është në referencë edhe të nenit 68</w:t>
      </w:r>
      <w:r w:rsidR="00320F47">
        <w:rPr>
          <w:rFonts w:ascii="Garamond" w:hAnsi="Garamond"/>
          <w:sz w:val="24"/>
        </w:rPr>
        <w:t>,</w:t>
      </w:r>
      <w:r w:rsidRPr="00320F47">
        <w:rPr>
          <w:rFonts w:ascii="Garamond" w:hAnsi="Garamond"/>
          <w:sz w:val="24"/>
        </w:rPr>
        <w:t xml:space="preserve"> të ligjit nr. 152/2013, sipas të cilit procedurat e nisura sipas ligjit nr. 8549/1999</w:t>
      </w:r>
      <w:r w:rsidR="00320F47">
        <w:rPr>
          <w:rFonts w:ascii="Garamond" w:hAnsi="Garamond"/>
          <w:sz w:val="24"/>
        </w:rPr>
        <w:t>,</w:t>
      </w:r>
      <w:r w:rsidRPr="00320F47">
        <w:rPr>
          <w:rFonts w:ascii="Garamond" w:hAnsi="Garamond"/>
          <w:sz w:val="24"/>
        </w:rPr>
        <w:t xml:space="preserve"> do të përfundojnë sipas dispozitave të këtij ligji. Kërkuesi ka paraqitur padi pas hyrjes në fuqi të vendimit të Gjykatës, për pasojë, ky i fundit, nuk mund të kishte efekte prapavepruese, sipas nenit 76, pika 2, shkronja “b”, të ligjit nr. 8577/2000. Përderisa kërkuesi nuk ka paraqitur padi brenda afati</w:t>
      </w:r>
      <w:r w:rsidR="00320F47">
        <w:rPr>
          <w:rFonts w:ascii="Garamond" w:hAnsi="Garamond"/>
          <w:sz w:val="24"/>
        </w:rPr>
        <w:t>t ligjor, pra deri në datën 26.</w:t>
      </w:r>
      <w:r w:rsidRPr="00320F47">
        <w:rPr>
          <w:rFonts w:ascii="Garamond" w:hAnsi="Garamond"/>
          <w:sz w:val="24"/>
        </w:rPr>
        <w:t>2.2014, kur ligji nr. 8549/1999</w:t>
      </w:r>
      <w:r w:rsidR="00320F47">
        <w:rPr>
          <w:rFonts w:ascii="Garamond" w:hAnsi="Garamond"/>
          <w:sz w:val="24"/>
        </w:rPr>
        <w:t>,</w:t>
      </w:r>
      <w:r w:rsidRPr="00320F47">
        <w:rPr>
          <w:rFonts w:ascii="Garamond" w:hAnsi="Garamond"/>
          <w:sz w:val="24"/>
        </w:rPr>
        <w:t xml:space="preserve"> ka prodhuar efekte, ai, me vetëdije, ka lejuar kalimin e afatit dhe humbjen e së drejtës. Në këtë situatë, kërkuesi duhet t’i adresonte gjykatës argumente për pavlefshmërinë e aktit administrativ të kalimit në </w:t>
      </w:r>
      <w:proofErr w:type="spellStart"/>
      <w:r w:rsidRPr="00320F47">
        <w:rPr>
          <w:rFonts w:ascii="Garamond" w:hAnsi="Garamond"/>
          <w:sz w:val="24"/>
        </w:rPr>
        <w:t>listëpritjeje</w:t>
      </w:r>
      <w:proofErr w:type="spellEnd"/>
      <w:r w:rsidRPr="00320F47">
        <w:rPr>
          <w:rFonts w:ascii="Garamond" w:hAnsi="Garamond"/>
          <w:sz w:val="24"/>
        </w:rPr>
        <w:t xml:space="preserve"> referuar ligjit që ka vepruar në atë kohë dhe jo ligjit të mëvonshëm. Përcaktimi i ligjit të zbatueshëm për zgjidhjen e çështjes përfshihet brenda kompetencave të Gjykatës së Lartë, si gjykatë e ligjit. </w:t>
      </w:r>
    </w:p>
    <w:p w14:paraId="4F2B5C67" w14:textId="40BFBE51" w:rsidR="00D131FE" w:rsidRPr="00320F47" w:rsidRDefault="00D131FE" w:rsidP="00624736">
      <w:pPr>
        <w:pStyle w:val="BodyText"/>
        <w:tabs>
          <w:tab w:val="left" w:pos="1080"/>
        </w:tabs>
        <w:spacing w:line="240" w:lineRule="auto"/>
        <w:ind w:firstLine="288"/>
        <w:rPr>
          <w:rFonts w:ascii="Garamond" w:hAnsi="Garamond"/>
          <w:sz w:val="24"/>
        </w:rPr>
      </w:pPr>
      <w:r w:rsidRPr="00320F47">
        <w:rPr>
          <w:rFonts w:ascii="Garamond" w:hAnsi="Garamond"/>
          <w:sz w:val="24"/>
        </w:rPr>
        <w:t>26.</w:t>
      </w:r>
      <w:r w:rsidR="00A77DE1" w:rsidRPr="00320F47">
        <w:rPr>
          <w:rFonts w:ascii="Garamond" w:hAnsi="Garamond"/>
          <w:sz w:val="24"/>
        </w:rPr>
        <w:t xml:space="preserve"> </w:t>
      </w:r>
      <w:r w:rsidRPr="00320F47">
        <w:rPr>
          <w:rFonts w:ascii="Garamond" w:hAnsi="Garamond"/>
          <w:sz w:val="24"/>
        </w:rPr>
        <w:t>Gjykata ka pohuar se parimi i sigurisë juridike nënkupton, ndërmjet të tjerash, garantimin e besueshmërisë së individit te shteti, institucionet e tij dhe tek aktet që ato nxjerrin (</w:t>
      </w:r>
      <w:r w:rsidR="00320F47">
        <w:rPr>
          <w:rFonts w:ascii="Garamond" w:hAnsi="Garamond"/>
          <w:i/>
          <w:sz w:val="24"/>
        </w:rPr>
        <w:t>shih vendimin nr. 11, datë 21.</w:t>
      </w:r>
      <w:r w:rsidRPr="00320F47">
        <w:rPr>
          <w:rFonts w:ascii="Garamond" w:hAnsi="Garamond"/>
          <w:i/>
          <w:sz w:val="24"/>
        </w:rPr>
        <w:t xml:space="preserve">4.2022 të Gjykatës Kushtetuese). </w:t>
      </w:r>
      <w:r w:rsidRPr="00320F47">
        <w:rPr>
          <w:rFonts w:ascii="Garamond" w:hAnsi="Garamond"/>
          <w:sz w:val="24"/>
        </w:rPr>
        <w:t>Për sa u përket të drejtave të fituara si element i parimit të sigurisë juridike, Gjykata është shprehur se çdo proces ku vihen në dyshim të drejtat e fituara, nuk mund të konsiderohet se qëndron jashtë nocionit të “procesit të rregullt”, përderisa diskutohet e vendoset lidhur me to. Ky parim është i detyrueshëm të respektohet në të gjitha fazat e një procesi ku pretendohet cenimi i të drejtave të fituara dhe siguria juridike që rrjedh prej tyre (</w:t>
      </w:r>
      <w:r w:rsidR="00320F47">
        <w:rPr>
          <w:rFonts w:ascii="Garamond" w:hAnsi="Garamond"/>
          <w:i/>
          <w:sz w:val="24"/>
        </w:rPr>
        <w:t>shih vendimet nr. 22, datë 29.9.2022; nr. 10, datë 13.</w:t>
      </w:r>
      <w:r w:rsidRPr="00320F47">
        <w:rPr>
          <w:rFonts w:ascii="Garamond" w:hAnsi="Garamond"/>
          <w:i/>
          <w:sz w:val="24"/>
        </w:rPr>
        <w:t>2.2017</w:t>
      </w:r>
      <w:r w:rsidR="00320F47">
        <w:rPr>
          <w:rFonts w:ascii="Garamond" w:hAnsi="Garamond"/>
          <w:i/>
          <w:sz w:val="24"/>
        </w:rPr>
        <w:t>,</w:t>
      </w:r>
      <w:r w:rsidRPr="00320F47">
        <w:rPr>
          <w:rFonts w:ascii="Garamond" w:hAnsi="Garamond"/>
          <w:i/>
          <w:sz w:val="24"/>
        </w:rPr>
        <w:t xml:space="preserve"> të Gjykatës Kushtetuese</w:t>
      </w:r>
      <w:r w:rsidRPr="00320F47">
        <w:rPr>
          <w:rFonts w:ascii="Garamond" w:hAnsi="Garamond"/>
          <w:sz w:val="24"/>
        </w:rPr>
        <w:t xml:space="preserve">). Gjithashtu, ajo ka theksuar se mënyra se si gjykatat e zakonshme kanë përcaktuar faktet dhe kanë interpretuar ligjin e zbatueshëm në zgjidhjen e mosmarrëveshjes në shqyrtim përpara tyre nuk përbën lëndë kushtetuese </w:t>
      </w:r>
      <w:r w:rsidR="00320F47">
        <w:rPr>
          <w:rFonts w:ascii="Garamond" w:hAnsi="Garamond"/>
          <w:i/>
          <w:sz w:val="24"/>
        </w:rPr>
        <w:t>(shih vendimet nr. 38, datë 2.12.2021; nr. 6, datë 16.2.2021; nr. 9, datë 26.</w:t>
      </w:r>
      <w:r w:rsidRPr="00320F47">
        <w:rPr>
          <w:rFonts w:ascii="Garamond" w:hAnsi="Garamond"/>
          <w:i/>
          <w:sz w:val="24"/>
        </w:rPr>
        <w:t>3.2018</w:t>
      </w:r>
      <w:r w:rsidR="00320F47">
        <w:rPr>
          <w:rFonts w:ascii="Garamond" w:hAnsi="Garamond"/>
          <w:i/>
          <w:sz w:val="24"/>
        </w:rPr>
        <w:t>,</w:t>
      </w:r>
      <w:r w:rsidRPr="00320F47">
        <w:rPr>
          <w:rFonts w:ascii="Garamond" w:hAnsi="Garamond"/>
          <w:i/>
          <w:sz w:val="24"/>
        </w:rPr>
        <w:t xml:space="preserve"> të Gjykatës Kushtetuese)</w:t>
      </w:r>
      <w:r w:rsidRPr="00320F47">
        <w:rPr>
          <w:rFonts w:ascii="Garamond" w:hAnsi="Garamond"/>
          <w:sz w:val="24"/>
        </w:rPr>
        <w:t>.</w:t>
      </w:r>
    </w:p>
    <w:p w14:paraId="4D84BC26" w14:textId="16F51267" w:rsidR="00D131FE" w:rsidRPr="00320F47" w:rsidRDefault="00D131FE" w:rsidP="00624736">
      <w:pPr>
        <w:pStyle w:val="BodyText"/>
        <w:tabs>
          <w:tab w:val="left" w:pos="1080"/>
        </w:tabs>
        <w:spacing w:line="240" w:lineRule="auto"/>
        <w:ind w:firstLine="288"/>
        <w:rPr>
          <w:rFonts w:ascii="Garamond" w:hAnsi="Garamond"/>
          <w:sz w:val="24"/>
        </w:rPr>
      </w:pPr>
      <w:r w:rsidRPr="00320F47">
        <w:rPr>
          <w:rFonts w:ascii="Garamond" w:hAnsi="Garamond"/>
          <w:sz w:val="24"/>
        </w:rPr>
        <w:t>27.</w:t>
      </w:r>
      <w:r w:rsidR="00A77DE1" w:rsidRPr="00320F47">
        <w:rPr>
          <w:rFonts w:ascii="Garamond" w:hAnsi="Garamond"/>
          <w:sz w:val="24"/>
        </w:rPr>
        <w:t xml:space="preserve"> </w:t>
      </w:r>
      <w:r w:rsidRPr="00320F47">
        <w:rPr>
          <w:rFonts w:ascii="Garamond" w:hAnsi="Garamond"/>
          <w:sz w:val="24"/>
        </w:rPr>
        <w:t xml:space="preserve">Duke iu kthyer çështjes në shqyrtim, Gjykata vëren se kërkuesi ka kundërshtuar aktet administrative për kalimin e tij në </w:t>
      </w:r>
      <w:proofErr w:type="spellStart"/>
      <w:r w:rsidRPr="00320F47">
        <w:rPr>
          <w:rFonts w:ascii="Garamond" w:hAnsi="Garamond"/>
          <w:sz w:val="24"/>
        </w:rPr>
        <w:t>listëpritjeje</w:t>
      </w:r>
      <w:proofErr w:type="spellEnd"/>
      <w:r w:rsidRPr="00320F47">
        <w:rPr>
          <w:rFonts w:ascii="Garamond" w:hAnsi="Garamond"/>
          <w:sz w:val="24"/>
        </w:rPr>
        <w:t>, mbështetur në ligjin nr. 8549/1999, ligjin nr. 152/2013 dhe vendimin nr. 5/2014</w:t>
      </w:r>
      <w:r w:rsidR="00320F47">
        <w:rPr>
          <w:rFonts w:ascii="Garamond" w:hAnsi="Garamond"/>
          <w:sz w:val="24"/>
        </w:rPr>
        <w:t>,</w:t>
      </w:r>
      <w:r w:rsidRPr="00320F47">
        <w:rPr>
          <w:rFonts w:ascii="Garamond" w:hAnsi="Garamond"/>
          <w:sz w:val="24"/>
        </w:rPr>
        <w:t xml:space="preserve"> të kësaj Gjykate. Gjykatat e juridiksionit të zakonshëm, përfshirë edhe Gjykatën e Lartë, pasi kanë marrë në shqyrtim përmbajtjen dhe procedurën për nxjerrjen e akteve të kundërshtuara, si dhe i kanë analizuar ato në raport me dispozitat ligjore të zbatueshme, kanë </w:t>
      </w:r>
      <w:proofErr w:type="spellStart"/>
      <w:r w:rsidRPr="00320F47">
        <w:rPr>
          <w:rFonts w:ascii="Garamond" w:hAnsi="Garamond"/>
          <w:sz w:val="24"/>
        </w:rPr>
        <w:t>konkluduar</w:t>
      </w:r>
      <w:proofErr w:type="spellEnd"/>
      <w:r w:rsidRPr="00320F47">
        <w:rPr>
          <w:rFonts w:ascii="Garamond" w:hAnsi="Garamond"/>
          <w:sz w:val="24"/>
        </w:rPr>
        <w:t xml:space="preserve"> me zgjidhjen në themel të padisë së tij. Nga analiza e argumenteve nuk konstatohet që kërkuesi të ndodhet në kushtet e ndonjë të drejte të fituar nga ligji apo nga gjykata me vendim gjyqësor të formës së prerë, e cila të jetë vënë në dyshim nga vendimi i kundërshtuar i Gjykatës së Lartë. Ndërkohë që çështja e </w:t>
      </w:r>
      <w:proofErr w:type="spellStart"/>
      <w:r w:rsidRPr="00320F47">
        <w:rPr>
          <w:rFonts w:ascii="Garamond" w:hAnsi="Garamond"/>
          <w:sz w:val="24"/>
        </w:rPr>
        <w:t>pritshmërive</w:t>
      </w:r>
      <w:proofErr w:type="spellEnd"/>
      <w:r w:rsidRPr="00320F47">
        <w:rPr>
          <w:rFonts w:ascii="Garamond" w:hAnsi="Garamond"/>
          <w:sz w:val="24"/>
        </w:rPr>
        <w:t xml:space="preserve"> nga zbatimi i normave ligjore, lidhet me interpretimin dhe zbatimin në kohë të tyre, që është atribut i gjykatave të juridiksionit të zakonshëm dhe nuk përfshihet në juridiksionin kushtetues. Nën dritën e kësaj analize, Gjykata vlerëson se pretendimet e kërkuesit për cenimin e parimit të sigurisë juridike të lidhur me gjykimin e drejtë nuk hyjnë në juridiksionin kushtetues.</w:t>
      </w:r>
    </w:p>
    <w:p w14:paraId="7832EABF" w14:textId="682DA02A" w:rsidR="00D131FE" w:rsidRPr="00320F47" w:rsidRDefault="00D131FE" w:rsidP="00624736">
      <w:pPr>
        <w:pStyle w:val="BodyText"/>
        <w:tabs>
          <w:tab w:val="left" w:pos="1080"/>
        </w:tabs>
        <w:spacing w:line="240" w:lineRule="auto"/>
        <w:ind w:firstLine="288"/>
        <w:rPr>
          <w:rFonts w:ascii="Garamond" w:hAnsi="Garamond"/>
          <w:sz w:val="24"/>
        </w:rPr>
      </w:pPr>
      <w:r w:rsidRPr="00320F47">
        <w:rPr>
          <w:rFonts w:ascii="Garamond" w:hAnsi="Garamond"/>
          <w:sz w:val="24"/>
        </w:rPr>
        <w:t>28.</w:t>
      </w:r>
      <w:r w:rsidR="00A77DE1" w:rsidRPr="00320F47">
        <w:rPr>
          <w:rFonts w:ascii="Garamond" w:hAnsi="Garamond"/>
          <w:sz w:val="24"/>
        </w:rPr>
        <w:t xml:space="preserve"> </w:t>
      </w:r>
      <w:r w:rsidRPr="00320F47">
        <w:rPr>
          <w:rFonts w:ascii="Garamond" w:hAnsi="Garamond"/>
          <w:sz w:val="24"/>
        </w:rPr>
        <w:t xml:space="preserve">Ndërsa për sa u takon pretendimeve të tjera që lidhen me parimin e gjykatës së caktuar me ligj dhe së drejtës së mbrojtjes, Gjykata çmon se ato hyjnë në juridiksionin dhe kompetencën e saj, ndaj në vijim do të analizohet </w:t>
      </w:r>
      <w:proofErr w:type="spellStart"/>
      <w:r w:rsidRPr="00320F47">
        <w:rPr>
          <w:rFonts w:ascii="Garamond" w:hAnsi="Garamond"/>
          <w:sz w:val="24"/>
        </w:rPr>
        <w:t>bazueshmëria</w:t>
      </w:r>
      <w:proofErr w:type="spellEnd"/>
      <w:r w:rsidRPr="00320F47">
        <w:rPr>
          <w:rFonts w:ascii="Garamond" w:hAnsi="Garamond"/>
          <w:sz w:val="24"/>
        </w:rPr>
        <w:t xml:space="preserve"> e tyre në themel.</w:t>
      </w:r>
    </w:p>
    <w:p w14:paraId="3433289F" w14:textId="23B4DEE9" w:rsidR="00D131FE" w:rsidRPr="00320F47" w:rsidRDefault="00D131FE" w:rsidP="00624736">
      <w:pPr>
        <w:pStyle w:val="BodyText"/>
        <w:tabs>
          <w:tab w:val="left" w:pos="1080"/>
        </w:tabs>
        <w:spacing w:line="240" w:lineRule="auto"/>
        <w:ind w:firstLine="288"/>
        <w:rPr>
          <w:rFonts w:ascii="Garamond" w:hAnsi="Garamond"/>
          <w:i/>
          <w:sz w:val="24"/>
        </w:rPr>
      </w:pPr>
      <w:r w:rsidRPr="00320F47">
        <w:rPr>
          <w:rFonts w:ascii="Garamond" w:hAnsi="Garamond"/>
          <w:i/>
          <w:iCs/>
          <w:sz w:val="24"/>
        </w:rPr>
        <w:t>B.</w:t>
      </w:r>
      <w:r w:rsidR="00A77DE1" w:rsidRPr="00320F47">
        <w:rPr>
          <w:rFonts w:ascii="Garamond" w:hAnsi="Garamond"/>
          <w:i/>
          <w:iCs/>
          <w:sz w:val="24"/>
        </w:rPr>
        <w:t xml:space="preserve"> </w:t>
      </w:r>
      <w:r w:rsidRPr="00320F47">
        <w:rPr>
          <w:rFonts w:ascii="Garamond" w:hAnsi="Garamond"/>
          <w:i/>
          <w:sz w:val="24"/>
        </w:rPr>
        <w:t>Për themelin e pretendimeve</w:t>
      </w:r>
    </w:p>
    <w:p w14:paraId="29AA1D67" w14:textId="77777777" w:rsidR="00D131FE" w:rsidRPr="00320F47" w:rsidRDefault="00D131FE" w:rsidP="00624736">
      <w:pPr>
        <w:tabs>
          <w:tab w:val="left" w:pos="1080"/>
        </w:tabs>
        <w:spacing w:after="0" w:line="240" w:lineRule="auto"/>
        <w:ind w:firstLine="288"/>
        <w:jc w:val="both"/>
        <w:rPr>
          <w:rFonts w:ascii="Garamond" w:hAnsi="Garamond"/>
          <w:sz w:val="24"/>
          <w:szCs w:val="24"/>
        </w:rPr>
      </w:pPr>
      <w:r w:rsidRPr="00320F47">
        <w:rPr>
          <w:rFonts w:ascii="Garamond" w:hAnsi="Garamond"/>
          <w:i/>
          <w:sz w:val="24"/>
          <w:szCs w:val="24"/>
        </w:rPr>
        <w:t xml:space="preserve">B.1. Për cenimin e parimit të gjykatës së caktuar me ligj </w:t>
      </w:r>
    </w:p>
    <w:p w14:paraId="7E36B063" w14:textId="641264A7" w:rsidR="00D131FE" w:rsidRPr="00320F47" w:rsidRDefault="00D131FE" w:rsidP="00624736">
      <w:pPr>
        <w:pStyle w:val="ListParagraph"/>
        <w:tabs>
          <w:tab w:val="left" w:pos="1080"/>
          <w:tab w:val="left" w:pos="2160"/>
        </w:tabs>
        <w:spacing w:after="0" w:line="240" w:lineRule="auto"/>
        <w:ind w:left="0" w:firstLine="288"/>
        <w:contextualSpacing w:val="0"/>
        <w:jc w:val="both"/>
        <w:rPr>
          <w:rFonts w:ascii="Garamond" w:hAnsi="Garamond"/>
          <w:sz w:val="24"/>
          <w:szCs w:val="24"/>
          <w:lang w:val="sq-AL"/>
        </w:rPr>
      </w:pPr>
      <w:r w:rsidRPr="00320F47">
        <w:rPr>
          <w:rFonts w:ascii="Garamond" w:hAnsi="Garamond"/>
          <w:sz w:val="24"/>
          <w:szCs w:val="24"/>
          <w:lang w:val="sq-AL"/>
        </w:rPr>
        <w:t>29.</w:t>
      </w:r>
      <w:r w:rsidR="00A77DE1" w:rsidRPr="00320F47">
        <w:rPr>
          <w:rFonts w:ascii="Garamond" w:hAnsi="Garamond"/>
          <w:sz w:val="24"/>
          <w:szCs w:val="24"/>
          <w:lang w:val="sq-AL"/>
        </w:rPr>
        <w:t xml:space="preserve"> </w:t>
      </w:r>
      <w:r w:rsidRPr="00320F47">
        <w:rPr>
          <w:rFonts w:ascii="Garamond" w:hAnsi="Garamond"/>
          <w:sz w:val="24"/>
          <w:szCs w:val="24"/>
          <w:lang w:val="sq-AL"/>
        </w:rPr>
        <w:t>Kërkuesi ka pretenduar se vendimi n</w:t>
      </w:r>
      <w:r w:rsidR="00320F47">
        <w:rPr>
          <w:rFonts w:ascii="Garamond" w:hAnsi="Garamond"/>
          <w:sz w:val="24"/>
          <w:szCs w:val="24"/>
          <w:lang w:val="sq-AL"/>
        </w:rPr>
        <w:t>r. 00-2022-1029 (210), datë 26.</w:t>
      </w:r>
      <w:r w:rsidRPr="00320F47">
        <w:rPr>
          <w:rFonts w:ascii="Garamond" w:hAnsi="Garamond"/>
          <w:sz w:val="24"/>
          <w:szCs w:val="24"/>
          <w:lang w:val="sq-AL"/>
        </w:rPr>
        <w:t>5.2022</w:t>
      </w:r>
      <w:r w:rsidR="00320F47">
        <w:rPr>
          <w:rFonts w:ascii="Garamond" w:hAnsi="Garamond"/>
          <w:sz w:val="24"/>
          <w:szCs w:val="24"/>
          <w:lang w:val="sq-AL"/>
        </w:rPr>
        <w:t>,</w:t>
      </w:r>
      <w:r w:rsidRPr="00320F47">
        <w:rPr>
          <w:rFonts w:ascii="Garamond" w:hAnsi="Garamond"/>
          <w:sz w:val="24"/>
          <w:szCs w:val="24"/>
          <w:lang w:val="sq-AL"/>
        </w:rPr>
        <w:t xml:space="preserve"> i Kolegjit Administrativ të Gjykatës së Lartë nuk është marrë nga një gjykatë e caktuar me ligj, pasi ky kolegj</w:t>
      </w:r>
      <w:r w:rsidRPr="00320F47">
        <w:rPr>
          <w:rFonts w:ascii="Garamond" w:hAnsi="Garamond"/>
          <w:spacing w:val="2"/>
          <w:sz w:val="24"/>
          <w:szCs w:val="24"/>
          <w:lang w:val="sq-AL"/>
        </w:rPr>
        <w:t xml:space="preserve"> ka marrë një vendim të ndryshëm nga praktika e vendosur më herët prej tij. Konkretisht, ky kolegj në </w:t>
      </w:r>
      <w:r w:rsidR="00320F47">
        <w:rPr>
          <w:rFonts w:ascii="Garamond" w:hAnsi="Garamond"/>
          <w:spacing w:val="2"/>
          <w:sz w:val="24"/>
          <w:szCs w:val="24"/>
          <w:lang w:val="sq-AL"/>
        </w:rPr>
        <w:t>vendimin nr. 00-2014-730, datë 6.</w:t>
      </w:r>
      <w:r w:rsidRPr="00320F47">
        <w:rPr>
          <w:rFonts w:ascii="Garamond" w:hAnsi="Garamond"/>
          <w:spacing w:val="2"/>
          <w:sz w:val="24"/>
          <w:szCs w:val="24"/>
          <w:lang w:val="sq-AL"/>
        </w:rPr>
        <w:t>3.2014, i ka konsideruar të paligjshme vendimet që rregullonin marrëdhëniet e punës të nëpunësve civilë me ligjin e mëparshëm p</w:t>
      </w:r>
      <w:r w:rsidR="00320F47">
        <w:rPr>
          <w:rFonts w:ascii="Garamond" w:hAnsi="Garamond"/>
          <w:spacing w:val="2"/>
          <w:sz w:val="24"/>
          <w:szCs w:val="24"/>
          <w:lang w:val="sq-AL"/>
        </w:rPr>
        <w:t xml:space="preserve">as datës </w:t>
      </w:r>
      <w:r w:rsidRPr="00320F47">
        <w:rPr>
          <w:rFonts w:ascii="Garamond" w:hAnsi="Garamond"/>
          <w:spacing w:val="2"/>
          <w:sz w:val="24"/>
          <w:szCs w:val="24"/>
          <w:lang w:val="sq-AL"/>
        </w:rPr>
        <w:t>1.10.2013</w:t>
      </w:r>
      <w:r w:rsidRPr="00320F47">
        <w:rPr>
          <w:rFonts w:ascii="Garamond" w:hAnsi="Garamond"/>
          <w:sz w:val="24"/>
          <w:szCs w:val="24"/>
          <w:lang w:val="sq-AL"/>
        </w:rPr>
        <w:t>. Për më tepër, nga ky ndryshim i njëanshëm i praktikës, i cili sjell efekte prapavepruese për vendimin e marrë nga gjykata e apelit, kërkuesit i vijnë pasoja të pafavorshme. Bazuar në dispozitat e KPC-së, ndryshimi i praktikës së mëparshme mund të bëhet vetëm nga Kolegjet e Bashkuara të Gjykatës së Lartë.</w:t>
      </w:r>
    </w:p>
    <w:p w14:paraId="1319BA1B" w14:textId="2495C8D6" w:rsidR="00D131FE" w:rsidRPr="00320F47" w:rsidRDefault="00D131FE" w:rsidP="00624736">
      <w:pPr>
        <w:pStyle w:val="BodyText"/>
        <w:tabs>
          <w:tab w:val="left" w:pos="1080"/>
        </w:tabs>
        <w:spacing w:line="240" w:lineRule="auto"/>
        <w:ind w:firstLine="288"/>
        <w:rPr>
          <w:rFonts w:ascii="Garamond" w:hAnsi="Garamond"/>
          <w:sz w:val="24"/>
        </w:rPr>
      </w:pPr>
      <w:r w:rsidRPr="00320F47">
        <w:rPr>
          <w:rFonts w:ascii="Garamond" w:hAnsi="Garamond"/>
          <w:sz w:val="24"/>
        </w:rPr>
        <w:t>30.</w:t>
      </w:r>
      <w:r w:rsidR="00A77DE1" w:rsidRPr="00320F47">
        <w:rPr>
          <w:rFonts w:ascii="Garamond" w:hAnsi="Garamond"/>
          <w:sz w:val="24"/>
        </w:rPr>
        <w:t xml:space="preserve"> </w:t>
      </w:r>
      <w:r w:rsidRPr="00320F47">
        <w:rPr>
          <w:rFonts w:ascii="Garamond" w:hAnsi="Garamond"/>
          <w:sz w:val="24"/>
        </w:rPr>
        <w:t>Subjekti i interesuar, MBZHR-ja, ka prapësuar se vendimi i referuar i Kolegjit Administrativ të Gjykatës së Lartë ka si objekt të tij zgjidhjen e çështjes së juridiksionit, nëse ajo i përkiste atij administrativ ose civil dhe nuk është shprehur për zgjidhjen në themel të çështjes. Vendimi i referuar nuk është i detyrueshëm për gjykatat e nivelit më të ulët.</w:t>
      </w:r>
    </w:p>
    <w:p w14:paraId="5D056643" w14:textId="490D40EB" w:rsidR="00D131FE" w:rsidRPr="00320F47" w:rsidRDefault="00D131FE" w:rsidP="00624736">
      <w:pPr>
        <w:pStyle w:val="BodyText"/>
        <w:tabs>
          <w:tab w:val="left" w:pos="1080"/>
          <w:tab w:val="left" w:pos="2160"/>
        </w:tabs>
        <w:spacing w:line="240" w:lineRule="auto"/>
        <w:ind w:firstLine="288"/>
        <w:rPr>
          <w:rFonts w:ascii="Garamond" w:hAnsi="Garamond"/>
          <w:sz w:val="24"/>
        </w:rPr>
      </w:pPr>
      <w:r w:rsidRPr="00320F47">
        <w:rPr>
          <w:rFonts w:ascii="Garamond" w:hAnsi="Garamond"/>
          <w:sz w:val="24"/>
        </w:rPr>
        <w:t>31.</w:t>
      </w:r>
      <w:r w:rsidR="00A77DE1" w:rsidRPr="00320F47">
        <w:rPr>
          <w:rFonts w:ascii="Garamond" w:hAnsi="Garamond"/>
          <w:sz w:val="24"/>
        </w:rPr>
        <w:t xml:space="preserve"> </w:t>
      </w:r>
      <w:r w:rsidRPr="00320F47">
        <w:rPr>
          <w:rFonts w:ascii="Garamond" w:hAnsi="Garamond"/>
          <w:sz w:val="24"/>
        </w:rPr>
        <w:t>Subjekti i interesuar, DAP-i, ka prapësuar se Kolegji Administrativ i Gjykatës së Lartë, në rastin në shqyrtim, nuk ndodhej në kushtet e nenit 62/a</w:t>
      </w:r>
      <w:r w:rsidR="00320F47">
        <w:rPr>
          <w:rFonts w:ascii="Garamond" w:hAnsi="Garamond"/>
          <w:sz w:val="24"/>
        </w:rPr>
        <w:t>,</w:t>
      </w:r>
      <w:r w:rsidRPr="00320F47">
        <w:rPr>
          <w:rFonts w:ascii="Garamond" w:hAnsi="Garamond"/>
          <w:sz w:val="24"/>
        </w:rPr>
        <w:t xml:space="preserve"> të ligjit nr. 49/2012</w:t>
      </w:r>
      <w:r w:rsidR="00320F47">
        <w:rPr>
          <w:rFonts w:ascii="Garamond" w:hAnsi="Garamond"/>
          <w:sz w:val="24"/>
        </w:rPr>
        <w:t>,</w:t>
      </w:r>
      <w:r w:rsidRPr="00320F47">
        <w:rPr>
          <w:rFonts w:ascii="Garamond" w:hAnsi="Garamond"/>
          <w:sz w:val="24"/>
        </w:rPr>
        <w:t xml:space="preserve"> për nisjen e procedurës për të njësuar ose ndryshuar praktikën gjyqësore. Përfundimi i arritur prej tij për ligjin e zbatueshëm në raport me vendimmarrjen e kësaj Gjykate për shfuqizimin e aktit normativ nr. 5/2013</w:t>
      </w:r>
      <w:r w:rsidR="00320F47">
        <w:rPr>
          <w:rFonts w:ascii="Garamond" w:hAnsi="Garamond"/>
          <w:sz w:val="24"/>
        </w:rPr>
        <w:t>,</w:t>
      </w:r>
      <w:r w:rsidRPr="00320F47">
        <w:rPr>
          <w:rFonts w:ascii="Garamond" w:hAnsi="Garamond"/>
          <w:sz w:val="24"/>
        </w:rPr>
        <w:t xml:space="preserve"> përbën çështje të interpretimit dhe zbatimit të ligjit, gjë e cila nuk përfshihet në juridiksionin kushtetues. </w:t>
      </w:r>
    </w:p>
    <w:p w14:paraId="33310AFB" w14:textId="6F980227" w:rsidR="00D131FE" w:rsidRPr="00320F47" w:rsidRDefault="00D131FE" w:rsidP="00624736">
      <w:pPr>
        <w:pStyle w:val="BodyText"/>
        <w:tabs>
          <w:tab w:val="left" w:pos="1080"/>
          <w:tab w:val="left" w:pos="2160"/>
        </w:tabs>
        <w:spacing w:line="240" w:lineRule="auto"/>
        <w:ind w:firstLine="288"/>
        <w:rPr>
          <w:rFonts w:ascii="Garamond" w:hAnsi="Garamond"/>
          <w:sz w:val="24"/>
        </w:rPr>
      </w:pPr>
      <w:r w:rsidRPr="00320F47">
        <w:rPr>
          <w:rFonts w:ascii="Garamond" w:hAnsi="Garamond"/>
          <w:sz w:val="24"/>
        </w:rPr>
        <w:t>32.</w:t>
      </w:r>
      <w:r w:rsidR="00A77DE1" w:rsidRPr="00320F47">
        <w:rPr>
          <w:rFonts w:ascii="Garamond" w:hAnsi="Garamond"/>
          <w:sz w:val="24"/>
        </w:rPr>
        <w:t xml:space="preserve"> </w:t>
      </w:r>
      <w:r w:rsidRPr="00320F47">
        <w:rPr>
          <w:rFonts w:ascii="Garamond" w:hAnsi="Garamond"/>
          <w:sz w:val="24"/>
        </w:rPr>
        <w:t>Neni 42 i Kushtetutës parashikon se të drejtat e njohura me Kushtetutë dhe me ligj nuk mund të cenohen pa një proces të rregullt ligjor dhe se kushdo, për mbrojtjen e tyre, ka të drejtën e një gjykimi nga një gjykatë e caktuar me ligj. Ndërsa në nenin 141, pika 1, parashikohet se Gjykata e Lartë shqyrton çështje lidhur me kuptimin dhe zbatimin e ligjit për të siguruar njësimin ose zhvillimin e praktikës gjyqësore, sipas ligjit.</w:t>
      </w:r>
    </w:p>
    <w:p w14:paraId="7B7F1593" w14:textId="1E0DC676" w:rsidR="00D131FE" w:rsidRPr="00320F47" w:rsidRDefault="00D131FE" w:rsidP="00624736">
      <w:pPr>
        <w:pStyle w:val="BodyText"/>
        <w:tabs>
          <w:tab w:val="left" w:pos="1080"/>
          <w:tab w:val="left" w:pos="2160"/>
        </w:tabs>
        <w:spacing w:line="240" w:lineRule="auto"/>
        <w:ind w:firstLine="288"/>
        <w:rPr>
          <w:rFonts w:ascii="Garamond" w:hAnsi="Garamond"/>
          <w:sz w:val="24"/>
        </w:rPr>
      </w:pPr>
      <w:r w:rsidRPr="00320F47">
        <w:rPr>
          <w:rFonts w:ascii="Garamond" w:hAnsi="Garamond"/>
          <w:sz w:val="24"/>
        </w:rPr>
        <w:t>33.</w:t>
      </w:r>
      <w:r w:rsidR="00A77DE1" w:rsidRPr="00320F47">
        <w:rPr>
          <w:rFonts w:ascii="Garamond" w:hAnsi="Garamond"/>
          <w:sz w:val="24"/>
        </w:rPr>
        <w:t xml:space="preserve"> </w:t>
      </w:r>
      <w:r w:rsidRPr="00320F47">
        <w:rPr>
          <w:rFonts w:ascii="Garamond" w:hAnsi="Garamond"/>
          <w:sz w:val="24"/>
        </w:rPr>
        <w:t xml:space="preserve">Gjykata në jurisprudencën e saj ka vlerësuar se shqyrtimi i çështjes nga një </w:t>
      </w:r>
      <w:r w:rsidRPr="00320F47">
        <w:rPr>
          <w:rFonts w:ascii="Garamond" w:hAnsi="Garamond"/>
          <w:i/>
          <w:sz w:val="24"/>
        </w:rPr>
        <w:t>“gjykatë</w:t>
      </w:r>
      <w:r w:rsidRPr="00320F47">
        <w:rPr>
          <w:rFonts w:ascii="Garamond" w:hAnsi="Garamond"/>
          <w:sz w:val="24"/>
        </w:rPr>
        <w:t xml:space="preserve"> </w:t>
      </w:r>
      <w:r w:rsidRPr="00320F47">
        <w:rPr>
          <w:rFonts w:ascii="Garamond" w:hAnsi="Garamond"/>
          <w:i/>
          <w:sz w:val="24"/>
        </w:rPr>
        <w:t>e caktuar me ligj”</w:t>
      </w:r>
      <w:r w:rsidRPr="00320F47">
        <w:rPr>
          <w:rFonts w:ascii="Garamond" w:hAnsi="Garamond"/>
          <w:sz w:val="24"/>
        </w:rPr>
        <w:t xml:space="preserve"> karakterizohet, në </w:t>
      </w:r>
      <w:proofErr w:type="spellStart"/>
      <w:r w:rsidRPr="00320F47">
        <w:rPr>
          <w:rFonts w:ascii="Garamond" w:hAnsi="Garamond"/>
          <w:sz w:val="24"/>
        </w:rPr>
        <w:t>sensin</w:t>
      </w:r>
      <w:proofErr w:type="spellEnd"/>
      <w:r w:rsidRPr="00320F47">
        <w:rPr>
          <w:rFonts w:ascii="Garamond" w:hAnsi="Garamond"/>
          <w:sz w:val="24"/>
        </w:rPr>
        <w:t xml:space="preserve"> material, nga funksioni i saj gjyqësor, që ka të bëjë me zgjidhjen e çështjeve nga organe të ngarkuara me ligj për të dhënë drejtësi. Përveç këtij kushti, këto organe duhet të shqyrtojnë dhe të vendosin për çështje që janë në kompetencë të tyre gjatë një procesi të zhvilluar për një procedurë ligjërisht të përcaktuar dhe në pajtim me rendin juridik. E drejta e çdo pale për t’u dëgjuar në seancë përpara një gjykate kompetente dhe të caktuar me ligj nënkupton që gjykata të ketë juridiksion për të gjykuar çështjen dhe që kompetenca për të vendosur për të t’i jetë njohur nëpërmjet ligjit (</w:t>
      </w:r>
      <w:r w:rsidR="00320F47">
        <w:rPr>
          <w:rFonts w:ascii="Garamond" w:hAnsi="Garamond"/>
          <w:i/>
          <w:sz w:val="24"/>
        </w:rPr>
        <w:t>shih vendimet nr. 7, datë 23.2.2021; nr. 27, datë 24.6.2013; nr. 22, datë 22.</w:t>
      </w:r>
      <w:r w:rsidRPr="00320F47">
        <w:rPr>
          <w:rFonts w:ascii="Garamond" w:hAnsi="Garamond"/>
          <w:i/>
          <w:sz w:val="24"/>
        </w:rPr>
        <w:t>7.2009</w:t>
      </w:r>
      <w:r w:rsidR="00320F47">
        <w:rPr>
          <w:rFonts w:ascii="Garamond" w:hAnsi="Garamond"/>
          <w:i/>
          <w:sz w:val="24"/>
        </w:rPr>
        <w:t>,</w:t>
      </w:r>
      <w:r w:rsidRPr="00320F47">
        <w:rPr>
          <w:rFonts w:ascii="Garamond" w:hAnsi="Garamond"/>
          <w:i/>
          <w:sz w:val="24"/>
        </w:rPr>
        <w:t xml:space="preserve"> të Gjykatës Kushtetuese</w:t>
      </w:r>
      <w:r w:rsidRPr="00320F47">
        <w:rPr>
          <w:rFonts w:ascii="Garamond" w:hAnsi="Garamond"/>
          <w:sz w:val="24"/>
        </w:rPr>
        <w:t xml:space="preserve">). </w:t>
      </w:r>
    </w:p>
    <w:p w14:paraId="556B92CD" w14:textId="1975B822" w:rsidR="00D131FE" w:rsidRPr="00320F47" w:rsidRDefault="00D131FE" w:rsidP="00624736">
      <w:pPr>
        <w:pStyle w:val="BodyText"/>
        <w:tabs>
          <w:tab w:val="left" w:pos="1080"/>
          <w:tab w:val="left" w:pos="2160"/>
        </w:tabs>
        <w:spacing w:line="240" w:lineRule="auto"/>
        <w:ind w:firstLine="288"/>
        <w:rPr>
          <w:rFonts w:ascii="Garamond" w:hAnsi="Garamond"/>
          <w:sz w:val="24"/>
        </w:rPr>
      </w:pPr>
      <w:r w:rsidRPr="00320F47">
        <w:rPr>
          <w:rFonts w:ascii="Garamond" w:hAnsi="Garamond"/>
          <w:sz w:val="24"/>
        </w:rPr>
        <w:t>34.</w:t>
      </w:r>
      <w:r w:rsidR="00A77DE1" w:rsidRPr="00320F47">
        <w:rPr>
          <w:rFonts w:ascii="Garamond" w:hAnsi="Garamond"/>
          <w:sz w:val="24"/>
        </w:rPr>
        <w:t xml:space="preserve"> </w:t>
      </w:r>
      <w:r w:rsidRPr="00320F47">
        <w:rPr>
          <w:rFonts w:ascii="Garamond" w:hAnsi="Garamond"/>
          <w:sz w:val="24"/>
        </w:rPr>
        <w:t xml:space="preserve">Po kështu, Gjykata ka pohuar se roli i Gjykatës së Lartë, si gjykatë e ligjit, është i një natyre të pazëvendësueshme dhe se ajo i ka të gjitha mjetet dhe kompetencat për të kryer rol aktiv, që shkon përtej ligjit dhe synon të drejtën, duke ndikuar </w:t>
      </w:r>
      <w:proofErr w:type="spellStart"/>
      <w:r w:rsidRPr="00320F47">
        <w:rPr>
          <w:rFonts w:ascii="Garamond" w:hAnsi="Garamond"/>
          <w:sz w:val="24"/>
        </w:rPr>
        <w:t>efektivisht</w:t>
      </w:r>
      <w:proofErr w:type="spellEnd"/>
      <w:r w:rsidRPr="00320F47">
        <w:rPr>
          <w:rFonts w:ascii="Garamond" w:hAnsi="Garamond"/>
          <w:sz w:val="24"/>
        </w:rPr>
        <w:t xml:space="preserve"> edhe në vendimmarrjen e gjykatave të shkallëve më të ulëta. Gjykata e Lartë, për shkak të pozicionit dhe rolit të saj si gjykatë e ligjit, ka për detyrë të kontrollojë mënyrën e zbatimit të ligjit material dhe procedural nga ana e gjykatave më të ulëta </w:t>
      </w:r>
      <w:r w:rsidR="00320F47">
        <w:rPr>
          <w:rFonts w:ascii="Garamond" w:hAnsi="Garamond"/>
          <w:i/>
          <w:sz w:val="24"/>
        </w:rPr>
        <w:t>(shih vendimet nr. 29, datë 1.11.2022; nr. 16, datë 16.3.2021; nr. 6, datë 16.</w:t>
      </w:r>
      <w:r w:rsidRPr="00320F47">
        <w:rPr>
          <w:rFonts w:ascii="Garamond" w:hAnsi="Garamond"/>
          <w:i/>
          <w:sz w:val="24"/>
        </w:rPr>
        <w:t>2.2021</w:t>
      </w:r>
      <w:r w:rsidR="00320F47">
        <w:rPr>
          <w:rFonts w:ascii="Garamond" w:hAnsi="Garamond"/>
          <w:i/>
          <w:sz w:val="24"/>
        </w:rPr>
        <w:t>,</w:t>
      </w:r>
      <w:r w:rsidRPr="00320F47">
        <w:rPr>
          <w:rFonts w:ascii="Garamond" w:hAnsi="Garamond"/>
          <w:i/>
          <w:sz w:val="24"/>
        </w:rPr>
        <w:t xml:space="preserve"> të Gjykatës Kushtetuese)</w:t>
      </w:r>
      <w:r w:rsidRPr="00320F47">
        <w:rPr>
          <w:rFonts w:ascii="Garamond" w:hAnsi="Garamond"/>
          <w:sz w:val="24"/>
        </w:rPr>
        <w:t xml:space="preserve">. </w:t>
      </w:r>
    </w:p>
    <w:p w14:paraId="1AEB999E" w14:textId="075092CA" w:rsidR="00D131FE" w:rsidRPr="00320F47" w:rsidRDefault="00D131FE" w:rsidP="00624736">
      <w:pPr>
        <w:pStyle w:val="BodyText"/>
        <w:tabs>
          <w:tab w:val="left" w:pos="1080"/>
          <w:tab w:val="left" w:pos="2160"/>
        </w:tabs>
        <w:spacing w:line="240" w:lineRule="auto"/>
        <w:ind w:firstLine="288"/>
        <w:rPr>
          <w:rFonts w:ascii="Garamond" w:hAnsi="Garamond"/>
          <w:sz w:val="24"/>
        </w:rPr>
      </w:pPr>
      <w:r w:rsidRPr="00320F47">
        <w:rPr>
          <w:rFonts w:ascii="Garamond" w:hAnsi="Garamond"/>
          <w:sz w:val="24"/>
        </w:rPr>
        <w:t>35.</w:t>
      </w:r>
      <w:r w:rsidR="00A77DE1" w:rsidRPr="00320F47">
        <w:rPr>
          <w:rFonts w:ascii="Garamond" w:hAnsi="Garamond"/>
          <w:sz w:val="24"/>
        </w:rPr>
        <w:t xml:space="preserve"> </w:t>
      </w:r>
      <w:r w:rsidRPr="00320F47">
        <w:rPr>
          <w:rFonts w:ascii="Garamond" w:hAnsi="Garamond"/>
          <w:sz w:val="24"/>
        </w:rPr>
        <w:t>Duke iu kthyer çështjes në shqyrtim, Gjykata konstaton se kërkuesi i ka mbështetur argumentet e tij për pretendimin e cenimit të parimit të gjykatës së caktuar me ligj, në faktin se Kolegji Administrativ i Gjykatës së Lartë në vendimin n</w:t>
      </w:r>
      <w:r w:rsidR="00320F47">
        <w:rPr>
          <w:rFonts w:ascii="Garamond" w:hAnsi="Garamond"/>
          <w:sz w:val="24"/>
        </w:rPr>
        <w:t>r. 00-2022-1029 (210), datë 26.</w:t>
      </w:r>
      <w:r w:rsidRPr="00320F47">
        <w:rPr>
          <w:rFonts w:ascii="Garamond" w:hAnsi="Garamond"/>
          <w:sz w:val="24"/>
        </w:rPr>
        <w:t>5.2022, ka rënë ndesh me qëndrimin e po këtij kolegji të shprehur në vendimin nr.</w:t>
      </w:r>
      <w:r w:rsidR="00320F47">
        <w:rPr>
          <w:rFonts w:ascii="Garamond" w:hAnsi="Garamond"/>
          <w:spacing w:val="2"/>
          <w:sz w:val="24"/>
        </w:rPr>
        <w:t xml:space="preserve"> 00-2014-730, datë 6.</w:t>
      </w:r>
      <w:r w:rsidRPr="00320F47">
        <w:rPr>
          <w:rFonts w:ascii="Garamond" w:hAnsi="Garamond"/>
          <w:spacing w:val="2"/>
          <w:sz w:val="24"/>
        </w:rPr>
        <w:t xml:space="preserve">3.2014, ndryshim i cili mund të bëhej vetëm nga Kolegjet e Bashkuara të kësaj gjykate. </w:t>
      </w:r>
      <w:bookmarkStart w:id="4" w:name="_Hlk138268334"/>
      <w:r w:rsidRPr="00320F47">
        <w:rPr>
          <w:rFonts w:ascii="Garamond" w:hAnsi="Garamond"/>
          <w:spacing w:val="2"/>
          <w:sz w:val="24"/>
        </w:rPr>
        <w:t>N</w:t>
      </w:r>
      <w:r w:rsidRPr="00320F47">
        <w:rPr>
          <w:rFonts w:ascii="Garamond" w:hAnsi="Garamond"/>
          <w:sz w:val="24"/>
        </w:rPr>
        <w:t>ë vendimin nr.</w:t>
      </w:r>
      <w:r w:rsidR="00320F47">
        <w:rPr>
          <w:rFonts w:ascii="Garamond" w:hAnsi="Garamond"/>
          <w:spacing w:val="2"/>
          <w:sz w:val="24"/>
        </w:rPr>
        <w:t xml:space="preserve"> 00-2014-730, datë 6.</w:t>
      </w:r>
      <w:r w:rsidRPr="00320F47">
        <w:rPr>
          <w:rFonts w:ascii="Garamond" w:hAnsi="Garamond"/>
          <w:spacing w:val="2"/>
          <w:sz w:val="24"/>
        </w:rPr>
        <w:t xml:space="preserve">3.2014, Kolegji Administrativ ka marrë në shqyrtim ankimin e veçantë </w:t>
      </w:r>
      <w:r w:rsidRPr="00320F47">
        <w:rPr>
          <w:rFonts w:ascii="Garamond" w:hAnsi="Garamond"/>
          <w:sz w:val="24"/>
        </w:rPr>
        <w:t>lidhur me përcaktimin e juridiksionit – gjyqësor ose administrativ, të cilit i përkiste zgjidhja e mosmarrëveshjes objekt i atij gjykimi, mbështetur në kuadrin ligjor për nëpunësin civil, në ndryshim nga vendimi n</w:t>
      </w:r>
      <w:r w:rsidR="00320F47">
        <w:rPr>
          <w:rFonts w:ascii="Garamond" w:hAnsi="Garamond"/>
          <w:sz w:val="24"/>
        </w:rPr>
        <w:t>r. 00-2022-1029 (210), datë 26.</w:t>
      </w:r>
      <w:r w:rsidRPr="00320F47">
        <w:rPr>
          <w:rFonts w:ascii="Garamond" w:hAnsi="Garamond"/>
          <w:sz w:val="24"/>
        </w:rPr>
        <w:t>5.2022</w:t>
      </w:r>
      <w:r w:rsidR="00320F47">
        <w:rPr>
          <w:rFonts w:ascii="Garamond" w:hAnsi="Garamond"/>
          <w:sz w:val="24"/>
        </w:rPr>
        <w:t>,</w:t>
      </w:r>
      <w:r w:rsidRPr="00320F47">
        <w:rPr>
          <w:rFonts w:ascii="Garamond" w:hAnsi="Garamond"/>
          <w:sz w:val="24"/>
        </w:rPr>
        <w:t xml:space="preserve"> që kërkuesi kundërshton në ankimin kushtetues individual.</w:t>
      </w:r>
    </w:p>
    <w:bookmarkEnd w:id="4"/>
    <w:p w14:paraId="5B70FF64" w14:textId="0533063E" w:rsidR="00D131FE" w:rsidRPr="00320F47" w:rsidRDefault="00D131FE" w:rsidP="00624736">
      <w:pPr>
        <w:pStyle w:val="BodyText"/>
        <w:tabs>
          <w:tab w:val="left" w:pos="1080"/>
          <w:tab w:val="left" w:pos="2160"/>
        </w:tabs>
        <w:spacing w:line="240" w:lineRule="auto"/>
        <w:ind w:firstLine="288"/>
        <w:rPr>
          <w:rFonts w:ascii="Garamond" w:hAnsi="Garamond"/>
          <w:sz w:val="24"/>
        </w:rPr>
      </w:pPr>
      <w:r w:rsidRPr="00320F47">
        <w:rPr>
          <w:rFonts w:ascii="Garamond" w:hAnsi="Garamond"/>
          <w:sz w:val="24"/>
        </w:rPr>
        <w:t>36.</w:t>
      </w:r>
      <w:r w:rsidR="00A77DE1" w:rsidRPr="00320F47">
        <w:rPr>
          <w:rFonts w:ascii="Garamond" w:hAnsi="Garamond"/>
          <w:sz w:val="24"/>
        </w:rPr>
        <w:t xml:space="preserve"> </w:t>
      </w:r>
      <w:r w:rsidRPr="00320F47">
        <w:rPr>
          <w:rFonts w:ascii="Garamond" w:hAnsi="Garamond"/>
          <w:sz w:val="24"/>
        </w:rPr>
        <w:t xml:space="preserve">Gjykata vëren se Kolegji Administrativ i Gjykatës së Lartë, në vendimin </w:t>
      </w:r>
      <w:bookmarkStart w:id="5" w:name="_Hlk138268384"/>
      <w:r w:rsidRPr="00320F47">
        <w:rPr>
          <w:rFonts w:ascii="Garamond" w:hAnsi="Garamond"/>
          <w:sz w:val="24"/>
        </w:rPr>
        <w:t>n</w:t>
      </w:r>
      <w:r w:rsidR="00320F47">
        <w:rPr>
          <w:rFonts w:ascii="Garamond" w:hAnsi="Garamond"/>
          <w:sz w:val="24"/>
        </w:rPr>
        <w:t>r. 00-2022-1029 (210), datë 26.</w:t>
      </w:r>
      <w:r w:rsidRPr="00320F47">
        <w:rPr>
          <w:rFonts w:ascii="Garamond" w:hAnsi="Garamond"/>
          <w:sz w:val="24"/>
        </w:rPr>
        <w:t xml:space="preserve">5.2022, e </w:t>
      </w:r>
      <w:bookmarkEnd w:id="5"/>
      <w:r w:rsidRPr="00320F47">
        <w:rPr>
          <w:rFonts w:ascii="Garamond" w:hAnsi="Garamond"/>
          <w:sz w:val="24"/>
        </w:rPr>
        <w:t xml:space="preserve">ka mbështetur vlerësimin e tij në analizën dhe interpretimin e legjislacionit për statusin e nëpunësit civil të zbatueshëm në kontekstin e rrethanave të rastit konkret që i përkasin kërkuesit. Konkretisht, ai ka ushtruar kontroll në drejtim të ligjshmërisë dhe </w:t>
      </w:r>
      <w:proofErr w:type="spellStart"/>
      <w:r w:rsidRPr="00320F47">
        <w:rPr>
          <w:rFonts w:ascii="Garamond" w:hAnsi="Garamond"/>
          <w:sz w:val="24"/>
        </w:rPr>
        <w:t>bazueshmërisë</w:t>
      </w:r>
      <w:proofErr w:type="spellEnd"/>
      <w:r w:rsidRPr="00320F47">
        <w:rPr>
          <w:rFonts w:ascii="Garamond" w:hAnsi="Garamond"/>
          <w:sz w:val="24"/>
        </w:rPr>
        <w:t xml:space="preserve"> së vendimit të kundërshtuar në rekurs, pra në mënyrën e zbatimit të ligjit nga gjykatat më të ulëta në raport me veprimet e ndërmarra nga institucionet e administratës publike. Gjithashtu, nuk rezulton që vendimi i referuar nga kërkuesi të jetë njësues për praktikën gjyqësore dhe vendimi i kundërshtuar në ankimin kushtetues individual të ketë </w:t>
      </w:r>
      <w:r w:rsidRPr="00320F47">
        <w:rPr>
          <w:rFonts w:ascii="Garamond" w:hAnsi="Garamond"/>
          <w:spacing w:val="2"/>
          <w:sz w:val="24"/>
        </w:rPr>
        <w:t xml:space="preserve">ndryshuar praktikën gjyqësore, duke mos qenë kështu përpara rastit të përfshirjes së kësaj çështjeje në kompetencën e </w:t>
      </w:r>
      <w:r w:rsidRPr="00320F47">
        <w:rPr>
          <w:rFonts w:ascii="Garamond" w:hAnsi="Garamond"/>
          <w:sz w:val="24"/>
        </w:rPr>
        <w:t xml:space="preserve">Kolegjeve të Bashkuara të Gjykatës së Lartë. Nën këtë optikë, Gjykata çmon se Kolegji Administrativ i Gjykatës së Lartë, në rastin konkret, nuk ka tejkaluar kompetencat e tij ligjore. </w:t>
      </w:r>
    </w:p>
    <w:p w14:paraId="190273A0" w14:textId="6CBAF4BA" w:rsidR="00D131FE" w:rsidRPr="00320F47" w:rsidRDefault="00D131FE" w:rsidP="00624736">
      <w:pPr>
        <w:pStyle w:val="ListParagraph"/>
        <w:tabs>
          <w:tab w:val="left" w:pos="1080"/>
          <w:tab w:val="left" w:pos="2160"/>
        </w:tabs>
        <w:spacing w:after="0" w:line="240" w:lineRule="auto"/>
        <w:ind w:left="0" w:firstLine="288"/>
        <w:contextualSpacing w:val="0"/>
        <w:jc w:val="both"/>
        <w:rPr>
          <w:rFonts w:ascii="Garamond" w:hAnsi="Garamond"/>
          <w:sz w:val="24"/>
          <w:szCs w:val="24"/>
          <w:lang w:val="sq-AL"/>
        </w:rPr>
      </w:pPr>
      <w:r w:rsidRPr="00320F47">
        <w:rPr>
          <w:rFonts w:ascii="Garamond" w:hAnsi="Garamond"/>
          <w:sz w:val="24"/>
          <w:szCs w:val="24"/>
          <w:lang w:val="sq-AL"/>
        </w:rPr>
        <w:t>37.</w:t>
      </w:r>
      <w:r w:rsidR="00A77DE1" w:rsidRPr="00320F47">
        <w:rPr>
          <w:rFonts w:ascii="Garamond" w:hAnsi="Garamond"/>
          <w:sz w:val="24"/>
          <w:szCs w:val="24"/>
          <w:lang w:val="sq-AL"/>
        </w:rPr>
        <w:t xml:space="preserve"> </w:t>
      </w:r>
      <w:r w:rsidRPr="00320F47">
        <w:rPr>
          <w:rFonts w:ascii="Garamond" w:hAnsi="Garamond"/>
          <w:sz w:val="24"/>
          <w:szCs w:val="24"/>
          <w:lang w:val="sq-AL"/>
        </w:rPr>
        <w:t>Për sa më lart, Gjykata vlerëson se pretendimi i kërkuesit për cenimin e parimit për t’u gjykuar nga një gjykatë e caktuar me ligj është i pabazuar.</w:t>
      </w:r>
    </w:p>
    <w:p w14:paraId="29F4D2BA" w14:textId="77777777" w:rsidR="00D131FE" w:rsidRPr="00320F47" w:rsidRDefault="00D131FE" w:rsidP="00624736">
      <w:pPr>
        <w:pStyle w:val="BodyText"/>
        <w:tabs>
          <w:tab w:val="left" w:pos="1080"/>
        </w:tabs>
        <w:spacing w:line="240" w:lineRule="auto"/>
        <w:ind w:firstLine="288"/>
        <w:rPr>
          <w:rFonts w:ascii="Garamond" w:hAnsi="Garamond"/>
          <w:i/>
          <w:sz w:val="24"/>
        </w:rPr>
      </w:pPr>
      <w:r w:rsidRPr="00320F47">
        <w:rPr>
          <w:rFonts w:ascii="Garamond" w:hAnsi="Garamond"/>
          <w:i/>
          <w:sz w:val="24"/>
        </w:rPr>
        <w:t>B.2. Për cenimin e së drejtës së mbrojtjes</w:t>
      </w:r>
    </w:p>
    <w:p w14:paraId="30450270" w14:textId="78FD0C44" w:rsidR="00D131FE" w:rsidRPr="00320F47" w:rsidRDefault="00D131FE" w:rsidP="00624736">
      <w:pPr>
        <w:pStyle w:val="ListParagraph"/>
        <w:tabs>
          <w:tab w:val="left" w:pos="720"/>
          <w:tab w:val="left" w:pos="1080"/>
          <w:tab w:val="left" w:pos="2160"/>
        </w:tabs>
        <w:spacing w:after="0" w:line="240" w:lineRule="auto"/>
        <w:ind w:left="0" w:firstLine="288"/>
        <w:contextualSpacing w:val="0"/>
        <w:jc w:val="both"/>
        <w:rPr>
          <w:rFonts w:ascii="Garamond" w:hAnsi="Garamond"/>
          <w:sz w:val="24"/>
          <w:szCs w:val="24"/>
          <w:lang w:val="sq-AL"/>
        </w:rPr>
      </w:pPr>
      <w:r w:rsidRPr="00320F47">
        <w:rPr>
          <w:rFonts w:ascii="Garamond" w:hAnsi="Garamond"/>
          <w:sz w:val="24"/>
          <w:szCs w:val="24"/>
          <w:lang w:val="sq-AL"/>
        </w:rPr>
        <w:t>38.</w:t>
      </w:r>
      <w:r w:rsidR="00A77DE1" w:rsidRPr="00320F47">
        <w:rPr>
          <w:rFonts w:ascii="Garamond" w:hAnsi="Garamond"/>
          <w:sz w:val="24"/>
          <w:szCs w:val="24"/>
          <w:lang w:val="sq-AL"/>
        </w:rPr>
        <w:t xml:space="preserve"> </w:t>
      </w:r>
      <w:r w:rsidRPr="00320F47">
        <w:rPr>
          <w:rFonts w:ascii="Garamond" w:hAnsi="Garamond"/>
          <w:sz w:val="24"/>
          <w:szCs w:val="24"/>
          <w:lang w:val="sq-AL"/>
        </w:rPr>
        <w:t>Kërkuesi ka pretenduar se ai nuk është njoftuar lidhur me vendimin e revokimit për kalimin e çështjes në seancë gjyqësore, gjë e cila ka sjellë mohimin e mundësisë për t’u njohur me arsyet e këtij vendimi dhe me paraqitjen e parashtrimeve shtesë përpara zhvillimit të seancës në dhomën e këshillimit. Po kështu, duke qenë se njoftimi për shqyrtimin e çështjes është bërë 9 ditë përpara zhvillimit të seancës, atij nuk i është dhënë mundësia për të paraqitur parashtrimet me shkrim sipas rregullave të gjykimit në dhomën e këshillimit, ku parashikohet se palët duhet të kenë të paktën 15 ditë kohë që të paraqesin pretendimet e tyre.</w:t>
      </w:r>
    </w:p>
    <w:p w14:paraId="627B467F" w14:textId="6DF447EC" w:rsidR="00D131FE" w:rsidRPr="00320F47" w:rsidRDefault="00D131FE" w:rsidP="00624736">
      <w:pPr>
        <w:pStyle w:val="BodyText"/>
        <w:tabs>
          <w:tab w:val="left" w:pos="1080"/>
        </w:tabs>
        <w:spacing w:line="240" w:lineRule="auto"/>
        <w:ind w:firstLine="288"/>
        <w:rPr>
          <w:rFonts w:ascii="Garamond" w:hAnsi="Garamond"/>
          <w:sz w:val="24"/>
        </w:rPr>
      </w:pPr>
      <w:r w:rsidRPr="00320F47">
        <w:rPr>
          <w:rFonts w:ascii="Garamond" w:hAnsi="Garamond"/>
          <w:sz w:val="24"/>
        </w:rPr>
        <w:t>39.</w:t>
      </w:r>
      <w:r w:rsidR="00A77DE1" w:rsidRPr="00320F47">
        <w:rPr>
          <w:rFonts w:ascii="Garamond" w:hAnsi="Garamond"/>
          <w:sz w:val="24"/>
        </w:rPr>
        <w:t xml:space="preserve"> </w:t>
      </w:r>
      <w:r w:rsidRPr="00320F47">
        <w:rPr>
          <w:rFonts w:ascii="Garamond" w:hAnsi="Garamond"/>
          <w:sz w:val="24"/>
        </w:rPr>
        <w:t>Subjekti i interesuar, MBZHR-ja, ka prapësuar se kërkuesi nuk ka paraqitur argumente kushtetuese, por vetëm ka sqaruar kronologjinë e situatës. Gjykata e</w:t>
      </w:r>
      <w:r w:rsidR="00320F47">
        <w:rPr>
          <w:rFonts w:ascii="Garamond" w:hAnsi="Garamond"/>
          <w:sz w:val="24"/>
        </w:rPr>
        <w:t xml:space="preserve"> Lartë, me shkresën e datës 16.</w:t>
      </w:r>
      <w:r w:rsidRPr="00320F47">
        <w:rPr>
          <w:rFonts w:ascii="Garamond" w:hAnsi="Garamond"/>
          <w:sz w:val="24"/>
        </w:rPr>
        <w:t>5.2021, e ka bërë me dije kërkuesin për datën e zhvillimit të seancës gjyqësore, por ai nuk ka paraqitur parashtrime me shkrim edhe pas kësaj date.</w:t>
      </w:r>
    </w:p>
    <w:p w14:paraId="2E4C5EBD" w14:textId="439176C7" w:rsidR="00D131FE" w:rsidRPr="00320F47" w:rsidRDefault="00D131FE" w:rsidP="00624736">
      <w:pPr>
        <w:pStyle w:val="BodyText"/>
        <w:tabs>
          <w:tab w:val="left" w:pos="1080"/>
          <w:tab w:val="left" w:pos="1800"/>
        </w:tabs>
        <w:spacing w:line="240" w:lineRule="auto"/>
        <w:ind w:firstLine="288"/>
        <w:rPr>
          <w:rFonts w:ascii="Garamond" w:hAnsi="Garamond"/>
          <w:sz w:val="24"/>
        </w:rPr>
      </w:pPr>
      <w:r w:rsidRPr="00320F47">
        <w:rPr>
          <w:rFonts w:ascii="Garamond" w:hAnsi="Garamond"/>
          <w:sz w:val="24"/>
        </w:rPr>
        <w:t>40.</w:t>
      </w:r>
      <w:r w:rsidR="00A77DE1" w:rsidRPr="00320F47">
        <w:rPr>
          <w:rFonts w:ascii="Garamond" w:hAnsi="Garamond"/>
          <w:sz w:val="24"/>
        </w:rPr>
        <w:t xml:space="preserve"> </w:t>
      </w:r>
      <w:r w:rsidRPr="00320F47">
        <w:rPr>
          <w:rFonts w:ascii="Garamond" w:hAnsi="Garamond"/>
          <w:sz w:val="24"/>
        </w:rPr>
        <w:t xml:space="preserve">Subjekti i interesuar, DAP-i, ka prapësuar se pretendimi i kërkuesit, në thelb, lidhet me të drejtën e </w:t>
      </w:r>
      <w:proofErr w:type="spellStart"/>
      <w:r w:rsidRPr="00320F47">
        <w:rPr>
          <w:rFonts w:ascii="Garamond" w:hAnsi="Garamond"/>
          <w:sz w:val="24"/>
        </w:rPr>
        <w:t>aksesit</w:t>
      </w:r>
      <w:proofErr w:type="spellEnd"/>
      <w:r w:rsidRPr="00320F47">
        <w:rPr>
          <w:rFonts w:ascii="Garamond" w:hAnsi="Garamond"/>
          <w:sz w:val="24"/>
        </w:rPr>
        <w:t>, për t’u dëgjuar dhe mbrojtur, i cili rezulton të jetë i pabazuar. Njoftimi me shpallje është publikuar në faqen elektronike të</w:t>
      </w:r>
      <w:r w:rsidR="00320F47">
        <w:rPr>
          <w:rFonts w:ascii="Garamond" w:hAnsi="Garamond"/>
          <w:sz w:val="24"/>
        </w:rPr>
        <w:t xml:space="preserve"> Gjykatës së Lartë në datën 10.</w:t>
      </w:r>
      <w:r w:rsidRPr="00320F47">
        <w:rPr>
          <w:rFonts w:ascii="Garamond" w:hAnsi="Garamond"/>
          <w:sz w:val="24"/>
        </w:rPr>
        <w:t>5.2022</w:t>
      </w:r>
      <w:r w:rsidR="00320F47">
        <w:rPr>
          <w:rFonts w:ascii="Garamond" w:hAnsi="Garamond"/>
          <w:sz w:val="24"/>
        </w:rPr>
        <w:t>, pra 15 ditë përpara datës 26.</w:t>
      </w:r>
      <w:r w:rsidRPr="00320F47">
        <w:rPr>
          <w:rFonts w:ascii="Garamond" w:hAnsi="Garamond"/>
          <w:sz w:val="24"/>
        </w:rPr>
        <w:t xml:space="preserve">5.2022 kur është zhvilluar gjykimi. Kërkuesit i është krijuar mundësia për të paraqitur argumentet e tij me shkrim, pasi ka paraqitur </w:t>
      </w:r>
      <w:proofErr w:type="spellStart"/>
      <w:r w:rsidRPr="00320F47">
        <w:rPr>
          <w:rFonts w:ascii="Garamond" w:hAnsi="Garamond"/>
          <w:sz w:val="24"/>
        </w:rPr>
        <w:t>kundërrekurs</w:t>
      </w:r>
      <w:proofErr w:type="spellEnd"/>
      <w:r w:rsidRPr="00320F47">
        <w:rPr>
          <w:rFonts w:ascii="Garamond" w:hAnsi="Garamond"/>
          <w:sz w:val="24"/>
        </w:rPr>
        <w:t>. Ai nuk ka provuar se vendimi i kundërshtuar do të ishte i ndryshëm nëse ai do të kishte marrë dijeni 15 ditë përpara zhvillimit të seancës. Po kështu, nuk rezulton që ai t’i jetë drejtuar me kërkesë Gjykatës së Lartë për shtyrjen e seancës, me qëllim respektimin e afatit të njoftimit.</w:t>
      </w:r>
    </w:p>
    <w:p w14:paraId="42DB4204" w14:textId="32AF13E8" w:rsidR="00D131FE" w:rsidRPr="00320F47" w:rsidRDefault="00D131FE" w:rsidP="00624736">
      <w:pPr>
        <w:pStyle w:val="BodyText"/>
        <w:tabs>
          <w:tab w:val="left" w:pos="1080"/>
          <w:tab w:val="left" w:pos="1800"/>
        </w:tabs>
        <w:spacing w:line="240" w:lineRule="auto"/>
        <w:ind w:firstLine="288"/>
        <w:rPr>
          <w:rFonts w:ascii="Garamond" w:hAnsi="Garamond"/>
          <w:sz w:val="24"/>
        </w:rPr>
      </w:pPr>
      <w:r w:rsidRPr="00320F47">
        <w:rPr>
          <w:rFonts w:ascii="Garamond" w:hAnsi="Garamond"/>
          <w:sz w:val="24"/>
        </w:rPr>
        <w:t>41.</w:t>
      </w:r>
      <w:r w:rsidR="00A77DE1" w:rsidRPr="00320F47">
        <w:rPr>
          <w:rFonts w:ascii="Garamond" w:hAnsi="Garamond"/>
          <w:sz w:val="24"/>
        </w:rPr>
        <w:t xml:space="preserve"> </w:t>
      </w:r>
      <w:r w:rsidRPr="00320F47">
        <w:rPr>
          <w:rFonts w:ascii="Garamond" w:hAnsi="Garamond"/>
          <w:sz w:val="24"/>
        </w:rPr>
        <w:t xml:space="preserve">Gjykata në jurisprudencën e saj ka përcaktuar disa standarde kushtetuese, të cilat janë të lidhura nga pikëpamja organike dhe funksionale me njëra-tjetrën, në mënyrë të tillë që cenimi i njërit standard ndikon në mënyrë të pashmangshme në cenimin e të tjerave. E drejta për t’u njoftuar për të marrë pjesë në gjykim u paraprin të drejtave të tjera, pasi nëse pala </w:t>
      </w:r>
      <w:proofErr w:type="spellStart"/>
      <w:r w:rsidRPr="00320F47">
        <w:rPr>
          <w:rFonts w:ascii="Garamond" w:hAnsi="Garamond"/>
          <w:sz w:val="24"/>
        </w:rPr>
        <w:t>ndërgjyqëse</w:t>
      </w:r>
      <w:proofErr w:type="spellEnd"/>
      <w:r w:rsidRPr="00320F47">
        <w:rPr>
          <w:rFonts w:ascii="Garamond" w:hAnsi="Garamond"/>
          <w:sz w:val="24"/>
        </w:rPr>
        <w:t xml:space="preserve"> nuk njoftohet për datën dhe orën e seancës, ajo detyrimisht do të gjendet në pamundësi objektive për të ushtruar të drejtat që i garantohen nga neni 42 i Kushtetutës në kuadrin e një procesi të rregullt ligjor. Nga ana tjetër, e drejta për të marrë pjesë në gjykim krijon të njëjtat mundësi për të paraqitur prova dhe argumente në mbrojtje të interesave vetjakë në raport me palën kundërshtare (</w:t>
      </w:r>
      <w:r w:rsidR="00320F47">
        <w:rPr>
          <w:rFonts w:ascii="Garamond" w:hAnsi="Garamond"/>
          <w:i/>
          <w:sz w:val="24"/>
        </w:rPr>
        <w:t>shih vendimet nr. 37, datë 30.6.2016; nr. 21, datë 4.4.2016; nr. 31, datë 26.</w:t>
      </w:r>
      <w:r w:rsidRPr="00320F47">
        <w:rPr>
          <w:rFonts w:ascii="Garamond" w:hAnsi="Garamond"/>
          <w:i/>
          <w:sz w:val="24"/>
        </w:rPr>
        <w:t>5.2014</w:t>
      </w:r>
      <w:r w:rsidR="00320F47">
        <w:rPr>
          <w:rFonts w:ascii="Garamond" w:hAnsi="Garamond"/>
          <w:i/>
          <w:sz w:val="24"/>
        </w:rPr>
        <w:t>,</w:t>
      </w:r>
      <w:r w:rsidRPr="00320F47">
        <w:rPr>
          <w:rFonts w:ascii="Garamond" w:hAnsi="Garamond"/>
          <w:i/>
          <w:sz w:val="24"/>
        </w:rPr>
        <w:t xml:space="preserve"> të Gjykatës Kushtetuese</w:t>
      </w:r>
      <w:r w:rsidRPr="00320F47">
        <w:rPr>
          <w:rFonts w:ascii="Garamond" w:hAnsi="Garamond"/>
          <w:sz w:val="24"/>
        </w:rPr>
        <w:t xml:space="preserve">). Po kështu, gjatë shqyrtimit të pretendimeve për të drejtën për proces të rregullt ligjor nuk mjafton vetëm konstatimi i shkeljes procedurale, por duhet të analizohet karakteri i saj, pasojat që kanë ardhur për kërkuesin dhe për interesat që ai përfaqëson </w:t>
      </w:r>
      <w:r w:rsidR="00320F47">
        <w:rPr>
          <w:rFonts w:ascii="Garamond" w:hAnsi="Garamond"/>
          <w:i/>
          <w:sz w:val="24"/>
        </w:rPr>
        <w:t xml:space="preserve">(shih vendimin nr. 38, datë </w:t>
      </w:r>
      <w:r w:rsidRPr="00320F47">
        <w:rPr>
          <w:rFonts w:ascii="Garamond" w:hAnsi="Garamond"/>
          <w:i/>
          <w:sz w:val="24"/>
        </w:rPr>
        <w:t>2.12.2021</w:t>
      </w:r>
      <w:r w:rsidR="00320F47">
        <w:rPr>
          <w:rFonts w:ascii="Garamond" w:hAnsi="Garamond"/>
          <w:i/>
          <w:sz w:val="24"/>
        </w:rPr>
        <w:t>,</w:t>
      </w:r>
      <w:r w:rsidRPr="00320F47">
        <w:rPr>
          <w:rFonts w:ascii="Garamond" w:hAnsi="Garamond"/>
          <w:i/>
          <w:sz w:val="24"/>
        </w:rPr>
        <w:t xml:space="preserve"> të Gjykatës Kushtetuese</w:t>
      </w:r>
      <w:r w:rsidRPr="00320F47">
        <w:rPr>
          <w:rFonts w:ascii="Garamond" w:hAnsi="Garamond"/>
          <w:sz w:val="24"/>
        </w:rPr>
        <w:t xml:space="preserve">). Në çdo çështje të veçantë, duke pasur parasysh edhe të gjithë procedurën që mund të jetë ndjekur, Gjykata vlerëson nëse një kufizim ose shkelje gjatë kësaj procedure ka ndikuar drejtpërdrejt në zgjidhjen e çështjes dhe ia ka bërë palës të pamundur mbrojtjen dhe zhvillimin e procesit gjyqësor në mënyrë të drejtë </w:t>
      </w:r>
      <w:r w:rsidR="00320F47">
        <w:rPr>
          <w:rFonts w:ascii="Garamond" w:hAnsi="Garamond"/>
          <w:i/>
          <w:sz w:val="24"/>
        </w:rPr>
        <w:t>(shih vendimin nr. 7, datë 28.</w:t>
      </w:r>
      <w:r w:rsidRPr="00320F47">
        <w:rPr>
          <w:rFonts w:ascii="Garamond" w:hAnsi="Garamond"/>
          <w:i/>
          <w:sz w:val="24"/>
        </w:rPr>
        <w:t>2.2000</w:t>
      </w:r>
      <w:r w:rsidR="00320F47">
        <w:rPr>
          <w:rFonts w:ascii="Garamond" w:hAnsi="Garamond"/>
          <w:i/>
          <w:sz w:val="24"/>
        </w:rPr>
        <w:t>,</w:t>
      </w:r>
      <w:r w:rsidRPr="00320F47">
        <w:rPr>
          <w:rFonts w:ascii="Garamond" w:hAnsi="Garamond"/>
          <w:i/>
          <w:sz w:val="24"/>
        </w:rPr>
        <w:t xml:space="preserve"> të Gjykatës Kushtetuese</w:t>
      </w:r>
      <w:r w:rsidRPr="00320F47">
        <w:rPr>
          <w:rFonts w:ascii="Garamond" w:hAnsi="Garamond"/>
          <w:sz w:val="24"/>
        </w:rPr>
        <w:t xml:space="preserve">). Ndikim të drejtpërdrejtë në një proces ligjor kanë ato shkelje thelbësore, vërtetimi i të cilave do të cenonte të drejtat dhe liritë themelore të individit </w:t>
      </w:r>
      <w:r w:rsidRPr="00320F47">
        <w:rPr>
          <w:rFonts w:ascii="Garamond" w:hAnsi="Garamond"/>
          <w:i/>
          <w:sz w:val="24"/>
        </w:rPr>
        <w:t>(shih vendimet nr.</w:t>
      </w:r>
      <w:r w:rsidRPr="00320F47">
        <w:rPr>
          <w:rFonts w:ascii="Garamond" w:hAnsi="Garamond"/>
          <w:sz w:val="24"/>
        </w:rPr>
        <w:t xml:space="preserve"> </w:t>
      </w:r>
      <w:r w:rsidR="00320F47">
        <w:rPr>
          <w:rFonts w:ascii="Garamond" w:hAnsi="Garamond"/>
          <w:i/>
          <w:sz w:val="24"/>
        </w:rPr>
        <w:t xml:space="preserve">38, datë </w:t>
      </w:r>
      <w:r w:rsidRPr="00320F47">
        <w:rPr>
          <w:rFonts w:ascii="Garamond" w:hAnsi="Garamond"/>
          <w:i/>
          <w:sz w:val="24"/>
        </w:rPr>
        <w:t>2.12.2021; nr. 71, datë 13.11.2017</w:t>
      </w:r>
      <w:r w:rsidR="00320F47">
        <w:rPr>
          <w:rFonts w:ascii="Garamond" w:hAnsi="Garamond"/>
          <w:i/>
          <w:sz w:val="24"/>
        </w:rPr>
        <w:t>,</w:t>
      </w:r>
      <w:r w:rsidRPr="00320F47">
        <w:rPr>
          <w:rFonts w:ascii="Garamond" w:hAnsi="Garamond"/>
          <w:i/>
          <w:sz w:val="24"/>
        </w:rPr>
        <w:t xml:space="preserve"> të Gjykatës Kushtetuese)</w:t>
      </w:r>
      <w:r w:rsidRPr="00320F47">
        <w:rPr>
          <w:rFonts w:ascii="Garamond" w:hAnsi="Garamond"/>
          <w:sz w:val="24"/>
        </w:rPr>
        <w:t xml:space="preserve">. </w:t>
      </w:r>
    </w:p>
    <w:p w14:paraId="7080669F" w14:textId="004791AB" w:rsidR="00D131FE" w:rsidRPr="00320F47" w:rsidRDefault="00D131FE" w:rsidP="00624736">
      <w:pPr>
        <w:pStyle w:val="ListParagraph"/>
        <w:tabs>
          <w:tab w:val="left" w:pos="720"/>
          <w:tab w:val="left" w:pos="1080"/>
          <w:tab w:val="left" w:pos="2160"/>
        </w:tabs>
        <w:spacing w:after="0" w:line="240" w:lineRule="auto"/>
        <w:ind w:left="0" w:firstLine="288"/>
        <w:contextualSpacing w:val="0"/>
        <w:jc w:val="both"/>
        <w:rPr>
          <w:rFonts w:ascii="Garamond" w:hAnsi="Garamond"/>
          <w:i/>
          <w:sz w:val="24"/>
          <w:szCs w:val="24"/>
          <w:lang w:val="sq-AL"/>
        </w:rPr>
      </w:pPr>
      <w:r w:rsidRPr="00320F47">
        <w:rPr>
          <w:rFonts w:ascii="Garamond" w:hAnsi="Garamond"/>
          <w:sz w:val="24"/>
          <w:szCs w:val="24"/>
          <w:lang w:val="sq-AL"/>
        </w:rPr>
        <w:t>42.</w:t>
      </w:r>
      <w:r w:rsidR="00A77DE1" w:rsidRPr="00320F47">
        <w:rPr>
          <w:rFonts w:ascii="Garamond" w:hAnsi="Garamond"/>
          <w:sz w:val="24"/>
          <w:szCs w:val="24"/>
          <w:lang w:val="sq-AL"/>
        </w:rPr>
        <w:t xml:space="preserve"> </w:t>
      </w:r>
      <w:r w:rsidRPr="00320F47">
        <w:rPr>
          <w:rFonts w:ascii="Garamond" w:hAnsi="Garamond"/>
          <w:sz w:val="24"/>
          <w:szCs w:val="24"/>
          <w:lang w:val="sq-AL"/>
        </w:rPr>
        <w:t>Gjykata vëren se kërkesat kushtetuese të procesit të rregullt ligjor janë reflektuar në përmbajtjen e nenit 61 të ligjit nr. 49/2012, sipas të cilit shqyrtimi i rekursit në Kolegjin Administrativ të Gjykatës së Lartë, si rregull, bëhet mbi bazë të dokumenteve në dhomën e këshillimit (</w:t>
      </w:r>
      <w:r w:rsidRPr="00320F47">
        <w:rPr>
          <w:rFonts w:ascii="Garamond" w:hAnsi="Garamond"/>
          <w:i/>
          <w:sz w:val="24"/>
          <w:szCs w:val="24"/>
          <w:lang w:val="sq-AL"/>
        </w:rPr>
        <w:t>pika 1</w:t>
      </w:r>
      <w:r w:rsidRPr="00320F47">
        <w:rPr>
          <w:rFonts w:ascii="Garamond" w:hAnsi="Garamond"/>
          <w:sz w:val="24"/>
          <w:szCs w:val="24"/>
          <w:lang w:val="sq-AL"/>
        </w:rPr>
        <w:t>). Gjyqtari relator cakton datën dhe orën për shqyrtimin e çështjes në dhomën e këshillimit, duke urdhëruar njoftimin e palëve. Sekretaria e gjykatës njofton, me shpallje, ditën dhe orën e shqyrtimit të rekursit, si dhe përbërjen e trupit gjykues, të paktën 15 ditë përpara (</w:t>
      </w:r>
      <w:r w:rsidRPr="00320F47">
        <w:rPr>
          <w:rFonts w:ascii="Garamond" w:hAnsi="Garamond"/>
          <w:i/>
          <w:sz w:val="24"/>
          <w:szCs w:val="24"/>
          <w:lang w:val="sq-AL"/>
        </w:rPr>
        <w:t>pika 2</w:t>
      </w:r>
      <w:r w:rsidRPr="00320F47">
        <w:rPr>
          <w:rFonts w:ascii="Garamond" w:hAnsi="Garamond"/>
          <w:sz w:val="24"/>
          <w:szCs w:val="24"/>
          <w:lang w:val="sq-AL"/>
        </w:rPr>
        <w:t>). Në shtesë të këtyre rregullave, neni 482, pika 3, i KPC-së, i zbatueshëm për gjykimin administrativ, parashikon se njoftimi me shpallje bëhet edhe në faqen e internetit të Gjykatës së Lartë.</w:t>
      </w:r>
    </w:p>
    <w:p w14:paraId="08EDD36E" w14:textId="7623210B" w:rsidR="00D131FE" w:rsidRPr="00320F47" w:rsidRDefault="00D131FE" w:rsidP="00624736">
      <w:pPr>
        <w:pStyle w:val="ListParagraph"/>
        <w:tabs>
          <w:tab w:val="left" w:pos="720"/>
          <w:tab w:val="left" w:pos="1080"/>
          <w:tab w:val="left" w:pos="2160"/>
        </w:tabs>
        <w:spacing w:after="0" w:line="240" w:lineRule="auto"/>
        <w:ind w:left="0" w:firstLine="288"/>
        <w:contextualSpacing w:val="0"/>
        <w:jc w:val="both"/>
        <w:rPr>
          <w:rFonts w:ascii="Garamond" w:hAnsi="Garamond"/>
          <w:i/>
          <w:sz w:val="24"/>
          <w:szCs w:val="24"/>
          <w:lang w:val="sq-AL"/>
        </w:rPr>
      </w:pPr>
      <w:r w:rsidRPr="00320F47">
        <w:rPr>
          <w:rFonts w:ascii="Garamond" w:hAnsi="Garamond"/>
          <w:sz w:val="24"/>
          <w:szCs w:val="24"/>
          <w:lang w:val="sq-AL"/>
        </w:rPr>
        <w:t>43.</w:t>
      </w:r>
      <w:r w:rsidR="00A77DE1" w:rsidRPr="00320F47">
        <w:rPr>
          <w:rFonts w:ascii="Garamond" w:hAnsi="Garamond"/>
          <w:sz w:val="24"/>
          <w:szCs w:val="24"/>
          <w:lang w:val="sq-AL"/>
        </w:rPr>
        <w:t xml:space="preserve"> </w:t>
      </w:r>
      <w:r w:rsidRPr="00320F47">
        <w:rPr>
          <w:rFonts w:ascii="Garamond" w:hAnsi="Garamond"/>
          <w:sz w:val="24"/>
          <w:szCs w:val="24"/>
          <w:lang w:val="sq-AL"/>
        </w:rPr>
        <w:t xml:space="preserve">Duke iu rikthyer rastit konkret, Gjykata vëren se subjektet e interesuara, MBZHR-ja dhe DAP-i, kanë ushtruar rekurs ndaj vendimit të Gjykatës Administrative të Apelit. Kundër shkaqeve dhe pretendimeve të tyre, kërkuesi ka paraqitur dy </w:t>
      </w:r>
      <w:proofErr w:type="spellStart"/>
      <w:r w:rsidRPr="00320F47">
        <w:rPr>
          <w:rFonts w:ascii="Garamond" w:hAnsi="Garamond"/>
          <w:sz w:val="24"/>
          <w:szCs w:val="24"/>
          <w:lang w:val="sq-AL"/>
        </w:rPr>
        <w:t>kundërrekurse</w:t>
      </w:r>
      <w:proofErr w:type="spellEnd"/>
      <w:r w:rsidRPr="00320F47">
        <w:rPr>
          <w:rFonts w:ascii="Garamond" w:hAnsi="Garamond"/>
          <w:sz w:val="24"/>
          <w:szCs w:val="24"/>
          <w:lang w:val="sq-AL"/>
        </w:rPr>
        <w:t>, si ndaj pretendimeve të MBZHR-së ashtu edhe ndaj atyre të D</w:t>
      </w:r>
      <w:r w:rsidR="00320F47">
        <w:rPr>
          <w:rFonts w:ascii="Garamond" w:hAnsi="Garamond"/>
          <w:sz w:val="24"/>
          <w:szCs w:val="24"/>
          <w:lang w:val="sq-AL"/>
        </w:rPr>
        <w:t>AP-it. Fillimisht, në datën 13.</w:t>
      </w:r>
      <w:r w:rsidRPr="00320F47">
        <w:rPr>
          <w:rFonts w:ascii="Garamond" w:hAnsi="Garamond"/>
          <w:sz w:val="24"/>
          <w:szCs w:val="24"/>
          <w:lang w:val="sq-AL"/>
        </w:rPr>
        <w:t>2.2018, Gjykata e Lartë ka vendosur shqyrtimin e rekurseve në seancë gjyqësore me praninë</w:t>
      </w:r>
      <w:r w:rsidR="00320F47">
        <w:rPr>
          <w:rFonts w:ascii="Garamond" w:hAnsi="Garamond"/>
          <w:sz w:val="24"/>
          <w:szCs w:val="24"/>
          <w:lang w:val="sq-AL"/>
        </w:rPr>
        <w:t xml:space="preserve"> e palëve. Më tej, në datën 9.</w:t>
      </w:r>
      <w:r w:rsidRPr="00320F47">
        <w:rPr>
          <w:rFonts w:ascii="Garamond" w:hAnsi="Garamond"/>
          <w:sz w:val="24"/>
          <w:szCs w:val="24"/>
          <w:lang w:val="sq-AL"/>
        </w:rPr>
        <w:t>5.2022, pas ndryshimeve të ligjit nr. 49/2012</w:t>
      </w:r>
      <w:r w:rsidR="00320F47">
        <w:rPr>
          <w:rFonts w:ascii="Garamond" w:hAnsi="Garamond"/>
          <w:sz w:val="24"/>
          <w:szCs w:val="24"/>
          <w:lang w:val="sq-AL"/>
        </w:rPr>
        <w:t>,</w:t>
      </w:r>
      <w:r w:rsidRPr="00320F47">
        <w:rPr>
          <w:rFonts w:ascii="Garamond" w:hAnsi="Garamond"/>
          <w:sz w:val="24"/>
          <w:szCs w:val="24"/>
          <w:lang w:val="sq-AL"/>
        </w:rPr>
        <w:t xml:space="preserve"> me ligjin nr. 49/2021 dhe të KPC-së me ligjin nr. 44/2021, ajo ka vendosur revokimin e këtij vendimi dhe shqyrtimin e çështjes në dhomë këshillimi mbi bazë të dokumenteve në datë</w:t>
      </w:r>
      <w:r w:rsidR="00320F47">
        <w:rPr>
          <w:rFonts w:ascii="Garamond" w:hAnsi="Garamond"/>
          <w:sz w:val="24"/>
          <w:szCs w:val="24"/>
          <w:lang w:val="sq-AL"/>
        </w:rPr>
        <w:t>n 26.</w:t>
      </w:r>
      <w:r w:rsidRPr="00320F47">
        <w:rPr>
          <w:rFonts w:ascii="Garamond" w:hAnsi="Garamond"/>
          <w:sz w:val="24"/>
          <w:szCs w:val="24"/>
          <w:lang w:val="sq-AL"/>
        </w:rPr>
        <w:t>5.2022. Në vendimin e revokimit, trupi gjykues i ka lënë detyrë sekretarisë të bëjë njoftimin e palëve me qëllim paraqitjen nga ato të parashtresave. Njoftimi për shqyrtimin e çështjes në dhomë këshillimi palëve iu është përcjellë me shkresën nr. 007</w:t>
      </w:r>
      <w:r w:rsidR="00320F47">
        <w:rPr>
          <w:rFonts w:ascii="Garamond" w:hAnsi="Garamond"/>
          <w:sz w:val="24"/>
          <w:szCs w:val="24"/>
          <w:lang w:val="sq-AL"/>
        </w:rPr>
        <w:t>14/16 akti, datë 11.</w:t>
      </w:r>
      <w:r w:rsidRPr="00320F47">
        <w:rPr>
          <w:rFonts w:ascii="Garamond" w:hAnsi="Garamond"/>
          <w:sz w:val="24"/>
          <w:szCs w:val="24"/>
          <w:lang w:val="sq-AL"/>
        </w:rPr>
        <w:t>5.2022. Për</w:t>
      </w:r>
      <w:r w:rsidR="00624736">
        <w:rPr>
          <w:rFonts w:ascii="Garamond" w:hAnsi="Garamond"/>
          <w:sz w:val="24"/>
          <w:szCs w:val="24"/>
          <w:lang w:val="sq-AL"/>
        </w:rPr>
        <w:t xml:space="preserve"> </w:t>
      </w:r>
      <w:r w:rsidRPr="00320F47">
        <w:rPr>
          <w:rFonts w:ascii="Garamond" w:hAnsi="Garamond"/>
          <w:sz w:val="24"/>
          <w:szCs w:val="24"/>
          <w:lang w:val="sq-AL"/>
        </w:rPr>
        <w:t>kërkuesin, njoftimi me shkresë rezulton i kthyer nga shërbimi postar me shënimin “</w:t>
      </w:r>
      <w:r w:rsidRPr="00320F47">
        <w:rPr>
          <w:rFonts w:ascii="Garamond" w:hAnsi="Garamond"/>
          <w:i/>
          <w:sz w:val="24"/>
          <w:szCs w:val="24"/>
          <w:lang w:val="sq-AL"/>
        </w:rPr>
        <w:t xml:space="preserve">Objekt i </w:t>
      </w:r>
      <w:proofErr w:type="spellStart"/>
      <w:r w:rsidRPr="00320F47">
        <w:rPr>
          <w:rFonts w:ascii="Garamond" w:hAnsi="Garamond"/>
          <w:i/>
          <w:sz w:val="24"/>
          <w:szCs w:val="24"/>
          <w:lang w:val="sq-AL"/>
        </w:rPr>
        <w:t>pakërkuar</w:t>
      </w:r>
      <w:proofErr w:type="spellEnd"/>
      <w:r w:rsidRPr="00320F47">
        <w:rPr>
          <w:rFonts w:ascii="Garamond" w:hAnsi="Garamond"/>
          <w:sz w:val="24"/>
          <w:szCs w:val="24"/>
          <w:lang w:val="sq-AL"/>
        </w:rPr>
        <w:t>”. Nga ana tjetër, me shkr</w:t>
      </w:r>
      <w:r w:rsidR="00320F47">
        <w:rPr>
          <w:rFonts w:ascii="Garamond" w:hAnsi="Garamond"/>
          <w:sz w:val="24"/>
          <w:szCs w:val="24"/>
          <w:lang w:val="sq-AL"/>
        </w:rPr>
        <w:t xml:space="preserve">esën nr. 1820/1 </w:t>
      </w:r>
      <w:proofErr w:type="spellStart"/>
      <w:r w:rsidR="00320F47">
        <w:rPr>
          <w:rFonts w:ascii="Garamond" w:hAnsi="Garamond"/>
          <w:sz w:val="24"/>
          <w:szCs w:val="24"/>
          <w:lang w:val="sq-AL"/>
        </w:rPr>
        <w:t>prot</w:t>
      </w:r>
      <w:proofErr w:type="spellEnd"/>
      <w:r w:rsidR="00320F47">
        <w:rPr>
          <w:rFonts w:ascii="Garamond" w:hAnsi="Garamond"/>
          <w:sz w:val="24"/>
          <w:szCs w:val="24"/>
          <w:lang w:val="sq-AL"/>
        </w:rPr>
        <w:t>., datë 16.</w:t>
      </w:r>
      <w:r w:rsidRPr="00320F47">
        <w:rPr>
          <w:rFonts w:ascii="Garamond" w:hAnsi="Garamond"/>
          <w:sz w:val="24"/>
          <w:szCs w:val="24"/>
          <w:lang w:val="sq-AL"/>
        </w:rPr>
        <w:t>5.2022, në përgjigje të interesimit të kërkuesit, Gjykata e Lartë e ka informuar atë për shq</w:t>
      </w:r>
      <w:r w:rsidR="00320F47">
        <w:rPr>
          <w:rFonts w:ascii="Garamond" w:hAnsi="Garamond"/>
          <w:sz w:val="24"/>
          <w:szCs w:val="24"/>
          <w:lang w:val="sq-AL"/>
        </w:rPr>
        <w:t>yrtimin e çështjes në datën 26.</w:t>
      </w:r>
      <w:r w:rsidRPr="00320F47">
        <w:rPr>
          <w:rFonts w:ascii="Garamond" w:hAnsi="Garamond"/>
          <w:sz w:val="24"/>
          <w:szCs w:val="24"/>
          <w:lang w:val="sq-AL"/>
        </w:rPr>
        <w:t>5.2022. Ndërkohë, në përmbajtjen e vendimit n</w:t>
      </w:r>
      <w:r w:rsidR="00320F47">
        <w:rPr>
          <w:rFonts w:ascii="Garamond" w:hAnsi="Garamond"/>
          <w:sz w:val="24"/>
          <w:szCs w:val="24"/>
          <w:lang w:val="sq-AL"/>
        </w:rPr>
        <w:t>r. 00-2022-1029 (210), datë 26.</w:t>
      </w:r>
      <w:r w:rsidRPr="00320F47">
        <w:rPr>
          <w:rFonts w:ascii="Garamond" w:hAnsi="Garamond"/>
          <w:sz w:val="24"/>
          <w:szCs w:val="24"/>
          <w:lang w:val="sq-AL"/>
        </w:rPr>
        <w:t>5.2022, Gjykata e Lartë ka shënuar se</w:t>
      </w:r>
      <w:r w:rsidR="00A56FA9">
        <w:rPr>
          <w:rFonts w:ascii="Garamond" w:hAnsi="Garamond"/>
          <w:sz w:val="24"/>
          <w:szCs w:val="24"/>
          <w:lang w:val="sq-AL"/>
        </w:rPr>
        <w:t>:</w:t>
      </w:r>
      <w:r w:rsidRPr="00320F47">
        <w:rPr>
          <w:rFonts w:ascii="Garamond" w:hAnsi="Garamond"/>
          <w:sz w:val="24"/>
          <w:szCs w:val="24"/>
          <w:lang w:val="sq-AL"/>
        </w:rPr>
        <w:t xml:space="preserve"> “</w:t>
      </w:r>
      <w:r w:rsidRPr="00320F47">
        <w:rPr>
          <w:rFonts w:ascii="Garamond" w:hAnsi="Garamond"/>
          <w:i/>
          <w:sz w:val="24"/>
          <w:szCs w:val="24"/>
          <w:lang w:val="sq-AL"/>
        </w:rPr>
        <w:t>pas njoftimit të vendimit të revokimit të kalimit të çështjes në seancë gjyqësore, palët rezultojnë të kenë marrë dijeni rregullisht dhe nuk kanë paraqitur parashtrime me shkrim</w:t>
      </w:r>
      <w:r w:rsidRPr="00320F47">
        <w:rPr>
          <w:rFonts w:ascii="Garamond" w:hAnsi="Garamond"/>
          <w:sz w:val="24"/>
          <w:szCs w:val="24"/>
          <w:lang w:val="sq-AL"/>
        </w:rPr>
        <w:t>” (</w:t>
      </w:r>
      <w:r w:rsidRPr="00320F47">
        <w:rPr>
          <w:rFonts w:ascii="Garamond" w:hAnsi="Garamond"/>
          <w:i/>
          <w:sz w:val="24"/>
          <w:szCs w:val="24"/>
          <w:lang w:val="sq-AL"/>
        </w:rPr>
        <w:t>shih paragrafin 27</w:t>
      </w:r>
      <w:r w:rsidR="004719EA">
        <w:rPr>
          <w:rFonts w:ascii="Garamond" w:hAnsi="Garamond"/>
          <w:i/>
          <w:sz w:val="24"/>
          <w:szCs w:val="24"/>
          <w:lang w:val="sq-AL"/>
        </w:rPr>
        <w:t>,</w:t>
      </w:r>
      <w:r w:rsidRPr="00320F47">
        <w:rPr>
          <w:rFonts w:ascii="Garamond" w:hAnsi="Garamond"/>
          <w:i/>
          <w:sz w:val="24"/>
          <w:szCs w:val="24"/>
          <w:lang w:val="sq-AL"/>
        </w:rPr>
        <w:t xml:space="preserve"> të vendimit të Gjykatës së Lartë</w:t>
      </w:r>
      <w:r w:rsidRPr="00320F47">
        <w:rPr>
          <w:rFonts w:ascii="Garamond" w:hAnsi="Garamond"/>
          <w:sz w:val="24"/>
          <w:szCs w:val="24"/>
          <w:lang w:val="sq-AL"/>
        </w:rPr>
        <w:t>).</w:t>
      </w:r>
    </w:p>
    <w:p w14:paraId="26D4EB91" w14:textId="4B79F270" w:rsidR="00D131FE" w:rsidRPr="00320F47" w:rsidRDefault="00D131FE" w:rsidP="00624736">
      <w:pPr>
        <w:pStyle w:val="ListParagraph"/>
        <w:tabs>
          <w:tab w:val="left" w:pos="720"/>
          <w:tab w:val="left" w:pos="1080"/>
          <w:tab w:val="left" w:pos="2160"/>
        </w:tabs>
        <w:spacing w:after="0" w:line="240" w:lineRule="auto"/>
        <w:ind w:left="0" w:firstLine="288"/>
        <w:contextualSpacing w:val="0"/>
        <w:jc w:val="both"/>
        <w:rPr>
          <w:rFonts w:ascii="Garamond" w:hAnsi="Garamond"/>
          <w:i/>
          <w:sz w:val="24"/>
          <w:szCs w:val="24"/>
          <w:lang w:val="sq-AL"/>
        </w:rPr>
      </w:pPr>
      <w:r w:rsidRPr="00320F47">
        <w:rPr>
          <w:rFonts w:ascii="Garamond" w:hAnsi="Garamond"/>
          <w:sz w:val="24"/>
          <w:szCs w:val="24"/>
          <w:lang w:val="sq-AL"/>
        </w:rPr>
        <w:t>44.</w:t>
      </w:r>
      <w:r w:rsidR="00A77DE1" w:rsidRPr="00320F47">
        <w:rPr>
          <w:rFonts w:ascii="Garamond" w:hAnsi="Garamond"/>
          <w:sz w:val="24"/>
          <w:szCs w:val="24"/>
          <w:lang w:val="sq-AL"/>
        </w:rPr>
        <w:t xml:space="preserve"> </w:t>
      </w:r>
      <w:bookmarkStart w:id="6" w:name="_Hlk138264711"/>
      <w:r w:rsidRPr="00320F47">
        <w:rPr>
          <w:rFonts w:ascii="Garamond" w:hAnsi="Garamond"/>
          <w:sz w:val="24"/>
          <w:szCs w:val="24"/>
          <w:lang w:val="sq-AL"/>
        </w:rPr>
        <w:t>Po kështu, nga aktet e administruara në dosjen gjyqësore dhe konkretisht nga përmbajtja e procesverbalit të shqyrtimit të çështjes në dhomën e</w:t>
      </w:r>
      <w:r w:rsidR="00320F47">
        <w:rPr>
          <w:rFonts w:ascii="Garamond" w:hAnsi="Garamond"/>
          <w:sz w:val="24"/>
          <w:szCs w:val="24"/>
          <w:lang w:val="sq-AL"/>
        </w:rPr>
        <w:t xml:space="preserve"> këshillimit, që mban datën 26.</w:t>
      </w:r>
      <w:r w:rsidRPr="00320F47">
        <w:rPr>
          <w:rFonts w:ascii="Garamond" w:hAnsi="Garamond"/>
          <w:sz w:val="24"/>
          <w:szCs w:val="24"/>
          <w:lang w:val="sq-AL"/>
        </w:rPr>
        <w:t xml:space="preserve">5.2022, rezulton e shënuar se palët </w:t>
      </w:r>
      <w:proofErr w:type="spellStart"/>
      <w:r w:rsidRPr="00320F47">
        <w:rPr>
          <w:rFonts w:ascii="Garamond" w:hAnsi="Garamond"/>
          <w:sz w:val="24"/>
          <w:szCs w:val="24"/>
          <w:lang w:val="sq-AL"/>
        </w:rPr>
        <w:t>ndërgjyqëse</w:t>
      </w:r>
      <w:proofErr w:type="spellEnd"/>
      <w:r w:rsidRPr="00320F47">
        <w:rPr>
          <w:rFonts w:ascii="Garamond" w:hAnsi="Garamond"/>
          <w:sz w:val="24"/>
          <w:szCs w:val="24"/>
          <w:lang w:val="sq-AL"/>
        </w:rPr>
        <w:t xml:space="preserve"> kanë marrë dijeni rregullisht sipas ligjit, n</w:t>
      </w:r>
      <w:r w:rsidR="00320F47">
        <w:rPr>
          <w:rFonts w:ascii="Garamond" w:hAnsi="Garamond"/>
          <w:sz w:val="24"/>
          <w:szCs w:val="24"/>
          <w:lang w:val="sq-AL"/>
        </w:rPr>
        <w:t>ëpërmjet shpalljes së datës 10.</w:t>
      </w:r>
      <w:r w:rsidRPr="00320F47">
        <w:rPr>
          <w:rFonts w:ascii="Garamond" w:hAnsi="Garamond"/>
          <w:sz w:val="24"/>
          <w:szCs w:val="24"/>
          <w:lang w:val="sq-AL"/>
        </w:rPr>
        <w:t>5.2022 dhe nuk kanë paraqitur ndonjë kërkesë procedurale për përjashtimin e trupit gjykues. Nga verifikimi i kryer në faqen elektronike të Gjykatës së</w:t>
      </w:r>
      <w:r w:rsidR="00320F47">
        <w:rPr>
          <w:rFonts w:ascii="Garamond" w:hAnsi="Garamond"/>
          <w:sz w:val="24"/>
          <w:szCs w:val="24"/>
          <w:lang w:val="sq-AL"/>
        </w:rPr>
        <w:t xml:space="preserve"> Lartë rezulton se në datën 10.</w:t>
      </w:r>
      <w:r w:rsidRPr="00320F47">
        <w:rPr>
          <w:rFonts w:ascii="Garamond" w:hAnsi="Garamond"/>
          <w:sz w:val="24"/>
          <w:szCs w:val="24"/>
          <w:lang w:val="sq-AL"/>
        </w:rPr>
        <w:t>5.2022 është njoftuar lista e çështjeve administrative për shqyrtim në dhomën e këshillimit, në të cilën është pasqyruar edhe përbërja e trupit gjykues, relatori dhe ora e gjykimit të çështjes së kërkuesit. Njoftimi është shpallur edhe në ambientet fizike të asaj gjykate. Ndërkohë, si edhe më lart u para</w:t>
      </w:r>
      <w:r w:rsidR="00320F47">
        <w:rPr>
          <w:rFonts w:ascii="Garamond" w:hAnsi="Garamond"/>
          <w:sz w:val="24"/>
          <w:szCs w:val="24"/>
          <w:lang w:val="sq-AL"/>
        </w:rPr>
        <w:t>shtrua, me shkresën e datës 16.</w:t>
      </w:r>
      <w:r w:rsidRPr="00320F47">
        <w:rPr>
          <w:rFonts w:ascii="Garamond" w:hAnsi="Garamond"/>
          <w:sz w:val="24"/>
          <w:szCs w:val="24"/>
          <w:lang w:val="sq-AL"/>
        </w:rPr>
        <w:t>5.2022, Gjykata e Lartë e ka informuar kërkuesin se çështja e tij së bashku me kërkesën për revokimin e vendimit të pezullimi</w:t>
      </w:r>
      <w:r w:rsidR="00320F47">
        <w:rPr>
          <w:rFonts w:ascii="Garamond" w:hAnsi="Garamond"/>
          <w:sz w:val="24"/>
          <w:szCs w:val="24"/>
          <w:lang w:val="sq-AL"/>
        </w:rPr>
        <w:t>t do të shqyrtohej në datën 26.</w:t>
      </w:r>
      <w:r w:rsidRPr="00320F47">
        <w:rPr>
          <w:rFonts w:ascii="Garamond" w:hAnsi="Garamond"/>
          <w:sz w:val="24"/>
          <w:szCs w:val="24"/>
          <w:lang w:val="sq-AL"/>
        </w:rPr>
        <w:t>5.2022.</w:t>
      </w:r>
    </w:p>
    <w:p w14:paraId="515DF3E4" w14:textId="473EDCD9" w:rsidR="00D131FE" w:rsidRPr="00320F47" w:rsidRDefault="00D131FE" w:rsidP="00624736">
      <w:pPr>
        <w:pStyle w:val="ListParagraph"/>
        <w:tabs>
          <w:tab w:val="left" w:pos="720"/>
          <w:tab w:val="left" w:pos="1080"/>
          <w:tab w:val="left" w:pos="2160"/>
        </w:tabs>
        <w:spacing w:after="0" w:line="240" w:lineRule="auto"/>
        <w:ind w:left="0" w:firstLine="288"/>
        <w:contextualSpacing w:val="0"/>
        <w:jc w:val="both"/>
        <w:rPr>
          <w:rStyle w:val="hps"/>
          <w:rFonts w:ascii="Garamond" w:hAnsi="Garamond"/>
          <w:i/>
          <w:sz w:val="24"/>
          <w:szCs w:val="24"/>
          <w:lang w:val="sq-AL"/>
        </w:rPr>
      </w:pPr>
      <w:r w:rsidRPr="00320F47">
        <w:rPr>
          <w:rFonts w:ascii="Garamond" w:hAnsi="Garamond"/>
          <w:sz w:val="24"/>
          <w:szCs w:val="24"/>
          <w:lang w:val="sq-AL"/>
        </w:rPr>
        <w:t>45.</w:t>
      </w:r>
      <w:r w:rsidR="00A77DE1" w:rsidRPr="00320F47">
        <w:rPr>
          <w:rFonts w:ascii="Garamond" w:hAnsi="Garamond"/>
          <w:sz w:val="24"/>
          <w:szCs w:val="24"/>
          <w:lang w:val="sq-AL"/>
        </w:rPr>
        <w:t xml:space="preserve"> </w:t>
      </w:r>
      <w:r w:rsidRPr="00320F47">
        <w:rPr>
          <w:rFonts w:ascii="Garamond" w:hAnsi="Garamond"/>
          <w:sz w:val="24"/>
          <w:szCs w:val="24"/>
          <w:lang w:val="sq-AL"/>
        </w:rPr>
        <w:t xml:space="preserve">Për sa më sipër, Gjykata evidenton se më herët ka qenë vetë kërkuesi, i cili, nëpërmjet avokatit të tij, i ka kërkuar Gjykatës së Lartë revokimin e vendimit për kalimin e çështjes për shqyrtim në seancë gjyqësore dhe shqyrtimin e saj në dhomën e këshillimit. Po kështu, nuk rezulton që </w:t>
      </w:r>
      <w:r w:rsidRPr="00320F47">
        <w:rPr>
          <w:rStyle w:val="hps"/>
          <w:rFonts w:ascii="Garamond" w:hAnsi="Garamond"/>
          <w:sz w:val="24"/>
          <w:szCs w:val="24"/>
          <w:lang w:val="sq-AL"/>
        </w:rPr>
        <w:t>kërkuesi, edhe pas marrjes dijeni të datës së shqyrtimit të çështjes së tij në dhomën e këshillimit, të ketë paraqitur parashtrime shtesë, të ketë kërkuar kohë shtesë ose shtyrjen e datës së shqyrtimit të çështjes, me qëllim paraqitjen e parashtrimeve shtesë.</w:t>
      </w:r>
    </w:p>
    <w:p w14:paraId="1C623FFB" w14:textId="348A4C94" w:rsidR="00D131FE" w:rsidRPr="00320F47" w:rsidRDefault="00D131FE" w:rsidP="00624736">
      <w:pPr>
        <w:pStyle w:val="ListParagraph"/>
        <w:tabs>
          <w:tab w:val="left" w:pos="720"/>
          <w:tab w:val="left" w:pos="1080"/>
          <w:tab w:val="left" w:pos="2160"/>
        </w:tabs>
        <w:spacing w:after="0" w:line="240" w:lineRule="auto"/>
        <w:ind w:left="0" w:firstLine="288"/>
        <w:contextualSpacing w:val="0"/>
        <w:jc w:val="both"/>
        <w:rPr>
          <w:rFonts w:ascii="Garamond" w:hAnsi="Garamond"/>
          <w:i/>
          <w:sz w:val="24"/>
          <w:szCs w:val="24"/>
          <w:lang w:val="sq-AL"/>
        </w:rPr>
      </w:pPr>
      <w:r w:rsidRPr="00320F47">
        <w:rPr>
          <w:rFonts w:ascii="Garamond" w:hAnsi="Garamond"/>
          <w:sz w:val="24"/>
          <w:szCs w:val="24"/>
          <w:lang w:val="sq-AL"/>
        </w:rPr>
        <w:t>46.</w:t>
      </w:r>
      <w:r w:rsidR="00A77DE1" w:rsidRPr="00320F47">
        <w:rPr>
          <w:rFonts w:ascii="Garamond" w:hAnsi="Garamond"/>
          <w:sz w:val="24"/>
          <w:szCs w:val="24"/>
          <w:lang w:val="sq-AL"/>
        </w:rPr>
        <w:t xml:space="preserve"> </w:t>
      </w:r>
      <w:r w:rsidRPr="00320F47">
        <w:rPr>
          <w:rStyle w:val="hps"/>
          <w:rFonts w:ascii="Garamond" w:hAnsi="Garamond"/>
          <w:sz w:val="24"/>
          <w:szCs w:val="24"/>
          <w:lang w:val="sq-AL"/>
        </w:rPr>
        <w:t xml:space="preserve">Gjykata çmon se kërkuesi nuk ka paraqitur asnjë argument konkret në lidhje me pamundësinë e përdorimit të garancive procedurale që do t’i siguronin mbrojtjen efektive, në kushtet e një afati jo të plotë njoftimi referuar njoftimit me shkresë të tij. Ai nuk ka argumentuar </w:t>
      </w:r>
      <w:r w:rsidRPr="00320F47">
        <w:rPr>
          <w:rFonts w:ascii="Garamond" w:hAnsi="Garamond"/>
          <w:sz w:val="24"/>
          <w:szCs w:val="24"/>
          <w:lang w:val="sq-AL"/>
        </w:rPr>
        <w:t xml:space="preserve">se si vendimi i ndërmjetëm për ndryshimin e formës së gjykimit, i cili nuk i është njoftuar për shkak të kthimit nga shërbimi postar, të ketë ndikuar në të drejtat procedurale të tij. </w:t>
      </w:r>
      <w:r w:rsidRPr="00320F47">
        <w:rPr>
          <w:rStyle w:val="hps"/>
          <w:rFonts w:ascii="Garamond" w:hAnsi="Garamond"/>
          <w:sz w:val="24"/>
          <w:szCs w:val="24"/>
          <w:lang w:val="sq-AL"/>
        </w:rPr>
        <w:t xml:space="preserve">Për më tepër, Gjykata vëren se kërkuesi nuk ka bërë asnjë përpjekje për të kërkuar kohë shtesë ose shtyrjen e datës së gjykimit, me qëllim paraqitjen e parashtrimeve shtesë të tij. </w:t>
      </w:r>
      <w:r w:rsidRPr="00320F47">
        <w:rPr>
          <w:rFonts w:ascii="Garamond" w:hAnsi="Garamond"/>
          <w:sz w:val="24"/>
          <w:szCs w:val="24"/>
          <w:lang w:val="sq-AL"/>
        </w:rPr>
        <w:t>Në këto rrethana, mosrealizimi i njoftimit të vendimit të ndërmjetëm nuk e ka vendosur kërkuesin në pozita të pafavorshme lidhur me të drejtën e mbrojtjes efektive ose me gjykimin e çështjes në tërësi.</w:t>
      </w:r>
    </w:p>
    <w:bookmarkEnd w:id="6"/>
    <w:p w14:paraId="003D44F9" w14:textId="36ECF640" w:rsidR="00D131FE" w:rsidRPr="00320F47" w:rsidRDefault="00D131FE" w:rsidP="00624736">
      <w:pPr>
        <w:pStyle w:val="ListParagraph"/>
        <w:tabs>
          <w:tab w:val="left" w:pos="720"/>
          <w:tab w:val="left" w:pos="1080"/>
          <w:tab w:val="left" w:pos="2160"/>
        </w:tabs>
        <w:spacing w:after="0" w:line="240" w:lineRule="auto"/>
        <w:ind w:left="0" w:firstLine="288"/>
        <w:contextualSpacing w:val="0"/>
        <w:jc w:val="both"/>
        <w:rPr>
          <w:rFonts w:ascii="Garamond" w:hAnsi="Garamond"/>
          <w:i/>
          <w:sz w:val="24"/>
          <w:szCs w:val="24"/>
          <w:lang w:val="sq-AL"/>
        </w:rPr>
      </w:pPr>
      <w:r w:rsidRPr="00320F47">
        <w:rPr>
          <w:rFonts w:ascii="Garamond" w:hAnsi="Garamond"/>
          <w:sz w:val="24"/>
          <w:szCs w:val="24"/>
          <w:lang w:val="sq-AL"/>
        </w:rPr>
        <w:t>47.</w:t>
      </w:r>
      <w:r w:rsidR="00A77DE1" w:rsidRPr="00320F47">
        <w:rPr>
          <w:rFonts w:ascii="Garamond" w:hAnsi="Garamond"/>
          <w:sz w:val="24"/>
          <w:szCs w:val="24"/>
          <w:lang w:val="sq-AL"/>
        </w:rPr>
        <w:t xml:space="preserve"> </w:t>
      </w:r>
      <w:r w:rsidRPr="00320F47">
        <w:rPr>
          <w:rFonts w:ascii="Garamond" w:hAnsi="Garamond"/>
          <w:sz w:val="24"/>
          <w:szCs w:val="24"/>
          <w:lang w:val="sq-AL"/>
        </w:rPr>
        <w:t xml:space="preserve">Nga ana tjetër, lidhur me themelin e çështjes, Gjykata vlerëson se kërkuesi është njoftuar rregullisht për rekurset e paraqitura nga palët </w:t>
      </w:r>
      <w:proofErr w:type="spellStart"/>
      <w:r w:rsidRPr="00320F47">
        <w:rPr>
          <w:rFonts w:ascii="Garamond" w:hAnsi="Garamond"/>
          <w:sz w:val="24"/>
          <w:szCs w:val="24"/>
          <w:lang w:val="sq-AL"/>
        </w:rPr>
        <w:t>ndërgjyqëse</w:t>
      </w:r>
      <w:proofErr w:type="spellEnd"/>
      <w:r w:rsidRPr="00320F47">
        <w:rPr>
          <w:rFonts w:ascii="Garamond" w:hAnsi="Garamond"/>
          <w:sz w:val="24"/>
          <w:szCs w:val="24"/>
          <w:lang w:val="sq-AL"/>
        </w:rPr>
        <w:t xml:space="preserve">, për të cilat ka paraqitur kundërshtimet e tij me shkrim, duke iu garantuar në këtë mënyrë e drejta për t’u dëgjuar dhe për të paraqitur argumente në mbrojtje të interesave vetjakë në raport me palën kundërshtare. Po kështu, </w:t>
      </w:r>
      <w:r w:rsidRPr="00320F47">
        <w:rPr>
          <w:rStyle w:val="hps"/>
          <w:rFonts w:ascii="Garamond" w:hAnsi="Garamond"/>
          <w:sz w:val="24"/>
          <w:szCs w:val="24"/>
          <w:lang w:val="sq-AL"/>
        </w:rPr>
        <w:t>n</w:t>
      </w:r>
      <w:r w:rsidRPr="00320F47">
        <w:rPr>
          <w:rFonts w:ascii="Garamond" w:hAnsi="Garamond"/>
          <w:sz w:val="24"/>
          <w:szCs w:val="24"/>
          <w:lang w:val="sq-AL"/>
        </w:rPr>
        <w:t xml:space="preserve">joftimet për datën dhe orën e shqyrtimit të procesit të tij janë afishuar rregullisht nga Gjykata e Lartë. Në ankimin kushtetues, ai nuk ka paraqitur ndonjë pretendim konkret për kufizimin e </w:t>
      </w:r>
      <w:proofErr w:type="spellStart"/>
      <w:r w:rsidRPr="00320F47">
        <w:rPr>
          <w:rFonts w:ascii="Garamond" w:hAnsi="Garamond"/>
          <w:sz w:val="24"/>
          <w:szCs w:val="24"/>
          <w:lang w:val="sq-AL"/>
        </w:rPr>
        <w:t>aksesit</w:t>
      </w:r>
      <w:proofErr w:type="spellEnd"/>
      <w:r w:rsidRPr="00320F47">
        <w:rPr>
          <w:rFonts w:ascii="Garamond" w:hAnsi="Garamond"/>
          <w:sz w:val="24"/>
          <w:szCs w:val="24"/>
          <w:lang w:val="sq-AL"/>
        </w:rPr>
        <w:t xml:space="preserve"> nga afati jo i plotë i njoftimit, në njoftimet e shpallura të </w:t>
      </w:r>
      <w:r w:rsidRPr="00320F47">
        <w:rPr>
          <w:rStyle w:val="hps"/>
          <w:rFonts w:ascii="Garamond" w:hAnsi="Garamond"/>
          <w:sz w:val="24"/>
          <w:szCs w:val="24"/>
          <w:lang w:val="sq-AL"/>
        </w:rPr>
        <w:t>Gjykatës së Lartë dhe as</w:t>
      </w:r>
      <w:r w:rsidRPr="00320F47">
        <w:rPr>
          <w:rFonts w:ascii="Garamond" w:hAnsi="Garamond"/>
          <w:sz w:val="24"/>
          <w:szCs w:val="24"/>
          <w:lang w:val="sq-AL"/>
        </w:rPr>
        <w:t xml:space="preserve"> ndonjë argument thelbësor të ri të </w:t>
      </w:r>
      <w:proofErr w:type="spellStart"/>
      <w:r w:rsidRPr="00320F47">
        <w:rPr>
          <w:rFonts w:ascii="Garamond" w:hAnsi="Garamond"/>
          <w:sz w:val="24"/>
          <w:szCs w:val="24"/>
          <w:lang w:val="sq-AL"/>
        </w:rPr>
        <w:t>paparashtruar</w:t>
      </w:r>
      <w:proofErr w:type="spellEnd"/>
      <w:r w:rsidRPr="00320F47">
        <w:rPr>
          <w:rFonts w:ascii="Garamond" w:hAnsi="Garamond"/>
          <w:sz w:val="24"/>
          <w:szCs w:val="24"/>
          <w:lang w:val="sq-AL"/>
        </w:rPr>
        <w:t xml:space="preserve"> më parë, i cili potencialisht mund të </w:t>
      </w:r>
      <w:proofErr w:type="spellStart"/>
      <w:r w:rsidRPr="00320F47">
        <w:rPr>
          <w:rFonts w:ascii="Garamond" w:hAnsi="Garamond"/>
          <w:sz w:val="24"/>
          <w:szCs w:val="24"/>
          <w:lang w:val="sq-AL"/>
        </w:rPr>
        <w:t>passillte</w:t>
      </w:r>
      <w:proofErr w:type="spellEnd"/>
      <w:r w:rsidRPr="00320F47">
        <w:rPr>
          <w:rFonts w:ascii="Garamond" w:hAnsi="Garamond"/>
          <w:sz w:val="24"/>
          <w:szCs w:val="24"/>
          <w:lang w:val="sq-AL"/>
        </w:rPr>
        <w:t xml:space="preserve"> një rezultat të ndryshëm të zgjidhjes së çështjes së tij nga Gjykata e Lartë. Për më tepër, kjo e fundit ka shqyrtuar në themel shkaqet e rekursit, që do të thotë se ka analizuar dhe vlerësuar pozitën dhe të drejtat e kërkuesit në raport me vendimmarrjen e gjykatave më të ulëta. Ndërkohë që gabimet në dukje, në përmbajtjen e vendimit të kundërshtuar, në kontekst të rastit konkret, nuk janë të tilla që ta bëjnë të parregullt, në kuptimin kushtetues, procesin gjyqësor të zhvilluar në Gjykatën e Lartë. Për rrjedhojë, pretendimi i kërkuesit për cenimin e së drejtës së mbrojtjes efektive është i pabazuar.</w:t>
      </w:r>
    </w:p>
    <w:p w14:paraId="498BAE31" w14:textId="629FD76A" w:rsidR="00D131FE" w:rsidRPr="00320F47" w:rsidRDefault="00D131FE" w:rsidP="00624736">
      <w:pPr>
        <w:pStyle w:val="ListParagraph"/>
        <w:tabs>
          <w:tab w:val="left" w:pos="720"/>
          <w:tab w:val="left" w:pos="1080"/>
          <w:tab w:val="left" w:pos="2160"/>
        </w:tabs>
        <w:spacing w:after="0" w:line="240" w:lineRule="auto"/>
        <w:ind w:left="0" w:firstLine="288"/>
        <w:contextualSpacing w:val="0"/>
        <w:jc w:val="both"/>
        <w:rPr>
          <w:rFonts w:ascii="Garamond" w:hAnsi="Garamond"/>
          <w:i/>
          <w:sz w:val="24"/>
          <w:szCs w:val="24"/>
          <w:lang w:val="sq-AL"/>
        </w:rPr>
      </w:pPr>
      <w:r w:rsidRPr="00320F47">
        <w:rPr>
          <w:rFonts w:ascii="Garamond" w:hAnsi="Garamond"/>
          <w:sz w:val="24"/>
          <w:szCs w:val="24"/>
          <w:lang w:val="sq-AL"/>
        </w:rPr>
        <w:t>48.</w:t>
      </w:r>
      <w:r w:rsidR="00A77DE1" w:rsidRPr="00320F47">
        <w:rPr>
          <w:rFonts w:ascii="Garamond" w:hAnsi="Garamond"/>
          <w:sz w:val="24"/>
          <w:szCs w:val="24"/>
          <w:lang w:val="sq-AL"/>
        </w:rPr>
        <w:t xml:space="preserve"> </w:t>
      </w:r>
      <w:r w:rsidRPr="00320F47">
        <w:rPr>
          <w:rFonts w:ascii="Garamond" w:hAnsi="Garamond"/>
          <w:sz w:val="24"/>
          <w:szCs w:val="24"/>
          <w:lang w:val="sq-AL"/>
        </w:rPr>
        <w:t>Në përfundim, Gjykata çmon se pretendimet e kërkuesit, sipas arsyetimit të mësipërm, janë të pabazuara, ndaj kërkesa duhet rrëzuar.</w:t>
      </w:r>
    </w:p>
    <w:p w14:paraId="0EA66E50" w14:textId="77777777" w:rsidR="00D131FE" w:rsidRPr="00320F47" w:rsidRDefault="00D131FE" w:rsidP="00624736">
      <w:pPr>
        <w:pStyle w:val="ListParagraph"/>
        <w:tabs>
          <w:tab w:val="left" w:pos="1080"/>
          <w:tab w:val="left" w:pos="1440"/>
        </w:tabs>
        <w:spacing w:after="0" w:line="240" w:lineRule="auto"/>
        <w:ind w:left="0" w:firstLine="288"/>
        <w:contextualSpacing w:val="0"/>
        <w:jc w:val="both"/>
        <w:rPr>
          <w:rFonts w:ascii="Garamond" w:hAnsi="Garamond"/>
          <w:sz w:val="24"/>
          <w:szCs w:val="24"/>
          <w:lang w:val="sq-AL"/>
        </w:rPr>
      </w:pPr>
    </w:p>
    <w:p w14:paraId="21E2B321" w14:textId="77777777" w:rsidR="00D131FE" w:rsidRPr="00320F47" w:rsidRDefault="00D131FE" w:rsidP="00A77DE1">
      <w:pPr>
        <w:spacing w:after="0" w:line="240" w:lineRule="auto"/>
        <w:ind w:firstLine="284"/>
        <w:jc w:val="center"/>
        <w:rPr>
          <w:rFonts w:ascii="Garamond" w:hAnsi="Garamond"/>
          <w:sz w:val="24"/>
          <w:szCs w:val="24"/>
        </w:rPr>
      </w:pPr>
      <w:r w:rsidRPr="00320F47">
        <w:rPr>
          <w:rFonts w:ascii="Garamond" w:hAnsi="Garamond"/>
          <w:sz w:val="24"/>
          <w:szCs w:val="24"/>
        </w:rPr>
        <w:t>PËR KËTO ARSYE,</w:t>
      </w:r>
    </w:p>
    <w:p w14:paraId="4476EFE2" w14:textId="77777777" w:rsidR="00A77DE1" w:rsidRPr="00320F47" w:rsidRDefault="00A77DE1" w:rsidP="00A77DE1">
      <w:pPr>
        <w:spacing w:after="0" w:line="240" w:lineRule="auto"/>
        <w:ind w:firstLine="284"/>
        <w:jc w:val="center"/>
        <w:rPr>
          <w:rFonts w:ascii="Garamond" w:hAnsi="Garamond"/>
          <w:sz w:val="24"/>
          <w:szCs w:val="24"/>
        </w:rPr>
      </w:pPr>
    </w:p>
    <w:p w14:paraId="10FEB815" w14:textId="6AE8042E" w:rsidR="00D131FE" w:rsidRPr="00320F47" w:rsidRDefault="00D131FE" w:rsidP="00A77DE1">
      <w:pPr>
        <w:pStyle w:val="JuPara"/>
        <w:rPr>
          <w:rFonts w:ascii="Garamond" w:hAnsi="Garamond"/>
          <w:szCs w:val="24"/>
          <w:lang w:val="sq-AL"/>
        </w:rPr>
      </w:pPr>
      <w:r w:rsidRPr="00320F47">
        <w:rPr>
          <w:rFonts w:ascii="Garamond" w:hAnsi="Garamond"/>
          <w:szCs w:val="24"/>
          <w:lang w:val="sq-AL"/>
        </w:rPr>
        <w:t xml:space="preserve">Gjykata Kushtetuese e Republikës së Shqipërisë, në mbështetje të neneve 131, pika 1, shkronja “f” dhe 134, pika 1, shkronja “i”, të Kushtetutës, si dhe neneve 71 dhe </w:t>
      </w:r>
      <w:r w:rsidR="00A4515A">
        <w:rPr>
          <w:rFonts w:ascii="Garamond" w:hAnsi="Garamond"/>
          <w:szCs w:val="24"/>
          <w:lang w:val="sq-AL"/>
        </w:rPr>
        <w:t>72, të ligjit nr. 8577, datë 10.</w:t>
      </w:r>
      <w:r w:rsidRPr="00320F47">
        <w:rPr>
          <w:rFonts w:ascii="Garamond" w:hAnsi="Garamond"/>
          <w:szCs w:val="24"/>
          <w:lang w:val="sq-AL"/>
        </w:rPr>
        <w:t>2.2000</w:t>
      </w:r>
      <w:r w:rsidR="00A4515A">
        <w:rPr>
          <w:rFonts w:ascii="Garamond" w:hAnsi="Garamond"/>
          <w:szCs w:val="24"/>
          <w:lang w:val="sq-AL"/>
        </w:rPr>
        <w:t>,</w:t>
      </w:r>
      <w:r w:rsidRPr="00320F47">
        <w:rPr>
          <w:rFonts w:ascii="Garamond" w:hAnsi="Garamond"/>
          <w:szCs w:val="24"/>
          <w:lang w:val="sq-AL"/>
        </w:rPr>
        <w:t xml:space="preserve"> “Për organizimin dhe funksionimin e Gjykatës Kushtetuese të Republikës së Shqipërisë”, të ndryshuar, njëzëri,</w:t>
      </w:r>
    </w:p>
    <w:p w14:paraId="16E8AEDC" w14:textId="77777777" w:rsidR="00D131FE" w:rsidRPr="00320F47" w:rsidRDefault="00D131FE" w:rsidP="00A77DE1">
      <w:pPr>
        <w:spacing w:after="0" w:line="240" w:lineRule="auto"/>
        <w:ind w:firstLine="284"/>
        <w:jc w:val="both"/>
        <w:rPr>
          <w:rFonts w:ascii="Garamond" w:hAnsi="Garamond"/>
          <w:sz w:val="24"/>
          <w:szCs w:val="24"/>
        </w:rPr>
      </w:pPr>
    </w:p>
    <w:p w14:paraId="7788EE5B" w14:textId="02EEB4A1" w:rsidR="00D131FE" w:rsidRPr="00320F47" w:rsidRDefault="00A77DE1" w:rsidP="00A77DE1">
      <w:pPr>
        <w:spacing w:after="0" w:line="240" w:lineRule="auto"/>
        <w:ind w:firstLine="284"/>
        <w:jc w:val="center"/>
        <w:rPr>
          <w:rFonts w:ascii="Garamond" w:hAnsi="Garamond"/>
          <w:sz w:val="24"/>
          <w:szCs w:val="24"/>
        </w:rPr>
      </w:pPr>
      <w:r w:rsidRPr="00320F47">
        <w:rPr>
          <w:rFonts w:ascii="Garamond" w:hAnsi="Garamond"/>
          <w:sz w:val="24"/>
          <w:szCs w:val="24"/>
        </w:rPr>
        <w:t>VENDOS</w:t>
      </w:r>
      <w:r w:rsidR="00D131FE" w:rsidRPr="00320F47">
        <w:rPr>
          <w:rFonts w:ascii="Garamond" w:hAnsi="Garamond"/>
          <w:sz w:val="24"/>
          <w:szCs w:val="24"/>
        </w:rPr>
        <w:t>I:</w:t>
      </w:r>
    </w:p>
    <w:p w14:paraId="21DD8BEB" w14:textId="77777777" w:rsidR="00A77DE1" w:rsidRPr="00320F47" w:rsidRDefault="00A77DE1" w:rsidP="00A77DE1">
      <w:pPr>
        <w:spacing w:after="0" w:line="240" w:lineRule="auto"/>
        <w:ind w:firstLine="284"/>
        <w:jc w:val="center"/>
        <w:rPr>
          <w:rFonts w:ascii="Garamond" w:hAnsi="Garamond"/>
          <w:b/>
          <w:sz w:val="24"/>
          <w:szCs w:val="24"/>
        </w:rPr>
      </w:pPr>
    </w:p>
    <w:p w14:paraId="5B2D215A" w14:textId="14764E72" w:rsidR="00D131FE" w:rsidRPr="00320F47" w:rsidRDefault="00D131FE" w:rsidP="00A77DE1">
      <w:pPr>
        <w:pStyle w:val="FootnoteText"/>
        <w:tabs>
          <w:tab w:val="left" w:pos="1080"/>
        </w:tabs>
        <w:ind w:firstLine="284"/>
        <w:jc w:val="both"/>
        <w:rPr>
          <w:rFonts w:ascii="Garamond" w:hAnsi="Garamond"/>
          <w:sz w:val="24"/>
          <w:szCs w:val="24"/>
          <w:shd w:val="clear" w:color="auto" w:fill="FFFFFF"/>
          <w:lang w:val="sq-AL"/>
        </w:rPr>
      </w:pPr>
      <w:r w:rsidRPr="00320F47">
        <w:rPr>
          <w:rFonts w:ascii="Garamond" w:hAnsi="Garamond"/>
          <w:sz w:val="24"/>
          <w:szCs w:val="24"/>
          <w:lang w:val="sq-AL"/>
        </w:rPr>
        <w:t>1.</w:t>
      </w:r>
      <w:r w:rsidR="00A77DE1" w:rsidRPr="00320F47">
        <w:rPr>
          <w:rFonts w:ascii="Garamond" w:hAnsi="Garamond"/>
          <w:sz w:val="24"/>
          <w:szCs w:val="24"/>
          <w:lang w:val="sq-AL"/>
        </w:rPr>
        <w:t xml:space="preserve"> </w:t>
      </w:r>
      <w:r w:rsidRPr="00320F47">
        <w:rPr>
          <w:rFonts w:ascii="Garamond" w:hAnsi="Garamond"/>
          <w:sz w:val="24"/>
          <w:szCs w:val="24"/>
          <w:shd w:val="clear" w:color="auto" w:fill="FFFFFF"/>
          <w:lang w:val="sq-AL"/>
        </w:rPr>
        <w:t>Rrëzimin e kërkesës.</w:t>
      </w:r>
    </w:p>
    <w:p w14:paraId="6D65631E" w14:textId="42003E3E" w:rsidR="00D131FE" w:rsidRPr="00320F47" w:rsidRDefault="00A77DE1" w:rsidP="00A77DE1">
      <w:pPr>
        <w:tabs>
          <w:tab w:val="left" w:pos="90"/>
          <w:tab w:val="left" w:pos="720"/>
        </w:tabs>
        <w:spacing w:after="0" w:line="240" w:lineRule="auto"/>
        <w:ind w:firstLine="284"/>
        <w:jc w:val="both"/>
        <w:rPr>
          <w:rFonts w:ascii="Garamond" w:hAnsi="Garamond"/>
          <w:sz w:val="24"/>
          <w:szCs w:val="24"/>
        </w:rPr>
      </w:pPr>
      <w:r w:rsidRPr="00320F47">
        <w:rPr>
          <w:rFonts w:ascii="Garamond" w:hAnsi="Garamond"/>
          <w:sz w:val="24"/>
          <w:szCs w:val="24"/>
        </w:rPr>
        <w:t xml:space="preserve"> </w:t>
      </w:r>
      <w:r w:rsidR="00D131FE" w:rsidRPr="00320F47">
        <w:rPr>
          <w:rFonts w:ascii="Garamond" w:hAnsi="Garamond"/>
          <w:sz w:val="24"/>
          <w:szCs w:val="24"/>
        </w:rPr>
        <w:t>Ky vendim është përfundimtar dhe hyn në fuqi ditën e botimit në Fletoren</w:t>
      </w:r>
      <w:r w:rsidR="00D131FE" w:rsidRPr="00320F47">
        <w:rPr>
          <w:rFonts w:ascii="Garamond" w:hAnsi="Garamond"/>
          <w:b/>
          <w:sz w:val="24"/>
          <w:szCs w:val="24"/>
        </w:rPr>
        <w:t xml:space="preserve"> </w:t>
      </w:r>
      <w:r w:rsidR="00D131FE" w:rsidRPr="00320F47">
        <w:rPr>
          <w:rFonts w:ascii="Garamond" w:hAnsi="Garamond"/>
          <w:sz w:val="24"/>
          <w:szCs w:val="24"/>
        </w:rPr>
        <w:t>Zyrtare.</w:t>
      </w:r>
    </w:p>
    <w:p w14:paraId="6598658A" w14:textId="61F54009" w:rsidR="00D131FE" w:rsidRPr="00320F47" w:rsidRDefault="00A77DE1" w:rsidP="00A77DE1">
      <w:pPr>
        <w:spacing w:after="0" w:line="240" w:lineRule="auto"/>
        <w:ind w:firstLine="284"/>
        <w:jc w:val="both"/>
        <w:rPr>
          <w:rFonts w:ascii="Garamond" w:hAnsi="Garamond"/>
          <w:b/>
          <w:sz w:val="24"/>
          <w:szCs w:val="24"/>
        </w:rPr>
      </w:pPr>
      <w:r w:rsidRPr="00320F47">
        <w:rPr>
          <w:rFonts w:ascii="Garamond" w:hAnsi="Garamond"/>
          <w:b/>
          <w:sz w:val="24"/>
          <w:szCs w:val="24"/>
        </w:rPr>
        <w:t>Marrë më 26.</w:t>
      </w:r>
      <w:r w:rsidR="00D131FE" w:rsidRPr="00320F47">
        <w:rPr>
          <w:rFonts w:ascii="Garamond" w:hAnsi="Garamond"/>
          <w:b/>
          <w:sz w:val="24"/>
          <w:szCs w:val="24"/>
        </w:rPr>
        <w:t>5.2023</w:t>
      </w:r>
      <w:r w:rsidR="00A4515A">
        <w:rPr>
          <w:rFonts w:ascii="Garamond" w:hAnsi="Garamond"/>
          <w:b/>
          <w:sz w:val="24"/>
          <w:szCs w:val="24"/>
        </w:rPr>
        <w:t>.</w:t>
      </w:r>
    </w:p>
    <w:p w14:paraId="227C51DA" w14:textId="18A685B2" w:rsidR="00D131FE" w:rsidRPr="00320F47" w:rsidRDefault="00A77DE1" w:rsidP="00A77DE1">
      <w:pPr>
        <w:spacing w:after="0" w:line="240" w:lineRule="auto"/>
        <w:ind w:firstLine="284"/>
        <w:jc w:val="both"/>
        <w:rPr>
          <w:rFonts w:ascii="Garamond" w:hAnsi="Garamond"/>
          <w:b/>
          <w:sz w:val="24"/>
          <w:szCs w:val="24"/>
        </w:rPr>
      </w:pPr>
      <w:r w:rsidRPr="00320F47">
        <w:rPr>
          <w:rFonts w:ascii="Garamond" w:hAnsi="Garamond"/>
          <w:b/>
          <w:sz w:val="24"/>
          <w:szCs w:val="24"/>
        </w:rPr>
        <w:t>Shpallur më 26.</w:t>
      </w:r>
      <w:r w:rsidR="00D131FE" w:rsidRPr="00320F47">
        <w:rPr>
          <w:rFonts w:ascii="Garamond" w:hAnsi="Garamond"/>
          <w:b/>
          <w:sz w:val="24"/>
          <w:szCs w:val="24"/>
        </w:rPr>
        <w:t>6.2023</w:t>
      </w:r>
      <w:r w:rsidR="00A4515A">
        <w:rPr>
          <w:rFonts w:ascii="Garamond" w:hAnsi="Garamond"/>
          <w:b/>
          <w:sz w:val="24"/>
          <w:szCs w:val="24"/>
        </w:rPr>
        <w:t>.</w:t>
      </w:r>
    </w:p>
    <w:p w14:paraId="165CCF32" w14:textId="77777777" w:rsidR="00D131FE" w:rsidRPr="00320F47" w:rsidRDefault="00D131FE" w:rsidP="00A77DE1">
      <w:pPr>
        <w:spacing w:after="0" w:line="240" w:lineRule="auto"/>
        <w:ind w:firstLine="284"/>
        <w:jc w:val="both"/>
        <w:rPr>
          <w:rFonts w:ascii="Garamond" w:hAnsi="Garamond"/>
          <w:sz w:val="24"/>
          <w:szCs w:val="24"/>
        </w:rPr>
      </w:pPr>
    </w:p>
    <w:p w14:paraId="1A5104FF" w14:textId="559B2EBE" w:rsidR="00A77DE1" w:rsidRPr="00320F47" w:rsidRDefault="00A4515A" w:rsidP="00A77DE1">
      <w:pPr>
        <w:tabs>
          <w:tab w:val="left" w:pos="0"/>
        </w:tabs>
        <w:spacing w:after="0" w:line="240" w:lineRule="auto"/>
        <w:ind w:firstLine="284"/>
        <w:jc w:val="both"/>
        <w:rPr>
          <w:rFonts w:ascii="Garamond" w:hAnsi="Garamond"/>
          <w:sz w:val="24"/>
          <w:szCs w:val="24"/>
        </w:rPr>
      </w:pPr>
      <w:r w:rsidRPr="00A4515A">
        <w:rPr>
          <w:rFonts w:ascii="Garamond" w:hAnsi="Garamond"/>
          <w:b/>
          <w:sz w:val="24"/>
          <w:szCs w:val="24"/>
        </w:rPr>
        <w:t>Kryetare</w:t>
      </w:r>
      <w:r w:rsidR="00A77DE1" w:rsidRPr="00A4515A">
        <w:rPr>
          <w:rFonts w:ascii="Garamond" w:hAnsi="Garamond"/>
          <w:b/>
          <w:sz w:val="24"/>
          <w:szCs w:val="24"/>
        </w:rPr>
        <w:t>:</w:t>
      </w:r>
      <w:r w:rsidR="00A77DE1" w:rsidRPr="00320F47">
        <w:rPr>
          <w:rFonts w:ascii="Garamond" w:hAnsi="Garamond"/>
          <w:b/>
          <w:sz w:val="24"/>
          <w:szCs w:val="24"/>
        </w:rPr>
        <w:t xml:space="preserve"> </w:t>
      </w:r>
      <w:proofErr w:type="spellStart"/>
      <w:r w:rsidR="00A77DE1" w:rsidRPr="00320F47">
        <w:rPr>
          <w:rFonts w:ascii="Garamond" w:hAnsi="Garamond"/>
          <w:sz w:val="24"/>
          <w:szCs w:val="24"/>
        </w:rPr>
        <w:t>Holta</w:t>
      </w:r>
      <w:proofErr w:type="spellEnd"/>
      <w:r w:rsidR="00A77DE1" w:rsidRPr="00320F47">
        <w:rPr>
          <w:rFonts w:ascii="Garamond" w:hAnsi="Garamond"/>
          <w:sz w:val="24"/>
          <w:szCs w:val="24"/>
        </w:rPr>
        <w:t xml:space="preserve"> </w:t>
      </w:r>
      <w:proofErr w:type="spellStart"/>
      <w:r w:rsidR="00A77DE1" w:rsidRPr="00320F47">
        <w:rPr>
          <w:rFonts w:ascii="Garamond" w:hAnsi="Garamond"/>
          <w:sz w:val="24"/>
          <w:szCs w:val="24"/>
        </w:rPr>
        <w:t>Zaçaj</w:t>
      </w:r>
      <w:proofErr w:type="spellEnd"/>
    </w:p>
    <w:p w14:paraId="697C9270" w14:textId="2B412C49" w:rsidR="00D131FE" w:rsidRPr="00320F47" w:rsidRDefault="00A4515A" w:rsidP="00A4515A">
      <w:pPr>
        <w:tabs>
          <w:tab w:val="left" w:pos="0"/>
        </w:tabs>
        <w:spacing w:after="0" w:line="240" w:lineRule="auto"/>
        <w:ind w:firstLine="284"/>
        <w:jc w:val="both"/>
        <w:rPr>
          <w:rFonts w:ascii="Garamond" w:hAnsi="Garamond"/>
          <w:sz w:val="24"/>
          <w:szCs w:val="24"/>
        </w:rPr>
      </w:pPr>
      <w:r w:rsidRPr="00A4515A">
        <w:rPr>
          <w:rFonts w:ascii="Garamond" w:hAnsi="Garamond"/>
          <w:b/>
          <w:sz w:val="24"/>
          <w:szCs w:val="24"/>
        </w:rPr>
        <w:t>Anëtarë</w:t>
      </w:r>
      <w:r w:rsidR="00F44111" w:rsidRPr="00A4515A">
        <w:rPr>
          <w:rFonts w:ascii="Garamond" w:hAnsi="Garamond"/>
          <w:b/>
          <w:sz w:val="24"/>
          <w:szCs w:val="24"/>
        </w:rPr>
        <w:t>:</w:t>
      </w:r>
      <w:r w:rsidR="00F44111" w:rsidRPr="00320F47">
        <w:rPr>
          <w:rFonts w:ascii="Garamond" w:hAnsi="Garamond"/>
          <w:sz w:val="24"/>
          <w:szCs w:val="24"/>
        </w:rPr>
        <w:t xml:space="preserve"> </w:t>
      </w:r>
      <w:proofErr w:type="spellStart"/>
      <w:r w:rsidR="00D131FE" w:rsidRPr="00320F47">
        <w:rPr>
          <w:rFonts w:ascii="Garamond" w:hAnsi="Garamond"/>
          <w:sz w:val="24"/>
          <w:szCs w:val="24"/>
        </w:rPr>
        <w:t>Fiona</w:t>
      </w:r>
      <w:proofErr w:type="spellEnd"/>
      <w:r w:rsidR="00D131FE" w:rsidRPr="00320F47">
        <w:rPr>
          <w:rFonts w:ascii="Garamond" w:hAnsi="Garamond"/>
          <w:sz w:val="24"/>
          <w:szCs w:val="24"/>
        </w:rPr>
        <w:t xml:space="preserve"> </w:t>
      </w:r>
      <w:proofErr w:type="spellStart"/>
      <w:r w:rsidR="00D131FE" w:rsidRPr="00320F47">
        <w:rPr>
          <w:rFonts w:ascii="Garamond" w:hAnsi="Garamond"/>
          <w:sz w:val="24"/>
          <w:szCs w:val="24"/>
        </w:rPr>
        <w:t>Papajorgji</w:t>
      </w:r>
      <w:proofErr w:type="spellEnd"/>
      <w:r w:rsidR="00F44111" w:rsidRPr="00320F47">
        <w:rPr>
          <w:rFonts w:ascii="Garamond" w:hAnsi="Garamond"/>
          <w:sz w:val="24"/>
          <w:szCs w:val="24"/>
        </w:rPr>
        <w:t xml:space="preserve">, </w:t>
      </w:r>
      <w:proofErr w:type="spellStart"/>
      <w:r w:rsidR="00D131FE" w:rsidRPr="00320F47">
        <w:rPr>
          <w:rFonts w:ascii="Garamond" w:hAnsi="Garamond"/>
          <w:sz w:val="24"/>
          <w:szCs w:val="24"/>
        </w:rPr>
        <w:t>Marsida</w:t>
      </w:r>
      <w:proofErr w:type="spellEnd"/>
      <w:r w:rsidR="00D131FE" w:rsidRPr="00320F47">
        <w:rPr>
          <w:rFonts w:ascii="Garamond" w:hAnsi="Garamond"/>
          <w:sz w:val="24"/>
          <w:szCs w:val="24"/>
        </w:rPr>
        <w:t xml:space="preserve"> </w:t>
      </w:r>
      <w:proofErr w:type="spellStart"/>
      <w:r w:rsidR="00D131FE" w:rsidRPr="00320F47">
        <w:rPr>
          <w:rFonts w:ascii="Garamond" w:hAnsi="Garamond"/>
          <w:sz w:val="24"/>
          <w:szCs w:val="24"/>
        </w:rPr>
        <w:t>Xhaferllari</w:t>
      </w:r>
      <w:proofErr w:type="spellEnd"/>
      <w:r w:rsidR="00F44111" w:rsidRPr="00320F47">
        <w:rPr>
          <w:rFonts w:ascii="Garamond" w:hAnsi="Garamond"/>
          <w:sz w:val="24"/>
          <w:szCs w:val="24"/>
        </w:rPr>
        <w:t xml:space="preserve">, </w:t>
      </w:r>
      <w:r w:rsidR="00D131FE" w:rsidRPr="00320F47">
        <w:rPr>
          <w:rFonts w:ascii="Garamond" w:hAnsi="Garamond"/>
          <w:sz w:val="24"/>
          <w:szCs w:val="24"/>
        </w:rPr>
        <w:t>Ilir Toska</w:t>
      </w:r>
      <w:r w:rsidR="00F44111" w:rsidRPr="00320F47">
        <w:rPr>
          <w:rFonts w:ascii="Garamond" w:hAnsi="Garamond"/>
          <w:sz w:val="24"/>
          <w:szCs w:val="24"/>
        </w:rPr>
        <w:t xml:space="preserve">, </w:t>
      </w:r>
      <w:proofErr w:type="spellStart"/>
      <w:r w:rsidR="00D131FE" w:rsidRPr="00320F47">
        <w:rPr>
          <w:rFonts w:ascii="Garamond" w:hAnsi="Garamond"/>
          <w:sz w:val="24"/>
          <w:szCs w:val="24"/>
        </w:rPr>
        <w:t>Sonila</w:t>
      </w:r>
      <w:proofErr w:type="spellEnd"/>
      <w:r w:rsidR="00D131FE" w:rsidRPr="00320F47">
        <w:rPr>
          <w:rFonts w:ascii="Garamond" w:hAnsi="Garamond"/>
          <w:sz w:val="24"/>
          <w:szCs w:val="24"/>
        </w:rPr>
        <w:t xml:space="preserve"> Bejtja</w:t>
      </w:r>
      <w:r w:rsidR="00F44111" w:rsidRPr="00320F47">
        <w:rPr>
          <w:rFonts w:ascii="Garamond" w:hAnsi="Garamond"/>
          <w:sz w:val="24"/>
          <w:szCs w:val="24"/>
        </w:rPr>
        <w:t xml:space="preserve">, </w:t>
      </w:r>
      <w:proofErr w:type="spellStart"/>
      <w:r w:rsidR="00D131FE" w:rsidRPr="00320F47">
        <w:rPr>
          <w:rFonts w:ascii="Garamond" w:hAnsi="Garamond"/>
          <w:sz w:val="24"/>
          <w:szCs w:val="24"/>
        </w:rPr>
        <w:t>Elsa</w:t>
      </w:r>
      <w:proofErr w:type="spellEnd"/>
      <w:r w:rsidR="00D131FE" w:rsidRPr="00320F47">
        <w:rPr>
          <w:rFonts w:ascii="Garamond" w:hAnsi="Garamond"/>
          <w:sz w:val="24"/>
          <w:szCs w:val="24"/>
        </w:rPr>
        <w:t xml:space="preserve"> Toska</w:t>
      </w:r>
      <w:r w:rsidR="00F44111" w:rsidRPr="00320F47">
        <w:rPr>
          <w:rFonts w:ascii="Garamond" w:hAnsi="Garamond"/>
          <w:sz w:val="24"/>
          <w:szCs w:val="24"/>
        </w:rPr>
        <w:t>,</w:t>
      </w:r>
      <w:r w:rsidR="00D131FE" w:rsidRPr="00320F47">
        <w:rPr>
          <w:rFonts w:ascii="Garamond" w:hAnsi="Garamond"/>
          <w:sz w:val="24"/>
          <w:szCs w:val="24"/>
        </w:rPr>
        <w:t xml:space="preserve"> </w:t>
      </w:r>
      <w:proofErr w:type="spellStart"/>
      <w:r w:rsidR="00D131FE" w:rsidRPr="00320F47">
        <w:rPr>
          <w:rFonts w:ascii="Garamond" w:hAnsi="Garamond"/>
          <w:sz w:val="24"/>
          <w:szCs w:val="24"/>
        </w:rPr>
        <w:t>Sandër</w:t>
      </w:r>
      <w:proofErr w:type="spellEnd"/>
      <w:r w:rsidR="00D131FE" w:rsidRPr="00320F47">
        <w:rPr>
          <w:rFonts w:ascii="Garamond" w:hAnsi="Garamond"/>
          <w:sz w:val="24"/>
          <w:szCs w:val="24"/>
        </w:rPr>
        <w:t xml:space="preserve"> Beci</w:t>
      </w:r>
      <w:r w:rsidR="00F44111" w:rsidRPr="00320F47">
        <w:rPr>
          <w:rFonts w:ascii="Garamond" w:hAnsi="Garamond"/>
          <w:sz w:val="24"/>
          <w:szCs w:val="24"/>
        </w:rPr>
        <w:t xml:space="preserve">, </w:t>
      </w:r>
      <w:proofErr w:type="spellStart"/>
      <w:r w:rsidR="00D131FE" w:rsidRPr="00320F47">
        <w:rPr>
          <w:rFonts w:ascii="Garamond" w:hAnsi="Garamond"/>
          <w:sz w:val="24"/>
          <w:szCs w:val="24"/>
        </w:rPr>
        <w:t>Marjana</w:t>
      </w:r>
      <w:proofErr w:type="spellEnd"/>
      <w:r w:rsidR="00D131FE" w:rsidRPr="00320F47">
        <w:rPr>
          <w:rFonts w:ascii="Garamond" w:hAnsi="Garamond"/>
          <w:sz w:val="24"/>
          <w:szCs w:val="24"/>
        </w:rPr>
        <w:t xml:space="preserve"> </w:t>
      </w:r>
      <w:proofErr w:type="spellStart"/>
      <w:r w:rsidR="00D131FE" w:rsidRPr="00320F47">
        <w:rPr>
          <w:rFonts w:ascii="Garamond" w:hAnsi="Garamond"/>
          <w:sz w:val="24"/>
          <w:szCs w:val="24"/>
        </w:rPr>
        <w:t>Semini</w:t>
      </w:r>
      <w:proofErr w:type="spellEnd"/>
      <w:r w:rsidR="00F44111" w:rsidRPr="00320F47">
        <w:rPr>
          <w:rFonts w:ascii="Garamond" w:hAnsi="Garamond"/>
          <w:sz w:val="24"/>
          <w:szCs w:val="24"/>
        </w:rPr>
        <w:t xml:space="preserve">, </w:t>
      </w:r>
      <w:r w:rsidR="00D131FE" w:rsidRPr="00320F47">
        <w:rPr>
          <w:rFonts w:ascii="Garamond" w:hAnsi="Garamond"/>
          <w:sz w:val="24"/>
          <w:szCs w:val="24"/>
        </w:rPr>
        <w:t>Genti Ibrahimi</w:t>
      </w:r>
      <w:bookmarkEnd w:id="0"/>
    </w:p>
    <w:p w14:paraId="6B0AB451" w14:textId="77777777" w:rsidR="00D131FE" w:rsidRPr="00320F47" w:rsidRDefault="00D131FE" w:rsidP="00A77DE1">
      <w:pPr>
        <w:tabs>
          <w:tab w:val="left" w:pos="0"/>
        </w:tabs>
        <w:spacing w:after="0" w:line="240" w:lineRule="auto"/>
        <w:ind w:firstLine="284"/>
        <w:jc w:val="both"/>
        <w:rPr>
          <w:rFonts w:ascii="Garamond" w:hAnsi="Garamond"/>
          <w:sz w:val="24"/>
          <w:szCs w:val="24"/>
        </w:rPr>
      </w:pPr>
    </w:p>
    <w:bookmarkEnd w:id="1"/>
    <w:p w14:paraId="14B47B45" w14:textId="77777777" w:rsidR="00D131FE" w:rsidRPr="00320F47" w:rsidRDefault="00D131FE" w:rsidP="00A77DE1">
      <w:pPr>
        <w:tabs>
          <w:tab w:val="left" w:pos="0"/>
        </w:tabs>
        <w:spacing w:after="0" w:line="240" w:lineRule="auto"/>
        <w:ind w:firstLine="284"/>
        <w:jc w:val="both"/>
        <w:rPr>
          <w:rFonts w:ascii="Garamond" w:hAnsi="Garamond"/>
          <w:sz w:val="24"/>
          <w:szCs w:val="24"/>
        </w:rPr>
      </w:pPr>
    </w:p>
    <w:sectPr w:rsidR="00D131FE" w:rsidRPr="00320F47" w:rsidSect="002012DA">
      <w:headerReference w:type="first" r:id="rId13"/>
      <w:pgSz w:w="12240" w:h="15840"/>
      <w:pgMar w:top="900" w:right="1440" w:bottom="180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50ADC3" w14:textId="77777777" w:rsidR="00A4515A" w:rsidRDefault="00A4515A">
      <w:pPr>
        <w:spacing w:after="0" w:line="240" w:lineRule="auto"/>
      </w:pPr>
      <w:r>
        <w:separator/>
      </w:r>
    </w:p>
  </w:endnote>
  <w:endnote w:type="continuationSeparator" w:id="0">
    <w:p w14:paraId="59F0121B" w14:textId="77777777" w:rsidR="00A4515A" w:rsidRDefault="00A4515A">
      <w:pPr>
        <w:spacing w:after="0" w:line="240" w:lineRule="auto"/>
      </w:pPr>
      <w:r>
        <w:continuationSeparator/>
      </w:r>
    </w:p>
  </w:endnote>
  <w:endnote w:type="continuationNotice" w:id="1">
    <w:p w14:paraId="3FAF4FB2" w14:textId="77777777" w:rsidR="00A4515A" w:rsidRDefault="00A4515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roman"/>
    <w:notTrueType/>
    <w:pitch w:val="fixed"/>
    <w:sig w:usb0="00000000"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AF8977" w14:textId="77777777" w:rsidR="00A4515A" w:rsidRDefault="00A4515A">
      <w:pPr>
        <w:spacing w:after="0" w:line="240" w:lineRule="auto"/>
      </w:pPr>
      <w:r>
        <w:separator/>
      </w:r>
    </w:p>
  </w:footnote>
  <w:footnote w:type="continuationSeparator" w:id="0">
    <w:p w14:paraId="19383E75" w14:textId="77777777" w:rsidR="00A4515A" w:rsidRDefault="00A4515A">
      <w:pPr>
        <w:spacing w:after="0" w:line="240" w:lineRule="auto"/>
      </w:pPr>
      <w:r>
        <w:continuationSeparator/>
      </w:r>
    </w:p>
  </w:footnote>
  <w:footnote w:type="continuationNotice" w:id="1">
    <w:p w14:paraId="098AAD14" w14:textId="77777777" w:rsidR="00A4515A" w:rsidRDefault="00A4515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8BEEB8" w14:textId="77777777" w:rsidR="00A4515A" w:rsidRPr="001B0FC8" w:rsidRDefault="00A4515A" w:rsidP="00D131FE">
    <w:pPr>
      <w:spacing w:after="0" w:line="240" w:lineRule="auto"/>
      <w:ind w:left="6480"/>
      <w:jc w:val="both"/>
      <w:rPr>
        <w:rFonts w:ascii="Times New Roman" w:hAnsi="Times New Roman"/>
        <w:i/>
        <w:sz w:val="20"/>
        <w:szCs w:val="20"/>
        <w:lang w:val="it-IT"/>
      </w:rPr>
    </w:pPr>
    <w:r>
      <w:rPr>
        <w:rFonts w:ascii="Times New Roman" w:hAnsi="Times New Roman"/>
        <w:i/>
        <w:sz w:val="20"/>
        <w:szCs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EB1720"/>
    <w:multiLevelType w:val="multilevel"/>
    <w:tmpl w:val="C91251B2"/>
    <w:lvl w:ilvl="0">
      <w:start w:val="10"/>
      <w:numFmt w:val="decimal"/>
      <w:lvlText w:val="%1."/>
      <w:lvlJc w:val="left"/>
      <w:pPr>
        <w:ind w:left="480" w:hanging="480"/>
      </w:pPr>
      <w:rPr>
        <w:rFonts w:hint="default"/>
        <w:i/>
      </w:rPr>
    </w:lvl>
    <w:lvl w:ilvl="1">
      <w:start w:val="1"/>
      <w:numFmt w:val="decimal"/>
      <w:lvlText w:val="%1.%2."/>
      <w:lvlJc w:val="left"/>
      <w:pPr>
        <w:ind w:left="480" w:hanging="480"/>
      </w:pPr>
      <w:rPr>
        <w:rFonts w:hint="default"/>
        <w:i w:val="0"/>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1" w15:restartNumberingAfterBreak="0">
    <w:nsid w:val="09BB7C82"/>
    <w:multiLevelType w:val="multilevel"/>
    <w:tmpl w:val="FDF659D0"/>
    <w:lvl w:ilvl="0">
      <w:start w:val="10"/>
      <w:numFmt w:val="decimal"/>
      <w:lvlText w:val="%1."/>
      <w:lvlJc w:val="left"/>
      <w:pPr>
        <w:ind w:left="480" w:hanging="480"/>
      </w:pPr>
      <w:rPr>
        <w:rFonts w:hint="default"/>
        <w:i w:val="0"/>
      </w:rPr>
    </w:lvl>
    <w:lvl w:ilvl="1">
      <w:start w:val="1"/>
      <w:numFmt w:val="decimal"/>
      <w:lvlText w:val="%1.%2."/>
      <w:lvlJc w:val="left"/>
      <w:pPr>
        <w:ind w:left="480" w:hanging="48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2" w15:restartNumberingAfterBreak="0">
    <w:nsid w:val="0ECD72A7"/>
    <w:multiLevelType w:val="multilevel"/>
    <w:tmpl w:val="57027D14"/>
    <w:lvl w:ilvl="0">
      <w:start w:val="11"/>
      <w:numFmt w:val="decimal"/>
      <w:lvlText w:val="%1."/>
      <w:lvlJc w:val="left"/>
      <w:pPr>
        <w:ind w:left="1830" w:hanging="480"/>
      </w:pPr>
      <w:rPr>
        <w:rFonts w:ascii="Times New Roman" w:hAnsi="Times New Roman" w:cs="Times New Roman" w:hint="default"/>
        <w:i w:val="0"/>
      </w:rPr>
    </w:lvl>
    <w:lvl w:ilvl="1">
      <w:start w:val="1"/>
      <w:numFmt w:val="decimal"/>
      <w:lvlText w:val="%1.%2."/>
      <w:lvlJc w:val="left"/>
      <w:pPr>
        <w:ind w:left="480" w:hanging="480"/>
      </w:pPr>
      <w:rPr>
        <w:rFonts w:hint="default"/>
        <w:b w:val="0"/>
        <w:i w:val="0"/>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3" w15:restartNumberingAfterBreak="0">
    <w:nsid w:val="15E657CD"/>
    <w:multiLevelType w:val="hybridMultilevel"/>
    <w:tmpl w:val="3CF016E2"/>
    <w:lvl w:ilvl="0" w:tplc="2124EB24">
      <w:start w:val="1"/>
      <w:numFmt w:val="decimal"/>
      <w:lvlText w:val="%1."/>
      <w:lvlJc w:val="left"/>
      <w:pPr>
        <w:ind w:left="720" w:hanging="360"/>
      </w:pPr>
      <w:rPr>
        <w:rFonts w:ascii="Times New Roman" w:eastAsiaTheme="minorHAnsi" w:hAnsi="Times New Roman" w:cstheme="minorBidi"/>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B545EE"/>
    <w:multiLevelType w:val="multilevel"/>
    <w:tmpl w:val="0DC6CA1C"/>
    <w:lvl w:ilvl="0">
      <w:start w:val="14"/>
      <w:numFmt w:val="decimal"/>
      <w:lvlText w:val="%1."/>
      <w:lvlJc w:val="left"/>
      <w:pPr>
        <w:ind w:left="1290" w:hanging="480"/>
      </w:pPr>
      <w:rPr>
        <w:rFonts w:hint="default"/>
        <w:i w:val="0"/>
      </w:rPr>
    </w:lvl>
    <w:lvl w:ilvl="1">
      <w:start w:val="1"/>
      <w:numFmt w:val="decimal"/>
      <w:lvlText w:val="%1.%2."/>
      <w:lvlJc w:val="left"/>
      <w:pPr>
        <w:ind w:left="1560" w:hanging="48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5" w15:restartNumberingAfterBreak="0">
    <w:nsid w:val="18B05D6F"/>
    <w:multiLevelType w:val="multilevel"/>
    <w:tmpl w:val="32A65746"/>
    <w:lvl w:ilvl="0">
      <w:start w:val="11"/>
      <w:numFmt w:val="decimal"/>
      <w:lvlText w:val="%1."/>
      <w:lvlJc w:val="left"/>
      <w:pPr>
        <w:ind w:left="480" w:hanging="480"/>
      </w:pPr>
      <w:rPr>
        <w:rFonts w:hint="default"/>
        <w:i w:val="0"/>
      </w:rPr>
    </w:lvl>
    <w:lvl w:ilvl="1">
      <w:start w:val="1"/>
      <w:numFmt w:val="decimal"/>
      <w:lvlText w:val="%1.%2."/>
      <w:lvlJc w:val="left"/>
      <w:pPr>
        <w:ind w:left="480" w:hanging="48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E6D011B"/>
    <w:multiLevelType w:val="hybridMultilevel"/>
    <w:tmpl w:val="1E4C93C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9902DAC"/>
    <w:multiLevelType w:val="multilevel"/>
    <w:tmpl w:val="4F7EF0A0"/>
    <w:lvl w:ilvl="0">
      <w:start w:val="11"/>
      <w:numFmt w:val="decimal"/>
      <w:lvlText w:val="%1."/>
      <w:lvlJc w:val="left"/>
      <w:pPr>
        <w:ind w:left="480" w:hanging="480"/>
      </w:pPr>
      <w:rPr>
        <w:rFonts w:hint="default"/>
        <w:i w:val="0"/>
      </w:rPr>
    </w:lvl>
    <w:lvl w:ilvl="1">
      <w:start w:val="1"/>
      <w:numFmt w:val="decimal"/>
      <w:lvlText w:val="%1.%2."/>
      <w:lvlJc w:val="left"/>
      <w:pPr>
        <w:ind w:left="480" w:hanging="48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8" w15:restartNumberingAfterBreak="0">
    <w:nsid w:val="2BFC268F"/>
    <w:multiLevelType w:val="hybridMultilevel"/>
    <w:tmpl w:val="D612F94E"/>
    <w:lvl w:ilvl="0" w:tplc="CB74D12C">
      <w:start w:val="1"/>
      <w:numFmt w:val="upperLetter"/>
      <w:lvlText w:val="%1."/>
      <w:lvlJc w:val="left"/>
      <w:pPr>
        <w:ind w:left="1350" w:hanging="360"/>
      </w:pPr>
      <w:rPr>
        <w:rFonts w:hint="default"/>
        <w:b w:val="0"/>
        <w:i/>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9" w15:restartNumberingAfterBreak="0">
    <w:nsid w:val="33D47E87"/>
    <w:multiLevelType w:val="multilevel"/>
    <w:tmpl w:val="7CEAB856"/>
    <w:lvl w:ilvl="0">
      <w:start w:val="11"/>
      <w:numFmt w:val="decimal"/>
      <w:lvlText w:val="%1."/>
      <w:lvlJc w:val="left"/>
      <w:pPr>
        <w:ind w:left="480" w:hanging="480"/>
      </w:pPr>
      <w:rPr>
        <w:rFonts w:hint="default"/>
        <w:i w:val="0"/>
      </w:rPr>
    </w:lvl>
    <w:lvl w:ilvl="1">
      <w:start w:val="1"/>
      <w:numFmt w:val="decimal"/>
      <w:lvlText w:val="%1.%2."/>
      <w:lvlJc w:val="left"/>
      <w:pPr>
        <w:ind w:left="480" w:hanging="480"/>
      </w:pPr>
      <w:rPr>
        <w:rFonts w:hint="default"/>
        <w:i w:val="0"/>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10" w15:restartNumberingAfterBreak="0">
    <w:nsid w:val="36F21243"/>
    <w:multiLevelType w:val="hybridMultilevel"/>
    <w:tmpl w:val="7378470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8875A10"/>
    <w:multiLevelType w:val="hybridMultilevel"/>
    <w:tmpl w:val="9482A732"/>
    <w:lvl w:ilvl="0" w:tplc="18FCD47E">
      <w:start w:val="1"/>
      <w:numFmt w:val="decimal"/>
      <w:lvlText w:val="%1."/>
      <w:lvlJc w:val="left"/>
      <w:pPr>
        <w:ind w:left="1080" w:hanging="360"/>
      </w:pPr>
      <w:rPr>
        <w:rFonts w:eastAsia="MS Mincho"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1B15BD4"/>
    <w:multiLevelType w:val="multilevel"/>
    <w:tmpl w:val="C4CAF1B4"/>
    <w:lvl w:ilvl="0">
      <w:start w:val="18"/>
      <w:numFmt w:val="decimal"/>
      <w:lvlText w:val="%1."/>
      <w:lvlJc w:val="left"/>
      <w:pPr>
        <w:ind w:left="1200" w:hanging="480"/>
      </w:pPr>
      <w:rPr>
        <w:rFonts w:ascii="Times New Roman" w:hAnsi="Times New Roman" w:cs="Times New Roman" w:hint="default"/>
        <w:b w:val="0"/>
        <w:i w:val="0"/>
        <w:sz w:val="24"/>
        <w:szCs w:val="24"/>
      </w:rPr>
    </w:lvl>
    <w:lvl w:ilvl="1">
      <w:start w:val="1"/>
      <w:numFmt w:val="decimal"/>
      <w:lvlText w:val="%1.%2."/>
      <w:lvlJc w:val="left"/>
      <w:pPr>
        <w:ind w:left="480" w:hanging="480"/>
      </w:pPr>
      <w:rPr>
        <w:rFonts w:hint="default"/>
        <w:i w:val="0"/>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13" w15:restartNumberingAfterBreak="0">
    <w:nsid w:val="42A611DE"/>
    <w:multiLevelType w:val="hybridMultilevel"/>
    <w:tmpl w:val="BBCAC74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43554F6A"/>
    <w:multiLevelType w:val="multilevel"/>
    <w:tmpl w:val="DAB87352"/>
    <w:lvl w:ilvl="0">
      <w:start w:val="1"/>
      <w:numFmt w:val="decimal"/>
      <w:lvlText w:val="%1."/>
      <w:lvlJc w:val="left"/>
      <w:pPr>
        <w:ind w:left="3870" w:hanging="360"/>
      </w:pPr>
      <w:rPr>
        <w:rFonts w:ascii="Times New Roman" w:hAnsi="Times New Roman" w:cs="Times New Roman" w:hint="default"/>
        <w:i w:val="0"/>
        <w:sz w:val="24"/>
        <w:szCs w:val="24"/>
      </w:rPr>
    </w:lvl>
    <w:lvl w:ilvl="1">
      <w:start w:val="1"/>
      <w:numFmt w:val="decimal"/>
      <w:isLgl/>
      <w:lvlText w:val="%1.%2."/>
      <w:lvlJc w:val="left"/>
      <w:pPr>
        <w:ind w:left="720" w:hanging="360"/>
      </w:pPr>
      <w:rPr>
        <w:rFonts w:ascii="Times New Roman" w:hAnsi="Times New Roman" w:cs="Times New Roman" w:hint="default"/>
        <w:i w:val="0"/>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5" w15:restartNumberingAfterBreak="0">
    <w:nsid w:val="439A2A78"/>
    <w:multiLevelType w:val="multilevel"/>
    <w:tmpl w:val="141CC0CA"/>
    <w:lvl w:ilvl="0">
      <w:start w:val="10"/>
      <w:numFmt w:val="decimal"/>
      <w:lvlText w:val="%1."/>
      <w:lvlJc w:val="left"/>
      <w:pPr>
        <w:ind w:left="480" w:hanging="480"/>
      </w:pPr>
      <w:rPr>
        <w:rFonts w:hint="default"/>
        <w:b w:val="0"/>
        <w:i w:val="0"/>
      </w:rPr>
    </w:lvl>
    <w:lvl w:ilvl="1">
      <w:start w:val="1"/>
      <w:numFmt w:val="decimal"/>
      <w:lvlText w:val="%1.%2."/>
      <w:lvlJc w:val="left"/>
      <w:pPr>
        <w:ind w:left="480" w:hanging="48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16" w15:restartNumberingAfterBreak="0">
    <w:nsid w:val="446E667C"/>
    <w:multiLevelType w:val="multilevel"/>
    <w:tmpl w:val="57027D14"/>
    <w:lvl w:ilvl="0">
      <w:start w:val="11"/>
      <w:numFmt w:val="decimal"/>
      <w:lvlText w:val="%1."/>
      <w:lvlJc w:val="left"/>
      <w:pPr>
        <w:ind w:left="1830" w:hanging="480"/>
      </w:pPr>
      <w:rPr>
        <w:rFonts w:ascii="Times New Roman" w:hAnsi="Times New Roman" w:cs="Times New Roman" w:hint="default"/>
        <w:i w:val="0"/>
      </w:rPr>
    </w:lvl>
    <w:lvl w:ilvl="1">
      <w:start w:val="1"/>
      <w:numFmt w:val="decimal"/>
      <w:lvlText w:val="%1.%2."/>
      <w:lvlJc w:val="left"/>
      <w:pPr>
        <w:ind w:left="480" w:hanging="480"/>
      </w:pPr>
      <w:rPr>
        <w:rFonts w:hint="default"/>
        <w:b w:val="0"/>
        <w:i w:val="0"/>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17" w15:restartNumberingAfterBreak="0">
    <w:nsid w:val="461D04A9"/>
    <w:multiLevelType w:val="multilevel"/>
    <w:tmpl w:val="992E167A"/>
    <w:lvl w:ilvl="0">
      <w:start w:val="1"/>
      <w:numFmt w:val="decimal"/>
      <w:lvlText w:val="%1."/>
      <w:lvlJc w:val="left"/>
      <w:pPr>
        <w:ind w:left="1080" w:hanging="360"/>
      </w:pPr>
      <w:rPr>
        <w:rFonts w:ascii="Times New Roman" w:hAnsi="Times New Roman" w:cs="Times New Roman" w:hint="default"/>
        <w:b w:val="0"/>
        <w:i w:val="0"/>
        <w:color w:val="auto"/>
      </w:rPr>
    </w:lvl>
    <w:lvl w:ilvl="1">
      <w:start w:val="1"/>
      <w:numFmt w:val="decimal"/>
      <w:isLgl/>
      <w:lvlText w:val="%1.%2."/>
      <w:lvlJc w:val="left"/>
      <w:pPr>
        <w:ind w:left="720" w:hanging="360"/>
      </w:pPr>
      <w:rPr>
        <w:rFonts w:hint="default"/>
        <w:b w:val="0"/>
        <w:i w:val="0"/>
      </w:rPr>
    </w:lvl>
    <w:lvl w:ilvl="2">
      <w:start w:val="1"/>
      <w:numFmt w:val="decimal"/>
      <w:isLgl/>
      <w:lvlText w:val="%1.%2.%3."/>
      <w:lvlJc w:val="left"/>
      <w:pPr>
        <w:ind w:left="1080" w:hanging="720"/>
      </w:pPr>
      <w:rPr>
        <w:rFonts w:hint="default"/>
        <w:i/>
      </w:rPr>
    </w:lvl>
    <w:lvl w:ilvl="3">
      <w:start w:val="1"/>
      <w:numFmt w:val="decimal"/>
      <w:isLgl/>
      <w:lvlText w:val="%1.%2.%3.%4."/>
      <w:lvlJc w:val="left"/>
      <w:pPr>
        <w:ind w:left="1080" w:hanging="72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18" w15:restartNumberingAfterBreak="0">
    <w:nsid w:val="494344CF"/>
    <w:multiLevelType w:val="multilevel"/>
    <w:tmpl w:val="D0F029D4"/>
    <w:lvl w:ilvl="0">
      <w:start w:val="1"/>
      <w:numFmt w:val="decimal"/>
      <w:lvlText w:val="%1."/>
      <w:lvlJc w:val="left"/>
      <w:pPr>
        <w:ind w:left="810" w:hanging="360"/>
      </w:pPr>
      <w:rPr>
        <w:rFonts w:hint="default"/>
        <w:i w:val="0"/>
      </w:rPr>
    </w:lvl>
    <w:lvl w:ilvl="1">
      <w:start w:val="1"/>
      <w:numFmt w:val="decimal"/>
      <w:isLgl/>
      <w:lvlText w:val="%1.%2."/>
      <w:lvlJc w:val="left"/>
      <w:pPr>
        <w:ind w:left="1080" w:hanging="360"/>
      </w:pPr>
      <w:rPr>
        <w:rFonts w:hint="default"/>
        <w:i w:val="0"/>
      </w:rPr>
    </w:lvl>
    <w:lvl w:ilvl="2">
      <w:start w:val="1"/>
      <w:numFmt w:val="decimal"/>
      <w:isLgl/>
      <w:lvlText w:val="%1.%2.%3."/>
      <w:lvlJc w:val="left"/>
      <w:pPr>
        <w:ind w:left="1440" w:hanging="720"/>
      </w:pPr>
      <w:rPr>
        <w:rFonts w:hint="default"/>
        <w:i w:val="0"/>
      </w:rPr>
    </w:lvl>
    <w:lvl w:ilvl="3">
      <w:start w:val="1"/>
      <w:numFmt w:val="decimal"/>
      <w:isLgl/>
      <w:lvlText w:val="%1.%2.%3.%4."/>
      <w:lvlJc w:val="left"/>
      <w:pPr>
        <w:ind w:left="1440" w:hanging="720"/>
      </w:pPr>
      <w:rPr>
        <w:rFonts w:hint="default"/>
        <w:i/>
      </w:rPr>
    </w:lvl>
    <w:lvl w:ilvl="4">
      <w:start w:val="1"/>
      <w:numFmt w:val="decimal"/>
      <w:isLgl/>
      <w:lvlText w:val="%1.%2.%3.%4.%5."/>
      <w:lvlJc w:val="left"/>
      <w:pPr>
        <w:ind w:left="1800" w:hanging="1080"/>
      </w:pPr>
      <w:rPr>
        <w:rFonts w:hint="default"/>
        <w:i/>
      </w:rPr>
    </w:lvl>
    <w:lvl w:ilvl="5">
      <w:start w:val="1"/>
      <w:numFmt w:val="decimal"/>
      <w:isLgl/>
      <w:lvlText w:val="%1.%2.%3.%4.%5.%6."/>
      <w:lvlJc w:val="left"/>
      <w:pPr>
        <w:ind w:left="1800" w:hanging="1080"/>
      </w:pPr>
      <w:rPr>
        <w:rFonts w:hint="default"/>
        <w:i/>
      </w:rPr>
    </w:lvl>
    <w:lvl w:ilvl="6">
      <w:start w:val="1"/>
      <w:numFmt w:val="decimal"/>
      <w:isLgl/>
      <w:lvlText w:val="%1.%2.%3.%4.%5.%6.%7."/>
      <w:lvlJc w:val="left"/>
      <w:pPr>
        <w:ind w:left="2160" w:hanging="1440"/>
      </w:pPr>
      <w:rPr>
        <w:rFonts w:hint="default"/>
        <w:i/>
      </w:rPr>
    </w:lvl>
    <w:lvl w:ilvl="7">
      <w:start w:val="1"/>
      <w:numFmt w:val="decimal"/>
      <w:isLgl/>
      <w:lvlText w:val="%1.%2.%3.%4.%5.%6.%7.%8."/>
      <w:lvlJc w:val="left"/>
      <w:pPr>
        <w:ind w:left="2160" w:hanging="1440"/>
      </w:pPr>
      <w:rPr>
        <w:rFonts w:hint="default"/>
        <w:i/>
      </w:rPr>
    </w:lvl>
    <w:lvl w:ilvl="8">
      <w:start w:val="1"/>
      <w:numFmt w:val="decimal"/>
      <w:isLgl/>
      <w:lvlText w:val="%1.%2.%3.%4.%5.%6.%7.%8.%9."/>
      <w:lvlJc w:val="left"/>
      <w:pPr>
        <w:ind w:left="2520" w:hanging="1800"/>
      </w:pPr>
      <w:rPr>
        <w:rFonts w:hint="default"/>
        <w:i/>
      </w:rPr>
    </w:lvl>
  </w:abstractNum>
  <w:abstractNum w:abstractNumId="19" w15:restartNumberingAfterBreak="0">
    <w:nsid w:val="4B3E3BC6"/>
    <w:multiLevelType w:val="hybridMultilevel"/>
    <w:tmpl w:val="7EC61846"/>
    <w:lvl w:ilvl="0" w:tplc="7332A6A8">
      <w:start w:val="1"/>
      <w:numFmt w:val="decimal"/>
      <w:lvlText w:val="%1."/>
      <w:lvlJc w:val="left"/>
      <w:pPr>
        <w:ind w:left="1080" w:hanging="360"/>
      </w:pPr>
      <w:rPr>
        <w:rFonts w:ascii="Times New Roman" w:eastAsia="Calibri" w:hAnsi="Times New Roman" w:cs="Times New Roman"/>
        <w:b w:val="0"/>
        <w:i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EB5498C"/>
    <w:multiLevelType w:val="hybridMultilevel"/>
    <w:tmpl w:val="4E80E6CE"/>
    <w:lvl w:ilvl="0" w:tplc="2830372C">
      <w:start w:val="1"/>
      <w:numFmt w:val="decimal"/>
      <w:lvlText w:val="%1."/>
      <w:lvlJc w:val="left"/>
      <w:pPr>
        <w:ind w:left="720" w:hanging="360"/>
      </w:pPr>
      <w:rPr>
        <w:b w:val="0"/>
        <w:i w:val="0"/>
      </w:r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1" w15:restartNumberingAfterBreak="0">
    <w:nsid w:val="50093014"/>
    <w:multiLevelType w:val="hybridMultilevel"/>
    <w:tmpl w:val="4DBCB7F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639151E"/>
    <w:multiLevelType w:val="multilevel"/>
    <w:tmpl w:val="18166028"/>
    <w:lvl w:ilvl="0">
      <w:start w:val="8"/>
      <w:numFmt w:val="decimal"/>
      <w:lvlText w:val="%1."/>
      <w:lvlJc w:val="left"/>
      <w:pPr>
        <w:ind w:left="360" w:hanging="360"/>
      </w:pPr>
      <w:rPr>
        <w:rFonts w:hint="default"/>
        <w:i w:val="0"/>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23" w15:restartNumberingAfterBreak="0">
    <w:nsid w:val="597A5C49"/>
    <w:multiLevelType w:val="hybridMultilevel"/>
    <w:tmpl w:val="1F16FC22"/>
    <w:lvl w:ilvl="0" w:tplc="4336FA92">
      <w:start w:val="1"/>
      <w:numFmt w:val="decimal"/>
      <w:lvlText w:val="%1."/>
      <w:lvlJc w:val="left"/>
      <w:pPr>
        <w:ind w:left="720" w:hanging="360"/>
      </w:pPr>
      <w:rPr>
        <w:rFonts w:ascii="Times New Roman" w:hAnsi="Times New Roman" w:cs="Times New Roman" w:hint="default"/>
        <w:b w:val="0"/>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15:restartNumberingAfterBreak="0">
    <w:nsid w:val="5C9206DA"/>
    <w:multiLevelType w:val="multilevel"/>
    <w:tmpl w:val="4692BE6A"/>
    <w:lvl w:ilvl="0">
      <w:start w:val="1"/>
      <w:numFmt w:val="decimal"/>
      <w:lvlText w:val="%1."/>
      <w:lvlJc w:val="left"/>
      <w:pPr>
        <w:ind w:left="990" w:hanging="360"/>
      </w:pPr>
      <w:rPr>
        <w:rFonts w:ascii="Times New Roman" w:eastAsia="Calibri" w:hAnsi="Times New Roman" w:cs="Times New Roman" w:hint="default"/>
        <w:b w:val="0"/>
        <w:i w:val="0"/>
        <w:strike w:val="0"/>
        <w:color w:val="auto"/>
      </w:rPr>
    </w:lvl>
    <w:lvl w:ilvl="1">
      <w:start w:val="1"/>
      <w:numFmt w:val="decimal"/>
      <w:isLgl/>
      <w:lvlText w:val="%1.%2."/>
      <w:lvlJc w:val="left"/>
      <w:pPr>
        <w:ind w:left="1125" w:hanging="405"/>
      </w:pPr>
      <w:rPr>
        <w:rFonts w:hint="default"/>
        <w:b w:val="0"/>
        <w:i w:val="0"/>
      </w:rPr>
    </w:lvl>
    <w:lvl w:ilvl="2">
      <w:start w:val="1"/>
      <w:numFmt w:val="decimal"/>
      <w:isLgl/>
      <w:lvlText w:val="%1.%2.%3"/>
      <w:lvlJc w:val="left"/>
      <w:pPr>
        <w:ind w:left="1800" w:hanging="720"/>
      </w:pPr>
      <w:rPr>
        <w:rFonts w:hint="default"/>
        <w:i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5" w15:restartNumberingAfterBreak="0">
    <w:nsid w:val="5D8C1235"/>
    <w:multiLevelType w:val="multilevel"/>
    <w:tmpl w:val="CD50218A"/>
    <w:lvl w:ilvl="0">
      <w:start w:val="12"/>
      <w:numFmt w:val="decimal"/>
      <w:lvlText w:val="%1."/>
      <w:lvlJc w:val="left"/>
      <w:pPr>
        <w:ind w:left="480" w:hanging="480"/>
      </w:pPr>
      <w:rPr>
        <w:rFonts w:hint="default"/>
        <w:b w:val="0"/>
      </w:rPr>
    </w:lvl>
    <w:lvl w:ilvl="1">
      <w:start w:val="1"/>
      <w:numFmt w:val="decimal"/>
      <w:lvlText w:val="%1.%2."/>
      <w:lvlJc w:val="left"/>
      <w:pPr>
        <w:ind w:left="480" w:hanging="480"/>
      </w:pPr>
      <w:rPr>
        <w:rFonts w:hint="default"/>
        <w:b w:val="0"/>
        <w:i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6" w15:restartNumberingAfterBreak="0">
    <w:nsid w:val="66797938"/>
    <w:multiLevelType w:val="hybridMultilevel"/>
    <w:tmpl w:val="06182C74"/>
    <w:lvl w:ilvl="0" w:tplc="041C0015">
      <w:start w:val="1"/>
      <w:numFmt w:val="upp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7" w15:restartNumberingAfterBreak="0">
    <w:nsid w:val="69DC7C7A"/>
    <w:multiLevelType w:val="hybridMultilevel"/>
    <w:tmpl w:val="00F61CDC"/>
    <w:lvl w:ilvl="0" w:tplc="9336226C">
      <w:start w:val="1"/>
      <w:numFmt w:val="decimal"/>
      <w:lvlText w:val="%1."/>
      <w:lvlJc w:val="left"/>
      <w:pPr>
        <w:ind w:left="4320" w:hanging="360"/>
      </w:pPr>
      <w:rPr>
        <w:i w:val="0"/>
      </w:rPr>
    </w:lvl>
    <w:lvl w:ilvl="1" w:tplc="041C0019">
      <w:start w:val="1"/>
      <w:numFmt w:val="lowerLetter"/>
      <w:lvlText w:val="%2."/>
      <w:lvlJc w:val="left"/>
      <w:pPr>
        <w:ind w:left="1800" w:hanging="360"/>
      </w:pPr>
    </w:lvl>
    <w:lvl w:ilvl="2" w:tplc="041C001B">
      <w:start w:val="1"/>
      <w:numFmt w:val="lowerRoman"/>
      <w:lvlText w:val="%3."/>
      <w:lvlJc w:val="right"/>
      <w:pPr>
        <w:ind w:left="2520" w:hanging="180"/>
      </w:pPr>
    </w:lvl>
    <w:lvl w:ilvl="3" w:tplc="041C000F">
      <w:start w:val="1"/>
      <w:numFmt w:val="decimal"/>
      <w:lvlText w:val="%4."/>
      <w:lvlJc w:val="left"/>
      <w:pPr>
        <w:ind w:left="3240" w:hanging="360"/>
      </w:pPr>
    </w:lvl>
    <w:lvl w:ilvl="4" w:tplc="041C0019">
      <w:start w:val="1"/>
      <w:numFmt w:val="lowerLetter"/>
      <w:lvlText w:val="%5."/>
      <w:lvlJc w:val="left"/>
      <w:pPr>
        <w:ind w:left="3960" w:hanging="360"/>
      </w:pPr>
    </w:lvl>
    <w:lvl w:ilvl="5" w:tplc="041C001B">
      <w:start w:val="1"/>
      <w:numFmt w:val="lowerRoman"/>
      <w:lvlText w:val="%6."/>
      <w:lvlJc w:val="right"/>
      <w:pPr>
        <w:ind w:left="4680" w:hanging="180"/>
      </w:pPr>
    </w:lvl>
    <w:lvl w:ilvl="6" w:tplc="041C000F">
      <w:start w:val="1"/>
      <w:numFmt w:val="decimal"/>
      <w:lvlText w:val="%7."/>
      <w:lvlJc w:val="left"/>
      <w:pPr>
        <w:ind w:left="5400" w:hanging="360"/>
      </w:pPr>
    </w:lvl>
    <w:lvl w:ilvl="7" w:tplc="041C0019">
      <w:start w:val="1"/>
      <w:numFmt w:val="lowerLetter"/>
      <w:lvlText w:val="%8."/>
      <w:lvlJc w:val="left"/>
      <w:pPr>
        <w:ind w:left="6120" w:hanging="360"/>
      </w:pPr>
    </w:lvl>
    <w:lvl w:ilvl="8" w:tplc="041C001B">
      <w:start w:val="1"/>
      <w:numFmt w:val="lowerRoman"/>
      <w:lvlText w:val="%9."/>
      <w:lvlJc w:val="right"/>
      <w:pPr>
        <w:ind w:left="6840" w:hanging="180"/>
      </w:pPr>
    </w:lvl>
  </w:abstractNum>
  <w:abstractNum w:abstractNumId="28" w15:restartNumberingAfterBreak="0">
    <w:nsid w:val="6BDE715A"/>
    <w:multiLevelType w:val="hybridMultilevel"/>
    <w:tmpl w:val="222C68D2"/>
    <w:lvl w:ilvl="0" w:tplc="0409000F">
      <w:start w:val="2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CA12E87"/>
    <w:multiLevelType w:val="hybridMultilevel"/>
    <w:tmpl w:val="B7D4D170"/>
    <w:lvl w:ilvl="0" w:tplc="4CC48A22">
      <w:start w:val="1"/>
      <w:numFmt w:val="upperLetter"/>
      <w:lvlText w:val="%1."/>
      <w:lvlJc w:val="left"/>
      <w:pPr>
        <w:ind w:left="1080" w:hanging="360"/>
      </w:pPr>
      <w:rPr>
        <w:rFonts w:eastAsia="Calibri"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CBB0C8E"/>
    <w:multiLevelType w:val="multilevel"/>
    <w:tmpl w:val="47E0C064"/>
    <w:lvl w:ilvl="0">
      <w:start w:val="8"/>
      <w:numFmt w:val="decimal"/>
      <w:lvlText w:val="%1."/>
      <w:lvlJc w:val="left"/>
      <w:pPr>
        <w:ind w:left="360" w:hanging="360"/>
      </w:pPr>
      <w:rPr>
        <w:rFonts w:hint="default"/>
        <w:i w:val="0"/>
      </w:rPr>
    </w:lvl>
    <w:lvl w:ilvl="1">
      <w:start w:val="1"/>
      <w:numFmt w:val="decimal"/>
      <w:lvlText w:val="%1.%2."/>
      <w:lvlJc w:val="left"/>
      <w:pPr>
        <w:ind w:left="360" w:hanging="360"/>
      </w:pPr>
      <w:rPr>
        <w:rFonts w:hint="default"/>
        <w:b w:val="0"/>
        <w:i w:val="0"/>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31" w15:restartNumberingAfterBreak="0">
    <w:nsid w:val="6FF27152"/>
    <w:multiLevelType w:val="multilevel"/>
    <w:tmpl w:val="FD5C56F6"/>
    <w:lvl w:ilvl="0">
      <w:start w:val="1"/>
      <w:numFmt w:val="decimal"/>
      <w:lvlText w:val="%1."/>
      <w:lvlJc w:val="left"/>
      <w:pPr>
        <w:ind w:left="720" w:hanging="360"/>
      </w:pPr>
      <w:rPr>
        <w:b w:val="0"/>
        <w:i w:val="0"/>
      </w:rPr>
    </w:lvl>
    <w:lvl w:ilvl="1">
      <w:start w:val="1"/>
      <w:numFmt w:val="decimal"/>
      <w:isLgl/>
      <w:lvlText w:val="%1.%2."/>
      <w:lvlJc w:val="left"/>
      <w:pPr>
        <w:ind w:left="1260" w:hanging="480"/>
      </w:pPr>
      <w:rPr>
        <w:rFonts w:hint="default"/>
        <w:i w:val="0"/>
      </w:rPr>
    </w:lvl>
    <w:lvl w:ilvl="2">
      <w:start w:val="1"/>
      <w:numFmt w:val="decimal"/>
      <w:isLgl/>
      <w:lvlText w:val="%1.%2.%3."/>
      <w:lvlJc w:val="left"/>
      <w:pPr>
        <w:ind w:left="1920" w:hanging="720"/>
      </w:pPr>
      <w:rPr>
        <w:rFonts w:hint="default"/>
      </w:rPr>
    </w:lvl>
    <w:lvl w:ilvl="3">
      <w:start w:val="1"/>
      <w:numFmt w:val="decimal"/>
      <w:isLgl/>
      <w:lvlText w:val="%1.%2.%3.%4."/>
      <w:lvlJc w:val="left"/>
      <w:pPr>
        <w:ind w:left="2340" w:hanging="720"/>
      </w:pPr>
      <w:rPr>
        <w:rFonts w:hint="default"/>
      </w:rPr>
    </w:lvl>
    <w:lvl w:ilvl="4">
      <w:start w:val="1"/>
      <w:numFmt w:val="decimal"/>
      <w:isLgl/>
      <w:lvlText w:val="%1.%2.%3.%4.%5."/>
      <w:lvlJc w:val="left"/>
      <w:pPr>
        <w:ind w:left="3120" w:hanging="1080"/>
      </w:pPr>
      <w:rPr>
        <w:rFonts w:hint="default"/>
      </w:rPr>
    </w:lvl>
    <w:lvl w:ilvl="5">
      <w:start w:val="1"/>
      <w:numFmt w:val="decimal"/>
      <w:isLgl/>
      <w:lvlText w:val="%1.%2.%3.%4.%5.%6."/>
      <w:lvlJc w:val="left"/>
      <w:pPr>
        <w:ind w:left="354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740" w:hanging="1440"/>
      </w:pPr>
      <w:rPr>
        <w:rFonts w:hint="default"/>
      </w:rPr>
    </w:lvl>
    <w:lvl w:ilvl="8">
      <w:start w:val="1"/>
      <w:numFmt w:val="decimal"/>
      <w:isLgl/>
      <w:lvlText w:val="%1.%2.%3.%4.%5.%6.%7.%8.%9."/>
      <w:lvlJc w:val="left"/>
      <w:pPr>
        <w:ind w:left="5520" w:hanging="1800"/>
      </w:pPr>
      <w:rPr>
        <w:rFonts w:hint="default"/>
      </w:rPr>
    </w:lvl>
  </w:abstractNum>
  <w:abstractNum w:abstractNumId="32" w15:restartNumberingAfterBreak="0">
    <w:nsid w:val="768B78E7"/>
    <w:multiLevelType w:val="multilevel"/>
    <w:tmpl w:val="5F78E14C"/>
    <w:lvl w:ilvl="0">
      <w:start w:val="10"/>
      <w:numFmt w:val="decimal"/>
      <w:lvlText w:val="%1."/>
      <w:lvlJc w:val="left"/>
      <w:pPr>
        <w:ind w:left="5790" w:hanging="480"/>
      </w:pPr>
      <w:rPr>
        <w:i w:val="0"/>
      </w:rPr>
    </w:lvl>
    <w:lvl w:ilvl="1">
      <w:start w:val="1"/>
      <w:numFmt w:val="decimal"/>
      <w:lvlText w:val="%1.%2."/>
      <w:lvlJc w:val="left"/>
      <w:pPr>
        <w:ind w:left="4170" w:hanging="480"/>
      </w:pPr>
      <w:rPr>
        <w:i w:val="0"/>
      </w:rPr>
    </w:lvl>
    <w:lvl w:ilvl="2">
      <w:start w:val="1"/>
      <w:numFmt w:val="decimal"/>
      <w:lvlText w:val="%1.%2.%3."/>
      <w:lvlJc w:val="left"/>
      <w:pPr>
        <w:ind w:left="12150" w:hanging="720"/>
      </w:pPr>
      <w:rPr>
        <w:i w:val="0"/>
      </w:rPr>
    </w:lvl>
    <w:lvl w:ilvl="3">
      <w:start w:val="1"/>
      <w:numFmt w:val="decimal"/>
      <w:lvlText w:val="%1.%2.%3.%4."/>
      <w:lvlJc w:val="left"/>
      <w:pPr>
        <w:ind w:left="4410" w:hanging="720"/>
      </w:pPr>
      <w:rPr>
        <w:i/>
      </w:rPr>
    </w:lvl>
    <w:lvl w:ilvl="4">
      <w:start w:val="1"/>
      <w:numFmt w:val="decimal"/>
      <w:lvlText w:val="%1.%2.%3.%4.%5."/>
      <w:lvlJc w:val="left"/>
      <w:pPr>
        <w:ind w:left="4770" w:hanging="1080"/>
      </w:pPr>
      <w:rPr>
        <w:i/>
      </w:rPr>
    </w:lvl>
    <w:lvl w:ilvl="5">
      <w:start w:val="1"/>
      <w:numFmt w:val="decimal"/>
      <w:lvlText w:val="%1.%2.%3.%4.%5.%6."/>
      <w:lvlJc w:val="left"/>
      <w:pPr>
        <w:ind w:left="4770" w:hanging="1080"/>
      </w:pPr>
      <w:rPr>
        <w:i/>
      </w:rPr>
    </w:lvl>
    <w:lvl w:ilvl="6">
      <w:start w:val="1"/>
      <w:numFmt w:val="decimal"/>
      <w:lvlText w:val="%1.%2.%3.%4.%5.%6.%7."/>
      <w:lvlJc w:val="left"/>
      <w:pPr>
        <w:ind w:left="5130" w:hanging="1440"/>
      </w:pPr>
      <w:rPr>
        <w:i/>
      </w:rPr>
    </w:lvl>
    <w:lvl w:ilvl="7">
      <w:start w:val="1"/>
      <w:numFmt w:val="decimal"/>
      <w:lvlText w:val="%1.%2.%3.%4.%5.%6.%7.%8."/>
      <w:lvlJc w:val="left"/>
      <w:pPr>
        <w:ind w:left="5130" w:hanging="1440"/>
      </w:pPr>
      <w:rPr>
        <w:i/>
      </w:rPr>
    </w:lvl>
    <w:lvl w:ilvl="8">
      <w:start w:val="1"/>
      <w:numFmt w:val="decimal"/>
      <w:lvlText w:val="%1.%2.%3.%4.%5.%6.%7.%8.%9."/>
      <w:lvlJc w:val="left"/>
      <w:pPr>
        <w:ind w:left="5490" w:hanging="1800"/>
      </w:pPr>
      <w:rPr>
        <w:i/>
      </w:rPr>
    </w:lvl>
  </w:abstractNum>
  <w:abstractNum w:abstractNumId="33" w15:restartNumberingAfterBreak="0">
    <w:nsid w:val="76B26B5F"/>
    <w:multiLevelType w:val="hybridMultilevel"/>
    <w:tmpl w:val="B8F8AB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70D1148"/>
    <w:multiLevelType w:val="hybridMultilevel"/>
    <w:tmpl w:val="8C76075C"/>
    <w:lvl w:ilvl="0" w:tplc="0409000F">
      <w:start w:val="2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A5E3862"/>
    <w:multiLevelType w:val="hybridMultilevel"/>
    <w:tmpl w:val="0F4EA858"/>
    <w:lvl w:ilvl="0" w:tplc="DB40BAA2">
      <w:start w:val="27"/>
      <w:numFmt w:val="decimal"/>
      <w:lvlText w:val="%1."/>
      <w:lvlJc w:val="left"/>
      <w:pPr>
        <w:ind w:left="990" w:hanging="360"/>
      </w:pPr>
      <w:rPr>
        <w:rFonts w:ascii="Times New Roman" w:hAnsi="Times New Roman" w:cs="Times New Roman" w:hint="default"/>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FA93B19"/>
    <w:multiLevelType w:val="multilevel"/>
    <w:tmpl w:val="D924F6B6"/>
    <w:lvl w:ilvl="0">
      <w:start w:val="1"/>
      <w:numFmt w:val="decimal"/>
      <w:lvlText w:val="%1."/>
      <w:lvlJc w:val="left"/>
      <w:pPr>
        <w:ind w:left="2430" w:hanging="360"/>
      </w:pPr>
      <w:rPr>
        <w:rFonts w:ascii="Times New Roman" w:eastAsia="Times New Roman" w:hAnsi="Times New Roman" w:cs="Times New Roman"/>
        <w:b w:val="0"/>
        <w:i w:val="0"/>
      </w:rPr>
    </w:lvl>
    <w:lvl w:ilvl="1">
      <w:start w:val="1"/>
      <w:numFmt w:val="decimal"/>
      <w:isLgl/>
      <w:lvlText w:val="%1.%2."/>
      <w:lvlJc w:val="left"/>
      <w:pPr>
        <w:ind w:left="1080" w:hanging="360"/>
      </w:pPr>
      <w:rPr>
        <w:rFonts w:hint="default"/>
        <w:b w:val="0"/>
        <w:i w:val="0"/>
      </w:rPr>
    </w:lvl>
    <w:lvl w:ilvl="2">
      <w:start w:val="1"/>
      <w:numFmt w:val="decimal"/>
      <w:isLgl/>
      <w:lvlText w:val="%1.%2.%3."/>
      <w:lvlJc w:val="left"/>
      <w:pPr>
        <w:ind w:left="1080" w:hanging="720"/>
      </w:pPr>
      <w:rPr>
        <w:rFonts w:hint="default"/>
        <w:b w:val="0"/>
        <w:i w:val="0"/>
      </w:rPr>
    </w:lvl>
    <w:lvl w:ilvl="3">
      <w:start w:val="1"/>
      <w:numFmt w:val="decimal"/>
      <w:isLgl/>
      <w:lvlText w:val="%1.%2.%3.%4."/>
      <w:lvlJc w:val="left"/>
      <w:pPr>
        <w:ind w:left="1080" w:hanging="720"/>
      </w:pPr>
      <w:rPr>
        <w:rFonts w:hint="default"/>
        <w:b w:val="0"/>
        <w:i w:val="0"/>
      </w:rPr>
    </w:lvl>
    <w:lvl w:ilvl="4">
      <w:start w:val="1"/>
      <w:numFmt w:val="decimal"/>
      <w:isLgl/>
      <w:lvlText w:val="%1.%2.%3.%4.%5."/>
      <w:lvlJc w:val="left"/>
      <w:pPr>
        <w:ind w:left="1440" w:hanging="1080"/>
      </w:pPr>
      <w:rPr>
        <w:rFonts w:hint="default"/>
        <w:b w:val="0"/>
        <w:i w:val="0"/>
      </w:rPr>
    </w:lvl>
    <w:lvl w:ilvl="5">
      <w:start w:val="1"/>
      <w:numFmt w:val="decimal"/>
      <w:isLgl/>
      <w:lvlText w:val="%1.%2.%3.%4.%5.%6."/>
      <w:lvlJc w:val="left"/>
      <w:pPr>
        <w:ind w:left="1440" w:hanging="1080"/>
      </w:pPr>
      <w:rPr>
        <w:rFonts w:hint="default"/>
        <w:b w:val="0"/>
        <w:i w:val="0"/>
      </w:rPr>
    </w:lvl>
    <w:lvl w:ilvl="6">
      <w:start w:val="1"/>
      <w:numFmt w:val="decimal"/>
      <w:isLgl/>
      <w:lvlText w:val="%1.%2.%3.%4.%5.%6.%7."/>
      <w:lvlJc w:val="left"/>
      <w:pPr>
        <w:ind w:left="1800" w:hanging="1440"/>
      </w:pPr>
      <w:rPr>
        <w:rFonts w:hint="default"/>
        <w:b w:val="0"/>
        <w:i w:val="0"/>
      </w:rPr>
    </w:lvl>
    <w:lvl w:ilvl="7">
      <w:start w:val="1"/>
      <w:numFmt w:val="decimal"/>
      <w:isLgl/>
      <w:lvlText w:val="%1.%2.%3.%4.%5.%6.%7.%8."/>
      <w:lvlJc w:val="left"/>
      <w:pPr>
        <w:ind w:left="1800" w:hanging="1440"/>
      </w:pPr>
      <w:rPr>
        <w:rFonts w:hint="default"/>
        <w:b w:val="0"/>
        <w:i w:val="0"/>
      </w:rPr>
    </w:lvl>
    <w:lvl w:ilvl="8">
      <w:start w:val="1"/>
      <w:numFmt w:val="decimal"/>
      <w:isLgl/>
      <w:lvlText w:val="%1.%2.%3.%4.%5.%6.%7.%8.%9."/>
      <w:lvlJc w:val="left"/>
      <w:pPr>
        <w:ind w:left="2160" w:hanging="1800"/>
      </w:pPr>
      <w:rPr>
        <w:rFonts w:hint="default"/>
        <w:b w:val="0"/>
        <w:i w:val="0"/>
      </w:rPr>
    </w:lvl>
  </w:abstractNum>
  <w:num w:numId="1">
    <w:abstractNumId w:val="29"/>
  </w:num>
  <w:num w:numId="2">
    <w:abstractNumId w:val="12"/>
  </w:num>
  <w:num w:numId="3">
    <w:abstractNumId w:val="19"/>
  </w:num>
  <w:num w:numId="4">
    <w:abstractNumId w:val="7"/>
  </w:num>
  <w:num w:numId="5">
    <w:abstractNumId w:val="10"/>
  </w:num>
  <w:num w:numId="6">
    <w:abstractNumId w:val="1"/>
  </w:num>
  <w:num w:numId="7">
    <w:abstractNumId w:val="21"/>
  </w:num>
  <w:num w:numId="8">
    <w:abstractNumId w:val="15"/>
  </w:num>
  <w:num w:numId="9">
    <w:abstractNumId w:val="36"/>
  </w:num>
  <w:num w:numId="10">
    <w:abstractNumId w:val="17"/>
  </w:num>
  <w:num w:numId="1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num>
  <w:num w:numId="13">
    <w:abstractNumId w:val="25"/>
  </w:num>
  <w:num w:numId="14">
    <w:abstractNumId w:val="3"/>
  </w:num>
  <w:num w:numId="15">
    <w:abstractNumId w:val="9"/>
  </w:num>
  <w:num w:numId="16">
    <w:abstractNumId w:val="20"/>
  </w:num>
  <w:num w:numId="17">
    <w:abstractNumId w:val="22"/>
  </w:num>
  <w:num w:numId="18">
    <w:abstractNumId w:val="30"/>
  </w:num>
  <w:num w:numId="19">
    <w:abstractNumId w:val="26"/>
  </w:num>
  <w:num w:numId="20">
    <w:abstractNumId w:val="8"/>
  </w:num>
  <w:num w:numId="21">
    <w:abstractNumId w:val="6"/>
  </w:num>
  <w:num w:numId="22">
    <w:abstractNumId w:val="16"/>
  </w:num>
  <w:num w:numId="23">
    <w:abstractNumId w:val="32"/>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8"/>
  </w:num>
  <w:num w:numId="28">
    <w:abstractNumId w:val="32"/>
  </w:num>
  <w:num w:numId="29">
    <w:abstractNumId w:val="24"/>
  </w:num>
  <w:num w:numId="30">
    <w:abstractNumId w:val="33"/>
  </w:num>
  <w:num w:numId="31">
    <w:abstractNumId w:val="4"/>
  </w:num>
  <w:num w:numId="32">
    <w:abstractNumId w:val="2"/>
  </w:num>
  <w:num w:numId="33">
    <w:abstractNumId w:val="28"/>
  </w:num>
  <w:num w:numId="34">
    <w:abstractNumId w:val="34"/>
  </w:num>
  <w:num w:numId="35">
    <w:abstractNumId w:val="35"/>
  </w:num>
  <w:num w:numId="36">
    <w:abstractNumId w:val="0"/>
  </w:num>
  <w:num w:numId="37">
    <w:abstractNumId w:val="31"/>
  </w:num>
  <w:num w:numId="3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50C6"/>
    <w:rsid w:val="000038C6"/>
    <w:rsid w:val="00012CFB"/>
    <w:rsid w:val="0002119C"/>
    <w:rsid w:val="000453A3"/>
    <w:rsid w:val="000732AD"/>
    <w:rsid w:val="00094B32"/>
    <w:rsid w:val="000A118F"/>
    <w:rsid w:val="000A18E8"/>
    <w:rsid w:val="000B18DB"/>
    <w:rsid w:val="001350C6"/>
    <w:rsid w:val="00140FBB"/>
    <w:rsid w:val="00142FCB"/>
    <w:rsid w:val="00145A22"/>
    <w:rsid w:val="00153D9C"/>
    <w:rsid w:val="00184370"/>
    <w:rsid w:val="001A219C"/>
    <w:rsid w:val="002012DA"/>
    <w:rsid w:val="00203017"/>
    <w:rsid w:val="0028652D"/>
    <w:rsid w:val="00291F3A"/>
    <w:rsid w:val="002B53AD"/>
    <w:rsid w:val="002C79A3"/>
    <w:rsid w:val="00310579"/>
    <w:rsid w:val="00320F47"/>
    <w:rsid w:val="0035527C"/>
    <w:rsid w:val="00363206"/>
    <w:rsid w:val="003C28DA"/>
    <w:rsid w:val="00413A48"/>
    <w:rsid w:val="00437957"/>
    <w:rsid w:val="004719EA"/>
    <w:rsid w:val="004766F8"/>
    <w:rsid w:val="00483F54"/>
    <w:rsid w:val="00486B9B"/>
    <w:rsid w:val="004A5C23"/>
    <w:rsid w:val="004D6E4A"/>
    <w:rsid w:val="00551782"/>
    <w:rsid w:val="005777D3"/>
    <w:rsid w:val="005A0114"/>
    <w:rsid w:val="005A2BF0"/>
    <w:rsid w:val="005B1EE5"/>
    <w:rsid w:val="005D19EC"/>
    <w:rsid w:val="00624736"/>
    <w:rsid w:val="006736D3"/>
    <w:rsid w:val="006829AA"/>
    <w:rsid w:val="006A142D"/>
    <w:rsid w:val="006F728D"/>
    <w:rsid w:val="00717AE8"/>
    <w:rsid w:val="00762DC7"/>
    <w:rsid w:val="007858E4"/>
    <w:rsid w:val="0082281A"/>
    <w:rsid w:val="00863824"/>
    <w:rsid w:val="0088083A"/>
    <w:rsid w:val="008B1D4C"/>
    <w:rsid w:val="009204ED"/>
    <w:rsid w:val="00951709"/>
    <w:rsid w:val="0096168F"/>
    <w:rsid w:val="009819BC"/>
    <w:rsid w:val="00987C39"/>
    <w:rsid w:val="009A405E"/>
    <w:rsid w:val="00A07044"/>
    <w:rsid w:val="00A4309A"/>
    <w:rsid w:val="00A433D8"/>
    <w:rsid w:val="00A4515A"/>
    <w:rsid w:val="00A56FA9"/>
    <w:rsid w:val="00A77DE1"/>
    <w:rsid w:val="00A81FA0"/>
    <w:rsid w:val="00A8375D"/>
    <w:rsid w:val="00A932F3"/>
    <w:rsid w:val="00AC0BE3"/>
    <w:rsid w:val="00AE6DEE"/>
    <w:rsid w:val="00AF7B05"/>
    <w:rsid w:val="00B80F2D"/>
    <w:rsid w:val="00B90082"/>
    <w:rsid w:val="00BD62B5"/>
    <w:rsid w:val="00C065F2"/>
    <w:rsid w:val="00C27399"/>
    <w:rsid w:val="00C9350C"/>
    <w:rsid w:val="00D131FE"/>
    <w:rsid w:val="00D95E2F"/>
    <w:rsid w:val="00DC33C6"/>
    <w:rsid w:val="00DC5EF5"/>
    <w:rsid w:val="00DE3783"/>
    <w:rsid w:val="00DF68FA"/>
    <w:rsid w:val="00E15164"/>
    <w:rsid w:val="00E25BD6"/>
    <w:rsid w:val="00E25DEB"/>
    <w:rsid w:val="00E332EA"/>
    <w:rsid w:val="00E6433D"/>
    <w:rsid w:val="00E87CB4"/>
    <w:rsid w:val="00EB044D"/>
    <w:rsid w:val="00F25F42"/>
    <w:rsid w:val="00F44111"/>
    <w:rsid w:val="00F67425"/>
    <w:rsid w:val="00F67B52"/>
    <w:rsid w:val="00F91B67"/>
    <w:rsid w:val="00FA4122"/>
    <w:rsid w:val="00FE09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8BEE27"/>
  <w15:docId w15:val="{9FD8C11A-8D2D-4FCC-83C0-CF437611F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350C6"/>
    <w:rPr>
      <w:rFonts w:ascii="Calibri" w:eastAsia="Calibri" w:hAnsi="Calibri"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 Char1 Char Char Char,Footnote Text Char Char Char Char Char,single space,footnote text,fn,FOOTNOTES,Footnote Text Char2 Char,Footnote Text Char1 Char Char,Footnote Text Char2 Char Char Char,Footnote Text Char1,Car,f"/>
    <w:basedOn w:val="Normal"/>
    <w:link w:val="FootnoteTextChar"/>
    <w:uiPriority w:val="99"/>
    <w:unhideWhenUsed/>
    <w:qFormat/>
    <w:rsid w:val="001350C6"/>
    <w:pPr>
      <w:spacing w:after="0" w:line="240" w:lineRule="auto"/>
    </w:pPr>
    <w:rPr>
      <w:rFonts w:ascii="Times New Roman" w:eastAsia="Times New Roman" w:hAnsi="Times New Roman"/>
      <w:sz w:val="20"/>
      <w:szCs w:val="20"/>
      <w:lang w:val="x-none" w:eastAsia="x-none"/>
    </w:rPr>
  </w:style>
  <w:style w:type="character" w:customStyle="1" w:styleId="FootnoteTextChar">
    <w:name w:val="Footnote Text Char"/>
    <w:aliases w:val="Footnote Text Char1 Char Char Char Char,Footnote Text Char Char Char Char Char Char,single space Char,footnote text Char,fn Char,FOOTNOTES Char,Footnote Text Char2 Char Char,Footnote Text Char1 Char Char Char1,Footnote Text Char1 Char"/>
    <w:basedOn w:val="DefaultParagraphFont"/>
    <w:link w:val="FootnoteText"/>
    <w:uiPriority w:val="99"/>
    <w:rsid w:val="001350C6"/>
    <w:rPr>
      <w:rFonts w:ascii="Times New Roman" w:eastAsia="Times New Roman" w:hAnsi="Times New Roman" w:cs="Times New Roman"/>
      <w:sz w:val="20"/>
      <w:szCs w:val="20"/>
      <w:lang w:val="x-none" w:eastAsia="x-none"/>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1350C6"/>
    <w:pPr>
      <w:ind w:left="720"/>
      <w:contextualSpacing/>
    </w:pPr>
    <w:rPr>
      <w:sz w:val="20"/>
      <w:szCs w:val="20"/>
      <w:lang w:val="x-none" w:eastAsia="x-none"/>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rsid w:val="001350C6"/>
    <w:rPr>
      <w:rFonts w:ascii="Calibri" w:eastAsia="Calibri" w:hAnsi="Calibri" w:cs="Times New Roman"/>
      <w:sz w:val="20"/>
      <w:szCs w:val="20"/>
      <w:lang w:val="x-none" w:eastAsia="x-none"/>
    </w:rPr>
  </w:style>
  <w:style w:type="paragraph" w:styleId="Footer">
    <w:name w:val="footer"/>
    <w:basedOn w:val="Normal"/>
    <w:link w:val="FooterChar"/>
    <w:uiPriority w:val="99"/>
    <w:unhideWhenUsed/>
    <w:rsid w:val="001350C6"/>
    <w:pPr>
      <w:tabs>
        <w:tab w:val="center" w:pos="4680"/>
        <w:tab w:val="right" w:pos="9360"/>
      </w:tabs>
    </w:pPr>
  </w:style>
  <w:style w:type="character" w:customStyle="1" w:styleId="FooterChar">
    <w:name w:val="Footer Char"/>
    <w:basedOn w:val="DefaultParagraphFont"/>
    <w:link w:val="Footer"/>
    <w:uiPriority w:val="99"/>
    <w:rsid w:val="001350C6"/>
    <w:rPr>
      <w:rFonts w:ascii="Calibri" w:eastAsia="Calibri" w:hAnsi="Calibri" w:cs="Times New Roman"/>
      <w:lang w:val="sq-AL"/>
    </w:rPr>
  </w:style>
  <w:style w:type="paragraph" w:styleId="CommentText">
    <w:name w:val="annotation text"/>
    <w:basedOn w:val="Normal"/>
    <w:link w:val="CommentTextChar"/>
    <w:uiPriority w:val="99"/>
    <w:unhideWhenUsed/>
    <w:rsid w:val="001350C6"/>
    <w:pPr>
      <w:spacing w:after="0" w:line="240" w:lineRule="auto"/>
    </w:pPr>
    <w:rPr>
      <w:rFonts w:ascii="Times New Roman" w:eastAsia="Times New Roman" w:hAnsi="Times New Roman"/>
      <w:sz w:val="20"/>
      <w:szCs w:val="20"/>
    </w:rPr>
  </w:style>
  <w:style w:type="character" w:customStyle="1" w:styleId="CommentTextChar">
    <w:name w:val="Comment Text Char"/>
    <w:basedOn w:val="DefaultParagraphFont"/>
    <w:link w:val="CommentText"/>
    <w:uiPriority w:val="99"/>
    <w:rsid w:val="001350C6"/>
    <w:rPr>
      <w:rFonts w:ascii="Times New Roman" w:eastAsia="Times New Roman" w:hAnsi="Times New Roman" w:cs="Times New Roman"/>
      <w:sz w:val="20"/>
      <w:szCs w:val="20"/>
      <w:lang w:val="sq-AL"/>
    </w:rPr>
  </w:style>
  <w:style w:type="paragraph" w:styleId="BodyText">
    <w:name w:val="Body Text"/>
    <w:basedOn w:val="Normal"/>
    <w:link w:val="BodyTextChar"/>
    <w:uiPriority w:val="99"/>
    <w:rsid w:val="001350C6"/>
    <w:pPr>
      <w:spacing w:after="0" w:line="288" w:lineRule="auto"/>
      <w:jc w:val="both"/>
    </w:pPr>
    <w:rPr>
      <w:rFonts w:ascii="Times New Roman" w:eastAsia="Times New Roman" w:hAnsi="Times New Roman"/>
      <w:sz w:val="21"/>
      <w:szCs w:val="24"/>
    </w:rPr>
  </w:style>
  <w:style w:type="character" w:customStyle="1" w:styleId="BodyTextChar">
    <w:name w:val="Body Text Char"/>
    <w:basedOn w:val="DefaultParagraphFont"/>
    <w:link w:val="BodyText"/>
    <w:uiPriority w:val="99"/>
    <w:rsid w:val="001350C6"/>
    <w:rPr>
      <w:rFonts w:ascii="Times New Roman" w:eastAsia="Times New Roman" w:hAnsi="Times New Roman" w:cs="Times New Roman"/>
      <w:sz w:val="21"/>
      <w:szCs w:val="24"/>
      <w:lang w:val="sq-AL"/>
    </w:rPr>
  </w:style>
  <w:style w:type="paragraph" w:customStyle="1" w:styleId="JuPara">
    <w:name w:val="Ju_Para"/>
    <w:aliases w:val="Left,First line:  0 cm,_Para,ECHR_Para,Para"/>
    <w:basedOn w:val="Normal"/>
    <w:link w:val="JuParaChar"/>
    <w:qFormat/>
    <w:rsid w:val="001350C6"/>
    <w:pPr>
      <w:suppressAutoHyphens/>
      <w:spacing w:after="0" w:line="240" w:lineRule="auto"/>
      <w:ind w:firstLine="284"/>
      <w:jc w:val="both"/>
    </w:pPr>
    <w:rPr>
      <w:rFonts w:ascii="Times New Roman" w:eastAsia="Times New Roman" w:hAnsi="Times New Roman"/>
      <w:sz w:val="24"/>
      <w:szCs w:val="20"/>
      <w:lang w:val="en-GB" w:eastAsia="fr-FR"/>
    </w:rPr>
  </w:style>
  <w:style w:type="character" w:customStyle="1" w:styleId="JuParaChar">
    <w:name w:val="Ju_Para Char"/>
    <w:aliases w:val="_Para Char,ECHR_Para Char"/>
    <w:link w:val="JuPara"/>
    <w:rsid w:val="001350C6"/>
    <w:rPr>
      <w:rFonts w:ascii="Times New Roman" w:eastAsia="Times New Roman" w:hAnsi="Times New Roman" w:cs="Times New Roman"/>
      <w:sz w:val="24"/>
      <w:szCs w:val="20"/>
      <w:lang w:val="en-GB" w:eastAsia="fr-FR"/>
    </w:rPr>
  </w:style>
  <w:style w:type="character" w:styleId="Hyperlink">
    <w:name w:val="Hyperlink"/>
    <w:basedOn w:val="DefaultParagraphFont"/>
    <w:uiPriority w:val="99"/>
    <w:unhideWhenUsed/>
    <w:rsid w:val="001350C6"/>
    <w:rPr>
      <w:color w:val="0563C1" w:themeColor="hyperlink"/>
      <w:u w:val="single"/>
    </w:rPr>
  </w:style>
  <w:style w:type="character" w:styleId="FootnoteReference">
    <w:name w:val="footnote reference"/>
    <w:basedOn w:val="DefaultParagraphFont"/>
    <w:uiPriority w:val="99"/>
    <w:unhideWhenUsed/>
    <w:rsid w:val="001350C6"/>
    <w:rPr>
      <w:vertAlign w:val="superscript"/>
    </w:rPr>
  </w:style>
  <w:style w:type="paragraph" w:styleId="Header">
    <w:name w:val="header"/>
    <w:basedOn w:val="Normal"/>
    <w:link w:val="HeaderChar"/>
    <w:uiPriority w:val="99"/>
    <w:unhideWhenUsed/>
    <w:rsid w:val="001350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50C6"/>
    <w:rPr>
      <w:rFonts w:ascii="Calibri" w:eastAsia="Calibri" w:hAnsi="Calibri" w:cs="Times New Roman"/>
      <w:lang w:val="sq-AL"/>
    </w:rPr>
  </w:style>
  <w:style w:type="character" w:customStyle="1" w:styleId="hps">
    <w:name w:val="hps"/>
    <w:basedOn w:val="DefaultParagraphFont"/>
    <w:rsid w:val="001350C6"/>
  </w:style>
  <w:style w:type="character" w:customStyle="1" w:styleId="contentpasted0">
    <w:name w:val="contentpasted0"/>
    <w:rsid w:val="001350C6"/>
  </w:style>
  <w:style w:type="character" w:styleId="CommentReference">
    <w:name w:val="annotation reference"/>
    <w:basedOn w:val="DefaultParagraphFont"/>
    <w:uiPriority w:val="99"/>
    <w:semiHidden/>
    <w:unhideWhenUsed/>
    <w:rsid w:val="001350C6"/>
    <w:rPr>
      <w:sz w:val="16"/>
      <w:szCs w:val="16"/>
    </w:rPr>
  </w:style>
  <w:style w:type="paragraph" w:styleId="CommentSubject">
    <w:name w:val="annotation subject"/>
    <w:basedOn w:val="CommentText"/>
    <w:next w:val="CommentText"/>
    <w:link w:val="CommentSubjectChar"/>
    <w:uiPriority w:val="99"/>
    <w:semiHidden/>
    <w:unhideWhenUsed/>
    <w:rsid w:val="001350C6"/>
    <w:pPr>
      <w:spacing w:after="200"/>
    </w:pPr>
    <w:rPr>
      <w:rFonts w:ascii="Calibri" w:eastAsia="Calibri" w:hAnsi="Calibri"/>
      <w:b/>
      <w:bCs/>
    </w:rPr>
  </w:style>
  <w:style w:type="character" w:customStyle="1" w:styleId="CommentSubjectChar">
    <w:name w:val="Comment Subject Char"/>
    <w:basedOn w:val="CommentTextChar"/>
    <w:link w:val="CommentSubject"/>
    <w:uiPriority w:val="99"/>
    <w:semiHidden/>
    <w:rsid w:val="001350C6"/>
    <w:rPr>
      <w:rFonts w:ascii="Calibri" w:eastAsia="Calibri" w:hAnsi="Calibri" w:cs="Times New Roman"/>
      <w:b/>
      <w:bCs/>
      <w:sz w:val="20"/>
      <w:szCs w:val="20"/>
      <w:lang w:val="sq-AL"/>
    </w:rPr>
  </w:style>
  <w:style w:type="paragraph" w:styleId="BalloonText">
    <w:name w:val="Balloon Text"/>
    <w:basedOn w:val="Normal"/>
    <w:link w:val="BalloonTextChar"/>
    <w:uiPriority w:val="99"/>
    <w:semiHidden/>
    <w:unhideWhenUsed/>
    <w:rsid w:val="001350C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350C6"/>
    <w:rPr>
      <w:rFonts w:ascii="Segoe UI" w:eastAsia="Calibri" w:hAnsi="Segoe UI" w:cs="Segoe UI"/>
      <w:sz w:val="18"/>
      <w:szCs w:val="18"/>
      <w:lang w:val="sq-AL"/>
    </w:rPr>
  </w:style>
  <w:style w:type="paragraph" w:styleId="NoSpacing">
    <w:name w:val="No Spacing"/>
    <w:link w:val="NoSpacingChar"/>
    <w:uiPriority w:val="1"/>
    <w:qFormat/>
    <w:rsid w:val="001350C6"/>
    <w:pPr>
      <w:spacing w:after="0" w:line="240" w:lineRule="auto"/>
    </w:pPr>
    <w:rPr>
      <w:rFonts w:ascii="Calibri" w:eastAsia="Calibri" w:hAnsi="Calibri" w:cs="Times New Roman"/>
      <w:lang w:val="sq-AL"/>
    </w:rPr>
  </w:style>
  <w:style w:type="character" w:customStyle="1" w:styleId="NoSpacingChar">
    <w:name w:val="No Spacing Char"/>
    <w:link w:val="NoSpacing"/>
    <w:uiPriority w:val="1"/>
    <w:locked/>
    <w:rsid w:val="001350C6"/>
    <w:rPr>
      <w:rFonts w:ascii="Calibri" w:eastAsia="Calibri" w:hAnsi="Calibri" w:cs="Times New Roman"/>
      <w:lang w:val="sq-AL"/>
    </w:rPr>
  </w:style>
  <w:style w:type="paragraph" w:styleId="Title">
    <w:name w:val="Title"/>
    <w:basedOn w:val="Normal"/>
    <w:next w:val="Normal"/>
    <w:link w:val="TitleChar"/>
    <w:uiPriority w:val="10"/>
    <w:qFormat/>
    <w:rsid w:val="000B18DB"/>
    <w:pPr>
      <w:spacing w:after="0" w:line="360" w:lineRule="auto"/>
      <w:jc w:val="center"/>
    </w:pPr>
    <w:rPr>
      <w:rFonts w:ascii="Times New Roman" w:eastAsiaTheme="minorHAnsi" w:hAnsi="Times New Roman"/>
      <w:b/>
      <w:bCs/>
      <w:spacing w:val="2"/>
      <w:sz w:val="24"/>
      <w:szCs w:val="24"/>
    </w:rPr>
  </w:style>
  <w:style w:type="character" w:customStyle="1" w:styleId="TitleChar">
    <w:name w:val="Title Char"/>
    <w:basedOn w:val="DefaultParagraphFont"/>
    <w:link w:val="Title"/>
    <w:uiPriority w:val="10"/>
    <w:rsid w:val="000B18DB"/>
    <w:rPr>
      <w:rFonts w:ascii="Times New Roman" w:hAnsi="Times New Roman" w:cs="Times New Roman"/>
      <w:b/>
      <w:bCs/>
      <w:spacing w:val="2"/>
      <w:sz w:val="24"/>
      <w:szCs w:val="24"/>
      <w:lang w:val="sq-AL"/>
    </w:rPr>
  </w:style>
  <w:style w:type="table" w:styleId="TableGrid">
    <w:name w:val="Table Grid"/>
    <w:basedOn w:val="TableNormal"/>
    <w:uiPriority w:val="39"/>
    <w:rsid w:val="00A77D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29</Nr_x002e__x0020_akti>
    <Data_x0020_e_x0020_Krijimit xmlns="0e656187-b300-4fb0-8bf4-3a50f872073c">2023-06-30T08:41:46Z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2023-06-28T22:00:00Z</Date_x0020_protokolli>
    <Titulli xmlns="0e656187-b300-4fb0-8bf4-3a50f872073c">Shfuqizimi i vendimit nr. 00-2022-1029 (210), datë 26.05.2022 të Kolegjit Administrativ të Gjykatës së Lartë, si i papajtueshëm me Kushtetutën e Republikës së Shqipërisë</Titulli>
    <Modifikuesi xmlns="0e656187-b300-4fb0-8bf4-3a50f872073c">ermira.bukaci</Modifikuesi>
    <Nr_x002e__x0020_prot_x0020_QBZ xmlns="0e656187-b300-4fb0-8bf4-3a50f872073c">961/1</Nr_x002e__x0020_prot_x0020_QBZ>
    <Data_x0020_e_x0020_Modifikimit xmlns="0e656187-b300-4fb0-8bf4-3a50f872073c">2023-06-30T09:36:37Z</Data_x0020_e_x0020_Modifikimit>
    <Dekretuar xmlns="0e656187-b300-4fb0-8bf4-3a50f872073c">false</Dekretuar>
    <Data xmlns="0e656187-b300-4fb0-8bf4-3a50f872073c">2023-05-25T22:00:00Z</Data>
    <Nr_x002e__x0020_protokolli_x0020_i_x0020_aktit xmlns="0e656187-b300-4fb0-8bf4-3a50f872073c">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945E42E22F3F4BD8B1F1F8786867E1C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945E42E22F3F4BD8B1F1F8786867E1C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5E6D00-55A5-48BB-A7FB-4A2F206F84F4}">
  <ds:schemaRefs>
    <ds:schemaRef ds:uri="http://schemas.openxmlformats.org/package/2006/metadata/core-properties"/>
    <ds:schemaRef ds:uri="http://www.w3.org/XML/1998/namespace"/>
    <ds:schemaRef ds:uri="http://schemas.microsoft.com/office/2006/documentManagement/types"/>
    <ds:schemaRef ds:uri="0e656187-b300-4fb0-8bf4-3a50f872073c"/>
    <ds:schemaRef ds:uri="http://purl.org/dc/terms/"/>
    <ds:schemaRef ds:uri="http://schemas.microsoft.com/office/2006/metadata/properties"/>
    <ds:schemaRef ds:uri="http://purl.org/dc/elements/1.1/"/>
    <ds:schemaRef ds:uri="http://purl.org/dc/dcmitype/"/>
  </ds:schemaRefs>
</ds:datastoreItem>
</file>

<file path=customXml/itemProps2.xml><?xml version="1.0" encoding="utf-8"?>
<ds:datastoreItem xmlns:ds="http://schemas.openxmlformats.org/officeDocument/2006/customXml" ds:itemID="{06F80C05-3D09-4E75-840C-639348F8792F}">
  <ds:schemaRefs>
    <ds:schemaRef ds:uri="http://schemas.microsoft.com/sharepoint/v3/contenttype/forms"/>
  </ds:schemaRefs>
</ds:datastoreItem>
</file>

<file path=customXml/itemProps3.xml><?xml version="1.0" encoding="utf-8"?>
<ds:datastoreItem xmlns:ds="http://schemas.openxmlformats.org/officeDocument/2006/customXml" ds:itemID="{88347739-92B3-4715-AD9B-8BB399AFD0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2778C8A0-CE28-42E4-B8B2-4704DF133F9D}">
  <ds:schemaRefs>
    <ds:schemaRef ds:uri="http://schemas.microsoft.com/sharepoint/v3/contenttype/forms"/>
  </ds:schemaRefs>
</ds:datastoreItem>
</file>

<file path=customXml/itemProps5.xml><?xml version="1.0" encoding="utf-8"?>
<ds:datastoreItem xmlns:ds="http://schemas.openxmlformats.org/officeDocument/2006/customXml" ds:itemID="{3102FEEE-6247-47BC-92B4-8CB711A2A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335DB692-389D-4EF8-A0B6-51A0C51495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11</Pages>
  <Words>6708</Words>
  <Characters>38240</Characters>
  <Application>Microsoft Office Word</Application>
  <DocSecurity>0</DocSecurity>
  <Lines>318</Lines>
  <Paragraphs>89</Paragraphs>
  <ScaleCrop>false</ScaleCrop>
  <HeadingPairs>
    <vt:vector size="2" baseType="variant">
      <vt:variant>
        <vt:lpstr>Title</vt:lpstr>
      </vt:variant>
      <vt:variant>
        <vt:i4>1</vt:i4>
      </vt:variant>
    </vt:vector>
  </HeadingPairs>
  <TitlesOfParts>
    <vt:vector size="1" baseType="lpstr">
      <vt:lpstr>Shfuqizimi i vendimit nr. 00-2022-1029 (210), datë 26.05.2022 të Kolegjit Administrativ të Gjykatës së Lartë, si i papajtueshëm me Kushtetutën e Republikës së Shqipërisë</vt:lpstr>
    </vt:vector>
  </TitlesOfParts>
  <Company>User</Company>
  <LinksUpToDate>false</LinksUpToDate>
  <CharactersWithSpaces>44859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Shfuqizimi i vendimit nr. 00-2022-1029 (210), datë 26.05.2022 të Kolegjit Administrativ të Gjykatës së Lartë, si i papajtueshëm me Kushtetutën e Republikës së Shqipërisë</dc:title>
  <dc:creator>Elona Gjergjani</dc:creator>
  <cp:lastModifiedBy>fjora.cahani</cp:lastModifiedBy>
  <cp:revision>13</cp:revision>
  <cp:lastPrinted>2023-06-23T13:59:00Z</cp:lastPrinted>
  <dcterms:created xsi:type="dcterms:W3CDTF">2023-06-30T08:44:00Z</dcterms:created>
  <dcterms:modified xsi:type="dcterms:W3CDTF">2023-06-30T10:47:00Z</dcterms:modified>
</cp:coreProperties>
</file>