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AAC82" w14:textId="470187A5" w:rsidR="00FD2E77" w:rsidRPr="00277CAF" w:rsidRDefault="0046479E" w:rsidP="00FD2E77">
      <w:pPr>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V</w:t>
      </w:r>
      <w:r w:rsidR="00FD2E77" w:rsidRPr="00277CAF">
        <w:rPr>
          <w:rFonts w:ascii="Garamond" w:hAnsi="Garamond" w:cs="Times New Roman"/>
          <w:b/>
          <w:bCs/>
          <w:color w:val="000000"/>
          <w:sz w:val="24"/>
          <w:szCs w:val="24"/>
        </w:rPr>
        <w:t>ENDIM</w:t>
      </w:r>
    </w:p>
    <w:p w14:paraId="6DD8ECF0" w14:textId="67399E5F"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Nr.</w:t>
      </w:r>
      <w:r w:rsidR="00154F3A" w:rsidRPr="00277CAF">
        <w:rPr>
          <w:rFonts w:ascii="Garamond" w:hAnsi="Garamond" w:cs="Times New Roman"/>
          <w:b/>
          <w:bCs/>
          <w:color w:val="000000"/>
          <w:sz w:val="24"/>
          <w:szCs w:val="24"/>
        </w:rPr>
        <w:t xml:space="preserve"> </w:t>
      </w:r>
      <w:r w:rsidRPr="00277CAF">
        <w:rPr>
          <w:rFonts w:ascii="Garamond" w:hAnsi="Garamond" w:cs="Times New Roman"/>
          <w:b/>
          <w:bCs/>
          <w:color w:val="000000"/>
          <w:sz w:val="24"/>
          <w:szCs w:val="24"/>
        </w:rPr>
        <w:t>37, datë 7.7.2023</w:t>
      </w:r>
    </w:p>
    <w:p w14:paraId="088114A0" w14:textId="77777777" w:rsidR="00154F3A" w:rsidRPr="00277CAF" w:rsidRDefault="00154F3A" w:rsidP="00FD2E7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6069ABD" w14:textId="4FBCE18C"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NË EMËR TË REPUBLIKËS SË SHQIPËRISË</w:t>
      </w:r>
    </w:p>
    <w:p w14:paraId="366B1FB3" w14:textId="77777777"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p>
    <w:p w14:paraId="46ABE41A" w14:textId="77777777"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Gjykata Kushtetuese e Republikës së Shqipërisë, e përbërë nga:</w:t>
      </w:r>
    </w:p>
    <w:p w14:paraId="6E5DD758" w14:textId="56A4BA07"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Holta Zaçaj  </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sidRPr="00277CAF">
        <w:rPr>
          <w:rFonts w:ascii="Garamond" w:hAnsi="Garamond" w:cs="Times New Roman"/>
          <w:color w:val="000000"/>
          <w:sz w:val="24"/>
          <w:szCs w:val="24"/>
        </w:rPr>
        <w:t>kryetare</w:t>
      </w:r>
      <w:r w:rsidR="00277CAF">
        <w:rPr>
          <w:rFonts w:ascii="Garamond" w:hAnsi="Garamond" w:cs="Times New Roman"/>
          <w:color w:val="000000"/>
          <w:sz w:val="24"/>
          <w:szCs w:val="24"/>
        </w:rPr>
        <w:t>;</w:t>
      </w:r>
    </w:p>
    <w:p w14:paraId="211B2B1B" w14:textId="08817D55"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Marsida Xhaferllari</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nëtare</w:t>
      </w:r>
      <w:r w:rsidR="00277CAF">
        <w:rPr>
          <w:rFonts w:ascii="Garamond" w:hAnsi="Garamond" w:cs="Times New Roman"/>
          <w:color w:val="000000"/>
          <w:sz w:val="24"/>
          <w:szCs w:val="24"/>
        </w:rPr>
        <w:t>;</w:t>
      </w:r>
    </w:p>
    <w:p w14:paraId="2A516016" w14:textId="6AB1D0BC"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Fiona Papajorgji</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nëtare</w:t>
      </w:r>
      <w:r w:rsidR="00277CAF">
        <w:rPr>
          <w:rFonts w:ascii="Garamond" w:hAnsi="Garamond" w:cs="Times New Roman"/>
          <w:color w:val="000000"/>
          <w:sz w:val="24"/>
          <w:szCs w:val="24"/>
        </w:rPr>
        <w:t>;</w:t>
      </w:r>
    </w:p>
    <w:p w14:paraId="0EDFE517" w14:textId="42A1B89A"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Elsa Toska</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nëtare</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w:t>
      </w:r>
    </w:p>
    <w:p w14:paraId="3E646691" w14:textId="5133D2E5"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Sonila Bejtja</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nëtare</w:t>
      </w:r>
      <w:r w:rsidR="00277CAF">
        <w:rPr>
          <w:rFonts w:ascii="Garamond" w:hAnsi="Garamond" w:cs="Times New Roman"/>
          <w:color w:val="000000"/>
          <w:sz w:val="24"/>
          <w:szCs w:val="24"/>
        </w:rPr>
        <w:t>;</w:t>
      </w:r>
    </w:p>
    <w:p w14:paraId="2CBF9FE5" w14:textId="4C2E8B0F"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Ilir Toska</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w:t>
      </w:r>
      <w:r w:rsidR="00277CAF">
        <w:rPr>
          <w:rFonts w:ascii="Garamond" w:hAnsi="Garamond" w:cs="Times New Roman"/>
          <w:color w:val="000000"/>
          <w:sz w:val="24"/>
          <w:szCs w:val="24"/>
        </w:rPr>
        <w:t>;</w:t>
      </w:r>
    </w:p>
    <w:p w14:paraId="4E65D827" w14:textId="30999F8F" w:rsidR="00FD2E77" w:rsidRPr="00277CAF" w:rsidRDefault="00FD2E77" w:rsidP="00FD2E77">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Genti Ibrahimi</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b/>
        <w:t>a</w:t>
      </w:r>
      <w:r w:rsidRPr="00277CAF">
        <w:rPr>
          <w:rFonts w:ascii="Garamond" w:hAnsi="Garamond" w:cs="Times New Roman"/>
          <w:color w:val="000000"/>
          <w:sz w:val="24"/>
          <w:szCs w:val="24"/>
        </w:rPr>
        <w:t>nëtar</w:t>
      </w:r>
      <w:r w:rsidR="00277CAF">
        <w:rPr>
          <w:rFonts w:ascii="Garamond" w:hAnsi="Garamond" w:cs="Times New Roman"/>
          <w:color w:val="000000"/>
          <w:sz w:val="24"/>
          <w:szCs w:val="24"/>
        </w:rPr>
        <w:t>;</w:t>
      </w:r>
    </w:p>
    <w:p w14:paraId="34222058" w14:textId="108AF403"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Marjana Semini</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w:t>
      </w:r>
      <w:r w:rsidRPr="00277CAF">
        <w:rPr>
          <w:rFonts w:ascii="Garamond" w:hAnsi="Garamond" w:cs="Times New Roman"/>
          <w:color w:val="000000"/>
          <w:sz w:val="24"/>
          <w:szCs w:val="24"/>
        </w:rPr>
        <w:t>nëtare</w:t>
      </w:r>
      <w:r w:rsidR="00277CAF">
        <w:rPr>
          <w:rFonts w:ascii="Garamond" w:hAnsi="Garamond" w:cs="Times New Roman"/>
          <w:color w:val="000000"/>
          <w:sz w:val="24"/>
          <w:szCs w:val="24"/>
        </w:rPr>
        <w:t>;</w:t>
      </w:r>
    </w:p>
    <w:p w14:paraId="1C3F9115" w14:textId="3DBFE05F" w:rsidR="00FD2E77" w:rsidRPr="00277CAF" w:rsidRDefault="00FD2E77" w:rsidP="00154F3A">
      <w:pPr>
        <w:tabs>
          <w:tab w:val="left" w:pos="720"/>
        </w:tabs>
        <w:autoSpaceDE w:val="0"/>
        <w:autoSpaceDN w:val="0"/>
        <w:adjustRightInd w:val="0"/>
        <w:spacing w:after="0" w:line="240" w:lineRule="auto"/>
        <w:ind w:firstLine="284"/>
        <w:rPr>
          <w:rFonts w:ascii="Garamond" w:hAnsi="Garamond" w:cs="Times New Roman"/>
          <w:color w:val="000000"/>
          <w:sz w:val="24"/>
          <w:szCs w:val="24"/>
        </w:rPr>
      </w:pPr>
      <w:r w:rsidRPr="00277CAF">
        <w:rPr>
          <w:rFonts w:ascii="Garamond" w:hAnsi="Garamond" w:cs="Times New Roman"/>
          <w:color w:val="000000"/>
          <w:sz w:val="24"/>
          <w:szCs w:val="24"/>
        </w:rPr>
        <w:t>Sandër Beci</w:t>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154F3A" w:rsidRPr="00277CAF">
        <w:rPr>
          <w:rFonts w:ascii="Garamond" w:hAnsi="Garamond" w:cs="Times New Roman"/>
          <w:color w:val="000000"/>
          <w:sz w:val="24"/>
          <w:szCs w:val="24"/>
        </w:rPr>
        <w:tab/>
      </w:r>
      <w:r w:rsidR="00277CAF">
        <w:rPr>
          <w:rFonts w:ascii="Garamond" w:hAnsi="Garamond" w:cs="Times New Roman"/>
          <w:color w:val="000000"/>
          <w:sz w:val="24"/>
          <w:szCs w:val="24"/>
        </w:rPr>
        <w:tab/>
        <w:t>a</w:t>
      </w:r>
      <w:r w:rsidRPr="00277CAF">
        <w:rPr>
          <w:rFonts w:ascii="Garamond" w:hAnsi="Garamond" w:cs="Times New Roman"/>
          <w:color w:val="000000"/>
          <w:sz w:val="24"/>
          <w:szCs w:val="24"/>
        </w:rPr>
        <w:t>nëtar</w:t>
      </w:r>
      <w:r w:rsidR="00277CAF">
        <w:rPr>
          <w:rFonts w:ascii="Garamond" w:hAnsi="Garamond" w:cs="Times New Roman"/>
          <w:color w:val="000000"/>
          <w:sz w:val="24"/>
          <w:szCs w:val="24"/>
        </w:rPr>
        <w:t>,</w:t>
      </w:r>
    </w:p>
    <w:p w14:paraId="19DB337C" w14:textId="67FF4A1D" w:rsidR="00FD2E77" w:rsidRPr="00277CAF" w:rsidRDefault="00FD2E77" w:rsidP="00FD2E7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me sekretare Belma Lleshi, në datat 16.2.2023 dhe 7.7.2023 mori në shqyrtim në seancë plenare mbi bazë të dokumenteve çështjen nr. 15 (Sh) 2022 të Regjistrit Themeltar, që u përket:</w:t>
      </w:r>
    </w:p>
    <w:p w14:paraId="4BAA99ED" w14:textId="7F42C9A6" w:rsidR="00FD2E77" w:rsidRPr="00277CAF" w:rsidRDefault="00FD2E77" w:rsidP="00FD2E77">
      <w:pPr>
        <w:tabs>
          <w:tab w:val="left" w:pos="1080"/>
          <w:tab w:val="left" w:pos="28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 xml:space="preserve">KËRKUESE: </w:t>
      </w:r>
      <w:r w:rsidR="00277CAF" w:rsidRPr="00277CAF">
        <w:rPr>
          <w:rFonts w:ascii="Garamond" w:hAnsi="Garamond" w:cs="Times New Roman"/>
          <w:bCs/>
          <w:color w:val="000000"/>
          <w:sz w:val="24"/>
          <w:szCs w:val="24"/>
        </w:rPr>
        <w:t>Shoqëria “Arseni” sh.p.k.</w:t>
      </w:r>
    </w:p>
    <w:p w14:paraId="2BCE1A7E" w14:textId="77777777"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SUBJEKTE TË INTERESUARA:</w:t>
      </w:r>
    </w:p>
    <w:p w14:paraId="1CDB13D7" w14:textId="37DF672B" w:rsidR="00FD2E77" w:rsidRPr="00277CAF" w:rsidRDefault="00277CAF" w:rsidP="00FD2E7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Drejtoria e Përgjithshme e Pronësisë Industriale,</w:t>
      </w:r>
    </w:p>
    <w:p w14:paraId="1B94DE33" w14:textId="5E52506E" w:rsidR="00FD2E77" w:rsidRPr="00277CAF" w:rsidRDefault="00277CAF" w:rsidP="00FD2E7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 xml:space="preserve">Zlatevski  Ljubisa </w:t>
      </w:r>
    </w:p>
    <w:p w14:paraId="27F301EB" w14:textId="277DB567"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OBJEKTI: Shfuqizimi i vendimit nr. 00-2022-464 (111), datë 21.3.2022</w:t>
      </w:r>
      <w:r w:rsidR="00226F27">
        <w:rPr>
          <w:rFonts w:ascii="Garamond" w:hAnsi="Garamond" w:cs="Times New Roman"/>
          <w:bCs/>
          <w:color w:val="000000"/>
          <w:sz w:val="24"/>
          <w:szCs w:val="24"/>
        </w:rPr>
        <w:t>,</w:t>
      </w:r>
      <w:r w:rsidRPr="00277CAF">
        <w:rPr>
          <w:rFonts w:ascii="Garamond" w:hAnsi="Garamond" w:cs="Times New Roman"/>
          <w:bCs/>
          <w:color w:val="000000"/>
          <w:sz w:val="24"/>
          <w:szCs w:val="24"/>
        </w:rPr>
        <w:t xml:space="preserve"> të Kolegjit Administrativ të Gjykatës së Lartë, si i papajtueshëm me Kushtetutën e Republikës së Shqipërisë.</w:t>
      </w:r>
    </w:p>
    <w:p w14:paraId="309D4FF1" w14:textId="20001703"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Cs/>
          <w:color w:val="000000"/>
          <w:sz w:val="24"/>
          <w:szCs w:val="24"/>
        </w:rPr>
        <w:t>Kthimi i çështjes për rigjykim në Gjykatën e Lartë.</w:t>
      </w:r>
    </w:p>
    <w:p w14:paraId="7CF8D771" w14:textId="3A0F0D6E"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7CAF">
        <w:rPr>
          <w:rFonts w:ascii="Garamond" w:hAnsi="Garamond" w:cs="Times New Roman"/>
          <w:bCs/>
          <w:color w:val="000000"/>
          <w:sz w:val="24"/>
          <w:szCs w:val="24"/>
        </w:rPr>
        <w:t>BAZA LIGJORE:</w:t>
      </w:r>
      <w:r w:rsidRPr="00277CAF">
        <w:rPr>
          <w:rFonts w:ascii="Garamond" w:hAnsi="Garamond" w:cs="Times New Roman"/>
          <w:b/>
          <w:bCs/>
          <w:color w:val="000000"/>
          <w:sz w:val="24"/>
          <w:szCs w:val="24"/>
        </w:rPr>
        <w:t xml:space="preserve"> </w:t>
      </w:r>
      <w:r w:rsidRPr="00277CAF">
        <w:rPr>
          <w:rFonts w:ascii="Garamond" w:hAnsi="Garamond" w:cs="Times New Roman"/>
          <w:color w:val="000000"/>
          <w:sz w:val="24"/>
          <w:szCs w:val="24"/>
        </w:rPr>
        <w:t xml:space="preserve">Nenet 41, 42, 131, pika 1, shkronja “f”, 134, pikat 1, shkronja “i” dhe 2, të Kushtetutës së Republikës së Shqipërisë; neni 6 i Konventës Evropiane për të Drejtat e Njeriut </w:t>
      </w:r>
      <w:r w:rsidRPr="00277CAF">
        <w:rPr>
          <w:rFonts w:ascii="Garamond" w:hAnsi="Garamond" w:cs="Times New Roman"/>
          <w:i/>
          <w:iCs/>
          <w:color w:val="000000"/>
          <w:sz w:val="24"/>
          <w:szCs w:val="24"/>
        </w:rPr>
        <w:t xml:space="preserve">(KEDNJ) </w:t>
      </w:r>
      <w:r w:rsidRPr="00277CAF">
        <w:rPr>
          <w:rFonts w:ascii="Garamond" w:hAnsi="Garamond" w:cs="Times New Roman"/>
          <w:color w:val="000000"/>
          <w:sz w:val="24"/>
          <w:szCs w:val="24"/>
        </w:rPr>
        <w:t xml:space="preserve">dhe neni 1 i </w:t>
      </w:r>
      <w:r w:rsidR="00277CAF" w:rsidRPr="00277CAF">
        <w:rPr>
          <w:rFonts w:ascii="Garamond" w:hAnsi="Garamond" w:cs="Times New Roman"/>
          <w:color w:val="000000"/>
          <w:sz w:val="24"/>
          <w:szCs w:val="24"/>
        </w:rPr>
        <w:t xml:space="preserve">protokollit </w:t>
      </w:r>
      <w:r w:rsidRPr="00277CAF">
        <w:rPr>
          <w:rFonts w:ascii="Garamond" w:hAnsi="Garamond" w:cs="Times New Roman"/>
          <w:color w:val="000000"/>
          <w:sz w:val="24"/>
          <w:szCs w:val="24"/>
        </w:rPr>
        <w:t>nr. 1 të saj; nenet 71 dhe 71/a të ligjit nr. 8577, datë 10.2.2000</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organizimin dhe funksionimin e Gjykatës Kushtetuese të Republikës së Shqipërisë”, të ndryshuar </w:t>
      </w:r>
      <w:r w:rsidRPr="00277CAF">
        <w:rPr>
          <w:rFonts w:ascii="Garamond" w:hAnsi="Garamond" w:cs="Times New Roman"/>
          <w:i/>
          <w:iCs/>
          <w:color w:val="000000"/>
          <w:sz w:val="24"/>
          <w:szCs w:val="24"/>
        </w:rPr>
        <w:t xml:space="preserve">(ligji nr. 8577/2000). </w:t>
      </w:r>
    </w:p>
    <w:p w14:paraId="716E00BC" w14:textId="77777777" w:rsidR="00FD2E77" w:rsidRPr="00277CAF" w:rsidRDefault="00FD2E77" w:rsidP="00FD2E77">
      <w:pPr>
        <w:tabs>
          <w:tab w:val="left" w:pos="840"/>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241F21B6"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277CAF">
        <w:rPr>
          <w:rFonts w:ascii="Garamond" w:hAnsi="Garamond" w:cs="Times New Roman"/>
          <w:bCs/>
          <w:color w:val="000000"/>
          <w:sz w:val="24"/>
          <w:szCs w:val="24"/>
        </w:rPr>
        <w:t>GJYKATA KUSHTETUESE,</w:t>
      </w:r>
    </w:p>
    <w:p w14:paraId="4026C07B" w14:textId="77777777" w:rsidR="000D0688" w:rsidRPr="00277CAF" w:rsidRDefault="000D0688" w:rsidP="00FD2E77">
      <w:pPr>
        <w:autoSpaceDE w:val="0"/>
        <w:autoSpaceDN w:val="0"/>
        <w:adjustRightInd w:val="0"/>
        <w:spacing w:after="0" w:line="240" w:lineRule="auto"/>
        <w:ind w:firstLine="284"/>
        <w:jc w:val="both"/>
        <w:rPr>
          <w:rFonts w:ascii="Garamond" w:hAnsi="Garamond" w:cs="Times New Roman"/>
          <w:color w:val="000000"/>
          <w:sz w:val="24"/>
          <w:szCs w:val="24"/>
        </w:rPr>
      </w:pPr>
    </w:p>
    <w:p w14:paraId="595D0EDE" w14:textId="3E7F993E"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pasi dëgjoi relatorin e çështjes Sandër Beci, mori në shqyrtim parashtrimet me shkrim të shoqërisë “Arseni” sh.p.k. </w:t>
      </w:r>
      <w:r w:rsidRPr="00277CAF">
        <w:rPr>
          <w:rFonts w:ascii="Garamond" w:hAnsi="Garamond" w:cs="Times New Roman"/>
          <w:i/>
          <w:iCs/>
          <w:color w:val="000000"/>
          <w:sz w:val="24"/>
          <w:szCs w:val="24"/>
        </w:rPr>
        <w:t>(kërkuesja)</w:t>
      </w:r>
      <w:r w:rsidRPr="00277CAF">
        <w:rPr>
          <w:rFonts w:ascii="Garamond" w:hAnsi="Garamond" w:cs="Times New Roman"/>
          <w:color w:val="000000"/>
          <w:sz w:val="24"/>
          <w:szCs w:val="24"/>
        </w:rPr>
        <w:t xml:space="preserve">, e cila ka kërkuar pranimin e kërkesës, prapësimet me shkrim të subjektit të interesuar, Drejtorisë së Përgjithshme të Pronësisë Industriale </w:t>
      </w:r>
      <w:r w:rsidRPr="00277CAF">
        <w:rPr>
          <w:rFonts w:ascii="Garamond" w:hAnsi="Garamond" w:cs="Times New Roman"/>
          <w:i/>
          <w:iCs/>
          <w:color w:val="000000"/>
          <w:sz w:val="24"/>
          <w:szCs w:val="24"/>
        </w:rPr>
        <w:t>(DPPI)</w:t>
      </w:r>
      <w:r w:rsidRPr="00277CAF">
        <w:rPr>
          <w:rFonts w:ascii="Garamond" w:hAnsi="Garamond" w:cs="Times New Roman"/>
          <w:color w:val="000000"/>
          <w:sz w:val="24"/>
          <w:szCs w:val="24"/>
        </w:rPr>
        <w:t>, që ka kërkuar rrëzimin e kërkesës, konstatoi mungesën e prapësimeve me shkrim të subjektit të interesuar, Zvlatevski Ljubisës, si dhe diskutoi çështjen në tërësi,</w:t>
      </w:r>
    </w:p>
    <w:p w14:paraId="62104CFD" w14:textId="77777777"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p>
    <w:p w14:paraId="266666CB" w14:textId="319A16C8" w:rsidR="00FD2E77" w:rsidRPr="00277CAF" w:rsidRDefault="00FD2E77" w:rsidP="00FD2E77">
      <w:pPr>
        <w:autoSpaceDE w:val="0"/>
        <w:autoSpaceDN w:val="0"/>
        <w:adjustRightInd w:val="0"/>
        <w:spacing w:after="0" w:line="240" w:lineRule="auto"/>
        <w:ind w:firstLine="284"/>
        <w:jc w:val="center"/>
        <w:rPr>
          <w:rFonts w:ascii="Garamond" w:hAnsi="Garamond" w:cs="Times New Roman"/>
          <w:bCs/>
          <w:color w:val="000000"/>
          <w:sz w:val="24"/>
          <w:szCs w:val="24"/>
        </w:rPr>
      </w:pPr>
      <w:r w:rsidRPr="00277CAF">
        <w:rPr>
          <w:rFonts w:ascii="Garamond" w:hAnsi="Garamond" w:cs="Times New Roman"/>
          <w:bCs/>
          <w:color w:val="000000"/>
          <w:sz w:val="24"/>
          <w:szCs w:val="24"/>
        </w:rPr>
        <w:t>VËREN:</w:t>
      </w:r>
    </w:p>
    <w:p w14:paraId="1C55FAAE" w14:textId="77777777" w:rsidR="000D0688" w:rsidRPr="00277CAF" w:rsidRDefault="000D0688" w:rsidP="00FD2E77">
      <w:pPr>
        <w:autoSpaceDE w:val="0"/>
        <w:autoSpaceDN w:val="0"/>
        <w:adjustRightInd w:val="0"/>
        <w:spacing w:after="0" w:line="240" w:lineRule="auto"/>
        <w:ind w:firstLine="284"/>
        <w:jc w:val="center"/>
        <w:rPr>
          <w:rFonts w:ascii="Garamond" w:hAnsi="Garamond" w:cs="Times New Roman"/>
          <w:bCs/>
          <w:color w:val="000000"/>
          <w:sz w:val="24"/>
          <w:szCs w:val="24"/>
        </w:rPr>
      </w:pPr>
    </w:p>
    <w:p w14:paraId="41824E44" w14:textId="34B845AE"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I</w:t>
      </w:r>
    </w:p>
    <w:p w14:paraId="3F015C59" w14:textId="77777777"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Rrethanat e çështjes</w:t>
      </w:r>
    </w:p>
    <w:p w14:paraId="549A0B81" w14:textId="77777777" w:rsidR="000D0688" w:rsidRPr="00277CAF" w:rsidRDefault="000D0688" w:rsidP="00FD2E7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p>
    <w:p w14:paraId="32408D69" w14:textId="16CE8FAA"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 Në datën 6.11.2008 Drejtoria e Përgjithshme e  Patentave dhe Markave </w:t>
      </w:r>
      <w:r w:rsidRPr="00277CAF">
        <w:rPr>
          <w:rFonts w:ascii="Garamond" w:hAnsi="Garamond" w:cs="Times New Roman"/>
          <w:i/>
          <w:iCs/>
          <w:color w:val="000000"/>
          <w:sz w:val="24"/>
          <w:szCs w:val="24"/>
        </w:rPr>
        <w:t>(sot DPPI)</w:t>
      </w:r>
      <w:r w:rsidRPr="00277CAF">
        <w:rPr>
          <w:rFonts w:ascii="Garamond" w:hAnsi="Garamond" w:cs="Times New Roman"/>
          <w:color w:val="000000"/>
          <w:sz w:val="24"/>
          <w:szCs w:val="24"/>
        </w:rPr>
        <w:t>, në përputhje me dispozitat e ligjit të kohës nr. 7819, datë 27.4.1994</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pronësinë industriale”, ka regjistruar në emër të shoqërisë Neniko Dooel Ljubisa, me adresë Fazanerija 96 Gostivar, R. Makedonija MK, markën me nr. 11992 regjistrimi kombëtar, për pijen B-52 Energy Drink </w:t>
      </w:r>
      <w:r w:rsidRPr="00277CAF">
        <w:rPr>
          <w:rFonts w:ascii="Garamond" w:hAnsi="Garamond" w:cs="Times New Roman"/>
          <w:i/>
          <w:iCs/>
          <w:color w:val="000000"/>
          <w:sz w:val="24"/>
          <w:szCs w:val="24"/>
        </w:rPr>
        <w:t>(B-52)</w:t>
      </w:r>
      <w:r w:rsidRPr="00277CAF">
        <w:rPr>
          <w:rFonts w:ascii="Garamond" w:hAnsi="Garamond" w:cs="Times New Roman"/>
          <w:color w:val="000000"/>
          <w:sz w:val="24"/>
          <w:szCs w:val="24"/>
        </w:rPr>
        <w:t xml:space="preserve">, sipas elementeve përkatëse. </w:t>
      </w:r>
    </w:p>
    <w:p w14:paraId="717DCF21" w14:textId="0D6A1F7D"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 xml:space="preserve">2. Në datën 16.6.2010, me kontratën nr. 3076 rep., nr. 2163 kol., shoqëria Neniko Dooel Ljubisa, përfaqësuar nga shtetasi Zlatevski Ljubisa, i ka shitur kërkueses markën, emrin, si dhe të gjitha të drejtat për këtë pije, jo vetëm në Shqipëri, por edhe në vendet e tjera ku ajo është e pajisur </w:t>
      </w:r>
      <w:r w:rsidRPr="00277CAF">
        <w:rPr>
          <w:rFonts w:ascii="Garamond" w:hAnsi="Garamond" w:cs="Times New Roman"/>
          <w:color w:val="000000"/>
          <w:sz w:val="24"/>
          <w:szCs w:val="24"/>
        </w:rPr>
        <w:lastRenderedPageBreak/>
        <w:t xml:space="preserve">me patentë. Kontrata e shitjes është e regjistruar në Drejtorinë e Përgjithshme të Patentave dhe Markave </w:t>
      </w:r>
      <w:r w:rsidRPr="00277CAF">
        <w:rPr>
          <w:rFonts w:ascii="Garamond" w:hAnsi="Garamond" w:cs="Times New Roman"/>
          <w:i/>
          <w:iCs/>
          <w:color w:val="000000"/>
          <w:sz w:val="24"/>
          <w:szCs w:val="24"/>
        </w:rPr>
        <w:t>(DPPM)</w:t>
      </w:r>
      <w:r w:rsidRPr="00277CAF">
        <w:rPr>
          <w:rFonts w:ascii="Garamond" w:hAnsi="Garamond" w:cs="Calibri"/>
          <w:color w:val="000000"/>
          <w:sz w:val="24"/>
          <w:szCs w:val="24"/>
        </w:rPr>
        <w:t>.</w:t>
      </w:r>
    </w:p>
    <w:p w14:paraId="02802AF7" w14:textId="32BB454B"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 Në datën 14.11.2013 kërkuesja i është drejtuar DPPM-së me kërkesë për regjistrimin e transferimit, në favor të saj, të pronësisë për markën ndërkombëtare B-52, me nr. 977607 regjistrimi ndërkombëtar. Në vijim, në datën 10.4.2014</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DPPM-ja ka dërguar pranë Organizatës Botërore të Pronësisë Intelektuale </w:t>
      </w:r>
      <w:r w:rsidRPr="00277CAF">
        <w:rPr>
          <w:rFonts w:ascii="Garamond" w:hAnsi="Garamond" w:cs="Times New Roman"/>
          <w:i/>
          <w:iCs/>
          <w:color w:val="000000"/>
          <w:sz w:val="24"/>
          <w:szCs w:val="24"/>
        </w:rPr>
        <w:t>(WIPO)</w:t>
      </w:r>
      <w:r w:rsidRPr="00277CAF">
        <w:rPr>
          <w:rFonts w:ascii="Garamond" w:hAnsi="Garamond" w:cs="Times New Roman"/>
          <w:color w:val="000000"/>
          <w:sz w:val="24"/>
          <w:szCs w:val="24"/>
        </w:rPr>
        <w:t xml:space="preserve"> formularin përkatës për ndryshimin e pronësisë për markën ndërkombëtare me nr. 977607 regjistrimi nga pronari Zlatevski Ljubisa te kërkuesja.</w:t>
      </w:r>
    </w:p>
    <w:p w14:paraId="09FCF085" w14:textId="16549B44"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4. Me urdhrin nr. 13, datë 15.4.2014 </w:t>
      </w:r>
      <w:r w:rsidRPr="00277CAF">
        <w:rPr>
          <w:rFonts w:ascii="Garamond" w:hAnsi="Garamond" w:cs="Times New Roman"/>
          <w:i/>
          <w:iCs/>
          <w:color w:val="000000"/>
          <w:sz w:val="24"/>
          <w:szCs w:val="24"/>
        </w:rPr>
        <w:t>(urdhri nr. 13/2014)</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regjistruar me nr. 19 prot., datë 15.4.2014, DPPM-ja ka urdhëruar revokimin e transferimit (ndryshimit) të pronësisë së markës ndërkombëtare, si dhe lënien e kësaj marke në pronësi të pronarit Zlatevski Ljubisa; njoftimin e WIPO-s për pasqyrimin e këtij ndryshimi; njoftimin e palëve të interesuara për këtë ndryshim.</w:t>
      </w:r>
      <w:r w:rsidRPr="00277CAF">
        <w:rPr>
          <w:rFonts w:ascii="Garamond" w:hAnsi="Garamond" w:cs="Times New Roman"/>
          <w:i/>
          <w:iCs/>
          <w:color w:val="000000"/>
          <w:sz w:val="24"/>
          <w:szCs w:val="24"/>
        </w:rPr>
        <w:t xml:space="preserve"> </w:t>
      </w:r>
      <w:r w:rsidRPr="00277CAF">
        <w:rPr>
          <w:rFonts w:ascii="Garamond" w:hAnsi="Garamond" w:cs="Times New Roman"/>
          <w:color w:val="000000"/>
          <w:sz w:val="24"/>
          <w:szCs w:val="24"/>
        </w:rPr>
        <w:t>Sipas DPPM-së, transferimi i pronësisë së markës ndërkombëtare nga pronari Zlatevski Ljubisa te kërkuesja është bërë gabimisht, bazuar në një kontratë shitjeje me anë të së cilës bëhet transferimi i pronësisë së një marke tjetër tregtare, konkretisht i markës kombëtare me nr. 11992 regjistrimi.</w:t>
      </w:r>
    </w:p>
    <w:p w14:paraId="47A3C6EE" w14:textId="46D53068"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5. Kërkuesja i është drejtuar me kërkesëpadi Gjykatës Administrative të Shkallës së Parë Tiranë, duke kërkuar konstatimin e pavlefshmërisë absolute të urdhrit nr. 13/2014, me nr. 19 prot., datë 15.4.2014 të DPPM-së; pezullimin e ekzekutimit të këtij akti administrativ deri në përfundim të gjykimit me një vendim të formës së prerë.</w:t>
      </w:r>
    </w:p>
    <w:p w14:paraId="71137429" w14:textId="7BAEE22A"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6. Me vendimin nr. 4986, datë 22.9.2014, Gjykata Administrative e Shkallës së Parë Tiranë ka vendosur pranimin pjesërisht të kërkesëpadisë së paditëses shoqëria “Arseni” sh.p.k. kundër DPPM-së dhe ndërhyrësit dytësor Zlatevski Ljubisa; konstatimin e pavlefshmërisë absolute të urdhrit nr. 13/2014 të DPPM-së; rrëzimin e kërkimit për ekzekutimin e përkohshëm të vendimit. Gjykata ka arsyetuar, ndër të tjera, se asnjë organ administrativ nuk mund të revokojë një akt administrativ të nxjerrë prej tij nëse ligji i posaçëm që rregullon veprimtarinë funksionale të tij nuk ia ka njohur shprehimisht këtë të drejtë dhe në revokimin e transferimit të pronësisë së markës ndërkombëtare me nr. 977607 nga Zlatevski Ljubisa te kërkuesja, DPPM-ja ka vepruar në kapërcim të kompetencave të njohura me ligj. Po sipas gjykatës, asnjë nga dispozitat e ligjit të posaçëm nr. 9947, datë 7.7.2008</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pronësinë industriale” </w:t>
      </w:r>
      <w:r w:rsidRPr="00277CAF">
        <w:rPr>
          <w:rFonts w:ascii="Garamond" w:hAnsi="Garamond" w:cs="Times New Roman"/>
          <w:i/>
          <w:iCs/>
          <w:color w:val="000000"/>
          <w:sz w:val="24"/>
          <w:szCs w:val="24"/>
        </w:rPr>
        <w:t>(ligji nr. 9947/2008)</w:t>
      </w:r>
      <w:r w:rsidRPr="00277CAF">
        <w:rPr>
          <w:rFonts w:ascii="Garamond" w:hAnsi="Garamond" w:cs="Times New Roman"/>
          <w:color w:val="000000"/>
          <w:sz w:val="24"/>
          <w:szCs w:val="24"/>
        </w:rPr>
        <w:t xml:space="preserve">, që rregullon veprimtarinë dhe kompetencat e DPPM-së, nuk parashikon mundësinë që ky organ të revokojë aktet e tij, të paligjshme ose jo. Për rrjedhojë, bazuar në nenin 116/b të Kodit të Procedurës Administrative </w:t>
      </w:r>
      <w:r w:rsidRPr="00277CAF">
        <w:rPr>
          <w:rFonts w:ascii="Garamond" w:hAnsi="Garamond" w:cs="Times New Roman"/>
          <w:i/>
          <w:iCs/>
          <w:color w:val="000000"/>
          <w:sz w:val="24"/>
          <w:szCs w:val="24"/>
        </w:rPr>
        <w:t>(KPA)</w:t>
      </w:r>
      <w:r w:rsidRPr="00277CAF">
        <w:rPr>
          <w:rFonts w:ascii="Garamond" w:hAnsi="Garamond" w:cs="Calibri"/>
          <w:i/>
          <w:iCs/>
          <w:color w:val="000000"/>
          <w:sz w:val="24"/>
          <w:szCs w:val="24"/>
        </w:rPr>
        <w:t>,</w:t>
      </w:r>
      <w:r w:rsidRPr="00277CAF">
        <w:rPr>
          <w:rFonts w:ascii="Garamond" w:hAnsi="Garamond" w:cs="Times New Roman"/>
          <w:i/>
          <w:iCs/>
          <w:color w:val="000000"/>
          <w:sz w:val="24"/>
          <w:szCs w:val="24"/>
        </w:rPr>
        <w:t xml:space="preserve"> </w:t>
      </w:r>
      <w:r w:rsidRPr="00277CAF">
        <w:rPr>
          <w:rFonts w:ascii="Garamond" w:hAnsi="Garamond" w:cs="Times New Roman"/>
          <w:color w:val="000000"/>
          <w:sz w:val="24"/>
          <w:szCs w:val="24"/>
        </w:rPr>
        <w:t xml:space="preserve">urdhri nr. 13/2014 i DPPM-së është vlerësuar prej saj si absolutisht i pavlefshëm </w:t>
      </w:r>
      <w:r w:rsidRPr="00277CAF">
        <w:rPr>
          <w:rFonts w:ascii="Garamond" w:hAnsi="Garamond" w:cs="Times New Roman"/>
          <w:i/>
          <w:iCs/>
          <w:color w:val="000000"/>
          <w:sz w:val="24"/>
          <w:szCs w:val="24"/>
        </w:rPr>
        <w:t>(shih vendimin nr. 4986, datë 22.9.2014</w:t>
      </w:r>
      <w:r w:rsidR="00277CAF">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Administrative të Shkallës së Parë Tiranë, faqet 3 dhe 5, paragrafët e fundit)</w:t>
      </w:r>
      <w:r w:rsidRPr="00277CAF">
        <w:rPr>
          <w:rFonts w:ascii="Garamond" w:hAnsi="Garamond" w:cs="Calibri"/>
          <w:color w:val="000000"/>
          <w:sz w:val="24"/>
          <w:szCs w:val="24"/>
        </w:rPr>
        <w:t>.</w:t>
      </w:r>
    </w:p>
    <w:p w14:paraId="125C4667" w14:textId="7F276408"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7. Mbi ankimin e DPPM-së dhe të Zvatevski Ljubisës, me vendimin nr. 345, datë 2.2.2017, Gjykata Administrative e Apelit,</w:t>
      </w:r>
      <w:r w:rsidRPr="00277CAF">
        <w:rPr>
          <w:rFonts w:ascii="Garamond" w:hAnsi="Garamond" w:cs="Times New Roman"/>
          <w:b/>
          <w:bCs/>
          <w:color w:val="000000"/>
          <w:sz w:val="24"/>
          <w:szCs w:val="24"/>
        </w:rPr>
        <w:t xml:space="preserve"> </w:t>
      </w:r>
      <w:r w:rsidRPr="00277CAF">
        <w:rPr>
          <w:rFonts w:ascii="Garamond" w:hAnsi="Garamond" w:cs="Times New Roman"/>
          <w:color w:val="000000"/>
          <w:sz w:val="24"/>
          <w:szCs w:val="24"/>
        </w:rPr>
        <w:t xml:space="preserve">duke e vlerësuar të drejtë, ka vendosur lënien në fuqi të vendimit nr. 4986, datë 22.9.2014 të Gjykatës Administrative të Shkallës së Parë Tiranë, me të njëjtin arsyetim </w:t>
      </w:r>
      <w:r w:rsidRPr="00277CAF">
        <w:rPr>
          <w:rFonts w:ascii="Garamond" w:hAnsi="Garamond" w:cs="Times New Roman"/>
          <w:i/>
          <w:iCs/>
          <w:color w:val="000000"/>
          <w:sz w:val="24"/>
          <w:szCs w:val="24"/>
        </w:rPr>
        <w:t>(shih vendimin nr. 345, datë 2.2.2017</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Administrative të Apelit, faqja 5, paragrafi i parafundit dhe faqja 6)</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Kundër vendimit të Gjykatës Administrative të Apelit kanë ushtruar rekurs DPPM-ja, si dhe Zlatevski Ljubisa, në cilësinë e personit të tretë në gjykim. </w:t>
      </w:r>
    </w:p>
    <w:p w14:paraId="79059A7B" w14:textId="027EB80A" w:rsidR="00FD2E77" w:rsidRPr="00277CAF" w:rsidRDefault="00FD2E77" w:rsidP="00FD2E7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8. Me vendimin nr. 00-2022-464 (111), datë 21.3.2022, Gjykata e Lartë ka vendosur ndryshimin e vendimeve të gjykatave më të ulëta dhe rrëzimin e padisë, duke vlerësuar se këto të fundit nuk kanë interpretuar dhe zbatuar drejt kërkesat e ligjit material. Sipas gjykatës, shkaqet dhe arsyetimi ligjor i përdorur nga organi publik për rivendosjen e ligjshmërisë nuk lidhen me konceptin e revokimit të një akti administrativ, por me atë të konstatimit dhe rregullimit të pasojave të një akti administrativ absolutisht të pavlefshëm, nul, i cili ka dalë në kundërshtim të hapur dhe flagrant me kriteret për transferimin e pronësisë së markës</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të parashikuara nga neni 162/2 i ligjit nr. 9947/2008, ku gjen zbatim neni 123 i KPA-së së vitit 1999 në fuqi në kohën e lindjes së mosmarrëveshjes. Në rastin konkret</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nuk bëhet fjalë për pavlefshmëri relative, por për pavlefshmëri absolute, e cila mund të konstatohet nga vetë organi që e ka nxjerrë aktin, në çdo kohë. Shoqëria “Arseni” sh.p.k. nuk ka interes të ligjshëm material në ngritjen e padisë, pasi i referohet kontratës</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datë 16.6.2010</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për regjistrimin e markës kombëtare B-52 me nr. 11992 </w:t>
      </w:r>
      <w:r w:rsidRPr="00277CAF">
        <w:rPr>
          <w:rFonts w:ascii="Garamond" w:hAnsi="Garamond" w:cs="Times New Roman"/>
          <w:color w:val="000000"/>
          <w:sz w:val="24"/>
          <w:szCs w:val="24"/>
        </w:rPr>
        <w:lastRenderedPageBreak/>
        <w:t xml:space="preserve">regjistrimi, ndërkohë që akti i revokimit objekt gjykimi ka të bëjë me një tjetër markë të regjistruar në emër të Zlatevski Ljubisës që mban nr. 977607 regjistri, për të cilën ajo nuk disponon një marrëveshje të nënshkruar nga të dyja palët për transferimin e pronësisë, si kusht i parashikuar në nenin 162/2 të ligjit nr. 9947/2008 </w:t>
      </w:r>
      <w:r w:rsidRPr="00277CAF">
        <w:rPr>
          <w:rFonts w:ascii="Garamond" w:hAnsi="Garamond" w:cs="Times New Roman"/>
          <w:i/>
          <w:iCs/>
          <w:color w:val="000000"/>
          <w:sz w:val="24"/>
          <w:szCs w:val="24"/>
        </w:rPr>
        <w:t>(shih vendimin nr. 00-2022-464 (111), datë 21.3.2022</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Kolegjit Administrativ të Gjykatës së Lartë, faqet 6 dhe 7, paragrafët 26 dhe 28)</w:t>
      </w:r>
      <w:r w:rsidRPr="00277CAF">
        <w:rPr>
          <w:rFonts w:ascii="Garamond" w:hAnsi="Garamond" w:cs="Calibri"/>
          <w:color w:val="000000"/>
          <w:sz w:val="24"/>
          <w:szCs w:val="24"/>
        </w:rPr>
        <w:t>.</w:t>
      </w:r>
    </w:p>
    <w:p w14:paraId="6704624F" w14:textId="1CA50A09"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 xml:space="preserve">9. Në datën 20.7.2022 kërkuesja i është drejtuar Gjykatës Kushtetuese </w:t>
      </w:r>
      <w:r w:rsidRPr="00277CAF">
        <w:rPr>
          <w:rFonts w:ascii="Garamond" w:hAnsi="Garamond" w:cs="Times New Roman"/>
          <w:i/>
          <w:iCs/>
          <w:color w:val="000000"/>
          <w:sz w:val="24"/>
          <w:szCs w:val="24"/>
        </w:rPr>
        <w:t xml:space="preserve">(Gjykata) </w:t>
      </w:r>
      <w:r w:rsidRPr="00277CAF">
        <w:rPr>
          <w:rFonts w:ascii="Garamond" w:hAnsi="Garamond" w:cs="Times New Roman"/>
          <w:color w:val="000000"/>
          <w:sz w:val="24"/>
          <w:szCs w:val="24"/>
        </w:rPr>
        <w:t>me kërkesë për shfuqizimin e vendimit nr. 00-2022-464 (111), datë 21.3.2022</w:t>
      </w:r>
      <w:r w:rsidR="00226F27">
        <w:rPr>
          <w:rFonts w:ascii="Garamond" w:hAnsi="Garamond" w:cs="Times New Roman"/>
          <w:color w:val="000000"/>
          <w:sz w:val="24"/>
          <w:szCs w:val="24"/>
        </w:rPr>
        <w:t>,</w:t>
      </w:r>
      <w:r w:rsidRPr="00277CAF">
        <w:rPr>
          <w:rFonts w:ascii="Garamond" w:hAnsi="Garamond" w:cs="Times New Roman"/>
          <w:color w:val="000000"/>
          <w:sz w:val="24"/>
          <w:szCs w:val="24"/>
        </w:rPr>
        <w:t xml:space="preserve"> të Kolegjit Administrativ të Gjykatës së Lartë, si të papajtueshëm me Kushtetutën e Republikës së Shqipërisë</w:t>
      </w:r>
      <w:r w:rsidRPr="00277CAF">
        <w:rPr>
          <w:rFonts w:ascii="Garamond" w:hAnsi="Garamond" w:cs="Calibri"/>
          <w:color w:val="000000"/>
          <w:sz w:val="24"/>
          <w:szCs w:val="24"/>
        </w:rPr>
        <w:t>.</w:t>
      </w:r>
    </w:p>
    <w:p w14:paraId="2E3C53D5" w14:textId="2F0ACA94"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10. Me ligjin nr. 17/2017, datë 16.2.2017</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disa ndryshime dhe shtesa në ligjin nr. 9947, datë 7.7.2008</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pronësinë industriale”, të ndryshuar”, emërtimi i DPPM-së është zëvendësuar me DPPI-në. Për rrjedhojë, në tekstin e këtij vendimi, emërtimet e këtij institucioni janë përdorur në përkëmbim respektiv të njëri-tjetrit, duke iu referuar kohës kur janë kryer veprime prej tij.</w:t>
      </w:r>
    </w:p>
    <w:p w14:paraId="5B68D1C4"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eastAsia="MS Mincho" w:hAnsi="Garamond" w:cs="MS Mincho"/>
          <w:b/>
          <w:bCs/>
          <w:color w:val="000000"/>
          <w:sz w:val="24"/>
          <w:szCs w:val="24"/>
        </w:rPr>
      </w:pPr>
    </w:p>
    <w:p w14:paraId="5F443FAB"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eastAsia="MS Mincho" w:hAnsi="Garamond" w:cs="MS Mincho"/>
          <w:b/>
          <w:bCs/>
          <w:color w:val="000000"/>
          <w:sz w:val="24"/>
          <w:szCs w:val="24"/>
        </w:rPr>
      </w:pPr>
      <w:r w:rsidRPr="00277CAF">
        <w:rPr>
          <w:rFonts w:ascii="Garamond" w:hAnsi="Garamond" w:cs="Times New Roman"/>
          <w:b/>
          <w:bCs/>
          <w:color w:val="000000"/>
          <w:sz w:val="24"/>
          <w:szCs w:val="24"/>
        </w:rPr>
        <w:t>II</w:t>
      </w:r>
    </w:p>
    <w:p w14:paraId="584B5970"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Pretendimet në Gjykatën Kushtetuese</w:t>
      </w:r>
    </w:p>
    <w:p w14:paraId="7307EA53" w14:textId="77777777" w:rsidR="000D0688" w:rsidRPr="00277CAF" w:rsidRDefault="000D0688" w:rsidP="00FD2E77">
      <w:pPr>
        <w:tabs>
          <w:tab w:val="left" w:pos="1080"/>
        </w:tabs>
        <w:autoSpaceDE w:val="0"/>
        <w:autoSpaceDN w:val="0"/>
        <w:adjustRightInd w:val="0"/>
        <w:spacing w:after="0" w:line="240" w:lineRule="auto"/>
        <w:ind w:firstLine="284"/>
        <w:jc w:val="both"/>
        <w:rPr>
          <w:rFonts w:ascii="Garamond" w:hAnsi="Garamond" w:cs="Times New Roman"/>
          <w:b/>
          <w:bCs/>
          <w:i/>
          <w:iCs/>
          <w:color w:val="222222"/>
          <w:sz w:val="24"/>
          <w:szCs w:val="24"/>
        </w:rPr>
      </w:pPr>
    </w:p>
    <w:p w14:paraId="5DB3011E" w14:textId="7F68D031"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b/>
          <w:bCs/>
          <w:i/>
          <w:iCs/>
          <w:color w:val="222222"/>
          <w:sz w:val="24"/>
          <w:szCs w:val="24"/>
        </w:rPr>
        <w:t>11. Kërkuesja</w:t>
      </w:r>
      <w:r w:rsidRPr="00277CAF">
        <w:rPr>
          <w:rFonts w:ascii="Garamond" w:hAnsi="Garamond" w:cs="Times New Roman"/>
          <w:color w:val="222222"/>
          <w:sz w:val="24"/>
          <w:szCs w:val="24"/>
        </w:rPr>
        <w:t>, në mënyrë të përmbledhur, ka pretenduar se i janë cenuar:</w:t>
      </w:r>
    </w:p>
    <w:p w14:paraId="373EB729" w14:textId="28FD3B93" w:rsidR="00FD2E77" w:rsidRPr="00277CAF" w:rsidRDefault="00FD2E77" w:rsidP="00FD2E77">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222222"/>
          <w:sz w:val="24"/>
          <w:szCs w:val="24"/>
        </w:rPr>
        <w:t xml:space="preserve">11.1. </w:t>
      </w:r>
      <w:r w:rsidRPr="00277CAF">
        <w:rPr>
          <w:rFonts w:ascii="Garamond" w:hAnsi="Garamond" w:cs="Times New Roman"/>
          <w:i/>
          <w:iCs/>
          <w:color w:val="222222"/>
          <w:sz w:val="24"/>
          <w:szCs w:val="24"/>
        </w:rPr>
        <w:t>E drejta për proces të rregullt ligjor</w:t>
      </w:r>
      <w:r w:rsidRPr="00277CAF">
        <w:rPr>
          <w:rFonts w:ascii="Garamond" w:hAnsi="Garamond" w:cs="Times New Roman"/>
          <w:color w:val="222222"/>
          <w:sz w:val="24"/>
          <w:szCs w:val="24"/>
        </w:rPr>
        <w:t xml:space="preserve"> në drejtim të:</w:t>
      </w:r>
    </w:p>
    <w:p w14:paraId="7C0582DF" w14:textId="49FDB7F0" w:rsidR="00FD2E77" w:rsidRPr="00277CAF" w:rsidRDefault="00FD2E77" w:rsidP="00FD2E77">
      <w:pPr>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11.1.1. </w:t>
      </w:r>
      <w:r w:rsidRPr="00277CAF">
        <w:rPr>
          <w:rFonts w:ascii="Garamond" w:hAnsi="Garamond" w:cs="Times New Roman"/>
          <w:i/>
          <w:iCs/>
          <w:color w:val="000000"/>
          <w:sz w:val="24"/>
          <w:szCs w:val="24"/>
        </w:rPr>
        <w:t>Parimit të gjykimit nga një gjykatë e caktuar me ligj,</w:t>
      </w:r>
      <w:r w:rsidRPr="00277CAF">
        <w:rPr>
          <w:rFonts w:ascii="Garamond" w:hAnsi="Garamond" w:cs="Times New Roman"/>
          <w:color w:val="000000"/>
          <w:sz w:val="24"/>
          <w:szCs w:val="24"/>
        </w:rPr>
        <w:t xml:space="preserve"> pasi Gjykata e Lartë ka bërë vlerësim të ndryshëm të provave dhe fakteve nga vlerësimi i bërë nga organi administrativ dhe gjykatat më të ulëta, duke i dhënë kuptim tjetër natyrës së aktit administrativ që qëndron në thelb të mosmarrëveshjes mes palëve. Duke mbajtur qëndrimin se urdhri i revokimit është akt për konstatimin e pavlefshmërisë absolute të veprimit juridik të kryer nga DPPM-ja, Gjykata e Lartë ka bërë vlerësim të ndryshëm të situatës faktike të mosmarrëveshjes, duke ndryshuar natyrën juridike të aktit dhe referencën ligjore. Vetë DPPM-ja nuk e ka konsideruar aktin e saj si absolutisht të pavlefshëm dhe nga subjektet e interesuara nuk është pretenduar asnjëherë pavlefshmëria absolute, por paligjshmëria e vendimit të revokimit. Po kështu, në vendim, Gjykata e Lartë u referohet disa provave, të cilat nuk rezulton të jenë pranuar në të njëjtën mënyrë siç arsyeton ajo nga gjykatat më të ulëta.</w:t>
      </w:r>
    </w:p>
    <w:p w14:paraId="7A7AA330" w14:textId="4C0A6F13" w:rsidR="00FD2E77" w:rsidRPr="00277CAF" w:rsidRDefault="00FD2E77" w:rsidP="00FD2E77">
      <w:pPr>
        <w:tabs>
          <w:tab w:val="left" w:pos="1340"/>
          <w:tab w:val="left" w:pos="152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11.1.2. </w:t>
      </w:r>
      <w:r w:rsidRPr="00277CAF">
        <w:rPr>
          <w:rFonts w:ascii="Garamond" w:hAnsi="Garamond" w:cs="Times New Roman"/>
          <w:i/>
          <w:iCs/>
          <w:color w:val="000000"/>
          <w:sz w:val="24"/>
          <w:szCs w:val="24"/>
        </w:rPr>
        <w:t>Së drejtës për t’u dëgjuar</w:t>
      </w:r>
      <w:r w:rsidRPr="00277CAF">
        <w:rPr>
          <w:rFonts w:ascii="Garamond" w:hAnsi="Garamond" w:cs="Times New Roman"/>
          <w:color w:val="000000"/>
          <w:sz w:val="24"/>
          <w:szCs w:val="24"/>
        </w:rPr>
        <w:t>,</w:t>
      </w:r>
      <w:r w:rsidRPr="00277CAF">
        <w:rPr>
          <w:rFonts w:ascii="Garamond" w:hAnsi="Garamond" w:cs="Times New Roman"/>
          <w:i/>
          <w:iCs/>
          <w:color w:val="000000"/>
          <w:sz w:val="24"/>
          <w:szCs w:val="24"/>
        </w:rPr>
        <w:t xml:space="preserve"> </w:t>
      </w:r>
      <w:r w:rsidRPr="00277CAF">
        <w:rPr>
          <w:rFonts w:ascii="Garamond" w:hAnsi="Garamond" w:cs="Times New Roman"/>
          <w:color w:val="000000"/>
          <w:sz w:val="24"/>
          <w:szCs w:val="24"/>
        </w:rPr>
        <w:t>pasi Gjykata e Lartë e ka gjykuar çështjen në dhomën e këshillimit pa praninë e palëve, në kundërshtim me nenin 62, pika 1, shkronjat “b” dhe “c”, të ligjit nr. 49/2012</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gjykatat administrative dhe gjykimin e mosmarrëveshjeve administrative”, të ndryshuar </w:t>
      </w:r>
      <w:r w:rsidRPr="00277CAF">
        <w:rPr>
          <w:rFonts w:ascii="Garamond" w:hAnsi="Garamond" w:cs="Times New Roman"/>
          <w:i/>
          <w:iCs/>
          <w:color w:val="000000"/>
          <w:sz w:val="24"/>
          <w:szCs w:val="24"/>
        </w:rPr>
        <w:t>(ligji nr. 49/2012)</w:t>
      </w:r>
      <w:r w:rsidRPr="00277CAF">
        <w:rPr>
          <w:rFonts w:ascii="Garamond" w:hAnsi="Garamond" w:cs="Times New Roman"/>
          <w:color w:val="000000"/>
          <w:sz w:val="24"/>
          <w:szCs w:val="24"/>
        </w:rPr>
        <w:t>. Kjo gjykatë nuk e ka shqyrtuar çështjen në seancë gjyqësore me praninë e palëve edhe pse ka pranuar se vendimmarrja e gjykatave më të ulëta është në kundërshtim me praktikën e saj gjyqësore, duke i mohuar në këtë mënyrë kërkueses të drejtën për të parashtruar pretendimet e saj. Në kushtet kur ka ndryshuar cilësimin juridik të aktit të kundërshtuar nga një akt revokues në absolutisht të pavlefshëm, Gjykata e Lartë duhej të thërriste palët në seancë në mënyrë që të dëgjonte pretendimet e tyre në këtë drejtim.</w:t>
      </w:r>
    </w:p>
    <w:p w14:paraId="4DD36425" w14:textId="1DD2F97E" w:rsidR="00FD2E77" w:rsidRPr="00277CAF" w:rsidRDefault="00FD2E77" w:rsidP="00FD2E77">
      <w:pPr>
        <w:tabs>
          <w:tab w:val="left" w:pos="1340"/>
          <w:tab w:val="left" w:pos="1520"/>
          <w:tab w:val="left" w:pos="1700"/>
        </w:tabs>
        <w:autoSpaceDE w:val="0"/>
        <w:autoSpaceDN w:val="0"/>
        <w:adjustRightInd w:val="0"/>
        <w:spacing w:after="0" w:line="240" w:lineRule="auto"/>
        <w:ind w:firstLine="284"/>
        <w:jc w:val="both"/>
        <w:rPr>
          <w:rFonts w:ascii="Garamond" w:hAnsi="Garamond" w:cs="Times New Roman"/>
          <w:color w:val="222222"/>
          <w:sz w:val="24"/>
          <w:szCs w:val="24"/>
        </w:rPr>
      </w:pPr>
      <w:r w:rsidRPr="00277CAF">
        <w:rPr>
          <w:rFonts w:ascii="Garamond" w:hAnsi="Garamond" w:cs="Times New Roman"/>
          <w:color w:val="000000"/>
          <w:sz w:val="24"/>
          <w:szCs w:val="24"/>
        </w:rPr>
        <w:t xml:space="preserve">11.1.3. </w:t>
      </w:r>
      <w:r w:rsidRPr="00277CAF">
        <w:rPr>
          <w:rFonts w:ascii="Garamond" w:hAnsi="Garamond" w:cs="Times New Roman"/>
          <w:i/>
          <w:iCs/>
          <w:color w:val="000000"/>
          <w:sz w:val="24"/>
          <w:szCs w:val="24"/>
        </w:rPr>
        <w:t>Parimit të barazisë së armëve dhe kontradiktoritetit,</w:t>
      </w:r>
      <w:r w:rsidRPr="00277CAF">
        <w:rPr>
          <w:rFonts w:ascii="Garamond" w:hAnsi="Garamond" w:cs="Times New Roman"/>
          <w:color w:val="000000"/>
          <w:sz w:val="24"/>
          <w:szCs w:val="24"/>
        </w:rPr>
        <w:t xml:space="preserve"> pasi shqyrtimi i çështjes në dhomën e këshillimit nga Gjykata e Lartë e ka vënë në pozitë të pabarabartë me organin administrativ dhe në pamundësi të paraqesë argumente e prova për sa i përket vlerësimit si absolutisht të pavlefshëm të aktit administrativ të DPPM-së, pavlefshmëri që nuk është pretenduar as nga vetë organi administrativ, si dhe të shprehej për faktet, provat e vlerësimet ligjore. </w:t>
      </w:r>
    </w:p>
    <w:p w14:paraId="41B5B516" w14:textId="1902AC9B" w:rsidR="00FD2E77" w:rsidRPr="00277CAF" w:rsidRDefault="00FD2E77" w:rsidP="00FD2E77">
      <w:pPr>
        <w:tabs>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11.1.4. </w:t>
      </w:r>
      <w:r w:rsidRPr="00277CAF">
        <w:rPr>
          <w:rFonts w:ascii="Garamond" w:hAnsi="Garamond" w:cs="Times New Roman"/>
          <w:i/>
          <w:iCs/>
          <w:color w:val="000000"/>
          <w:sz w:val="24"/>
          <w:szCs w:val="24"/>
        </w:rPr>
        <w:t>Parimit të sigurisë juridike</w:t>
      </w:r>
      <w:r w:rsidRPr="00277CAF">
        <w:rPr>
          <w:rFonts w:ascii="Garamond" w:hAnsi="Garamond" w:cs="Times New Roman"/>
          <w:color w:val="000000"/>
          <w:sz w:val="24"/>
          <w:szCs w:val="24"/>
        </w:rPr>
        <w:t xml:space="preserve">, në drejtim të </w:t>
      </w:r>
      <w:r w:rsidRPr="00277CAF">
        <w:rPr>
          <w:rFonts w:ascii="Garamond" w:hAnsi="Garamond" w:cs="Times New Roman"/>
          <w:i/>
          <w:iCs/>
          <w:color w:val="000000"/>
          <w:sz w:val="24"/>
          <w:szCs w:val="24"/>
        </w:rPr>
        <w:t>detyrimit për zbatimin e vendimeve të Gjykatës</w:t>
      </w:r>
      <w:r w:rsidRPr="00277CAF">
        <w:rPr>
          <w:rFonts w:ascii="Garamond" w:hAnsi="Garamond" w:cs="Times New Roman"/>
          <w:color w:val="000000"/>
          <w:sz w:val="24"/>
          <w:szCs w:val="24"/>
        </w:rPr>
        <w:t>. Në kundërshtim me jurisprudencën kushtetuese, sipas së cilës organet administrative nuk kanë të drejtë të bëjnë vlerësim të akteve, sikurse është kontrata e shitjes në rastin konkret, pasi një kompetencë e tillë u përket gjykatave, Gjykata e Lartë i ka njohur DPPM-së të drejtën për të bërë vlerësim të kontratës, çka nuk është në kompetencën e këtij organi. DPPM-ja nuk mund të ndryshojë një të drejtë pronësie në mënyrë të njëanshme.</w:t>
      </w:r>
    </w:p>
    <w:p w14:paraId="72F0D811" w14:textId="3EB15C37" w:rsidR="00FD2E77" w:rsidRPr="00277CAF" w:rsidRDefault="00FD2E77" w:rsidP="00FD2E77">
      <w:pPr>
        <w:autoSpaceDE w:val="0"/>
        <w:autoSpaceDN w:val="0"/>
        <w:adjustRightInd w:val="0"/>
        <w:spacing w:after="0" w:line="240" w:lineRule="auto"/>
        <w:ind w:firstLine="284"/>
        <w:jc w:val="both"/>
        <w:rPr>
          <w:rFonts w:ascii="Garamond" w:hAnsi="Garamond" w:cs="Times New Roman"/>
          <w:i/>
          <w:iCs/>
          <w:color w:val="000000"/>
          <w:sz w:val="24"/>
          <w:szCs w:val="24"/>
        </w:rPr>
      </w:pPr>
      <w:r w:rsidRPr="00277CAF">
        <w:rPr>
          <w:rFonts w:ascii="Garamond" w:hAnsi="Garamond" w:cs="Times New Roman"/>
          <w:color w:val="000000"/>
          <w:sz w:val="24"/>
          <w:szCs w:val="24"/>
        </w:rPr>
        <w:t xml:space="preserve">11.2. </w:t>
      </w:r>
      <w:r w:rsidRPr="00277CAF">
        <w:rPr>
          <w:rFonts w:ascii="Garamond" w:hAnsi="Garamond" w:cs="Times New Roman"/>
          <w:i/>
          <w:iCs/>
          <w:color w:val="000000"/>
          <w:sz w:val="24"/>
          <w:szCs w:val="24"/>
        </w:rPr>
        <w:t>Parimi i lirisë së veprimtarisë ekonomike dhe e drejta për pronë private,</w:t>
      </w:r>
      <w:r w:rsidRPr="00277CAF">
        <w:rPr>
          <w:rFonts w:ascii="Garamond" w:hAnsi="Garamond" w:cs="Times New Roman"/>
          <w:color w:val="000000"/>
          <w:sz w:val="24"/>
          <w:szCs w:val="24"/>
        </w:rPr>
        <w:t xml:space="preserve"> të garantuara nga nenet 11 dhe 41 të Kushtetutës dhe neni 1 i Protokollit nr. 1 të KEDNJ-së, pasi marka tregtare përfshihet </w:t>
      </w:r>
      <w:r w:rsidRPr="00277CAF">
        <w:rPr>
          <w:rFonts w:ascii="Garamond" w:hAnsi="Garamond" w:cs="Times New Roman"/>
          <w:color w:val="000000"/>
          <w:sz w:val="24"/>
          <w:szCs w:val="24"/>
        </w:rPr>
        <w:lastRenderedPageBreak/>
        <w:t xml:space="preserve">në të drejtën e pronësisë. Në kushtet kur DPPM-ja ka regjistruar aplikimin e kërkueses, ajo ka fituar të drejtën e pronësisë. Kjo e drejtë nuk mund të ndryshojë në rrugë administrative, por vetëm gjyqësisht. </w:t>
      </w:r>
    </w:p>
    <w:p w14:paraId="1C9E0488" w14:textId="606D0C78"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b/>
          <w:bCs/>
          <w:i/>
          <w:iCs/>
          <w:color w:val="222222"/>
          <w:sz w:val="24"/>
          <w:szCs w:val="24"/>
        </w:rPr>
        <w:t>12. Subjekti i interesuar</w:t>
      </w:r>
      <w:r w:rsidRPr="00277CAF">
        <w:rPr>
          <w:rFonts w:ascii="Garamond" w:hAnsi="Garamond" w:cs="Times New Roman"/>
          <w:i/>
          <w:iCs/>
          <w:color w:val="222222"/>
          <w:sz w:val="24"/>
          <w:szCs w:val="24"/>
        </w:rPr>
        <w:t xml:space="preserve">, </w:t>
      </w:r>
      <w:r w:rsidRPr="00277CAF">
        <w:rPr>
          <w:rFonts w:ascii="Garamond" w:hAnsi="Garamond" w:cs="Times New Roman"/>
          <w:color w:val="222222"/>
          <w:sz w:val="24"/>
          <w:szCs w:val="24"/>
        </w:rPr>
        <w:t>DPPI-ja, ka parashtruar:</w:t>
      </w:r>
    </w:p>
    <w:p w14:paraId="75208EB9" w14:textId="4B29CFC0"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277CAF">
        <w:rPr>
          <w:rFonts w:ascii="Garamond" w:hAnsi="Garamond" w:cs="Times New Roman"/>
          <w:color w:val="000000"/>
          <w:sz w:val="24"/>
          <w:szCs w:val="24"/>
        </w:rPr>
        <w:t xml:space="preserve">12.1. Çështja nuk ka më objekt, pasi gjatë periudhës së shqyrtimit gjyqësor të saj marka në fjalë është shfuqizuar fillimisht nga zyra e origjinës në Maqedoninë e Veriut dhe, për pasojë, edhe nga Byroja Kombëtare e WIPO-s. Marka ndërkombëtare nr. 977607 ka pasur mbrojtje në territorin e Republikës së Shqipërisë për pijen B-52 deri në datën 11.12.2018. Sipas nenit 6, pika 1, të Protokollit të Marrëveshjes së Madridit për Regjistrimin Ndërkombëtar të Markave, të ratifikuar nga shteti shqiptar me ligjin nr. 8992, datë 30.1.2003 </w:t>
      </w:r>
      <w:r w:rsidRPr="00277CAF">
        <w:rPr>
          <w:rFonts w:ascii="Garamond" w:hAnsi="Garamond" w:cs="Times New Roman"/>
          <w:i/>
          <w:iCs/>
          <w:color w:val="000000"/>
          <w:sz w:val="24"/>
          <w:szCs w:val="24"/>
        </w:rPr>
        <w:t>(Protokolli i Madridit)</w:t>
      </w:r>
      <w:r w:rsidRPr="00277CAF">
        <w:rPr>
          <w:rFonts w:ascii="Garamond" w:hAnsi="Garamond" w:cs="Times New Roman"/>
          <w:color w:val="000000"/>
          <w:sz w:val="24"/>
          <w:szCs w:val="24"/>
        </w:rPr>
        <w:t xml:space="preserve">, regjistrimi i një marke në Byronë Ndërkombëtare është i efektshëm për 10 vjet. </w:t>
      </w:r>
    </w:p>
    <w:p w14:paraId="7D104DAF" w14:textId="1E13D211"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12.2. Vendimi i Gjykatës së Lartë është i drejtë, pasi, ndryshe nga sa pretendohet, procedimi administrativ nuk është iniciuar prej saj, por me kërkesë të kërkueses. Kjo e fundit ka qenë e përfshirë në një tjetër proces gjyqësor, me të njëjtin objekt e me palë kundërshtare Zvlateski Ljubisën</w:t>
      </w:r>
      <w:r w:rsidRPr="00277CAF">
        <w:rPr>
          <w:rFonts w:ascii="Garamond" w:hAnsi="Garamond" w:cs="Calibri"/>
          <w:color w:val="000000"/>
          <w:sz w:val="24"/>
          <w:szCs w:val="24"/>
        </w:rPr>
        <w:t>,</w:t>
      </w:r>
      <w:r w:rsidRPr="00277CAF">
        <w:rPr>
          <w:rFonts w:ascii="Garamond" w:hAnsi="Garamond" w:cs="Times New Roman"/>
          <w:color w:val="000000"/>
          <w:sz w:val="24"/>
          <w:szCs w:val="24"/>
        </w:rPr>
        <w:t xml:space="preserve"> për shfuqizimin e markës B-52 me numër kombëtar regjistrimi nr. 11992, ndërsa kërkesa e saj e datës 14.11.2013 ka pasur si objekt transferimin e markës me numër ndërkombëtar nr. 977607 regjistrimi. Në zbatim të nenit 162, pika 2, të KPA-së, kontrata e shitjes e datës 16.6.2010 për transferimin e pronësisë së markës kombëtare nr. 11992 nuk është e vlefshme sipas nenit 162/2 të ligjit nr. 9947/2008 dhe nuk mund të përdoret për transferimin e pronësisë së markës ndërkombëtare nr. 977607 regjistrimi. DPPM-ja nuk i ka hequr pronësinë kërkueses, por, në mënyrë të gabuar, përmes një kontrate të pavlefshme, i ka njohur asaj pronësinë për markën ndërkombëtare, duke ia hequr atë në mënyrë të padrejtë e të paligjshme pronarit të vërtetë e faktik. Pas konstatimit të këtij gabimi, në përputhje me dispozitat e KPA-së, është vendosur revokimi i transferimit të pronësisë për markën ndërkombëtare. Ky veprim nuk është kryer në kapërcim të kompetencave të DPPM-së. </w:t>
      </w:r>
    </w:p>
    <w:p w14:paraId="758123CA" w14:textId="16BCAD7B"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12.3. Kërkueses nuk i është cenuar </w:t>
      </w:r>
      <w:r w:rsidRPr="00277CAF">
        <w:rPr>
          <w:rFonts w:ascii="Garamond" w:hAnsi="Garamond" w:cs="Times New Roman"/>
          <w:i/>
          <w:iCs/>
          <w:color w:val="000000"/>
          <w:sz w:val="24"/>
          <w:szCs w:val="24"/>
        </w:rPr>
        <w:t>e drejta e pronës</w:t>
      </w:r>
      <w:r w:rsidRPr="00277CAF">
        <w:rPr>
          <w:rFonts w:ascii="Garamond" w:hAnsi="Garamond" w:cs="Times New Roman"/>
          <w:color w:val="000000"/>
          <w:sz w:val="24"/>
          <w:szCs w:val="24"/>
        </w:rPr>
        <w:t xml:space="preserve">. Ajo nuk ka pësuar asnjë dëm, pasi bëhet fjalë për të drejtën e pronësisë për një markë ndërkombëtare, të cilën ajo nuk e ka gëzuar. </w:t>
      </w:r>
    </w:p>
    <w:p w14:paraId="7646E7E7" w14:textId="4CBE4BE7"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13. </w:t>
      </w:r>
      <w:r w:rsidRPr="00277CAF">
        <w:rPr>
          <w:rFonts w:ascii="Garamond" w:hAnsi="Garamond" w:cs="Times New Roman"/>
          <w:b/>
          <w:bCs/>
          <w:i/>
          <w:iCs/>
          <w:color w:val="000000"/>
          <w:sz w:val="24"/>
          <w:szCs w:val="24"/>
        </w:rPr>
        <w:t>Subjekti i interesuar</w:t>
      </w:r>
      <w:r w:rsidRPr="00277CAF">
        <w:rPr>
          <w:rFonts w:ascii="Garamond" w:hAnsi="Garamond" w:cs="Times New Roman"/>
          <w:color w:val="000000"/>
          <w:sz w:val="24"/>
          <w:szCs w:val="24"/>
        </w:rPr>
        <w:t>, Zvlatevski Ljubisa, nuk ka paraqitur prapësime me shkrim edhe pse është njoftuar rregullisht për gjykimin përmes letërporosisë.</w:t>
      </w:r>
    </w:p>
    <w:p w14:paraId="193B7BF0"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eastAsia="MS Mincho" w:hAnsi="Garamond" w:cs="MS Mincho"/>
          <w:b/>
          <w:bCs/>
          <w:color w:val="000000"/>
          <w:sz w:val="24"/>
          <w:szCs w:val="24"/>
        </w:rPr>
      </w:pPr>
    </w:p>
    <w:p w14:paraId="1A0E52C6"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III</w:t>
      </w:r>
    </w:p>
    <w:p w14:paraId="328A2C54"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Vlerësimi i Gjykatës Kushtetuese</w:t>
      </w:r>
    </w:p>
    <w:p w14:paraId="759E0515" w14:textId="77777777" w:rsidR="000D0688" w:rsidRPr="00277CAF" w:rsidRDefault="000D0688"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9D36768" w14:textId="107B7F8C"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14. Çështja e legjitimimit (</w:t>
      </w:r>
      <w:r w:rsidRPr="00277CAF">
        <w:rPr>
          <w:rFonts w:ascii="Garamond" w:hAnsi="Garamond" w:cs="Times New Roman"/>
          <w:i/>
          <w:iCs/>
          <w:color w:val="000000"/>
          <w:sz w:val="24"/>
          <w:szCs w:val="24"/>
        </w:rPr>
        <w:t>locus standi</w:t>
      </w:r>
      <w:r w:rsidRPr="00277CAF">
        <w:rPr>
          <w:rFonts w:ascii="Garamond" w:hAnsi="Garamond" w:cs="Times New Roman"/>
          <w:color w:val="000000"/>
          <w:sz w:val="24"/>
          <w:szCs w:val="24"/>
        </w:rPr>
        <w:t>) është një ndër aspektet kryesore që lidhet me inicimin e një procesi kushtetues. Sipas neneve</w:t>
      </w:r>
      <w:r w:rsidR="00ED3E5F">
        <w:rPr>
          <w:rFonts w:ascii="Garamond" w:hAnsi="Garamond" w:cs="Times New Roman"/>
          <w:color w:val="000000"/>
          <w:sz w:val="24"/>
          <w:szCs w:val="24"/>
        </w:rPr>
        <w:t xml:space="preserve"> </w:t>
      </w:r>
      <w:r w:rsidRPr="00277CAF">
        <w:rPr>
          <w:rFonts w:ascii="Garamond" w:hAnsi="Garamond" w:cs="Times New Roman"/>
          <w:color w:val="000000"/>
          <w:sz w:val="24"/>
          <w:szCs w:val="24"/>
        </w:rPr>
        <w:t xml:space="preserve">131, pika 1, shkronja “f”,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3E32F944" w14:textId="239A7B33"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15. Si bartëse e të drejtave dhe lirive themelore të parashikuara nga Kushtetuta, kërkuesja legjitimohet </w:t>
      </w:r>
      <w:r w:rsidRPr="00277CAF">
        <w:rPr>
          <w:rFonts w:ascii="Garamond" w:hAnsi="Garamond" w:cs="Times New Roman"/>
          <w:i/>
          <w:iCs/>
          <w:color w:val="000000"/>
          <w:sz w:val="24"/>
          <w:szCs w:val="24"/>
        </w:rPr>
        <w:t>ratione personae,</w:t>
      </w:r>
      <w:r w:rsidRPr="00277CAF">
        <w:rPr>
          <w:rFonts w:ascii="Garamond" w:hAnsi="Garamond" w:cs="Times New Roman"/>
          <w:color w:val="000000"/>
          <w:sz w:val="24"/>
          <w:szCs w:val="24"/>
        </w:rPr>
        <w:t xml:space="preserve"> bazuar në nenet 131, pika 1, shkronja “f” dhe 134, pika 1, shkronja “i”, të Kushtetutës, pasi ka qenë palë në procesin gjyqësor, ndaj të cilit ka ngritur pretendime në këtë Gjykatë dhe ka interes të drejtpërdrejtë në çështjen e parashtruar. Po kështu, ajo ka shteruar </w:t>
      </w:r>
      <w:r w:rsidRPr="00277CAF">
        <w:rPr>
          <w:rFonts w:ascii="Garamond" w:hAnsi="Garamond" w:cs="Times New Roman"/>
          <w:i/>
          <w:iCs/>
          <w:color w:val="000000"/>
          <w:sz w:val="24"/>
          <w:szCs w:val="24"/>
        </w:rPr>
        <w:t xml:space="preserve">mjetet juridike efektive </w:t>
      </w:r>
      <w:r w:rsidRPr="00277CAF">
        <w:rPr>
          <w:rFonts w:ascii="Garamond" w:hAnsi="Garamond" w:cs="Times New Roman"/>
          <w:color w:val="000000"/>
          <w:sz w:val="24"/>
          <w:szCs w:val="24"/>
        </w:rPr>
        <w:t xml:space="preserve">në dispozicion, pasi vendimi i Kolegjit Administrativ të Gjykatës së Lartë, i kundërshtuar përmes ankimit kushtetues individual, ka përmbyllur në themel procesin gjyqësor të iniciuar prej saj. Gjithashtu, në përputhje me përcaktimin e nenit  71/a, pika 1, shkronja “b”, të ligjit nr. 8577/2000, kërkesa është regjistruar në Gjykatë datën 20.7.2022, pra brenda afatit ligjor </w:t>
      </w:r>
      <w:r w:rsidRPr="00277CAF">
        <w:rPr>
          <w:rFonts w:ascii="Garamond" w:hAnsi="Garamond" w:cs="Times New Roman"/>
          <w:color w:val="000000"/>
          <w:sz w:val="24"/>
          <w:szCs w:val="24"/>
        </w:rPr>
        <w:lastRenderedPageBreak/>
        <w:t xml:space="preserve">4-mujor nga dhënia e vendimit të kundërshtuar të Gjykatës së Lartë, që mban datën 21.3.2022. Për rrjedhojë, kërkuesja legjitimohet edhe </w:t>
      </w:r>
      <w:r w:rsidRPr="00277CAF">
        <w:rPr>
          <w:rFonts w:ascii="Garamond" w:hAnsi="Garamond" w:cs="Times New Roman"/>
          <w:i/>
          <w:iCs/>
          <w:color w:val="000000"/>
          <w:sz w:val="24"/>
          <w:szCs w:val="24"/>
        </w:rPr>
        <w:t>ratione temporis</w:t>
      </w:r>
      <w:r w:rsidRPr="00277CAF">
        <w:rPr>
          <w:rFonts w:ascii="Garamond" w:hAnsi="Garamond" w:cs="Times New Roman"/>
          <w:color w:val="000000"/>
          <w:sz w:val="24"/>
          <w:szCs w:val="24"/>
        </w:rPr>
        <w:t xml:space="preserve">. </w:t>
      </w:r>
    </w:p>
    <w:p w14:paraId="4491828A" w14:textId="1A29558A"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16. Për sa i takon legjitimimit </w:t>
      </w:r>
      <w:r w:rsidRPr="00277CAF">
        <w:rPr>
          <w:rFonts w:ascii="Garamond" w:hAnsi="Garamond" w:cs="Times New Roman"/>
          <w:i/>
          <w:iCs/>
          <w:color w:val="000000"/>
          <w:sz w:val="24"/>
          <w:szCs w:val="24"/>
        </w:rPr>
        <w:t>ratione materiae</w:t>
      </w:r>
      <w:r w:rsidRPr="00277CAF">
        <w:rPr>
          <w:rFonts w:ascii="Garamond" w:hAnsi="Garamond" w:cs="Times New Roman"/>
          <w:color w:val="000000"/>
          <w:sz w:val="24"/>
          <w:szCs w:val="24"/>
        </w:rPr>
        <w:t>, kërkuesja ka pretenduar cenimin e së drejtës për proces të rregullt ligjor në disa aspekte, si dhe të parimit të lirisë së veprimtarisë ekonomike e të së drejtës së pronës private.</w:t>
      </w:r>
    </w:p>
    <w:p w14:paraId="1D49C3FF" w14:textId="685E688C"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17. Subjekti i interesuar, DPPI-ja, ka pretenduar se çështja nuk ka më objekt, pasi gjatë periudhës së shqyrtimit gjyqësor të saj, marka në fjalë është shfuqizuar fillimisht nga zyra e origjinës në Maqedoninë e Veriut dhe, për pasojë, edhe nga Byroja Kombëtare e WIPO-s. Marka ndërkombëtare nr. 977607 ka pasur mbrojtje në territorin e Republikës së Shqipërisë për pijen B-52 deri në datën 11.12.2018. Sipas nenit 6, pika 1, të Protokollit të Madridit, regjistrimi i një marke në Byronë Ndërkombëtare është i efektshëm për 10 vjet.</w:t>
      </w:r>
    </w:p>
    <w:p w14:paraId="31F0DBA3" w14:textId="3B8051CA"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18. Kërkuesja ka prapësuar se ky pretendim i DPPI-së përbën kërkim të ri, të paraqitur për herë të parë në gjykimin kushtetues, i cili nuk i është nënshtruar shqyrtimit nga gjykatat e zakonshme dhe, si i tillë, nuk mund të merret në shqyrtim nga Gjykata.</w:t>
      </w:r>
    </w:p>
    <w:p w14:paraId="0026D96E" w14:textId="44B5038F"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19. Gjykata vëren se objekt i ankimit kushtetues individual është procesi gjyqësor i zhvilluar në lidhje me vendimin e DPPM-së për revokimin e transferimit të pronësisë për markën ndërkombëtare me nr. 977607, gjatë të cilit kjo markë ka pasur mbrojtje në territorin shqiptar. Duke qenë se objekt i ankimit kushtetues individual është ky proces, Gjykata vlerëson se pretendimet e subjektit të interesuar se kërkesa ka mbetur pa objekt, janë të pabazuara. Në këto kushte, kërkuesja legjitimohet edhe </w:t>
      </w:r>
      <w:r w:rsidRPr="00277CAF">
        <w:rPr>
          <w:rFonts w:ascii="Garamond" w:hAnsi="Garamond" w:cs="Times New Roman"/>
          <w:i/>
          <w:iCs/>
          <w:color w:val="000000"/>
          <w:sz w:val="24"/>
          <w:szCs w:val="24"/>
        </w:rPr>
        <w:t>ratione materiae</w:t>
      </w:r>
      <w:r w:rsidRPr="00277CAF">
        <w:rPr>
          <w:rFonts w:ascii="Garamond" w:hAnsi="Garamond" w:cs="Times New Roman"/>
          <w:color w:val="000000"/>
          <w:sz w:val="24"/>
          <w:szCs w:val="24"/>
        </w:rPr>
        <w:t xml:space="preserve"> në kërkesën e saj sipas objektit.</w:t>
      </w:r>
    </w:p>
    <w:p w14:paraId="6D7002F0" w14:textId="5DBBF15B"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20. Për sa i takon thelbit të kërkimit, kërkuesja ka pretenduar cenimin e së drejtës për proces të rregullt ligjor, në drejtim të parimit të gjykimit nga një gjykatë e caktuar me ligj, së drejtës për t’u dëgjuar, parimit të barazisë së armëve dhe kontradiktoritetit, parimit të sigurisë juridike, si dhe cenimin e parimit të lirisë së veprimtarisë ekonomike e së drejtës së pronës. Gjykata vëren se, në thelb, pretendimet e kërkueses kanë të bëjnë me të drejtën për proces të rregullt ligjor, në aspekt të parimit të gjykimit nga një gjykatë e caktuar me ligj, parimit të barazisë së armëve dhe kontradiktoritetit në lidhje me të drejtën për t’u dëgjuar, si dhe me lirinë e veprimtarisë ekonomike e të drejtën e pronës, të garantuara nga nenet 41 dhe 42 të Kushtetutës, për rrjedhojë Gjykata vlerëson të analizojë bazueshmërinë në themel të këtyre pretendimeve.</w:t>
      </w:r>
    </w:p>
    <w:p w14:paraId="581E8162" w14:textId="0F9E9596"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7CAF">
        <w:rPr>
          <w:rFonts w:ascii="Garamond" w:hAnsi="Garamond" w:cs="Times New Roman"/>
          <w:i/>
          <w:iCs/>
          <w:color w:val="000000"/>
          <w:sz w:val="24"/>
          <w:szCs w:val="24"/>
        </w:rPr>
        <w:t>B. Për themelin e pretendimeve</w:t>
      </w:r>
    </w:p>
    <w:p w14:paraId="255674FB" w14:textId="77777777" w:rsidR="00FD2E77" w:rsidRPr="00277CAF" w:rsidRDefault="00FD2E77" w:rsidP="00FD2E77">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7CAF">
        <w:rPr>
          <w:rFonts w:ascii="Garamond" w:hAnsi="Garamond" w:cs="Times New Roman"/>
          <w:i/>
          <w:iCs/>
          <w:color w:val="000000"/>
          <w:sz w:val="24"/>
          <w:szCs w:val="24"/>
        </w:rPr>
        <w:t>B.1</w:t>
      </w:r>
      <w:r w:rsidRPr="00277CAF">
        <w:rPr>
          <w:rFonts w:ascii="Garamond" w:hAnsi="Garamond" w:cs="Times New Roman"/>
          <w:color w:val="000000"/>
          <w:sz w:val="24"/>
          <w:szCs w:val="24"/>
        </w:rPr>
        <w:t xml:space="preserve">. </w:t>
      </w:r>
      <w:r w:rsidRPr="00277CAF">
        <w:rPr>
          <w:rFonts w:ascii="Garamond" w:hAnsi="Garamond" w:cs="Times New Roman"/>
          <w:i/>
          <w:iCs/>
          <w:color w:val="000000"/>
          <w:sz w:val="24"/>
          <w:szCs w:val="24"/>
        </w:rPr>
        <w:t>Për  cenimin e  parimit të gjykimit nga një gjykatë e caktuar me ligj</w:t>
      </w:r>
    </w:p>
    <w:p w14:paraId="00D275A3" w14:textId="1A8B201A"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1</w:t>
      </w:r>
      <w:r w:rsidRPr="00277CAF">
        <w:rPr>
          <w:rFonts w:ascii="Garamond" w:hAnsi="Garamond" w:cs="Times New Roman"/>
          <w:color w:val="000000"/>
          <w:sz w:val="24"/>
          <w:szCs w:val="24"/>
        </w:rPr>
        <w:t xml:space="preserve">. Kërkuesja ka pretenduar se Gjykata e Lartë ka bërë vlerësim të ndryshëm të provave dhe fakteve nga vlerësimi i bërë nga organi administrativ dhe gjykatat më të ulëta, duke i dhënë kuptim tjetër natyrës së aktit administrativ që qëndron në thelb të mosmarrëveshjes mes palëve. Duke mbajtur qëndrimin se urdhri i revokimit është akt për konstatimin e pavlefshmërisë absolute të veprimit juridik të kryer nga DPPI-ja, Gjykata e Lartë ka bërë vlerësim të ndryshëm të situatës faktike të mosmarrëveshjes, duke ndryshuar natyrën juridike të saj dhe referencën ligjore. Vetë DPPM-ja nuk e ka konsideruar aktin e saj si absolutisht të pavlefshëm dhe nga subjektet e interesuara nuk është pretenduar asnjëherë pavlefshmëria absolute, por paligjshmëria e vendimit të revokimit. Po kështu, në vendim, Gjykata e Lartë u referohet disa provave, të cilat nuk rezultojnë të jenë pranuar në të njëjtën mënyrë siç arsyeton ajo nga gjykatat më të ulëta. </w:t>
      </w:r>
    </w:p>
    <w:p w14:paraId="24F7A763" w14:textId="56F96C81"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2</w:t>
      </w:r>
      <w:r w:rsidRPr="00277CAF">
        <w:rPr>
          <w:rFonts w:ascii="Garamond" w:hAnsi="Garamond" w:cs="Times New Roman"/>
          <w:color w:val="000000"/>
          <w:sz w:val="24"/>
          <w:szCs w:val="24"/>
        </w:rPr>
        <w:t xml:space="preserve">. Subjekti i interesuar, DPPI-ja, ka prapësuar se vendimi i Gjykatës së Lartë është i drejtë, pasi procedimi administrativ nuk është iniciuar prej saj, por me kërkesë të kërkueses. Kjo e fundit ka qenë e përfshirë në një tjetër proces gjyqësor, me të njëjtin objekt e me palë kundërshtare Zvlateski Ljubisën, për shfuqizimin e markës B-52 me numër kombëtar regjistrimi nr. 11992. Kontrata e shitjes për transferimin e pronësisë së markës kombëtare nuk është e vlefshme dhe nuk mund të përdoret për transferimin e pronësisë së markës ndërkombëtare. DPPM-ja nuk i ka hequr pronësinë kërkueses, por, në mënyrë të gabuar, përmes një kontrate të pavlefshme, i ka njohur pronësinë për markën ndërkombëtare, duke ia hequr atë në mënyrë të padrejtë e të paligjshme pronarit të vërtetë e faktik. Pas konstatimit të këtij gabimi, në përputhje me dispozitat e KPA-së, </w:t>
      </w:r>
      <w:r w:rsidRPr="00277CAF">
        <w:rPr>
          <w:rFonts w:ascii="Garamond" w:hAnsi="Garamond" w:cs="Times New Roman"/>
          <w:color w:val="000000"/>
          <w:sz w:val="24"/>
          <w:szCs w:val="24"/>
        </w:rPr>
        <w:lastRenderedPageBreak/>
        <w:t>është vendosur revokimi i transferimit të pronësisë për markën ndërkombëtare. Ky veprim nuk është kryer në kapërcim të kompetencave të DPPM-së.</w:t>
      </w:r>
    </w:p>
    <w:p w14:paraId="4BDD4B25" w14:textId="42F2E263"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3</w:t>
      </w:r>
      <w:r w:rsidRPr="00277CAF">
        <w:rPr>
          <w:rFonts w:ascii="Garamond" w:hAnsi="Garamond" w:cs="Times New Roman"/>
          <w:color w:val="000000"/>
          <w:sz w:val="24"/>
          <w:szCs w:val="24"/>
        </w:rPr>
        <w:t xml:space="preserve">. Gjykata në jurisprudencën e saj ka vlerësuar se një nga elementet e procesit të rregullt ligjor, sipas nenit 42 të Kushtetutës dhe nenit 6 të KEDNJ-së, është edhe shqyrtimi i çështjes nga një </w:t>
      </w:r>
      <w:r w:rsidRPr="00277CAF">
        <w:rPr>
          <w:rFonts w:ascii="Garamond" w:hAnsi="Garamond" w:cs="Times New Roman"/>
          <w:i/>
          <w:iCs/>
          <w:color w:val="000000"/>
          <w:sz w:val="24"/>
          <w:szCs w:val="24"/>
        </w:rPr>
        <w:t>“gjykatë</w:t>
      </w:r>
      <w:r w:rsidRPr="00277CAF">
        <w:rPr>
          <w:rFonts w:ascii="Garamond" w:hAnsi="Garamond" w:cs="Times New Roman"/>
          <w:color w:val="000000"/>
          <w:sz w:val="24"/>
          <w:szCs w:val="24"/>
        </w:rPr>
        <w:t xml:space="preserve"> </w:t>
      </w:r>
      <w:r w:rsidRPr="00277CAF">
        <w:rPr>
          <w:rFonts w:ascii="Garamond" w:hAnsi="Garamond" w:cs="Times New Roman"/>
          <w:i/>
          <w:iCs/>
          <w:color w:val="000000"/>
          <w:sz w:val="24"/>
          <w:szCs w:val="24"/>
        </w:rPr>
        <w:t>e caktuar me ligj”</w:t>
      </w:r>
      <w:r w:rsidRPr="00277CAF">
        <w:rPr>
          <w:rFonts w:ascii="Garamond" w:hAnsi="Garamond" w:cs="Times New Roman"/>
          <w:color w:val="000000"/>
          <w:sz w:val="24"/>
          <w:szCs w:val="24"/>
        </w:rPr>
        <w:t xml:space="preserve">. Në zbatim të këtij parimi, Gjykata ka theksuar se kontrolli që Gjykata e Lartë ushtron ndaj vendimeve të ankimuara të gjykatave më të ulëta duhet të fokusohet vetëm në drejtim të ligjshmërisë dhe bazueshmërisë së këtyre vendimeve. Një kontroll i tillë konsiston në analizën e plotë të fakteve dhe të rrethanave, të cilat janë pranuar më parë si të vërteta nga gjykata e shkallës së parë dhe gjykata e apelit, pa i ndryshuar ato </w:t>
      </w:r>
      <w:r w:rsidRPr="00277CAF">
        <w:rPr>
          <w:rFonts w:ascii="Garamond" w:hAnsi="Garamond" w:cs="Times New Roman"/>
          <w:i/>
          <w:iCs/>
          <w:color w:val="000000"/>
          <w:sz w:val="24"/>
          <w:szCs w:val="24"/>
        </w:rPr>
        <w:t>(shih vendimet nr. 3, datë 7.2.2023; nr. 1, datë 19.1.2018; nr. 17, datë 10.4.2015</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Kushtetuese)</w:t>
      </w:r>
      <w:r w:rsidRPr="00277CAF">
        <w:rPr>
          <w:rFonts w:ascii="Garamond" w:hAnsi="Garamond" w:cs="Times New Roman"/>
          <w:color w:val="000000"/>
          <w:sz w:val="24"/>
          <w:szCs w:val="24"/>
        </w:rPr>
        <w:t xml:space="preserve">. </w:t>
      </w:r>
    </w:p>
    <w:p w14:paraId="0398A90B" w14:textId="0D1B5408"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4</w:t>
      </w:r>
      <w:r w:rsidRPr="00277CAF">
        <w:rPr>
          <w:rFonts w:ascii="Garamond" w:hAnsi="Garamond" w:cs="Times New Roman"/>
          <w:color w:val="000000"/>
          <w:sz w:val="24"/>
          <w:szCs w:val="24"/>
        </w:rPr>
        <w:t xml:space="preserve">. Sipas Gjykatës,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Nxjerrja e konkluzionit për provat, në të kundërt me vlerësimin e dy gjykatave të shkallëve më të ulëta, nuk pajtohet me natyrën e gjykimit në Gjykatën e Lartë, e cila </w:t>
      </w:r>
      <w:r w:rsidRPr="00277CAF">
        <w:rPr>
          <w:rFonts w:ascii="Garamond" w:hAnsi="Garamond" w:cs="Times New Roman"/>
          <w:i/>
          <w:iCs/>
          <w:color w:val="000000"/>
          <w:sz w:val="24"/>
          <w:szCs w:val="24"/>
        </w:rPr>
        <w:t xml:space="preserve"> </w:t>
      </w:r>
      <w:r w:rsidRPr="00277CAF">
        <w:rPr>
          <w:rFonts w:ascii="Garamond" w:hAnsi="Garamond" w:cs="Times New Roman"/>
          <w:color w:val="000000"/>
          <w:sz w:val="24"/>
          <w:szCs w:val="24"/>
        </w:rPr>
        <w:t xml:space="preserve">nuk mund të konkludojë </w:t>
      </w:r>
      <w:r w:rsidRPr="00277CAF">
        <w:rPr>
          <w:rFonts w:ascii="Garamond" w:hAnsi="Garamond" w:cs="Times New Roman"/>
          <w:i/>
          <w:iCs/>
          <w:color w:val="000000"/>
          <w:sz w:val="24"/>
          <w:szCs w:val="24"/>
        </w:rPr>
        <w:t>a priori</w:t>
      </w:r>
      <w:r w:rsidRPr="00277CAF">
        <w:rPr>
          <w:rFonts w:ascii="Garamond" w:hAnsi="Garamond" w:cs="Times New Roman"/>
          <w:color w:val="000000"/>
          <w:sz w:val="24"/>
          <w:szCs w:val="24"/>
        </w:rPr>
        <w:t xml:space="preserve"> nëse është vërtetuar ose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 me ligj </w:t>
      </w:r>
      <w:r w:rsidRPr="00277CAF">
        <w:rPr>
          <w:rFonts w:ascii="Garamond" w:hAnsi="Garamond" w:cs="Times New Roman"/>
          <w:i/>
          <w:iCs/>
          <w:color w:val="000000"/>
          <w:sz w:val="24"/>
          <w:szCs w:val="24"/>
        </w:rPr>
        <w:t>(shih vendimet nr. 15, datë 23.3.2023; nr. 44, datë 19.7.2016</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Kushtetuese)</w:t>
      </w:r>
    </w:p>
    <w:p w14:paraId="1299B7A8" w14:textId="24BEEC84"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5</w:t>
      </w:r>
      <w:r w:rsidRPr="00277CAF">
        <w:rPr>
          <w:rFonts w:ascii="Garamond" w:hAnsi="Garamond" w:cs="Times New Roman"/>
          <w:color w:val="000000"/>
          <w:sz w:val="24"/>
          <w:szCs w:val="24"/>
        </w:rPr>
        <w:t>. Në çështjen në shqyrtim, Gjykata vëren se me urdhrin nr. 13/2014, DPPM-ja ka urdhëruar revokimin e transferimit të pronësisë së markës me nr. 977607 regjistrimi ndërkombëtar dhe lënien e kësaj marke në pronësi të pronarit Zlatevski Ljubisa, duke arsyetuar se transferimi fillestar i saj ishte bërë gabimisht dhe se kontrata e shitjes i përkiste transferimit të pronësisë për markën kombëtare me nr. 11992. Kërkuesja ka kundërshtuar gjyqësisht urdhrin e DPPM-së për revokimin e transferimit, duke vlerësuar se është nxjerrë në kapërcim të kompetencave të këtij organi. Me vendimin nr. 4986, datë 22.9.2014, Gjykata Administrative e Shkallës së Parë Tiranë ka vendosur pranimin pjesërisht të kërkesëpadisë dhe konstatimin e pavlefshmërisë absolute të urdhrit nr. 13/2014, vendimi i cili është vlerësuar i drejtë edhe nga Gjykata Administrative e Apelit. Të dyja gjykatat kanë vlerësuar se DPPM-ja nuk mund të revokonte aktin administrativ të nxjerrë prej saj, pasi ligji i posaçëm që rregullon veprimtarinë funksionale nuk ia ka njohur shprehimisht një të drejtë të tillë. Në përfundim të shqyrtimit të rekurseve të DPPM-së dhe personit të tretë, Zvlatevski Ljubisa, Kolegji Administrativ i Gjykatës së Lartë ka vendosur shfuqizimin e vendimeve të Gjykatës Administrative të Shkallës së Parë Tiranë dhe të Gjykatës Administrative të Apelit, duke vlerësuar se veprimet e DPPM-së nuk lidheshin me konceptin e revokimit, por me konstatimin dhe rregullimin e pasojave të një akti administrativ absolutisht të pavlefshëm, çka mund të bëhet nga organi që e ka nxjerrë aktin në çdo kohë.</w:t>
      </w:r>
    </w:p>
    <w:p w14:paraId="2E276566" w14:textId="2ACDC2F2"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6</w:t>
      </w:r>
      <w:r w:rsidRPr="00277CAF">
        <w:rPr>
          <w:rFonts w:ascii="Garamond" w:hAnsi="Garamond" w:cs="Times New Roman"/>
          <w:color w:val="000000"/>
          <w:sz w:val="24"/>
          <w:szCs w:val="24"/>
        </w:rPr>
        <w:t xml:space="preserve">. Nga sa më lart, Gjykata konstaton se gjatë vlerësimit të qëndrimeve të mbajtura nga gjykatat më të ulëta dhe interpretimit që i është bërë legjislacionit në fuqi për zgjidhjen e çështjes prej tyre, Gjykata e Lartë ka marrë në analizë parashikimet ligjore të kohës, konkretisht dispozitat e KPA-së, që rregullonin veprimtarinë e organit publik. Po kështu, Gjykata e Lartë ka analizuar edhe dispozitat e ligjit të posaçëm nr. 9947/2008 për pronësinë industriale, që rregullonte të drejtat, detyrimet dhe interesat e ligjshëm të palëve në proces, me qëllim të përcaktimit, përmes interpretimit të dispozitave ligjore në fuqi, të ligjit të zbatueshëm për zgjidhjen ligjore të mosmarrëveshjes së krijuar. </w:t>
      </w:r>
    </w:p>
    <w:p w14:paraId="3869CAD4" w14:textId="03D809AD"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7</w:t>
      </w:r>
      <w:r w:rsidRPr="00277CAF">
        <w:rPr>
          <w:rFonts w:ascii="Garamond" w:hAnsi="Garamond" w:cs="Times New Roman"/>
          <w:color w:val="000000"/>
          <w:sz w:val="24"/>
          <w:szCs w:val="24"/>
        </w:rPr>
        <w:t xml:space="preserve">. Gjykata vlerëson se gjatë trajtimit të çështjes nuk rezulton që Gjykata e Lartë të ketë bërë vlerësim të ndryshëm të provave të administruara nga gjykata e administrative e shkallës së parë </w:t>
      </w:r>
      <w:r w:rsidRPr="00277CAF">
        <w:rPr>
          <w:rFonts w:ascii="Garamond" w:hAnsi="Garamond" w:cs="Times New Roman"/>
          <w:color w:val="000000"/>
          <w:sz w:val="24"/>
          <w:szCs w:val="24"/>
        </w:rPr>
        <w:lastRenderedPageBreak/>
        <w:t xml:space="preserve">ose gjykata e apelit. Në zgjidhjen e themelit të çështjes ajo është bazuar në të njëjtat fakte dhe prova të vlerësuara nga gjykatat më të ulëta. Kontrata e lidhur mes palëve për shitjen e markës tregtare dhe urdhri nr. 13/2014 i DPPM-së, të marra si prova dhe të vlerësuara nga gjykatat e faktit, janë analizuar nga Gjykata e Lartë në funksion të dhënies së një vendimi të arsyetuar. Nga ana tjetër, interpretimi që Gjykata e Lartë i ka bërë konceptit të padisë, si mjet juridik që inicion procesin civil, parimit të disponibilitetit, interesit të palëve në proces, si dhe dispozitave të KPA-së dhe ligjit nr. 9947/2008, nuk përbën vlerësim të ndryshëm të fakteve dhe provave që qëndrojnë në thelb të mosmarrëveshjes së lindur mes palëve. </w:t>
      </w:r>
    </w:p>
    <w:p w14:paraId="4D96F983" w14:textId="6BCF8DB9"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8</w:t>
      </w:r>
      <w:r w:rsidRPr="00277CAF">
        <w:rPr>
          <w:rFonts w:ascii="Garamond" w:hAnsi="Garamond" w:cs="Times New Roman"/>
          <w:color w:val="000000"/>
          <w:sz w:val="24"/>
          <w:szCs w:val="24"/>
        </w:rPr>
        <w:t>. Për rrjedhojë, Gjykata çmon se pretendimi i kërkueses për cenimin e parimit të gjykimit nga një gjykatë e caktuar me ligj është i pabazuar.</w:t>
      </w:r>
      <w:r w:rsidR="000D0688" w:rsidRPr="00277CAF">
        <w:rPr>
          <w:rStyle w:val="FootnoteReference"/>
          <w:rFonts w:ascii="Garamond" w:hAnsi="Garamond" w:cs="Times New Roman"/>
          <w:color w:val="000000"/>
          <w:sz w:val="24"/>
          <w:szCs w:val="24"/>
        </w:rPr>
        <w:footnoteReference w:id="2"/>
      </w:r>
    </w:p>
    <w:p w14:paraId="70765E89" w14:textId="0A01AE8A" w:rsidR="00FD2E77" w:rsidRPr="00277CAF" w:rsidRDefault="00FD2E77" w:rsidP="00051E64">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rPr>
      </w:pPr>
      <w:r w:rsidRPr="00277CAF">
        <w:rPr>
          <w:rFonts w:ascii="Garamond" w:hAnsi="Garamond" w:cs="Times New Roman"/>
          <w:b/>
          <w:bCs/>
          <w:i/>
          <w:iCs/>
          <w:color w:val="000000"/>
          <w:sz w:val="24"/>
          <w:szCs w:val="24"/>
        </w:rPr>
        <w:t xml:space="preserve"> </w:t>
      </w:r>
      <w:r w:rsidRPr="00277CAF">
        <w:rPr>
          <w:rFonts w:ascii="Garamond" w:hAnsi="Garamond" w:cs="Times New Roman"/>
          <w:i/>
          <w:iCs/>
          <w:color w:val="000000"/>
          <w:sz w:val="24"/>
          <w:szCs w:val="24"/>
        </w:rPr>
        <w:t>B.2. Për cenimin e parimit të barazisë së armëve dhe kontradiktoritetit në lidhje me të drejtën për t’u dëgjuar</w:t>
      </w:r>
    </w:p>
    <w:p w14:paraId="0815A403" w14:textId="14956420"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w:t>
      </w:r>
      <w:r w:rsidR="00126CAA">
        <w:rPr>
          <w:rFonts w:ascii="Garamond" w:hAnsi="Garamond" w:cs="Times New Roman"/>
          <w:color w:val="000000"/>
          <w:sz w:val="24"/>
          <w:szCs w:val="24"/>
        </w:rPr>
        <w:t>9</w:t>
      </w:r>
      <w:r w:rsidRPr="00277CAF">
        <w:rPr>
          <w:rFonts w:ascii="Garamond" w:hAnsi="Garamond" w:cs="Times New Roman"/>
          <w:color w:val="000000"/>
          <w:sz w:val="24"/>
          <w:szCs w:val="24"/>
        </w:rPr>
        <w:t xml:space="preserve">. Kërkuesja ka pretenduar se Gjykata e Lartë e ka gjykuar çështjen në dhomën e këshillimit pa praninë e palëve, në kundërshtim me nenin 62, pika 1, shkronjat “b” dhe “c”, të ligjit nr. 49/2012, duke e vënë në pozitë të pabarabartë me organin administrativ dhe në pamundësi të parashtrojë argumentet e saj për sa i përket vlerësimit si absolutisht të pavlefshëm të aktit administrativ, pavlefshmëri e cila nuk është pretenduar as nga vetë organi administrativ,  duke mos i dhënë asaj as mundësi të shprehej për faktet, provat dhe vlerësimet ligjore. Sipas saj, kjo gjykatë nuk ka shqyrtuar çështjen në seancë gjyqësore me prani të palëve edhe pse ka pranuar se vendimmarrja e gjykatave më të ulëta është në kundërshtim me praktikën e saj gjyqësore, duke i mohuar në këtë mënyrë të drejtën për të parashtruar pretendimet e saj. Në kushtet kur ka ndryshuar cilësimin juridik të aktit të kundërshtuar, nga një akt revokues në absolutisht të pavlefshëm, Gjykata e Lartë duhej të thërriste palët në seancë në mënyrë që të dëgjonte pretendimet e tyre në këtë drejtim. </w:t>
      </w:r>
    </w:p>
    <w:p w14:paraId="4141AC7B" w14:textId="21EB0D6E" w:rsidR="00FD2E77" w:rsidRPr="00277CAF" w:rsidRDefault="00126CAA"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30</w:t>
      </w:r>
      <w:r w:rsidR="00FD2E77" w:rsidRPr="00277CAF">
        <w:rPr>
          <w:rFonts w:ascii="Garamond" w:hAnsi="Garamond" w:cs="Times New Roman"/>
          <w:color w:val="000000"/>
          <w:sz w:val="24"/>
          <w:szCs w:val="24"/>
        </w:rPr>
        <w:t xml:space="preserve">. Në jurisprudencën e saj Gjykata ka theksuar se parimi i barazisë së armëve, si aspekt i së drejtës për proces të rregullt ligjor, nënkupton se çdokush që është palë në proces duhet të ketë mundësi të barabarta që të paraqesë çështjen e tij.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atëherë argumentet e njërës palë do të prevalonin mbi argumentet e palës së cenuar dhe, për rrjedhojë, e drejta për të marrë pjesë në gjykim do të zhvishej nga funksioni i saj kushtetues për të garantuar një proces të rregullt ligjor </w:t>
      </w:r>
      <w:r w:rsidR="00FD2E77" w:rsidRPr="00277CAF">
        <w:rPr>
          <w:rFonts w:ascii="Garamond" w:hAnsi="Garamond" w:cs="Times New Roman"/>
          <w:i/>
          <w:iCs/>
          <w:color w:val="000000"/>
          <w:sz w:val="24"/>
          <w:szCs w:val="24"/>
        </w:rPr>
        <w:t>(shih vendimet nr. 13, datë 21.3.2023; nr. 43, datë 27.12.2022</w:t>
      </w:r>
      <w:r w:rsidR="00226F27">
        <w:rPr>
          <w:rFonts w:ascii="Garamond" w:hAnsi="Garamond" w:cs="Times New Roman"/>
          <w:i/>
          <w:iCs/>
          <w:color w:val="000000"/>
          <w:sz w:val="24"/>
          <w:szCs w:val="24"/>
        </w:rPr>
        <w:t>,</w:t>
      </w:r>
      <w:r w:rsidR="00FD2E77" w:rsidRPr="00277CAF">
        <w:rPr>
          <w:rFonts w:ascii="Garamond" w:hAnsi="Garamond" w:cs="Times New Roman"/>
          <w:i/>
          <w:iCs/>
          <w:color w:val="000000"/>
          <w:sz w:val="24"/>
          <w:szCs w:val="24"/>
        </w:rPr>
        <w:t xml:space="preserve"> të Gjykatës Kushtetuese)</w:t>
      </w:r>
      <w:r w:rsidR="00FD2E77" w:rsidRPr="00277CAF">
        <w:rPr>
          <w:rFonts w:ascii="Garamond" w:hAnsi="Garamond" w:cs="Times New Roman"/>
          <w:color w:val="000000"/>
          <w:sz w:val="24"/>
          <w:szCs w:val="24"/>
        </w:rPr>
        <w:t xml:space="preserve">. </w:t>
      </w:r>
    </w:p>
    <w:p w14:paraId="0F82B6AA" w14:textId="28369295"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1</w:t>
      </w:r>
      <w:r w:rsidRPr="00277CAF">
        <w:rPr>
          <w:rFonts w:ascii="Garamond" w:hAnsi="Garamond" w:cs="Times New Roman"/>
          <w:color w:val="000000"/>
          <w:sz w:val="24"/>
          <w:szCs w:val="24"/>
        </w:rPr>
        <w:t xml:space="preserve">. Jurisprudenca e Gjykatës  ka pranuar si elementë përbërës të procesit të rregullt ligjor edhe të drejtën për t’u dëgjuar. Kjo e drejtë, në unitet edhe me të drejta të tjera, ka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277CAF">
        <w:rPr>
          <w:rFonts w:ascii="Garamond" w:hAnsi="Garamond" w:cs="Times New Roman"/>
          <w:i/>
          <w:iCs/>
          <w:color w:val="000000"/>
          <w:sz w:val="24"/>
          <w:szCs w:val="24"/>
        </w:rPr>
        <w:t>(shih vendimet nr. 13, datë 21.3.2023; nr. 8, datë 23.2.2021; nr. 7, datë 12.3.2010</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Kushtetuese).</w:t>
      </w:r>
      <w:r w:rsidRPr="00277CAF">
        <w:rPr>
          <w:rFonts w:ascii="Garamond" w:hAnsi="Garamond" w:cs="Times New Roman"/>
          <w:color w:val="000000"/>
          <w:sz w:val="24"/>
          <w:szCs w:val="24"/>
        </w:rPr>
        <w:t xml:space="preserve"> </w:t>
      </w:r>
    </w:p>
    <w:p w14:paraId="24A65247" w14:textId="799D7E86"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2</w:t>
      </w:r>
      <w:r w:rsidRPr="00277CAF">
        <w:rPr>
          <w:rFonts w:ascii="Garamond" w:hAnsi="Garamond" w:cs="Times New Roman"/>
          <w:color w:val="000000"/>
          <w:sz w:val="24"/>
          <w:szCs w:val="24"/>
        </w:rPr>
        <w:t xml:space="preserve">. Në rastin konkret, Gjykata vëren se në gjykimin në shkallë të parë kërkuesja ka kundërshtuar urdhrin nr. 13/2014 të DPPM-së, duke e konsideruar atë në kapërcim të kompetencave të këtij organi, ndërsa DPPM-ja ka pretenduar se urdhri i saj është i rregullt dhe i vlefshëm, i nxjerrë për </w:t>
      </w:r>
      <w:r w:rsidRPr="00277CAF">
        <w:rPr>
          <w:rFonts w:ascii="Garamond" w:hAnsi="Garamond" w:cs="Times New Roman"/>
          <w:color w:val="000000"/>
          <w:sz w:val="24"/>
          <w:szCs w:val="24"/>
        </w:rPr>
        <w:lastRenderedPageBreak/>
        <w:t xml:space="preserve">riparimin e një situate të gabuar. Personi i tretë, Zvlatevski Ljubisa, ka pretenduar pavlefshmërinë e kontratës për transferimin e pronësisë së markës ndërkombëtare dhe se DPPM-ja ka vepruar drejt, duke revokuar urdhrin e mëparshëm të saj. Në përfundim të gjykimit, gjykata e shkallës së parë ka vendosur pranimin e kërkesës së kërkueses, duke arsyetuar se ligji i posaçëm nuk i ka njohur të drejtën organit administrativ të revokojë aktin administrativ të nxjerrë prej tij dhe një veprim i tillë është atribut vetëm i gjykatës. Për sa i përket personit të tretë, Zvlatevski Ljubisa, gjykata është shprehur se ai ka të drejtën e aksesit për rivendosjen e interesit që pretendon se i është shkelur, duke parashtruar, argumentuar dhe mbrojtur pretendimet e tij përballë kërkueses, e cila gëzon, gjithashtu, të njëjtat të drejta, bazuar në parimin e kontradiktoritetit. Vendimi i kësaj gjykate është gjetur i drejtë nga gjykata e apelit, si për sa i përket veprimit të kryer nga DPPM-ja, ashtu edhe në lidhje me interesin e personit të tretë. </w:t>
      </w:r>
    </w:p>
    <w:p w14:paraId="1BAF4251" w14:textId="2097475B"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3</w:t>
      </w:r>
      <w:r w:rsidRPr="00277CAF">
        <w:rPr>
          <w:rFonts w:ascii="Garamond" w:hAnsi="Garamond" w:cs="Times New Roman"/>
          <w:color w:val="000000"/>
          <w:sz w:val="24"/>
          <w:szCs w:val="24"/>
        </w:rPr>
        <w:t>. Në analizë të pretendimeve të parashtruara në rekurs dhe të vendimmarrjeve të gjykatave më të ulëta, gjatë shqyrtimit të çështjes në dhomën e këshillimit, Kolegji Administrativ i Gjykatës së Lartë, ndërkohë që ka konstatuar se thelbi i mosmarrëveshjes objekt gjykimi lidhej me pretendimin e kërkueses se DPPM-ja nuk kishte të drejtë të revokonte në mënyrë të njëanshme urdhrin e saj për transferimin e pronësisë së markës ndërkombëtare, ka vlerësuar se shkaqet dhe arsyetimi i përdorur nga organi publik për rivendosjen e ligjshmërisë nuk lidhen me konceptin e revokimit të një akti administrativ, por me konstatimin e rregullimit të pasojave të një akti absolutisht të pavlefshëm, të dalë në kundërshtim të hapur dhe flagrant me kriteret për transferimin e pronësisë së markës, të parashikuara nga dispozitat e ligjit nr. 9947/2008, ku gjen zbatim edhe KPA-ja e vitit 1999, në fuqi në kohën e lindjes së mosmarrëveshjes. Po sipas kësaj gjykate, në rastin konkret, nuk bëhej fjalë për pavlefshmëri relative, por për pavlefshmëri absolute, e cila mund të konstatohej në çdo kohë nga organi që ka nxjerrë aktin.</w:t>
      </w:r>
    </w:p>
    <w:p w14:paraId="2D8FCCB5" w14:textId="1D82A11B"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4</w:t>
      </w:r>
      <w:r w:rsidRPr="00277CAF">
        <w:rPr>
          <w:rFonts w:ascii="Garamond" w:hAnsi="Garamond" w:cs="Times New Roman"/>
          <w:color w:val="000000"/>
          <w:sz w:val="24"/>
          <w:szCs w:val="24"/>
        </w:rPr>
        <w:t xml:space="preserve">. Nisur nga faktet e mësipërme, Gjykata evidenton se, pavarësisht pretendimeve të palëve ndërgjyqëse gjatë gjykimit të çështjes, gjykatat e faktit kanë analizuar dhe vlerësuar bazueshmërinë në ligj të urdhrit të DPPM-së për revokimin e transferimit të pronësisë në kuadër të rregullimeve ligjore ekzistuese dhe parimeve kushtetuese. Po kështu, Gjykata konstaton se edhe pse pavlefshmëria absolute e aktit të nxjerrë prej këtij organi nuk është marrë në shqyrtim nga gjykatat më të ulëta, ajo është vlerësuar për herë të parë nga Gjykata e Lartë në dhomën e këshillimit. Në jurisprudencën e saj në këtë drejtim, Gjykata ka theksuar se në rastet kur Gjykata e Lartë vë në diskutim çështje të ligjit, të cilat merren në shqyrtim kryesisht dhe për të cilat palët nuk kanë paraqitur më parë mendimin e tyre, në zbatim të nenit 473/a, paragrafi 2, të Kodit të Procedurës Civile-së, përpara shqyrtimit të çështjes duhet të urdhërojë njoftimin e palëve dhe caktimin e një afati për depozitimin e parashtresave të tyre për këto çështje. Edhe sipas nenit 482/a, pika 1, shkronja “b”, të po këtij kodi, Gjykata e Lartë, nëse e vlerëson të nevojshme për shkak të problematikës ose kompleksitetit të çështjes, vendos shqyrtimin e çështjes në seancë gjyqësore me praninë e palëve </w:t>
      </w:r>
      <w:r w:rsidRPr="00277CAF">
        <w:rPr>
          <w:rFonts w:ascii="Garamond" w:hAnsi="Garamond" w:cs="Times New Roman"/>
          <w:i/>
          <w:iCs/>
          <w:color w:val="000000"/>
          <w:sz w:val="24"/>
          <w:szCs w:val="24"/>
        </w:rPr>
        <w:t>(shih vendimet nr. 7, datë 21.2.2023; nr. 40, datë 22.12.2022</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Kushtetuese)</w:t>
      </w:r>
      <w:r w:rsidRPr="00277CAF">
        <w:rPr>
          <w:rFonts w:ascii="Garamond" w:hAnsi="Garamond" w:cs="Times New Roman"/>
          <w:color w:val="000000"/>
          <w:sz w:val="24"/>
          <w:szCs w:val="24"/>
        </w:rPr>
        <w:t xml:space="preserve">. </w:t>
      </w:r>
    </w:p>
    <w:p w14:paraId="00AD06D6" w14:textId="29789CBC"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5</w:t>
      </w:r>
      <w:r w:rsidRPr="00277CAF">
        <w:rPr>
          <w:rFonts w:ascii="Garamond" w:hAnsi="Garamond" w:cs="Times New Roman"/>
          <w:color w:val="000000"/>
          <w:sz w:val="24"/>
          <w:szCs w:val="24"/>
        </w:rPr>
        <w:t>. Për sa më lart, në rastin në shqyrtim, në kushtet kur as gjykata e shkallës së parë dhe as gjykata e apelit nuk kanë disponuar në lidhje me pavlefshmërinë absolute të urdhrit nr. 13/2014 të DPPM-së dhe cilësimi juridik si absolutisht i pavlefshëm i këtij akti është trajtuar e analizuar në aspektin ligjor vetëm nga Kolegji Administrativ i Gjykatës së Lartë, Gjykata vlerëson se në zbatim të legjislacionit procedural në fuqi, Gjykata e Lartë kishte detyrimin që, përpara gjykimit të çështjes, të njoftonte palët ndërgjyqëse në proces për paraqitjen e argumenteve të tyre në këtë drejtim, me qëllim që, në garantim të parimit të barazisë së armëve dhe kontradiktoritetit të palëve në gjykim, t’i dëgjonte ata paraprakisht, qoftë edhe me shkrim.</w:t>
      </w:r>
    </w:p>
    <w:p w14:paraId="08EBF35F" w14:textId="6EC55B78"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6</w:t>
      </w:r>
      <w:r w:rsidRPr="00277CAF">
        <w:rPr>
          <w:rFonts w:ascii="Garamond" w:hAnsi="Garamond" w:cs="Times New Roman"/>
          <w:color w:val="000000"/>
          <w:sz w:val="24"/>
          <w:szCs w:val="24"/>
        </w:rPr>
        <w:t>. Për sa më lart, Gjykata çmon se pretendimi i kërkueses për cenimin e parimit të barazisë së armëve dhe kontradiktoritetit në lidhje me të drejtën për t’u dëgjuar, është i bazuar dhe vendimi i Gjykatës së Lartë duhet të shfuqizohet.</w:t>
      </w:r>
      <w:r w:rsidR="00051E64" w:rsidRPr="00277CAF">
        <w:rPr>
          <w:rStyle w:val="FootnoteReference"/>
          <w:rFonts w:ascii="Garamond" w:hAnsi="Garamond" w:cs="Times New Roman"/>
          <w:color w:val="000000"/>
          <w:sz w:val="24"/>
          <w:szCs w:val="24"/>
        </w:rPr>
        <w:footnoteReference w:id="3"/>
      </w:r>
    </w:p>
    <w:p w14:paraId="5EE43CC2" w14:textId="205C2B3C" w:rsidR="00FD2E77" w:rsidRPr="00277CAF" w:rsidRDefault="00FD2E77" w:rsidP="00FD2E77">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lastRenderedPageBreak/>
        <w:t>3</w:t>
      </w:r>
      <w:r w:rsidR="00126CAA">
        <w:rPr>
          <w:rFonts w:ascii="Garamond" w:hAnsi="Garamond" w:cs="Times New Roman"/>
          <w:color w:val="000000"/>
          <w:sz w:val="24"/>
          <w:szCs w:val="24"/>
        </w:rPr>
        <w:t>7</w:t>
      </w:r>
      <w:r w:rsidRPr="00277CAF">
        <w:rPr>
          <w:rFonts w:ascii="Garamond" w:hAnsi="Garamond" w:cs="Times New Roman"/>
          <w:color w:val="000000"/>
          <w:sz w:val="24"/>
          <w:szCs w:val="24"/>
        </w:rPr>
        <w:t>. Në kushtet kur vendimi gjyqësor i kundërshtuar duhet shfuqizuar, pasi është rrjedhojë e një procesi jo të rregullt ligjor dhe çështja do të merret përsëri në shqyrtim nga Gjykata e Lartë, Gjykata çmon të mos shprehet për pretendimin tjetër të kërkueses, që ka të bëjnë me cenimin e lirisë së veprimtarisë ekonomike dhe të së drejtës për pronë private.</w:t>
      </w:r>
    </w:p>
    <w:p w14:paraId="74FBBB1F" w14:textId="37B3CD0E"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3</w:t>
      </w:r>
      <w:r w:rsidR="00126CAA">
        <w:rPr>
          <w:rFonts w:ascii="Garamond" w:hAnsi="Garamond" w:cs="Times New Roman"/>
          <w:color w:val="000000"/>
          <w:sz w:val="24"/>
          <w:szCs w:val="24"/>
        </w:rPr>
        <w:t>8</w:t>
      </w:r>
      <w:bookmarkStart w:id="0" w:name="_GoBack"/>
      <w:bookmarkEnd w:id="0"/>
      <w:r w:rsidRPr="00277CAF">
        <w:rPr>
          <w:rFonts w:ascii="Garamond" w:hAnsi="Garamond" w:cs="Times New Roman"/>
          <w:color w:val="000000"/>
          <w:sz w:val="24"/>
          <w:szCs w:val="24"/>
        </w:rPr>
        <w:t>. Në përfundim, Gjykata vlerëson se ankimi kushtetues individual i kërkueses, sipas arsyetimit të mësipërm, është i bazuar, ndaj duhet të pranohet.</w:t>
      </w:r>
    </w:p>
    <w:p w14:paraId="78469848" w14:textId="77777777" w:rsidR="00FD2E77" w:rsidRPr="00277CAF" w:rsidRDefault="00FD2E77" w:rsidP="00FD2E77">
      <w:pPr>
        <w:tabs>
          <w:tab w:val="left" w:pos="1080"/>
        </w:tabs>
        <w:autoSpaceDE w:val="0"/>
        <w:autoSpaceDN w:val="0"/>
        <w:adjustRightInd w:val="0"/>
        <w:spacing w:after="0" w:line="240" w:lineRule="auto"/>
        <w:ind w:firstLine="284"/>
        <w:jc w:val="center"/>
        <w:rPr>
          <w:rFonts w:ascii="Garamond" w:eastAsia="MS Mincho" w:hAnsi="Garamond" w:cs="MS Mincho"/>
          <w:b/>
          <w:bCs/>
          <w:color w:val="000000"/>
          <w:sz w:val="24"/>
          <w:szCs w:val="24"/>
        </w:rPr>
      </w:pPr>
    </w:p>
    <w:p w14:paraId="474D0475" w14:textId="053CDB22"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277CAF">
        <w:rPr>
          <w:rFonts w:ascii="Garamond" w:hAnsi="Garamond" w:cs="Times New Roman"/>
          <w:bCs/>
          <w:color w:val="000000"/>
          <w:sz w:val="24"/>
          <w:szCs w:val="24"/>
        </w:rPr>
        <w:t>PËR KËTO ARSYE,</w:t>
      </w:r>
    </w:p>
    <w:p w14:paraId="0AAF5656" w14:textId="77777777" w:rsidR="00FC6C1E" w:rsidRPr="00277CAF" w:rsidRDefault="00FC6C1E" w:rsidP="00FD2E77">
      <w:pPr>
        <w:tabs>
          <w:tab w:val="left" w:pos="1080"/>
        </w:tabs>
        <w:autoSpaceDE w:val="0"/>
        <w:autoSpaceDN w:val="0"/>
        <w:adjustRightInd w:val="0"/>
        <w:spacing w:after="0" w:line="240" w:lineRule="auto"/>
        <w:ind w:firstLine="284"/>
        <w:jc w:val="center"/>
        <w:rPr>
          <w:rFonts w:ascii="Garamond" w:eastAsia="MS Mincho" w:hAnsi="Garamond" w:cs="MS Mincho"/>
          <w:color w:val="000000"/>
          <w:sz w:val="24"/>
          <w:szCs w:val="24"/>
        </w:rPr>
      </w:pPr>
    </w:p>
    <w:p w14:paraId="70B0D18B" w14:textId="7DB21897"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Gjykata Kushtetuese e Republikës së Shqipërisë, në mbështetje të neneve 131, pika 1, shkronja “f” dhe 134, pika 1, shkronja “i”, të Kushtetutës, si dhe neneve 71 e 72 të ligjit nr. 8577, datë 10.2.2000</w:t>
      </w:r>
      <w:r w:rsidR="00277CAF">
        <w:rPr>
          <w:rFonts w:ascii="Garamond" w:hAnsi="Garamond" w:cs="Times New Roman"/>
          <w:color w:val="000000"/>
          <w:sz w:val="24"/>
          <w:szCs w:val="24"/>
        </w:rPr>
        <w:t>,</w:t>
      </w:r>
      <w:r w:rsidRPr="00277CAF">
        <w:rPr>
          <w:rFonts w:ascii="Garamond" w:hAnsi="Garamond" w:cs="Times New Roman"/>
          <w:color w:val="000000"/>
          <w:sz w:val="24"/>
          <w:szCs w:val="24"/>
        </w:rPr>
        <w:t xml:space="preserve"> “Për organizimin dhe funksionimin e Gjykatës Kushtetuese të Republikës së Shqipërisë”, të ndryshuar, me shumicë votash,</w:t>
      </w:r>
    </w:p>
    <w:p w14:paraId="4A63C7EB" w14:textId="77777777" w:rsidR="00FD2E77" w:rsidRPr="00277CAF" w:rsidRDefault="00FD2E77" w:rsidP="00FD2E77">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p>
    <w:p w14:paraId="288FDE16" w14:textId="78061DD4" w:rsidR="00FD2E77" w:rsidRPr="00277CAF" w:rsidRDefault="00FD2E77" w:rsidP="00FD2E7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277CAF">
        <w:rPr>
          <w:rFonts w:ascii="Garamond" w:hAnsi="Garamond" w:cs="Times New Roman"/>
          <w:bCs/>
          <w:color w:val="000000"/>
          <w:sz w:val="24"/>
          <w:szCs w:val="24"/>
        </w:rPr>
        <w:t>VENDOSI:</w:t>
      </w:r>
    </w:p>
    <w:p w14:paraId="3247B0DC" w14:textId="0A001A3C" w:rsidR="00FD2E77" w:rsidRPr="00277CAF" w:rsidRDefault="00FD2E77" w:rsidP="00FD2E7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 1. Pranimin e kërkesës. </w:t>
      </w:r>
    </w:p>
    <w:p w14:paraId="0358AA9D" w14:textId="7B2A073E" w:rsidR="00FD2E77" w:rsidRPr="00277CAF" w:rsidRDefault="00FD2E77" w:rsidP="00FD2E7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eastAsia="MS Mincho" w:hAnsi="Garamond" w:cs="MS Mincho"/>
          <w:color w:val="000000"/>
          <w:sz w:val="24"/>
          <w:szCs w:val="24"/>
        </w:rPr>
        <w:t xml:space="preserve"> </w:t>
      </w:r>
      <w:r w:rsidRPr="00277CAF">
        <w:rPr>
          <w:rFonts w:ascii="Garamond" w:hAnsi="Garamond" w:cs="Times New Roman"/>
          <w:color w:val="000000"/>
          <w:sz w:val="24"/>
          <w:szCs w:val="24"/>
        </w:rPr>
        <w:t>2. Shfuqizimin e vendimit nr. 00-2022-464 (111), datë 21.3.2022</w:t>
      </w:r>
      <w:r w:rsidR="00226F27">
        <w:rPr>
          <w:rFonts w:ascii="Garamond" w:hAnsi="Garamond" w:cs="Times New Roman"/>
          <w:color w:val="000000"/>
          <w:sz w:val="24"/>
          <w:szCs w:val="24"/>
        </w:rPr>
        <w:t>,</w:t>
      </w:r>
      <w:r w:rsidRPr="00277CAF">
        <w:rPr>
          <w:rFonts w:ascii="Garamond" w:hAnsi="Garamond" w:cs="Times New Roman"/>
          <w:color w:val="000000"/>
          <w:sz w:val="24"/>
          <w:szCs w:val="24"/>
        </w:rPr>
        <w:t xml:space="preserve"> të Kolegjit Administrativ të Gjykatës së Lartë, si të papajtueshëm me Kushtetutën e Republikës së Shqipërisë.</w:t>
      </w:r>
    </w:p>
    <w:p w14:paraId="7B95EF78" w14:textId="5E45D7F3" w:rsidR="00FD2E77" w:rsidRPr="00277CAF" w:rsidRDefault="00FD2E77" w:rsidP="00FD2E77">
      <w:pPr>
        <w:tabs>
          <w:tab w:val="left" w:pos="72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277CAF">
        <w:rPr>
          <w:rFonts w:ascii="Garamond" w:hAnsi="Garamond" w:cs="Times New Roman"/>
          <w:color w:val="000000"/>
          <w:sz w:val="24"/>
          <w:szCs w:val="24"/>
        </w:rPr>
        <w:t xml:space="preserve"> 3. Dërgimin e çështjes për rishqyrtim në Gjykatën e Lartë.</w:t>
      </w:r>
    </w:p>
    <w:p w14:paraId="4210D5C4" w14:textId="77777777" w:rsidR="00FD2E77" w:rsidRPr="00277CAF" w:rsidRDefault="00FD2E77" w:rsidP="00FD2E77">
      <w:pPr>
        <w:autoSpaceDE w:val="0"/>
        <w:autoSpaceDN w:val="0"/>
        <w:adjustRightInd w:val="0"/>
        <w:spacing w:after="0" w:line="240" w:lineRule="auto"/>
        <w:ind w:firstLine="284"/>
        <w:jc w:val="both"/>
        <w:rPr>
          <w:rFonts w:ascii="Garamond" w:eastAsia="MS Mincho" w:hAnsi="Garamond" w:cs="MS Mincho"/>
          <w:color w:val="000000"/>
          <w:sz w:val="24"/>
          <w:szCs w:val="24"/>
        </w:rPr>
      </w:pPr>
      <w:r w:rsidRPr="00277CAF">
        <w:rPr>
          <w:rFonts w:ascii="Garamond" w:hAnsi="Garamond" w:cs="Times New Roman"/>
          <w:color w:val="000000"/>
          <w:sz w:val="24"/>
          <w:szCs w:val="24"/>
        </w:rPr>
        <w:t xml:space="preserve">Ky vendim është përfundimtar dhe hyn në fuqi ditën e botimit në Fletoren Zyrtare.  </w:t>
      </w:r>
    </w:p>
    <w:p w14:paraId="00C604EE" w14:textId="77777777" w:rsidR="00226F27" w:rsidRDefault="00226F27" w:rsidP="00FD2E77">
      <w:pPr>
        <w:autoSpaceDE w:val="0"/>
        <w:autoSpaceDN w:val="0"/>
        <w:adjustRightInd w:val="0"/>
        <w:spacing w:after="0" w:line="240" w:lineRule="auto"/>
        <w:ind w:firstLine="284"/>
        <w:jc w:val="both"/>
        <w:rPr>
          <w:rFonts w:ascii="Garamond" w:hAnsi="Garamond" w:cs="Times New Roman"/>
          <w:b/>
          <w:bCs/>
          <w:color w:val="000000"/>
          <w:sz w:val="24"/>
          <w:szCs w:val="24"/>
        </w:rPr>
      </w:pPr>
    </w:p>
    <w:p w14:paraId="1AE58DC2" w14:textId="6CF7FD87" w:rsidR="00FD2E77" w:rsidRPr="00277CAF" w:rsidRDefault="00FD2E77" w:rsidP="00FD2E77">
      <w:pPr>
        <w:autoSpaceDE w:val="0"/>
        <w:autoSpaceDN w:val="0"/>
        <w:adjustRightInd w:val="0"/>
        <w:spacing w:after="0" w:line="240" w:lineRule="auto"/>
        <w:ind w:firstLine="284"/>
        <w:jc w:val="both"/>
        <w:rPr>
          <w:rFonts w:ascii="Garamond" w:hAnsi="Garamond" w:cs="Times New Roman"/>
          <w:b/>
          <w:bCs/>
          <w:color w:val="000000"/>
          <w:sz w:val="24"/>
          <w:szCs w:val="24"/>
        </w:rPr>
      </w:pPr>
      <w:r w:rsidRPr="00277CAF">
        <w:rPr>
          <w:rFonts w:ascii="Garamond" w:hAnsi="Garamond" w:cs="Times New Roman"/>
          <w:b/>
          <w:bCs/>
          <w:color w:val="000000"/>
          <w:sz w:val="24"/>
          <w:szCs w:val="24"/>
        </w:rPr>
        <w:t>Marrë më 7.7.2023</w:t>
      </w:r>
      <w:r w:rsidR="00277CAF">
        <w:rPr>
          <w:rFonts w:ascii="Garamond" w:hAnsi="Garamond" w:cs="Times New Roman"/>
          <w:b/>
          <w:bCs/>
          <w:color w:val="000000"/>
          <w:sz w:val="24"/>
          <w:szCs w:val="24"/>
        </w:rPr>
        <w:t>.</w:t>
      </w:r>
    </w:p>
    <w:p w14:paraId="737BFEE0" w14:textId="40EA3EB6" w:rsidR="00FD2E77" w:rsidRPr="00277CAF" w:rsidRDefault="00FD2E77" w:rsidP="00FD2E77">
      <w:pPr>
        <w:autoSpaceDE w:val="0"/>
        <w:autoSpaceDN w:val="0"/>
        <w:adjustRightInd w:val="0"/>
        <w:spacing w:after="0" w:line="240" w:lineRule="auto"/>
        <w:ind w:firstLine="284"/>
        <w:jc w:val="both"/>
        <w:rPr>
          <w:rFonts w:ascii="Garamond" w:hAnsi="Garamond" w:cs="Times New Roman"/>
          <w:b/>
          <w:bCs/>
          <w:color w:val="000000"/>
          <w:sz w:val="24"/>
          <w:szCs w:val="24"/>
        </w:rPr>
      </w:pPr>
      <w:r w:rsidRPr="00277CAF">
        <w:rPr>
          <w:rFonts w:ascii="Garamond" w:hAnsi="Garamond" w:cs="Times New Roman"/>
          <w:b/>
          <w:bCs/>
          <w:color w:val="000000"/>
          <w:sz w:val="24"/>
          <w:szCs w:val="24"/>
        </w:rPr>
        <w:t>Shpallur më 31.7.2023</w:t>
      </w:r>
      <w:r w:rsidR="00277CAF">
        <w:rPr>
          <w:rFonts w:ascii="Garamond" w:hAnsi="Garamond" w:cs="Times New Roman"/>
          <w:b/>
          <w:bCs/>
          <w:color w:val="000000"/>
          <w:sz w:val="24"/>
          <w:szCs w:val="24"/>
        </w:rPr>
        <w:t>.</w:t>
      </w:r>
    </w:p>
    <w:p w14:paraId="76EDC870" w14:textId="1DB34527" w:rsidR="00FD2E77" w:rsidRPr="00277CAF" w:rsidRDefault="00FD2E77" w:rsidP="00FD2E77">
      <w:pPr>
        <w:autoSpaceDE w:val="0"/>
        <w:autoSpaceDN w:val="0"/>
        <w:adjustRightInd w:val="0"/>
        <w:spacing w:after="0" w:line="240" w:lineRule="auto"/>
        <w:ind w:firstLine="284"/>
        <w:jc w:val="both"/>
        <w:rPr>
          <w:rFonts w:ascii="Garamond" w:hAnsi="Garamond" w:cs="Times New Roman"/>
          <w:b/>
          <w:bCs/>
          <w:color w:val="000000"/>
          <w:sz w:val="24"/>
          <w:szCs w:val="24"/>
        </w:rPr>
      </w:pPr>
    </w:p>
    <w:p w14:paraId="0170BBD1" w14:textId="28CDD0C6" w:rsidR="00FC6C1E" w:rsidRPr="00277CAF" w:rsidRDefault="00FC6C1E" w:rsidP="00FD2E77">
      <w:pPr>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
          <w:bCs/>
          <w:color w:val="000000"/>
          <w:sz w:val="24"/>
          <w:szCs w:val="24"/>
        </w:rPr>
        <w:t>Kryetare:</w:t>
      </w:r>
      <w:r w:rsidRPr="00277CAF">
        <w:rPr>
          <w:rFonts w:ascii="Garamond" w:hAnsi="Garamond" w:cs="Times New Roman"/>
          <w:bCs/>
          <w:color w:val="000000"/>
          <w:sz w:val="24"/>
          <w:szCs w:val="24"/>
        </w:rPr>
        <w:t xml:space="preserve"> Holta Zaçaj (kundër)</w:t>
      </w:r>
    </w:p>
    <w:p w14:paraId="1BB00328" w14:textId="520F4D40" w:rsidR="00FC6C1E" w:rsidRPr="00277CAF" w:rsidRDefault="00FC6C1E" w:rsidP="00FD2E77">
      <w:pPr>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
          <w:bCs/>
          <w:color w:val="000000"/>
          <w:sz w:val="24"/>
          <w:szCs w:val="24"/>
        </w:rPr>
        <w:t>Anëtar</w:t>
      </w:r>
      <w:r w:rsidR="00277CAF">
        <w:rPr>
          <w:rFonts w:ascii="Garamond" w:hAnsi="Garamond" w:cs="Times New Roman"/>
          <w:b/>
          <w:bCs/>
          <w:color w:val="000000"/>
          <w:sz w:val="24"/>
          <w:szCs w:val="24"/>
        </w:rPr>
        <w:t>ë</w:t>
      </w:r>
      <w:r w:rsidRPr="00277CAF">
        <w:rPr>
          <w:rFonts w:ascii="Garamond" w:hAnsi="Garamond" w:cs="Times New Roman"/>
          <w:b/>
          <w:bCs/>
          <w:color w:val="000000"/>
          <w:sz w:val="24"/>
          <w:szCs w:val="24"/>
        </w:rPr>
        <w:t>:</w:t>
      </w:r>
      <w:r w:rsidRPr="00277CAF">
        <w:rPr>
          <w:rFonts w:ascii="Garamond" w:hAnsi="Garamond" w:cs="Times New Roman"/>
          <w:bCs/>
          <w:color w:val="000000"/>
          <w:sz w:val="24"/>
          <w:szCs w:val="24"/>
        </w:rPr>
        <w:t xml:space="preserve"> Fiona Papajorgji,</w:t>
      </w:r>
      <w:r w:rsidR="00B842DF" w:rsidRPr="00277CAF">
        <w:rPr>
          <w:rFonts w:ascii="Garamond" w:hAnsi="Garamond" w:cs="Times New Roman"/>
          <w:bCs/>
          <w:color w:val="000000"/>
          <w:sz w:val="24"/>
          <w:szCs w:val="24"/>
        </w:rPr>
        <w:t xml:space="preserve"> Sonila Bejtja, Sandër Beci, Marjana Semini, Genti Ibrahimi</w:t>
      </w:r>
    </w:p>
    <w:p w14:paraId="656C6DF1" w14:textId="05F5A96F" w:rsidR="00FC6C1E" w:rsidRPr="00277CAF" w:rsidRDefault="00B842DF" w:rsidP="00FD2E77">
      <w:pPr>
        <w:autoSpaceDE w:val="0"/>
        <w:autoSpaceDN w:val="0"/>
        <w:adjustRightInd w:val="0"/>
        <w:spacing w:after="0" w:line="240" w:lineRule="auto"/>
        <w:ind w:firstLine="284"/>
        <w:jc w:val="both"/>
        <w:rPr>
          <w:rFonts w:ascii="Garamond" w:hAnsi="Garamond" w:cs="Times New Roman"/>
          <w:bCs/>
          <w:color w:val="000000"/>
          <w:sz w:val="24"/>
          <w:szCs w:val="24"/>
        </w:rPr>
      </w:pPr>
      <w:r w:rsidRPr="00277CAF">
        <w:rPr>
          <w:rFonts w:ascii="Garamond" w:hAnsi="Garamond" w:cs="Times New Roman"/>
          <w:b/>
          <w:bCs/>
          <w:color w:val="000000"/>
          <w:sz w:val="24"/>
          <w:szCs w:val="24"/>
        </w:rPr>
        <w:t>Anëtar</w:t>
      </w:r>
      <w:r w:rsidR="00226F27">
        <w:rPr>
          <w:rFonts w:ascii="Garamond" w:hAnsi="Garamond" w:cs="Times New Roman"/>
          <w:b/>
          <w:bCs/>
          <w:color w:val="000000"/>
          <w:sz w:val="24"/>
          <w:szCs w:val="24"/>
        </w:rPr>
        <w:t>ë</w:t>
      </w:r>
      <w:r w:rsidRPr="00277CAF">
        <w:rPr>
          <w:rFonts w:ascii="Garamond" w:hAnsi="Garamond" w:cs="Times New Roman"/>
          <w:b/>
          <w:bCs/>
          <w:color w:val="000000"/>
          <w:sz w:val="24"/>
          <w:szCs w:val="24"/>
        </w:rPr>
        <w:t xml:space="preserve"> kundër:</w:t>
      </w:r>
      <w:r w:rsidRPr="00277CAF">
        <w:rPr>
          <w:rFonts w:ascii="Garamond" w:hAnsi="Garamond" w:cs="Times New Roman"/>
          <w:bCs/>
          <w:color w:val="000000"/>
          <w:sz w:val="24"/>
          <w:szCs w:val="24"/>
        </w:rPr>
        <w:t xml:space="preserve"> Marsida Xhaferllari, Ilir Toska, Elsa Toska</w:t>
      </w:r>
    </w:p>
    <w:p w14:paraId="79C51D90" w14:textId="77777777" w:rsidR="00B842DF" w:rsidRPr="00277CAF" w:rsidRDefault="00B842DF" w:rsidP="00FD2E77">
      <w:pPr>
        <w:autoSpaceDE w:val="0"/>
        <w:autoSpaceDN w:val="0"/>
        <w:adjustRightInd w:val="0"/>
        <w:spacing w:after="0" w:line="240" w:lineRule="auto"/>
        <w:ind w:firstLine="284"/>
        <w:jc w:val="both"/>
        <w:rPr>
          <w:rFonts w:ascii="Garamond" w:hAnsi="Garamond" w:cs="Times New Roman"/>
          <w:bCs/>
          <w:color w:val="000000"/>
          <w:sz w:val="24"/>
          <w:szCs w:val="24"/>
        </w:rPr>
      </w:pPr>
    </w:p>
    <w:p w14:paraId="1957F665" w14:textId="77777777"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r w:rsidRPr="00277CAF">
        <w:rPr>
          <w:rFonts w:ascii="Garamond" w:hAnsi="Garamond" w:cs="Times New Roman"/>
          <w:b/>
          <w:bCs/>
          <w:color w:val="000000"/>
          <w:sz w:val="24"/>
          <w:szCs w:val="24"/>
        </w:rPr>
        <w:t>MENDIM PAKICE</w:t>
      </w:r>
    </w:p>
    <w:p w14:paraId="5E94361D" w14:textId="77777777" w:rsidR="00FD2E77" w:rsidRPr="00277CAF" w:rsidRDefault="00FD2E77" w:rsidP="00FD2E77">
      <w:pPr>
        <w:autoSpaceDE w:val="0"/>
        <w:autoSpaceDN w:val="0"/>
        <w:adjustRightInd w:val="0"/>
        <w:spacing w:after="0" w:line="240" w:lineRule="auto"/>
        <w:ind w:firstLine="284"/>
        <w:jc w:val="center"/>
        <w:rPr>
          <w:rFonts w:ascii="Garamond" w:hAnsi="Garamond" w:cs="Times New Roman"/>
          <w:b/>
          <w:bCs/>
          <w:color w:val="000000"/>
          <w:sz w:val="24"/>
          <w:szCs w:val="24"/>
        </w:rPr>
      </w:pPr>
    </w:p>
    <w:p w14:paraId="76ECE3ED" w14:textId="52671705"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1. Në gjykimin kushtetues të çështjes që i përket kërkueses, shoqërisë “Arseni” sh.p.k., për shfuqizimin si antikushtetues të vendimit nr. 00-2022-464 (111), datë 21.3.2022</w:t>
      </w:r>
      <w:r w:rsidR="00226F27">
        <w:rPr>
          <w:rFonts w:ascii="Garamond" w:hAnsi="Garamond" w:cs="Times New Roman"/>
          <w:color w:val="000000"/>
          <w:sz w:val="24"/>
          <w:szCs w:val="24"/>
        </w:rPr>
        <w:t>,</w:t>
      </w:r>
      <w:r w:rsidRPr="00277CAF">
        <w:rPr>
          <w:rFonts w:ascii="Garamond" w:hAnsi="Garamond" w:cs="Times New Roman"/>
          <w:color w:val="000000"/>
          <w:sz w:val="24"/>
          <w:szCs w:val="24"/>
        </w:rPr>
        <w:t xml:space="preserve"> të Kolegjit Administrativ të Gjykatës së Lartë dhe kthimin e çështjes për rigjykim po në atë gjykatë, jemi kundër qëndrimit të shumicës për pranimin e kërkesës, pasi vlerësojmë se kërkesa duhej të ishte rrëzuar në tërësi.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78F102CA" w14:textId="0CEE5C8E"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2. Shumica ka arsyetuar se, pavarësisht pretendimeve të palëve ndërgjyqëse gjatë gjykimit të çështjes, pavlefshmëria absolute e urdhrit nr. 13, datë 15.4.2014 (</w:t>
      </w:r>
      <w:r w:rsidRPr="00277CAF">
        <w:rPr>
          <w:rFonts w:ascii="Garamond" w:hAnsi="Garamond" w:cs="Times New Roman"/>
          <w:i/>
          <w:iCs/>
          <w:color w:val="000000"/>
          <w:sz w:val="24"/>
          <w:szCs w:val="24"/>
        </w:rPr>
        <w:t>urdhri nr. 13/2014</w:t>
      </w:r>
      <w:r w:rsidRPr="00277CAF">
        <w:rPr>
          <w:rFonts w:ascii="Garamond" w:hAnsi="Garamond" w:cs="Times New Roman"/>
          <w:color w:val="000000"/>
          <w:sz w:val="24"/>
          <w:szCs w:val="24"/>
        </w:rPr>
        <w:t>) të Drejtorisë së Përgjithshme të Patentave dhe Markave (</w:t>
      </w:r>
      <w:r w:rsidRPr="00277CAF">
        <w:rPr>
          <w:rFonts w:ascii="Garamond" w:hAnsi="Garamond" w:cs="Times New Roman"/>
          <w:i/>
          <w:iCs/>
          <w:color w:val="000000"/>
          <w:sz w:val="24"/>
          <w:szCs w:val="24"/>
        </w:rPr>
        <w:t>DPPM</w:t>
      </w:r>
      <w:r w:rsidRPr="00277CAF">
        <w:rPr>
          <w:rFonts w:ascii="Garamond" w:hAnsi="Garamond" w:cs="Times New Roman"/>
          <w:color w:val="000000"/>
          <w:sz w:val="24"/>
          <w:szCs w:val="24"/>
        </w:rPr>
        <w:t>) për revokimin e transferimit të pronësisë dhe cilësimi juridik si absolutisht i pavlefshëm i këtij akti nuk është marrë në shqyrtim nga gjykatat më të ulëta, por ajo është trajtuar e analizuar në aspektin ligjor për herë të parë nga Gjykata e Lartë në dhomën e këshillimit. Në këto kushte, sipas shumicës, në zbatim të legjislacionit procedural në fuqi, Gjykata e Lartë kishte detyrimin që, përpara gjykimit të çështjes, të njoftonte palët ndërgjyqëse në proces për paraqitjen e argumenteve të tyre në këtë drejtim, me qëllim që, në garantim të parimit të barazisë së armëve dhe kontradiktoritetit të palëve në gjykim, t’i dëgjonte ato paraprakisht, qoftë edhe me shkrim. Për rrjedhojë, sipas shumicës, pretendimi i kërkueses për cenimin e parimit të barazisë së armëve dhe kontradiktoritetit në lidhje me të drejtën për t’u dëgjuar, është i bazuar dhe vendimi i Gjykatës së Lartë duhej të shfuqizohej (</w:t>
      </w:r>
      <w:r w:rsidRPr="00277CAF">
        <w:rPr>
          <w:rFonts w:ascii="Garamond" w:hAnsi="Garamond" w:cs="Times New Roman"/>
          <w:i/>
          <w:iCs/>
          <w:color w:val="000000"/>
          <w:sz w:val="24"/>
          <w:szCs w:val="24"/>
        </w:rPr>
        <w:t>shih paragrafët 33 - 35 të vendimit</w:t>
      </w:r>
      <w:r w:rsidRPr="00277CAF">
        <w:rPr>
          <w:rFonts w:ascii="Garamond" w:hAnsi="Garamond" w:cs="Times New Roman"/>
          <w:color w:val="000000"/>
          <w:sz w:val="24"/>
          <w:szCs w:val="24"/>
        </w:rPr>
        <w:t>).</w:t>
      </w:r>
    </w:p>
    <w:p w14:paraId="5104FDC9" w14:textId="4E4386D6"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3. Në ndryshim nga shumica, çmojmë se kërkueses nuk i është cenuar parimi i barazisë së armëve i lidhur me të drejtën për t’u dëgjuar. Në vlerësimin tonë, qëndrimi i shumicës nuk </w:t>
      </w:r>
      <w:r w:rsidRPr="00277CAF">
        <w:rPr>
          <w:rFonts w:ascii="Garamond" w:hAnsi="Garamond" w:cs="Times New Roman"/>
          <w:color w:val="000000"/>
          <w:sz w:val="24"/>
          <w:szCs w:val="24"/>
        </w:rPr>
        <w:lastRenderedPageBreak/>
        <w:t>përputhet me rrethanat e çështjes konkrete, ndaj standardi kushtetues i përdorur prej saj nuk është i zbatueshëm. Gjykata e Lartë ka trajtuar në vendimmarrjen e saj dy çështje ligjore: i</w:t>
      </w:r>
      <w:r w:rsidR="00783882">
        <w:rPr>
          <w:rFonts w:ascii="Garamond" w:hAnsi="Garamond" w:cs="Times New Roman"/>
          <w:color w:val="000000"/>
          <w:sz w:val="24"/>
          <w:szCs w:val="24"/>
        </w:rPr>
        <w:t>.</w:t>
      </w:r>
      <w:r w:rsidRPr="00277CAF">
        <w:rPr>
          <w:rFonts w:ascii="Garamond" w:hAnsi="Garamond" w:cs="Times New Roman"/>
          <w:color w:val="000000"/>
          <w:sz w:val="24"/>
          <w:szCs w:val="24"/>
        </w:rPr>
        <w:t xml:space="preserve"> konceptin e pavlefshmërisë absolute të aktit administrativ – urdhrit nr. 13/2014; ii</w:t>
      </w:r>
      <w:r w:rsidR="00783882">
        <w:rPr>
          <w:rFonts w:ascii="Garamond" w:hAnsi="Garamond" w:cs="Times New Roman"/>
          <w:color w:val="000000"/>
          <w:sz w:val="24"/>
          <w:szCs w:val="24"/>
        </w:rPr>
        <w:t>.</w:t>
      </w:r>
      <w:r w:rsidRPr="00277CAF">
        <w:rPr>
          <w:rFonts w:ascii="Garamond" w:hAnsi="Garamond" w:cs="Times New Roman"/>
          <w:color w:val="000000"/>
          <w:sz w:val="24"/>
          <w:szCs w:val="24"/>
        </w:rPr>
        <w:t xml:space="preserve"> dhe interesin e ligjshëm të kërkueses për ngritjen e padisë. Të dyja këto çështje ligjore nuk kanë qenë të reja për palët, për rrjedhojë Gjykata e Lartë nuk ka pasur detyrimin që t’i njoftonte dhe t’i dëgjonte ato paraprakisht. </w:t>
      </w:r>
    </w:p>
    <w:p w14:paraId="4788F258" w14:textId="0AE3DF0A"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i/>
          <w:iCs/>
          <w:color w:val="000000"/>
          <w:sz w:val="24"/>
          <w:szCs w:val="24"/>
        </w:rPr>
        <w:t>4. Së pari</w:t>
      </w:r>
      <w:r w:rsidRPr="00277CAF">
        <w:rPr>
          <w:rFonts w:ascii="Garamond" w:hAnsi="Garamond" w:cs="Times New Roman"/>
          <w:color w:val="000000"/>
          <w:sz w:val="24"/>
          <w:szCs w:val="24"/>
        </w:rPr>
        <w:t>, nga pikëpamja faktike rezulton se pavlefshmëria absolute e urdhrit  nr. 13/2014 të DPPM-së, në ndryshim nga sa arsyeton shumica, nuk ka qenë një çështje ligjore e re, e shqyrtuar për herë të parë nga Gjykata e Lartë, por është debatuar dhe vlerësuar përgjatë të gjithë procesit në të gjitha shkallët e gjykimit. Konkretisht, kjo çështje ka qenë objekti i padisë së kërkueses, që ka vënë në lëvizje procesin gjyqësor. Gjykata Administrative e Shkallës së Parë Tiranë, me vendimin e datës 22.9.2014, ndër të tjera, ka konstatuar pavlefshmërinë absolute të tij sipas Kodit të Procedurës Administrative (</w:t>
      </w:r>
      <w:r w:rsidRPr="00277CAF">
        <w:rPr>
          <w:rFonts w:ascii="Garamond" w:hAnsi="Garamond" w:cs="Times New Roman"/>
          <w:i/>
          <w:iCs/>
          <w:color w:val="000000"/>
          <w:sz w:val="24"/>
          <w:szCs w:val="24"/>
        </w:rPr>
        <w:t>KPA</w:t>
      </w:r>
      <w:r w:rsidRPr="00277CAF">
        <w:rPr>
          <w:rFonts w:ascii="Garamond" w:hAnsi="Garamond" w:cs="Times New Roman"/>
          <w:color w:val="000000"/>
          <w:sz w:val="24"/>
          <w:szCs w:val="24"/>
        </w:rPr>
        <w:t xml:space="preserve">), me arsyetimin se asnjë organ administrativ nuk mund të revokojë një akt administrativ të nxjerrë prej tij nëse ligji i posaçëm që rregullon veprimtarinë funksionale të tij nuk ia ka njohur shprehimisht këtë të drejtë dhe në revokimin e transferimit të pronësisë së markës ndërkombëtare dhe se DPPM-ja ka vepruar në kapërcim të kompetencave të njohura me ligj. Gjykata Administrative e Apelit, me vendimin e datës 2.2.2017 e ka vlerësuar të drejtë qëndrimin e gjykatës së shkallës së parë, duke vendosur lënien në fuqi të vendimit për pranimin e padisë me të njëjtin arsyetim. </w:t>
      </w:r>
    </w:p>
    <w:p w14:paraId="6BC5EA24" w14:textId="68DFCC66"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5. Këto vendime janë ndryshuar nga Gjykata e Lartë, e cila, me vendimin objekt kundërshtimi, ka vendosur rrëzimin e padisë, duke vlerësuar se gjykatat më të ulëta kishin interpretuar gabim kërkesat e ligjit material. Sipas Gjykatës së Lartë, shkaqet dhe arsyetimi ligjor i përdorur nga organi publik për rivendosjen e ligjshmërisë nuk lidhen me konceptin e revokimit të një akti administrativ, por me atë të konstatimit dhe rregullimit të pasojave të një akti administrativ absolutisht të pavlefshëm, i cili ka dalë në kundërshtim të hapur dhe flagrant me kriteret ligjore për transferimin e pronësisë së markës. Gjykata e Lartë ka evidentuar se nuk bëhej fjalë për pavlefshmëri relative, por për pavlefshmëri absolute, e cila mund të konstatohet nga vetë organi që e ka nxjerrë aktin, në çdo kohë </w:t>
      </w:r>
      <w:r w:rsidRPr="00277CAF">
        <w:rPr>
          <w:rFonts w:ascii="Garamond" w:hAnsi="Garamond" w:cs="Times New Roman"/>
          <w:i/>
          <w:iCs/>
          <w:color w:val="000000"/>
          <w:sz w:val="24"/>
          <w:szCs w:val="24"/>
        </w:rPr>
        <w:t>(shih paragrafin 23 të vendimit të Gjykatës së Lartë)</w:t>
      </w:r>
      <w:r w:rsidRPr="00277CAF">
        <w:rPr>
          <w:rFonts w:ascii="Garamond" w:hAnsi="Garamond" w:cs="Calibri"/>
          <w:color w:val="000000"/>
          <w:sz w:val="24"/>
          <w:szCs w:val="24"/>
        </w:rPr>
        <w:t>.</w:t>
      </w:r>
    </w:p>
    <w:p w14:paraId="22B44E8E" w14:textId="62F0349C"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6. Duke iu referuar arsyetimit të vendimit, çmojmë se Gjykata e Lartë, në përputhje me funksionin e saj kushtetues të parashikuar nga neni 141 i Kushtetutës, ka shqyrtuar çështjen lidhur me kuptimin dhe zbatimin e ligjit për pavlefshmërinë absolute të akteve administrative, për të siguruar njësimin ose zhvillimin e praktikës gjyqësore. Në këtë kontekst, ajo ka shpjeguar të drejtën e organit administrativ për të vlerësuar pavlefshmërinë absolute sipas KPA-së dhe se pavarësisht që akti administrativ – urdhri nr. 13/2014 kishte gabime materiale, në thelb, bëhej fjalë për pavlefshmëri absolute. Në këtë mënyrë, ajo ka interpretuar ligjin duke evidentuar rëndësinë e bazës juridike të aktit administrativ, që përcakton organin kompetent dhe procedurën që ndiqet për nxjerrjen e aktit, duke theksuar se referimi gabim i bazës juridike, nuk e bën atë të pavlefshëm ose të paligjshëm. Për rrjedhojë, për këtë pjesë të arsyetimit të saj, Gjykata e Lartë është brenda funksionit të vetë kushtetues të përcaktuar nga neni 141 i Kushtetutës, që mbështetet edhe në jurisprudencën e qëndrueshme të vetë Gjykatës, e cila ka theksuar vijimësisht se roli i Gjykatës së Lartë, si gjykatë e ligjit, është i një natyre të pazëvendësueshme dhe se ajo i ka të gjitha mjetet dhe kompetencat për të kryer rol aktiv, që shkon përtej ligjit dhe synon të drejtën, duke ndikuar efektivisht edhe në vendimmarrjen e gjykatave të shkallëve më të ulëta. Gjykata e Lartë, për shkak të pozicionit dhe rolit të saj si gjykatë e ligjit, ka për detyrë të kontrollojë mënyrën e zbatimit të ligjit material dhe procedural nga ana e gjykatave më të ulëta </w:t>
      </w:r>
      <w:r w:rsidRPr="00277CAF">
        <w:rPr>
          <w:rFonts w:ascii="Garamond" w:hAnsi="Garamond" w:cs="Times New Roman"/>
          <w:i/>
          <w:iCs/>
          <w:color w:val="000000"/>
          <w:sz w:val="24"/>
          <w:szCs w:val="24"/>
        </w:rPr>
        <w:t>(shih vendimet nr. 29, datë 26.5.2023; nr. 29, datë 1.11.2022; nr. 16, datë 16.3.2021</w:t>
      </w:r>
      <w:r w:rsidR="00226F27">
        <w:rPr>
          <w:rFonts w:ascii="Garamond" w:hAnsi="Garamond" w:cs="Times New Roman"/>
          <w:i/>
          <w:iCs/>
          <w:color w:val="000000"/>
          <w:sz w:val="24"/>
          <w:szCs w:val="24"/>
        </w:rPr>
        <w:t>,</w:t>
      </w:r>
      <w:r w:rsidRPr="00277CAF">
        <w:rPr>
          <w:rFonts w:ascii="Garamond" w:hAnsi="Garamond" w:cs="Times New Roman"/>
          <w:i/>
          <w:iCs/>
          <w:color w:val="000000"/>
          <w:sz w:val="24"/>
          <w:szCs w:val="24"/>
        </w:rPr>
        <w:t xml:space="preserve"> të Gjykatës Kushtetuese)</w:t>
      </w:r>
      <w:r w:rsidRPr="00277CAF">
        <w:rPr>
          <w:rFonts w:ascii="Garamond" w:hAnsi="Garamond" w:cs="Times New Roman"/>
          <w:color w:val="000000"/>
          <w:sz w:val="24"/>
          <w:szCs w:val="24"/>
        </w:rPr>
        <w:t xml:space="preserve">. </w:t>
      </w:r>
    </w:p>
    <w:p w14:paraId="7A367194" w14:textId="7DE57C7C"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i/>
          <w:iCs/>
          <w:color w:val="000000"/>
          <w:sz w:val="24"/>
          <w:szCs w:val="24"/>
        </w:rPr>
        <w:t>7. Së dyti</w:t>
      </w:r>
      <w:r w:rsidRPr="00277CAF">
        <w:rPr>
          <w:rFonts w:ascii="Garamond" w:hAnsi="Garamond" w:cs="Times New Roman"/>
          <w:color w:val="000000"/>
          <w:sz w:val="24"/>
          <w:szCs w:val="24"/>
        </w:rPr>
        <w:t xml:space="preserve">, Gjykata e Lartë, me anë të vendimit të kundërshtuar, ka vendosur rrëzimin e padisë për shkak se kërkuesit i mungonte interesi i ligjshëm për ngritjen e padisë, pra jo me procedurën që ndiqet për pavlefshmërinë absolute të akteve administrative. Shumica nuk është ndalur tek arsyetimi i Gjykatës së Lartë lidhur me interesin e ligjshëm të kërkueses për ngritjen e padisë, që ishte shkaku i vendimmarrjes së Gjykatës së Lartë, duke e lënë në heshtje këtë fakt. Për pasojë, duhet evidentuar se edhe interesi i ligjshëm nuk ishte një çështje ligjore e re e trajtuar nga Gjykata </w:t>
      </w:r>
      <w:r w:rsidRPr="00277CAF">
        <w:rPr>
          <w:rFonts w:ascii="Garamond" w:hAnsi="Garamond" w:cs="Times New Roman"/>
          <w:color w:val="000000"/>
          <w:sz w:val="24"/>
          <w:szCs w:val="24"/>
        </w:rPr>
        <w:lastRenderedPageBreak/>
        <w:t>e Lartë, pasi ishte debatuar në të gjitha shkallët e gjykimit, për rrjedhojë palët ndërgjyqëse, përfshirë dhe kërkuesen, ishin në dijeni të saj. Konkretisht, gjykata e shkallës së parë dhe gjykata e apelit kanë arsyetuar se interesi i ligjshëm i kërkueses buronte nga kontrata e shitjes që ajo kishte me subjektin e interesuar Zlatevski Ljubisa. Sipas tyre, nxjerrja e urdhrit nr. 13/2014 prekte në mënyrë të njëanshme të drejtat e tyre të mbrojtura nga ligji për pronësinë industriale, sepse shfuqizonte regjistrimin e kryer bazuar në kontratën e shitjes. Ndërsa, Gjykata e Lartë ka arsyetuar se kërkuesja nuk ka interes të ligjshëm material në ngritjen e padisë, pasi ajo jo vetëm në përmbajtjen e kërkesë padisë por edhe të pretendimeve dhe kërkesës ankimore të bërë pranë DPPM-së i referohet kontratës për regjistrimin e markës kombëtare përkatëse, ku ndërkohë akti i revokimit objekt gjykimi ka të bëjë me një tjetër markë të regjistruar në emër të Zlatevski Ljubisës dhe mban tjetër numri regjistri, për të cilën pala paditëse nuk disponon një marrëveshje të nënshkruar nga të dyja palët, për transferimin e pronësisë së kësaj marke, si kusht të parashikuar nga ligji për pronësinë industriale (</w:t>
      </w:r>
      <w:r w:rsidRPr="00277CAF">
        <w:rPr>
          <w:rFonts w:ascii="Garamond" w:hAnsi="Garamond" w:cs="Times New Roman"/>
          <w:i/>
          <w:iCs/>
          <w:color w:val="000000"/>
          <w:sz w:val="24"/>
          <w:szCs w:val="24"/>
        </w:rPr>
        <w:t>shih paragrafin 28 të vendimit të Gjykatës së Lartë</w:t>
      </w:r>
      <w:r w:rsidRPr="00277CAF">
        <w:rPr>
          <w:rFonts w:ascii="Garamond" w:hAnsi="Garamond" w:cs="Times New Roman"/>
          <w:color w:val="000000"/>
          <w:sz w:val="24"/>
          <w:szCs w:val="24"/>
        </w:rPr>
        <w:t xml:space="preserve">). </w:t>
      </w:r>
    </w:p>
    <w:p w14:paraId="15B02C5C" w14:textId="43A1AC3D"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8. Për sa më lart, çmojmë se Gjykata e Lartë ka ushtruar funksionin e saj kushtetues në trajtimin e dy çështjeve ligjore, që ishin debatuar dhe analizuar nga gjykatat më të ulëta. Për pasojë, ajo nuk kishte ndonjë detyrim për të kryer njoftimin paraprak të palëve ndërgjyqëse, përfshirë kërkuesen, që ato të parashtronin argumentet e tyre në këtë drejtim sepse garancitë e parimit të barazisë së armëve dhe kontradiktoritetit të tyre ishin përmbushur tashmë nga gjykatat më të ulëta. </w:t>
      </w:r>
    </w:p>
    <w:p w14:paraId="22A286FC" w14:textId="77777777"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color w:val="000000"/>
          <w:sz w:val="24"/>
          <w:szCs w:val="24"/>
        </w:rPr>
        <w:t xml:space="preserve">Për rrjedhojë, ankimi kushtetues individual i paraqitur nga shoqëria “Arseni” sh.p.k. nuk duhej të pranohej nga Gjykata, e cila duhej të vendoste rrëzimin e tij. </w:t>
      </w:r>
    </w:p>
    <w:p w14:paraId="502148EA" w14:textId="1ADDF6C0" w:rsidR="00FD2E77" w:rsidRPr="00277CAF" w:rsidRDefault="00FD2E77"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04FED41" w14:textId="6AF841B4" w:rsidR="00B842DF" w:rsidRPr="00277CAF" w:rsidRDefault="00B842DF"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b/>
          <w:bCs/>
          <w:color w:val="000000"/>
          <w:sz w:val="24"/>
          <w:szCs w:val="24"/>
        </w:rPr>
        <w:t xml:space="preserve">Kryetare: </w:t>
      </w:r>
      <w:r w:rsidRPr="00277CAF">
        <w:rPr>
          <w:rFonts w:ascii="Garamond" w:hAnsi="Garamond" w:cs="Times New Roman"/>
          <w:bCs/>
          <w:color w:val="000000"/>
          <w:sz w:val="24"/>
          <w:szCs w:val="24"/>
        </w:rPr>
        <w:t>Holta Zaçaj</w:t>
      </w:r>
    </w:p>
    <w:p w14:paraId="318DF745" w14:textId="74C128DB" w:rsidR="00B842DF" w:rsidRPr="00277CAF" w:rsidRDefault="00B842DF" w:rsidP="00FD2E7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7CAF">
        <w:rPr>
          <w:rFonts w:ascii="Garamond" w:hAnsi="Garamond" w:cs="Times New Roman"/>
          <w:b/>
          <w:color w:val="000000"/>
          <w:sz w:val="24"/>
          <w:szCs w:val="24"/>
        </w:rPr>
        <w:t>Anëtar</w:t>
      </w:r>
      <w:r w:rsidR="00226F27">
        <w:rPr>
          <w:rFonts w:ascii="Garamond" w:hAnsi="Garamond" w:cs="Times New Roman"/>
          <w:b/>
          <w:color w:val="000000"/>
          <w:sz w:val="24"/>
          <w:szCs w:val="24"/>
        </w:rPr>
        <w:t>ë</w:t>
      </w:r>
      <w:r w:rsidRPr="00277CAF">
        <w:rPr>
          <w:rFonts w:ascii="Garamond" w:hAnsi="Garamond" w:cs="Times New Roman"/>
          <w:color w:val="000000"/>
          <w:sz w:val="24"/>
          <w:szCs w:val="24"/>
        </w:rPr>
        <w:t xml:space="preserve">: </w:t>
      </w:r>
      <w:r w:rsidRPr="00277CAF">
        <w:rPr>
          <w:rFonts w:ascii="Garamond" w:hAnsi="Garamond" w:cs="Times New Roman"/>
          <w:bCs/>
          <w:color w:val="000000"/>
          <w:sz w:val="24"/>
          <w:szCs w:val="24"/>
        </w:rPr>
        <w:t>Ilir Toska, Marsida Xhaferlla</w:t>
      </w:r>
      <w:r w:rsidR="00CA42D4">
        <w:rPr>
          <w:rFonts w:ascii="Garamond" w:hAnsi="Garamond" w:cs="Times New Roman"/>
          <w:bCs/>
          <w:color w:val="000000"/>
          <w:sz w:val="24"/>
          <w:szCs w:val="24"/>
        </w:rPr>
        <w:t xml:space="preserve">ri </w:t>
      </w:r>
    </w:p>
    <w:sectPr w:rsidR="00B842DF" w:rsidRPr="00277CAF" w:rsidSect="00432D3D">
      <w:headerReference w:type="default" r:id="rId11"/>
      <w:footerReference w:type="default" r:id="rId12"/>
      <w:pgSz w:w="11909" w:h="16834" w:code="9"/>
      <w:pgMar w:top="1440" w:right="1440" w:bottom="1440" w:left="1440" w:header="720" w:footer="60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15091" w16cex:dateUtc="2023-01-29T19:07:00Z"/>
  <w16cex:commentExtensible w16cex:durableId="27815466" w16cex:dateUtc="2023-01-29T19:24:00Z"/>
  <w16cex:commentExtensible w16cex:durableId="2781564E" w16cex:dateUtc="2023-01-29T19:32:00Z"/>
  <w16cex:commentExtensible w16cex:durableId="27815792" w16cex:dateUtc="2023-01-29T19:37:00Z"/>
  <w16cex:commentExtensible w16cex:durableId="27815E25" w16cex:dateUtc="2023-01-29T20:05:00Z"/>
  <w16cex:commentExtensible w16cex:durableId="27815E54" w16cex:dateUtc="2023-01-29T20:06:00Z"/>
  <w16cex:commentExtensible w16cex:durableId="27815FA8" w16cex:dateUtc="2023-01-29T20:12:00Z"/>
  <w16cex:commentExtensible w16cex:durableId="278162CC" w16cex:dateUtc="2023-01-29T20:25:00Z"/>
  <w16cex:commentExtensible w16cex:durableId="278165BF" w16cex:dateUtc="2023-01-29T20:3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3DA61" w14:textId="77777777" w:rsidR="00CA42D4" w:rsidRDefault="00CA42D4" w:rsidP="00054FF8">
      <w:pPr>
        <w:spacing w:after="0" w:line="240" w:lineRule="auto"/>
      </w:pPr>
      <w:r>
        <w:separator/>
      </w:r>
    </w:p>
  </w:endnote>
  <w:endnote w:type="continuationSeparator" w:id="0">
    <w:p w14:paraId="51927BC4" w14:textId="77777777" w:rsidR="00CA42D4" w:rsidRDefault="00CA42D4" w:rsidP="00054FF8">
      <w:pPr>
        <w:spacing w:after="0" w:line="240" w:lineRule="auto"/>
      </w:pPr>
      <w:r>
        <w:continuationSeparator/>
      </w:r>
    </w:p>
  </w:endnote>
  <w:endnote w:type="continuationNotice" w:id="1">
    <w:p w14:paraId="348CF595" w14:textId="77777777" w:rsidR="00CA42D4" w:rsidRDefault="00CA4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8CCFC" w14:textId="77777777" w:rsidR="00CA42D4" w:rsidRPr="008523C2" w:rsidRDefault="00CA42D4" w:rsidP="0075209B">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BE74D" w14:textId="77777777" w:rsidR="00CA42D4" w:rsidRDefault="00CA42D4" w:rsidP="00054FF8">
      <w:pPr>
        <w:spacing w:after="0" w:line="240" w:lineRule="auto"/>
      </w:pPr>
      <w:r>
        <w:separator/>
      </w:r>
    </w:p>
  </w:footnote>
  <w:footnote w:type="continuationSeparator" w:id="0">
    <w:p w14:paraId="3FDE5C8C" w14:textId="77777777" w:rsidR="00CA42D4" w:rsidRDefault="00CA42D4" w:rsidP="00054FF8">
      <w:pPr>
        <w:spacing w:after="0" w:line="240" w:lineRule="auto"/>
      </w:pPr>
      <w:r>
        <w:continuationSeparator/>
      </w:r>
    </w:p>
  </w:footnote>
  <w:footnote w:type="continuationNotice" w:id="1">
    <w:p w14:paraId="6DD3B710" w14:textId="77777777" w:rsidR="00CA42D4" w:rsidRDefault="00CA42D4">
      <w:pPr>
        <w:spacing w:after="0" w:line="240" w:lineRule="auto"/>
      </w:pPr>
    </w:p>
  </w:footnote>
  <w:footnote w:id="2">
    <w:p w14:paraId="70B252B6" w14:textId="3BE0A709" w:rsidR="00CA42D4" w:rsidRPr="00C74493" w:rsidRDefault="00CA42D4" w:rsidP="000D0688">
      <w:pPr>
        <w:pStyle w:val="FootnoteText"/>
        <w:jc w:val="both"/>
        <w:rPr>
          <w:rFonts w:ascii="Garamond" w:hAnsi="Garamond"/>
        </w:rPr>
      </w:pPr>
      <w:r w:rsidRPr="00C74493">
        <w:rPr>
          <w:rStyle w:val="FootnoteReference"/>
          <w:rFonts w:ascii="Garamond" w:hAnsi="Garamond"/>
        </w:rPr>
        <w:footnoteRef/>
      </w:r>
      <w:r w:rsidRPr="00C74493">
        <w:rPr>
          <w:rFonts w:ascii="Garamond" w:hAnsi="Garamond"/>
        </w:rPr>
        <w:t xml:space="preserve"> </w:t>
      </w:r>
      <w:r w:rsidRPr="00C74493">
        <w:rPr>
          <w:rFonts w:ascii="Garamond" w:hAnsi="Garamond" w:cs="Times New Roman"/>
          <w:color w:val="000000"/>
          <w:szCs w:val="24"/>
        </w:rPr>
        <w:t>Votuan për pranimin e këtij pretendimi gjyqtarët Sandër Beci dhe Marjana Semini. Sipas këtyre gjyqtarëve, përcaktimi nga Gjykata e Lartë i natyrës juridike të aktit të kundërshtuar përbën vlerësim të ndryshëm të tij nga gjykatat më të ulëta. Në këtë kuptim, interpretimi që Gjykata e Lartë u ka bërë dispozitave ligjore të KPA-së dhe ligjit nr. 9947/2008 rezulton të jetë arbitrar, në kundërshtim me jurisprudencën kushtetuese dhe në cenim të së drejtës kushtetuese të kërkueses për gjykimin e çështjes nga një gjykatë e caktuar me ligj.</w:t>
      </w:r>
    </w:p>
  </w:footnote>
  <w:footnote w:id="3">
    <w:p w14:paraId="406C62E6" w14:textId="7574B1F1" w:rsidR="00CA42D4" w:rsidRPr="00C74493" w:rsidRDefault="00CA42D4" w:rsidP="00051E64">
      <w:pPr>
        <w:autoSpaceDE w:val="0"/>
        <w:autoSpaceDN w:val="0"/>
        <w:adjustRightInd w:val="0"/>
        <w:spacing w:after="0" w:line="240" w:lineRule="auto"/>
        <w:ind w:firstLine="284"/>
        <w:jc w:val="both"/>
        <w:rPr>
          <w:rFonts w:ascii="Garamond" w:hAnsi="Garamond" w:cs="Times New Roman"/>
          <w:color w:val="000000"/>
          <w:sz w:val="24"/>
          <w:szCs w:val="24"/>
        </w:rPr>
      </w:pPr>
      <w:r w:rsidRPr="00C74493">
        <w:rPr>
          <w:rStyle w:val="FootnoteReference"/>
          <w:rFonts w:ascii="Garamond" w:hAnsi="Garamond"/>
        </w:rPr>
        <w:footnoteRef/>
      </w:r>
      <w:r w:rsidRPr="00C74493">
        <w:rPr>
          <w:rFonts w:ascii="Garamond" w:hAnsi="Garamond"/>
        </w:rPr>
        <w:t xml:space="preserve"> </w:t>
      </w:r>
      <w:r w:rsidRPr="00C74493">
        <w:rPr>
          <w:rFonts w:ascii="Garamond" w:hAnsi="Garamond" w:cs="Times New Roman"/>
          <w:color w:val="000000"/>
          <w:sz w:val="20"/>
          <w:szCs w:val="24"/>
        </w:rPr>
        <w:t>Votuan për rrëzimin e këtij pretendimi gjyqtarët Holta Zaçaj, Marsida Xhaferllari, Elsa Toska dhe Ilir Toska.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63534" w14:textId="77777777" w:rsidR="00CA42D4" w:rsidRPr="00496B50" w:rsidRDefault="00CA42D4" w:rsidP="00857F69">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5E53D7CB" w14:textId="77777777" w:rsidR="00CA42D4" w:rsidRPr="00AC344F" w:rsidRDefault="00CA42D4" w:rsidP="00640739">
    <w:pPr>
      <w:pStyle w:val="Header"/>
      <w:ind w:left="3330" w:hanging="3330"/>
      <w:rPr>
        <w:rFonts w:ascii="Times New Roman" w:hAnsi="Times New Roman"/>
        <w:sz w:val="20"/>
        <w:szCs w:val="20"/>
      </w:rPr>
    </w:pPr>
    <w:r w:rsidRPr="00496B50">
      <w:rPr>
        <w:rFonts w:ascii="Times New Roman" w:hAnsi="Times New Roman"/>
        <w:sz w:val="20"/>
        <w:szCs w:val="20"/>
      </w:rPr>
      <w:tab/>
    </w:r>
    <w:r w:rsidRPr="00496B50">
      <w:rPr>
        <w:rFonts w:ascii="Times New Roman" w:hAnsi="Times New Roman"/>
        <w:sz w:val="20"/>
        <w:szCs w:val="20"/>
      </w:rPr>
      <w:tab/>
    </w:r>
    <w:r w:rsidRPr="00496B50">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875"/>
    <w:multiLevelType w:val="multilevel"/>
    <w:tmpl w:val="0A42DA3E"/>
    <w:lvl w:ilvl="0">
      <w:start w:val="61"/>
      <w:numFmt w:val="decimal"/>
      <w:lvlText w:val="%1."/>
      <w:lvlJc w:val="left"/>
      <w:pPr>
        <w:ind w:left="126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C97E04"/>
    <w:multiLevelType w:val="hybridMultilevel"/>
    <w:tmpl w:val="7D9095C0"/>
    <w:lvl w:ilvl="0" w:tplc="A64666FA">
      <w:start w:val="19"/>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701645E"/>
    <w:multiLevelType w:val="multilevel"/>
    <w:tmpl w:val="34900160"/>
    <w:lvl w:ilvl="0">
      <w:start w:val="44"/>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ED0582"/>
    <w:multiLevelType w:val="multilevel"/>
    <w:tmpl w:val="04EADAE6"/>
    <w:lvl w:ilvl="0">
      <w:start w:val="13"/>
      <w:numFmt w:val="decimal"/>
      <w:lvlText w:val="%1."/>
      <w:lvlJc w:val="left"/>
      <w:pPr>
        <w:ind w:left="1080" w:hanging="360"/>
      </w:pPr>
      <w:rPr>
        <w:rFonts w:hint="default"/>
        <w:b w:val="0"/>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B404A1A"/>
    <w:multiLevelType w:val="hybridMultilevel"/>
    <w:tmpl w:val="47BECF6A"/>
    <w:lvl w:ilvl="0" w:tplc="B888CD3A">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C2064"/>
    <w:multiLevelType w:val="hybridMultilevel"/>
    <w:tmpl w:val="6AEA317E"/>
    <w:lvl w:ilvl="0" w:tplc="24D69756">
      <w:start w:val="20"/>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36B2F42"/>
    <w:multiLevelType w:val="multilevel"/>
    <w:tmpl w:val="8C64392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E83642"/>
    <w:multiLevelType w:val="hybridMultilevel"/>
    <w:tmpl w:val="1E32D4AE"/>
    <w:lvl w:ilvl="0" w:tplc="04C0AA9E">
      <w:start w:val="1"/>
      <w:numFmt w:val="upperRoman"/>
      <w:lvlText w:val="%1."/>
      <w:lvlJc w:val="left"/>
      <w:pPr>
        <w:ind w:left="721" w:hanging="720"/>
      </w:pPr>
      <w:rPr>
        <w:rFonts w:ascii="Times New Roman" w:hAnsi="Times New Roman" w:cs="Times New Roman" w:hint="default"/>
        <w:b/>
      </w:rPr>
    </w:lvl>
    <w:lvl w:ilvl="1" w:tplc="E7D8CCA4">
      <w:start w:val="1"/>
      <w:numFmt w:val="decimal"/>
      <w:lvlText w:val="%2."/>
      <w:lvlJc w:val="left"/>
      <w:pPr>
        <w:tabs>
          <w:tab w:val="num" w:pos="2340"/>
        </w:tabs>
        <w:ind w:left="23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5726302"/>
    <w:multiLevelType w:val="hybridMultilevel"/>
    <w:tmpl w:val="4F5018D2"/>
    <w:lvl w:ilvl="0" w:tplc="74DEEFF2">
      <w:start w:val="1"/>
      <w:numFmt w:val="decimal"/>
      <w:lvlText w:val="%1."/>
      <w:lvlJc w:val="left"/>
      <w:pPr>
        <w:ind w:left="720" w:hanging="360"/>
      </w:pPr>
      <w:rPr>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6B55557"/>
    <w:multiLevelType w:val="hybridMultilevel"/>
    <w:tmpl w:val="2A92991E"/>
    <w:lvl w:ilvl="0" w:tplc="D4346CC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7471DA"/>
    <w:multiLevelType w:val="hybridMultilevel"/>
    <w:tmpl w:val="225C8A7A"/>
    <w:lvl w:ilvl="0" w:tplc="302C5328">
      <w:start w:val="1"/>
      <w:numFmt w:val="decimal"/>
      <w:lvlText w:val="11.1.%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E521E"/>
    <w:multiLevelType w:val="hybridMultilevel"/>
    <w:tmpl w:val="95A0A250"/>
    <w:lvl w:ilvl="0" w:tplc="AC942966">
      <w:start w:val="8"/>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0407DA6"/>
    <w:multiLevelType w:val="hybridMultilevel"/>
    <w:tmpl w:val="FA66CFF6"/>
    <w:lvl w:ilvl="0" w:tplc="0504B4DC">
      <w:start w:val="18"/>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0F7553A"/>
    <w:multiLevelType w:val="hybridMultilevel"/>
    <w:tmpl w:val="756E92F6"/>
    <w:lvl w:ilvl="0" w:tplc="0409000F">
      <w:start w:val="1"/>
      <w:numFmt w:val="decimal"/>
      <w:lvlText w:val="%1."/>
      <w:lvlJc w:val="left"/>
      <w:pPr>
        <w:ind w:left="720" w:hanging="360"/>
      </w:pPr>
    </w:lvl>
    <w:lvl w:ilvl="1" w:tplc="39946134">
      <w:start w:val="1"/>
      <w:numFmt w:val="decimal"/>
      <w:lvlText w:val="12.%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B7FAF"/>
    <w:multiLevelType w:val="hybridMultilevel"/>
    <w:tmpl w:val="4588D752"/>
    <w:lvl w:ilvl="0" w:tplc="E5FC94DE">
      <w:start w:val="20"/>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67A5149"/>
    <w:multiLevelType w:val="hybridMultilevel"/>
    <w:tmpl w:val="24E6D478"/>
    <w:lvl w:ilvl="0" w:tplc="A6AA7A80">
      <w:start w:val="24"/>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C1A0F67"/>
    <w:multiLevelType w:val="hybridMultilevel"/>
    <w:tmpl w:val="06961AB2"/>
    <w:lvl w:ilvl="0" w:tplc="273808EA">
      <w:start w:val="9"/>
      <w:numFmt w:val="decimal"/>
      <w:lvlText w:val="%1."/>
      <w:lvlJc w:val="left"/>
      <w:pPr>
        <w:ind w:left="92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E6C284B"/>
    <w:multiLevelType w:val="multilevel"/>
    <w:tmpl w:val="77349900"/>
    <w:lvl w:ilvl="0">
      <w:start w:val="9"/>
      <w:numFmt w:val="decimal"/>
      <w:lvlText w:val="%1."/>
      <w:lvlJc w:val="left"/>
      <w:pPr>
        <w:ind w:left="1170" w:hanging="360"/>
      </w:pPr>
      <w:rPr>
        <w:rFonts w:hint="default"/>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18" w15:restartNumberingAfterBreak="0">
    <w:nsid w:val="344D379D"/>
    <w:multiLevelType w:val="hybridMultilevel"/>
    <w:tmpl w:val="A2983C68"/>
    <w:lvl w:ilvl="0" w:tplc="537ADE3C">
      <w:start w:val="1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94A0546"/>
    <w:multiLevelType w:val="hybridMultilevel"/>
    <w:tmpl w:val="61D6B1CA"/>
    <w:lvl w:ilvl="0" w:tplc="041C0015">
      <w:start w:val="2"/>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FBE24A2"/>
    <w:multiLevelType w:val="multilevel"/>
    <w:tmpl w:val="77349900"/>
    <w:lvl w:ilvl="0">
      <w:start w:val="9"/>
      <w:numFmt w:val="decimal"/>
      <w:lvlText w:val="%1."/>
      <w:lvlJc w:val="left"/>
      <w:pPr>
        <w:ind w:left="1170" w:hanging="360"/>
      </w:pPr>
      <w:rPr>
        <w:rFonts w:hint="default"/>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22" w15:restartNumberingAfterBreak="0">
    <w:nsid w:val="41FA5A8C"/>
    <w:multiLevelType w:val="hybridMultilevel"/>
    <w:tmpl w:val="4ECC7BA8"/>
    <w:lvl w:ilvl="0" w:tplc="B9CA0AF6">
      <w:start w:val="18"/>
      <w:numFmt w:val="decimal"/>
      <w:lvlText w:val="%1."/>
      <w:lvlJc w:val="left"/>
      <w:pPr>
        <w:ind w:left="144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4B025DEF"/>
    <w:multiLevelType w:val="multilevel"/>
    <w:tmpl w:val="5A08553E"/>
    <w:lvl w:ilvl="0">
      <w:start w:val="52"/>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4EB5498C"/>
    <w:multiLevelType w:val="hybridMultilevel"/>
    <w:tmpl w:val="CB60B01A"/>
    <w:lvl w:ilvl="0" w:tplc="7B5E5AC6">
      <w:start w:val="1"/>
      <w:numFmt w:val="decimal"/>
      <w:lvlText w:val="%1."/>
      <w:lvlJc w:val="left"/>
      <w:pPr>
        <w:ind w:left="720" w:hanging="360"/>
      </w:pPr>
      <w:rPr>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25F427A"/>
    <w:multiLevelType w:val="multilevel"/>
    <w:tmpl w:val="26A020B4"/>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54B2758C"/>
    <w:multiLevelType w:val="hybridMultilevel"/>
    <w:tmpl w:val="882A534C"/>
    <w:lvl w:ilvl="0" w:tplc="2E8AD5C6">
      <w:start w:val="21"/>
      <w:numFmt w:val="decimal"/>
      <w:lvlText w:val="%1."/>
      <w:lvlJc w:val="left"/>
      <w:pPr>
        <w:ind w:left="1170" w:hanging="360"/>
      </w:pPr>
      <w:rPr>
        <w:rFonts w:ascii="Times New Roman" w:hAnsi="Times New Roman" w:cs="Times New Roman" w:hint="default"/>
        <w:color w:val="auto"/>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8" w15:restartNumberingAfterBreak="0">
    <w:nsid w:val="551F507C"/>
    <w:multiLevelType w:val="hybridMultilevel"/>
    <w:tmpl w:val="9176C12E"/>
    <w:lvl w:ilvl="0" w:tplc="95A0992A">
      <w:start w:val="18"/>
      <w:numFmt w:val="decimal"/>
      <w:lvlText w:val="%1."/>
      <w:lvlJc w:val="left"/>
      <w:pPr>
        <w:ind w:left="144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6C86DB6"/>
    <w:multiLevelType w:val="hybridMultilevel"/>
    <w:tmpl w:val="4EAA4BB0"/>
    <w:lvl w:ilvl="0" w:tplc="E95870B8">
      <w:start w:val="1"/>
      <w:numFmt w:val="decimal"/>
      <w:lvlText w:val="11.%1."/>
      <w:lvlJc w:val="left"/>
      <w:pPr>
        <w:ind w:left="720" w:hanging="360"/>
      </w:pPr>
      <w:rPr>
        <w:rFonts w:hint="default"/>
        <w:i w:val="0"/>
      </w:rPr>
    </w:lvl>
    <w:lvl w:ilvl="1" w:tplc="044E7C20">
      <w:start w:val="1"/>
      <w:numFmt w:val="decimal"/>
      <w:lvlText w:val="11.1.%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9206DA"/>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D21054E"/>
    <w:multiLevelType w:val="hybridMultilevel"/>
    <w:tmpl w:val="5454B63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FBA3357"/>
    <w:multiLevelType w:val="hybridMultilevel"/>
    <w:tmpl w:val="0F744464"/>
    <w:lvl w:ilvl="0" w:tplc="7562B6AA">
      <w:start w:val="1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1A66BF4"/>
    <w:multiLevelType w:val="hybridMultilevel"/>
    <w:tmpl w:val="115EBEFA"/>
    <w:lvl w:ilvl="0" w:tplc="0ADA9698">
      <w:start w:val="17"/>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4" w15:restartNumberingAfterBreak="0">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D4C4FBE"/>
    <w:multiLevelType w:val="hybridMultilevel"/>
    <w:tmpl w:val="CC5A4AE4"/>
    <w:lvl w:ilvl="0" w:tplc="11A67EAA">
      <w:start w:val="4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EAF6C03"/>
    <w:multiLevelType w:val="hybridMultilevel"/>
    <w:tmpl w:val="445CCD56"/>
    <w:lvl w:ilvl="0" w:tplc="0B900882">
      <w:start w:val="22"/>
      <w:numFmt w:val="decimal"/>
      <w:lvlText w:val="%1."/>
      <w:lvlJc w:val="left"/>
      <w:pPr>
        <w:ind w:left="720" w:hanging="360"/>
      </w:pPr>
      <w:rPr>
        <w:rFonts w:hint="default"/>
        <w:b w:val="0"/>
        <w:bCs w:val="0"/>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F961B30"/>
    <w:multiLevelType w:val="hybridMultilevel"/>
    <w:tmpl w:val="3AE24ED8"/>
    <w:lvl w:ilvl="0" w:tplc="F3580488">
      <w:start w:val="2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42A3881"/>
    <w:multiLevelType w:val="multilevel"/>
    <w:tmpl w:val="BB58CDFC"/>
    <w:lvl w:ilvl="0">
      <w:start w:val="11"/>
      <w:numFmt w:val="decimal"/>
      <w:lvlText w:val="%1."/>
      <w:lvlJc w:val="left"/>
      <w:pPr>
        <w:ind w:left="1170" w:hanging="360"/>
      </w:pPr>
      <w:rPr>
        <w:rFonts w:hint="default"/>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9" w15:restartNumberingAfterBreak="0">
    <w:nsid w:val="74455A14"/>
    <w:multiLevelType w:val="hybridMultilevel"/>
    <w:tmpl w:val="98FA37D8"/>
    <w:lvl w:ilvl="0" w:tplc="0409000F">
      <w:start w:val="1"/>
      <w:numFmt w:val="decimal"/>
      <w:lvlText w:val="%1."/>
      <w:lvlJc w:val="left"/>
      <w:pPr>
        <w:ind w:left="720" w:hanging="360"/>
      </w:pPr>
    </w:lvl>
    <w:lvl w:ilvl="1" w:tplc="33F6B51C">
      <w:start w:val="1"/>
      <w:numFmt w:val="decimal"/>
      <w:lvlText w:val="9.%2."/>
      <w:lvlJc w:val="left"/>
      <w:pPr>
        <w:ind w:left="1440" w:hanging="360"/>
      </w:pPr>
      <w:rPr>
        <w:rFonts w:hint="default"/>
      </w:rPr>
    </w:lvl>
    <w:lvl w:ilvl="2" w:tplc="2E8E53EE">
      <w:start w:val="1"/>
      <w:numFmt w:val="decimal"/>
      <w:lvlText w:val="10.1.%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B24AA0"/>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1" w15:restartNumberingAfterBreak="0">
    <w:nsid w:val="77B4745F"/>
    <w:multiLevelType w:val="multilevel"/>
    <w:tmpl w:val="51860BE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i w:val="0"/>
      </w:rPr>
    </w:lvl>
    <w:lvl w:ilvl="2">
      <w:start w:val="1"/>
      <w:numFmt w:val="decimal"/>
      <w:isLgl/>
      <w:lvlText w:val="%1.%2.%3."/>
      <w:lvlJc w:val="left"/>
      <w:pPr>
        <w:ind w:left="1080" w:hanging="720"/>
      </w:pPr>
      <w:rPr>
        <w:i w:val="0"/>
        <w:iCs/>
      </w:rPr>
    </w:lvl>
    <w:lvl w:ilvl="3">
      <w:start w:val="1"/>
      <w:numFmt w:val="decimal"/>
      <w:isLgl/>
      <w:lvlText w:val="%1.%2.%3.%4."/>
      <w:lvlJc w:val="left"/>
      <w:pPr>
        <w:ind w:left="1080" w:hanging="720"/>
      </w:pPr>
      <w:rPr>
        <w:i/>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num w:numId="1">
    <w:abstractNumId w:val="34"/>
  </w:num>
  <w:num w:numId="2">
    <w:abstractNumId w:val="3"/>
  </w:num>
  <w:num w:numId="3">
    <w:abstractNumId w:val="38"/>
  </w:num>
  <w:num w:numId="4">
    <w:abstractNumId w:val="25"/>
  </w:num>
  <w:num w:numId="5">
    <w:abstractNumId w:val="20"/>
  </w:num>
  <w:num w:numId="6">
    <w:abstractNumId w:val="1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6"/>
  </w:num>
  <w:num w:numId="10">
    <w:abstractNumId w:val="26"/>
  </w:num>
  <w:num w:numId="11">
    <w:abstractNumId w:val="7"/>
  </w:num>
  <w:num w:numId="12">
    <w:abstractNumId w:val="11"/>
  </w:num>
  <w:num w:numId="13">
    <w:abstractNumId w:val="2"/>
  </w:num>
  <w:num w:numId="14">
    <w:abstractNumId w:val="24"/>
  </w:num>
  <w:num w:numId="15">
    <w:abstractNumId w:val="0"/>
  </w:num>
  <w:num w:numId="16">
    <w:abstractNumId w:val="21"/>
  </w:num>
  <w:num w:numId="17">
    <w:abstractNumId w:val="27"/>
  </w:num>
  <w:num w:numId="18">
    <w:abstractNumId w:val="33"/>
  </w:num>
  <w:num w:numId="19">
    <w:abstractNumId w:val="12"/>
  </w:num>
  <w:num w:numId="20">
    <w:abstractNumId w:val="37"/>
  </w:num>
  <w:num w:numId="21">
    <w:abstractNumId w:val="15"/>
  </w:num>
  <w:num w:numId="22">
    <w:abstractNumId w:val="17"/>
  </w:num>
  <w:num w:numId="23">
    <w:abstractNumId w:val="8"/>
  </w:num>
  <w:num w:numId="24">
    <w:abstractNumId w:val="23"/>
  </w:num>
  <w:num w:numId="25">
    <w:abstractNumId w:val="22"/>
  </w:num>
  <w:num w:numId="26">
    <w:abstractNumId w:val="32"/>
  </w:num>
  <w:num w:numId="27">
    <w:abstractNumId w:val="36"/>
  </w:num>
  <w:num w:numId="28">
    <w:abstractNumId w:val="35"/>
  </w:num>
  <w:num w:numId="29">
    <w:abstractNumId w:val="28"/>
  </w:num>
  <w:num w:numId="30">
    <w:abstractNumId w:val="1"/>
  </w:num>
  <w:num w:numId="31">
    <w:abstractNumId w:val="16"/>
  </w:num>
  <w:num w:numId="32">
    <w:abstractNumId w:val="14"/>
  </w:num>
  <w:num w:numId="33">
    <w:abstractNumId w:val="31"/>
  </w:num>
  <w:num w:numId="34">
    <w:abstractNumId w:val="13"/>
  </w:num>
  <w:num w:numId="35">
    <w:abstractNumId w:val="10"/>
  </w:num>
  <w:num w:numId="36">
    <w:abstractNumId w:val="29"/>
  </w:num>
  <w:num w:numId="37">
    <w:abstractNumId w:val="30"/>
  </w:num>
  <w:num w:numId="38">
    <w:abstractNumId w:val="5"/>
  </w:num>
  <w:num w:numId="39">
    <w:abstractNumId w:val="39"/>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19"/>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938"/>
    <w:rsid w:val="00004AF7"/>
    <w:rsid w:val="0000677D"/>
    <w:rsid w:val="00014BD0"/>
    <w:rsid w:val="0001676F"/>
    <w:rsid w:val="000209FF"/>
    <w:rsid w:val="00020C90"/>
    <w:rsid w:val="000215C2"/>
    <w:rsid w:val="000219C8"/>
    <w:rsid w:val="0002238D"/>
    <w:rsid w:val="00024195"/>
    <w:rsid w:val="000244D0"/>
    <w:rsid w:val="00024E73"/>
    <w:rsid w:val="00030697"/>
    <w:rsid w:val="00030C47"/>
    <w:rsid w:val="000329FD"/>
    <w:rsid w:val="00032E5E"/>
    <w:rsid w:val="00034AFB"/>
    <w:rsid w:val="00035C70"/>
    <w:rsid w:val="00035C85"/>
    <w:rsid w:val="00040777"/>
    <w:rsid w:val="000457D0"/>
    <w:rsid w:val="00051E64"/>
    <w:rsid w:val="00052450"/>
    <w:rsid w:val="0005392B"/>
    <w:rsid w:val="00054FF8"/>
    <w:rsid w:val="000560D6"/>
    <w:rsid w:val="000574E9"/>
    <w:rsid w:val="0006051F"/>
    <w:rsid w:val="000605E9"/>
    <w:rsid w:val="000640D1"/>
    <w:rsid w:val="00065503"/>
    <w:rsid w:val="0006561A"/>
    <w:rsid w:val="00075173"/>
    <w:rsid w:val="0007574A"/>
    <w:rsid w:val="00077BA6"/>
    <w:rsid w:val="00081C9F"/>
    <w:rsid w:val="00086B37"/>
    <w:rsid w:val="000934D3"/>
    <w:rsid w:val="00096C46"/>
    <w:rsid w:val="000A2995"/>
    <w:rsid w:val="000A3F09"/>
    <w:rsid w:val="000A61B1"/>
    <w:rsid w:val="000A733A"/>
    <w:rsid w:val="000B0017"/>
    <w:rsid w:val="000B142C"/>
    <w:rsid w:val="000B1C71"/>
    <w:rsid w:val="000B3E8D"/>
    <w:rsid w:val="000B5052"/>
    <w:rsid w:val="000C0AFA"/>
    <w:rsid w:val="000C216C"/>
    <w:rsid w:val="000C62CA"/>
    <w:rsid w:val="000D0688"/>
    <w:rsid w:val="000D0B35"/>
    <w:rsid w:val="000D2DE5"/>
    <w:rsid w:val="000D6360"/>
    <w:rsid w:val="000D728C"/>
    <w:rsid w:val="000D747D"/>
    <w:rsid w:val="000D7ED5"/>
    <w:rsid w:val="000E01C6"/>
    <w:rsid w:val="000E1A38"/>
    <w:rsid w:val="000E4C2C"/>
    <w:rsid w:val="000E6347"/>
    <w:rsid w:val="000E6A0E"/>
    <w:rsid w:val="000E765F"/>
    <w:rsid w:val="000F01E2"/>
    <w:rsid w:val="000F4C92"/>
    <w:rsid w:val="000F6F52"/>
    <w:rsid w:val="000F7FAD"/>
    <w:rsid w:val="00106A7E"/>
    <w:rsid w:val="0010744E"/>
    <w:rsid w:val="00112F4E"/>
    <w:rsid w:val="0011416E"/>
    <w:rsid w:val="00114665"/>
    <w:rsid w:val="00120920"/>
    <w:rsid w:val="00122EC3"/>
    <w:rsid w:val="00125624"/>
    <w:rsid w:val="00126CAA"/>
    <w:rsid w:val="001350BC"/>
    <w:rsid w:val="00135C97"/>
    <w:rsid w:val="00136B72"/>
    <w:rsid w:val="00137881"/>
    <w:rsid w:val="00137BC3"/>
    <w:rsid w:val="001405A8"/>
    <w:rsid w:val="0014102C"/>
    <w:rsid w:val="0014667E"/>
    <w:rsid w:val="00153306"/>
    <w:rsid w:val="00154064"/>
    <w:rsid w:val="00154F3A"/>
    <w:rsid w:val="0015565B"/>
    <w:rsid w:val="0016207B"/>
    <w:rsid w:val="001634EC"/>
    <w:rsid w:val="00166EAE"/>
    <w:rsid w:val="001673C6"/>
    <w:rsid w:val="00167973"/>
    <w:rsid w:val="001704F9"/>
    <w:rsid w:val="00170593"/>
    <w:rsid w:val="001710C3"/>
    <w:rsid w:val="00171EE9"/>
    <w:rsid w:val="00174E15"/>
    <w:rsid w:val="00175DB6"/>
    <w:rsid w:val="00180693"/>
    <w:rsid w:val="0018592D"/>
    <w:rsid w:val="0019042A"/>
    <w:rsid w:val="001940C6"/>
    <w:rsid w:val="00195799"/>
    <w:rsid w:val="001A2D45"/>
    <w:rsid w:val="001A3A3B"/>
    <w:rsid w:val="001A6906"/>
    <w:rsid w:val="001A73EF"/>
    <w:rsid w:val="001B75AE"/>
    <w:rsid w:val="001B7997"/>
    <w:rsid w:val="001C3B86"/>
    <w:rsid w:val="001C3BA3"/>
    <w:rsid w:val="001C41A0"/>
    <w:rsid w:val="001C4858"/>
    <w:rsid w:val="001C5AAF"/>
    <w:rsid w:val="001D184F"/>
    <w:rsid w:val="001D328C"/>
    <w:rsid w:val="001D43AB"/>
    <w:rsid w:val="001D68DA"/>
    <w:rsid w:val="001E2D15"/>
    <w:rsid w:val="001E369C"/>
    <w:rsid w:val="001E4C9D"/>
    <w:rsid w:val="001E5813"/>
    <w:rsid w:val="001E7246"/>
    <w:rsid w:val="001F0CF5"/>
    <w:rsid w:val="001F37AE"/>
    <w:rsid w:val="001F6573"/>
    <w:rsid w:val="001F65B2"/>
    <w:rsid w:val="001F78E5"/>
    <w:rsid w:val="00200F8D"/>
    <w:rsid w:val="00203A4A"/>
    <w:rsid w:val="00204598"/>
    <w:rsid w:val="0020601D"/>
    <w:rsid w:val="0020776C"/>
    <w:rsid w:val="00210A04"/>
    <w:rsid w:val="00213D0D"/>
    <w:rsid w:val="002167C9"/>
    <w:rsid w:val="002204FB"/>
    <w:rsid w:val="00220831"/>
    <w:rsid w:val="00220CBE"/>
    <w:rsid w:val="00223A8E"/>
    <w:rsid w:val="0022629D"/>
    <w:rsid w:val="00226E4E"/>
    <w:rsid w:val="00226F27"/>
    <w:rsid w:val="00227F8D"/>
    <w:rsid w:val="00230039"/>
    <w:rsid w:val="002308A0"/>
    <w:rsid w:val="002338EC"/>
    <w:rsid w:val="00237C3A"/>
    <w:rsid w:val="0024056A"/>
    <w:rsid w:val="002412D8"/>
    <w:rsid w:val="00241EBB"/>
    <w:rsid w:val="002436EE"/>
    <w:rsid w:val="00246710"/>
    <w:rsid w:val="002467CE"/>
    <w:rsid w:val="0025625F"/>
    <w:rsid w:val="00257584"/>
    <w:rsid w:val="002575F8"/>
    <w:rsid w:val="002579C4"/>
    <w:rsid w:val="00261D43"/>
    <w:rsid w:val="00262177"/>
    <w:rsid w:val="002631EB"/>
    <w:rsid w:val="002636B1"/>
    <w:rsid w:val="00263C23"/>
    <w:rsid w:val="00264340"/>
    <w:rsid w:val="00266BCC"/>
    <w:rsid w:val="00267357"/>
    <w:rsid w:val="002717FD"/>
    <w:rsid w:val="00273F03"/>
    <w:rsid w:val="00274C3D"/>
    <w:rsid w:val="002754B6"/>
    <w:rsid w:val="00275FCE"/>
    <w:rsid w:val="00276169"/>
    <w:rsid w:val="00276FF7"/>
    <w:rsid w:val="002776C6"/>
    <w:rsid w:val="00277CAF"/>
    <w:rsid w:val="00280805"/>
    <w:rsid w:val="002811B0"/>
    <w:rsid w:val="002828D7"/>
    <w:rsid w:val="002864E3"/>
    <w:rsid w:val="00286C0B"/>
    <w:rsid w:val="002919D7"/>
    <w:rsid w:val="002924CF"/>
    <w:rsid w:val="00294C16"/>
    <w:rsid w:val="00295533"/>
    <w:rsid w:val="00296D35"/>
    <w:rsid w:val="002A0E24"/>
    <w:rsid w:val="002A245D"/>
    <w:rsid w:val="002A2D83"/>
    <w:rsid w:val="002A3801"/>
    <w:rsid w:val="002A3FC1"/>
    <w:rsid w:val="002A44D0"/>
    <w:rsid w:val="002A46CB"/>
    <w:rsid w:val="002A4F35"/>
    <w:rsid w:val="002A50F4"/>
    <w:rsid w:val="002B2F7F"/>
    <w:rsid w:val="002B351F"/>
    <w:rsid w:val="002B3D07"/>
    <w:rsid w:val="002B3F1B"/>
    <w:rsid w:val="002C21F0"/>
    <w:rsid w:val="002C2C2A"/>
    <w:rsid w:val="002C4131"/>
    <w:rsid w:val="002C5733"/>
    <w:rsid w:val="002C63E5"/>
    <w:rsid w:val="002D089E"/>
    <w:rsid w:val="002D0D33"/>
    <w:rsid w:val="002D0E89"/>
    <w:rsid w:val="002D1C8F"/>
    <w:rsid w:val="002D2078"/>
    <w:rsid w:val="002D610F"/>
    <w:rsid w:val="002E104E"/>
    <w:rsid w:val="002E4A73"/>
    <w:rsid w:val="002E5926"/>
    <w:rsid w:val="002E743C"/>
    <w:rsid w:val="002F1695"/>
    <w:rsid w:val="002F44B4"/>
    <w:rsid w:val="002F50D0"/>
    <w:rsid w:val="002F5DC9"/>
    <w:rsid w:val="002F72F1"/>
    <w:rsid w:val="0030175E"/>
    <w:rsid w:val="00301C6C"/>
    <w:rsid w:val="00304E84"/>
    <w:rsid w:val="003053FE"/>
    <w:rsid w:val="00305C13"/>
    <w:rsid w:val="00305C29"/>
    <w:rsid w:val="00307DF2"/>
    <w:rsid w:val="00307F11"/>
    <w:rsid w:val="00310C7C"/>
    <w:rsid w:val="0031323D"/>
    <w:rsid w:val="00315481"/>
    <w:rsid w:val="00316C47"/>
    <w:rsid w:val="00316DD5"/>
    <w:rsid w:val="00316DE4"/>
    <w:rsid w:val="00321A18"/>
    <w:rsid w:val="00322DC1"/>
    <w:rsid w:val="00325CB5"/>
    <w:rsid w:val="00327958"/>
    <w:rsid w:val="00327D79"/>
    <w:rsid w:val="00330ED7"/>
    <w:rsid w:val="0033447B"/>
    <w:rsid w:val="00335CA2"/>
    <w:rsid w:val="003377E4"/>
    <w:rsid w:val="00340CDC"/>
    <w:rsid w:val="00340F48"/>
    <w:rsid w:val="003439DA"/>
    <w:rsid w:val="00344F51"/>
    <w:rsid w:val="00353B76"/>
    <w:rsid w:val="00354A83"/>
    <w:rsid w:val="0035779C"/>
    <w:rsid w:val="0036135E"/>
    <w:rsid w:val="00363E9C"/>
    <w:rsid w:val="00365FF6"/>
    <w:rsid w:val="00371CD9"/>
    <w:rsid w:val="00374664"/>
    <w:rsid w:val="00375D91"/>
    <w:rsid w:val="00376E69"/>
    <w:rsid w:val="00377226"/>
    <w:rsid w:val="0037784E"/>
    <w:rsid w:val="003836F5"/>
    <w:rsid w:val="003852D2"/>
    <w:rsid w:val="00387EB3"/>
    <w:rsid w:val="00390CC3"/>
    <w:rsid w:val="0039220D"/>
    <w:rsid w:val="00393EC2"/>
    <w:rsid w:val="0039418C"/>
    <w:rsid w:val="003A099C"/>
    <w:rsid w:val="003A0AC3"/>
    <w:rsid w:val="003A2467"/>
    <w:rsid w:val="003A2B87"/>
    <w:rsid w:val="003A6862"/>
    <w:rsid w:val="003A6DD2"/>
    <w:rsid w:val="003B1E87"/>
    <w:rsid w:val="003B22FE"/>
    <w:rsid w:val="003B3AE5"/>
    <w:rsid w:val="003B3FF2"/>
    <w:rsid w:val="003B55BB"/>
    <w:rsid w:val="003B7145"/>
    <w:rsid w:val="003C0081"/>
    <w:rsid w:val="003C01D3"/>
    <w:rsid w:val="003C218D"/>
    <w:rsid w:val="003C2D7B"/>
    <w:rsid w:val="003C431F"/>
    <w:rsid w:val="003C4B24"/>
    <w:rsid w:val="003C6311"/>
    <w:rsid w:val="003C754F"/>
    <w:rsid w:val="003D51CB"/>
    <w:rsid w:val="003D589F"/>
    <w:rsid w:val="003D783E"/>
    <w:rsid w:val="003E04DE"/>
    <w:rsid w:val="003E15AB"/>
    <w:rsid w:val="003E1687"/>
    <w:rsid w:val="003E2E90"/>
    <w:rsid w:val="003E31BA"/>
    <w:rsid w:val="003E335B"/>
    <w:rsid w:val="003E3FB9"/>
    <w:rsid w:val="003E5138"/>
    <w:rsid w:val="003E5DD1"/>
    <w:rsid w:val="003E736B"/>
    <w:rsid w:val="003F155C"/>
    <w:rsid w:val="003F1F83"/>
    <w:rsid w:val="003F312C"/>
    <w:rsid w:val="003F4527"/>
    <w:rsid w:val="003F627B"/>
    <w:rsid w:val="003F7402"/>
    <w:rsid w:val="004038BB"/>
    <w:rsid w:val="004048A0"/>
    <w:rsid w:val="004127F5"/>
    <w:rsid w:val="00412CCA"/>
    <w:rsid w:val="00413A09"/>
    <w:rsid w:val="00416C83"/>
    <w:rsid w:val="004203B6"/>
    <w:rsid w:val="00421F03"/>
    <w:rsid w:val="00422918"/>
    <w:rsid w:val="00425D81"/>
    <w:rsid w:val="004276E7"/>
    <w:rsid w:val="00430554"/>
    <w:rsid w:val="0043070F"/>
    <w:rsid w:val="00430C77"/>
    <w:rsid w:val="00432D3D"/>
    <w:rsid w:val="00440B05"/>
    <w:rsid w:val="004412CC"/>
    <w:rsid w:val="004412DB"/>
    <w:rsid w:val="00442A76"/>
    <w:rsid w:val="00443A89"/>
    <w:rsid w:val="00447174"/>
    <w:rsid w:val="004504C4"/>
    <w:rsid w:val="00451A47"/>
    <w:rsid w:val="00453452"/>
    <w:rsid w:val="00462A46"/>
    <w:rsid w:val="00463ADD"/>
    <w:rsid w:val="0046479E"/>
    <w:rsid w:val="00466444"/>
    <w:rsid w:val="00470568"/>
    <w:rsid w:val="00473790"/>
    <w:rsid w:val="0047384C"/>
    <w:rsid w:val="0047473E"/>
    <w:rsid w:val="00476600"/>
    <w:rsid w:val="00481FDB"/>
    <w:rsid w:val="00485214"/>
    <w:rsid w:val="00485C47"/>
    <w:rsid w:val="00490635"/>
    <w:rsid w:val="004915EF"/>
    <w:rsid w:val="004938FC"/>
    <w:rsid w:val="00495596"/>
    <w:rsid w:val="004A184D"/>
    <w:rsid w:val="004A3160"/>
    <w:rsid w:val="004A3753"/>
    <w:rsid w:val="004B06F5"/>
    <w:rsid w:val="004B1060"/>
    <w:rsid w:val="004B2EEC"/>
    <w:rsid w:val="004B4E5F"/>
    <w:rsid w:val="004B6FCE"/>
    <w:rsid w:val="004C34F9"/>
    <w:rsid w:val="004C478C"/>
    <w:rsid w:val="004C49B9"/>
    <w:rsid w:val="004C6359"/>
    <w:rsid w:val="004C70E6"/>
    <w:rsid w:val="004C7314"/>
    <w:rsid w:val="004D1EC1"/>
    <w:rsid w:val="004D2C27"/>
    <w:rsid w:val="004D3239"/>
    <w:rsid w:val="004D51C6"/>
    <w:rsid w:val="004D532D"/>
    <w:rsid w:val="004D6CE9"/>
    <w:rsid w:val="004F052B"/>
    <w:rsid w:val="004F0F0D"/>
    <w:rsid w:val="004F167D"/>
    <w:rsid w:val="004F3196"/>
    <w:rsid w:val="004F4C70"/>
    <w:rsid w:val="004F5910"/>
    <w:rsid w:val="004F6021"/>
    <w:rsid w:val="0050129D"/>
    <w:rsid w:val="0050291A"/>
    <w:rsid w:val="005031E8"/>
    <w:rsid w:val="005047D0"/>
    <w:rsid w:val="0050602F"/>
    <w:rsid w:val="00506E52"/>
    <w:rsid w:val="0050714C"/>
    <w:rsid w:val="005079A2"/>
    <w:rsid w:val="00507FC9"/>
    <w:rsid w:val="00512A3E"/>
    <w:rsid w:val="00513983"/>
    <w:rsid w:val="005158DE"/>
    <w:rsid w:val="0051674B"/>
    <w:rsid w:val="00516E28"/>
    <w:rsid w:val="0051717E"/>
    <w:rsid w:val="00517443"/>
    <w:rsid w:val="0051759E"/>
    <w:rsid w:val="00520CB8"/>
    <w:rsid w:val="00521BB9"/>
    <w:rsid w:val="00522376"/>
    <w:rsid w:val="005237E5"/>
    <w:rsid w:val="0052392D"/>
    <w:rsid w:val="00525604"/>
    <w:rsid w:val="00526277"/>
    <w:rsid w:val="00531036"/>
    <w:rsid w:val="00531F89"/>
    <w:rsid w:val="00532D49"/>
    <w:rsid w:val="005330E6"/>
    <w:rsid w:val="00533142"/>
    <w:rsid w:val="00535B2B"/>
    <w:rsid w:val="005365DD"/>
    <w:rsid w:val="00542366"/>
    <w:rsid w:val="0054372C"/>
    <w:rsid w:val="00545C63"/>
    <w:rsid w:val="00547241"/>
    <w:rsid w:val="00547CBE"/>
    <w:rsid w:val="00553E85"/>
    <w:rsid w:val="0055438E"/>
    <w:rsid w:val="005546ED"/>
    <w:rsid w:val="00554E6E"/>
    <w:rsid w:val="00556D5C"/>
    <w:rsid w:val="00557ED0"/>
    <w:rsid w:val="00564EB8"/>
    <w:rsid w:val="005666DD"/>
    <w:rsid w:val="00567683"/>
    <w:rsid w:val="00570F81"/>
    <w:rsid w:val="00577FB9"/>
    <w:rsid w:val="005849DD"/>
    <w:rsid w:val="00587A15"/>
    <w:rsid w:val="00587EDC"/>
    <w:rsid w:val="005911EB"/>
    <w:rsid w:val="00592A30"/>
    <w:rsid w:val="00595293"/>
    <w:rsid w:val="005A30B9"/>
    <w:rsid w:val="005A4082"/>
    <w:rsid w:val="005A45FA"/>
    <w:rsid w:val="005A5A8C"/>
    <w:rsid w:val="005B076E"/>
    <w:rsid w:val="005B15ED"/>
    <w:rsid w:val="005B3229"/>
    <w:rsid w:val="005B335B"/>
    <w:rsid w:val="005B57C5"/>
    <w:rsid w:val="005B5992"/>
    <w:rsid w:val="005B741E"/>
    <w:rsid w:val="005C08B0"/>
    <w:rsid w:val="005C2465"/>
    <w:rsid w:val="005C4AC5"/>
    <w:rsid w:val="005C5526"/>
    <w:rsid w:val="005C6187"/>
    <w:rsid w:val="005D0A5B"/>
    <w:rsid w:val="005D1F9F"/>
    <w:rsid w:val="005D2C5B"/>
    <w:rsid w:val="005D430C"/>
    <w:rsid w:val="005D4B30"/>
    <w:rsid w:val="005D6470"/>
    <w:rsid w:val="005E2F0B"/>
    <w:rsid w:val="005E60E7"/>
    <w:rsid w:val="005E6910"/>
    <w:rsid w:val="005E7D68"/>
    <w:rsid w:val="005F0845"/>
    <w:rsid w:val="005F120A"/>
    <w:rsid w:val="005F12DB"/>
    <w:rsid w:val="005F23E6"/>
    <w:rsid w:val="005F506A"/>
    <w:rsid w:val="005F54BE"/>
    <w:rsid w:val="005F5FEE"/>
    <w:rsid w:val="006000ED"/>
    <w:rsid w:val="0060289E"/>
    <w:rsid w:val="00603925"/>
    <w:rsid w:val="00603E0C"/>
    <w:rsid w:val="006048F0"/>
    <w:rsid w:val="00605A02"/>
    <w:rsid w:val="006063FA"/>
    <w:rsid w:val="00606AFA"/>
    <w:rsid w:val="00610AB9"/>
    <w:rsid w:val="00610C3B"/>
    <w:rsid w:val="0061162D"/>
    <w:rsid w:val="00612F0B"/>
    <w:rsid w:val="00616DAD"/>
    <w:rsid w:val="00620008"/>
    <w:rsid w:val="00620CCE"/>
    <w:rsid w:val="006257E9"/>
    <w:rsid w:val="00626BB4"/>
    <w:rsid w:val="00627422"/>
    <w:rsid w:val="00627A25"/>
    <w:rsid w:val="006308DB"/>
    <w:rsid w:val="00640739"/>
    <w:rsid w:val="006411B8"/>
    <w:rsid w:val="006413C3"/>
    <w:rsid w:val="00641792"/>
    <w:rsid w:val="0065037C"/>
    <w:rsid w:val="00655854"/>
    <w:rsid w:val="00655FD6"/>
    <w:rsid w:val="0065669E"/>
    <w:rsid w:val="00657BC7"/>
    <w:rsid w:val="00660625"/>
    <w:rsid w:val="00661ACB"/>
    <w:rsid w:val="00661CB7"/>
    <w:rsid w:val="00662116"/>
    <w:rsid w:val="00663060"/>
    <w:rsid w:val="00663A7B"/>
    <w:rsid w:val="0066423A"/>
    <w:rsid w:val="0067034D"/>
    <w:rsid w:val="00672A11"/>
    <w:rsid w:val="00674182"/>
    <w:rsid w:val="00674B7B"/>
    <w:rsid w:val="00675DBD"/>
    <w:rsid w:val="0068432E"/>
    <w:rsid w:val="00684C9A"/>
    <w:rsid w:val="0068670A"/>
    <w:rsid w:val="00686906"/>
    <w:rsid w:val="00687086"/>
    <w:rsid w:val="00687B96"/>
    <w:rsid w:val="00690531"/>
    <w:rsid w:val="00693771"/>
    <w:rsid w:val="006A04E3"/>
    <w:rsid w:val="006A1631"/>
    <w:rsid w:val="006A3BC9"/>
    <w:rsid w:val="006A4871"/>
    <w:rsid w:val="006B0DF7"/>
    <w:rsid w:val="006B0F80"/>
    <w:rsid w:val="006B4257"/>
    <w:rsid w:val="006B4B91"/>
    <w:rsid w:val="006B73B4"/>
    <w:rsid w:val="006C1842"/>
    <w:rsid w:val="006C3A75"/>
    <w:rsid w:val="006C3F53"/>
    <w:rsid w:val="006C4A23"/>
    <w:rsid w:val="006C5CF6"/>
    <w:rsid w:val="006C6027"/>
    <w:rsid w:val="006C72A5"/>
    <w:rsid w:val="006D0A3D"/>
    <w:rsid w:val="006D1356"/>
    <w:rsid w:val="006D24E0"/>
    <w:rsid w:val="006D55CE"/>
    <w:rsid w:val="006D5B8B"/>
    <w:rsid w:val="006D6A05"/>
    <w:rsid w:val="006D7403"/>
    <w:rsid w:val="006D76DA"/>
    <w:rsid w:val="006E0A21"/>
    <w:rsid w:val="006E360F"/>
    <w:rsid w:val="006E562B"/>
    <w:rsid w:val="006E7CFE"/>
    <w:rsid w:val="006F119F"/>
    <w:rsid w:val="006F2A01"/>
    <w:rsid w:val="006F2D34"/>
    <w:rsid w:val="006F4DF3"/>
    <w:rsid w:val="006F4E75"/>
    <w:rsid w:val="006F4FCA"/>
    <w:rsid w:val="006F74EF"/>
    <w:rsid w:val="007069D5"/>
    <w:rsid w:val="007070DA"/>
    <w:rsid w:val="00707ACD"/>
    <w:rsid w:val="00712094"/>
    <w:rsid w:val="00712398"/>
    <w:rsid w:val="00712C3E"/>
    <w:rsid w:val="0071709F"/>
    <w:rsid w:val="00717135"/>
    <w:rsid w:val="007173A4"/>
    <w:rsid w:val="00722D9B"/>
    <w:rsid w:val="007242E4"/>
    <w:rsid w:val="00727568"/>
    <w:rsid w:val="00730C9D"/>
    <w:rsid w:val="0073249F"/>
    <w:rsid w:val="00732FDE"/>
    <w:rsid w:val="00734CF8"/>
    <w:rsid w:val="00735E1E"/>
    <w:rsid w:val="00736831"/>
    <w:rsid w:val="00736CB7"/>
    <w:rsid w:val="007376C5"/>
    <w:rsid w:val="00742CC4"/>
    <w:rsid w:val="00742EED"/>
    <w:rsid w:val="00743023"/>
    <w:rsid w:val="007451F9"/>
    <w:rsid w:val="007479C2"/>
    <w:rsid w:val="0075209B"/>
    <w:rsid w:val="00752BAE"/>
    <w:rsid w:val="007533FD"/>
    <w:rsid w:val="0075522D"/>
    <w:rsid w:val="0075554E"/>
    <w:rsid w:val="00757228"/>
    <w:rsid w:val="00757462"/>
    <w:rsid w:val="0075746A"/>
    <w:rsid w:val="007626D9"/>
    <w:rsid w:val="00763972"/>
    <w:rsid w:val="00766218"/>
    <w:rsid w:val="00767C04"/>
    <w:rsid w:val="00767E79"/>
    <w:rsid w:val="00773411"/>
    <w:rsid w:val="007751E3"/>
    <w:rsid w:val="007819DC"/>
    <w:rsid w:val="00783882"/>
    <w:rsid w:val="00783A21"/>
    <w:rsid w:val="00784FEC"/>
    <w:rsid w:val="00785448"/>
    <w:rsid w:val="00786586"/>
    <w:rsid w:val="0078741F"/>
    <w:rsid w:val="007903F3"/>
    <w:rsid w:val="0079199E"/>
    <w:rsid w:val="0079201B"/>
    <w:rsid w:val="00792384"/>
    <w:rsid w:val="007944E2"/>
    <w:rsid w:val="007973E8"/>
    <w:rsid w:val="00797B99"/>
    <w:rsid w:val="007A24C3"/>
    <w:rsid w:val="007A2ADE"/>
    <w:rsid w:val="007A31AC"/>
    <w:rsid w:val="007A40F3"/>
    <w:rsid w:val="007A7AD1"/>
    <w:rsid w:val="007A7DBB"/>
    <w:rsid w:val="007B0B1E"/>
    <w:rsid w:val="007B2077"/>
    <w:rsid w:val="007B29B7"/>
    <w:rsid w:val="007B4399"/>
    <w:rsid w:val="007B4F76"/>
    <w:rsid w:val="007B707A"/>
    <w:rsid w:val="007B7CD6"/>
    <w:rsid w:val="007C064D"/>
    <w:rsid w:val="007C1B96"/>
    <w:rsid w:val="007C23BB"/>
    <w:rsid w:val="007C2440"/>
    <w:rsid w:val="007C3CAF"/>
    <w:rsid w:val="007C4252"/>
    <w:rsid w:val="007C4399"/>
    <w:rsid w:val="007C448F"/>
    <w:rsid w:val="007C5584"/>
    <w:rsid w:val="007C63BB"/>
    <w:rsid w:val="007C7823"/>
    <w:rsid w:val="007D12D5"/>
    <w:rsid w:val="007D32C0"/>
    <w:rsid w:val="007D463E"/>
    <w:rsid w:val="007D4D15"/>
    <w:rsid w:val="007D59BC"/>
    <w:rsid w:val="007D5B58"/>
    <w:rsid w:val="007D5D75"/>
    <w:rsid w:val="007D6530"/>
    <w:rsid w:val="007D69A4"/>
    <w:rsid w:val="007E215B"/>
    <w:rsid w:val="007E6FC9"/>
    <w:rsid w:val="007E7298"/>
    <w:rsid w:val="007E7FA9"/>
    <w:rsid w:val="007F1B8F"/>
    <w:rsid w:val="007F2C1F"/>
    <w:rsid w:val="007F3464"/>
    <w:rsid w:val="007F4B8F"/>
    <w:rsid w:val="007F5ACA"/>
    <w:rsid w:val="007F5F9D"/>
    <w:rsid w:val="00800BFF"/>
    <w:rsid w:val="008011F2"/>
    <w:rsid w:val="00801C67"/>
    <w:rsid w:val="00802F98"/>
    <w:rsid w:val="0080415B"/>
    <w:rsid w:val="00804ADB"/>
    <w:rsid w:val="00806C8A"/>
    <w:rsid w:val="0081560F"/>
    <w:rsid w:val="008158DC"/>
    <w:rsid w:val="0081748B"/>
    <w:rsid w:val="00822DC1"/>
    <w:rsid w:val="008279D3"/>
    <w:rsid w:val="00832D55"/>
    <w:rsid w:val="0083408B"/>
    <w:rsid w:val="00835DD8"/>
    <w:rsid w:val="008409D9"/>
    <w:rsid w:val="00843CFC"/>
    <w:rsid w:val="00844A53"/>
    <w:rsid w:val="00846C2E"/>
    <w:rsid w:val="008523C2"/>
    <w:rsid w:val="0085548D"/>
    <w:rsid w:val="00857F69"/>
    <w:rsid w:val="008605D3"/>
    <w:rsid w:val="00860BCA"/>
    <w:rsid w:val="00864493"/>
    <w:rsid w:val="00864ACC"/>
    <w:rsid w:val="00865E0A"/>
    <w:rsid w:val="00867166"/>
    <w:rsid w:val="00881DE8"/>
    <w:rsid w:val="00884AA3"/>
    <w:rsid w:val="00890EBD"/>
    <w:rsid w:val="00892210"/>
    <w:rsid w:val="00895D5C"/>
    <w:rsid w:val="00897340"/>
    <w:rsid w:val="00897D36"/>
    <w:rsid w:val="008A0C48"/>
    <w:rsid w:val="008A1FA2"/>
    <w:rsid w:val="008B1544"/>
    <w:rsid w:val="008B2A52"/>
    <w:rsid w:val="008B41F5"/>
    <w:rsid w:val="008B46C5"/>
    <w:rsid w:val="008B6CE7"/>
    <w:rsid w:val="008C45EC"/>
    <w:rsid w:val="008C5556"/>
    <w:rsid w:val="008C6BB1"/>
    <w:rsid w:val="008C6DC9"/>
    <w:rsid w:val="008C6E5B"/>
    <w:rsid w:val="008C7E20"/>
    <w:rsid w:val="008D0D0F"/>
    <w:rsid w:val="008D4586"/>
    <w:rsid w:val="008D59F3"/>
    <w:rsid w:val="008E03BE"/>
    <w:rsid w:val="008E05D8"/>
    <w:rsid w:val="008E3C91"/>
    <w:rsid w:val="008F02B5"/>
    <w:rsid w:val="008F2FD4"/>
    <w:rsid w:val="008F6ABA"/>
    <w:rsid w:val="00906059"/>
    <w:rsid w:val="00907052"/>
    <w:rsid w:val="0090779A"/>
    <w:rsid w:val="00910692"/>
    <w:rsid w:val="00912E93"/>
    <w:rsid w:val="009132B1"/>
    <w:rsid w:val="0091529F"/>
    <w:rsid w:val="0091661B"/>
    <w:rsid w:val="00916C3D"/>
    <w:rsid w:val="009222AD"/>
    <w:rsid w:val="00923089"/>
    <w:rsid w:val="00926C70"/>
    <w:rsid w:val="00932ADA"/>
    <w:rsid w:val="00932D0E"/>
    <w:rsid w:val="00933085"/>
    <w:rsid w:val="00933C59"/>
    <w:rsid w:val="009340E0"/>
    <w:rsid w:val="0093485F"/>
    <w:rsid w:val="0093615D"/>
    <w:rsid w:val="0094242F"/>
    <w:rsid w:val="0094264B"/>
    <w:rsid w:val="00943121"/>
    <w:rsid w:val="00946869"/>
    <w:rsid w:val="00950369"/>
    <w:rsid w:val="009511BF"/>
    <w:rsid w:val="00951A93"/>
    <w:rsid w:val="00954AFB"/>
    <w:rsid w:val="00954B08"/>
    <w:rsid w:val="00955B11"/>
    <w:rsid w:val="00956937"/>
    <w:rsid w:val="00957C89"/>
    <w:rsid w:val="0096276C"/>
    <w:rsid w:val="009629D9"/>
    <w:rsid w:val="00962FFF"/>
    <w:rsid w:val="0096400B"/>
    <w:rsid w:val="00964CF5"/>
    <w:rsid w:val="00965753"/>
    <w:rsid w:val="00966406"/>
    <w:rsid w:val="009702DF"/>
    <w:rsid w:val="009706EC"/>
    <w:rsid w:val="00970F1B"/>
    <w:rsid w:val="00972D1C"/>
    <w:rsid w:val="00973CFB"/>
    <w:rsid w:val="00974103"/>
    <w:rsid w:val="009751DD"/>
    <w:rsid w:val="00981D06"/>
    <w:rsid w:val="00983FB1"/>
    <w:rsid w:val="00984054"/>
    <w:rsid w:val="0098448B"/>
    <w:rsid w:val="00984B83"/>
    <w:rsid w:val="00987AAF"/>
    <w:rsid w:val="00987D29"/>
    <w:rsid w:val="00992AC1"/>
    <w:rsid w:val="009938A4"/>
    <w:rsid w:val="00995EA8"/>
    <w:rsid w:val="009962CE"/>
    <w:rsid w:val="009A1411"/>
    <w:rsid w:val="009A1FE2"/>
    <w:rsid w:val="009A2B46"/>
    <w:rsid w:val="009A49E7"/>
    <w:rsid w:val="009A6805"/>
    <w:rsid w:val="009A6F94"/>
    <w:rsid w:val="009B064B"/>
    <w:rsid w:val="009B3FAC"/>
    <w:rsid w:val="009B3FE4"/>
    <w:rsid w:val="009B6728"/>
    <w:rsid w:val="009B7918"/>
    <w:rsid w:val="009C008D"/>
    <w:rsid w:val="009C115F"/>
    <w:rsid w:val="009C2EEA"/>
    <w:rsid w:val="009C32A8"/>
    <w:rsid w:val="009C387D"/>
    <w:rsid w:val="009C3C5A"/>
    <w:rsid w:val="009C57E3"/>
    <w:rsid w:val="009C5910"/>
    <w:rsid w:val="009C6DCB"/>
    <w:rsid w:val="009D11B6"/>
    <w:rsid w:val="009D144F"/>
    <w:rsid w:val="009D2967"/>
    <w:rsid w:val="009D316F"/>
    <w:rsid w:val="009D7630"/>
    <w:rsid w:val="009D7840"/>
    <w:rsid w:val="009D7E28"/>
    <w:rsid w:val="009E003A"/>
    <w:rsid w:val="009E09E7"/>
    <w:rsid w:val="009E0E3C"/>
    <w:rsid w:val="009E144C"/>
    <w:rsid w:val="009E17A6"/>
    <w:rsid w:val="009E4E16"/>
    <w:rsid w:val="009E5A92"/>
    <w:rsid w:val="009F07A7"/>
    <w:rsid w:val="009F25D4"/>
    <w:rsid w:val="009F2FA8"/>
    <w:rsid w:val="009F45D8"/>
    <w:rsid w:val="009F4C87"/>
    <w:rsid w:val="00A00D05"/>
    <w:rsid w:val="00A03D03"/>
    <w:rsid w:val="00A05B6D"/>
    <w:rsid w:val="00A05DD2"/>
    <w:rsid w:val="00A10F10"/>
    <w:rsid w:val="00A1292F"/>
    <w:rsid w:val="00A1444F"/>
    <w:rsid w:val="00A14C6B"/>
    <w:rsid w:val="00A15EF0"/>
    <w:rsid w:val="00A16A73"/>
    <w:rsid w:val="00A16F3E"/>
    <w:rsid w:val="00A2084B"/>
    <w:rsid w:val="00A236AF"/>
    <w:rsid w:val="00A250E4"/>
    <w:rsid w:val="00A303E3"/>
    <w:rsid w:val="00A35CCB"/>
    <w:rsid w:val="00A36D2D"/>
    <w:rsid w:val="00A370C9"/>
    <w:rsid w:val="00A406DB"/>
    <w:rsid w:val="00A433EB"/>
    <w:rsid w:val="00A45960"/>
    <w:rsid w:val="00A4734A"/>
    <w:rsid w:val="00A47FE5"/>
    <w:rsid w:val="00A521AF"/>
    <w:rsid w:val="00A55AA0"/>
    <w:rsid w:val="00A5771C"/>
    <w:rsid w:val="00A619FD"/>
    <w:rsid w:val="00A62B14"/>
    <w:rsid w:val="00A63708"/>
    <w:rsid w:val="00A63AE9"/>
    <w:rsid w:val="00A65143"/>
    <w:rsid w:val="00A65E0E"/>
    <w:rsid w:val="00A717E2"/>
    <w:rsid w:val="00A72506"/>
    <w:rsid w:val="00A75532"/>
    <w:rsid w:val="00A77641"/>
    <w:rsid w:val="00A77EA3"/>
    <w:rsid w:val="00A804E7"/>
    <w:rsid w:val="00A8585D"/>
    <w:rsid w:val="00A86C4F"/>
    <w:rsid w:val="00A86CFE"/>
    <w:rsid w:val="00A90F06"/>
    <w:rsid w:val="00A91187"/>
    <w:rsid w:val="00A91B5D"/>
    <w:rsid w:val="00A93D39"/>
    <w:rsid w:val="00A95514"/>
    <w:rsid w:val="00AA75BD"/>
    <w:rsid w:val="00AB3C2C"/>
    <w:rsid w:val="00AB3FAA"/>
    <w:rsid w:val="00AB4DAD"/>
    <w:rsid w:val="00AC0183"/>
    <w:rsid w:val="00AC2415"/>
    <w:rsid w:val="00AC27E1"/>
    <w:rsid w:val="00AC2DE8"/>
    <w:rsid w:val="00AC4C25"/>
    <w:rsid w:val="00AC54B7"/>
    <w:rsid w:val="00AC5C9C"/>
    <w:rsid w:val="00AC6AF2"/>
    <w:rsid w:val="00AD00DA"/>
    <w:rsid w:val="00AD1002"/>
    <w:rsid w:val="00AD3F09"/>
    <w:rsid w:val="00AE38E1"/>
    <w:rsid w:val="00AE3B27"/>
    <w:rsid w:val="00AE45C3"/>
    <w:rsid w:val="00AE47F8"/>
    <w:rsid w:val="00AE5472"/>
    <w:rsid w:val="00AE70DF"/>
    <w:rsid w:val="00AF18BC"/>
    <w:rsid w:val="00AF2E58"/>
    <w:rsid w:val="00AF435B"/>
    <w:rsid w:val="00AF4D45"/>
    <w:rsid w:val="00AF58BB"/>
    <w:rsid w:val="00AF5CD4"/>
    <w:rsid w:val="00AF6A57"/>
    <w:rsid w:val="00AF6AAD"/>
    <w:rsid w:val="00B0028B"/>
    <w:rsid w:val="00B02D68"/>
    <w:rsid w:val="00B0358A"/>
    <w:rsid w:val="00B048FB"/>
    <w:rsid w:val="00B06AF7"/>
    <w:rsid w:val="00B06C51"/>
    <w:rsid w:val="00B10464"/>
    <w:rsid w:val="00B13D5A"/>
    <w:rsid w:val="00B15FA7"/>
    <w:rsid w:val="00B219AB"/>
    <w:rsid w:val="00B2215F"/>
    <w:rsid w:val="00B23A6D"/>
    <w:rsid w:val="00B23E64"/>
    <w:rsid w:val="00B24C75"/>
    <w:rsid w:val="00B31D04"/>
    <w:rsid w:val="00B3380B"/>
    <w:rsid w:val="00B35D92"/>
    <w:rsid w:val="00B4101A"/>
    <w:rsid w:val="00B42035"/>
    <w:rsid w:val="00B42600"/>
    <w:rsid w:val="00B42B93"/>
    <w:rsid w:val="00B43416"/>
    <w:rsid w:val="00B45A5E"/>
    <w:rsid w:val="00B47E1B"/>
    <w:rsid w:val="00B55D1A"/>
    <w:rsid w:val="00B56C10"/>
    <w:rsid w:val="00B57507"/>
    <w:rsid w:val="00B57E12"/>
    <w:rsid w:val="00B60EE3"/>
    <w:rsid w:val="00B610F0"/>
    <w:rsid w:val="00B631D9"/>
    <w:rsid w:val="00B63A10"/>
    <w:rsid w:val="00B6532F"/>
    <w:rsid w:val="00B65CB3"/>
    <w:rsid w:val="00B66943"/>
    <w:rsid w:val="00B83B58"/>
    <w:rsid w:val="00B84277"/>
    <w:rsid w:val="00B842DF"/>
    <w:rsid w:val="00B85D13"/>
    <w:rsid w:val="00B86C05"/>
    <w:rsid w:val="00B86D4A"/>
    <w:rsid w:val="00B874FD"/>
    <w:rsid w:val="00B90228"/>
    <w:rsid w:val="00B90F1D"/>
    <w:rsid w:val="00B91B25"/>
    <w:rsid w:val="00B9333B"/>
    <w:rsid w:val="00B9475E"/>
    <w:rsid w:val="00BA0DFB"/>
    <w:rsid w:val="00BA47AA"/>
    <w:rsid w:val="00BA5E4E"/>
    <w:rsid w:val="00BA72CC"/>
    <w:rsid w:val="00BB1111"/>
    <w:rsid w:val="00BB2249"/>
    <w:rsid w:val="00BB3432"/>
    <w:rsid w:val="00BB4D59"/>
    <w:rsid w:val="00BB791A"/>
    <w:rsid w:val="00BC09B8"/>
    <w:rsid w:val="00BC13EE"/>
    <w:rsid w:val="00BC1DF2"/>
    <w:rsid w:val="00BC6037"/>
    <w:rsid w:val="00BC707A"/>
    <w:rsid w:val="00BC7110"/>
    <w:rsid w:val="00BC7EA2"/>
    <w:rsid w:val="00BD2CA2"/>
    <w:rsid w:val="00BD2D67"/>
    <w:rsid w:val="00BD5569"/>
    <w:rsid w:val="00BD5F0A"/>
    <w:rsid w:val="00BD70D0"/>
    <w:rsid w:val="00BE17F1"/>
    <w:rsid w:val="00BF0144"/>
    <w:rsid w:val="00BF2B9E"/>
    <w:rsid w:val="00BF44D1"/>
    <w:rsid w:val="00BF46C0"/>
    <w:rsid w:val="00BF4B25"/>
    <w:rsid w:val="00BF617B"/>
    <w:rsid w:val="00BF70BC"/>
    <w:rsid w:val="00C0050C"/>
    <w:rsid w:val="00C01B58"/>
    <w:rsid w:val="00C01EAA"/>
    <w:rsid w:val="00C034E6"/>
    <w:rsid w:val="00C1092C"/>
    <w:rsid w:val="00C12640"/>
    <w:rsid w:val="00C12F36"/>
    <w:rsid w:val="00C143C8"/>
    <w:rsid w:val="00C16D5B"/>
    <w:rsid w:val="00C17DA9"/>
    <w:rsid w:val="00C20F5C"/>
    <w:rsid w:val="00C25A83"/>
    <w:rsid w:val="00C30159"/>
    <w:rsid w:val="00C30DFF"/>
    <w:rsid w:val="00C31C20"/>
    <w:rsid w:val="00C32229"/>
    <w:rsid w:val="00C33459"/>
    <w:rsid w:val="00C33B38"/>
    <w:rsid w:val="00C36281"/>
    <w:rsid w:val="00C37A2E"/>
    <w:rsid w:val="00C37CC2"/>
    <w:rsid w:val="00C41A59"/>
    <w:rsid w:val="00C4415D"/>
    <w:rsid w:val="00C44EC3"/>
    <w:rsid w:val="00C4684D"/>
    <w:rsid w:val="00C46987"/>
    <w:rsid w:val="00C469D2"/>
    <w:rsid w:val="00C505D2"/>
    <w:rsid w:val="00C5062E"/>
    <w:rsid w:val="00C5147B"/>
    <w:rsid w:val="00C53332"/>
    <w:rsid w:val="00C537E5"/>
    <w:rsid w:val="00C5500F"/>
    <w:rsid w:val="00C55173"/>
    <w:rsid w:val="00C551DE"/>
    <w:rsid w:val="00C57E24"/>
    <w:rsid w:val="00C60B0F"/>
    <w:rsid w:val="00C62E7E"/>
    <w:rsid w:val="00C6302A"/>
    <w:rsid w:val="00C63501"/>
    <w:rsid w:val="00C642E5"/>
    <w:rsid w:val="00C64576"/>
    <w:rsid w:val="00C72A39"/>
    <w:rsid w:val="00C73FF3"/>
    <w:rsid w:val="00C74493"/>
    <w:rsid w:val="00C75B38"/>
    <w:rsid w:val="00C83EDB"/>
    <w:rsid w:val="00C85B09"/>
    <w:rsid w:val="00C8735A"/>
    <w:rsid w:val="00C91728"/>
    <w:rsid w:val="00C9178F"/>
    <w:rsid w:val="00C92590"/>
    <w:rsid w:val="00C949C2"/>
    <w:rsid w:val="00C95235"/>
    <w:rsid w:val="00C97BCD"/>
    <w:rsid w:val="00CA0B5D"/>
    <w:rsid w:val="00CA2761"/>
    <w:rsid w:val="00CA2776"/>
    <w:rsid w:val="00CA304F"/>
    <w:rsid w:val="00CA42D4"/>
    <w:rsid w:val="00CA654E"/>
    <w:rsid w:val="00CA7F59"/>
    <w:rsid w:val="00CB278B"/>
    <w:rsid w:val="00CB6283"/>
    <w:rsid w:val="00CC129C"/>
    <w:rsid w:val="00CC2B8B"/>
    <w:rsid w:val="00CC31A6"/>
    <w:rsid w:val="00CC3EFE"/>
    <w:rsid w:val="00CC4851"/>
    <w:rsid w:val="00CC4B27"/>
    <w:rsid w:val="00CC6835"/>
    <w:rsid w:val="00CD0327"/>
    <w:rsid w:val="00CD30AA"/>
    <w:rsid w:val="00CD59C1"/>
    <w:rsid w:val="00CD6A96"/>
    <w:rsid w:val="00CE03A3"/>
    <w:rsid w:val="00CE229A"/>
    <w:rsid w:val="00CE2586"/>
    <w:rsid w:val="00CE4E09"/>
    <w:rsid w:val="00CE51BB"/>
    <w:rsid w:val="00CE52F4"/>
    <w:rsid w:val="00CE550E"/>
    <w:rsid w:val="00CE6202"/>
    <w:rsid w:val="00CE7F21"/>
    <w:rsid w:val="00CF7BC8"/>
    <w:rsid w:val="00D00131"/>
    <w:rsid w:val="00D02986"/>
    <w:rsid w:val="00D05CBB"/>
    <w:rsid w:val="00D11D88"/>
    <w:rsid w:val="00D11FFA"/>
    <w:rsid w:val="00D12F7F"/>
    <w:rsid w:val="00D175DC"/>
    <w:rsid w:val="00D21EA1"/>
    <w:rsid w:val="00D22334"/>
    <w:rsid w:val="00D2621B"/>
    <w:rsid w:val="00D30559"/>
    <w:rsid w:val="00D32443"/>
    <w:rsid w:val="00D325DC"/>
    <w:rsid w:val="00D33621"/>
    <w:rsid w:val="00D34847"/>
    <w:rsid w:val="00D3518B"/>
    <w:rsid w:val="00D36002"/>
    <w:rsid w:val="00D37141"/>
    <w:rsid w:val="00D4140A"/>
    <w:rsid w:val="00D427CB"/>
    <w:rsid w:val="00D43AAD"/>
    <w:rsid w:val="00D45DD3"/>
    <w:rsid w:val="00D47D54"/>
    <w:rsid w:val="00D5144C"/>
    <w:rsid w:val="00D5295B"/>
    <w:rsid w:val="00D53171"/>
    <w:rsid w:val="00D60E3C"/>
    <w:rsid w:val="00D73296"/>
    <w:rsid w:val="00D73F4C"/>
    <w:rsid w:val="00D77494"/>
    <w:rsid w:val="00D80AD0"/>
    <w:rsid w:val="00D80F52"/>
    <w:rsid w:val="00D812AF"/>
    <w:rsid w:val="00D812D5"/>
    <w:rsid w:val="00D82FAA"/>
    <w:rsid w:val="00D838E8"/>
    <w:rsid w:val="00D84C00"/>
    <w:rsid w:val="00D86DA1"/>
    <w:rsid w:val="00D8732F"/>
    <w:rsid w:val="00D9097A"/>
    <w:rsid w:val="00D90ED6"/>
    <w:rsid w:val="00D9431D"/>
    <w:rsid w:val="00D94524"/>
    <w:rsid w:val="00D975CD"/>
    <w:rsid w:val="00D97A1F"/>
    <w:rsid w:val="00DA2D4B"/>
    <w:rsid w:val="00DA37BE"/>
    <w:rsid w:val="00DA5380"/>
    <w:rsid w:val="00DA640F"/>
    <w:rsid w:val="00DB022B"/>
    <w:rsid w:val="00DB4E70"/>
    <w:rsid w:val="00DB4E92"/>
    <w:rsid w:val="00DB4EA6"/>
    <w:rsid w:val="00DB5A66"/>
    <w:rsid w:val="00DC4E35"/>
    <w:rsid w:val="00DC5A13"/>
    <w:rsid w:val="00DD2669"/>
    <w:rsid w:val="00DD48FD"/>
    <w:rsid w:val="00DE1E61"/>
    <w:rsid w:val="00DE4000"/>
    <w:rsid w:val="00DE7E27"/>
    <w:rsid w:val="00DE7F10"/>
    <w:rsid w:val="00DF0E40"/>
    <w:rsid w:val="00DF1E71"/>
    <w:rsid w:val="00DF41C6"/>
    <w:rsid w:val="00DF5369"/>
    <w:rsid w:val="00DF623E"/>
    <w:rsid w:val="00DF6913"/>
    <w:rsid w:val="00E00FAC"/>
    <w:rsid w:val="00E020FF"/>
    <w:rsid w:val="00E0489A"/>
    <w:rsid w:val="00E049BD"/>
    <w:rsid w:val="00E049F5"/>
    <w:rsid w:val="00E0579E"/>
    <w:rsid w:val="00E06303"/>
    <w:rsid w:val="00E10BFC"/>
    <w:rsid w:val="00E10C5B"/>
    <w:rsid w:val="00E119BB"/>
    <w:rsid w:val="00E13281"/>
    <w:rsid w:val="00E13AA4"/>
    <w:rsid w:val="00E13F6B"/>
    <w:rsid w:val="00E14E4B"/>
    <w:rsid w:val="00E1555C"/>
    <w:rsid w:val="00E15D00"/>
    <w:rsid w:val="00E178DA"/>
    <w:rsid w:val="00E178E2"/>
    <w:rsid w:val="00E21513"/>
    <w:rsid w:val="00E21D11"/>
    <w:rsid w:val="00E21EBD"/>
    <w:rsid w:val="00E235A8"/>
    <w:rsid w:val="00E245D1"/>
    <w:rsid w:val="00E2620B"/>
    <w:rsid w:val="00E30AF6"/>
    <w:rsid w:val="00E33E78"/>
    <w:rsid w:val="00E34B0D"/>
    <w:rsid w:val="00E404FF"/>
    <w:rsid w:val="00E40515"/>
    <w:rsid w:val="00E41678"/>
    <w:rsid w:val="00E42263"/>
    <w:rsid w:val="00E42C9C"/>
    <w:rsid w:val="00E4557F"/>
    <w:rsid w:val="00E50938"/>
    <w:rsid w:val="00E51558"/>
    <w:rsid w:val="00E54077"/>
    <w:rsid w:val="00E544F0"/>
    <w:rsid w:val="00E560E1"/>
    <w:rsid w:val="00E60FDF"/>
    <w:rsid w:val="00E61495"/>
    <w:rsid w:val="00E61841"/>
    <w:rsid w:val="00E62DA5"/>
    <w:rsid w:val="00E6456C"/>
    <w:rsid w:val="00E647F4"/>
    <w:rsid w:val="00E65B4D"/>
    <w:rsid w:val="00E66BAE"/>
    <w:rsid w:val="00E67811"/>
    <w:rsid w:val="00E67EAE"/>
    <w:rsid w:val="00E70849"/>
    <w:rsid w:val="00E71C04"/>
    <w:rsid w:val="00E75C18"/>
    <w:rsid w:val="00E76B28"/>
    <w:rsid w:val="00E76FED"/>
    <w:rsid w:val="00E81E6D"/>
    <w:rsid w:val="00E822B8"/>
    <w:rsid w:val="00E84153"/>
    <w:rsid w:val="00E849EF"/>
    <w:rsid w:val="00E85818"/>
    <w:rsid w:val="00E8594B"/>
    <w:rsid w:val="00E90047"/>
    <w:rsid w:val="00E91026"/>
    <w:rsid w:val="00E9217D"/>
    <w:rsid w:val="00E92CB3"/>
    <w:rsid w:val="00E92F45"/>
    <w:rsid w:val="00E9435D"/>
    <w:rsid w:val="00E95204"/>
    <w:rsid w:val="00E9525D"/>
    <w:rsid w:val="00E95AD4"/>
    <w:rsid w:val="00E95C4A"/>
    <w:rsid w:val="00E95E59"/>
    <w:rsid w:val="00EA253D"/>
    <w:rsid w:val="00EA27B1"/>
    <w:rsid w:val="00EA60AC"/>
    <w:rsid w:val="00EA7FEE"/>
    <w:rsid w:val="00EC1692"/>
    <w:rsid w:val="00EC3531"/>
    <w:rsid w:val="00EC47FC"/>
    <w:rsid w:val="00EC5283"/>
    <w:rsid w:val="00EC6190"/>
    <w:rsid w:val="00EC68EF"/>
    <w:rsid w:val="00ED00FD"/>
    <w:rsid w:val="00ED09BC"/>
    <w:rsid w:val="00ED17BC"/>
    <w:rsid w:val="00ED2280"/>
    <w:rsid w:val="00ED3246"/>
    <w:rsid w:val="00ED3E5F"/>
    <w:rsid w:val="00ED513E"/>
    <w:rsid w:val="00ED5FF5"/>
    <w:rsid w:val="00EE1990"/>
    <w:rsid w:val="00EE5DA4"/>
    <w:rsid w:val="00EE6E98"/>
    <w:rsid w:val="00EF3C47"/>
    <w:rsid w:val="00EF3FEA"/>
    <w:rsid w:val="00EF5051"/>
    <w:rsid w:val="00EF62C5"/>
    <w:rsid w:val="00EF7B39"/>
    <w:rsid w:val="00F00027"/>
    <w:rsid w:val="00F016C1"/>
    <w:rsid w:val="00F06046"/>
    <w:rsid w:val="00F10705"/>
    <w:rsid w:val="00F13BAB"/>
    <w:rsid w:val="00F161CA"/>
    <w:rsid w:val="00F20FB1"/>
    <w:rsid w:val="00F21D26"/>
    <w:rsid w:val="00F2212D"/>
    <w:rsid w:val="00F22F0F"/>
    <w:rsid w:val="00F23BFD"/>
    <w:rsid w:val="00F24D4E"/>
    <w:rsid w:val="00F253B9"/>
    <w:rsid w:val="00F2708A"/>
    <w:rsid w:val="00F27159"/>
    <w:rsid w:val="00F27327"/>
    <w:rsid w:val="00F30BE1"/>
    <w:rsid w:val="00F315BB"/>
    <w:rsid w:val="00F32E4F"/>
    <w:rsid w:val="00F40180"/>
    <w:rsid w:val="00F4172C"/>
    <w:rsid w:val="00F429DB"/>
    <w:rsid w:val="00F460BD"/>
    <w:rsid w:val="00F47A12"/>
    <w:rsid w:val="00F509CB"/>
    <w:rsid w:val="00F516D4"/>
    <w:rsid w:val="00F51C11"/>
    <w:rsid w:val="00F51EB4"/>
    <w:rsid w:val="00F54B9C"/>
    <w:rsid w:val="00F5647D"/>
    <w:rsid w:val="00F565E8"/>
    <w:rsid w:val="00F576D5"/>
    <w:rsid w:val="00F617E3"/>
    <w:rsid w:val="00F624FD"/>
    <w:rsid w:val="00F62CC8"/>
    <w:rsid w:val="00F6729A"/>
    <w:rsid w:val="00F732B1"/>
    <w:rsid w:val="00F74B40"/>
    <w:rsid w:val="00F74CBD"/>
    <w:rsid w:val="00F76CA7"/>
    <w:rsid w:val="00F77D58"/>
    <w:rsid w:val="00F81617"/>
    <w:rsid w:val="00F84939"/>
    <w:rsid w:val="00F85100"/>
    <w:rsid w:val="00F859A7"/>
    <w:rsid w:val="00F874E9"/>
    <w:rsid w:val="00F87DDF"/>
    <w:rsid w:val="00F9091C"/>
    <w:rsid w:val="00F930D6"/>
    <w:rsid w:val="00F9361E"/>
    <w:rsid w:val="00F97AAB"/>
    <w:rsid w:val="00F97DE4"/>
    <w:rsid w:val="00FA157C"/>
    <w:rsid w:val="00FA2AB1"/>
    <w:rsid w:val="00FA30C9"/>
    <w:rsid w:val="00FA40AA"/>
    <w:rsid w:val="00FA75EF"/>
    <w:rsid w:val="00FB003F"/>
    <w:rsid w:val="00FB0233"/>
    <w:rsid w:val="00FB2618"/>
    <w:rsid w:val="00FB3276"/>
    <w:rsid w:val="00FB3371"/>
    <w:rsid w:val="00FB3453"/>
    <w:rsid w:val="00FB368F"/>
    <w:rsid w:val="00FB4BAB"/>
    <w:rsid w:val="00FB61E1"/>
    <w:rsid w:val="00FB7241"/>
    <w:rsid w:val="00FB7D58"/>
    <w:rsid w:val="00FC1500"/>
    <w:rsid w:val="00FC2DC8"/>
    <w:rsid w:val="00FC5DA7"/>
    <w:rsid w:val="00FC623A"/>
    <w:rsid w:val="00FC6C1E"/>
    <w:rsid w:val="00FD21A0"/>
    <w:rsid w:val="00FD2E77"/>
    <w:rsid w:val="00FD46DE"/>
    <w:rsid w:val="00FD5321"/>
    <w:rsid w:val="00FE2C62"/>
    <w:rsid w:val="00FE2D54"/>
    <w:rsid w:val="00FE300A"/>
    <w:rsid w:val="00FE61C7"/>
    <w:rsid w:val="00FE6406"/>
    <w:rsid w:val="00FF2109"/>
    <w:rsid w:val="00FF2741"/>
    <w:rsid w:val="00FF45B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EA6040"/>
  <w15:chartTrackingRefBased/>
  <w15:docId w15:val="{339B30FE-4E61-4390-9B38-2E0077B1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9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938"/>
  </w:style>
  <w:style w:type="paragraph" w:styleId="Footer">
    <w:name w:val="footer"/>
    <w:basedOn w:val="Normal"/>
    <w:link w:val="FooterChar"/>
    <w:uiPriority w:val="99"/>
    <w:unhideWhenUsed/>
    <w:rsid w:val="00E50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938"/>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A654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00027"/>
  </w:style>
  <w:style w:type="character" w:customStyle="1" w:styleId="markedcontent">
    <w:name w:val="markedcontent"/>
    <w:basedOn w:val="DefaultParagraphFont"/>
    <w:rsid w:val="00F00027"/>
  </w:style>
  <w:style w:type="character" w:styleId="CommentReference">
    <w:name w:val="annotation reference"/>
    <w:basedOn w:val="DefaultParagraphFont"/>
    <w:uiPriority w:val="99"/>
    <w:semiHidden/>
    <w:unhideWhenUsed/>
    <w:rsid w:val="005237E5"/>
    <w:rPr>
      <w:sz w:val="16"/>
      <w:szCs w:val="16"/>
    </w:rPr>
  </w:style>
  <w:style w:type="paragraph" w:styleId="CommentText">
    <w:name w:val="annotation text"/>
    <w:basedOn w:val="Normal"/>
    <w:link w:val="CommentTextChar"/>
    <w:uiPriority w:val="99"/>
    <w:semiHidden/>
    <w:unhideWhenUsed/>
    <w:rsid w:val="005237E5"/>
    <w:pPr>
      <w:spacing w:line="240" w:lineRule="auto"/>
    </w:pPr>
    <w:rPr>
      <w:sz w:val="20"/>
      <w:szCs w:val="20"/>
    </w:rPr>
  </w:style>
  <w:style w:type="character" w:customStyle="1" w:styleId="CommentTextChar">
    <w:name w:val="Comment Text Char"/>
    <w:basedOn w:val="DefaultParagraphFont"/>
    <w:link w:val="CommentText"/>
    <w:uiPriority w:val="99"/>
    <w:semiHidden/>
    <w:rsid w:val="005237E5"/>
    <w:rPr>
      <w:sz w:val="20"/>
      <w:szCs w:val="20"/>
    </w:rPr>
  </w:style>
  <w:style w:type="paragraph" w:styleId="CommentSubject">
    <w:name w:val="annotation subject"/>
    <w:basedOn w:val="CommentText"/>
    <w:next w:val="CommentText"/>
    <w:link w:val="CommentSubjectChar"/>
    <w:uiPriority w:val="99"/>
    <w:semiHidden/>
    <w:unhideWhenUsed/>
    <w:rsid w:val="005237E5"/>
    <w:rPr>
      <w:b/>
      <w:bCs/>
    </w:rPr>
  </w:style>
  <w:style w:type="character" w:customStyle="1" w:styleId="CommentSubjectChar">
    <w:name w:val="Comment Subject Char"/>
    <w:basedOn w:val="CommentTextChar"/>
    <w:link w:val="CommentSubject"/>
    <w:uiPriority w:val="99"/>
    <w:semiHidden/>
    <w:rsid w:val="005237E5"/>
    <w:rPr>
      <w:b/>
      <w:bCs/>
      <w:sz w:val="20"/>
      <w:szCs w:val="20"/>
    </w:rPr>
  </w:style>
  <w:style w:type="paragraph" w:styleId="BalloonText">
    <w:name w:val="Balloon Text"/>
    <w:basedOn w:val="Normal"/>
    <w:link w:val="BalloonTextChar"/>
    <w:uiPriority w:val="99"/>
    <w:semiHidden/>
    <w:unhideWhenUsed/>
    <w:rsid w:val="005237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7E5"/>
    <w:rPr>
      <w:rFonts w:ascii="Segoe UI" w:hAnsi="Segoe UI" w:cs="Segoe UI"/>
      <w:sz w:val="18"/>
      <w:szCs w:val="18"/>
    </w:rPr>
  </w:style>
  <w:style w:type="paragraph" w:styleId="FootnoteText">
    <w:name w:val="footnote text"/>
    <w:basedOn w:val="Normal"/>
    <w:link w:val="FootnoteTextChar"/>
    <w:uiPriority w:val="99"/>
    <w:unhideWhenUsed/>
    <w:rsid w:val="00166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6EAE"/>
    <w:rPr>
      <w:sz w:val="20"/>
      <w:szCs w:val="20"/>
    </w:rPr>
  </w:style>
  <w:style w:type="character" w:styleId="FootnoteReference">
    <w:name w:val="footnote reference"/>
    <w:basedOn w:val="DefaultParagraphFont"/>
    <w:uiPriority w:val="99"/>
    <w:semiHidden/>
    <w:unhideWhenUsed/>
    <w:rsid w:val="00166EAE"/>
    <w:rPr>
      <w:vertAlign w:val="superscript"/>
    </w:rPr>
  </w:style>
  <w:style w:type="character" w:customStyle="1" w:styleId="Bodytext40">
    <w:name w:val="Body text (40)_"/>
    <w:link w:val="Bodytext401"/>
    <w:uiPriority w:val="99"/>
    <w:locked/>
    <w:rsid w:val="00962FFF"/>
    <w:rPr>
      <w:rFonts w:ascii="Times New Roman" w:hAnsi="Times New Roman" w:cs="Times New Roman"/>
      <w:sz w:val="18"/>
      <w:szCs w:val="18"/>
      <w:shd w:val="clear" w:color="auto" w:fill="FFFFFF"/>
    </w:rPr>
  </w:style>
  <w:style w:type="paragraph" w:customStyle="1" w:styleId="Bodytext401">
    <w:name w:val="Body text (40)1"/>
    <w:basedOn w:val="Normal"/>
    <w:link w:val="Bodytext40"/>
    <w:uiPriority w:val="99"/>
    <w:rsid w:val="00962FFF"/>
    <w:pPr>
      <w:widowControl w:val="0"/>
      <w:shd w:val="clear" w:color="auto" w:fill="FFFFFF"/>
      <w:spacing w:before="240" w:after="180" w:line="191" w:lineRule="exact"/>
      <w:ind w:hanging="380"/>
      <w:jc w:val="both"/>
    </w:pPr>
    <w:rPr>
      <w:rFonts w:ascii="Times New Roman" w:hAnsi="Times New Roman" w:cs="Times New Roman"/>
      <w:sz w:val="18"/>
      <w:szCs w:val="18"/>
    </w:rPr>
  </w:style>
  <w:style w:type="paragraph" w:styleId="Revision">
    <w:name w:val="Revision"/>
    <w:hidden/>
    <w:uiPriority w:val="99"/>
    <w:semiHidden/>
    <w:rsid w:val="00C83EDB"/>
    <w:pPr>
      <w:spacing w:after="0" w:line="240" w:lineRule="auto"/>
    </w:pPr>
  </w:style>
  <w:style w:type="paragraph" w:styleId="NoSpacing">
    <w:name w:val="No Spacing"/>
    <w:link w:val="NoSpacingChar"/>
    <w:uiPriority w:val="99"/>
    <w:qFormat/>
    <w:rsid w:val="00897340"/>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897340"/>
    <w:rPr>
      <w:rFonts w:ascii="Calibri" w:eastAsia="Calibri" w:hAnsi="Calibri" w:cs="Times New Roman"/>
    </w:rPr>
  </w:style>
  <w:style w:type="paragraph" w:styleId="BodyTextIndent2">
    <w:name w:val="Body Text Indent 2"/>
    <w:basedOn w:val="Normal"/>
    <w:link w:val="BodyTextIndent2Char"/>
    <w:uiPriority w:val="99"/>
    <w:unhideWhenUsed/>
    <w:rsid w:val="00422918"/>
    <w:pPr>
      <w:spacing w:after="0" w:line="360" w:lineRule="auto"/>
      <w:ind w:left="2880" w:hanging="2160"/>
      <w:jc w:val="both"/>
    </w:pPr>
    <w:rPr>
      <w:rFonts w:ascii="Times New Roman" w:hAnsi="Times New Roman" w:cs="Times New Roman"/>
      <w:b/>
      <w:sz w:val="24"/>
      <w:szCs w:val="24"/>
    </w:rPr>
  </w:style>
  <w:style w:type="character" w:customStyle="1" w:styleId="BodyTextIndent2Char">
    <w:name w:val="Body Text Indent 2 Char"/>
    <w:basedOn w:val="DefaultParagraphFont"/>
    <w:link w:val="BodyTextIndent2"/>
    <w:uiPriority w:val="99"/>
    <w:rsid w:val="00422918"/>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152333">
      <w:bodyDiv w:val="1"/>
      <w:marLeft w:val="0"/>
      <w:marRight w:val="0"/>
      <w:marTop w:val="0"/>
      <w:marBottom w:val="0"/>
      <w:divBdr>
        <w:top w:val="none" w:sz="0" w:space="0" w:color="auto"/>
        <w:left w:val="none" w:sz="0" w:space="0" w:color="auto"/>
        <w:bottom w:val="none" w:sz="0" w:space="0" w:color="auto"/>
        <w:right w:val="none" w:sz="0" w:space="0" w:color="auto"/>
      </w:divBdr>
    </w:div>
    <w:div w:id="443355182">
      <w:bodyDiv w:val="1"/>
      <w:marLeft w:val="0"/>
      <w:marRight w:val="0"/>
      <w:marTop w:val="0"/>
      <w:marBottom w:val="0"/>
      <w:divBdr>
        <w:top w:val="none" w:sz="0" w:space="0" w:color="auto"/>
        <w:left w:val="none" w:sz="0" w:space="0" w:color="auto"/>
        <w:bottom w:val="none" w:sz="0" w:space="0" w:color="auto"/>
        <w:right w:val="none" w:sz="0" w:space="0" w:color="auto"/>
      </w:divBdr>
    </w:div>
    <w:div w:id="91824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2023-08-04T07:29:28Z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07.07.2023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2023-08-02T22:00:00Z</Date_x0020_protokolli>
    <Titulli xmlns="0e656187-b300-4fb0-8bf4-3a50f872073c">Me objekt shfuqizimin e vendimit nr. 00-2022-464 (111), datë 21.3.2022 të Kolegjit Administrativ të Gjykatës së Lartë, si i papajtueshëm me Kushtetutën e Republikës së Shqipërisë. Kthimi i çështjes për rigjykim në Gjykatën e Lartë</Titulli>
    <Modifikuesi xmlns="0e656187-b300-4fb0-8bf4-3a50f872073c">valjeta.kaftalli</Modifikuesi>
    <Nr_x002e__x0020_prot_x0020_QBZ xmlns="0e656187-b300-4fb0-8bf4-3a50f872073c">1235/1</Nr_x002e__x0020_prot_x0020_QBZ>
    <Data_x0020_e_x0020_Modifikimit xmlns="0e656187-b300-4fb0-8bf4-3a50f872073c">2023-08-07T08:57:37Z</Data_x0020_e_x0020_Modifikimit>
    <Dekretuar xmlns="0e656187-b300-4fb0-8bf4-3a50f872073c">false</Dekretuar>
    <Data xmlns="0e656187-b300-4fb0-8bf4-3a50f872073c">2023-07-06T22:00:00Z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45F6AB11BFB4F20813E6A0EB9452A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D807D-55B3-46F4-A1D8-4FC798D944FE}">
  <ds:schemaRefs>
    <ds:schemaRef ds:uri="http://www.w3.org/XML/1998/namespace"/>
    <ds:schemaRef ds:uri="http://schemas.microsoft.com/office/2006/documentManagement/types"/>
    <ds:schemaRef ds:uri="http://schemas.openxmlformats.org/package/2006/metadata/core-properties"/>
    <ds:schemaRef ds:uri="http://purl.org/dc/dcmitype/"/>
    <ds:schemaRef ds:uri="http://schemas.microsoft.com/office/2006/metadata/properti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44D9E047-31EE-417E-9505-1CD9C2C53B0C}">
  <ds:schemaRefs>
    <ds:schemaRef ds:uri="http://schemas.microsoft.com/sharepoint/v3/contenttype/forms"/>
  </ds:schemaRefs>
</ds:datastoreItem>
</file>

<file path=customXml/itemProps3.xml><?xml version="1.0" encoding="utf-8"?>
<ds:datastoreItem xmlns:ds="http://schemas.openxmlformats.org/officeDocument/2006/customXml" ds:itemID="{1B48FAD8-F0C8-4113-960B-CF2122F14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E06006-D3B2-40B9-A8A6-9011D4A3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6564</Words>
  <Characters>37417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Shfuqizimi i vendimit nr. 00-2022-464 (111), datë 21.03.2022 të Kolegjit Administrativ të Gjykatës së Lartë, si i papajtueshëm me Kushtetutën e Republikës së Shqipërisë. Kthimi i çështjes për rigjykim në Gjykatën e Lartë</vt:lpstr>
    </vt:vector>
  </TitlesOfParts>
  <Company/>
  <LinksUpToDate>false</LinksUpToDate>
  <CharactersWithSpaces>43894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00-2022-464 (111), datë 21.03.2022 të Kolegjit Administrativ të Gjykatës së Lartë, si i papajtueshëm me Kushtetutën e Republikës së Shqipërisë. Kthimi i çështjes për rigjykim në Gjykatën e Lartë</dc:title>
  <dc:subject>Dt. 07.07.2023</dc:subject>
  <dc:creator>Sander BECI</dc:creator>
  <cp:keywords>Brunilda BARA</cp:keywords>
  <cp:lastModifiedBy>Amarilda Muja</cp:lastModifiedBy>
  <cp:revision>23</cp:revision>
  <cp:lastPrinted>2023-07-28T11:26:00Z</cp:lastPrinted>
  <dcterms:created xsi:type="dcterms:W3CDTF">2023-08-04T07:35:00Z</dcterms:created>
  <dcterms:modified xsi:type="dcterms:W3CDTF">2023-08-07T13:54:00Z</dcterms:modified>
  <cp:category>Administrative</cp:category>
</cp:coreProperties>
</file>