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C16D7" w14:textId="77777777" w:rsidR="003E6A29" w:rsidRPr="009955AA" w:rsidRDefault="00CC2D26" w:rsidP="003E6A29">
      <w:pPr>
        <w:autoSpaceDE w:val="0"/>
        <w:autoSpaceDN w:val="0"/>
        <w:adjustRightInd w:val="0"/>
        <w:spacing w:after="0" w:line="240" w:lineRule="auto"/>
        <w:ind w:firstLine="284"/>
        <w:jc w:val="center"/>
        <w:rPr>
          <w:rFonts w:ascii="Garamond" w:hAnsi="Garamond" w:cs="Times New Roman"/>
          <w:b/>
          <w:bCs/>
          <w:color w:val="000000"/>
          <w:sz w:val="24"/>
          <w:szCs w:val="24"/>
        </w:rPr>
      </w:pPr>
      <w:r w:rsidRPr="009955AA">
        <w:rPr>
          <w:rFonts w:ascii="Garamond" w:hAnsi="Garamond" w:cs="Times New Roman"/>
          <w:b/>
          <w:bCs/>
          <w:color w:val="000000"/>
          <w:sz w:val="24"/>
          <w:szCs w:val="24"/>
        </w:rPr>
        <w:t>VENDIM</w:t>
      </w:r>
    </w:p>
    <w:p w14:paraId="00F5114C" w14:textId="6572AC5D" w:rsidR="00CC2D26" w:rsidRPr="009955AA" w:rsidRDefault="00CC2D26" w:rsidP="003E6A29">
      <w:pPr>
        <w:autoSpaceDE w:val="0"/>
        <w:autoSpaceDN w:val="0"/>
        <w:adjustRightInd w:val="0"/>
        <w:spacing w:after="0" w:line="240" w:lineRule="auto"/>
        <w:ind w:firstLine="284"/>
        <w:jc w:val="center"/>
        <w:rPr>
          <w:rFonts w:ascii="Garamond" w:hAnsi="Garamond" w:cs="Times New Roman"/>
          <w:b/>
          <w:bCs/>
          <w:color w:val="000000"/>
          <w:sz w:val="24"/>
          <w:szCs w:val="24"/>
        </w:rPr>
      </w:pPr>
      <w:r w:rsidRPr="009955AA">
        <w:rPr>
          <w:rFonts w:ascii="Garamond" w:hAnsi="Garamond" w:cs="Times New Roman"/>
          <w:b/>
          <w:bCs/>
          <w:color w:val="000000"/>
          <w:sz w:val="24"/>
          <w:szCs w:val="24"/>
        </w:rPr>
        <w:t>Nr.</w:t>
      </w:r>
      <w:r w:rsidR="009955AA" w:rsidRPr="009955AA">
        <w:rPr>
          <w:rFonts w:ascii="Garamond" w:hAnsi="Garamond" w:cs="Times New Roman"/>
          <w:b/>
          <w:bCs/>
          <w:color w:val="000000"/>
          <w:sz w:val="24"/>
          <w:szCs w:val="24"/>
        </w:rPr>
        <w:t xml:space="preserve"> </w:t>
      </w:r>
      <w:r w:rsidRPr="009955AA">
        <w:rPr>
          <w:rFonts w:ascii="Garamond" w:hAnsi="Garamond" w:cs="Times New Roman"/>
          <w:b/>
          <w:bCs/>
          <w:color w:val="000000"/>
          <w:sz w:val="24"/>
          <w:szCs w:val="24"/>
        </w:rPr>
        <w:t>12, datë 28.2.2024</w:t>
      </w:r>
    </w:p>
    <w:p w14:paraId="54A54642" w14:textId="77777777" w:rsidR="00CC2D26" w:rsidRPr="009955AA" w:rsidRDefault="00CC2D26" w:rsidP="003E6A29">
      <w:pPr>
        <w:autoSpaceDE w:val="0"/>
        <w:autoSpaceDN w:val="0"/>
        <w:adjustRightInd w:val="0"/>
        <w:spacing w:after="0" w:line="240" w:lineRule="auto"/>
        <w:ind w:firstLine="284"/>
        <w:jc w:val="center"/>
        <w:rPr>
          <w:rFonts w:ascii="Garamond" w:hAnsi="Garamond" w:cs="Times New Roman"/>
          <w:b/>
          <w:bCs/>
          <w:color w:val="000000"/>
          <w:sz w:val="24"/>
          <w:szCs w:val="24"/>
        </w:rPr>
      </w:pPr>
    </w:p>
    <w:p w14:paraId="63852DEA" w14:textId="16FC2046" w:rsidR="003E6A29" w:rsidRPr="009955AA" w:rsidRDefault="003E6A29" w:rsidP="003E6A29">
      <w:pPr>
        <w:autoSpaceDE w:val="0"/>
        <w:autoSpaceDN w:val="0"/>
        <w:adjustRightInd w:val="0"/>
        <w:spacing w:after="0" w:line="240" w:lineRule="auto"/>
        <w:ind w:firstLine="284"/>
        <w:jc w:val="center"/>
        <w:rPr>
          <w:rFonts w:ascii="Garamond" w:hAnsi="Garamond" w:cs="Times New Roman"/>
          <w:b/>
          <w:bCs/>
          <w:color w:val="000000"/>
          <w:sz w:val="24"/>
          <w:szCs w:val="24"/>
        </w:rPr>
      </w:pPr>
      <w:r w:rsidRPr="009955AA">
        <w:rPr>
          <w:rFonts w:ascii="Garamond" w:hAnsi="Garamond" w:cs="Times New Roman"/>
          <w:b/>
          <w:bCs/>
          <w:color w:val="000000"/>
          <w:sz w:val="24"/>
          <w:szCs w:val="24"/>
        </w:rPr>
        <w:t>NË EMËR TË REPUBLIKËS SË SHQIPËRISË</w:t>
      </w:r>
    </w:p>
    <w:p w14:paraId="073F4A72" w14:textId="77777777" w:rsidR="003E6A29" w:rsidRPr="009955AA" w:rsidRDefault="003E6A29" w:rsidP="003E6A29">
      <w:pPr>
        <w:autoSpaceDE w:val="0"/>
        <w:autoSpaceDN w:val="0"/>
        <w:adjustRightInd w:val="0"/>
        <w:spacing w:after="0" w:line="240" w:lineRule="auto"/>
        <w:ind w:firstLine="284"/>
        <w:jc w:val="both"/>
        <w:rPr>
          <w:rFonts w:ascii="Garamond" w:hAnsi="Garamond" w:cs="Times New Roman"/>
          <w:color w:val="000000"/>
          <w:sz w:val="24"/>
          <w:szCs w:val="24"/>
        </w:rPr>
      </w:pPr>
    </w:p>
    <w:p w14:paraId="7FB36DA1" w14:textId="275083A5" w:rsidR="003E6A29" w:rsidRPr="009955AA" w:rsidRDefault="003E6A29" w:rsidP="003E6A29">
      <w:pPr>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9"/>
        <w:gridCol w:w="1417"/>
      </w:tblGrid>
      <w:tr w:rsidR="00AF42B8" w:rsidRPr="009955AA" w14:paraId="226620AB" w14:textId="77777777" w:rsidTr="00190038">
        <w:tc>
          <w:tcPr>
            <w:tcW w:w="2509" w:type="dxa"/>
          </w:tcPr>
          <w:p w14:paraId="2181A8AF" w14:textId="56D714D3" w:rsidR="00AF42B8" w:rsidRPr="009955AA" w:rsidRDefault="00AF42B8" w:rsidP="003E6A29">
            <w:pPr>
              <w:autoSpaceDE w:val="0"/>
              <w:autoSpaceDN w:val="0"/>
              <w:adjustRightInd w:val="0"/>
              <w:jc w:val="both"/>
              <w:rPr>
                <w:rFonts w:ascii="Garamond" w:hAnsi="Garamond" w:cs="Times New Roman"/>
                <w:color w:val="000000"/>
                <w:sz w:val="24"/>
                <w:szCs w:val="24"/>
              </w:rPr>
            </w:pPr>
            <w:proofErr w:type="spellStart"/>
            <w:r w:rsidRPr="009955AA">
              <w:rPr>
                <w:rFonts w:ascii="Garamond" w:hAnsi="Garamond" w:cs="Times New Roman"/>
                <w:color w:val="000000"/>
                <w:sz w:val="24"/>
                <w:szCs w:val="24"/>
              </w:rPr>
              <w:t>Holta</w:t>
            </w:r>
            <w:proofErr w:type="spellEnd"/>
            <w:r w:rsidRPr="009955AA">
              <w:rPr>
                <w:rFonts w:ascii="Garamond" w:hAnsi="Garamond" w:cs="Times New Roman"/>
                <w:color w:val="000000"/>
                <w:sz w:val="24"/>
                <w:szCs w:val="24"/>
              </w:rPr>
              <w:t xml:space="preserve"> </w:t>
            </w:r>
            <w:proofErr w:type="spellStart"/>
            <w:r w:rsidRPr="009955AA">
              <w:rPr>
                <w:rFonts w:ascii="Garamond" w:hAnsi="Garamond" w:cs="Times New Roman"/>
                <w:color w:val="000000"/>
                <w:sz w:val="24"/>
                <w:szCs w:val="24"/>
              </w:rPr>
              <w:t>Zaçaj</w:t>
            </w:r>
            <w:proofErr w:type="spellEnd"/>
          </w:p>
        </w:tc>
        <w:tc>
          <w:tcPr>
            <w:tcW w:w="1417" w:type="dxa"/>
          </w:tcPr>
          <w:p w14:paraId="06310A55" w14:textId="24C4C399" w:rsidR="00AF42B8" w:rsidRPr="009955AA" w:rsidRDefault="007D68D9" w:rsidP="003E6A29">
            <w:pPr>
              <w:autoSpaceDE w:val="0"/>
              <w:autoSpaceDN w:val="0"/>
              <w:adjustRightInd w:val="0"/>
              <w:jc w:val="both"/>
              <w:rPr>
                <w:rFonts w:ascii="Garamond" w:hAnsi="Garamond" w:cs="Times New Roman"/>
                <w:color w:val="000000"/>
                <w:sz w:val="24"/>
                <w:szCs w:val="24"/>
              </w:rPr>
            </w:pPr>
            <w:r w:rsidRPr="009955AA">
              <w:rPr>
                <w:rFonts w:ascii="Garamond" w:hAnsi="Garamond" w:cs="Times New Roman"/>
                <w:color w:val="000000"/>
                <w:sz w:val="24"/>
                <w:szCs w:val="24"/>
              </w:rPr>
              <w:t>kryetare</w:t>
            </w:r>
            <w:r>
              <w:rPr>
                <w:rFonts w:ascii="Garamond" w:hAnsi="Garamond" w:cs="Times New Roman"/>
                <w:color w:val="000000"/>
                <w:sz w:val="24"/>
                <w:szCs w:val="24"/>
              </w:rPr>
              <w:t>;</w:t>
            </w:r>
          </w:p>
        </w:tc>
      </w:tr>
      <w:tr w:rsidR="00AF42B8" w:rsidRPr="009955AA" w14:paraId="1B73861C" w14:textId="77777777" w:rsidTr="00190038">
        <w:tc>
          <w:tcPr>
            <w:tcW w:w="2509" w:type="dxa"/>
          </w:tcPr>
          <w:p w14:paraId="43000608" w14:textId="1446D239" w:rsidR="00AF42B8" w:rsidRPr="009955AA" w:rsidRDefault="00AF42B8" w:rsidP="003E6A29">
            <w:pPr>
              <w:autoSpaceDE w:val="0"/>
              <w:autoSpaceDN w:val="0"/>
              <w:adjustRightInd w:val="0"/>
              <w:jc w:val="both"/>
              <w:rPr>
                <w:rFonts w:ascii="Garamond" w:hAnsi="Garamond" w:cs="Times New Roman"/>
                <w:color w:val="000000"/>
                <w:sz w:val="24"/>
                <w:szCs w:val="24"/>
              </w:rPr>
            </w:pPr>
            <w:proofErr w:type="spellStart"/>
            <w:r w:rsidRPr="009955AA">
              <w:rPr>
                <w:rFonts w:ascii="Garamond" w:hAnsi="Garamond" w:cs="Times New Roman"/>
                <w:color w:val="000000"/>
                <w:sz w:val="24"/>
                <w:szCs w:val="24"/>
              </w:rPr>
              <w:t>Marsida</w:t>
            </w:r>
            <w:proofErr w:type="spellEnd"/>
            <w:r w:rsidRPr="009955AA">
              <w:rPr>
                <w:rFonts w:ascii="Garamond" w:hAnsi="Garamond" w:cs="Times New Roman"/>
                <w:color w:val="000000"/>
                <w:sz w:val="24"/>
                <w:szCs w:val="24"/>
              </w:rPr>
              <w:t xml:space="preserve"> </w:t>
            </w:r>
            <w:proofErr w:type="spellStart"/>
            <w:r w:rsidRPr="009955AA">
              <w:rPr>
                <w:rFonts w:ascii="Garamond" w:hAnsi="Garamond" w:cs="Times New Roman"/>
                <w:color w:val="000000"/>
                <w:sz w:val="24"/>
                <w:szCs w:val="24"/>
              </w:rPr>
              <w:t>Xhaferllari</w:t>
            </w:r>
            <w:proofErr w:type="spellEnd"/>
          </w:p>
        </w:tc>
        <w:tc>
          <w:tcPr>
            <w:tcW w:w="1417" w:type="dxa"/>
          </w:tcPr>
          <w:p w14:paraId="72F42670" w14:textId="1AFA59B4" w:rsidR="00AF42B8" w:rsidRPr="009955AA" w:rsidRDefault="007D68D9" w:rsidP="00AF42B8">
            <w:pPr>
              <w:tabs>
                <w:tab w:val="left" w:pos="720"/>
                <w:tab w:val="left" w:pos="1440"/>
                <w:tab w:val="left" w:pos="2160"/>
                <w:tab w:val="left" w:pos="2880"/>
                <w:tab w:val="left" w:pos="3600"/>
                <w:tab w:val="left" w:pos="4320"/>
                <w:tab w:val="left" w:pos="5040"/>
                <w:tab w:val="left" w:pos="7700"/>
              </w:tabs>
              <w:autoSpaceDE w:val="0"/>
              <w:autoSpaceDN w:val="0"/>
              <w:adjustRightInd w:val="0"/>
              <w:jc w:val="both"/>
              <w:rPr>
                <w:rFonts w:ascii="Garamond" w:hAnsi="Garamond" w:cs="Times New Roman"/>
                <w:color w:val="000000"/>
                <w:sz w:val="24"/>
                <w:szCs w:val="24"/>
              </w:rPr>
            </w:pPr>
            <w:r w:rsidRPr="009955AA">
              <w:rPr>
                <w:rFonts w:ascii="Garamond" w:hAnsi="Garamond" w:cs="Times New Roman"/>
                <w:color w:val="000000"/>
                <w:sz w:val="24"/>
                <w:szCs w:val="24"/>
              </w:rPr>
              <w:t>anëtare</w:t>
            </w:r>
            <w:r>
              <w:rPr>
                <w:rFonts w:ascii="Garamond" w:hAnsi="Garamond" w:cs="Times New Roman"/>
                <w:color w:val="000000"/>
                <w:sz w:val="24"/>
                <w:szCs w:val="24"/>
              </w:rPr>
              <w:t>;</w:t>
            </w:r>
          </w:p>
        </w:tc>
      </w:tr>
      <w:tr w:rsidR="00AF42B8" w:rsidRPr="009955AA" w14:paraId="46BD8A86" w14:textId="77777777" w:rsidTr="00190038">
        <w:tc>
          <w:tcPr>
            <w:tcW w:w="2509" w:type="dxa"/>
          </w:tcPr>
          <w:p w14:paraId="39EC978B" w14:textId="7BFB99F0" w:rsidR="00AF42B8" w:rsidRPr="009955AA" w:rsidRDefault="00AF42B8" w:rsidP="003E6A29">
            <w:pPr>
              <w:autoSpaceDE w:val="0"/>
              <w:autoSpaceDN w:val="0"/>
              <w:adjustRightInd w:val="0"/>
              <w:jc w:val="both"/>
              <w:rPr>
                <w:rFonts w:ascii="Garamond" w:hAnsi="Garamond" w:cs="Times New Roman"/>
                <w:color w:val="000000"/>
                <w:sz w:val="24"/>
                <w:szCs w:val="24"/>
              </w:rPr>
            </w:pPr>
            <w:proofErr w:type="spellStart"/>
            <w:r w:rsidRPr="009955AA">
              <w:rPr>
                <w:rFonts w:ascii="Garamond" w:hAnsi="Garamond" w:cs="Times New Roman"/>
                <w:color w:val="000000"/>
                <w:sz w:val="24"/>
                <w:szCs w:val="24"/>
              </w:rPr>
              <w:t>Fiona</w:t>
            </w:r>
            <w:proofErr w:type="spellEnd"/>
            <w:r w:rsidRPr="009955AA">
              <w:rPr>
                <w:rFonts w:ascii="Garamond" w:hAnsi="Garamond" w:cs="Times New Roman"/>
                <w:color w:val="000000"/>
                <w:sz w:val="24"/>
                <w:szCs w:val="24"/>
              </w:rPr>
              <w:t xml:space="preserve"> </w:t>
            </w:r>
            <w:proofErr w:type="spellStart"/>
            <w:r w:rsidRPr="009955AA">
              <w:rPr>
                <w:rFonts w:ascii="Garamond" w:hAnsi="Garamond" w:cs="Times New Roman"/>
                <w:color w:val="000000"/>
                <w:sz w:val="24"/>
                <w:szCs w:val="24"/>
              </w:rPr>
              <w:t>Papajorgji</w:t>
            </w:r>
            <w:proofErr w:type="spellEnd"/>
          </w:p>
        </w:tc>
        <w:tc>
          <w:tcPr>
            <w:tcW w:w="1417" w:type="dxa"/>
          </w:tcPr>
          <w:p w14:paraId="447E9240" w14:textId="0A56F356" w:rsidR="00AF42B8" w:rsidRPr="009955AA" w:rsidRDefault="007D68D9" w:rsidP="00AF42B8">
            <w:pPr>
              <w:autoSpaceDE w:val="0"/>
              <w:autoSpaceDN w:val="0"/>
              <w:adjustRightInd w:val="0"/>
              <w:jc w:val="both"/>
              <w:rPr>
                <w:rFonts w:ascii="Garamond" w:hAnsi="Garamond" w:cs="Times New Roman"/>
                <w:color w:val="000000"/>
                <w:sz w:val="24"/>
                <w:szCs w:val="24"/>
              </w:rPr>
            </w:pPr>
            <w:r w:rsidRPr="009955AA">
              <w:rPr>
                <w:rFonts w:ascii="Garamond" w:hAnsi="Garamond" w:cs="Times New Roman"/>
                <w:color w:val="000000"/>
                <w:sz w:val="24"/>
                <w:szCs w:val="24"/>
              </w:rPr>
              <w:t>anëtare</w:t>
            </w:r>
            <w:r>
              <w:rPr>
                <w:rFonts w:ascii="Garamond" w:hAnsi="Garamond" w:cs="Times New Roman"/>
                <w:color w:val="000000"/>
                <w:sz w:val="24"/>
                <w:szCs w:val="24"/>
              </w:rPr>
              <w:t>;</w:t>
            </w:r>
          </w:p>
        </w:tc>
      </w:tr>
      <w:tr w:rsidR="00AF42B8" w:rsidRPr="009955AA" w14:paraId="6F6824E4" w14:textId="77777777" w:rsidTr="00190038">
        <w:tc>
          <w:tcPr>
            <w:tcW w:w="2509" w:type="dxa"/>
          </w:tcPr>
          <w:p w14:paraId="70781862" w14:textId="7E4D8618" w:rsidR="00AF42B8" w:rsidRPr="009955AA" w:rsidRDefault="00AF42B8" w:rsidP="003E6A29">
            <w:pPr>
              <w:autoSpaceDE w:val="0"/>
              <w:autoSpaceDN w:val="0"/>
              <w:adjustRightInd w:val="0"/>
              <w:jc w:val="both"/>
              <w:rPr>
                <w:rFonts w:ascii="Garamond" w:hAnsi="Garamond" w:cs="Times New Roman"/>
                <w:color w:val="000000"/>
                <w:sz w:val="24"/>
                <w:szCs w:val="24"/>
              </w:rPr>
            </w:pPr>
            <w:proofErr w:type="spellStart"/>
            <w:r w:rsidRPr="009955AA">
              <w:rPr>
                <w:rFonts w:ascii="Garamond" w:hAnsi="Garamond" w:cs="Times New Roman"/>
                <w:color w:val="000000"/>
                <w:sz w:val="24"/>
                <w:szCs w:val="24"/>
              </w:rPr>
              <w:t>Elsa</w:t>
            </w:r>
            <w:proofErr w:type="spellEnd"/>
            <w:r w:rsidRPr="009955AA">
              <w:rPr>
                <w:rFonts w:ascii="Garamond" w:hAnsi="Garamond" w:cs="Times New Roman"/>
                <w:color w:val="000000"/>
                <w:sz w:val="24"/>
                <w:szCs w:val="24"/>
              </w:rPr>
              <w:t xml:space="preserve"> Toska</w:t>
            </w:r>
          </w:p>
        </w:tc>
        <w:tc>
          <w:tcPr>
            <w:tcW w:w="1417" w:type="dxa"/>
          </w:tcPr>
          <w:p w14:paraId="4A4C6269" w14:textId="446CCC28" w:rsidR="00AF42B8" w:rsidRPr="009955AA" w:rsidRDefault="007D68D9" w:rsidP="00AF42B8">
            <w:pPr>
              <w:autoSpaceDE w:val="0"/>
              <w:autoSpaceDN w:val="0"/>
              <w:adjustRightInd w:val="0"/>
              <w:jc w:val="both"/>
              <w:rPr>
                <w:rFonts w:ascii="Garamond" w:hAnsi="Garamond" w:cs="Times New Roman"/>
                <w:color w:val="000000"/>
                <w:sz w:val="24"/>
                <w:szCs w:val="24"/>
              </w:rPr>
            </w:pPr>
            <w:r w:rsidRPr="009955AA">
              <w:rPr>
                <w:rFonts w:ascii="Garamond" w:hAnsi="Garamond" w:cs="Times New Roman"/>
                <w:color w:val="000000"/>
                <w:sz w:val="24"/>
                <w:szCs w:val="24"/>
              </w:rPr>
              <w:t>anëtare</w:t>
            </w:r>
            <w:r>
              <w:rPr>
                <w:rFonts w:ascii="Garamond" w:hAnsi="Garamond" w:cs="Times New Roman"/>
                <w:color w:val="000000"/>
                <w:sz w:val="24"/>
                <w:szCs w:val="24"/>
              </w:rPr>
              <w:t>;</w:t>
            </w:r>
          </w:p>
        </w:tc>
      </w:tr>
      <w:tr w:rsidR="00AF42B8" w:rsidRPr="009955AA" w14:paraId="5D4E6D41" w14:textId="77777777" w:rsidTr="00190038">
        <w:tc>
          <w:tcPr>
            <w:tcW w:w="2509" w:type="dxa"/>
          </w:tcPr>
          <w:p w14:paraId="095C3B5D" w14:textId="7F1E34EF" w:rsidR="00AF42B8" w:rsidRPr="009955AA" w:rsidRDefault="00AF42B8" w:rsidP="003E6A29">
            <w:pPr>
              <w:autoSpaceDE w:val="0"/>
              <w:autoSpaceDN w:val="0"/>
              <w:adjustRightInd w:val="0"/>
              <w:jc w:val="both"/>
              <w:rPr>
                <w:rFonts w:ascii="Garamond" w:hAnsi="Garamond" w:cs="Times New Roman"/>
                <w:color w:val="000000"/>
                <w:sz w:val="24"/>
                <w:szCs w:val="24"/>
              </w:rPr>
            </w:pPr>
            <w:proofErr w:type="spellStart"/>
            <w:r w:rsidRPr="009955AA">
              <w:rPr>
                <w:rFonts w:ascii="Garamond" w:hAnsi="Garamond" w:cs="Times New Roman"/>
                <w:color w:val="000000"/>
                <w:sz w:val="24"/>
                <w:szCs w:val="24"/>
              </w:rPr>
              <w:t>Sonila</w:t>
            </w:r>
            <w:proofErr w:type="spellEnd"/>
            <w:r w:rsidRPr="009955AA">
              <w:rPr>
                <w:rFonts w:ascii="Garamond" w:hAnsi="Garamond" w:cs="Times New Roman"/>
                <w:color w:val="000000"/>
                <w:sz w:val="24"/>
                <w:szCs w:val="24"/>
              </w:rPr>
              <w:t xml:space="preserve"> Bejtja</w:t>
            </w:r>
          </w:p>
        </w:tc>
        <w:tc>
          <w:tcPr>
            <w:tcW w:w="1417" w:type="dxa"/>
          </w:tcPr>
          <w:p w14:paraId="325E0E11" w14:textId="71DFFFF6" w:rsidR="00AF42B8" w:rsidRPr="009955AA" w:rsidRDefault="007D68D9" w:rsidP="00AF42B8">
            <w:pPr>
              <w:autoSpaceDE w:val="0"/>
              <w:autoSpaceDN w:val="0"/>
              <w:adjustRightInd w:val="0"/>
              <w:jc w:val="both"/>
              <w:rPr>
                <w:rFonts w:ascii="Garamond" w:hAnsi="Garamond" w:cs="Times New Roman"/>
                <w:color w:val="000000"/>
                <w:sz w:val="24"/>
                <w:szCs w:val="24"/>
              </w:rPr>
            </w:pPr>
            <w:r w:rsidRPr="009955AA">
              <w:rPr>
                <w:rFonts w:ascii="Garamond" w:hAnsi="Garamond" w:cs="Times New Roman"/>
                <w:color w:val="000000"/>
                <w:sz w:val="24"/>
                <w:szCs w:val="24"/>
              </w:rPr>
              <w:t>anëtare</w:t>
            </w:r>
            <w:r>
              <w:rPr>
                <w:rFonts w:ascii="Garamond" w:hAnsi="Garamond" w:cs="Times New Roman"/>
                <w:color w:val="000000"/>
                <w:sz w:val="24"/>
                <w:szCs w:val="24"/>
              </w:rPr>
              <w:t>;</w:t>
            </w:r>
          </w:p>
        </w:tc>
      </w:tr>
      <w:tr w:rsidR="00AF42B8" w:rsidRPr="009955AA" w14:paraId="572B0FBB" w14:textId="77777777" w:rsidTr="00190038">
        <w:tc>
          <w:tcPr>
            <w:tcW w:w="2509" w:type="dxa"/>
          </w:tcPr>
          <w:p w14:paraId="24C2309B" w14:textId="546F174E" w:rsidR="00AF42B8" w:rsidRPr="009955AA" w:rsidRDefault="00AF42B8" w:rsidP="003E6A29">
            <w:pPr>
              <w:autoSpaceDE w:val="0"/>
              <w:autoSpaceDN w:val="0"/>
              <w:adjustRightInd w:val="0"/>
              <w:jc w:val="both"/>
              <w:rPr>
                <w:rFonts w:ascii="Garamond" w:hAnsi="Garamond" w:cs="Times New Roman"/>
                <w:color w:val="000000"/>
                <w:sz w:val="24"/>
                <w:szCs w:val="24"/>
              </w:rPr>
            </w:pPr>
            <w:r w:rsidRPr="009955AA">
              <w:rPr>
                <w:rFonts w:ascii="Garamond" w:hAnsi="Garamond" w:cs="Times New Roman"/>
                <w:color w:val="000000"/>
                <w:sz w:val="24"/>
                <w:szCs w:val="24"/>
              </w:rPr>
              <w:t>Ilir Toska</w:t>
            </w:r>
          </w:p>
        </w:tc>
        <w:tc>
          <w:tcPr>
            <w:tcW w:w="1417" w:type="dxa"/>
          </w:tcPr>
          <w:p w14:paraId="48CF638E" w14:textId="72A65871" w:rsidR="00AF42B8" w:rsidRPr="009955AA" w:rsidRDefault="007D68D9" w:rsidP="00AF42B8">
            <w:pPr>
              <w:autoSpaceDE w:val="0"/>
              <w:autoSpaceDN w:val="0"/>
              <w:adjustRightInd w:val="0"/>
              <w:jc w:val="both"/>
              <w:rPr>
                <w:rFonts w:ascii="Garamond" w:hAnsi="Garamond" w:cs="Times New Roman"/>
                <w:color w:val="000000"/>
                <w:sz w:val="24"/>
                <w:szCs w:val="24"/>
              </w:rPr>
            </w:pPr>
            <w:r w:rsidRPr="009955AA">
              <w:rPr>
                <w:rFonts w:ascii="Garamond" w:hAnsi="Garamond" w:cs="Times New Roman"/>
                <w:color w:val="000000"/>
                <w:sz w:val="24"/>
                <w:szCs w:val="24"/>
              </w:rPr>
              <w:t>anëtar</w:t>
            </w:r>
            <w:r>
              <w:rPr>
                <w:rFonts w:ascii="Garamond" w:hAnsi="Garamond" w:cs="Times New Roman"/>
                <w:color w:val="000000"/>
                <w:sz w:val="24"/>
                <w:szCs w:val="24"/>
              </w:rPr>
              <w:t>;</w:t>
            </w:r>
          </w:p>
        </w:tc>
      </w:tr>
      <w:tr w:rsidR="00AF42B8" w:rsidRPr="009955AA" w14:paraId="745C8635" w14:textId="77777777" w:rsidTr="00190038">
        <w:tc>
          <w:tcPr>
            <w:tcW w:w="2509" w:type="dxa"/>
          </w:tcPr>
          <w:p w14:paraId="2A076E46" w14:textId="44DDFAE7" w:rsidR="00AF42B8" w:rsidRPr="009955AA" w:rsidRDefault="00AF42B8" w:rsidP="003E6A29">
            <w:pPr>
              <w:autoSpaceDE w:val="0"/>
              <w:autoSpaceDN w:val="0"/>
              <w:adjustRightInd w:val="0"/>
              <w:jc w:val="both"/>
              <w:rPr>
                <w:rFonts w:ascii="Garamond" w:hAnsi="Garamond" w:cs="Times New Roman"/>
                <w:color w:val="000000"/>
                <w:sz w:val="24"/>
                <w:szCs w:val="24"/>
              </w:rPr>
            </w:pPr>
            <w:r w:rsidRPr="009955AA">
              <w:rPr>
                <w:rFonts w:ascii="Garamond" w:hAnsi="Garamond" w:cs="Times New Roman"/>
                <w:color w:val="000000"/>
                <w:sz w:val="24"/>
                <w:szCs w:val="24"/>
              </w:rPr>
              <w:t>Genti Ibrahimi</w:t>
            </w:r>
          </w:p>
        </w:tc>
        <w:tc>
          <w:tcPr>
            <w:tcW w:w="1417" w:type="dxa"/>
          </w:tcPr>
          <w:p w14:paraId="7A1E3823" w14:textId="4D27A47A" w:rsidR="00AF42B8" w:rsidRPr="009955AA" w:rsidRDefault="007D68D9" w:rsidP="00AF42B8">
            <w:pPr>
              <w:autoSpaceDE w:val="0"/>
              <w:autoSpaceDN w:val="0"/>
              <w:adjustRightInd w:val="0"/>
              <w:jc w:val="both"/>
              <w:rPr>
                <w:rFonts w:ascii="Garamond" w:hAnsi="Garamond" w:cs="Times New Roman"/>
                <w:color w:val="000000"/>
                <w:sz w:val="24"/>
                <w:szCs w:val="24"/>
              </w:rPr>
            </w:pPr>
            <w:r w:rsidRPr="009955AA">
              <w:rPr>
                <w:rFonts w:ascii="Garamond" w:hAnsi="Garamond" w:cs="Times New Roman"/>
                <w:color w:val="000000"/>
                <w:sz w:val="24"/>
                <w:szCs w:val="24"/>
              </w:rPr>
              <w:t>anëtar</w:t>
            </w:r>
            <w:r>
              <w:rPr>
                <w:rFonts w:ascii="Garamond" w:hAnsi="Garamond" w:cs="Times New Roman"/>
                <w:color w:val="000000"/>
                <w:sz w:val="24"/>
                <w:szCs w:val="24"/>
              </w:rPr>
              <w:t>;</w:t>
            </w:r>
          </w:p>
        </w:tc>
      </w:tr>
      <w:tr w:rsidR="00AF42B8" w:rsidRPr="009955AA" w14:paraId="7A1DC8D7" w14:textId="77777777" w:rsidTr="00190038">
        <w:tc>
          <w:tcPr>
            <w:tcW w:w="2509" w:type="dxa"/>
          </w:tcPr>
          <w:p w14:paraId="1C9583E3" w14:textId="12EF5B85" w:rsidR="00AF42B8" w:rsidRPr="009955AA" w:rsidRDefault="00AF42B8" w:rsidP="003E6A29">
            <w:pPr>
              <w:autoSpaceDE w:val="0"/>
              <w:autoSpaceDN w:val="0"/>
              <w:adjustRightInd w:val="0"/>
              <w:jc w:val="both"/>
              <w:rPr>
                <w:rFonts w:ascii="Garamond" w:hAnsi="Garamond" w:cs="Times New Roman"/>
                <w:color w:val="000000"/>
                <w:sz w:val="24"/>
                <w:szCs w:val="24"/>
              </w:rPr>
            </w:pPr>
            <w:proofErr w:type="spellStart"/>
            <w:r w:rsidRPr="009955AA">
              <w:rPr>
                <w:rFonts w:ascii="Garamond" w:hAnsi="Garamond" w:cs="Times New Roman"/>
                <w:color w:val="000000"/>
                <w:sz w:val="24"/>
                <w:szCs w:val="24"/>
              </w:rPr>
              <w:t>Marjana</w:t>
            </w:r>
            <w:proofErr w:type="spellEnd"/>
            <w:r w:rsidRPr="009955AA">
              <w:rPr>
                <w:rFonts w:ascii="Garamond" w:hAnsi="Garamond" w:cs="Times New Roman"/>
                <w:color w:val="000000"/>
                <w:sz w:val="24"/>
                <w:szCs w:val="24"/>
              </w:rPr>
              <w:t xml:space="preserve"> </w:t>
            </w:r>
            <w:proofErr w:type="spellStart"/>
            <w:r w:rsidRPr="009955AA">
              <w:rPr>
                <w:rFonts w:ascii="Garamond" w:hAnsi="Garamond" w:cs="Times New Roman"/>
                <w:color w:val="000000"/>
                <w:sz w:val="24"/>
                <w:szCs w:val="24"/>
              </w:rPr>
              <w:t>Semini</w:t>
            </w:r>
            <w:proofErr w:type="spellEnd"/>
          </w:p>
        </w:tc>
        <w:tc>
          <w:tcPr>
            <w:tcW w:w="1417" w:type="dxa"/>
          </w:tcPr>
          <w:p w14:paraId="2EF14CD8" w14:textId="542C4BF3" w:rsidR="00AF42B8" w:rsidRPr="009955AA" w:rsidRDefault="007D68D9" w:rsidP="00AF42B8">
            <w:pPr>
              <w:autoSpaceDE w:val="0"/>
              <w:autoSpaceDN w:val="0"/>
              <w:adjustRightInd w:val="0"/>
              <w:jc w:val="both"/>
              <w:rPr>
                <w:rFonts w:ascii="Garamond" w:hAnsi="Garamond" w:cs="Times New Roman"/>
                <w:color w:val="000000"/>
                <w:sz w:val="24"/>
                <w:szCs w:val="24"/>
              </w:rPr>
            </w:pPr>
            <w:r w:rsidRPr="009955AA">
              <w:rPr>
                <w:rFonts w:ascii="Garamond" w:hAnsi="Garamond" w:cs="Times New Roman"/>
                <w:color w:val="000000"/>
                <w:sz w:val="24"/>
                <w:szCs w:val="24"/>
              </w:rPr>
              <w:t>anëtare</w:t>
            </w:r>
            <w:r>
              <w:rPr>
                <w:rFonts w:ascii="Garamond" w:hAnsi="Garamond" w:cs="Times New Roman"/>
                <w:color w:val="000000"/>
                <w:sz w:val="24"/>
                <w:szCs w:val="24"/>
              </w:rPr>
              <w:t>;</w:t>
            </w:r>
          </w:p>
        </w:tc>
      </w:tr>
      <w:tr w:rsidR="00AF42B8" w:rsidRPr="009955AA" w14:paraId="3F2409FE" w14:textId="77777777" w:rsidTr="00190038">
        <w:tc>
          <w:tcPr>
            <w:tcW w:w="2509" w:type="dxa"/>
          </w:tcPr>
          <w:p w14:paraId="63AEE028" w14:textId="0396AA81" w:rsidR="00AF42B8" w:rsidRPr="009955AA" w:rsidRDefault="00AF42B8" w:rsidP="003E6A29">
            <w:pPr>
              <w:autoSpaceDE w:val="0"/>
              <w:autoSpaceDN w:val="0"/>
              <w:adjustRightInd w:val="0"/>
              <w:jc w:val="both"/>
              <w:rPr>
                <w:rFonts w:ascii="Garamond" w:hAnsi="Garamond" w:cs="Times New Roman"/>
                <w:color w:val="000000"/>
                <w:sz w:val="24"/>
                <w:szCs w:val="24"/>
              </w:rPr>
            </w:pPr>
            <w:proofErr w:type="spellStart"/>
            <w:r w:rsidRPr="009955AA">
              <w:rPr>
                <w:rFonts w:ascii="Garamond" w:hAnsi="Garamond" w:cs="Times New Roman"/>
                <w:color w:val="000000"/>
                <w:sz w:val="24"/>
                <w:szCs w:val="24"/>
              </w:rPr>
              <w:t>Sandër</w:t>
            </w:r>
            <w:proofErr w:type="spellEnd"/>
            <w:r w:rsidRPr="009955AA">
              <w:rPr>
                <w:rFonts w:ascii="Garamond" w:hAnsi="Garamond" w:cs="Times New Roman"/>
                <w:color w:val="000000"/>
                <w:sz w:val="24"/>
                <w:szCs w:val="24"/>
              </w:rPr>
              <w:t xml:space="preserve"> Beci</w:t>
            </w:r>
          </w:p>
        </w:tc>
        <w:tc>
          <w:tcPr>
            <w:tcW w:w="1417" w:type="dxa"/>
          </w:tcPr>
          <w:p w14:paraId="46DA48B4" w14:textId="428DE215" w:rsidR="00AF42B8" w:rsidRPr="009955AA" w:rsidRDefault="007D68D9" w:rsidP="00AF42B8">
            <w:pPr>
              <w:autoSpaceDE w:val="0"/>
              <w:autoSpaceDN w:val="0"/>
              <w:adjustRightInd w:val="0"/>
              <w:jc w:val="both"/>
              <w:rPr>
                <w:rFonts w:ascii="Garamond" w:hAnsi="Garamond" w:cs="Times New Roman"/>
                <w:color w:val="000000"/>
                <w:sz w:val="24"/>
                <w:szCs w:val="24"/>
              </w:rPr>
            </w:pPr>
            <w:r w:rsidRPr="009955AA">
              <w:rPr>
                <w:rFonts w:ascii="Garamond" w:hAnsi="Garamond" w:cs="Times New Roman"/>
                <w:color w:val="000000"/>
                <w:sz w:val="24"/>
                <w:szCs w:val="24"/>
              </w:rPr>
              <w:t>anëtar</w:t>
            </w:r>
            <w:r>
              <w:rPr>
                <w:rFonts w:ascii="Garamond" w:hAnsi="Garamond" w:cs="Times New Roman"/>
                <w:color w:val="000000"/>
                <w:sz w:val="24"/>
                <w:szCs w:val="24"/>
              </w:rPr>
              <w:t>,</w:t>
            </w:r>
          </w:p>
        </w:tc>
      </w:tr>
    </w:tbl>
    <w:p w14:paraId="6DC3D9A8" w14:textId="44655D2D" w:rsidR="003E6A29" w:rsidRPr="009955AA" w:rsidRDefault="003E6A29" w:rsidP="003E6A29">
      <w:pPr>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 xml:space="preserve">me sekretare </w:t>
      </w:r>
      <w:proofErr w:type="spellStart"/>
      <w:r w:rsidRPr="009955AA">
        <w:rPr>
          <w:rFonts w:ascii="Garamond" w:hAnsi="Garamond" w:cs="Times New Roman"/>
          <w:color w:val="000000"/>
          <w:sz w:val="24"/>
          <w:szCs w:val="24"/>
        </w:rPr>
        <w:t>Belma</w:t>
      </w:r>
      <w:proofErr w:type="spellEnd"/>
      <w:r w:rsidRPr="009955AA">
        <w:rPr>
          <w:rFonts w:ascii="Garamond" w:hAnsi="Garamond" w:cs="Times New Roman"/>
          <w:color w:val="000000"/>
          <w:sz w:val="24"/>
          <w:szCs w:val="24"/>
        </w:rPr>
        <w:t xml:space="preserve"> Lleshi, </w:t>
      </w:r>
      <w:r w:rsidR="00E41B73">
        <w:rPr>
          <w:rFonts w:ascii="Garamond" w:hAnsi="Garamond" w:cs="Times New Roman"/>
          <w:color w:val="000000"/>
          <w:sz w:val="24"/>
          <w:szCs w:val="24"/>
        </w:rPr>
        <w:t>m</w:t>
      </w:r>
      <w:r w:rsidRPr="009955AA">
        <w:rPr>
          <w:rFonts w:ascii="Garamond" w:hAnsi="Garamond" w:cs="Times New Roman"/>
          <w:color w:val="000000"/>
          <w:sz w:val="24"/>
          <w:szCs w:val="24"/>
        </w:rPr>
        <w:t>ë datë 28.2.2024 mori në shqyrtim në seancë mbi bazë të dokumenteve çështjen nr. 11 (K) 2023, që u përket:</w:t>
      </w:r>
    </w:p>
    <w:p w14:paraId="0D81F3B3"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bCs/>
          <w:color w:val="000000"/>
          <w:sz w:val="24"/>
          <w:szCs w:val="24"/>
        </w:rPr>
        <w:t>KËRKUES:</w:t>
      </w:r>
      <w:r w:rsidR="00CC2D26" w:rsidRPr="009955AA">
        <w:rPr>
          <w:rFonts w:ascii="Garamond" w:hAnsi="Garamond" w:cs="Times New Roman"/>
          <w:bCs/>
          <w:color w:val="000000"/>
          <w:sz w:val="24"/>
          <w:szCs w:val="24"/>
        </w:rPr>
        <w:t xml:space="preserve"> </w:t>
      </w:r>
      <w:r w:rsidRPr="009955AA">
        <w:rPr>
          <w:rFonts w:ascii="Garamond" w:hAnsi="Garamond" w:cs="Times New Roman"/>
          <w:bCs/>
          <w:color w:val="000000"/>
          <w:sz w:val="24"/>
          <w:szCs w:val="24"/>
        </w:rPr>
        <w:t xml:space="preserve">KUDRET </w:t>
      </w:r>
      <w:proofErr w:type="spellStart"/>
      <w:r w:rsidRPr="009955AA">
        <w:rPr>
          <w:rFonts w:ascii="Garamond" w:hAnsi="Garamond" w:cs="Times New Roman"/>
          <w:bCs/>
          <w:color w:val="000000"/>
          <w:sz w:val="24"/>
          <w:szCs w:val="24"/>
        </w:rPr>
        <w:t>BARJAMAJ</w:t>
      </w:r>
      <w:proofErr w:type="spellEnd"/>
      <w:r w:rsidRPr="009955AA">
        <w:rPr>
          <w:rFonts w:ascii="Garamond" w:hAnsi="Garamond" w:cs="Times New Roman"/>
          <w:bCs/>
          <w:color w:val="000000"/>
          <w:sz w:val="24"/>
          <w:szCs w:val="24"/>
        </w:rPr>
        <w:t xml:space="preserve">, </w:t>
      </w:r>
      <w:r w:rsidRPr="009955AA">
        <w:rPr>
          <w:rFonts w:ascii="Garamond" w:hAnsi="Garamond" w:cs="Times New Roman"/>
          <w:color w:val="000000"/>
          <w:sz w:val="24"/>
          <w:szCs w:val="24"/>
        </w:rPr>
        <w:t xml:space="preserve">përfaqësuar me prokurë nga avokate </w:t>
      </w:r>
      <w:proofErr w:type="spellStart"/>
      <w:r w:rsidRPr="009955AA">
        <w:rPr>
          <w:rFonts w:ascii="Garamond" w:hAnsi="Garamond" w:cs="Times New Roman"/>
          <w:color w:val="000000"/>
          <w:sz w:val="24"/>
          <w:szCs w:val="24"/>
        </w:rPr>
        <w:t>Esmeralda</w:t>
      </w:r>
      <w:proofErr w:type="spellEnd"/>
      <w:r w:rsidRPr="009955AA">
        <w:rPr>
          <w:rFonts w:ascii="Garamond" w:hAnsi="Garamond" w:cs="Times New Roman"/>
          <w:color w:val="000000"/>
          <w:sz w:val="24"/>
          <w:szCs w:val="24"/>
        </w:rPr>
        <w:t xml:space="preserve"> </w:t>
      </w:r>
      <w:proofErr w:type="spellStart"/>
      <w:r w:rsidRPr="009955AA">
        <w:rPr>
          <w:rFonts w:ascii="Garamond" w:hAnsi="Garamond" w:cs="Times New Roman"/>
          <w:color w:val="000000"/>
          <w:sz w:val="24"/>
          <w:szCs w:val="24"/>
        </w:rPr>
        <w:t>Demiraj</w:t>
      </w:r>
      <w:proofErr w:type="spellEnd"/>
      <w:r w:rsidRPr="009955AA">
        <w:rPr>
          <w:rFonts w:ascii="Garamond" w:hAnsi="Garamond" w:cs="Times New Roman"/>
          <w:color w:val="000000"/>
          <w:sz w:val="24"/>
          <w:szCs w:val="24"/>
        </w:rPr>
        <w:t>.</w:t>
      </w:r>
    </w:p>
    <w:p w14:paraId="4D6EE2A2"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9955AA">
        <w:rPr>
          <w:rFonts w:ascii="Garamond" w:hAnsi="Garamond" w:cs="Times New Roman"/>
          <w:bCs/>
          <w:color w:val="000000"/>
          <w:sz w:val="24"/>
          <w:szCs w:val="24"/>
        </w:rPr>
        <w:t>SUBJEKT I INTERESUAR:</w:t>
      </w:r>
    </w:p>
    <w:p w14:paraId="31F93B11"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bCs/>
          <w:color w:val="000000"/>
          <w:sz w:val="24"/>
          <w:szCs w:val="24"/>
        </w:rPr>
        <w:t xml:space="preserve">PROKURORIA E PËRGJITHSHME, </w:t>
      </w:r>
      <w:r w:rsidRPr="009955AA">
        <w:rPr>
          <w:rFonts w:ascii="Garamond" w:hAnsi="Garamond" w:cs="Times New Roman"/>
          <w:color w:val="000000"/>
          <w:sz w:val="24"/>
          <w:szCs w:val="24"/>
        </w:rPr>
        <w:t xml:space="preserve">përfaqësuar nga prokurori </w:t>
      </w:r>
      <w:proofErr w:type="spellStart"/>
      <w:r w:rsidRPr="009955AA">
        <w:rPr>
          <w:rFonts w:ascii="Garamond" w:hAnsi="Garamond" w:cs="Times New Roman"/>
          <w:color w:val="000000"/>
          <w:sz w:val="24"/>
          <w:szCs w:val="24"/>
        </w:rPr>
        <w:t>Arqilea</w:t>
      </w:r>
      <w:proofErr w:type="spellEnd"/>
      <w:r w:rsidRPr="009955AA">
        <w:rPr>
          <w:rFonts w:ascii="Garamond" w:hAnsi="Garamond" w:cs="Times New Roman"/>
          <w:color w:val="000000"/>
          <w:sz w:val="24"/>
          <w:szCs w:val="24"/>
        </w:rPr>
        <w:t xml:space="preserve"> Koça.</w:t>
      </w:r>
    </w:p>
    <w:p w14:paraId="415BC954" w14:textId="61BD5E79"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9955AA">
        <w:rPr>
          <w:rFonts w:ascii="Garamond" w:hAnsi="Garamond" w:cs="Times New Roman"/>
          <w:bCs/>
          <w:color w:val="000000"/>
          <w:sz w:val="24"/>
          <w:szCs w:val="24"/>
        </w:rPr>
        <w:t>OBJEKTI:</w:t>
      </w:r>
      <w:r w:rsidR="00CC2D26" w:rsidRPr="009955AA">
        <w:rPr>
          <w:rFonts w:ascii="Garamond" w:hAnsi="Garamond" w:cs="Times New Roman"/>
          <w:bCs/>
          <w:color w:val="000000"/>
          <w:sz w:val="24"/>
          <w:szCs w:val="24"/>
        </w:rPr>
        <w:t xml:space="preserve"> </w:t>
      </w:r>
      <w:r w:rsidRPr="009955AA">
        <w:rPr>
          <w:rFonts w:ascii="Garamond" w:hAnsi="Garamond" w:cs="Times New Roman"/>
          <w:bCs/>
          <w:color w:val="000000"/>
          <w:sz w:val="24"/>
          <w:szCs w:val="24"/>
        </w:rPr>
        <w:t>Shfuqizimi i vendimit nr. 00-2023-574, datë 26.1.2023</w:t>
      </w:r>
      <w:r w:rsidR="00B10CA9">
        <w:rPr>
          <w:rFonts w:ascii="Garamond" w:hAnsi="Garamond" w:cs="Times New Roman"/>
          <w:bCs/>
          <w:color w:val="000000"/>
          <w:sz w:val="24"/>
          <w:szCs w:val="24"/>
        </w:rPr>
        <w:t>,</w:t>
      </w:r>
      <w:r w:rsidRPr="009955AA">
        <w:rPr>
          <w:rFonts w:ascii="Garamond" w:hAnsi="Garamond" w:cs="Times New Roman"/>
          <w:bCs/>
          <w:color w:val="000000"/>
          <w:sz w:val="24"/>
          <w:szCs w:val="24"/>
        </w:rPr>
        <w:t xml:space="preserve"> të Kolegjit Penal të Gjykatës së Lartë, si i papajtueshëm me Kushtetutën e Republikës së Shqipërisë.</w:t>
      </w:r>
    </w:p>
    <w:p w14:paraId="7947604C" w14:textId="076D51A0"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9955AA">
        <w:rPr>
          <w:rFonts w:ascii="Garamond" w:hAnsi="Garamond" w:cs="Times New Roman"/>
          <w:bCs/>
          <w:color w:val="000000"/>
          <w:sz w:val="24"/>
          <w:szCs w:val="24"/>
        </w:rPr>
        <w:t>BAZA LIGJORE:</w:t>
      </w:r>
      <w:r w:rsidR="00CC2D26" w:rsidRPr="009955AA">
        <w:rPr>
          <w:rFonts w:ascii="Garamond" w:hAnsi="Garamond" w:cs="Times New Roman"/>
          <w:bCs/>
          <w:color w:val="000000"/>
          <w:sz w:val="24"/>
          <w:szCs w:val="24"/>
        </w:rPr>
        <w:t xml:space="preserve"> </w:t>
      </w:r>
      <w:r w:rsidRPr="009955AA">
        <w:rPr>
          <w:rFonts w:ascii="Garamond" w:hAnsi="Garamond" w:cs="Times New Roman"/>
          <w:bCs/>
          <w:color w:val="000000"/>
          <w:sz w:val="24"/>
          <w:szCs w:val="24"/>
        </w:rPr>
        <w:t xml:space="preserve">Nenet 42, 43, 131, pika 1, shkronja “f” dhe 134, pika 1, shkronja “i”, të Kushtetutës së Republikës së Shqipërisë </w:t>
      </w:r>
      <w:r w:rsidRPr="009955AA">
        <w:rPr>
          <w:rFonts w:ascii="Garamond" w:hAnsi="Garamond" w:cs="Times New Roman"/>
          <w:bCs/>
          <w:i/>
          <w:iCs/>
          <w:color w:val="000000"/>
          <w:sz w:val="24"/>
          <w:szCs w:val="24"/>
        </w:rPr>
        <w:t>(Kushtetuta)</w:t>
      </w:r>
      <w:r w:rsidRPr="009955AA">
        <w:rPr>
          <w:rFonts w:ascii="Garamond" w:hAnsi="Garamond" w:cs="Times New Roman"/>
          <w:bCs/>
          <w:color w:val="000000"/>
          <w:sz w:val="24"/>
          <w:szCs w:val="24"/>
        </w:rPr>
        <w:t xml:space="preserve">; neni 6 i Konventës Evropiane për të Drejtat e Njeriut </w:t>
      </w:r>
      <w:r w:rsidRPr="009955AA">
        <w:rPr>
          <w:rFonts w:ascii="Garamond" w:hAnsi="Garamond" w:cs="Times New Roman"/>
          <w:bCs/>
          <w:i/>
          <w:iCs/>
          <w:color w:val="000000"/>
          <w:sz w:val="24"/>
          <w:szCs w:val="24"/>
        </w:rPr>
        <w:t>(</w:t>
      </w:r>
      <w:proofErr w:type="spellStart"/>
      <w:r w:rsidRPr="009955AA">
        <w:rPr>
          <w:rFonts w:ascii="Garamond" w:hAnsi="Garamond" w:cs="Times New Roman"/>
          <w:bCs/>
          <w:i/>
          <w:iCs/>
          <w:color w:val="000000"/>
          <w:sz w:val="24"/>
          <w:szCs w:val="24"/>
        </w:rPr>
        <w:t>KEDNJ</w:t>
      </w:r>
      <w:proofErr w:type="spellEnd"/>
      <w:r w:rsidRPr="009955AA">
        <w:rPr>
          <w:rFonts w:ascii="Garamond" w:hAnsi="Garamond" w:cs="Times New Roman"/>
          <w:bCs/>
          <w:i/>
          <w:iCs/>
          <w:color w:val="000000"/>
          <w:sz w:val="24"/>
          <w:szCs w:val="24"/>
        </w:rPr>
        <w:t>)</w:t>
      </w:r>
      <w:r w:rsidRPr="009955AA">
        <w:rPr>
          <w:rFonts w:ascii="Garamond" w:hAnsi="Garamond" w:cs="Times New Roman"/>
          <w:bCs/>
          <w:color w:val="000000"/>
          <w:sz w:val="24"/>
          <w:szCs w:val="24"/>
        </w:rPr>
        <w:t>; nenet 27, 71 dhe 71/a të ligjit nr. 8577, datë 10.2.2000</w:t>
      </w:r>
      <w:r w:rsidR="00BD48E1">
        <w:rPr>
          <w:rFonts w:ascii="Garamond" w:hAnsi="Garamond" w:cs="Times New Roman"/>
          <w:bCs/>
          <w:color w:val="000000"/>
          <w:sz w:val="24"/>
          <w:szCs w:val="24"/>
        </w:rPr>
        <w:t>,</w:t>
      </w:r>
      <w:r w:rsidRPr="009955AA">
        <w:rPr>
          <w:rFonts w:ascii="Garamond" w:hAnsi="Garamond" w:cs="Times New Roman"/>
          <w:bCs/>
          <w:color w:val="000000"/>
          <w:sz w:val="24"/>
          <w:szCs w:val="24"/>
        </w:rPr>
        <w:t xml:space="preserve"> “Për organizimin dhe funksionimin e Gjykatës Kushtetuese të Republikës së Shqipërisë”, të ndryshuar </w:t>
      </w:r>
      <w:r w:rsidRPr="009955AA">
        <w:rPr>
          <w:rFonts w:ascii="Garamond" w:hAnsi="Garamond" w:cs="Times New Roman"/>
          <w:bCs/>
          <w:i/>
          <w:iCs/>
          <w:color w:val="000000"/>
          <w:sz w:val="24"/>
          <w:szCs w:val="24"/>
        </w:rPr>
        <w:t>(ligji nr. 8577/2000).</w:t>
      </w:r>
    </w:p>
    <w:p w14:paraId="42463A12" w14:textId="77777777" w:rsidR="003E6A29" w:rsidRPr="009955AA" w:rsidRDefault="003E6A29" w:rsidP="003E6A29">
      <w:pPr>
        <w:autoSpaceDE w:val="0"/>
        <w:autoSpaceDN w:val="0"/>
        <w:adjustRightInd w:val="0"/>
        <w:spacing w:after="0" w:line="240" w:lineRule="auto"/>
        <w:ind w:firstLine="284"/>
        <w:jc w:val="center"/>
        <w:rPr>
          <w:rFonts w:ascii="Garamond" w:hAnsi="Garamond" w:cs="Calibri"/>
          <w:b/>
          <w:bCs/>
          <w:color w:val="000000"/>
          <w:sz w:val="24"/>
          <w:szCs w:val="24"/>
        </w:rPr>
      </w:pPr>
    </w:p>
    <w:p w14:paraId="1B2EA520" w14:textId="77777777" w:rsidR="003E6A29" w:rsidRPr="009955AA" w:rsidRDefault="003E6A29" w:rsidP="003E6A29">
      <w:pPr>
        <w:autoSpaceDE w:val="0"/>
        <w:autoSpaceDN w:val="0"/>
        <w:adjustRightInd w:val="0"/>
        <w:spacing w:after="0" w:line="240" w:lineRule="auto"/>
        <w:ind w:firstLine="284"/>
        <w:jc w:val="center"/>
        <w:rPr>
          <w:rFonts w:ascii="Garamond" w:hAnsi="Garamond" w:cs="Times New Roman"/>
          <w:bCs/>
          <w:color w:val="000000"/>
          <w:sz w:val="24"/>
          <w:szCs w:val="24"/>
        </w:rPr>
      </w:pPr>
      <w:r w:rsidRPr="009955AA">
        <w:rPr>
          <w:rFonts w:ascii="Garamond" w:hAnsi="Garamond" w:cs="Times New Roman"/>
          <w:bCs/>
          <w:color w:val="000000"/>
          <w:sz w:val="24"/>
          <w:szCs w:val="24"/>
        </w:rPr>
        <w:t>GJYKATA KUSHTETUESE,</w:t>
      </w:r>
    </w:p>
    <w:p w14:paraId="67817545" w14:textId="77777777" w:rsidR="00CC2D26" w:rsidRPr="009955AA" w:rsidRDefault="00CC2D26" w:rsidP="003E6A29">
      <w:pPr>
        <w:autoSpaceDE w:val="0"/>
        <w:autoSpaceDN w:val="0"/>
        <w:adjustRightInd w:val="0"/>
        <w:spacing w:after="0" w:line="240" w:lineRule="auto"/>
        <w:ind w:firstLine="284"/>
        <w:jc w:val="center"/>
        <w:rPr>
          <w:rFonts w:ascii="Garamond" w:hAnsi="Garamond" w:cs="Times New Roman"/>
          <w:b/>
          <w:bCs/>
          <w:color w:val="000000"/>
          <w:sz w:val="24"/>
          <w:szCs w:val="24"/>
        </w:rPr>
      </w:pPr>
    </w:p>
    <w:p w14:paraId="6C7CBE31" w14:textId="77777777" w:rsidR="003E6A29" w:rsidRPr="009955AA" w:rsidRDefault="003E6A29" w:rsidP="003E6A29">
      <w:pPr>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 xml:space="preserve">pasi dëgjoi relatorin e çështjes </w:t>
      </w:r>
      <w:proofErr w:type="spellStart"/>
      <w:r w:rsidRPr="009955AA">
        <w:rPr>
          <w:rFonts w:ascii="Garamond" w:hAnsi="Garamond" w:cs="Times New Roman"/>
          <w:color w:val="000000"/>
          <w:sz w:val="24"/>
          <w:szCs w:val="24"/>
        </w:rPr>
        <w:t>Sandër</w:t>
      </w:r>
      <w:proofErr w:type="spellEnd"/>
      <w:r w:rsidRPr="009955AA">
        <w:rPr>
          <w:rFonts w:ascii="Garamond" w:hAnsi="Garamond" w:cs="Times New Roman"/>
          <w:color w:val="000000"/>
          <w:sz w:val="24"/>
          <w:szCs w:val="24"/>
        </w:rPr>
        <w:t xml:space="preserve"> Beci, mori në shqyrtim pretendimet e kërkuesit Kudret </w:t>
      </w:r>
      <w:proofErr w:type="spellStart"/>
      <w:r w:rsidRPr="009955AA">
        <w:rPr>
          <w:rFonts w:ascii="Garamond" w:hAnsi="Garamond" w:cs="Times New Roman"/>
          <w:color w:val="000000"/>
          <w:sz w:val="24"/>
          <w:szCs w:val="24"/>
        </w:rPr>
        <w:t>Barjamaj</w:t>
      </w:r>
      <w:proofErr w:type="spellEnd"/>
      <w:r w:rsidRPr="009955AA">
        <w:rPr>
          <w:rFonts w:ascii="Garamond" w:hAnsi="Garamond" w:cs="Times New Roman"/>
          <w:color w:val="000000"/>
          <w:sz w:val="24"/>
          <w:szCs w:val="24"/>
        </w:rPr>
        <w:t xml:space="preserve"> </w:t>
      </w:r>
      <w:r w:rsidRPr="009955AA">
        <w:rPr>
          <w:rFonts w:ascii="Garamond" w:hAnsi="Garamond" w:cs="Times New Roman"/>
          <w:i/>
          <w:iCs/>
          <w:color w:val="000000"/>
          <w:sz w:val="24"/>
          <w:szCs w:val="24"/>
        </w:rPr>
        <w:t>(kërkuesi)</w:t>
      </w:r>
      <w:r w:rsidRPr="009955AA">
        <w:rPr>
          <w:rFonts w:ascii="Garamond" w:hAnsi="Garamond" w:cs="Times New Roman"/>
          <w:color w:val="000000"/>
          <w:sz w:val="24"/>
          <w:szCs w:val="24"/>
        </w:rPr>
        <w:t>, që ka kërkuar pranimin e kërkesës, prapësimet e subjektit të interesuar, Prokurorisë së Përgjithshme,</w:t>
      </w:r>
      <w:r w:rsidRPr="009955AA">
        <w:rPr>
          <w:rFonts w:ascii="Garamond" w:hAnsi="Garamond" w:cs="Times New Roman"/>
          <w:b/>
          <w:bCs/>
          <w:color w:val="000000"/>
          <w:sz w:val="24"/>
          <w:szCs w:val="24"/>
        </w:rPr>
        <w:t xml:space="preserve"> </w:t>
      </w:r>
      <w:r w:rsidRPr="009955AA">
        <w:rPr>
          <w:rFonts w:ascii="Garamond" w:hAnsi="Garamond" w:cs="Times New Roman"/>
          <w:color w:val="000000"/>
          <w:sz w:val="24"/>
          <w:szCs w:val="24"/>
        </w:rPr>
        <w:t>që ka kërkuar pranimin e kërkesës, si dhe diskutoi çështjen në tërësi,</w:t>
      </w:r>
    </w:p>
    <w:p w14:paraId="08994DBF" w14:textId="77777777" w:rsidR="003E6A29" w:rsidRPr="009955AA" w:rsidRDefault="003E6A29" w:rsidP="003E6A29">
      <w:pPr>
        <w:autoSpaceDE w:val="0"/>
        <w:autoSpaceDN w:val="0"/>
        <w:adjustRightInd w:val="0"/>
        <w:spacing w:after="0" w:line="240" w:lineRule="auto"/>
        <w:ind w:firstLine="284"/>
        <w:jc w:val="both"/>
        <w:rPr>
          <w:rFonts w:ascii="Garamond" w:hAnsi="Garamond" w:cs="Times New Roman"/>
          <w:color w:val="000000"/>
          <w:sz w:val="24"/>
          <w:szCs w:val="24"/>
        </w:rPr>
      </w:pPr>
    </w:p>
    <w:p w14:paraId="7C485A3F" w14:textId="46D2573E" w:rsidR="003E6A29" w:rsidRDefault="00CC2D26" w:rsidP="003E6A29">
      <w:pPr>
        <w:autoSpaceDE w:val="0"/>
        <w:autoSpaceDN w:val="0"/>
        <w:adjustRightInd w:val="0"/>
        <w:spacing w:after="0" w:line="240" w:lineRule="auto"/>
        <w:ind w:firstLine="284"/>
        <w:jc w:val="center"/>
        <w:rPr>
          <w:rFonts w:ascii="Garamond" w:hAnsi="Garamond" w:cs="Times New Roman"/>
          <w:bCs/>
          <w:color w:val="000000"/>
          <w:sz w:val="24"/>
          <w:szCs w:val="24"/>
        </w:rPr>
      </w:pPr>
      <w:r w:rsidRPr="009955AA">
        <w:rPr>
          <w:rFonts w:ascii="Garamond" w:hAnsi="Garamond" w:cs="Times New Roman"/>
          <w:bCs/>
          <w:color w:val="000000"/>
          <w:sz w:val="24"/>
          <w:szCs w:val="24"/>
        </w:rPr>
        <w:t>VËREN</w:t>
      </w:r>
      <w:r w:rsidR="00BD48E1">
        <w:rPr>
          <w:rFonts w:ascii="Garamond" w:hAnsi="Garamond" w:cs="Times New Roman"/>
          <w:bCs/>
          <w:color w:val="000000"/>
          <w:sz w:val="24"/>
          <w:szCs w:val="24"/>
        </w:rPr>
        <w:t xml:space="preserve">: </w:t>
      </w:r>
    </w:p>
    <w:p w14:paraId="0E69C343" w14:textId="77777777" w:rsidR="00BD48E1" w:rsidRPr="009955AA" w:rsidRDefault="00BD48E1" w:rsidP="003E6A29">
      <w:pPr>
        <w:autoSpaceDE w:val="0"/>
        <w:autoSpaceDN w:val="0"/>
        <w:adjustRightInd w:val="0"/>
        <w:spacing w:after="0" w:line="240" w:lineRule="auto"/>
        <w:ind w:firstLine="284"/>
        <w:jc w:val="center"/>
        <w:rPr>
          <w:rFonts w:ascii="Garamond" w:hAnsi="Garamond" w:cs="Times New Roman"/>
          <w:bCs/>
          <w:color w:val="000000"/>
          <w:sz w:val="24"/>
          <w:szCs w:val="24"/>
        </w:rPr>
      </w:pPr>
    </w:p>
    <w:p w14:paraId="7EBB161F" w14:textId="77777777" w:rsidR="003E6A29" w:rsidRPr="009955AA" w:rsidRDefault="003E6A29" w:rsidP="003E6A29">
      <w:pPr>
        <w:autoSpaceDE w:val="0"/>
        <w:autoSpaceDN w:val="0"/>
        <w:adjustRightInd w:val="0"/>
        <w:spacing w:after="0" w:line="240" w:lineRule="auto"/>
        <w:ind w:firstLine="284"/>
        <w:jc w:val="center"/>
        <w:rPr>
          <w:rFonts w:ascii="Garamond" w:hAnsi="Garamond" w:cs="Times New Roman"/>
          <w:bCs/>
          <w:color w:val="000000"/>
          <w:sz w:val="24"/>
          <w:szCs w:val="24"/>
        </w:rPr>
      </w:pPr>
      <w:r w:rsidRPr="009955AA">
        <w:rPr>
          <w:rFonts w:ascii="Garamond" w:hAnsi="Garamond" w:cs="Times New Roman"/>
          <w:bCs/>
          <w:color w:val="000000"/>
          <w:sz w:val="24"/>
          <w:szCs w:val="24"/>
        </w:rPr>
        <w:t>I</w:t>
      </w:r>
    </w:p>
    <w:p w14:paraId="6A4CB18C" w14:textId="77777777" w:rsidR="003E6A29" w:rsidRPr="009955AA" w:rsidRDefault="003E6A29" w:rsidP="003E6A29">
      <w:pPr>
        <w:autoSpaceDE w:val="0"/>
        <w:autoSpaceDN w:val="0"/>
        <w:adjustRightInd w:val="0"/>
        <w:spacing w:after="0" w:line="240" w:lineRule="auto"/>
        <w:ind w:firstLine="284"/>
        <w:jc w:val="center"/>
        <w:rPr>
          <w:rFonts w:ascii="Garamond" w:hAnsi="Garamond" w:cs="Times New Roman"/>
          <w:b/>
          <w:bCs/>
          <w:color w:val="000000"/>
          <w:sz w:val="24"/>
          <w:szCs w:val="24"/>
        </w:rPr>
      </w:pPr>
      <w:r w:rsidRPr="009955AA">
        <w:rPr>
          <w:rFonts w:ascii="Garamond" w:hAnsi="Garamond" w:cs="Times New Roman"/>
          <w:b/>
          <w:bCs/>
          <w:color w:val="000000"/>
          <w:sz w:val="24"/>
          <w:szCs w:val="24"/>
        </w:rPr>
        <w:t>Rrethanat e çështjes</w:t>
      </w:r>
    </w:p>
    <w:p w14:paraId="1B4445AB" w14:textId="77777777" w:rsidR="00CC2D26" w:rsidRPr="009955AA" w:rsidRDefault="00CC2D26" w:rsidP="003E6A29">
      <w:pPr>
        <w:autoSpaceDE w:val="0"/>
        <w:autoSpaceDN w:val="0"/>
        <w:adjustRightInd w:val="0"/>
        <w:spacing w:after="0" w:line="240" w:lineRule="auto"/>
        <w:ind w:firstLine="284"/>
        <w:jc w:val="center"/>
        <w:rPr>
          <w:rFonts w:ascii="Garamond" w:hAnsi="Garamond" w:cs="Times New Roman"/>
          <w:b/>
          <w:bCs/>
          <w:color w:val="000000"/>
          <w:sz w:val="24"/>
          <w:szCs w:val="24"/>
        </w:rPr>
      </w:pPr>
    </w:p>
    <w:p w14:paraId="253163A0" w14:textId="31DA4AFC"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1.</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Prokuroria pranë Gjykatës së Rrethit Gjyqësor Fier në vitin 2015 ka regjistruar procedimin penal në ngarkim të kërkuesit</w:t>
      </w:r>
      <w:r w:rsidRPr="009955AA">
        <w:rPr>
          <w:rFonts w:ascii="Garamond" w:hAnsi="Garamond" w:cs="Times New Roman"/>
          <w:i/>
          <w:iCs/>
          <w:color w:val="000000"/>
          <w:sz w:val="24"/>
          <w:szCs w:val="24"/>
        </w:rPr>
        <w:t xml:space="preserve">. </w:t>
      </w:r>
      <w:r w:rsidRPr="009955AA">
        <w:rPr>
          <w:rFonts w:ascii="Garamond" w:hAnsi="Garamond" w:cs="Times New Roman"/>
          <w:color w:val="000000"/>
          <w:sz w:val="24"/>
          <w:szCs w:val="24"/>
        </w:rPr>
        <w:t xml:space="preserve">Në përfundim të hetimeve prokuroria e ka akuzuar kërkuesin për kryerjen e veprave penale “Vrasja në rrethana të tjera cilësuese”, e mbetur në tentativë, “Prishja e qetësisë publike”, “Prodhimi dhe mbajtja pa leje e armëve luftarake dhe municionit”, të parashikuara respektivisht nga nenet 79, shkronja “dh”, 274 dhe 278, paragrafi i 5-të, të Kodit Penal </w:t>
      </w:r>
      <w:r w:rsidRPr="009955AA">
        <w:rPr>
          <w:rFonts w:ascii="Garamond" w:hAnsi="Garamond" w:cs="Times New Roman"/>
          <w:i/>
          <w:iCs/>
          <w:color w:val="000000"/>
          <w:sz w:val="24"/>
          <w:szCs w:val="24"/>
        </w:rPr>
        <w:t>(</w:t>
      </w:r>
      <w:proofErr w:type="spellStart"/>
      <w:r w:rsidRPr="009955AA">
        <w:rPr>
          <w:rFonts w:ascii="Garamond" w:hAnsi="Garamond" w:cs="Times New Roman"/>
          <w:i/>
          <w:iCs/>
          <w:color w:val="000000"/>
          <w:sz w:val="24"/>
          <w:szCs w:val="24"/>
        </w:rPr>
        <w:t>KP</w:t>
      </w:r>
      <w:proofErr w:type="spellEnd"/>
      <w:r w:rsidRPr="009955AA">
        <w:rPr>
          <w:rFonts w:ascii="Garamond" w:hAnsi="Garamond" w:cs="Times New Roman"/>
          <w:i/>
          <w:iCs/>
          <w:color w:val="000000"/>
          <w:sz w:val="24"/>
          <w:szCs w:val="24"/>
        </w:rPr>
        <w:t>).</w:t>
      </w:r>
      <w:r w:rsidRPr="009955AA">
        <w:rPr>
          <w:rFonts w:ascii="Garamond" w:hAnsi="Garamond" w:cs="Times New Roman"/>
          <w:color w:val="000000"/>
          <w:sz w:val="24"/>
          <w:szCs w:val="24"/>
        </w:rPr>
        <w:t xml:space="preserve"> Prokuroria pranë Gjykatës së Shkallës së Parë Fier ka kërkuar ekzaminimin </w:t>
      </w:r>
      <w:proofErr w:type="spellStart"/>
      <w:r w:rsidRPr="009955AA">
        <w:rPr>
          <w:rFonts w:ascii="Garamond" w:hAnsi="Garamond" w:cs="Times New Roman"/>
          <w:color w:val="000000"/>
          <w:sz w:val="24"/>
          <w:szCs w:val="24"/>
        </w:rPr>
        <w:t>psikoligjor</w:t>
      </w:r>
      <w:proofErr w:type="spellEnd"/>
      <w:r w:rsidRPr="009955AA">
        <w:rPr>
          <w:rFonts w:ascii="Garamond" w:hAnsi="Garamond" w:cs="Times New Roman"/>
          <w:color w:val="000000"/>
          <w:sz w:val="24"/>
          <w:szCs w:val="24"/>
        </w:rPr>
        <w:t xml:space="preserve"> të kërkuesit, nga i cili ka rezultuar se kërkuesi vuan nga çrregullimi i ankthit.</w:t>
      </w:r>
    </w:p>
    <w:p w14:paraId="72C7B4EF" w14:textId="6133BE36" w:rsidR="003E6A29" w:rsidRPr="009955AA" w:rsidRDefault="003E6A29" w:rsidP="003E6A29">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9955AA">
        <w:rPr>
          <w:rFonts w:ascii="Garamond" w:hAnsi="Garamond" w:cs="Times New Roman"/>
          <w:color w:val="000000"/>
          <w:sz w:val="24"/>
          <w:szCs w:val="24"/>
        </w:rPr>
        <w:t>2.</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Pas gjykimit të çështjes sipas procedurës së gjykimit të zakonshëm, Gjykata e Rrethit Gjyqësor Fier, me vendimin nr. 62-2016-5393/885, datë 12.12.2016,</w:t>
      </w:r>
      <w:r w:rsidRPr="009955AA">
        <w:rPr>
          <w:rFonts w:ascii="Garamond" w:hAnsi="Garamond" w:cs="Times New Roman"/>
          <w:b/>
          <w:bCs/>
          <w:color w:val="000000"/>
          <w:sz w:val="24"/>
          <w:szCs w:val="24"/>
        </w:rPr>
        <w:t xml:space="preserve"> </w:t>
      </w:r>
      <w:r w:rsidRPr="009955AA">
        <w:rPr>
          <w:rFonts w:ascii="Garamond" w:hAnsi="Garamond" w:cs="Times New Roman"/>
          <w:color w:val="000000"/>
          <w:sz w:val="24"/>
          <w:szCs w:val="24"/>
        </w:rPr>
        <w:t xml:space="preserve">ka vendosur deklarimin fajtor të kërkuesit për kryerjen e veprës penale “Vrasja në rrethana cilësuese”, të mbetur në tentativë, të parashikuar nga nenet 79, shkronja “dh” dhe 22 të </w:t>
      </w:r>
      <w:proofErr w:type="spellStart"/>
      <w:r w:rsidRPr="009955AA">
        <w:rPr>
          <w:rFonts w:ascii="Garamond" w:hAnsi="Garamond" w:cs="Times New Roman"/>
          <w:color w:val="000000"/>
          <w:sz w:val="24"/>
          <w:szCs w:val="24"/>
        </w:rPr>
        <w:t>KP</w:t>
      </w:r>
      <w:proofErr w:type="spellEnd"/>
      <w:r w:rsidRPr="009955AA">
        <w:rPr>
          <w:rFonts w:ascii="Garamond" w:hAnsi="Garamond" w:cs="Times New Roman"/>
          <w:color w:val="000000"/>
          <w:sz w:val="24"/>
          <w:szCs w:val="24"/>
        </w:rPr>
        <w:t xml:space="preserve">-së dhe dënimin e tij me 20 (njëzet) vjet burgim; deklarimin fajtor për veprën penale “Mbajtja pa leje të armës luftarake”, të parashikuar nga neni 278, paragrafi i 5-të, i </w:t>
      </w:r>
      <w:proofErr w:type="spellStart"/>
      <w:r w:rsidRPr="009955AA">
        <w:rPr>
          <w:rFonts w:ascii="Garamond" w:hAnsi="Garamond" w:cs="Times New Roman"/>
          <w:color w:val="000000"/>
          <w:sz w:val="24"/>
          <w:szCs w:val="24"/>
        </w:rPr>
        <w:t>KP</w:t>
      </w:r>
      <w:proofErr w:type="spellEnd"/>
      <w:r w:rsidRPr="009955AA">
        <w:rPr>
          <w:rFonts w:ascii="Garamond" w:hAnsi="Garamond" w:cs="Times New Roman"/>
          <w:color w:val="000000"/>
          <w:sz w:val="24"/>
          <w:szCs w:val="24"/>
        </w:rPr>
        <w:t xml:space="preserve">-së (neni 278, paragrafi 2, përpara ndryshimeve të tij me ligjin nr. 144/2013) dhe dënimin e tij me 2 (dy) vjet burgim; deklarimin fajtor për veprën penale “Prishja e qetësisë publike”, të </w:t>
      </w:r>
      <w:r w:rsidRPr="009955AA">
        <w:rPr>
          <w:rFonts w:ascii="Garamond" w:hAnsi="Garamond" w:cs="Times New Roman"/>
          <w:color w:val="000000"/>
          <w:sz w:val="24"/>
          <w:szCs w:val="24"/>
        </w:rPr>
        <w:lastRenderedPageBreak/>
        <w:t xml:space="preserve">parashikuar nga neni 274 i </w:t>
      </w:r>
      <w:proofErr w:type="spellStart"/>
      <w:r w:rsidRPr="009955AA">
        <w:rPr>
          <w:rFonts w:ascii="Garamond" w:hAnsi="Garamond" w:cs="Times New Roman"/>
          <w:color w:val="000000"/>
          <w:sz w:val="24"/>
          <w:szCs w:val="24"/>
        </w:rPr>
        <w:t>KP</w:t>
      </w:r>
      <w:proofErr w:type="spellEnd"/>
      <w:r w:rsidRPr="009955AA">
        <w:rPr>
          <w:rFonts w:ascii="Garamond" w:hAnsi="Garamond" w:cs="Times New Roman"/>
          <w:color w:val="000000"/>
          <w:sz w:val="24"/>
          <w:szCs w:val="24"/>
        </w:rPr>
        <w:t>-së</w:t>
      </w:r>
      <w:r w:rsidR="00190038">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dhe dënimin e tij me 3 (tre) muaj burgim. Në bazë të nenit 55 të </w:t>
      </w:r>
      <w:proofErr w:type="spellStart"/>
      <w:r w:rsidRPr="009955AA">
        <w:rPr>
          <w:rFonts w:ascii="Garamond" w:hAnsi="Garamond" w:cs="Times New Roman"/>
          <w:color w:val="000000"/>
          <w:sz w:val="24"/>
          <w:szCs w:val="24"/>
        </w:rPr>
        <w:t>KP</w:t>
      </w:r>
      <w:proofErr w:type="spellEnd"/>
      <w:r w:rsidRPr="009955AA">
        <w:rPr>
          <w:rFonts w:ascii="Garamond" w:hAnsi="Garamond" w:cs="Times New Roman"/>
          <w:color w:val="000000"/>
          <w:sz w:val="24"/>
          <w:szCs w:val="24"/>
        </w:rPr>
        <w:t xml:space="preserve">-së, kërkuesi përfundimisht është dënuar me 21 vjet burgim dhe vuajtja e dënimit fillon nga data 10.1.2015, që është data e arrestimit në flagrancë. </w:t>
      </w:r>
    </w:p>
    <w:p w14:paraId="72751D6C" w14:textId="68A80A8D"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3.</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Mbi ankimin e kërkuesit dhe </w:t>
      </w:r>
      <w:proofErr w:type="spellStart"/>
      <w:r w:rsidRPr="009955AA">
        <w:rPr>
          <w:rFonts w:ascii="Garamond" w:hAnsi="Garamond" w:cs="Times New Roman"/>
          <w:color w:val="000000"/>
          <w:sz w:val="24"/>
          <w:szCs w:val="24"/>
        </w:rPr>
        <w:t>kundërankimin</w:t>
      </w:r>
      <w:proofErr w:type="spellEnd"/>
      <w:r w:rsidRPr="009955AA">
        <w:rPr>
          <w:rFonts w:ascii="Garamond" w:hAnsi="Garamond" w:cs="Times New Roman"/>
          <w:color w:val="000000"/>
          <w:sz w:val="24"/>
          <w:szCs w:val="24"/>
        </w:rPr>
        <w:t xml:space="preserve"> e Prokurorisë pranë Gjykatës së Rrethit Gjyqësor Fier, Gjykata e Apelit Vlorë, me vendimin nr. 518, datë 6.7.2017,</w:t>
      </w:r>
      <w:r w:rsidRPr="009955AA">
        <w:rPr>
          <w:rFonts w:ascii="Garamond" w:hAnsi="Garamond" w:cs="Times New Roman"/>
          <w:b/>
          <w:bCs/>
          <w:color w:val="000000"/>
          <w:sz w:val="24"/>
          <w:szCs w:val="24"/>
        </w:rPr>
        <w:t xml:space="preserve"> </w:t>
      </w:r>
      <w:r w:rsidRPr="009955AA">
        <w:rPr>
          <w:rFonts w:ascii="Garamond" w:hAnsi="Garamond" w:cs="Times New Roman"/>
          <w:color w:val="000000"/>
          <w:sz w:val="24"/>
          <w:szCs w:val="24"/>
        </w:rPr>
        <w:t>ka vendosur</w:t>
      </w:r>
      <w:r w:rsidRPr="009955AA">
        <w:rPr>
          <w:rFonts w:ascii="Garamond" w:hAnsi="Garamond" w:cs="Times New Roman"/>
          <w:b/>
          <w:bCs/>
          <w:color w:val="000000"/>
          <w:sz w:val="24"/>
          <w:szCs w:val="24"/>
        </w:rPr>
        <w:t xml:space="preserve"> </w:t>
      </w:r>
      <w:r w:rsidRPr="009955AA">
        <w:rPr>
          <w:rFonts w:ascii="Garamond" w:hAnsi="Garamond" w:cs="Times New Roman"/>
          <w:color w:val="000000"/>
          <w:sz w:val="24"/>
          <w:szCs w:val="24"/>
        </w:rPr>
        <w:t>lënien në fuqi të vendimit nr. 62-2016-5393/885, datë 12.12.2016</w:t>
      </w:r>
      <w:r w:rsidR="00190038">
        <w:rPr>
          <w:rFonts w:ascii="Garamond" w:hAnsi="Garamond" w:cs="Times New Roman"/>
          <w:color w:val="000000"/>
          <w:sz w:val="24"/>
          <w:szCs w:val="24"/>
        </w:rPr>
        <w:t>,</w:t>
      </w:r>
      <w:r w:rsidRPr="009955AA">
        <w:rPr>
          <w:rFonts w:ascii="Garamond" w:hAnsi="Garamond" w:cs="Times New Roman"/>
          <w:color w:val="000000"/>
          <w:sz w:val="24"/>
          <w:szCs w:val="24"/>
        </w:rPr>
        <w:t xml:space="preserve"> të Gjykatës së Rrethit Gjyqësor Fier, për pjesën që ka deklaruar kërkuesin fajtor për kryerjen e veprës penale të vrasjes në rrethana cilësuese të mbetur në tentativë, të parashikuar nga nenet 79, shkronja “dh” dhe 22 të </w:t>
      </w:r>
      <w:proofErr w:type="spellStart"/>
      <w:r w:rsidRPr="009955AA">
        <w:rPr>
          <w:rFonts w:ascii="Garamond" w:hAnsi="Garamond" w:cs="Times New Roman"/>
          <w:color w:val="000000"/>
          <w:sz w:val="24"/>
          <w:szCs w:val="24"/>
        </w:rPr>
        <w:t>KP</w:t>
      </w:r>
      <w:proofErr w:type="spellEnd"/>
      <w:r w:rsidRPr="009955AA">
        <w:rPr>
          <w:rFonts w:ascii="Garamond" w:hAnsi="Garamond" w:cs="Times New Roman"/>
          <w:color w:val="000000"/>
          <w:sz w:val="24"/>
          <w:szCs w:val="24"/>
        </w:rPr>
        <w:t xml:space="preserve">-së, për </w:t>
      </w:r>
      <w:proofErr w:type="spellStart"/>
      <w:r w:rsidRPr="009955AA">
        <w:rPr>
          <w:rFonts w:ascii="Garamond" w:hAnsi="Garamond" w:cs="Times New Roman"/>
          <w:color w:val="000000"/>
          <w:sz w:val="24"/>
          <w:szCs w:val="24"/>
        </w:rPr>
        <w:t>disponimin</w:t>
      </w:r>
      <w:proofErr w:type="spellEnd"/>
      <w:r w:rsidRPr="009955AA">
        <w:rPr>
          <w:rFonts w:ascii="Garamond" w:hAnsi="Garamond" w:cs="Times New Roman"/>
          <w:color w:val="000000"/>
          <w:sz w:val="24"/>
          <w:szCs w:val="24"/>
        </w:rPr>
        <w:t xml:space="preserve"> për provat materiale e shpenzimet gjyqësore, si dhe mënyrën e llogaritjes së dënimit. Prishjen e vendimit të mësipërm për pjesën që ka deklaruar kërkuesin fajtor për kryerjen e veprës penale të prishjes së qetësisë publike, të parashikuar nga neni 274 i </w:t>
      </w:r>
      <w:proofErr w:type="spellStart"/>
      <w:r w:rsidRPr="009955AA">
        <w:rPr>
          <w:rFonts w:ascii="Garamond" w:hAnsi="Garamond" w:cs="Times New Roman"/>
          <w:color w:val="000000"/>
          <w:sz w:val="24"/>
          <w:szCs w:val="24"/>
        </w:rPr>
        <w:t>KP</w:t>
      </w:r>
      <w:proofErr w:type="spellEnd"/>
      <w:r w:rsidRPr="009955AA">
        <w:rPr>
          <w:rFonts w:ascii="Garamond" w:hAnsi="Garamond" w:cs="Times New Roman"/>
          <w:color w:val="000000"/>
          <w:sz w:val="24"/>
          <w:szCs w:val="24"/>
        </w:rPr>
        <w:t>-së dhe pushimin e çështjes për këtë pjesë. Ndryshimin e vendimit të mësipërm për pjesën tjetër në këtë mënyrë:</w:t>
      </w:r>
      <w:r w:rsidR="00190038">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“Në bazë të neneve 79, shkronja “dh” dhe 22 të </w:t>
      </w:r>
      <w:proofErr w:type="spellStart"/>
      <w:r w:rsidRPr="009955AA">
        <w:rPr>
          <w:rFonts w:ascii="Garamond" w:hAnsi="Garamond" w:cs="Times New Roman"/>
          <w:color w:val="000000"/>
          <w:sz w:val="24"/>
          <w:szCs w:val="24"/>
        </w:rPr>
        <w:t>KP</w:t>
      </w:r>
      <w:proofErr w:type="spellEnd"/>
      <w:r w:rsidRPr="009955AA">
        <w:rPr>
          <w:rFonts w:ascii="Garamond" w:hAnsi="Garamond" w:cs="Times New Roman"/>
          <w:color w:val="000000"/>
          <w:sz w:val="24"/>
          <w:szCs w:val="24"/>
        </w:rPr>
        <w:t xml:space="preserve">-së dënimin e kërkuesit me 15 vjet burgim; deklarimin fajtor për kryerjen e veprës penale të mbajtjes pa leje të armëve luftarake, të parashikuar nga neni 278, paragrafi 3, i </w:t>
      </w:r>
      <w:proofErr w:type="spellStart"/>
      <w:r w:rsidRPr="009955AA">
        <w:rPr>
          <w:rFonts w:ascii="Garamond" w:hAnsi="Garamond" w:cs="Times New Roman"/>
          <w:color w:val="000000"/>
          <w:sz w:val="24"/>
          <w:szCs w:val="24"/>
        </w:rPr>
        <w:t>KP</w:t>
      </w:r>
      <w:proofErr w:type="spellEnd"/>
      <w:r w:rsidRPr="009955AA">
        <w:rPr>
          <w:rFonts w:ascii="Garamond" w:hAnsi="Garamond" w:cs="Times New Roman"/>
          <w:color w:val="000000"/>
          <w:sz w:val="24"/>
          <w:szCs w:val="24"/>
        </w:rPr>
        <w:t xml:space="preserve">-së; dënimin e tij me 2 (dy) vjet burgim. Në aplikim të nenit 55 të </w:t>
      </w:r>
      <w:proofErr w:type="spellStart"/>
      <w:r w:rsidRPr="009955AA">
        <w:rPr>
          <w:rFonts w:ascii="Garamond" w:hAnsi="Garamond" w:cs="Times New Roman"/>
          <w:color w:val="000000"/>
          <w:sz w:val="24"/>
          <w:szCs w:val="24"/>
        </w:rPr>
        <w:t>KP</w:t>
      </w:r>
      <w:proofErr w:type="spellEnd"/>
      <w:r w:rsidRPr="009955AA">
        <w:rPr>
          <w:rFonts w:ascii="Garamond" w:hAnsi="Garamond" w:cs="Times New Roman"/>
          <w:color w:val="000000"/>
          <w:sz w:val="24"/>
          <w:szCs w:val="24"/>
        </w:rPr>
        <w:t>-së, në bashkim të dënimeve, kërkuesi është dënuar përfundimisht me 16 vjet (gjashtëmbëdhjetë) burgim.</w:t>
      </w:r>
    </w:p>
    <w:p w14:paraId="11F6A7F5" w14:textId="32F6CA5F"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4.</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Kundër vendimit të Gjykatës së Apelit Vlorë kanë ushtruar rekurs kërkuesi nëpërmjet avokatit </w:t>
      </w:r>
      <w:proofErr w:type="spellStart"/>
      <w:r w:rsidRPr="009955AA">
        <w:rPr>
          <w:rFonts w:ascii="Garamond" w:hAnsi="Garamond" w:cs="Times New Roman"/>
          <w:color w:val="000000"/>
          <w:sz w:val="24"/>
          <w:szCs w:val="24"/>
        </w:rPr>
        <w:t>S.D</w:t>
      </w:r>
      <w:proofErr w:type="spellEnd"/>
      <w:r w:rsidRPr="009955AA">
        <w:rPr>
          <w:rFonts w:ascii="Garamond" w:hAnsi="Garamond" w:cs="Times New Roman"/>
          <w:color w:val="000000"/>
          <w:sz w:val="24"/>
          <w:szCs w:val="24"/>
        </w:rPr>
        <w:t xml:space="preserve">., të caktuar me prokurë nga nëna e kërkuesit, si dhe Prokuroria pranë Gjykatës së Apelit Vlorë. Kolegji Penal i Gjykatës së Lartë, me vendimin nr. 00-2023-574, datë 26.1.2023, ka vendosur mospranimin e rekursit të kërkuesit dhe të Prokurorisë pranë Gjykatës së Apelit Vlorë. Në lidhje me rekursin e kërkuesit, Kolegji Penal i Gjykatës së Lartë ka arsyetuar se ai është paraqitur nga një avokat i </w:t>
      </w:r>
      <w:proofErr w:type="spellStart"/>
      <w:r w:rsidRPr="009955AA">
        <w:rPr>
          <w:rFonts w:ascii="Garamond" w:hAnsi="Garamond" w:cs="Times New Roman"/>
          <w:color w:val="000000"/>
          <w:sz w:val="24"/>
          <w:szCs w:val="24"/>
        </w:rPr>
        <w:t>palegjitimuar</w:t>
      </w:r>
      <w:proofErr w:type="spellEnd"/>
      <w:r w:rsidRPr="009955AA">
        <w:rPr>
          <w:rFonts w:ascii="Garamond" w:hAnsi="Garamond" w:cs="Times New Roman"/>
          <w:color w:val="000000"/>
          <w:sz w:val="24"/>
          <w:szCs w:val="24"/>
        </w:rPr>
        <w:t xml:space="preserve"> për të ushtruar një të drejtë të tillë, në kushtet kur nuk është caktuar me prokurë nga kërkuesi, por nga nëna e tij, ndaj nuk legjitimohet për të ushtruar të drejtën e rekursit në emër e për llogari të kërkuesit. Po ashtu, ai kolegj ka arsyetuar edhe se rekursi i kërkuesit nuk përmbante shkaqe nga ato të parashikuara në nenin 432 të Kodit të Procedurës Penale </w:t>
      </w:r>
      <w:r w:rsidRPr="009955AA">
        <w:rPr>
          <w:rFonts w:ascii="Garamond" w:hAnsi="Garamond" w:cs="Times New Roman"/>
          <w:i/>
          <w:iCs/>
          <w:color w:val="000000"/>
          <w:sz w:val="24"/>
          <w:szCs w:val="24"/>
        </w:rPr>
        <w:t>(</w:t>
      </w:r>
      <w:proofErr w:type="spellStart"/>
      <w:r w:rsidRPr="009955AA">
        <w:rPr>
          <w:rFonts w:ascii="Garamond" w:hAnsi="Garamond" w:cs="Times New Roman"/>
          <w:i/>
          <w:iCs/>
          <w:color w:val="000000"/>
          <w:sz w:val="24"/>
          <w:szCs w:val="24"/>
        </w:rPr>
        <w:t>KPP</w:t>
      </w:r>
      <w:proofErr w:type="spellEnd"/>
      <w:r w:rsidRPr="009955AA">
        <w:rPr>
          <w:rFonts w:ascii="Garamond" w:hAnsi="Garamond" w:cs="Times New Roman"/>
          <w:i/>
          <w:iCs/>
          <w:color w:val="000000"/>
          <w:sz w:val="24"/>
          <w:szCs w:val="24"/>
        </w:rPr>
        <w:t>).</w:t>
      </w:r>
    </w:p>
    <w:p w14:paraId="3E960EE3" w14:textId="0718CAA9"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5.</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Kërkuesi</w:t>
      </w:r>
      <w:r w:rsidR="00E41B73">
        <w:rPr>
          <w:rFonts w:ascii="Garamond" w:hAnsi="Garamond" w:cs="Times New Roman"/>
          <w:color w:val="000000"/>
          <w:sz w:val="24"/>
          <w:szCs w:val="24"/>
        </w:rPr>
        <w:t>,</w:t>
      </w:r>
      <w:r w:rsidRPr="009955AA">
        <w:rPr>
          <w:rFonts w:ascii="Garamond" w:hAnsi="Garamond" w:cs="Times New Roman"/>
          <w:color w:val="000000"/>
          <w:sz w:val="24"/>
          <w:szCs w:val="24"/>
        </w:rPr>
        <w:t xml:space="preserve"> </w:t>
      </w:r>
      <w:r w:rsidR="00E41B73">
        <w:rPr>
          <w:rFonts w:ascii="Garamond" w:hAnsi="Garamond" w:cs="Times New Roman"/>
          <w:color w:val="000000"/>
          <w:sz w:val="24"/>
          <w:szCs w:val="24"/>
        </w:rPr>
        <w:t>m</w:t>
      </w:r>
      <w:r w:rsidRPr="009955AA">
        <w:rPr>
          <w:rFonts w:ascii="Garamond" w:hAnsi="Garamond" w:cs="Times New Roman"/>
          <w:color w:val="000000"/>
          <w:sz w:val="24"/>
          <w:szCs w:val="24"/>
        </w:rPr>
        <w:t>ë datë 24.5.2023, nëpërmjet shërbimit postar, i është drejtuar Gjykatës Kushtetuese (</w:t>
      </w:r>
      <w:r w:rsidRPr="009955AA">
        <w:rPr>
          <w:rFonts w:ascii="Garamond" w:hAnsi="Garamond" w:cs="Times New Roman"/>
          <w:i/>
          <w:iCs/>
          <w:color w:val="000000"/>
          <w:sz w:val="24"/>
          <w:szCs w:val="24"/>
        </w:rPr>
        <w:t>Gjykata</w:t>
      </w:r>
      <w:r w:rsidRPr="009955AA">
        <w:rPr>
          <w:rFonts w:ascii="Garamond" w:hAnsi="Garamond" w:cs="Times New Roman"/>
          <w:color w:val="000000"/>
          <w:sz w:val="24"/>
          <w:szCs w:val="24"/>
        </w:rPr>
        <w:t xml:space="preserve">) me ankim kushtetues individual, sipas objektit, i cili pas plotësimit të dokumenteve është regjistruar përfundimisht </w:t>
      </w:r>
      <w:r w:rsidR="00E41B73">
        <w:rPr>
          <w:rFonts w:ascii="Garamond" w:hAnsi="Garamond" w:cs="Times New Roman"/>
          <w:color w:val="000000"/>
          <w:sz w:val="24"/>
          <w:szCs w:val="24"/>
        </w:rPr>
        <w:t>m</w:t>
      </w:r>
      <w:r w:rsidRPr="009955AA">
        <w:rPr>
          <w:rFonts w:ascii="Garamond" w:hAnsi="Garamond" w:cs="Times New Roman"/>
          <w:color w:val="000000"/>
          <w:sz w:val="24"/>
          <w:szCs w:val="24"/>
        </w:rPr>
        <w:t xml:space="preserve">ë datë 9.6.2023. Kolegji i Gjykatës </w:t>
      </w:r>
      <w:r w:rsidR="00E41B73">
        <w:rPr>
          <w:rFonts w:ascii="Garamond" w:hAnsi="Garamond" w:cs="Times New Roman"/>
          <w:color w:val="000000"/>
          <w:sz w:val="24"/>
          <w:szCs w:val="24"/>
        </w:rPr>
        <w:t>m</w:t>
      </w:r>
      <w:r w:rsidRPr="009955AA">
        <w:rPr>
          <w:rFonts w:ascii="Garamond" w:hAnsi="Garamond" w:cs="Times New Roman"/>
          <w:color w:val="000000"/>
          <w:sz w:val="24"/>
          <w:szCs w:val="24"/>
        </w:rPr>
        <w:t>ë datë 12.7.2023 ka vendosur kalimin e çështjes për shqyrtim në seancë plenare mbi bazë të dokumenteve.</w:t>
      </w:r>
    </w:p>
    <w:p w14:paraId="1DC5ECBD"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4D17D312" w14:textId="77777777" w:rsidR="003E6A29" w:rsidRPr="009955AA" w:rsidRDefault="003E6A29" w:rsidP="003E6A29">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proofErr w:type="spellStart"/>
      <w:r w:rsidRPr="009955AA">
        <w:rPr>
          <w:rFonts w:ascii="Garamond" w:hAnsi="Garamond" w:cs="Times New Roman"/>
          <w:bCs/>
          <w:color w:val="000000"/>
          <w:sz w:val="24"/>
          <w:szCs w:val="24"/>
        </w:rPr>
        <w:t>II</w:t>
      </w:r>
      <w:proofErr w:type="spellEnd"/>
    </w:p>
    <w:p w14:paraId="26092D29" w14:textId="77777777" w:rsidR="003E6A29" w:rsidRPr="009955AA" w:rsidRDefault="003E6A29" w:rsidP="003E6A29">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9955AA">
        <w:rPr>
          <w:rFonts w:ascii="Garamond" w:hAnsi="Garamond" w:cs="Times New Roman"/>
          <w:b/>
          <w:bCs/>
          <w:color w:val="000000"/>
          <w:sz w:val="24"/>
          <w:szCs w:val="24"/>
        </w:rPr>
        <w:t>Pretendimet në Gjykatën Kushtetuese</w:t>
      </w:r>
    </w:p>
    <w:p w14:paraId="49164CA5" w14:textId="77777777" w:rsidR="00CC2D26" w:rsidRPr="009955AA" w:rsidRDefault="00CC2D26" w:rsidP="003E6A29">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7872C1B"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b/>
          <w:bCs/>
          <w:i/>
          <w:iCs/>
          <w:color w:val="000000"/>
          <w:sz w:val="24"/>
          <w:szCs w:val="24"/>
        </w:rPr>
        <w:t>6.</w:t>
      </w:r>
      <w:r w:rsidR="00CC2D26" w:rsidRPr="009955AA">
        <w:rPr>
          <w:rFonts w:ascii="Garamond" w:hAnsi="Garamond" w:cs="Times New Roman"/>
          <w:b/>
          <w:bCs/>
          <w:i/>
          <w:iCs/>
          <w:color w:val="000000"/>
          <w:sz w:val="24"/>
          <w:szCs w:val="24"/>
        </w:rPr>
        <w:t xml:space="preserve"> </w:t>
      </w:r>
      <w:r w:rsidRPr="009955AA">
        <w:rPr>
          <w:rFonts w:ascii="Garamond" w:hAnsi="Garamond" w:cs="Times New Roman"/>
          <w:b/>
          <w:bCs/>
          <w:i/>
          <w:iCs/>
          <w:color w:val="000000"/>
          <w:sz w:val="24"/>
          <w:szCs w:val="24"/>
        </w:rPr>
        <w:t>Kërkuesi,</w:t>
      </w:r>
      <w:r w:rsidRPr="009955AA">
        <w:rPr>
          <w:rFonts w:ascii="Garamond" w:hAnsi="Garamond" w:cs="Times New Roman"/>
          <w:b/>
          <w:bCs/>
          <w:color w:val="000000"/>
          <w:sz w:val="24"/>
          <w:szCs w:val="24"/>
        </w:rPr>
        <w:t xml:space="preserve"> </w:t>
      </w:r>
      <w:r w:rsidRPr="009955AA">
        <w:rPr>
          <w:rFonts w:ascii="Garamond" w:hAnsi="Garamond" w:cs="Times New Roman"/>
          <w:color w:val="000000"/>
          <w:sz w:val="24"/>
          <w:szCs w:val="24"/>
        </w:rPr>
        <w:t>në mënyrë të përmbledhur, ka pretenduar se i është cenuar e drejta për proces të rregullt, në drejtim të:</w:t>
      </w:r>
    </w:p>
    <w:p w14:paraId="17B403AB" w14:textId="5F04149B" w:rsidR="003E6A29" w:rsidRPr="009955AA" w:rsidRDefault="003E6A29" w:rsidP="003E6A29">
      <w:pPr>
        <w:tabs>
          <w:tab w:val="left" w:pos="1160"/>
        </w:tabs>
        <w:autoSpaceDE w:val="0"/>
        <w:autoSpaceDN w:val="0"/>
        <w:adjustRightInd w:val="0"/>
        <w:spacing w:after="0" w:line="240" w:lineRule="auto"/>
        <w:ind w:firstLine="284"/>
        <w:jc w:val="both"/>
        <w:rPr>
          <w:rFonts w:ascii="Garamond" w:hAnsi="Garamond" w:cs="Arial Narrow"/>
          <w:color w:val="000000"/>
          <w:sz w:val="24"/>
          <w:szCs w:val="24"/>
        </w:rPr>
      </w:pPr>
      <w:r w:rsidRPr="009955AA">
        <w:rPr>
          <w:rFonts w:ascii="Garamond" w:hAnsi="Garamond" w:cs="Times New Roman"/>
          <w:color w:val="000000"/>
          <w:sz w:val="24"/>
          <w:szCs w:val="24"/>
        </w:rPr>
        <w:t>6.1</w:t>
      </w:r>
      <w:r w:rsidR="00190038">
        <w:rPr>
          <w:rFonts w:ascii="Garamond" w:hAnsi="Garamond" w:cs="Times New Roman"/>
          <w:color w:val="000000"/>
          <w:sz w:val="24"/>
          <w:szCs w:val="24"/>
        </w:rPr>
        <w:t xml:space="preserve"> </w:t>
      </w:r>
      <w:r w:rsidRPr="009955AA">
        <w:rPr>
          <w:rFonts w:ascii="Garamond" w:hAnsi="Garamond" w:cs="Times New Roman"/>
          <w:i/>
          <w:iCs/>
          <w:color w:val="000000"/>
          <w:sz w:val="24"/>
          <w:szCs w:val="24"/>
        </w:rPr>
        <w:t>Së drejtës për ankim efektiv</w:t>
      </w:r>
      <w:r w:rsidRPr="009955AA">
        <w:rPr>
          <w:rFonts w:ascii="Garamond" w:hAnsi="Garamond" w:cs="Times New Roman"/>
          <w:color w:val="000000"/>
          <w:sz w:val="24"/>
          <w:szCs w:val="24"/>
        </w:rPr>
        <w:t xml:space="preserve">, pasi Kolegji Penal i Gjykatë së Lartë në mënyrë të gabuar nuk ka legjitimuar mbrojtësin e caktuar nga familjarët. Kolegji Penal i Gjykatës së Lartë i është referuar vendimit </w:t>
      </w:r>
      <w:proofErr w:type="spellStart"/>
      <w:r w:rsidRPr="009955AA">
        <w:rPr>
          <w:rFonts w:ascii="Garamond" w:hAnsi="Garamond" w:cs="Times New Roman"/>
          <w:color w:val="000000"/>
          <w:sz w:val="24"/>
          <w:szCs w:val="24"/>
        </w:rPr>
        <w:t>unifikues</w:t>
      </w:r>
      <w:proofErr w:type="spellEnd"/>
      <w:r w:rsidRPr="009955AA">
        <w:rPr>
          <w:rFonts w:ascii="Garamond" w:hAnsi="Garamond" w:cs="Times New Roman"/>
          <w:color w:val="000000"/>
          <w:sz w:val="24"/>
          <w:szCs w:val="24"/>
        </w:rPr>
        <w:t xml:space="preserve"> nr.</w:t>
      </w:r>
      <w:r w:rsidR="00BD48E1">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1, datë 10.3.2014 të Gjykatës së Lartë dhe vendimeve të Gjykatës, sipas së cilave nuk pranohet ankimi i paraqitur nga mbrojtësi i caktuar nga familjarët e të pandehurit, kur ky i fundit është në mungesë. Vendimi </w:t>
      </w:r>
      <w:proofErr w:type="spellStart"/>
      <w:r w:rsidRPr="009955AA">
        <w:rPr>
          <w:rFonts w:ascii="Garamond" w:hAnsi="Garamond" w:cs="Times New Roman"/>
          <w:color w:val="000000"/>
          <w:sz w:val="24"/>
          <w:szCs w:val="24"/>
        </w:rPr>
        <w:t>unifikues</w:t>
      </w:r>
      <w:proofErr w:type="spellEnd"/>
      <w:r w:rsidRPr="009955AA">
        <w:rPr>
          <w:rFonts w:ascii="Garamond" w:hAnsi="Garamond" w:cs="Times New Roman"/>
          <w:color w:val="000000"/>
          <w:sz w:val="24"/>
          <w:szCs w:val="24"/>
        </w:rPr>
        <w:t xml:space="preserve"> ku mbështetet Gjykata e Lartë nuk bën fjalë për mbrojtës të caktuar nga familjarët kur i pandehuri është arrestuar, hetuar e gjykuar në gjendje arresti. Kërkuesi nuk ka qenë asnjëherë në mungesë ose t’i jetë shmangur drejtësisë, por si gjatë hetimeve edhe gjykimit ka qenë me masë sigurie “Arresti në burg”. </w:t>
      </w:r>
    </w:p>
    <w:p w14:paraId="6FFD7456" w14:textId="3A975959" w:rsidR="003E6A29" w:rsidRPr="009955AA" w:rsidRDefault="003E6A29" w:rsidP="003E6A29">
      <w:pPr>
        <w:tabs>
          <w:tab w:val="left" w:pos="1160"/>
        </w:tabs>
        <w:autoSpaceDE w:val="0"/>
        <w:autoSpaceDN w:val="0"/>
        <w:adjustRightInd w:val="0"/>
        <w:spacing w:after="0" w:line="240" w:lineRule="auto"/>
        <w:ind w:firstLine="284"/>
        <w:jc w:val="both"/>
        <w:rPr>
          <w:rFonts w:ascii="Garamond" w:hAnsi="Garamond" w:cs="Arial Narrow"/>
          <w:color w:val="000000"/>
          <w:sz w:val="24"/>
          <w:szCs w:val="24"/>
        </w:rPr>
      </w:pPr>
      <w:r w:rsidRPr="009955AA">
        <w:rPr>
          <w:rFonts w:ascii="Garamond" w:hAnsi="Garamond" w:cs="Times New Roman"/>
          <w:color w:val="000000"/>
          <w:sz w:val="24"/>
          <w:szCs w:val="24"/>
        </w:rPr>
        <w:t>6.2</w:t>
      </w:r>
      <w:r w:rsidR="00190038">
        <w:rPr>
          <w:rFonts w:ascii="Garamond" w:hAnsi="Garamond" w:cs="Times New Roman"/>
          <w:color w:val="000000"/>
          <w:sz w:val="24"/>
          <w:szCs w:val="24"/>
        </w:rPr>
        <w:t xml:space="preserve"> </w:t>
      </w:r>
      <w:r w:rsidRPr="009955AA">
        <w:rPr>
          <w:rFonts w:ascii="Garamond" w:hAnsi="Garamond" w:cs="Times New Roman"/>
          <w:i/>
          <w:iCs/>
          <w:color w:val="000000"/>
          <w:sz w:val="24"/>
          <w:szCs w:val="24"/>
        </w:rPr>
        <w:t xml:space="preserve">Së drejtës për t’u mbrojtur </w:t>
      </w:r>
      <w:r w:rsidRPr="009955AA">
        <w:rPr>
          <w:rFonts w:ascii="Garamond" w:hAnsi="Garamond" w:cs="Times New Roman"/>
          <w:color w:val="000000"/>
          <w:sz w:val="24"/>
          <w:szCs w:val="24"/>
        </w:rPr>
        <w:t>gjatë gjykimit të çështjes në Gjykatën e Rrethit Gjyqësor Fier dhe në Gjykatën e Apelit Vlorë, pasi janë caktuar avokatë kryesisht, pa vënë në dijeni kërkuesin për mosparaqitjen e mbrojtësit të zgjedhur prej tij. Pretendimi i Gjykatës së Apelit Vlorë se dy avokatët e caktuar kryesisht ishin të përgatitur për të bërë mbrojtjen ligjore të kërkuesit, pasi ishin caktuar nga gjykata kohë më parë, nuk qëndron, sepse është provuar se dy avokatët nuk kanë marrë pjesë në asnjë seancë gjyqësore ndaj kërkuesit.</w:t>
      </w:r>
    </w:p>
    <w:p w14:paraId="6964F070" w14:textId="5B4B7968" w:rsidR="003E6A29" w:rsidRPr="009955AA" w:rsidRDefault="003E6A29" w:rsidP="003E6A29">
      <w:pPr>
        <w:tabs>
          <w:tab w:val="left" w:pos="1160"/>
        </w:tabs>
        <w:autoSpaceDE w:val="0"/>
        <w:autoSpaceDN w:val="0"/>
        <w:adjustRightInd w:val="0"/>
        <w:spacing w:after="0" w:line="240" w:lineRule="auto"/>
        <w:ind w:firstLine="284"/>
        <w:jc w:val="both"/>
        <w:rPr>
          <w:rFonts w:ascii="Garamond" w:hAnsi="Garamond" w:cs="Arial Narrow"/>
          <w:color w:val="000000"/>
          <w:sz w:val="24"/>
          <w:szCs w:val="24"/>
        </w:rPr>
      </w:pPr>
      <w:r w:rsidRPr="009955AA">
        <w:rPr>
          <w:rFonts w:ascii="Garamond" w:hAnsi="Garamond" w:cs="Times New Roman"/>
          <w:color w:val="000000"/>
          <w:sz w:val="24"/>
          <w:szCs w:val="24"/>
        </w:rPr>
        <w:t>6.3</w:t>
      </w:r>
      <w:r w:rsidR="00190038">
        <w:rPr>
          <w:rFonts w:ascii="Garamond" w:hAnsi="Garamond" w:cs="Times New Roman"/>
          <w:color w:val="000000"/>
          <w:sz w:val="24"/>
          <w:szCs w:val="24"/>
        </w:rPr>
        <w:t xml:space="preserve"> </w:t>
      </w:r>
      <w:r w:rsidRPr="009955AA">
        <w:rPr>
          <w:rFonts w:ascii="Garamond" w:hAnsi="Garamond" w:cs="Times New Roman"/>
          <w:i/>
          <w:iCs/>
          <w:color w:val="000000"/>
          <w:sz w:val="24"/>
          <w:szCs w:val="24"/>
        </w:rPr>
        <w:t xml:space="preserve">Standardit të arsyetimit të vendimit gjyqësor, </w:t>
      </w:r>
      <w:r w:rsidRPr="009955AA">
        <w:rPr>
          <w:rFonts w:ascii="Garamond" w:hAnsi="Garamond" w:cs="Times New Roman"/>
          <w:color w:val="000000"/>
          <w:sz w:val="24"/>
          <w:szCs w:val="24"/>
        </w:rPr>
        <w:t xml:space="preserve">pasi vendimi i Gjykatës së Lartë është i paarsyetuar, antiligjor dhe i papajtueshëm me Kushtetutën. Kolegji Penal i Gjykatës së Lartë ka arsyetuar për </w:t>
      </w:r>
      <w:proofErr w:type="spellStart"/>
      <w:r w:rsidRPr="009955AA">
        <w:rPr>
          <w:rFonts w:ascii="Garamond" w:hAnsi="Garamond" w:cs="Times New Roman"/>
          <w:color w:val="000000"/>
          <w:sz w:val="24"/>
          <w:szCs w:val="24"/>
        </w:rPr>
        <w:t>moslegjitimimin</w:t>
      </w:r>
      <w:proofErr w:type="spellEnd"/>
      <w:r w:rsidRPr="009955AA">
        <w:rPr>
          <w:rFonts w:ascii="Garamond" w:hAnsi="Garamond" w:cs="Times New Roman"/>
          <w:color w:val="000000"/>
          <w:sz w:val="24"/>
          <w:szCs w:val="24"/>
        </w:rPr>
        <w:t xml:space="preserve"> e mbrojtësit të caktuar nga nëna e tij në kundërshtim me vendimet e Gjykatës dhe </w:t>
      </w:r>
      <w:r w:rsidRPr="009955AA">
        <w:rPr>
          <w:rFonts w:ascii="Garamond" w:hAnsi="Garamond" w:cs="Times New Roman"/>
          <w:color w:val="000000"/>
          <w:sz w:val="24"/>
          <w:szCs w:val="24"/>
        </w:rPr>
        <w:lastRenderedPageBreak/>
        <w:t xml:space="preserve">të Kolegjeve të Bashkuara të Gjykatës së Lartë. Pavarësisht këtij qëndrimi, Kolegji Penal është shprehur edhe se rekursi nuk përmbante shkaqet ligjore të parashikuara në nenin 432 të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-së.</w:t>
      </w:r>
    </w:p>
    <w:p w14:paraId="6068F9CA" w14:textId="69F4BC09"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b/>
          <w:bCs/>
          <w:i/>
          <w:iCs/>
          <w:color w:val="000000"/>
          <w:sz w:val="24"/>
          <w:szCs w:val="24"/>
        </w:rPr>
        <w:t>7.</w:t>
      </w:r>
      <w:r w:rsidR="00CC2D26" w:rsidRPr="009955AA">
        <w:rPr>
          <w:rFonts w:ascii="Garamond" w:hAnsi="Garamond" w:cs="Times New Roman"/>
          <w:b/>
          <w:bCs/>
          <w:i/>
          <w:iCs/>
          <w:color w:val="000000"/>
          <w:sz w:val="24"/>
          <w:szCs w:val="24"/>
        </w:rPr>
        <w:t xml:space="preserve"> </w:t>
      </w:r>
      <w:r w:rsidRPr="009955AA">
        <w:rPr>
          <w:rFonts w:ascii="Garamond" w:hAnsi="Garamond" w:cs="Times New Roman"/>
          <w:b/>
          <w:bCs/>
          <w:i/>
          <w:iCs/>
          <w:color w:val="000000"/>
          <w:sz w:val="24"/>
          <w:szCs w:val="24"/>
        </w:rPr>
        <w:t>Subjekti i interesuar, Prokuroria e Përgjithshme,</w:t>
      </w:r>
      <w:r w:rsidRPr="009955AA">
        <w:rPr>
          <w:rFonts w:ascii="Garamond" w:hAnsi="Garamond" w:cs="Times New Roman"/>
          <w:color w:val="000000"/>
          <w:sz w:val="24"/>
          <w:szCs w:val="24"/>
        </w:rPr>
        <w:t xml:space="preserve"> në mënyrë të përmbledhur, ka</w:t>
      </w:r>
      <w:r w:rsidR="00190038">
        <w:rPr>
          <w:rFonts w:ascii="Garamond" w:hAnsi="Garamond" w:cs="Times New Roman"/>
          <w:color w:val="000000"/>
          <w:sz w:val="24"/>
          <w:szCs w:val="24"/>
        </w:rPr>
        <w:t xml:space="preserve"> </w:t>
      </w:r>
      <w:r w:rsidRPr="009955AA">
        <w:rPr>
          <w:rFonts w:ascii="Garamond" w:hAnsi="Garamond" w:cs="Times New Roman"/>
          <w:color w:val="000000"/>
          <w:sz w:val="24"/>
          <w:szCs w:val="24"/>
        </w:rPr>
        <w:t>prapësuar si vijon:</w:t>
      </w:r>
    </w:p>
    <w:p w14:paraId="364392F3" w14:textId="065EB053" w:rsidR="003E6A29" w:rsidRPr="009955AA" w:rsidRDefault="003E6A29" w:rsidP="003E6A29">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 xml:space="preserve">7.1 Pretendimi për cenimin e </w:t>
      </w:r>
      <w:r w:rsidRPr="009955AA">
        <w:rPr>
          <w:rFonts w:ascii="Garamond" w:hAnsi="Garamond" w:cs="Times New Roman"/>
          <w:i/>
          <w:iCs/>
          <w:color w:val="000000"/>
          <w:sz w:val="24"/>
          <w:szCs w:val="24"/>
        </w:rPr>
        <w:t xml:space="preserve">së drejtës së </w:t>
      </w:r>
      <w:proofErr w:type="spellStart"/>
      <w:r w:rsidRPr="009955AA">
        <w:rPr>
          <w:rFonts w:ascii="Garamond" w:hAnsi="Garamond" w:cs="Times New Roman"/>
          <w:i/>
          <w:iCs/>
          <w:color w:val="000000"/>
          <w:sz w:val="24"/>
          <w:szCs w:val="24"/>
        </w:rPr>
        <w:t>aksesit</w:t>
      </w:r>
      <w:proofErr w:type="spellEnd"/>
      <w:r w:rsidRPr="009955AA">
        <w:rPr>
          <w:rFonts w:ascii="Garamond" w:hAnsi="Garamond" w:cs="Times New Roman"/>
          <w:i/>
          <w:iCs/>
          <w:color w:val="000000"/>
          <w:sz w:val="24"/>
          <w:szCs w:val="24"/>
        </w:rPr>
        <w:t xml:space="preserve"> në gjykatë</w:t>
      </w:r>
      <w:r w:rsidRPr="009955AA">
        <w:rPr>
          <w:rFonts w:ascii="Garamond" w:hAnsi="Garamond" w:cs="Times New Roman"/>
          <w:color w:val="000000"/>
          <w:sz w:val="24"/>
          <w:szCs w:val="24"/>
        </w:rPr>
        <w:t xml:space="preserve"> </w:t>
      </w:r>
      <w:r w:rsidRPr="009955AA">
        <w:rPr>
          <w:rFonts w:ascii="Garamond" w:hAnsi="Garamond" w:cs="Times New Roman"/>
          <w:i/>
          <w:iCs/>
          <w:color w:val="000000"/>
          <w:sz w:val="24"/>
          <w:szCs w:val="24"/>
        </w:rPr>
        <w:t xml:space="preserve">në lidhje me të drejtën e ankimit dhe mbrojtjes efektive </w:t>
      </w:r>
      <w:r w:rsidRPr="009955AA">
        <w:rPr>
          <w:rFonts w:ascii="Garamond" w:hAnsi="Garamond" w:cs="Times New Roman"/>
          <w:color w:val="000000"/>
          <w:sz w:val="24"/>
          <w:szCs w:val="24"/>
        </w:rPr>
        <w:t>është i bazuar</w:t>
      </w:r>
      <w:r w:rsidRPr="009955AA">
        <w:rPr>
          <w:rFonts w:ascii="Garamond" w:hAnsi="Garamond" w:cs="Times New Roman"/>
          <w:i/>
          <w:iCs/>
          <w:color w:val="000000"/>
          <w:sz w:val="24"/>
          <w:szCs w:val="24"/>
        </w:rPr>
        <w:t>.</w:t>
      </w:r>
      <w:r w:rsidRPr="009955AA">
        <w:rPr>
          <w:rFonts w:ascii="Garamond" w:hAnsi="Garamond" w:cs="Times New Roman"/>
          <w:color w:val="000000"/>
          <w:sz w:val="24"/>
          <w:szCs w:val="24"/>
        </w:rPr>
        <w:t xml:space="preserve"> Gjykata e Lartë, në kuptim të domosdoshmërisë së garantimit të </w:t>
      </w:r>
      <w:proofErr w:type="spellStart"/>
      <w:r w:rsidRPr="009955AA">
        <w:rPr>
          <w:rFonts w:ascii="Garamond" w:hAnsi="Garamond" w:cs="Times New Roman"/>
          <w:color w:val="000000"/>
          <w:sz w:val="24"/>
          <w:szCs w:val="24"/>
        </w:rPr>
        <w:t>të</w:t>
      </w:r>
      <w:proofErr w:type="spellEnd"/>
      <w:r w:rsidRPr="009955AA">
        <w:rPr>
          <w:rFonts w:ascii="Garamond" w:hAnsi="Garamond" w:cs="Times New Roman"/>
          <w:color w:val="000000"/>
          <w:sz w:val="24"/>
          <w:szCs w:val="24"/>
        </w:rPr>
        <w:t xml:space="preserve"> drejtave themelore të individit, kishte detyrimin të merrte të gjitha masat dhe të bënte të gjitha përpjekjet për sqarimin shterues të faktit nëse vullneti i kërkuesit për ushtrimin e së drejtës së rekursit dhe zgjedhjes së mbrojtësit përputhej me atë të paraqitur në prokurë nga nëna e tij. </w:t>
      </w:r>
      <w:proofErr w:type="spellStart"/>
      <w:r w:rsidRPr="009955AA">
        <w:rPr>
          <w:rFonts w:ascii="Garamond" w:hAnsi="Garamond" w:cs="Times New Roman"/>
          <w:color w:val="000000"/>
          <w:sz w:val="24"/>
          <w:szCs w:val="24"/>
        </w:rPr>
        <w:t>Mosmarrja</w:t>
      </w:r>
      <w:proofErr w:type="spellEnd"/>
      <w:r w:rsidRPr="009955AA">
        <w:rPr>
          <w:rFonts w:ascii="Garamond" w:hAnsi="Garamond" w:cs="Times New Roman"/>
          <w:color w:val="000000"/>
          <w:sz w:val="24"/>
          <w:szCs w:val="24"/>
        </w:rPr>
        <w:t xml:space="preserve"> e këtyre masave dhe interpretimi i bërë janë në kundërshtim me orientimet e Gjykatës dhe Gjykatës Evropiane për të Drejtat e Njeriut </w:t>
      </w:r>
      <w:r w:rsidRPr="009955AA">
        <w:rPr>
          <w:rFonts w:ascii="Garamond" w:hAnsi="Garamond" w:cs="Times New Roman"/>
          <w:i/>
          <w:iCs/>
          <w:color w:val="000000"/>
          <w:sz w:val="24"/>
          <w:szCs w:val="24"/>
        </w:rPr>
        <w:t>(</w:t>
      </w:r>
      <w:proofErr w:type="spellStart"/>
      <w:r w:rsidRPr="009955AA">
        <w:rPr>
          <w:rFonts w:ascii="Garamond" w:hAnsi="Garamond" w:cs="Times New Roman"/>
          <w:i/>
          <w:iCs/>
          <w:color w:val="000000"/>
          <w:sz w:val="24"/>
          <w:szCs w:val="24"/>
        </w:rPr>
        <w:t>GJEDNJ</w:t>
      </w:r>
      <w:proofErr w:type="spellEnd"/>
      <w:r w:rsidRPr="009955AA">
        <w:rPr>
          <w:rFonts w:ascii="Garamond" w:hAnsi="Garamond" w:cs="Times New Roman"/>
          <w:i/>
          <w:iCs/>
          <w:color w:val="000000"/>
          <w:sz w:val="24"/>
          <w:szCs w:val="24"/>
        </w:rPr>
        <w:t>)</w:t>
      </w:r>
      <w:r w:rsidRPr="009955AA">
        <w:rPr>
          <w:rFonts w:ascii="Garamond" w:hAnsi="Garamond" w:cs="Times New Roman"/>
          <w:color w:val="000000"/>
          <w:sz w:val="24"/>
          <w:szCs w:val="24"/>
        </w:rPr>
        <w:t xml:space="preserve"> në lidhje me </w:t>
      </w:r>
      <w:proofErr w:type="spellStart"/>
      <w:r w:rsidRPr="009955AA">
        <w:rPr>
          <w:rFonts w:ascii="Garamond" w:hAnsi="Garamond" w:cs="Times New Roman"/>
          <w:color w:val="000000"/>
          <w:sz w:val="24"/>
          <w:szCs w:val="24"/>
        </w:rPr>
        <w:t>pranueshmërinë</w:t>
      </w:r>
      <w:proofErr w:type="spellEnd"/>
      <w:r w:rsidRPr="009955AA">
        <w:rPr>
          <w:rFonts w:ascii="Garamond" w:hAnsi="Garamond" w:cs="Times New Roman"/>
          <w:color w:val="000000"/>
          <w:sz w:val="24"/>
          <w:szCs w:val="24"/>
        </w:rPr>
        <w:t xml:space="preserve"> e rekursit.</w:t>
      </w:r>
    </w:p>
    <w:p w14:paraId="59694294" w14:textId="69A957AA" w:rsidR="003E6A29" w:rsidRPr="009955AA" w:rsidRDefault="003E6A29" w:rsidP="003E6A29">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 xml:space="preserve">7.2 Pretendimi për </w:t>
      </w:r>
      <w:r w:rsidRPr="009955AA">
        <w:rPr>
          <w:rFonts w:ascii="Garamond" w:hAnsi="Garamond" w:cs="Times New Roman"/>
          <w:i/>
          <w:iCs/>
          <w:color w:val="000000"/>
          <w:sz w:val="24"/>
          <w:szCs w:val="24"/>
        </w:rPr>
        <w:t>cenimin e standardit të arsyetimit të vendimit gjyqësor</w:t>
      </w:r>
      <w:r w:rsidRPr="009955AA">
        <w:rPr>
          <w:rFonts w:ascii="Garamond" w:hAnsi="Garamond" w:cs="Times New Roman"/>
          <w:color w:val="000000"/>
          <w:sz w:val="24"/>
          <w:szCs w:val="24"/>
        </w:rPr>
        <w:t xml:space="preserve"> është i bazuar. Kolegji Penal i Gjykatës së Lartë edhe pse fillimisht ka arsyetuar për papranueshmërinë e rekursit për shkak të </w:t>
      </w:r>
      <w:proofErr w:type="spellStart"/>
      <w:r w:rsidRPr="009955AA">
        <w:rPr>
          <w:rFonts w:ascii="Garamond" w:hAnsi="Garamond" w:cs="Times New Roman"/>
          <w:color w:val="000000"/>
          <w:sz w:val="24"/>
          <w:szCs w:val="24"/>
        </w:rPr>
        <w:t>moslegjitimimit</w:t>
      </w:r>
      <w:proofErr w:type="spellEnd"/>
      <w:r w:rsidRPr="009955AA">
        <w:rPr>
          <w:rFonts w:ascii="Garamond" w:hAnsi="Garamond" w:cs="Times New Roman"/>
          <w:color w:val="000000"/>
          <w:sz w:val="24"/>
          <w:szCs w:val="24"/>
        </w:rPr>
        <w:t xml:space="preserve">, në paragrafin e fundit që lidhet me rekursin e kërkuesit, arsyeton për shkaqet e ngritura në rekurs, ku edhe pse ka konstatuar papranueshmërinë për shkak të </w:t>
      </w:r>
      <w:proofErr w:type="spellStart"/>
      <w:r w:rsidRPr="009955AA">
        <w:rPr>
          <w:rFonts w:ascii="Garamond" w:hAnsi="Garamond" w:cs="Times New Roman"/>
          <w:color w:val="000000"/>
          <w:sz w:val="24"/>
          <w:szCs w:val="24"/>
        </w:rPr>
        <w:t>moslegjitimimit</w:t>
      </w:r>
      <w:proofErr w:type="spellEnd"/>
      <w:r w:rsidRPr="009955AA">
        <w:rPr>
          <w:rFonts w:ascii="Garamond" w:hAnsi="Garamond" w:cs="Times New Roman"/>
          <w:color w:val="000000"/>
          <w:sz w:val="24"/>
          <w:szCs w:val="24"/>
        </w:rPr>
        <w:t>, e ka kapërcyer këtë shkak dhe ka verifikuar pretendimet e ngritura në rekurs. Në kushtet kur Kolegji Penal i Gjykatës së Lartë ka marrë në shqyrtim pretendimet e parashtruara në rekurs, arsyetimi i vendimit nuk përmban nivelin minimal për të dhënë përgjigje shteruese në kushtet kur janë ngritur pretendime me natyrë kushtetuese. Konkretisht, kërkuesi kishte ngritur pretendime në lidhje me të drejtën për t’u mbrojtur gjatë gjykimit në gjykatën e rrethit dhe gjykatën e apelit, vendimi i këtyre gjykatave është marrë në kundërshtim të plotë me provat e administruara dhe me ligjin penal, si dhe pretendime në lidhje me kualifikimin ligjor të veprës penale të ballafaquar me faktet e rrethanat e kryerjes së veprës penale. Të gjitha këto pretendime duhet të merrnin përgjigje shteruese nga Gjykata e Lartë.</w:t>
      </w:r>
    </w:p>
    <w:p w14:paraId="362BFA7D"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Arial Narrow"/>
          <w:color w:val="000000"/>
          <w:sz w:val="24"/>
          <w:szCs w:val="24"/>
        </w:rPr>
      </w:pPr>
    </w:p>
    <w:p w14:paraId="50355544" w14:textId="77777777" w:rsidR="003E6A29" w:rsidRPr="009955AA" w:rsidRDefault="003E6A29" w:rsidP="003E6A29">
      <w:pPr>
        <w:tabs>
          <w:tab w:val="left" w:pos="980"/>
        </w:tabs>
        <w:autoSpaceDE w:val="0"/>
        <w:autoSpaceDN w:val="0"/>
        <w:adjustRightInd w:val="0"/>
        <w:spacing w:after="0" w:line="240" w:lineRule="auto"/>
        <w:ind w:firstLine="284"/>
        <w:jc w:val="center"/>
        <w:rPr>
          <w:rFonts w:ascii="Garamond" w:hAnsi="Garamond" w:cs="Times New Roman"/>
          <w:color w:val="000000"/>
          <w:sz w:val="24"/>
          <w:szCs w:val="24"/>
        </w:rPr>
      </w:pPr>
      <w:proofErr w:type="spellStart"/>
      <w:r w:rsidRPr="009955AA">
        <w:rPr>
          <w:rFonts w:ascii="Garamond" w:hAnsi="Garamond" w:cs="Times New Roman"/>
          <w:bCs/>
          <w:color w:val="000000"/>
          <w:sz w:val="24"/>
          <w:szCs w:val="24"/>
        </w:rPr>
        <w:t>III</w:t>
      </w:r>
      <w:proofErr w:type="spellEnd"/>
    </w:p>
    <w:p w14:paraId="2914F2F6" w14:textId="77777777" w:rsidR="003E6A29" w:rsidRPr="009955AA" w:rsidRDefault="003E6A29" w:rsidP="003E6A29">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9955AA">
        <w:rPr>
          <w:rFonts w:ascii="Garamond" w:hAnsi="Garamond" w:cs="Times New Roman"/>
          <w:b/>
          <w:bCs/>
          <w:color w:val="000000"/>
          <w:sz w:val="24"/>
          <w:szCs w:val="24"/>
        </w:rPr>
        <w:t>Vlerësimi i Gjykatës Kushtetuese</w:t>
      </w:r>
    </w:p>
    <w:p w14:paraId="23B9985E" w14:textId="77777777" w:rsidR="00CC2D26" w:rsidRPr="009955AA" w:rsidRDefault="00CC2D26" w:rsidP="003E6A29">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2170F30"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955AA">
        <w:rPr>
          <w:rFonts w:ascii="Garamond" w:hAnsi="Garamond" w:cs="Times New Roman"/>
          <w:i/>
          <w:iCs/>
          <w:color w:val="000000"/>
          <w:sz w:val="24"/>
          <w:szCs w:val="24"/>
        </w:rPr>
        <w:t>A.</w:t>
      </w:r>
      <w:r w:rsidR="00CC2D26" w:rsidRPr="009955AA">
        <w:rPr>
          <w:rFonts w:ascii="Garamond" w:hAnsi="Garamond" w:cs="Times New Roman"/>
          <w:i/>
          <w:iCs/>
          <w:color w:val="000000"/>
          <w:sz w:val="24"/>
          <w:szCs w:val="24"/>
        </w:rPr>
        <w:t xml:space="preserve"> </w:t>
      </w:r>
      <w:r w:rsidRPr="009955AA">
        <w:rPr>
          <w:rFonts w:ascii="Garamond" w:hAnsi="Garamond" w:cs="Times New Roman"/>
          <w:i/>
          <w:iCs/>
          <w:color w:val="000000"/>
          <w:sz w:val="24"/>
          <w:szCs w:val="24"/>
        </w:rPr>
        <w:t>Për legjitimimin e kërkuesit</w:t>
      </w:r>
    </w:p>
    <w:p w14:paraId="69AE7163"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8.</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Çështja e legjitimimit (</w:t>
      </w:r>
      <w:proofErr w:type="spellStart"/>
      <w:r w:rsidRPr="009955AA">
        <w:rPr>
          <w:rFonts w:ascii="Garamond" w:hAnsi="Garamond" w:cs="Times New Roman"/>
          <w:i/>
          <w:iCs/>
          <w:color w:val="000000"/>
          <w:sz w:val="24"/>
          <w:szCs w:val="24"/>
        </w:rPr>
        <w:t>locus</w:t>
      </w:r>
      <w:proofErr w:type="spellEnd"/>
      <w:r w:rsidRPr="009955AA">
        <w:rPr>
          <w:rFonts w:ascii="Garamond" w:hAnsi="Garamond" w:cs="Times New Roman"/>
          <w:i/>
          <w:iCs/>
          <w:color w:val="000000"/>
          <w:sz w:val="24"/>
          <w:szCs w:val="24"/>
        </w:rPr>
        <w:t xml:space="preserve"> </w:t>
      </w:r>
      <w:proofErr w:type="spellStart"/>
      <w:r w:rsidRPr="009955AA">
        <w:rPr>
          <w:rFonts w:ascii="Garamond" w:hAnsi="Garamond" w:cs="Times New Roman"/>
          <w:i/>
          <w:iCs/>
          <w:color w:val="000000"/>
          <w:sz w:val="24"/>
          <w:szCs w:val="24"/>
        </w:rPr>
        <w:t>standi</w:t>
      </w:r>
      <w:proofErr w:type="spellEnd"/>
      <w:r w:rsidRPr="009955AA">
        <w:rPr>
          <w:rFonts w:ascii="Garamond"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9955AA">
        <w:rPr>
          <w:rFonts w:ascii="Garamond" w:hAnsi="Garamond" w:cs="Times New Roman"/>
          <w:color w:val="000000"/>
          <w:sz w:val="24"/>
          <w:szCs w:val="24"/>
        </w:rPr>
        <w:t>kumulative</w:t>
      </w:r>
      <w:proofErr w:type="spellEnd"/>
      <w:r w:rsidRPr="009955AA">
        <w:rPr>
          <w:rFonts w:ascii="Garamond" w:hAnsi="Garamond" w:cs="Times New Roman"/>
          <w:color w:val="000000"/>
          <w:sz w:val="24"/>
          <w:szCs w:val="24"/>
        </w:rPr>
        <w:t xml:space="preserve"> të parashikuara nga neni 71/a i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6440D1B5"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9.</w:t>
      </w:r>
      <w:r w:rsidR="00CC2D26" w:rsidRPr="009955AA">
        <w:rPr>
          <w:rFonts w:ascii="Garamond" w:hAnsi="Garamond" w:cs="Times New Roman"/>
          <w:color w:val="000000"/>
          <w:sz w:val="24"/>
          <w:szCs w:val="24"/>
        </w:rPr>
        <w:t xml:space="preserve"> </w:t>
      </w:r>
      <w:r w:rsidRPr="009955AA">
        <w:rPr>
          <w:rFonts w:ascii="Garamond" w:hAnsi="Garamond" w:cs="Times New Roman"/>
          <w:sz w:val="24"/>
          <w:szCs w:val="24"/>
        </w:rPr>
        <w:t xml:space="preserve">Në lidhje me legjitimimin </w:t>
      </w:r>
      <w:proofErr w:type="spellStart"/>
      <w:r w:rsidRPr="009955AA">
        <w:rPr>
          <w:rFonts w:ascii="Garamond" w:hAnsi="Garamond" w:cs="Times New Roman"/>
          <w:i/>
          <w:iCs/>
          <w:sz w:val="24"/>
          <w:szCs w:val="24"/>
        </w:rPr>
        <w:t>ratione</w:t>
      </w:r>
      <w:proofErr w:type="spellEnd"/>
      <w:r w:rsidRPr="009955AA">
        <w:rPr>
          <w:rFonts w:ascii="Garamond" w:hAnsi="Garamond" w:cs="Times New Roman"/>
          <w:i/>
          <w:iCs/>
          <w:sz w:val="24"/>
          <w:szCs w:val="24"/>
        </w:rPr>
        <w:t xml:space="preserve"> </w:t>
      </w:r>
      <w:proofErr w:type="spellStart"/>
      <w:r w:rsidRPr="009955AA">
        <w:rPr>
          <w:rFonts w:ascii="Garamond" w:hAnsi="Garamond" w:cs="Times New Roman"/>
          <w:i/>
          <w:iCs/>
          <w:sz w:val="24"/>
          <w:szCs w:val="24"/>
        </w:rPr>
        <w:t>personae</w:t>
      </w:r>
      <w:proofErr w:type="spellEnd"/>
      <w:r w:rsidRPr="009955AA">
        <w:rPr>
          <w:rFonts w:ascii="Garamond" w:hAnsi="Garamond" w:cs="Times New Roman"/>
          <w:i/>
          <w:iCs/>
          <w:sz w:val="24"/>
          <w:szCs w:val="24"/>
        </w:rPr>
        <w:t>,</w:t>
      </w:r>
      <w:r w:rsidRPr="009955AA">
        <w:rPr>
          <w:rFonts w:ascii="Garamond" w:hAnsi="Garamond" w:cs="Times New Roman"/>
          <w:sz w:val="24"/>
          <w:szCs w:val="24"/>
        </w:rPr>
        <w:t xml:space="preserve"> Gjykata vlerëson se kërkuesi</w:t>
      </w:r>
      <w:r w:rsidRPr="009955AA">
        <w:rPr>
          <w:rFonts w:ascii="Garamond" w:hAnsi="Garamond" w:cs="Times New Roman"/>
          <w:color w:val="000000"/>
          <w:sz w:val="24"/>
          <w:szCs w:val="24"/>
        </w:rPr>
        <w:t xml:space="preserve">, si individ, legjitimohet në kuptim të nenit 131, pika 1, shkronja “f” dhe nenit 134, pika 1, shkronja “i”, të Kushtetutës, sepse është palë/i dënuar në procesin gjyqësor dhe ka interes të drejtpërdrejtë në çështjen e parashtruar. </w:t>
      </w:r>
    </w:p>
    <w:p w14:paraId="25B9F86E"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10.</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Për sa i përket kriterit të </w:t>
      </w:r>
      <w:r w:rsidRPr="009955AA">
        <w:rPr>
          <w:rFonts w:ascii="Garamond" w:hAnsi="Garamond" w:cs="Times New Roman"/>
          <w:i/>
          <w:iCs/>
          <w:color w:val="000000"/>
          <w:sz w:val="24"/>
          <w:szCs w:val="24"/>
        </w:rPr>
        <w:t>shterimit të mjeteve</w:t>
      </w:r>
      <w:r w:rsidRPr="009955AA">
        <w:rPr>
          <w:rFonts w:ascii="Garamond" w:hAnsi="Garamond" w:cs="Times New Roman"/>
          <w:color w:val="000000"/>
          <w:sz w:val="24"/>
          <w:szCs w:val="24"/>
        </w:rPr>
        <w:t xml:space="preserve"> </w:t>
      </w:r>
      <w:r w:rsidRPr="009955AA">
        <w:rPr>
          <w:rFonts w:ascii="Garamond" w:hAnsi="Garamond" w:cs="Times New Roman"/>
          <w:i/>
          <w:iCs/>
          <w:color w:val="000000"/>
          <w:sz w:val="24"/>
          <w:szCs w:val="24"/>
        </w:rPr>
        <w:t xml:space="preserve">juridike efektive </w:t>
      </w:r>
      <w:r w:rsidRPr="009955AA">
        <w:rPr>
          <w:rFonts w:ascii="Garamond" w:hAnsi="Garamond" w:cs="Times New Roman"/>
          <w:color w:val="000000"/>
          <w:sz w:val="24"/>
          <w:szCs w:val="24"/>
        </w:rPr>
        <w:t>në dispozicion, Gjykata vëren se kërkuesi i është drejtuar asaj me ankim kushtetues individual, duke ngritur pretendime për procesin gjyqësor të zhvilluar në Gjykatën e Lartë, për të cilin nuk ka mjet tjetër juridik në dispozicion për mbrojtjen e të drejtave të tij kushtetuese përveç ankimit kushtetues individual.</w:t>
      </w:r>
    </w:p>
    <w:p w14:paraId="6A7C481C" w14:textId="61E15A50"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11.</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Lidhur me legjitimimin </w:t>
      </w:r>
      <w:proofErr w:type="spellStart"/>
      <w:r w:rsidRPr="009955AA">
        <w:rPr>
          <w:rFonts w:ascii="Garamond" w:hAnsi="Garamond" w:cs="Times New Roman"/>
          <w:i/>
          <w:iCs/>
          <w:color w:val="000000"/>
          <w:sz w:val="24"/>
          <w:szCs w:val="24"/>
        </w:rPr>
        <w:t>ratione</w:t>
      </w:r>
      <w:proofErr w:type="spellEnd"/>
      <w:r w:rsidRPr="009955AA">
        <w:rPr>
          <w:rFonts w:ascii="Garamond" w:hAnsi="Garamond" w:cs="Times New Roman"/>
          <w:i/>
          <w:iCs/>
          <w:color w:val="000000"/>
          <w:sz w:val="24"/>
          <w:szCs w:val="24"/>
        </w:rPr>
        <w:t xml:space="preserve"> </w:t>
      </w:r>
      <w:proofErr w:type="spellStart"/>
      <w:r w:rsidRPr="009955AA">
        <w:rPr>
          <w:rFonts w:ascii="Garamond" w:hAnsi="Garamond" w:cs="Times New Roman"/>
          <w:i/>
          <w:iCs/>
          <w:color w:val="000000"/>
          <w:sz w:val="24"/>
          <w:szCs w:val="24"/>
        </w:rPr>
        <w:t>temporis</w:t>
      </w:r>
      <w:proofErr w:type="spellEnd"/>
      <w:r w:rsidRPr="009955AA">
        <w:rPr>
          <w:rFonts w:ascii="Garamond" w:hAnsi="Garamond" w:cs="Times New Roman"/>
          <w:color w:val="000000"/>
          <w:sz w:val="24"/>
          <w:szCs w:val="24"/>
        </w:rPr>
        <w:t xml:space="preserve">, Gjykata konstaton se kërkuesi i është drejtuar Gjykatës me ankim kushtetues individual </w:t>
      </w:r>
      <w:r w:rsidR="00E41B73">
        <w:rPr>
          <w:rFonts w:ascii="Garamond" w:hAnsi="Garamond" w:cs="Times New Roman"/>
          <w:color w:val="000000"/>
          <w:sz w:val="24"/>
          <w:szCs w:val="24"/>
        </w:rPr>
        <w:t>m</w:t>
      </w:r>
      <w:r w:rsidRPr="009955AA">
        <w:rPr>
          <w:rFonts w:ascii="Garamond" w:hAnsi="Garamond" w:cs="Times New Roman"/>
          <w:color w:val="000000"/>
          <w:sz w:val="24"/>
          <w:szCs w:val="24"/>
        </w:rPr>
        <w:t xml:space="preserve">ë datë 24.5.2023, ndërsa vendimi gjyqësor që kundërshtohet prej tij është dhënë nga Gjykata e Lartë </w:t>
      </w:r>
      <w:r w:rsidR="00E41B73">
        <w:rPr>
          <w:rFonts w:ascii="Garamond" w:hAnsi="Garamond" w:cs="Times New Roman"/>
          <w:color w:val="000000"/>
          <w:sz w:val="24"/>
          <w:szCs w:val="24"/>
        </w:rPr>
        <w:t>m</w:t>
      </w:r>
      <w:r w:rsidRPr="009955AA">
        <w:rPr>
          <w:rFonts w:ascii="Garamond" w:hAnsi="Garamond" w:cs="Times New Roman"/>
          <w:color w:val="000000"/>
          <w:sz w:val="24"/>
          <w:szCs w:val="24"/>
        </w:rPr>
        <w:t xml:space="preserve">ë datë 26.1.2023. Në këto rrethana, Gjykata vlerëson se ankimi kushtetues individual i paraqitur </w:t>
      </w:r>
      <w:r w:rsidR="00E41B73">
        <w:rPr>
          <w:rFonts w:ascii="Garamond" w:hAnsi="Garamond" w:cs="Times New Roman"/>
          <w:color w:val="000000"/>
          <w:sz w:val="24"/>
          <w:szCs w:val="24"/>
        </w:rPr>
        <w:t>m</w:t>
      </w:r>
      <w:r w:rsidRPr="009955AA">
        <w:rPr>
          <w:rFonts w:ascii="Garamond" w:hAnsi="Garamond" w:cs="Times New Roman"/>
          <w:color w:val="000000"/>
          <w:sz w:val="24"/>
          <w:szCs w:val="24"/>
        </w:rPr>
        <w:t>ë datë 24.5.2023 është brenda afatit 4-mujor të parashikuar nga neni 71/a, pika 1, shkronja “b”, i ligjit nr. 8577/2000.</w:t>
      </w:r>
    </w:p>
    <w:p w14:paraId="3CE74432" w14:textId="0D896A23"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12.</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Në lidhje me legjitimimin </w:t>
      </w:r>
      <w:proofErr w:type="spellStart"/>
      <w:r w:rsidRPr="009955AA">
        <w:rPr>
          <w:rFonts w:ascii="Garamond" w:hAnsi="Garamond" w:cs="Times New Roman"/>
          <w:i/>
          <w:iCs/>
          <w:color w:val="000000"/>
          <w:sz w:val="24"/>
          <w:szCs w:val="24"/>
        </w:rPr>
        <w:t>ratione</w:t>
      </w:r>
      <w:proofErr w:type="spellEnd"/>
      <w:r w:rsidRPr="009955AA">
        <w:rPr>
          <w:rFonts w:ascii="Garamond" w:hAnsi="Garamond" w:cs="Times New Roman"/>
          <w:i/>
          <w:iCs/>
          <w:color w:val="000000"/>
          <w:sz w:val="24"/>
          <w:szCs w:val="24"/>
        </w:rPr>
        <w:t xml:space="preserve"> </w:t>
      </w:r>
      <w:proofErr w:type="spellStart"/>
      <w:r w:rsidRPr="009955AA">
        <w:rPr>
          <w:rFonts w:ascii="Garamond" w:hAnsi="Garamond" w:cs="Times New Roman"/>
          <w:i/>
          <w:iCs/>
          <w:color w:val="000000"/>
          <w:sz w:val="24"/>
          <w:szCs w:val="24"/>
        </w:rPr>
        <w:t>materiae</w:t>
      </w:r>
      <w:proofErr w:type="spellEnd"/>
      <w:r w:rsidRPr="009955AA">
        <w:rPr>
          <w:rFonts w:ascii="Garamond" w:hAnsi="Garamond" w:cs="Times New Roman"/>
          <w:color w:val="000000"/>
          <w:sz w:val="24"/>
          <w:szCs w:val="24"/>
        </w:rPr>
        <w:t xml:space="preserve">, Gjykata vëren se pretendimet kryesore të kërkuesit lidhen me cenimin e së drejtës për proces të rregullt ligjor në drejtim të së drejtës së ankimit efektiv </w:t>
      </w:r>
      <w:r w:rsidRPr="009955AA">
        <w:rPr>
          <w:rFonts w:ascii="Garamond" w:hAnsi="Garamond" w:cs="Times New Roman"/>
          <w:color w:val="000000"/>
          <w:sz w:val="24"/>
          <w:szCs w:val="24"/>
        </w:rPr>
        <w:lastRenderedPageBreak/>
        <w:t xml:space="preserve">dhe standardit të arsyetimit të vendimit gjyqësor. Duke mbajtur në konsideratë thelbin e tyre, që lidhet me qëndrimin e Gjykatës së Lartë për </w:t>
      </w:r>
      <w:proofErr w:type="spellStart"/>
      <w:r w:rsidRPr="009955AA">
        <w:rPr>
          <w:rFonts w:ascii="Garamond" w:hAnsi="Garamond" w:cs="Times New Roman"/>
          <w:color w:val="000000"/>
          <w:sz w:val="24"/>
          <w:szCs w:val="24"/>
        </w:rPr>
        <w:t>moslegjitimimin</w:t>
      </w:r>
      <w:proofErr w:type="spellEnd"/>
      <w:r w:rsidRPr="009955AA">
        <w:rPr>
          <w:rFonts w:ascii="Garamond" w:hAnsi="Garamond" w:cs="Times New Roman"/>
          <w:color w:val="000000"/>
          <w:sz w:val="24"/>
          <w:szCs w:val="24"/>
        </w:rPr>
        <w:t xml:space="preserve"> e mbrojtësit të caktuar me prokurë nga nëna e kërkuesit dhe mosdhënien</w:t>
      </w:r>
      <w:r w:rsidR="00190038">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përgjigje për shkaqet e parashtruara në rekurs me natyrë kushtetuese, Gjykata vlerëson t’i analizojë pretendimet në vijim në drejtim të së drejtës së </w:t>
      </w:r>
      <w:proofErr w:type="spellStart"/>
      <w:r w:rsidRPr="009955AA">
        <w:rPr>
          <w:rFonts w:ascii="Garamond" w:hAnsi="Garamond" w:cs="Times New Roman"/>
          <w:color w:val="000000"/>
          <w:sz w:val="24"/>
          <w:szCs w:val="24"/>
        </w:rPr>
        <w:t>aksesit</w:t>
      </w:r>
      <w:proofErr w:type="spellEnd"/>
      <w:r w:rsidRPr="009955AA">
        <w:rPr>
          <w:rFonts w:ascii="Garamond" w:hAnsi="Garamond" w:cs="Times New Roman"/>
          <w:color w:val="000000"/>
          <w:sz w:val="24"/>
          <w:szCs w:val="24"/>
        </w:rPr>
        <w:t xml:space="preserve"> të lidhur me ankimin efektiv dhe me standardin e arsyetimit të vendimit gjyqësor, si aspekte të së drejtës për proces të rregullt ligjor të garantuar në nenin 42 të Kushtetutës. Pretendimet hyjnë në juridiksionin dhe kompetencën e Gjykatës dhe në vijim do të analizohet </w:t>
      </w:r>
      <w:proofErr w:type="spellStart"/>
      <w:r w:rsidRPr="009955AA">
        <w:rPr>
          <w:rFonts w:ascii="Garamond" w:hAnsi="Garamond" w:cs="Times New Roman"/>
          <w:color w:val="000000"/>
          <w:sz w:val="24"/>
          <w:szCs w:val="24"/>
        </w:rPr>
        <w:t>bazueshmëria</w:t>
      </w:r>
      <w:proofErr w:type="spellEnd"/>
      <w:r w:rsidRPr="009955AA">
        <w:rPr>
          <w:rFonts w:ascii="Garamond" w:hAnsi="Garamond" w:cs="Times New Roman"/>
          <w:color w:val="000000"/>
          <w:sz w:val="24"/>
          <w:szCs w:val="24"/>
        </w:rPr>
        <w:t xml:space="preserve"> e tyre në themel.</w:t>
      </w:r>
    </w:p>
    <w:p w14:paraId="0F300CD5"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955AA">
        <w:rPr>
          <w:rFonts w:ascii="Garamond" w:hAnsi="Garamond" w:cs="Times New Roman"/>
          <w:i/>
          <w:iCs/>
          <w:color w:val="000000"/>
          <w:sz w:val="24"/>
          <w:szCs w:val="24"/>
        </w:rPr>
        <w:t>B.</w:t>
      </w:r>
      <w:r w:rsidR="00CC2D26" w:rsidRPr="009955AA">
        <w:rPr>
          <w:rFonts w:ascii="Garamond" w:hAnsi="Garamond" w:cs="Times New Roman"/>
          <w:i/>
          <w:iCs/>
          <w:color w:val="000000"/>
          <w:sz w:val="24"/>
          <w:szCs w:val="24"/>
        </w:rPr>
        <w:t xml:space="preserve"> </w:t>
      </w:r>
      <w:r w:rsidRPr="009955AA">
        <w:rPr>
          <w:rFonts w:ascii="Garamond" w:hAnsi="Garamond" w:cs="Times New Roman"/>
          <w:i/>
          <w:iCs/>
          <w:color w:val="000000"/>
          <w:sz w:val="24"/>
          <w:szCs w:val="24"/>
        </w:rPr>
        <w:t>Për themelin e pretendimeve</w:t>
      </w:r>
    </w:p>
    <w:p w14:paraId="4168F29D" w14:textId="797D6EF5"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9955AA">
        <w:rPr>
          <w:rFonts w:ascii="Garamond" w:hAnsi="Garamond" w:cs="Times New Roman"/>
          <w:i/>
          <w:iCs/>
          <w:color w:val="000000"/>
          <w:sz w:val="24"/>
          <w:szCs w:val="24"/>
        </w:rPr>
        <w:t>B.1</w:t>
      </w:r>
      <w:proofErr w:type="spellEnd"/>
      <w:r w:rsidRPr="009955AA">
        <w:rPr>
          <w:rFonts w:ascii="Garamond" w:hAnsi="Garamond" w:cs="Times New Roman"/>
          <w:i/>
          <w:iCs/>
          <w:color w:val="000000"/>
          <w:sz w:val="24"/>
          <w:szCs w:val="24"/>
        </w:rPr>
        <w:t xml:space="preserve"> Për cenimin e së drejtës së </w:t>
      </w:r>
      <w:proofErr w:type="spellStart"/>
      <w:r w:rsidRPr="009955AA">
        <w:rPr>
          <w:rFonts w:ascii="Garamond" w:hAnsi="Garamond" w:cs="Times New Roman"/>
          <w:i/>
          <w:iCs/>
          <w:color w:val="000000"/>
          <w:sz w:val="24"/>
          <w:szCs w:val="24"/>
        </w:rPr>
        <w:t>aksesit</w:t>
      </w:r>
      <w:proofErr w:type="spellEnd"/>
      <w:r w:rsidRPr="009955AA">
        <w:rPr>
          <w:rFonts w:ascii="Garamond" w:hAnsi="Garamond" w:cs="Times New Roman"/>
          <w:i/>
          <w:iCs/>
          <w:color w:val="000000"/>
          <w:sz w:val="24"/>
          <w:szCs w:val="24"/>
        </w:rPr>
        <w:t xml:space="preserve"> të lidhur me ankimin efektiv dhe standardin e arsyetimit të vendimit gjyqësor</w:t>
      </w:r>
    </w:p>
    <w:p w14:paraId="72304374"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13.</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Kërkuesi ka pretenduar se Kolegji Penal i Gjykatës së Lartë në mënyrë të gabuar ka vendosur mospranimin e rekursit për shkak të </w:t>
      </w:r>
      <w:proofErr w:type="spellStart"/>
      <w:r w:rsidRPr="009955AA">
        <w:rPr>
          <w:rFonts w:ascii="Garamond" w:hAnsi="Garamond" w:cs="Times New Roman"/>
          <w:color w:val="000000"/>
          <w:sz w:val="24"/>
          <w:szCs w:val="24"/>
        </w:rPr>
        <w:t>moslegjitimimit</w:t>
      </w:r>
      <w:proofErr w:type="spellEnd"/>
      <w:r w:rsidRPr="009955AA">
        <w:rPr>
          <w:rFonts w:ascii="Garamond" w:hAnsi="Garamond" w:cs="Times New Roman"/>
          <w:color w:val="000000"/>
          <w:sz w:val="24"/>
          <w:szCs w:val="24"/>
        </w:rPr>
        <w:t xml:space="preserve"> të mbrojtësit të caktuar nga nëna e kërkuesit. Kërkuesi nuk ka qenë asnjëherë në mungesë ose t’i jetë shmangur drejtësisë, por si gjatë hetimeve dhe gjatë gjykimit ka qenë me masë sigurie “Arresti në burg”. Kolegji Penal është shprehur se rekursi nuk përmbante shkaqet ligjore të parashikuara në nenin 432 të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-së edhe pse kishte pretendime për shkelje procedurale dhe kushtetuese.</w:t>
      </w:r>
    </w:p>
    <w:p w14:paraId="4098B1DA" w14:textId="433B5E0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14.</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Subjekti i interesuar, Prokuroria e Përgjithshme, ka prapësuar se Gjykata e Lartë</w:t>
      </w:r>
      <w:r w:rsidR="00190038">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kishte detyrimin të merrte të gjitha masat dhe të bënte të gjitha përpjekjet për sqarimin nëse vullneti i kërkuesit për ushtrimin e rekursit dhe zgjedhjen e mbrojtësit përputhej me atë të paraqitur në prokurë nga nëna e tij. </w:t>
      </w:r>
      <w:proofErr w:type="spellStart"/>
      <w:r w:rsidRPr="009955AA">
        <w:rPr>
          <w:rFonts w:ascii="Garamond" w:hAnsi="Garamond" w:cs="Times New Roman"/>
          <w:color w:val="000000"/>
          <w:sz w:val="24"/>
          <w:szCs w:val="24"/>
        </w:rPr>
        <w:t>Mosmarrja</w:t>
      </w:r>
      <w:proofErr w:type="spellEnd"/>
      <w:r w:rsidRPr="009955AA">
        <w:rPr>
          <w:rFonts w:ascii="Garamond" w:hAnsi="Garamond" w:cs="Times New Roman"/>
          <w:color w:val="000000"/>
          <w:sz w:val="24"/>
          <w:szCs w:val="24"/>
        </w:rPr>
        <w:t xml:space="preserve"> e këtyre masave dhe interpretimi në kundërshtim me orientimet e Gjykatës dhe </w:t>
      </w:r>
      <w:proofErr w:type="spellStart"/>
      <w:r w:rsidRPr="009955AA">
        <w:rPr>
          <w:rFonts w:ascii="Garamond" w:hAnsi="Garamond" w:cs="Times New Roman"/>
          <w:color w:val="000000"/>
          <w:sz w:val="24"/>
          <w:szCs w:val="24"/>
        </w:rPr>
        <w:t>GJEDNJ</w:t>
      </w:r>
      <w:proofErr w:type="spellEnd"/>
      <w:r w:rsidRPr="009955AA">
        <w:rPr>
          <w:rFonts w:ascii="Garamond" w:hAnsi="Garamond" w:cs="Times New Roman"/>
          <w:color w:val="000000"/>
          <w:sz w:val="24"/>
          <w:szCs w:val="24"/>
        </w:rPr>
        <w:t xml:space="preserve">-së në lidhje me </w:t>
      </w:r>
      <w:proofErr w:type="spellStart"/>
      <w:r w:rsidRPr="009955AA">
        <w:rPr>
          <w:rFonts w:ascii="Garamond" w:hAnsi="Garamond" w:cs="Times New Roman"/>
          <w:color w:val="000000"/>
          <w:sz w:val="24"/>
          <w:szCs w:val="24"/>
        </w:rPr>
        <w:t>pranueshmërinë</w:t>
      </w:r>
      <w:proofErr w:type="spellEnd"/>
      <w:r w:rsidRPr="009955AA">
        <w:rPr>
          <w:rFonts w:ascii="Garamond" w:hAnsi="Garamond" w:cs="Times New Roman"/>
          <w:color w:val="000000"/>
          <w:sz w:val="24"/>
          <w:szCs w:val="24"/>
        </w:rPr>
        <w:t xml:space="preserve"> e rekursit kanë cenuar të drejtën e </w:t>
      </w:r>
      <w:proofErr w:type="spellStart"/>
      <w:r w:rsidRPr="009955AA">
        <w:rPr>
          <w:rFonts w:ascii="Garamond" w:hAnsi="Garamond" w:cs="Times New Roman"/>
          <w:color w:val="000000"/>
          <w:sz w:val="24"/>
          <w:szCs w:val="24"/>
        </w:rPr>
        <w:t>aksesit</w:t>
      </w:r>
      <w:proofErr w:type="spellEnd"/>
      <w:r w:rsidRPr="009955AA">
        <w:rPr>
          <w:rFonts w:ascii="Garamond" w:hAnsi="Garamond" w:cs="Times New Roman"/>
          <w:color w:val="000000"/>
          <w:sz w:val="24"/>
          <w:szCs w:val="24"/>
        </w:rPr>
        <w:t xml:space="preserve">. Kolegji Penal i Gjykatës së Lartë, edhe pse fillimisht ka arsyetuar për papranueshmërinë e rekursit për shkaqe të legjitimimit, në paragrafin e fundit arsyeton për shkaqet e ngritura në rekurs. Në kushtet kur në rekurs ishin ngritur pretendime me natyrë kushtetuese, vendimi nuk përmban nivelin minimal të arsyetimit. </w:t>
      </w:r>
    </w:p>
    <w:p w14:paraId="3CEBC3A6" w14:textId="439DDED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9955AA">
        <w:rPr>
          <w:rFonts w:ascii="Garamond" w:hAnsi="Garamond" w:cs="Times New Roman"/>
          <w:color w:val="000000"/>
          <w:sz w:val="24"/>
          <w:szCs w:val="24"/>
        </w:rPr>
        <w:t>15.</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Në nenin 42, pika 2, të Kushtetutës parashikohet se kushdo, për mbrojtjen e të drejtave, të lirive dhe interesave kushtetues dhe ligjorë, ka të drejtën e gjykimit të drejtë dhe publik brenda afatit të arsyeshëm nga një gjykatë e pavarur dhe e paanshme e caktuar me ligj. Kjo dispozitë sanksionon të drejtën për gjykim, ku e drejta e </w:t>
      </w:r>
      <w:proofErr w:type="spellStart"/>
      <w:r w:rsidRPr="009955AA">
        <w:rPr>
          <w:rFonts w:ascii="Garamond" w:hAnsi="Garamond" w:cs="Times New Roman"/>
          <w:color w:val="000000"/>
          <w:sz w:val="24"/>
          <w:szCs w:val="24"/>
        </w:rPr>
        <w:t>aksesit</w:t>
      </w:r>
      <w:proofErr w:type="spellEnd"/>
      <w:r w:rsidRPr="009955AA">
        <w:rPr>
          <w:rFonts w:ascii="Garamond" w:hAnsi="Garamond" w:cs="Times New Roman"/>
          <w:color w:val="000000"/>
          <w:sz w:val="24"/>
          <w:szCs w:val="24"/>
        </w:rPr>
        <w:t xml:space="preserve">, përfshirë të drejtën për të vënë në lëvizje gjykatën, përbën një aspekt të saj. E drejta e </w:t>
      </w:r>
      <w:proofErr w:type="spellStart"/>
      <w:r w:rsidRPr="009955AA">
        <w:rPr>
          <w:rFonts w:ascii="Garamond" w:hAnsi="Garamond" w:cs="Times New Roman"/>
          <w:color w:val="000000"/>
          <w:sz w:val="24"/>
          <w:szCs w:val="24"/>
        </w:rPr>
        <w:t>aksesit</w:t>
      </w:r>
      <w:proofErr w:type="spellEnd"/>
      <w:r w:rsidRPr="009955AA">
        <w:rPr>
          <w:rFonts w:ascii="Garamond" w:hAnsi="Garamond" w:cs="Times New Roman"/>
          <w:color w:val="000000"/>
          <w:sz w:val="24"/>
          <w:szCs w:val="24"/>
        </w:rPr>
        <w:t xml:space="preserve"> u garanton subjekteve të cenuara të drejtën t’i drejtohen një gjykate, e cila duhet të dëgjojë pretendimet e tyre dhe të shpallë një vendim pas një gjykimi të drejtë dhe publik (</w:t>
      </w:r>
      <w:r w:rsidRPr="009955AA">
        <w:rPr>
          <w:rFonts w:ascii="Garamond" w:hAnsi="Garamond" w:cs="Times New Roman"/>
          <w:i/>
          <w:iCs/>
          <w:color w:val="000000"/>
          <w:sz w:val="24"/>
          <w:szCs w:val="24"/>
        </w:rPr>
        <w:t>shih vendimet nr. 32, datë 3.11.2022; nr. 10, datë 12.4.2022 të Gjykatës Kushtetuese</w:t>
      </w:r>
      <w:r w:rsidRPr="009955AA">
        <w:rPr>
          <w:rFonts w:ascii="Garamond" w:hAnsi="Garamond" w:cs="Times New Roman"/>
          <w:color w:val="000000"/>
          <w:sz w:val="24"/>
          <w:szCs w:val="24"/>
        </w:rPr>
        <w:t xml:space="preserve">). </w:t>
      </w:r>
    </w:p>
    <w:p w14:paraId="3BBD8DC6" w14:textId="0663F440"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16.</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Në jurisprudencën e saj Gjykata ka vlerësuar vazhdimisht se administrimi i mirë i drejtësisë fillon me garancinë që një individ të ketë </w:t>
      </w:r>
      <w:proofErr w:type="spellStart"/>
      <w:r w:rsidRPr="009955AA">
        <w:rPr>
          <w:rFonts w:ascii="Garamond" w:hAnsi="Garamond" w:cs="Times New Roman"/>
          <w:color w:val="000000"/>
          <w:sz w:val="24"/>
          <w:szCs w:val="24"/>
        </w:rPr>
        <w:t>akses</w:t>
      </w:r>
      <w:proofErr w:type="spellEnd"/>
      <w:r w:rsidRPr="009955AA">
        <w:rPr>
          <w:rFonts w:ascii="Garamond" w:hAnsi="Garamond" w:cs="Times New Roman"/>
          <w:color w:val="000000"/>
          <w:sz w:val="24"/>
          <w:szCs w:val="24"/>
        </w:rPr>
        <w:t xml:space="preserve">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çështjen, pasi </w:t>
      </w:r>
      <w:proofErr w:type="spellStart"/>
      <w:r w:rsidRPr="009955AA">
        <w:rPr>
          <w:rFonts w:ascii="Garamond" w:hAnsi="Garamond" w:cs="Times New Roman"/>
          <w:color w:val="000000"/>
          <w:sz w:val="24"/>
          <w:szCs w:val="24"/>
        </w:rPr>
        <w:t>aksesi</w:t>
      </w:r>
      <w:proofErr w:type="spellEnd"/>
      <w:r w:rsidRPr="009955AA">
        <w:rPr>
          <w:rFonts w:ascii="Garamond" w:hAnsi="Garamond" w:cs="Times New Roman"/>
          <w:color w:val="000000"/>
          <w:sz w:val="24"/>
          <w:szCs w:val="24"/>
        </w:rPr>
        <w:t xml:space="preserve"> në gjykatë duhet të jetë substantiv dhe jo thjesht formal </w:t>
      </w:r>
      <w:r w:rsidRPr="009955AA">
        <w:rPr>
          <w:rFonts w:ascii="Garamond" w:hAnsi="Garamond" w:cs="Times New Roman"/>
          <w:i/>
          <w:iCs/>
          <w:color w:val="000000"/>
          <w:sz w:val="24"/>
          <w:szCs w:val="24"/>
        </w:rPr>
        <w:t>(shih vendimet nr. 5, datë 22.2.2022; nr. 22, datë 29.4.2021; nr. 3, datë 23.2.2016 të Gjykatës Kushtetuese)</w:t>
      </w:r>
      <w:r w:rsidRPr="009955AA">
        <w:rPr>
          <w:rFonts w:ascii="Garamond" w:hAnsi="Garamond" w:cs="Calibri"/>
          <w:color w:val="000000"/>
          <w:sz w:val="24"/>
          <w:szCs w:val="24"/>
        </w:rPr>
        <w:t>.</w:t>
      </w:r>
      <w:r w:rsidRPr="009955AA">
        <w:rPr>
          <w:rFonts w:ascii="Garamond" w:hAnsi="Garamond" w:cs="Times New Roman"/>
          <w:color w:val="000000"/>
          <w:sz w:val="24"/>
          <w:szCs w:val="24"/>
        </w:rPr>
        <w:t xml:space="preserve"> </w:t>
      </w:r>
    </w:p>
    <w:p w14:paraId="71F4AFEE" w14:textId="5C16A796"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Calibri"/>
          <w:color w:val="000000"/>
          <w:sz w:val="24"/>
          <w:szCs w:val="24"/>
        </w:rPr>
      </w:pPr>
      <w:r w:rsidRPr="009955AA">
        <w:rPr>
          <w:rFonts w:ascii="Garamond" w:hAnsi="Garamond" w:cs="Times New Roman"/>
          <w:color w:val="000000"/>
          <w:sz w:val="24"/>
          <w:szCs w:val="24"/>
        </w:rPr>
        <w:t>17.</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Në vështrim të garantimit të standardit të </w:t>
      </w:r>
      <w:proofErr w:type="spellStart"/>
      <w:r w:rsidRPr="009955AA">
        <w:rPr>
          <w:rFonts w:ascii="Garamond" w:hAnsi="Garamond" w:cs="Times New Roman"/>
          <w:color w:val="000000"/>
          <w:sz w:val="24"/>
          <w:szCs w:val="24"/>
        </w:rPr>
        <w:t>aksesit</w:t>
      </w:r>
      <w:proofErr w:type="spellEnd"/>
      <w:r w:rsidRPr="009955AA">
        <w:rPr>
          <w:rFonts w:ascii="Garamond" w:hAnsi="Garamond" w:cs="Times New Roman"/>
          <w:color w:val="000000"/>
          <w:sz w:val="24"/>
          <w:szCs w:val="24"/>
        </w:rPr>
        <w:t xml:space="preserve"> në gjykatë, Gjykata ka pohuar se dispozitat e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-së nuk mund të interpretohen nga Kolegji Penal i Gjykatës së Lartë në mënyrë të ngushtë, të atillë që cenon thelbin e së drejtës së një individi për t’iu drejtuar asaj gjykate (</w:t>
      </w:r>
      <w:r w:rsidRPr="009955AA">
        <w:rPr>
          <w:rFonts w:ascii="Garamond" w:hAnsi="Garamond" w:cs="Times New Roman"/>
          <w:i/>
          <w:iCs/>
          <w:color w:val="000000"/>
          <w:sz w:val="24"/>
          <w:szCs w:val="24"/>
        </w:rPr>
        <w:t>shih vendimin nr. 5, datë 2.3.2011 të Gjykatës Kushtetuese</w:t>
      </w:r>
      <w:r w:rsidRPr="009955AA">
        <w:rPr>
          <w:rFonts w:ascii="Garamond" w:hAnsi="Garamond" w:cs="Times New Roman"/>
          <w:color w:val="000000"/>
          <w:sz w:val="24"/>
          <w:szCs w:val="24"/>
        </w:rPr>
        <w:t xml:space="preserve">). Rekursi është akti procedural në të cilin parashtrohen shkaqet për të cilat kundërshtohet një vendim, sipas kërkesave të nenit 432 të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 xml:space="preserve">-së, që mundëson të drejtën e të pandehurit për të filluar gjykimin në Gjykatën e Lartë dhe, në këtë kuptim, ai është akti me të cilin garantohet e drejta për </w:t>
      </w:r>
      <w:proofErr w:type="spellStart"/>
      <w:r w:rsidRPr="009955AA">
        <w:rPr>
          <w:rFonts w:ascii="Garamond" w:hAnsi="Garamond" w:cs="Times New Roman"/>
          <w:color w:val="000000"/>
          <w:sz w:val="24"/>
          <w:szCs w:val="24"/>
        </w:rPr>
        <w:t>akses</w:t>
      </w:r>
      <w:proofErr w:type="spellEnd"/>
      <w:r w:rsidRPr="009955AA">
        <w:rPr>
          <w:rFonts w:ascii="Garamond" w:hAnsi="Garamond" w:cs="Times New Roman"/>
          <w:color w:val="000000"/>
          <w:sz w:val="24"/>
          <w:szCs w:val="24"/>
        </w:rPr>
        <w:t xml:space="preserve"> në atë gjykatë (</w:t>
      </w:r>
      <w:r w:rsidRPr="009955AA">
        <w:rPr>
          <w:rFonts w:ascii="Garamond" w:hAnsi="Garamond" w:cs="Times New Roman"/>
          <w:i/>
          <w:iCs/>
          <w:color w:val="000000"/>
          <w:sz w:val="24"/>
          <w:szCs w:val="24"/>
        </w:rPr>
        <w:t>shih vendimet nr. 53, datë 5.12.2012; nr. 41, datë 28.9.2011; nr. 38, datë 30.12.2010 të Gjykatës Kushtetuese</w:t>
      </w:r>
      <w:r w:rsidRPr="009955AA">
        <w:rPr>
          <w:rFonts w:ascii="Garamond" w:hAnsi="Garamond" w:cs="Times New Roman"/>
          <w:color w:val="000000"/>
          <w:sz w:val="24"/>
          <w:szCs w:val="24"/>
        </w:rPr>
        <w:t xml:space="preserve">). Gjithashtu, Gjykata është shprehur se Gjykata e Lartë i ka të gjitha hapësirat që kërkesat ligjore për elementet formale që duhet të plotësojë rekursi, në përputhje me funksionin e saj të interpretimit të normës dhe në kuptim të parimit të </w:t>
      </w:r>
      <w:proofErr w:type="spellStart"/>
      <w:r w:rsidRPr="009955AA">
        <w:rPr>
          <w:rFonts w:ascii="Garamond" w:hAnsi="Garamond" w:cs="Times New Roman"/>
          <w:color w:val="000000"/>
          <w:sz w:val="24"/>
          <w:szCs w:val="24"/>
        </w:rPr>
        <w:t>subsidiaritetit</w:t>
      </w:r>
      <w:proofErr w:type="spellEnd"/>
      <w:r w:rsidRPr="009955AA">
        <w:rPr>
          <w:rFonts w:ascii="Garamond" w:hAnsi="Garamond" w:cs="Times New Roman"/>
          <w:color w:val="000000"/>
          <w:sz w:val="24"/>
          <w:szCs w:val="24"/>
        </w:rPr>
        <w:t xml:space="preserve"> e pozicionit të saj në piramidën gjyqësore,</w:t>
      </w:r>
      <w:r w:rsidRPr="009955AA">
        <w:rPr>
          <w:rFonts w:ascii="Garamond" w:hAnsi="Garamond" w:cs="Times New Roman"/>
          <w:b/>
          <w:bCs/>
          <w:color w:val="000000"/>
          <w:sz w:val="24"/>
          <w:szCs w:val="24"/>
        </w:rPr>
        <w:t xml:space="preserve"> </w:t>
      </w:r>
      <w:r w:rsidRPr="009955AA">
        <w:rPr>
          <w:rFonts w:ascii="Garamond" w:hAnsi="Garamond" w:cs="Times New Roman"/>
          <w:color w:val="000000"/>
          <w:sz w:val="24"/>
          <w:szCs w:val="24"/>
        </w:rPr>
        <w:t xml:space="preserve">t’i interpretojë me qëllim garantimin e të drejtave themelore të individit, konkretisht të së drejtës së </w:t>
      </w:r>
      <w:proofErr w:type="spellStart"/>
      <w:r w:rsidRPr="009955AA">
        <w:rPr>
          <w:rFonts w:ascii="Garamond" w:hAnsi="Garamond" w:cs="Times New Roman"/>
          <w:color w:val="000000"/>
          <w:sz w:val="24"/>
          <w:szCs w:val="24"/>
        </w:rPr>
        <w:t>aksesit</w:t>
      </w:r>
      <w:proofErr w:type="spellEnd"/>
      <w:r w:rsidRPr="009955AA">
        <w:rPr>
          <w:rFonts w:ascii="Garamond" w:hAnsi="Garamond" w:cs="Times New Roman"/>
          <w:color w:val="000000"/>
          <w:sz w:val="24"/>
          <w:szCs w:val="24"/>
        </w:rPr>
        <w:t xml:space="preserve"> substancial </w:t>
      </w:r>
      <w:r w:rsidRPr="009955AA">
        <w:rPr>
          <w:rFonts w:ascii="Garamond" w:hAnsi="Garamond" w:cs="Times New Roman"/>
          <w:i/>
          <w:iCs/>
          <w:color w:val="000000"/>
          <w:sz w:val="24"/>
          <w:szCs w:val="24"/>
        </w:rPr>
        <w:t>(shih vendimin nr. 6, datë 22.2.2022 të Gjykatës Kushtetuese)</w:t>
      </w:r>
      <w:r w:rsidRPr="009955AA">
        <w:rPr>
          <w:rFonts w:ascii="Garamond" w:hAnsi="Garamond" w:cs="Calibri"/>
          <w:color w:val="000000"/>
          <w:sz w:val="24"/>
          <w:szCs w:val="24"/>
        </w:rPr>
        <w:t>.</w:t>
      </w:r>
    </w:p>
    <w:p w14:paraId="530E36D8" w14:textId="2B52717B"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18.</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Sipas Gjykatës, e drejta për proces të rregullt ligjor përfshin edhe të drejtën për të pasur një vendim gjyqësor të arsyetuar, që i garantohet individit nga nenet 42 dhe 142, pika 1, të Kushtetutës. </w:t>
      </w:r>
      <w:r w:rsidRPr="009955AA">
        <w:rPr>
          <w:rFonts w:ascii="Garamond" w:hAnsi="Garamond" w:cs="Times New Roman"/>
          <w:color w:val="000000"/>
          <w:sz w:val="24"/>
          <w:szCs w:val="24"/>
        </w:rPr>
        <w:lastRenderedPageBreak/>
        <w:t>Arsyetimi i vendimeve është element thelbësor i një vendimi të drejtë. Funksioni i një vendimi të arsyetuar është t’u tregojë palëve që ato janë dëgjuar, si dhe u jep mundësinë atyre ta kundërshtojnë atë (</w:t>
      </w:r>
      <w:r w:rsidRPr="009955AA">
        <w:rPr>
          <w:rFonts w:ascii="Garamond" w:hAnsi="Garamond" w:cs="Times New Roman"/>
          <w:i/>
          <w:iCs/>
          <w:color w:val="000000"/>
          <w:sz w:val="24"/>
          <w:szCs w:val="24"/>
        </w:rPr>
        <w:t>shih vendimet nr. 21, datë 26.9.2022; nr. 67, datë 10.11.2017 të Gjykatës Kushtetuese</w:t>
      </w:r>
      <w:r w:rsidRPr="009955AA">
        <w:rPr>
          <w:rFonts w:ascii="Garamond" w:hAnsi="Garamond" w:cs="Times New Roman"/>
          <w:color w:val="000000"/>
          <w:sz w:val="24"/>
          <w:szCs w:val="24"/>
        </w:rPr>
        <w:t xml:space="preserve">). </w:t>
      </w:r>
    </w:p>
    <w:p w14:paraId="635AE032" w14:textId="250AD321"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19.</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Gjykata rithekson se kontrolli i kushtetutshmërisë së një vendimi gjyqësor vlerësohet në një kontekst të caktuar faktesh që lidhen me të drejtën për proces të rregullt ligjor dhe se marrja e vendimit për çështje kushtetuese kushtëzohet nga përcaktimi i fakteve kushtetuese, mbi bazën e të cilave vlerësohet respektimi i së drejtës për një proces të rregullt ligjor </w:t>
      </w:r>
      <w:r w:rsidRPr="009955AA">
        <w:rPr>
          <w:rFonts w:ascii="Garamond" w:hAnsi="Garamond" w:cs="Times New Roman"/>
          <w:i/>
          <w:iCs/>
          <w:color w:val="000000"/>
          <w:sz w:val="24"/>
          <w:szCs w:val="24"/>
        </w:rPr>
        <w:t>(shih vendimin nr. 39, datë 5.5.2017 të Gjykatës Kushtetuese</w:t>
      </w:r>
      <w:r w:rsidRPr="009955AA">
        <w:rPr>
          <w:rFonts w:ascii="Garamond" w:hAnsi="Garamond" w:cs="Times New Roman"/>
          <w:color w:val="000000"/>
          <w:sz w:val="24"/>
          <w:szCs w:val="24"/>
        </w:rPr>
        <w:t xml:space="preserve">). </w:t>
      </w:r>
    </w:p>
    <w:p w14:paraId="3057D54D" w14:textId="478FC74B"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20.</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Në çështjen konkrete rezulton se ndaj vendimit të gjykatës së apelit kanë ushtruar rekurs kërkuesi nëpërmjet avokatit </w:t>
      </w:r>
      <w:proofErr w:type="spellStart"/>
      <w:r w:rsidRPr="009955AA">
        <w:rPr>
          <w:rFonts w:ascii="Garamond" w:hAnsi="Garamond" w:cs="Times New Roman"/>
          <w:color w:val="000000"/>
          <w:sz w:val="24"/>
          <w:szCs w:val="24"/>
        </w:rPr>
        <w:t>S.D</w:t>
      </w:r>
      <w:proofErr w:type="spellEnd"/>
      <w:r w:rsidRPr="009955AA">
        <w:rPr>
          <w:rFonts w:ascii="Garamond" w:hAnsi="Garamond" w:cs="Times New Roman"/>
          <w:color w:val="000000"/>
          <w:sz w:val="24"/>
          <w:szCs w:val="24"/>
        </w:rPr>
        <w:t xml:space="preserve">., i caktuar me prokurën e datës 27.7.2017 nga nëna e tij dhe Prokuroria pranë Gjykatës së Apelit Vlorë, i cili, sipas dëftesës së komunikimit, rezulton t’i jetë njoftuar nënës së kërkuesit, e cila ka vendosur shënimin </w:t>
      </w:r>
      <w:r w:rsidRPr="009955AA">
        <w:rPr>
          <w:rFonts w:ascii="Garamond" w:hAnsi="Garamond" w:cs="Times New Roman"/>
          <w:i/>
          <w:iCs/>
          <w:color w:val="000000"/>
          <w:sz w:val="24"/>
          <w:szCs w:val="24"/>
        </w:rPr>
        <w:t>“marr përsipër njoftimin e djalit”.</w:t>
      </w:r>
    </w:p>
    <w:p w14:paraId="349EBD78" w14:textId="14D84305"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21.</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Kolegji Penal i Gjykatës së Lartë, me </w:t>
      </w:r>
      <w:r w:rsidRPr="009955AA">
        <w:rPr>
          <w:rFonts w:ascii="Garamond" w:hAnsi="Garamond" w:cs="Times New Roman"/>
          <w:color w:val="231F20"/>
          <w:sz w:val="24"/>
          <w:szCs w:val="24"/>
        </w:rPr>
        <w:t xml:space="preserve">vendimin </w:t>
      </w:r>
      <w:r w:rsidRPr="009955AA">
        <w:rPr>
          <w:rFonts w:ascii="Garamond" w:hAnsi="Garamond" w:cs="Times New Roman"/>
          <w:color w:val="000000"/>
          <w:sz w:val="24"/>
          <w:szCs w:val="24"/>
        </w:rPr>
        <w:t xml:space="preserve">nr. 00-2023-574, datë 26.1.2023, fillimisht ka arsyetuar se rekurset e paraqitura nga kërkuesi dhe nga Prokuroria pranë Gjykatës së Apelit Vlorë plotësojnë kriteret formale të </w:t>
      </w:r>
      <w:proofErr w:type="spellStart"/>
      <w:r w:rsidRPr="009955AA">
        <w:rPr>
          <w:rFonts w:ascii="Garamond" w:hAnsi="Garamond" w:cs="Times New Roman"/>
          <w:color w:val="000000"/>
          <w:sz w:val="24"/>
          <w:szCs w:val="24"/>
        </w:rPr>
        <w:t>pranueshmërisë</w:t>
      </w:r>
      <w:proofErr w:type="spellEnd"/>
      <w:r w:rsidRPr="009955AA">
        <w:rPr>
          <w:rFonts w:ascii="Garamond" w:hAnsi="Garamond" w:cs="Times New Roman"/>
          <w:color w:val="000000"/>
          <w:sz w:val="24"/>
          <w:szCs w:val="24"/>
        </w:rPr>
        <w:t xml:space="preserve"> </w:t>
      </w:r>
      <w:r w:rsidRPr="009955AA">
        <w:rPr>
          <w:rFonts w:ascii="Garamond" w:hAnsi="Garamond" w:cs="Times New Roman"/>
          <w:i/>
          <w:iCs/>
          <w:color w:val="000000"/>
          <w:sz w:val="24"/>
          <w:szCs w:val="24"/>
        </w:rPr>
        <w:t>(shih paragrafin 17 të vendimit të Gjykatës së Lartë).</w:t>
      </w:r>
      <w:r w:rsidRPr="009955AA">
        <w:rPr>
          <w:rFonts w:ascii="Garamond" w:hAnsi="Garamond" w:cs="Times New Roman"/>
          <w:color w:val="000000"/>
          <w:sz w:val="24"/>
          <w:szCs w:val="24"/>
        </w:rPr>
        <w:t xml:space="preserve"> Në vijim, për sa i përket rekursit të kërkuesit, Kolegji Penal ka arsyetuar se ai nuk i plotëson kushtet formale për t’u marrë në shqyrtim, pasi mbrojtësi nuk ka qenë i caktuar me prokurë nga kërkuesi, duke mos u legjitimuar në këto kushte për të ushtruar të drejtën e rekursit në emër dhe për llogari të tij </w:t>
      </w:r>
      <w:r w:rsidRPr="009955AA">
        <w:rPr>
          <w:rFonts w:ascii="Garamond" w:hAnsi="Garamond" w:cs="Times New Roman"/>
          <w:i/>
          <w:iCs/>
          <w:color w:val="000000"/>
          <w:sz w:val="24"/>
          <w:szCs w:val="24"/>
        </w:rPr>
        <w:t>(shih paragrafin 21 të vendimi të Gjykatës së Lartë).</w:t>
      </w:r>
    </w:p>
    <w:p w14:paraId="48D77DE8"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22.</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Më konkretisht, Kolegji Penal i Gjykatës së Lartë ka arsyetuar se referuar neneve 410 dhe 435 të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 xml:space="preserve">-së, mbrojtësi i të pandehurit ka të drejtë të bëjë ankim vetëm kur është autorizuar posaçërisht nga i pandehuri për të ushtruar një të drejtë të tillë, ndërkohë që në çështjen në gjykim rekursi është paraqitur dhe nënshkruar nga një avokat i caktuar me prokurë të posaçme nga nëna e të gjykuarit/kërkuesit, që nuk rezulton të jetë autorizuar nga ai për të ushtruar rekurs </w:t>
      </w:r>
      <w:r w:rsidRPr="009955AA">
        <w:rPr>
          <w:rFonts w:ascii="Garamond" w:hAnsi="Garamond" w:cs="Times New Roman"/>
          <w:i/>
          <w:iCs/>
          <w:color w:val="000000"/>
          <w:sz w:val="24"/>
          <w:szCs w:val="24"/>
        </w:rPr>
        <w:t>(shih paragrafët 21-22 të vendimit të Gjykatës së Lartë).</w:t>
      </w:r>
    </w:p>
    <w:p w14:paraId="0E061AE8" w14:textId="6C28059F"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23.</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Në lidhje me këtë përfundim, Kolegji Penal i Gjykatës së Lartë ka evokuar qëndrimin e Gjykatës në vendimin nr. 30, datë 17.6.2010</w:t>
      </w:r>
      <w:r w:rsidRPr="009955AA">
        <w:rPr>
          <w:rFonts w:ascii="Garamond" w:hAnsi="Garamond" w:cs="Times New Roman"/>
          <w:i/>
          <w:iCs/>
          <w:color w:val="000000"/>
          <w:sz w:val="24"/>
          <w:szCs w:val="24"/>
        </w:rPr>
        <w:t>,</w:t>
      </w:r>
      <w:r w:rsidRPr="009955AA">
        <w:rPr>
          <w:rFonts w:ascii="Garamond" w:hAnsi="Garamond" w:cs="Times New Roman"/>
          <w:color w:val="000000"/>
          <w:sz w:val="24"/>
          <w:szCs w:val="24"/>
        </w:rPr>
        <w:t xml:space="preserve"> sipas të cilit e drejta e të pandehurit për të marrë pjesë në gjykim, si dhe për të zgjedhur përfaqësuesit ligjorë është një e drejtë kushtetuese vetjake, e cila nuk mund të transferohet te familjarët. Po ashtu, parashikimi në pikën 3 të nenit 48 të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 xml:space="preserve">-së për mundësinë e familjarëve për të pajisur me prokurë mbrojtësin e të pandehurit nuk nënkupton transferimin e së drejtës për të zgjedhur mbrojtësin nga i pandehuri te familjarët, por nënkupton ushtrimin e vullnetit të </w:t>
      </w:r>
      <w:proofErr w:type="spellStart"/>
      <w:r w:rsidRPr="009955AA">
        <w:rPr>
          <w:rFonts w:ascii="Garamond" w:hAnsi="Garamond" w:cs="Times New Roman"/>
          <w:color w:val="000000"/>
          <w:sz w:val="24"/>
          <w:szCs w:val="24"/>
        </w:rPr>
        <w:t>të</w:t>
      </w:r>
      <w:proofErr w:type="spellEnd"/>
      <w:r w:rsidRPr="009955AA">
        <w:rPr>
          <w:rFonts w:ascii="Garamond" w:hAnsi="Garamond" w:cs="Times New Roman"/>
          <w:color w:val="000000"/>
          <w:sz w:val="24"/>
          <w:szCs w:val="24"/>
        </w:rPr>
        <w:t xml:space="preserve"> pandehurit nëpërmjet familjarëve. Me fjalë të tjera, i pandehuri e ushtron këtë të drejtë vetjake nëpërmjet familjarëve të tij, të cilët kanë mundësinë objektive për të kontaktuar me avokatë, në mënyrë që këta të fundit të shqyrtojnë mundësinë për të marrë cilësinë e mbrojtësit ligjor të </w:t>
      </w:r>
      <w:proofErr w:type="spellStart"/>
      <w:r w:rsidRPr="009955AA">
        <w:rPr>
          <w:rFonts w:ascii="Garamond" w:hAnsi="Garamond" w:cs="Times New Roman"/>
          <w:color w:val="000000"/>
          <w:sz w:val="24"/>
          <w:szCs w:val="24"/>
        </w:rPr>
        <w:t>të</w:t>
      </w:r>
      <w:proofErr w:type="spellEnd"/>
      <w:r w:rsidRPr="009955AA">
        <w:rPr>
          <w:rFonts w:ascii="Garamond" w:hAnsi="Garamond" w:cs="Times New Roman"/>
          <w:color w:val="000000"/>
          <w:sz w:val="24"/>
          <w:szCs w:val="24"/>
        </w:rPr>
        <w:t xml:space="preserve"> pandehurit. Në këto kushte, në qoftë se ka mospërputhje ndërmjet vullnetit të </w:t>
      </w:r>
      <w:proofErr w:type="spellStart"/>
      <w:r w:rsidRPr="009955AA">
        <w:rPr>
          <w:rFonts w:ascii="Garamond" w:hAnsi="Garamond" w:cs="Times New Roman"/>
          <w:color w:val="000000"/>
          <w:sz w:val="24"/>
          <w:szCs w:val="24"/>
        </w:rPr>
        <w:t>të</w:t>
      </w:r>
      <w:proofErr w:type="spellEnd"/>
      <w:r w:rsidRPr="009955AA">
        <w:rPr>
          <w:rFonts w:ascii="Garamond" w:hAnsi="Garamond" w:cs="Times New Roman"/>
          <w:color w:val="000000"/>
          <w:sz w:val="24"/>
          <w:szCs w:val="24"/>
        </w:rPr>
        <w:t xml:space="preserve"> pandehurit dhe vullnetit të familjarëve të tij, që kanë keqinterpretuar vullnetin e të pandehurit ose kanë pasur një vullnet të ndryshëm për mbrojtësin ligjor, duhet të</w:t>
      </w:r>
      <w:r w:rsidR="00190038">
        <w:rPr>
          <w:rFonts w:ascii="Garamond" w:hAnsi="Garamond" w:cs="Times New Roman"/>
          <w:color w:val="000000"/>
          <w:sz w:val="24"/>
          <w:szCs w:val="24"/>
        </w:rPr>
        <w:t xml:space="preserve"> </w:t>
      </w:r>
      <w:r w:rsidRPr="009955AA">
        <w:rPr>
          <w:rFonts w:ascii="Garamond" w:hAnsi="Garamond" w:cs="Times New Roman"/>
          <w:color w:val="000000"/>
          <w:sz w:val="24"/>
          <w:szCs w:val="24"/>
        </w:rPr>
        <w:t>mbizotërojë vullneti i të pandehurit, i cili në çdo rast mund të refuzojë ose shkarkojë mbrojtësin e zgjedhur nga familjarët. Po ashtu, Kolegji Penal i Gjykatës së Lartë ka evokuar edhe</w:t>
      </w:r>
      <w:r w:rsidRPr="009955AA">
        <w:rPr>
          <w:rFonts w:ascii="Garamond" w:hAnsi="Garamond" w:cs="Times New Roman"/>
          <w:i/>
          <w:iCs/>
          <w:color w:val="000000"/>
          <w:sz w:val="24"/>
          <w:szCs w:val="24"/>
        </w:rPr>
        <w:t xml:space="preserve"> </w:t>
      </w:r>
      <w:r w:rsidRPr="009955AA">
        <w:rPr>
          <w:rFonts w:ascii="Garamond" w:hAnsi="Garamond" w:cs="Times New Roman"/>
          <w:color w:val="000000"/>
          <w:sz w:val="24"/>
          <w:szCs w:val="24"/>
        </w:rPr>
        <w:t xml:space="preserve">përfundimet e vendimit </w:t>
      </w:r>
      <w:proofErr w:type="spellStart"/>
      <w:r w:rsidRPr="009955AA">
        <w:rPr>
          <w:rFonts w:ascii="Garamond" w:hAnsi="Garamond" w:cs="Times New Roman"/>
          <w:color w:val="000000"/>
          <w:sz w:val="24"/>
          <w:szCs w:val="24"/>
        </w:rPr>
        <w:t>unifikues</w:t>
      </w:r>
      <w:proofErr w:type="spellEnd"/>
      <w:r w:rsidRPr="009955AA">
        <w:rPr>
          <w:rFonts w:ascii="Garamond" w:hAnsi="Garamond" w:cs="Times New Roman"/>
          <w:color w:val="000000"/>
          <w:sz w:val="24"/>
          <w:szCs w:val="24"/>
        </w:rPr>
        <w:t xml:space="preserve"> të Kolegjeve të Bashkuara nr. 1, datë 10.3.2014 </w:t>
      </w:r>
      <w:r w:rsidRPr="009955AA">
        <w:rPr>
          <w:rFonts w:ascii="Garamond" w:hAnsi="Garamond" w:cs="Times New Roman"/>
          <w:i/>
          <w:iCs/>
          <w:color w:val="000000"/>
          <w:sz w:val="24"/>
          <w:szCs w:val="24"/>
        </w:rPr>
        <w:t xml:space="preserve">(vendimi nr. 1/2014), </w:t>
      </w:r>
      <w:r w:rsidRPr="009955AA">
        <w:rPr>
          <w:rFonts w:ascii="Garamond" w:hAnsi="Garamond" w:cs="Times New Roman"/>
          <w:color w:val="000000"/>
          <w:sz w:val="24"/>
          <w:szCs w:val="24"/>
        </w:rPr>
        <w:t>konkretisht e</w:t>
      </w:r>
      <w:r w:rsidRPr="009955AA">
        <w:rPr>
          <w:rFonts w:ascii="Garamond" w:hAnsi="Garamond" w:cs="Times New Roman"/>
          <w:i/>
          <w:iCs/>
          <w:color w:val="000000"/>
          <w:sz w:val="24"/>
          <w:szCs w:val="24"/>
        </w:rPr>
        <w:t xml:space="preserve"> </w:t>
      </w:r>
      <w:r w:rsidRPr="009955AA">
        <w:rPr>
          <w:rFonts w:ascii="Garamond" w:hAnsi="Garamond" w:cs="Times New Roman"/>
          <w:color w:val="000000"/>
          <w:sz w:val="24"/>
          <w:szCs w:val="24"/>
        </w:rPr>
        <w:t xml:space="preserve">drejta për të bërë ankim, në vështrim të përcaktimit ligjor të bërë nga ligjvënësi në nenet 50, pika 1 e 410 të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-së, është një e drejtë e cila i rezervohet personalisht të pandehurit. I pandehuri lejohet gjithashtu të delegojë të drejtën për të bërë ankim te mbrojtësi, duke e ushtruar këtë vullnet nëpërmjet delegimit te një i afërm. I afërmi nuk zgjedh mbrojtës dhe nuk delegon të drejtën për ankim në mënyrë autonome. Ankimi i mbrojtësit të zgjedhur nga të afërmit lejohet vetëm nëse provohet se (i) zgjedhja e mbrojtësit dhe (</w:t>
      </w:r>
      <w:proofErr w:type="spellStart"/>
      <w:r w:rsidRPr="009955AA">
        <w:rPr>
          <w:rFonts w:ascii="Garamond" w:hAnsi="Garamond" w:cs="Times New Roman"/>
          <w:color w:val="000000"/>
          <w:sz w:val="24"/>
          <w:szCs w:val="24"/>
        </w:rPr>
        <w:t>ii</w:t>
      </w:r>
      <w:proofErr w:type="spellEnd"/>
      <w:r w:rsidRPr="009955AA">
        <w:rPr>
          <w:rFonts w:ascii="Garamond" w:hAnsi="Garamond" w:cs="Times New Roman"/>
          <w:color w:val="000000"/>
          <w:sz w:val="24"/>
          <w:szCs w:val="24"/>
        </w:rPr>
        <w:t xml:space="preserve">) delegimi i mbrojtësit për të ushtruar ankim janë rezultat i vullnetit të plotë dhe eksplicit të titullarit të kësaj të drejte, që është i pandehuri. Mënyra dhe forma të përcaktuara nga ligji për këtë delegim janë ato të përcaktuara në pikën 2 të nenit 48 të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 xml:space="preserve">-së. Referuar kësaj jurisprudence, Kolegji Penal i Gjykatës së Lartë ka arritur në konkluzionin se në çështjen në gjykim rezulton se rekursi është ushtruar nga një mbrojtës që nuk e ka tagrin për ta ushtruar një të drejtë të tillë për sa kohë nuk rezulton që i gjykuari (kërkuesi), në mënyrë të shprehur, të ketë deleguar të drejtën për të bërë rekurs te familjarët e tij dhe as te mbrojtësi </w:t>
      </w:r>
      <w:r w:rsidRPr="009955AA">
        <w:rPr>
          <w:rFonts w:ascii="Garamond" w:hAnsi="Garamond" w:cs="Times New Roman"/>
          <w:i/>
          <w:iCs/>
          <w:color w:val="000000"/>
          <w:sz w:val="24"/>
          <w:szCs w:val="24"/>
        </w:rPr>
        <w:t>(shih paragrafët 23-24 të vendimit Gjykatës së Lartë).</w:t>
      </w:r>
      <w:r w:rsidRPr="009955AA">
        <w:rPr>
          <w:rFonts w:ascii="Garamond" w:hAnsi="Garamond" w:cs="Times New Roman"/>
          <w:color w:val="000000"/>
          <w:sz w:val="24"/>
          <w:szCs w:val="24"/>
        </w:rPr>
        <w:t xml:space="preserve"> </w:t>
      </w:r>
    </w:p>
    <w:p w14:paraId="1B42DFCB"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lastRenderedPageBreak/>
        <w:t>24.</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Nga ana tjetër, pavarësisht sa më sipër, Kolegji Penal i Gjykatës së Lartë ka vlerësuar se edhe shkaqet e parashtruara në rekursin e bërë në emër e për llogari të </w:t>
      </w:r>
      <w:proofErr w:type="spellStart"/>
      <w:r w:rsidRPr="009955AA">
        <w:rPr>
          <w:rFonts w:ascii="Garamond" w:hAnsi="Garamond" w:cs="Times New Roman"/>
          <w:color w:val="000000"/>
          <w:sz w:val="24"/>
          <w:szCs w:val="24"/>
        </w:rPr>
        <w:t>të</w:t>
      </w:r>
      <w:proofErr w:type="spellEnd"/>
      <w:r w:rsidRPr="009955AA">
        <w:rPr>
          <w:rFonts w:ascii="Garamond" w:hAnsi="Garamond" w:cs="Times New Roman"/>
          <w:color w:val="000000"/>
          <w:sz w:val="24"/>
          <w:szCs w:val="24"/>
        </w:rPr>
        <w:t xml:space="preserve"> gjykuarit (kërkuesit) nuk u përmbahen shkaqeve të përcaktuara nga neni 432, pika 1, i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-së. Bazuar në këto rrethana</w:t>
      </w:r>
      <w:r w:rsidRPr="009955AA">
        <w:rPr>
          <w:rFonts w:ascii="Garamond" w:hAnsi="Garamond" w:cs="Times New Roman"/>
          <w:color w:val="FF0000"/>
          <w:sz w:val="24"/>
          <w:szCs w:val="24"/>
        </w:rPr>
        <w:t>,</w:t>
      </w:r>
      <w:r w:rsidRPr="009955AA">
        <w:rPr>
          <w:rFonts w:ascii="Garamond" w:hAnsi="Garamond" w:cs="Times New Roman"/>
          <w:color w:val="000000"/>
          <w:sz w:val="24"/>
          <w:szCs w:val="24"/>
        </w:rPr>
        <w:t xml:space="preserve"> Kolegji Penal ka vendosur mospranimin e rekursit </w:t>
      </w:r>
      <w:r w:rsidRPr="009955AA">
        <w:rPr>
          <w:rFonts w:ascii="Garamond" w:hAnsi="Garamond" w:cs="Times New Roman"/>
          <w:i/>
          <w:iCs/>
          <w:color w:val="000000"/>
          <w:sz w:val="24"/>
          <w:szCs w:val="24"/>
        </w:rPr>
        <w:t>(shih paragrafin 25 të vendimit të Gjykatës së Lartë).</w:t>
      </w:r>
      <w:r w:rsidRPr="009955AA">
        <w:rPr>
          <w:rFonts w:ascii="Garamond" w:hAnsi="Garamond" w:cs="Times New Roman"/>
          <w:color w:val="000000"/>
          <w:sz w:val="24"/>
          <w:szCs w:val="24"/>
        </w:rPr>
        <w:t xml:space="preserve"> </w:t>
      </w:r>
    </w:p>
    <w:p w14:paraId="6F903A59"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25.</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Gjykata konstaton se kërkuesi gjatë gjithë procesit penal ka qenë në kushtet e heqjes së lirisë. Fillimisht, ai ka qenë nën masën e sigurimit “Arresti në burg” dhe pas vendimit të gjykatës së apelit duke vuajtur dënimin me burgim të caktuar ndaj tij. </w:t>
      </w:r>
    </w:p>
    <w:p w14:paraId="0B1B4CBD" w14:textId="0725AEC1"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26.</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Në pikën 3 të nenit 48 të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-së përcaktohet se zgjedhja e mbrojtësit për personin e (...) arrestuar ose</w:t>
      </w:r>
      <w:r w:rsidRPr="009955AA">
        <w:rPr>
          <w:rFonts w:ascii="Garamond" w:hAnsi="Garamond" w:cs="Times New Roman"/>
          <w:b/>
          <w:bCs/>
          <w:color w:val="000000"/>
          <w:sz w:val="24"/>
          <w:szCs w:val="24"/>
        </w:rPr>
        <w:t xml:space="preserve"> </w:t>
      </w:r>
      <w:r w:rsidRPr="009955AA">
        <w:rPr>
          <w:rFonts w:ascii="Garamond" w:hAnsi="Garamond" w:cs="Times New Roman"/>
          <w:color w:val="000000"/>
          <w:sz w:val="24"/>
          <w:szCs w:val="24"/>
        </w:rPr>
        <w:t>dënuar me burgim, derisa ky person nuk e ka bërë vetë zgjedhjen, mund të bëhet nga një i afërm i tij, në format e parashikuara nga paragrafi 2</w:t>
      </w:r>
      <w:r w:rsidRPr="009955AA">
        <w:rPr>
          <w:rFonts w:ascii="Garamond" w:hAnsi="Garamond" w:cs="Times New Roman"/>
          <w:i/>
          <w:iCs/>
          <w:color w:val="000000"/>
          <w:sz w:val="24"/>
          <w:szCs w:val="24"/>
        </w:rPr>
        <w:t>.</w:t>
      </w:r>
      <w:r w:rsidRPr="009955AA">
        <w:rPr>
          <w:rFonts w:ascii="Garamond" w:hAnsi="Garamond" w:cs="Times New Roman"/>
          <w:color w:val="000000"/>
          <w:sz w:val="24"/>
          <w:szCs w:val="24"/>
        </w:rPr>
        <w:t xml:space="preserve"> Megjithatë, Gjykata e Lartë në vendimin e</w:t>
      </w:r>
      <w:r w:rsidR="00190038">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saj nuk e ka trajtuar çështjen duke u bazuar në këtë parashikim ligjor të interpretuar nga Kolegjet e Bashkuara të Gjykatës së Lartë në paragrafin 25 të vendimit </w:t>
      </w:r>
      <w:proofErr w:type="spellStart"/>
      <w:r w:rsidRPr="009955AA">
        <w:rPr>
          <w:rFonts w:ascii="Garamond" w:hAnsi="Garamond" w:cs="Times New Roman"/>
          <w:color w:val="000000"/>
          <w:sz w:val="24"/>
          <w:szCs w:val="24"/>
        </w:rPr>
        <w:t>unifikues</w:t>
      </w:r>
      <w:proofErr w:type="spellEnd"/>
      <w:r w:rsidRPr="009955AA">
        <w:rPr>
          <w:rFonts w:ascii="Garamond" w:hAnsi="Garamond" w:cs="Times New Roman"/>
          <w:color w:val="000000"/>
          <w:sz w:val="24"/>
          <w:szCs w:val="24"/>
        </w:rPr>
        <w:t xml:space="preserve"> nr. 1/2014, ku është arritur në përfundimin se përcaktimi se i afërmi i të pandehurit ka të drejtë të zgjedhë mbrojtës, në kuptim të pikës 3 të nenit 48 të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 xml:space="preserve">-së, vetëm në rastet kur i pandehuri gjendet i izoluar, në kushtet e kufizimit të lirisë personale, është i qartë dhe nuk ka nevojë për interpretim </w:t>
      </w:r>
      <w:proofErr w:type="spellStart"/>
      <w:r w:rsidRPr="009955AA">
        <w:rPr>
          <w:rFonts w:ascii="Garamond" w:hAnsi="Garamond" w:cs="Times New Roman"/>
          <w:color w:val="000000"/>
          <w:sz w:val="24"/>
          <w:szCs w:val="24"/>
        </w:rPr>
        <w:t>unifikues</w:t>
      </w:r>
      <w:proofErr w:type="spellEnd"/>
      <w:r w:rsidRPr="009955AA">
        <w:rPr>
          <w:rFonts w:ascii="Garamond" w:hAnsi="Garamond" w:cs="Times New Roman"/>
          <w:color w:val="000000"/>
          <w:sz w:val="24"/>
          <w:szCs w:val="24"/>
        </w:rPr>
        <w:t>. Në këtë rast, mbrojtësi i zgjedhur nga të afërmit e personit në kushtet e kufizimit të lirisë personale do të konsiderohet, për efekt të ligjit, si mbrojtës i zgjedhur.</w:t>
      </w:r>
    </w:p>
    <w:p w14:paraId="315BB16C" w14:textId="566CA6B0"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9955AA">
        <w:rPr>
          <w:rFonts w:ascii="Garamond" w:hAnsi="Garamond" w:cs="Times New Roman"/>
          <w:color w:val="000000"/>
          <w:sz w:val="24"/>
          <w:szCs w:val="24"/>
        </w:rPr>
        <w:t>27.</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Gjykata vlerëson se në rastin në shqyrtim Gjykata e Lartë ka mbajtur një qëndrim formalist për sa i përket paraqitjes së rekursit nga mbrojtësi i zgjedhur nga nëna e kërkuesit, duke arsyetuar se nuk rezulton që kërkuesi në mënyrë të shprehur të ketë deleguar të drejtën për të bërë rekurs dhe nuk ka shkuar përtej një kontrolli formal të prokurës, në drejtim të verifikimit nëse zgjedhja e mbrojtësit nga nëna e të gjykuarit ishte rezultat i vullnetit të plotë të këtij të fundit. Një gjë e tillë rezulton edhe nga jurisprudenca kushtetuese e cituar nga vetë Gjykata e Lartë,</w:t>
      </w:r>
      <w:r w:rsidR="00190038">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sipas së cilës zgjedhja e përfaqësuesit ligjor është një e drejtë kushtetuese vetjake dhe se mundësia e familjarëve për të zgjedhur një të tillë për të afërmin e tyre të ndaluar, të arrestuar ose të dënuar me burgim, derisa ai nuk e ka bërë vetë zgjedhjen, sipas parashikimit të nenit 48, pika 3, të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 xml:space="preserve">-së, nënkupton edhe ushtrimin e vullnetit të tij nëpërmjet familjarëve, për sa kohë midis vullneteve të tyre nuk ka mospërputhje, në të kundërt mbizotëron vullneti i personit dhe jo i familjarëve. Këtë qëndrim Gjykata e ka ritheksuar edhe në raste të tjera të tjera përveç vendimit të cituar nga Gjykata e Lartë </w:t>
      </w:r>
      <w:r w:rsidRPr="009955AA">
        <w:rPr>
          <w:rFonts w:ascii="Garamond" w:hAnsi="Garamond" w:cs="Times New Roman"/>
          <w:i/>
          <w:iCs/>
          <w:color w:val="000000"/>
          <w:sz w:val="24"/>
          <w:szCs w:val="24"/>
        </w:rPr>
        <w:t>(shih vendimin nr. 10, datë 12.4.2022 të Gjykatës Kushtetuese).</w:t>
      </w:r>
    </w:p>
    <w:p w14:paraId="25B25002"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28.</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Në rastin konkret, Kolegji Penal i Gjykatës së Lartë nuk ka bërë asnjë përpjekje për të verifikuar nëse zgjedhja e mbrojtësit nga nëna e kërkuesit ishte ose jo në përputhje me vullnetin e kërkuesit. Nga ana tjetër, referuar kërkesës në Gjykatë, rezulton se vullneti i nënës së kërkuesit për zgjedhjen e një mbrojtësi për të përputhet me vullnetin e tij. </w:t>
      </w:r>
    </w:p>
    <w:p w14:paraId="44B4130D"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29.</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 xml:space="preserve">Pavarësisht kësaj, Kolegji Penal i Gjykatës së Lartë e ka kapërcyer kriterin formal të </w:t>
      </w:r>
      <w:proofErr w:type="spellStart"/>
      <w:r w:rsidRPr="009955AA">
        <w:rPr>
          <w:rFonts w:ascii="Garamond" w:hAnsi="Garamond" w:cs="Times New Roman"/>
          <w:color w:val="000000"/>
          <w:sz w:val="24"/>
          <w:szCs w:val="24"/>
        </w:rPr>
        <w:t>pranueshmërisë</w:t>
      </w:r>
      <w:proofErr w:type="spellEnd"/>
      <w:r w:rsidRPr="009955AA">
        <w:rPr>
          <w:rFonts w:ascii="Garamond" w:hAnsi="Garamond" w:cs="Times New Roman"/>
          <w:color w:val="000000"/>
          <w:sz w:val="24"/>
          <w:szCs w:val="24"/>
        </w:rPr>
        <w:t xml:space="preserve"> për shqyrtim të rekursit të kërkuesit, duke vënë në diskutim kriterin substancial të </w:t>
      </w:r>
      <w:proofErr w:type="spellStart"/>
      <w:r w:rsidRPr="009955AA">
        <w:rPr>
          <w:rFonts w:ascii="Garamond" w:hAnsi="Garamond" w:cs="Times New Roman"/>
          <w:color w:val="000000"/>
          <w:sz w:val="24"/>
          <w:szCs w:val="24"/>
        </w:rPr>
        <w:t>pranueshmërisë</w:t>
      </w:r>
      <w:proofErr w:type="spellEnd"/>
      <w:r w:rsidRPr="009955AA">
        <w:rPr>
          <w:rFonts w:ascii="Garamond" w:hAnsi="Garamond" w:cs="Times New Roman"/>
          <w:color w:val="000000"/>
          <w:sz w:val="24"/>
          <w:szCs w:val="24"/>
        </w:rPr>
        <w:t xml:space="preserve"> së tij, atë të parashtrimit në rekurs të shkaqeve nga ato të parashikuara nga ligji procedural dhe, më tej, nëse ato ishin ose jo haptazi të pabazuara, duke arritur në përfundimin se shkaqet ishin të ndryshme nga ato që parashikon ligji, pasi nuk u përmbaheshin shkaqeve të përcaktuara nga neni 432, pika 1, i </w:t>
      </w:r>
      <w:proofErr w:type="spellStart"/>
      <w:r w:rsidRPr="009955AA">
        <w:rPr>
          <w:rFonts w:ascii="Garamond" w:hAnsi="Garamond" w:cs="Times New Roman"/>
          <w:color w:val="000000"/>
          <w:sz w:val="24"/>
          <w:szCs w:val="24"/>
        </w:rPr>
        <w:t>KPP</w:t>
      </w:r>
      <w:proofErr w:type="spellEnd"/>
      <w:r w:rsidRPr="009955AA">
        <w:rPr>
          <w:rFonts w:ascii="Garamond" w:hAnsi="Garamond" w:cs="Times New Roman"/>
          <w:color w:val="000000"/>
          <w:sz w:val="24"/>
          <w:szCs w:val="24"/>
        </w:rPr>
        <w:t>-së. Në këtë drejtim, Gjykata, nga përmbajtja e rekursit, vëren se në të ishin parashtruar pretendime me natyrë kushtetuese, kryesisht në lidhje me cenimin e së drejtës për t’u mbrojtur gjatë gjykimit në gjykatat e zakonshme dhe me individualizimin e dënimit. Në drejtim të së drejtës së mbrojtjes, Gjykata, nisur nga rrethanat e çështjes konkrete, evidenton rëndësinë dhe efektivitetin e saj për personin e gjykuar gjatë procesit gjyqësor penal dhe përgjegjshmërinë që duhet të ketë avokati i zgjedhur me vullnetin e personit, po ashtu edhe ai i caktuar kryesisht nga gjykata në realizimin e së drejtës për proces të rregullt ligjor.</w:t>
      </w:r>
    </w:p>
    <w:p w14:paraId="4B4BA7A6" w14:textId="22400399"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30.</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Në vijim, Gjykata, duke ritheksuar se kontrolli i respektimit të standardeve kushtetuese për proces të rregullt ligjor është funksion edhe i gjykatave të zakonshme, për më tepër i Gjykatës së Lartë, e cila i ka të gjitha mjetet dhe kompetencat për të kryer një rol që shkon përtej ligjit dhe synon të drejtën (</w:t>
      </w:r>
      <w:r w:rsidRPr="009955AA">
        <w:rPr>
          <w:rFonts w:ascii="Garamond" w:hAnsi="Garamond" w:cs="Times New Roman"/>
          <w:i/>
          <w:iCs/>
          <w:color w:val="000000"/>
          <w:sz w:val="24"/>
          <w:szCs w:val="24"/>
        </w:rPr>
        <w:t>shih vendimet nr. 32, datë 3.11.2022; nr. 79, datë 14.12.2017 të Gjykatës Kushtetuese</w:t>
      </w:r>
      <w:r w:rsidRPr="009955AA">
        <w:rPr>
          <w:rFonts w:ascii="Garamond" w:hAnsi="Garamond" w:cs="Times New Roman"/>
          <w:color w:val="000000"/>
          <w:sz w:val="24"/>
          <w:szCs w:val="24"/>
        </w:rPr>
        <w:t xml:space="preserve">), vlerëson se për sa kohë çështja do të merret përsëri në shqyrtim nga Gjykata e Lartë, ajo do t’u japë përgjigje të </w:t>
      </w:r>
      <w:r w:rsidRPr="009955AA">
        <w:rPr>
          <w:rFonts w:ascii="Garamond" w:hAnsi="Garamond" w:cs="Times New Roman"/>
          <w:color w:val="000000"/>
          <w:sz w:val="24"/>
          <w:szCs w:val="24"/>
        </w:rPr>
        <w:lastRenderedPageBreak/>
        <w:t xml:space="preserve">arsyetuar pretendimeve me natyrë kushtetuese të ngritura në rekurs nga kërkuesi, në respektim të së drejtës së </w:t>
      </w:r>
      <w:proofErr w:type="spellStart"/>
      <w:r w:rsidRPr="009955AA">
        <w:rPr>
          <w:rFonts w:ascii="Garamond" w:hAnsi="Garamond" w:cs="Times New Roman"/>
          <w:color w:val="000000"/>
          <w:sz w:val="24"/>
          <w:szCs w:val="24"/>
        </w:rPr>
        <w:t>aksesit</w:t>
      </w:r>
      <w:proofErr w:type="spellEnd"/>
      <w:r w:rsidRPr="009955AA">
        <w:rPr>
          <w:rFonts w:ascii="Garamond" w:hAnsi="Garamond" w:cs="Times New Roman"/>
          <w:color w:val="000000"/>
          <w:sz w:val="24"/>
          <w:szCs w:val="24"/>
        </w:rPr>
        <w:t xml:space="preserve"> të lidhur me ankimin efektiv dhe standardin e arsyetimit të vendimit gjyqësor.</w:t>
      </w:r>
    </w:p>
    <w:p w14:paraId="306B618C"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9955AA">
        <w:rPr>
          <w:rFonts w:ascii="Garamond" w:hAnsi="Garamond" w:cs="Times New Roman"/>
          <w:color w:val="222222"/>
          <w:sz w:val="24"/>
          <w:szCs w:val="24"/>
        </w:rPr>
        <w:t>31.</w:t>
      </w:r>
      <w:r w:rsidR="00CC2D26" w:rsidRPr="009955AA">
        <w:rPr>
          <w:rFonts w:ascii="Garamond" w:hAnsi="Garamond" w:cs="Times New Roman"/>
          <w:color w:val="222222"/>
          <w:sz w:val="24"/>
          <w:szCs w:val="24"/>
        </w:rPr>
        <w:t xml:space="preserve"> </w:t>
      </w:r>
      <w:r w:rsidRPr="009955AA">
        <w:rPr>
          <w:rFonts w:ascii="Garamond" w:hAnsi="Garamond" w:cs="Times New Roman"/>
          <w:color w:val="222222"/>
          <w:sz w:val="24"/>
          <w:szCs w:val="24"/>
        </w:rPr>
        <w:t>Në përfundim, Gjykata çmon se pretendimi për cenimin e së drejtës për proces të rregullt ligjor, sipas arsyetimit të mësipërm të këtij vendimi, është i bazuar, ndaj dhe kërkesa pranohet.</w:t>
      </w:r>
    </w:p>
    <w:p w14:paraId="228A1453" w14:textId="77777777" w:rsidR="003E6A29" w:rsidRPr="009955AA" w:rsidRDefault="003E6A29" w:rsidP="003E6A29">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p>
    <w:p w14:paraId="263A6D2D" w14:textId="77777777" w:rsidR="003E6A29" w:rsidRPr="009955AA" w:rsidRDefault="003E6A29" w:rsidP="003E6A29">
      <w:pPr>
        <w:autoSpaceDE w:val="0"/>
        <w:autoSpaceDN w:val="0"/>
        <w:adjustRightInd w:val="0"/>
        <w:spacing w:after="0" w:line="240" w:lineRule="auto"/>
        <w:ind w:firstLine="284"/>
        <w:jc w:val="center"/>
        <w:rPr>
          <w:rFonts w:ascii="Garamond" w:hAnsi="Garamond" w:cs="Times New Roman"/>
          <w:bCs/>
          <w:color w:val="000000"/>
          <w:sz w:val="24"/>
          <w:szCs w:val="24"/>
        </w:rPr>
      </w:pPr>
      <w:r w:rsidRPr="009955AA">
        <w:rPr>
          <w:rFonts w:ascii="Garamond" w:hAnsi="Garamond" w:cs="Times New Roman"/>
          <w:bCs/>
          <w:color w:val="000000"/>
          <w:sz w:val="24"/>
          <w:szCs w:val="24"/>
        </w:rPr>
        <w:t>PËR KËTO ARSYE,</w:t>
      </w:r>
    </w:p>
    <w:p w14:paraId="2A7B1397" w14:textId="77777777" w:rsidR="00CC2D26" w:rsidRPr="009955AA" w:rsidRDefault="00CC2D26" w:rsidP="003E6A29">
      <w:pPr>
        <w:autoSpaceDE w:val="0"/>
        <w:autoSpaceDN w:val="0"/>
        <w:adjustRightInd w:val="0"/>
        <w:spacing w:after="0" w:line="240" w:lineRule="auto"/>
        <w:ind w:firstLine="284"/>
        <w:jc w:val="center"/>
        <w:rPr>
          <w:rFonts w:ascii="Garamond" w:hAnsi="Garamond" w:cs="Calibri"/>
          <w:color w:val="000000"/>
          <w:sz w:val="24"/>
          <w:szCs w:val="24"/>
        </w:rPr>
      </w:pPr>
    </w:p>
    <w:p w14:paraId="4EAB6331" w14:textId="251DA096" w:rsidR="003E6A29" w:rsidRPr="009955AA" w:rsidRDefault="003E6A29" w:rsidP="003E6A29">
      <w:pPr>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Gjykata Kushtetuese, në mbështetje të neneve 131, pika 1, shkronja “f” dhe 134, pika 1, shkronja “i”, të Kushtetutës, si dhe neneve 71 dhe 72 të ligjit nr. 8577, datë 10.2.2000</w:t>
      </w:r>
      <w:r w:rsidR="00EA54DD">
        <w:rPr>
          <w:rFonts w:ascii="Garamond" w:hAnsi="Garamond" w:cs="Times New Roman"/>
          <w:color w:val="000000"/>
          <w:sz w:val="24"/>
          <w:szCs w:val="24"/>
        </w:rPr>
        <w:t>,</w:t>
      </w:r>
      <w:r w:rsidRPr="009955AA">
        <w:rPr>
          <w:rFonts w:ascii="Garamond" w:hAnsi="Garamond" w:cs="Times New Roman"/>
          <w:color w:val="000000"/>
          <w:sz w:val="24"/>
          <w:szCs w:val="24"/>
        </w:rPr>
        <w:t xml:space="preserve"> “Për organizimin dhe funksionimin e Gjykatës Kushtetuese të Republikës së Shqipërisë”, të ndryshuar, njëzëri,</w:t>
      </w:r>
    </w:p>
    <w:p w14:paraId="200938C0" w14:textId="77777777" w:rsidR="00CC2D26" w:rsidRPr="009955AA" w:rsidRDefault="00CC2D26" w:rsidP="003E6A29">
      <w:pPr>
        <w:autoSpaceDE w:val="0"/>
        <w:autoSpaceDN w:val="0"/>
        <w:adjustRightInd w:val="0"/>
        <w:spacing w:after="0" w:line="240" w:lineRule="auto"/>
        <w:ind w:firstLine="284"/>
        <w:jc w:val="both"/>
        <w:rPr>
          <w:rFonts w:ascii="Garamond" w:hAnsi="Garamond" w:cs="Times New Roman"/>
          <w:color w:val="000000"/>
          <w:sz w:val="24"/>
          <w:szCs w:val="24"/>
        </w:rPr>
      </w:pPr>
    </w:p>
    <w:p w14:paraId="1CD2F173" w14:textId="77777777" w:rsidR="003E6A29" w:rsidRPr="009955AA" w:rsidRDefault="00CC2D26" w:rsidP="003E6A29">
      <w:pPr>
        <w:autoSpaceDE w:val="0"/>
        <w:autoSpaceDN w:val="0"/>
        <w:adjustRightInd w:val="0"/>
        <w:spacing w:after="0" w:line="240" w:lineRule="auto"/>
        <w:ind w:firstLine="284"/>
        <w:jc w:val="center"/>
        <w:rPr>
          <w:rFonts w:ascii="Garamond" w:hAnsi="Garamond" w:cs="Times New Roman"/>
          <w:bCs/>
          <w:color w:val="000000"/>
          <w:sz w:val="24"/>
          <w:szCs w:val="24"/>
        </w:rPr>
      </w:pPr>
      <w:r w:rsidRPr="009955AA">
        <w:rPr>
          <w:rFonts w:ascii="Garamond" w:hAnsi="Garamond" w:cs="Times New Roman"/>
          <w:bCs/>
          <w:color w:val="000000"/>
          <w:sz w:val="24"/>
          <w:szCs w:val="24"/>
        </w:rPr>
        <w:t>VENDOSI:</w:t>
      </w:r>
    </w:p>
    <w:p w14:paraId="63857821" w14:textId="77777777" w:rsidR="00CC2D26" w:rsidRPr="009955AA" w:rsidRDefault="00CC2D26" w:rsidP="003E6A29">
      <w:pPr>
        <w:autoSpaceDE w:val="0"/>
        <w:autoSpaceDN w:val="0"/>
        <w:adjustRightInd w:val="0"/>
        <w:spacing w:after="0" w:line="240" w:lineRule="auto"/>
        <w:ind w:firstLine="284"/>
        <w:jc w:val="center"/>
        <w:rPr>
          <w:rFonts w:ascii="Garamond" w:hAnsi="Garamond" w:cs="Times New Roman"/>
          <w:b/>
          <w:bCs/>
          <w:color w:val="000000"/>
          <w:sz w:val="24"/>
          <w:szCs w:val="24"/>
        </w:rPr>
      </w:pPr>
    </w:p>
    <w:p w14:paraId="125E8267" w14:textId="77777777" w:rsidR="003E6A29" w:rsidRPr="009955AA" w:rsidRDefault="003E6A29" w:rsidP="003E6A29">
      <w:pPr>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1.</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Pranimin e kërkesës.</w:t>
      </w:r>
    </w:p>
    <w:p w14:paraId="4EBD58EC" w14:textId="07FF8DE6" w:rsidR="003E6A29" w:rsidRPr="009955AA" w:rsidRDefault="003E6A29" w:rsidP="003E6A29">
      <w:pPr>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2.</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Shfuqizimin e vendimit nr. 00-2023-574, datë 26.1.2023</w:t>
      </w:r>
      <w:r w:rsidR="00A347E6">
        <w:rPr>
          <w:rFonts w:ascii="Garamond" w:hAnsi="Garamond" w:cs="Times New Roman"/>
          <w:color w:val="000000"/>
          <w:sz w:val="24"/>
          <w:szCs w:val="24"/>
        </w:rPr>
        <w:t>,</w:t>
      </w:r>
      <w:bookmarkStart w:id="0" w:name="_GoBack"/>
      <w:bookmarkEnd w:id="0"/>
      <w:r w:rsidRPr="009955AA">
        <w:rPr>
          <w:rFonts w:ascii="Garamond" w:hAnsi="Garamond" w:cs="Times New Roman"/>
          <w:color w:val="000000"/>
          <w:sz w:val="24"/>
          <w:szCs w:val="24"/>
        </w:rPr>
        <w:t xml:space="preserve"> të Kolegjit Penal të Gjykatës së Lartë, si të papajtueshëm me Kushtetutën e Republikës së Shqipërisë.</w:t>
      </w:r>
    </w:p>
    <w:p w14:paraId="510935B8" w14:textId="77777777" w:rsidR="003E6A29" w:rsidRPr="009955AA" w:rsidRDefault="003E6A29" w:rsidP="003E6A29">
      <w:pPr>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3.</w:t>
      </w:r>
      <w:r w:rsidR="00CC2D26" w:rsidRPr="009955AA">
        <w:rPr>
          <w:rFonts w:ascii="Garamond" w:hAnsi="Garamond" w:cs="Times New Roman"/>
          <w:color w:val="000000"/>
          <w:sz w:val="24"/>
          <w:szCs w:val="24"/>
        </w:rPr>
        <w:t xml:space="preserve"> </w:t>
      </w:r>
      <w:r w:rsidRPr="009955AA">
        <w:rPr>
          <w:rFonts w:ascii="Garamond" w:hAnsi="Garamond" w:cs="Times New Roman"/>
          <w:color w:val="000000"/>
          <w:sz w:val="24"/>
          <w:szCs w:val="24"/>
        </w:rPr>
        <w:t>Dërgimin e çështjes për shqyrtim në Gjykatën e Lartë.</w:t>
      </w:r>
    </w:p>
    <w:p w14:paraId="695EA178" w14:textId="77777777" w:rsidR="00CC2D26" w:rsidRPr="009955AA" w:rsidRDefault="003E6A29" w:rsidP="00CC2D26">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9955AA">
        <w:rPr>
          <w:rFonts w:ascii="Garamond" w:hAnsi="Garamond" w:cs="Times New Roman"/>
          <w:color w:val="000000"/>
          <w:sz w:val="24"/>
          <w:szCs w:val="24"/>
        </w:rPr>
        <w:t>Ky vendim është përfundimtar dhe hyn në fuqi ditën e botimit në Fletoren Zyrtare.</w:t>
      </w:r>
    </w:p>
    <w:p w14:paraId="26862273" w14:textId="77777777" w:rsidR="00EA54DD" w:rsidRDefault="00EA54DD" w:rsidP="00CC2D26">
      <w:pPr>
        <w:tabs>
          <w:tab w:val="left" w:pos="1800"/>
        </w:tabs>
        <w:autoSpaceDE w:val="0"/>
        <w:autoSpaceDN w:val="0"/>
        <w:adjustRightInd w:val="0"/>
        <w:spacing w:after="0" w:line="240" w:lineRule="auto"/>
        <w:ind w:firstLine="284"/>
        <w:jc w:val="both"/>
        <w:rPr>
          <w:rFonts w:ascii="Garamond" w:hAnsi="Garamond" w:cs="Times New Roman"/>
          <w:b/>
          <w:bCs/>
          <w:color w:val="000000"/>
          <w:sz w:val="24"/>
          <w:szCs w:val="24"/>
        </w:rPr>
      </w:pPr>
    </w:p>
    <w:p w14:paraId="6E655953" w14:textId="433034E1" w:rsidR="00CC2D26" w:rsidRPr="009955AA" w:rsidRDefault="003E6A29" w:rsidP="00CC2D26">
      <w:pPr>
        <w:tabs>
          <w:tab w:val="left" w:pos="1800"/>
        </w:tabs>
        <w:autoSpaceDE w:val="0"/>
        <w:autoSpaceDN w:val="0"/>
        <w:adjustRightInd w:val="0"/>
        <w:spacing w:after="0" w:line="240" w:lineRule="auto"/>
        <w:ind w:firstLine="284"/>
        <w:jc w:val="both"/>
        <w:rPr>
          <w:rFonts w:ascii="Garamond" w:hAnsi="Garamond" w:cs="Times New Roman"/>
          <w:b/>
          <w:bCs/>
          <w:color w:val="000000"/>
          <w:sz w:val="24"/>
          <w:szCs w:val="24"/>
        </w:rPr>
      </w:pPr>
      <w:r w:rsidRPr="009955AA">
        <w:rPr>
          <w:rFonts w:ascii="Garamond" w:hAnsi="Garamond" w:cs="Times New Roman"/>
          <w:b/>
          <w:bCs/>
          <w:color w:val="000000"/>
          <w:sz w:val="24"/>
          <w:szCs w:val="24"/>
        </w:rPr>
        <w:t>Marrë</w:t>
      </w:r>
      <w:r w:rsidR="00EA54DD">
        <w:rPr>
          <w:rFonts w:ascii="Garamond" w:hAnsi="Garamond" w:cs="Times New Roman"/>
          <w:b/>
          <w:bCs/>
          <w:color w:val="000000"/>
          <w:sz w:val="24"/>
          <w:szCs w:val="24"/>
        </w:rPr>
        <w:t>,</w:t>
      </w:r>
      <w:r w:rsidRPr="009955AA">
        <w:rPr>
          <w:rFonts w:ascii="Garamond" w:hAnsi="Garamond" w:cs="Times New Roman"/>
          <w:b/>
          <w:bCs/>
          <w:color w:val="000000"/>
          <w:sz w:val="24"/>
          <w:szCs w:val="24"/>
        </w:rPr>
        <w:t xml:space="preserve"> më 28.2.2024</w:t>
      </w:r>
      <w:r w:rsidR="00EA54DD">
        <w:rPr>
          <w:rFonts w:ascii="Garamond" w:hAnsi="Garamond" w:cs="Times New Roman"/>
          <w:b/>
          <w:bCs/>
          <w:color w:val="000000"/>
          <w:sz w:val="24"/>
          <w:szCs w:val="24"/>
        </w:rPr>
        <w:t>.</w:t>
      </w:r>
    </w:p>
    <w:p w14:paraId="4120B219" w14:textId="2B696D56" w:rsidR="003E6A29" w:rsidRPr="009955AA" w:rsidRDefault="003E6A29" w:rsidP="00CC2D26">
      <w:pPr>
        <w:tabs>
          <w:tab w:val="left" w:pos="1800"/>
        </w:tabs>
        <w:autoSpaceDE w:val="0"/>
        <w:autoSpaceDN w:val="0"/>
        <w:adjustRightInd w:val="0"/>
        <w:spacing w:after="0" w:line="240" w:lineRule="auto"/>
        <w:ind w:firstLine="284"/>
        <w:jc w:val="both"/>
        <w:rPr>
          <w:rFonts w:ascii="Garamond" w:hAnsi="Garamond" w:cs="Times New Roman"/>
          <w:b/>
          <w:bCs/>
          <w:color w:val="000000"/>
          <w:sz w:val="24"/>
          <w:szCs w:val="24"/>
        </w:rPr>
      </w:pPr>
      <w:r w:rsidRPr="009955AA">
        <w:rPr>
          <w:rFonts w:ascii="Garamond" w:hAnsi="Garamond" w:cs="Times New Roman"/>
          <w:b/>
          <w:bCs/>
          <w:color w:val="000000"/>
          <w:sz w:val="24"/>
          <w:szCs w:val="24"/>
        </w:rPr>
        <w:t>Shpallur</w:t>
      </w:r>
      <w:r w:rsidR="00EA54DD">
        <w:rPr>
          <w:rFonts w:ascii="Garamond" w:hAnsi="Garamond" w:cs="Times New Roman"/>
          <w:b/>
          <w:bCs/>
          <w:color w:val="000000"/>
          <w:sz w:val="24"/>
          <w:szCs w:val="24"/>
        </w:rPr>
        <w:t>,</w:t>
      </w:r>
      <w:r w:rsidRPr="009955AA">
        <w:rPr>
          <w:rFonts w:ascii="Garamond" w:hAnsi="Garamond" w:cs="Times New Roman"/>
          <w:b/>
          <w:bCs/>
          <w:color w:val="000000"/>
          <w:sz w:val="24"/>
          <w:szCs w:val="24"/>
        </w:rPr>
        <w:t xml:space="preserve"> më</w:t>
      </w:r>
      <w:r w:rsidR="00190038">
        <w:rPr>
          <w:rFonts w:ascii="Garamond" w:hAnsi="Garamond" w:cs="Times New Roman"/>
          <w:b/>
          <w:bCs/>
          <w:color w:val="000000"/>
          <w:sz w:val="24"/>
          <w:szCs w:val="24"/>
        </w:rPr>
        <w:t xml:space="preserve"> </w:t>
      </w:r>
      <w:r w:rsidRPr="009955AA">
        <w:rPr>
          <w:rFonts w:ascii="Garamond" w:hAnsi="Garamond" w:cs="Times New Roman"/>
          <w:b/>
          <w:bCs/>
          <w:color w:val="000000"/>
          <w:sz w:val="24"/>
          <w:szCs w:val="24"/>
        </w:rPr>
        <w:t>2.4.2024</w:t>
      </w:r>
      <w:r w:rsidR="00EA54DD">
        <w:rPr>
          <w:rFonts w:ascii="Garamond" w:hAnsi="Garamond" w:cs="Times New Roman"/>
          <w:b/>
          <w:bCs/>
          <w:color w:val="000000"/>
          <w:sz w:val="24"/>
          <w:szCs w:val="24"/>
        </w:rPr>
        <w:t>.</w:t>
      </w:r>
    </w:p>
    <w:p w14:paraId="1E5D471F" w14:textId="77777777" w:rsidR="003E6A29" w:rsidRPr="009955AA" w:rsidRDefault="003E6A29" w:rsidP="003E6A29">
      <w:pPr>
        <w:autoSpaceDE w:val="0"/>
        <w:autoSpaceDN w:val="0"/>
        <w:adjustRightInd w:val="0"/>
        <w:spacing w:after="0" w:line="240" w:lineRule="auto"/>
        <w:ind w:firstLine="284"/>
        <w:jc w:val="both"/>
        <w:rPr>
          <w:rFonts w:ascii="Garamond" w:hAnsi="Garamond" w:cs="Times New Roman"/>
          <w:b/>
          <w:bCs/>
          <w:color w:val="000000"/>
          <w:sz w:val="24"/>
          <w:szCs w:val="24"/>
        </w:rPr>
      </w:pPr>
    </w:p>
    <w:p w14:paraId="7B7E2229" w14:textId="031F4DF1" w:rsidR="00CC2D26" w:rsidRPr="00EA54DD" w:rsidRDefault="00EA54DD" w:rsidP="003E6A29">
      <w:pPr>
        <w:autoSpaceDE w:val="0"/>
        <w:autoSpaceDN w:val="0"/>
        <w:adjustRightInd w:val="0"/>
        <w:spacing w:after="0" w:line="240" w:lineRule="auto"/>
        <w:ind w:firstLine="284"/>
        <w:jc w:val="both"/>
        <w:rPr>
          <w:rFonts w:ascii="Garamond" w:hAnsi="Garamond" w:cs="Times New Roman"/>
          <w:bCs/>
          <w:color w:val="000000"/>
          <w:sz w:val="24"/>
          <w:szCs w:val="24"/>
        </w:rPr>
      </w:pPr>
      <w:r w:rsidRPr="00EA54DD">
        <w:rPr>
          <w:rFonts w:ascii="Garamond" w:hAnsi="Garamond" w:cs="Times New Roman"/>
          <w:b/>
          <w:bCs/>
          <w:color w:val="000000"/>
          <w:sz w:val="24"/>
          <w:szCs w:val="24"/>
        </w:rPr>
        <w:t>Kryetare</w:t>
      </w:r>
      <w:r w:rsidR="00CC2D26" w:rsidRPr="009955AA">
        <w:rPr>
          <w:rFonts w:ascii="Garamond" w:hAnsi="Garamond" w:cs="Times New Roman"/>
          <w:bCs/>
          <w:color w:val="000000"/>
          <w:sz w:val="24"/>
          <w:szCs w:val="24"/>
        </w:rPr>
        <w:t>:</w:t>
      </w:r>
      <w:r w:rsidR="00CC2D26" w:rsidRPr="009955AA">
        <w:rPr>
          <w:rFonts w:ascii="Garamond" w:hAnsi="Garamond" w:cs="Times New Roman"/>
          <w:b/>
          <w:bCs/>
          <w:color w:val="000000"/>
          <w:sz w:val="24"/>
          <w:szCs w:val="24"/>
        </w:rPr>
        <w:t xml:space="preserve"> </w:t>
      </w:r>
      <w:proofErr w:type="spellStart"/>
      <w:r w:rsidR="00CC2D26" w:rsidRPr="00EA54DD">
        <w:rPr>
          <w:rFonts w:ascii="Garamond" w:hAnsi="Garamond" w:cs="Times New Roman"/>
          <w:bCs/>
          <w:color w:val="000000"/>
          <w:sz w:val="24"/>
          <w:szCs w:val="24"/>
        </w:rPr>
        <w:t>Holta</w:t>
      </w:r>
      <w:proofErr w:type="spellEnd"/>
      <w:r w:rsidR="00CC2D26" w:rsidRPr="00EA54DD">
        <w:rPr>
          <w:rFonts w:ascii="Garamond" w:hAnsi="Garamond" w:cs="Times New Roman"/>
          <w:bCs/>
          <w:color w:val="000000"/>
          <w:sz w:val="24"/>
          <w:szCs w:val="24"/>
        </w:rPr>
        <w:t xml:space="preserve"> </w:t>
      </w:r>
      <w:proofErr w:type="spellStart"/>
      <w:r w:rsidR="00CC2D26" w:rsidRPr="00EA54DD">
        <w:rPr>
          <w:rFonts w:ascii="Garamond" w:hAnsi="Garamond" w:cs="Times New Roman"/>
          <w:bCs/>
          <w:color w:val="000000"/>
          <w:sz w:val="24"/>
          <w:szCs w:val="24"/>
        </w:rPr>
        <w:t>Zaçaj</w:t>
      </w:r>
      <w:proofErr w:type="spellEnd"/>
    </w:p>
    <w:p w14:paraId="30F17E0D" w14:textId="029AA21C" w:rsidR="003919DA" w:rsidRPr="00EA54DD" w:rsidRDefault="00EA54DD" w:rsidP="00CC2D26">
      <w:pPr>
        <w:autoSpaceDE w:val="0"/>
        <w:autoSpaceDN w:val="0"/>
        <w:adjustRightInd w:val="0"/>
        <w:spacing w:after="0" w:line="240" w:lineRule="auto"/>
        <w:ind w:firstLine="284"/>
        <w:jc w:val="both"/>
        <w:rPr>
          <w:rFonts w:ascii="Garamond" w:hAnsi="Garamond"/>
          <w:sz w:val="24"/>
          <w:szCs w:val="24"/>
        </w:rPr>
      </w:pPr>
      <w:r w:rsidRPr="00EA54DD">
        <w:rPr>
          <w:rFonts w:ascii="Garamond" w:hAnsi="Garamond" w:cs="Times New Roman"/>
          <w:b/>
          <w:bCs/>
          <w:color w:val="000000"/>
          <w:sz w:val="24"/>
          <w:szCs w:val="24"/>
        </w:rPr>
        <w:t>Anëtarë</w:t>
      </w:r>
      <w:r w:rsidR="00303D40" w:rsidRPr="009955AA">
        <w:rPr>
          <w:rFonts w:ascii="Garamond" w:hAnsi="Garamond" w:cs="Times New Roman"/>
          <w:bCs/>
          <w:color w:val="000000"/>
          <w:sz w:val="24"/>
          <w:szCs w:val="24"/>
        </w:rPr>
        <w:t>:</w:t>
      </w:r>
      <w:r w:rsidR="00303D40" w:rsidRPr="009955AA">
        <w:rPr>
          <w:rFonts w:ascii="Garamond" w:hAnsi="Garamond" w:cs="Times New Roman"/>
          <w:b/>
          <w:bCs/>
          <w:color w:val="000000"/>
          <w:sz w:val="24"/>
          <w:szCs w:val="24"/>
        </w:rPr>
        <w:t xml:space="preserve"> </w:t>
      </w:r>
      <w:proofErr w:type="spellStart"/>
      <w:r w:rsidR="003E6A29" w:rsidRPr="00EA54DD">
        <w:rPr>
          <w:rFonts w:ascii="Garamond" w:hAnsi="Garamond" w:cs="Times New Roman"/>
          <w:bCs/>
          <w:color w:val="000000"/>
          <w:sz w:val="24"/>
          <w:szCs w:val="24"/>
        </w:rPr>
        <w:t>Fiona</w:t>
      </w:r>
      <w:proofErr w:type="spellEnd"/>
      <w:r w:rsidR="003E6A29" w:rsidRPr="00EA54DD">
        <w:rPr>
          <w:rFonts w:ascii="Garamond" w:hAnsi="Garamond" w:cs="Times New Roman"/>
          <w:bCs/>
          <w:color w:val="000000"/>
          <w:sz w:val="24"/>
          <w:szCs w:val="24"/>
        </w:rPr>
        <w:t xml:space="preserve"> </w:t>
      </w:r>
      <w:proofErr w:type="spellStart"/>
      <w:r w:rsidR="003E6A29" w:rsidRPr="00EA54DD">
        <w:rPr>
          <w:rFonts w:ascii="Garamond" w:hAnsi="Garamond" w:cs="Times New Roman"/>
          <w:bCs/>
          <w:color w:val="000000"/>
          <w:sz w:val="24"/>
          <w:szCs w:val="24"/>
        </w:rPr>
        <w:t>Papajorgji</w:t>
      </w:r>
      <w:proofErr w:type="spellEnd"/>
      <w:r w:rsidR="00CC2D26" w:rsidRPr="00EA54DD">
        <w:rPr>
          <w:rFonts w:ascii="Garamond" w:hAnsi="Garamond" w:cs="Times New Roman"/>
          <w:bCs/>
          <w:color w:val="000000"/>
          <w:sz w:val="24"/>
          <w:szCs w:val="24"/>
        </w:rPr>
        <w:t xml:space="preserve">, </w:t>
      </w:r>
      <w:proofErr w:type="spellStart"/>
      <w:r w:rsidR="003E6A29" w:rsidRPr="00EA54DD">
        <w:rPr>
          <w:rFonts w:ascii="Garamond" w:hAnsi="Garamond" w:cs="Times New Roman"/>
          <w:bCs/>
          <w:color w:val="000000"/>
          <w:sz w:val="24"/>
          <w:szCs w:val="24"/>
        </w:rPr>
        <w:t>Marsida</w:t>
      </w:r>
      <w:proofErr w:type="spellEnd"/>
      <w:r w:rsidR="003E6A29" w:rsidRPr="00EA54DD">
        <w:rPr>
          <w:rFonts w:ascii="Garamond" w:hAnsi="Garamond" w:cs="Times New Roman"/>
          <w:bCs/>
          <w:color w:val="000000"/>
          <w:sz w:val="24"/>
          <w:szCs w:val="24"/>
        </w:rPr>
        <w:t xml:space="preserve"> </w:t>
      </w:r>
      <w:proofErr w:type="spellStart"/>
      <w:r w:rsidR="003E6A29" w:rsidRPr="00EA54DD">
        <w:rPr>
          <w:rFonts w:ascii="Garamond" w:hAnsi="Garamond" w:cs="Times New Roman"/>
          <w:bCs/>
          <w:color w:val="000000"/>
          <w:sz w:val="24"/>
          <w:szCs w:val="24"/>
        </w:rPr>
        <w:t>Xhaferllari</w:t>
      </w:r>
      <w:proofErr w:type="spellEnd"/>
      <w:r w:rsidR="003E6A29" w:rsidRPr="00EA54DD">
        <w:rPr>
          <w:rFonts w:ascii="Garamond" w:hAnsi="Garamond" w:cs="Times New Roman"/>
          <w:bCs/>
          <w:color w:val="000000"/>
          <w:sz w:val="24"/>
          <w:szCs w:val="24"/>
        </w:rPr>
        <w:t xml:space="preserve"> </w:t>
      </w:r>
      <w:r w:rsidR="00CC2D26" w:rsidRPr="00EA54DD">
        <w:rPr>
          <w:rFonts w:ascii="Garamond" w:hAnsi="Garamond" w:cs="Times New Roman"/>
          <w:bCs/>
          <w:color w:val="000000"/>
          <w:sz w:val="24"/>
          <w:szCs w:val="24"/>
        </w:rPr>
        <w:t>,</w:t>
      </w:r>
      <w:r w:rsidR="00190038" w:rsidRPr="00EA54DD">
        <w:rPr>
          <w:rFonts w:ascii="Garamond" w:hAnsi="Garamond" w:cs="Times New Roman"/>
          <w:bCs/>
          <w:color w:val="000000"/>
          <w:sz w:val="24"/>
          <w:szCs w:val="24"/>
        </w:rPr>
        <w:t xml:space="preserve"> </w:t>
      </w:r>
      <w:r w:rsidR="003E6A29" w:rsidRPr="00EA54DD">
        <w:rPr>
          <w:rFonts w:ascii="Garamond" w:hAnsi="Garamond" w:cs="Times New Roman"/>
          <w:bCs/>
          <w:color w:val="000000"/>
          <w:sz w:val="24"/>
          <w:szCs w:val="24"/>
        </w:rPr>
        <w:t>Ilir Toska</w:t>
      </w:r>
      <w:r w:rsidR="00CC2D26" w:rsidRPr="00EA54DD">
        <w:rPr>
          <w:rFonts w:ascii="Garamond" w:hAnsi="Garamond" w:cs="Times New Roman"/>
          <w:bCs/>
          <w:color w:val="000000"/>
          <w:sz w:val="24"/>
          <w:szCs w:val="24"/>
        </w:rPr>
        <w:t xml:space="preserve">., </w:t>
      </w:r>
      <w:proofErr w:type="spellStart"/>
      <w:r w:rsidR="003E6A29" w:rsidRPr="00EA54DD">
        <w:rPr>
          <w:rFonts w:ascii="Garamond" w:hAnsi="Garamond" w:cs="Times New Roman"/>
          <w:bCs/>
          <w:color w:val="000000"/>
          <w:sz w:val="24"/>
          <w:szCs w:val="24"/>
        </w:rPr>
        <w:t>Sonila</w:t>
      </w:r>
      <w:proofErr w:type="spellEnd"/>
      <w:r w:rsidR="003E6A29" w:rsidRPr="00EA54DD">
        <w:rPr>
          <w:rFonts w:ascii="Garamond" w:hAnsi="Garamond" w:cs="Times New Roman"/>
          <w:bCs/>
          <w:color w:val="000000"/>
          <w:sz w:val="24"/>
          <w:szCs w:val="24"/>
        </w:rPr>
        <w:t xml:space="preserve"> Bejtja</w:t>
      </w:r>
      <w:r w:rsidR="00CC2D26" w:rsidRPr="00EA54DD">
        <w:rPr>
          <w:rFonts w:ascii="Garamond" w:hAnsi="Garamond" w:cs="Times New Roman"/>
          <w:bCs/>
          <w:color w:val="000000"/>
          <w:sz w:val="24"/>
          <w:szCs w:val="24"/>
        </w:rPr>
        <w:t xml:space="preserve">, </w:t>
      </w:r>
      <w:proofErr w:type="spellStart"/>
      <w:r w:rsidR="003E6A29" w:rsidRPr="00EA54DD">
        <w:rPr>
          <w:rFonts w:ascii="Garamond" w:hAnsi="Garamond" w:cs="Times New Roman"/>
          <w:bCs/>
          <w:color w:val="000000"/>
          <w:sz w:val="24"/>
          <w:szCs w:val="24"/>
        </w:rPr>
        <w:t>Elsa</w:t>
      </w:r>
      <w:proofErr w:type="spellEnd"/>
      <w:r w:rsidR="003E6A29" w:rsidRPr="00EA54DD">
        <w:rPr>
          <w:rFonts w:ascii="Garamond" w:hAnsi="Garamond" w:cs="Times New Roman"/>
          <w:bCs/>
          <w:color w:val="000000"/>
          <w:sz w:val="24"/>
          <w:szCs w:val="24"/>
        </w:rPr>
        <w:t xml:space="preserve"> Toska</w:t>
      </w:r>
      <w:r w:rsidR="00CC2D26" w:rsidRPr="00EA54DD">
        <w:rPr>
          <w:rFonts w:ascii="Garamond" w:hAnsi="Garamond" w:cs="Times New Roman"/>
          <w:bCs/>
          <w:color w:val="000000"/>
          <w:sz w:val="24"/>
          <w:szCs w:val="24"/>
        </w:rPr>
        <w:t xml:space="preserve">, </w:t>
      </w:r>
      <w:proofErr w:type="spellStart"/>
      <w:r w:rsidR="003E6A29" w:rsidRPr="00EA54DD">
        <w:rPr>
          <w:rFonts w:ascii="Garamond" w:hAnsi="Garamond" w:cs="Times New Roman"/>
          <w:bCs/>
          <w:color w:val="000000"/>
          <w:sz w:val="24"/>
          <w:szCs w:val="24"/>
        </w:rPr>
        <w:t>Sandër</w:t>
      </w:r>
      <w:proofErr w:type="spellEnd"/>
      <w:r w:rsidR="003E6A29" w:rsidRPr="00EA54DD">
        <w:rPr>
          <w:rFonts w:ascii="Garamond" w:hAnsi="Garamond" w:cs="Times New Roman"/>
          <w:bCs/>
          <w:color w:val="000000"/>
          <w:sz w:val="24"/>
          <w:szCs w:val="24"/>
        </w:rPr>
        <w:t xml:space="preserve"> Beci</w:t>
      </w:r>
      <w:r w:rsidR="00CC2D26" w:rsidRPr="00EA54DD">
        <w:rPr>
          <w:rFonts w:ascii="Garamond" w:hAnsi="Garamond" w:cs="Times New Roman"/>
          <w:bCs/>
          <w:color w:val="000000"/>
          <w:sz w:val="24"/>
          <w:szCs w:val="24"/>
        </w:rPr>
        <w:t xml:space="preserve">, </w:t>
      </w:r>
      <w:proofErr w:type="spellStart"/>
      <w:r w:rsidR="003E6A29" w:rsidRPr="00EA54DD">
        <w:rPr>
          <w:rFonts w:ascii="Garamond" w:hAnsi="Garamond" w:cs="Times New Roman"/>
          <w:bCs/>
          <w:color w:val="000000"/>
          <w:sz w:val="24"/>
          <w:szCs w:val="24"/>
        </w:rPr>
        <w:t>Marjana</w:t>
      </w:r>
      <w:proofErr w:type="spellEnd"/>
      <w:r w:rsidR="003E6A29" w:rsidRPr="00EA54DD">
        <w:rPr>
          <w:rFonts w:ascii="Garamond" w:hAnsi="Garamond" w:cs="Times New Roman"/>
          <w:bCs/>
          <w:color w:val="000000"/>
          <w:sz w:val="24"/>
          <w:szCs w:val="24"/>
        </w:rPr>
        <w:t xml:space="preserve"> </w:t>
      </w:r>
      <w:proofErr w:type="spellStart"/>
      <w:r w:rsidR="003E6A29" w:rsidRPr="00EA54DD">
        <w:rPr>
          <w:rFonts w:ascii="Garamond" w:hAnsi="Garamond" w:cs="Times New Roman"/>
          <w:bCs/>
          <w:color w:val="000000"/>
          <w:sz w:val="24"/>
          <w:szCs w:val="24"/>
        </w:rPr>
        <w:t>Semini</w:t>
      </w:r>
      <w:proofErr w:type="spellEnd"/>
      <w:r w:rsidR="00CC2D26" w:rsidRPr="00EA54DD">
        <w:rPr>
          <w:rFonts w:ascii="Garamond" w:hAnsi="Garamond" w:cs="Times New Roman"/>
          <w:bCs/>
          <w:color w:val="000000"/>
          <w:sz w:val="24"/>
          <w:szCs w:val="24"/>
        </w:rPr>
        <w:t xml:space="preserve">, </w:t>
      </w:r>
      <w:r w:rsidR="003E6A29" w:rsidRPr="00EA54DD">
        <w:rPr>
          <w:rFonts w:ascii="Garamond" w:hAnsi="Garamond" w:cs="Times New Roman"/>
          <w:bCs/>
          <w:color w:val="000000"/>
          <w:sz w:val="24"/>
          <w:szCs w:val="24"/>
        </w:rPr>
        <w:t>Genti Ibrahimi</w:t>
      </w:r>
      <w:r w:rsidR="00CC2D26" w:rsidRPr="00EA54DD">
        <w:rPr>
          <w:rFonts w:ascii="Garamond" w:hAnsi="Garamond" w:cs="Times New Roman"/>
          <w:bCs/>
          <w:color w:val="000000"/>
          <w:sz w:val="24"/>
          <w:szCs w:val="24"/>
        </w:rPr>
        <w:t xml:space="preserve"> </w:t>
      </w:r>
    </w:p>
    <w:sectPr w:rsidR="003919DA" w:rsidRPr="00EA54DD" w:rsidSect="00F02A0B">
      <w:headerReference w:type="default" r:id="rId12"/>
      <w:pgSz w:w="11906" w:h="16838"/>
      <w:pgMar w:top="1260" w:right="1376" w:bottom="1440" w:left="126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93FA1" w14:textId="77777777" w:rsidR="009955AA" w:rsidRDefault="009955AA">
      <w:pPr>
        <w:spacing w:after="0" w:line="240" w:lineRule="auto"/>
      </w:pPr>
      <w:r>
        <w:separator/>
      </w:r>
    </w:p>
  </w:endnote>
  <w:endnote w:type="continuationSeparator" w:id="0">
    <w:p w14:paraId="36647E61" w14:textId="77777777" w:rsidR="009955AA" w:rsidRDefault="009955AA">
      <w:pPr>
        <w:spacing w:after="0" w:line="240" w:lineRule="auto"/>
      </w:pPr>
      <w:r>
        <w:continuationSeparator/>
      </w:r>
    </w:p>
  </w:endnote>
  <w:endnote w:type="continuationNotice" w:id="1">
    <w:p w14:paraId="628BDAC3" w14:textId="77777777" w:rsidR="00944AB2" w:rsidRDefault="00944A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17538" w14:textId="77777777" w:rsidR="009955AA" w:rsidRDefault="009955AA">
      <w:pPr>
        <w:spacing w:after="0" w:line="240" w:lineRule="auto"/>
      </w:pPr>
      <w:r>
        <w:separator/>
      </w:r>
    </w:p>
  </w:footnote>
  <w:footnote w:type="continuationSeparator" w:id="0">
    <w:p w14:paraId="2008B2B4" w14:textId="77777777" w:rsidR="009955AA" w:rsidRDefault="009955AA">
      <w:pPr>
        <w:spacing w:after="0" w:line="240" w:lineRule="auto"/>
      </w:pPr>
      <w:r>
        <w:continuationSeparator/>
      </w:r>
    </w:p>
  </w:footnote>
  <w:footnote w:type="continuationNotice" w:id="1">
    <w:p w14:paraId="73A92BA7" w14:textId="77777777" w:rsidR="00944AB2" w:rsidRDefault="00944A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DAFF87" w14:textId="77777777" w:rsidR="009955AA" w:rsidRDefault="009955AA" w:rsidP="00AA2737">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15F5A"/>
    <w:multiLevelType w:val="hybridMultilevel"/>
    <w:tmpl w:val="5F4411B6"/>
    <w:lvl w:ilvl="0" w:tplc="C8B2EC3C">
      <w:start w:val="12"/>
      <w:numFmt w:val="decimal"/>
      <w:lvlText w:val="%1."/>
      <w:lvlJc w:val="left"/>
      <w:pPr>
        <w:ind w:left="720" w:hanging="360"/>
      </w:pPr>
      <w:rPr>
        <w:rFonts w:hint="default"/>
        <w:b/>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E62086"/>
    <w:multiLevelType w:val="hybridMultilevel"/>
    <w:tmpl w:val="89502D9C"/>
    <w:lvl w:ilvl="0" w:tplc="CF5693DE">
      <w:start w:val="2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1F15D6"/>
    <w:multiLevelType w:val="hybridMultilevel"/>
    <w:tmpl w:val="BB9001FA"/>
    <w:lvl w:ilvl="0" w:tplc="B9AA1EFC">
      <w:start w:val="9"/>
      <w:numFmt w:val="decimal"/>
      <w:lvlText w:val="%1."/>
      <w:lvlJc w:val="left"/>
      <w:pPr>
        <w:ind w:left="1288"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AE0EBB"/>
    <w:multiLevelType w:val="hybridMultilevel"/>
    <w:tmpl w:val="B7F49BAE"/>
    <w:lvl w:ilvl="0" w:tplc="E4040962">
      <w:start w:val="17"/>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FA603D"/>
    <w:multiLevelType w:val="hybridMultilevel"/>
    <w:tmpl w:val="094E4808"/>
    <w:lvl w:ilvl="0" w:tplc="921CBA1A">
      <w:start w:val="1"/>
      <w:numFmt w:val="decimal"/>
      <w:lvlText w:val="%1."/>
      <w:lvlJc w:val="left"/>
      <w:pPr>
        <w:ind w:left="990" w:hanging="360"/>
      </w:pPr>
      <w:rPr>
        <w:rFonts w:hint="default"/>
      </w:r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5" w15:restartNumberingAfterBreak="0">
    <w:nsid w:val="21AE48CD"/>
    <w:multiLevelType w:val="hybridMultilevel"/>
    <w:tmpl w:val="68669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1D3B72"/>
    <w:multiLevelType w:val="hybridMultilevel"/>
    <w:tmpl w:val="A0D4848A"/>
    <w:lvl w:ilvl="0" w:tplc="CDEA1A9A">
      <w:start w:val="1"/>
      <w:numFmt w:val="upperLetter"/>
      <w:lvlText w:val="%1."/>
      <w:lvlJc w:val="left"/>
      <w:pPr>
        <w:ind w:left="1530" w:hanging="360"/>
      </w:pPr>
      <w:rPr>
        <w:rFonts w:hint="default"/>
        <w:b w:val="0"/>
        <w:i/>
      </w:rPr>
    </w:lvl>
    <w:lvl w:ilvl="1" w:tplc="041C0019">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8" w15:restartNumberingAfterBreak="0">
    <w:nsid w:val="29111AAB"/>
    <w:multiLevelType w:val="multilevel"/>
    <w:tmpl w:val="8AA440F2"/>
    <w:lvl w:ilvl="0">
      <w:start w:val="1"/>
      <w:numFmt w:val="decimal"/>
      <w:lvlText w:val="%1."/>
      <w:lvlJc w:val="left"/>
      <w:pPr>
        <w:ind w:left="720" w:hanging="360"/>
      </w:p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i/>
      </w:rPr>
    </w:lvl>
    <w:lvl w:ilvl="3">
      <w:start w:val="1"/>
      <w:numFmt w:val="decimal"/>
      <w:isLgl/>
      <w:lvlText w:val="%1.%2.%3.%4."/>
      <w:lvlJc w:val="left"/>
      <w:pPr>
        <w:ind w:left="2160" w:hanging="720"/>
      </w:pPr>
      <w:rPr>
        <w:rFonts w:hint="default"/>
        <w:i/>
      </w:rPr>
    </w:lvl>
    <w:lvl w:ilvl="4">
      <w:start w:val="1"/>
      <w:numFmt w:val="decimal"/>
      <w:isLgl/>
      <w:lvlText w:val="%1.%2.%3.%4.%5."/>
      <w:lvlJc w:val="left"/>
      <w:pPr>
        <w:ind w:left="2880" w:hanging="1080"/>
      </w:pPr>
      <w:rPr>
        <w:rFonts w:hint="default"/>
        <w:i/>
      </w:rPr>
    </w:lvl>
    <w:lvl w:ilvl="5">
      <w:start w:val="1"/>
      <w:numFmt w:val="decimal"/>
      <w:isLgl/>
      <w:lvlText w:val="%1.%2.%3.%4.%5.%6."/>
      <w:lvlJc w:val="left"/>
      <w:pPr>
        <w:ind w:left="3240" w:hanging="1080"/>
      </w:pPr>
      <w:rPr>
        <w:rFonts w:hint="default"/>
        <w:i/>
      </w:rPr>
    </w:lvl>
    <w:lvl w:ilvl="6">
      <w:start w:val="1"/>
      <w:numFmt w:val="decimal"/>
      <w:isLgl/>
      <w:lvlText w:val="%1.%2.%3.%4.%5.%6.%7."/>
      <w:lvlJc w:val="left"/>
      <w:pPr>
        <w:ind w:left="396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5040" w:hanging="1800"/>
      </w:pPr>
      <w:rPr>
        <w:rFonts w:hint="default"/>
        <w:i/>
      </w:rPr>
    </w:lvl>
  </w:abstractNum>
  <w:abstractNum w:abstractNumId="9" w15:restartNumberingAfterBreak="0">
    <w:nsid w:val="2BA23326"/>
    <w:multiLevelType w:val="hybridMultilevel"/>
    <w:tmpl w:val="FD345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0D2AFF"/>
    <w:multiLevelType w:val="hybridMultilevel"/>
    <w:tmpl w:val="21FC3F36"/>
    <w:lvl w:ilvl="0" w:tplc="84845CF2">
      <w:start w:val="1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49D1CD6"/>
    <w:multiLevelType w:val="hybridMultilevel"/>
    <w:tmpl w:val="FCA26726"/>
    <w:lvl w:ilvl="0" w:tplc="DFDEF172">
      <w:start w:val="8"/>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4484393E"/>
    <w:multiLevelType w:val="multilevel"/>
    <w:tmpl w:val="60E83022"/>
    <w:lvl w:ilvl="0">
      <w:start w:val="1"/>
      <w:numFmt w:val="decimal"/>
      <w:lvlText w:val="%1."/>
      <w:lvlJc w:val="left"/>
      <w:pPr>
        <w:ind w:left="720" w:hanging="360"/>
      </w:pPr>
      <w:rPr>
        <w:rFonts w:hint="default"/>
        <w:b w:val="0"/>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B955C7"/>
    <w:multiLevelType w:val="hybridMultilevel"/>
    <w:tmpl w:val="E8EC4BC4"/>
    <w:lvl w:ilvl="0" w:tplc="2206BBDC">
      <w:start w:val="9"/>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71448B"/>
    <w:multiLevelType w:val="hybridMultilevel"/>
    <w:tmpl w:val="57FA902C"/>
    <w:lvl w:ilvl="0" w:tplc="CCA09AC2">
      <w:start w:val="9"/>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125D47"/>
    <w:multiLevelType w:val="multilevel"/>
    <w:tmpl w:val="2C3680B8"/>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18" w15:restartNumberingAfterBreak="0">
    <w:nsid w:val="61C63E08"/>
    <w:multiLevelType w:val="hybridMultilevel"/>
    <w:tmpl w:val="D23A7F64"/>
    <w:lvl w:ilvl="0" w:tplc="88A257B2">
      <w:start w:val="1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7A62838"/>
    <w:multiLevelType w:val="hybridMultilevel"/>
    <w:tmpl w:val="2AFED2E2"/>
    <w:lvl w:ilvl="0" w:tplc="29B45AB2">
      <w:start w:val="8"/>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364109"/>
    <w:multiLevelType w:val="hybridMultilevel"/>
    <w:tmpl w:val="CD548E28"/>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22" w15:restartNumberingAfterBreak="0">
    <w:nsid w:val="745F3402"/>
    <w:multiLevelType w:val="hybridMultilevel"/>
    <w:tmpl w:val="BF326306"/>
    <w:lvl w:ilvl="0" w:tplc="61EC09C6">
      <w:start w:val="1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453D56"/>
    <w:multiLevelType w:val="multilevel"/>
    <w:tmpl w:val="9108836E"/>
    <w:lvl w:ilvl="0">
      <w:start w:val="8"/>
      <w:numFmt w:val="decimal"/>
      <w:lvlText w:val="%1."/>
      <w:lvlJc w:val="left"/>
      <w:pPr>
        <w:ind w:left="1350" w:hanging="360"/>
      </w:pPr>
      <w:rPr>
        <w:rFonts w:ascii="Times New Roman" w:eastAsia="Calibri" w:hAnsi="Times New Roman" w:cs="Times New Roman"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val="0"/>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24" w15:restartNumberingAfterBreak="0">
    <w:nsid w:val="7AF43753"/>
    <w:multiLevelType w:val="hybridMultilevel"/>
    <w:tmpl w:val="4A46C65A"/>
    <w:lvl w:ilvl="0" w:tplc="AB5EE61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E66E32"/>
    <w:multiLevelType w:val="hybridMultilevel"/>
    <w:tmpl w:val="325C7484"/>
    <w:lvl w:ilvl="0" w:tplc="4DD0B4C2">
      <w:start w:val="25"/>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3"/>
  </w:num>
  <w:num w:numId="3">
    <w:abstractNumId w:val="7"/>
  </w:num>
  <w:num w:numId="4">
    <w:abstractNumId w:val="8"/>
  </w:num>
  <w:num w:numId="5">
    <w:abstractNumId w:val="16"/>
  </w:num>
  <w:num w:numId="6">
    <w:abstractNumId w:val="5"/>
  </w:num>
  <w:num w:numId="7">
    <w:abstractNumId w:val="19"/>
  </w:num>
  <w:num w:numId="8">
    <w:abstractNumId w:val="4"/>
  </w:num>
  <w:num w:numId="9">
    <w:abstractNumId w:val="1"/>
  </w:num>
  <w:num w:numId="10">
    <w:abstractNumId w:val="24"/>
  </w:num>
  <w:num w:numId="11">
    <w:abstractNumId w:val="18"/>
  </w:num>
  <w:num w:numId="12">
    <w:abstractNumId w:val="13"/>
  </w:num>
  <w:num w:numId="13">
    <w:abstractNumId w:val="25"/>
  </w:num>
  <w:num w:numId="14">
    <w:abstractNumId w:val="6"/>
  </w:num>
  <w:num w:numId="15">
    <w:abstractNumId w:val="15"/>
  </w:num>
  <w:num w:numId="16">
    <w:abstractNumId w:val="3"/>
  </w:num>
  <w:num w:numId="17">
    <w:abstractNumId w:val="2"/>
  </w:num>
  <w:num w:numId="18">
    <w:abstractNumId w:val="12"/>
  </w:num>
  <w:num w:numId="19">
    <w:abstractNumId w:val="10"/>
  </w:num>
  <w:num w:numId="20">
    <w:abstractNumId w:val="11"/>
  </w:num>
  <w:num w:numId="21">
    <w:abstractNumId w:val="9"/>
  </w:num>
  <w:num w:numId="22">
    <w:abstractNumId w:val="22"/>
  </w:num>
  <w:num w:numId="23">
    <w:abstractNumId w:val="0"/>
  </w:num>
  <w:num w:numId="24">
    <w:abstractNumId w:val="17"/>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C7A"/>
    <w:rsid w:val="00000E6E"/>
    <w:rsid w:val="0000390C"/>
    <w:rsid w:val="00012225"/>
    <w:rsid w:val="00014B90"/>
    <w:rsid w:val="000242A2"/>
    <w:rsid w:val="00027FA0"/>
    <w:rsid w:val="000301C3"/>
    <w:rsid w:val="00031DE5"/>
    <w:rsid w:val="00037269"/>
    <w:rsid w:val="00041483"/>
    <w:rsid w:val="00042ED6"/>
    <w:rsid w:val="0005623E"/>
    <w:rsid w:val="0006055A"/>
    <w:rsid w:val="00060F94"/>
    <w:rsid w:val="00061AAB"/>
    <w:rsid w:val="00061F7D"/>
    <w:rsid w:val="00065CBE"/>
    <w:rsid w:val="00067E4C"/>
    <w:rsid w:val="0007332D"/>
    <w:rsid w:val="00074D41"/>
    <w:rsid w:val="00077C54"/>
    <w:rsid w:val="00081A05"/>
    <w:rsid w:val="00084919"/>
    <w:rsid w:val="000A25BF"/>
    <w:rsid w:val="000A3208"/>
    <w:rsid w:val="000A3ADA"/>
    <w:rsid w:val="000A62C5"/>
    <w:rsid w:val="000B4891"/>
    <w:rsid w:val="000B4ECF"/>
    <w:rsid w:val="000B5F2D"/>
    <w:rsid w:val="000C56E3"/>
    <w:rsid w:val="000E5140"/>
    <w:rsid w:val="000F3B99"/>
    <w:rsid w:val="000F545A"/>
    <w:rsid w:val="00102752"/>
    <w:rsid w:val="0010626A"/>
    <w:rsid w:val="00120465"/>
    <w:rsid w:val="00121710"/>
    <w:rsid w:val="0012434C"/>
    <w:rsid w:val="00127C9C"/>
    <w:rsid w:val="001317B9"/>
    <w:rsid w:val="00131D06"/>
    <w:rsid w:val="001407F6"/>
    <w:rsid w:val="00140CA0"/>
    <w:rsid w:val="001441F6"/>
    <w:rsid w:val="00151DC5"/>
    <w:rsid w:val="001531E2"/>
    <w:rsid w:val="00165E54"/>
    <w:rsid w:val="001670B7"/>
    <w:rsid w:val="00167DFE"/>
    <w:rsid w:val="00171A08"/>
    <w:rsid w:val="00172DA5"/>
    <w:rsid w:val="00177161"/>
    <w:rsid w:val="0018132F"/>
    <w:rsid w:val="00183F81"/>
    <w:rsid w:val="00185DF0"/>
    <w:rsid w:val="00190038"/>
    <w:rsid w:val="001A2AC5"/>
    <w:rsid w:val="001A56DF"/>
    <w:rsid w:val="001A5FF4"/>
    <w:rsid w:val="001C5213"/>
    <w:rsid w:val="001C566B"/>
    <w:rsid w:val="001D2953"/>
    <w:rsid w:val="001D439A"/>
    <w:rsid w:val="001D5CD6"/>
    <w:rsid w:val="001D6556"/>
    <w:rsid w:val="001E13DF"/>
    <w:rsid w:val="001E37CA"/>
    <w:rsid w:val="001E38A1"/>
    <w:rsid w:val="001F25F7"/>
    <w:rsid w:val="001F4DE0"/>
    <w:rsid w:val="00202E5E"/>
    <w:rsid w:val="002031B6"/>
    <w:rsid w:val="00204A2C"/>
    <w:rsid w:val="0021579B"/>
    <w:rsid w:val="0021781F"/>
    <w:rsid w:val="002207F3"/>
    <w:rsid w:val="00221114"/>
    <w:rsid w:val="00221856"/>
    <w:rsid w:val="00224AA9"/>
    <w:rsid w:val="00226549"/>
    <w:rsid w:val="00226B2F"/>
    <w:rsid w:val="00230AEB"/>
    <w:rsid w:val="00234632"/>
    <w:rsid w:val="00240F1E"/>
    <w:rsid w:val="002418EC"/>
    <w:rsid w:val="002426D5"/>
    <w:rsid w:val="0024520F"/>
    <w:rsid w:val="002475DF"/>
    <w:rsid w:val="00253330"/>
    <w:rsid w:val="0025772D"/>
    <w:rsid w:val="00257F7D"/>
    <w:rsid w:val="00270326"/>
    <w:rsid w:val="00270CBB"/>
    <w:rsid w:val="002763D1"/>
    <w:rsid w:val="00287C41"/>
    <w:rsid w:val="00295C2D"/>
    <w:rsid w:val="002A5BA3"/>
    <w:rsid w:val="002A6D15"/>
    <w:rsid w:val="002B401A"/>
    <w:rsid w:val="002B5253"/>
    <w:rsid w:val="002C0C06"/>
    <w:rsid w:val="002C30EF"/>
    <w:rsid w:val="002D180A"/>
    <w:rsid w:val="002D2DD0"/>
    <w:rsid w:val="002E43ED"/>
    <w:rsid w:val="002E4411"/>
    <w:rsid w:val="002E5336"/>
    <w:rsid w:val="002E5903"/>
    <w:rsid w:val="002E59B5"/>
    <w:rsid w:val="002F317B"/>
    <w:rsid w:val="002F3EBA"/>
    <w:rsid w:val="002F45C9"/>
    <w:rsid w:val="002F7B11"/>
    <w:rsid w:val="00301C73"/>
    <w:rsid w:val="00302526"/>
    <w:rsid w:val="003036D7"/>
    <w:rsid w:val="00303D40"/>
    <w:rsid w:val="00313FD3"/>
    <w:rsid w:val="00320D36"/>
    <w:rsid w:val="00326C05"/>
    <w:rsid w:val="003279EE"/>
    <w:rsid w:val="0033357B"/>
    <w:rsid w:val="00337E8E"/>
    <w:rsid w:val="00342C47"/>
    <w:rsid w:val="00347FEC"/>
    <w:rsid w:val="00350338"/>
    <w:rsid w:val="00354ADA"/>
    <w:rsid w:val="0036480C"/>
    <w:rsid w:val="003715E6"/>
    <w:rsid w:val="00377EAD"/>
    <w:rsid w:val="003814A2"/>
    <w:rsid w:val="00386403"/>
    <w:rsid w:val="00386AFA"/>
    <w:rsid w:val="003919DA"/>
    <w:rsid w:val="00392D22"/>
    <w:rsid w:val="00394344"/>
    <w:rsid w:val="00396A7C"/>
    <w:rsid w:val="00396CD9"/>
    <w:rsid w:val="003A0EED"/>
    <w:rsid w:val="003B0148"/>
    <w:rsid w:val="003C1F20"/>
    <w:rsid w:val="003C799A"/>
    <w:rsid w:val="003E239D"/>
    <w:rsid w:val="003E46D7"/>
    <w:rsid w:val="003E6A29"/>
    <w:rsid w:val="003E723C"/>
    <w:rsid w:val="003F03B4"/>
    <w:rsid w:val="00402485"/>
    <w:rsid w:val="00404782"/>
    <w:rsid w:val="004107A8"/>
    <w:rsid w:val="00412144"/>
    <w:rsid w:val="00420D44"/>
    <w:rsid w:val="0042179B"/>
    <w:rsid w:val="004231EB"/>
    <w:rsid w:val="00431448"/>
    <w:rsid w:val="0043792B"/>
    <w:rsid w:val="004379D3"/>
    <w:rsid w:val="004446B7"/>
    <w:rsid w:val="004504FC"/>
    <w:rsid w:val="0045622E"/>
    <w:rsid w:val="00461C3D"/>
    <w:rsid w:val="00470333"/>
    <w:rsid w:val="004703FC"/>
    <w:rsid w:val="004707AC"/>
    <w:rsid w:val="004759CC"/>
    <w:rsid w:val="004814C5"/>
    <w:rsid w:val="004900F6"/>
    <w:rsid w:val="00497837"/>
    <w:rsid w:val="004A2ED8"/>
    <w:rsid w:val="004B0096"/>
    <w:rsid w:val="004B151C"/>
    <w:rsid w:val="004C4A50"/>
    <w:rsid w:val="004C748D"/>
    <w:rsid w:val="004C784F"/>
    <w:rsid w:val="004D1F19"/>
    <w:rsid w:val="004E4151"/>
    <w:rsid w:val="004F131D"/>
    <w:rsid w:val="004F7859"/>
    <w:rsid w:val="005045A3"/>
    <w:rsid w:val="00507EC3"/>
    <w:rsid w:val="00510287"/>
    <w:rsid w:val="005117DF"/>
    <w:rsid w:val="00524F9D"/>
    <w:rsid w:val="005250D6"/>
    <w:rsid w:val="005266B3"/>
    <w:rsid w:val="005304D1"/>
    <w:rsid w:val="005346FC"/>
    <w:rsid w:val="00535C11"/>
    <w:rsid w:val="00551E08"/>
    <w:rsid w:val="00555389"/>
    <w:rsid w:val="00555D9C"/>
    <w:rsid w:val="00555DED"/>
    <w:rsid w:val="00556C09"/>
    <w:rsid w:val="005577E2"/>
    <w:rsid w:val="005609A7"/>
    <w:rsid w:val="00574371"/>
    <w:rsid w:val="0058486F"/>
    <w:rsid w:val="005852F8"/>
    <w:rsid w:val="00587EEE"/>
    <w:rsid w:val="005914FB"/>
    <w:rsid w:val="00594E0C"/>
    <w:rsid w:val="00596B5F"/>
    <w:rsid w:val="005A7489"/>
    <w:rsid w:val="005B0B91"/>
    <w:rsid w:val="005B17ED"/>
    <w:rsid w:val="005B4D76"/>
    <w:rsid w:val="005B6840"/>
    <w:rsid w:val="005C0403"/>
    <w:rsid w:val="005C0816"/>
    <w:rsid w:val="005C55BD"/>
    <w:rsid w:val="005D4FD2"/>
    <w:rsid w:val="005E1438"/>
    <w:rsid w:val="005E261C"/>
    <w:rsid w:val="005E6B01"/>
    <w:rsid w:val="00600A42"/>
    <w:rsid w:val="00611E7F"/>
    <w:rsid w:val="006258B1"/>
    <w:rsid w:val="00626EB2"/>
    <w:rsid w:val="00632547"/>
    <w:rsid w:val="006359DF"/>
    <w:rsid w:val="006366F0"/>
    <w:rsid w:val="00646658"/>
    <w:rsid w:val="0065721A"/>
    <w:rsid w:val="0066226B"/>
    <w:rsid w:val="006629D9"/>
    <w:rsid w:val="0066327C"/>
    <w:rsid w:val="006915C8"/>
    <w:rsid w:val="00691904"/>
    <w:rsid w:val="006A5366"/>
    <w:rsid w:val="006B1C21"/>
    <w:rsid w:val="006B5B27"/>
    <w:rsid w:val="006B5B37"/>
    <w:rsid w:val="006C6518"/>
    <w:rsid w:val="006C663C"/>
    <w:rsid w:val="006C6B2A"/>
    <w:rsid w:val="006C751B"/>
    <w:rsid w:val="006F627D"/>
    <w:rsid w:val="00705BB9"/>
    <w:rsid w:val="007118C5"/>
    <w:rsid w:val="007119B4"/>
    <w:rsid w:val="00715E7D"/>
    <w:rsid w:val="00723B54"/>
    <w:rsid w:val="00745422"/>
    <w:rsid w:val="00746E11"/>
    <w:rsid w:val="00752686"/>
    <w:rsid w:val="00753060"/>
    <w:rsid w:val="007617E2"/>
    <w:rsid w:val="007644C9"/>
    <w:rsid w:val="00771C52"/>
    <w:rsid w:val="007808B1"/>
    <w:rsid w:val="007954CE"/>
    <w:rsid w:val="007972A2"/>
    <w:rsid w:val="007A339C"/>
    <w:rsid w:val="007A5A5F"/>
    <w:rsid w:val="007A7E31"/>
    <w:rsid w:val="007B1112"/>
    <w:rsid w:val="007B7A4B"/>
    <w:rsid w:val="007C38E0"/>
    <w:rsid w:val="007C7929"/>
    <w:rsid w:val="007D09F5"/>
    <w:rsid w:val="007D53D3"/>
    <w:rsid w:val="007D68D9"/>
    <w:rsid w:val="007E2ECD"/>
    <w:rsid w:val="007E7E24"/>
    <w:rsid w:val="007F5152"/>
    <w:rsid w:val="007F6E35"/>
    <w:rsid w:val="007F71FD"/>
    <w:rsid w:val="007F7C7A"/>
    <w:rsid w:val="00804DC1"/>
    <w:rsid w:val="008119A7"/>
    <w:rsid w:val="008169F6"/>
    <w:rsid w:val="00817F8C"/>
    <w:rsid w:val="0082284A"/>
    <w:rsid w:val="00832C5A"/>
    <w:rsid w:val="008330E5"/>
    <w:rsid w:val="00840777"/>
    <w:rsid w:val="00842228"/>
    <w:rsid w:val="008437B8"/>
    <w:rsid w:val="00846CF8"/>
    <w:rsid w:val="0085298B"/>
    <w:rsid w:val="00871B67"/>
    <w:rsid w:val="008744F4"/>
    <w:rsid w:val="008762C6"/>
    <w:rsid w:val="00881351"/>
    <w:rsid w:val="0088776B"/>
    <w:rsid w:val="0089310B"/>
    <w:rsid w:val="00895D4C"/>
    <w:rsid w:val="008A4093"/>
    <w:rsid w:val="008B1724"/>
    <w:rsid w:val="008C0275"/>
    <w:rsid w:val="008C7604"/>
    <w:rsid w:val="008D0872"/>
    <w:rsid w:val="008D3F81"/>
    <w:rsid w:val="008D4301"/>
    <w:rsid w:val="008D511A"/>
    <w:rsid w:val="008D58DF"/>
    <w:rsid w:val="008E4975"/>
    <w:rsid w:val="008E5D14"/>
    <w:rsid w:val="008F473C"/>
    <w:rsid w:val="008F64D4"/>
    <w:rsid w:val="00902DF1"/>
    <w:rsid w:val="00903652"/>
    <w:rsid w:val="00903C81"/>
    <w:rsid w:val="00905943"/>
    <w:rsid w:val="00906D0A"/>
    <w:rsid w:val="00920046"/>
    <w:rsid w:val="00923CA7"/>
    <w:rsid w:val="00925CB6"/>
    <w:rsid w:val="00925CC1"/>
    <w:rsid w:val="009327D1"/>
    <w:rsid w:val="00941233"/>
    <w:rsid w:val="00944AB2"/>
    <w:rsid w:val="00951585"/>
    <w:rsid w:val="00953CAF"/>
    <w:rsid w:val="00957041"/>
    <w:rsid w:val="00957ABC"/>
    <w:rsid w:val="009629DA"/>
    <w:rsid w:val="00972916"/>
    <w:rsid w:val="00974200"/>
    <w:rsid w:val="009857C2"/>
    <w:rsid w:val="009863FC"/>
    <w:rsid w:val="00993946"/>
    <w:rsid w:val="009955AA"/>
    <w:rsid w:val="00997415"/>
    <w:rsid w:val="009A4BF4"/>
    <w:rsid w:val="009A7062"/>
    <w:rsid w:val="009A7911"/>
    <w:rsid w:val="009C4A28"/>
    <w:rsid w:val="009C55E7"/>
    <w:rsid w:val="009D00FD"/>
    <w:rsid w:val="009D30B3"/>
    <w:rsid w:val="009E746A"/>
    <w:rsid w:val="009F0224"/>
    <w:rsid w:val="009F0FDA"/>
    <w:rsid w:val="009F4C87"/>
    <w:rsid w:val="00A00381"/>
    <w:rsid w:val="00A12C96"/>
    <w:rsid w:val="00A13E55"/>
    <w:rsid w:val="00A13F2D"/>
    <w:rsid w:val="00A174A9"/>
    <w:rsid w:val="00A21877"/>
    <w:rsid w:val="00A347E6"/>
    <w:rsid w:val="00A4329E"/>
    <w:rsid w:val="00A4511B"/>
    <w:rsid w:val="00A566C3"/>
    <w:rsid w:val="00A66006"/>
    <w:rsid w:val="00A72991"/>
    <w:rsid w:val="00A77709"/>
    <w:rsid w:val="00A83B0B"/>
    <w:rsid w:val="00AA212F"/>
    <w:rsid w:val="00AA2737"/>
    <w:rsid w:val="00AA404E"/>
    <w:rsid w:val="00AB375F"/>
    <w:rsid w:val="00AB56F4"/>
    <w:rsid w:val="00AC0874"/>
    <w:rsid w:val="00AC47B5"/>
    <w:rsid w:val="00AD17E7"/>
    <w:rsid w:val="00AD6B70"/>
    <w:rsid w:val="00AE20A2"/>
    <w:rsid w:val="00AE55B6"/>
    <w:rsid w:val="00AE7115"/>
    <w:rsid w:val="00AF03AC"/>
    <w:rsid w:val="00AF42B8"/>
    <w:rsid w:val="00B02F63"/>
    <w:rsid w:val="00B07538"/>
    <w:rsid w:val="00B103BA"/>
    <w:rsid w:val="00B10CA9"/>
    <w:rsid w:val="00B1219E"/>
    <w:rsid w:val="00B26C99"/>
    <w:rsid w:val="00B3187A"/>
    <w:rsid w:val="00B44AD8"/>
    <w:rsid w:val="00B46703"/>
    <w:rsid w:val="00B553C6"/>
    <w:rsid w:val="00B63AC2"/>
    <w:rsid w:val="00B70218"/>
    <w:rsid w:val="00B764CA"/>
    <w:rsid w:val="00B81014"/>
    <w:rsid w:val="00B833EA"/>
    <w:rsid w:val="00B862E1"/>
    <w:rsid w:val="00B90F74"/>
    <w:rsid w:val="00B92F45"/>
    <w:rsid w:val="00B95C48"/>
    <w:rsid w:val="00BB322C"/>
    <w:rsid w:val="00BB712A"/>
    <w:rsid w:val="00BC5F59"/>
    <w:rsid w:val="00BC6583"/>
    <w:rsid w:val="00BC6653"/>
    <w:rsid w:val="00BD3DD4"/>
    <w:rsid w:val="00BD48E1"/>
    <w:rsid w:val="00BF03EE"/>
    <w:rsid w:val="00C143C8"/>
    <w:rsid w:val="00C166C9"/>
    <w:rsid w:val="00C16AD7"/>
    <w:rsid w:val="00C2181C"/>
    <w:rsid w:val="00C255A0"/>
    <w:rsid w:val="00C2715E"/>
    <w:rsid w:val="00C31765"/>
    <w:rsid w:val="00C34802"/>
    <w:rsid w:val="00C36DB8"/>
    <w:rsid w:val="00C453BB"/>
    <w:rsid w:val="00C47307"/>
    <w:rsid w:val="00C47B42"/>
    <w:rsid w:val="00C5308A"/>
    <w:rsid w:val="00C53E63"/>
    <w:rsid w:val="00C72597"/>
    <w:rsid w:val="00C84A6D"/>
    <w:rsid w:val="00C92E65"/>
    <w:rsid w:val="00C93D0C"/>
    <w:rsid w:val="00CB727F"/>
    <w:rsid w:val="00CC2D26"/>
    <w:rsid w:val="00CC3C1A"/>
    <w:rsid w:val="00CC4CD3"/>
    <w:rsid w:val="00CC6DFA"/>
    <w:rsid w:val="00CD630C"/>
    <w:rsid w:val="00CE125E"/>
    <w:rsid w:val="00CE42AA"/>
    <w:rsid w:val="00CE708E"/>
    <w:rsid w:val="00CF6236"/>
    <w:rsid w:val="00D117A3"/>
    <w:rsid w:val="00D117A5"/>
    <w:rsid w:val="00D16F30"/>
    <w:rsid w:val="00D212CE"/>
    <w:rsid w:val="00D21FF3"/>
    <w:rsid w:val="00D25338"/>
    <w:rsid w:val="00D33CD6"/>
    <w:rsid w:val="00D34D4C"/>
    <w:rsid w:val="00D4172E"/>
    <w:rsid w:val="00D41E99"/>
    <w:rsid w:val="00D42E76"/>
    <w:rsid w:val="00D43DCB"/>
    <w:rsid w:val="00D6249F"/>
    <w:rsid w:val="00D62C0D"/>
    <w:rsid w:val="00D6350B"/>
    <w:rsid w:val="00D64F4B"/>
    <w:rsid w:val="00D73FEE"/>
    <w:rsid w:val="00D75006"/>
    <w:rsid w:val="00D80445"/>
    <w:rsid w:val="00D9092A"/>
    <w:rsid w:val="00D90ECF"/>
    <w:rsid w:val="00D9721F"/>
    <w:rsid w:val="00D97AFB"/>
    <w:rsid w:val="00DA2CDC"/>
    <w:rsid w:val="00DA3C4F"/>
    <w:rsid w:val="00DB22C3"/>
    <w:rsid w:val="00DB7A84"/>
    <w:rsid w:val="00DC3FFD"/>
    <w:rsid w:val="00DD0167"/>
    <w:rsid w:val="00DD3D71"/>
    <w:rsid w:val="00DD4A5E"/>
    <w:rsid w:val="00DD69C0"/>
    <w:rsid w:val="00DE7441"/>
    <w:rsid w:val="00DF31CF"/>
    <w:rsid w:val="00DF5BA6"/>
    <w:rsid w:val="00DF729F"/>
    <w:rsid w:val="00E00F05"/>
    <w:rsid w:val="00E07B0E"/>
    <w:rsid w:val="00E14505"/>
    <w:rsid w:val="00E155C9"/>
    <w:rsid w:val="00E259F9"/>
    <w:rsid w:val="00E2622D"/>
    <w:rsid w:val="00E35A9F"/>
    <w:rsid w:val="00E41A88"/>
    <w:rsid w:val="00E41B73"/>
    <w:rsid w:val="00E4724A"/>
    <w:rsid w:val="00E66C87"/>
    <w:rsid w:val="00E73612"/>
    <w:rsid w:val="00E934CB"/>
    <w:rsid w:val="00E97839"/>
    <w:rsid w:val="00EA2D69"/>
    <w:rsid w:val="00EA5077"/>
    <w:rsid w:val="00EA54DD"/>
    <w:rsid w:val="00EA731D"/>
    <w:rsid w:val="00EA77E9"/>
    <w:rsid w:val="00EB5802"/>
    <w:rsid w:val="00EC59AA"/>
    <w:rsid w:val="00ED1FC0"/>
    <w:rsid w:val="00EE3987"/>
    <w:rsid w:val="00EF00C2"/>
    <w:rsid w:val="00EF4074"/>
    <w:rsid w:val="00EF585B"/>
    <w:rsid w:val="00F01006"/>
    <w:rsid w:val="00F02A0B"/>
    <w:rsid w:val="00F067B5"/>
    <w:rsid w:val="00F122F3"/>
    <w:rsid w:val="00F14F07"/>
    <w:rsid w:val="00F23ECD"/>
    <w:rsid w:val="00F3378E"/>
    <w:rsid w:val="00F41DDB"/>
    <w:rsid w:val="00F47A85"/>
    <w:rsid w:val="00F52339"/>
    <w:rsid w:val="00F523A4"/>
    <w:rsid w:val="00F53506"/>
    <w:rsid w:val="00F54C84"/>
    <w:rsid w:val="00F60456"/>
    <w:rsid w:val="00F71607"/>
    <w:rsid w:val="00F71CF9"/>
    <w:rsid w:val="00F80C6B"/>
    <w:rsid w:val="00F8227B"/>
    <w:rsid w:val="00F83CF4"/>
    <w:rsid w:val="00F8481B"/>
    <w:rsid w:val="00FB5A93"/>
    <w:rsid w:val="00FC76E1"/>
    <w:rsid w:val="00FD2FFC"/>
    <w:rsid w:val="00FD32E2"/>
    <w:rsid w:val="00FD4F51"/>
    <w:rsid w:val="00FE6511"/>
    <w:rsid w:val="00FF0D78"/>
    <w:rsid w:val="00FF1E1E"/>
    <w:rsid w:val="00FF23E9"/>
    <w:rsid w:val="00FF722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86E50"/>
  <w15:chartTrackingRefBased/>
  <w15:docId w15:val="{8EDDC072-CFF6-46D4-B306-1CF87FD5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7C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7C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C7A"/>
  </w:style>
  <w:style w:type="paragraph" w:styleId="Header">
    <w:name w:val="header"/>
    <w:basedOn w:val="Normal"/>
    <w:link w:val="HeaderChar"/>
    <w:uiPriority w:val="99"/>
    <w:unhideWhenUsed/>
    <w:rsid w:val="007F7C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C7A"/>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7F7C7A"/>
    <w:pPr>
      <w:spacing w:after="0" w:line="240" w:lineRule="auto"/>
      <w:ind w:left="720"/>
      <w:contextualSpacing/>
    </w:pPr>
    <w:rPr>
      <w:rFonts w:ascii="Arial Narrow" w:eastAsia="Times New Roman" w:hAnsi="Arial Narrow" w:cs="Times New Roman"/>
      <w:sz w:val="28"/>
      <w:szCs w:val="28"/>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7F7C7A"/>
    <w:rPr>
      <w:rFonts w:ascii="Arial Narrow" w:eastAsia="Times New Roman" w:hAnsi="Arial Narrow" w:cs="Times New Roman"/>
      <w:sz w:val="28"/>
      <w:szCs w:val="28"/>
      <w:lang w:val="x-none" w:eastAsia="x-none"/>
    </w:rPr>
  </w:style>
  <w:style w:type="paragraph" w:styleId="NoSpacing">
    <w:name w:val="No Spacing"/>
    <w:link w:val="NoSpacingChar"/>
    <w:uiPriority w:val="1"/>
    <w:qFormat/>
    <w:rsid w:val="007F7C7A"/>
    <w:pPr>
      <w:spacing w:after="0" w:line="240" w:lineRule="auto"/>
    </w:pPr>
    <w:rPr>
      <w:rFonts w:ascii="Times New Roman" w:eastAsia="MS Mincho" w:hAnsi="Times New Roman" w:cs="Times New Roman"/>
      <w:sz w:val="24"/>
      <w:szCs w:val="24"/>
      <w:lang w:eastAsia="sq-AL"/>
    </w:rPr>
  </w:style>
  <w:style w:type="character" w:customStyle="1" w:styleId="NoSpacingChar">
    <w:name w:val="No Spacing Char"/>
    <w:link w:val="NoSpacing"/>
    <w:uiPriority w:val="1"/>
    <w:locked/>
    <w:rsid w:val="007F7C7A"/>
    <w:rPr>
      <w:rFonts w:ascii="Times New Roman" w:eastAsia="MS Mincho" w:hAnsi="Times New Roman" w:cs="Times New Roman"/>
      <w:sz w:val="24"/>
      <w:szCs w:val="24"/>
      <w:lang w:eastAsia="sq-AL"/>
    </w:rPr>
  </w:style>
  <w:style w:type="character" w:styleId="CommentReference">
    <w:name w:val="annotation reference"/>
    <w:basedOn w:val="DefaultParagraphFont"/>
    <w:uiPriority w:val="99"/>
    <w:semiHidden/>
    <w:unhideWhenUsed/>
    <w:rsid w:val="007F7C7A"/>
    <w:rPr>
      <w:sz w:val="16"/>
      <w:szCs w:val="16"/>
    </w:rPr>
  </w:style>
  <w:style w:type="paragraph" w:styleId="CommentText">
    <w:name w:val="annotation text"/>
    <w:basedOn w:val="Normal"/>
    <w:link w:val="CommentTextChar"/>
    <w:uiPriority w:val="99"/>
    <w:semiHidden/>
    <w:unhideWhenUsed/>
    <w:rsid w:val="007F7C7A"/>
    <w:pPr>
      <w:spacing w:line="240" w:lineRule="auto"/>
    </w:pPr>
    <w:rPr>
      <w:sz w:val="20"/>
      <w:szCs w:val="20"/>
    </w:rPr>
  </w:style>
  <w:style w:type="character" w:customStyle="1" w:styleId="CommentTextChar">
    <w:name w:val="Comment Text Char"/>
    <w:basedOn w:val="DefaultParagraphFont"/>
    <w:link w:val="CommentText"/>
    <w:uiPriority w:val="99"/>
    <w:semiHidden/>
    <w:rsid w:val="007F7C7A"/>
    <w:rPr>
      <w:sz w:val="20"/>
      <w:szCs w:val="20"/>
    </w:rPr>
  </w:style>
  <w:style w:type="paragraph" w:styleId="CommentSubject">
    <w:name w:val="annotation subject"/>
    <w:basedOn w:val="CommentText"/>
    <w:next w:val="CommentText"/>
    <w:link w:val="CommentSubjectChar"/>
    <w:uiPriority w:val="99"/>
    <w:semiHidden/>
    <w:unhideWhenUsed/>
    <w:rsid w:val="007F7C7A"/>
    <w:rPr>
      <w:b/>
      <w:bCs/>
    </w:rPr>
  </w:style>
  <w:style w:type="character" w:customStyle="1" w:styleId="CommentSubjectChar">
    <w:name w:val="Comment Subject Char"/>
    <w:basedOn w:val="CommentTextChar"/>
    <w:link w:val="CommentSubject"/>
    <w:uiPriority w:val="99"/>
    <w:semiHidden/>
    <w:rsid w:val="007F7C7A"/>
    <w:rPr>
      <w:b/>
      <w:bCs/>
      <w:sz w:val="20"/>
      <w:szCs w:val="20"/>
    </w:rPr>
  </w:style>
  <w:style w:type="paragraph" w:styleId="BalloonText">
    <w:name w:val="Balloon Text"/>
    <w:basedOn w:val="Normal"/>
    <w:link w:val="BalloonTextChar"/>
    <w:uiPriority w:val="99"/>
    <w:semiHidden/>
    <w:unhideWhenUsed/>
    <w:rsid w:val="007F7C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7C7A"/>
    <w:rPr>
      <w:rFonts w:ascii="Segoe UI" w:hAnsi="Segoe UI" w:cs="Segoe UI"/>
      <w:sz w:val="18"/>
      <w:szCs w:val="18"/>
    </w:rPr>
  </w:style>
  <w:style w:type="paragraph" w:styleId="BodyTextIndent2">
    <w:name w:val="Body Text Indent 2"/>
    <w:basedOn w:val="Normal"/>
    <w:link w:val="BodyTextIndent2Char"/>
    <w:rsid w:val="007F7C7A"/>
    <w:pPr>
      <w:spacing w:after="0" w:line="240" w:lineRule="auto"/>
      <w:ind w:firstLine="720"/>
      <w:jc w:val="both"/>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7F7C7A"/>
    <w:rPr>
      <w:rFonts w:ascii="Times New Roman" w:eastAsia="Times New Roman" w:hAnsi="Times New Roman" w:cs="Times New Roman"/>
      <w:sz w:val="24"/>
      <w:szCs w:val="20"/>
    </w:rPr>
  </w:style>
  <w:style w:type="table" w:styleId="TableGrid">
    <w:name w:val="Table Grid"/>
    <w:basedOn w:val="TableNormal"/>
    <w:uiPriority w:val="39"/>
    <w:rsid w:val="00AF4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2024-04-09T13:21:33Z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2024-04-08T00:00:00Z</Date_x0020_protokolli>
    <Titulli xmlns="0e656187-b300-4fb0-8bf4-3a50f872073c">Me objekt shfuqizimin e vendimit nr. 00-2023-574, datë 26.01.2023 të Kolegjit Penal të Gjykatës së Lartë, si i papajtueshëm me Kushtetutën e Republikës së Shqipërisë</Titulli>
    <Modifikuesi xmlns="0e656187-b300-4fb0-8bf4-3a50f872073c">nevila.samarxhi</Modifikuesi>
    <Nr_x002e__x0020_prot_x0020_QBZ xmlns="0e656187-b300-4fb0-8bf4-3a50f872073c">628/1</Nr_x002e__x0020_prot_x0020_QBZ>
    <Data_x0020_e_x0020_Modifikimit xmlns="0e656187-b300-4fb0-8bf4-3a50f872073c">2024-04-11T08:49:11Z</Data_x0020_e_x0020_Modifikimit>
    <Dekretuar xmlns="0e656187-b300-4fb0-8bf4-3a50f872073c">false</Dekretuar>
    <Data xmlns="0e656187-b300-4fb0-8bf4-3a50f872073c">2024-02-28T00:00:00Z</Data>
    <Nr_x002e__x0020_protokolli_x0020_i_x0020_aktit xmlns="0e656187-b300-4fb0-8bf4-3a50f872073c">730/10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350E48780FA45169788E2DCD492F3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350E48780FA45169788E2DCD492F3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F1882AC-B486-44E2-B50F-9B05E6CEE847}">
  <ds:schemaRef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dcmitype/"/>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B0AF7E30-93C7-4B38-9F32-AE6AE7651F0F}">
  <ds:schemaRefs>
    <ds:schemaRef ds:uri="http://schemas.microsoft.com/sharepoint/v3/contenttype/forms"/>
  </ds:schemaRefs>
</ds:datastoreItem>
</file>

<file path=customXml/itemProps3.xml><?xml version="1.0" encoding="utf-8"?>
<ds:datastoreItem xmlns:ds="http://schemas.openxmlformats.org/officeDocument/2006/customXml" ds:itemID="{8E0AF76D-8AC5-4411-909A-EFE052526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04DC27D-E2FB-4F7B-966E-F3918C07C329}">
  <ds:schemaRefs>
    <ds:schemaRef ds:uri="http://schemas.microsoft.com/sharepoint/v3/contenttype/forms"/>
  </ds:schemaRefs>
</ds:datastoreItem>
</file>

<file path=customXml/itemProps5.xml><?xml version="1.0" encoding="utf-8"?>
<ds:datastoreItem xmlns:ds="http://schemas.openxmlformats.org/officeDocument/2006/customXml" ds:itemID="{46096499-D202-486E-9915-A527AC192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4180</Words>
  <Characters>23832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Kondili</dc:creator>
  <cp:lastModifiedBy>Jorina Kryeziu</cp:lastModifiedBy>
  <cp:revision>24</cp:revision>
  <cp:lastPrinted>2024-03-28T12:20:00Z</cp:lastPrinted>
  <dcterms:created xsi:type="dcterms:W3CDTF">2024-04-11T07:40:00Z</dcterms:created>
  <dcterms:modified xsi:type="dcterms:W3CDTF">2024-04-11T09:04:00Z</dcterms:modified>
</cp:coreProperties>
</file>