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C8D7D" w14:textId="72A26F02"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r w:rsidRPr="006B54C2">
        <w:rPr>
          <w:rFonts w:ascii="Garamond" w:eastAsiaTheme="minorHAnsi" w:hAnsi="Garamond"/>
          <w:b/>
          <w:bCs/>
          <w:sz w:val="24"/>
          <w:szCs w:val="24"/>
        </w:rPr>
        <w:t>VENDIM</w:t>
      </w:r>
    </w:p>
    <w:p w14:paraId="11DCBC1F"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r w:rsidRPr="006B54C2">
        <w:rPr>
          <w:rFonts w:ascii="Garamond" w:eastAsiaTheme="minorHAnsi" w:hAnsi="Garamond"/>
          <w:b/>
          <w:bCs/>
          <w:sz w:val="24"/>
          <w:szCs w:val="24"/>
        </w:rPr>
        <w:t>Nr. 17, datë 13.3.2024</w:t>
      </w:r>
    </w:p>
    <w:p w14:paraId="237F052D"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p>
    <w:p w14:paraId="5C299E38" w14:textId="0B083534"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r w:rsidRPr="006B54C2">
        <w:rPr>
          <w:rFonts w:ascii="Garamond" w:eastAsiaTheme="minorHAnsi" w:hAnsi="Garamond"/>
          <w:b/>
          <w:bCs/>
          <w:sz w:val="24"/>
          <w:szCs w:val="24"/>
        </w:rPr>
        <w:t>NË EMËR TË REPUBLIKËS SË SHQIPËRISË</w:t>
      </w:r>
    </w:p>
    <w:p w14:paraId="43A7A395"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p>
    <w:p w14:paraId="113B71C9" w14:textId="6CFCF19D" w:rsidR="00D27390" w:rsidRPr="006B54C2" w:rsidRDefault="00D27390" w:rsidP="00D27390">
      <w:pPr>
        <w:tabs>
          <w:tab w:val="left" w:pos="72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b/>
          <w:bCs/>
          <w:sz w:val="24"/>
          <w:szCs w:val="24"/>
        </w:rPr>
        <w:t xml:space="preserve"> </w:t>
      </w:r>
      <w:r w:rsidRPr="006B54C2">
        <w:rPr>
          <w:rFonts w:ascii="Garamond" w:eastAsiaTheme="minorHAnsi" w:hAnsi="Garamond"/>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984"/>
      </w:tblGrid>
      <w:tr w:rsidR="00051917" w:rsidRPr="006B54C2" w14:paraId="6093B886" w14:textId="77777777" w:rsidTr="003638E9">
        <w:tc>
          <w:tcPr>
            <w:tcW w:w="2689" w:type="dxa"/>
          </w:tcPr>
          <w:p w14:paraId="4F3F9B8F" w14:textId="6067281A" w:rsidR="00051917" w:rsidRPr="006B54C2" w:rsidRDefault="00051917" w:rsidP="00D27390">
            <w:pPr>
              <w:autoSpaceDE w:val="0"/>
              <w:autoSpaceDN w:val="0"/>
              <w:adjustRightInd w:val="0"/>
              <w:spacing w:after="0" w:line="240" w:lineRule="auto"/>
              <w:jc w:val="both"/>
              <w:rPr>
                <w:rFonts w:ascii="Garamond" w:eastAsiaTheme="minorHAnsi" w:hAnsi="Garamond"/>
                <w:sz w:val="24"/>
                <w:szCs w:val="24"/>
              </w:rPr>
            </w:pPr>
            <w:proofErr w:type="spellStart"/>
            <w:r w:rsidRPr="006B54C2">
              <w:rPr>
                <w:rFonts w:ascii="Garamond" w:eastAsiaTheme="minorHAnsi" w:hAnsi="Garamond"/>
                <w:sz w:val="24"/>
                <w:szCs w:val="24"/>
              </w:rPr>
              <w:t>Holta</w:t>
            </w:r>
            <w:proofErr w:type="spellEnd"/>
            <w:r w:rsidRPr="006B54C2">
              <w:rPr>
                <w:rFonts w:ascii="Garamond" w:eastAsiaTheme="minorHAnsi" w:hAnsi="Garamond"/>
                <w:sz w:val="24"/>
                <w:szCs w:val="24"/>
              </w:rPr>
              <w:t xml:space="preserve"> </w:t>
            </w:r>
            <w:proofErr w:type="spellStart"/>
            <w:r w:rsidRPr="006B54C2">
              <w:rPr>
                <w:rFonts w:ascii="Garamond" w:eastAsiaTheme="minorHAnsi" w:hAnsi="Garamond"/>
                <w:sz w:val="24"/>
                <w:szCs w:val="24"/>
              </w:rPr>
              <w:t>Zaçaj</w:t>
            </w:r>
            <w:proofErr w:type="spellEnd"/>
          </w:p>
        </w:tc>
        <w:tc>
          <w:tcPr>
            <w:tcW w:w="1984" w:type="dxa"/>
          </w:tcPr>
          <w:p w14:paraId="563F9714" w14:textId="549A61C0" w:rsidR="00051917" w:rsidRPr="006B54C2" w:rsidRDefault="0077042B"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kryetare;</w:t>
            </w:r>
          </w:p>
        </w:tc>
      </w:tr>
      <w:tr w:rsidR="00051917" w:rsidRPr="006B54C2" w14:paraId="169C5418" w14:textId="77777777" w:rsidTr="003638E9">
        <w:tc>
          <w:tcPr>
            <w:tcW w:w="2689" w:type="dxa"/>
          </w:tcPr>
          <w:p w14:paraId="1E1AD9DA" w14:textId="6AF708DC" w:rsidR="00051917" w:rsidRPr="006B54C2" w:rsidRDefault="00051917" w:rsidP="00D27390">
            <w:pPr>
              <w:autoSpaceDE w:val="0"/>
              <w:autoSpaceDN w:val="0"/>
              <w:adjustRightInd w:val="0"/>
              <w:spacing w:after="0" w:line="240" w:lineRule="auto"/>
              <w:jc w:val="both"/>
              <w:rPr>
                <w:rFonts w:ascii="Garamond" w:eastAsiaTheme="minorHAnsi" w:hAnsi="Garamond"/>
                <w:sz w:val="24"/>
                <w:szCs w:val="24"/>
              </w:rPr>
            </w:pPr>
            <w:proofErr w:type="spellStart"/>
            <w:r w:rsidRPr="006B54C2">
              <w:rPr>
                <w:rFonts w:ascii="Garamond" w:eastAsiaTheme="minorHAnsi" w:hAnsi="Garamond"/>
                <w:sz w:val="24"/>
                <w:szCs w:val="24"/>
              </w:rPr>
              <w:t>Marsida</w:t>
            </w:r>
            <w:proofErr w:type="spellEnd"/>
            <w:r w:rsidRPr="006B54C2">
              <w:rPr>
                <w:rFonts w:ascii="Garamond" w:eastAsiaTheme="minorHAnsi" w:hAnsi="Garamond"/>
                <w:sz w:val="24"/>
                <w:szCs w:val="24"/>
              </w:rPr>
              <w:t xml:space="preserve"> </w:t>
            </w:r>
            <w:proofErr w:type="spellStart"/>
            <w:r w:rsidRPr="006B54C2">
              <w:rPr>
                <w:rFonts w:ascii="Garamond" w:eastAsiaTheme="minorHAnsi" w:hAnsi="Garamond"/>
                <w:sz w:val="24"/>
                <w:szCs w:val="24"/>
              </w:rPr>
              <w:t>Xhaferllari</w:t>
            </w:r>
            <w:proofErr w:type="spellEnd"/>
          </w:p>
        </w:tc>
        <w:tc>
          <w:tcPr>
            <w:tcW w:w="1984" w:type="dxa"/>
          </w:tcPr>
          <w:p w14:paraId="07244CA0" w14:textId="28DD3002" w:rsidR="00051917" w:rsidRPr="006B54C2" w:rsidRDefault="0077042B"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anëtare;</w:t>
            </w:r>
          </w:p>
        </w:tc>
      </w:tr>
      <w:tr w:rsidR="00051917" w:rsidRPr="006B54C2" w14:paraId="1064D800" w14:textId="77777777" w:rsidTr="003638E9">
        <w:tc>
          <w:tcPr>
            <w:tcW w:w="2689" w:type="dxa"/>
          </w:tcPr>
          <w:p w14:paraId="0652D884" w14:textId="313D5C88" w:rsidR="00051917" w:rsidRPr="006B54C2" w:rsidRDefault="00051917" w:rsidP="00D27390">
            <w:pPr>
              <w:autoSpaceDE w:val="0"/>
              <w:autoSpaceDN w:val="0"/>
              <w:adjustRightInd w:val="0"/>
              <w:spacing w:after="0" w:line="240" w:lineRule="auto"/>
              <w:jc w:val="both"/>
              <w:rPr>
                <w:rFonts w:ascii="Garamond" w:eastAsiaTheme="minorHAnsi" w:hAnsi="Garamond"/>
                <w:sz w:val="24"/>
                <w:szCs w:val="24"/>
              </w:rPr>
            </w:pPr>
            <w:proofErr w:type="spellStart"/>
            <w:r w:rsidRPr="006B54C2">
              <w:rPr>
                <w:rFonts w:ascii="Garamond" w:eastAsiaTheme="minorHAnsi" w:hAnsi="Garamond"/>
                <w:sz w:val="24"/>
                <w:szCs w:val="24"/>
              </w:rPr>
              <w:t>Fiona</w:t>
            </w:r>
            <w:proofErr w:type="spellEnd"/>
            <w:r w:rsidRPr="006B54C2">
              <w:rPr>
                <w:rFonts w:ascii="Garamond" w:eastAsiaTheme="minorHAnsi" w:hAnsi="Garamond"/>
                <w:sz w:val="24"/>
                <w:szCs w:val="24"/>
              </w:rPr>
              <w:t xml:space="preserve"> </w:t>
            </w:r>
            <w:proofErr w:type="spellStart"/>
            <w:r w:rsidRPr="006B54C2">
              <w:rPr>
                <w:rFonts w:ascii="Garamond" w:eastAsiaTheme="minorHAnsi" w:hAnsi="Garamond"/>
                <w:sz w:val="24"/>
                <w:szCs w:val="24"/>
              </w:rPr>
              <w:t>Papajorgji</w:t>
            </w:r>
            <w:proofErr w:type="spellEnd"/>
          </w:p>
        </w:tc>
        <w:tc>
          <w:tcPr>
            <w:tcW w:w="1984" w:type="dxa"/>
          </w:tcPr>
          <w:p w14:paraId="3348F17B" w14:textId="77B44B15" w:rsidR="00051917" w:rsidRPr="006B54C2" w:rsidRDefault="0077042B"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anëtare;</w:t>
            </w:r>
          </w:p>
        </w:tc>
      </w:tr>
      <w:tr w:rsidR="00051917" w:rsidRPr="006B54C2" w14:paraId="213E6DE9" w14:textId="77777777" w:rsidTr="003638E9">
        <w:tc>
          <w:tcPr>
            <w:tcW w:w="2689" w:type="dxa"/>
          </w:tcPr>
          <w:p w14:paraId="07BF2316" w14:textId="76C1423E" w:rsidR="00051917" w:rsidRPr="006B54C2" w:rsidRDefault="00051917" w:rsidP="00D27390">
            <w:pPr>
              <w:autoSpaceDE w:val="0"/>
              <w:autoSpaceDN w:val="0"/>
              <w:adjustRightInd w:val="0"/>
              <w:spacing w:after="0" w:line="240" w:lineRule="auto"/>
              <w:jc w:val="both"/>
              <w:rPr>
                <w:rFonts w:ascii="Garamond" w:eastAsiaTheme="minorHAnsi" w:hAnsi="Garamond"/>
                <w:sz w:val="24"/>
                <w:szCs w:val="24"/>
              </w:rPr>
            </w:pPr>
            <w:proofErr w:type="spellStart"/>
            <w:r w:rsidRPr="006B54C2">
              <w:rPr>
                <w:rFonts w:ascii="Garamond" w:eastAsiaTheme="minorHAnsi" w:hAnsi="Garamond"/>
                <w:sz w:val="24"/>
                <w:szCs w:val="24"/>
              </w:rPr>
              <w:t>Elsa</w:t>
            </w:r>
            <w:proofErr w:type="spellEnd"/>
            <w:r w:rsidRPr="006B54C2">
              <w:rPr>
                <w:rFonts w:ascii="Garamond" w:eastAsiaTheme="minorHAnsi" w:hAnsi="Garamond"/>
                <w:sz w:val="24"/>
                <w:szCs w:val="24"/>
              </w:rPr>
              <w:t xml:space="preserve"> Toska</w:t>
            </w:r>
          </w:p>
        </w:tc>
        <w:tc>
          <w:tcPr>
            <w:tcW w:w="1984" w:type="dxa"/>
          </w:tcPr>
          <w:p w14:paraId="4AB1C77A" w14:textId="5BEBAAB1" w:rsidR="00051917" w:rsidRPr="006B54C2" w:rsidRDefault="0077042B"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anëtare;</w:t>
            </w:r>
          </w:p>
        </w:tc>
      </w:tr>
      <w:tr w:rsidR="00051917" w:rsidRPr="006B54C2" w14:paraId="47738781" w14:textId="77777777" w:rsidTr="003638E9">
        <w:tc>
          <w:tcPr>
            <w:tcW w:w="2689" w:type="dxa"/>
          </w:tcPr>
          <w:p w14:paraId="730B4E45" w14:textId="0F1C0C42" w:rsidR="00051917" w:rsidRPr="006B54C2" w:rsidRDefault="00051917" w:rsidP="00D27390">
            <w:pPr>
              <w:autoSpaceDE w:val="0"/>
              <w:autoSpaceDN w:val="0"/>
              <w:adjustRightInd w:val="0"/>
              <w:spacing w:after="0" w:line="240" w:lineRule="auto"/>
              <w:jc w:val="both"/>
              <w:rPr>
                <w:rFonts w:ascii="Garamond" w:eastAsiaTheme="minorHAnsi" w:hAnsi="Garamond"/>
                <w:sz w:val="24"/>
                <w:szCs w:val="24"/>
              </w:rPr>
            </w:pPr>
            <w:proofErr w:type="spellStart"/>
            <w:r w:rsidRPr="006B54C2">
              <w:rPr>
                <w:rFonts w:ascii="Garamond" w:eastAsiaTheme="minorHAnsi" w:hAnsi="Garamond"/>
                <w:sz w:val="24"/>
                <w:szCs w:val="24"/>
              </w:rPr>
              <w:t>Sonila</w:t>
            </w:r>
            <w:proofErr w:type="spellEnd"/>
            <w:r w:rsidRPr="006B54C2">
              <w:rPr>
                <w:rFonts w:ascii="Garamond" w:eastAsiaTheme="minorHAnsi" w:hAnsi="Garamond"/>
                <w:sz w:val="24"/>
                <w:szCs w:val="24"/>
              </w:rPr>
              <w:t xml:space="preserve"> Bejtja</w:t>
            </w:r>
          </w:p>
        </w:tc>
        <w:tc>
          <w:tcPr>
            <w:tcW w:w="1984" w:type="dxa"/>
          </w:tcPr>
          <w:p w14:paraId="13C6A9FA" w14:textId="26A5B4D5" w:rsidR="00051917" w:rsidRPr="006B54C2" w:rsidRDefault="0077042B"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anëtare;</w:t>
            </w:r>
          </w:p>
        </w:tc>
      </w:tr>
      <w:tr w:rsidR="00051917" w:rsidRPr="006B54C2" w14:paraId="5805D2FF" w14:textId="77777777" w:rsidTr="003638E9">
        <w:tc>
          <w:tcPr>
            <w:tcW w:w="2689" w:type="dxa"/>
          </w:tcPr>
          <w:p w14:paraId="362235BB" w14:textId="09DB5705" w:rsidR="00051917" w:rsidRPr="006B54C2" w:rsidRDefault="00051917"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Ilir Toska</w:t>
            </w:r>
          </w:p>
        </w:tc>
        <w:tc>
          <w:tcPr>
            <w:tcW w:w="1984" w:type="dxa"/>
          </w:tcPr>
          <w:p w14:paraId="597426EA" w14:textId="33CE1281" w:rsidR="00051917" w:rsidRPr="006B54C2" w:rsidRDefault="0077042B"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anëtar;</w:t>
            </w:r>
          </w:p>
        </w:tc>
      </w:tr>
      <w:tr w:rsidR="00051917" w:rsidRPr="006B54C2" w14:paraId="0C97B6C2" w14:textId="77777777" w:rsidTr="003638E9">
        <w:tc>
          <w:tcPr>
            <w:tcW w:w="2689" w:type="dxa"/>
          </w:tcPr>
          <w:p w14:paraId="727C615E" w14:textId="33E2450F" w:rsidR="00051917" w:rsidRPr="006B54C2" w:rsidRDefault="00051917"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Genti Ibrahimi</w:t>
            </w:r>
          </w:p>
        </w:tc>
        <w:tc>
          <w:tcPr>
            <w:tcW w:w="1984" w:type="dxa"/>
          </w:tcPr>
          <w:p w14:paraId="28B04019" w14:textId="173A6225" w:rsidR="00051917" w:rsidRPr="006B54C2" w:rsidRDefault="0077042B"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anëtar;</w:t>
            </w:r>
          </w:p>
        </w:tc>
      </w:tr>
      <w:tr w:rsidR="00051917" w:rsidRPr="006B54C2" w14:paraId="3131FBC0" w14:textId="77777777" w:rsidTr="003638E9">
        <w:tc>
          <w:tcPr>
            <w:tcW w:w="2689" w:type="dxa"/>
          </w:tcPr>
          <w:p w14:paraId="334AE261" w14:textId="1FE83EC7" w:rsidR="00051917" w:rsidRPr="006B54C2" w:rsidRDefault="00051917" w:rsidP="00D27390">
            <w:pPr>
              <w:autoSpaceDE w:val="0"/>
              <w:autoSpaceDN w:val="0"/>
              <w:adjustRightInd w:val="0"/>
              <w:spacing w:after="0" w:line="240" w:lineRule="auto"/>
              <w:jc w:val="both"/>
              <w:rPr>
                <w:rFonts w:ascii="Garamond" w:eastAsiaTheme="minorHAnsi" w:hAnsi="Garamond"/>
                <w:sz w:val="24"/>
                <w:szCs w:val="24"/>
              </w:rPr>
            </w:pPr>
            <w:proofErr w:type="spellStart"/>
            <w:r w:rsidRPr="006B54C2">
              <w:rPr>
                <w:rFonts w:ascii="Garamond" w:eastAsiaTheme="minorHAnsi" w:hAnsi="Garamond"/>
                <w:sz w:val="24"/>
                <w:szCs w:val="24"/>
              </w:rPr>
              <w:t>Marjana</w:t>
            </w:r>
            <w:proofErr w:type="spellEnd"/>
            <w:r w:rsidRPr="006B54C2">
              <w:rPr>
                <w:rFonts w:ascii="Garamond" w:eastAsiaTheme="minorHAnsi" w:hAnsi="Garamond"/>
                <w:sz w:val="24"/>
                <w:szCs w:val="24"/>
              </w:rPr>
              <w:t xml:space="preserve"> </w:t>
            </w:r>
            <w:proofErr w:type="spellStart"/>
            <w:r w:rsidRPr="006B54C2">
              <w:rPr>
                <w:rFonts w:ascii="Garamond" w:eastAsiaTheme="minorHAnsi" w:hAnsi="Garamond"/>
                <w:sz w:val="24"/>
                <w:szCs w:val="24"/>
              </w:rPr>
              <w:t>Semini</w:t>
            </w:r>
            <w:proofErr w:type="spellEnd"/>
          </w:p>
        </w:tc>
        <w:tc>
          <w:tcPr>
            <w:tcW w:w="1984" w:type="dxa"/>
          </w:tcPr>
          <w:p w14:paraId="5ADB7C07" w14:textId="41B63163" w:rsidR="00051917" w:rsidRPr="006B54C2" w:rsidRDefault="0077042B"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anëtare;</w:t>
            </w:r>
          </w:p>
        </w:tc>
      </w:tr>
      <w:tr w:rsidR="00051917" w:rsidRPr="006B54C2" w14:paraId="57B413D9" w14:textId="77777777" w:rsidTr="003638E9">
        <w:tc>
          <w:tcPr>
            <w:tcW w:w="2689" w:type="dxa"/>
          </w:tcPr>
          <w:p w14:paraId="7189059A" w14:textId="41263655" w:rsidR="00051917" w:rsidRPr="006B54C2" w:rsidRDefault="00051917" w:rsidP="00D27390">
            <w:pPr>
              <w:autoSpaceDE w:val="0"/>
              <w:autoSpaceDN w:val="0"/>
              <w:adjustRightInd w:val="0"/>
              <w:spacing w:after="0" w:line="240" w:lineRule="auto"/>
              <w:jc w:val="both"/>
              <w:rPr>
                <w:rFonts w:ascii="Garamond" w:eastAsiaTheme="minorHAnsi" w:hAnsi="Garamond"/>
                <w:sz w:val="24"/>
                <w:szCs w:val="24"/>
              </w:rPr>
            </w:pPr>
            <w:proofErr w:type="spellStart"/>
            <w:r w:rsidRPr="006B54C2">
              <w:rPr>
                <w:rFonts w:ascii="Garamond" w:eastAsiaTheme="minorHAnsi" w:hAnsi="Garamond"/>
                <w:sz w:val="24"/>
                <w:szCs w:val="24"/>
              </w:rPr>
              <w:t>Sandër</w:t>
            </w:r>
            <w:proofErr w:type="spellEnd"/>
            <w:r w:rsidRPr="006B54C2">
              <w:rPr>
                <w:rFonts w:ascii="Garamond" w:eastAsiaTheme="minorHAnsi" w:hAnsi="Garamond"/>
                <w:sz w:val="24"/>
                <w:szCs w:val="24"/>
              </w:rPr>
              <w:t xml:space="preserve"> Beci</w:t>
            </w:r>
          </w:p>
        </w:tc>
        <w:tc>
          <w:tcPr>
            <w:tcW w:w="1984" w:type="dxa"/>
          </w:tcPr>
          <w:p w14:paraId="30A8D304" w14:textId="58957E80" w:rsidR="00051917" w:rsidRPr="006B54C2" w:rsidRDefault="0077042B" w:rsidP="00D27390">
            <w:pPr>
              <w:autoSpaceDE w:val="0"/>
              <w:autoSpaceDN w:val="0"/>
              <w:adjustRightInd w:val="0"/>
              <w:spacing w:after="0" w:line="240" w:lineRule="auto"/>
              <w:jc w:val="both"/>
              <w:rPr>
                <w:rFonts w:ascii="Garamond" w:eastAsiaTheme="minorHAnsi" w:hAnsi="Garamond"/>
                <w:sz w:val="24"/>
                <w:szCs w:val="24"/>
              </w:rPr>
            </w:pPr>
            <w:r w:rsidRPr="006B54C2">
              <w:rPr>
                <w:rFonts w:ascii="Garamond" w:eastAsiaTheme="minorHAnsi" w:hAnsi="Garamond"/>
                <w:sz w:val="24"/>
                <w:szCs w:val="24"/>
              </w:rPr>
              <w:t>anëtar,</w:t>
            </w:r>
          </w:p>
        </w:tc>
      </w:tr>
    </w:tbl>
    <w:p w14:paraId="5945F75D" w14:textId="236CBBA0" w:rsidR="00D27390" w:rsidRPr="006B54C2" w:rsidRDefault="00D27390" w:rsidP="00D27390">
      <w:pPr>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me sekretare </w:t>
      </w:r>
      <w:proofErr w:type="spellStart"/>
      <w:r w:rsidRPr="006B54C2">
        <w:rPr>
          <w:rFonts w:ascii="Garamond" w:eastAsiaTheme="minorHAnsi" w:hAnsi="Garamond"/>
          <w:sz w:val="24"/>
          <w:szCs w:val="24"/>
        </w:rPr>
        <w:t>Belma</w:t>
      </w:r>
      <w:proofErr w:type="spellEnd"/>
      <w:r w:rsidRPr="006B54C2">
        <w:rPr>
          <w:rFonts w:ascii="Garamond" w:eastAsiaTheme="minorHAnsi" w:hAnsi="Garamond"/>
          <w:sz w:val="24"/>
          <w:szCs w:val="24"/>
        </w:rPr>
        <w:t xml:space="preserve"> Lleshi, në datat 15.2.2024 dhe 13.3.2024 mori në shqyrtim në seancë plenare mbi bazë të dokumenteve çështjen nr. 13 (M) 2023 të Regjistrit Themeltar, që u përket:</w:t>
      </w:r>
    </w:p>
    <w:p w14:paraId="7827A6F7" w14:textId="27D14C25" w:rsidR="00D27390" w:rsidRPr="006B54C2" w:rsidRDefault="00D27390" w:rsidP="00D27390">
      <w:pPr>
        <w:tabs>
          <w:tab w:val="left" w:pos="28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bCs/>
          <w:sz w:val="24"/>
          <w:szCs w:val="24"/>
        </w:rPr>
        <w:t>KËRKUESE:</w:t>
      </w:r>
      <w:r w:rsidR="0077042B" w:rsidRPr="006B54C2">
        <w:rPr>
          <w:rFonts w:ascii="Garamond" w:eastAsiaTheme="minorHAnsi" w:hAnsi="Garamond"/>
          <w:bCs/>
          <w:sz w:val="24"/>
          <w:szCs w:val="24"/>
        </w:rPr>
        <w:t xml:space="preserve"> </w:t>
      </w:r>
      <w:r w:rsidR="003638E9" w:rsidRPr="006B54C2">
        <w:rPr>
          <w:rFonts w:ascii="Garamond" w:eastAsiaTheme="minorHAnsi" w:hAnsi="Garamond"/>
          <w:bCs/>
          <w:sz w:val="24"/>
          <w:szCs w:val="24"/>
        </w:rPr>
        <w:t xml:space="preserve">Mimoza </w:t>
      </w:r>
      <w:proofErr w:type="spellStart"/>
      <w:r w:rsidR="003638E9" w:rsidRPr="006B54C2">
        <w:rPr>
          <w:rFonts w:ascii="Garamond" w:eastAsiaTheme="minorHAnsi" w:hAnsi="Garamond"/>
          <w:bCs/>
          <w:sz w:val="24"/>
          <w:szCs w:val="24"/>
        </w:rPr>
        <w:t>Margjeka</w:t>
      </w:r>
      <w:proofErr w:type="spellEnd"/>
      <w:r w:rsidRPr="006B54C2">
        <w:rPr>
          <w:rFonts w:ascii="Garamond" w:eastAsiaTheme="minorHAnsi" w:hAnsi="Garamond"/>
          <w:bCs/>
          <w:sz w:val="24"/>
          <w:szCs w:val="24"/>
        </w:rPr>
        <w:t xml:space="preserve">, </w:t>
      </w:r>
      <w:r w:rsidRPr="006B54C2">
        <w:rPr>
          <w:rFonts w:ascii="Garamond" w:eastAsiaTheme="minorHAnsi" w:hAnsi="Garamond"/>
          <w:sz w:val="24"/>
          <w:szCs w:val="24"/>
        </w:rPr>
        <w:t>përfaqësuar nga avokate Margarita</w:t>
      </w:r>
      <w:r w:rsidR="0077042B" w:rsidRPr="006B54C2">
        <w:rPr>
          <w:rFonts w:ascii="Garamond" w:eastAsiaTheme="minorHAnsi" w:hAnsi="Garamond"/>
          <w:sz w:val="24"/>
          <w:szCs w:val="24"/>
        </w:rPr>
        <w:t xml:space="preserve"> </w:t>
      </w:r>
      <w:proofErr w:type="spellStart"/>
      <w:r w:rsidRPr="006B54C2">
        <w:rPr>
          <w:rFonts w:ascii="Garamond" w:eastAsiaTheme="minorHAnsi" w:hAnsi="Garamond"/>
          <w:sz w:val="24"/>
          <w:szCs w:val="24"/>
        </w:rPr>
        <w:t>Kola</w:t>
      </w:r>
      <w:proofErr w:type="spellEnd"/>
      <w:r w:rsidRPr="006B54C2">
        <w:rPr>
          <w:rFonts w:ascii="Garamond" w:eastAsiaTheme="minorHAnsi" w:hAnsi="Garamond"/>
          <w:sz w:val="24"/>
          <w:szCs w:val="24"/>
        </w:rPr>
        <w:t>, me prokurë.</w:t>
      </w:r>
    </w:p>
    <w:p w14:paraId="4AAD2FD2" w14:textId="23BFD9CF" w:rsidR="00D27390" w:rsidRPr="006B54C2" w:rsidRDefault="00D27390" w:rsidP="003638E9">
      <w:pPr>
        <w:autoSpaceDE w:val="0"/>
        <w:autoSpaceDN w:val="0"/>
        <w:adjustRightInd w:val="0"/>
        <w:spacing w:after="0" w:line="240" w:lineRule="auto"/>
        <w:ind w:firstLine="284"/>
        <w:jc w:val="both"/>
        <w:rPr>
          <w:rFonts w:ascii="Garamond" w:eastAsiaTheme="minorHAnsi" w:hAnsi="Garamond"/>
          <w:bCs/>
          <w:sz w:val="24"/>
          <w:szCs w:val="24"/>
        </w:rPr>
      </w:pPr>
      <w:r w:rsidRPr="006B54C2">
        <w:rPr>
          <w:rFonts w:ascii="Garamond" w:eastAsiaTheme="minorHAnsi" w:hAnsi="Garamond"/>
          <w:bCs/>
          <w:sz w:val="24"/>
          <w:szCs w:val="24"/>
        </w:rPr>
        <w:t xml:space="preserve"> SUBJEKTE TË INTERESUARA:</w:t>
      </w:r>
      <w:r w:rsidR="0077042B" w:rsidRPr="006B54C2">
        <w:rPr>
          <w:rFonts w:ascii="Garamond" w:eastAsiaTheme="minorHAnsi" w:hAnsi="Garamond"/>
          <w:bCs/>
          <w:sz w:val="24"/>
          <w:szCs w:val="24"/>
        </w:rPr>
        <w:t xml:space="preserve"> </w:t>
      </w:r>
      <w:r w:rsidR="003638E9" w:rsidRPr="006B54C2">
        <w:rPr>
          <w:rFonts w:ascii="Garamond" w:eastAsiaTheme="minorHAnsi" w:hAnsi="Garamond"/>
          <w:bCs/>
          <w:sz w:val="24"/>
          <w:szCs w:val="24"/>
        </w:rPr>
        <w:t>Prokuroria e Posaçme kundër Korrupsionit dhe Krimit të Organizuar</w:t>
      </w:r>
      <w:r w:rsidRPr="006B54C2">
        <w:rPr>
          <w:rFonts w:ascii="Garamond" w:eastAsiaTheme="minorHAnsi" w:hAnsi="Garamond"/>
          <w:bCs/>
          <w:sz w:val="24"/>
          <w:szCs w:val="24"/>
        </w:rPr>
        <w:t xml:space="preserve">, </w:t>
      </w:r>
      <w:r w:rsidRPr="006B54C2">
        <w:rPr>
          <w:rFonts w:ascii="Garamond" w:eastAsiaTheme="minorHAnsi" w:hAnsi="Garamond"/>
          <w:sz w:val="24"/>
          <w:szCs w:val="24"/>
        </w:rPr>
        <w:t xml:space="preserve">përfaqësuar nga prokurorët </w:t>
      </w:r>
      <w:proofErr w:type="spellStart"/>
      <w:r w:rsidRPr="006B54C2">
        <w:rPr>
          <w:rFonts w:ascii="Garamond" w:eastAsiaTheme="minorHAnsi" w:hAnsi="Garamond"/>
          <w:sz w:val="24"/>
          <w:szCs w:val="24"/>
        </w:rPr>
        <w:t>Sotir</w:t>
      </w:r>
      <w:proofErr w:type="spellEnd"/>
      <w:r w:rsidRPr="006B54C2">
        <w:rPr>
          <w:rFonts w:ascii="Garamond" w:eastAsiaTheme="minorHAnsi" w:hAnsi="Garamond"/>
          <w:sz w:val="24"/>
          <w:szCs w:val="24"/>
        </w:rPr>
        <w:t xml:space="preserve"> Kllapi dhe </w:t>
      </w:r>
      <w:proofErr w:type="spellStart"/>
      <w:r w:rsidRPr="006B54C2">
        <w:rPr>
          <w:rFonts w:ascii="Garamond" w:eastAsiaTheme="minorHAnsi" w:hAnsi="Garamond"/>
          <w:sz w:val="24"/>
          <w:szCs w:val="24"/>
        </w:rPr>
        <w:t>Enkeleda</w:t>
      </w:r>
      <w:proofErr w:type="spellEnd"/>
      <w:r w:rsidRPr="006B54C2">
        <w:rPr>
          <w:rFonts w:ascii="Garamond" w:eastAsiaTheme="minorHAnsi" w:hAnsi="Garamond"/>
          <w:sz w:val="24"/>
          <w:szCs w:val="24"/>
        </w:rPr>
        <w:t xml:space="preserve"> </w:t>
      </w:r>
      <w:proofErr w:type="spellStart"/>
      <w:r w:rsidRPr="006B54C2">
        <w:rPr>
          <w:rFonts w:ascii="Garamond" w:eastAsiaTheme="minorHAnsi" w:hAnsi="Garamond"/>
          <w:sz w:val="24"/>
          <w:szCs w:val="24"/>
        </w:rPr>
        <w:t>Millonai</w:t>
      </w:r>
      <w:proofErr w:type="spellEnd"/>
      <w:r w:rsidRPr="006B54C2">
        <w:rPr>
          <w:rFonts w:ascii="Garamond" w:eastAsiaTheme="minorHAnsi" w:hAnsi="Garamond"/>
          <w:sz w:val="24"/>
          <w:szCs w:val="24"/>
        </w:rPr>
        <w:t xml:space="preserve">. </w:t>
      </w:r>
    </w:p>
    <w:p w14:paraId="1F771878" w14:textId="6AA93E53" w:rsidR="00D27390" w:rsidRPr="006B54C2" w:rsidRDefault="00D27390" w:rsidP="00D27390">
      <w:pPr>
        <w:tabs>
          <w:tab w:val="left" w:pos="720"/>
          <w:tab w:val="left" w:pos="2880"/>
        </w:tabs>
        <w:autoSpaceDE w:val="0"/>
        <w:autoSpaceDN w:val="0"/>
        <w:adjustRightInd w:val="0"/>
        <w:spacing w:after="0" w:line="240" w:lineRule="auto"/>
        <w:ind w:firstLine="284"/>
        <w:jc w:val="both"/>
        <w:rPr>
          <w:rFonts w:ascii="Garamond" w:eastAsiaTheme="minorHAnsi" w:hAnsi="Garamond"/>
          <w:bCs/>
          <w:sz w:val="24"/>
          <w:szCs w:val="24"/>
        </w:rPr>
      </w:pPr>
      <w:r w:rsidRPr="006B54C2">
        <w:rPr>
          <w:rFonts w:ascii="Garamond" w:eastAsiaTheme="minorHAnsi" w:hAnsi="Garamond"/>
          <w:bCs/>
          <w:sz w:val="24"/>
          <w:szCs w:val="24"/>
        </w:rPr>
        <w:t>OBJEKTI:</w:t>
      </w:r>
      <w:r w:rsidR="0077042B" w:rsidRPr="006B54C2">
        <w:rPr>
          <w:rFonts w:ascii="Garamond" w:eastAsiaTheme="minorHAnsi" w:hAnsi="Garamond"/>
          <w:bCs/>
          <w:sz w:val="24"/>
          <w:szCs w:val="24"/>
        </w:rPr>
        <w:t xml:space="preserve"> </w:t>
      </w:r>
      <w:r w:rsidRPr="006B54C2">
        <w:rPr>
          <w:rFonts w:ascii="Garamond" w:eastAsiaTheme="minorHAnsi" w:hAnsi="Garamond"/>
          <w:bCs/>
          <w:sz w:val="24"/>
          <w:szCs w:val="24"/>
        </w:rPr>
        <w:t>Shfuqizimi i vendimeve nr. 457, datë 21.10.2022</w:t>
      </w:r>
      <w:r w:rsidR="00984AF4" w:rsidRPr="006B54C2">
        <w:rPr>
          <w:rFonts w:ascii="Garamond" w:eastAsiaTheme="minorHAnsi" w:hAnsi="Garamond"/>
          <w:bCs/>
          <w:sz w:val="24"/>
          <w:szCs w:val="24"/>
        </w:rPr>
        <w:t>,</w:t>
      </w:r>
      <w:r w:rsidRPr="006B54C2">
        <w:rPr>
          <w:rFonts w:ascii="Garamond" w:eastAsiaTheme="minorHAnsi" w:hAnsi="Garamond"/>
          <w:bCs/>
          <w:sz w:val="24"/>
          <w:szCs w:val="24"/>
        </w:rPr>
        <w:t xml:space="preserve"> të Gjykatës së Shkallës së Parë kundër Korrupsionit dhe Krimit të Organizuar; nr. 171, datë 9.11.2022</w:t>
      </w:r>
      <w:r w:rsidR="00984AF4" w:rsidRPr="006B54C2">
        <w:rPr>
          <w:rFonts w:ascii="Garamond" w:eastAsiaTheme="minorHAnsi" w:hAnsi="Garamond"/>
          <w:bCs/>
          <w:sz w:val="24"/>
          <w:szCs w:val="24"/>
        </w:rPr>
        <w:t>,</w:t>
      </w:r>
      <w:r w:rsidRPr="006B54C2">
        <w:rPr>
          <w:rFonts w:ascii="Garamond" w:eastAsiaTheme="minorHAnsi" w:hAnsi="Garamond"/>
          <w:bCs/>
          <w:sz w:val="24"/>
          <w:szCs w:val="24"/>
        </w:rPr>
        <w:t xml:space="preserve"> të Gjykatës së Apelit kundër Korrupsionit dhe Krimit të Organizuar; nr. 00-2023-8, datë 12.1.2023</w:t>
      </w:r>
      <w:r w:rsidR="00984AF4" w:rsidRPr="006B54C2">
        <w:rPr>
          <w:rFonts w:ascii="Garamond" w:eastAsiaTheme="minorHAnsi" w:hAnsi="Garamond"/>
          <w:bCs/>
          <w:sz w:val="24"/>
          <w:szCs w:val="24"/>
        </w:rPr>
        <w:t>,</w:t>
      </w:r>
      <w:r w:rsidRPr="006B54C2">
        <w:rPr>
          <w:rFonts w:ascii="Garamond" w:eastAsiaTheme="minorHAnsi" w:hAnsi="Garamond"/>
          <w:bCs/>
          <w:sz w:val="24"/>
          <w:szCs w:val="24"/>
        </w:rPr>
        <w:t xml:space="preserve"> të Gjykatës së Lartë, si të papajtueshme me Kushtetutën e Republikës së Shqipërisë. </w:t>
      </w:r>
    </w:p>
    <w:p w14:paraId="0FB04973" w14:textId="406D4AFD" w:rsidR="00D27390" w:rsidRPr="006B54C2" w:rsidRDefault="00D27390" w:rsidP="00D27390">
      <w:pPr>
        <w:tabs>
          <w:tab w:val="left" w:pos="720"/>
          <w:tab w:val="left" w:pos="1080"/>
        </w:tabs>
        <w:autoSpaceDE w:val="0"/>
        <w:autoSpaceDN w:val="0"/>
        <w:adjustRightInd w:val="0"/>
        <w:spacing w:after="0" w:line="240" w:lineRule="auto"/>
        <w:ind w:firstLine="284"/>
        <w:jc w:val="both"/>
        <w:rPr>
          <w:rFonts w:ascii="Garamond" w:eastAsiaTheme="minorHAnsi" w:hAnsi="Garamond"/>
          <w:bCs/>
          <w:sz w:val="24"/>
          <w:szCs w:val="24"/>
        </w:rPr>
      </w:pPr>
      <w:r w:rsidRPr="006B54C2">
        <w:rPr>
          <w:rFonts w:ascii="Garamond" w:eastAsiaTheme="minorHAnsi" w:hAnsi="Garamond"/>
          <w:bCs/>
          <w:sz w:val="24"/>
          <w:szCs w:val="24"/>
        </w:rPr>
        <w:t>BAZA LIGJORE:</w:t>
      </w:r>
      <w:r w:rsidR="0077042B" w:rsidRPr="006B54C2">
        <w:rPr>
          <w:rFonts w:ascii="Garamond" w:eastAsiaTheme="minorHAnsi" w:hAnsi="Garamond"/>
          <w:bCs/>
          <w:sz w:val="24"/>
          <w:szCs w:val="24"/>
        </w:rPr>
        <w:t xml:space="preserve"> </w:t>
      </w:r>
      <w:r w:rsidRPr="006B54C2">
        <w:rPr>
          <w:rFonts w:ascii="Garamond" w:eastAsiaTheme="minorHAnsi" w:hAnsi="Garamond"/>
          <w:bCs/>
          <w:sz w:val="24"/>
          <w:szCs w:val="24"/>
        </w:rPr>
        <w:t>Nenet 17, 27, 28, pika 3 dhe 42, pika 2, të Kushtetutës së Republikës së Shqipërisë (</w:t>
      </w:r>
      <w:r w:rsidRPr="006B54C2">
        <w:rPr>
          <w:rFonts w:ascii="Garamond" w:eastAsiaTheme="minorHAnsi" w:hAnsi="Garamond"/>
          <w:bCs/>
          <w:i/>
          <w:iCs/>
          <w:sz w:val="24"/>
          <w:szCs w:val="24"/>
        </w:rPr>
        <w:t>Kushtetuta</w:t>
      </w:r>
      <w:r w:rsidRPr="006B54C2">
        <w:rPr>
          <w:rFonts w:ascii="Garamond" w:eastAsiaTheme="minorHAnsi" w:hAnsi="Garamond"/>
          <w:bCs/>
          <w:sz w:val="24"/>
          <w:szCs w:val="24"/>
        </w:rPr>
        <w:t>); nenet 5 dhe 6 të Konventës Evropiane për të Drejtat e Njeriut (</w:t>
      </w:r>
      <w:proofErr w:type="spellStart"/>
      <w:r w:rsidRPr="006B54C2">
        <w:rPr>
          <w:rFonts w:ascii="Garamond" w:eastAsiaTheme="minorHAnsi" w:hAnsi="Garamond"/>
          <w:bCs/>
          <w:i/>
          <w:iCs/>
          <w:sz w:val="24"/>
          <w:szCs w:val="24"/>
        </w:rPr>
        <w:t>KEDNJ</w:t>
      </w:r>
      <w:proofErr w:type="spellEnd"/>
      <w:r w:rsidRPr="006B54C2">
        <w:rPr>
          <w:rFonts w:ascii="Garamond" w:eastAsiaTheme="minorHAnsi" w:hAnsi="Garamond"/>
          <w:bCs/>
          <w:sz w:val="24"/>
          <w:szCs w:val="24"/>
        </w:rPr>
        <w:t>); ligji nr. 8577, datë 10.2.2000</w:t>
      </w:r>
      <w:r w:rsidR="0077042B" w:rsidRPr="006B54C2">
        <w:rPr>
          <w:rFonts w:ascii="Garamond" w:eastAsiaTheme="minorHAnsi" w:hAnsi="Garamond"/>
          <w:bCs/>
          <w:sz w:val="24"/>
          <w:szCs w:val="24"/>
        </w:rPr>
        <w:t>,</w:t>
      </w:r>
      <w:r w:rsidRPr="006B54C2">
        <w:rPr>
          <w:rFonts w:ascii="Garamond" w:eastAsiaTheme="minorHAnsi" w:hAnsi="Garamond"/>
          <w:bCs/>
          <w:sz w:val="24"/>
          <w:szCs w:val="24"/>
        </w:rPr>
        <w:t xml:space="preserve"> “Për organizimin dhe funksionimin e Gjykatës Kushtetuese të Republikës së Shqipërisë”, i ndryshuar (</w:t>
      </w:r>
      <w:r w:rsidRPr="006B54C2">
        <w:rPr>
          <w:rFonts w:ascii="Garamond" w:eastAsiaTheme="minorHAnsi" w:hAnsi="Garamond"/>
          <w:bCs/>
          <w:i/>
          <w:iCs/>
          <w:sz w:val="24"/>
          <w:szCs w:val="24"/>
        </w:rPr>
        <w:t>ligji nr. 8577/2000</w:t>
      </w:r>
      <w:r w:rsidRPr="006B54C2">
        <w:rPr>
          <w:rFonts w:ascii="Garamond" w:eastAsiaTheme="minorHAnsi" w:hAnsi="Garamond"/>
          <w:bCs/>
          <w:sz w:val="24"/>
          <w:szCs w:val="24"/>
        </w:rPr>
        <w:t>).</w:t>
      </w:r>
    </w:p>
    <w:p w14:paraId="78FE8C14" w14:textId="77777777" w:rsidR="00D27390" w:rsidRPr="006B54C2" w:rsidRDefault="00D27390" w:rsidP="00D27390">
      <w:pPr>
        <w:autoSpaceDE w:val="0"/>
        <w:autoSpaceDN w:val="0"/>
        <w:adjustRightInd w:val="0"/>
        <w:spacing w:after="0" w:line="240" w:lineRule="auto"/>
        <w:ind w:firstLine="284"/>
        <w:jc w:val="both"/>
        <w:rPr>
          <w:rFonts w:ascii="Garamond" w:eastAsiaTheme="minorHAnsi" w:hAnsi="Garamond"/>
          <w:bCs/>
          <w:sz w:val="24"/>
          <w:szCs w:val="24"/>
        </w:rPr>
      </w:pPr>
    </w:p>
    <w:p w14:paraId="5850CA29"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sz w:val="24"/>
          <w:szCs w:val="24"/>
        </w:rPr>
      </w:pPr>
      <w:r w:rsidRPr="006B54C2">
        <w:rPr>
          <w:rFonts w:ascii="Garamond" w:eastAsiaTheme="minorHAnsi" w:hAnsi="Garamond"/>
          <w:bCs/>
          <w:sz w:val="24"/>
          <w:szCs w:val="24"/>
        </w:rPr>
        <w:t>GJYKATA KUSHTETUESE</w:t>
      </w:r>
      <w:r w:rsidRPr="006B54C2">
        <w:rPr>
          <w:rFonts w:ascii="Garamond" w:eastAsiaTheme="minorHAnsi" w:hAnsi="Garamond"/>
          <w:sz w:val="24"/>
          <w:szCs w:val="24"/>
        </w:rPr>
        <w:t>,</w:t>
      </w:r>
    </w:p>
    <w:p w14:paraId="14363D13" w14:textId="77777777" w:rsidR="003638E9" w:rsidRPr="006B54C2" w:rsidRDefault="003638E9" w:rsidP="00D27390">
      <w:pPr>
        <w:autoSpaceDE w:val="0"/>
        <w:autoSpaceDN w:val="0"/>
        <w:adjustRightInd w:val="0"/>
        <w:spacing w:after="0" w:line="240" w:lineRule="auto"/>
        <w:ind w:firstLine="284"/>
        <w:jc w:val="both"/>
        <w:rPr>
          <w:rFonts w:ascii="Garamond" w:eastAsiaTheme="minorHAnsi" w:hAnsi="Garamond"/>
          <w:sz w:val="24"/>
          <w:szCs w:val="24"/>
        </w:rPr>
      </w:pPr>
    </w:p>
    <w:p w14:paraId="2E685A24" w14:textId="4621A7FC" w:rsidR="00D27390" w:rsidRPr="006B54C2" w:rsidRDefault="00D27390" w:rsidP="00D27390">
      <w:pPr>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pasi dëgjoi relatorin e çështjes </w:t>
      </w:r>
      <w:proofErr w:type="spellStart"/>
      <w:r w:rsidRPr="006B54C2">
        <w:rPr>
          <w:rFonts w:ascii="Garamond" w:eastAsiaTheme="minorHAnsi" w:hAnsi="Garamond"/>
          <w:sz w:val="24"/>
          <w:szCs w:val="24"/>
        </w:rPr>
        <w:t>Sandër</w:t>
      </w:r>
      <w:proofErr w:type="spellEnd"/>
      <w:r w:rsidRPr="006B54C2">
        <w:rPr>
          <w:rFonts w:ascii="Garamond" w:eastAsiaTheme="minorHAnsi" w:hAnsi="Garamond"/>
          <w:sz w:val="24"/>
          <w:szCs w:val="24"/>
        </w:rPr>
        <w:t xml:space="preserve"> Beci, mori në shqyrtim parashtrimet me shkrim të kërkueses, e cila ka kërkuar pranimin e kërkesës, prapësimet me shkrim të subjektit të interesuar, Prokurorisë së Posaçme kundër Korrupsionit dhe Krimit të Organizuar (</w:t>
      </w:r>
      <w:r w:rsidRPr="006B54C2">
        <w:rPr>
          <w:rFonts w:ascii="Garamond" w:eastAsiaTheme="minorHAnsi" w:hAnsi="Garamond"/>
          <w:i/>
          <w:iCs/>
          <w:sz w:val="24"/>
          <w:szCs w:val="24"/>
        </w:rPr>
        <w:t>Prokuroria e Posaçme</w:t>
      </w:r>
      <w:r w:rsidRPr="006B54C2">
        <w:rPr>
          <w:rFonts w:ascii="Garamond" w:eastAsiaTheme="minorHAnsi" w:hAnsi="Garamond"/>
          <w:sz w:val="24"/>
          <w:szCs w:val="24"/>
        </w:rPr>
        <w:t>), i cili ka kërkuar rrëzimin e kërkesës, si dhe diskutoi çështjen në tërësi,</w:t>
      </w:r>
    </w:p>
    <w:p w14:paraId="7456E959" w14:textId="77777777" w:rsidR="00D27390" w:rsidRPr="006B54C2" w:rsidRDefault="00D27390" w:rsidP="00D27390">
      <w:pPr>
        <w:autoSpaceDE w:val="0"/>
        <w:autoSpaceDN w:val="0"/>
        <w:adjustRightInd w:val="0"/>
        <w:spacing w:after="0" w:line="240" w:lineRule="auto"/>
        <w:ind w:firstLine="284"/>
        <w:jc w:val="both"/>
        <w:rPr>
          <w:rFonts w:ascii="Garamond" w:eastAsiaTheme="minorHAnsi" w:hAnsi="Garamond"/>
          <w:b/>
          <w:bCs/>
          <w:sz w:val="24"/>
          <w:szCs w:val="24"/>
        </w:rPr>
      </w:pPr>
    </w:p>
    <w:p w14:paraId="4542E61B" w14:textId="14CBF38C" w:rsidR="00D27390" w:rsidRPr="006B54C2" w:rsidRDefault="00D27390" w:rsidP="00D27390">
      <w:pPr>
        <w:autoSpaceDE w:val="0"/>
        <w:autoSpaceDN w:val="0"/>
        <w:adjustRightInd w:val="0"/>
        <w:spacing w:after="0" w:line="240" w:lineRule="auto"/>
        <w:ind w:firstLine="284"/>
        <w:jc w:val="center"/>
        <w:rPr>
          <w:rFonts w:ascii="Garamond" w:eastAsiaTheme="minorHAnsi" w:hAnsi="Garamond"/>
          <w:bCs/>
          <w:sz w:val="24"/>
          <w:szCs w:val="24"/>
        </w:rPr>
      </w:pPr>
      <w:r w:rsidRPr="006B54C2">
        <w:rPr>
          <w:rFonts w:ascii="Garamond" w:eastAsiaTheme="minorHAnsi" w:hAnsi="Garamond"/>
          <w:bCs/>
          <w:sz w:val="24"/>
          <w:szCs w:val="24"/>
        </w:rPr>
        <w:t>VËREN:</w:t>
      </w:r>
    </w:p>
    <w:p w14:paraId="2CC092BD" w14:textId="77777777" w:rsidR="003638E9" w:rsidRPr="006B54C2" w:rsidRDefault="003638E9" w:rsidP="00D27390">
      <w:pPr>
        <w:autoSpaceDE w:val="0"/>
        <w:autoSpaceDN w:val="0"/>
        <w:adjustRightInd w:val="0"/>
        <w:spacing w:after="0" w:line="240" w:lineRule="auto"/>
        <w:ind w:firstLine="284"/>
        <w:jc w:val="center"/>
        <w:rPr>
          <w:rFonts w:ascii="Garamond" w:eastAsiaTheme="minorHAnsi" w:hAnsi="Garamond"/>
          <w:b/>
          <w:bCs/>
          <w:sz w:val="24"/>
          <w:szCs w:val="24"/>
        </w:rPr>
      </w:pPr>
    </w:p>
    <w:p w14:paraId="32826D81" w14:textId="6F4B09B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r w:rsidRPr="006B54C2">
        <w:rPr>
          <w:rFonts w:ascii="Garamond" w:eastAsiaTheme="minorHAnsi" w:hAnsi="Garamond"/>
          <w:b/>
          <w:bCs/>
          <w:sz w:val="24"/>
          <w:szCs w:val="24"/>
        </w:rPr>
        <w:t>I</w:t>
      </w:r>
    </w:p>
    <w:p w14:paraId="50AFC395"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r w:rsidRPr="006B54C2">
        <w:rPr>
          <w:rFonts w:ascii="Garamond" w:eastAsiaTheme="minorHAnsi" w:hAnsi="Garamond"/>
          <w:b/>
          <w:bCs/>
          <w:sz w:val="24"/>
          <w:szCs w:val="24"/>
        </w:rPr>
        <w:t>Rrethanat e çështjes</w:t>
      </w:r>
    </w:p>
    <w:p w14:paraId="01EEFD2E"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p>
    <w:p w14:paraId="48737D37" w14:textId="0D81FD51" w:rsidR="00D27390" w:rsidRPr="006B54C2" w:rsidRDefault="006C7BA4" w:rsidP="00D27390">
      <w:pPr>
        <w:widowControl w:val="0"/>
        <w:tabs>
          <w:tab w:val="left" w:pos="360"/>
          <w:tab w:val="left" w:pos="720"/>
          <w:tab w:val="left" w:pos="1080"/>
        </w:tabs>
        <w:autoSpaceDE w:val="0"/>
        <w:autoSpaceDN w:val="0"/>
        <w:adjustRightInd w:val="0"/>
        <w:spacing w:after="0" w:line="240" w:lineRule="auto"/>
        <w:ind w:firstLine="284"/>
        <w:jc w:val="both"/>
        <w:rPr>
          <w:rFonts w:ascii="Garamond" w:eastAsiaTheme="minorHAnsi" w:hAnsi="Garamond" w:cs="Calibri"/>
          <w:sz w:val="24"/>
          <w:szCs w:val="24"/>
        </w:rPr>
      </w:pPr>
      <w:r w:rsidRPr="006B54C2">
        <w:rPr>
          <w:rFonts w:ascii="Garamond" w:eastAsiaTheme="minorHAnsi" w:hAnsi="Garamond" w:cs="Calibri"/>
          <w:sz w:val="24"/>
          <w:szCs w:val="24"/>
        </w:rPr>
        <w:t xml:space="preserve">1. </w:t>
      </w:r>
      <w:r w:rsidR="00D27390" w:rsidRPr="006B54C2">
        <w:rPr>
          <w:rFonts w:ascii="Garamond" w:eastAsiaTheme="minorHAnsi" w:hAnsi="Garamond" w:cs="Calibri"/>
          <w:sz w:val="24"/>
          <w:szCs w:val="24"/>
        </w:rPr>
        <w:t xml:space="preserve">Kërkuesja Mimoza </w:t>
      </w:r>
      <w:proofErr w:type="spellStart"/>
      <w:r w:rsidR="00D27390" w:rsidRPr="006B54C2">
        <w:rPr>
          <w:rFonts w:ascii="Garamond" w:eastAsiaTheme="minorHAnsi" w:hAnsi="Garamond" w:cs="Calibri"/>
          <w:sz w:val="24"/>
          <w:szCs w:val="24"/>
        </w:rPr>
        <w:t>Margjeka</w:t>
      </w:r>
      <w:proofErr w:type="spellEnd"/>
      <w:r w:rsidR="00D27390" w:rsidRPr="006B54C2">
        <w:rPr>
          <w:rFonts w:ascii="Garamond" w:eastAsiaTheme="minorHAnsi" w:hAnsi="Garamond" w:cs="Calibri"/>
          <w:sz w:val="24"/>
          <w:szCs w:val="24"/>
        </w:rPr>
        <w:t xml:space="preserve"> është proceduar nga Prokuroria e Posaçme në kuadër të procedimit penal nr. 186, datë 9.7.2020 (</w:t>
      </w:r>
      <w:r w:rsidR="00D27390" w:rsidRPr="006B54C2">
        <w:rPr>
          <w:rFonts w:ascii="Garamond" w:eastAsiaTheme="minorHAnsi" w:hAnsi="Garamond" w:cs="Calibri"/>
          <w:i/>
          <w:iCs/>
          <w:sz w:val="24"/>
          <w:szCs w:val="24"/>
        </w:rPr>
        <w:t>procedimi penal</w:t>
      </w:r>
      <w:r w:rsidR="00D27390" w:rsidRPr="006B54C2">
        <w:rPr>
          <w:rFonts w:ascii="Garamond" w:eastAsiaTheme="minorHAnsi" w:hAnsi="Garamond" w:cs="Calibri"/>
          <w:sz w:val="24"/>
          <w:szCs w:val="24"/>
        </w:rPr>
        <w:t xml:space="preserve"> </w:t>
      </w:r>
      <w:r w:rsidR="00D27390" w:rsidRPr="006B54C2">
        <w:rPr>
          <w:rFonts w:ascii="Garamond" w:eastAsiaTheme="minorHAnsi" w:hAnsi="Garamond" w:cs="Calibri"/>
          <w:i/>
          <w:iCs/>
          <w:sz w:val="24"/>
          <w:szCs w:val="24"/>
        </w:rPr>
        <w:t>nr. 186/2020</w:t>
      </w:r>
      <w:r w:rsidR="00D27390" w:rsidRPr="006B54C2">
        <w:rPr>
          <w:rFonts w:ascii="Garamond" w:eastAsiaTheme="minorHAnsi" w:hAnsi="Garamond" w:cs="Calibri"/>
          <w:sz w:val="24"/>
          <w:szCs w:val="24"/>
        </w:rPr>
        <w:t xml:space="preserve">) për veprën penale </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Korrupsioni pasiv i gjyqtarëve, prokurorëve dhe funksionarëve të tjerë të organeve të drejtësisë</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 të parashikuar nga nenet 319/ç dhe 25 të Kodit Penal (</w:t>
      </w:r>
      <w:proofErr w:type="spellStart"/>
      <w:r w:rsidR="00D27390" w:rsidRPr="006B54C2">
        <w:rPr>
          <w:rFonts w:ascii="Garamond" w:eastAsiaTheme="minorHAnsi" w:hAnsi="Garamond" w:cs="Calibri"/>
          <w:i/>
          <w:iCs/>
          <w:sz w:val="24"/>
          <w:szCs w:val="24"/>
        </w:rPr>
        <w:t>KP</w:t>
      </w:r>
      <w:proofErr w:type="spellEnd"/>
      <w:r w:rsidR="00D27390" w:rsidRPr="006B54C2">
        <w:rPr>
          <w:rFonts w:ascii="Garamond" w:eastAsiaTheme="minorHAnsi" w:hAnsi="Garamond" w:cs="Calibri"/>
          <w:sz w:val="24"/>
          <w:szCs w:val="24"/>
        </w:rPr>
        <w:t xml:space="preserve">). </w:t>
      </w:r>
    </w:p>
    <w:p w14:paraId="119786F8" w14:textId="6C41162C" w:rsidR="00D27390" w:rsidRPr="006B54C2" w:rsidRDefault="006C7BA4" w:rsidP="00D27390">
      <w:pPr>
        <w:widowControl w:val="0"/>
        <w:tabs>
          <w:tab w:val="left" w:pos="360"/>
          <w:tab w:val="left" w:pos="720"/>
          <w:tab w:val="left" w:pos="1080"/>
        </w:tabs>
        <w:autoSpaceDE w:val="0"/>
        <w:autoSpaceDN w:val="0"/>
        <w:adjustRightInd w:val="0"/>
        <w:spacing w:after="0" w:line="240" w:lineRule="auto"/>
        <w:ind w:firstLine="284"/>
        <w:jc w:val="both"/>
        <w:rPr>
          <w:rFonts w:ascii="Garamond" w:eastAsiaTheme="minorHAnsi" w:hAnsi="Garamond" w:cs="Calibri"/>
          <w:sz w:val="24"/>
          <w:szCs w:val="24"/>
        </w:rPr>
      </w:pPr>
      <w:r w:rsidRPr="006B54C2">
        <w:rPr>
          <w:rFonts w:ascii="Garamond" w:eastAsiaTheme="minorHAnsi" w:hAnsi="Garamond" w:cs="Calibri"/>
          <w:sz w:val="24"/>
          <w:szCs w:val="24"/>
        </w:rPr>
        <w:t xml:space="preserve">2. </w:t>
      </w:r>
      <w:r w:rsidR="00D27390" w:rsidRPr="006B54C2">
        <w:rPr>
          <w:rFonts w:ascii="Garamond" w:eastAsiaTheme="minorHAnsi" w:hAnsi="Garamond" w:cs="Calibri"/>
          <w:sz w:val="24"/>
          <w:szCs w:val="24"/>
        </w:rPr>
        <w:t>Mbi bazën e kërkesës së Prokurorisë së Posaçme, Gjykata e Posaçme e Shkallës së Parë për Korrupsionin dhe Krimin e Organizuar (</w:t>
      </w:r>
      <w:proofErr w:type="spellStart"/>
      <w:r w:rsidR="00D27390" w:rsidRPr="006B54C2">
        <w:rPr>
          <w:rFonts w:ascii="Garamond" w:eastAsiaTheme="minorHAnsi" w:hAnsi="Garamond" w:cs="Calibri"/>
          <w:i/>
          <w:iCs/>
          <w:sz w:val="24"/>
          <w:szCs w:val="24"/>
        </w:rPr>
        <w:t>GJKKO</w:t>
      </w:r>
      <w:proofErr w:type="spellEnd"/>
      <w:r w:rsidR="00D27390" w:rsidRPr="006B54C2">
        <w:rPr>
          <w:rFonts w:ascii="Garamond" w:eastAsiaTheme="minorHAnsi" w:hAnsi="Garamond" w:cs="Calibri"/>
          <w:i/>
          <w:iCs/>
          <w:sz w:val="24"/>
          <w:szCs w:val="24"/>
        </w:rPr>
        <w:t xml:space="preserve"> e Shkallës së Parë</w:t>
      </w:r>
      <w:r w:rsidR="00D27390" w:rsidRPr="006B54C2">
        <w:rPr>
          <w:rFonts w:ascii="Garamond" w:eastAsiaTheme="minorHAnsi" w:hAnsi="Garamond" w:cs="Calibri"/>
          <w:sz w:val="24"/>
          <w:szCs w:val="24"/>
        </w:rPr>
        <w:t xml:space="preserve">), me vendimin nr. 92, datë 5.9.2020, ka vendosur caktimin e masës së sigurimit personal </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Arresti në shtëpi</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 të parashikuar nga neni 237 i Kodit të Procedurës Penale (</w:t>
      </w:r>
      <w:proofErr w:type="spellStart"/>
      <w:r w:rsidR="00D27390" w:rsidRPr="006B54C2">
        <w:rPr>
          <w:rFonts w:ascii="Garamond" w:eastAsiaTheme="minorHAnsi" w:hAnsi="Garamond" w:cs="Calibri"/>
          <w:i/>
          <w:iCs/>
          <w:sz w:val="24"/>
          <w:szCs w:val="24"/>
        </w:rPr>
        <w:t>KPP</w:t>
      </w:r>
      <w:proofErr w:type="spellEnd"/>
      <w:r w:rsidR="00D27390" w:rsidRPr="006B54C2">
        <w:rPr>
          <w:rFonts w:ascii="Garamond" w:eastAsiaTheme="minorHAnsi" w:hAnsi="Garamond" w:cs="Calibri"/>
          <w:sz w:val="24"/>
          <w:szCs w:val="24"/>
        </w:rPr>
        <w:t xml:space="preserve">). Masa është zbatuar në datën 9.9.2020. Po ajo gjykatë, me vendimin nr. 94, datë 12.9.2020, ka vendosur vazhdimin e zbatimit të masës. Kundër këtij vendimi ka ushtruar </w:t>
      </w:r>
      <w:r w:rsidR="00D27390" w:rsidRPr="006B54C2">
        <w:rPr>
          <w:rFonts w:ascii="Garamond" w:eastAsiaTheme="minorHAnsi" w:hAnsi="Garamond" w:cs="Calibri"/>
          <w:sz w:val="24"/>
          <w:szCs w:val="24"/>
        </w:rPr>
        <w:lastRenderedPageBreak/>
        <w:t>ankim kërkuesja.</w:t>
      </w:r>
    </w:p>
    <w:p w14:paraId="7D21965B" w14:textId="17FC899A" w:rsidR="00D27390" w:rsidRPr="006B54C2" w:rsidRDefault="006C7BA4" w:rsidP="00D27390">
      <w:pPr>
        <w:widowControl w:val="0"/>
        <w:tabs>
          <w:tab w:val="left" w:pos="360"/>
          <w:tab w:val="left" w:pos="720"/>
          <w:tab w:val="left" w:pos="1080"/>
        </w:tabs>
        <w:autoSpaceDE w:val="0"/>
        <w:autoSpaceDN w:val="0"/>
        <w:adjustRightInd w:val="0"/>
        <w:spacing w:after="0" w:line="240" w:lineRule="auto"/>
        <w:ind w:firstLine="284"/>
        <w:jc w:val="both"/>
        <w:rPr>
          <w:rFonts w:ascii="Garamond" w:eastAsiaTheme="minorHAnsi" w:hAnsi="Garamond" w:cs="Calibri"/>
          <w:sz w:val="24"/>
          <w:szCs w:val="24"/>
        </w:rPr>
      </w:pPr>
      <w:r w:rsidRPr="006B54C2">
        <w:rPr>
          <w:rFonts w:ascii="Garamond" w:eastAsiaTheme="minorHAnsi" w:hAnsi="Garamond" w:cs="Calibri"/>
          <w:sz w:val="24"/>
          <w:szCs w:val="24"/>
        </w:rPr>
        <w:t xml:space="preserve">3. </w:t>
      </w:r>
      <w:r w:rsidR="00D27390" w:rsidRPr="006B54C2">
        <w:rPr>
          <w:rFonts w:ascii="Garamond" w:eastAsiaTheme="minorHAnsi" w:hAnsi="Garamond" w:cs="Calibri"/>
          <w:sz w:val="24"/>
          <w:szCs w:val="24"/>
        </w:rPr>
        <w:t>Gjykata e Posaçme e Apelit për Korrupsionin dhe Krimin e Organizuar (</w:t>
      </w:r>
      <w:proofErr w:type="spellStart"/>
      <w:r w:rsidR="00D27390" w:rsidRPr="006B54C2">
        <w:rPr>
          <w:rFonts w:ascii="Garamond" w:eastAsiaTheme="minorHAnsi" w:hAnsi="Garamond" w:cs="Calibri"/>
          <w:i/>
          <w:iCs/>
          <w:sz w:val="24"/>
          <w:szCs w:val="24"/>
        </w:rPr>
        <w:t>GJKKO</w:t>
      </w:r>
      <w:proofErr w:type="spellEnd"/>
      <w:r w:rsidR="00D27390" w:rsidRPr="006B54C2">
        <w:rPr>
          <w:rFonts w:ascii="Garamond" w:eastAsiaTheme="minorHAnsi" w:hAnsi="Garamond" w:cs="Calibri"/>
          <w:i/>
          <w:iCs/>
          <w:sz w:val="24"/>
          <w:szCs w:val="24"/>
        </w:rPr>
        <w:t xml:space="preserve"> e Apelit</w:t>
      </w:r>
      <w:r w:rsidR="00D27390" w:rsidRPr="006B54C2">
        <w:rPr>
          <w:rFonts w:ascii="Garamond" w:eastAsiaTheme="minorHAnsi" w:hAnsi="Garamond" w:cs="Calibri"/>
          <w:sz w:val="24"/>
          <w:szCs w:val="24"/>
        </w:rPr>
        <w:t xml:space="preserve">), me vendimin nr. 29, datë 1.10.2020, ka vendosur miratimin e vendimeve nr. 92, datë 5.9.2020 dhe 94, datë 12.9.2020 të </w:t>
      </w:r>
      <w:proofErr w:type="spellStart"/>
      <w:r w:rsidR="00D27390" w:rsidRPr="006B54C2">
        <w:rPr>
          <w:rFonts w:ascii="Garamond" w:eastAsiaTheme="minorHAnsi" w:hAnsi="Garamond" w:cs="Calibri"/>
          <w:sz w:val="24"/>
          <w:szCs w:val="24"/>
        </w:rPr>
        <w:t>GJKKO</w:t>
      </w:r>
      <w:proofErr w:type="spellEnd"/>
      <w:r w:rsidR="00D27390" w:rsidRPr="006B54C2">
        <w:rPr>
          <w:rFonts w:ascii="Garamond" w:eastAsiaTheme="minorHAnsi" w:hAnsi="Garamond" w:cs="Calibri"/>
          <w:sz w:val="24"/>
          <w:szCs w:val="24"/>
        </w:rPr>
        <w:t>-së së Shkallës së Parë. Ndërsa rekursi i ushtruar nga kërkuesja kundër këtij vendimi nuk është pranuar nga Gjykata e Lartë me vendimin nr. 00-2020-486, datë 24.12.2020.</w:t>
      </w:r>
    </w:p>
    <w:p w14:paraId="0C921F17" w14:textId="4F52B5AA" w:rsidR="00D27390" w:rsidRPr="006B54C2" w:rsidRDefault="006C7BA4" w:rsidP="00D27390">
      <w:pPr>
        <w:widowControl w:val="0"/>
        <w:tabs>
          <w:tab w:val="left" w:pos="360"/>
          <w:tab w:val="left" w:pos="720"/>
          <w:tab w:val="left" w:pos="1080"/>
        </w:tabs>
        <w:autoSpaceDE w:val="0"/>
        <w:autoSpaceDN w:val="0"/>
        <w:adjustRightInd w:val="0"/>
        <w:spacing w:after="0" w:line="240" w:lineRule="auto"/>
        <w:ind w:firstLine="284"/>
        <w:jc w:val="both"/>
        <w:rPr>
          <w:rFonts w:ascii="Garamond" w:eastAsiaTheme="minorHAnsi" w:hAnsi="Garamond" w:cs="Calibri"/>
          <w:sz w:val="24"/>
          <w:szCs w:val="24"/>
        </w:rPr>
      </w:pPr>
      <w:r w:rsidRPr="006B54C2">
        <w:rPr>
          <w:rFonts w:ascii="Garamond" w:eastAsiaTheme="minorHAnsi" w:hAnsi="Garamond" w:cs="Calibri"/>
          <w:sz w:val="24"/>
          <w:szCs w:val="24"/>
        </w:rPr>
        <w:t xml:space="preserve">4. </w:t>
      </w:r>
      <w:r w:rsidR="00D27390" w:rsidRPr="006B54C2">
        <w:rPr>
          <w:rFonts w:ascii="Garamond" w:eastAsiaTheme="minorHAnsi" w:hAnsi="Garamond" w:cs="Calibri"/>
          <w:sz w:val="24"/>
          <w:szCs w:val="24"/>
        </w:rPr>
        <w:t xml:space="preserve">Në vijim, </w:t>
      </w:r>
      <w:proofErr w:type="spellStart"/>
      <w:r w:rsidR="00D27390" w:rsidRPr="006B54C2">
        <w:rPr>
          <w:rFonts w:ascii="Garamond" w:eastAsiaTheme="minorHAnsi" w:hAnsi="Garamond" w:cs="Calibri"/>
          <w:sz w:val="24"/>
          <w:szCs w:val="24"/>
        </w:rPr>
        <w:t>GJKKO</w:t>
      </w:r>
      <w:proofErr w:type="spellEnd"/>
      <w:r w:rsidR="00D27390" w:rsidRPr="006B54C2">
        <w:rPr>
          <w:rFonts w:ascii="Garamond" w:eastAsiaTheme="minorHAnsi" w:hAnsi="Garamond" w:cs="Calibri"/>
          <w:sz w:val="24"/>
          <w:szCs w:val="24"/>
        </w:rPr>
        <w:t xml:space="preserve">-ja e Shkallës së Parë, pasi është njohur me informacionin e prokurorit për hetimet e kryera për procedimin penal nr. 186/2020, në zbatim të nenit 246, pika 6, të </w:t>
      </w:r>
      <w:proofErr w:type="spellStart"/>
      <w:r w:rsidR="00D27390" w:rsidRPr="006B54C2">
        <w:rPr>
          <w:rFonts w:ascii="Garamond" w:eastAsiaTheme="minorHAnsi" w:hAnsi="Garamond" w:cs="Calibri"/>
          <w:sz w:val="24"/>
          <w:szCs w:val="24"/>
        </w:rPr>
        <w:t>KPP</w:t>
      </w:r>
      <w:proofErr w:type="spellEnd"/>
      <w:r w:rsidR="00D27390" w:rsidRPr="006B54C2">
        <w:rPr>
          <w:rFonts w:ascii="Garamond" w:eastAsiaTheme="minorHAnsi" w:hAnsi="Garamond" w:cs="Calibri"/>
          <w:sz w:val="24"/>
          <w:szCs w:val="24"/>
        </w:rPr>
        <w:t xml:space="preserve">-së, me vendimin nr. 403, datë 24.11.2020, ka vendosur zëvendësimin e masës së sigurimit për kërkuesen në </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Detyrim për t</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u paraqitur në Policinë Gjyqësore</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 xml:space="preserve">. Ky vendim është ndryshuar nga </w:t>
      </w:r>
      <w:proofErr w:type="spellStart"/>
      <w:r w:rsidR="00D27390" w:rsidRPr="006B54C2">
        <w:rPr>
          <w:rFonts w:ascii="Garamond" w:eastAsiaTheme="minorHAnsi" w:hAnsi="Garamond" w:cs="Calibri"/>
          <w:sz w:val="24"/>
          <w:szCs w:val="24"/>
        </w:rPr>
        <w:t>GJKKO</w:t>
      </w:r>
      <w:proofErr w:type="spellEnd"/>
      <w:r w:rsidR="00D27390" w:rsidRPr="006B54C2">
        <w:rPr>
          <w:rFonts w:ascii="Garamond" w:eastAsiaTheme="minorHAnsi" w:hAnsi="Garamond" w:cs="Calibri"/>
          <w:sz w:val="24"/>
          <w:szCs w:val="24"/>
        </w:rPr>
        <w:t xml:space="preserve">-ja e Apelit me vendimin nr. 221, datë 17.12.2020 dhe kërkuesja ka vazhduar nën masën e sigurimit personal </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Arresti në shtëpi</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 xml:space="preserve">. </w:t>
      </w:r>
    </w:p>
    <w:p w14:paraId="5CBF7CE9" w14:textId="4E3796E9" w:rsidR="00D27390" w:rsidRPr="006B54C2" w:rsidRDefault="006C7BA4" w:rsidP="00D27390">
      <w:pPr>
        <w:widowControl w:val="0"/>
        <w:tabs>
          <w:tab w:val="left" w:pos="360"/>
          <w:tab w:val="left" w:pos="720"/>
          <w:tab w:val="left" w:pos="1080"/>
        </w:tabs>
        <w:autoSpaceDE w:val="0"/>
        <w:autoSpaceDN w:val="0"/>
        <w:adjustRightInd w:val="0"/>
        <w:spacing w:after="0" w:line="240" w:lineRule="auto"/>
        <w:ind w:firstLine="284"/>
        <w:jc w:val="both"/>
        <w:rPr>
          <w:rFonts w:ascii="Garamond" w:eastAsiaTheme="minorHAnsi" w:hAnsi="Garamond" w:cs="Calibri"/>
          <w:sz w:val="24"/>
          <w:szCs w:val="24"/>
        </w:rPr>
      </w:pPr>
      <w:r w:rsidRPr="006B54C2">
        <w:rPr>
          <w:rFonts w:ascii="Garamond" w:eastAsiaTheme="minorHAnsi" w:hAnsi="Garamond" w:cs="Calibri"/>
          <w:sz w:val="24"/>
          <w:szCs w:val="24"/>
        </w:rPr>
        <w:t xml:space="preserve">5. </w:t>
      </w:r>
      <w:r w:rsidR="00D27390" w:rsidRPr="006B54C2">
        <w:rPr>
          <w:rFonts w:ascii="Garamond" w:eastAsiaTheme="minorHAnsi" w:hAnsi="Garamond" w:cs="Calibri"/>
          <w:sz w:val="24"/>
          <w:szCs w:val="24"/>
        </w:rPr>
        <w:t xml:space="preserve">Në datën 26.2.2021 Prokuroria e Posaçme ka dërguar kërkesën për kalimin e çështjes në gjyq. Kërkesa është pranuar nga </w:t>
      </w:r>
      <w:proofErr w:type="spellStart"/>
      <w:r w:rsidR="00D27390" w:rsidRPr="006B54C2">
        <w:rPr>
          <w:rFonts w:ascii="Garamond" w:eastAsiaTheme="minorHAnsi" w:hAnsi="Garamond" w:cs="Calibri"/>
          <w:sz w:val="24"/>
          <w:szCs w:val="24"/>
        </w:rPr>
        <w:t>GJKKO</w:t>
      </w:r>
      <w:proofErr w:type="spellEnd"/>
      <w:r w:rsidR="00D27390" w:rsidRPr="006B54C2">
        <w:rPr>
          <w:rFonts w:ascii="Garamond" w:eastAsiaTheme="minorHAnsi" w:hAnsi="Garamond" w:cs="Calibri"/>
          <w:sz w:val="24"/>
          <w:szCs w:val="24"/>
        </w:rPr>
        <w:t xml:space="preserve">-ja e Shkallës së Parë me vendimin nr. 37, datë 7.5.2021. </w:t>
      </w:r>
    </w:p>
    <w:p w14:paraId="3927E264" w14:textId="4E052AD1" w:rsidR="00D27390" w:rsidRPr="006B54C2" w:rsidRDefault="006C7BA4" w:rsidP="00D27390">
      <w:pPr>
        <w:widowControl w:val="0"/>
        <w:tabs>
          <w:tab w:val="left" w:pos="360"/>
          <w:tab w:val="left" w:pos="720"/>
          <w:tab w:val="left" w:pos="1080"/>
        </w:tabs>
        <w:autoSpaceDE w:val="0"/>
        <w:autoSpaceDN w:val="0"/>
        <w:adjustRightInd w:val="0"/>
        <w:spacing w:after="0" w:line="240" w:lineRule="auto"/>
        <w:ind w:firstLine="284"/>
        <w:jc w:val="both"/>
        <w:rPr>
          <w:rFonts w:ascii="Garamond" w:eastAsiaTheme="minorHAnsi" w:hAnsi="Garamond" w:cs="Calibri"/>
          <w:sz w:val="24"/>
          <w:szCs w:val="24"/>
          <w:highlight w:val="white"/>
        </w:rPr>
      </w:pPr>
      <w:r w:rsidRPr="006B54C2">
        <w:rPr>
          <w:rFonts w:ascii="Garamond" w:eastAsiaTheme="minorHAnsi" w:hAnsi="Garamond" w:cs="Calibri"/>
          <w:sz w:val="24"/>
          <w:szCs w:val="24"/>
        </w:rPr>
        <w:t xml:space="preserve">6. </w:t>
      </w:r>
      <w:r w:rsidR="00D27390" w:rsidRPr="006B54C2">
        <w:rPr>
          <w:rFonts w:ascii="Garamond" w:eastAsiaTheme="minorHAnsi" w:hAnsi="Garamond" w:cs="Calibri"/>
          <w:sz w:val="24"/>
          <w:szCs w:val="24"/>
        </w:rPr>
        <w:t xml:space="preserve">Gjatë kohës që çështja ka qenë në proces gjykimi, kërkuesja, në datën 19.10.2022, mbështetur në nenin 263, pika 2, shkronja </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b</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 xml:space="preserve">, të </w:t>
      </w:r>
      <w:proofErr w:type="spellStart"/>
      <w:r w:rsidR="00D27390" w:rsidRPr="006B54C2">
        <w:rPr>
          <w:rFonts w:ascii="Garamond" w:eastAsiaTheme="minorHAnsi" w:hAnsi="Garamond" w:cs="Calibri"/>
          <w:sz w:val="24"/>
          <w:szCs w:val="24"/>
        </w:rPr>
        <w:t>KPP</w:t>
      </w:r>
      <w:proofErr w:type="spellEnd"/>
      <w:r w:rsidR="00D27390" w:rsidRPr="006B54C2">
        <w:rPr>
          <w:rFonts w:ascii="Garamond" w:eastAsiaTheme="minorHAnsi" w:hAnsi="Garamond" w:cs="Calibri"/>
          <w:sz w:val="24"/>
          <w:szCs w:val="24"/>
        </w:rPr>
        <w:t xml:space="preserve">-së, ka kërkuar shuarjen e masës së sigurimit personal, me argumentin se është tejkaluar afati i zbatimit të saj. Kërkesa është rrëzuar nga </w:t>
      </w:r>
      <w:proofErr w:type="spellStart"/>
      <w:r w:rsidR="00D27390" w:rsidRPr="006B54C2">
        <w:rPr>
          <w:rFonts w:ascii="Garamond" w:eastAsiaTheme="minorHAnsi" w:hAnsi="Garamond" w:cs="Calibri"/>
          <w:sz w:val="24"/>
          <w:szCs w:val="24"/>
        </w:rPr>
        <w:t>GJKKO</w:t>
      </w:r>
      <w:proofErr w:type="spellEnd"/>
      <w:r w:rsidR="00D27390" w:rsidRPr="006B54C2">
        <w:rPr>
          <w:rFonts w:ascii="Garamond" w:eastAsiaTheme="minorHAnsi" w:hAnsi="Garamond" w:cs="Calibri"/>
          <w:sz w:val="24"/>
          <w:szCs w:val="24"/>
        </w:rPr>
        <w:t xml:space="preserve">-ja e Shkallës së Parë, me vendimin nr. 457, datë 21.10.2022, me arsyetimin se masa e sigurimit personal </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Arresti në shtëpi</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 xml:space="preserve"> është e ndryshme nga ajo </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Arresti në burg</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 xml:space="preserve"> dhe në zbatim të nenit 263, pika 2, shkronja </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b</w:t>
      </w:r>
      <w:r w:rsidR="00D27390" w:rsidRPr="006B54C2">
        <w:rPr>
          <w:rFonts w:ascii="Garamond" w:eastAsiaTheme="minorHAnsi" w:hAnsi="Garamond"/>
          <w:sz w:val="24"/>
          <w:szCs w:val="24"/>
        </w:rPr>
        <w:t>”</w:t>
      </w:r>
      <w:r w:rsidR="00D27390" w:rsidRPr="006B54C2">
        <w:rPr>
          <w:rFonts w:ascii="Garamond" w:eastAsiaTheme="minorHAnsi" w:hAnsi="Garamond" w:cs="Calibri"/>
          <w:sz w:val="24"/>
          <w:szCs w:val="24"/>
        </w:rPr>
        <w:t xml:space="preserve">, të lidhur me nenin 267, pika 1, të </w:t>
      </w:r>
      <w:proofErr w:type="spellStart"/>
      <w:r w:rsidR="00D27390" w:rsidRPr="006B54C2">
        <w:rPr>
          <w:rFonts w:ascii="Garamond" w:eastAsiaTheme="minorHAnsi" w:hAnsi="Garamond" w:cs="Calibri"/>
          <w:sz w:val="24"/>
          <w:szCs w:val="24"/>
        </w:rPr>
        <w:t>KPP</w:t>
      </w:r>
      <w:proofErr w:type="spellEnd"/>
      <w:r w:rsidR="00D27390" w:rsidRPr="006B54C2">
        <w:rPr>
          <w:rFonts w:ascii="Garamond" w:eastAsiaTheme="minorHAnsi" w:hAnsi="Garamond" w:cs="Calibri"/>
          <w:sz w:val="24"/>
          <w:szCs w:val="24"/>
        </w:rPr>
        <w:t xml:space="preserve">-së për atë masë zbatohet dyfishi i afateve të parashikuara nga neni 263 i </w:t>
      </w:r>
      <w:proofErr w:type="spellStart"/>
      <w:r w:rsidR="00D27390" w:rsidRPr="006B54C2">
        <w:rPr>
          <w:rFonts w:ascii="Garamond" w:eastAsiaTheme="minorHAnsi" w:hAnsi="Garamond" w:cs="Calibri"/>
          <w:sz w:val="24"/>
          <w:szCs w:val="24"/>
        </w:rPr>
        <w:t>KPP</w:t>
      </w:r>
      <w:proofErr w:type="spellEnd"/>
      <w:r w:rsidR="00D27390" w:rsidRPr="006B54C2">
        <w:rPr>
          <w:rFonts w:ascii="Garamond" w:eastAsiaTheme="minorHAnsi" w:hAnsi="Garamond" w:cs="Calibri"/>
          <w:sz w:val="24"/>
          <w:szCs w:val="24"/>
        </w:rPr>
        <w:t xml:space="preserve">-së. Në rastin konkret, sipas gjykatës, afati është 18 muaj, i cili ende nuk është përmbushur, ndaj </w:t>
      </w:r>
      <w:r w:rsidR="00D27390" w:rsidRPr="006B54C2">
        <w:rPr>
          <w:rFonts w:ascii="Garamond" w:eastAsiaTheme="minorHAnsi" w:hAnsi="Garamond" w:cs="Calibri"/>
          <w:sz w:val="24"/>
          <w:szCs w:val="24"/>
          <w:highlight w:val="white"/>
        </w:rPr>
        <w:t xml:space="preserve">masa nuk e ka humbur fuqinë e saj. </w:t>
      </w:r>
    </w:p>
    <w:p w14:paraId="4A24F7CF" w14:textId="1B1D779F" w:rsidR="00D27390" w:rsidRPr="006B54C2" w:rsidRDefault="006C7BA4" w:rsidP="00D27390">
      <w:pPr>
        <w:widowControl w:val="0"/>
        <w:tabs>
          <w:tab w:val="left" w:pos="1080"/>
        </w:tabs>
        <w:autoSpaceDE w:val="0"/>
        <w:autoSpaceDN w:val="0"/>
        <w:adjustRightInd w:val="0"/>
        <w:spacing w:after="0" w:line="240" w:lineRule="auto"/>
        <w:ind w:firstLine="284"/>
        <w:jc w:val="both"/>
        <w:rPr>
          <w:rFonts w:ascii="Garamond" w:eastAsiaTheme="minorHAnsi" w:hAnsi="Garamond" w:cs="Calibri"/>
          <w:sz w:val="24"/>
          <w:szCs w:val="24"/>
          <w:highlight w:val="white"/>
        </w:rPr>
      </w:pPr>
      <w:r w:rsidRPr="006B54C2">
        <w:rPr>
          <w:rFonts w:ascii="Garamond" w:eastAsiaTheme="minorHAnsi" w:hAnsi="Garamond" w:cs="Calibri"/>
          <w:sz w:val="24"/>
          <w:szCs w:val="24"/>
          <w:highlight w:val="white"/>
        </w:rPr>
        <w:t xml:space="preserve">7. </w:t>
      </w:r>
      <w:r w:rsidR="00D27390" w:rsidRPr="006B54C2">
        <w:rPr>
          <w:rFonts w:ascii="Garamond" w:eastAsiaTheme="minorHAnsi" w:hAnsi="Garamond" w:cs="Calibri"/>
          <w:sz w:val="24"/>
          <w:szCs w:val="24"/>
          <w:highlight w:val="white"/>
        </w:rPr>
        <w:t xml:space="preserve">Mbi bazën e ankimit të kërkueses, </w:t>
      </w:r>
      <w:proofErr w:type="spellStart"/>
      <w:r w:rsidR="00D27390" w:rsidRPr="006B54C2">
        <w:rPr>
          <w:rFonts w:ascii="Garamond" w:eastAsiaTheme="minorHAnsi" w:hAnsi="Garamond" w:cs="Calibri"/>
          <w:sz w:val="24"/>
          <w:szCs w:val="24"/>
          <w:highlight w:val="white"/>
        </w:rPr>
        <w:t>GJKKO</w:t>
      </w:r>
      <w:proofErr w:type="spellEnd"/>
      <w:r w:rsidR="00D27390" w:rsidRPr="006B54C2">
        <w:rPr>
          <w:rFonts w:ascii="Garamond" w:eastAsiaTheme="minorHAnsi" w:hAnsi="Garamond" w:cs="Calibri"/>
          <w:sz w:val="24"/>
          <w:szCs w:val="24"/>
          <w:highlight w:val="white"/>
        </w:rPr>
        <w:t xml:space="preserve">-ja e Apelit, </w:t>
      </w:r>
      <w:r w:rsidR="00D27390" w:rsidRPr="006B54C2">
        <w:rPr>
          <w:rFonts w:ascii="Garamond" w:eastAsiaTheme="minorHAnsi" w:hAnsi="Garamond" w:cs="Calibri"/>
          <w:sz w:val="24"/>
          <w:szCs w:val="24"/>
        </w:rPr>
        <w:t xml:space="preserve">me vendimin nr. 171, datë 9.11.2022, ka vendosur lënien në fuqi të vendimit të gjykatës së shkallës së parë, me të njëjtën linjë arsyetimi. </w:t>
      </w:r>
      <w:r w:rsidR="00D27390" w:rsidRPr="006B54C2">
        <w:rPr>
          <w:rFonts w:ascii="Garamond" w:eastAsiaTheme="minorHAnsi" w:hAnsi="Garamond" w:cs="Calibri"/>
          <w:sz w:val="24"/>
          <w:szCs w:val="24"/>
          <w:highlight w:val="white"/>
        </w:rPr>
        <w:t xml:space="preserve">Kundër këtij vendimi ka ushtruar rekurs kërkuesja, i cili është regjistruar në Gjykatën e Lartë në </w:t>
      </w:r>
      <w:r w:rsidR="00D27390" w:rsidRPr="006B54C2">
        <w:rPr>
          <w:rFonts w:ascii="Garamond" w:eastAsiaTheme="minorHAnsi" w:hAnsi="Garamond" w:cs="Calibri"/>
          <w:sz w:val="24"/>
          <w:szCs w:val="24"/>
        </w:rPr>
        <w:t>datën 13.12.2022</w:t>
      </w:r>
      <w:r w:rsidR="00D27390" w:rsidRPr="006B54C2">
        <w:rPr>
          <w:rFonts w:ascii="Garamond" w:eastAsiaTheme="minorHAnsi" w:hAnsi="Garamond" w:cs="Calibri"/>
          <w:sz w:val="24"/>
          <w:szCs w:val="24"/>
          <w:highlight w:val="white"/>
        </w:rPr>
        <w:t xml:space="preserve">. </w:t>
      </w:r>
    </w:p>
    <w:p w14:paraId="0743A61B" w14:textId="7212B564" w:rsidR="00D27390" w:rsidRPr="006B54C2" w:rsidRDefault="006C7BA4" w:rsidP="00D27390">
      <w:pPr>
        <w:widowControl w:val="0"/>
        <w:tabs>
          <w:tab w:val="left" w:pos="1080"/>
        </w:tabs>
        <w:autoSpaceDE w:val="0"/>
        <w:autoSpaceDN w:val="0"/>
        <w:adjustRightInd w:val="0"/>
        <w:spacing w:after="0" w:line="240" w:lineRule="auto"/>
        <w:ind w:firstLine="284"/>
        <w:jc w:val="both"/>
        <w:rPr>
          <w:rFonts w:ascii="Garamond" w:eastAsiaTheme="minorHAnsi" w:hAnsi="Garamond" w:cs="Calibri"/>
          <w:sz w:val="24"/>
          <w:szCs w:val="24"/>
          <w:highlight w:val="white"/>
        </w:rPr>
      </w:pPr>
      <w:r w:rsidRPr="006B54C2">
        <w:rPr>
          <w:rFonts w:ascii="Garamond" w:eastAsiaTheme="minorHAnsi" w:hAnsi="Garamond" w:cs="Calibri"/>
          <w:sz w:val="24"/>
          <w:szCs w:val="24"/>
          <w:highlight w:val="white"/>
        </w:rPr>
        <w:t xml:space="preserve">8. </w:t>
      </w:r>
      <w:r w:rsidR="00D27390" w:rsidRPr="006B54C2">
        <w:rPr>
          <w:rFonts w:ascii="Garamond" w:eastAsiaTheme="minorHAnsi" w:hAnsi="Garamond" w:cs="Calibri"/>
          <w:sz w:val="24"/>
          <w:szCs w:val="24"/>
          <w:highlight w:val="white"/>
        </w:rPr>
        <w:t xml:space="preserve">Gjatë kohës që rekursi ishte në pritje për shqyrtim, </w:t>
      </w:r>
      <w:proofErr w:type="spellStart"/>
      <w:r w:rsidR="00D27390" w:rsidRPr="006B54C2">
        <w:rPr>
          <w:rFonts w:ascii="Garamond" w:eastAsiaTheme="minorHAnsi" w:hAnsi="Garamond" w:cs="Calibri"/>
          <w:sz w:val="24"/>
          <w:szCs w:val="24"/>
          <w:highlight w:val="white"/>
        </w:rPr>
        <w:t>GJKKO</w:t>
      </w:r>
      <w:proofErr w:type="spellEnd"/>
      <w:r w:rsidR="00D27390" w:rsidRPr="006B54C2">
        <w:rPr>
          <w:rFonts w:ascii="Garamond" w:eastAsiaTheme="minorHAnsi" w:hAnsi="Garamond" w:cs="Calibri"/>
          <w:sz w:val="24"/>
          <w:szCs w:val="24"/>
          <w:highlight w:val="white"/>
        </w:rPr>
        <w:t xml:space="preserve">-ja e Shkallës së Parë, me vendimin nr. 69, datë 15.12.2022, ka vendosur deklarimin fajtore të kërkueses sipas akuzës dhe dënimin e saj. Në pikën 14 të </w:t>
      </w:r>
      <w:proofErr w:type="spellStart"/>
      <w:r w:rsidR="00D27390" w:rsidRPr="006B54C2">
        <w:rPr>
          <w:rFonts w:ascii="Garamond" w:eastAsiaTheme="minorHAnsi" w:hAnsi="Garamond" w:cs="Calibri"/>
          <w:sz w:val="24"/>
          <w:szCs w:val="24"/>
          <w:highlight w:val="white"/>
        </w:rPr>
        <w:t>dispozitivit</w:t>
      </w:r>
      <w:proofErr w:type="spellEnd"/>
      <w:r w:rsidR="00D27390" w:rsidRPr="006B54C2">
        <w:rPr>
          <w:rFonts w:ascii="Garamond" w:eastAsiaTheme="minorHAnsi" w:hAnsi="Garamond" w:cs="Calibri"/>
          <w:sz w:val="24"/>
          <w:szCs w:val="24"/>
          <w:highlight w:val="white"/>
        </w:rPr>
        <w:t xml:space="preserve">, </w:t>
      </w:r>
      <w:proofErr w:type="spellStart"/>
      <w:r w:rsidR="00D27390" w:rsidRPr="006B54C2">
        <w:rPr>
          <w:rFonts w:ascii="Garamond" w:eastAsiaTheme="minorHAnsi" w:hAnsi="Garamond" w:cs="Calibri"/>
          <w:sz w:val="24"/>
          <w:szCs w:val="24"/>
          <w:highlight w:val="white"/>
        </w:rPr>
        <w:t>GJKKO</w:t>
      </w:r>
      <w:proofErr w:type="spellEnd"/>
      <w:r w:rsidR="00D27390" w:rsidRPr="006B54C2">
        <w:rPr>
          <w:rFonts w:ascii="Garamond" w:eastAsiaTheme="minorHAnsi" w:hAnsi="Garamond" w:cs="Calibri"/>
          <w:sz w:val="24"/>
          <w:szCs w:val="24"/>
          <w:highlight w:val="white"/>
        </w:rPr>
        <w:t>-ja e Shkallës së Parë, në zbatim të</w:t>
      </w:r>
      <w:r w:rsidR="0077042B" w:rsidRPr="006B54C2">
        <w:rPr>
          <w:rFonts w:ascii="Garamond" w:eastAsiaTheme="minorHAnsi" w:hAnsi="Garamond" w:cs="Calibri"/>
          <w:sz w:val="24"/>
          <w:szCs w:val="24"/>
          <w:highlight w:val="white"/>
        </w:rPr>
        <w:t xml:space="preserve"> </w:t>
      </w:r>
      <w:r w:rsidR="00D27390" w:rsidRPr="006B54C2">
        <w:rPr>
          <w:rFonts w:ascii="Garamond" w:eastAsiaTheme="minorHAnsi" w:hAnsi="Garamond" w:cs="Calibri"/>
          <w:sz w:val="24"/>
          <w:szCs w:val="24"/>
          <w:highlight w:val="white"/>
        </w:rPr>
        <w:t xml:space="preserve">nenit 261, pika 1, shkronja </w:t>
      </w:r>
      <w:r w:rsidR="00D27390" w:rsidRPr="006B54C2">
        <w:rPr>
          <w:rFonts w:ascii="Garamond" w:eastAsiaTheme="minorHAnsi" w:hAnsi="Garamond"/>
          <w:sz w:val="24"/>
          <w:szCs w:val="24"/>
          <w:highlight w:val="white"/>
        </w:rPr>
        <w:t>“</w:t>
      </w:r>
      <w:r w:rsidR="00D27390" w:rsidRPr="006B54C2">
        <w:rPr>
          <w:rFonts w:ascii="Garamond" w:eastAsiaTheme="minorHAnsi" w:hAnsi="Garamond" w:cs="Calibri"/>
          <w:sz w:val="24"/>
          <w:szCs w:val="24"/>
          <w:highlight w:val="white"/>
        </w:rPr>
        <w:t>b</w:t>
      </w:r>
      <w:r w:rsidR="00D27390" w:rsidRPr="006B54C2">
        <w:rPr>
          <w:rFonts w:ascii="Garamond" w:eastAsiaTheme="minorHAnsi" w:hAnsi="Garamond"/>
          <w:sz w:val="24"/>
          <w:szCs w:val="24"/>
          <w:highlight w:val="white"/>
        </w:rPr>
        <w:t>”</w:t>
      </w:r>
      <w:r w:rsidR="00D27390" w:rsidRPr="006B54C2">
        <w:rPr>
          <w:rFonts w:ascii="Garamond" w:eastAsiaTheme="minorHAnsi" w:hAnsi="Garamond" w:cs="Calibri"/>
          <w:sz w:val="24"/>
          <w:szCs w:val="24"/>
          <w:highlight w:val="white"/>
        </w:rPr>
        <w:t xml:space="preserve">, të </w:t>
      </w:r>
      <w:proofErr w:type="spellStart"/>
      <w:r w:rsidR="00D27390" w:rsidRPr="006B54C2">
        <w:rPr>
          <w:rFonts w:ascii="Garamond" w:eastAsiaTheme="minorHAnsi" w:hAnsi="Garamond" w:cs="Calibri"/>
          <w:sz w:val="24"/>
          <w:szCs w:val="24"/>
          <w:highlight w:val="white"/>
        </w:rPr>
        <w:t>KPP</w:t>
      </w:r>
      <w:proofErr w:type="spellEnd"/>
      <w:r w:rsidR="00D27390" w:rsidRPr="006B54C2">
        <w:rPr>
          <w:rFonts w:ascii="Garamond" w:eastAsiaTheme="minorHAnsi" w:hAnsi="Garamond" w:cs="Calibri"/>
          <w:sz w:val="24"/>
          <w:szCs w:val="24"/>
          <w:highlight w:val="white"/>
        </w:rPr>
        <w:t xml:space="preserve">-së, ka disponuar shuarjen e masës së sigurimit personal </w:t>
      </w:r>
      <w:r w:rsidR="00D27390" w:rsidRPr="006B54C2">
        <w:rPr>
          <w:rFonts w:ascii="Garamond" w:eastAsiaTheme="minorHAnsi" w:hAnsi="Garamond"/>
          <w:sz w:val="24"/>
          <w:szCs w:val="24"/>
          <w:highlight w:val="white"/>
        </w:rPr>
        <w:t>“</w:t>
      </w:r>
      <w:r w:rsidR="00D27390" w:rsidRPr="006B54C2">
        <w:rPr>
          <w:rFonts w:ascii="Garamond" w:eastAsiaTheme="minorHAnsi" w:hAnsi="Garamond" w:cs="Calibri"/>
          <w:sz w:val="24"/>
          <w:szCs w:val="24"/>
          <w:highlight w:val="white"/>
        </w:rPr>
        <w:t>Arresti në shtëpi</w:t>
      </w:r>
      <w:r w:rsidR="00D27390" w:rsidRPr="006B54C2">
        <w:rPr>
          <w:rFonts w:ascii="Garamond" w:eastAsiaTheme="minorHAnsi" w:hAnsi="Garamond"/>
          <w:sz w:val="24"/>
          <w:szCs w:val="24"/>
          <w:highlight w:val="white"/>
        </w:rPr>
        <w:t>”</w:t>
      </w:r>
      <w:r w:rsidR="00D27390" w:rsidRPr="006B54C2">
        <w:rPr>
          <w:rFonts w:ascii="Garamond" w:eastAsiaTheme="minorHAnsi" w:hAnsi="Garamond" w:cs="Calibri"/>
          <w:sz w:val="24"/>
          <w:szCs w:val="24"/>
          <w:highlight w:val="white"/>
        </w:rPr>
        <w:t>.</w:t>
      </w:r>
      <w:r w:rsidR="00D27390" w:rsidRPr="006B54C2">
        <w:rPr>
          <w:rFonts w:ascii="Garamond" w:eastAsiaTheme="minorHAnsi" w:hAnsi="Garamond" w:cs="Calibri"/>
          <w:b/>
          <w:bCs/>
          <w:sz w:val="24"/>
          <w:szCs w:val="24"/>
        </w:rPr>
        <w:t xml:space="preserve"> </w:t>
      </w:r>
      <w:r w:rsidR="00D27390" w:rsidRPr="006B54C2">
        <w:rPr>
          <w:rFonts w:ascii="Garamond" w:eastAsiaTheme="minorHAnsi" w:hAnsi="Garamond" w:cs="Calibri"/>
          <w:sz w:val="24"/>
          <w:szCs w:val="24"/>
        </w:rPr>
        <w:t xml:space="preserve">Ky vendim është lënë në fuqi nga </w:t>
      </w:r>
      <w:proofErr w:type="spellStart"/>
      <w:r w:rsidR="00D27390" w:rsidRPr="006B54C2">
        <w:rPr>
          <w:rFonts w:ascii="Garamond" w:eastAsiaTheme="minorHAnsi" w:hAnsi="Garamond" w:cs="Calibri"/>
          <w:sz w:val="24"/>
          <w:szCs w:val="24"/>
        </w:rPr>
        <w:t>GJKKO</w:t>
      </w:r>
      <w:proofErr w:type="spellEnd"/>
      <w:r w:rsidR="00D27390" w:rsidRPr="006B54C2">
        <w:rPr>
          <w:rFonts w:ascii="Garamond" w:eastAsiaTheme="minorHAnsi" w:hAnsi="Garamond" w:cs="Calibri"/>
          <w:sz w:val="24"/>
          <w:szCs w:val="24"/>
        </w:rPr>
        <w:t>-ja e Apelit me vendimin nr. 52, datë 12.12.2023.</w:t>
      </w:r>
      <w:r w:rsidR="0077042B" w:rsidRPr="006B54C2">
        <w:rPr>
          <w:rFonts w:ascii="Garamond" w:eastAsiaTheme="minorHAnsi" w:hAnsi="Garamond" w:cs="Calibri"/>
          <w:sz w:val="24"/>
          <w:szCs w:val="24"/>
        </w:rPr>
        <w:t xml:space="preserve"> </w:t>
      </w:r>
    </w:p>
    <w:p w14:paraId="49480E7C" w14:textId="45A54ACD" w:rsidR="00D27390" w:rsidRPr="006B54C2" w:rsidRDefault="006C7BA4" w:rsidP="00D27390">
      <w:pPr>
        <w:widowControl w:val="0"/>
        <w:tabs>
          <w:tab w:val="left" w:pos="1080"/>
        </w:tabs>
        <w:autoSpaceDE w:val="0"/>
        <w:autoSpaceDN w:val="0"/>
        <w:adjustRightInd w:val="0"/>
        <w:spacing w:after="0" w:line="240" w:lineRule="auto"/>
        <w:ind w:firstLine="284"/>
        <w:jc w:val="both"/>
        <w:rPr>
          <w:rFonts w:ascii="Garamond" w:eastAsiaTheme="minorHAnsi" w:hAnsi="Garamond" w:cs="Calibri"/>
          <w:sz w:val="24"/>
          <w:szCs w:val="24"/>
          <w:highlight w:val="white"/>
        </w:rPr>
      </w:pPr>
      <w:r w:rsidRPr="006B54C2">
        <w:rPr>
          <w:rFonts w:ascii="Garamond" w:eastAsiaTheme="minorHAnsi" w:hAnsi="Garamond" w:cs="Calibri"/>
          <w:sz w:val="24"/>
          <w:szCs w:val="24"/>
        </w:rPr>
        <w:t xml:space="preserve">9. </w:t>
      </w:r>
      <w:r w:rsidR="00D27390" w:rsidRPr="006B54C2">
        <w:rPr>
          <w:rFonts w:ascii="Garamond" w:eastAsiaTheme="minorHAnsi" w:hAnsi="Garamond" w:cs="Calibri"/>
          <w:sz w:val="24"/>
          <w:szCs w:val="24"/>
        </w:rPr>
        <w:t xml:space="preserve">Ndërkohë, Kolegji Penal i Gjykatës së Lartë, pasi ka marrë në shqyrtim rekursin për shuarjen e masës së sigurimit personal, me vendimin nr. 00-2023-8, datë 12.1.2023, ka vendosur mospranimin e tij me arsyetimin se çështja ka mbetur pa objekt, pasi </w:t>
      </w:r>
      <w:r w:rsidR="00D27390" w:rsidRPr="006B54C2">
        <w:rPr>
          <w:rFonts w:ascii="Garamond" w:eastAsiaTheme="minorHAnsi" w:hAnsi="Garamond" w:cs="Calibri"/>
          <w:sz w:val="24"/>
          <w:szCs w:val="24"/>
          <w:highlight w:val="white"/>
        </w:rPr>
        <w:t>masa e sigurimit personal nuk është më në fuqi, për shkak se ndaj kërkueses është disponuar me vendim penal të formës së prerë për dënimin e saj.</w:t>
      </w:r>
    </w:p>
    <w:p w14:paraId="6C60791F" w14:textId="58A32E87" w:rsidR="00D27390" w:rsidRPr="006B54C2" w:rsidRDefault="006C7BA4" w:rsidP="00D27390">
      <w:pPr>
        <w:widowControl w:val="0"/>
        <w:tabs>
          <w:tab w:val="left" w:pos="1080"/>
        </w:tabs>
        <w:autoSpaceDE w:val="0"/>
        <w:autoSpaceDN w:val="0"/>
        <w:adjustRightInd w:val="0"/>
        <w:spacing w:after="0" w:line="240" w:lineRule="auto"/>
        <w:ind w:firstLine="284"/>
        <w:jc w:val="both"/>
        <w:rPr>
          <w:rFonts w:ascii="Garamond" w:eastAsiaTheme="minorHAnsi" w:hAnsi="Garamond" w:cs="Calibri"/>
          <w:sz w:val="24"/>
          <w:szCs w:val="24"/>
          <w:highlight w:val="white"/>
        </w:rPr>
      </w:pPr>
      <w:r w:rsidRPr="006B54C2">
        <w:rPr>
          <w:rFonts w:ascii="Garamond" w:eastAsiaTheme="minorHAnsi" w:hAnsi="Garamond" w:cs="Calibri"/>
          <w:spacing w:val="1"/>
          <w:sz w:val="24"/>
          <w:szCs w:val="24"/>
        </w:rPr>
        <w:t xml:space="preserve">10. </w:t>
      </w:r>
      <w:r w:rsidR="00D27390" w:rsidRPr="006B54C2">
        <w:rPr>
          <w:rFonts w:ascii="Garamond" w:eastAsiaTheme="minorHAnsi" w:hAnsi="Garamond" w:cs="Calibri"/>
          <w:spacing w:val="1"/>
          <w:sz w:val="24"/>
          <w:szCs w:val="24"/>
        </w:rPr>
        <w:t>Në datën 9.5.2023 kërkuesja i është drejtuar Gjykatës Kushtetuese (</w:t>
      </w:r>
      <w:r w:rsidR="00D27390" w:rsidRPr="006B54C2">
        <w:rPr>
          <w:rFonts w:ascii="Garamond" w:eastAsiaTheme="minorHAnsi" w:hAnsi="Garamond" w:cs="Calibri"/>
          <w:i/>
          <w:iCs/>
          <w:spacing w:val="1"/>
          <w:sz w:val="24"/>
          <w:szCs w:val="24"/>
        </w:rPr>
        <w:t>Gjykata</w:t>
      </w:r>
      <w:r w:rsidR="00D27390" w:rsidRPr="006B54C2">
        <w:rPr>
          <w:rFonts w:ascii="Garamond" w:eastAsiaTheme="minorHAnsi" w:hAnsi="Garamond" w:cs="Calibri"/>
          <w:spacing w:val="1"/>
          <w:sz w:val="24"/>
          <w:szCs w:val="24"/>
        </w:rPr>
        <w:t xml:space="preserve">) me ankim kushtetues individual sipas objektit. </w:t>
      </w:r>
      <w:r w:rsidR="00D27390" w:rsidRPr="006B54C2">
        <w:rPr>
          <w:rFonts w:ascii="Garamond" w:eastAsiaTheme="minorHAnsi" w:hAnsi="Garamond" w:cs="Calibri"/>
          <w:sz w:val="24"/>
          <w:szCs w:val="24"/>
        </w:rPr>
        <w:t>Kolegji i Gjykatës në datën 7.7.2023 ka vendosur kalimin e çështjes për shqyrtim paraprak në Mbledhjen e Gjyqtarëve, ndërsa kjo e fundit në datën 14.7.2023 ka vendosur kalimin e çështjes për shqyrtim në seancë plenare mbi bazë të dokumenteve. Fillimisht, seanca plenare për shqyrtimin e çështjes u caktua në datën 15.2.2024, por për arsye objektive zhvillimi i saj u shty për datën 13.3.2024, ndryshim për të cilin palët janë njoftuar rregullisht.</w:t>
      </w:r>
    </w:p>
    <w:p w14:paraId="4C137E71" w14:textId="77777777" w:rsidR="00D27390" w:rsidRPr="006B54C2" w:rsidRDefault="00D27390" w:rsidP="00D27390">
      <w:pPr>
        <w:widowControl w:val="0"/>
        <w:tabs>
          <w:tab w:val="left" w:pos="1080"/>
        </w:tabs>
        <w:autoSpaceDE w:val="0"/>
        <w:autoSpaceDN w:val="0"/>
        <w:adjustRightInd w:val="0"/>
        <w:spacing w:after="0" w:line="240" w:lineRule="auto"/>
        <w:ind w:firstLine="284"/>
        <w:jc w:val="both"/>
        <w:rPr>
          <w:rFonts w:ascii="Garamond" w:eastAsiaTheme="minorHAnsi" w:hAnsi="Garamond" w:cs="Calibri"/>
          <w:sz w:val="24"/>
          <w:szCs w:val="24"/>
          <w:highlight w:val="white"/>
        </w:rPr>
      </w:pPr>
    </w:p>
    <w:p w14:paraId="22E68959"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proofErr w:type="spellStart"/>
      <w:r w:rsidRPr="006B54C2">
        <w:rPr>
          <w:rFonts w:ascii="Garamond" w:eastAsiaTheme="minorHAnsi" w:hAnsi="Garamond"/>
          <w:b/>
          <w:bCs/>
          <w:sz w:val="24"/>
          <w:szCs w:val="24"/>
        </w:rPr>
        <w:t>II</w:t>
      </w:r>
      <w:proofErr w:type="spellEnd"/>
    </w:p>
    <w:p w14:paraId="012FDC13"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r w:rsidRPr="006B54C2">
        <w:rPr>
          <w:rFonts w:ascii="Garamond" w:eastAsiaTheme="minorHAnsi" w:hAnsi="Garamond"/>
          <w:b/>
          <w:bCs/>
          <w:sz w:val="24"/>
          <w:szCs w:val="24"/>
        </w:rPr>
        <w:t>Pretendimet në Gjykatën Kushtetuese</w:t>
      </w:r>
    </w:p>
    <w:p w14:paraId="5DF5018F" w14:textId="77777777" w:rsidR="006C7BA4" w:rsidRPr="006B54C2" w:rsidRDefault="006C7BA4" w:rsidP="00D27390">
      <w:pPr>
        <w:tabs>
          <w:tab w:val="left" w:pos="1080"/>
        </w:tabs>
        <w:autoSpaceDE w:val="0"/>
        <w:autoSpaceDN w:val="0"/>
        <w:adjustRightInd w:val="0"/>
        <w:spacing w:after="0" w:line="240" w:lineRule="auto"/>
        <w:ind w:firstLine="284"/>
        <w:jc w:val="both"/>
        <w:rPr>
          <w:rFonts w:ascii="Garamond" w:eastAsiaTheme="minorHAnsi" w:hAnsi="Garamond"/>
          <w:i/>
          <w:iCs/>
          <w:sz w:val="24"/>
          <w:szCs w:val="24"/>
        </w:rPr>
      </w:pPr>
    </w:p>
    <w:p w14:paraId="241A75FB" w14:textId="50335FF4"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b/>
          <w:bCs/>
          <w:sz w:val="24"/>
          <w:szCs w:val="24"/>
        </w:rPr>
      </w:pPr>
      <w:r w:rsidRPr="006B54C2">
        <w:rPr>
          <w:rFonts w:ascii="Garamond" w:eastAsiaTheme="minorHAnsi" w:hAnsi="Garamond"/>
          <w:iCs/>
          <w:sz w:val="24"/>
          <w:szCs w:val="24"/>
        </w:rPr>
        <w:t>11</w:t>
      </w:r>
      <w:r w:rsidRPr="006B54C2">
        <w:rPr>
          <w:rFonts w:ascii="Garamond" w:eastAsiaTheme="minorHAnsi" w:hAnsi="Garamond"/>
          <w:i/>
          <w:iCs/>
          <w:sz w:val="24"/>
          <w:szCs w:val="24"/>
        </w:rPr>
        <w:t xml:space="preserve">. </w:t>
      </w:r>
      <w:r w:rsidRPr="006B54C2">
        <w:rPr>
          <w:rFonts w:ascii="Garamond" w:eastAsiaTheme="minorHAnsi" w:hAnsi="Garamond"/>
          <w:b/>
          <w:bCs/>
          <w:i/>
          <w:iCs/>
          <w:sz w:val="24"/>
          <w:szCs w:val="24"/>
        </w:rPr>
        <w:t xml:space="preserve">Kërkuesja, </w:t>
      </w:r>
      <w:r w:rsidRPr="006B54C2">
        <w:rPr>
          <w:rFonts w:ascii="Garamond" w:eastAsiaTheme="minorHAnsi" w:hAnsi="Garamond"/>
          <w:sz w:val="24"/>
          <w:szCs w:val="24"/>
        </w:rPr>
        <w:t>në mënyrë të përmbledhur, ka pretenduar se vendimet objekt kundërshtimi i kanë cenuar:</w:t>
      </w:r>
    </w:p>
    <w:p w14:paraId="262CF70D" w14:textId="073CDBE5" w:rsidR="00D27390" w:rsidRPr="006B54C2" w:rsidRDefault="00D27390" w:rsidP="00D27390">
      <w:pPr>
        <w:tabs>
          <w:tab w:val="left" w:pos="720"/>
          <w:tab w:val="left" w:pos="126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11.1. </w:t>
      </w:r>
      <w:r w:rsidRPr="006B54C2">
        <w:rPr>
          <w:rFonts w:ascii="Garamond" w:eastAsiaTheme="minorHAnsi" w:hAnsi="Garamond"/>
          <w:i/>
          <w:iCs/>
          <w:sz w:val="24"/>
          <w:szCs w:val="24"/>
        </w:rPr>
        <w:t>Lirinë personale</w:t>
      </w:r>
      <w:r w:rsidRPr="006B54C2">
        <w:rPr>
          <w:rFonts w:ascii="Garamond" w:eastAsiaTheme="minorHAnsi" w:hAnsi="Garamond"/>
          <w:sz w:val="24"/>
          <w:szCs w:val="24"/>
        </w:rPr>
        <w:t xml:space="preserve">, të garantuar nga nenet 27 dhe 17 të Kushtetutës, pasi në zbatim të gabuar të ligjit procedural penal asaj i është kufizuar liria tej afateve ligjore, pasojat e të cilit janë shtrirë edhe te familjarët e saj, në kushtet kur edhe bashkëshorti është proceduar me të njëjtën masë për efekt të </w:t>
      </w:r>
      <w:proofErr w:type="spellStart"/>
      <w:r w:rsidRPr="006B54C2">
        <w:rPr>
          <w:rFonts w:ascii="Garamond" w:eastAsiaTheme="minorHAnsi" w:hAnsi="Garamond"/>
          <w:sz w:val="24"/>
          <w:szCs w:val="24"/>
        </w:rPr>
        <w:t>të</w:t>
      </w:r>
      <w:proofErr w:type="spellEnd"/>
      <w:r w:rsidRPr="006B54C2">
        <w:rPr>
          <w:rFonts w:ascii="Garamond" w:eastAsiaTheme="minorHAnsi" w:hAnsi="Garamond"/>
          <w:sz w:val="24"/>
          <w:szCs w:val="24"/>
        </w:rPr>
        <w:t xml:space="preserve"> njëjtit procedim, situatë kjo që ka ndikuar te vajza e saj e mitur. Sipas saj, afati i masës së sigurimit </w:t>
      </w:r>
      <w:r w:rsidRPr="006B54C2">
        <w:rPr>
          <w:rFonts w:ascii="Garamond" w:eastAsiaTheme="minorHAnsi" w:hAnsi="Garamond"/>
          <w:sz w:val="24"/>
          <w:szCs w:val="24"/>
        </w:rPr>
        <w:lastRenderedPageBreak/>
        <w:t>personal ka qenë 9 muaj, pasi vepra penale për të cilën ajo është akuzuar parashikon dënimin me burgim deri në 10 vjet. Ndërkohë që afati i llogaritur prej saj nga data 26.2.2021 deri në datën 19.10.2022, ditën e paraqitjes së kërkesës, është 386 ditë, duke mos llogaritur afatet e pezulluara të paraburgimit.</w:t>
      </w:r>
      <w:r w:rsidR="0077042B" w:rsidRPr="006B54C2">
        <w:rPr>
          <w:rFonts w:ascii="Garamond" w:eastAsiaTheme="minorHAnsi" w:hAnsi="Garamond"/>
          <w:sz w:val="24"/>
          <w:szCs w:val="24"/>
        </w:rPr>
        <w:t xml:space="preserve"> </w:t>
      </w:r>
    </w:p>
    <w:p w14:paraId="260E7D09" w14:textId="266354AA" w:rsidR="00D27390" w:rsidRPr="006B54C2" w:rsidRDefault="00D27390" w:rsidP="00D27390">
      <w:pPr>
        <w:tabs>
          <w:tab w:val="left" w:pos="720"/>
          <w:tab w:val="left" w:pos="126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11.2. </w:t>
      </w:r>
      <w:r w:rsidRPr="006B54C2">
        <w:rPr>
          <w:rFonts w:ascii="Garamond" w:eastAsiaTheme="minorHAnsi" w:hAnsi="Garamond"/>
          <w:i/>
          <w:iCs/>
          <w:sz w:val="24"/>
          <w:szCs w:val="24"/>
        </w:rPr>
        <w:t>Të drejtën për një proces të rregullt ligjor</w:t>
      </w:r>
      <w:r w:rsidRPr="006B54C2">
        <w:rPr>
          <w:rFonts w:ascii="Garamond" w:eastAsiaTheme="minorHAnsi" w:hAnsi="Garamond"/>
          <w:sz w:val="24"/>
          <w:szCs w:val="24"/>
        </w:rPr>
        <w:t xml:space="preserve">, të garantuar nga neni 42 i Kushtetutës, në drejtim të </w:t>
      </w:r>
      <w:r w:rsidRPr="006B54C2">
        <w:rPr>
          <w:rFonts w:ascii="Garamond" w:eastAsiaTheme="minorHAnsi" w:hAnsi="Garamond"/>
          <w:i/>
          <w:iCs/>
          <w:sz w:val="24"/>
          <w:szCs w:val="24"/>
        </w:rPr>
        <w:t xml:space="preserve">së drejtës së </w:t>
      </w:r>
      <w:proofErr w:type="spellStart"/>
      <w:r w:rsidRPr="006B54C2">
        <w:rPr>
          <w:rFonts w:ascii="Garamond" w:eastAsiaTheme="minorHAnsi" w:hAnsi="Garamond"/>
          <w:i/>
          <w:iCs/>
          <w:sz w:val="24"/>
          <w:szCs w:val="24"/>
        </w:rPr>
        <w:t>aksesit</w:t>
      </w:r>
      <w:proofErr w:type="spellEnd"/>
      <w:r w:rsidRPr="006B54C2">
        <w:rPr>
          <w:rFonts w:ascii="Garamond" w:eastAsiaTheme="minorHAnsi" w:hAnsi="Garamond"/>
          <w:i/>
          <w:iCs/>
          <w:sz w:val="24"/>
          <w:szCs w:val="24"/>
        </w:rPr>
        <w:t xml:space="preserve"> në aspektin substancial</w:t>
      </w:r>
      <w:r w:rsidRPr="006B54C2">
        <w:rPr>
          <w:rFonts w:ascii="Garamond" w:eastAsiaTheme="minorHAnsi" w:hAnsi="Garamond"/>
          <w:sz w:val="24"/>
          <w:szCs w:val="24"/>
        </w:rPr>
        <w:t xml:space="preserve">, pasi Gjykata e Lartë ka vendosur mospranimin e rekursit për shkak se çështja ka mbetur pa objekt, ndërkohë ai ka pasur objekt dhe lidhej me paligjshmërinë e vendimeve të dy gjykatave më të ulëta për rrëzimin e kërkesën e saj për shuarjen e masës së sigurimit personal si rezultat i përfundimit të afatit 9-mujor, në zbatim të nenit 263, paragrafi i dytë, shkronja “b”, të </w:t>
      </w:r>
      <w:proofErr w:type="spellStart"/>
      <w:r w:rsidRPr="006B54C2">
        <w:rPr>
          <w:rFonts w:ascii="Garamond" w:eastAsiaTheme="minorHAnsi" w:hAnsi="Garamond"/>
          <w:sz w:val="24"/>
          <w:szCs w:val="24"/>
        </w:rPr>
        <w:t>KPP</w:t>
      </w:r>
      <w:proofErr w:type="spellEnd"/>
      <w:r w:rsidRPr="006B54C2">
        <w:rPr>
          <w:rFonts w:ascii="Garamond" w:eastAsiaTheme="minorHAnsi" w:hAnsi="Garamond"/>
          <w:sz w:val="24"/>
          <w:szCs w:val="24"/>
        </w:rPr>
        <w:t xml:space="preserve">-së. Në këtë mënyrë, Gjykata e Lartë i ka mohuar asaj të drejtën për t’u gjykuar. Për më tepër që kjo çështje ka rëndësi për njësimin e praktikës gjyqësore, pasi në vendime të ndryshme të kolegjeve penale të Gjykatës së Lartë janë mbajtur qëndrime të ndryshme në lidhje me llogaritjen e afateve të masës së sigurimit “Arresti në shtëpi”. Po kështu, kjo e drejtë është cenuar edhe për shkak të </w:t>
      </w:r>
      <w:proofErr w:type="spellStart"/>
      <w:r w:rsidRPr="006B54C2">
        <w:rPr>
          <w:rFonts w:ascii="Garamond" w:eastAsiaTheme="minorHAnsi" w:hAnsi="Garamond"/>
          <w:sz w:val="24"/>
          <w:szCs w:val="24"/>
        </w:rPr>
        <w:t>mosshuarjes</w:t>
      </w:r>
      <w:proofErr w:type="spellEnd"/>
      <w:r w:rsidRPr="006B54C2">
        <w:rPr>
          <w:rFonts w:ascii="Garamond" w:eastAsiaTheme="minorHAnsi" w:hAnsi="Garamond"/>
          <w:sz w:val="24"/>
          <w:szCs w:val="24"/>
        </w:rPr>
        <w:t xml:space="preserve"> së masës së sigurimit në kundërshtim me ligjin. </w:t>
      </w:r>
    </w:p>
    <w:p w14:paraId="14DF9328" w14:textId="4B2C93BB"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cs="Calibri"/>
          <w:sz w:val="24"/>
          <w:szCs w:val="24"/>
        </w:rPr>
      </w:pPr>
      <w:r w:rsidRPr="006B54C2">
        <w:rPr>
          <w:rFonts w:ascii="Garamond" w:eastAsiaTheme="minorHAnsi" w:hAnsi="Garamond"/>
          <w:b/>
          <w:bCs/>
          <w:sz w:val="24"/>
          <w:szCs w:val="24"/>
        </w:rPr>
        <w:t xml:space="preserve">12. </w:t>
      </w:r>
      <w:r w:rsidRPr="006B54C2">
        <w:rPr>
          <w:rFonts w:ascii="Garamond" w:eastAsiaTheme="minorHAnsi" w:hAnsi="Garamond" w:cs="Calibri"/>
          <w:b/>
          <w:bCs/>
          <w:i/>
          <w:iCs/>
          <w:sz w:val="24"/>
          <w:szCs w:val="24"/>
        </w:rPr>
        <w:t>Subjekti i interesuar,</w:t>
      </w:r>
      <w:r w:rsidRPr="006B54C2">
        <w:rPr>
          <w:rFonts w:ascii="Garamond" w:eastAsiaTheme="minorHAnsi" w:hAnsi="Garamond" w:cs="Calibri"/>
          <w:sz w:val="24"/>
          <w:szCs w:val="24"/>
        </w:rPr>
        <w:t xml:space="preserve"> Prokuroria e Posaçme, në mënyrë të përmbledhur, ka prapësuar se:</w:t>
      </w:r>
    </w:p>
    <w:p w14:paraId="601D2F4C" w14:textId="268141A5" w:rsidR="00D27390" w:rsidRPr="006B54C2" w:rsidRDefault="00D27390" w:rsidP="00D27390">
      <w:pPr>
        <w:tabs>
          <w:tab w:val="left" w:pos="1260"/>
          <w:tab w:val="left" w:pos="1710"/>
        </w:tabs>
        <w:autoSpaceDE w:val="0"/>
        <w:autoSpaceDN w:val="0"/>
        <w:adjustRightInd w:val="0"/>
        <w:spacing w:after="0" w:line="240" w:lineRule="auto"/>
        <w:ind w:firstLine="284"/>
        <w:jc w:val="both"/>
        <w:rPr>
          <w:rFonts w:ascii="Garamond" w:eastAsiaTheme="minorHAnsi" w:hAnsi="Garamond" w:cs="Calibri"/>
          <w:b/>
          <w:bCs/>
          <w:sz w:val="24"/>
          <w:szCs w:val="24"/>
        </w:rPr>
      </w:pPr>
      <w:r w:rsidRPr="006B54C2">
        <w:rPr>
          <w:rFonts w:ascii="Garamond" w:eastAsiaTheme="minorHAnsi" w:hAnsi="Garamond"/>
          <w:sz w:val="24"/>
          <w:szCs w:val="24"/>
        </w:rPr>
        <w:t xml:space="preserve">12.1. </w:t>
      </w:r>
      <w:r w:rsidRPr="006B54C2">
        <w:rPr>
          <w:rFonts w:ascii="Garamond" w:eastAsiaTheme="minorHAnsi" w:hAnsi="Garamond" w:cs="Calibri"/>
          <w:sz w:val="24"/>
          <w:szCs w:val="24"/>
        </w:rPr>
        <w:t xml:space="preserve">Pretendimi i kërkueses se afatet e masës së sigurimit personal </w:t>
      </w:r>
      <w:r w:rsidRPr="006B54C2">
        <w:rPr>
          <w:rFonts w:ascii="Garamond" w:eastAsiaTheme="minorHAnsi" w:hAnsi="Garamond"/>
          <w:sz w:val="24"/>
          <w:szCs w:val="24"/>
        </w:rPr>
        <w:t>“</w:t>
      </w:r>
      <w:r w:rsidRPr="006B54C2">
        <w:rPr>
          <w:rFonts w:ascii="Garamond" w:eastAsiaTheme="minorHAnsi" w:hAnsi="Garamond" w:cs="Calibri"/>
          <w:sz w:val="24"/>
          <w:szCs w:val="24"/>
        </w:rPr>
        <w:t>Arresti në shtëpi</w:t>
      </w:r>
      <w:r w:rsidRPr="006B54C2">
        <w:rPr>
          <w:rFonts w:ascii="Garamond" w:eastAsiaTheme="minorHAnsi" w:hAnsi="Garamond"/>
          <w:sz w:val="24"/>
          <w:szCs w:val="24"/>
        </w:rPr>
        <w:t>”</w:t>
      </w:r>
      <w:r w:rsidRPr="006B54C2">
        <w:rPr>
          <w:rFonts w:ascii="Garamond" w:eastAsiaTheme="minorHAnsi" w:hAnsi="Garamond" w:cs="Calibri"/>
          <w:sz w:val="24"/>
          <w:szCs w:val="24"/>
        </w:rPr>
        <w:t xml:space="preserve"> përllogariten njësoj me masën e sigurimit </w:t>
      </w:r>
      <w:r w:rsidRPr="006B54C2">
        <w:rPr>
          <w:rFonts w:ascii="Garamond" w:eastAsiaTheme="minorHAnsi" w:hAnsi="Garamond"/>
          <w:sz w:val="24"/>
          <w:szCs w:val="24"/>
        </w:rPr>
        <w:t>“</w:t>
      </w:r>
      <w:r w:rsidRPr="006B54C2">
        <w:rPr>
          <w:rFonts w:ascii="Garamond" w:eastAsiaTheme="minorHAnsi" w:hAnsi="Garamond" w:cs="Calibri"/>
          <w:sz w:val="24"/>
          <w:szCs w:val="24"/>
        </w:rPr>
        <w:t>Arresti në burg</w:t>
      </w:r>
      <w:r w:rsidRPr="006B54C2">
        <w:rPr>
          <w:rFonts w:ascii="Garamond" w:eastAsiaTheme="minorHAnsi" w:hAnsi="Garamond"/>
          <w:sz w:val="24"/>
          <w:szCs w:val="24"/>
        </w:rPr>
        <w:t>”</w:t>
      </w:r>
      <w:r w:rsidRPr="006B54C2">
        <w:rPr>
          <w:rFonts w:ascii="Garamond" w:eastAsiaTheme="minorHAnsi" w:hAnsi="Garamond" w:cs="Calibri"/>
          <w:sz w:val="24"/>
          <w:szCs w:val="24"/>
        </w:rPr>
        <w:t xml:space="preserve"> nuk qëndron, pasi tashmë ekziston një praktikë e konsoliduar që ndonëse këto masa shtrënguese kufizojnë në mënyrë të ngushtë lirinë e personit, ato ndryshojnë nga njëra </w:t>
      </w:r>
      <w:r w:rsidRPr="006B54C2">
        <w:rPr>
          <w:rFonts w:ascii="Garamond" w:eastAsiaTheme="minorHAnsi" w:hAnsi="Garamond"/>
          <w:sz w:val="24"/>
          <w:szCs w:val="24"/>
        </w:rPr>
        <w:t>–</w:t>
      </w:r>
      <w:r w:rsidRPr="006B54C2">
        <w:rPr>
          <w:rFonts w:ascii="Garamond" w:eastAsiaTheme="minorHAnsi" w:hAnsi="Garamond" w:cs="Calibri"/>
          <w:sz w:val="24"/>
          <w:szCs w:val="24"/>
        </w:rPr>
        <w:t xml:space="preserve"> tjetra si për sa u përket kritereve për t</w:t>
      </w:r>
      <w:r w:rsidRPr="006B54C2">
        <w:rPr>
          <w:rFonts w:ascii="Garamond" w:eastAsiaTheme="minorHAnsi" w:hAnsi="Garamond"/>
          <w:sz w:val="24"/>
          <w:szCs w:val="24"/>
        </w:rPr>
        <w:t>’</w:t>
      </w:r>
      <w:r w:rsidRPr="006B54C2">
        <w:rPr>
          <w:rFonts w:ascii="Garamond" w:eastAsiaTheme="minorHAnsi" w:hAnsi="Garamond" w:cs="Calibri"/>
          <w:sz w:val="24"/>
          <w:szCs w:val="24"/>
        </w:rPr>
        <w:t xml:space="preserve">u caktuar, ashtu dhe vendit e kushteve në të cilat ekzekutohen. Dallimi ndërmjet këtyre dy masave qëndron edhe për faktin se njëra i drejtohet të pandehurit (arresti në shtëpi), ndërsa tjetra Policisë Gjyqësore (arresti në burg), afati i së parës fillon në çastin që njoftohet vendimi, ndërsa i së dytës nga çasti i arrestimit ose ndalimit. Gjithashtu, njoftimi i të pandehurve bëhet në mënyra të ndryshme. Nga ana tjetër, vetë legjislatori është kujdesur që të shprehë qartësisht se kur për këto dy masa mund të zbatohen procedura ose afate të njëjta, sikurse në rastin e neneve 236 dhe 248 të </w:t>
      </w:r>
      <w:proofErr w:type="spellStart"/>
      <w:r w:rsidRPr="006B54C2">
        <w:rPr>
          <w:rFonts w:ascii="Garamond" w:eastAsiaTheme="minorHAnsi" w:hAnsi="Garamond" w:cs="Calibri"/>
          <w:sz w:val="24"/>
          <w:szCs w:val="24"/>
        </w:rPr>
        <w:t>KPP</w:t>
      </w:r>
      <w:proofErr w:type="spellEnd"/>
      <w:r w:rsidRPr="006B54C2">
        <w:rPr>
          <w:rFonts w:ascii="Garamond" w:eastAsiaTheme="minorHAnsi" w:hAnsi="Garamond" w:cs="Calibri"/>
          <w:sz w:val="24"/>
          <w:szCs w:val="24"/>
        </w:rPr>
        <w:t xml:space="preserve">-së. </w:t>
      </w:r>
    </w:p>
    <w:p w14:paraId="5AAC5CEC" w14:textId="317B6D15" w:rsidR="00D27390" w:rsidRPr="006B54C2" w:rsidRDefault="00D27390" w:rsidP="00D27390">
      <w:pPr>
        <w:tabs>
          <w:tab w:val="left" w:pos="1260"/>
          <w:tab w:val="left" w:pos="1710"/>
        </w:tabs>
        <w:autoSpaceDE w:val="0"/>
        <w:autoSpaceDN w:val="0"/>
        <w:adjustRightInd w:val="0"/>
        <w:spacing w:after="0" w:line="240" w:lineRule="auto"/>
        <w:ind w:firstLine="284"/>
        <w:jc w:val="both"/>
        <w:rPr>
          <w:rFonts w:ascii="Garamond" w:eastAsiaTheme="minorHAnsi" w:hAnsi="Garamond" w:cs="Calibri"/>
          <w:b/>
          <w:bCs/>
          <w:sz w:val="24"/>
          <w:szCs w:val="24"/>
        </w:rPr>
      </w:pPr>
      <w:r w:rsidRPr="006B54C2">
        <w:rPr>
          <w:rFonts w:ascii="Garamond" w:eastAsiaTheme="minorHAnsi" w:hAnsi="Garamond"/>
          <w:sz w:val="24"/>
          <w:szCs w:val="24"/>
        </w:rPr>
        <w:t xml:space="preserve">12.2. </w:t>
      </w:r>
      <w:r w:rsidRPr="006B54C2">
        <w:rPr>
          <w:rFonts w:ascii="Garamond" w:eastAsiaTheme="minorHAnsi" w:hAnsi="Garamond" w:cs="Calibri"/>
          <w:sz w:val="24"/>
          <w:szCs w:val="24"/>
        </w:rPr>
        <w:t xml:space="preserve">Pretendimi i kërkueses për </w:t>
      </w:r>
      <w:r w:rsidRPr="006B54C2">
        <w:rPr>
          <w:rFonts w:ascii="Garamond" w:eastAsiaTheme="minorHAnsi" w:hAnsi="Garamond" w:cs="Calibri"/>
          <w:i/>
          <w:iCs/>
          <w:sz w:val="24"/>
          <w:szCs w:val="24"/>
        </w:rPr>
        <w:t>cenimin e së drejtës për proces të rregullt ligjor</w:t>
      </w:r>
      <w:r w:rsidRPr="006B54C2">
        <w:rPr>
          <w:rFonts w:ascii="Garamond" w:eastAsiaTheme="minorHAnsi" w:hAnsi="Garamond" w:cs="Calibri"/>
          <w:sz w:val="24"/>
          <w:szCs w:val="24"/>
        </w:rPr>
        <w:t xml:space="preserve"> është i pabazuar, pasi parë në aspektin procedural Gjykata e Lartë ka vepruar drejt me mospranimin e rekursit, sepse masa e sigurimit personal nuk ekzistonte më, pasi ishte shuar. Pavarësisht se Gjykata e Lartë nuk ka bërë analizë të detajuar të pretendimeve të ngritura nga kërkuesja në rekurs, kjo nuk e bën vendimin e saj të cenueshëm dhe nuk konstatohet as ndonjë shkelje e së drejtës së kërkueses. Për më tepër, çështja nuk shtron diskutime ligjore dhe arsyetimi i dhënë nga gjykatat më të ulëta ka qenë </w:t>
      </w:r>
      <w:proofErr w:type="spellStart"/>
      <w:r w:rsidRPr="006B54C2">
        <w:rPr>
          <w:rFonts w:ascii="Garamond" w:eastAsiaTheme="minorHAnsi" w:hAnsi="Garamond" w:cs="Calibri"/>
          <w:sz w:val="24"/>
          <w:szCs w:val="24"/>
        </w:rPr>
        <w:t>ezaurues</w:t>
      </w:r>
      <w:proofErr w:type="spellEnd"/>
      <w:r w:rsidRPr="006B54C2">
        <w:rPr>
          <w:rFonts w:ascii="Garamond" w:eastAsiaTheme="minorHAnsi" w:hAnsi="Garamond" w:cs="Calibri"/>
          <w:sz w:val="24"/>
          <w:szCs w:val="24"/>
        </w:rPr>
        <w:t>. Kërkuesja ka pasur mundësi t</w:t>
      </w:r>
      <w:r w:rsidRPr="006B54C2">
        <w:rPr>
          <w:rFonts w:ascii="Garamond" w:eastAsiaTheme="minorHAnsi" w:hAnsi="Garamond"/>
          <w:sz w:val="24"/>
          <w:szCs w:val="24"/>
        </w:rPr>
        <w:t>’</w:t>
      </w:r>
      <w:r w:rsidRPr="006B54C2">
        <w:rPr>
          <w:rFonts w:ascii="Garamond" w:eastAsiaTheme="minorHAnsi" w:hAnsi="Garamond" w:cs="Calibri"/>
          <w:sz w:val="24"/>
          <w:szCs w:val="24"/>
        </w:rPr>
        <w:t>u drejtohet gjykatave dhe kërkesa e saj është shqyrtuar nga të tria gjykatat, për pasojë asaj nuk i është mohuar e drejta për t</w:t>
      </w:r>
      <w:r w:rsidRPr="006B54C2">
        <w:rPr>
          <w:rFonts w:ascii="Garamond" w:eastAsiaTheme="minorHAnsi" w:hAnsi="Garamond"/>
          <w:sz w:val="24"/>
          <w:szCs w:val="24"/>
        </w:rPr>
        <w:t>’</w:t>
      </w:r>
      <w:r w:rsidRPr="006B54C2">
        <w:rPr>
          <w:rFonts w:ascii="Garamond" w:eastAsiaTheme="minorHAnsi" w:hAnsi="Garamond" w:cs="Calibri"/>
          <w:sz w:val="24"/>
          <w:szCs w:val="24"/>
        </w:rPr>
        <w:t>u gjykuar ose për t</w:t>
      </w:r>
      <w:r w:rsidRPr="006B54C2">
        <w:rPr>
          <w:rFonts w:ascii="Garamond" w:eastAsiaTheme="minorHAnsi" w:hAnsi="Garamond"/>
          <w:sz w:val="24"/>
          <w:szCs w:val="24"/>
        </w:rPr>
        <w:t>’</w:t>
      </w:r>
      <w:r w:rsidRPr="006B54C2">
        <w:rPr>
          <w:rFonts w:ascii="Garamond" w:eastAsiaTheme="minorHAnsi" w:hAnsi="Garamond" w:cs="Calibri"/>
          <w:sz w:val="24"/>
          <w:szCs w:val="24"/>
        </w:rPr>
        <w:t xml:space="preserve">iu drejtuar gjykatës. </w:t>
      </w:r>
    </w:p>
    <w:p w14:paraId="2175B7E2" w14:textId="77777777" w:rsidR="00D27390" w:rsidRPr="006B54C2" w:rsidRDefault="00D27390" w:rsidP="00D27390">
      <w:pPr>
        <w:tabs>
          <w:tab w:val="left" w:pos="1710"/>
        </w:tabs>
        <w:autoSpaceDE w:val="0"/>
        <w:autoSpaceDN w:val="0"/>
        <w:adjustRightInd w:val="0"/>
        <w:spacing w:after="0" w:line="240" w:lineRule="auto"/>
        <w:ind w:firstLine="284"/>
        <w:jc w:val="center"/>
        <w:rPr>
          <w:rFonts w:ascii="Garamond" w:eastAsiaTheme="minorHAnsi" w:hAnsi="Garamond"/>
          <w:b/>
          <w:bCs/>
          <w:sz w:val="24"/>
          <w:szCs w:val="24"/>
        </w:rPr>
      </w:pPr>
    </w:p>
    <w:p w14:paraId="4E52FBB5"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proofErr w:type="spellStart"/>
      <w:r w:rsidRPr="006B54C2">
        <w:rPr>
          <w:rFonts w:ascii="Garamond" w:eastAsiaTheme="minorHAnsi" w:hAnsi="Garamond"/>
          <w:b/>
          <w:bCs/>
          <w:sz w:val="24"/>
          <w:szCs w:val="24"/>
        </w:rPr>
        <w:t>III</w:t>
      </w:r>
      <w:proofErr w:type="spellEnd"/>
    </w:p>
    <w:p w14:paraId="608F2BBD"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b/>
          <w:bCs/>
          <w:sz w:val="24"/>
          <w:szCs w:val="24"/>
        </w:rPr>
      </w:pPr>
      <w:r w:rsidRPr="006B54C2">
        <w:rPr>
          <w:rFonts w:ascii="Garamond" w:eastAsiaTheme="minorHAnsi" w:hAnsi="Garamond"/>
          <w:b/>
          <w:bCs/>
          <w:sz w:val="24"/>
          <w:szCs w:val="24"/>
        </w:rPr>
        <w:t>Vlerësimi i Gjykatës Kushtetuese</w:t>
      </w:r>
    </w:p>
    <w:p w14:paraId="6F8DDB75" w14:textId="79C2ED57" w:rsidR="00D27390" w:rsidRPr="006B54C2" w:rsidRDefault="006C7BA4" w:rsidP="00D27390">
      <w:pPr>
        <w:tabs>
          <w:tab w:val="left" w:pos="1080"/>
        </w:tabs>
        <w:autoSpaceDE w:val="0"/>
        <w:autoSpaceDN w:val="0"/>
        <w:adjustRightInd w:val="0"/>
        <w:spacing w:after="0" w:line="240" w:lineRule="auto"/>
        <w:ind w:firstLine="284"/>
        <w:jc w:val="both"/>
        <w:rPr>
          <w:rFonts w:ascii="Garamond" w:eastAsiaTheme="minorHAnsi" w:hAnsi="Garamond"/>
          <w:i/>
          <w:iCs/>
          <w:sz w:val="24"/>
          <w:szCs w:val="24"/>
        </w:rPr>
      </w:pPr>
      <w:r w:rsidRPr="006B54C2">
        <w:rPr>
          <w:rFonts w:ascii="Garamond" w:eastAsiaTheme="minorHAnsi" w:hAnsi="Garamond"/>
          <w:i/>
          <w:iCs/>
          <w:sz w:val="24"/>
          <w:szCs w:val="24"/>
        </w:rPr>
        <w:t xml:space="preserve">A. </w:t>
      </w:r>
      <w:r w:rsidR="00D27390" w:rsidRPr="006B54C2">
        <w:rPr>
          <w:rFonts w:ascii="Garamond" w:eastAsiaTheme="minorHAnsi" w:hAnsi="Garamond"/>
          <w:i/>
          <w:iCs/>
          <w:sz w:val="24"/>
          <w:szCs w:val="24"/>
        </w:rPr>
        <w:t>Për legjitimimin e kërkueses</w:t>
      </w:r>
    </w:p>
    <w:p w14:paraId="302903A0" w14:textId="19A9021C"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13. Çështja e legjitimimit </w:t>
      </w:r>
      <w:r w:rsidRPr="00ED351D">
        <w:rPr>
          <w:rFonts w:ascii="Garamond" w:eastAsiaTheme="minorHAnsi" w:hAnsi="Garamond"/>
          <w:i/>
          <w:iCs/>
          <w:sz w:val="24"/>
          <w:szCs w:val="24"/>
        </w:rPr>
        <w:t>(</w:t>
      </w:r>
      <w:proofErr w:type="spellStart"/>
      <w:r w:rsidRPr="00ED351D">
        <w:rPr>
          <w:rFonts w:ascii="Garamond" w:eastAsiaTheme="minorHAnsi" w:hAnsi="Garamond"/>
          <w:i/>
          <w:iCs/>
          <w:sz w:val="24"/>
          <w:szCs w:val="24"/>
        </w:rPr>
        <w:t>locus</w:t>
      </w:r>
      <w:proofErr w:type="spellEnd"/>
      <w:r w:rsidRPr="00ED351D">
        <w:rPr>
          <w:rFonts w:ascii="Garamond" w:eastAsiaTheme="minorHAnsi" w:hAnsi="Garamond"/>
          <w:i/>
          <w:iCs/>
          <w:sz w:val="24"/>
          <w:szCs w:val="24"/>
        </w:rPr>
        <w:t xml:space="preserve"> </w:t>
      </w:r>
      <w:proofErr w:type="spellStart"/>
      <w:r w:rsidRPr="00ED351D">
        <w:rPr>
          <w:rFonts w:ascii="Garamond" w:eastAsiaTheme="minorHAnsi" w:hAnsi="Garamond"/>
          <w:i/>
          <w:iCs/>
          <w:sz w:val="24"/>
          <w:szCs w:val="24"/>
        </w:rPr>
        <w:t>standi</w:t>
      </w:r>
      <w:proofErr w:type="spellEnd"/>
      <w:r w:rsidRPr="00ED351D">
        <w:rPr>
          <w:rFonts w:ascii="Garamond" w:eastAsiaTheme="minorHAnsi" w:hAnsi="Garamond"/>
          <w:i/>
          <w:iCs/>
          <w:sz w:val="24"/>
          <w:szCs w:val="24"/>
        </w:rPr>
        <w:t xml:space="preserve">) </w:t>
      </w:r>
      <w:r w:rsidRPr="006B54C2">
        <w:rPr>
          <w:rFonts w:ascii="Garamond" w:eastAsiaTheme="minorHAnsi" w:hAnsi="Garamond"/>
          <w:sz w:val="24"/>
          <w:szCs w:val="24"/>
        </w:rPr>
        <w:t>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307CEF29" w14:textId="5C2018BA"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14.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Kriteret për </w:t>
      </w:r>
      <w:proofErr w:type="spellStart"/>
      <w:r w:rsidRPr="006B54C2">
        <w:rPr>
          <w:rFonts w:ascii="Garamond" w:eastAsiaTheme="minorHAnsi" w:hAnsi="Garamond"/>
          <w:sz w:val="24"/>
          <w:szCs w:val="24"/>
        </w:rPr>
        <w:t>pranueshmërinë</w:t>
      </w:r>
      <w:proofErr w:type="spellEnd"/>
      <w:r w:rsidRPr="006B54C2">
        <w:rPr>
          <w:rFonts w:ascii="Garamond" w:eastAsiaTheme="minorHAnsi" w:hAnsi="Garamond"/>
          <w:sz w:val="24"/>
          <w:szCs w:val="24"/>
        </w:rPr>
        <w:t xml:space="preserve"> e kërkesës janë të natyrës </w:t>
      </w:r>
      <w:proofErr w:type="spellStart"/>
      <w:r w:rsidRPr="006B54C2">
        <w:rPr>
          <w:rFonts w:ascii="Garamond" w:eastAsiaTheme="minorHAnsi" w:hAnsi="Garamond"/>
          <w:sz w:val="24"/>
          <w:szCs w:val="24"/>
        </w:rPr>
        <w:t>kumulative</w:t>
      </w:r>
      <w:proofErr w:type="spellEnd"/>
      <w:r w:rsidRPr="006B54C2">
        <w:rPr>
          <w:rFonts w:ascii="Garamond" w:eastAsiaTheme="minorHAnsi" w:hAnsi="Garamond"/>
          <w:sz w:val="24"/>
          <w:szCs w:val="24"/>
        </w:rPr>
        <w:t>, në kuptimin që ato duhet të plotësohen njëkohësisht.</w:t>
      </w:r>
    </w:p>
    <w:p w14:paraId="43EFD029" w14:textId="7766977F"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lastRenderedPageBreak/>
        <w:t xml:space="preserve">15. Në rastin në shqyrtim, Gjykata konstaton se kërkuesja ka kundërshtuar procesin gjyqësor të zhvilluar nga gjykatat e juridiksionit të zakonshëm për kërkesën e saj për shuarjen e masës së sigurimit personal “Arresti në shtëpi”. Ndërkohë, në momentin e paraqitjes së ankimit kushtetues (09.5.2023) dhe shqyrtimit të tij nga Gjykata (13.3.2024), masa e sigurimit personal ndaj kërkueses ishte shuar </w:t>
      </w:r>
      <w:r w:rsidRPr="006B54C2">
        <w:rPr>
          <w:rFonts w:ascii="Garamond" w:eastAsiaTheme="minorHAnsi" w:hAnsi="Garamond"/>
          <w:sz w:val="24"/>
          <w:szCs w:val="24"/>
          <w:highlight w:val="white"/>
        </w:rPr>
        <w:t>me vendimin e</w:t>
      </w:r>
      <w:r w:rsidRPr="006B54C2">
        <w:rPr>
          <w:rFonts w:ascii="Garamond" w:eastAsiaTheme="minorHAnsi" w:hAnsi="Garamond"/>
          <w:sz w:val="24"/>
          <w:szCs w:val="24"/>
        </w:rPr>
        <w:t xml:space="preserve"> dënimit të datës 15.12.2022 të </w:t>
      </w:r>
      <w:proofErr w:type="spellStart"/>
      <w:r w:rsidRPr="006B54C2">
        <w:rPr>
          <w:rFonts w:ascii="Garamond" w:eastAsiaTheme="minorHAnsi" w:hAnsi="Garamond"/>
          <w:sz w:val="24"/>
          <w:szCs w:val="24"/>
        </w:rPr>
        <w:t>GJKKO</w:t>
      </w:r>
      <w:proofErr w:type="spellEnd"/>
      <w:r w:rsidRPr="006B54C2">
        <w:rPr>
          <w:rFonts w:ascii="Garamond" w:eastAsiaTheme="minorHAnsi" w:hAnsi="Garamond"/>
          <w:sz w:val="24"/>
          <w:szCs w:val="24"/>
        </w:rPr>
        <w:t xml:space="preserve">-së së Shkallës së Parë, të lënë në fuqi nga </w:t>
      </w:r>
      <w:proofErr w:type="spellStart"/>
      <w:r w:rsidRPr="006B54C2">
        <w:rPr>
          <w:rFonts w:ascii="Garamond" w:eastAsiaTheme="minorHAnsi" w:hAnsi="Garamond"/>
          <w:sz w:val="24"/>
          <w:szCs w:val="24"/>
        </w:rPr>
        <w:t>GJKKO</w:t>
      </w:r>
      <w:proofErr w:type="spellEnd"/>
      <w:r w:rsidRPr="006B54C2">
        <w:rPr>
          <w:rFonts w:ascii="Garamond" w:eastAsiaTheme="minorHAnsi" w:hAnsi="Garamond"/>
          <w:sz w:val="24"/>
          <w:szCs w:val="24"/>
        </w:rPr>
        <w:t>-ja e Apelit me vendimin e</w:t>
      </w:r>
      <w:r w:rsidRPr="006B54C2">
        <w:rPr>
          <w:rFonts w:ascii="Garamond" w:eastAsiaTheme="minorHAnsi" w:hAnsi="Garamond"/>
          <w:sz w:val="24"/>
          <w:szCs w:val="24"/>
          <w:highlight w:val="white"/>
        </w:rPr>
        <w:t xml:space="preserve"> datës 12.12.2023.</w:t>
      </w:r>
    </w:p>
    <w:p w14:paraId="62118DAF" w14:textId="54A64510"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16. Gjykata thekson se në kuptim të neneve 131, pika 1, shkronja “f” dhe 134, pikat 1, shkronja “i” dhe 2, të Kushtetutës, në rastin e ankimeve kushtetuese individuale kërkuesi duhet të provojë legjitimitetin e tij si në aspektin procedural, ashtu edhe në atë substancial. Kjo do të thotë se individi mund të bëjë kërkesë në Gjykatë vetëm për çështje që lidhen me interesat e tij, si dhe të provojë se në çfarë mënyre ai është cenuar në të drejtat e tij kushtetuese, pra se është viktimë e një shkeljeje dhe pasojat nga akti i kundërshtuar janë të drejtpërdrejta dhe reale për të.</w:t>
      </w:r>
      <w:r w:rsidR="0077042B" w:rsidRPr="006B54C2">
        <w:rPr>
          <w:rFonts w:ascii="Garamond" w:eastAsiaTheme="minorHAnsi" w:hAnsi="Garamond"/>
          <w:sz w:val="24"/>
          <w:szCs w:val="24"/>
        </w:rPr>
        <w:t xml:space="preserve"> </w:t>
      </w:r>
    </w:p>
    <w:p w14:paraId="567555C7" w14:textId="5C75D80B"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17. Në kontekst të rrethanave të rastit në shqyrtim, Gjykata sjell në vëmendje qëndrimin e Gjykatës Evropiane për të Drejtat e Njeriut (</w:t>
      </w:r>
      <w:proofErr w:type="spellStart"/>
      <w:r w:rsidRPr="006B54C2">
        <w:rPr>
          <w:rFonts w:ascii="Garamond" w:eastAsiaTheme="minorHAnsi" w:hAnsi="Garamond"/>
          <w:i/>
          <w:iCs/>
          <w:sz w:val="24"/>
          <w:szCs w:val="24"/>
        </w:rPr>
        <w:t>GJEDNJ</w:t>
      </w:r>
      <w:proofErr w:type="spellEnd"/>
      <w:r w:rsidRPr="006B54C2">
        <w:rPr>
          <w:rFonts w:ascii="Garamond" w:eastAsiaTheme="minorHAnsi" w:hAnsi="Garamond"/>
          <w:sz w:val="24"/>
          <w:szCs w:val="24"/>
        </w:rPr>
        <w:t xml:space="preserve">) në çështjen </w:t>
      </w:r>
      <w:proofErr w:type="spellStart"/>
      <w:r w:rsidRPr="006B54C2">
        <w:rPr>
          <w:rFonts w:ascii="Garamond" w:eastAsiaTheme="minorHAnsi" w:hAnsi="Garamond"/>
          <w:sz w:val="24"/>
          <w:szCs w:val="24"/>
        </w:rPr>
        <w:t>Hysa</w:t>
      </w:r>
      <w:proofErr w:type="spellEnd"/>
      <w:r w:rsidRPr="006B54C2">
        <w:rPr>
          <w:rFonts w:ascii="Garamond" w:eastAsiaTheme="minorHAnsi" w:hAnsi="Garamond"/>
          <w:sz w:val="24"/>
          <w:szCs w:val="24"/>
        </w:rPr>
        <w:t xml:space="preserve"> kundër Shqipërisë, datë 21.2.2023, sipas së cilës</w:t>
      </w:r>
      <w:r w:rsidRPr="006B54C2">
        <w:rPr>
          <w:rFonts w:ascii="Garamond" w:eastAsiaTheme="minorHAnsi" w:hAnsi="Garamond"/>
          <w:i/>
          <w:iCs/>
          <w:sz w:val="24"/>
          <w:szCs w:val="24"/>
        </w:rPr>
        <w:t xml:space="preserve"> “ndonëse në datën kur Gjykata Kushtetuese mori vendimin e saj, kërkuesja kishte vuajtur tashmë kufizimin e lirisë së saj, ajo mund të përfitonte në mënyrë legjitime nga një shqyrtim kushtetues post facto dhe se një shqyrtim i plotë nga Gjykata Kushtetuese mund të kishte çuar në konstatimin se kërkuesja ishte mbajtur në burgim në shkelje të së drejtës së saj për liri.” (shih </w:t>
      </w:r>
      <w:proofErr w:type="spellStart"/>
      <w:r w:rsidRPr="006B54C2">
        <w:rPr>
          <w:rFonts w:ascii="Garamond" w:eastAsiaTheme="minorHAnsi" w:hAnsi="Garamond"/>
          <w:i/>
          <w:iCs/>
          <w:sz w:val="24"/>
          <w:szCs w:val="24"/>
        </w:rPr>
        <w:t>Hysa</w:t>
      </w:r>
      <w:proofErr w:type="spellEnd"/>
      <w:r w:rsidRPr="006B54C2">
        <w:rPr>
          <w:rFonts w:ascii="Garamond" w:eastAsiaTheme="minorHAnsi" w:hAnsi="Garamond"/>
          <w:i/>
          <w:iCs/>
          <w:sz w:val="24"/>
          <w:szCs w:val="24"/>
        </w:rPr>
        <w:t xml:space="preserve"> kundër Shqipërisë, datë 21.2.2023, § 83). </w:t>
      </w:r>
    </w:p>
    <w:p w14:paraId="6E68A003" w14:textId="1EF13DA1"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18. Në këndvështrim të sa më sipër, Gjykata vlerëson se ka detyrimin të shqyrtojë rastin e kufizimit të lirisë personale, pavarësisht faktit nëse kërkuesja në kohën e shqyrtimit të çështjes ndodhej në kushtet e kufizimit të kësaj lirie ose jo. Për rrjedhojë, kërkuesja legjitimohet </w:t>
      </w:r>
      <w:proofErr w:type="spellStart"/>
      <w:r w:rsidRPr="006B54C2">
        <w:rPr>
          <w:rFonts w:ascii="Garamond" w:eastAsiaTheme="minorHAnsi" w:hAnsi="Garamond"/>
          <w:i/>
          <w:iCs/>
          <w:sz w:val="24"/>
          <w:szCs w:val="24"/>
        </w:rPr>
        <w:t>ratione</w:t>
      </w:r>
      <w:proofErr w:type="spellEnd"/>
      <w:r w:rsidRPr="006B54C2">
        <w:rPr>
          <w:rFonts w:ascii="Garamond" w:eastAsiaTheme="minorHAnsi" w:hAnsi="Garamond"/>
          <w:i/>
          <w:iCs/>
          <w:sz w:val="24"/>
          <w:szCs w:val="24"/>
        </w:rPr>
        <w:t xml:space="preserve"> </w:t>
      </w:r>
      <w:proofErr w:type="spellStart"/>
      <w:r w:rsidRPr="006B54C2">
        <w:rPr>
          <w:rFonts w:ascii="Garamond" w:eastAsiaTheme="minorHAnsi" w:hAnsi="Garamond"/>
          <w:i/>
          <w:iCs/>
          <w:sz w:val="24"/>
          <w:szCs w:val="24"/>
        </w:rPr>
        <w:t>personae</w:t>
      </w:r>
      <w:proofErr w:type="spellEnd"/>
      <w:r w:rsidRPr="006B54C2">
        <w:rPr>
          <w:rFonts w:ascii="Garamond" w:eastAsiaTheme="minorHAnsi" w:hAnsi="Garamond"/>
          <w:sz w:val="24"/>
          <w:szCs w:val="24"/>
        </w:rPr>
        <w:t>, pasi ka interes të drejtpërdrejtë për çështjen e parashtruar, në zbatim të neneve 131, pika 1, shkronja “f” dhe 134, pikat 1, shkronja “i” dhe 2, të Kushtetutës.</w:t>
      </w:r>
    </w:p>
    <w:p w14:paraId="3ECF826F" w14:textId="79C8F8E6"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19. Për sa i takon kriterit për </w:t>
      </w:r>
      <w:r w:rsidRPr="006B54C2">
        <w:rPr>
          <w:rFonts w:ascii="Garamond" w:eastAsiaTheme="minorHAnsi" w:hAnsi="Garamond"/>
          <w:i/>
          <w:iCs/>
          <w:sz w:val="24"/>
          <w:szCs w:val="24"/>
        </w:rPr>
        <w:t>shterimin e mjeteve juridike efektive</w:t>
      </w:r>
      <w:r w:rsidRPr="006B54C2">
        <w:rPr>
          <w:rFonts w:ascii="Garamond" w:eastAsiaTheme="minorHAnsi" w:hAnsi="Garamond"/>
          <w:sz w:val="24"/>
          <w:szCs w:val="24"/>
        </w:rPr>
        <w:t>, individi mund t’i drejtohet Gjykatës me ankim individual kushtetues, vetëm pasi të ketë shteruar të gjitha mjetet juridike për mbrojtjen e të drejtave kushtetuese që ai pretendon se i janë cenuar. Detyrimin për përmbushjen e këtij kriteri Gjykata e ka vlerësuar si në rastet e vendimeve përfundimtare, që kanë përmbyllur në themel procesin gjyqësor, ashtu edhe në rastin e vendimeve të ndërmjetme, karakteri i të cilave është konsideruar përfundimtar për qëllimet e nenit 131, pika 1, shkronja “f”, të Kushtetutës. Për sa u takon këtyre të fundit, Gjykata ka pranuar se vendimet gjyqësore për caktimin e masës të sigurimit personal me karakter shtrëngues që lidhet me heqjen e lirisë së individit, si përjashtim, e bëjnë atë një vendim përfundimtar në kuptim të nenit 131, pika 1, shkronja “f”, të Kushtetutës (</w:t>
      </w:r>
      <w:r w:rsidRPr="006B54C2">
        <w:rPr>
          <w:rFonts w:ascii="Garamond" w:eastAsiaTheme="minorHAnsi" w:hAnsi="Garamond"/>
          <w:i/>
          <w:iCs/>
          <w:sz w:val="24"/>
          <w:szCs w:val="24"/>
        </w:rPr>
        <w:t>shih vendimet nr. 19, datë 4.4.2023; nr. 14, datë 11.3.2021; nr. 28, datë 23.6.2011</w:t>
      </w:r>
      <w:r w:rsidR="00984AF4" w:rsidRPr="006B54C2">
        <w:rPr>
          <w:rFonts w:ascii="Garamond" w:eastAsiaTheme="minorHAnsi" w:hAnsi="Garamond"/>
          <w:i/>
          <w:iCs/>
          <w:sz w:val="24"/>
          <w:szCs w:val="24"/>
        </w:rPr>
        <w:t>,</w:t>
      </w:r>
      <w:r w:rsidR="0077042B" w:rsidRPr="006B54C2">
        <w:rPr>
          <w:rFonts w:ascii="Garamond" w:eastAsiaTheme="minorHAnsi" w:hAnsi="Garamond"/>
          <w:i/>
          <w:iCs/>
          <w:sz w:val="24"/>
          <w:szCs w:val="24"/>
        </w:rPr>
        <w:t xml:space="preserve"> </w:t>
      </w:r>
      <w:r w:rsidRPr="006B54C2">
        <w:rPr>
          <w:rFonts w:ascii="Garamond" w:eastAsiaTheme="minorHAnsi" w:hAnsi="Garamond"/>
          <w:i/>
          <w:iCs/>
          <w:sz w:val="24"/>
          <w:szCs w:val="24"/>
        </w:rPr>
        <w:t>të Gjykatës Kushtetuese</w:t>
      </w:r>
      <w:r w:rsidRPr="006B54C2">
        <w:rPr>
          <w:rFonts w:ascii="Garamond" w:eastAsiaTheme="minorHAnsi" w:hAnsi="Garamond"/>
          <w:sz w:val="24"/>
          <w:szCs w:val="24"/>
        </w:rPr>
        <w:t>).</w:t>
      </w:r>
    </w:p>
    <w:p w14:paraId="39CBB32B" w14:textId="0A866E37"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20. Gjykata çmon se kërkuesja ka paraqitur ankim kushtetues individual pas përfundimit të procesit gjyqësor dhe pasi ka shteruar në formë e substancë mjetet e zakonshme të ankimit ndaj vendimeve të gjykatave më të ulëta për kërkesën e saj për shuarjen e masës së sigurimit personal me karakter shtrëngues “Arresti në shtëpi”. Për rrjedhojë ajo i ka shteruar mjetet juridike efektive në dispozicion para se t’i drejtohet Gjykatës, pasi nuk ka më mjete të tjera ankimi ndaj vendimit të Gjykatës së Lartë.</w:t>
      </w:r>
    </w:p>
    <w:p w14:paraId="56A5401A" w14:textId="69BB35B1"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21. Gjithashtu, kërkuesja legjitimohet edhe </w:t>
      </w:r>
      <w:proofErr w:type="spellStart"/>
      <w:r w:rsidRPr="006B54C2">
        <w:rPr>
          <w:rFonts w:ascii="Garamond" w:eastAsiaTheme="minorHAnsi" w:hAnsi="Garamond"/>
          <w:i/>
          <w:iCs/>
          <w:sz w:val="24"/>
          <w:szCs w:val="24"/>
        </w:rPr>
        <w:t>ratione</w:t>
      </w:r>
      <w:proofErr w:type="spellEnd"/>
      <w:r w:rsidRPr="006B54C2">
        <w:rPr>
          <w:rFonts w:ascii="Garamond" w:eastAsiaTheme="minorHAnsi" w:hAnsi="Garamond"/>
          <w:i/>
          <w:iCs/>
          <w:sz w:val="24"/>
          <w:szCs w:val="24"/>
        </w:rPr>
        <w:t xml:space="preserve"> </w:t>
      </w:r>
      <w:proofErr w:type="spellStart"/>
      <w:r w:rsidRPr="006B54C2">
        <w:rPr>
          <w:rFonts w:ascii="Garamond" w:eastAsiaTheme="minorHAnsi" w:hAnsi="Garamond"/>
          <w:i/>
          <w:iCs/>
          <w:sz w:val="24"/>
          <w:szCs w:val="24"/>
        </w:rPr>
        <w:t>temporis</w:t>
      </w:r>
      <w:proofErr w:type="spellEnd"/>
      <w:r w:rsidRPr="006B54C2">
        <w:rPr>
          <w:rFonts w:ascii="Garamond" w:eastAsiaTheme="minorHAnsi" w:hAnsi="Garamond"/>
          <w:i/>
          <w:iCs/>
          <w:sz w:val="24"/>
          <w:szCs w:val="24"/>
        </w:rPr>
        <w:t>,</w:t>
      </w:r>
      <w:r w:rsidRPr="006B54C2">
        <w:rPr>
          <w:rFonts w:ascii="Garamond" w:eastAsiaTheme="minorHAnsi" w:hAnsi="Garamond"/>
          <w:sz w:val="24"/>
          <w:szCs w:val="24"/>
        </w:rPr>
        <w:t xml:space="preserve"> pasi vendimi më i fundit gjyqësor i kundërshtuar prej saj është dhënë në datën 12.1.2023, ndërsa ankimi kushtetues është paraqitur në datën 9.5.2023, pra brenda afatit 4 - mujor të parashikuar nga neni 71/a, pika 1, shkronja “b”, i ligjit nr. 8577/2000.</w:t>
      </w:r>
    </w:p>
    <w:p w14:paraId="1C990A3A" w14:textId="45CDF9F4"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22. Lidhur me legjitimimin </w:t>
      </w:r>
      <w:proofErr w:type="spellStart"/>
      <w:r w:rsidRPr="006B54C2">
        <w:rPr>
          <w:rFonts w:ascii="Garamond" w:eastAsiaTheme="minorHAnsi" w:hAnsi="Garamond"/>
          <w:i/>
          <w:iCs/>
          <w:sz w:val="24"/>
          <w:szCs w:val="24"/>
        </w:rPr>
        <w:t>ratione</w:t>
      </w:r>
      <w:proofErr w:type="spellEnd"/>
      <w:r w:rsidRPr="006B54C2">
        <w:rPr>
          <w:rFonts w:ascii="Garamond" w:eastAsiaTheme="minorHAnsi" w:hAnsi="Garamond"/>
          <w:i/>
          <w:iCs/>
          <w:sz w:val="24"/>
          <w:szCs w:val="24"/>
        </w:rPr>
        <w:t xml:space="preserve"> </w:t>
      </w:r>
      <w:proofErr w:type="spellStart"/>
      <w:r w:rsidRPr="006B54C2">
        <w:rPr>
          <w:rFonts w:ascii="Garamond" w:eastAsiaTheme="minorHAnsi" w:hAnsi="Garamond"/>
          <w:i/>
          <w:iCs/>
          <w:sz w:val="24"/>
          <w:szCs w:val="24"/>
        </w:rPr>
        <w:t>materiae</w:t>
      </w:r>
      <w:proofErr w:type="spellEnd"/>
      <w:r w:rsidRPr="006B54C2">
        <w:rPr>
          <w:rFonts w:ascii="Garamond" w:eastAsiaTheme="minorHAnsi" w:hAnsi="Garamond"/>
          <w:sz w:val="24"/>
          <w:szCs w:val="24"/>
        </w:rPr>
        <w:t xml:space="preserve">, kërkuesja ka kundërshtuar vendimet e gjykatave të zakonshme që kanë shqyrtuar kërkesën e saj për shuarjen e masës së sigurimit personal “Arresti në shtëpi”, me pretendimin se ato i kanë cenuar lirinë personale dhe të drejtën për proces të rregullt ligjor në drejtim të së drejtës së </w:t>
      </w:r>
      <w:proofErr w:type="spellStart"/>
      <w:r w:rsidRPr="006B54C2">
        <w:rPr>
          <w:rFonts w:ascii="Garamond" w:eastAsiaTheme="minorHAnsi" w:hAnsi="Garamond"/>
          <w:sz w:val="24"/>
          <w:szCs w:val="24"/>
        </w:rPr>
        <w:t>aksesit</w:t>
      </w:r>
      <w:proofErr w:type="spellEnd"/>
      <w:r w:rsidRPr="006B54C2">
        <w:rPr>
          <w:rFonts w:ascii="Garamond" w:eastAsiaTheme="minorHAnsi" w:hAnsi="Garamond"/>
          <w:sz w:val="24"/>
          <w:szCs w:val="24"/>
        </w:rPr>
        <w:t xml:space="preserve">, të garantuara nga nenet 27 dhe 42 të Kushtetutës. Sipas kërkueses, Gjykata e Lartë, me arsyetimin se çështja ka mbetur pa objekt, pasi masa e sigurimit është shuar me vendimin e themelit për dënimin e saj, nuk e ka pranuar rekursin. Përkundër këtij pretendimi, subjekti i interesuar, Prokuroria e Posaçme, ka prapësuar se Gjykata e Lartë ka vepruar drejt me mospranimin e rekursit, pasi masa e sigurimit personal ishte shuar. </w:t>
      </w:r>
    </w:p>
    <w:p w14:paraId="362A1250" w14:textId="7AC367AD"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lastRenderedPageBreak/>
        <w:t xml:space="preserve">23. Gjykata vë në dukje se sipas nenit 131, pika 1, shkronja “f”, të Kushtetutës dhe nenit 71/a, pika 1, shkronja “ç”, të ligjit nr. 8577/2000, kontrolli kushtetues ndaj vendimeve gjyqësore është i kufizuar vetëm në funksion të mbrojtjes së të drejtave dhe lirive themelore të garantuara në Kushtetutë dhe kur shqyrtimi i çështjes mund të rivendosë të drejtën kushtetuese të shkelur. </w:t>
      </w:r>
    </w:p>
    <w:p w14:paraId="070D463B" w14:textId="2E018E56"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24. Në këtë drejtim, Gjykata thekson rëndësinë e veçantë që merr liria personale si një e drejtë themelore kushtetuese dhe substanciale, e cila nuk mund të cenohet pa një proces të rregullt ligjor (</w:t>
      </w:r>
      <w:r w:rsidRPr="006B54C2">
        <w:rPr>
          <w:rFonts w:ascii="Garamond" w:eastAsiaTheme="minorHAnsi" w:hAnsi="Garamond"/>
          <w:i/>
          <w:iCs/>
          <w:sz w:val="24"/>
          <w:szCs w:val="24"/>
        </w:rPr>
        <w:t>shih vendimet nr. 12, datë 24.5.2022; nr. 40, datë 18.7.2012</w:t>
      </w:r>
      <w:r w:rsidR="00984AF4" w:rsidRPr="006B54C2">
        <w:rPr>
          <w:rFonts w:ascii="Garamond" w:eastAsiaTheme="minorHAnsi" w:hAnsi="Garamond"/>
          <w:i/>
          <w:iCs/>
          <w:sz w:val="24"/>
          <w:szCs w:val="24"/>
        </w:rPr>
        <w:t>,</w:t>
      </w:r>
      <w:r w:rsidRPr="006B54C2">
        <w:rPr>
          <w:rFonts w:ascii="Garamond" w:eastAsiaTheme="minorHAnsi" w:hAnsi="Garamond"/>
          <w:i/>
          <w:iCs/>
          <w:sz w:val="24"/>
          <w:szCs w:val="24"/>
        </w:rPr>
        <w:t xml:space="preserve"> të Gjykatës Kushtetuese</w:t>
      </w:r>
      <w:r w:rsidRPr="006B54C2">
        <w:rPr>
          <w:rFonts w:ascii="Garamond" w:eastAsiaTheme="minorHAnsi" w:hAnsi="Garamond"/>
          <w:sz w:val="24"/>
          <w:szCs w:val="24"/>
        </w:rPr>
        <w:t xml:space="preserve">), si dhe mundësinë që ka kushdo për të gëzuar të drejtën për kompensim për burgim të padrejtë edhe në rastin e vuajtjes së arrestit në shtëpi tej afateve të përcaktuara nga ligji. Lidhur me këtë </w:t>
      </w:r>
      <w:proofErr w:type="spellStart"/>
      <w:r w:rsidRPr="006B54C2">
        <w:rPr>
          <w:rFonts w:ascii="Garamond" w:eastAsiaTheme="minorHAnsi" w:hAnsi="Garamond"/>
          <w:sz w:val="24"/>
          <w:szCs w:val="24"/>
        </w:rPr>
        <w:t>GJEDNJ</w:t>
      </w:r>
      <w:proofErr w:type="spellEnd"/>
      <w:r w:rsidRPr="006B54C2">
        <w:rPr>
          <w:rFonts w:ascii="Garamond" w:eastAsiaTheme="minorHAnsi" w:hAnsi="Garamond"/>
          <w:sz w:val="24"/>
          <w:szCs w:val="24"/>
        </w:rPr>
        <w:t>-ja, në rastin e shqyrtimit të pretendimeve për parregullsi të procesit gjyqësor që ka sjellë kufizim të padrejtë të lirisë, është shprehur se</w:t>
      </w:r>
      <w:r w:rsidRPr="006B54C2">
        <w:rPr>
          <w:rFonts w:ascii="Garamond" w:eastAsiaTheme="minorHAnsi" w:hAnsi="Garamond"/>
          <w:i/>
          <w:iCs/>
          <w:sz w:val="24"/>
          <w:szCs w:val="24"/>
        </w:rPr>
        <w:t xml:space="preserve"> “përveç interesit moral në marrjen e rezultatit, një ndihmë e tillë deklarative mund të hapte rrugën edhe për një kërkesë për kompensim mbi arsyet për burgim të paligjshëm sipas nenit 5 § 5 të Konventës (shih </w:t>
      </w:r>
      <w:proofErr w:type="spellStart"/>
      <w:r w:rsidRPr="006B54C2">
        <w:rPr>
          <w:rFonts w:ascii="Garamond" w:eastAsiaTheme="minorHAnsi" w:hAnsi="Garamond"/>
          <w:i/>
          <w:iCs/>
          <w:sz w:val="24"/>
          <w:szCs w:val="24"/>
        </w:rPr>
        <w:t>Hysa</w:t>
      </w:r>
      <w:proofErr w:type="spellEnd"/>
      <w:r w:rsidRPr="006B54C2">
        <w:rPr>
          <w:rFonts w:ascii="Garamond" w:eastAsiaTheme="minorHAnsi" w:hAnsi="Garamond"/>
          <w:i/>
          <w:iCs/>
          <w:sz w:val="24"/>
          <w:szCs w:val="24"/>
        </w:rPr>
        <w:t xml:space="preserve"> kundër Shqipërisë, datë 21.2.2023, § 83). </w:t>
      </w:r>
    </w:p>
    <w:p w14:paraId="234BFDA2" w14:textId="6B1785BE"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25. Për sa më lart, </w:t>
      </w:r>
      <w:r w:rsidRPr="006B54C2">
        <w:rPr>
          <w:rFonts w:ascii="Garamond" w:eastAsiaTheme="minorHAnsi" w:hAnsi="Garamond"/>
          <w:spacing w:val="2"/>
          <w:sz w:val="24"/>
          <w:szCs w:val="24"/>
        </w:rPr>
        <w:t xml:space="preserve">Gjykata, duke mbajtur në konsideratë thelbin e argumenteve të kërkueses, </w:t>
      </w:r>
      <w:r w:rsidRPr="006B54C2">
        <w:rPr>
          <w:rFonts w:ascii="Garamond" w:eastAsiaTheme="minorHAnsi" w:hAnsi="Garamond"/>
          <w:sz w:val="24"/>
          <w:szCs w:val="24"/>
        </w:rPr>
        <w:t xml:space="preserve">vlerëson t’i analizojë pretendimet e saj në këndvështrim të së drejtës së </w:t>
      </w:r>
      <w:proofErr w:type="spellStart"/>
      <w:r w:rsidRPr="006B54C2">
        <w:rPr>
          <w:rFonts w:ascii="Garamond" w:eastAsiaTheme="minorHAnsi" w:hAnsi="Garamond"/>
          <w:sz w:val="24"/>
          <w:szCs w:val="24"/>
        </w:rPr>
        <w:t>aksesit</w:t>
      </w:r>
      <w:proofErr w:type="spellEnd"/>
      <w:r w:rsidRPr="006B54C2">
        <w:rPr>
          <w:rFonts w:ascii="Garamond" w:eastAsiaTheme="minorHAnsi" w:hAnsi="Garamond"/>
          <w:sz w:val="24"/>
          <w:szCs w:val="24"/>
        </w:rPr>
        <w:t xml:space="preserve"> të lidhur me kufizimin e lirisë personale, të cilat hyjnë në juridiksionin kushtetues të saj. </w:t>
      </w:r>
    </w:p>
    <w:p w14:paraId="096A0FEE" w14:textId="4CB9BC5B"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i/>
          <w:iCs/>
          <w:sz w:val="24"/>
          <w:szCs w:val="24"/>
        </w:rPr>
        <w:t>B. Për themelin e pretendimeve</w:t>
      </w:r>
    </w:p>
    <w:p w14:paraId="44F1DCED" w14:textId="77777777" w:rsidR="00D27390" w:rsidRPr="006B54C2" w:rsidRDefault="00D27390" w:rsidP="00D27390">
      <w:pPr>
        <w:tabs>
          <w:tab w:val="left" w:pos="1080"/>
        </w:tabs>
        <w:autoSpaceDE w:val="0"/>
        <w:autoSpaceDN w:val="0"/>
        <w:adjustRightInd w:val="0"/>
        <w:spacing w:after="0" w:line="240" w:lineRule="auto"/>
        <w:ind w:firstLine="284"/>
        <w:jc w:val="both"/>
        <w:rPr>
          <w:rFonts w:ascii="Garamond" w:eastAsiaTheme="minorHAnsi" w:hAnsi="Garamond"/>
          <w:i/>
          <w:iCs/>
          <w:sz w:val="24"/>
          <w:szCs w:val="24"/>
        </w:rPr>
      </w:pPr>
      <w:proofErr w:type="spellStart"/>
      <w:r w:rsidRPr="006B54C2">
        <w:rPr>
          <w:rFonts w:ascii="Garamond" w:eastAsiaTheme="minorHAnsi" w:hAnsi="Garamond"/>
          <w:i/>
          <w:iCs/>
          <w:sz w:val="24"/>
          <w:szCs w:val="24"/>
        </w:rPr>
        <w:t>B.1</w:t>
      </w:r>
      <w:proofErr w:type="spellEnd"/>
      <w:r w:rsidRPr="006B54C2">
        <w:rPr>
          <w:rFonts w:ascii="Garamond" w:eastAsiaTheme="minorHAnsi" w:hAnsi="Garamond"/>
          <w:i/>
          <w:iCs/>
          <w:sz w:val="24"/>
          <w:szCs w:val="24"/>
        </w:rPr>
        <w:t xml:space="preserve">. Për cenimin e së drejtës së </w:t>
      </w:r>
      <w:proofErr w:type="spellStart"/>
      <w:r w:rsidRPr="006B54C2">
        <w:rPr>
          <w:rFonts w:ascii="Garamond" w:eastAsiaTheme="minorHAnsi" w:hAnsi="Garamond"/>
          <w:i/>
          <w:iCs/>
          <w:sz w:val="24"/>
          <w:szCs w:val="24"/>
        </w:rPr>
        <w:t>aksesit</w:t>
      </w:r>
      <w:proofErr w:type="spellEnd"/>
      <w:r w:rsidRPr="006B54C2">
        <w:rPr>
          <w:rFonts w:ascii="Garamond" w:eastAsiaTheme="minorHAnsi" w:hAnsi="Garamond"/>
          <w:i/>
          <w:iCs/>
          <w:sz w:val="24"/>
          <w:szCs w:val="24"/>
        </w:rPr>
        <w:t xml:space="preserve"> të lidhur me kufizimin e lirisë personale</w:t>
      </w:r>
    </w:p>
    <w:p w14:paraId="0DB5442C" w14:textId="025053F6" w:rsidR="00D27390" w:rsidRPr="006B54C2" w:rsidRDefault="00D27390" w:rsidP="00D27390">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pacing w:val="2"/>
          <w:sz w:val="24"/>
          <w:szCs w:val="24"/>
        </w:rPr>
        <w:t xml:space="preserve">26. Kërkuesja ka pretenduar se </w:t>
      </w:r>
      <w:r w:rsidRPr="006B54C2">
        <w:rPr>
          <w:rFonts w:ascii="Garamond" w:eastAsiaTheme="minorHAnsi" w:hAnsi="Garamond"/>
          <w:sz w:val="24"/>
          <w:szCs w:val="24"/>
        </w:rPr>
        <w:t xml:space="preserve">në zbatim të gabuar të ligjit procedural penal asaj i është kufizuar liria tej afateve ligjore, pasojat e të cilit janë shtrirë edhe te familjarët e saj, në kushtet kur edhe bashkëshorti është proceduar me të njëjtën masë për efekt të </w:t>
      </w:r>
      <w:proofErr w:type="spellStart"/>
      <w:r w:rsidRPr="006B54C2">
        <w:rPr>
          <w:rFonts w:ascii="Garamond" w:eastAsiaTheme="minorHAnsi" w:hAnsi="Garamond"/>
          <w:sz w:val="24"/>
          <w:szCs w:val="24"/>
        </w:rPr>
        <w:t>të</w:t>
      </w:r>
      <w:proofErr w:type="spellEnd"/>
      <w:r w:rsidRPr="006B54C2">
        <w:rPr>
          <w:rFonts w:ascii="Garamond" w:eastAsiaTheme="minorHAnsi" w:hAnsi="Garamond"/>
          <w:sz w:val="24"/>
          <w:szCs w:val="24"/>
        </w:rPr>
        <w:t xml:space="preserve"> njëjtit procedim, situatë kjo që ka ndikuar te vajza e saj e mitur. Sipas saj, afati i masës së sigurimit personal ka qenë 9 muaj, pasi vepra penale për të cilën ajo është akuzuar parashikon dënimin me burgim deri në 10 vjet. Ndërkohë që afati i llogaritur prej saj nga data 26.2.2021 deri në datën 19.10.2022, ditën e paraqitjes së kërkesës, është 386 ditë, duke mos llogaritur afatet e pezulluara të paraburgimit.</w:t>
      </w:r>
      <w:r w:rsidR="0077042B" w:rsidRPr="006B54C2">
        <w:rPr>
          <w:rFonts w:ascii="Garamond" w:eastAsiaTheme="minorHAnsi" w:hAnsi="Garamond"/>
          <w:sz w:val="24"/>
          <w:szCs w:val="24"/>
        </w:rPr>
        <w:t xml:space="preserve"> </w:t>
      </w:r>
      <w:r w:rsidRPr="006B54C2">
        <w:rPr>
          <w:rFonts w:ascii="Garamond" w:eastAsiaTheme="minorHAnsi" w:hAnsi="Garamond"/>
          <w:sz w:val="24"/>
          <w:szCs w:val="24"/>
        </w:rPr>
        <w:t xml:space="preserve">Sipas saj, Gjykata e Lartë ka vendosur mospranimin e rekursit për shkak se çështja ka mbetur pa objekt, ndërkohë ai ka pasur objekt dhe lidhej me paligjshmërinë e vendimeve të dy gjykatave më të ulëta për rrëzimin e kërkesën e saj për shuarjen e masës së sigurimit personal si rezultat i përfundimit të afatit 9-mujor, në zbatim të nenit 263, paragrafi i dytë, shkronja “b”, të </w:t>
      </w:r>
      <w:proofErr w:type="spellStart"/>
      <w:r w:rsidRPr="006B54C2">
        <w:rPr>
          <w:rFonts w:ascii="Garamond" w:eastAsiaTheme="minorHAnsi" w:hAnsi="Garamond"/>
          <w:sz w:val="24"/>
          <w:szCs w:val="24"/>
        </w:rPr>
        <w:t>KPP</w:t>
      </w:r>
      <w:proofErr w:type="spellEnd"/>
      <w:r w:rsidRPr="006B54C2">
        <w:rPr>
          <w:rFonts w:ascii="Garamond" w:eastAsiaTheme="minorHAnsi" w:hAnsi="Garamond"/>
          <w:sz w:val="24"/>
          <w:szCs w:val="24"/>
        </w:rPr>
        <w:t xml:space="preserve">-së. Në këtë mënyrë, Gjykata e Lartë i ka mohuar asaj të drejtën për t’u gjykuar. Për më tepër që kjo çështje ka rëndësi për njësimin e praktikës gjyqësore, pasi në vendime të ndryshme të kolegjeve penale të Gjykatës së Lartë janë mbajtur qëndrime të ndryshme në lidhje me llogaritjen e afateve të masës së sigurimit “Arresti në shtëpi”. </w:t>
      </w:r>
    </w:p>
    <w:p w14:paraId="7E04F7D0" w14:textId="445C9F6D" w:rsidR="00D27390" w:rsidRPr="006B54C2" w:rsidRDefault="00D27390" w:rsidP="00D27390">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27. Subjekti i interesuar, Prokuroria e Posaçme, ka prapësuar se pretendimi i kërkueses nuk qëndron, pasi tashmë ekziston një praktikë e konsoliduar, që ndonëse këto masa shtrënguese kufizojnë në mënyrë të ngushtë lirinë e personit, ato ndryshojnë nga njëra</w:t>
      </w:r>
      <w:r w:rsidR="003A59A3" w:rsidRPr="006B54C2">
        <w:rPr>
          <w:rFonts w:ascii="Garamond" w:eastAsiaTheme="minorHAnsi" w:hAnsi="Garamond"/>
          <w:sz w:val="24"/>
          <w:szCs w:val="24"/>
        </w:rPr>
        <w:t>-</w:t>
      </w:r>
      <w:r w:rsidRPr="006B54C2">
        <w:rPr>
          <w:rFonts w:ascii="Garamond" w:eastAsiaTheme="minorHAnsi" w:hAnsi="Garamond"/>
          <w:sz w:val="24"/>
          <w:szCs w:val="24"/>
        </w:rPr>
        <w:t xml:space="preserve">tjetra si për sa u përket kritereve për t’u caktuar, ashtu dhe vendit e kushteve në të cilat ekzekutohen. Nga ana tjetër, vetë legjislatori është kujdesur të shprehë qartësisht se kur për këto dy masa mund të zbatohen procedura ose afate të njëjta, sikurse në rastin e neneve 236 dhe 248 të </w:t>
      </w:r>
      <w:proofErr w:type="spellStart"/>
      <w:r w:rsidRPr="006B54C2">
        <w:rPr>
          <w:rFonts w:ascii="Garamond" w:eastAsiaTheme="minorHAnsi" w:hAnsi="Garamond"/>
          <w:sz w:val="24"/>
          <w:szCs w:val="24"/>
        </w:rPr>
        <w:t>KPP</w:t>
      </w:r>
      <w:proofErr w:type="spellEnd"/>
      <w:r w:rsidRPr="006B54C2">
        <w:rPr>
          <w:rFonts w:ascii="Garamond" w:eastAsiaTheme="minorHAnsi" w:hAnsi="Garamond"/>
          <w:sz w:val="24"/>
          <w:szCs w:val="24"/>
        </w:rPr>
        <w:t xml:space="preserve">-së. Sipas tij, parë në aspektin procedural, Gjykata e Lartë ka vepruar drejt me mospranimin e rekursit, pasi masa e sigurimit personal nuk ekzistonte më sepse ishte shuar. Pavarësisht se Gjykata e Lartë nuk ka bërë analizë të detajuar të pretendimeve të ngritura nga kërkuesja në rekurs, kjo nuk e bën vendimin e saj të cenueshëm dhe nuk konstatohet as ndonjë shkelje e së drejtës së kërkueses. Për më tepër, çështja nuk shtron diskutime ligjore dhe arsyetimi i dhënë nga gjykatat më të ulëta ka qenë </w:t>
      </w:r>
      <w:proofErr w:type="spellStart"/>
      <w:r w:rsidRPr="006B54C2">
        <w:rPr>
          <w:rFonts w:ascii="Garamond" w:eastAsiaTheme="minorHAnsi" w:hAnsi="Garamond"/>
          <w:sz w:val="24"/>
          <w:szCs w:val="24"/>
        </w:rPr>
        <w:t>ezaurues</w:t>
      </w:r>
      <w:proofErr w:type="spellEnd"/>
      <w:r w:rsidRPr="006B54C2">
        <w:rPr>
          <w:rFonts w:ascii="Garamond" w:eastAsiaTheme="minorHAnsi" w:hAnsi="Garamond"/>
          <w:sz w:val="24"/>
          <w:szCs w:val="24"/>
        </w:rPr>
        <w:t xml:space="preserve">, ndërsa kërkuesja ka pasur mundësi t’u drejtohet gjykatave dhe kërkesa është shqyrtuar nga të tria gjykatat, për pasojë asaj nuk i është mohuar e drejta për t’u gjykuar ose për t’iu drejtuar gjykatës. </w:t>
      </w:r>
    </w:p>
    <w:p w14:paraId="1FA3F0BC" w14:textId="736152DF" w:rsidR="00D27390" w:rsidRPr="006B54C2" w:rsidRDefault="00D27390" w:rsidP="00D27390">
      <w:pPr>
        <w:tabs>
          <w:tab w:val="left" w:pos="720"/>
          <w:tab w:val="left" w:pos="1080"/>
        </w:tabs>
        <w:autoSpaceDE w:val="0"/>
        <w:autoSpaceDN w:val="0"/>
        <w:adjustRightInd w:val="0"/>
        <w:spacing w:after="0" w:line="240" w:lineRule="auto"/>
        <w:ind w:firstLine="284"/>
        <w:jc w:val="both"/>
        <w:rPr>
          <w:rFonts w:ascii="Garamond" w:eastAsiaTheme="minorHAnsi" w:hAnsi="Garamond"/>
          <w:spacing w:val="2"/>
          <w:sz w:val="24"/>
          <w:szCs w:val="24"/>
        </w:rPr>
      </w:pPr>
      <w:r w:rsidRPr="006B54C2">
        <w:rPr>
          <w:rFonts w:ascii="Garamond" w:eastAsiaTheme="minorHAnsi" w:hAnsi="Garamond"/>
          <w:sz w:val="24"/>
          <w:szCs w:val="24"/>
        </w:rPr>
        <w:t>28. Kushtetuta në nenin 42 ka parashikuar se liria nuk mund të cenohet pa një proces të rregullt ligjor (</w:t>
      </w:r>
      <w:r w:rsidRPr="006B54C2">
        <w:rPr>
          <w:rFonts w:ascii="Garamond" w:eastAsiaTheme="minorHAnsi" w:hAnsi="Garamond"/>
          <w:i/>
          <w:iCs/>
          <w:sz w:val="24"/>
          <w:szCs w:val="24"/>
        </w:rPr>
        <w:t>pika 1</w:t>
      </w:r>
      <w:r w:rsidRPr="006B54C2">
        <w:rPr>
          <w:rFonts w:ascii="Garamond" w:eastAsiaTheme="minorHAnsi" w:hAnsi="Garamond"/>
          <w:sz w:val="24"/>
          <w:szCs w:val="24"/>
        </w:rPr>
        <w:t>) dhe se kus</w:t>
      </w:r>
      <w:r w:rsidRPr="006B54C2">
        <w:rPr>
          <w:rFonts w:ascii="Garamond" w:eastAsiaTheme="minorHAnsi" w:hAnsi="Garamond"/>
          <w:spacing w:val="-2"/>
          <w:sz w:val="24"/>
          <w:szCs w:val="24"/>
        </w:rPr>
        <w:t>hdo, për mbrojtjen e saj, ka të</w:t>
      </w:r>
      <w:r w:rsidR="0077042B" w:rsidRPr="006B54C2">
        <w:rPr>
          <w:rFonts w:ascii="Garamond" w:eastAsiaTheme="minorHAnsi" w:hAnsi="Garamond"/>
          <w:spacing w:val="-2"/>
          <w:sz w:val="24"/>
          <w:szCs w:val="24"/>
        </w:rPr>
        <w:t xml:space="preserve"> </w:t>
      </w:r>
      <w:r w:rsidRPr="006B54C2">
        <w:rPr>
          <w:rFonts w:ascii="Garamond" w:eastAsiaTheme="minorHAnsi" w:hAnsi="Garamond"/>
          <w:spacing w:val="-2"/>
          <w:sz w:val="24"/>
          <w:szCs w:val="24"/>
        </w:rPr>
        <w:t>drejtën</w:t>
      </w:r>
      <w:r w:rsidR="0077042B" w:rsidRPr="006B54C2">
        <w:rPr>
          <w:rFonts w:ascii="Garamond" w:eastAsiaTheme="minorHAnsi" w:hAnsi="Garamond"/>
          <w:spacing w:val="-2"/>
          <w:sz w:val="24"/>
          <w:szCs w:val="24"/>
        </w:rPr>
        <w:t xml:space="preserve"> </w:t>
      </w:r>
      <w:r w:rsidRPr="006B54C2">
        <w:rPr>
          <w:rFonts w:ascii="Garamond" w:eastAsiaTheme="minorHAnsi" w:hAnsi="Garamond"/>
          <w:spacing w:val="-2"/>
          <w:sz w:val="24"/>
          <w:szCs w:val="24"/>
        </w:rPr>
        <w:t>e</w:t>
      </w:r>
      <w:r w:rsidR="0077042B" w:rsidRPr="006B54C2">
        <w:rPr>
          <w:rFonts w:ascii="Garamond" w:eastAsiaTheme="minorHAnsi" w:hAnsi="Garamond"/>
          <w:spacing w:val="-2"/>
          <w:sz w:val="24"/>
          <w:szCs w:val="24"/>
        </w:rPr>
        <w:t xml:space="preserve"> </w:t>
      </w:r>
      <w:r w:rsidRPr="006B54C2">
        <w:rPr>
          <w:rFonts w:ascii="Garamond" w:eastAsiaTheme="minorHAnsi" w:hAnsi="Garamond"/>
          <w:spacing w:val="-2"/>
          <w:sz w:val="24"/>
          <w:szCs w:val="24"/>
        </w:rPr>
        <w:t>një</w:t>
      </w:r>
      <w:r w:rsidR="0077042B" w:rsidRPr="006B54C2">
        <w:rPr>
          <w:rFonts w:ascii="Garamond" w:eastAsiaTheme="minorHAnsi" w:hAnsi="Garamond"/>
          <w:spacing w:val="-2"/>
          <w:sz w:val="24"/>
          <w:szCs w:val="24"/>
        </w:rPr>
        <w:t xml:space="preserve"> </w:t>
      </w:r>
      <w:r w:rsidRPr="006B54C2">
        <w:rPr>
          <w:rFonts w:ascii="Garamond" w:eastAsiaTheme="minorHAnsi" w:hAnsi="Garamond"/>
          <w:spacing w:val="-2"/>
          <w:sz w:val="24"/>
          <w:szCs w:val="24"/>
        </w:rPr>
        <w:t>gjykimi</w:t>
      </w:r>
      <w:r w:rsidR="0077042B" w:rsidRPr="006B54C2">
        <w:rPr>
          <w:rFonts w:ascii="Garamond" w:eastAsiaTheme="minorHAnsi" w:hAnsi="Garamond"/>
          <w:spacing w:val="-2"/>
          <w:sz w:val="24"/>
          <w:szCs w:val="24"/>
        </w:rPr>
        <w:t xml:space="preserve"> </w:t>
      </w:r>
      <w:r w:rsidRPr="006B54C2">
        <w:rPr>
          <w:rFonts w:ascii="Garamond" w:eastAsiaTheme="minorHAnsi" w:hAnsi="Garamond"/>
          <w:spacing w:val="-2"/>
          <w:sz w:val="24"/>
          <w:szCs w:val="24"/>
        </w:rPr>
        <w:t>të</w:t>
      </w:r>
      <w:r w:rsidR="0077042B" w:rsidRPr="006B54C2">
        <w:rPr>
          <w:rFonts w:ascii="Garamond" w:eastAsiaTheme="minorHAnsi" w:hAnsi="Garamond"/>
          <w:spacing w:val="-2"/>
          <w:sz w:val="24"/>
          <w:szCs w:val="24"/>
        </w:rPr>
        <w:t xml:space="preserve"> </w:t>
      </w:r>
      <w:r w:rsidRPr="006B54C2">
        <w:rPr>
          <w:rFonts w:ascii="Garamond" w:eastAsiaTheme="minorHAnsi" w:hAnsi="Garamond"/>
          <w:spacing w:val="-2"/>
          <w:sz w:val="24"/>
          <w:szCs w:val="24"/>
        </w:rPr>
        <w:t>drejtë (</w:t>
      </w:r>
      <w:r w:rsidRPr="006B54C2">
        <w:rPr>
          <w:rFonts w:ascii="Garamond" w:eastAsiaTheme="minorHAnsi" w:hAnsi="Garamond"/>
          <w:i/>
          <w:iCs/>
          <w:spacing w:val="-2"/>
          <w:sz w:val="24"/>
          <w:szCs w:val="24"/>
        </w:rPr>
        <w:t>pika 2</w:t>
      </w:r>
      <w:r w:rsidRPr="006B54C2">
        <w:rPr>
          <w:rFonts w:ascii="Garamond" w:eastAsiaTheme="minorHAnsi" w:hAnsi="Garamond"/>
          <w:spacing w:val="-2"/>
          <w:sz w:val="24"/>
          <w:szCs w:val="24"/>
        </w:rPr>
        <w:t xml:space="preserve">). Ndërsa në nenin 27 ajo ka sanksionuar se liria nuk mund t’i </w:t>
      </w:r>
      <w:r w:rsidRPr="006B54C2">
        <w:rPr>
          <w:rFonts w:ascii="Garamond" w:eastAsiaTheme="minorHAnsi" w:hAnsi="Garamond"/>
          <w:sz w:val="24"/>
          <w:szCs w:val="24"/>
        </w:rPr>
        <w:t>hiqet askujt, përveçse në rastet dhe sipas procedurave të parashikuara me ligj (</w:t>
      </w:r>
      <w:r w:rsidRPr="006B54C2">
        <w:rPr>
          <w:rFonts w:ascii="Garamond" w:eastAsiaTheme="minorHAnsi" w:hAnsi="Garamond"/>
          <w:i/>
          <w:iCs/>
          <w:sz w:val="24"/>
          <w:szCs w:val="24"/>
        </w:rPr>
        <w:t>pika 1</w:t>
      </w:r>
      <w:r w:rsidRPr="006B54C2">
        <w:rPr>
          <w:rFonts w:ascii="Garamond" w:eastAsiaTheme="minorHAnsi" w:hAnsi="Garamond"/>
          <w:sz w:val="24"/>
          <w:szCs w:val="24"/>
        </w:rPr>
        <w:t xml:space="preserve">) dhe se kufizimi i saj mund të bëhet vetëm kur ka dyshime të arsyeshme </w:t>
      </w:r>
      <w:r w:rsidRPr="006B54C2">
        <w:rPr>
          <w:rFonts w:ascii="Garamond" w:eastAsiaTheme="minorHAnsi" w:hAnsi="Garamond"/>
          <w:sz w:val="24"/>
          <w:szCs w:val="24"/>
        </w:rPr>
        <w:lastRenderedPageBreak/>
        <w:t xml:space="preserve">se individi ka kryer një vepër penale ose për të parandaluar kryerjen prej tij të veprës penale ose largimin e tij pas kryerjes së saj </w:t>
      </w:r>
      <w:r w:rsidRPr="006B54C2">
        <w:rPr>
          <w:rFonts w:ascii="Garamond" w:eastAsiaTheme="minorHAnsi" w:hAnsi="Garamond"/>
          <w:i/>
          <w:iCs/>
          <w:sz w:val="24"/>
          <w:szCs w:val="24"/>
        </w:rPr>
        <w:t>(pika 2, shkronja “c”, po aty</w:t>
      </w:r>
      <w:r w:rsidRPr="006B54C2">
        <w:rPr>
          <w:rFonts w:ascii="Garamond" w:eastAsiaTheme="minorHAnsi" w:hAnsi="Garamond"/>
          <w:sz w:val="24"/>
          <w:szCs w:val="24"/>
        </w:rPr>
        <w:t xml:space="preserve">). </w:t>
      </w:r>
    </w:p>
    <w:p w14:paraId="6F570DAC" w14:textId="0CBE399C" w:rsidR="00D27390" w:rsidRPr="006B54C2" w:rsidRDefault="00D27390" w:rsidP="00D27390">
      <w:pPr>
        <w:tabs>
          <w:tab w:val="left" w:pos="720"/>
          <w:tab w:val="left" w:pos="1080"/>
        </w:tabs>
        <w:autoSpaceDE w:val="0"/>
        <w:autoSpaceDN w:val="0"/>
        <w:adjustRightInd w:val="0"/>
        <w:spacing w:after="0" w:line="240" w:lineRule="auto"/>
        <w:ind w:firstLine="284"/>
        <w:jc w:val="both"/>
        <w:rPr>
          <w:rFonts w:ascii="Garamond" w:eastAsiaTheme="minorHAnsi" w:hAnsi="Garamond"/>
          <w:spacing w:val="2"/>
          <w:sz w:val="24"/>
          <w:szCs w:val="24"/>
        </w:rPr>
      </w:pPr>
      <w:r w:rsidRPr="006B54C2">
        <w:rPr>
          <w:rFonts w:ascii="Garamond" w:eastAsiaTheme="minorHAnsi" w:hAnsi="Garamond"/>
          <w:sz w:val="24"/>
          <w:szCs w:val="24"/>
        </w:rPr>
        <w:t xml:space="preserve">29. Për sa i takon së drejtës së </w:t>
      </w:r>
      <w:proofErr w:type="spellStart"/>
      <w:r w:rsidRPr="006B54C2">
        <w:rPr>
          <w:rFonts w:ascii="Garamond" w:eastAsiaTheme="minorHAnsi" w:hAnsi="Garamond"/>
          <w:sz w:val="24"/>
          <w:szCs w:val="24"/>
        </w:rPr>
        <w:t>aksesit</w:t>
      </w:r>
      <w:proofErr w:type="spellEnd"/>
      <w:r w:rsidRPr="006B54C2">
        <w:rPr>
          <w:rFonts w:ascii="Garamond" w:eastAsiaTheme="minorHAnsi" w:hAnsi="Garamond"/>
          <w:sz w:val="24"/>
          <w:szCs w:val="24"/>
        </w:rPr>
        <w:t xml:space="preserve"> në gjykatë, Gjykata ka theksuar se kur në rekurs janë ngritur pretendime, të cilat janë të rëndësishme për verifikimin e kushtetutshmërisë së procesit të zhvilluar në gjykatat e zakonshme dhe kërkuesi nuk ka marrë përgjigje për to, për shkak të vendimit të mospranimit të rekursit, kjo përbën cenim të së drejtës themelore për proces të rregullt ligjor, në kuptim të nenit 42 të Kushtetutës. Në këtë kuptim, </w:t>
      </w:r>
      <w:proofErr w:type="spellStart"/>
      <w:r w:rsidRPr="006B54C2">
        <w:rPr>
          <w:rFonts w:ascii="Garamond" w:eastAsiaTheme="minorHAnsi" w:hAnsi="Garamond"/>
          <w:sz w:val="24"/>
          <w:szCs w:val="24"/>
        </w:rPr>
        <w:t>aksesi</w:t>
      </w:r>
      <w:proofErr w:type="spellEnd"/>
      <w:r w:rsidRPr="006B54C2">
        <w:rPr>
          <w:rFonts w:ascii="Garamond" w:eastAsiaTheme="minorHAnsi" w:hAnsi="Garamond"/>
          <w:sz w:val="24"/>
          <w:szCs w:val="24"/>
        </w:rPr>
        <w:t xml:space="preserve"> në gjykatë duhet të jetë substantiv dhe jo thjesht formal. Kontrolli i respektimit të standardeve kushtetuese për një proces të rregullt ligjor është funksion edhe i gjykatave të zakonshme, për më tepër i Gjykatës së Lartë (</w:t>
      </w:r>
      <w:r w:rsidRPr="006B54C2">
        <w:rPr>
          <w:rFonts w:ascii="Garamond" w:eastAsiaTheme="minorHAnsi" w:hAnsi="Garamond"/>
          <w:i/>
          <w:iCs/>
          <w:sz w:val="24"/>
          <w:szCs w:val="24"/>
        </w:rPr>
        <w:t>shih vendimet nr. 58, datë 13.11.2023; nr. 11, datë 16.4.2018</w:t>
      </w:r>
      <w:r w:rsidR="00984AF4" w:rsidRPr="006B54C2">
        <w:rPr>
          <w:rFonts w:ascii="Garamond" w:eastAsiaTheme="minorHAnsi" w:hAnsi="Garamond"/>
          <w:i/>
          <w:iCs/>
          <w:sz w:val="24"/>
          <w:szCs w:val="24"/>
        </w:rPr>
        <w:t>,</w:t>
      </w:r>
      <w:r w:rsidRPr="006B54C2">
        <w:rPr>
          <w:rFonts w:ascii="Garamond" w:eastAsiaTheme="minorHAnsi" w:hAnsi="Garamond"/>
          <w:i/>
          <w:iCs/>
          <w:sz w:val="24"/>
          <w:szCs w:val="24"/>
        </w:rPr>
        <w:t xml:space="preserve"> të Gjykatës Kushtetuese</w:t>
      </w:r>
      <w:r w:rsidRPr="006B54C2">
        <w:rPr>
          <w:rFonts w:ascii="Garamond" w:eastAsiaTheme="minorHAnsi" w:hAnsi="Garamond"/>
          <w:sz w:val="24"/>
          <w:szCs w:val="24"/>
        </w:rPr>
        <w:t xml:space="preserve">). </w:t>
      </w:r>
    </w:p>
    <w:p w14:paraId="79B47438" w14:textId="78B4CA45" w:rsidR="00D27390" w:rsidRPr="006B54C2" w:rsidRDefault="00D27390" w:rsidP="00D27390">
      <w:pPr>
        <w:tabs>
          <w:tab w:val="left" w:pos="720"/>
          <w:tab w:val="left" w:pos="108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30. Gjithashtu, për sa i përket kufizimit të lirisë personale, Gjykata ka pohuar se organet e pushtetit publik kanë detyrimin të respektojnë të drejtën për proces të rregullt ligjor edhe ndaj personave të cilëve sipas ligjit u është kufizuar liria, pasi, ashtu si të drejtat e tjera, edhe kjo e drejtë është e pandashme, e patjetërsueshme dhe e padhunueshme (</w:t>
      </w:r>
      <w:r w:rsidRPr="006B54C2">
        <w:rPr>
          <w:rFonts w:ascii="Garamond" w:eastAsiaTheme="minorHAnsi" w:hAnsi="Garamond"/>
          <w:i/>
          <w:iCs/>
          <w:sz w:val="24"/>
          <w:szCs w:val="24"/>
        </w:rPr>
        <w:t>shih vendimin nr. 5, datë 22.2.2022</w:t>
      </w:r>
      <w:r w:rsidR="00984AF4" w:rsidRPr="006B54C2">
        <w:rPr>
          <w:rFonts w:ascii="Garamond" w:eastAsiaTheme="minorHAnsi" w:hAnsi="Garamond"/>
          <w:i/>
          <w:iCs/>
          <w:sz w:val="24"/>
          <w:szCs w:val="24"/>
        </w:rPr>
        <w:t>,</w:t>
      </w:r>
      <w:r w:rsidRPr="006B54C2">
        <w:rPr>
          <w:rFonts w:ascii="Garamond" w:eastAsiaTheme="minorHAnsi" w:hAnsi="Garamond"/>
          <w:i/>
          <w:iCs/>
          <w:sz w:val="24"/>
          <w:szCs w:val="24"/>
        </w:rPr>
        <w:t xml:space="preserve"> të Gjykatës Kushtetuese</w:t>
      </w:r>
      <w:r w:rsidRPr="006B54C2">
        <w:rPr>
          <w:rFonts w:ascii="Garamond" w:eastAsiaTheme="minorHAnsi" w:hAnsi="Garamond"/>
          <w:sz w:val="24"/>
          <w:szCs w:val="24"/>
        </w:rPr>
        <w:t>).</w:t>
      </w:r>
      <w:r w:rsidR="0077042B" w:rsidRPr="006B54C2">
        <w:rPr>
          <w:rFonts w:ascii="Garamond" w:eastAsiaTheme="minorHAnsi" w:hAnsi="Garamond"/>
          <w:sz w:val="24"/>
          <w:szCs w:val="24"/>
        </w:rPr>
        <w:t xml:space="preserve"> </w:t>
      </w:r>
    </w:p>
    <w:p w14:paraId="1ADB888C" w14:textId="5A24D237" w:rsidR="00D27390" w:rsidRPr="006B54C2" w:rsidRDefault="00D27390" w:rsidP="00D27390">
      <w:pPr>
        <w:tabs>
          <w:tab w:val="left" w:pos="720"/>
          <w:tab w:val="left" w:pos="1080"/>
        </w:tabs>
        <w:autoSpaceDE w:val="0"/>
        <w:autoSpaceDN w:val="0"/>
        <w:adjustRightInd w:val="0"/>
        <w:spacing w:after="0" w:line="240" w:lineRule="auto"/>
        <w:ind w:firstLine="284"/>
        <w:jc w:val="both"/>
        <w:rPr>
          <w:rFonts w:ascii="Garamond" w:eastAsiaTheme="minorHAnsi" w:hAnsi="Garamond"/>
          <w:spacing w:val="2"/>
          <w:sz w:val="24"/>
          <w:szCs w:val="24"/>
        </w:rPr>
      </w:pPr>
      <w:r w:rsidRPr="006B54C2">
        <w:rPr>
          <w:rFonts w:ascii="Garamond" w:eastAsiaTheme="minorHAnsi" w:hAnsi="Garamond"/>
          <w:sz w:val="24"/>
          <w:szCs w:val="24"/>
        </w:rPr>
        <w:t xml:space="preserve">31. Lidhur me kufizimin e lirisë personale si pasojë e zbatimit të masës së sigurimit “Arresti në shtëpi”, </w:t>
      </w:r>
      <w:proofErr w:type="spellStart"/>
      <w:r w:rsidRPr="006B54C2">
        <w:rPr>
          <w:rFonts w:ascii="Garamond" w:eastAsiaTheme="minorHAnsi" w:hAnsi="Garamond"/>
          <w:sz w:val="24"/>
          <w:szCs w:val="24"/>
        </w:rPr>
        <w:t>GJEDNJ</w:t>
      </w:r>
      <w:proofErr w:type="spellEnd"/>
      <w:r w:rsidRPr="006B54C2">
        <w:rPr>
          <w:rFonts w:ascii="Garamond" w:eastAsiaTheme="minorHAnsi" w:hAnsi="Garamond"/>
          <w:sz w:val="24"/>
          <w:szCs w:val="24"/>
        </w:rPr>
        <w:t xml:space="preserve">-ja në praktikën e saj gjyqësore është shprehur se kjo masë konsiderohet, për nga shkalla dhe intensiteti i saj, si privim i lirisë në kuptim të nenit 5 të </w:t>
      </w:r>
      <w:proofErr w:type="spellStart"/>
      <w:r w:rsidRPr="006B54C2">
        <w:rPr>
          <w:rFonts w:ascii="Garamond" w:eastAsiaTheme="minorHAnsi" w:hAnsi="Garamond"/>
          <w:sz w:val="24"/>
          <w:szCs w:val="24"/>
        </w:rPr>
        <w:t>KEDNJ</w:t>
      </w:r>
      <w:proofErr w:type="spellEnd"/>
      <w:r w:rsidRPr="006B54C2">
        <w:rPr>
          <w:rFonts w:ascii="Garamond" w:eastAsiaTheme="minorHAnsi" w:hAnsi="Garamond"/>
          <w:sz w:val="24"/>
          <w:szCs w:val="24"/>
        </w:rPr>
        <w:t xml:space="preserve">-së </w:t>
      </w:r>
      <w:r w:rsidRPr="00E1395B">
        <w:rPr>
          <w:rFonts w:ascii="Garamond" w:eastAsiaTheme="minorHAnsi" w:hAnsi="Garamond"/>
          <w:i/>
          <w:iCs/>
          <w:sz w:val="24"/>
          <w:szCs w:val="24"/>
        </w:rPr>
        <w:t>(</w:t>
      </w:r>
      <w:r w:rsidRPr="006B54C2">
        <w:rPr>
          <w:rFonts w:ascii="Garamond" w:eastAsiaTheme="minorHAnsi" w:hAnsi="Garamond"/>
          <w:i/>
          <w:iCs/>
          <w:sz w:val="24"/>
          <w:szCs w:val="24"/>
        </w:rPr>
        <w:t xml:space="preserve">shih </w:t>
      </w:r>
      <w:proofErr w:type="spellStart"/>
      <w:r w:rsidRPr="006B54C2">
        <w:rPr>
          <w:rFonts w:ascii="Garamond" w:eastAsiaTheme="minorHAnsi" w:hAnsi="Garamond"/>
          <w:i/>
          <w:iCs/>
          <w:sz w:val="24"/>
          <w:szCs w:val="24"/>
        </w:rPr>
        <w:t>Nikolova</w:t>
      </w:r>
      <w:proofErr w:type="spellEnd"/>
      <w:r w:rsidRPr="006B54C2">
        <w:rPr>
          <w:rFonts w:ascii="Garamond" w:eastAsiaTheme="minorHAnsi" w:hAnsi="Garamond"/>
          <w:i/>
          <w:iCs/>
          <w:sz w:val="24"/>
          <w:szCs w:val="24"/>
        </w:rPr>
        <w:t xml:space="preserve"> kundër Bullgarisë (nr. 2), datë 30.9.2004, § 60; </w:t>
      </w:r>
      <w:proofErr w:type="spellStart"/>
      <w:r w:rsidRPr="006B54C2">
        <w:rPr>
          <w:rFonts w:ascii="Garamond" w:eastAsiaTheme="minorHAnsi" w:hAnsi="Garamond"/>
          <w:i/>
          <w:iCs/>
          <w:sz w:val="24"/>
          <w:szCs w:val="24"/>
        </w:rPr>
        <w:t>Ninescu</w:t>
      </w:r>
      <w:proofErr w:type="spellEnd"/>
      <w:r w:rsidRPr="006B54C2">
        <w:rPr>
          <w:rFonts w:ascii="Garamond" w:eastAsiaTheme="minorHAnsi" w:hAnsi="Garamond"/>
          <w:i/>
          <w:iCs/>
          <w:sz w:val="24"/>
          <w:szCs w:val="24"/>
        </w:rPr>
        <w:t xml:space="preserve"> kundër Republikës së Moldavisë, datë 15.7.2014, § 53; </w:t>
      </w:r>
      <w:proofErr w:type="spellStart"/>
      <w:r w:rsidRPr="006B54C2">
        <w:rPr>
          <w:rFonts w:ascii="Garamond" w:eastAsiaTheme="minorHAnsi" w:hAnsi="Garamond"/>
          <w:i/>
          <w:iCs/>
          <w:sz w:val="24"/>
          <w:szCs w:val="24"/>
        </w:rPr>
        <w:t>Delijorgji</w:t>
      </w:r>
      <w:proofErr w:type="spellEnd"/>
      <w:r w:rsidRPr="006B54C2">
        <w:rPr>
          <w:rFonts w:ascii="Garamond" w:eastAsiaTheme="minorHAnsi" w:hAnsi="Garamond"/>
          <w:i/>
          <w:iCs/>
          <w:sz w:val="24"/>
          <w:szCs w:val="24"/>
        </w:rPr>
        <w:t xml:space="preserve"> kundër Shqipërisë, datë 28.4.2015, § 75</w:t>
      </w:r>
      <w:r w:rsidRPr="00E1395B">
        <w:rPr>
          <w:rFonts w:ascii="Garamond" w:eastAsiaTheme="minorHAnsi" w:hAnsi="Garamond"/>
          <w:i/>
          <w:iCs/>
          <w:sz w:val="24"/>
          <w:szCs w:val="24"/>
        </w:rPr>
        <w:t>)</w:t>
      </w:r>
      <w:r w:rsidRPr="006B54C2">
        <w:rPr>
          <w:rFonts w:ascii="Garamond" w:eastAsiaTheme="minorHAnsi" w:hAnsi="Garamond"/>
          <w:sz w:val="24"/>
          <w:szCs w:val="24"/>
        </w:rPr>
        <w:t xml:space="preserve">. Sipas </w:t>
      </w:r>
      <w:proofErr w:type="spellStart"/>
      <w:r w:rsidRPr="006B54C2">
        <w:rPr>
          <w:rFonts w:ascii="Garamond" w:eastAsiaTheme="minorHAnsi" w:hAnsi="Garamond"/>
          <w:sz w:val="24"/>
          <w:szCs w:val="24"/>
        </w:rPr>
        <w:t>GJEDNJ</w:t>
      </w:r>
      <w:proofErr w:type="spellEnd"/>
      <w:r w:rsidRPr="006B54C2">
        <w:rPr>
          <w:rFonts w:ascii="Garamond" w:eastAsiaTheme="minorHAnsi" w:hAnsi="Garamond"/>
          <w:sz w:val="24"/>
          <w:szCs w:val="24"/>
        </w:rPr>
        <w:t xml:space="preserve">-së, është e vërtetë se në shumicën e rasteve arresti në shtëpi nënkupton më pak kufizime dhe një shkallë më të vogël vuajtjeje apo shqetësimi për të pandehurin sesa paraburgimi i zakonshëm në burg. Pavarësisht nga vendi, ndaj kërkuesit zbatohen të njëjta kritere për të gjithë periudhën e kufizimit të lirisë. Po sipas saj, nocionet “shkallë” dhe “intensitet” në praktikën gjyqësore, si kritere për </w:t>
      </w:r>
      <w:proofErr w:type="spellStart"/>
      <w:r w:rsidRPr="006B54C2">
        <w:rPr>
          <w:rFonts w:ascii="Garamond" w:eastAsiaTheme="minorHAnsi" w:hAnsi="Garamond"/>
          <w:sz w:val="24"/>
          <w:szCs w:val="24"/>
        </w:rPr>
        <w:t>zbatueshmërinë</w:t>
      </w:r>
      <w:proofErr w:type="spellEnd"/>
      <w:r w:rsidRPr="006B54C2">
        <w:rPr>
          <w:rFonts w:ascii="Garamond" w:eastAsiaTheme="minorHAnsi" w:hAnsi="Garamond"/>
          <w:sz w:val="24"/>
          <w:szCs w:val="24"/>
        </w:rPr>
        <w:t xml:space="preserve"> e nenit 5 të </w:t>
      </w:r>
      <w:proofErr w:type="spellStart"/>
      <w:r w:rsidRPr="006B54C2">
        <w:rPr>
          <w:rFonts w:ascii="Garamond" w:eastAsiaTheme="minorHAnsi" w:hAnsi="Garamond"/>
          <w:sz w:val="24"/>
          <w:szCs w:val="24"/>
        </w:rPr>
        <w:t>KEDNJ</w:t>
      </w:r>
      <w:proofErr w:type="spellEnd"/>
      <w:r w:rsidRPr="006B54C2">
        <w:rPr>
          <w:rFonts w:ascii="Garamond" w:eastAsiaTheme="minorHAnsi" w:hAnsi="Garamond"/>
          <w:sz w:val="24"/>
          <w:szCs w:val="24"/>
        </w:rPr>
        <w:t xml:space="preserve">-së, i referohen vetëm shkallës së kufizimeve të lirisë së lëvizjes, jo dallimeve në rehati ose në regjimin e brendshëm të paraburgimit </w:t>
      </w:r>
      <w:r w:rsidRPr="00E1395B">
        <w:rPr>
          <w:rFonts w:ascii="Garamond" w:eastAsiaTheme="minorHAnsi" w:hAnsi="Garamond"/>
          <w:i/>
          <w:iCs/>
          <w:sz w:val="24"/>
          <w:szCs w:val="24"/>
        </w:rPr>
        <w:t>(</w:t>
      </w:r>
      <w:r w:rsidRPr="006B54C2">
        <w:rPr>
          <w:rFonts w:ascii="Garamond" w:eastAsiaTheme="minorHAnsi" w:hAnsi="Garamond"/>
          <w:i/>
          <w:iCs/>
          <w:sz w:val="24"/>
          <w:szCs w:val="24"/>
        </w:rPr>
        <w:t xml:space="preserve">shih </w:t>
      </w:r>
      <w:proofErr w:type="spellStart"/>
      <w:r w:rsidRPr="006B54C2">
        <w:rPr>
          <w:rFonts w:ascii="Garamond" w:eastAsiaTheme="minorHAnsi" w:hAnsi="Garamond"/>
          <w:i/>
          <w:iCs/>
          <w:sz w:val="24"/>
          <w:szCs w:val="24"/>
        </w:rPr>
        <w:t>Buzadji</w:t>
      </w:r>
      <w:proofErr w:type="spellEnd"/>
      <w:r w:rsidRPr="006B54C2">
        <w:rPr>
          <w:rFonts w:ascii="Garamond" w:eastAsiaTheme="minorHAnsi" w:hAnsi="Garamond"/>
          <w:i/>
          <w:iCs/>
          <w:sz w:val="24"/>
          <w:szCs w:val="24"/>
        </w:rPr>
        <w:t xml:space="preserve"> kundër Republikës së Moldavisë, datë 5.7.2016, § § 103, 112–114).</w:t>
      </w:r>
      <w:r w:rsidRPr="006B54C2">
        <w:rPr>
          <w:rFonts w:ascii="Garamond" w:eastAsiaTheme="minorHAnsi" w:hAnsi="Garamond"/>
          <w:sz w:val="24"/>
          <w:szCs w:val="24"/>
        </w:rPr>
        <w:t xml:space="preserve"> </w:t>
      </w:r>
    </w:p>
    <w:p w14:paraId="7312349A" w14:textId="0089F505"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32. Në</w:t>
      </w:r>
      <w:r w:rsidRPr="006B54C2">
        <w:rPr>
          <w:rFonts w:ascii="Garamond" w:eastAsiaTheme="minorHAnsi" w:hAnsi="Garamond"/>
          <w:spacing w:val="2"/>
          <w:sz w:val="24"/>
          <w:szCs w:val="24"/>
        </w:rPr>
        <w:t xml:space="preserve"> rastin në shqyrtim, Gjykata vëren se kërkuesja në datën 19.10.2022, bazuar në nenin 263, pika 2, shkronja “b”, të </w:t>
      </w:r>
      <w:proofErr w:type="spellStart"/>
      <w:r w:rsidRPr="006B54C2">
        <w:rPr>
          <w:rFonts w:ascii="Garamond" w:eastAsiaTheme="minorHAnsi" w:hAnsi="Garamond"/>
          <w:spacing w:val="2"/>
          <w:sz w:val="24"/>
          <w:szCs w:val="24"/>
        </w:rPr>
        <w:t>KPP</w:t>
      </w:r>
      <w:proofErr w:type="spellEnd"/>
      <w:r w:rsidRPr="006B54C2">
        <w:rPr>
          <w:rFonts w:ascii="Garamond" w:eastAsiaTheme="minorHAnsi" w:hAnsi="Garamond"/>
          <w:spacing w:val="2"/>
          <w:sz w:val="24"/>
          <w:szCs w:val="24"/>
        </w:rPr>
        <w:t xml:space="preserve">-së, ka paraqitur kërkesë në gjykatë për shuarjen e masës së sigurimit personal “Arresti në shtëpi”, me argumentin se në datën 26.2.2021 janë depozituar në gjykatën e shkallës së parë aktet e procedimit penal nr. 186/2020 dhe prej asaj dite kanë kaluar 12 muaj pa u dhënë vendimi. Sipas kërkueses, vepra penale për të cilën ajo akuzohet është e parashikuar nga neni 319/ç i </w:t>
      </w:r>
      <w:proofErr w:type="spellStart"/>
      <w:r w:rsidRPr="006B54C2">
        <w:rPr>
          <w:rFonts w:ascii="Garamond" w:eastAsiaTheme="minorHAnsi" w:hAnsi="Garamond"/>
          <w:spacing w:val="2"/>
          <w:sz w:val="24"/>
          <w:szCs w:val="24"/>
        </w:rPr>
        <w:t>KP</w:t>
      </w:r>
      <w:proofErr w:type="spellEnd"/>
      <w:r w:rsidRPr="006B54C2">
        <w:rPr>
          <w:rFonts w:ascii="Garamond" w:eastAsiaTheme="minorHAnsi" w:hAnsi="Garamond"/>
          <w:spacing w:val="2"/>
          <w:sz w:val="24"/>
          <w:szCs w:val="24"/>
        </w:rPr>
        <w:t>-së, që përcakton masën e dënimit nga tre deri në dhjetë vjet burgim. Në këtë situatë, sipas saj, masa e sigurimit personal e ka humbur fuqinë për shkak të tejkalimit të afatit 9-mujor, duke qenë se shqyrtimi gjyqësor ishte në proces dhe se nga përllogaritja e afateve të gjykimit kanë kaluar pa u dhënë vendimi nga gjykata e shkallës së parë 386 ditë, duke mos llogaritur afatet e pezulluara të paraburgimit.</w:t>
      </w:r>
      <w:r w:rsidR="0077042B" w:rsidRPr="006B54C2">
        <w:rPr>
          <w:rFonts w:ascii="Garamond" w:eastAsiaTheme="minorHAnsi" w:hAnsi="Garamond"/>
          <w:spacing w:val="2"/>
          <w:sz w:val="24"/>
          <w:szCs w:val="24"/>
        </w:rPr>
        <w:t xml:space="preserve"> </w:t>
      </w:r>
    </w:p>
    <w:p w14:paraId="1C78FEAB" w14:textId="36147D6F"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33. </w:t>
      </w:r>
      <w:proofErr w:type="spellStart"/>
      <w:r w:rsidRPr="006B54C2">
        <w:rPr>
          <w:rFonts w:ascii="Garamond" w:eastAsiaTheme="minorHAnsi" w:hAnsi="Garamond"/>
          <w:sz w:val="24"/>
          <w:szCs w:val="24"/>
        </w:rPr>
        <w:t>GJKKO</w:t>
      </w:r>
      <w:proofErr w:type="spellEnd"/>
      <w:r w:rsidRPr="006B54C2">
        <w:rPr>
          <w:rFonts w:ascii="Garamond" w:eastAsiaTheme="minorHAnsi" w:hAnsi="Garamond"/>
          <w:sz w:val="24"/>
          <w:szCs w:val="24"/>
        </w:rPr>
        <w:t xml:space="preserve">-ja e Shkallës së Parë, me vendimin e datës 21.10.2022, e ka rrëzuar këtë kërkesë, pasi ka arsyetuar se kërkuesja gjendet në kushtet e masës së sigurimit personal “Arresti në shtëpi”, e cila është një masë sigurimi e ndryshme nga ajo e paraburgimit “Arresti në burg” dhe në rastin konkret duhet të plotësohen edhe kushtet e parashikuara nga neni 267, pika 1, i </w:t>
      </w:r>
      <w:proofErr w:type="spellStart"/>
      <w:r w:rsidRPr="006B54C2">
        <w:rPr>
          <w:rFonts w:ascii="Garamond" w:eastAsiaTheme="minorHAnsi" w:hAnsi="Garamond"/>
          <w:sz w:val="24"/>
          <w:szCs w:val="24"/>
        </w:rPr>
        <w:t>KPP</w:t>
      </w:r>
      <w:proofErr w:type="spellEnd"/>
      <w:r w:rsidRPr="006B54C2">
        <w:rPr>
          <w:rFonts w:ascii="Garamond" w:eastAsiaTheme="minorHAnsi" w:hAnsi="Garamond"/>
          <w:sz w:val="24"/>
          <w:szCs w:val="24"/>
        </w:rPr>
        <w:t xml:space="preserve">-së. Megjithatë, sipas gjykatës, edhe sikur përllogaritja e afateve të bëhej sipas nenit 263 të </w:t>
      </w:r>
      <w:proofErr w:type="spellStart"/>
      <w:r w:rsidRPr="006B54C2">
        <w:rPr>
          <w:rFonts w:ascii="Garamond" w:eastAsiaTheme="minorHAnsi" w:hAnsi="Garamond"/>
          <w:sz w:val="24"/>
          <w:szCs w:val="24"/>
        </w:rPr>
        <w:t>KPP</w:t>
      </w:r>
      <w:proofErr w:type="spellEnd"/>
      <w:r w:rsidRPr="006B54C2">
        <w:rPr>
          <w:rFonts w:ascii="Garamond" w:eastAsiaTheme="minorHAnsi" w:hAnsi="Garamond"/>
          <w:sz w:val="24"/>
          <w:szCs w:val="24"/>
        </w:rPr>
        <w:t xml:space="preserve">-së, sërish masa nuk e humbet fuqinë e saj, pasi nuk rezulton të ketë kaluar afati i kohëzgjatjes tërësore të paraburgimit prej 2 vjetësh, sikurse e parashikon pika 6 e nenit 263 të </w:t>
      </w:r>
      <w:proofErr w:type="spellStart"/>
      <w:r w:rsidRPr="006B54C2">
        <w:rPr>
          <w:rFonts w:ascii="Garamond" w:eastAsiaTheme="minorHAnsi" w:hAnsi="Garamond"/>
          <w:sz w:val="24"/>
          <w:szCs w:val="24"/>
        </w:rPr>
        <w:t>KPP</w:t>
      </w:r>
      <w:proofErr w:type="spellEnd"/>
      <w:r w:rsidRPr="006B54C2">
        <w:rPr>
          <w:rFonts w:ascii="Garamond" w:eastAsiaTheme="minorHAnsi" w:hAnsi="Garamond"/>
          <w:sz w:val="24"/>
          <w:szCs w:val="24"/>
        </w:rPr>
        <w:t>-së.</w:t>
      </w:r>
    </w:p>
    <w:p w14:paraId="68CEB05F" w14:textId="0A6606B2"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34. Kërkuesja e ka kundërshtuar këtë qëndrim në </w:t>
      </w:r>
      <w:proofErr w:type="spellStart"/>
      <w:r w:rsidRPr="006B54C2">
        <w:rPr>
          <w:rFonts w:ascii="Garamond" w:eastAsiaTheme="minorHAnsi" w:hAnsi="Garamond"/>
          <w:sz w:val="24"/>
          <w:szCs w:val="24"/>
        </w:rPr>
        <w:t>GJKKO</w:t>
      </w:r>
      <w:proofErr w:type="spellEnd"/>
      <w:r w:rsidRPr="006B54C2">
        <w:rPr>
          <w:rFonts w:ascii="Garamond" w:eastAsiaTheme="minorHAnsi" w:hAnsi="Garamond"/>
          <w:sz w:val="24"/>
          <w:szCs w:val="24"/>
        </w:rPr>
        <w:t xml:space="preserve">-në e Apelit, e cila, me vendimin e datës 9.11.2022, ka argumentuar se </w:t>
      </w:r>
      <w:r w:rsidRPr="006B54C2">
        <w:rPr>
          <w:rFonts w:ascii="Garamond" w:eastAsiaTheme="minorHAnsi" w:hAnsi="Garamond"/>
          <w:sz w:val="24"/>
          <w:szCs w:val="24"/>
          <w:highlight w:val="white"/>
        </w:rPr>
        <w:t xml:space="preserve">afatet e parashikuara në nenin 263 të </w:t>
      </w:r>
      <w:proofErr w:type="spellStart"/>
      <w:r w:rsidRPr="006B54C2">
        <w:rPr>
          <w:rFonts w:ascii="Garamond" w:eastAsiaTheme="minorHAnsi" w:hAnsi="Garamond"/>
          <w:sz w:val="24"/>
          <w:szCs w:val="24"/>
          <w:highlight w:val="white"/>
        </w:rPr>
        <w:t>KPP</w:t>
      </w:r>
      <w:proofErr w:type="spellEnd"/>
      <w:r w:rsidRPr="006B54C2">
        <w:rPr>
          <w:rFonts w:ascii="Garamond" w:eastAsiaTheme="minorHAnsi" w:hAnsi="Garamond"/>
          <w:sz w:val="24"/>
          <w:szCs w:val="24"/>
          <w:highlight w:val="white"/>
        </w:rPr>
        <w:t xml:space="preserve">-së lidhen me rastin e paraburgimit, ndërsa për të gjitha masat e tjerat të sigurimit personal me karakter shtrëngues, përfshirë edhe masën e sigurimit “Arresti në shtëpi”, vlen afati i kohëzgjatjes së tyre sipas parashikimit të nenit 267, pika 1, të </w:t>
      </w:r>
      <w:proofErr w:type="spellStart"/>
      <w:r w:rsidRPr="006B54C2">
        <w:rPr>
          <w:rFonts w:ascii="Garamond" w:eastAsiaTheme="minorHAnsi" w:hAnsi="Garamond"/>
          <w:sz w:val="24"/>
          <w:szCs w:val="24"/>
          <w:highlight w:val="white"/>
        </w:rPr>
        <w:t>KPP</w:t>
      </w:r>
      <w:proofErr w:type="spellEnd"/>
      <w:r w:rsidRPr="006B54C2">
        <w:rPr>
          <w:rFonts w:ascii="Garamond" w:eastAsiaTheme="minorHAnsi" w:hAnsi="Garamond"/>
          <w:sz w:val="24"/>
          <w:szCs w:val="24"/>
          <w:highlight w:val="white"/>
        </w:rPr>
        <w:t xml:space="preserve">-së. Po kështu, ajo ka arsyetuar se është e qartë që në zbatim të nenit 267 të </w:t>
      </w:r>
      <w:proofErr w:type="spellStart"/>
      <w:r w:rsidRPr="006B54C2">
        <w:rPr>
          <w:rFonts w:ascii="Garamond" w:eastAsiaTheme="minorHAnsi" w:hAnsi="Garamond"/>
          <w:sz w:val="24"/>
          <w:szCs w:val="24"/>
          <w:highlight w:val="white"/>
        </w:rPr>
        <w:t>KPP</w:t>
      </w:r>
      <w:proofErr w:type="spellEnd"/>
      <w:r w:rsidRPr="006B54C2">
        <w:rPr>
          <w:rFonts w:ascii="Garamond" w:eastAsiaTheme="minorHAnsi" w:hAnsi="Garamond"/>
          <w:sz w:val="24"/>
          <w:szCs w:val="24"/>
          <w:highlight w:val="white"/>
        </w:rPr>
        <w:t xml:space="preserve">-së afati i secilës masë sigurimi (e ndryshme nga “Arresti në burg”) përllogaritet sa dyfishi i kohëzgjatjes </w:t>
      </w:r>
      <w:r w:rsidRPr="006B54C2">
        <w:rPr>
          <w:rFonts w:ascii="Garamond" w:eastAsiaTheme="minorHAnsi" w:hAnsi="Garamond"/>
          <w:sz w:val="24"/>
          <w:szCs w:val="24"/>
          <w:highlight w:val="white"/>
        </w:rPr>
        <w:lastRenderedPageBreak/>
        <w:t xml:space="preserve">së afatit të parashikuar nga neni 263 i </w:t>
      </w:r>
      <w:proofErr w:type="spellStart"/>
      <w:r w:rsidRPr="006B54C2">
        <w:rPr>
          <w:rFonts w:ascii="Garamond" w:eastAsiaTheme="minorHAnsi" w:hAnsi="Garamond"/>
          <w:sz w:val="24"/>
          <w:szCs w:val="24"/>
          <w:highlight w:val="white"/>
        </w:rPr>
        <w:t>KPP</w:t>
      </w:r>
      <w:proofErr w:type="spellEnd"/>
      <w:r w:rsidRPr="006B54C2">
        <w:rPr>
          <w:rFonts w:ascii="Garamond" w:eastAsiaTheme="minorHAnsi" w:hAnsi="Garamond"/>
          <w:sz w:val="24"/>
          <w:szCs w:val="24"/>
          <w:highlight w:val="white"/>
        </w:rPr>
        <w:t>-së dhe fillon të ecë për secilën masë më vete nga zbatimi dhe po nga ky moment përllogaritet edhe afati i kohëzgjatjes maksimale të secilës masë.</w:t>
      </w:r>
      <w:r w:rsidR="0077042B" w:rsidRPr="006B54C2">
        <w:rPr>
          <w:rFonts w:ascii="Garamond" w:eastAsiaTheme="minorHAnsi" w:hAnsi="Garamond"/>
          <w:sz w:val="24"/>
          <w:szCs w:val="24"/>
          <w:highlight w:val="white"/>
        </w:rPr>
        <w:t xml:space="preserve"> </w:t>
      </w:r>
    </w:p>
    <w:p w14:paraId="5C512CF0" w14:textId="00475197"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35. </w:t>
      </w:r>
      <w:r w:rsidRPr="006B54C2">
        <w:rPr>
          <w:rFonts w:ascii="Garamond" w:eastAsiaTheme="minorHAnsi" w:hAnsi="Garamond"/>
          <w:sz w:val="24"/>
          <w:szCs w:val="24"/>
          <w:highlight w:val="white"/>
        </w:rPr>
        <w:t>Kundër këtij vendimi kërkuesja ka ushtruar rekurs, duke parashtruar, në mënyrë të përmbledhur, se gjykatat kanë interpretuar në mënyrë të gabuar ligjin procedural penal</w:t>
      </w:r>
      <w:r w:rsidRPr="006B54C2">
        <w:rPr>
          <w:rFonts w:ascii="Garamond" w:eastAsiaTheme="minorHAnsi" w:hAnsi="Garamond"/>
          <w:sz w:val="24"/>
          <w:szCs w:val="24"/>
        </w:rPr>
        <w:t xml:space="preserve">, pasi kohëzgjatja e masës së arrestit në shtëpi është e barabartë me kohëzgjatjen e afateve të paraburgimit, pra barazohet me paraburgimin dhe në këto kushte edhe përllogaritja e kohëzgjatjes së këtyre afateve referon në nenin 263 të </w:t>
      </w:r>
      <w:proofErr w:type="spellStart"/>
      <w:r w:rsidRPr="006B54C2">
        <w:rPr>
          <w:rFonts w:ascii="Garamond" w:eastAsiaTheme="minorHAnsi" w:hAnsi="Garamond"/>
          <w:sz w:val="24"/>
          <w:szCs w:val="24"/>
        </w:rPr>
        <w:t>KPP</w:t>
      </w:r>
      <w:proofErr w:type="spellEnd"/>
      <w:r w:rsidRPr="006B54C2">
        <w:rPr>
          <w:rFonts w:ascii="Garamond" w:eastAsiaTheme="minorHAnsi" w:hAnsi="Garamond"/>
          <w:sz w:val="24"/>
          <w:szCs w:val="24"/>
        </w:rPr>
        <w:t xml:space="preserve">-së dhe pezullimi i afateve të paraburgimit referon te neni 265 i </w:t>
      </w:r>
      <w:proofErr w:type="spellStart"/>
      <w:r w:rsidRPr="006B54C2">
        <w:rPr>
          <w:rFonts w:ascii="Garamond" w:eastAsiaTheme="minorHAnsi" w:hAnsi="Garamond"/>
          <w:sz w:val="24"/>
          <w:szCs w:val="24"/>
        </w:rPr>
        <w:t>KPP</w:t>
      </w:r>
      <w:proofErr w:type="spellEnd"/>
      <w:r w:rsidRPr="006B54C2">
        <w:rPr>
          <w:rFonts w:ascii="Garamond" w:eastAsiaTheme="minorHAnsi" w:hAnsi="Garamond"/>
          <w:sz w:val="24"/>
          <w:szCs w:val="24"/>
        </w:rPr>
        <w:t xml:space="preserve">-së. Sipas kërkueses, gjykatat nuk kanë </w:t>
      </w:r>
      <w:r w:rsidRPr="006B54C2">
        <w:rPr>
          <w:rFonts w:ascii="Garamond" w:eastAsiaTheme="minorHAnsi" w:hAnsi="Garamond"/>
          <w:sz w:val="24"/>
          <w:szCs w:val="24"/>
          <w:highlight w:val="white"/>
        </w:rPr>
        <w:t xml:space="preserve">zbatuar rregullat e neneve 237/4 dhe 263 të </w:t>
      </w:r>
      <w:proofErr w:type="spellStart"/>
      <w:r w:rsidRPr="006B54C2">
        <w:rPr>
          <w:rFonts w:ascii="Garamond" w:eastAsiaTheme="minorHAnsi" w:hAnsi="Garamond"/>
          <w:sz w:val="24"/>
          <w:szCs w:val="24"/>
          <w:highlight w:val="white"/>
        </w:rPr>
        <w:t>KPP</w:t>
      </w:r>
      <w:proofErr w:type="spellEnd"/>
      <w:r w:rsidRPr="006B54C2">
        <w:rPr>
          <w:rFonts w:ascii="Garamond" w:eastAsiaTheme="minorHAnsi" w:hAnsi="Garamond"/>
          <w:sz w:val="24"/>
          <w:szCs w:val="24"/>
          <w:highlight w:val="white"/>
        </w:rPr>
        <w:t xml:space="preserve">-së dhe as vendimet njësuese të vetë Gjykatës së Lartë. </w:t>
      </w:r>
    </w:p>
    <w:p w14:paraId="3135D9C4" w14:textId="47896681"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36. </w:t>
      </w:r>
      <w:r w:rsidRPr="006B54C2">
        <w:rPr>
          <w:rFonts w:ascii="Garamond" w:eastAsiaTheme="minorHAnsi" w:hAnsi="Garamond"/>
          <w:sz w:val="24"/>
          <w:szCs w:val="24"/>
          <w:highlight w:val="white"/>
        </w:rPr>
        <w:t xml:space="preserve">Pas shqyrtimit të rekursit, Gjykata e Lartë, me vendimin e datës 12.1.2023, mbështetur në interpretimin e neneve 420 dhe 433 të </w:t>
      </w:r>
      <w:proofErr w:type="spellStart"/>
      <w:r w:rsidRPr="006B54C2">
        <w:rPr>
          <w:rFonts w:ascii="Garamond" w:eastAsiaTheme="minorHAnsi" w:hAnsi="Garamond"/>
          <w:sz w:val="24"/>
          <w:szCs w:val="24"/>
          <w:highlight w:val="white"/>
        </w:rPr>
        <w:t>KPP</w:t>
      </w:r>
      <w:proofErr w:type="spellEnd"/>
      <w:r w:rsidRPr="006B54C2">
        <w:rPr>
          <w:rFonts w:ascii="Garamond" w:eastAsiaTheme="minorHAnsi" w:hAnsi="Garamond"/>
          <w:sz w:val="24"/>
          <w:szCs w:val="24"/>
          <w:highlight w:val="white"/>
        </w:rPr>
        <w:t>-së, ka vendosur mospranimin e tij. Në vendimin e saj Gjykata e Lartë ka konstatuar se rekursi është regjistruar në datën 13.12.2022 dhe se kërkuesja ka ngritur pretendime që kanë të bëjnë me interpretimin e gabuar të ligjit procedural penal nga gjykatat e posaçme për shuarjen e masës së sigurimit personal, pasi kanë kaluar afatet ligjore. Në vijim, Gjykata e Lartë ka vlerësuar se në momentin e shqyrtimit të rekursit masa e sigurimit, për të cilën është kërkuar shuarja, nuk është më në fuqi, për shkak se për procedimin penal ndaj kërkueses gjykata ka disponuar me vendim penal të formës së prerë. Në këto kushte, sipas Gjykatës së Lartë, rekursi nuk ka më objekt, për pasojë ajo ka disponuar mospranimin e tij.</w:t>
      </w:r>
    </w:p>
    <w:p w14:paraId="79F0013A" w14:textId="3A9E245D"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pacing w:val="2"/>
          <w:sz w:val="24"/>
          <w:szCs w:val="24"/>
        </w:rPr>
        <w:t xml:space="preserve">37. Për sa më lart, Gjykata konstaton se kërkuesja i është drejtuar Gjykatës së Lartë me rekurs për të kundërshtuar interpretimin që gjykatat më të ulëta u kanë bërë dispozitave të </w:t>
      </w:r>
      <w:proofErr w:type="spellStart"/>
      <w:r w:rsidRPr="006B54C2">
        <w:rPr>
          <w:rFonts w:ascii="Garamond" w:eastAsiaTheme="minorHAnsi" w:hAnsi="Garamond"/>
          <w:spacing w:val="2"/>
          <w:sz w:val="24"/>
          <w:szCs w:val="24"/>
        </w:rPr>
        <w:t>KPP</w:t>
      </w:r>
      <w:proofErr w:type="spellEnd"/>
      <w:r w:rsidRPr="006B54C2">
        <w:rPr>
          <w:rFonts w:ascii="Garamond" w:eastAsiaTheme="minorHAnsi" w:hAnsi="Garamond"/>
          <w:spacing w:val="2"/>
          <w:sz w:val="24"/>
          <w:szCs w:val="24"/>
        </w:rPr>
        <w:t>-së lidhur me kohëzgjatjen e masës së sigurimit “Arresti në shtëpi” për efekt të shuarjes së saj, duke parashtruar pasoja me natyrë kushtetuese. Ndërkohë, rezulton se Gjykata e Lartë ndonëse ka zgjidhur formalisht çështjen, duke vendosur mospranimin e rekursit, ajo nuk ka bërë vlerësim në substancë të shkaqeve të tij, duke u mjaftuar me faktin se masa për të cilën kishte nisur procesi ishte shuar tashmë nga vendimi gjyqësor i dënimit. Pra, Gjykata e Lartë nuk ka bërë vlerësim nëse gjykatat më të ulëta për shkak të interpretimit të ligjit procedural penal i kanë cenuar ose jo lirinë personale kërkueses për periudhën që ajo pretendonte se ka qëndruar përtej afatit të parashikuar nga ligji.</w:t>
      </w:r>
      <w:r w:rsidRPr="006B54C2">
        <w:rPr>
          <w:rFonts w:ascii="Garamond" w:eastAsiaTheme="minorHAnsi" w:hAnsi="Garamond"/>
          <w:sz w:val="24"/>
          <w:szCs w:val="24"/>
        </w:rPr>
        <w:t xml:space="preserve"> </w:t>
      </w:r>
      <w:r w:rsidRPr="006B54C2">
        <w:rPr>
          <w:rFonts w:ascii="Garamond" w:eastAsiaTheme="minorHAnsi" w:hAnsi="Garamond"/>
          <w:spacing w:val="2"/>
          <w:sz w:val="24"/>
          <w:szCs w:val="24"/>
        </w:rPr>
        <w:t xml:space="preserve">Thënë ndryshe, </w:t>
      </w:r>
      <w:r w:rsidRPr="006B54C2">
        <w:rPr>
          <w:rFonts w:ascii="Garamond" w:eastAsiaTheme="minorHAnsi" w:hAnsi="Garamond"/>
          <w:sz w:val="24"/>
          <w:szCs w:val="24"/>
        </w:rPr>
        <w:t>megjithëse Gjykata e Lartë ka konstatuar se pretendimet e kërkueses lidheshin me</w:t>
      </w:r>
      <w:r w:rsidRPr="006B54C2">
        <w:rPr>
          <w:rFonts w:ascii="Garamond" w:eastAsiaTheme="minorHAnsi" w:hAnsi="Garamond"/>
          <w:sz w:val="24"/>
          <w:szCs w:val="24"/>
          <w:highlight w:val="white"/>
        </w:rPr>
        <w:t xml:space="preserve"> interpretimin e gabuar të ligjit procedural penal nga gjykatat e posaçme</w:t>
      </w:r>
      <w:r w:rsidRPr="006B54C2">
        <w:rPr>
          <w:rFonts w:ascii="Garamond" w:eastAsiaTheme="minorHAnsi" w:hAnsi="Garamond"/>
          <w:sz w:val="24"/>
          <w:szCs w:val="24"/>
        </w:rPr>
        <w:t xml:space="preserve"> </w:t>
      </w:r>
      <w:r w:rsidRPr="006B54C2">
        <w:rPr>
          <w:rFonts w:ascii="Garamond" w:eastAsiaTheme="minorHAnsi" w:hAnsi="Garamond"/>
          <w:i/>
          <w:iCs/>
          <w:sz w:val="24"/>
          <w:szCs w:val="24"/>
        </w:rPr>
        <w:t>(shih paragrafin 15 të vendimit të Gjykatës së Lartë),</w:t>
      </w:r>
      <w:r w:rsidRPr="006B54C2">
        <w:rPr>
          <w:rFonts w:ascii="Garamond" w:eastAsiaTheme="minorHAnsi" w:hAnsi="Garamond"/>
          <w:sz w:val="24"/>
          <w:szCs w:val="24"/>
        </w:rPr>
        <w:t xml:space="preserve"> ajo nuk u ka dhënë përgjigje atyre, duke i </w:t>
      </w:r>
      <w:r w:rsidRPr="006B54C2">
        <w:rPr>
          <w:rFonts w:ascii="Garamond" w:eastAsiaTheme="minorHAnsi" w:hAnsi="Garamond"/>
          <w:spacing w:val="2"/>
          <w:sz w:val="24"/>
          <w:szCs w:val="24"/>
        </w:rPr>
        <w:t>lënë të pazgjidhura, në thelb, pasojat që kishin të bënin me një të drejtë themelore kushtetuese sikurse është kufizimi i lirisë personale.</w:t>
      </w:r>
      <w:r w:rsidR="0077042B" w:rsidRPr="006B54C2">
        <w:rPr>
          <w:rFonts w:ascii="Garamond" w:eastAsiaTheme="minorHAnsi" w:hAnsi="Garamond"/>
          <w:spacing w:val="2"/>
          <w:sz w:val="24"/>
          <w:szCs w:val="24"/>
        </w:rPr>
        <w:t xml:space="preserve"> </w:t>
      </w:r>
    </w:p>
    <w:p w14:paraId="076C03C9" w14:textId="7D2E4AB6"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38. Në kontekst të sa më sipër, Gjykata rithekson se dispozitat e </w:t>
      </w:r>
      <w:proofErr w:type="spellStart"/>
      <w:r w:rsidRPr="006B54C2">
        <w:rPr>
          <w:rFonts w:ascii="Garamond" w:eastAsiaTheme="minorHAnsi" w:hAnsi="Garamond"/>
          <w:sz w:val="24"/>
          <w:szCs w:val="24"/>
        </w:rPr>
        <w:t>KPP</w:t>
      </w:r>
      <w:proofErr w:type="spellEnd"/>
      <w:r w:rsidRPr="006B54C2">
        <w:rPr>
          <w:rFonts w:ascii="Garamond" w:eastAsiaTheme="minorHAnsi" w:hAnsi="Garamond"/>
          <w:sz w:val="24"/>
          <w:szCs w:val="24"/>
        </w:rPr>
        <w:t>-së nuk mund të interpretohen nga Kolegji Penal i Gjykatës së Lartë në mënyrë të ngushtë, të atillë që cenon thelbin e së drejtës së një individi për t’iu drejtuar asaj gjykate (</w:t>
      </w:r>
      <w:r w:rsidRPr="006B54C2">
        <w:rPr>
          <w:rFonts w:ascii="Garamond" w:eastAsiaTheme="minorHAnsi" w:hAnsi="Garamond"/>
          <w:i/>
          <w:iCs/>
          <w:sz w:val="24"/>
          <w:szCs w:val="24"/>
        </w:rPr>
        <w:t>shih vendimin nr. 5, datë 2.3.2011</w:t>
      </w:r>
      <w:r w:rsidR="00984AF4" w:rsidRPr="006B54C2">
        <w:rPr>
          <w:rFonts w:ascii="Garamond" w:eastAsiaTheme="minorHAnsi" w:hAnsi="Garamond"/>
          <w:i/>
          <w:iCs/>
          <w:sz w:val="24"/>
          <w:szCs w:val="24"/>
        </w:rPr>
        <w:t>,</w:t>
      </w:r>
      <w:r w:rsidRPr="006B54C2">
        <w:rPr>
          <w:rFonts w:ascii="Garamond" w:eastAsiaTheme="minorHAnsi" w:hAnsi="Garamond"/>
          <w:i/>
          <w:iCs/>
          <w:sz w:val="24"/>
          <w:szCs w:val="24"/>
        </w:rPr>
        <w:t xml:space="preserve"> të Gjykatës Kushtetuese</w:t>
      </w:r>
      <w:r w:rsidRPr="006B54C2">
        <w:rPr>
          <w:rFonts w:ascii="Garamond" w:eastAsiaTheme="minorHAnsi" w:hAnsi="Garamond"/>
          <w:sz w:val="24"/>
          <w:szCs w:val="24"/>
        </w:rPr>
        <w:t>) dhe se të drejtat individuale duhet të interpretohen gjithmonë në atë mënyrë që të jenë efektive (</w:t>
      </w:r>
      <w:r w:rsidRPr="006B54C2">
        <w:rPr>
          <w:rFonts w:ascii="Garamond" w:eastAsiaTheme="minorHAnsi" w:hAnsi="Garamond"/>
          <w:i/>
          <w:iCs/>
          <w:sz w:val="24"/>
          <w:szCs w:val="24"/>
        </w:rPr>
        <w:t>shih vendimin nr. 13, datë 7.3.2024</w:t>
      </w:r>
      <w:r w:rsidR="003A59A3" w:rsidRPr="006B54C2">
        <w:rPr>
          <w:rFonts w:ascii="Garamond" w:eastAsiaTheme="minorHAnsi" w:hAnsi="Garamond"/>
          <w:i/>
          <w:iCs/>
          <w:sz w:val="24"/>
          <w:szCs w:val="24"/>
        </w:rPr>
        <w:t>,</w:t>
      </w:r>
      <w:r w:rsidRPr="006B54C2">
        <w:rPr>
          <w:rFonts w:ascii="Garamond" w:eastAsiaTheme="minorHAnsi" w:hAnsi="Garamond"/>
          <w:i/>
          <w:iCs/>
          <w:sz w:val="24"/>
          <w:szCs w:val="24"/>
        </w:rPr>
        <w:t xml:space="preserve"> të Gjykatës Kushtetuese</w:t>
      </w:r>
      <w:r w:rsidRPr="006B54C2">
        <w:rPr>
          <w:rFonts w:ascii="Garamond" w:eastAsiaTheme="minorHAnsi" w:hAnsi="Garamond"/>
          <w:sz w:val="24"/>
          <w:szCs w:val="24"/>
        </w:rPr>
        <w:t xml:space="preserve">). </w:t>
      </w:r>
    </w:p>
    <w:p w14:paraId="55D9F748" w14:textId="242080BE"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39. Nga ana tjetër, Gjykata konstaton se qasja e Gjykatës së Lartë në rastin konkret nuk është në koherencë as me qëndrimin e shprehur prej asaj vetë në vendimin njësues për praktikën gjyqësore nr. 00-2021-1134 (62), datë 1.11.2021, ku, ndër të tjera, ka pohuar se në rastin e rekurseve në lëndë të masave të sigurimit, shqyrtimi i tyre lidhet ngushtësisht me pretendimet për shkelje të ligjit, pasi juridiksioni rishikues i Gjykatës së Lartë nënkupton shqyrtimin e rekurseve për shkelje të ligjit material dhe procedural, duke siguruar zbatimin uniform të ligjit ose zhvillimin e praktikës gjyqësore (</w:t>
      </w:r>
      <w:r w:rsidRPr="006B54C2">
        <w:rPr>
          <w:rFonts w:ascii="Garamond" w:eastAsiaTheme="minorHAnsi" w:hAnsi="Garamond"/>
          <w:i/>
          <w:iCs/>
          <w:sz w:val="24"/>
          <w:szCs w:val="24"/>
        </w:rPr>
        <w:t>shih paragrafët 44 dhe 45 të vendimit të Gjykatës së Lartë</w:t>
      </w:r>
      <w:r w:rsidRPr="006B54C2">
        <w:rPr>
          <w:rFonts w:ascii="Garamond" w:eastAsiaTheme="minorHAnsi" w:hAnsi="Garamond"/>
          <w:sz w:val="24"/>
          <w:szCs w:val="24"/>
        </w:rPr>
        <w:t>).</w:t>
      </w:r>
    </w:p>
    <w:p w14:paraId="25F06704" w14:textId="2000F1B4"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t xml:space="preserve">40. Për sa më lart, Gjykata, duke mbajtur në konsideratë edhe rolin </w:t>
      </w:r>
      <w:proofErr w:type="spellStart"/>
      <w:r w:rsidRPr="006B54C2">
        <w:rPr>
          <w:rFonts w:ascii="Garamond" w:eastAsiaTheme="minorHAnsi" w:hAnsi="Garamond"/>
          <w:sz w:val="24"/>
          <w:szCs w:val="24"/>
        </w:rPr>
        <w:t>subsidiar</w:t>
      </w:r>
      <w:proofErr w:type="spellEnd"/>
      <w:r w:rsidRPr="006B54C2">
        <w:rPr>
          <w:rFonts w:ascii="Garamond" w:eastAsiaTheme="minorHAnsi" w:hAnsi="Garamond"/>
          <w:sz w:val="24"/>
          <w:szCs w:val="24"/>
        </w:rPr>
        <w:t xml:space="preserve"> të saj në respektimin e të drejtave dhe lirive themelore të njeriut, vlerëson se Gjykata e Lartë duke mos kontrolluar ligjshmërinë e vendimmarrjes së gjykatave të faktit, ndonëse është ndodhur para pretendimeve për interpretim të gabuar të ligjit prej tyre, ka cenuar të drejtën e kërkueses për proces të rregullt ligjor. Për rrjedhojë, pretendimi i kërkueses për cenimin e së drejtës së </w:t>
      </w:r>
      <w:proofErr w:type="spellStart"/>
      <w:r w:rsidRPr="006B54C2">
        <w:rPr>
          <w:rFonts w:ascii="Garamond" w:eastAsiaTheme="minorHAnsi" w:hAnsi="Garamond"/>
          <w:sz w:val="24"/>
          <w:szCs w:val="24"/>
        </w:rPr>
        <w:t>aksesit</w:t>
      </w:r>
      <w:proofErr w:type="spellEnd"/>
      <w:r w:rsidRPr="006B54C2">
        <w:rPr>
          <w:rFonts w:ascii="Garamond" w:eastAsiaTheme="minorHAnsi" w:hAnsi="Garamond"/>
          <w:sz w:val="24"/>
          <w:szCs w:val="24"/>
        </w:rPr>
        <w:t xml:space="preserve"> të lidhur me kufizimin e lirisë personale gjatë gjykimit të rekursit është i bazuar. </w:t>
      </w:r>
    </w:p>
    <w:p w14:paraId="12ACC079" w14:textId="010B65D2" w:rsidR="00D27390" w:rsidRPr="006B54C2" w:rsidRDefault="00D27390" w:rsidP="00D27390">
      <w:pPr>
        <w:tabs>
          <w:tab w:val="left" w:pos="1080"/>
          <w:tab w:val="left" w:pos="1170"/>
        </w:tabs>
        <w:autoSpaceDE w:val="0"/>
        <w:autoSpaceDN w:val="0"/>
        <w:adjustRightInd w:val="0"/>
        <w:spacing w:after="0" w:line="240" w:lineRule="auto"/>
        <w:ind w:firstLine="284"/>
        <w:jc w:val="both"/>
        <w:rPr>
          <w:rFonts w:ascii="Garamond" w:eastAsiaTheme="minorHAnsi" w:hAnsi="Garamond"/>
          <w:sz w:val="24"/>
          <w:szCs w:val="24"/>
        </w:rPr>
      </w:pPr>
      <w:r w:rsidRPr="006B54C2">
        <w:rPr>
          <w:rFonts w:ascii="Garamond" w:eastAsiaTheme="minorHAnsi" w:hAnsi="Garamond"/>
          <w:sz w:val="24"/>
          <w:szCs w:val="24"/>
        </w:rPr>
        <w:lastRenderedPageBreak/>
        <w:t>41. Në përfundim, Gjykata vlerëson se pretendimet e kërkueses janë të bazuara, sipas arsyetimit të mësipërm, ndaj kërkesa pranohet.</w:t>
      </w:r>
    </w:p>
    <w:p w14:paraId="0860A865" w14:textId="77777777" w:rsidR="00D27390" w:rsidRPr="006B54C2" w:rsidRDefault="00D27390" w:rsidP="00D27390">
      <w:pPr>
        <w:tabs>
          <w:tab w:val="left" w:pos="1080"/>
          <w:tab w:val="left" w:pos="1440"/>
        </w:tabs>
        <w:autoSpaceDE w:val="0"/>
        <w:autoSpaceDN w:val="0"/>
        <w:adjustRightInd w:val="0"/>
        <w:spacing w:after="0" w:line="240" w:lineRule="auto"/>
        <w:ind w:firstLine="284"/>
        <w:jc w:val="both"/>
        <w:rPr>
          <w:rFonts w:ascii="Garamond" w:eastAsiaTheme="minorHAnsi" w:hAnsi="Garamond"/>
          <w:sz w:val="24"/>
          <w:szCs w:val="24"/>
        </w:rPr>
      </w:pPr>
    </w:p>
    <w:p w14:paraId="7F28D446" w14:textId="77777777" w:rsidR="00D27390" w:rsidRPr="006B54C2" w:rsidRDefault="00D27390" w:rsidP="00D27390">
      <w:pPr>
        <w:autoSpaceDE w:val="0"/>
        <w:autoSpaceDN w:val="0"/>
        <w:adjustRightInd w:val="0"/>
        <w:spacing w:after="0" w:line="240" w:lineRule="auto"/>
        <w:ind w:firstLine="284"/>
        <w:jc w:val="center"/>
        <w:rPr>
          <w:rFonts w:ascii="Garamond" w:eastAsiaTheme="minorHAnsi" w:hAnsi="Garamond"/>
          <w:sz w:val="24"/>
          <w:szCs w:val="24"/>
        </w:rPr>
      </w:pPr>
      <w:r w:rsidRPr="006B54C2">
        <w:rPr>
          <w:rFonts w:ascii="Garamond" w:eastAsiaTheme="minorHAnsi" w:hAnsi="Garamond"/>
          <w:bCs/>
          <w:sz w:val="24"/>
          <w:szCs w:val="24"/>
        </w:rPr>
        <w:t>PËR KËTO ARSYE,</w:t>
      </w:r>
    </w:p>
    <w:p w14:paraId="272A2EE1" w14:textId="77777777" w:rsidR="006C7BA4" w:rsidRPr="006B54C2" w:rsidRDefault="006C7BA4" w:rsidP="00D27390">
      <w:pPr>
        <w:suppressAutoHyphens/>
        <w:autoSpaceDE w:val="0"/>
        <w:autoSpaceDN w:val="0"/>
        <w:adjustRightInd w:val="0"/>
        <w:spacing w:after="0" w:line="240" w:lineRule="auto"/>
        <w:ind w:firstLine="284"/>
        <w:jc w:val="both"/>
        <w:rPr>
          <w:rFonts w:ascii="Garamond" w:eastAsiaTheme="minorHAnsi" w:hAnsi="Garamond" w:cs="Calibri"/>
          <w:sz w:val="24"/>
          <w:szCs w:val="24"/>
        </w:rPr>
      </w:pPr>
    </w:p>
    <w:p w14:paraId="5C647A5D" w14:textId="5B12F0B6" w:rsidR="00D27390" w:rsidRPr="006B54C2" w:rsidRDefault="00D27390" w:rsidP="00D27390">
      <w:pPr>
        <w:suppressAutoHyphens/>
        <w:autoSpaceDE w:val="0"/>
        <w:autoSpaceDN w:val="0"/>
        <w:adjustRightInd w:val="0"/>
        <w:spacing w:after="0" w:line="240" w:lineRule="auto"/>
        <w:ind w:firstLine="284"/>
        <w:jc w:val="both"/>
        <w:rPr>
          <w:rFonts w:ascii="Garamond" w:eastAsiaTheme="minorHAnsi" w:hAnsi="Garamond" w:cs="Calibri"/>
          <w:sz w:val="24"/>
          <w:szCs w:val="24"/>
        </w:rPr>
      </w:pPr>
      <w:r w:rsidRPr="006B54C2">
        <w:rPr>
          <w:rFonts w:ascii="Garamond" w:eastAsiaTheme="minorHAnsi" w:hAnsi="Garamond" w:cs="Calibri"/>
          <w:sz w:val="24"/>
          <w:szCs w:val="24"/>
        </w:rPr>
        <w:t xml:space="preserve">Gjykata Kushtetuese, në mbështetje të neneve 131, pika 1, shkronja </w:t>
      </w:r>
      <w:r w:rsidRPr="006B54C2">
        <w:rPr>
          <w:rFonts w:ascii="Garamond" w:eastAsiaTheme="minorHAnsi" w:hAnsi="Garamond"/>
          <w:sz w:val="24"/>
          <w:szCs w:val="24"/>
        </w:rPr>
        <w:t>“</w:t>
      </w:r>
      <w:r w:rsidRPr="006B54C2">
        <w:rPr>
          <w:rFonts w:ascii="Garamond" w:eastAsiaTheme="minorHAnsi" w:hAnsi="Garamond" w:cs="Calibri"/>
          <w:sz w:val="24"/>
          <w:szCs w:val="24"/>
        </w:rPr>
        <w:t>f</w:t>
      </w:r>
      <w:r w:rsidRPr="006B54C2">
        <w:rPr>
          <w:rFonts w:ascii="Garamond" w:eastAsiaTheme="minorHAnsi" w:hAnsi="Garamond"/>
          <w:sz w:val="24"/>
          <w:szCs w:val="24"/>
        </w:rPr>
        <w:t>”</w:t>
      </w:r>
      <w:r w:rsidRPr="006B54C2">
        <w:rPr>
          <w:rFonts w:ascii="Garamond" w:eastAsiaTheme="minorHAnsi" w:hAnsi="Garamond" w:cs="Calibri"/>
          <w:sz w:val="24"/>
          <w:szCs w:val="24"/>
        </w:rPr>
        <w:t xml:space="preserve"> dhe 134, pika 1, shkronja </w:t>
      </w:r>
      <w:r w:rsidRPr="006B54C2">
        <w:rPr>
          <w:rFonts w:ascii="Garamond" w:eastAsiaTheme="minorHAnsi" w:hAnsi="Garamond"/>
          <w:sz w:val="24"/>
          <w:szCs w:val="24"/>
        </w:rPr>
        <w:t>“</w:t>
      </w:r>
      <w:r w:rsidRPr="006B54C2">
        <w:rPr>
          <w:rFonts w:ascii="Garamond" w:eastAsiaTheme="minorHAnsi" w:hAnsi="Garamond" w:cs="Calibri"/>
          <w:sz w:val="24"/>
          <w:szCs w:val="24"/>
        </w:rPr>
        <w:t>i</w:t>
      </w:r>
      <w:r w:rsidRPr="006B54C2">
        <w:rPr>
          <w:rFonts w:ascii="Garamond" w:eastAsiaTheme="minorHAnsi" w:hAnsi="Garamond"/>
          <w:sz w:val="24"/>
          <w:szCs w:val="24"/>
        </w:rPr>
        <w:t>”</w:t>
      </w:r>
      <w:r w:rsidRPr="006B54C2">
        <w:rPr>
          <w:rFonts w:ascii="Garamond" w:eastAsiaTheme="minorHAnsi" w:hAnsi="Garamond" w:cs="Calibri"/>
          <w:sz w:val="24"/>
          <w:szCs w:val="24"/>
        </w:rPr>
        <w:t>, të Kushtetutës, si dhe neneve 71 dhe 72 të ligjit nr. 8577, datë 10.2.2000</w:t>
      </w:r>
      <w:r w:rsidR="0077042B" w:rsidRPr="006B54C2">
        <w:rPr>
          <w:rFonts w:ascii="Garamond" w:eastAsiaTheme="minorHAnsi" w:hAnsi="Garamond" w:cs="Calibri"/>
          <w:sz w:val="24"/>
          <w:szCs w:val="24"/>
        </w:rPr>
        <w:t>,</w:t>
      </w:r>
      <w:r w:rsidRPr="006B54C2">
        <w:rPr>
          <w:rFonts w:ascii="Garamond" w:eastAsiaTheme="minorHAnsi" w:hAnsi="Garamond" w:cs="Calibri"/>
          <w:sz w:val="24"/>
          <w:szCs w:val="24"/>
        </w:rPr>
        <w:t xml:space="preserve"> </w:t>
      </w:r>
      <w:r w:rsidRPr="006B54C2">
        <w:rPr>
          <w:rFonts w:ascii="Garamond" w:eastAsiaTheme="minorHAnsi" w:hAnsi="Garamond"/>
          <w:sz w:val="24"/>
          <w:szCs w:val="24"/>
        </w:rPr>
        <w:t>“</w:t>
      </w:r>
      <w:r w:rsidRPr="006B54C2">
        <w:rPr>
          <w:rFonts w:ascii="Garamond" w:eastAsiaTheme="minorHAnsi" w:hAnsi="Garamond" w:cs="Calibri"/>
          <w:sz w:val="24"/>
          <w:szCs w:val="24"/>
        </w:rPr>
        <w:t>Për organizimin dhe funksionimin e Gjykatës Kushtetuese të Republikës së Shqipërisë</w:t>
      </w:r>
      <w:r w:rsidRPr="006B54C2">
        <w:rPr>
          <w:rFonts w:ascii="Garamond" w:eastAsiaTheme="minorHAnsi" w:hAnsi="Garamond"/>
          <w:sz w:val="24"/>
          <w:szCs w:val="24"/>
        </w:rPr>
        <w:t>”</w:t>
      </w:r>
      <w:r w:rsidRPr="006B54C2">
        <w:rPr>
          <w:rFonts w:ascii="Garamond" w:eastAsiaTheme="minorHAnsi" w:hAnsi="Garamond" w:cs="Calibri"/>
          <w:sz w:val="24"/>
          <w:szCs w:val="24"/>
        </w:rPr>
        <w:t>, të ndryshuar, njëzëri, </w:t>
      </w:r>
    </w:p>
    <w:p w14:paraId="15B72239" w14:textId="77777777" w:rsidR="00D27390" w:rsidRPr="006B54C2" w:rsidRDefault="00D27390" w:rsidP="00D27390">
      <w:pPr>
        <w:autoSpaceDE w:val="0"/>
        <w:autoSpaceDN w:val="0"/>
        <w:adjustRightInd w:val="0"/>
        <w:spacing w:after="0" w:line="240" w:lineRule="auto"/>
        <w:ind w:firstLine="284"/>
        <w:jc w:val="both"/>
        <w:rPr>
          <w:rFonts w:ascii="Garamond" w:eastAsiaTheme="minorHAnsi" w:hAnsi="Garamond"/>
          <w:sz w:val="24"/>
          <w:szCs w:val="24"/>
        </w:rPr>
      </w:pPr>
    </w:p>
    <w:p w14:paraId="2DA88F6B" w14:textId="4738784F" w:rsidR="00D27390" w:rsidRPr="006B54C2" w:rsidRDefault="00D27390" w:rsidP="00D27390">
      <w:pPr>
        <w:autoSpaceDE w:val="0"/>
        <w:autoSpaceDN w:val="0"/>
        <w:adjustRightInd w:val="0"/>
        <w:spacing w:after="0" w:line="240" w:lineRule="auto"/>
        <w:ind w:firstLine="284"/>
        <w:jc w:val="center"/>
        <w:rPr>
          <w:rFonts w:ascii="Garamond" w:eastAsiaTheme="minorHAnsi" w:hAnsi="Garamond"/>
          <w:bCs/>
          <w:sz w:val="24"/>
          <w:szCs w:val="24"/>
        </w:rPr>
      </w:pPr>
      <w:r w:rsidRPr="006B54C2">
        <w:rPr>
          <w:rFonts w:ascii="Garamond" w:eastAsiaTheme="minorHAnsi" w:hAnsi="Garamond"/>
          <w:bCs/>
          <w:sz w:val="24"/>
          <w:szCs w:val="24"/>
        </w:rPr>
        <w:t>VENDOSI:</w:t>
      </w:r>
    </w:p>
    <w:p w14:paraId="3692C3E1" w14:textId="0B5B17BA" w:rsidR="00D27390" w:rsidRPr="006B54C2" w:rsidRDefault="009114F7" w:rsidP="00D27390">
      <w:pPr>
        <w:tabs>
          <w:tab w:val="left" w:pos="1080"/>
        </w:tabs>
        <w:autoSpaceDE w:val="0"/>
        <w:autoSpaceDN w:val="0"/>
        <w:adjustRightInd w:val="0"/>
        <w:spacing w:after="0" w:line="240" w:lineRule="auto"/>
        <w:ind w:firstLine="284"/>
        <w:jc w:val="both"/>
        <w:rPr>
          <w:rFonts w:ascii="Garamond" w:eastAsiaTheme="minorHAnsi" w:hAnsi="Garamond" w:cs="Calibri"/>
          <w:sz w:val="24"/>
          <w:szCs w:val="24"/>
          <w:highlight w:val="white"/>
        </w:rPr>
      </w:pPr>
      <w:r>
        <w:rPr>
          <w:rFonts w:ascii="Garamond" w:eastAsiaTheme="minorHAnsi" w:hAnsi="Garamond" w:cs="Calibri"/>
          <w:sz w:val="24"/>
          <w:szCs w:val="24"/>
          <w:highlight w:val="white"/>
        </w:rPr>
        <w:t xml:space="preserve">1. </w:t>
      </w:r>
      <w:r w:rsidR="00D27390" w:rsidRPr="006B54C2">
        <w:rPr>
          <w:rFonts w:ascii="Garamond" w:eastAsiaTheme="minorHAnsi" w:hAnsi="Garamond" w:cs="Calibri"/>
          <w:sz w:val="24"/>
          <w:szCs w:val="24"/>
          <w:highlight w:val="white"/>
        </w:rPr>
        <w:t xml:space="preserve">Pranimin e kërkesës. </w:t>
      </w:r>
    </w:p>
    <w:p w14:paraId="37715792" w14:textId="4C9A8C9C" w:rsidR="00D27390" w:rsidRPr="006B54C2" w:rsidRDefault="009114F7" w:rsidP="00D27390">
      <w:pPr>
        <w:tabs>
          <w:tab w:val="left" w:pos="1080"/>
        </w:tabs>
        <w:autoSpaceDE w:val="0"/>
        <w:autoSpaceDN w:val="0"/>
        <w:adjustRightInd w:val="0"/>
        <w:spacing w:after="0" w:line="240" w:lineRule="auto"/>
        <w:ind w:firstLine="284"/>
        <w:jc w:val="both"/>
        <w:rPr>
          <w:rFonts w:ascii="Garamond" w:eastAsiaTheme="minorHAnsi" w:hAnsi="Garamond" w:cs="Calibri"/>
          <w:sz w:val="24"/>
          <w:szCs w:val="24"/>
          <w:highlight w:val="white"/>
        </w:rPr>
      </w:pPr>
      <w:r>
        <w:rPr>
          <w:rFonts w:ascii="Garamond" w:eastAsiaTheme="minorHAnsi" w:hAnsi="Garamond" w:cs="Calibri"/>
          <w:sz w:val="24"/>
          <w:szCs w:val="24"/>
          <w:highlight w:val="white"/>
        </w:rPr>
        <w:t xml:space="preserve">2. </w:t>
      </w:r>
      <w:r w:rsidR="00D27390" w:rsidRPr="006B54C2">
        <w:rPr>
          <w:rFonts w:ascii="Garamond" w:eastAsiaTheme="minorHAnsi" w:hAnsi="Garamond" w:cs="Calibri"/>
          <w:sz w:val="24"/>
          <w:szCs w:val="24"/>
          <w:highlight w:val="white"/>
        </w:rPr>
        <w:t>Shfuqizimin e vendimit nr. 00-2023-8, datë 12.1.2023</w:t>
      </w:r>
      <w:r w:rsidR="00984AF4" w:rsidRPr="006B54C2">
        <w:rPr>
          <w:rFonts w:ascii="Garamond" w:eastAsiaTheme="minorHAnsi" w:hAnsi="Garamond" w:cs="Calibri"/>
          <w:sz w:val="24"/>
          <w:szCs w:val="24"/>
          <w:highlight w:val="white"/>
        </w:rPr>
        <w:t>,</w:t>
      </w:r>
      <w:r w:rsidR="00D27390" w:rsidRPr="006B54C2">
        <w:rPr>
          <w:rFonts w:ascii="Garamond" w:eastAsiaTheme="minorHAnsi" w:hAnsi="Garamond" w:cs="Calibri"/>
          <w:sz w:val="24"/>
          <w:szCs w:val="24"/>
          <w:highlight w:val="white"/>
        </w:rPr>
        <w:t xml:space="preserve"> të Gjykatës së Lartë</w:t>
      </w:r>
      <w:r w:rsidR="00D27390" w:rsidRPr="006B54C2">
        <w:rPr>
          <w:rFonts w:ascii="Garamond" w:eastAsiaTheme="minorHAnsi" w:hAnsi="Garamond" w:cs="Calibri"/>
          <w:sz w:val="24"/>
          <w:szCs w:val="24"/>
        </w:rPr>
        <w:t xml:space="preserve">. </w:t>
      </w:r>
    </w:p>
    <w:p w14:paraId="123944CC" w14:textId="275EE506" w:rsidR="00D27390" w:rsidRPr="006B54C2" w:rsidRDefault="009114F7" w:rsidP="00D27390">
      <w:pPr>
        <w:tabs>
          <w:tab w:val="left" w:pos="1080"/>
        </w:tabs>
        <w:autoSpaceDE w:val="0"/>
        <w:autoSpaceDN w:val="0"/>
        <w:adjustRightInd w:val="0"/>
        <w:spacing w:after="0" w:line="240" w:lineRule="auto"/>
        <w:ind w:firstLine="284"/>
        <w:jc w:val="both"/>
        <w:rPr>
          <w:rFonts w:ascii="Garamond" w:eastAsiaTheme="minorHAnsi" w:hAnsi="Garamond" w:cs="Calibri"/>
          <w:sz w:val="24"/>
          <w:szCs w:val="24"/>
          <w:highlight w:val="white"/>
        </w:rPr>
      </w:pPr>
      <w:r>
        <w:rPr>
          <w:rFonts w:ascii="Garamond" w:eastAsiaTheme="minorHAnsi" w:hAnsi="Garamond" w:cs="Calibri"/>
          <w:sz w:val="24"/>
          <w:szCs w:val="24"/>
          <w:highlight w:val="white"/>
        </w:rPr>
        <w:t xml:space="preserve">3. </w:t>
      </w:r>
      <w:r w:rsidR="00D27390" w:rsidRPr="006B54C2">
        <w:rPr>
          <w:rFonts w:ascii="Garamond" w:eastAsiaTheme="minorHAnsi" w:hAnsi="Garamond" w:cs="Calibri"/>
          <w:sz w:val="24"/>
          <w:szCs w:val="24"/>
          <w:highlight w:val="white"/>
        </w:rPr>
        <w:t>Dërgimin për shqyrtim pranë Kolegjit Penal të Gjykatës së Lartë.</w:t>
      </w:r>
    </w:p>
    <w:p w14:paraId="3A1107E6" w14:textId="7E84DEF5" w:rsidR="00D27390" w:rsidRPr="006B54C2" w:rsidRDefault="00D27390" w:rsidP="00D27390">
      <w:pPr>
        <w:tabs>
          <w:tab w:val="left" w:pos="90"/>
          <w:tab w:val="left" w:pos="720"/>
        </w:tabs>
        <w:autoSpaceDE w:val="0"/>
        <w:autoSpaceDN w:val="0"/>
        <w:adjustRightInd w:val="0"/>
        <w:spacing w:after="0" w:line="240" w:lineRule="auto"/>
        <w:ind w:firstLine="284"/>
        <w:jc w:val="both"/>
        <w:rPr>
          <w:rFonts w:ascii="Garamond" w:eastAsiaTheme="minorHAnsi" w:hAnsi="Garamond"/>
          <w:sz w:val="24"/>
          <w:szCs w:val="24"/>
        </w:rPr>
      </w:pPr>
      <w:bookmarkStart w:id="0" w:name="_GoBack"/>
      <w:bookmarkEnd w:id="0"/>
      <w:r w:rsidRPr="006B54C2">
        <w:rPr>
          <w:rFonts w:ascii="Garamond" w:eastAsiaTheme="minorHAnsi" w:hAnsi="Garamond"/>
          <w:sz w:val="24"/>
          <w:szCs w:val="24"/>
        </w:rPr>
        <w:t>Ky vendim është përfundimtar dhe hyn në fuqi ditën e botimit në Fletoren</w:t>
      </w:r>
      <w:r w:rsidRPr="006B54C2">
        <w:rPr>
          <w:rFonts w:ascii="Garamond" w:eastAsiaTheme="minorHAnsi" w:hAnsi="Garamond"/>
          <w:b/>
          <w:bCs/>
          <w:sz w:val="24"/>
          <w:szCs w:val="24"/>
        </w:rPr>
        <w:t xml:space="preserve"> </w:t>
      </w:r>
      <w:r w:rsidRPr="006B54C2">
        <w:rPr>
          <w:rFonts w:ascii="Garamond" w:eastAsiaTheme="minorHAnsi" w:hAnsi="Garamond"/>
          <w:sz w:val="24"/>
          <w:szCs w:val="24"/>
        </w:rPr>
        <w:t>Zyrtare.</w:t>
      </w:r>
    </w:p>
    <w:p w14:paraId="645CC0E2" w14:textId="77777777" w:rsidR="0077042B" w:rsidRPr="006B54C2" w:rsidRDefault="0077042B" w:rsidP="00D27390">
      <w:pPr>
        <w:autoSpaceDE w:val="0"/>
        <w:autoSpaceDN w:val="0"/>
        <w:adjustRightInd w:val="0"/>
        <w:spacing w:after="0" w:line="240" w:lineRule="auto"/>
        <w:ind w:firstLine="284"/>
        <w:rPr>
          <w:rFonts w:ascii="Garamond" w:eastAsiaTheme="minorHAnsi" w:hAnsi="Garamond"/>
          <w:b/>
          <w:bCs/>
          <w:sz w:val="24"/>
          <w:szCs w:val="24"/>
        </w:rPr>
      </w:pPr>
    </w:p>
    <w:p w14:paraId="3A68C877" w14:textId="16AC2038" w:rsidR="00D27390" w:rsidRPr="006B54C2" w:rsidRDefault="00D27390" w:rsidP="00D27390">
      <w:pPr>
        <w:autoSpaceDE w:val="0"/>
        <w:autoSpaceDN w:val="0"/>
        <w:adjustRightInd w:val="0"/>
        <w:spacing w:after="0" w:line="240" w:lineRule="auto"/>
        <w:ind w:firstLine="284"/>
        <w:rPr>
          <w:rFonts w:ascii="Garamond" w:eastAsiaTheme="minorHAnsi" w:hAnsi="Garamond"/>
          <w:b/>
          <w:bCs/>
          <w:sz w:val="24"/>
          <w:szCs w:val="24"/>
        </w:rPr>
      </w:pPr>
      <w:r w:rsidRPr="006B54C2">
        <w:rPr>
          <w:rFonts w:ascii="Garamond" w:eastAsiaTheme="minorHAnsi" w:hAnsi="Garamond"/>
          <w:b/>
          <w:bCs/>
          <w:sz w:val="24"/>
          <w:szCs w:val="24"/>
        </w:rPr>
        <w:t>Marrë më 13.3.2024</w:t>
      </w:r>
      <w:r w:rsidR="0077042B" w:rsidRPr="006B54C2">
        <w:rPr>
          <w:rFonts w:ascii="Garamond" w:eastAsiaTheme="minorHAnsi" w:hAnsi="Garamond"/>
          <w:b/>
          <w:bCs/>
          <w:sz w:val="24"/>
          <w:szCs w:val="24"/>
        </w:rPr>
        <w:t>.</w:t>
      </w:r>
    </w:p>
    <w:p w14:paraId="60DF42C3" w14:textId="7C1633FE" w:rsidR="00D27390" w:rsidRPr="006B54C2" w:rsidRDefault="00D27390" w:rsidP="00D27390">
      <w:pPr>
        <w:autoSpaceDE w:val="0"/>
        <w:autoSpaceDN w:val="0"/>
        <w:adjustRightInd w:val="0"/>
        <w:spacing w:after="0" w:line="240" w:lineRule="auto"/>
        <w:ind w:firstLine="284"/>
        <w:rPr>
          <w:rFonts w:ascii="Garamond" w:eastAsiaTheme="minorHAnsi" w:hAnsi="Garamond"/>
          <w:b/>
          <w:bCs/>
          <w:sz w:val="24"/>
          <w:szCs w:val="24"/>
        </w:rPr>
      </w:pPr>
      <w:r w:rsidRPr="006B54C2">
        <w:rPr>
          <w:rFonts w:ascii="Garamond" w:eastAsiaTheme="minorHAnsi" w:hAnsi="Garamond"/>
          <w:b/>
          <w:bCs/>
          <w:sz w:val="24"/>
          <w:szCs w:val="24"/>
        </w:rPr>
        <w:t>Shpallur më 12.4.2024</w:t>
      </w:r>
      <w:r w:rsidR="0077042B" w:rsidRPr="006B54C2">
        <w:rPr>
          <w:rFonts w:ascii="Garamond" w:eastAsiaTheme="minorHAnsi" w:hAnsi="Garamond"/>
          <w:b/>
          <w:bCs/>
          <w:sz w:val="24"/>
          <w:szCs w:val="24"/>
        </w:rPr>
        <w:t>.</w:t>
      </w:r>
    </w:p>
    <w:p w14:paraId="70112241" w14:textId="5C6C5A4B" w:rsidR="00D27390" w:rsidRPr="006B54C2" w:rsidRDefault="00D27390" w:rsidP="00D27390">
      <w:pPr>
        <w:autoSpaceDE w:val="0"/>
        <w:autoSpaceDN w:val="0"/>
        <w:adjustRightInd w:val="0"/>
        <w:spacing w:after="0" w:line="240" w:lineRule="auto"/>
        <w:ind w:firstLine="284"/>
        <w:rPr>
          <w:rFonts w:ascii="Garamond" w:eastAsiaTheme="minorHAnsi" w:hAnsi="Garamond"/>
          <w:sz w:val="24"/>
          <w:szCs w:val="24"/>
        </w:rPr>
      </w:pPr>
    </w:p>
    <w:p w14:paraId="43D0E928" w14:textId="11DD515E" w:rsidR="006C7BA4" w:rsidRPr="006B54C2" w:rsidRDefault="006C7BA4" w:rsidP="00D27390">
      <w:pPr>
        <w:autoSpaceDE w:val="0"/>
        <w:autoSpaceDN w:val="0"/>
        <w:adjustRightInd w:val="0"/>
        <w:spacing w:after="0" w:line="240" w:lineRule="auto"/>
        <w:ind w:firstLine="284"/>
        <w:rPr>
          <w:rFonts w:ascii="Garamond" w:eastAsiaTheme="minorHAnsi" w:hAnsi="Garamond"/>
          <w:bCs/>
          <w:sz w:val="24"/>
          <w:szCs w:val="24"/>
        </w:rPr>
      </w:pPr>
      <w:r w:rsidRPr="006B54C2">
        <w:rPr>
          <w:rFonts w:ascii="Garamond" w:eastAsiaTheme="minorHAnsi" w:hAnsi="Garamond"/>
          <w:b/>
          <w:sz w:val="24"/>
          <w:szCs w:val="24"/>
        </w:rPr>
        <w:t>Kryetare</w:t>
      </w:r>
      <w:r w:rsidRPr="006B54C2">
        <w:rPr>
          <w:rFonts w:ascii="Garamond" w:eastAsiaTheme="minorHAnsi" w:hAnsi="Garamond"/>
          <w:sz w:val="24"/>
          <w:szCs w:val="24"/>
        </w:rPr>
        <w:t>:</w:t>
      </w:r>
      <w:r w:rsidRPr="006B54C2">
        <w:rPr>
          <w:rFonts w:ascii="Garamond" w:eastAsiaTheme="minorHAnsi" w:hAnsi="Garamond"/>
          <w:bCs/>
          <w:sz w:val="24"/>
          <w:szCs w:val="24"/>
        </w:rPr>
        <w:t xml:space="preserve"> </w:t>
      </w:r>
      <w:proofErr w:type="spellStart"/>
      <w:r w:rsidRPr="006B54C2">
        <w:rPr>
          <w:rFonts w:ascii="Garamond" w:eastAsiaTheme="minorHAnsi" w:hAnsi="Garamond"/>
          <w:bCs/>
          <w:sz w:val="24"/>
          <w:szCs w:val="24"/>
        </w:rPr>
        <w:t>Holta</w:t>
      </w:r>
      <w:proofErr w:type="spellEnd"/>
      <w:r w:rsidRPr="006B54C2">
        <w:rPr>
          <w:rFonts w:ascii="Garamond" w:eastAsiaTheme="minorHAnsi" w:hAnsi="Garamond"/>
          <w:bCs/>
          <w:sz w:val="24"/>
          <w:szCs w:val="24"/>
        </w:rPr>
        <w:t xml:space="preserve"> </w:t>
      </w:r>
      <w:proofErr w:type="spellStart"/>
      <w:r w:rsidRPr="006B54C2">
        <w:rPr>
          <w:rFonts w:ascii="Garamond" w:eastAsiaTheme="minorHAnsi" w:hAnsi="Garamond"/>
          <w:bCs/>
          <w:sz w:val="24"/>
          <w:szCs w:val="24"/>
        </w:rPr>
        <w:t>Zaçaj</w:t>
      </w:r>
      <w:proofErr w:type="spellEnd"/>
    </w:p>
    <w:p w14:paraId="7287350C" w14:textId="529DBAC8" w:rsidR="006C7BA4" w:rsidRPr="006B54C2" w:rsidRDefault="006C7BA4" w:rsidP="00D27390">
      <w:pPr>
        <w:autoSpaceDE w:val="0"/>
        <w:autoSpaceDN w:val="0"/>
        <w:adjustRightInd w:val="0"/>
        <w:spacing w:after="0" w:line="240" w:lineRule="auto"/>
        <w:ind w:firstLine="284"/>
        <w:rPr>
          <w:rFonts w:ascii="Garamond" w:eastAsiaTheme="minorHAnsi" w:hAnsi="Garamond"/>
          <w:sz w:val="24"/>
          <w:szCs w:val="24"/>
        </w:rPr>
      </w:pPr>
      <w:r w:rsidRPr="006B54C2">
        <w:rPr>
          <w:rFonts w:ascii="Garamond" w:eastAsiaTheme="minorHAnsi" w:hAnsi="Garamond"/>
          <w:b/>
          <w:sz w:val="24"/>
          <w:szCs w:val="24"/>
        </w:rPr>
        <w:t>Anëtarë</w:t>
      </w:r>
      <w:r w:rsidRPr="006B54C2">
        <w:rPr>
          <w:rFonts w:ascii="Garamond" w:eastAsiaTheme="minorHAnsi" w:hAnsi="Garamond"/>
          <w:sz w:val="24"/>
          <w:szCs w:val="24"/>
        </w:rPr>
        <w:t xml:space="preserve">: </w:t>
      </w:r>
      <w:proofErr w:type="spellStart"/>
      <w:r w:rsidRPr="006B54C2">
        <w:rPr>
          <w:rFonts w:ascii="Garamond" w:eastAsiaTheme="minorHAnsi" w:hAnsi="Garamond"/>
          <w:bCs/>
          <w:sz w:val="24"/>
          <w:szCs w:val="24"/>
        </w:rPr>
        <w:t>Fiona</w:t>
      </w:r>
      <w:proofErr w:type="spellEnd"/>
      <w:r w:rsidRPr="006B54C2">
        <w:rPr>
          <w:rFonts w:ascii="Garamond" w:eastAsiaTheme="minorHAnsi" w:hAnsi="Garamond"/>
          <w:bCs/>
          <w:sz w:val="24"/>
          <w:szCs w:val="24"/>
        </w:rPr>
        <w:t xml:space="preserve"> </w:t>
      </w:r>
      <w:proofErr w:type="spellStart"/>
      <w:r w:rsidRPr="006B54C2">
        <w:rPr>
          <w:rFonts w:ascii="Garamond" w:eastAsiaTheme="minorHAnsi" w:hAnsi="Garamond"/>
          <w:bCs/>
          <w:sz w:val="24"/>
          <w:szCs w:val="24"/>
        </w:rPr>
        <w:t>Papajorgji</w:t>
      </w:r>
      <w:proofErr w:type="spellEnd"/>
      <w:r w:rsidRPr="006B54C2">
        <w:rPr>
          <w:rFonts w:ascii="Garamond" w:eastAsiaTheme="minorHAnsi" w:hAnsi="Garamond"/>
          <w:bCs/>
          <w:sz w:val="24"/>
          <w:szCs w:val="24"/>
        </w:rPr>
        <w:t xml:space="preserve">, </w:t>
      </w:r>
      <w:proofErr w:type="spellStart"/>
      <w:r w:rsidRPr="006B54C2">
        <w:rPr>
          <w:rFonts w:ascii="Garamond" w:eastAsiaTheme="minorHAnsi" w:hAnsi="Garamond"/>
          <w:bCs/>
          <w:sz w:val="24"/>
          <w:szCs w:val="24"/>
        </w:rPr>
        <w:t>Marsida</w:t>
      </w:r>
      <w:proofErr w:type="spellEnd"/>
      <w:r w:rsidRPr="006B54C2">
        <w:rPr>
          <w:rFonts w:ascii="Garamond" w:eastAsiaTheme="minorHAnsi" w:hAnsi="Garamond"/>
          <w:bCs/>
          <w:sz w:val="24"/>
          <w:szCs w:val="24"/>
        </w:rPr>
        <w:t xml:space="preserve"> </w:t>
      </w:r>
      <w:proofErr w:type="spellStart"/>
      <w:r w:rsidRPr="006B54C2">
        <w:rPr>
          <w:rFonts w:ascii="Garamond" w:eastAsiaTheme="minorHAnsi" w:hAnsi="Garamond"/>
          <w:bCs/>
          <w:sz w:val="24"/>
          <w:szCs w:val="24"/>
        </w:rPr>
        <w:t>Xhaferllari</w:t>
      </w:r>
      <w:proofErr w:type="spellEnd"/>
      <w:r w:rsidRPr="006B54C2">
        <w:rPr>
          <w:rFonts w:ascii="Garamond" w:eastAsiaTheme="minorHAnsi" w:hAnsi="Garamond"/>
          <w:bCs/>
          <w:sz w:val="24"/>
          <w:szCs w:val="24"/>
        </w:rPr>
        <w:t xml:space="preserve">, </w:t>
      </w:r>
      <w:proofErr w:type="spellStart"/>
      <w:r w:rsidRPr="006B54C2">
        <w:rPr>
          <w:rFonts w:ascii="Garamond" w:eastAsiaTheme="minorHAnsi" w:hAnsi="Garamond"/>
          <w:bCs/>
          <w:sz w:val="24"/>
          <w:szCs w:val="24"/>
        </w:rPr>
        <w:t>Sonila</w:t>
      </w:r>
      <w:proofErr w:type="spellEnd"/>
      <w:r w:rsidRPr="006B54C2">
        <w:rPr>
          <w:rFonts w:ascii="Garamond" w:eastAsiaTheme="minorHAnsi" w:hAnsi="Garamond"/>
          <w:bCs/>
          <w:sz w:val="24"/>
          <w:szCs w:val="24"/>
        </w:rPr>
        <w:t xml:space="preserve"> Bejtja, Ilir Toska, </w:t>
      </w:r>
      <w:proofErr w:type="spellStart"/>
      <w:r w:rsidRPr="006B54C2">
        <w:rPr>
          <w:rFonts w:ascii="Garamond" w:eastAsiaTheme="minorHAnsi" w:hAnsi="Garamond"/>
          <w:bCs/>
          <w:sz w:val="24"/>
          <w:szCs w:val="24"/>
        </w:rPr>
        <w:t>Elsa</w:t>
      </w:r>
      <w:proofErr w:type="spellEnd"/>
      <w:r w:rsidRPr="006B54C2">
        <w:rPr>
          <w:rFonts w:ascii="Garamond" w:eastAsiaTheme="minorHAnsi" w:hAnsi="Garamond"/>
          <w:bCs/>
          <w:sz w:val="24"/>
          <w:szCs w:val="24"/>
        </w:rPr>
        <w:t xml:space="preserve"> Toska, </w:t>
      </w:r>
      <w:proofErr w:type="spellStart"/>
      <w:r w:rsidRPr="006B54C2">
        <w:rPr>
          <w:rFonts w:ascii="Garamond" w:eastAsiaTheme="minorHAnsi" w:hAnsi="Garamond"/>
          <w:bCs/>
          <w:sz w:val="24"/>
          <w:szCs w:val="24"/>
        </w:rPr>
        <w:t>Sandër</w:t>
      </w:r>
      <w:proofErr w:type="spellEnd"/>
      <w:r w:rsidRPr="006B54C2">
        <w:rPr>
          <w:rFonts w:ascii="Garamond" w:eastAsiaTheme="minorHAnsi" w:hAnsi="Garamond"/>
          <w:bCs/>
          <w:sz w:val="24"/>
          <w:szCs w:val="24"/>
        </w:rPr>
        <w:t xml:space="preserve"> Beci, </w:t>
      </w:r>
      <w:proofErr w:type="spellStart"/>
      <w:r w:rsidRPr="006B54C2">
        <w:rPr>
          <w:rFonts w:ascii="Garamond" w:eastAsiaTheme="minorHAnsi" w:hAnsi="Garamond"/>
          <w:bCs/>
          <w:sz w:val="24"/>
          <w:szCs w:val="24"/>
        </w:rPr>
        <w:t>Marjana</w:t>
      </w:r>
      <w:proofErr w:type="spellEnd"/>
      <w:r w:rsidRPr="006B54C2">
        <w:rPr>
          <w:rFonts w:ascii="Garamond" w:eastAsiaTheme="minorHAnsi" w:hAnsi="Garamond"/>
          <w:bCs/>
          <w:sz w:val="24"/>
          <w:szCs w:val="24"/>
        </w:rPr>
        <w:t xml:space="preserve"> </w:t>
      </w:r>
      <w:proofErr w:type="spellStart"/>
      <w:r w:rsidRPr="006B54C2">
        <w:rPr>
          <w:rFonts w:ascii="Garamond" w:eastAsiaTheme="minorHAnsi" w:hAnsi="Garamond"/>
          <w:bCs/>
          <w:sz w:val="24"/>
          <w:szCs w:val="24"/>
        </w:rPr>
        <w:t>Semini</w:t>
      </w:r>
      <w:proofErr w:type="spellEnd"/>
      <w:r w:rsidRPr="006B54C2">
        <w:rPr>
          <w:rFonts w:ascii="Garamond" w:eastAsiaTheme="minorHAnsi" w:hAnsi="Garamond"/>
          <w:bCs/>
          <w:sz w:val="24"/>
          <w:szCs w:val="24"/>
        </w:rPr>
        <w:t>, Genti Ibrahimi</w:t>
      </w:r>
    </w:p>
    <w:p w14:paraId="0C5AB65B" w14:textId="0F126FD1" w:rsidR="006C7BA4" w:rsidRPr="006B54C2" w:rsidRDefault="006C7BA4" w:rsidP="00D27390">
      <w:pPr>
        <w:autoSpaceDE w:val="0"/>
        <w:autoSpaceDN w:val="0"/>
        <w:adjustRightInd w:val="0"/>
        <w:spacing w:after="0" w:line="240" w:lineRule="auto"/>
        <w:ind w:firstLine="284"/>
        <w:rPr>
          <w:rFonts w:ascii="Garamond" w:eastAsiaTheme="minorHAnsi" w:hAnsi="Garamond"/>
          <w:sz w:val="24"/>
          <w:szCs w:val="24"/>
        </w:rPr>
      </w:pPr>
    </w:p>
    <w:p w14:paraId="51586597" w14:textId="473E2254" w:rsidR="006C7BA4" w:rsidRPr="006B54C2" w:rsidRDefault="006C7BA4" w:rsidP="00D27390">
      <w:pPr>
        <w:autoSpaceDE w:val="0"/>
        <w:autoSpaceDN w:val="0"/>
        <w:adjustRightInd w:val="0"/>
        <w:spacing w:after="0" w:line="240" w:lineRule="auto"/>
        <w:ind w:firstLine="284"/>
        <w:rPr>
          <w:rFonts w:ascii="Garamond" w:eastAsiaTheme="minorHAnsi" w:hAnsi="Garamond"/>
          <w:sz w:val="24"/>
          <w:szCs w:val="24"/>
        </w:rPr>
      </w:pPr>
    </w:p>
    <w:sectPr w:rsidR="006C7BA4" w:rsidRPr="006B54C2" w:rsidSect="00A45BF5">
      <w:headerReference w:type="first" r:id="rId11"/>
      <w:pgSz w:w="12240" w:h="15840"/>
      <w:pgMar w:top="1440" w:right="1440" w:bottom="900" w:left="1440" w:header="720" w:footer="33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EDA96" w14:textId="77777777" w:rsidR="00984AF4" w:rsidRDefault="00984AF4">
      <w:pPr>
        <w:spacing w:after="0" w:line="240" w:lineRule="auto"/>
      </w:pPr>
      <w:r>
        <w:separator/>
      </w:r>
    </w:p>
  </w:endnote>
  <w:endnote w:type="continuationSeparator" w:id="0">
    <w:p w14:paraId="1E5AE06B" w14:textId="77777777" w:rsidR="00984AF4" w:rsidRDefault="00984AF4">
      <w:pPr>
        <w:spacing w:after="0" w:line="240" w:lineRule="auto"/>
      </w:pPr>
      <w:r>
        <w:continuationSeparator/>
      </w:r>
    </w:p>
  </w:endnote>
  <w:endnote w:type="continuationNotice" w:id="1">
    <w:p w14:paraId="4562F18C" w14:textId="77777777" w:rsidR="00984AF4" w:rsidRDefault="00984A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B5C29" w14:textId="77777777" w:rsidR="00984AF4" w:rsidRDefault="00984AF4">
      <w:pPr>
        <w:spacing w:after="0" w:line="240" w:lineRule="auto"/>
      </w:pPr>
      <w:r>
        <w:separator/>
      </w:r>
    </w:p>
  </w:footnote>
  <w:footnote w:type="continuationSeparator" w:id="0">
    <w:p w14:paraId="581BAEA3" w14:textId="77777777" w:rsidR="00984AF4" w:rsidRDefault="00984AF4">
      <w:pPr>
        <w:spacing w:after="0" w:line="240" w:lineRule="auto"/>
      </w:pPr>
      <w:r>
        <w:continuationSeparator/>
      </w:r>
    </w:p>
  </w:footnote>
  <w:footnote w:type="continuationNotice" w:id="1">
    <w:p w14:paraId="72BF2C71" w14:textId="77777777" w:rsidR="00984AF4" w:rsidRDefault="00984A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A6AFF" w14:textId="77777777" w:rsidR="00984AF4" w:rsidRPr="002625AD" w:rsidRDefault="00984AF4" w:rsidP="002625AD">
    <w:pPr>
      <w:pStyle w:val="Header"/>
    </w:pPr>
    <w:r w:rsidRPr="002625A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A410F"/>
    <w:multiLevelType w:val="multilevel"/>
    <w:tmpl w:val="84226C38"/>
    <w:lvl w:ilvl="0">
      <w:start w:val="1"/>
      <w:numFmt w:val="upperLetter"/>
      <w:lvlText w:val="%1."/>
      <w:lvlJc w:val="left"/>
      <w:pPr>
        <w:ind w:left="360" w:hanging="360"/>
      </w:pPr>
      <w:rPr>
        <w:rFonts w:ascii="Times New Roman" w:eastAsia="Calibri" w:hAnsi="Times New Roman" w:cs="Times New Roman"/>
        <w:b w:val="0"/>
        <w:i/>
      </w:rPr>
    </w:lvl>
    <w:lvl w:ilvl="1">
      <w:start w:val="1"/>
      <w:numFmt w:val="decimal"/>
      <w:lvlText w:val="%1.%2."/>
      <w:lvlJc w:val="left"/>
      <w:pPr>
        <w:ind w:left="1080" w:hanging="360"/>
      </w:pPr>
      <w:rPr>
        <w:rFonts w:hint="default"/>
        <w:b w:val="0"/>
        <w:i/>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1" w15:restartNumberingAfterBreak="0">
    <w:nsid w:val="1873193B"/>
    <w:multiLevelType w:val="hybridMultilevel"/>
    <w:tmpl w:val="7D7A0FEE"/>
    <w:lvl w:ilvl="0" w:tplc="91BC603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75B6A"/>
    <w:multiLevelType w:val="multilevel"/>
    <w:tmpl w:val="DC0431B2"/>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 w15:restartNumberingAfterBreak="0">
    <w:nsid w:val="1D0E4CCF"/>
    <w:multiLevelType w:val="multilevel"/>
    <w:tmpl w:val="4664F1F8"/>
    <w:lvl w:ilvl="0">
      <w:start w:val="9"/>
      <w:numFmt w:val="decimal"/>
      <w:lvlText w:val="%1."/>
      <w:lvlJc w:val="left"/>
      <w:pPr>
        <w:ind w:left="84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15:restartNumberingAfterBreak="0">
    <w:nsid w:val="1DE91C4F"/>
    <w:multiLevelType w:val="hybridMultilevel"/>
    <w:tmpl w:val="D5083942"/>
    <w:lvl w:ilvl="0" w:tplc="0409000F">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625ED"/>
    <w:multiLevelType w:val="hybridMultilevel"/>
    <w:tmpl w:val="FE5A6D6C"/>
    <w:lvl w:ilvl="0" w:tplc="56DE15D8">
      <w:start w:val="1"/>
      <w:numFmt w:val="decimal"/>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2B4DAE"/>
    <w:multiLevelType w:val="hybridMultilevel"/>
    <w:tmpl w:val="CFF69E98"/>
    <w:lvl w:ilvl="0" w:tplc="9B6AD640">
      <w:start w:val="28"/>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15:restartNumberingAfterBreak="0">
    <w:nsid w:val="425A3715"/>
    <w:multiLevelType w:val="hybridMultilevel"/>
    <w:tmpl w:val="A8B4AFE2"/>
    <w:lvl w:ilvl="0" w:tplc="F910A06E">
      <w:start w:val="1"/>
      <w:numFmt w:val="decimal"/>
      <w:lvlText w:val="%1."/>
      <w:lvlJc w:val="left"/>
      <w:pPr>
        <w:ind w:left="1080" w:hanging="360"/>
      </w:pPr>
      <w:rPr>
        <w:rFonts w:hint="default"/>
        <w:b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7380529"/>
    <w:multiLevelType w:val="multilevel"/>
    <w:tmpl w:val="918AD724"/>
    <w:lvl w:ilvl="0">
      <w:start w:val="1"/>
      <w:numFmt w:val="decimal"/>
      <w:lvlText w:val="%1."/>
      <w:lvlJc w:val="left"/>
      <w:pPr>
        <w:tabs>
          <w:tab w:val="num" w:pos="1080"/>
        </w:tabs>
        <w:ind w:left="108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85952B8"/>
    <w:multiLevelType w:val="multilevel"/>
    <w:tmpl w:val="65586D78"/>
    <w:lvl w:ilvl="0">
      <w:start w:val="16"/>
      <w:numFmt w:val="decimal"/>
      <w:lvlText w:val="%1."/>
      <w:lvlJc w:val="left"/>
      <w:pPr>
        <w:ind w:left="129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15:restartNumberingAfterBreak="0">
    <w:nsid w:val="4A8765FD"/>
    <w:multiLevelType w:val="multilevel"/>
    <w:tmpl w:val="60D070C0"/>
    <w:lvl w:ilvl="0">
      <w:start w:val="13"/>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13" w15:restartNumberingAfterBreak="0">
    <w:nsid w:val="4B3E3BC6"/>
    <w:multiLevelType w:val="hybridMultilevel"/>
    <w:tmpl w:val="7EC61846"/>
    <w:lvl w:ilvl="0" w:tplc="7332A6A8">
      <w:start w:val="1"/>
      <w:numFmt w:val="decimal"/>
      <w:lvlText w:val="%1."/>
      <w:lvlJc w:val="left"/>
      <w:pPr>
        <w:ind w:left="1080" w:hanging="360"/>
      </w:pPr>
      <w:rPr>
        <w:rFonts w:ascii="Times New Roman" w:eastAsia="Calibri" w:hAnsi="Times New Roman" w:cs="Times New Roman"/>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0B6F0F"/>
    <w:multiLevelType w:val="hybridMultilevel"/>
    <w:tmpl w:val="B20AB2CC"/>
    <w:lvl w:ilvl="0" w:tplc="FFFFFFFF">
      <w:start w:val="1"/>
      <w:numFmt w:val="bullet"/>
      <w:lvlText w:val=""/>
      <w:lvlJc w:val="left"/>
      <w:pPr>
        <w:ind w:left="720" w:hanging="360"/>
      </w:pPr>
      <w:rPr>
        <w:rFonts w:ascii="Symbol" w:hAnsi="Symbol" w:cs="Symbol" w:hint="default"/>
        <w:b/>
        <w:bCs/>
        <w:i w:val="0"/>
        <w:iCs w:val="0"/>
        <w:strike w:val="0"/>
        <w:color w:val="auto"/>
        <w:sz w:val="22"/>
        <w:szCs w:val="22"/>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691C3A"/>
    <w:multiLevelType w:val="hybridMultilevel"/>
    <w:tmpl w:val="B57A8864"/>
    <w:lvl w:ilvl="0" w:tplc="E4B8EB38">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976267C"/>
    <w:multiLevelType w:val="multilevel"/>
    <w:tmpl w:val="65586D78"/>
    <w:lvl w:ilvl="0">
      <w:start w:val="16"/>
      <w:numFmt w:val="decimal"/>
      <w:lvlText w:val="%1."/>
      <w:lvlJc w:val="left"/>
      <w:pPr>
        <w:ind w:left="102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BB0C8E"/>
    <w:multiLevelType w:val="multilevel"/>
    <w:tmpl w:val="17E2AD8E"/>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71940F44"/>
    <w:multiLevelType w:val="multilevel"/>
    <w:tmpl w:val="F998FC1A"/>
    <w:lvl w:ilvl="0">
      <w:start w:val="11"/>
      <w:numFmt w:val="decimal"/>
      <w:lvlText w:val="%1."/>
      <w:lvlJc w:val="left"/>
      <w:pPr>
        <w:ind w:left="156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0" w15:restartNumberingAfterBreak="0">
    <w:nsid w:val="72600BA3"/>
    <w:multiLevelType w:val="hybridMultilevel"/>
    <w:tmpl w:val="4D0C569A"/>
    <w:lvl w:ilvl="0" w:tplc="0409000F">
      <w:start w:val="79"/>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341515"/>
    <w:multiLevelType w:val="multilevel"/>
    <w:tmpl w:val="D91A792C"/>
    <w:lvl w:ilvl="0">
      <w:start w:val="13"/>
      <w:numFmt w:val="decimal"/>
      <w:lvlText w:val="%1."/>
      <w:lvlJc w:val="left"/>
      <w:pPr>
        <w:ind w:left="48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abstractNumId w:val="17"/>
  </w:num>
  <w:num w:numId="2">
    <w:abstractNumId w:val="13"/>
  </w:num>
  <w:num w:numId="3">
    <w:abstractNumId w:val="7"/>
  </w:num>
  <w:num w:numId="4">
    <w:abstractNumId w:val="18"/>
  </w:num>
  <w:num w:numId="5">
    <w:abstractNumId w:val="1"/>
  </w:num>
  <w:num w:numId="6">
    <w:abstractNumId w:val="21"/>
  </w:num>
  <w:num w:numId="7">
    <w:abstractNumId w:val="0"/>
  </w:num>
  <w:num w:numId="8">
    <w:abstractNumId w:val="12"/>
  </w:num>
  <w:num w:numId="9">
    <w:abstractNumId w:val="3"/>
  </w:num>
  <w:num w:numId="10">
    <w:abstractNumId w:val="4"/>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5"/>
  </w:num>
  <w:num w:numId="16">
    <w:abstractNumId w:val="11"/>
  </w:num>
  <w:num w:numId="17">
    <w:abstractNumId w:val="20"/>
  </w:num>
  <w:num w:numId="18">
    <w:abstractNumId w:val="14"/>
  </w:num>
  <w:num w:numId="19">
    <w:abstractNumId w:val="2"/>
  </w:num>
  <w:num w:numId="20">
    <w:abstractNumId w:val="6"/>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B07"/>
    <w:rsid w:val="00007086"/>
    <w:rsid w:val="00051917"/>
    <w:rsid w:val="0005267F"/>
    <w:rsid w:val="000815E8"/>
    <w:rsid w:val="000919F4"/>
    <w:rsid w:val="000A06DA"/>
    <w:rsid w:val="000D3530"/>
    <w:rsid w:val="000E4289"/>
    <w:rsid w:val="000E5736"/>
    <w:rsid w:val="0012314F"/>
    <w:rsid w:val="00124B05"/>
    <w:rsid w:val="00194EAD"/>
    <w:rsid w:val="001B058F"/>
    <w:rsid w:val="001C041C"/>
    <w:rsid w:val="001E6D32"/>
    <w:rsid w:val="001E7250"/>
    <w:rsid w:val="001F386B"/>
    <w:rsid w:val="002625AD"/>
    <w:rsid w:val="00281DC2"/>
    <w:rsid w:val="00290B78"/>
    <w:rsid w:val="002E4B07"/>
    <w:rsid w:val="002E593E"/>
    <w:rsid w:val="00316ADF"/>
    <w:rsid w:val="00325DDB"/>
    <w:rsid w:val="00326814"/>
    <w:rsid w:val="0034471D"/>
    <w:rsid w:val="003638E9"/>
    <w:rsid w:val="003664E3"/>
    <w:rsid w:val="00371BA6"/>
    <w:rsid w:val="003754E6"/>
    <w:rsid w:val="003A59A3"/>
    <w:rsid w:val="003D1162"/>
    <w:rsid w:val="003D335B"/>
    <w:rsid w:val="003D35E6"/>
    <w:rsid w:val="003F29C9"/>
    <w:rsid w:val="003F7636"/>
    <w:rsid w:val="00400026"/>
    <w:rsid w:val="00400F23"/>
    <w:rsid w:val="00437826"/>
    <w:rsid w:val="004503D4"/>
    <w:rsid w:val="004506B2"/>
    <w:rsid w:val="00463E24"/>
    <w:rsid w:val="004715AF"/>
    <w:rsid w:val="00486DBB"/>
    <w:rsid w:val="004C1105"/>
    <w:rsid w:val="004D4057"/>
    <w:rsid w:val="004D5ED1"/>
    <w:rsid w:val="004E705C"/>
    <w:rsid w:val="00516513"/>
    <w:rsid w:val="0053267B"/>
    <w:rsid w:val="00533889"/>
    <w:rsid w:val="00537162"/>
    <w:rsid w:val="0055340A"/>
    <w:rsid w:val="00553BFF"/>
    <w:rsid w:val="005C7472"/>
    <w:rsid w:val="005D08CC"/>
    <w:rsid w:val="00616449"/>
    <w:rsid w:val="00623553"/>
    <w:rsid w:val="00630AB2"/>
    <w:rsid w:val="006350BF"/>
    <w:rsid w:val="006628E7"/>
    <w:rsid w:val="006631F5"/>
    <w:rsid w:val="006B38EC"/>
    <w:rsid w:val="006B54C2"/>
    <w:rsid w:val="006C3264"/>
    <w:rsid w:val="006C7BA4"/>
    <w:rsid w:val="006D09B8"/>
    <w:rsid w:val="006D2CF6"/>
    <w:rsid w:val="006D4C3C"/>
    <w:rsid w:val="006D7A09"/>
    <w:rsid w:val="006E0AD8"/>
    <w:rsid w:val="006F109F"/>
    <w:rsid w:val="006F3D83"/>
    <w:rsid w:val="007150E0"/>
    <w:rsid w:val="00733809"/>
    <w:rsid w:val="007472BD"/>
    <w:rsid w:val="0077042B"/>
    <w:rsid w:val="0077123D"/>
    <w:rsid w:val="007B255E"/>
    <w:rsid w:val="007D173E"/>
    <w:rsid w:val="007D2DFF"/>
    <w:rsid w:val="007F7FF6"/>
    <w:rsid w:val="008115C0"/>
    <w:rsid w:val="0081723E"/>
    <w:rsid w:val="0086248F"/>
    <w:rsid w:val="00864C6E"/>
    <w:rsid w:val="008717AF"/>
    <w:rsid w:val="008A3F7D"/>
    <w:rsid w:val="008C1C1F"/>
    <w:rsid w:val="008E40EF"/>
    <w:rsid w:val="0090408D"/>
    <w:rsid w:val="00907E6C"/>
    <w:rsid w:val="009114F7"/>
    <w:rsid w:val="00914FEF"/>
    <w:rsid w:val="00921F95"/>
    <w:rsid w:val="00927D92"/>
    <w:rsid w:val="0093677B"/>
    <w:rsid w:val="0094432F"/>
    <w:rsid w:val="00983E69"/>
    <w:rsid w:val="00984AF4"/>
    <w:rsid w:val="009B5352"/>
    <w:rsid w:val="009D62CB"/>
    <w:rsid w:val="009D7F42"/>
    <w:rsid w:val="009E70F9"/>
    <w:rsid w:val="00A21C45"/>
    <w:rsid w:val="00A245B7"/>
    <w:rsid w:val="00A37E88"/>
    <w:rsid w:val="00A45BF5"/>
    <w:rsid w:val="00AA43EE"/>
    <w:rsid w:val="00AC39DC"/>
    <w:rsid w:val="00AC5FF3"/>
    <w:rsid w:val="00AC758E"/>
    <w:rsid w:val="00AF4A2D"/>
    <w:rsid w:val="00B1286D"/>
    <w:rsid w:val="00B232EF"/>
    <w:rsid w:val="00B27F52"/>
    <w:rsid w:val="00B53AA2"/>
    <w:rsid w:val="00B67E2C"/>
    <w:rsid w:val="00B747D1"/>
    <w:rsid w:val="00B76EFC"/>
    <w:rsid w:val="00BA412C"/>
    <w:rsid w:val="00BC4A55"/>
    <w:rsid w:val="00BD07B9"/>
    <w:rsid w:val="00BD2950"/>
    <w:rsid w:val="00C00E88"/>
    <w:rsid w:val="00C102C7"/>
    <w:rsid w:val="00C318E0"/>
    <w:rsid w:val="00C47317"/>
    <w:rsid w:val="00C703B3"/>
    <w:rsid w:val="00CB12F5"/>
    <w:rsid w:val="00CB3E81"/>
    <w:rsid w:val="00D043EE"/>
    <w:rsid w:val="00D05426"/>
    <w:rsid w:val="00D262C5"/>
    <w:rsid w:val="00D27390"/>
    <w:rsid w:val="00D304CE"/>
    <w:rsid w:val="00D3308C"/>
    <w:rsid w:val="00D609EC"/>
    <w:rsid w:val="00D745D7"/>
    <w:rsid w:val="00D76EB1"/>
    <w:rsid w:val="00D82E71"/>
    <w:rsid w:val="00D85137"/>
    <w:rsid w:val="00D97223"/>
    <w:rsid w:val="00DA43AC"/>
    <w:rsid w:val="00DA4CE3"/>
    <w:rsid w:val="00DA4E9B"/>
    <w:rsid w:val="00DB0198"/>
    <w:rsid w:val="00DB7817"/>
    <w:rsid w:val="00DC17F0"/>
    <w:rsid w:val="00DC6BFC"/>
    <w:rsid w:val="00DE114C"/>
    <w:rsid w:val="00DF288E"/>
    <w:rsid w:val="00E06F59"/>
    <w:rsid w:val="00E07F88"/>
    <w:rsid w:val="00E1395B"/>
    <w:rsid w:val="00E148F8"/>
    <w:rsid w:val="00E26FC5"/>
    <w:rsid w:val="00E27315"/>
    <w:rsid w:val="00E404C0"/>
    <w:rsid w:val="00E528AA"/>
    <w:rsid w:val="00E8401E"/>
    <w:rsid w:val="00E91745"/>
    <w:rsid w:val="00ED351D"/>
    <w:rsid w:val="00EE4E6D"/>
    <w:rsid w:val="00F01C3D"/>
    <w:rsid w:val="00F11A98"/>
    <w:rsid w:val="00F71411"/>
    <w:rsid w:val="00F922B4"/>
    <w:rsid w:val="00FA4162"/>
    <w:rsid w:val="00FB6FB2"/>
    <w:rsid w:val="00FE5F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A6A7A"/>
  <w15:chartTrackingRefBased/>
  <w15:docId w15:val="{2CC92FA8-3312-42AE-8445-B1DA42FEE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4B07"/>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2E4B0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2E4B07"/>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2E4B07"/>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E4B07"/>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2E4B07"/>
    <w:pPr>
      <w:tabs>
        <w:tab w:val="center" w:pos="4680"/>
        <w:tab w:val="right" w:pos="9360"/>
      </w:tabs>
    </w:pPr>
  </w:style>
  <w:style w:type="character" w:customStyle="1" w:styleId="FooterChar">
    <w:name w:val="Footer Char"/>
    <w:basedOn w:val="DefaultParagraphFont"/>
    <w:link w:val="Footer"/>
    <w:uiPriority w:val="99"/>
    <w:rsid w:val="002E4B07"/>
    <w:rPr>
      <w:rFonts w:ascii="Calibri" w:eastAsia="Calibri" w:hAnsi="Calibri" w:cs="Times New Roman"/>
      <w:lang w:val="sq-AL"/>
    </w:rPr>
  </w:style>
  <w:style w:type="paragraph" w:styleId="BodyText">
    <w:name w:val="Body Text"/>
    <w:basedOn w:val="Normal"/>
    <w:link w:val="BodyTextChar"/>
    <w:uiPriority w:val="99"/>
    <w:rsid w:val="002E4B07"/>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2E4B07"/>
    <w:rPr>
      <w:rFonts w:ascii="Times New Roman" w:eastAsia="Times New Roman" w:hAnsi="Times New Roman" w:cs="Times New Roman"/>
      <w:sz w:val="21"/>
      <w:szCs w:val="24"/>
      <w:lang w:val="sq-AL"/>
    </w:rPr>
  </w:style>
  <w:style w:type="paragraph" w:customStyle="1" w:styleId="JuPara">
    <w:name w:val="Ju_Para"/>
    <w:aliases w:val="Left,First line:  0 cm,_Para,ECHR_Para,Para"/>
    <w:basedOn w:val="Normal"/>
    <w:link w:val="JuParaChar"/>
    <w:qFormat/>
    <w:rsid w:val="002E4B07"/>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2E4B07"/>
    <w:rPr>
      <w:rFonts w:ascii="Times New Roman" w:eastAsia="Times New Roman" w:hAnsi="Times New Roman" w:cs="Times New Roman"/>
      <w:sz w:val="24"/>
      <w:szCs w:val="20"/>
      <w:lang w:val="en-GB" w:eastAsia="fr-FR"/>
    </w:rPr>
  </w:style>
  <w:style w:type="character" w:customStyle="1" w:styleId="hps">
    <w:name w:val="hps"/>
    <w:basedOn w:val="DefaultParagraphFont"/>
    <w:rsid w:val="002E4B07"/>
  </w:style>
  <w:style w:type="character" w:styleId="CommentReference">
    <w:name w:val="annotation reference"/>
    <w:basedOn w:val="DefaultParagraphFont"/>
    <w:uiPriority w:val="99"/>
    <w:semiHidden/>
    <w:unhideWhenUsed/>
    <w:rsid w:val="002E4B07"/>
    <w:rPr>
      <w:sz w:val="16"/>
      <w:szCs w:val="16"/>
    </w:rPr>
  </w:style>
  <w:style w:type="paragraph" w:styleId="BalloonText">
    <w:name w:val="Balloon Text"/>
    <w:basedOn w:val="Normal"/>
    <w:link w:val="BalloonTextChar"/>
    <w:uiPriority w:val="99"/>
    <w:semiHidden/>
    <w:unhideWhenUsed/>
    <w:rsid w:val="002E4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B07"/>
    <w:rPr>
      <w:rFonts w:ascii="Segoe UI" w:eastAsia="Calibri" w:hAnsi="Segoe UI" w:cs="Segoe UI"/>
      <w:sz w:val="18"/>
      <w:szCs w:val="18"/>
      <w:lang w:val="sq-AL"/>
    </w:rPr>
  </w:style>
  <w:style w:type="paragraph" w:styleId="Header">
    <w:name w:val="header"/>
    <w:basedOn w:val="Normal"/>
    <w:link w:val="HeaderChar"/>
    <w:uiPriority w:val="99"/>
    <w:unhideWhenUsed/>
    <w:rsid w:val="002E4B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B07"/>
    <w:rPr>
      <w:rFonts w:ascii="Calibri" w:eastAsia="Calibri" w:hAnsi="Calibri" w:cs="Times New Roman"/>
      <w:lang w:val="sq-AL"/>
    </w:rPr>
  </w:style>
  <w:style w:type="paragraph" w:customStyle="1" w:styleId="BodyText2">
    <w:name w:val="Body Text2"/>
    <w:basedOn w:val="Normal"/>
    <w:rsid w:val="002E4B07"/>
    <w:pPr>
      <w:widowControl w:val="0"/>
      <w:shd w:val="clear" w:color="auto" w:fill="FFFFFF"/>
      <w:spacing w:after="180" w:line="310" w:lineRule="exact"/>
      <w:jc w:val="both"/>
    </w:pPr>
    <w:rPr>
      <w:rFonts w:ascii="Times New Roman" w:eastAsia="Times New Roman" w:hAnsi="Times New Roman"/>
      <w:color w:val="000000"/>
    </w:rPr>
  </w:style>
  <w:style w:type="paragraph" w:customStyle="1" w:styleId="Normal0">
    <w:name w:val="[Normal]"/>
    <w:rsid w:val="002E4B07"/>
    <w:pPr>
      <w:autoSpaceDE w:val="0"/>
      <w:autoSpaceDN w:val="0"/>
      <w:adjustRightInd w:val="0"/>
      <w:spacing w:after="0" w:line="240" w:lineRule="auto"/>
    </w:pPr>
    <w:rPr>
      <w:rFonts w:ascii="Arial" w:eastAsia="Times New Roman" w:hAnsi="Arial" w:cs="Arial"/>
      <w:sz w:val="24"/>
      <w:szCs w:val="24"/>
    </w:rPr>
  </w:style>
  <w:style w:type="paragraph" w:styleId="HTMLPreformatted">
    <w:name w:val="HTML Preformatted"/>
    <w:basedOn w:val="Normal"/>
    <w:link w:val="HTMLPreformattedChar"/>
    <w:uiPriority w:val="99"/>
    <w:semiHidden/>
    <w:unhideWhenUsed/>
    <w:rsid w:val="002E4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semiHidden/>
    <w:rsid w:val="002E4B07"/>
    <w:rPr>
      <w:rFonts w:ascii="Courier New" w:eastAsia="Times New Roman" w:hAnsi="Courier New" w:cs="Courier New"/>
      <w:sz w:val="20"/>
      <w:szCs w:val="20"/>
      <w:lang w:val="sq-AL" w:eastAsia="sq-AL"/>
    </w:rPr>
  </w:style>
  <w:style w:type="character" w:customStyle="1" w:styleId="y2iqfc">
    <w:name w:val="y2iqfc"/>
    <w:basedOn w:val="DefaultParagraphFont"/>
    <w:rsid w:val="002E4B07"/>
  </w:style>
  <w:style w:type="paragraph" w:styleId="BodyTextIndent2">
    <w:name w:val="Body Text Indent 2"/>
    <w:basedOn w:val="Normal"/>
    <w:link w:val="BodyTextIndent2Char"/>
    <w:uiPriority w:val="99"/>
    <w:semiHidden/>
    <w:unhideWhenUsed/>
    <w:rsid w:val="002E4B07"/>
    <w:pPr>
      <w:spacing w:after="120" w:line="480" w:lineRule="auto"/>
      <w:ind w:left="360"/>
    </w:pPr>
  </w:style>
  <w:style w:type="character" w:customStyle="1" w:styleId="BodyTextIndent2Char">
    <w:name w:val="Body Text Indent 2 Char"/>
    <w:basedOn w:val="DefaultParagraphFont"/>
    <w:link w:val="BodyTextIndent2"/>
    <w:uiPriority w:val="99"/>
    <w:semiHidden/>
    <w:rsid w:val="002E4B07"/>
    <w:rPr>
      <w:rFonts w:ascii="Calibri" w:eastAsia="Calibri" w:hAnsi="Calibri" w:cs="Times New Roman"/>
      <w:lang w:val="sq-AL"/>
    </w:rPr>
  </w:style>
  <w:style w:type="paragraph" w:styleId="Revision">
    <w:name w:val="Revision"/>
    <w:hidden/>
    <w:uiPriority w:val="99"/>
    <w:semiHidden/>
    <w:rsid w:val="002E4B07"/>
    <w:pPr>
      <w:spacing w:after="0" w:line="240" w:lineRule="auto"/>
    </w:pPr>
    <w:rPr>
      <w:rFonts w:ascii="Calibri" w:eastAsia="Calibri" w:hAnsi="Calibri" w:cs="Times New Roman"/>
      <w:lang w:val="sq-AL"/>
    </w:rPr>
  </w:style>
  <w:style w:type="paragraph" w:styleId="CommentText">
    <w:name w:val="annotation text"/>
    <w:basedOn w:val="Normal"/>
    <w:link w:val="CommentTextChar"/>
    <w:uiPriority w:val="99"/>
    <w:semiHidden/>
    <w:unhideWhenUsed/>
    <w:rsid w:val="00DA4CE3"/>
    <w:pPr>
      <w:spacing w:line="240" w:lineRule="auto"/>
    </w:pPr>
    <w:rPr>
      <w:sz w:val="20"/>
      <w:szCs w:val="20"/>
    </w:rPr>
  </w:style>
  <w:style w:type="character" w:customStyle="1" w:styleId="CommentTextChar">
    <w:name w:val="Comment Text Char"/>
    <w:basedOn w:val="DefaultParagraphFont"/>
    <w:link w:val="CommentText"/>
    <w:uiPriority w:val="99"/>
    <w:semiHidden/>
    <w:rsid w:val="00DA4CE3"/>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DA4CE3"/>
    <w:rPr>
      <w:b/>
      <w:bCs/>
    </w:rPr>
  </w:style>
  <w:style w:type="character" w:customStyle="1" w:styleId="CommentSubjectChar">
    <w:name w:val="Comment Subject Char"/>
    <w:basedOn w:val="CommentTextChar"/>
    <w:link w:val="CommentSubject"/>
    <w:uiPriority w:val="99"/>
    <w:semiHidden/>
    <w:rsid w:val="00DA4CE3"/>
    <w:rPr>
      <w:rFonts w:ascii="Calibri" w:eastAsia="Calibri" w:hAnsi="Calibri" w:cs="Times New Roman"/>
      <w:b/>
      <w:bCs/>
      <w:sz w:val="20"/>
      <w:szCs w:val="20"/>
      <w:lang w:val="sq-AL"/>
    </w:rPr>
  </w:style>
  <w:style w:type="table" w:styleId="TableGrid">
    <w:name w:val="Table Grid"/>
    <w:basedOn w:val="TableNormal"/>
    <w:uiPriority w:val="39"/>
    <w:rsid w:val="00051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765B6325C394ADE80BCB228532D52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2024-04-16T10:05:48Z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2024-04-15T00:00:00Z</Date_x0020_protokolli>
    <Titulli xmlns="0e656187-b300-4fb0-8bf4-3a50f872073c">Shfuqizimi i vendimeve nr. 457, datë 21.10.2022 të Gjykatës së Shkallës së Parë kundër Korrupsionit dhe Krimit të Organizuar; nr. 171, datë 09.11.2022 të Gjykatës së Apelit kundër Korrupsionit dhe Krimit të Organizuar; nr. 00-2023-8, datë 12.01.2023 të Gjykatës së Lartë, si të papajtueshme me Kushtetutën e Republikës së Shqipërisë</Titulli>
    <Modifikuesi xmlns="0e656187-b300-4fb0-8bf4-3a50f872073c">alma.lisaku</Modifikuesi>
    <Nr_x002e__x0020_prot_x0020_QBZ xmlns="0e656187-b300-4fb0-8bf4-3a50f872073c">672/1</Nr_x002e__x0020_prot_x0020_QBZ>
    <Data_x0020_e_x0020_Modifikimit xmlns="0e656187-b300-4fb0-8bf4-3a50f872073c">2024-04-16T10:28:45Z</Data_x0020_e_x0020_Modifikimit>
    <Dekretuar xmlns="0e656187-b300-4fb0-8bf4-3a50f872073c">false</Dekretuar>
    <Data xmlns="0e656187-b300-4fb0-8bf4-3a50f872073c">2024-03-13T00:00:00Z</Data>
    <Nr_x002e__x0020_protokolli_x0020_i_x0020_aktit xmlns="0e656187-b300-4fb0-8bf4-3a50f872073c">719/15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E38EF-8FD0-4445-BF94-0572F47D3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91FAE55-8327-4CE7-9AED-7929F59F445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E783C5B-D087-4D91-8D8B-754343B8C91E}">
  <ds:schemaRefs>
    <ds:schemaRef ds:uri="http://schemas.microsoft.com/sharepoint/v3/contenttype/forms"/>
  </ds:schemaRefs>
</ds:datastoreItem>
</file>

<file path=customXml/itemProps4.xml><?xml version="1.0" encoding="utf-8"?>
<ds:datastoreItem xmlns:ds="http://schemas.openxmlformats.org/officeDocument/2006/customXml" ds:itemID="{97A808E5-F866-4CF0-85D7-2DA9C22B2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4607</Words>
  <Characters>26264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Shfuqizimi i vendimeve nr. 457, datë 21.10.2022 të Gjykatës së Shkallës së Parë kundër Korrupsionit dhe Krimit të Organizuar; nr. 171, datë 09.11.2022 të Gjykatës së Apelit kundër Korrupsionit dhe Krimit të Organizuar; nr. 00-2023-8, datë 12.01.2023 të Gj</vt:lpstr>
    </vt:vector>
  </TitlesOfParts>
  <Company>User</Company>
  <LinksUpToDate>false</LinksUpToDate>
  <CharactersWithSpaces>30810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457, datë 21.10.2022 të Gjykatës së Shkallës së Parë kundër Korrupsionit dhe Krimit të Organizuar; nr. 171, datë 09.11.2022 të Gjykatës së Apelit kundër Korrupsionit dhe Krimit të Organizuar; nr. 00-2023-8, datë 12.01.2023 të Gjykatës së Lartë, si të papajtueshme me Kushtetutën e Republikës së Shqipërisë</dc:title>
  <dc:creator>Elona Gjergjani</dc:creator>
  <cp:lastModifiedBy>Alma Lisaku</cp:lastModifiedBy>
  <cp:revision>16</cp:revision>
  <cp:lastPrinted>2024-04-12T11:14:00Z</cp:lastPrinted>
  <dcterms:created xsi:type="dcterms:W3CDTF">2024-04-16T09:06:00Z</dcterms:created>
  <dcterms:modified xsi:type="dcterms:W3CDTF">2024-04-16T09:39:00Z</dcterms:modified>
</cp:coreProperties>
</file>