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E4198C" w14:textId="77777777" w:rsidR="00DB11AF" w:rsidRPr="00DB11AF" w:rsidRDefault="00DB11AF" w:rsidP="00DB11AF">
      <w:pPr>
        <w:spacing w:line="240" w:lineRule="auto"/>
        <w:ind w:firstLine="284"/>
        <w:jc w:val="center"/>
        <w:rPr>
          <w:rFonts w:ascii="Garamond" w:hAnsi="Garamond"/>
          <w:b/>
          <w:bCs/>
        </w:rPr>
      </w:pPr>
      <w:r w:rsidRPr="00DB11AF">
        <w:rPr>
          <w:rFonts w:ascii="Garamond" w:hAnsi="Garamond"/>
          <w:b/>
          <w:bCs/>
        </w:rPr>
        <w:t>VENDIM</w:t>
      </w:r>
    </w:p>
    <w:p w14:paraId="1FB500B4" w14:textId="3C1F9F0C" w:rsidR="00DB11AF" w:rsidRPr="00DB11AF" w:rsidRDefault="00DB11AF" w:rsidP="00DB11AF">
      <w:pPr>
        <w:spacing w:line="240" w:lineRule="auto"/>
        <w:ind w:firstLine="284"/>
        <w:jc w:val="center"/>
        <w:rPr>
          <w:rFonts w:ascii="Garamond" w:hAnsi="Garamond"/>
          <w:b/>
          <w:bCs/>
        </w:rPr>
      </w:pPr>
      <w:r w:rsidRPr="00DB11AF">
        <w:rPr>
          <w:rFonts w:ascii="Garamond" w:hAnsi="Garamond"/>
          <w:b/>
          <w:bCs/>
        </w:rPr>
        <w:t>Nr. 49,</w:t>
      </w:r>
      <w:r w:rsidR="00116377">
        <w:rPr>
          <w:rFonts w:ascii="Garamond" w:hAnsi="Garamond"/>
          <w:b/>
          <w:bCs/>
        </w:rPr>
        <w:t xml:space="preserve"> datë</w:t>
      </w:r>
      <w:r w:rsidRPr="00DB11AF">
        <w:rPr>
          <w:rFonts w:ascii="Garamond" w:hAnsi="Garamond"/>
          <w:b/>
          <w:bCs/>
        </w:rPr>
        <w:t xml:space="preserve"> 20.6.2024</w:t>
      </w:r>
    </w:p>
    <w:p w14:paraId="30E82B8D" w14:textId="77777777" w:rsidR="00DB11AF" w:rsidRPr="00DB11AF" w:rsidRDefault="00DB11AF" w:rsidP="00DB11AF">
      <w:pPr>
        <w:spacing w:line="240" w:lineRule="auto"/>
        <w:ind w:firstLine="284"/>
        <w:jc w:val="center"/>
        <w:rPr>
          <w:rFonts w:ascii="Garamond" w:hAnsi="Garamond"/>
          <w:b/>
          <w:bCs/>
        </w:rPr>
      </w:pPr>
    </w:p>
    <w:p w14:paraId="7DE8C1FE" w14:textId="3B1BA3E6" w:rsidR="00DB11AF" w:rsidRPr="00DB11AF" w:rsidRDefault="00DB11AF" w:rsidP="00DB11AF">
      <w:pPr>
        <w:spacing w:line="240" w:lineRule="auto"/>
        <w:ind w:firstLine="284"/>
        <w:jc w:val="center"/>
        <w:rPr>
          <w:rFonts w:ascii="Garamond" w:hAnsi="Garamond"/>
          <w:b/>
          <w:bCs/>
        </w:rPr>
      </w:pPr>
      <w:r w:rsidRPr="00DB11AF">
        <w:rPr>
          <w:rFonts w:ascii="Garamond" w:hAnsi="Garamond"/>
          <w:b/>
          <w:bCs/>
        </w:rPr>
        <w:t>NË EMËR TË REPUBLIKËS SË SHQIPËRISË</w:t>
      </w:r>
    </w:p>
    <w:p w14:paraId="65672DD9" w14:textId="77777777" w:rsidR="00DB11AF" w:rsidRPr="00DB11AF" w:rsidRDefault="00DB11AF" w:rsidP="00DB11AF">
      <w:pPr>
        <w:spacing w:line="240" w:lineRule="auto"/>
        <w:ind w:firstLine="284"/>
        <w:jc w:val="center"/>
        <w:rPr>
          <w:rFonts w:ascii="Garamond" w:hAnsi="Garamond"/>
          <w:b/>
          <w:bCs/>
        </w:rPr>
      </w:pPr>
    </w:p>
    <w:p w14:paraId="17D0651E" w14:textId="054150C4" w:rsidR="00DB11AF" w:rsidRPr="00DB11AF" w:rsidRDefault="00DB11AF" w:rsidP="000529C1">
      <w:pPr>
        <w:spacing w:line="240" w:lineRule="auto"/>
        <w:ind w:firstLine="284"/>
        <w:jc w:val="both"/>
        <w:rPr>
          <w:rFonts w:ascii="Garamond" w:hAnsi="Garamond"/>
        </w:rPr>
      </w:pPr>
      <w:r w:rsidRPr="00DB11AF">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701"/>
      </w:tblGrid>
      <w:tr w:rsidR="00DB11AF" w:rsidRPr="00DB11AF" w14:paraId="74B83653" w14:textId="77777777" w:rsidTr="00DB11AF">
        <w:tc>
          <w:tcPr>
            <w:tcW w:w="2551" w:type="dxa"/>
          </w:tcPr>
          <w:p w14:paraId="12EF2F8B" w14:textId="562F8049" w:rsidR="00DB11AF" w:rsidRPr="00DB11AF" w:rsidRDefault="00DB11AF" w:rsidP="00DB11AF">
            <w:pPr>
              <w:jc w:val="both"/>
              <w:rPr>
                <w:rFonts w:ascii="Garamond" w:hAnsi="Garamond"/>
              </w:rPr>
            </w:pPr>
            <w:r w:rsidRPr="00DB11AF">
              <w:rPr>
                <w:rFonts w:ascii="Garamond" w:hAnsi="Garamond"/>
              </w:rPr>
              <w:t>Holta Zaçaj,</w:t>
            </w:r>
          </w:p>
        </w:tc>
        <w:tc>
          <w:tcPr>
            <w:tcW w:w="1701" w:type="dxa"/>
          </w:tcPr>
          <w:p w14:paraId="7CFF99B2" w14:textId="3CAED203" w:rsidR="00DB11AF" w:rsidRPr="00DB11AF" w:rsidRDefault="000529C1" w:rsidP="00DB11AF">
            <w:pPr>
              <w:jc w:val="both"/>
              <w:rPr>
                <w:rFonts w:ascii="Garamond" w:hAnsi="Garamond"/>
              </w:rPr>
            </w:pPr>
            <w:r w:rsidRPr="00DB11AF">
              <w:rPr>
                <w:rFonts w:ascii="Garamond" w:hAnsi="Garamond"/>
              </w:rPr>
              <w:t>kryetare</w:t>
            </w:r>
            <w:r>
              <w:rPr>
                <w:rFonts w:ascii="Garamond" w:hAnsi="Garamond"/>
              </w:rPr>
              <w:t>;</w:t>
            </w:r>
          </w:p>
        </w:tc>
      </w:tr>
      <w:tr w:rsidR="00DB11AF" w:rsidRPr="00DB11AF" w14:paraId="3596FF79" w14:textId="77777777" w:rsidTr="00DB11AF">
        <w:tc>
          <w:tcPr>
            <w:tcW w:w="2551" w:type="dxa"/>
          </w:tcPr>
          <w:p w14:paraId="5A09074F" w14:textId="009427EC" w:rsidR="00DB11AF" w:rsidRPr="00DB11AF" w:rsidRDefault="00DB11AF" w:rsidP="00DB11AF">
            <w:pPr>
              <w:jc w:val="both"/>
              <w:rPr>
                <w:rFonts w:ascii="Garamond" w:hAnsi="Garamond"/>
              </w:rPr>
            </w:pPr>
            <w:r w:rsidRPr="00DB11AF">
              <w:rPr>
                <w:rFonts w:ascii="Garamond" w:hAnsi="Garamond"/>
              </w:rPr>
              <w:t>Marsida Xhaferllari,</w:t>
            </w:r>
          </w:p>
        </w:tc>
        <w:tc>
          <w:tcPr>
            <w:tcW w:w="1701" w:type="dxa"/>
          </w:tcPr>
          <w:p w14:paraId="276A56F7" w14:textId="175DC925" w:rsidR="00DB11AF" w:rsidRPr="00DB11AF" w:rsidRDefault="000529C1" w:rsidP="00DB11AF">
            <w:pPr>
              <w:jc w:val="both"/>
              <w:rPr>
                <w:rFonts w:ascii="Garamond" w:hAnsi="Garamond"/>
              </w:rPr>
            </w:pPr>
            <w:r w:rsidRPr="00DB11AF">
              <w:rPr>
                <w:rFonts w:ascii="Garamond" w:hAnsi="Garamond"/>
              </w:rPr>
              <w:t>anëtare</w:t>
            </w:r>
            <w:r>
              <w:rPr>
                <w:rFonts w:ascii="Garamond" w:hAnsi="Garamond"/>
              </w:rPr>
              <w:t>;</w:t>
            </w:r>
          </w:p>
        </w:tc>
      </w:tr>
      <w:tr w:rsidR="00DB11AF" w:rsidRPr="00DB11AF" w14:paraId="2C375991" w14:textId="77777777" w:rsidTr="00DB11AF">
        <w:tc>
          <w:tcPr>
            <w:tcW w:w="2551" w:type="dxa"/>
          </w:tcPr>
          <w:p w14:paraId="7CD39234" w14:textId="7DA3753E" w:rsidR="00DB11AF" w:rsidRPr="00DB11AF" w:rsidRDefault="00DB11AF" w:rsidP="00DB11AF">
            <w:pPr>
              <w:jc w:val="both"/>
              <w:rPr>
                <w:rFonts w:ascii="Garamond" w:hAnsi="Garamond"/>
              </w:rPr>
            </w:pPr>
            <w:r w:rsidRPr="00DB11AF">
              <w:rPr>
                <w:rFonts w:ascii="Garamond" w:hAnsi="Garamond"/>
              </w:rPr>
              <w:t>Fiona Papajorgji,</w:t>
            </w:r>
          </w:p>
        </w:tc>
        <w:tc>
          <w:tcPr>
            <w:tcW w:w="1701" w:type="dxa"/>
          </w:tcPr>
          <w:p w14:paraId="5B9CDF82" w14:textId="49FEB434" w:rsidR="00DB11AF" w:rsidRPr="00DB11AF" w:rsidRDefault="000529C1" w:rsidP="00DB11AF">
            <w:pPr>
              <w:jc w:val="both"/>
              <w:rPr>
                <w:rFonts w:ascii="Garamond" w:hAnsi="Garamond"/>
              </w:rPr>
            </w:pPr>
            <w:r w:rsidRPr="00DB11AF">
              <w:rPr>
                <w:rFonts w:ascii="Garamond" w:hAnsi="Garamond"/>
              </w:rPr>
              <w:t>anëtare</w:t>
            </w:r>
            <w:r>
              <w:rPr>
                <w:rFonts w:ascii="Garamond" w:hAnsi="Garamond"/>
              </w:rPr>
              <w:t>;</w:t>
            </w:r>
          </w:p>
        </w:tc>
      </w:tr>
      <w:tr w:rsidR="00DB11AF" w:rsidRPr="00DB11AF" w14:paraId="14087FFE" w14:textId="77777777" w:rsidTr="00DB11AF">
        <w:tc>
          <w:tcPr>
            <w:tcW w:w="2551" w:type="dxa"/>
          </w:tcPr>
          <w:p w14:paraId="6273D342" w14:textId="03753E4A" w:rsidR="00DB11AF" w:rsidRPr="00DB11AF" w:rsidRDefault="00DB11AF" w:rsidP="00DB11AF">
            <w:pPr>
              <w:jc w:val="both"/>
              <w:rPr>
                <w:rFonts w:ascii="Garamond" w:hAnsi="Garamond"/>
              </w:rPr>
            </w:pPr>
            <w:r w:rsidRPr="00DB11AF">
              <w:rPr>
                <w:rFonts w:ascii="Garamond" w:hAnsi="Garamond"/>
              </w:rPr>
              <w:t>Sonila Bejtja,</w:t>
            </w:r>
          </w:p>
        </w:tc>
        <w:tc>
          <w:tcPr>
            <w:tcW w:w="1701" w:type="dxa"/>
          </w:tcPr>
          <w:p w14:paraId="107C850A" w14:textId="188539B1" w:rsidR="00DB11AF" w:rsidRPr="00DB11AF" w:rsidRDefault="000529C1" w:rsidP="00DB11AF">
            <w:pPr>
              <w:jc w:val="both"/>
              <w:rPr>
                <w:rFonts w:ascii="Garamond" w:hAnsi="Garamond"/>
              </w:rPr>
            </w:pPr>
            <w:r w:rsidRPr="00DB11AF">
              <w:rPr>
                <w:rFonts w:ascii="Garamond" w:hAnsi="Garamond"/>
              </w:rPr>
              <w:t>anëtare</w:t>
            </w:r>
            <w:r>
              <w:rPr>
                <w:rFonts w:ascii="Garamond" w:hAnsi="Garamond"/>
              </w:rPr>
              <w:t>;</w:t>
            </w:r>
          </w:p>
        </w:tc>
      </w:tr>
      <w:tr w:rsidR="00DB11AF" w:rsidRPr="00DB11AF" w14:paraId="5F3C74FE" w14:textId="77777777" w:rsidTr="00DB11AF">
        <w:tc>
          <w:tcPr>
            <w:tcW w:w="2551" w:type="dxa"/>
          </w:tcPr>
          <w:p w14:paraId="2522DEF5" w14:textId="7A36E388" w:rsidR="00DB11AF" w:rsidRPr="00DB11AF" w:rsidRDefault="00DB11AF" w:rsidP="00DB11AF">
            <w:pPr>
              <w:jc w:val="both"/>
              <w:rPr>
                <w:rFonts w:ascii="Garamond" w:hAnsi="Garamond"/>
              </w:rPr>
            </w:pPr>
            <w:r w:rsidRPr="00DB11AF">
              <w:rPr>
                <w:rFonts w:ascii="Garamond" w:hAnsi="Garamond"/>
              </w:rPr>
              <w:t>Sandër Beci,</w:t>
            </w:r>
          </w:p>
        </w:tc>
        <w:tc>
          <w:tcPr>
            <w:tcW w:w="1701" w:type="dxa"/>
          </w:tcPr>
          <w:p w14:paraId="45D032DF" w14:textId="6B9D411E" w:rsidR="00DB11AF" w:rsidRPr="00DB11AF" w:rsidRDefault="000529C1" w:rsidP="00DB11AF">
            <w:pPr>
              <w:jc w:val="both"/>
              <w:rPr>
                <w:rFonts w:ascii="Garamond" w:hAnsi="Garamond"/>
              </w:rPr>
            </w:pPr>
            <w:r w:rsidRPr="00DB11AF">
              <w:rPr>
                <w:rFonts w:ascii="Garamond" w:hAnsi="Garamond"/>
              </w:rPr>
              <w:t>anëtar</w:t>
            </w:r>
            <w:r>
              <w:rPr>
                <w:rFonts w:ascii="Garamond" w:hAnsi="Garamond"/>
              </w:rPr>
              <w:t>;</w:t>
            </w:r>
          </w:p>
        </w:tc>
      </w:tr>
      <w:tr w:rsidR="00DB11AF" w:rsidRPr="00DB11AF" w14:paraId="0D15667D" w14:textId="77777777" w:rsidTr="00DB11AF">
        <w:tc>
          <w:tcPr>
            <w:tcW w:w="2551" w:type="dxa"/>
          </w:tcPr>
          <w:p w14:paraId="2D612844" w14:textId="6650962E" w:rsidR="00DB11AF" w:rsidRPr="00DB11AF" w:rsidRDefault="00DB11AF" w:rsidP="00DB11AF">
            <w:pPr>
              <w:jc w:val="both"/>
              <w:rPr>
                <w:rFonts w:ascii="Garamond" w:hAnsi="Garamond"/>
              </w:rPr>
            </w:pPr>
            <w:r w:rsidRPr="00DB11AF">
              <w:rPr>
                <w:rFonts w:ascii="Garamond" w:hAnsi="Garamond"/>
              </w:rPr>
              <w:t>Ilir Toska,</w:t>
            </w:r>
          </w:p>
        </w:tc>
        <w:tc>
          <w:tcPr>
            <w:tcW w:w="1701" w:type="dxa"/>
          </w:tcPr>
          <w:p w14:paraId="03527314" w14:textId="102DCC35" w:rsidR="00DB11AF" w:rsidRPr="00DB11AF" w:rsidRDefault="000529C1" w:rsidP="00DB11AF">
            <w:pPr>
              <w:jc w:val="both"/>
              <w:rPr>
                <w:rFonts w:ascii="Garamond" w:hAnsi="Garamond"/>
              </w:rPr>
            </w:pPr>
            <w:r w:rsidRPr="00DB11AF">
              <w:rPr>
                <w:rFonts w:ascii="Garamond" w:hAnsi="Garamond"/>
              </w:rPr>
              <w:t>anëtar</w:t>
            </w:r>
            <w:r>
              <w:rPr>
                <w:rFonts w:ascii="Garamond" w:hAnsi="Garamond"/>
              </w:rPr>
              <w:t>;</w:t>
            </w:r>
          </w:p>
        </w:tc>
      </w:tr>
      <w:tr w:rsidR="00DB11AF" w:rsidRPr="00DB11AF" w14:paraId="5224A483" w14:textId="77777777" w:rsidTr="00DB11AF">
        <w:tc>
          <w:tcPr>
            <w:tcW w:w="2551" w:type="dxa"/>
          </w:tcPr>
          <w:p w14:paraId="090980F0" w14:textId="6CB40D38" w:rsidR="00DB11AF" w:rsidRPr="00DB11AF" w:rsidRDefault="00DB11AF" w:rsidP="00DB11AF">
            <w:pPr>
              <w:jc w:val="both"/>
              <w:rPr>
                <w:rFonts w:ascii="Garamond" w:hAnsi="Garamond"/>
              </w:rPr>
            </w:pPr>
            <w:r w:rsidRPr="00DB11AF">
              <w:rPr>
                <w:rFonts w:ascii="Garamond" w:hAnsi="Garamond"/>
              </w:rPr>
              <w:t>Genti Ibrahimi,</w:t>
            </w:r>
          </w:p>
        </w:tc>
        <w:tc>
          <w:tcPr>
            <w:tcW w:w="1701" w:type="dxa"/>
          </w:tcPr>
          <w:p w14:paraId="4CA43225" w14:textId="606F8B11" w:rsidR="00DB11AF" w:rsidRPr="00DB11AF" w:rsidRDefault="000529C1" w:rsidP="00DB11AF">
            <w:pPr>
              <w:jc w:val="both"/>
              <w:rPr>
                <w:rFonts w:ascii="Garamond" w:hAnsi="Garamond"/>
              </w:rPr>
            </w:pPr>
            <w:r w:rsidRPr="00DB11AF">
              <w:rPr>
                <w:rFonts w:ascii="Garamond" w:hAnsi="Garamond"/>
              </w:rPr>
              <w:t>anëtar</w:t>
            </w:r>
            <w:r>
              <w:rPr>
                <w:rFonts w:ascii="Garamond" w:hAnsi="Garamond"/>
              </w:rPr>
              <w:t>;</w:t>
            </w:r>
          </w:p>
        </w:tc>
      </w:tr>
      <w:tr w:rsidR="00DB11AF" w:rsidRPr="00DB11AF" w14:paraId="1D8E5CB4" w14:textId="77777777" w:rsidTr="00DB11AF">
        <w:tc>
          <w:tcPr>
            <w:tcW w:w="2551" w:type="dxa"/>
          </w:tcPr>
          <w:p w14:paraId="62C81E30" w14:textId="04A4A71E" w:rsidR="00DB11AF" w:rsidRPr="00DB11AF" w:rsidRDefault="00DB11AF" w:rsidP="00DB11AF">
            <w:pPr>
              <w:jc w:val="both"/>
              <w:rPr>
                <w:rFonts w:ascii="Garamond" w:hAnsi="Garamond"/>
              </w:rPr>
            </w:pPr>
            <w:r w:rsidRPr="00DB11AF">
              <w:rPr>
                <w:rFonts w:ascii="Garamond" w:hAnsi="Garamond"/>
              </w:rPr>
              <w:t>Marjana Semini,</w:t>
            </w:r>
          </w:p>
        </w:tc>
        <w:tc>
          <w:tcPr>
            <w:tcW w:w="1701" w:type="dxa"/>
          </w:tcPr>
          <w:p w14:paraId="323B0728" w14:textId="3D61CD70" w:rsidR="00DB11AF" w:rsidRPr="00DB11AF" w:rsidRDefault="000529C1" w:rsidP="00DB11AF">
            <w:pPr>
              <w:jc w:val="both"/>
              <w:rPr>
                <w:rFonts w:ascii="Garamond" w:hAnsi="Garamond"/>
              </w:rPr>
            </w:pPr>
            <w:r w:rsidRPr="00DB11AF">
              <w:rPr>
                <w:rFonts w:ascii="Garamond" w:hAnsi="Garamond"/>
              </w:rPr>
              <w:t>anëtare</w:t>
            </w:r>
            <w:r>
              <w:rPr>
                <w:rFonts w:ascii="Garamond" w:hAnsi="Garamond"/>
              </w:rPr>
              <w:t>;</w:t>
            </w:r>
          </w:p>
        </w:tc>
      </w:tr>
      <w:tr w:rsidR="00DB11AF" w:rsidRPr="00DB11AF" w14:paraId="1450F07E" w14:textId="77777777" w:rsidTr="00DB11AF">
        <w:tc>
          <w:tcPr>
            <w:tcW w:w="2551" w:type="dxa"/>
          </w:tcPr>
          <w:p w14:paraId="159163B8" w14:textId="4190825B" w:rsidR="00DB11AF" w:rsidRPr="00DB11AF" w:rsidRDefault="00DB11AF" w:rsidP="00DB11AF">
            <w:pPr>
              <w:jc w:val="both"/>
              <w:rPr>
                <w:rFonts w:ascii="Garamond" w:hAnsi="Garamond"/>
              </w:rPr>
            </w:pPr>
            <w:r w:rsidRPr="00DB11AF">
              <w:rPr>
                <w:rFonts w:ascii="Garamond" w:hAnsi="Garamond"/>
              </w:rPr>
              <w:t>Elsa Toska,</w:t>
            </w:r>
          </w:p>
        </w:tc>
        <w:tc>
          <w:tcPr>
            <w:tcW w:w="1701" w:type="dxa"/>
          </w:tcPr>
          <w:p w14:paraId="05AB365B" w14:textId="7707E74C" w:rsidR="00DB11AF" w:rsidRPr="00DB11AF" w:rsidRDefault="000529C1" w:rsidP="00DB11AF">
            <w:pPr>
              <w:jc w:val="both"/>
              <w:rPr>
                <w:rFonts w:ascii="Garamond" w:hAnsi="Garamond"/>
              </w:rPr>
            </w:pPr>
            <w:r w:rsidRPr="00DB11AF">
              <w:rPr>
                <w:rFonts w:ascii="Garamond" w:hAnsi="Garamond"/>
              </w:rPr>
              <w:t>anëtare</w:t>
            </w:r>
            <w:r>
              <w:rPr>
                <w:rFonts w:ascii="Garamond" w:hAnsi="Garamond"/>
              </w:rPr>
              <w:t>,</w:t>
            </w:r>
          </w:p>
        </w:tc>
      </w:tr>
    </w:tbl>
    <w:p w14:paraId="606AFAC1" w14:textId="77777777" w:rsidR="00DB11AF" w:rsidRPr="008C1B81" w:rsidRDefault="00DB11AF" w:rsidP="00DB11AF">
      <w:pPr>
        <w:spacing w:line="240" w:lineRule="auto"/>
        <w:ind w:firstLine="284"/>
        <w:jc w:val="both"/>
        <w:rPr>
          <w:rFonts w:ascii="Garamond" w:hAnsi="Garamond"/>
          <w:sz w:val="12"/>
        </w:rPr>
      </w:pPr>
    </w:p>
    <w:p w14:paraId="42D3A77F" w14:textId="25E5DDA3" w:rsidR="00DB11AF" w:rsidRPr="008C1B81" w:rsidRDefault="00DB11AF" w:rsidP="008C1B81">
      <w:pPr>
        <w:tabs>
          <w:tab w:val="left" w:pos="720"/>
        </w:tabs>
        <w:spacing w:line="240" w:lineRule="auto"/>
        <w:ind w:firstLine="284"/>
        <w:jc w:val="both"/>
        <w:rPr>
          <w:rFonts w:ascii="Garamond" w:hAnsi="Garamond"/>
        </w:rPr>
      </w:pPr>
      <w:r w:rsidRPr="00DB11AF">
        <w:rPr>
          <w:rFonts w:ascii="Garamond" w:hAnsi="Garamond"/>
        </w:rPr>
        <w:t>me sekretare Belma Lleshi, në datën 20.6.2024</w:t>
      </w:r>
      <w:r w:rsidR="000529C1">
        <w:rPr>
          <w:rFonts w:ascii="Garamond" w:hAnsi="Garamond"/>
        </w:rPr>
        <w:t>,</w:t>
      </w:r>
      <w:r w:rsidRPr="00DB11AF">
        <w:rPr>
          <w:rFonts w:ascii="Garamond" w:hAnsi="Garamond"/>
        </w:rPr>
        <w:t xml:space="preserve"> mori në shqyrtim në seancë plenare mbi bazë të dokumenteve çështjen nr. 34 (Sh) 2023 të Regjistrit Themeltar, që u përket:</w:t>
      </w:r>
    </w:p>
    <w:p w14:paraId="4CCD972A" w14:textId="7806C9A2" w:rsidR="00DB11AF" w:rsidRPr="00DB11AF" w:rsidRDefault="00DB11AF" w:rsidP="008C1B81">
      <w:pPr>
        <w:spacing w:line="240" w:lineRule="auto"/>
        <w:ind w:firstLine="284"/>
        <w:jc w:val="both"/>
        <w:rPr>
          <w:rFonts w:ascii="Garamond" w:hAnsi="Garamond"/>
        </w:rPr>
      </w:pPr>
      <w:r w:rsidRPr="00DB11AF">
        <w:rPr>
          <w:rFonts w:ascii="Garamond" w:hAnsi="Garamond"/>
          <w:bCs/>
        </w:rPr>
        <w:t>KËRKUES: SHABAN KAPLLANAJ</w:t>
      </w:r>
    </w:p>
    <w:p w14:paraId="16ECE810" w14:textId="29715BB4" w:rsidR="00DB11AF" w:rsidRPr="008C1B81" w:rsidRDefault="00DB11AF" w:rsidP="008C1B81">
      <w:pPr>
        <w:spacing w:line="240" w:lineRule="auto"/>
        <w:ind w:firstLine="284"/>
        <w:jc w:val="both"/>
        <w:rPr>
          <w:rFonts w:ascii="Garamond" w:hAnsi="Garamond"/>
          <w:bCs/>
        </w:rPr>
      </w:pPr>
      <w:r w:rsidRPr="00DB11AF">
        <w:rPr>
          <w:rFonts w:ascii="Garamond" w:hAnsi="Garamond"/>
          <w:bCs/>
        </w:rPr>
        <w:t>SUBJEKT I INTERESUAR: PROKURORIA E PËRGJITHSHME,</w:t>
      </w:r>
      <w:r w:rsidRPr="00DB11AF">
        <w:rPr>
          <w:rFonts w:ascii="Garamond" w:hAnsi="Garamond"/>
        </w:rPr>
        <w:t xml:space="preserve"> përfaqësuar nga</w:t>
      </w:r>
      <w:r w:rsidR="008C1B81">
        <w:rPr>
          <w:rFonts w:ascii="Garamond" w:hAnsi="Garamond"/>
          <w:bCs/>
        </w:rPr>
        <w:t xml:space="preserve"> </w:t>
      </w:r>
      <w:r w:rsidRPr="00DB11AF">
        <w:rPr>
          <w:rFonts w:ascii="Garamond" w:hAnsi="Garamond"/>
        </w:rPr>
        <w:t>prokuror Arqilea Koça, me autorizim.</w:t>
      </w:r>
    </w:p>
    <w:p w14:paraId="2D6E9BBA" w14:textId="6A492022" w:rsidR="00DB11AF" w:rsidRPr="00DB11AF" w:rsidRDefault="00DB11AF" w:rsidP="008C1B81">
      <w:pPr>
        <w:pStyle w:val="BodyTextIndent2"/>
        <w:spacing w:line="240" w:lineRule="auto"/>
        <w:ind w:left="0" w:firstLine="284"/>
        <w:rPr>
          <w:rFonts w:ascii="Garamond" w:hAnsi="Garamond"/>
          <w:b w:val="0"/>
        </w:rPr>
      </w:pPr>
      <w:r w:rsidRPr="00DB11AF">
        <w:rPr>
          <w:rFonts w:ascii="Garamond" w:hAnsi="Garamond"/>
          <w:b w:val="0"/>
        </w:rPr>
        <w:t>OBJEKTI:  Shfuqizimi i vendimeve nr. 1195 akti, datë 15.12.2017</w:t>
      </w:r>
      <w:r w:rsidR="008C1B81">
        <w:rPr>
          <w:rFonts w:ascii="Garamond" w:hAnsi="Garamond"/>
          <w:b w:val="0"/>
        </w:rPr>
        <w:t>,</w:t>
      </w:r>
      <w:r w:rsidRPr="00DB11AF">
        <w:rPr>
          <w:rFonts w:ascii="Garamond" w:hAnsi="Garamond"/>
          <w:b w:val="0"/>
        </w:rPr>
        <w:t xml:space="preserve"> të Gjykatës së Rrethit Gjyqësor Tiranë; nr. 183, datë 1.2.2018</w:t>
      </w:r>
      <w:r w:rsidR="008C1B81">
        <w:rPr>
          <w:rFonts w:ascii="Garamond" w:hAnsi="Garamond"/>
          <w:b w:val="0"/>
        </w:rPr>
        <w:t>,</w:t>
      </w:r>
      <w:r w:rsidRPr="00DB11AF">
        <w:rPr>
          <w:rFonts w:ascii="Garamond" w:hAnsi="Garamond"/>
          <w:b w:val="0"/>
        </w:rPr>
        <w:t xml:space="preserve"> të Gjykatës së Apelit Tiranë; nr. 00-2023-1151, datë 3.7.2023</w:t>
      </w:r>
      <w:r w:rsidR="008C1B81">
        <w:rPr>
          <w:rFonts w:ascii="Garamond" w:hAnsi="Garamond"/>
          <w:b w:val="0"/>
        </w:rPr>
        <w:t>,</w:t>
      </w:r>
      <w:r w:rsidRPr="00DB11AF">
        <w:rPr>
          <w:rFonts w:ascii="Garamond" w:hAnsi="Garamond"/>
          <w:b w:val="0"/>
        </w:rPr>
        <w:t xml:space="preserve"> të Kolegjit Penal të Gjykatës së Lartë, si të papajtueshme me Kushtetutën e Republikës së Shqipërisë.</w:t>
      </w:r>
    </w:p>
    <w:p w14:paraId="7CA1C174" w14:textId="6CD0F97A" w:rsidR="00DB11AF" w:rsidRPr="00DB11AF" w:rsidRDefault="00DB11AF" w:rsidP="008C1B81">
      <w:pPr>
        <w:pStyle w:val="BodyTextIndent2"/>
        <w:spacing w:line="240" w:lineRule="auto"/>
        <w:ind w:left="0" w:firstLine="284"/>
        <w:rPr>
          <w:rFonts w:ascii="Garamond" w:hAnsi="Garamond"/>
          <w:b w:val="0"/>
        </w:rPr>
      </w:pPr>
      <w:r w:rsidRPr="00DB11AF">
        <w:rPr>
          <w:rFonts w:ascii="Garamond" w:hAnsi="Garamond"/>
          <w:b w:val="0"/>
        </w:rPr>
        <w:t xml:space="preserve">BAZA LIGJORE: Nenet 21, 42, 131, pika 1, shkronja “f”, 134, pikat 1, shkronja “i” dhe 2, si dhe 142 të Kushtetutës së Republikës së Shqipërisë </w:t>
      </w:r>
      <w:r w:rsidRPr="00DB11AF">
        <w:rPr>
          <w:rFonts w:ascii="Garamond" w:hAnsi="Garamond"/>
          <w:b w:val="0"/>
          <w:i/>
          <w:iCs/>
        </w:rPr>
        <w:t>(Kushtetuta)</w:t>
      </w:r>
      <w:r w:rsidRPr="00DB11AF">
        <w:rPr>
          <w:rFonts w:ascii="Garamond" w:hAnsi="Garamond"/>
          <w:b w:val="0"/>
        </w:rPr>
        <w:t>; ligji nr. 8577, datë 10.2.2000</w:t>
      </w:r>
      <w:r w:rsidR="008C1B81">
        <w:rPr>
          <w:rFonts w:ascii="Garamond" w:hAnsi="Garamond"/>
          <w:b w:val="0"/>
        </w:rPr>
        <w:t>,</w:t>
      </w:r>
      <w:r w:rsidRPr="00DB11AF">
        <w:rPr>
          <w:rFonts w:ascii="Garamond" w:hAnsi="Garamond"/>
          <w:b w:val="0"/>
        </w:rPr>
        <w:t xml:space="preserve"> “Për organizimin dhe funksionimin e Gjykatës Kushtetuese të Republikës së Shqipërisë”, i ndryshuar </w:t>
      </w:r>
      <w:r w:rsidRPr="00DB11AF">
        <w:rPr>
          <w:rFonts w:ascii="Garamond" w:hAnsi="Garamond"/>
          <w:b w:val="0"/>
          <w:i/>
          <w:iCs/>
        </w:rPr>
        <w:t>(ligji nr. 8577/2000)</w:t>
      </w:r>
      <w:r w:rsidRPr="00DB11AF">
        <w:rPr>
          <w:rFonts w:ascii="Garamond" w:hAnsi="Garamond"/>
          <w:b w:val="0"/>
        </w:rPr>
        <w:t>.</w:t>
      </w:r>
    </w:p>
    <w:p w14:paraId="64877227" w14:textId="77777777" w:rsidR="00DB11AF" w:rsidRPr="00DB11AF" w:rsidRDefault="00DB11AF" w:rsidP="00DB11AF">
      <w:pPr>
        <w:pStyle w:val="BodyTextIndent2"/>
        <w:spacing w:line="240" w:lineRule="auto"/>
        <w:ind w:left="0" w:firstLine="284"/>
        <w:rPr>
          <w:rFonts w:ascii="Garamond" w:hAnsi="Garamond"/>
        </w:rPr>
      </w:pPr>
    </w:p>
    <w:p w14:paraId="3B333B7A" w14:textId="4177E9A8" w:rsidR="00DB11AF" w:rsidRPr="008C1B81" w:rsidRDefault="00DB11AF" w:rsidP="00DB11AF">
      <w:pPr>
        <w:spacing w:line="240" w:lineRule="auto"/>
        <w:ind w:firstLine="284"/>
        <w:jc w:val="center"/>
        <w:rPr>
          <w:rFonts w:ascii="Garamond" w:hAnsi="Garamond"/>
          <w:bCs/>
        </w:rPr>
      </w:pPr>
      <w:r w:rsidRPr="008C1B81">
        <w:rPr>
          <w:rFonts w:ascii="Garamond" w:hAnsi="Garamond"/>
          <w:bCs/>
        </w:rPr>
        <w:t>GJYKATA KUSHTETUESE,</w:t>
      </w:r>
    </w:p>
    <w:p w14:paraId="304B9911" w14:textId="77777777" w:rsidR="00DB11AF" w:rsidRPr="00DB11AF" w:rsidRDefault="00DB11AF" w:rsidP="00DB11AF">
      <w:pPr>
        <w:spacing w:line="240" w:lineRule="auto"/>
        <w:ind w:firstLine="284"/>
        <w:jc w:val="center"/>
        <w:rPr>
          <w:rFonts w:ascii="Garamond" w:hAnsi="Garamond"/>
          <w:b/>
          <w:bCs/>
        </w:rPr>
      </w:pPr>
    </w:p>
    <w:p w14:paraId="234F07F5" w14:textId="77777777" w:rsidR="00DB11AF" w:rsidRPr="00DB11AF" w:rsidRDefault="00DB11AF" w:rsidP="00DB11AF">
      <w:pPr>
        <w:spacing w:line="240" w:lineRule="auto"/>
        <w:ind w:firstLine="284"/>
        <w:jc w:val="both"/>
        <w:rPr>
          <w:rFonts w:ascii="Garamond" w:hAnsi="Garamond"/>
        </w:rPr>
      </w:pPr>
      <w:r w:rsidRPr="00DB11AF">
        <w:rPr>
          <w:rFonts w:ascii="Garamond" w:hAnsi="Garamond"/>
        </w:rPr>
        <w:t>pasi dëgjoi relatoren e çështjes Elsa Toska, mori në shqyrtim pretendimet e kërkuesit, i cili ka kërkuar pranimin e kërkesës, prapësimet e subjektit të interesuar, Prokurorisë së Përgjithshme, i cili ka kërkuar rrëzimin pjesërisht të kërkesës, si dhe diskutoi çështjen në tërësi,</w:t>
      </w:r>
    </w:p>
    <w:p w14:paraId="1FA3D7B7" w14:textId="77777777" w:rsidR="00DB11AF" w:rsidRPr="00DB11AF" w:rsidRDefault="00DB11AF" w:rsidP="00DB11AF">
      <w:pPr>
        <w:spacing w:line="240" w:lineRule="auto"/>
        <w:ind w:firstLine="284"/>
        <w:jc w:val="both"/>
        <w:rPr>
          <w:rFonts w:ascii="Garamond" w:hAnsi="Garamond"/>
          <w:b/>
          <w:bCs/>
        </w:rPr>
      </w:pPr>
    </w:p>
    <w:p w14:paraId="1C001A16" w14:textId="77777777" w:rsidR="00DB11AF" w:rsidRPr="00DB11AF" w:rsidRDefault="00DB11AF" w:rsidP="00DB11AF">
      <w:pPr>
        <w:spacing w:line="240" w:lineRule="auto"/>
        <w:ind w:firstLine="284"/>
        <w:jc w:val="center"/>
        <w:rPr>
          <w:rFonts w:ascii="Garamond" w:hAnsi="Garamond"/>
          <w:bCs/>
        </w:rPr>
      </w:pPr>
      <w:r w:rsidRPr="00DB11AF">
        <w:rPr>
          <w:rFonts w:ascii="Garamond" w:hAnsi="Garamond"/>
          <w:bCs/>
        </w:rPr>
        <w:t>VËREN:</w:t>
      </w:r>
    </w:p>
    <w:p w14:paraId="16745150" w14:textId="2608004C" w:rsidR="00DB11AF" w:rsidRPr="00DB11AF" w:rsidRDefault="00DB11AF" w:rsidP="00DB11AF">
      <w:pPr>
        <w:spacing w:line="240" w:lineRule="auto"/>
        <w:ind w:firstLine="284"/>
        <w:jc w:val="center"/>
        <w:rPr>
          <w:rFonts w:ascii="Garamond" w:hAnsi="Garamond"/>
          <w:bCs/>
        </w:rPr>
      </w:pPr>
      <w:r w:rsidRPr="00DB11AF">
        <w:rPr>
          <w:rFonts w:ascii="Garamond" w:hAnsi="Garamond"/>
          <w:bCs/>
        </w:rPr>
        <w:t>I</w:t>
      </w:r>
    </w:p>
    <w:p w14:paraId="07601F91" w14:textId="19F03CF1" w:rsidR="00DB11AF" w:rsidRPr="00DB11AF" w:rsidRDefault="00DB11AF" w:rsidP="00DB11AF">
      <w:pPr>
        <w:spacing w:line="240" w:lineRule="auto"/>
        <w:ind w:firstLine="284"/>
        <w:jc w:val="center"/>
        <w:rPr>
          <w:rFonts w:ascii="Garamond" w:hAnsi="Garamond"/>
          <w:b/>
          <w:bCs/>
        </w:rPr>
      </w:pPr>
      <w:r w:rsidRPr="00DB11AF">
        <w:rPr>
          <w:rFonts w:ascii="Garamond" w:hAnsi="Garamond"/>
          <w:b/>
          <w:bCs/>
        </w:rPr>
        <w:t>Rrethanat e çështjes</w:t>
      </w:r>
    </w:p>
    <w:p w14:paraId="305E9A41" w14:textId="77777777" w:rsidR="00DB11AF" w:rsidRPr="00DB11AF" w:rsidRDefault="00DB11AF" w:rsidP="00DB11AF">
      <w:pPr>
        <w:spacing w:line="240" w:lineRule="auto"/>
        <w:ind w:firstLine="284"/>
        <w:jc w:val="center"/>
        <w:rPr>
          <w:rFonts w:ascii="Garamond" w:hAnsi="Garamond"/>
          <w:b/>
          <w:bCs/>
        </w:rPr>
      </w:pPr>
    </w:p>
    <w:p w14:paraId="0DA7BC52" w14:textId="69641EDE"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1. Në datën 1.9.2016</w:t>
      </w:r>
      <w:r w:rsidR="008C1B81">
        <w:rPr>
          <w:rFonts w:ascii="Garamond" w:hAnsi="Garamond"/>
          <w:b w:val="0"/>
          <w:bCs/>
        </w:rPr>
        <w:t>,</w:t>
      </w:r>
      <w:r w:rsidRPr="00DB11AF">
        <w:rPr>
          <w:rFonts w:ascii="Garamond" w:hAnsi="Garamond"/>
          <w:b w:val="0"/>
          <w:bCs/>
        </w:rPr>
        <w:t xml:space="preserve"> patrulla e shërbimeve të rendit ka raportuar se një person i moshës rreth 25 vjeç është ngjitur në zyrat e kompanive ajrore në brendësi të terminalit të aeroportit “Nënë Tereza”, Rinas dhe më pas është hedhur nga një distancë prej rreth 8 metrash. Pavarësisht ndihmës së parë mjekësore nga mjeku i aeroportit, ai nuk ka mundur t’u mbijetojë plagëve të marra dhe ka ndërruar jetë në spital. Personi i hedhur është identifikuar si shtetasi J.</w:t>
      </w:r>
      <w:r w:rsidR="0042245C">
        <w:rPr>
          <w:rFonts w:ascii="Garamond" w:hAnsi="Garamond"/>
          <w:b w:val="0"/>
          <w:bCs/>
        </w:rPr>
        <w:t xml:space="preserve"> </w:t>
      </w:r>
      <w:r w:rsidRPr="00DB11AF">
        <w:rPr>
          <w:rFonts w:ascii="Garamond" w:hAnsi="Garamond"/>
          <w:b w:val="0"/>
          <w:bCs/>
        </w:rPr>
        <w:t xml:space="preserve">K., i biri i shtetasit Shaban Kapllani </w:t>
      </w:r>
      <w:r w:rsidRPr="00DB11AF">
        <w:rPr>
          <w:rFonts w:ascii="Garamond" w:hAnsi="Garamond"/>
          <w:b w:val="0"/>
          <w:bCs/>
          <w:i/>
          <w:iCs/>
        </w:rPr>
        <w:t>(kërkuesi)</w:t>
      </w:r>
      <w:r w:rsidRPr="00DB11AF">
        <w:rPr>
          <w:rFonts w:ascii="Garamond" w:hAnsi="Garamond"/>
          <w:b w:val="0"/>
          <w:bCs/>
        </w:rPr>
        <w:t>.</w:t>
      </w:r>
    </w:p>
    <w:p w14:paraId="76F04391" w14:textId="491EA458"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2. Mbi bazën e materialeve të referuara për ngjarjen nga Policia Gjyqësore e Komisariatit të Policisë për Kufirin dhe Migracionin, aeroporti “Nënë Tereza”, Rinas, Prokuroria pranë Gjykatës së Rrethit Gjyqësor Tiranë </w:t>
      </w:r>
      <w:r w:rsidRPr="00DB11AF">
        <w:rPr>
          <w:rFonts w:ascii="Garamond" w:hAnsi="Garamond"/>
          <w:b w:val="0"/>
          <w:bCs/>
          <w:i/>
          <w:iCs/>
        </w:rPr>
        <w:t>(Prokuroria e Tiranës)</w:t>
      </w:r>
      <w:r w:rsidRPr="00DB11AF">
        <w:rPr>
          <w:rFonts w:ascii="Garamond" w:hAnsi="Garamond"/>
          <w:b w:val="0"/>
          <w:bCs/>
        </w:rPr>
        <w:t xml:space="preserve"> ka regjistruar procedimin penal nr. 8543 për veprën penale “Shkaktimi i vetëvrasjes”, të parashikuar nga neni 99 i Kodit Penal </w:t>
      </w:r>
      <w:r w:rsidRPr="00DB11AF">
        <w:rPr>
          <w:rFonts w:ascii="Garamond" w:hAnsi="Garamond"/>
          <w:b w:val="0"/>
          <w:bCs/>
          <w:i/>
          <w:iCs/>
        </w:rPr>
        <w:t>(KP)</w:t>
      </w:r>
      <w:r w:rsidRPr="00DB11AF">
        <w:rPr>
          <w:rFonts w:ascii="Garamond" w:hAnsi="Garamond"/>
          <w:b w:val="0"/>
          <w:bCs/>
        </w:rPr>
        <w:t xml:space="preserve">. Në përfundim të hetimeve, bazuar në nenin 328, pika 1, shkronja “b”, të Kodit të Procedurës Penale </w:t>
      </w:r>
      <w:r w:rsidRPr="00DB11AF">
        <w:rPr>
          <w:rFonts w:ascii="Garamond" w:hAnsi="Garamond"/>
          <w:b w:val="0"/>
          <w:bCs/>
          <w:i/>
          <w:iCs/>
        </w:rPr>
        <w:t>(KPP)</w:t>
      </w:r>
      <w:r w:rsidRPr="00DB11AF">
        <w:rPr>
          <w:rFonts w:ascii="Garamond" w:hAnsi="Garamond"/>
          <w:b w:val="0"/>
          <w:bCs/>
        </w:rPr>
        <w:t xml:space="preserve">, sipas përmbajtjes së kohës, me vendimin e datës 12.6.2017, Prokuroria e Tiranës ka vendosur pushimin </w:t>
      </w:r>
      <w:r w:rsidRPr="00DB11AF">
        <w:rPr>
          <w:rFonts w:ascii="Garamond" w:hAnsi="Garamond"/>
          <w:b w:val="0"/>
          <w:bCs/>
        </w:rPr>
        <w:lastRenderedPageBreak/>
        <w:t xml:space="preserve">e procedimit penal, për shkak të mosplotësimit të elementeve të figurës së veprës penale të parashikuar nga neni 99 i KP-së. </w:t>
      </w:r>
    </w:p>
    <w:p w14:paraId="7A5D1133" w14:textId="386A7451"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3. Duke mos qenë dakord me këtë vendim, kërkuesi</w:t>
      </w:r>
      <w:r w:rsidRPr="00DB11AF">
        <w:rPr>
          <w:rFonts w:ascii="Garamond" w:hAnsi="Garamond"/>
          <w:b w:val="0"/>
          <w:bCs/>
          <w:i/>
          <w:iCs/>
        </w:rPr>
        <w:t xml:space="preserve"> </w:t>
      </w:r>
      <w:r w:rsidRPr="00DB11AF">
        <w:rPr>
          <w:rFonts w:ascii="Garamond" w:hAnsi="Garamond"/>
          <w:b w:val="0"/>
          <w:bCs/>
        </w:rPr>
        <w:t xml:space="preserve">i është drejtuar me kërkesë Gjykatës së Rrethit Gjyqësor Tiranë për kundërshtimin e vendimit të prokurorisë për pushimin e procedimit penal, duke pretenduar, ndër të tjera, se forcat e rendit dhe sigurisë të Policisë së Shtetit dhe policia private e aeroportit nuk kanë marrë masa për të penguar ngjarjen, si dhe organi i prokurorisë nuk ka kryer hetimet e nevojshme për përcaktimin e rrethanave të saj dhe ka hetuar për veprën e gabuar penale. Me vendimin nr. 1195 akti, datë 15.12.2017, gjykata ka vendosur rrëzimin e kërkesës, si të pabazuar në ligj e në prova, duke lënë në fuqi vendimin e prokurorisë. </w:t>
      </w:r>
    </w:p>
    <w:p w14:paraId="5F69D7B9" w14:textId="25F12AAC"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4. Ndaj vendimit të gjykatës së rrethit kërkuesi ka ushtruar ankim, për të cilin Gjykata e Apelit Tiranë, me vendimin nr. 183, datë 1.2.2018, ka vendosur lënien në fuqi të vendimit të gjykatës së rrethit, ndërsa për rekursin e kërkuesit Kolegji Penal i Gjykatës së Lartë, me vendimin nr. 00-2023-1151, datë 3.7.2023, ka vendosur mospranimin.</w:t>
      </w:r>
    </w:p>
    <w:p w14:paraId="7A85BA55" w14:textId="5E99AEB4"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5. Në datën 20.12.2023</w:t>
      </w:r>
      <w:r w:rsidR="008C1B81">
        <w:rPr>
          <w:rFonts w:ascii="Garamond" w:hAnsi="Garamond"/>
          <w:b w:val="0"/>
          <w:bCs/>
        </w:rPr>
        <w:t>,</w:t>
      </w:r>
      <w:r w:rsidRPr="00DB11AF">
        <w:rPr>
          <w:rFonts w:ascii="Garamond" w:hAnsi="Garamond"/>
          <w:b w:val="0"/>
          <w:bCs/>
        </w:rPr>
        <w:t xml:space="preserve"> kërkuesi i është drejtuar Gjykatës Kushtetuese </w:t>
      </w:r>
      <w:r w:rsidRPr="00DB11AF">
        <w:rPr>
          <w:rFonts w:ascii="Garamond" w:hAnsi="Garamond"/>
          <w:b w:val="0"/>
          <w:bCs/>
          <w:i/>
          <w:iCs/>
        </w:rPr>
        <w:t xml:space="preserve">(Gjykata) </w:t>
      </w:r>
      <w:r w:rsidRPr="00DB11AF">
        <w:rPr>
          <w:rFonts w:ascii="Garamond" w:hAnsi="Garamond"/>
          <w:b w:val="0"/>
          <w:bCs/>
        </w:rPr>
        <w:t>me ankim kushtetues individual, i cili, pas plotësimit sipas parashikimeve të nenit 27</w:t>
      </w:r>
      <w:r w:rsidR="008C1B81">
        <w:rPr>
          <w:rFonts w:ascii="Garamond" w:hAnsi="Garamond"/>
          <w:b w:val="0"/>
          <w:bCs/>
        </w:rPr>
        <w:t>,</w:t>
      </w:r>
      <w:r w:rsidRPr="00DB11AF">
        <w:rPr>
          <w:rFonts w:ascii="Garamond" w:hAnsi="Garamond"/>
          <w:b w:val="0"/>
          <w:bCs/>
        </w:rPr>
        <w:t xml:space="preserve"> të ligjit nr. 8577/2000, është regjistruar në datën 29.12.2023.</w:t>
      </w:r>
    </w:p>
    <w:p w14:paraId="774A3ED2" w14:textId="77777777" w:rsidR="00DB11AF" w:rsidRPr="00DB11AF" w:rsidRDefault="00DB11AF" w:rsidP="00DB11AF">
      <w:pPr>
        <w:pStyle w:val="BodyTextIndent2"/>
        <w:tabs>
          <w:tab w:val="left" w:pos="980"/>
        </w:tabs>
        <w:spacing w:line="240" w:lineRule="auto"/>
        <w:ind w:left="0" w:firstLine="284"/>
        <w:jc w:val="center"/>
        <w:rPr>
          <w:rFonts w:ascii="Garamond" w:hAnsi="Garamond"/>
          <w:b w:val="0"/>
          <w:bCs/>
        </w:rPr>
      </w:pPr>
    </w:p>
    <w:p w14:paraId="7658E683" w14:textId="77777777" w:rsidR="00DB11AF" w:rsidRPr="00DB11AF" w:rsidRDefault="00DB11AF" w:rsidP="00DB11AF">
      <w:pPr>
        <w:pStyle w:val="BodyTextIndent2"/>
        <w:tabs>
          <w:tab w:val="left" w:pos="980"/>
        </w:tabs>
        <w:spacing w:line="240" w:lineRule="auto"/>
        <w:ind w:left="0" w:firstLine="284"/>
        <w:jc w:val="center"/>
        <w:rPr>
          <w:rFonts w:ascii="Garamond" w:hAnsi="Garamond"/>
          <w:b w:val="0"/>
        </w:rPr>
      </w:pPr>
      <w:r w:rsidRPr="00DB11AF">
        <w:rPr>
          <w:rFonts w:ascii="Garamond" w:hAnsi="Garamond"/>
          <w:b w:val="0"/>
        </w:rPr>
        <w:t>II</w:t>
      </w:r>
    </w:p>
    <w:p w14:paraId="4B9022E7" w14:textId="4AF5737E" w:rsidR="00DB11AF" w:rsidRPr="00DB11AF" w:rsidRDefault="00DB11AF" w:rsidP="00DB11AF">
      <w:pPr>
        <w:pStyle w:val="BodyTextIndent2"/>
        <w:tabs>
          <w:tab w:val="left" w:pos="980"/>
        </w:tabs>
        <w:spacing w:line="240" w:lineRule="auto"/>
        <w:ind w:left="0" w:firstLine="284"/>
        <w:jc w:val="center"/>
        <w:rPr>
          <w:rFonts w:ascii="Garamond" w:hAnsi="Garamond"/>
        </w:rPr>
      </w:pPr>
      <w:r w:rsidRPr="00DB11AF">
        <w:rPr>
          <w:rFonts w:ascii="Garamond" w:hAnsi="Garamond"/>
        </w:rPr>
        <w:t>Pretendimet në Gjykatën Kushtetuese</w:t>
      </w:r>
    </w:p>
    <w:p w14:paraId="455C76C6" w14:textId="77777777" w:rsidR="00DB11AF" w:rsidRPr="00DB11AF" w:rsidRDefault="00DB11AF" w:rsidP="00DB11AF">
      <w:pPr>
        <w:pStyle w:val="BodyTextIndent2"/>
        <w:tabs>
          <w:tab w:val="left" w:pos="980"/>
        </w:tabs>
        <w:spacing w:line="240" w:lineRule="auto"/>
        <w:ind w:left="0" w:firstLine="284"/>
        <w:jc w:val="center"/>
        <w:rPr>
          <w:rFonts w:ascii="Garamond" w:hAnsi="Garamond"/>
        </w:rPr>
      </w:pPr>
    </w:p>
    <w:p w14:paraId="7397E6BC" w14:textId="27FF3701"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6. </w:t>
      </w:r>
      <w:r w:rsidRPr="00DB11AF">
        <w:rPr>
          <w:rFonts w:ascii="Garamond" w:hAnsi="Garamond"/>
          <w:i/>
          <w:iCs/>
        </w:rPr>
        <w:t>Kërkuesi</w:t>
      </w:r>
      <w:r w:rsidRPr="00DB11AF">
        <w:rPr>
          <w:rFonts w:ascii="Garamond" w:hAnsi="Garamond"/>
          <w:b w:val="0"/>
          <w:bCs/>
        </w:rPr>
        <w:t>, në mënyrë të përmbledhur, ka parashtruar se janë cenuar:</w:t>
      </w:r>
    </w:p>
    <w:p w14:paraId="257BACF0" w14:textId="48D02301" w:rsidR="00DB11AF" w:rsidRPr="00DB11AF" w:rsidRDefault="00DB11AF" w:rsidP="00DB11AF">
      <w:pPr>
        <w:pStyle w:val="BodyTextIndent2"/>
        <w:tabs>
          <w:tab w:val="left" w:pos="1160"/>
        </w:tabs>
        <w:spacing w:line="240" w:lineRule="auto"/>
        <w:ind w:left="0" w:firstLine="284"/>
        <w:rPr>
          <w:rFonts w:ascii="Garamond" w:hAnsi="Garamond"/>
          <w:b w:val="0"/>
          <w:bCs/>
        </w:rPr>
      </w:pPr>
      <w:r w:rsidRPr="00DB11AF">
        <w:rPr>
          <w:rFonts w:ascii="Garamond" w:hAnsi="Garamond"/>
          <w:b w:val="0"/>
          <w:bCs/>
          <w:i/>
          <w:iCs/>
        </w:rPr>
        <w:t xml:space="preserve">6.1 E drejta e jetës, </w:t>
      </w:r>
      <w:r w:rsidRPr="00DB11AF">
        <w:rPr>
          <w:rFonts w:ascii="Garamond" w:hAnsi="Garamond"/>
          <w:b w:val="0"/>
          <w:bCs/>
        </w:rPr>
        <w:t>e garantuar nga neni 21 i Kushtetutës, pasi:</w:t>
      </w:r>
    </w:p>
    <w:p w14:paraId="14A649BC" w14:textId="73DBC19D" w:rsidR="00DB11AF" w:rsidRPr="00DB11AF" w:rsidRDefault="00DB11AF" w:rsidP="00DB11AF">
      <w:pPr>
        <w:pStyle w:val="BodyTextIndent2"/>
        <w:tabs>
          <w:tab w:val="left" w:pos="1160"/>
        </w:tabs>
        <w:spacing w:line="240" w:lineRule="auto"/>
        <w:ind w:left="0" w:firstLine="284"/>
        <w:rPr>
          <w:rFonts w:ascii="Garamond" w:hAnsi="Garamond"/>
          <w:b w:val="0"/>
          <w:bCs/>
        </w:rPr>
      </w:pPr>
      <w:r w:rsidRPr="00DB11AF">
        <w:rPr>
          <w:rFonts w:ascii="Garamond" w:hAnsi="Garamond"/>
          <w:b w:val="0"/>
          <w:bCs/>
        </w:rPr>
        <w:t xml:space="preserve">6.1.1 Nga ngjitja e të birit sipër zyrave të kompanive ajrore në brendësi të aeroportit dhe deri në hedhjen e tij, Policia e Shtetit dhe punonjësit e sigurisë nuk kanë ndërmarrë asnjë veprim për parandalimin e ngjarjes ose që pasojat të ishin më të lehta. </w:t>
      </w:r>
    </w:p>
    <w:p w14:paraId="4A675CE8" w14:textId="509FA596" w:rsidR="00DB11AF" w:rsidRPr="00DB11AF" w:rsidRDefault="00DB11AF" w:rsidP="00DB11AF">
      <w:pPr>
        <w:pStyle w:val="BodyTextIndent2"/>
        <w:tabs>
          <w:tab w:val="left" w:pos="1160"/>
        </w:tabs>
        <w:spacing w:line="240" w:lineRule="auto"/>
        <w:ind w:left="0" w:firstLine="284"/>
        <w:rPr>
          <w:rFonts w:ascii="Garamond" w:hAnsi="Garamond"/>
          <w:b w:val="0"/>
          <w:bCs/>
        </w:rPr>
      </w:pPr>
      <w:r w:rsidRPr="00DB11AF">
        <w:rPr>
          <w:rFonts w:ascii="Garamond" w:hAnsi="Garamond"/>
          <w:b w:val="0"/>
          <w:bCs/>
        </w:rPr>
        <w:t>6.1.2 Organi i ndjekjes penale nuk ka kryer hetime efektive në drejtim të zbardhjes së rrethanave të ngjarjes ku ka gjetur vdekjen i biri. Kështu, në gjykim ai ka kërkuar të kryhen një sërë veprimesh hetimore në lidhje me përcaktimin e organeve përgjegjëse që kishin detyrimin për sigurimin e jetës së të birit e të veprimeve të kryera nga ana e tyre, pyetjen e personave të tjerë në detyrë, kryerjen e hetimeve për lëvizjet e të birit nga momenti i mbërritjes së avionit deri në çastin e hedhjes së tij, sqarimin e pasaktësive në raportet e shërbimit të mbajtura ditën e ngjarjes, kryerjen e një ekspertimi të plotë teknik-sinjalistik, si dhe marrjen e provave të tjera për përcaktimin e rrethanave të ngjarjes. Pretendimet e tij për mosveprimet e kryera nga prokuroria nuk janë marrë parasysh nga gjykatat. Po kështu, organi i prokurorisë ka hetuar për veprën penale “Shkaktimi i vetëvrasjes”, ndërkohë që në rastin konkret nuk bëhet fjalë për këtë vepër penale, sipas përcaktimit të KP-së, por për veprën penale “Shpërdorimi i detyrës”, të parashikuar nga neni 248 i këtij kodi, me pasojë vdekjen e personit.</w:t>
      </w:r>
    </w:p>
    <w:p w14:paraId="7A63FF2D" w14:textId="17A04795" w:rsidR="00DB11AF" w:rsidRPr="00DB11AF" w:rsidRDefault="00DB11AF" w:rsidP="00DB11AF">
      <w:pPr>
        <w:pStyle w:val="BodyTextIndent2"/>
        <w:tabs>
          <w:tab w:val="left" w:pos="1160"/>
        </w:tabs>
        <w:spacing w:line="240" w:lineRule="auto"/>
        <w:ind w:left="0" w:firstLine="284"/>
        <w:rPr>
          <w:rFonts w:ascii="Garamond" w:hAnsi="Garamond"/>
          <w:b w:val="0"/>
          <w:bCs/>
        </w:rPr>
      </w:pPr>
      <w:r w:rsidRPr="00DB11AF">
        <w:rPr>
          <w:rFonts w:ascii="Garamond" w:hAnsi="Garamond"/>
          <w:b w:val="0"/>
          <w:bCs/>
          <w:i/>
          <w:iCs/>
        </w:rPr>
        <w:t>6.2 E drejta për proces të rregullt ligjor</w:t>
      </w:r>
      <w:r w:rsidRPr="00DB11AF">
        <w:rPr>
          <w:rFonts w:ascii="Garamond" w:hAnsi="Garamond"/>
          <w:b w:val="0"/>
          <w:bCs/>
        </w:rPr>
        <w:t>, e garantuar nga neni 42 i Kushtetutës, në drejtim të:</w:t>
      </w:r>
    </w:p>
    <w:p w14:paraId="69416BD0" w14:textId="7AE6DBAB" w:rsidR="00DB11AF" w:rsidRPr="00DB11AF" w:rsidRDefault="00DB11AF" w:rsidP="00DB11AF">
      <w:pPr>
        <w:pStyle w:val="BodyTextIndent2"/>
        <w:tabs>
          <w:tab w:val="left" w:pos="1520"/>
        </w:tabs>
        <w:spacing w:line="240" w:lineRule="auto"/>
        <w:ind w:left="0" w:firstLine="284"/>
        <w:rPr>
          <w:rFonts w:ascii="Garamond" w:hAnsi="Garamond"/>
          <w:b w:val="0"/>
          <w:bCs/>
        </w:rPr>
      </w:pPr>
      <w:r w:rsidRPr="00DB11AF">
        <w:rPr>
          <w:rFonts w:ascii="Garamond" w:hAnsi="Garamond"/>
          <w:b w:val="0"/>
          <w:bCs/>
          <w:i/>
          <w:iCs/>
        </w:rPr>
        <w:t>6.2.1 Së drejtës së aksesit</w:t>
      </w:r>
      <w:r w:rsidRPr="00DB11AF">
        <w:rPr>
          <w:rFonts w:ascii="Garamond" w:hAnsi="Garamond"/>
          <w:b w:val="0"/>
          <w:bCs/>
        </w:rPr>
        <w:t xml:space="preserve">, pasi ai nuk është njoftuar për datën e shqyrtimit të çështjes nga Gjykata e Apelit Tiranë. Njoftimi që i është dërguar nga kjo gjykatë është kthyer nga shërbimi postar me shënimin </w:t>
      </w:r>
      <w:r w:rsidRPr="00DB11AF">
        <w:rPr>
          <w:rFonts w:ascii="Garamond" w:hAnsi="Garamond"/>
          <w:b w:val="0"/>
          <w:bCs/>
          <w:i/>
          <w:iCs/>
        </w:rPr>
        <w:t>“Adresë e paplotë”</w:t>
      </w:r>
      <w:r w:rsidRPr="00DB11AF">
        <w:rPr>
          <w:rFonts w:ascii="Garamond" w:hAnsi="Garamond"/>
          <w:b w:val="0"/>
          <w:bCs/>
        </w:rPr>
        <w:t>, ndonëse adresa ka qenë e saktë dhe në të ka qenë shënuar edhe numri i tij i telefonit. Në kushtet e mosmarrjes së njoftimit, gjykata e apelit kishte detyrimin të zbatonte dispozitat procedurale për njoftimin e tij me shpallje, çka nuk është bërë.</w:t>
      </w:r>
    </w:p>
    <w:p w14:paraId="0DD1FE2E" w14:textId="05862656" w:rsidR="00DB11AF" w:rsidRPr="00DB11AF" w:rsidRDefault="00DB11AF" w:rsidP="00DB11AF">
      <w:pPr>
        <w:pStyle w:val="BodyTextIndent2"/>
        <w:tabs>
          <w:tab w:val="left" w:pos="1520"/>
        </w:tabs>
        <w:spacing w:line="240" w:lineRule="auto"/>
        <w:ind w:left="0" w:firstLine="284"/>
        <w:rPr>
          <w:rFonts w:ascii="Garamond" w:hAnsi="Garamond"/>
          <w:b w:val="0"/>
          <w:bCs/>
        </w:rPr>
      </w:pPr>
      <w:r w:rsidRPr="00DB11AF">
        <w:rPr>
          <w:rFonts w:ascii="Garamond" w:hAnsi="Garamond"/>
          <w:b w:val="0"/>
          <w:bCs/>
          <w:i/>
          <w:iCs/>
        </w:rPr>
        <w:t>6.2.2 Standardit të arsyetimit të vendimit gjyqësor</w:t>
      </w:r>
      <w:r w:rsidRPr="00DB11AF">
        <w:rPr>
          <w:rFonts w:ascii="Garamond" w:hAnsi="Garamond"/>
          <w:b w:val="0"/>
          <w:bCs/>
        </w:rPr>
        <w:t xml:space="preserve">, pasi gjykatat nuk u kanë dhënë përgjigje pretendimeve të tij. </w:t>
      </w:r>
    </w:p>
    <w:p w14:paraId="4C10E89A" w14:textId="0679646C" w:rsidR="00DB11AF" w:rsidRPr="00DB11AF" w:rsidRDefault="00DB11AF" w:rsidP="00DB11AF">
      <w:pPr>
        <w:pStyle w:val="BodyTextIndent2"/>
        <w:tabs>
          <w:tab w:val="left" w:pos="1520"/>
        </w:tabs>
        <w:spacing w:line="240" w:lineRule="auto"/>
        <w:ind w:left="0" w:firstLine="284"/>
        <w:rPr>
          <w:rFonts w:ascii="Garamond" w:hAnsi="Garamond"/>
          <w:b w:val="0"/>
          <w:bCs/>
        </w:rPr>
      </w:pPr>
      <w:r w:rsidRPr="00DB11AF">
        <w:rPr>
          <w:rFonts w:ascii="Garamond" w:hAnsi="Garamond"/>
          <w:b w:val="0"/>
          <w:bCs/>
        </w:rPr>
        <w:t xml:space="preserve">6.2.2.1 Gjykata e apelit ka arsyetuar vetëm për disa nga shkaqet e ankimit, ndërsa një prej shkaqeve për të cilat ajo arsyeton nuk është ngritur prej tij. Konkretisht, ai nuk ka vënë në diskutim veprimet e të birit në aeroport, pasi ka ardhur nga Gjermania. Ndërkohë, kjo gjykatë nuk ka arsyetuar se pse ka vlerësuar të drejtë vendimin e prokurorisë. Arsyetimi i vendimit të saj përmblidhet në 3 rreshta. </w:t>
      </w:r>
    </w:p>
    <w:p w14:paraId="3FB83722" w14:textId="63B2B275" w:rsidR="00DB11AF" w:rsidRPr="00DB11AF" w:rsidRDefault="00DB11AF" w:rsidP="00DB11AF">
      <w:pPr>
        <w:pStyle w:val="BodyTextIndent2"/>
        <w:tabs>
          <w:tab w:val="left" w:pos="1520"/>
        </w:tabs>
        <w:spacing w:line="240" w:lineRule="auto"/>
        <w:ind w:left="0" w:firstLine="284"/>
        <w:rPr>
          <w:rFonts w:ascii="Garamond" w:hAnsi="Garamond"/>
          <w:b w:val="0"/>
          <w:bCs/>
        </w:rPr>
      </w:pPr>
      <w:r w:rsidRPr="00DB11AF">
        <w:rPr>
          <w:rFonts w:ascii="Garamond" w:hAnsi="Garamond"/>
          <w:b w:val="0"/>
          <w:bCs/>
        </w:rPr>
        <w:t xml:space="preserve">6.2.2.2 Vendimi i Gjykatës së Lartë është i paarsyetuar. Kjo gjykatë e ka vlerësuar të parëndësishëm mosnjoftimin e tij për gjykimin e çështjes në gjykatën e apelit, me arsyetimin se </w:t>
      </w:r>
      <w:r w:rsidRPr="00DB11AF">
        <w:rPr>
          <w:rFonts w:ascii="Garamond" w:hAnsi="Garamond"/>
          <w:b w:val="0"/>
          <w:bCs/>
        </w:rPr>
        <w:lastRenderedPageBreak/>
        <w:t>gjykimi zhvillohet në dhomën e këshillimit dhe se pretendimet e tij janë parashtruar në ankim. KPP-ja nuk përmban asnjë dispozitë që përcakton se palët nuk njoftohen për gjykimet në apel në dhomën e këshillimit. Po kështu, ajo ka arsyetuar se vendimi unifikues i saj nr. 2, datë 20.6.2013</w:t>
      </w:r>
      <w:r w:rsidR="008C1B81">
        <w:rPr>
          <w:rFonts w:ascii="Garamond" w:hAnsi="Garamond"/>
          <w:b w:val="0"/>
          <w:bCs/>
        </w:rPr>
        <w:t>,</w:t>
      </w:r>
      <w:r w:rsidRPr="00DB11AF">
        <w:rPr>
          <w:rFonts w:ascii="Garamond" w:hAnsi="Garamond"/>
          <w:b w:val="0"/>
          <w:bCs/>
        </w:rPr>
        <w:t xml:space="preserve"> nuk merret në konsideratë kur gjykata e apelit gjykon në dhomën e këshillimit, ndërkohë që zbatimi i vendimeve unifikuese përbën detyrim ligjor. Gjykata e Lartë nuk ka arsyetuar në lidhje me pretendimet e tij për vendimin e gjykatës së rrethit, dhe se gjykata e apelit nuk u ka dhënë përgjigje pretendimeve të ngritura në ankim. Pavarësisht shkaqeve të ngritura për shkelje të rënda procedurale me pavlefshmëri të vendimit, siç është mosnjoftimi i tij, Gjykata e Lartë ka arsyetuar se rekursi nuk përmban shkaqe nga ato të parashikuara nga neni 472 i KPP-së. </w:t>
      </w:r>
    </w:p>
    <w:p w14:paraId="1927EF5E" w14:textId="003C8B1F"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7. </w:t>
      </w:r>
      <w:r w:rsidRPr="00DB11AF">
        <w:rPr>
          <w:rFonts w:ascii="Garamond" w:hAnsi="Garamond"/>
          <w:i/>
          <w:iCs/>
        </w:rPr>
        <w:t>Subjekti i interesuar</w:t>
      </w:r>
      <w:r w:rsidRPr="00DB11AF">
        <w:rPr>
          <w:rFonts w:ascii="Garamond" w:hAnsi="Garamond"/>
        </w:rPr>
        <w:t xml:space="preserve">, </w:t>
      </w:r>
      <w:r w:rsidRPr="00DB11AF">
        <w:rPr>
          <w:rFonts w:ascii="Garamond" w:hAnsi="Garamond"/>
          <w:b w:val="0"/>
          <w:bCs/>
        </w:rPr>
        <w:t>Prokuroria e Përgjithshme,</w:t>
      </w:r>
      <w:r w:rsidRPr="00DB11AF">
        <w:rPr>
          <w:rFonts w:ascii="Garamond" w:hAnsi="Garamond"/>
        </w:rPr>
        <w:t xml:space="preserve"> </w:t>
      </w:r>
      <w:r w:rsidRPr="00DB11AF">
        <w:rPr>
          <w:rFonts w:ascii="Garamond" w:hAnsi="Garamond"/>
          <w:b w:val="0"/>
          <w:bCs/>
        </w:rPr>
        <w:t>ka prapësuar:</w:t>
      </w:r>
    </w:p>
    <w:p w14:paraId="2C169EB9" w14:textId="065C5C54"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7.1 Kërkesa nuk është paraqitur brenda afatit ligjor 4-mujor nga konstatimi i cenimit, sipas përcaktimit të nenit 71/a</w:t>
      </w:r>
      <w:r w:rsidR="008C1B81">
        <w:rPr>
          <w:rFonts w:ascii="Garamond" w:hAnsi="Garamond"/>
          <w:b w:val="0"/>
          <w:bCs/>
        </w:rPr>
        <w:t>,</w:t>
      </w:r>
      <w:r w:rsidRPr="00DB11AF">
        <w:rPr>
          <w:rFonts w:ascii="Garamond" w:hAnsi="Garamond"/>
          <w:b w:val="0"/>
          <w:bCs/>
        </w:rPr>
        <w:t xml:space="preserve"> të ligjit nr. 8577/2000. Vendimi i kundërshtuar i Gjykatës së Lartë mban datën 3.7.2023, ndërsa sipas shënimit në kopjen e vendimit rezulton se ai është tërhequr nga kërkuesi në datën 14.12.2023. Një shënim i tillë nuk vërteton datën e marrjes dijeni efektivisht nga kërkuesi për këtë vendim.</w:t>
      </w:r>
    </w:p>
    <w:p w14:paraId="7AD3F42C" w14:textId="204EC7AD"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7.2 Pretendimet e kërkuesit për cenimin e </w:t>
      </w:r>
      <w:r w:rsidRPr="00DB11AF">
        <w:rPr>
          <w:rFonts w:ascii="Garamond" w:hAnsi="Garamond"/>
          <w:b w:val="0"/>
          <w:bCs/>
          <w:i/>
          <w:iCs/>
        </w:rPr>
        <w:t>së drejtës së jetës</w:t>
      </w:r>
      <w:r w:rsidRPr="00DB11AF">
        <w:rPr>
          <w:rFonts w:ascii="Garamond" w:hAnsi="Garamond"/>
          <w:b w:val="0"/>
          <w:bCs/>
        </w:rPr>
        <w:t xml:space="preserve"> së djalit të tij janë të pabazuara, pasi nga ana e organit të prokurorisë janë kryer të gjitha veprimet e nevojshme në drejtim të garantimit të kësaj të drejte. Për sa i përket aspektit substancial të kësaj të drejte, strukturat policore nuk kishin dijeni se viktima kishte probleme të shëndetit mendor që do ta çonin në vetëvrasje, çka do të sillte detyrimin pozitiv për marrjen e masave parandaluese. Në momentin e konstatimit të rrezikut, reagimi i këtyre strukturave ka qenë në përputhje me situatën. Po kështu, ka rezultuar e provuar se nuk bëhej fjalë për kryerjen ose moskryerjen me dashje të veprimeve në kundërshtim me ligjin, të tilla që përbëjnë mospërmbushje të rregullt të detyrës nga personi që ushtron funksione publike, sipas nenit 248 të KP-së. Në aspektin procedural është bërë regjistrimi i veprës penale “Shkaktimi i vetëvrasjes”, është ekzaminuar vendi i ngjarjes, janë marrë prova, është ekzaminuar trupi i të ndjerit, është ndërtuar itinerari i mundshëm i lëvizjeve të tij, janë ekzaminuar sendet e tij personale dhe mënyra se si janë gjetur, janë marrë pamje fotografike</w:t>
      </w:r>
      <w:r w:rsidRPr="00DB11AF">
        <w:rPr>
          <w:rFonts w:ascii="Garamond" w:hAnsi="Garamond"/>
        </w:rPr>
        <w:t xml:space="preserve"> </w:t>
      </w:r>
      <w:r w:rsidRPr="00DB11AF">
        <w:rPr>
          <w:rFonts w:ascii="Garamond" w:hAnsi="Garamond"/>
          <w:b w:val="0"/>
          <w:bCs/>
        </w:rPr>
        <w:t>dhe</w:t>
      </w:r>
      <w:r w:rsidRPr="00DB11AF">
        <w:rPr>
          <w:rFonts w:ascii="Garamond" w:hAnsi="Garamond"/>
        </w:rPr>
        <w:t xml:space="preserve"> </w:t>
      </w:r>
      <w:r w:rsidRPr="00DB11AF">
        <w:rPr>
          <w:rFonts w:ascii="Garamond" w:hAnsi="Garamond"/>
          <w:b w:val="0"/>
          <w:bCs/>
        </w:rPr>
        <w:t xml:space="preserve">filmike, janë pyetur dëshmitarë, është pyetur personeli i trupës policore dhe i ruajtjes së aeroportit, janë analizuar veprimet e tyre, si dhe është marrë informacion për ta nga strukturat përkatëse. Në përfundim të hetimeve është arritur në konkluzionin se ngjarja ka ndodhur si rezultat i veprimeve të kryera nga viktima. </w:t>
      </w:r>
    </w:p>
    <w:p w14:paraId="304B3B70" w14:textId="094F046E"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7.3 Pretendimi i kërkuesit për cenimin e </w:t>
      </w:r>
      <w:r w:rsidRPr="00DB11AF">
        <w:rPr>
          <w:rFonts w:ascii="Garamond" w:hAnsi="Garamond"/>
          <w:b w:val="0"/>
          <w:bCs/>
          <w:i/>
          <w:iCs/>
        </w:rPr>
        <w:t>së drejtës së aksesit</w:t>
      </w:r>
      <w:r w:rsidRPr="00DB11AF">
        <w:rPr>
          <w:rFonts w:ascii="Garamond" w:hAnsi="Garamond"/>
          <w:b w:val="0"/>
          <w:bCs/>
        </w:rPr>
        <w:t>, si rrjedhojë e mosnjoftimit të tij për datën e shqyrtimit të çështjes nga Gjykata e Apelit Tiranë, është i bazuar. Pavarësisht se sipas nenit 329, pika 7, të KPP-së ankimi ndaj vendimit të prokurorisë për pushimin e çështjes shqyrtohet nga gjykata e apelit në dhomën e këshillimit, me qëllim garantimin e së drejtës për proces të rregullt ligjor, kjo gjykatë duhej të sigurohej që kërkuesi kishte marrë dijeni për ditën e zhvillimit të gjykimit.</w:t>
      </w:r>
    </w:p>
    <w:p w14:paraId="5134107A" w14:textId="37699580"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7.4 Pretendimet e kërkuesit për cenimin e </w:t>
      </w:r>
      <w:r w:rsidRPr="00DB11AF">
        <w:rPr>
          <w:rFonts w:ascii="Garamond" w:hAnsi="Garamond"/>
          <w:b w:val="0"/>
          <w:bCs/>
          <w:i/>
          <w:iCs/>
        </w:rPr>
        <w:t>standardit të arsyetimit të vendimit gjyqësor</w:t>
      </w:r>
      <w:r w:rsidRPr="00DB11AF">
        <w:rPr>
          <w:rFonts w:ascii="Garamond" w:hAnsi="Garamond"/>
          <w:b w:val="0"/>
          <w:bCs/>
        </w:rPr>
        <w:t xml:space="preserve"> janë të pabazuara, pasi si prokuroria, ashtu edhe gjykatat kanë arsyetuar në mënyrë shteruese për pretendimet e tij, duke konkluduar se hetimet kanë qenë të plota dhe vërtetojnë jo vetëm mungesën e elementeve të veprës penale “Shkaktimi i vetëvrasjes”, por edhe të veprës penale “Shpërdorimi i detyrës”, si vepra të mundshme që kanë përcaktuar kuadrin e hetimit.</w:t>
      </w:r>
    </w:p>
    <w:p w14:paraId="5568FB86" w14:textId="77777777" w:rsidR="00DB11AF" w:rsidRPr="00DB11AF" w:rsidRDefault="00DB11AF" w:rsidP="00DB11AF">
      <w:pPr>
        <w:pStyle w:val="BodyTextIndent2"/>
        <w:spacing w:line="240" w:lineRule="auto"/>
        <w:ind w:left="0" w:firstLine="284"/>
        <w:rPr>
          <w:rFonts w:ascii="Garamond" w:hAnsi="Garamond"/>
          <w:i/>
          <w:iCs/>
        </w:rPr>
      </w:pPr>
    </w:p>
    <w:p w14:paraId="37863067" w14:textId="77777777" w:rsidR="00DB11AF" w:rsidRPr="00DB11AF" w:rsidRDefault="00DB11AF" w:rsidP="00DB11AF">
      <w:pPr>
        <w:pStyle w:val="BodyTextIndent2"/>
        <w:tabs>
          <w:tab w:val="left" w:pos="980"/>
        </w:tabs>
        <w:spacing w:line="240" w:lineRule="auto"/>
        <w:ind w:left="0" w:firstLine="284"/>
        <w:jc w:val="center"/>
        <w:rPr>
          <w:rFonts w:ascii="Garamond" w:hAnsi="Garamond"/>
          <w:b w:val="0"/>
        </w:rPr>
      </w:pPr>
      <w:r w:rsidRPr="00DB11AF">
        <w:rPr>
          <w:rFonts w:ascii="Garamond" w:hAnsi="Garamond"/>
          <w:b w:val="0"/>
        </w:rPr>
        <w:t>III</w:t>
      </w:r>
    </w:p>
    <w:p w14:paraId="31FBA866" w14:textId="07456725" w:rsidR="00DB11AF" w:rsidRDefault="00DB11AF" w:rsidP="00DB11AF">
      <w:pPr>
        <w:pStyle w:val="BodyTextIndent2"/>
        <w:tabs>
          <w:tab w:val="left" w:pos="1260"/>
        </w:tabs>
        <w:spacing w:line="240" w:lineRule="auto"/>
        <w:ind w:left="0" w:firstLine="284"/>
        <w:jc w:val="center"/>
        <w:rPr>
          <w:rFonts w:ascii="Garamond" w:hAnsi="Garamond"/>
        </w:rPr>
      </w:pPr>
      <w:r w:rsidRPr="00DB11AF">
        <w:rPr>
          <w:rFonts w:ascii="Garamond" w:hAnsi="Garamond"/>
        </w:rPr>
        <w:t>Vlerësimi i Gjykatës Kushtetuese</w:t>
      </w:r>
    </w:p>
    <w:p w14:paraId="0C92A86C" w14:textId="77777777" w:rsidR="00DB11AF" w:rsidRPr="00DB11AF" w:rsidRDefault="00DB11AF" w:rsidP="00DB11AF">
      <w:pPr>
        <w:pStyle w:val="BodyTextIndent2"/>
        <w:tabs>
          <w:tab w:val="left" w:pos="1260"/>
        </w:tabs>
        <w:spacing w:line="240" w:lineRule="auto"/>
        <w:ind w:left="0" w:firstLine="284"/>
        <w:jc w:val="center"/>
        <w:rPr>
          <w:rFonts w:ascii="Garamond" w:hAnsi="Garamond"/>
        </w:rPr>
      </w:pPr>
    </w:p>
    <w:p w14:paraId="1E7827C0" w14:textId="77777777" w:rsidR="00DB11AF" w:rsidRPr="00DB11AF" w:rsidRDefault="00DB11AF" w:rsidP="00DB11AF">
      <w:pPr>
        <w:pStyle w:val="BodyTextIndent2"/>
        <w:tabs>
          <w:tab w:val="left" w:pos="0"/>
        </w:tabs>
        <w:spacing w:line="240" w:lineRule="auto"/>
        <w:ind w:left="0" w:firstLine="284"/>
        <w:rPr>
          <w:rFonts w:ascii="Garamond" w:hAnsi="Garamond"/>
          <w:b w:val="0"/>
          <w:bCs/>
          <w:i/>
          <w:iCs/>
        </w:rPr>
      </w:pPr>
      <w:r w:rsidRPr="00DB11AF">
        <w:rPr>
          <w:rFonts w:ascii="Garamond" w:hAnsi="Garamond"/>
          <w:b w:val="0"/>
          <w:bCs/>
          <w:i/>
          <w:iCs/>
        </w:rPr>
        <w:t>A. Për legjitimimin e kërkuesit</w:t>
      </w:r>
    </w:p>
    <w:p w14:paraId="0299AA4D" w14:textId="56D6A026"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8. Çështja e legjitimimit </w:t>
      </w:r>
      <w:r w:rsidRPr="00DB11AF">
        <w:rPr>
          <w:rFonts w:ascii="Garamond" w:hAnsi="Garamond"/>
          <w:b w:val="0"/>
          <w:bCs/>
          <w:i/>
          <w:iCs/>
        </w:rPr>
        <w:t>(locus standi)</w:t>
      </w:r>
      <w:r w:rsidRPr="00DB11AF">
        <w:rPr>
          <w:rFonts w:ascii="Garamond" w:hAnsi="Garamond"/>
          <w:b w:val="0"/>
          <w:bCs/>
        </w:rPr>
        <w:t xml:space="preserve"> është një ndër aspektet kryesore që lidhet me nisjen e një procesi kushtetues. Sipas neneve 131, pika 1, shkronja “f” dhe 134, pikat 1, shkronja “i” dhe 2, të Kushtetutës, si dhe nenit 71</w:t>
      </w:r>
      <w:r w:rsidR="008C1B81">
        <w:rPr>
          <w:rFonts w:ascii="Garamond" w:hAnsi="Garamond"/>
          <w:b w:val="0"/>
          <w:bCs/>
        </w:rPr>
        <w:t>,</w:t>
      </w:r>
      <w:r w:rsidRPr="00DB11AF">
        <w:rPr>
          <w:rFonts w:ascii="Garamond" w:hAnsi="Garamond"/>
          <w:b w:val="0"/>
          <w:bCs/>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w:t>
      </w:r>
      <w:r w:rsidR="008C1B81">
        <w:rPr>
          <w:rFonts w:ascii="Garamond" w:hAnsi="Garamond"/>
          <w:b w:val="0"/>
          <w:bCs/>
        </w:rPr>
        <w:t>,</w:t>
      </w:r>
      <w:r w:rsidRPr="00DB11AF">
        <w:rPr>
          <w:rFonts w:ascii="Garamond" w:hAnsi="Garamond"/>
          <w:b w:val="0"/>
          <w:bCs/>
        </w:rPr>
        <w:t xml:space="preserve"> të ligjit nr. 8577/2000, që lidhen me shterimin e mjeteve juridike </w:t>
      </w:r>
      <w:r w:rsidRPr="00DB11AF">
        <w:rPr>
          <w:rFonts w:ascii="Garamond" w:hAnsi="Garamond"/>
          <w:b w:val="0"/>
          <w:bCs/>
        </w:rPr>
        <w:lastRenderedPageBreak/>
        <w:t xml:space="preserve">efektive, afatin e paraqitjes së kërkesës, pasojat negative të pësuara në mënyrë të drejtpërdrejtë e reale dhe mundësinë për rivendosjen e së drejtës së shkelur. </w:t>
      </w:r>
    </w:p>
    <w:p w14:paraId="5C26EC44" w14:textId="6F2E3EE9"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9. Në jurisprudencën e saj për çështje të mbrojtjes së të drejtës së jetës, të garantuar nga neni 21 i Kushtetutës dhe neni 2 i Konventës Evropiane për të Drejtat e Njeriut </w:t>
      </w:r>
      <w:r w:rsidRPr="00DB11AF">
        <w:rPr>
          <w:rFonts w:ascii="Garamond" w:hAnsi="Garamond"/>
          <w:b w:val="0"/>
          <w:bCs/>
          <w:i/>
          <w:iCs/>
        </w:rPr>
        <w:t>(KEDNJ)</w:t>
      </w:r>
      <w:r w:rsidRPr="00DB11AF">
        <w:rPr>
          <w:rFonts w:ascii="Garamond" w:hAnsi="Garamond"/>
          <w:b w:val="0"/>
          <w:bCs/>
        </w:rPr>
        <w:t xml:space="preserve">, Gjykata ka legjitimuar në paraqitjen e ankimit kushtetues individual familjarët e afërm të viktimës, për shkak të interesit të tyre të drejtpërdrejtë në çështje të kësaj natyre </w:t>
      </w:r>
      <w:r w:rsidRPr="00DB11AF">
        <w:rPr>
          <w:rFonts w:ascii="Garamond" w:hAnsi="Garamond"/>
          <w:b w:val="0"/>
          <w:bCs/>
          <w:i/>
          <w:iCs/>
        </w:rPr>
        <w:t>(shih vendimin nr. 42, datë 29.5.2024</w:t>
      </w:r>
      <w:r w:rsidR="008C1B81">
        <w:rPr>
          <w:rFonts w:ascii="Garamond" w:hAnsi="Garamond"/>
          <w:b w:val="0"/>
          <w:bCs/>
          <w:i/>
          <w:iCs/>
        </w:rPr>
        <w:t>,</w:t>
      </w:r>
      <w:r w:rsidRPr="00DB11AF">
        <w:rPr>
          <w:rFonts w:ascii="Garamond" w:hAnsi="Garamond"/>
          <w:b w:val="0"/>
          <w:bCs/>
          <w:i/>
          <w:iCs/>
        </w:rPr>
        <w:t xml:space="preserve"> të Gjykatës Kushtetuese)</w:t>
      </w:r>
      <w:r w:rsidRPr="00DB11AF">
        <w:rPr>
          <w:rFonts w:ascii="Garamond" w:hAnsi="Garamond"/>
          <w:b w:val="0"/>
          <w:bCs/>
        </w:rPr>
        <w:t>. Në këndvështrim të kësaj jurisprudence, në rastin konkret Gjykata vëren se kërkuesi është babai i viktimës, J.</w:t>
      </w:r>
      <w:r w:rsidR="008C1B81">
        <w:rPr>
          <w:rFonts w:ascii="Garamond" w:hAnsi="Garamond"/>
          <w:b w:val="0"/>
          <w:bCs/>
        </w:rPr>
        <w:t xml:space="preserve"> </w:t>
      </w:r>
      <w:r w:rsidRPr="00DB11AF">
        <w:rPr>
          <w:rFonts w:ascii="Garamond" w:hAnsi="Garamond"/>
          <w:b w:val="0"/>
          <w:bCs/>
        </w:rPr>
        <w:t xml:space="preserve">K. Si familjar i afërm i këtij të fundit, ai legjitimohet </w:t>
      </w:r>
      <w:r w:rsidRPr="00DB11AF">
        <w:rPr>
          <w:rFonts w:ascii="Garamond" w:hAnsi="Garamond"/>
          <w:b w:val="0"/>
          <w:bCs/>
          <w:i/>
          <w:iCs/>
        </w:rPr>
        <w:t>ratione personae,</w:t>
      </w:r>
      <w:r w:rsidRPr="00DB11AF">
        <w:rPr>
          <w:rFonts w:ascii="Garamond" w:hAnsi="Garamond"/>
          <w:b w:val="0"/>
          <w:bCs/>
        </w:rPr>
        <w:t xml:space="preserve"> në kuptim të shkronjës “f”</w:t>
      </w:r>
      <w:r w:rsidR="008C1B81">
        <w:rPr>
          <w:rFonts w:ascii="Garamond" w:hAnsi="Garamond"/>
          <w:b w:val="0"/>
          <w:bCs/>
        </w:rPr>
        <w:t>,</w:t>
      </w:r>
      <w:r w:rsidRPr="00DB11AF">
        <w:rPr>
          <w:rFonts w:ascii="Garamond" w:hAnsi="Garamond"/>
          <w:b w:val="0"/>
          <w:bCs/>
        </w:rPr>
        <w:t xml:space="preserve"> të pikës 1</w:t>
      </w:r>
      <w:r w:rsidR="008C1B81">
        <w:rPr>
          <w:rFonts w:ascii="Garamond" w:hAnsi="Garamond"/>
          <w:b w:val="0"/>
          <w:bCs/>
        </w:rPr>
        <w:t>,</w:t>
      </w:r>
      <w:r w:rsidRPr="00DB11AF">
        <w:rPr>
          <w:rFonts w:ascii="Garamond" w:hAnsi="Garamond"/>
          <w:b w:val="0"/>
          <w:bCs/>
        </w:rPr>
        <w:t xml:space="preserve"> të nenit 131 dhe shkronjës “i”</w:t>
      </w:r>
      <w:r w:rsidR="008C1B81">
        <w:rPr>
          <w:rFonts w:ascii="Garamond" w:hAnsi="Garamond"/>
          <w:b w:val="0"/>
          <w:bCs/>
        </w:rPr>
        <w:t>,</w:t>
      </w:r>
      <w:r w:rsidRPr="00DB11AF">
        <w:rPr>
          <w:rFonts w:ascii="Garamond" w:hAnsi="Garamond"/>
          <w:b w:val="0"/>
          <w:bCs/>
        </w:rPr>
        <w:t xml:space="preserve"> të pikës 1</w:t>
      </w:r>
      <w:r w:rsidR="008C1B81">
        <w:rPr>
          <w:rFonts w:ascii="Garamond" w:hAnsi="Garamond"/>
          <w:b w:val="0"/>
          <w:bCs/>
        </w:rPr>
        <w:t>,</w:t>
      </w:r>
      <w:r w:rsidRPr="00DB11AF">
        <w:rPr>
          <w:rFonts w:ascii="Garamond" w:hAnsi="Garamond"/>
          <w:b w:val="0"/>
          <w:bCs/>
        </w:rPr>
        <w:t xml:space="preserve"> të nenit 134</w:t>
      </w:r>
      <w:r w:rsidR="008C1B81">
        <w:rPr>
          <w:rFonts w:ascii="Garamond" w:hAnsi="Garamond"/>
          <w:b w:val="0"/>
          <w:bCs/>
        </w:rPr>
        <w:t>,</w:t>
      </w:r>
      <w:r w:rsidRPr="00DB11AF">
        <w:rPr>
          <w:rFonts w:ascii="Garamond" w:hAnsi="Garamond"/>
          <w:b w:val="0"/>
          <w:bCs/>
        </w:rPr>
        <w:t xml:space="preserve"> të Kushtetutës, pasi ka interes në çështjen e parashtruar si viktimë jo e drejtpërdrejtë e shkeljeve të pretenduara gjatë procesit gjyqësor në lidhje me vendimin e Prokurorisë së Tiranës për pushimin e procedimit penal. </w:t>
      </w:r>
    </w:p>
    <w:p w14:paraId="5C42D18F" w14:textId="300AFC74"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10. Gjykata çmon se kërkuesi ka plotësuar edhe kriterin e </w:t>
      </w:r>
      <w:r w:rsidRPr="00DB11AF">
        <w:rPr>
          <w:rFonts w:ascii="Garamond" w:hAnsi="Garamond"/>
          <w:b w:val="0"/>
          <w:bCs/>
          <w:i/>
          <w:iCs/>
        </w:rPr>
        <w:t>shterimit të mjeteve juridike efektive</w:t>
      </w:r>
      <w:r w:rsidRPr="00DB11AF">
        <w:rPr>
          <w:rFonts w:ascii="Garamond" w:hAnsi="Garamond"/>
          <w:b w:val="0"/>
          <w:bCs/>
        </w:rPr>
        <w:t>, në kuptim të nenit 131, pika 1, shkronja “f”, të Kushtetutës, pasi ka shteruar në formë e substancë mjetet e zakonshme të ankimit ndaj vendimeve të gjykatave më të ulëta, ndaj nuk ka mjet tjetër juridik në dispozicion për mbrojtjen e të drejtave të tij kushtetuese përveç paraqitjes së ankimit kushtetues individual.</w:t>
      </w:r>
    </w:p>
    <w:p w14:paraId="0A6E382A" w14:textId="47CA3A51"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11. Në lidhje me legjitimimin </w:t>
      </w:r>
      <w:r w:rsidRPr="00DB11AF">
        <w:rPr>
          <w:rFonts w:ascii="Garamond" w:hAnsi="Garamond"/>
          <w:b w:val="0"/>
          <w:bCs/>
          <w:i/>
          <w:iCs/>
        </w:rPr>
        <w:t>ratione temporis</w:t>
      </w:r>
      <w:r w:rsidRPr="00DB11AF">
        <w:rPr>
          <w:rFonts w:ascii="Garamond" w:hAnsi="Garamond"/>
          <w:b w:val="0"/>
          <w:bCs/>
        </w:rPr>
        <w:t>, bazuar në nenin 71/a, pika 1, shkronja “b”, të ligjit nr. 8577/2000, afati për paraqitjen e ankimit kushtetues individual është 4 muaj nga konstatimi i cenimit të së drejtës.</w:t>
      </w:r>
    </w:p>
    <w:p w14:paraId="416D553C" w14:textId="6C3C5A66"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12. Në jurisprudencën e saj Gjykata ka theksuar se vënia në dispozicion të palëve e vendimeve të gjykatës ua bën të njohura atyre arsyet e vendimmarrjes, duke u dhënë mundësinë të ankohen nëse e shohin të arsyeshme. Për rrjedhojë, si datë e fillimit të afatit ligjor për paraqitjen e ankimit kushtetues individual, që i korrespondon momentit të konstatimit të cenimit, në kuptim të nenit 71/a, pika 1, shkronja “b”, të ligjit nr. 8577/2000, është data e marrjes dijeni efektivisht për vendimin gjyqësor të marrë në ushtrim të mjetit të fundit ankimor. Si rregull, kjo datë është ajo e shpalljes së vendimit gjyqësor të arsyetuar në prani të palës, kurse kur vendimi gjyqësor nuk shpallet i arsyetuar ose kur pala nuk është e pranishme, data e marrjes dijeni konsiderohet ajo e njoftimit shkresor ose elektronik të tij. Në rastin kur ankimi ka të bëjë me një vendim të Gjykatës së Lartë, data e marrjes dijeni konsiderohet data në të cilën vendimi i arsyetuar bëhet i disponueshëm për palët përmes depozitimit të tij në sekretarinë gjyqësore dhe publikimit në faqen zyrtare ose njoftimit elektronik të tij, në rast se palët kanë lënë të dhënat elektronike të kontaktit </w:t>
      </w:r>
      <w:r w:rsidRPr="00DB11AF">
        <w:rPr>
          <w:rFonts w:ascii="Garamond" w:hAnsi="Garamond"/>
          <w:b w:val="0"/>
          <w:bCs/>
          <w:i/>
          <w:iCs/>
        </w:rPr>
        <w:t>(shih vendimet nr. 36, datë 30.4.2024; nr. 42, datë 19.9.2023</w:t>
      </w:r>
      <w:r w:rsidR="008C1B81">
        <w:rPr>
          <w:rFonts w:ascii="Garamond" w:hAnsi="Garamond"/>
          <w:b w:val="0"/>
          <w:bCs/>
          <w:i/>
          <w:iCs/>
        </w:rPr>
        <w:t>,</w:t>
      </w:r>
      <w:r w:rsidRPr="00DB11AF">
        <w:rPr>
          <w:rFonts w:ascii="Garamond" w:hAnsi="Garamond"/>
          <w:b w:val="0"/>
          <w:bCs/>
          <w:i/>
          <w:iCs/>
        </w:rPr>
        <w:t xml:space="preserve"> të Gjykatës Kushtetuese)</w:t>
      </w:r>
      <w:r w:rsidRPr="00DB11AF">
        <w:rPr>
          <w:rFonts w:ascii="Garamond" w:hAnsi="Garamond"/>
          <w:b w:val="0"/>
          <w:bCs/>
        </w:rPr>
        <w:t>.</w:t>
      </w:r>
    </w:p>
    <w:p w14:paraId="1A6BBE8F" w14:textId="29BDF832"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13. Në rastin konkret,</w:t>
      </w:r>
      <w:r w:rsidRPr="00DB11AF">
        <w:rPr>
          <w:rFonts w:ascii="Garamond" w:hAnsi="Garamond"/>
          <w:b w:val="0"/>
          <w:bCs/>
          <w:i/>
          <w:iCs/>
        </w:rPr>
        <w:t xml:space="preserve"> </w:t>
      </w:r>
      <w:r w:rsidRPr="00DB11AF">
        <w:rPr>
          <w:rFonts w:ascii="Garamond" w:hAnsi="Garamond"/>
          <w:b w:val="0"/>
          <w:bCs/>
        </w:rPr>
        <w:t>Gjykata vëren se kërkuesi ka kundërshtuar pushimin e procedimit penal nga Prokuroria e Tiranës, për të cilin është ankuar edhe në gjykatat e zakonshme, proces i cili ka përfunduar me vendimin nr. 00-2023-1151, datë 3.7.2023</w:t>
      </w:r>
      <w:r w:rsidR="008C1B81">
        <w:rPr>
          <w:rFonts w:ascii="Garamond" w:hAnsi="Garamond"/>
          <w:b w:val="0"/>
          <w:bCs/>
        </w:rPr>
        <w:t>,</w:t>
      </w:r>
      <w:r w:rsidRPr="00DB11AF">
        <w:rPr>
          <w:rFonts w:ascii="Garamond" w:hAnsi="Garamond"/>
          <w:b w:val="0"/>
          <w:bCs/>
        </w:rPr>
        <w:t xml:space="preserve"> të Kolegjit Penal të Gjykatës së Lartë, ndërsa ankimi kushtetues individual është depozituar në datën 20.12.2023. Sipas informacionit të vënë në dispozicion të Gjykatës me shkresën nr. 240/1 prot., datë 22.1.2024</w:t>
      </w:r>
      <w:r w:rsidR="008C1B81">
        <w:rPr>
          <w:rFonts w:ascii="Garamond" w:hAnsi="Garamond"/>
          <w:b w:val="0"/>
          <w:bCs/>
        </w:rPr>
        <w:t>,</w:t>
      </w:r>
      <w:r w:rsidRPr="00DB11AF">
        <w:rPr>
          <w:rFonts w:ascii="Garamond" w:hAnsi="Garamond"/>
          <w:b w:val="0"/>
          <w:bCs/>
        </w:rPr>
        <w:t xml:space="preserve"> të kancelarit të Gjykatës së Lartë, rezulton se vendimi i kundërshtuar i kësaj të fundit është bërë i disponueshëm për palët në datën 25.9.2023. Në këto kushte, në përgjigje edhe të prapësimit të ngritur në këtë drejtim nga Prokuroria e Përgjithshme, Gjykata çmon se kërkesa është paraqitur brenda afatit ligjor 4-mujor, ndaj kërkuesi legjitimohet edhe </w:t>
      </w:r>
      <w:r w:rsidRPr="00DB11AF">
        <w:rPr>
          <w:rFonts w:ascii="Garamond" w:hAnsi="Garamond"/>
          <w:b w:val="0"/>
          <w:bCs/>
          <w:i/>
          <w:iCs/>
        </w:rPr>
        <w:t>ratione temporis</w:t>
      </w:r>
      <w:r w:rsidRPr="00DB11AF">
        <w:rPr>
          <w:rFonts w:ascii="Garamond" w:hAnsi="Garamond"/>
          <w:b w:val="0"/>
          <w:bCs/>
        </w:rPr>
        <w:t>.</w:t>
      </w:r>
    </w:p>
    <w:p w14:paraId="327A2CAC" w14:textId="17977E4D"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14. Për sa i përket legjitimimit </w:t>
      </w:r>
      <w:r w:rsidRPr="00DB11AF">
        <w:rPr>
          <w:rFonts w:ascii="Garamond" w:hAnsi="Garamond"/>
          <w:b w:val="0"/>
          <w:bCs/>
          <w:i/>
          <w:iCs/>
        </w:rPr>
        <w:t>ratione materiae</w:t>
      </w:r>
      <w:r w:rsidRPr="00DB11AF">
        <w:rPr>
          <w:rFonts w:ascii="Garamond" w:hAnsi="Garamond"/>
          <w:b w:val="0"/>
          <w:bCs/>
        </w:rPr>
        <w:t xml:space="preserve">, në ankimin kushtetues individual kërkuesi ka pretenduar cenimin e së drejtës së jetës, si dhe të së drejtës për proces të rregullt ligjor në drejtim të së drejtës së aksesit e të standardit të arsyetimit të vendimit, pretendime të cilat, </w:t>
      </w:r>
      <w:r w:rsidRPr="00DB11AF">
        <w:rPr>
          <w:rFonts w:ascii="Garamond" w:hAnsi="Garamond"/>
          <w:b w:val="0"/>
          <w:bCs/>
          <w:i/>
          <w:iCs/>
        </w:rPr>
        <w:t>prima facie</w:t>
      </w:r>
      <w:r w:rsidRPr="00DB11AF">
        <w:rPr>
          <w:rFonts w:ascii="Garamond" w:hAnsi="Garamond"/>
          <w:b w:val="0"/>
          <w:bCs/>
        </w:rPr>
        <w:t>, përfshihen në juridiksionin kushtetues. Duke pasur parasysh thelbin e tyre, Gjykata vlerëson t’i trajtojë ato së bashku në drejtim të së drejtës së jetës, të garantuar nga neni 21 i Kushtetutës dhe neni 2 i KEDNJ-së. Po kështu, Gjykata vëren se pretendimet e kërkuesit në lidhje me këtë të drejtë ngrihen si në kuadër të aspektit substancial të saj, për shkak të mosndërmarrjes nga ana e autoriteteve shtetërore të veprimeve për garantimin e së drejtës së jetës së të birit e mospërcaktimit të saktë të veprës penale të kryer, ashtu edhe në kuadër të aspektit procedural, si rrjedhojë e moskryerjes së hetimeve efektive për zbardhjen e rrethanave të ngjarjes dhe mosnjoftimit të tij për gjykimin në gjykatën e apelit. Në kushtet kur e drejta e jetës në aspektin substancial qëndron e pavarur nga aspekti procedural i saj, në vijim Gjykata çmon t’i analizojë pretendimet e kërkuesit për cenimin e kësaj të drejte në të dyja këto aspekte.</w:t>
      </w:r>
    </w:p>
    <w:p w14:paraId="596CEECD" w14:textId="77777777" w:rsidR="00DB11AF" w:rsidRPr="00DB11AF" w:rsidRDefault="00DB11AF" w:rsidP="00DB11AF">
      <w:pPr>
        <w:pStyle w:val="BodyTextIndent2"/>
        <w:tabs>
          <w:tab w:val="left" w:pos="1080"/>
        </w:tabs>
        <w:spacing w:line="240" w:lineRule="auto"/>
        <w:ind w:left="0" w:firstLine="284"/>
        <w:rPr>
          <w:rFonts w:ascii="Garamond" w:hAnsi="Garamond"/>
          <w:b w:val="0"/>
          <w:bCs/>
          <w:i/>
          <w:iCs/>
        </w:rPr>
      </w:pPr>
      <w:r w:rsidRPr="00DB11AF">
        <w:rPr>
          <w:rFonts w:ascii="Garamond" w:hAnsi="Garamond"/>
          <w:b w:val="0"/>
          <w:bCs/>
          <w:i/>
          <w:iCs/>
        </w:rPr>
        <w:t>B. Për themelin e pretendimeve</w:t>
      </w:r>
    </w:p>
    <w:p w14:paraId="431216EC" w14:textId="77E75AB8" w:rsidR="00DB11AF" w:rsidRPr="00DB11AF" w:rsidRDefault="00DB11AF" w:rsidP="00DB11AF">
      <w:pPr>
        <w:pStyle w:val="BodyTextIndent2"/>
        <w:tabs>
          <w:tab w:val="left" w:pos="720"/>
        </w:tabs>
        <w:spacing w:line="240" w:lineRule="auto"/>
        <w:ind w:left="0" w:firstLine="284"/>
        <w:rPr>
          <w:rFonts w:ascii="Garamond" w:hAnsi="Garamond"/>
          <w:b w:val="0"/>
          <w:bCs/>
          <w:i/>
          <w:iCs/>
        </w:rPr>
      </w:pPr>
      <w:r w:rsidRPr="00DB11AF">
        <w:rPr>
          <w:rFonts w:ascii="Garamond" w:hAnsi="Garamond"/>
          <w:b w:val="0"/>
          <w:bCs/>
          <w:i/>
          <w:iCs/>
        </w:rPr>
        <w:t>B.1 Për cenimin e së drejtës së jetës</w:t>
      </w:r>
    </w:p>
    <w:p w14:paraId="28063D85" w14:textId="01904CC5" w:rsidR="00DB11AF" w:rsidRPr="00DB11AF" w:rsidRDefault="00DB11AF" w:rsidP="00DB11AF">
      <w:pPr>
        <w:pStyle w:val="BodyTextIndent2"/>
        <w:tabs>
          <w:tab w:val="left" w:pos="720"/>
        </w:tabs>
        <w:spacing w:line="240" w:lineRule="auto"/>
        <w:ind w:left="0" w:firstLine="284"/>
        <w:rPr>
          <w:rFonts w:ascii="Garamond" w:hAnsi="Garamond"/>
          <w:b w:val="0"/>
          <w:bCs/>
          <w:i/>
          <w:iCs/>
        </w:rPr>
      </w:pPr>
      <w:r w:rsidRPr="00DB11AF">
        <w:rPr>
          <w:rFonts w:ascii="Garamond" w:hAnsi="Garamond"/>
          <w:b w:val="0"/>
          <w:bCs/>
          <w:i/>
          <w:iCs/>
        </w:rPr>
        <w:t>B.1.1 Për aspektin substancial</w:t>
      </w:r>
    </w:p>
    <w:p w14:paraId="1272CC5E" w14:textId="0E387708"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15. Kërkuesi ka pretenduar cenimin e së drejtës së të birit për jetën, për shkak se nga momenti i ngjitjes së të birit sipër zyrave të kompanive ajrore në brendësi të aeroportit dhe deri në momentin e hedhjes së tij, Policia e Shtetit dhe punonjësit e sigurisë nuk kanë ndërmarrë asnjë veprim për parandalimin e ngjarjes ose që pasojat të ishin më të lehta. Sipas tij, organi i prokurorisë ka hetuar për kryerjen e veprës penale “Shkaktimi i vetëvrasjes”, ndërkohë që në rastin konkret nuk bëhet fjalë për këtë vepër penale, sipas përcaktimit të KP-së, por për veprën penale “Shpërdorimi i detyrës”, të parashikuar nga neni 248 i këtij kodi, me pasojë vdekjen e personit. Pretendimeve të tij në këtë drejtim nuk u është dhënë përgjigje as nga gjykatat.</w:t>
      </w:r>
    </w:p>
    <w:p w14:paraId="5916FCB3" w14:textId="2414ABE9"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16. Subjekti i interesuar, Prokuroria e Përgjithshme, ka prapësuar se pretendimet e kërkuesit për cenimin e së drejtës së jetës së djalit të tij janë të pabazuara, pasi nga ana e organit të prokurorisë janë kryer të gjitha veprimet e nevojshme në drejtim të garantimit të kësaj të drejte. Strukturat policore nuk kishin dijeni se viktima kishte probleme të shëndetit mendor që do ta çonin në vetëvrasje, çka do të sillte detyrimin e tyre pozitiv për marrjen e masave parandaluese. Në momentin e konstatimit të rrezikut, reagimi i këtyre strukturave ka qenë në përputhje me situatën. Po kështu, ka rezultuar e provuar se nuk bëhej fjalë për kryerjen ose moskryerjen me dashje të veprimeve në kundërshtim me ligjin, të tilla që përbëjnë mospërmbushje të rregullt të detyrës nga personi që ushtron funksione publike, sipas nenit 248 të KP-së. Si prokuroria, ashtu edhe gjykatat kanë arsyetuar në mënyrë shteruese për pretendimet e kërkuesit, duke konkluduar se hetimet kanë qenë të plota dhe vërtetojnë jo vetëm mungesën e elementeve të veprës penale “Shkaktimi i vetëvrasjes”, por edhe të veprës penale “Shpërdorimi i detyrës”.</w:t>
      </w:r>
    </w:p>
    <w:p w14:paraId="61E954F6" w14:textId="3162F9C7"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17. Neni 21 i Kushtetutës parashikon se jeta e personit mbrohet me ligj. Në jurisprudencën e saj Gjykata ka theksuar se kjo e drejtë qëndron në themel të të gjitha të drejtave dhe mohimi i saj sjell edhe eliminimin e të drejtave të tjera njerëzore. Sipas Gjykatës, jeta njerëzore, duke u konsideruar e tillë që nga fillimi i saj, bëhet një vlerë mbi të gjitha vlerat e tjera që mbrohet nga Kushtetuta. Ky është edhe qëllimi i Kushtetutës sonë, i cili del që në Preambulën e saj, si dhe në mjaft dispozita të tjera </w:t>
      </w:r>
      <w:r w:rsidRPr="00DB11AF">
        <w:rPr>
          <w:rFonts w:ascii="Garamond" w:hAnsi="Garamond"/>
          <w:b w:val="0"/>
          <w:bCs/>
          <w:i/>
          <w:iCs/>
        </w:rPr>
        <w:t>(shih vendimet nr. 42, datë 29.5.2024; nr. 65, datë 10.12.1999</w:t>
      </w:r>
      <w:r w:rsidR="008C1B81">
        <w:rPr>
          <w:rFonts w:ascii="Garamond" w:hAnsi="Garamond"/>
          <w:b w:val="0"/>
          <w:bCs/>
          <w:i/>
          <w:iCs/>
        </w:rPr>
        <w:t>,</w:t>
      </w:r>
      <w:r w:rsidRPr="00DB11AF">
        <w:rPr>
          <w:rFonts w:ascii="Garamond" w:hAnsi="Garamond"/>
          <w:b w:val="0"/>
          <w:bCs/>
          <w:i/>
          <w:iCs/>
        </w:rPr>
        <w:t xml:space="preserve"> të Gjykatës Kushtetuese)</w:t>
      </w:r>
      <w:r w:rsidRPr="00DB11AF">
        <w:rPr>
          <w:rFonts w:ascii="Garamond" w:hAnsi="Garamond"/>
          <w:b w:val="0"/>
          <w:bCs/>
        </w:rPr>
        <w:t>.</w:t>
      </w:r>
    </w:p>
    <w:p w14:paraId="4F6D5DD3" w14:textId="3D151901"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18. Sipas Gjykatës Evropiane për të Drejtat e Njeriut </w:t>
      </w:r>
      <w:r w:rsidRPr="00DB11AF">
        <w:rPr>
          <w:rFonts w:ascii="Garamond" w:hAnsi="Garamond"/>
          <w:b w:val="0"/>
          <w:bCs/>
          <w:i/>
          <w:iCs/>
        </w:rPr>
        <w:t>(GJEDNJ)</w:t>
      </w:r>
      <w:r w:rsidRPr="00DB11AF">
        <w:rPr>
          <w:rFonts w:ascii="Garamond" w:hAnsi="Garamond"/>
          <w:b w:val="0"/>
          <w:bCs/>
        </w:rPr>
        <w:t xml:space="preserve">, neni 2 i KEDNJ-së vendos mbi shtetet detyrimin për marrjen e masave operacionale për mbrojtjen e individit jo vetëm nga persona të tjerë, por edhe nga vetvetja dhe mosmarrja prej tyre e masave, brenda pushtetit që organet ligjzbatuese ushtrojnë për shmangien e një rreziku të tillë, kur ato kanë dijeni ose duhet të kenë dijeni për kryerjen e vetëvrasjes, cenon nenin 2 të KEDNJ-së </w:t>
      </w:r>
      <w:r w:rsidRPr="00DB11AF">
        <w:rPr>
          <w:rFonts w:ascii="Garamond" w:hAnsi="Garamond"/>
          <w:b w:val="0"/>
          <w:bCs/>
          <w:i/>
          <w:iCs/>
        </w:rPr>
        <w:t>(shih Vasîlca kundër Republikës së Moldavisë, datë 11.2.2014, § 28; Mikayil Mammadov kundër Azerbajxhanit, datë 17.12.2009, §§ 99 dhe 116)</w:t>
      </w:r>
      <w:r w:rsidRPr="00DB11AF">
        <w:rPr>
          <w:rFonts w:ascii="Garamond" w:hAnsi="Garamond"/>
          <w:b w:val="0"/>
          <w:bCs/>
        </w:rPr>
        <w:t xml:space="preserve">. </w:t>
      </w:r>
    </w:p>
    <w:p w14:paraId="31B5362E" w14:textId="6D6D050E"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19. Po sipas GJEDNJ-së, në situata ku individi kërcënon të marrë jetën e tij në prani të përfaqësuesve të autoriteteve ligjzbatuese, këto të fundit duhet të trajtojnë një kërcënim të tillë me seriozitetin më të madh, si një rrezik imediat për jetën e individit, pavarësisht se sa i papritur mund të jetë kërcënimi. Detyrimi pozitiv i përcaktuar në nenin 2 të KEDNJ-së kërkon ndërmarrjen e masave për të parandaluar materializimin e kërcënimit përmes mjeteve të arsyeshme dhe të mundshme në varësi të rrethanave </w:t>
      </w:r>
      <w:r w:rsidRPr="00DB11AF">
        <w:rPr>
          <w:rFonts w:ascii="Garamond" w:hAnsi="Garamond"/>
          <w:b w:val="0"/>
          <w:bCs/>
          <w:i/>
          <w:iCs/>
        </w:rPr>
        <w:t>(shih Mikayil Mammadov kundër Azerbajxhanit, datë 17.12.2009, §§ 111 dhe 115)</w:t>
      </w:r>
      <w:r w:rsidRPr="00DB11AF">
        <w:rPr>
          <w:rFonts w:ascii="Garamond" w:hAnsi="Garamond"/>
          <w:b w:val="0"/>
          <w:bCs/>
        </w:rPr>
        <w:t xml:space="preserve">. Megjithatë, duke pasur parasysh vështirësitë e qenësishme në policimin e shoqërisë, paparashikueshmërinë e sjelljes njerëzore dhe zgjedhjet operacionale që duhen bërë në drejtim të prioriteteve dhe burimeve, objekti i detyrimit pozitiv për të marrë masa operacionale dhe parandaluese duhet të interpretohet në një mënyrë që nuk vendos barrë të pamundur dhe disproporcionale mbi autoritetet. Në këtë kuptim, jo çdo pretendim për cenimin e së drejtës së jetës kërkon marrje të masave operacionale për parandalimin e materializimit të rrezikut të vetëvrasjes </w:t>
      </w:r>
      <w:r w:rsidRPr="00DB11AF">
        <w:rPr>
          <w:rFonts w:ascii="Garamond" w:hAnsi="Garamond"/>
          <w:b w:val="0"/>
          <w:bCs/>
          <w:i/>
          <w:iCs/>
        </w:rPr>
        <w:t xml:space="preserve">(shih Renolde kundër Francës, datë 16.8.2008, § 81). </w:t>
      </w:r>
    </w:p>
    <w:p w14:paraId="0FEC43FA" w14:textId="20713D0A"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20. Nën dritën e standardeve të mësipërme, Gjykata çmon të vlerësojë nëse aeroporti “Nënë Tereza” përfshihet në zonat ku ruajtja e rendit dhe sigurisë i nënshtrohen mbikëqyrjes së posaçme të organeve ligjzbatuese dhe nëse këto organe kishin mundësi të parashikonin ardhjen e pasojës, me qëllim marrjen e masave parandaluese për shmangien e saj, pra nëse në rastin e kërkuesit plotësohen kriteret e parashikueshmërisë dhe parandalimit të pasojës, si detyrime që rrjedhin në kuadër të garantimit të aspektit substancial të nenit 21 të Kushtetutës dhe nenit 2 të KEDNJ-së.</w:t>
      </w:r>
    </w:p>
    <w:p w14:paraId="75F8894F" w14:textId="21756792"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21. Në këtë drejtim, Gjykata vëren se në datën kur ka ndodhur ngjarja, çështjet e sigurimit dhe sigurisë së aeroportit “Nënë Tereza”, Rinas rregulloheshin përmes marrëveshjes së koncesionit ndërmjet Këshillit të Ministrave të Republikës së Shqipërisë dhe shoqërisë koncesionare “Tirana Airport Partners” sh.p.k. “Për ndërtimin, vënien në punë, operimin dhe mirëmbajtjen e aeroportit ndërkombëtar “Nënë Tereza”, Tiranë dhe për dhënien e disa stimujve kësaj shoqërie koncesionare”, të miratuar me ligjin nr. 9312, datë 11.11.2004. Sipas kësaj marrëveshjeje, shoqëria koncesionare do të jetë përgjegjëse për sigurinë në zonën e koncesionit, ku përfshihet rruga rrethuese e aeroportit dhe perimetri i rrethimit të sigurisë së aeroportit, në varësi të konfirmimit me shkrim nga organi shtetëror i autorizuar </w:t>
      </w:r>
      <w:r w:rsidRPr="00DB11AF">
        <w:rPr>
          <w:rFonts w:ascii="Garamond" w:hAnsi="Garamond"/>
          <w:b w:val="0"/>
          <w:bCs/>
          <w:i/>
          <w:iCs/>
        </w:rPr>
        <w:t>(Ministria e Transportit dhe Telekomunikacionit në kohën e lidhjes së marrëveshjes)</w:t>
      </w:r>
      <w:r w:rsidRPr="00DB11AF">
        <w:rPr>
          <w:rFonts w:ascii="Garamond" w:hAnsi="Garamond"/>
          <w:b w:val="0"/>
          <w:bCs/>
        </w:rPr>
        <w:t xml:space="preserve">. Mbi bazën e këtij konfirmimi dhe sipas përcaktimeve në shtojcat e marrëveshjes koncesionare, në përputhje me procedurat dhe funksionet e saj, të cilat në kuadër të ruajtjes dhe sigurisë së aeroportit janë përcaktuar në shtojcën 44 të marrëveshjes, shoqëria garanton, ndër të tjera, edhe sistemin e administrimit të ruajtjes së aeroportit. </w:t>
      </w:r>
    </w:p>
    <w:p w14:paraId="5AB8A471" w14:textId="6487F51F"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22. Po kështu, shoqërisë i është njohur e drejta për të nënkontraktuar kryerjen e veprimeve të sigurimit dhe/ose të sigurisë në zonën e koncesionit, në përputhje me kontratën dhe ligjin e zbatueshëm shqiptar. Stafi i angazhuar në veprimtaritë e sigurisë dhe sigurimit, si dhe stafi i angazhuar në operacione në anën e aerodromit është objekt i procedurave të posaçme të rekrutimit, të cilat kryhen në përputhje me ligjin e zbatueshëm në Republikën e Shqipërisë dhe konventat </w:t>
      </w:r>
      <w:r w:rsidRPr="00DB11AF">
        <w:rPr>
          <w:rFonts w:ascii="Garamond" w:hAnsi="Garamond"/>
          <w:b w:val="0"/>
          <w:bCs/>
          <w:i/>
          <w:iCs/>
        </w:rPr>
        <w:t>(pika 12)</w:t>
      </w:r>
      <w:r w:rsidRPr="00DB11AF">
        <w:rPr>
          <w:rFonts w:ascii="Garamond" w:hAnsi="Garamond"/>
          <w:b w:val="0"/>
          <w:bCs/>
        </w:rPr>
        <w:t xml:space="preserve">. Nga ana tjetër, sistemi i administrimit të sigurisë në aeroport, i cili duhet të jetë në përputhje me Dok. 9774 të Organizatës Ndërkombëtare të Aviacionit Civil në lidhje me Manualin e Certifikimit të Aerodromeve, rishikohet vit për vit dhe përditësohet nga shoqëria për të siguruar përmbushjen e standardeve dhe praktikave kombëtare e ndërkombëtare </w:t>
      </w:r>
      <w:r w:rsidRPr="00DB11AF">
        <w:rPr>
          <w:rFonts w:ascii="Garamond" w:hAnsi="Garamond"/>
          <w:b w:val="0"/>
          <w:bCs/>
          <w:i/>
          <w:iCs/>
        </w:rPr>
        <w:t>(shtojca 39)</w:t>
      </w:r>
      <w:r w:rsidRPr="00DB11AF">
        <w:rPr>
          <w:rFonts w:ascii="Garamond" w:hAnsi="Garamond"/>
          <w:b w:val="0"/>
          <w:bCs/>
        </w:rPr>
        <w:t xml:space="preserve">. </w:t>
      </w:r>
    </w:p>
    <w:p w14:paraId="78896FEB" w14:textId="10F82F33"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23. Në jurisprudencën e saj GJEDNJ-ja ka theksuar se dhënia me koncesion e menaxhimit të shërbimeve publike palëve të treta nuk shmang detyrimin e shtetit për të garantuar të drejtat e parashikuara nga KEDNJ-ja </w:t>
      </w:r>
      <w:r w:rsidRPr="00DB11AF">
        <w:rPr>
          <w:rFonts w:ascii="Garamond" w:hAnsi="Garamond"/>
          <w:b w:val="0"/>
          <w:bCs/>
          <w:i/>
          <w:iCs/>
        </w:rPr>
        <w:t>(shih Di Sarno dhe të tjerë k. Shqipërisë, datë 10.1.2021, § 110)</w:t>
      </w:r>
      <w:r w:rsidRPr="00DB11AF">
        <w:rPr>
          <w:rFonts w:ascii="Garamond" w:hAnsi="Garamond"/>
          <w:b w:val="0"/>
          <w:bCs/>
        </w:rPr>
        <w:t xml:space="preserve">. Në këndvështrim të kësaj jurisprudence, si dhe kuadrit ligjor në fuqi, Gjykata vëren se aeroporti “Nënë Tereza” përbën një zonë ku organet ligjzbatuese (punonjësit e sigurisë private të aeroportit, sipas marrëveshjes së koncesionit) ushtrojnë mbikëqyrje të veçantë në drejtim të ruajtjes së rendit dhe sigurisë, çka kërkon përmbushjen nga shteti të detyrimeve pozitive në kuadër të nenit 21 të Kushtetutës dhe nenit 2 të KEDNJ-së. </w:t>
      </w:r>
    </w:p>
    <w:p w14:paraId="4B9787A7" w14:textId="697A9AC7"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24. Duke pasur parasysh karakteristikat e rastit konkret, si dhe faktin se ngjarja ka ndodhur në ambientet e brendshme të aeroportit, ku përgjegjësia për sigurinë dhe mbrojtjen e të cilit, sipas legjislacionit në fuqi, i përkiste autoriteteve ligjzbatuese private, Gjykata çmon të analizojë veprimet e ndërmarra nga autoritetet e sigurisë së aeroportit në kuadër të garantimit të së drejtës së të birit të kërkuesit në aspektin substancial. </w:t>
      </w:r>
    </w:p>
    <w:p w14:paraId="0F3BE01F" w14:textId="3286FE54"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25. Nga materialet e dosjes gjyqësore të tërhequr për qëllime të gjykimit kushtetues të çështjes, Gjykata vëren se sipas procesverbaleve të marrjes në pyetje të punonjësve të Policisë së Shtetit dhe të shërbimit të sigurisë private të aeroportit, I.</w:t>
      </w:r>
      <w:r w:rsidR="00EA1248">
        <w:rPr>
          <w:rFonts w:ascii="Garamond" w:hAnsi="Garamond"/>
          <w:b w:val="0"/>
          <w:bCs/>
        </w:rPr>
        <w:t xml:space="preserve"> </w:t>
      </w:r>
      <w:r w:rsidRPr="00DB11AF">
        <w:rPr>
          <w:rFonts w:ascii="Garamond" w:hAnsi="Garamond"/>
          <w:b w:val="0"/>
          <w:bCs/>
        </w:rPr>
        <w:t>M., S.</w:t>
      </w:r>
      <w:r w:rsidR="00EA1248">
        <w:rPr>
          <w:rFonts w:ascii="Garamond" w:hAnsi="Garamond"/>
          <w:b w:val="0"/>
          <w:bCs/>
        </w:rPr>
        <w:t xml:space="preserve"> </w:t>
      </w:r>
      <w:r w:rsidRPr="00DB11AF">
        <w:rPr>
          <w:rFonts w:ascii="Garamond" w:hAnsi="Garamond"/>
          <w:b w:val="0"/>
          <w:bCs/>
        </w:rPr>
        <w:t>S., V.</w:t>
      </w:r>
      <w:r w:rsidR="00EA1248">
        <w:rPr>
          <w:rFonts w:ascii="Garamond" w:hAnsi="Garamond"/>
          <w:b w:val="0"/>
          <w:bCs/>
        </w:rPr>
        <w:t xml:space="preserve"> </w:t>
      </w:r>
      <w:r w:rsidRPr="00DB11AF">
        <w:rPr>
          <w:rFonts w:ascii="Garamond" w:hAnsi="Garamond"/>
          <w:b w:val="0"/>
          <w:bCs/>
        </w:rPr>
        <w:t>K., E.</w:t>
      </w:r>
      <w:r w:rsidR="00EA1248">
        <w:rPr>
          <w:rFonts w:ascii="Garamond" w:hAnsi="Garamond"/>
          <w:b w:val="0"/>
          <w:bCs/>
        </w:rPr>
        <w:t xml:space="preserve"> </w:t>
      </w:r>
      <w:r w:rsidRPr="00DB11AF">
        <w:rPr>
          <w:rFonts w:ascii="Garamond" w:hAnsi="Garamond"/>
          <w:b w:val="0"/>
          <w:bCs/>
        </w:rPr>
        <w:t>Q., Gj.</w:t>
      </w:r>
      <w:r w:rsidR="00EA1248">
        <w:rPr>
          <w:rFonts w:ascii="Garamond" w:hAnsi="Garamond"/>
          <w:b w:val="0"/>
          <w:bCs/>
        </w:rPr>
        <w:t xml:space="preserve"> </w:t>
      </w:r>
      <w:r w:rsidRPr="00DB11AF">
        <w:rPr>
          <w:rFonts w:ascii="Garamond" w:hAnsi="Garamond"/>
          <w:b w:val="0"/>
          <w:bCs/>
        </w:rPr>
        <w:t>K. dhe Sh.</w:t>
      </w:r>
      <w:r w:rsidR="00EA1248">
        <w:rPr>
          <w:rFonts w:ascii="Garamond" w:hAnsi="Garamond"/>
          <w:b w:val="0"/>
          <w:bCs/>
        </w:rPr>
        <w:t xml:space="preserve"> </w:t>
      </w:r>
      <w:r w:rsidRPr="00DB11AF">
        <w:rPr>
          <w:rFonts w:ascii="Garamond" w:hAnsi="Garamond"/>
          <w:b w:val="0"/>
          <w:bCs/>
        </w:rPr>
        <w:t>H., në cilësinë e personave që kanë dijeni për veprën penale, rezulton se shtetasi J.</w:t>
      </w:r>
      <w:r w:rsidR="00EA1248">
        <w:rPr>
          <w:rFonts w:ascii="Garamond" w:hAnsi="Garamond"/>
          <w:b w:val="0"/>
          <w:bCs/>
        </w:rPr>
        <w:t xml:space="preserve"> </w:t>
      </w:r>
      <w:r w:rsidRPr="00DB11AF">
        <w:rPr>
          <w:rFonts w:ascii="Garamond" w:hAnsi="Garamond"/>
          <w:b w:val="0"/>
          <w:bCs/>
        </w:rPr>
        <w:t>K., i biri i kërkuesit, pasi është kthyer nga udhëtimi me avion në shtetin e Gjermanisë, është ngjitur përmes një shkalle të brendshme anësore mbi zyrat e kompanive ajrore të terminalit të aeroportit, ku dhe është pikasur nga punonjësit e Policisë së Shtetit e të shërbimit të sigurisë private të aeroportit, të cilët janë afruar menjëherë në vendngjarje. Në kushtet kur vendi se nga ku J.</w:t>
      </w:r>
      <w:r w:rsidR="00EA1248">
        <w:rPr>
          <w:rFonts w:ascii="Garamond" w:hAnsi="Garamond"/>
          <w:b w:val="0"/>
          <w:bCs/>
        </w:rPr>
        <w:t xml:space="preserve"> </w:t>
      </w:r>
      <w:r w:rsidRPr="00DB11AF">
        <w:rPr>
          <w:rFonts w:ascii="Garamond" w:hAnsi="Garamond"/>
          <w:b w:val="0"/>
          <w:bCs/>
        </w:rPr>
        <w:t>K. është ngjitur nuk ka qenë i sigurt, ata i kanë kërkuar të qëndronte gjakftohtë, të mos bënte veprime të nxituara dhe se do ta ndihmonin për çdo gjë që kishte nevojë. Po sipas këtyre procesverbaleve, rezulton se kohëzgjatja e bisedës me J.</w:t>
      </w:r>
      <w:r w:rsidR="00EA1248">
        <w:rPr>
          <w:rFonts w:ascii="Garamond" w:hAnsi="Garamond"/>
          <w:b w:val="0"/>
          <w:bCs/>
        </w:rPr>
        <w:t xml:space="preserve"> </w:t>
      </w:r>
      <w:r w:rsidRPr="00DB11AF">
        <w:rPr>
          <w:rFonts w:ascii="Garamond" w:hAnsi="Garamond"/>
          <w:b w:val="0"/>
          <w:bCs/>
        </w:rPr>
        <w:t>K. deri në momentin kur ai është hedhur ka qenë pak minuta. Menjëherë pas hedhjes, J.</w:t>
      </w:r>
      <w:r w:rsidR="00EA1248">
        <w:rPr>
          <w:rFonts w:ascii="Garamond" w:hAnsi="Garamond"/>
          <w:b w:val="0"/>
          <w:bCs/>
        </w:rPr>
        <w:t xml:space="preserve"> </w:t>
      </w:r>
      <w:r w:rsidRPr="00DB11AF">
        <w:rPr>
          <w:rFonts w:ascii="Garamond" w:hAnsi="Garamond"/>
          <w:b w:val="0"/>
          <w:bCs/>
        </w:rPr>
        <w:t>K. është dërguar me urgjencë në spital nga shërbimi mjekësor i aeroportit. Po kështu, sipas procesverbalit të marrjes në pyetje të motrës së viktimës, rezulton se J.</w:t>
      </w:r>
      <w:r w:rsidR="00EA1248">
        <w:rPr>
          <w:rFonts w:ascii="Garamond" w:hAnsi="Garamond"/>
          <w:b w:val="0"/>
          <w:bCs/>
        </w:rPr>
        <w:t xml:space="preserve"> </w:t>
      </w:r>
      <w:r w:rsidRPr="00DB11AF">
        <w:rPr>
          <w:rFonts w:ascii="Garamond" w:hAnsi="Garamond"/>
          <w:b w:val="0"/>
          <w:bCs/>
        </w:rPr>
        <w:t>K. nuk kishte probleme të shëndetit mendor, por ishte tip i mbyllur me familjen dhe me shoqërinë.</w:t>
      </w:r>
    </w:p>
    <w:p w14:paraId="0711BF8F" w14:textId="6FA0081C"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26. Në lidhje me ngjarjen Gjykata e Rrethit Gjyqësor Tiranë ka vlerësuar se nuk rezultonte që persona konkretë, me veprime ose mosveprime të drejtpërdrejta, me dashje të tërthortë ose nga pakujdesia, të kenë shkaktuar ardhjen e pasojës, hedhjen nga lartësia të shtetasit J.</w:t>
      </w:r>
      <w:r w:rsidR="0042245C">
        <w:rPr>
          <w:rFonts w:ascii="Garamond" w:hAnsi="Garamond"/>
          <w:b w:val="0"/>
          <w:bCs/>
        </w:rPr>
        <w:t xml:space="preserve"> </w:t>
      </w:r>
      <w:r w:rsidRPr="00DB11AF">
        <w:rPr>
          <w:rFonts w:ascii="Garamond" w:hAnsi="Garamond"/>
          <w:b w:val="0"/>
          <w:bCs/>
        </w:rPr>
        <w:t xml:space="preserve">K., dhe më pas vdekjen e tij </w:t>
      </w:r>
      <w:r w:rsidRPr="00DB11AF">
        <w:rPr>
          <w:rFonts w:ascii="Garamond" w:hAnsi="Garamond"/>
          <w:b w:val="0"/>
          <w:bCs/>
          <w:i/>
          <w:iCs/>
        </w:rPr>
        <w:t>(shih faqen 6</w:t>
      </w:r>
      <w:r w:rsidR="0042245C">
        <w:rPr>
          <w:rFonts w:ascii="Garamond" w:hAnsi="Garamond"/>
          <w:b w:val="0"/>
          <w:bCs/>
          <w:i/>
          <w:iCs/>
        </w:rPr>
        <w:t>,</w:t>
      </w:r>
      <w:r w:rsidRPr="00DB11AF">
        <w:rPr>
          <w:rFonts w:ascii="Garamond" w:hAnsi="Garamond"/>
          <w:b w:val="0"/>
          <w:bCs/>
          <w:i/>
          <w:iCs/>
        </w:rPr>
        <w:t xml:space="preserve"> të vendimit nr. 1195 akti, datë 15.12.2017</w:t>
      </w:r>
      <w:r w:rsidR="00EA1248">
        <w:rPr>
          <w:rFonts w:ascii="Garamond" w:hAnsi="Garamond"/>
          <w:b w:val="0"/>
          <w:bCs/>
          <w:i/>
          <w:iCs/>
        </w:rPr>
        <w:t>,</w:t>
      </w:r>
      <w:r w:rsidRPr="00DB11AF">
        <w:rPr>
          <w:rFonts w:ascii="Garamond" w:hAnsi="Garamond"/>
          <w:b w:val="0"/>
          <w:bCs/>
          <w:i/>
          <w:iCs/>
        </w:rPr>
        <w:t xml:space="preserve"> të Gjykatës së Rrethit Gjyqësor Tiranë).</w:t>
      </w:r>
      <w:r w:rsidRPr="00DB11AF">
        <w:rPr>
          <w:rFonts w:ascii="Garamond" w:hAnsi="Garamond"/>
          <w:b w:val="0"/>
          <w:bCs/>
        </w:rPr>
        <w:t xml:space="preserve"> Ky vendim është vlerësuar i drejtë dhe i bazuar në ligjin material e procedural nga Gjykata e Apelit Tiranë. Edhe sipas kësaj gjykate, nga materialet e çështjes ka rezultuar e provuar plotësisht se nuk bëhej fjalë për kryerje ose moskryerje me dashje të veprimeve në kundërshtim me ligjin, që përbënin mospërmbushje të rregullt të detyrës nga personi që ushtron funksione publike, në kuptim të nenit 248 të KP-së </w:t>
      </w:r>
      <w:r w:rsidRPr="00DB11AF">
        <w:rPr>
          <w:rFonts w:ascii="Garamond" w:hAnsi="Garamond"/>
          <w:b w:val="0"/>
          <w:bCs/>
          <w:i/>
          <w:iCs/>
        </w:rPr>
        <w:t>(shih faqet 7 dhe 9</w:t>
      </w:r>
      <w:r w:rsidR="0042245C">
        <w:rPr>
          <w:rFonts w:ascii="Garamond" w:hAnsi="Garamond"/>
          <w:b w:val="0"/>
          <w:bCs/>
          <w:i/>
          <w:iCs/>
        </w:rPr>
        <w:t>,</w:t>
      </w:r>
      <w:r w:rsidRPr="00DB11AF">
        <w:rPr>
          <w:rFonts w:ascii="Garamond" w:hAnsi="Garamond"/>
          <w:b w:val="0"/>
          <w:bCs/>
          <w:i/>
          <w:iCs/>
        </w:rPr>
        <w:t xml:space="preserve"> të vendimit nr. 183, datë 1.2.2018</w:t>
      </w:r>
      <w:r w:rsidR="00EA1248">
        <w:rPr>
          <w:rFonts w:ascii="Garamond" w:hAnsi="Garamond"/>
          <w:b w:val="0"/>
          <w:bCs/>
          <w:i/>
          <w:iCs/>
        </w:rPr>
        <w:t>,</w:t>
      </w:r>
      <w:r w:rsidRPr="00DB11AF">
        <w:rPr>
          <w:rFonts w:ascii="Garamond" w:hAnsi="Garamond"/>
          <w:b w:val="0"/>
          <w:bCs/>
          <w:i/>
          <w:iCs/>
        </w:rPr>
        <w:t xml:space="preserve"> të Gjykatës së Apelit Tiranë)</w:t>
      </w:r>
      <w:r w:rsidRPr="00DB11AF">
        <w:rPr>
          <w:rFonts w:ascii="Garamond" w:hAnsi="Garamond"/>
          <w:b w:val="0"/>
          <w:bCs/>
        </w:rPr>
        <w:t xml:space="preserve">. Ligjshmëria e vendimmarrjeve të këtyre gjykatave është kontrolluar në vijim nga Gjykata e Lartë, e cila i ka vlerësuar ato të drejta, pasi nga qëndrimi i mbajtur dhe arsyetimi i vendimeve të gjykatave më të ulëta nuk rezultonin elemente të veprës penale “Shpërdorimi i detyrës” nga ana e punonjësve të aeroportit “Nënë Tereza” </w:t>
      </w:r>
      <w:r w:rsidRPr="00DB11AF">
        <w:rPr>
          <w:rFonts w:ascii="Garamond" w:hAnsi="Garamond"/>
          <w:b w:val="0"/>
          <w:bCs/>
          <w:i/>
          <w:iCs/>
        </w:rPr>
        <w:t>(shih faqen 9, paragrafi 8, të vendimit nr. 00-2023-1151, datë 3.7.2023</w:t>
      </w:r>
      <w:r w:rsidR="00EA1248">
        <w:rPr>
          <w:rFonts w:ascii="Garamond" w:hAnsi="Garamond"/>
          <w:b w:val="0"/>
          <w:bCs/>
          <w:i/>
          <w:iCs/>
        </w:rPr>
        <w:t>,</w:t>
      </w:r>
      <w:r w:rsidRPr="00DB11AF">
        <w:rPr>
          <w:rFonts w:ascii="Garamond" w:hAnsi="Garamond"/>
          <w:b w:val="0"/>
          <w:bCs/>
          <w:i/>
          <w:iCs/>
        </w:rPr>
        <w:t xml:space="preserve"> të Kolegjit Penal të Gjykatës së Lartë)</w:t>
      </w:r>
      <w:r w:rsidRPr="00DB11AF">
        <w:rPr>
          <w:rFonts w:ascii="Garamond" w:hAnsi="Garamond"/>
          <w:b w:val="0"/>
          <w:bCs/>
        </w:rPr>
        <w:t>.</w:t>
      </w:r>
    </w:p>
    <w:p w14:paraId="4EEE9090" w14:textId="72F1F499"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27. Në analizë të vendimeve të mësipërme, Gjykata vlerëson se, ndryshe nga sa kërkuesi pretendon, në përmbushje të detyrimeve pozitive që neni 21 i Kushtetutës dhe neni 2 i KEDNJ-së vendosin ndaj shtetit, autoritetet ligjzbatuese kanë marrë masa për garantimin e aspektit substancial të së drejtës së jetës së djalit të kërkuesit. Në këtë drejtim, Gjykata vëren se në rastin konkret nuk evidentohet se punonjësit e sigurisë private të aeroportit mund të parashikonin qëllimet e J.</w:t>
      </w:r>
      <w:r w:rsidR="00EA1248">
        <w:rPr>
          <w:rFonts w:ascii="Garamond" w:hAnsi="Garamond"/>
          <w:b w:val="0"/>
          <w:bCs/>
        </w:rPr>
        <w:t xml:space="preserve"> </w:t>
      </w:r>
      <w:r w:rsidRPr="00DB11AF">
        <w:rPr>
          <w:rFonts w:ascii="Garamond" w:hAnsi="Garamond"/>
          <w:b w:val="0"/>
          <w:bCs/>
        </w:rPr>
        <w:t>K. pas hipjes së tij sipër zyrave të kompanisë ajrore të aeroportit, ndaj nuk mund të përcaktonin rrezikun real e të menjëhershëm që i shkaktohej jetës së tij. Sapo ky rrezik është bërë evident, rezulton se autoritetet e sigurisë së aeroportit kanë ndërmarrë masa operacionale për të parandaluar ardhjen e pasojës. Kështu, me të marrë njoftimin, ata janë paraqitur menjëherë në vendngjarje, janë përpjekur të hyjnë në bisedime me J.K. dhe pas hedhjes së tij e kanë dërguar me urgjencë në spital. Në këtë këndvështrim, nga ana e punonjësve të policisë private të aeroportit nuk rezultojnë veprime ose mosveprime të kryera në kundërshtim me detyrimet që neni 21 i Kushtetutës dhe neni 2 i KEDNJ-së vendosin në lidhje me situatat kur një individ kërcënon të vetëvritet në sy ose në prani të tyre dhe nuk rezulton që ata të kenë shfaqur neglizhencë në drejtim të garantimit të së drejtës së J.</w:t>
      </w:r>
      <w:r w:rsidR="00EA1248">
        <w:rPr>
          <w:rFonts w:ascii="Garamond" w:hAnsi="Garamond"/>
          <w:b w:val="0"/>
          <w:bCs/>
        </w:rPr>
        <w:t xml:space="preserve"> </w:t>
      </w:r>
      <w:r w:rsidRPr="00DB11AF">
        <w:rPr>
          <w:rFonts w:ascii="Garamond" w:hAnsi="Garamond"/>
          <w:b w:val="0"/>
          <w:bCs/>
        </w:rPr>
        <w:t xml:space="preserve">K. për jetën. </w:t>
      </w:r>
    </w:p>
    <w:p w14:paraId="312CC652" w14:textId="0C70E449"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28. Po kështu, Gjykata çmon se gjykatat e zakonshme kanë argumentuar mjaftueshëm qëndrimet e mbajtura në vendimet e tyre në kuadër të aspektit substancial të kësaj të drejte, ndaj vlerëson se pretendimet e kërkuesit për cenimin e nenit 21 të Kushtetutës,  si rrjedhojë e mosmarrjes nga forcat e sigurisë dhe sigurimit të aeroportit të masave për shmangien e vetëvrasjes së të birit, janë të pabazuara. </w:t>
      </w:r>
    </w:p>
    <w:p w14:paraId="1DC101BF" w14:textId="31539360"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29. Në këndvështrim të sa më sipër, Gjykata vlerëson se në rastin konkret nuk rezultojnë shkelje të aspektit substancial të nenit 21 të Kushtetutës nga autoritetet ligjzbatuese që operonin për mbrojtjen e rendit dhe sigurisë së aeroportit “Nënë Tereza”.</w:t>
      </w:r>
    </w:p>
    <w:p w14:paraId="363E9077" w14:textId="47417517" w:rsidR="00DB11AF" w:rsidRPr="00DB11AF" w:rsidRDefault="00DB11AF" w:rsidP="00DB11AF">
      <w:pPr>
        <w:pStyle w:val="BodyTextIndent2"/>
        <w:tabs>
          <w:tab w:val="left" w:pos="1080"/>
        </w:tabs>
        <w:spacing w:line="240" w:lineRule="auto"/>
        <w:ind w:left="0" w:firstLine="284"/>
        <w:rPr>
          <w:rFonts w:ascii="Garamond" w:hAnsi="Garamond"/>
          <w:b w:val="0"/>
          <w:bCs/>
          <w:i/>
          <w:iCs/>
        </w:rPr>
      </w:pPr>
      <w:r w:rsidRPr="00DB11AF">
        <w:rPr>
          <w:rFonts w:ascii="Garamond" w:hAnsi="Garamond"/>
          <w:b w:val="0"/>
          <w:bCs/>
          <w:i/>
          <w:iCs/>
        </w:rPr>
        <w:t>B.1.2 Për aspektin procedural</w:t>
      </w:r>
    </w:p>
    <w:p w14:paraId="1938F0C3" w14:textId="3535C64D" w:rsidR="00DB11AF" w:rsidRPr="00DB11AF" w:rsidRDefault="00DB11AF" w:rsidP="00DB11AF">
      <w:pPr>
        <w:pStyle w:val="BodyTextIndent2"/>
        <w:tabs>
          <w:tab w:val="left" w:pos="1080"/>
        </w:tabs>
        <w:spacing w:line="240" w:lineRule="auto"/>
        <w:ind w:left="0" w:firstLine="284"/>
        <w:rPr>
          <w:rFonts w:ascii="Garamond" w:hAnsi="Garamond"/>
          <w:b w:val="0"/>
          <w:bCs/>
          <w:i/>
          <w:iCs/>
        </w:rPr>
      </w:pPr>
      <w:r w:rsidRPr="00DB11AF">
        <w:rPr>
          <w:rFonts w:ascii="Garamond" w:hAnsi="Garamond"/>
          <w:b w:val="0"/>
          <w:bCs/>
          <w:i/>
          <w:iCs/>
        </w:rPr>
        <w:t>B.1.2.1 Për kryerjen e hetimeve efektive për zbulimin e rrethanave të ngjarjes</w:t>
      </w:r>
    </w:p>
    <w:p w14:paraId="38791FEA" w14:textId="1A3733DD"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30. Kërkuesi ka pretenduar se Prokuroria e Tiranës nuk ka kryer hetime efektive për zbulimin e rrethanave të ngjarjes ku ka gjetur vdekjen i biri. Ai ka kërkuar nga kjo prokurori kryerjen e një sërë veprimeve shtesë, kërkesa të cilat nuk janë marrë parasysh dhe pretendimet e tij në këtë drejtim nuk janë marrë parasysh as nga gjykatat.</w:t>
      </w:r>
    </w:p>
    <w:p w14:paraId="19CA1AE5" w14:textId="2A548834"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31. Subjekti i interesuar, Prokuroria e Përgjithshme, ka prapësuar se nga ana e Prokurorisë së Tiranës është bërë regjistrimi i veprës penale “Shkaktimi i vetëvrasjes”, si dhe janë kryer hetimet e nevojshme për zbardhjen e rrethanave të ngjarjes, në përfundim të të cilave është arritur në konkluzionin se ngjarja ka ndodhur si rezultat i veprimeve të kryera nga viktima.</w:t>
      </w:r>
    </w:p>
    <w:p w14:paraId="79767038" w14:textId="46908531"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32. Në jurisprudencën e saj Gjykata ka theksuar se nuk është detyrë e saj të përcaktojë faktet dhe fajësinë e autorëve të veprës penale dhe as të interpretojë ligjin penal, detyrë e cila i përket prokurorisë dhe gjykatave të juridiksionit të zakonshëm. Në këtë kuptim, duke pasur parasysh edhe parimin e subsidiaritetit, për të vlerësuar respektimin e së drejtës kushtetuese të jetës, Gjykata analizon nëse hetimet nga organi i ndjekjes penale kanë qenë efektive, pra nëse ato kanë qenë të përshtatshme, të plota, të paanshme, të kujdesshme dhe kanë ndjekur një linjë të qartë në funksion të zbulimit të rrethanave të ngjarjes dhe identifikimit të autorëve të saj </w:t>
      </w:r>
      <w:r w:rsidRPr="00DB11AF">
        <w:rPr>
          <w:rFonts w:ascii="Garamond" w:hAnsi="Garamond"/>
          <w:b w:val="0"/>
          <w:bCs/>
          <w:i/>
          <w:iCs/>
        </w:rPr>
        <w:t>(shih vendimin nr. 42, datë 29.5.2024</w:t>
      </w:r>
      <w:r w:rsidR="00EA1248">
        <w:rPr>
          <w:rFonts w:ascii="Garamond" w:hAnsi="Garamond"/>
          <w:b w:val="0"/>
          <w:bCs/>
          <w:i/>
          <w:iCs/>
        </w:rPr>
        <w:t>,</w:t>
      </w:r>
      <w:r w:rsidRPr="00DB11AF">
        <w:rPr>
          <w:rFonts w:ascii="Garamond" w:hAnsi="Garamond"/>
          <w:b w:val="0"/>
          <w:bCs/>
          <w:i/>
          <w:iCs/>
        </w:rPr>
        <w:t xml:space="preserve"> të Gjykatës Kushtetuese)</w:t>
      </w:r>
      <w:r w:rsidRPr="00DB11AF">
        <w:rPr>
          <w:rFonts w:ascii="Garamond" w:hAnsi="Garamond"/>
          <w:b w:val="0"/>
          <w:bCs/>
        </w:rPr>
        <w:t>. Prandaj, në vijim, Gjykata do të analizojë nëse këto standarde përmbushen në çështjen në shqyrtim.</w:t>
      </w:r>
    </w:p>
    <w:p w14:paraId="4FBC1AEA" w14:textId="2F233DE2"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33. Në rastin konkret, në kuadër të masave për garantimin e aspektit procedural të nenit 21 të Kushtetutës dhe nenit 2 të KEDNJ-së, Gjykata vëren se në lidhje me ngjarjen Prokuroria e Tiranës ka regjistruar procedimin penal nr. 8543</w:t>
      </w:r>
      <w:r w:rsidR="00EA1248">
        <w:rPr>
          <w:rFonts w:ascii="Garamond" w:hAnsi="Garamond"/>
          <w:b w:val="0"/>
          <w:bCs/>
        </w:rPr>
        <w:t>,</w:t>
      </w:r>
      <w:r w:rsidRPr="00DB11AF">
        <w:rPr>
          <w:rFonts w:ascii="Garamond" w:hAnsi="Garamond"/>
          <w:b w:val="0"/>
          <w:bCs/>
        </w:rPr>
        <w:t xml:space="preserve"> të vitit 2016</w:t>
      </w:r>
      <w:r w:rsidR="00EA1248">
        <w:rPr>
          <w:rFonts w:ascii="Garamond" w:hAnsi="Garamond"/>
          <w:b w:val="0"/>
          <w:bCs/>
        </w:rPr>
        <w:t>,</w:t>
      </w:r>
      <w:r w:rsidRPr="00DB11AF">
        <w:rPr>
          <w:rFonts w:ascii="Garamond" w:hAnsi="Garamond"/>
          <w:b w:val="0"/>
          <w:bCs/>
        </w:rPr>
        <w:t xml:space="preserve"> për veprën penale “Shkaktimi i vetëvrasjes”, të parashikuar nga neni 99 i KP-së. Sipas këtij neni: </w:t>
      </w:r>
      <w:r w:rsidRPr="00DB11AF">
        <w:rPr>
          <w:rFonts w:ascii="Garamond" w:hAnsi="Garamond"/>
          <w:b w:val="0"/>
          <w:bCs/>
          <w:i/>
          <w:iCs/>
        </w:rPr>
        <w:t>“Shkaktimi i vetëvrasjes ose i tentativës së vetëvrasjes së një personi, si rrjedhojë e trajtimit të keq sistematik ose nga sjellje të tjera sistematike që prekin rëndë dinjitetin, të kryera nga personi që e ka në varësi apo nga personi me të cilin ka marrëdhënie familjare ose bashkëjetese, dënohet me burgim nga 3 deri në 7 vjet.”</w:t>
      </w:r>
      <w:r w:rsidRPr="00DB11AF">
        <w:rPr>
          <w:rFonts w:ascii="Garamond" w:hAnsi="Garamond"/>
          <w:b w:val="0"/>
          <w:bCs/>
        </w:rPr>
        <w:t>. Po kështu, për qëllime të zbardhjes së rrethanave të ngjarjes, nga ana e organit të prokurorisë janë kryer veprime hetimore të tilla, si: këqyrja e vendit të ngjarjes përmes fotografimit të ambienteve të terminalit, këqyrja e kufomës, pyetja e punonjësve së Policisë së Shtetit I.</w:t>
      </w:r>
      <w:r w:rsidR="00EA1248">
        <w:rPr>
          <w:rFonts w:ascii="Garamond" w:hAnsi="Garamond"/>
          <w:b w:val="0"/>
          <w:bCs/>
        </w:rPr>
        <w:t xml:space="preserve"> </w:t>
      </w:r>
      <w:r w:rsidRPr="00DB11AF">
        <w:rPr>
          <w:rFonts w:ascii="Garamond" w:hAnsi="Garamond"/>
          <w:b w:val="0"/>
          <w:bCs/>
        </w:rPr>
        <w:t>M. dhe S.</w:t>
      </w:r>
      <w:r w:rsidR="00EA1248">
        <w:rPr>
          <w:rFonts w:ascii="Garamond" w:hAnsi="Garamond"/>
          <w:b w:val="0"/>
          <w:bCs/>
        </w:rPr>
        <w:t xml:space="preserve"> </w:t>
      </w:r>
      <w:r w:rsidRPr="00DB11AF">
        <w:rPr>
          <w:rFonts w:ascii="Garamond" w:hAnsi="Garamond"/>
          <w:b w:val="0"/>
          <w:bCs/>
        </w:rPr>
        <w:t>S., pyetja e punonjësve të kompanisë private ICTS Albania V.</w:t>
      </w:r>
      <w:r w:rsidR="00EA1248">
        <w:rPr>
          <w:rFonts w:ascii="Garamond" w:hAnsi="Garamond"/>
          <w:b w:val="0"/>
          <w:bCs/>
        </w:rPr>
        <w:t xml:space="preserve"> </w:t>
      </w:r>
      <w:r w:rsidRPr="00DB11AF">
        <w:rPr>
          <w:rFonts w:ascii="Garamond" w:hAnsi="Garamond"/>
          <w:b w:val="0"/>
          <w:bCs/>
        </w:rPr>
        <w:t>K., E.</w:t>
      </w:r>
      <w:r w:rsidR="00EA1248">
        <w:rPr>
          <w:rFonts w:ascii="Garamond" w:hAnsi="Garamond"/>
          <w:b w:val="0"/>
          <w:bCs/>
        </w:rPr>
        <w:t xml:space="preserve"> </w:t>
      </w:r>
      <w:r w:rsidRPr="00DB11AF">
        <w:rPr>
          <w:rFonts w:ascii="Garamond" w:hAnsi="Garamond"/>
          <w:b w:val="0"/>
          <w:bCs/>
        </w:rPr>
        <w:t>Q., Gj.</w:t>
      </w:r>
      <w:r w:rsidR="00EA1248">
        <w:rPr>
          <w:rFonts w:ascii="Garamond" w:hAnsi="Garamond"/>
          <w:b w:val="0"/>
          <w:bCs/>
        </w:rPr>
        <w:t xml:space="preserve"> </w:t>
      </w:r>
      <w:r w:rsidRPr="00DB11AF">
        <w:rPr>
          <w:rFonts w:ascii="Garamond" w:hAnsi="Garamond"/>
          <w:b w:val="0"/>
          <w:bCs/>
        </w:rPr>
        <w:t>K. dhe Sh.</w:t>
      </w:r>
      <w:r w:rsidR="00EA1248">
        <w:rPr>
          <w:rFonts w:ascii="Garamond" w:hAnsi="Garamond"/>
          <w:b w:val="0"/>
          <w:bCs/>
        </w:rPr>
        <w:t xml:space="preserve"> </w:t>
      </w:r>
      <w:r w:rsidRPr="00DB11AF">
        <w:rPr>
          <w:rFonts w:ascii="Garamond" w:hAnsi="Garamond"/>
          <w:b w:val="0"/>
          <w:bCs/>
        </w:rPr>
        <w:t>H., pyetja në datat 3.9.2016 dhe 24.2.2017</w:t>
      </w:r>
      <w:r w:rsidR="00EA1248">
        <w:rPr>
          <w:rFonts w:ascii="Garamond" w:hAnsi="Garamond"/>
          <w:b w:val="0"/>
          <w:bCs/>
        </w:rPr>
        <w:t>,</w:t>
      </w:r>
      <w:r w:rsidRPr="00DB11AF">
        <w:rPr>
          <w:rFonts w:ascii="Garamond" w:hAnsi="Garamond"/>
          <w:b w:val="0"/>
          <w:bCs/>
        </w:rPr>
        <w:t xml:space="preserve"> e motrës së viktimës, shtetases L.</w:t>
      </w:r>
      <w:r w:rsidR="0042245C">
        <w:rPr>
          <w:rFonts w:ascii="Garamond" w:hAnsi="Garamond"/>
          <w:b w:val="0"/>
          <w:bCs/>
        </w:rPr>
        <w:t xml:space="preserve"> </w:t>
      </w:r>
      <w:r w:rsidRPr="00DB11AF">
        <w:rPr>
          <w:rFonts w:ascii="Garamond" w:hAnsi="Garamond"/>
          <w:b w:val="0"/>
          <w:bCs/>
        </w:rPr>
        <w:t xml:space="preserve">K., kryerja e ekspertimit mjekoligjor të viktimës, kryerja e ekspertimit biologjik të gjakut të viktimës, ekspertimi teknik i pamjeve filmike të momentit të ngjarjes dhe kontrolli i çantës së viktimës. Në përfundim të vlerësimit të fakteve dhe provave, Prokuroria e Tiranës ka vendosur pushimin e procedimit penal, duke vlerësuar se nuk plotësoheshin elementet e figurës penale të parashikuar nga neni 99 i KP-së. </w:t>
      </w:r>
    </w:p>
    <w:p w14:paraId="7E616589" w14:textId="3900A987"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34. Në kërkesën drejtuar Gjykatës së Rrethit Gjyqësor Tiranë për kundërshtimin e vendimit të prokurorisë për pushimin e çështjes, kërkuesi ka pretenduar, ndër të tjera, se organi i ndjekjes penale nuk kishte kryer një hetim të plotë dhe të gjithanshëm, pasi nuk kishte hetuar për masat e sigurisë së aeroportit, në kushtet kur edhe nga eksperti kishte deklaruar se nuk mund të përcaktohej nëse veprimet e personelit dhe policisë së aeroportit ishin në përputhje me detyrat e tyre funksionale; nuk kishte hetuar në lidhje me personat me të cilët kërkuesi kishte udhëtuar në avion gjatë kthimit nga shteti gjerman; akti i ekspertimit ishte bazuar vetëm në kamerën nr. 13 të aeroportit, ndërkohë që në ambientet e aeroportit kishte dhe shumë kamera të tjera që mund të paraqisnin fushëpamje të ndryshme; si dhe nuk ishte hetuar mbi masat e sigurisë teknike të portës përmes së cilës viktima ishte ngjitur në tarracë.</w:t>
      </w:r>
    </w:p>
    <w:p w14:paraId="79813380" w14:textId="25F47B19"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35. Në lidhje me pretendimet e kërkuesit, në vendimin për çështjen Gjykata e Rrethit Gjyqësor Tiranë ka konstatuar se për qëllime të hetimit penal Prokuroria e Tiranës ka kryer një sërë veprimesh procedurale, të tilla si: këqyrja e vendit të ngjarjes e shoqëruar me tabelë fotografike; këqyrja e viktimës; pyetja e personave që kanë dijeni për rrethana të hetimit; kryerja e ekspertimit mjeko-ligjor; kryerja e ekspertimit biologjik; kontrolli i valixhes së udhëtimit të viktimës; ekspertimi teknik-sinjalistik i CD-së me pamjet filmike të ngjarjes; marrja e informacionit nga Drejtoria e Shërbimit të Çështjeve të Brendshme dhe Ankesave nëse në ngjarje janë implikuar punonjës së policisë, si dhe nga Komisariati i Policisë për Kufirin dhe Migracionin, aeroporti “Nënë Tereza”, nëse vendi nga ku është ngjitur viktima ruhej me personel të posaçëm sigurisë. Në përfundim të shqyrtimit gjyqësor të çështjes, gjykata ka vlerësuar të drejtë vendimin e prokurorisë për pushimin e procedimit penal, me argumentin se nga ana e prokurorisë janë kryer të gjitha veprimet e nevojshme hetimore në lidhje me ngjarjen dhe se në vendimin e këtij organi për pushimin e çështjes janë dhënë përgjigje, duke sqaruar me detaje veprimet ose mosveprimet e kryera. Hetimi ka qenë i plotë e i gjithanshëm dhe organi i prokurorisë ka vepruar në konformitet të plotë me ligjin </w:t>
      </w:r>
      <w:r w:rsidRPr="00DB11AF">
        <w:rPr>
          <w:rFonts w:ascii="Garamond" w:hAnsi="Garamond"/>
          <w:b w:val="0"/>
          <w:bCs/>
          <w:i/>
          <w:iCs/>
        </w:rPr>
        <w:t>(shih faqet 7</w:t>
      </w:r>
      <w:r w:rsidR="00EA1248">
        <w:rPr>
          <w:rFonts w:ascii="Garamond" w:hAnsi="Garamond"/>
          <w:b w:val="0"/>
          <w:bCs/>
          <w:i/>
          <w:iCs/>
        </w:rPr>
        <w:t>–</w:t>
      </w:r>
      <w:r w:rsidRPr="00DB11AF">
        <w:rPr>
          <w:rFonts w:ascii="Garamond" w:hAnsi="Garamond"/>
          <w:b w:val="0"/>
          <w:bCs/>
          <w:i/>
          <w:iCs/>
        </w:rPr>
        <w:t>9</w:t>
      </w:r>
      <w:r w:rsidR="0042245C">
        <w:rPr>
          <w:rFonts w:ascii="Garamond" w:hAnsi="Garamond"/>
          <w:b w:val="0"/>
          <w:bCs/>
          <w:i/>
          <w:iCs/>
        </w:rPr>
        <w:t>,</w:t>
      </w:r>
      <w:r w:rsidRPr="00DB11AF">
        <w:rPr>
          <w:rFonts w:ascii="Garamond" w:hAnsi="Garamond"/>
          <w:b w:val="0"/>
          <w:bCs/>
          <w:i/>
          <w:iCs/>
        </w:rPr>
        <w:t xml:space="preserve"> të vendimit nr. 1195 akti, datë 15.12.2017</w:t>
      </w:r>
      <w:r w:rsidR="00EA1248">
        <w:rPr>
          <w:rFonts w:ascii="Garamond" w:hAnsi="Garamond"/>
          <w:b w:val="0"/>
          <w:bCs/>
          <w:i/>
          <w:iCs/>
        </w:rPr>
        <w:t>,</w:t>
      </w:r>
      <w:r w:rsidRPr="00DB11AF">
        <w:rPr>
          <w:rFonts w:ascii="Garamond" w:hAnsi="Garamond"/>
          <w:b w:val="0"/>
          <w:bCs/>
          <w:i/>
          <w:iCs/>
        </w:rPr>
        <w:t xml:space="preserve"> të Gjykatës së Rrethit Gjyqësor Tiranë)</w:t>
      </w:r>
      <w:r w:rsidRPr="00DB11AF">
        <w:rPr>
          <w:rFonts w:ascii="Garamond" w:hAnsi="Garamond"/>
          <w:b w:val="0"/>
          <w:bCs/>
        </w:rPr>
        <w:t>.</w:t>
      </w:r>
    </w:p>
    <w:p w14:paraId="6CA1A3B8" w14:textId="6A191CCA"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36. Në ankimin ndaj vendimit të gjykatës së rrethit, krahas pretendimeve të ngritura në kërkesën drejtuar kësaj gjykate, kërkuesi ka pretenduar, gjithashtu, se nga ana e prokurorisë duhej të kryheshin hetime më të thelluara për të përcaktuar nëse pasoja ka ardhur si rezultat i kryerjes së veprës penale “Shpërdorimi i detyrës”, të parashikuar nga neni 248 i KP-së. </w:t>
      </w:r>
    </w:p>
    <w:p w14:paraId="1012AB2E" w14:textId="5549A518"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37. Gjykata e Apelit Tiranë ka vlerësuar se nga ana e prokurorisë janë kryer hetime të gjithanshme dhe vendimi është marrë në përfundim të rezultateve të hetimit. Sipas saj, në rastin konkret ekzistonte një nga shkaqet e përcaktuara në nenin 328 të KPP-së për pushimin e akuzës dhe gjykata e rrethit kishte arsyetuar në mënyrë të plotë në lidhje me vendimin e prokurorisë. Për sa u përket pretendimeve të kërkuesit për kryerjen e veprës penale “Shpërdorimi i detyrës”, gjykata e apelit ka vlerësuar se në rastin konkret nuk ndodhej përpara kryerjes ose moskryerjes me dashje të veprimeve në kundërshtim me ligjin, që përbënin mospërmbushje të rregullt të detyrës nga personi që ushtron funksione publike. Për rrjedhojë, vendimi i gjykatës së rrethit ishte i drejtë dhe duhej të lihej në fuqi </w:t>
      </w:r>
      <w:r w:rsidRPr="00DB11AF">
        <w:rPr>
          <w:rFonts w:ascii="Garamond" w:hAnsi="Garamond"/>
          <w:b w:val="0"/>
          <w:bCs/>
          <w:i/>
          <w:iCs/>
        </w:rPr>
        <w:t>(shih faqet 8</w:t>
      </w:r>
      <w:r w:rsidR="00EA1248">
        <w:rPr>
          <w:rFonts w:ascii="Garamond" w:hAnsi="Garamond"/>
          <w:b w:val="0"/>
          <w:bCs/>
          <w:i/>
          <w:iCs/>
        </w:rPr>
        <w:t>–</w:t>
      </w:r>
      <w:r w:rsidRPr="00DB11AF">
        <w:rPr>
          <w:rFonts w:ascii="Garamond" w:hAnsi="Garamond"/>
          <w:b w:val="0"/>
          <w:bCs/>
          <w:i/>
          <w:iCs/>
        </w:rPr>
        <w:t>9 të vendimit nr. 183, datë 1.2.2018</w:t>
      </w:r>
      <w:r w:rsidR="00EA1248">
        <w:rPr>
          <w:rFonts w:ascii="Garamond" w:hAnsi="Garamond"/>
          <w:b w:val="0"/>
          <w:bCs/>
          <w:i/>
          <w:iCs/>
        </w:rPr>
        <w:t>,</w:t>
      </w:r>
      <w:r w:rsidRPr="00DB11AF">
        <w:rPr>
          <w:rFonts w:ascii="Garamond" w:hAnsi="Garamond"/>
          <w:b w:val="0"/>
          <w:bCs/>
          <w:i/>
          <w:iCs/>
        </w:rPr>
        <w:t xml:space="preserve"> të Gjykatës së Apelit Tiranë)</w:t>
      </w:r>
      <w:r w:rsidRPr="00DB11AF">
        <w:rPr>
          <w:rFonts w:ascii="Garamond" w:hAnsi="Garamond"/>
          <w:b w:val="0"/>
          <w:bCs/>
        </w:rPr>
        <w:t>.</w:t>
      </w:r>
    </w:p>
    <w:p w14:paraId="373DB564" w14:textId="7121214F"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38. Krahas pretendimeve të ngritura në gjykatën e rrethit dhe atë të apelit në lidhje me moskryerjen e hetimeve të gjithanshme nga ana e prokurorisë, në rekursin drejtuar Gjykatës së Lartë kërkuesi ka paraqitur edhe dy pretendime: i</w:t>
      </w:r>
      <w:r w:rsidR="00EA1248">
        <w:rPr>
          <w:rFonts w:ascii="Garamond" w:hAnsi="Garamond"/>
          <w:b w:val="0"/>
          <w:bCs/>
        </w:rPr>
        <w:t>.</w:t>
      </w:r>
      <w:r w:rsidRPr="00DB11AF">
        <w:rPr>
          <w:rFonts w:ascii="Garamond" w:hAnsi="Garamond"/>
          <w:b w:val="0"/>
          <w:bCs/>
        </w:rPr>
        <w:t xml:space="preserve"> Gjykata e Apelit Tiranë nuk ka bërë njoftimin e tij me shpallje për datën dhe orën e gjykimit të çështjes; ii</w:t>
      </w:r>
      <w:r w:rsidR="00EA1248">
        <w:rPr>
          <w:rFonts w:ascii="Garamond" w:hAnsi="Garamond"/>
          <w:b w:val="0"/>
          <w:bCs/>
        </w:rPr>
        <w:t>.</w:t>
      </w:r>
      <w:r w:rsidRPr="00DB11AF">
        <w:rPr>
          <w:rFonts w:ascii="Garamond" w:hAnsi="Garamond"/>
          <w:b w:val="0"/>
          <w:bCs/>
        </w:rPr>
        <w:t xml:space="preserve"> cenimin e standardit të arsyetimit të vendimit gjyqësor, për shkak se vendimet e gjykatës së rrethit dhe të apelit ishin të paarsyetuara.</w:t>
      </w:r>
    </w:p>
    <w:p w14:paraId="55648136" w14:textId="363E174B"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39. Gjykata e Lartë ka vlerësuar se asnjë prej pretendimeve të kërkuesit nuk u referohej shkaqeve të parashikuara nga neni 432 i KPP-së. Sipas kësaj gjykate, pretendimet e tij në lidhje me hetimet e kryera nga prokuroria ishin marrë në shqyrtim nga gjykatat më të ulëta, të cilat kishin dhënë përgjigje të arsyetuar në lidhje me to, duke vlerësuar se pretendimet për hetime shtesë ishin të pabazuara, pasi organi i akuzës kishte kryer një hetim të plotë dhe të gjithanshëm dhe nga hetimi kishte rezultuar se fakti nuk përbënte vepër penale. Po kështu, edhe pretendimi i kërkuesit se prokuroria nuk kishte hetuar në drejtim të kryerjes së veprës penale “Shpërdorimi i detyrës” nga ana e punonjësve të aeroportit nuk ishte i bazuar, pasi nga vendimet e gjykatave rezultonte se nuk ekzistonin elemente të kësaj vepre penale </w:t>
      </w:r>
      <w:r w:rsidRPr="00DB11AF">
        <w:rPr>
          <w:rFonts w:ascii="Garamond" w:hAnsi="Garamond"/>
          <w:b w:val="0"/>
          <w:bCs/>
          <w:i/>
          <w:iCs/>
        </w:rPr>
        <w:t>(shih faqen 9, paragrafët 17</w:t>
      </w:r>
      <w:r w:rsidR="00EA1248">
        <w:rPr>
          <w:rFonts w:ascii="Garamond" w:hAnsi="Garamond"/>
          <w:b w:val="0"/>
          <w:bCs/>
          <w:i/>
          <w:iCs/>
        </w:rPr>
        <w:t>–</w:t>
      </w:r>
      <w:r w:rsidRPr="00DB11AF">
        <w:rPr>
          <w:rFonts w:ascii="Garamond" w:hAnsi="Garamond"/>
          <w:b w:val="0"/>
          <w:bCs/>
          <w:i/>
          <w:iCs/>
        </w:rPr>
        <w:t>18, të vendimit nr. 00-2023-1151, datë 3.7.2023</w:t>
      </w:r>
      <w:r w:rsidR="00EA1248">
        <w:rPr>
          <w:rFonts w:ascii="Garamond" w:hAnsi="Garamond"/>
          <w:b w:val="0"/>
          <w:bCs/>
          <w:i/>
          <w:iCs/>
        </w:rPr>
        <w:t>,</w:t>
      </w:r>
      <w:r w:rsidRPr="00DB11AF">
        <w:rPr>
          <w:rFonts w:ascii="Garamond" w:hAnsi="Garamond"/>
          <w:b w:val="0"/>
          <w:bCs/>
          <w:i/>
          <w:iCs/>
        </w:rPr>
        <w:t xml:space="preserve"> të Kolegjit Penal të Gjykatës së Lartë)</w:t>
      </w:r>
      <w:r w:rsidRPr="00DB11AF">
        <w:rPr>
          <w:rFonts w:ascii="Garamond" w:hAnsi="Garamond"/>
          <w:b w:val="0"/>
          <w:bCs/>
        </w:rPr>
        <w:t xml:space="preserve">. </w:t>
      </w:r>
    </w:p>
    <w:p w14:paraId="0BBDE430" w14:textId="0D2EF7A8"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40. Në lidhje me pretendimin për mungesën e njoftimit për gjykimin në apel, Gjykata e Lartë ka  arsyetuar se përmes fletëthirrjes kërkuesi është njoftuar në adresën e lënë prej tij për gjykimin e çështjes nga gjykata e apelit në dhomë këshillimi. Ndonëse njoftimi është kthyer nga posta me shënimin </w:t>
      </w:r>
      <w:r w:rsidRPr="00DB11AF">
        <w:rPr>
          <w:rFonts w:ascii="Garamond" w:hAnsi="Garamond"/>
          <w:b w:val="0"/>
          <w:bCs/>
          <w:i/>
          <w:iCs/>
        </w:rPr>
        <w:t>“Adresë</w:t>
      </w:r>
      <w:r w:rsidRPr="00DB11AF">
        <w:rPr>
          <w:rFonts w:ascii="Garamond" w:hAnsi="Garamond"/>
          <w:b w:val="0"/>
          <w:bCs/>
        </w:rPr>
        <w:t xml:space="preserve"> </w:t>
      </w:r>
      <w:r w:rsidRPr="00DB11AF">
        <w:rPr>
          <w:rFonts w:ascii="Garamond" w:hAnsi="Garamond"/>
          <w:b w:val="0"/>
          <w:bCs/>
          <w:i/>
          <w:iCs/>
        </w:rPr>
        <w:t>e</w:t>
      </w:r>
      <w:r w:rsidRPr="00DB11AF">
        <w:rPr>
          <w:rFonts w:ascii="Garamond" w:hAnsi="Garamond"/>
          <w:b w:val="0"/>
          <w:bCs/>
        </w:rPr>
        <w:t xml:space="preserve"> </w:t>
      </w:r>
      <w:r w:rsidRPr="00DB11AF">
        <w:rPr>
          <w:rFonts w:ascii="Garamond" w:hAnsi="Garamond"/>
          <w:b w:val="0"/>
          <w:bCs/>
          <w:i/>
          <w:iCs/>
        </w:rPr>
        <w:t>pasaktë”</w:t>
      </w:r>
      <w:r w:rsidRPr="00DB11AF">
        <w:rPr>
          <w:rFonts w:ascii="Garamond" w:hAnsi="Garamond"/>
          <w:b w:val="0"/>
          <w:bCs/>
        </w:rPr>
        <w:t xml:space="preserve">, ai ka pasur pritshmëri për datën dhe orën e gjykimit të çështjes, pasi sipas nenit 329, pika 7, të KPP-së ankimi ndaj vendimit të prokurorit për pushimin e procedimit penal shqyrtohet nga gjykata e apelit në dhomë këshillimi brenda 15 ditëve nga data e marrjes së akteve. Po kështu, ankimi ndaj vendimit të gjykatës së rrethit është ushtruar nga kërkuesi, duke iu dhënë mundësia të paraqesë pretendimet e tij </w:t>
      </w:r>
      <w:r w:rsidRPr="00DB11AF">
        <w:rPr>
          <w:rFonts w:ascii="Garamond" w:hAnsi="Garamond"/>
          <w:b w:val="0"/>
          <w:bCs/>
          <w:i/>
          <w:iCs/>
        </w:rPr>
        <w:t>(shih faqet 9</w:t>
      </w:r>
      <w:r w:rsidR="00EA1248">
        <w:rPr>
          <w:rFonts w:ascii="Garamond" w:hAnsi="Garamond"/>
          <w:b w:val="0"/>
          <w:bCs/>
          <w:i/>
          <w:iCs/>
        </w:rPr>
        <w:t>–</w:t>
      </w:r>
      <w:r w:rsidRPr="00DB11AF">
        <w:rPr>
          <w:rFonts w:ascii="Garamond" w:hAnsi="Garamond"/>
          <w:b w:val="0"/>
          <w:bCs/>
          <w:i/>
          <w:iCs/>
        </w:rPr>
        <w:t>10, paragrafi 19, të vendimit nr. 00-2023-1151, datë 3.7.2023</w:t>
      </w:r>
      <w:r w:rsidR="00EA1248">
        <w:rPr>
          <w:rFonts w:ascii="Garamond" w:hAnsi="Garamond"/>
          <w:b w:val="0"/>
          <w:bCs/>
          <w:i/>
          <w:iCs/>
        </w:rPr>
        <w:t>,</w:t>
      </w:r>
      <w:r w:rsidRPr="00DB11AF">
        <w:rPr>
          <w:rFonts w:ascii="Garamond" w:hAnsi="Garamond"/>
          <w:b w:val="0"/>
          <w:bCs/>
          <w:i/>
          <w:iCs/>
        </w:rPr>
        <w:t xml:space="preserve"> të Kolegjit Penal të Gjykatës së Lartë).</w:t>
      </w:r>
    </w:p>
    <w:p w14:paraId="0EE7CAAD" w14:textId="17CCC6D4"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41. Për sa u përket pretendimeve të kërkuesit për cenimin e standardit të arsyetimit të vendimit gjyqësor nga gjykata e rrethit dhe ajo e apelit, Gjykata e Lartë i ka gjetur ato të pabazuara, pasi, në kundërshtim nga sa kërkuesi pretendonte, gjykatat kishin dhënë përgjigje për pretendimet e ngritura prej tij </w:t>
      </w:r>
      <w:r w:rsidRPr="00DB11AF">
        <w:rPr>
          <w:rFonts w:ascii="Garamond" w:hAnsi="Garamond"/>
          <w:b w:val="0"/>
          <w:bCs/>
          <w:i/>
          <w:iCs/>
        </w:rPr>
        <w:t>(shih faqet 10</w:t>
      </w:r>
      <w:r w:rsidR="00EA1248">
        <w:rPr>
          <w:rFonts w:ascii="Garamond" w:hAnsi="Garamond"/>
          <w:b w:val="0"/>
          <w:bCs/>
          <w:i/>
          <w:iCs/>
        </w:rPr>
        <w:t>–</w:t>
      </w:r>
      <w:r w:rsidRPr="00DB11AF">
        <w:rPr>
          <w:rFonts w:ascii="Garamond" w:hAnsi="Garamond"/>
          <w:b w:val="0"/>
          <w:bCs/>
          <w:i/>
          <w:iCs/>
        </w:rPr>
        <w:t>11, paragrafët 24</w:t>
      </w:r>
      <w:r w:rsidR="00EA1248">
        <w:rPr>
          <w:rFonts w:ascii="Garamond" w:hAnsi="Garamond"/>
          <w:b w:val="0"/>
          <w:bCs/>
          <w:i/>
          <w:iCs/>
        </w:rPr>
        <w:t>–</w:t>
      </w:r>
      <w:r w:rsidRPr="00DB11AF">
        <w:rPr>
          <w:rFonts w:ascii="Garamond" w:hAnsi="Garamond"/>
          <w:b w:val="0"/>
          <w:bCs/>
          <w:i/>
          <w:iCs/>
        </w:rPr>
        <w:t>25</w:t>
      </w:r>
      <w:r w:rsidR="0042245C">
        <w:rPr>
          <w:rFonts w:ascii="Garamond" w:hAnsi="Garamond"/>
          <w:b w:val="0"/>
          <w:bCs/>
          <w:i/>
          <w:iCs/>
        </w:rPr>
        <w:t>,</w:t>
      </w:r>
      <w:r w:rsidRPr="00DB11AF">
        <w:rPr>
          <w:rFonts w:ascii="Garamond" w:hAnsi="Garamond"/>
          <w:b w:val="0"/>
          <w:bCs/>
          <w:i/>
          <w:iCs/>
        </w:rPr>
        <w:t xml:space="preserve"> të vendimit nr. 00-2023-1151, datë 3.7.2023</w:t>
      </w:r>
      <w:r w:rsidR="00EA1248">
        <w:rPr>
          <w:rFonts w:ascii="Garamond" w:hAnsi="Garamond"/>
          <w:b w:val="0"/>
          <w:bCs/>
          <w:i/>
          <w:iCs/>
        </w:rPr>
        <w:t>,</w:t>
      </w:r>
      <w:r w:rsidRPr="00DB11AF">
        <w:rPr>
          <w:rFonts w:ascii="Garamond" w:hAnsi="Garamond"/>
          <w:b w:val="0"/>
          <w:bCs/>
          <w:i/>
          <w:iCs/>
        </w:rPr>
        <w:t xml:space="preserve"> të Kolegjit Penal të Gjykatës së Lartë).</w:t>
      </w:r>
    </w:p>
    <w:p w14:paraId="6D56FC07" w14:textId="0318EC75"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42. Në analizë të masave të ndërmarra nga organi i ndjekjes penale për qëllime të përmbushjes së detyrimeve që përcakton aspekti procedural i nenit 21 të Kushtetutës dhe nenit 2 të KEDNJ-së, vendimit të këtij organi për pushimin e procedimit penal, si dhe vendimeve të gjykatave të zakonshme, Gjykata vlerëson se, në përputhje me detyrimet e përcaktuara nga Kushtetuta dhe KEDNJ-ja për qëllime të garantimit të aspektit procedural të së drejtës së jetës së J.</w:t>
      </w:r>
      <w:r w:rsidR="00EA1248">
        <w:rPr>
          <w:rFonts w:ascii="Garamond" w:hAnsi="Garamond"/>
          <w:b w:val="0"/>
          <w:bCs/>
        </w:rPr>
        <w:t xml:space="preserve"> </w:t>
      </w:r>
      <w:r w:rsidRPr="00DB11AF">
        <w:rPr>
          <w:rFonts w:ascii="Garamond" w:hAnsi="Garamond"/>
          <w:b w:val="0"/>
          <w:bCs/>
        </w:rPr>
        <w:t>K., qasja e mbajtur nga organi i prokurorisë nuk rezulton të mos ketë pasur një linjë të qartë hetimi në lidhje me ngjarjen për qëllime të përcaktimit të shkaqeve që kanë çuar J.</w:t>
      </w:r>
      <w:r w:rsidR="00EA1248">
        <w:rPr>
          <w:rFonts w:ascii="Garamond" w:hAnsi="Garamond"/>
          <w:b w:val="0"/>
          <w:bCs/>
        </w:rPr>
        <w:t xml:space="preserve"> </w:t>
      </w:r>
      <w:r w:rsidRPr="00DB11AF">
        <w:rPr>
          <w:rFonts w:ascii="Garamond" w:hAnsi="Garamond"/>
          <w:b w:val="0"/>
          <w:bCs/>
        </w:rPr>
        <w:t>K. në vetëvrasje dhe procesi hetimor, në tërësinë e tij, nuk rezulton në cenim të garancive procedurale që parashikojnë neni 21 i Kushtetutës dhe neni 2 i KEDNJ-së. Organi i ndjekjes penale ka vendosur pushimin e procedimit penal, për shkak se nuk ka rezultuar që persona konkretë, me veprime ose mosveprime të drejtpërdrejta, me dashje të tërthortë ose nga pakujdesia të kenë shkaktuar ose lejuar, në kundërshtim me detyrën, ardhjen e pasojës, hedhjen nga lartësia të shtetasit J.</w:t>
      </w:r>
      <w:r w:rsidR="00EA1248">
        <w:rPr>
          <w:rFonts w:ascii="Garamond" w:hAnsi="Garamond"/>
          <w:b w:val="0"/>
          <w:bCs/>
        </w:rPr>
        <w:t xml:space="preserve"> </w:t>
      </w:r>
      <w:r w:rsidRPr="00DB11AF">
        <w:rPr>
          <w:rFonts w:ascii="Garamond" w:hAnsi="Garamond"/>
          <w:b w:val="0"/>
          <w:bCs/>
        </w:rPr>
        <w:t xml:space="preserve">K. </w:t>
      </w:r>
    </w:p>
    <w:p w14:paraId="3D0F86B0" w14:textId="051A408E"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 xml:space="preserve">43. Po kështu, Gjykata vëren se pretendimet e kërkuesit në këtë drejtim janë marrë në shqyrtim nga gjykatat e zakonshme, të cilat i kanë analizuar ato përkundrejt veprimeve të ndërmarra nga organi i ndjekjes penale, duke dhënë përgjigje të arsyetuar për qëndrimet e mbajtura prej tyre. Në kuadër të këtij vlerësimi, Gjykata çmon se nuk qëndrojnë as pretendimet e kërkuesit për shkeljet procedurale në gjykimin në shkallë të dytë lidhur me njoftimin. Realizimi i njoftimit nuk përbën qëllim në vetvete, por shërben si garanci për ushtrimin e së drejtës së mbrojtjes, si dhe është në funksion të parimit të barazisë së armëve dhe kontradiktoritetit në gjykim. Në kushtet kur ankimi ndaj vendimit të gjykatës së rrethit është ushtruar nga kërkuesi, në të cilin ka parashtruar pretendimet e tij, si dhe nuk rezulton të jenë paraqitur prapësime në lidhje me të nga ana e prokurorisë, Gjykata çmon se moskryerja e njoftimit me shpallje për datën e gjykimit të çështjes në gjykatën e apelit nuk e ka vënë kërkuesin në pamundësi objektive për të ushtruar të drejtat e tij ose në kushte të pabarabarta me organin e ndjekjes penale. Për më tepër, parashikimet e KPP-së përcaktojnë qartë afatin ligjor brenda të cilit gjykata ka detyrimin për marrjen në shqyrtim të ankimit. </w:t>
      </w:r>
    </w:p>
    <w:p w14:paraId="17AEE861" w14:textId="254BFD90"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44. Në vlerësim tërësor të rrethanave dhe fakteve, Gjykata arrin në përfundimin</w:t>
      </w:r>
      <w:r w:rsidRPr="00DB11AF">
        <w:rPr>
          <w:rFonts w:ascii="Garamond" w:hAnsi="Garamond"/>
        </w:rPr>
        <w:t xml:space="preserve"> </w:t>
      </w:r>
      <w:r w:rsidRPr="00DB11AF">
        <w:rPr>
          <w:rFonts w:ascii="Garamond" w:hAnsi="Garamond"/>
          <w:b w:val="0"/>
          <w:bCs/>
        </w:rPr>
        <w:t>se qëndrimet e këtyre gjykatave nuk rezultojnë në cenim të parashikimeve kushtetuese dhe konventore që garantojnë të drejtën e jetës në aspektin procedural.</w:t>
      </w:r>
    </w:p>
    <w:p w14:paraId="2C158DEF" w14:textId="35EB80E8"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45. Në kushtet kur, për sa më lart, Gjykata çmoi se prokuroria dhe gjykatat kanë vepruar në përputhje me detyrimet që përcaktojnë Kushtetuta dhe KEDNJ-ja, Gjykata vlerëson se pretendimi i kërkuesit për cenimin e së drejtës së jetës së të birit, për shkak të mungesës së hetimeve të plota dhe efektive nga organet e ndjekjes penale, është i pabazuar.</w:t>
      </w:r>
    </w:p>
    <w:p w14:paraId="51F2C23F" w14:textId="3C344B3C" w:rsidR="00DB11AF" w:rsidRPr="00DB11AF" w:rsidRDefault="00DB11AF" w:rsidP="00DB11AF">
      <w:pPr>
        <w:pStyle w:val="BodyTextIndent2"/>
        <w:tabs>
          <w:tab w:val="left" w:pos="1080"/>
        </w:tabs>
        <w:spacing w:line="240" w:lineRule="auto"/>
        <w:ind w:left="0" w:firstLine="284"/>
        <w:rPr>
          <w:rFonts w:ascii="Garamond" w:hAnsi="Garamond"/>
          <w:b w:val="0"/>
          <w:bCs/>
        </w:rPr>
      </w:pPr>
      <w:r w:rsidRPr="00DB11AF">
        <w:rPr>
          <w:rFonts w:ascii="Garamond" w:hAnsi="Garamond"/>
          <w:b w:val="0"/>
          <w:bCs/>
        </w:rPr>
        <w:t>46. Në përmbledhje të sa më sipër, Gjykata vlerëson se pretendimet e kërkuesit për cenimin e së drejtës së jetës në aspektin substancial, si rrjedhojë e mosmarrjes nga autoritetet ligjzbatuese të veprimeve për garantimin e së drejtës së jetës së të birit dhe mospërcaktimit të saktë të veprës penale të kryer, si dhe në aspektin procedural, si rrjedhojë e moskryerjes së hetimeve efektive për zbardhjen e rrethanave të ngjarjes dhe mosnjoftimit të tij për datën e gjykimit të çështjes në gjykatën e apelit, janë të pabazuara.</w:t>
      </w:r>
    </w:p>
    <w:p w14:paraId="6912BC1B" w14:textId="023BE19F" w:rsidR="00DB11AF" w:rsidRPr="00DB11AF" w:rsidRDefault="00DB11AF" w:rsidP="00DB11AF">
      <w:pPr>
        <w:pStyle w:val="ListParagraph"/>
        <w:tabs>
          <w:tab w:val="left" w:pos="1080"/>
        </w:tabs>
        <w:spacing w:line="240" w:lineRule="auto"/>
        <w:ind w:left="0" w:firstLine="284"/>
        <w:jc w:val="both"/>
        <w:rPr>
          <w:rFonts w:ascii="Garamond" w:hAnsi="Garamond"/>
        </w:rPr>
      </w:pPr>
      <w:r w:rsidRPr="00DB11AF">
        <w:rPr>
          <w:rFonts w:ascii="Garamond" w:hAnsi="Garamond"/>
        </w:rPr>
        <w:t>47. Në përfundim, Gjykata çmon se kërkesa nuk është e bazuar, sipas arsyetimit të mësipërm të këtij vendimi, ndaj dhe nuk duhet pranuar.</w:t>
      </w:r>
    </w:p>
    <w:p w14:paraId="0EC7541E" w14:textId="77777777" w:rsidR="00DB11AF" w:rsidRPr="00DB11AF" w:rsidRDefault="00DB11AF" w:rsidP="00DB11AF">
      <w:pPr>
        <w:pStyle w:val="ListParagraph"/>
        <w:tabs>
          <w:tab w:val="left" w:pos="720"/>
          <w:tab w:val="left" w:pos="1080"/>
          <w:tab w:val="left" w:pos="2160"/>
        </w:tabs>
        <w:spacing w:line="240" w:lineRule="auto"/>
        <w:ind w:left="0" w:firstLine="284"/>
        <w:jc w:val="both"/>
        <w:rPr>
          <w:rFonts w:ascii="Garamond" w:hAnsi="Garamond"/>
        </w:rPr>
      </w:pPr>
    </w:p>
    <w:p w14:paraId="0FF2C37D" w14:textId="7884E135" w:rsidR="00DB11AF" w:rsidRPr="00DB11AF" w:rsidRDefault="00DB11AF" w:rsidP="00DB11AF">
      <w:pPr>
        <w:spacing w:line="240" w:lineRule="auto"/>
        <w:ind w:firstLine="284"/>
        <w:jc w:val="center"/>
        <w:rPr>
          <w:rFonts w:ascii="Garamond" w:hAnsi="Garamond"/>
          <w:bCs/>
        </w:rPr>
      </w:pPr>
      <w:r w:rsidRPr="00DB11AF">
        <w:rPr>
          <w:rFonts w:ascii="Garamond" w:hAnsi="Garamond"/>
          <w:bCs/>
        </w:rPr>
        <w:t>PËR KËTO ARSYE,</w:t>
      </w:r>
    </w:p>
    <w:p w14:paraId="1CC0A10C" w14:textId="77777777" w:rsidR="00DB11AF" w:rsidRPr="00DB11AF" w:rsidRDefault="00DB11AF" w:rsidP="00DB11AF">
      <w:pPr>
        <w:spacing w:line="240" w:lineRule="auto"/>
        <w:ind w:firstLine="284"/>
        <w:jc w:val="center"/>
        <w:rPr>
          <w:rFonts w:ascii="Garamond" w:hAnsi="Garamond"/>
        </w:rPr>
      </w:pPr>
    </w:p>
    <w:p w14:paraId="6F425BEA" w14:textId="7AAEB056" w:rsidR="00DB11AF" w:rsidRPr="004D21F6" w:rsidRDefault="00DB11AF" w:rsidP="00DB11AF">
      <w:pPr>
        <w:pStyle w:val="JuPara"/>
        <w:rPr>
          <w:rFonts w:ascii="Garamond" w:hAnsi="Garamond"/>
          <w:szCs w:val="24"/>
          <w:lang w:val="sq-AL"/>
        </w:rPr>
      </w:pPr>
      <w:r w:rsidRPr="004D21F6">
        <w:rPr>
          <w:rFonts w:ascii="Garamond" w:hAnsi="Garamond"/>
          <w:szCs w:val="24"/>
          <w:lang w:val="sq-AL"/>
        </w:rPr>
        <w:t>Gjykata Kushtetuese, në mbështetje të neneve 131, pika 1, shkronja “f” dhe 134, pika 1, shkronja “i”, të Kushtetutës, si dhe neneve 72 e vijues</w:t>
      </w:r>
      <w:r w:rsidR="00EA1248" w:rsidRPr="004D21F6">
        <w:rPr>
          <w:rFonts w:ascii="Garamond" w:hAnsi="Garamond"/>
          <w:szCs w:val="24"/>
          <w:lang w:val="sq-AL"/>
        </w:rPr>
        <w:t>,</w:t>
      </w:r>
      <w:r w:rsidRPr="004D21F6">
        <w:rPr>
          <w:rFonts w:ascii="Garamond" w:hAnsi="Garamond"/>
          <w:szCs w:val="24"/>
          <w:lang w:val="sq-AL"/>
        </w:rPr>
        <w:t xml:space="preserve"> të ligjit nr. 8577, datë 10.2.2000</w:t>
      </w:r>
      <w:r w:rsidR="00EA1248" w:rsidRPr="004D21F6">
        <w:rPr>
          <w:rFonts w:ascii="Garamond" w:hAnsi="Garamond"/>
          <w:szCs w:val="24"/>
          <w:lang w:val="sq-AL"/>
        </w:rPr>
        <w:t>,</w:t>
      </w:r>
      <w:r w:rsidRPr="004D21F6">
        <w:rPr>
          <w:rFonts w:ascii="Garamond" w:hAnsi="Garamond"/>
          <w:szCs w:val="24"/>
          <w:lang w:val="sq-AL"/>
        </w:rPr>
        <w:t xml:space="preserve"> “Për organizimin dhe funksionimin e Gjykatës Kushtetuese të Republikës së Shqipërisë”, të ndryshuar, me shumicë votash,</w:t>
      </w:r>
    </w:p>
    <w:p w14:paraId="5FCD011D" w14:textId="77777777" w:rsidR="00DB11AF" w:rsidRPr="00DB11AF" w:rsidRDefault="00DB11AF" w:rsidP="00DB11AF">
      <w:pPr>
        <w:spacing w:line="240" w:lineRule="auto"/>
        <w:ind w:firstLine="284"/>
        <w:rPr>
          <w:rFonts w:ascii="Garamond" w:hAnsi="Garamond"/>
          <w:b/>
          <w:bCs/>
        </w:rPr>
      </w:pPr>
    </w:p>
    <w:p w14:paraId="56B09EF5" w14:textId="7533A519" w:rsidR="00DB11AF" w:rsidRPr="00DB11AF" w:rsidRDefault="00DB11AF" w:rsidP="00DB11AF">
      <w:pPr>
        <w:spacing w:line="240" w:lineRule="auto"/>
        <w:ind w:firstLine="284"/>
        <w:jc w:val="center"/>
        <w:rPr>
          <w:rFonts w:ascii="Garamond" w:hAnsi="Garamond"/>
          <w:bCs/>
        </w:rPr>
      </w:pPr>
      <w:r w:rsidRPr="00DB11AF">
        <w:rPr>
          <w:rFonts w:ascii="Garamond" w:hAnsi="Garamond"/>
          <w:bCs/>
        </w:rPr>
        <w:t>VENDOSI:</w:t>
      </w:r>
    </w:p>
    <w:p w14:paraId="00F8DD50" w14:textId="77777777" w:rsidR="00DB11AF" w:rsidRPr="00DB11AF" w:rsidRDefault="00DB11AF" w:rsidP="00DB11AF">
      <w:pPr>
        <w:spacing w:line="240" w:lineRule="auto"/>
        <w:ind w:firstLine="284"/>
        <w:jc w:val="center"/>
        <w:rPr>
          <w:rFonts w:ascii="Garamond" w:hAnsi="Garamond"/>
          <w:b/>
          <w:bCs/>
        </w:rPr>
      </w:pPr>
    </w:p>
    <w:p w14:paraId="50CF0CA5" w14:textId="77777777" w:rsidR="00DB11AF" w:rsidRPr="00DB11AF" w:rsidRDefault="00DB11AF" w:rsidP="00DB11AF">
      <w:pPr>
        <w:tabs>
          <w:tab w:val="left" w:pos="720"/>
        </w:tabs>
        <w:spacing w:line="240" w:lineRule="auto"/>
        <w:ind w:firstLine="284"/>
        <w:jc w:val="both"/>
        <w:rPr>
          <w:rFonts w:ascii="Garamond" w:hAnsi="Garamond"/>
        </w:rPr>
      </w:pPr>
      <w:r w:rsidRPr="00DB11AF">
        <w:rPr>
          <w:rFonts w:ascii="Garamond" w:hAnsi="Garamond"/>
        </w:rPr>
        <w:t xml:space="preserve">1.  Rrëzimin e kërkesës. </w:t>
      </w:r>
    </w:p>
    <w:p w14:paraId="32250882" w14:textId="35A00B34" w:rsidR="00DB11AF" w:rsidRPr="00DB11AF" w:rsidRDefault="00DB11AF" w:rsidP="00DB11AF">
      <w:pPr>
        <w:tabs>
          <w:tab w:val="left" w:pos="720"/>
        </w:tabs>
        <w:spacing w:line="240" w:lineRule="auto"/>
        <w:ind w:firstLine="284"/>
        <w:jc w:val="both"/>
        <w:rPr>
          <w:rFonts w:ascii="Garamond" w:hAnsi="Garamond"/>
        </w:rPr>
      </w:pPr>
      <w:r w:rsidRPr="00DB11AF">
        <w:rPr>
          <w:rFonts w:ascii="Garamond" w:hAnsi="Garamond"/>
        </w:rPr>
        <w:t xml:space="preserve"> Ky vendim është përfundimtar dhe hyn në fuqi ditën e botimit në Fletoren Zyrtare.  </w:t>
      </w:r>
    </w:p>
    <w:p w14:paraId="602AA2DA" w14:textId="77777777" w:rsidR="002F0E86" w:rsidRDefault="002F0E86" w:rsidP="00DB11AF">
      <w:pPr>
        <w:tabs>
          <w:tab w:val="left" w:pos="720"/>
        </w:tabs>
        <w:spacing w:line="240" w:lineRule="auto"/>
        <w:ind w:firstLine="284"/>
        <w:jc w:val="both"/>
        <w:rPr>
          <w:rFonts w:ascii="Garamond" w:hAnsi="Garamond"/>
          <w:b/>
          <w:bCs/>
        </w:rPr>
      </w:pPr>
    </w:p>
    <w:p w14:paraId="51C432A6" w14:textId="34865E1A" w:rsidR="00DB11AF" w:rsidRPr="00DB11AF" w:rsidRDefault="00DB11AF" w:rsidP="00DB11AF">
      <w:pPr>
        <w:tabs>
          <w:tab w:val="left" w:pos="720"/>
        </w:tabs>
        <w:spacing w:line="240" w:lineRule="auto"/>
        <w:ind w:firstLine="284"/>
        <w:jc w:val="both"/>
        <w:rPr>
          <w:rFonts w:ascii="Garamond" w:hAnsi="Garamond"/>
          <w:b/>
          <w:bCs/>
        </w:rPr>
      </w:pPr>
      <w:r w:rsidRPr="00DB11AF">
        <w:rPr>
          <w:rFonts w:ascii="Garamond" w:hAnsi="Garamond"/>
          <w:b/>
          <w:bCs/>
        </w:rPr>
        <w:t>Marrë</w:t>
      </w:r>
      <w:r w:rsidR="00EA1248">
        <w:rPr>
          <w:rFonts w:ascii="Garamond" w:hAnsi="Garamond"/>
          <w:b/>
          <w:bCs/>
        </w:rPr>
        <w:t>,</w:t>
      </w:r>
      <w:r w:rsidRPr="00DB11AF">
        <w:rPr>
          <w:rFonts w:ascii="Garamond" w:hAnsi="Garamond"/>
          <w:b/>
          <w:bCs/>
        </w:rPr>
        <w:t xml:space="preserve"> më 20.6.2024</w:t>
      </w:r>
      <w:r w:rsidR="00EA1248">
        <w:rPr>
          <w:rFonts w:ascii="Garamond" w:hAnsi="Garamond"/>
          <w:b/>
          <w:bCs/>
        </w:rPr>
        <w:t>.</w:t>
      </w:r>
    </w:p>
    <w:p w14:paraId="6ED7F8D2" w14:textId="21D4EB48" w:rsidR="00DB11AF" w:rsidRDefault="00DB11AF" w:rsidP="00DB11AF">
      <w:pPr>
        <w:tabs>
          <w:tab w:val="left" w:pos="720"/>
        </w:tabs>
        <w:spacing w:line="240" w:lineRule="auto"/>
        <w:ind w:firstLine="284"/>
        <w:jc w:val="both"/>
        <w:rPr>
          <w:rFonts w:ascii="Garamond" w:hAnsi="Garamond"/>
          <w:b/>
          <w:bCs/>
        </w:rPr>
      </w:pPr>
      <w:r w:rsidRPr="00DB11AF">
        <w:rPr>
          <w:rFonts w:ascii="Garamond" w:hAnsi="Garamond"/>
          <w:b/>
          <w:bCs/>
        </w:rPr>
        <w:t>Shpallur</w:t>
      </w:r>
      <w:r w:rsidR="00EA1248">
        <w:rPr>
          <w:rFonts w:ascii="Garamond" w:hAnsi="Garamond"/>
          <w:b/>
          <w:bCs/>
        </w:rPr>
        <w:t>,</w:t>
      </w:r>
      <w:r w:rsidRPr="00DB11AF">
        <w:rPr>
          <w:rFonts w:ascii="Garamond" w:hAnsi="Garamond"/>
          <w:b/>
          <w:bCs/>
        </w:rPr>
        <w:t xml:space="preserve"> më 19.7.2024</w:t>
      </w:r>
      <w:r w:rsidR="00EA1248">
        <w:rPr>
          <w:rFonts w:ascii="Garamond" w:hAnsi="Garamond"/>
          <w:b/>
          <w:bCs/>
        </w:rPr>
        <w:t>.</w:t>
      </w:r>
    </w:p>
    <w:p w14:paraId="1F942C06" w14:textId="77777777" w:rsidR="00DB11AF" w:rsidRPr="00DB11AF" w:rsidRDefault="00DB11AF" w:rsidP="00DB11AF">
      <w:pPr>
        <w:tabs>
          <w:tab w:val="left" w:pos="720"/>
        </w:tabs>
        <w:spacing w:line="240" w:lineRule="auto"/>
        <w:ind w:firstLine="284"/>
        <w:jc w:val="both"/>
        <w:rPr>
          <w:rFonts w:ascii="Garamond" w:hAnsi="Garamond"/>
          <w:bCs/>
        </w:rPr>
      </w:pPr>
    </w:p>
    <w:p w14:paraId="6E718D6B" w14:textId="07BB8F72" w:rsidR="00DB11AF" w:rsidRPr="00EA1248" w:rsidRDefault="00DB11AF" w:rsidP="00DB11AF">
      <w:pPr>
        <w:pStyle w:val="BodyTextIndent2"/>
        <w:tabs>
          <w:tab w:val="left" w:pos="1080"/>
        </w:tabs>
        <w:spacing w:line="240" w:lineRule="auto"/>
        <w:ind w:left="0" w:firstLine="284"/>
        <w:rPr>
          <w:rFonts w:ascii="Garamond" w:hAnsi="Garamond"/>
          <w:b w:val="0"/>
          <w:bCs/>
        </w:rPr>
      </w:pPr>
      <w:r w:rsidRPr="00EA1248">
        <w:rPr>
          <w:rFonts w:ascii="Garamond" w:hAnsi="Garamond"/>
        </w:rPr>
        <w:t>Kryetare</w:t>
      </w:r>
      <w:r w:rsidRPr="00EA1248">
        <w:rPr>
          <w:rFonts w:ascii="Garamond" w:hAnsi="Garamond"/>
          <w:b w:val="0"/>
        </w:rPr>
        <w:t>:</w:t>
      </w:r>
      <w:r w:rsidRPr="00EA1248">
        <w:rPr>
          <w:rFonts w:ascii="Garamond" w:hAnsi="Garamond"/>
          <w:b w:val="0"/>
          <w:bCs/>
        </w:rPr>
        <w:t xml:space="preserve"> Holta Zaçaj (</w:t>
      </w:r>
      <w:r w:rsidR="00EA1248" w:rsidRPr="00EA1248">
        <w:rPr>
          <w:rFonts w:ascii="Garamond" w:hAnsi="Garamond"/>
          <w:b w:val="0"/>
          <w:bCs/>
        </w:rPr>
        <w:t>k</w:t>
      </w:r>
      <w:r w:rsidRPr="00EA1248">
        <w:rPr>
          <w:rFonts w:ascii="Garamond" w:hAnsi="Garamond"/>
          <w:b w:val="0"/>
          <w:bCs/>
        </w:rPr>
        <w:t>undër)</w:t>
      </w:r>
    </w:p>
    <w:p w14:paraId="6B723E20" w14:textId="752D0A94" w:rsidR="005E7E2C" w:rsidRDefault="00DB11AF" w:rsidP="005E7E2C">
      <w:pPr>
        <w:pStyle w:val="BodyTextIndent2"/>
        <w:tabs>
          <w:tab w:val="left" w:pos="1080"/>
        </w:tabs>
        <w:spacing w:line="240" w:lineRule="auto"/>
        <w:ind w:left="0" w:firstLine="284"/>
        <w:rPr>
          <w:rFonts w:ascii="Garamond" w:hAnsi="Garamond"/>
          <w:b w:val="0"/>
          <w:bCs/>
        </w:rPr>
      </w:pPr>
      <w:r w:rsidRPr="00EA1248">
        <w:rPr>
          <w:rFonts w:ascii="Garamond" w:hAnsi="Garamond"/>
        </w:rPr>
        <w:t>Anëtarë</w:t>
      </w:r>
      <w:r w:rsidRPr="00EA1248">
        <w:rPr>
          <w:rFonts w:ascii="Garamond" w:hAnsi="Garamond"/>
          <w:b w:val="0"/>
        </w:rPr>
        <w:t xml:space="preserve">: </w:t>
      </w:r>
      <w:r w:rsidRPr="00EA1248">
        <w:rPr>
          <w:rFonts w:ascii="Garamond" w:hAnsi="Garamond"/>
          <w:b w:val="0"/>
          <w:bCs/>
        </w:rPr>
        <w:t>Fiona Papajorgji, Marsida Xhaferllari, Ilir Toska, Sandër Beci, Elsa Toska, Marjana Semini</w:t>
      </w:r>
      <w:bookmarkStart w:id="0" w:name="_GoBack"/>
      <w:bookmarkEnd w:id="0"/>
    </w:p>
    <w:p w14:paraId="4B41EFA4" w14:textId="1A23E5AB" w:rsidR="005E7E2C" w:rsidRPr="00EA1248" w:rsidRDefault="005E7E2C" w:rsidP="005E7E2C">
      <w:pPr>
        <w:pStyle w:val="BodyTextIndent2"/>
        <w:tabs>
          <w:tab w:val="left" w:pos="1080"/>
        </w:tabs>
        <w:spacing w:line="240" w:lineRule="auto"/>
        <w:ind w:left="0" w:firstLine="284"/>
        <w:rPr>
          <w:rFonts w:ascii="Garamond" w:hAnsi="Garamond"/>
          <w:b w:val="0"/>
          <w:bCs/>
        </w:rPr>
      </w:pPr>
      <w:r w:rsidRPr="00EA1248">
        <w:rPr>
          <w:rFonts w:ascii="Garamond" w:hAnsi="Garamond"/>
        </w:rPr>
        <w:t>Anëtar</w:t>
      </w:r>
      <w:r w:rsidRPr="00EA1248">
        <w:rPr>
          <w:rFonts w:ascii="Garamond" w:hAnsi="Garamond"/>
          <w:b w:val="0"/>
        </w:rPr>
        <w:t xml:space="preserve"> </w:t>
      </w:r>
      <w:r w:rsidRPr="00EA1248">
        <w:rPr>
          <w:rFonts w:ascii="Garamond" w:hAnsi="Garamond"/>
        </w:rPr>
        <w:t>kundër</w:t>
      </w:r>
      <w:r w:rsidRPr="00EA1248">
        <w:rPr>
          <w:rFonts w:ascii="Garamond" w:hAnsi="Garamond"/>
          <w:b w:val="0"/>
        </w:rPr>
        <w:t xml:space="preserve">: </w:t>
      </w:r>
      <w:r w:rsidRPr="00EA1248">
        <w:rPr>
          <w:rFonts w:ascii="Garamond" w:hAnsi="Garamond"/>
          <w:b w:val="0"/>
          <w:bCs/>
        </w:rPr>
        <w:t>Sonila Bejtja, Genti Ibrahimi</w:t>
      </w:r>
    </w:p>
    <w:p w14:paraId="2E23EF6C" w14:textId="77777777" w:rsidR="00DB11AF" w:rsidRPr="00DB11AF" w:rsidRDefault="00DB11AF" w:rsidP="00DB11AF">
      <w:pPr>
        <w:pStyle w:val="BodyTextIndent2"/>
        <w:tabs>
          <w:tab w:val="left" w:pos="1080"/>
        </w:tabs>
        <w:spacing w:line="240" w:lineRule="auto"/>
        <w:ind w:left="0" w:firstLine="284"/>
        <w:rPr>
          <w:rFonts w:ascii="Garamond" w:hAnsi="Garamond"/>
        </w:rPr>
      </w:pPr>
    </w:p>
    <w:p w14:paraId="786E207A" w14:textId="77777777" w:rsidR="00DB11AF" w:rsidRPr="00DB11AF" w:rsidRDefault="00DB11AF" w:rsidP="00DB11AF">
      <w:pPr>
        <w:spacing w:line="240" w:lineRule="auto"/>
        <w:ind w:firstLine="284"/>
        <w:jc w:val="center"/>
        <w:rPr>
          <w:rFonts w:ascii="Garamond" w:hAnsi="Garamond"/>
          <w:bCs/>
        </w:rPr>
      </w:pPr>
      <w:r w:rsidRPr="00DB11AF">
        <w:rPr>
          <w:rFonts w:ascii="Garamond" w:hAnsi="Garamond"/>
          <w:bCs/>
        </w:rPr>
        <w:t>MENDIM PAKICE</w:t>
      </w:r>
    </w:p>
    <w:p w14:paraId="33E0E23B" w14:textId="77777777" w:rsidR="00DB11AF" w:rsidRPr="00DB11AF" w:rsidRDefault="00DB11AF" w:rsidP="00DB11AF">
      <w:pPr>
        <w:spacing w:line="240" w:lineRule="auto"/>
        <w:ind w:firstLine="284"/>
        <w:jc w:val="center"/>
        <w:rPr>
          <w:rFonts w:ascii="Garamond" w:hAnsi="Garamond"/>
          <w:b/>
          <w:bCs/>
        </w:rPr>
      </w:pPr>
    </w:p>
    <w:p w14:paraId="5553B94A" w14:textId="7C5DEF9A"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DB11AF">
        <w:rPr>
          <w:rFonts w:ascii="Garamond" w:hAnsi="Garamond"/>
        </w:rPr>
        <w:t xml:space="preserve">1. Në gjykimin kushtetues të çështjes që i përket kërkuesit Shaban Kapllanaj, me objekt shfuqizimin e vendimeve gjyqësore që kanë vendosur rrëzimin e ankimeve të tij ndaj vendimit të Prokurorisë së Tiranës për pushimin e procedimit penal të nisur në lidhje me ngjarjen ku ka gjetur vdekjen i biri, jemi kundër vendimit të shumicës për rrëzimin e kërkesës, pasi vlerësojmë që ajo duhej të ishte pranuar, për shkak se pretendimet e kërkuesit ishin të bazuara. Në mbështetje të nenit 132, pika 3, të Kushtetutës dhe nenit 72, pika 8, të ligjit nr. 8577/2000, që parashikojnë publikimin e mendimit të pakicës së bashku me vendimin përfundimtar të Gjykatës, parashtrojmë në vijim argumentet që mbështesin qëndrimin tonë kundër. </w:t>
      </w:r>
    </w:p>
    <w:p w14:paraId="07F82D25" w14:textId="0A904943"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DB11AF">
        <w:rPr>
          <w:rFonts w:ascii="Garamond" w:hAnsi="Garamond"/>
        </w:rPr>
        <w:t xml:space="preserve">2. E drejta e çdo personi për jetën garantohet nga neni 21 i Kushtetutës dhe neni 2, pika 1, i KEDNJ-së. Në jurisprudencën e saj në lidhje me këtë të drejtë Gjykata ka theksuar se jeta njerëzore, duke u konsideruar e tillë që nga fillimi i saj, bëhet një vlerë mbi të gjitha vlerat e tjera që mbrohet nga Kushtetuta. Ky është edhe qëllimi i Kushtetutës sonë, i cili del që në Preambulën e saj, si dhe në mjaft dispozita të tjera </w:t>
      </w:r>
      <w:r w:rsidRPr="00DB11AF">
        <w:rPr>
          <w:rFonts w:ascii="Garamond" w:hAnsi="Garamond"/>
          <w:i/>
          <w:iCs/>
        </w:rPr>
        <w:t>(shih vendimet nr. 42, datë 29.5.2024; nr. 65, datë 10.12.1999</w:t>
      </w:r>
      <w:r w:rsidR="00EA1248">
        <w:rPr>
          <w:rFonts w:ascii="Garamond" w:hAnsi="Garamond"/>
          <w:i/>
          <w:iCs/>
        </w:rPr>
        <w:t>,</w:t>
      </w:r>
      <w:r w:rsidRPr="00DB11AF">
        <w:rPr>
          <w:rFonts w:ascii="Garamond" w:hAnsi="Garamond"/>
          <w:i/>
          <w:iCs/>
        </w:rPr>
        <w:t xml:space="preserve"> të Gjykatës Kushtetuese)</w:t>
      </w:r>
      <w:r w:rsidRPr="00DB11AF">
        <w:rPr>
          <w:rFonts w:ascii="Garamond" w:hAnsi="Garamond"/>
        </w:rPr>
        <w:t xml:space="preserve">. </w:t>
      </w:r>
    </w:p>
    <w:p w14:paraId="56E88F13" w14:textId="133C11E6"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DB11AF">
        <w:rPr>
          <w:rFonts w:ascii="Garamond" w:hAnsi="Garamond"/>
        </w:rPr>
        <w:t xml:space="preserve">3. Ashtu si edhe shumica ka vënë në dukje në vendim, si dhe siç është elaboruar gjerësisht nga GJEDNJ-ja, kjo e drejtë përmban dy aspekte, aspektin substancial, i cili kërkon marrjen e masave nga autoritetet shtetërore për garantimin e saj, si dhe atë procedural, i cili kërkon kryerjen e hetimeve efektive për zbardhjen e rrethanave që çojnë në cenimin e kësaj të drejte, si dhe ndëshkimin e autorëve. Ndonëse jurisprudenca e Gjykatës nuk është e gjerë për sa i takon trajtimit të aspektit substancial të kësaj të drejte, theksojmë se ajo është elaboruar gjerësisht nga GJEDNJ-ja. Kështu, në kuadër të këtij aspekti, GJEDNJ-ja ka theksuar detyrimin e shtetit për marrjen e masave për miratimin e kuadrit të duhur ligjor dhe administrativ për parandalimin e kryerjes së krimeve kundër personit, e përforcuar kjo përmes ekzistencës së organeve ligjzbatuese që kanë si qëllim parandalimin, frenimin dhe ndëshkimin e cenimit të këtij neni të KEDNJ-së </w:t>
      </w:r>
      <w:r w:rsidRPr="00DB11AF">
        <w:rPr>
          <w:rFonts w:ascii="Garamond" w:hAnsi="Garamond"/>
          <w:i/>
          <w:iCs/>
        </w:rPr>
        <w:t>(shih Makaratzis kundër Greqisë [DHM], datë 20.12.2004, § 57)</w:t>
      </w:r>
      <w:r w:rsidRPr="00DB11AF">
        <w:rPr>
          <w:rFonts w:ascii="Garamond" w:hAnsi="Garamond"/>
        </w:rPr>
        <w:t xml:space="preserve">. </w:t>
      </w:r>
    </w:p>
    <w:p w14:paraId="32C5B34E" w14:textId="1D06C271"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DB11AF">
        <w:rPr>
          <w:rFonts w:ascii="Garamond" w:hAnsi="Garamond"/>
        </w:rPr>
        <w:t xml:space="preserve">4. Në lidhje me aspektin procedural, në jurisprudencën e saj Gjykata ka theksuar se për qëllime të garantimit të së drejtës së jetës, organi i ndjekjes penale duhet të kryejë hetime efektive për zbulimin e rrethanave të ngjarjes dhe autorit të saj, të cilat duhet të jenë, ndër të tjera, të plota, të paanshme dhe të kujdesshme. Pavarësisht se nuk përbën detyrim për arritjen e rezultatit, por për përdorimin e mjeteve, çdo mangësi në hetim, e cila rrezikon përcaktimin e rrethanave të çështjes ose personin përgjegjës, cenon standardin e efektivitetit. Kjo do të thotë se ai duhet të jetë në gjendje të vërtetojë faktet dhe, sipas rastit, të arrijë të identifikojë dhe ndëshkojë përgjegjësit. Hetimi merr një rëndësi edhe më të madh kur rezulton vdekja e viktimës, duke pasur parasysh faktin se qëllimi thelbësor i një hetimi të tillë është të sigurojë zbatimin efektiv të ligjeve vendase që mbrojnë të drejtën për jetën </w:t>
      </w:r>
      <w:r w:rsidRPr="00DB11AF">
        <w:rPr>
          <w:rFonts w:ascii="Garamond" w:hAnsi="Garamond"/>
          <w:i/>
          <w:iCs/>
        </w:rPr>
        <w:t>(shih vendimin nr. 42, datë 29.5.2024</w:t>
      </w:r>
      <w:r w:rsidR="00EA1248">
        <w:rPr>
          <w:rFonts w:ascii="Garamond" w:hAnsi="Garamond"/>
          <w:i/>
          <w:iCs/>
        </w:rPr>
        <w:t>,</w:t>
      </w:r>
      <w:r w:rsidRPr="00DB11AF">
        <w:rPr>
          <w:rFonts w:ascii="Garamond" w:hAnsi="Garamond"/>
          <w:i/>
          <w:iCs/>
        </w:rPr>
        <w:t xml:space="preserve"> të Gjykatës Kushtetuese)</w:t>
      </w:r>
      <w:r w:rsidRPr="00DB11AF">
        <w:rPr>
          <w:rFonts w:ascii="Garamond" w:hAnsi="Garamond"/>
        </w:rPr>
        <w:t xml:space="preserve">. </w:t>
      </w:r>
    </w:p>
    <w:p w14:paraId="657C8449" w14:textId="4E272ED8"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DB11AF">
        <w:rPr>
          <w:rFonts w:ascii="Garamond" w:hAnsi="Garamond"/>
        </w:rPr>
        <w:t xml:space="preserve">5. Në jurisprudencën e saj në këtë drejtim, GJEDNJ-ja ka mbajtur qëndrimin se për përcaktimin e shkaqeve që kanë çuar një individ në vetëvrasje, si dhe të personave përgjegjës, shtetet kanë detyrimin për marrjen e provave të nevojshme që hedhin dritë mbi faktet dhe rrethanat e ngjarjes, si dhe të analizimit të tyre në mënyrë objektive, pasi çdo mangësi në hetime për përcaktimin e këtyre shkaqeve rrezikon të jetë në kundërshtim me parashikimet e nenit 2 të KEDNJ-së </w:t>
      </w:r>
      <w:r w:rsidRPr="00DB11AF">
        <w:rPr>
          <w:rFonts w:ascii="Garamond" w:hAnsi="Garamond"/>
          <w:i/>
          <w:iCs/>
        </w:rPr>
        <w:t>(shih  S.</w:t>
      </w:r>
      <w:r w:rsidR="00EA1248">
        <w:rPr>
          <w:rFonts w:ascii="Garamond" w:hAnsi="Garamond"/>
          <w:i/>
          <w:iCs/>
        </w:rPr>
        <w:t xml:space="preserve"> </w:t>
      </w:r>
      <w:r w:rsidRPr="00DB11AF">
        <w:rPr>
          <w:rFonts w:ascii="Garamond" w:hAnsi="Garamond"/>
          <w:i/>
          <w:iCs/>
        </w:rPr>
        <w:t>P. kundër Zvicrës, datë 30.6.2020, §§ 116</w:t>
      </w:r>
      <w:r w:rsidR="00EA1248">
        <w:rPr>
          <w:rFonts w:ascii="Garamond" w:hAnsi="Garamond"/>
          <w:i/>
          <w:iCs/>
        </w:rPr>
        <w:t>–</w:t>
      </w:r>
      <w:r w:rsidRPr="00DB11AF">
        <w:rPr>
          <w:rFonts w:ascii="Garamond" w:hAnsi="Garamond"/>
          <w:i/>
          <w:iCs/>
        </w:rPr>
        <w:t>121)</w:t>
      </w:r>
      <w:r w:rsidRPr="00DB11AF">
        <w:rPr>
          <w:rFonts w:ascii="Garamond" w:hAnsi="Garamond"/>
        </w:rPr>
        <w:t xml:space="preserve">. Për këtë qëllim, autoritetet hetimore duhet të veprojnë me nismë të tyre që në momentin që çështja u është sjellë në vëmendje </w:t>
      </w:r>
      <w:r w:rsidRPr="00DB11AF">
        <w:rPr>
          <w:rFonts w:ascii="Garamond" w:hAnsi="Garamond"/>
          <w:i/>
          <w:iCs/>
        </w:rPr>
        <w:t>(shih Boychenko kundër Rusisë, datë 12.10.2021, § 97)</w:t>
      </w:r>
      <w:r w:rsidRPr="00DB11AF">
        <w:rPr>
          <w:rFonts w:ascii="Garamond" w:hAnsi="Garamond"/>
        </w:rPr>
        <w:t xml:space="preserve">.  </w:t>
      </w:r>
    </w:p>
    <w:p w14:paraId="74EBD343" w14:textId="4F130167"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DB11AF">
        <w:rPr>
          <w:rFonts w:ascii="Garamond" w:hAnsi="Garamond"/>
        </w:rPr>
        <w:t>6. Në jurisprudencën e saj Gjykata ka theksuar, gjithashtu, se neni 21 i Kushtetutës dhe neni 2 i KEDNJ-së nuk imponojnë një detyrim për autoritetet hetuese për të përmbushur çdo kërkesë për veprime të caktuara hetimore të bërë nga një i afërm gjatë hetimit</w:t>
      </w:r>
      <w:r w:rsidRPr="00DB11AF">
        <w:rPr>
          <w:rFonts w:ascii="Garamond" w:hAnsi="Garamond"/>
          <w:i/>
          <w:iCs/>
        </w:rPr>
        <w:t xml:space="preserve"> (shih vendimin nr. 42, datë 29.5.2024</w:t>
      </w:r>
      <w:r w:rsidR="00EA1248">
        <w:rPr>
          <w:rFonts w:ascii="Garamond" w:hAnsi="Garamond"/>
          <w:i/>
          <w:iCs/>
        </w:rPr>
        <w:t>,</w:t>
      </w:r>
      <w:r w:rsidRPr="00DB11AF">
        <w:rPr>
          <w:rFonts w:ascii="Garamond" w:hAnsi="Garamond"/>
          <w:i/>
          <w:iCs/>
        </w:rPr>
        <w:t xml:space="preserve"> të Gjykatës Kushtetuese)</w:t>
      </w:r>
      <w:r w:rsidRPr="00DB11AF">
        <w:rPr>
          <w:rFonts w:ascii="Garamond" w:hAnsi="Garamond"/>
        </w:rPr>
        <w:t xml:space="preserve">. Megjithatë, sipas GJEDNJ-së, duke mbajtur parasysh edhe realitetin praktik të veprimtarisë hetimore, autoritetet duhet të bëjnë të gjitha përpjekjet e arsyeshme për mbledhjen e menjëhershme të provave, me qëllim shmangien ose minimizimin e çdo rreziku që mosmarrja e tyre mund të shkaktojë në vendosjen përpara përgjegjësisë të personave përgjegjës. Një detyrim i tillë vazhdon të veprojë deri në momentin e qartësimit të natyrës së përgjegjësisë dhe autoritetet janë të bindura se nuk ka bazë për kryerjen ose vijimin e hetimit penal </w:t>
      </w:r>
      <w:r w:rsidRPr="00DB11AF">
        <w:rPr>
          <w:rFonts w:ascii="Garamond" w:hAnsi="Garamond"/>
          <w:i/>
          <w:iCs/>
        </w:rPr>
        <w:t>(shih Boychenko kundër Rusisë, datë 12.10.2021, § 97)</w:t>
      </w:r>
      <w:r w:rsidRPr="00DB11AF">
        <w:rPr>
          <w:rFonts w:ascii="Garamond" w:hAnsi="Garamond"/>
        </w:rPr>
        <w:t xml:space="preserve">. </w:t>
      </w:r>
    </w:p>
    <w:p w14:paraId="16149D04" w14:textId="4C1118D9"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DB11AF">
        <w:rPr>
          <w:rFonts w:ascii="Garamond" w:hAnsi="Garamond"/>
        </w:rPr>
        <w:t xml:space="preserve">7. Po në këtë drejtim, GJEDNJ-ja ka theksuar se edhe mospërmendja e kërkesës së viktimës indirekte për marrjen e disa provave në vendimin e prokurorisë për mosfillimin e procedimit penal dhe mosshqyrtimi prej këtij organi të provave të kërkuara nga viktima përbën shkelje të detyrimit për hetime efektive, të parashikuar nga neni 2 i KEDNJ-së </w:t>
      </w:r>
      <w:r w:rsidRPr="00DB11AF">
        <w:rPr>
          <w:rFonts w:ascii="Garamond" w:hAnsi="Garamond"/>
          <w:i/>
          <w:iCs/>
        </w:rPr>
        <w:t>(shih  Vasîlca kundër Republikës së Moldavisë, datë 11.2.2014, §§ 32</w:t>
      </w:r>
      <w:r w:rsidR="00EA1248">
        <w:rPr>
          <w:rFonts w:ascii="Garamond" w:hAnsi="Garamond"/>
          <w:i/>
          <w:iCs/>
        </w:rPr>
        <w:t>–</w:t>
      </w:r>
      <w:r w:rsidRPr="00DB11AF">
        <w:rPr>
          <w:rFonts w:ascii="Garamond" w:hAnsi="Garamond"/>
          <w:i/>
          <w:iCs/>
        </w:rPr>
        <w:t>36)</w:t>
      </w:r>
      <w:r w:rsidRPr="00DB11AF">
        <w:rPr>
          <w:rFonts w:ascii="Garamond" w:hAnsi="Garamond"/>
        </w:rPr>
        <w:t>.</w:t>
      </w:r>
    </w:p>
    <w:p w14:paraId="2FD856AE" w14:textId="520918D3"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DB11AF">
        <w:rPr>
          <w:rFonts w:ascii="Garamond" w:hAnsi="Garamond"/>
        </w:rPr>
        <w:t>8. Në rastin konkret, në lidhje me garantimin e aspektit substancial të së drejtës së jetës së J.K., shumica, pasi ka analizuar parashikimet ligjore në lidhje me përgjegjësinë e autoriteteve ligjzbatuese të rendit dhe të sigurisë në aeroport, ka mbajtur qëndrimin se punonjësit e sigurisë private të aeroportit nuk mund të parashikonin qëllimet e të birit të kërkuesit pas hipjes së tij në pjesën sipër zyrave të kompanisë ajrore të aeroportit, ndaj nuk mund të përcaktonin rrezikun real e të menjëhershëm që i shkaktohej jetës së tij. Po sipas shumicës, autoritetet e sigurisë së aeroportit kanë ndërmarrë masa operacionale për të parandaluar ardhjen e pasojës, ndaj veprimet ose mosveprimet e tyre nuk rezultojnë në kundërshtim me detyrimet që përcaktojnë neni 21 i Kushtetutës dhe neni 2 i KEDNJ-së.</w:t>
      </w:r>
    </w:p>
    <w:p w14:paraId="19821BD8" w14:textId="1A69552A"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DB11AF">
        <w:rPr>
          <w:rFonts w:ascii="Garamond" w:hAnsi="Garamond"/>
        </w:rPr>
        <w:t>9. Në lidhje me aspektin procedural, shumica i ka vlerësuar të pabazuara pretendimet e kërkuesit për mungesën e hetimeve efektive për zbardhjen e rrethanave të ngjarjes. Sipas shumicës, në rastin konkret, në përputhje me detyrimet e përcaktuara nga Kushtetuta dhe KEDNJ-ja, qasja e mbajtur nga organi i prokurorisë nuk rezulton të mos ketë pasur një linjë të qartë hetimi për ngjarjen dhe pushimi i procedimit penal është vendosur për shkak se nuk ka rezultuar që persona konkretë, me veprime ose mosveprime të drejtpërdrejta, me dashje të tërthortë ose nga pakujdesia, të kenë shkaktuar ose lejuar, në kundërshtim me detyrën, ardhjen e pasojës. Po sipas shumicës, procesi hetimor, në tërësinë e tij, nuk rezulton në cenim të garancive procedurale që parashikojnë neni 21 i Kushtetutës dhe neni 2 i KEDNJ-së dhe pretendimet e kërkuesit në këtë drejtim janë marrë në shqyrtim nga gjykatat e zakonshme, të cilat kanë dhënë përgjigje të arsyetuar për qëndrimet e tyre.</w:t>
      </w:r>
    </w:p>
    <w:p w14:paraId="2F72DDA6" w14:textId="3245B249"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DB11AF">
        <w:rPr>
          <w:rFonts w:ascii="Garamond" w:hAnsi="Garamond"/>
        </w:rPr>
        <w:t>10. Në ndryshim nga shumica, ne, gjyqtarët në pakicë, vlerësojmë se hetimet e kryera nga organi i ndjekjes penale nuk kanë qenë efektive, të plota dhe të kujdesshme dhe nga ana e këtij organi nuk rezulton të jenë marrë të gjitha masat e nevojshme për zbardhjen e rrethanave të ngjarjes. Kështu, nga materialet e dosjes gjyqësore të administruar për qëllime të gjykimit kushtetues të çështjes, rezulton se në kërkesën drejtuar Gjykatës së Rrethit Gjyqësor Tiranë për kundërshtimin e vendimit të prokurorisë lidhur me pushimin e çështjes, kërkuesi ka pretenduar, ndër të tjera, se organi i akuzës nuk ka hetuar në lidhje me personat me të cilët kërkuesi kishte udhëtuar në avion gjatë kthimit nga shteti gjerman, ndërsa e bija e kërkuesit dhe njëkohësisht motra e të ndjerit, e marrë në pyetje në cilësinë e personit që kishte dijeni për veprën penale, në lidhje me pyetjen nëse ajo ose familjarët e saj kishin dyshime të mundshme për arsyet që mund ta kenë shtyrë vëllain në vetëvrasje, ka deklaruar se  ai komunikonte shpesh në telefon me një person, prej nga mund të dilte arsyeja e vërtetë e vetëvrasjes, ndërsa në lidhje me pyetjen nëse  ka pasur probleme mjekësore gjatë jetës së tij, ka deklaruar se ai nuk kishte vuajtur nga ndonjë sëmundje, por ishte tip i mbyllur me familjen dhe  shoqërinë.</w:t>
      </w:r>
    </w:p>
    <w:p w14:paraId="64ADFB46" w14:textId="31519379"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DB11AF">
        <w:rPr>
          <w:rFonts w:ascii="Garamond" w:hAnsi="Garamond"/>
        </w:rPr>
        <w:t>11. Ashtu siç theksuam edhe më sipër, aspekti procedural i nenit 2 të KEDNJ-së kërkon marrjen e masave për zbardhjen e rrethanave të ngjarjes, me qëllim që hetimet të jenë të plota dhe efektive. Në rastin konkret, ndonëse organi i ndjekjes penale rezulton të ketë marrë disa masa për zbulimin e rrethanave të ngjarjes, nuk rezulton të ketë hetuar për shkaqet ose faktorët që mund të kenë shtyrë të birin e kërkuesit në vetëvrasje, ndonëse qartazi rezulton të jetë vënë në dijeni për mundësinë e ekzistencës së tyre nga motra e të ndjerit. Po kështu, nuk rezulton të jenë pyetur në cilësinë e dëshmitarit familjarët e të ndjerit, me qëllim që të hidhej dritë mbi gjendjen psikologjike të tij përpara dhe pas ngjarjes; nuk rezulton të jetë këqyrur telefoni i viktimës, pavarësisht se e motra ka bërë me dije që prej tij mund të rezultojnë fakte dhe rrethana në lidhje me ngjarjen; nuk rezulton të jenë marrë nga kompanitë telefonike tabulatet e komunikimit të viktimës gjatë asaj periudhe; nuk rezulton të jetë hetuar rreth gjendjes mendore të viktimës për shkaqet e largimit të saj për në Gjermani ose për personat me të cilët  mund të jetë takuar atje. Për më tepër, nuk rezulton të jenë bërë hetime në drejtim të përcaktimit nëse mund të kishte elemente të veprave të tjera penale. Në vendimin e Prokurorisë së Tiranës nuk rezultojnë argumente për mosmarrjen e veprimeve të tilla hetimore.</w:t>
      </w:r>
    </w:p>
    <w:p w14:paraId="018DA1B2" w14:textId="2B597F47"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DB11AF">
        <w:rPr>
          <w:rFonts w:ascii="Garamond" w:hAnsi="Garamond"/>
        </w:rPr>
        <w:t xml:space="preserve">12. Në këndvështrim të sa më lart, pavarësisht se organi i akuzës  nuk ka detyrimin për të marrë në konsideratë çdo kërkesë të të afërmve të viktimës për kryerjen e veprimeve të caktuara hetimore, në kuadër të detyrimeve që vendos neni 2 i KEDNJ-së, në rastin konkret, vlerësojmë se nga ana e autoriteteve hetimore nuk rezulton të jenë marrë të gjitha provat e nevojshme që do të hidhnin dritë mbi ngjarjen dhe në vendimin për pushimin e procedimit penal nuk rezulton të jenë dhënë arsye për mosveprimin e tyre. Në këtë drejtim, ne, gjyqtarët në pakicë, vlerësojmë se verifikimi i tabulateve dhe i komunikimeve telefonike të të ndjerit përbënte një ndër veprimet bazë hetimore, që mund të kishte çuar edhe në zbardhjen e rrethanave të ngjarjes, duke u përmbushur në këtë mënyrë detyrimi kushtetues që neni 21 i Kushtetutës vendos mbi organet e ndjekjes penale për kryerjen e hetimeve efektive, të plota dhe të përshtatshme. Për më tepër, bazuar edhe në jurisprudencën e GJEDNJ-së </w:t>
      </w:r>
      <w:r w:rsidRPr="00DB11AF">
        <w:rPr>
          <w:rFonts w:ascii="Garamond" w:hAnsi="Garamond"/>
          <w:i/>
          <w:iCs/>
        </w:rPr>
        <w:t>(shih paragrafin 7 më sipër)</w:t>
      </w:r>
      <w:r w:rsidRPr="00DB11AF">
        <w:rPr>
          <w:rFonts w:ascii="Garamond" w:hAnsi="Garamond"/>
        </w:rPr>
        <w:t>, në kushtet kur rëndësia e tabulateve dhe komunikimeve telefonike të të ndjerit ishte sjellë në vëmendje të organit të prokurorisë edhe nga motra e të ndjerit, ky organ kishte detyrimin t’i merrte ato në shqyrtim, duke arsyetuar qëndrimin e vet në lidhje me këto prova.</w:t>
      </w:r>
    </w:p>
    <w:p w14:paraId="3180E768" w14:textId="46F3232F"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DB11AF">
        <w:rPr>
          <w:rFonts w:ascii="Garamond" w:hAnsi="Garamond"/>
        </w:rPr>
        <w:t>13. Në përfundim, vlerësojmë se për qëllime të garantimit të së drejtës për jetën të shtetasit J.</w:t>
      </w:r>
      <w:r w:rsidR="00EA1248">
        <w:rPr>
          <w:rFonts w:ascii="Garamond" w:hAnsi="Garamond"/>
        </w:rPr>
        <w:t xml:space="preserve"> </w:t>
      </w:r>
      <w:r w:rsidRPr="00DB11AF">
        <w:rPr>
          <w:rFonts w:ascii="Garamond" w:hAnsi="Garamond"/>
        </w:rPr>
        <w:t>K., organi i ndjekjes penale kishte detyrimin për marrjen e të gjitha masave të nevojshme për zbulimit e shkaqeve ose faktorëve që kanë çuar në cenimin e kësaj të drejte, pasi çdo mangësi në hetim, në drejtim të përcaktimit të rrethanave të çështjes dhe personit përgjegjës, ka cenuar standardin e efektivitetit të hetimit penal. Në rastin në shqyrtim, çmojmë se qasja e mbajtur nga organi i prokurorisë nuk rezulton të ketë qenë shteruese në drejtim të pistave të hetimit në lidhje me ngjarjen, ndaj vlerësojmë se, në kundërshtim me detyrimet që përcaktojnë neni 21 i Kushtetutës dhe neni 2 i KEDNJ-së, hetimi i organit të ndjekjes penale nuk ka qenë i plotë dhe efektiv. Në këto kushte, në ndryshim nga shumica, vlerësojmë se pretendimet e kërkuesit janë të bazuara, ndaj Gjykata duhej të kishte vendosur pranimin e kërkesës.</w:t>
      </w:r>
    </w:p>
    <w:p w14:paraId="393A4E09" w14:textId="5BFBBB70"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p>
    <w:p w14:paraId="63529246" w14:textId="0C761CE8" w:rsidR="00DB11AF" w:rsidRP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b/>
          <w:bCs/>
        </w:rPr>
      </w:pPr>
      <w:r w:rsidRPr="00EA1248">
        <w:rPr>
          <w:rFonts w:ascii="Garamond" w:hAnsi="Garamond"/>
          <w:b/>
        </w:rPr>
        <w:t>Kryetare</w:t>
      </w:r>
      <w:r w:rsidRPr="00DB11AF">
        <w:rPr>
          <w:rFonts w:ascii="Garamond" w:hAnsi="Garamond"/>
        </w:rPr>
        <w:t>:</w:t>
      </w:r>
      <w:r w:rsidRPr="00DB11AF">
        <w:rPr>
          <w:rFonts w:ascii="Garamond" w:hAnsi="Garamond"/>
          <w:b/>
        </w:rPr>
        <w:t xml:space="preserve"> </w:t>
      </w:r>
      <w:r w:rsidRPr="00EA1248">
        <w:rPr>
          <w:rFonts w:ascii="Garamond" w:hAnsi="Garamond"/>
          <w:bCs/>
        </w:rPr>
        <w:t>Holta Zaçaj</w:t>
      </w:r>
    </w:p>
    <w:p w14:paraId="2A3FB4C4" w14:textId="1E7D7312" w:rsidR="00DB11AF" w:rsidRPr="00EA1248" w:rsidRDefault="00DB11AF" w:rsidP="00DB11AF">
      <w:pPr>
        <w:tabs>
          <w:tab w:val="left" w:pos="720"/>
          <w:tab w:val="left" w:pos="980"/>
          <w:tab w:val="left" w:pos="1080"/>
          <w:tab w:val="left" w:pos="1340"/>
          <w:tab w:val="left" w:pos="1440"/>
        </w:tabs>
        <w:spacing w:line="240" w:lineRule="auto"/>
        <w:ind w:firstLine="284"/>
        <w:jc w:val="both"/>
        <w:rPr>
          <w:rFonts w:ascii="Garamond" w:hAnsi="Garamond"/>
        </w:rPr>
      </w:pPr>
      <w:r w:rsidRPr="00EA1248">
        <w:rPr>
          <w:rFonts w:ascii="Garamond" w:hAnsi="Garamond"/>
          <w:b/>
        </w:rPr>
        <w:t>Anëtarë</w:t>
      </w:r>
      <w:r w:rsidRPr="00DB11AF">
        <w:rPr>
          <w:rFonts w:ascii="Garamond" w:hAnsi="Garamond"/>
        </w:rPr>
        <w:t xml:space="preserve">: </w:t>
      </w:r>
      <w:r w:rsidRPr="00EA1248">
        <w:rPr>
          <w:rFonts w:ascii="Garamond" w:hAnsi="Garamond"/>
          <w:bCs/>
        </w:rPr>
        <w:t>Genti Ibrahimi, Sonila Bejtja</w:t>
      </w:r>
    </w:p>
    <w:p w14:paraId="3F118739" w14:textId="77777777" w:rsidR="00DB11AF" w:rsidRDefault="00DB11AF" w:rsidP="00DB11AF">
      <w:pPr>
        <w:tabs>
          <w:tab w:val="left" w:pos="720"/>
          <w:tab w:val="left" w:pos="980"/>
          <w:tab w:val="left" w:pos="1080"/>
          <w:tab w:val="left" w:pos="1340"/>
          <w:tab w:val="left" w:pos="1440"/>
        </w:tabs>
        <w:spacing w:line="240" w:lineRule="auto"/>
        <w:ind w:firstLine="284"/>
        <w:jc w:val="both"/>
        <w:rPr>
          <w:rFonts w:ascii="Garamond" w:hAnsi="Garamond"/>
          <w:b/>
          <w:bCs/>
        </w:rPr>
      </w:pPr>
    </w:p>
    <w:p w14:paraId="6826DE87" w14:textId="77777777" w:rsidR="00DB11AF" w:rsidRPr="007B61A8" w:rsidRDefault="00DB11AF" w:rsidP="00DB11AF">
      <w:pPr>
        <w:spacing w:line="240" w:lineRule="auto"/>
        <w:ind w:firstLine="284"/>
        <w:jc w:val="center"/>
        <w:rPr>
          <w:rFonts w:ascii="Garamond" w:hAnsi="Garamond"/>
          <w:bCs/>
        </w:rPr>
      </w:pPr>
      <w:r w:rsidRPr="007B61A8">
        <w:rPr>
          <w:rFonts w:ascii="Garamond" w:hAnsi="Garamond"/>
          <w:bCs/>
        </w:rPr>
        <w:t>MENDIM PARALEL</w:t>
      </w:r>
    </w:p>
    <w:p w14:paraId="3633E24C" w14:textId="77777777" w:rsidR="00DB11AF" w:rsidRPr="00DB11AF" w:rsidRDefault="00DB11AF" w:rsidP="00DB11AF">
      <w:pPr>
        <w:spacing w:line="240" w:lineRule="auto"/>
        <w:ind w:firstLine="284"/>
        <w:rPr>
          <w:rFonts w:ascii="Garamond" w:hAnsi="Garamond"/>
        </w:rPr>
      </w:pPr>
    </w:p>
    <w:p w14:paraId="7F7D3DBF" w14:textId="091CCB8C"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1. Në gjykimin kushtetues të çështjes që i përket kërkuesit Shaban Kapllanaj, me objekt shfuqizimin e vendimeve nr. 1195 akti, datë 15.12.2017</w:t>
      </w:r>
      <w:r w:rsidR="00EA1248">
        <w:rPr>
          <w:rFonts w:ascii="Garamond" w:hAnsi="Garamond"/>
        </w:rPr>
        <w:t>,</w:t>
      </w:r>
      <w:r w:rsidRPr="00DB11AF">
        <w:rPr>
          <w:rFonts w:ascii="Garamond" w:hAnsi="Garamond"/>
        </w:rPr>
        <w:t xml:space="preserve"> të Gjykatës së Rrethit Gjyqësor Tiranë, nr. 183, datë 1.2.2018</w:t>
      </w:r>
      <w:r w:rsidR="00EA1248">
        <w:rPr>
          <w:rFonts w:ascii="Garamond" w:hAnsi="Garamond"/>
        </w:rPr>
        <w:t>,</w:t>
      </w:r>
      <w:r w:rsidRPr="00DB11AF">
        <w:rPr>
          <w:rFonts w:ascii="Garamond" w:hAnsi="Garamond"/>
        </w:rPr>
        <w:t xml:space="preserve"> të Gjykatës së Apelit Tiranë dhe nr. 00-2023-1151, datë 3.7.2023</w:t>
      </w:r>
      <w:r w:rsidR="00EA1248">
        <w:rPr>
          <w:rFonts w:ascii="Garamond" w:hAnsi="Garamond"/>
        </w:rPr>
        <w:t>,</w:t>
      </w:r>
      <w:r w:rsidRPr="00DB11AF">
        <w:rPr>
          <w:rFonts w:ascii="Garamond" w:hAnsi="Garamond"/>
        </w:rPr>
        <w:t xml:space="preserve"> të Kolegjit Penal të Gjykatës së Lartë, si të papajtueshëm me Kushtetutën, ndonëse ndaj të njëjtin qëndrim me shumicën për zgjidhjen e kësaj çështjeje, nuk pajtohem me linjën e arsyetimit të bërë prej saj. </w:t>
      </w:r>
    </w:p>
    <w:p w14:paraId="02B6B4D0" w14:textId="57F40BFF"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2. Në mënyrë të përmbledhur, nga rrethanat e çështjes, rezulton se kërkuesi është babai i të ndjerit J.</w:t>
      </w:r>
      <w:r w:rsidR="00EA1248">
        <w:rPr>
          <w:rFonts w:ascii="Garamond" w:hAnsi="Garamond"/>
        </w:rPr>
        <w:t xml:space="preserve"> </w:t>
      </w:r>
      <w:r w:rsidRPr="00DB11AF">
        <w:rPr>
          <w:rFonts w:ascii="Garamond" w:hAnsi="Garamond"/>
        </w:rPr>
        <w:t xml:space="preserve">K., i cili ka ndërruar jetë në datën 1.9.2016, duke u hedhur nga një lartësi në mjediset e brendshme të aeroportit “Nënë Tereza”, Tiranë. Për ngjarjen e ndodhur, mbi bazën e materialeve të referuara nga Policia Gjyqësore e Komisariatit të Policisë për Kufirin dhe Migracionin e aeroportit, Prokuroria e Tiranës ka regjistruar procedimin penal për veprën penale “Shkaktimi i vetëvrasjes”. Në përfundim të hetimeve, duke vlerësuar se nuk plotësoheshin elementet e veprës penale, organi i akuzës ka vendosur pushimin e procedimit penal. Vendimi i Prokurorisë së Tiranës është kundërshtuar </w:t>
      </w:r>
      <w:r w:rsidR="00EA1248" w:rsidRPr="00DB11AF">
        <w:rPr>
          <w:rFonts w:ascii="Garamond" w:hAnsi="Garamond"/>
        </w:rPr>
        <w:t>gjyqësish</w:t>
      </w:r>
      <w:r w:rsidRPr="00DB11AF">
        <w:rPr>
          <w:rFonts w:ascii="Garamond" w:hAnsi="Garamond"/>
        </w:rPr>
        <w:t xml:space="preserve"> nga kërkuesi, i cili ka pretenduar cenimin e së drejtës së jetës së të birit, si rrjedhojë e mosmarrjes së masave nga autoritetet ligjzbatuese të aeroportit për garantimin e saj, si dhe moskryerjen e hetimeve efektive nga ana e organit të ndjekjes penale për zbulimin e shkaqeve dhe rrethanave të ngjarjes. Në përfundim të shqyrtimit gjyqësor të çështjes, gjykatat e juridiksionit të zakonshëm, në thelb, e kanë vlerësuar të drejtë vendimin e Prokurorisë së Tiranës për pushimin e procedimit penal. Në këto kushte, kërkuesi i është drejtuar Gjykatës, duke kërkuar shfuqizimin si antikushtetues të vendimeve të gjykatave të juridiksionit të zakonshëm.</w:t>
      </w:r>
    </w:p>
    <w:p w14:paraId="36433CBF" w14:textId="00C4AD20"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3. Shumica ka vlerësuar të shqyrtojë çështjen në drejtim të së drejtës së jetës në dy aspektet e saj, konkretisht aspektin substancial dhe atë procedural. Pas analizës së kuadrit ligjor në fuqi dhe qëndrimit të GJEDNJ-së, në përfundim të shqyrtimit të çështjes, shumica, bazuar në vendimmarrjen e gjykatave të juridiksionit të zakonshëm (</w:t>
      </w:r>
      <w:r w:rsidRPr="00DB11AF">
        <w:rPr>
          <w:rFonts w:ascii="Garamond" w:hAnsi="Garamond"/>
          <w:i/>
          <w:iCs/>
        </w:rPr>
        <w:t>shih paragrafin 26 të vendimit</w:t>
      </w:r>
      <w:r w:rsidRPr="00DB11AF">
        <w:rPr>
          <w:rFonts w:ascii="Garamond" w:hAnsi="Garamond"/>
        </w:rPr>
        <w:t>), ka vlerësuar se, për sa i takon aspektit substancial, organet e policisë private të aeroportit “Nënë Tereza”, të ngarkuara sipas ligjit nr. 9312, datë 11.11.2004</w:t>
      </w:r>
      <w:r w:rsidR="00EA1248">
        <w:rPr>
          <w:rFonts w:ascii="Garamond" w:hAnsi="Garamond"/>
        </w:rPr>
        <w:t>,</w:t>
      </w:r>
      <w:r w:rsidRPr="00DB11AF">
        <w:rPr>
          <w:rFonts w:ascii="Garamond" w:hAnsi="Garamond"/>
        </w:rPr>
        <w:t xml:space="preserve"> “Për ndërtimin, vënien në punë, operimin dhe mirëmbajtjen e aeroportit ndërkombëtar “Nënë Tereza”, Tiranë dhe për dhënien e disa stimujve kësaj shoqërie koncesionare” me detyrimin për garantimin e rendit dhe të sigurisë në këtë aeroport, kanë marrë masa për mbrojtjen e së drejtës së jetës së shtetasit J.</w:t>
      </w:r>
      <w:r w:rsidR="00EA1248">
        <w:rPr>
          <w:rFonts w:ascii="Garamond" w:hAnsi="Garamond"/>
        </w:rPr>
        <w:t xml:space="preserve"> </w:t>
      </w:r>
      <w:r w:rsidRPr="00DB11AF">
        <w:rPr>
          <w:rFonts w:ascii="Garamond" w:hAnsi="Garamond"/>
        </w:rPr>
        <w:t xml:space="preserve">K., të birit të kërkuesit, dhe nuk rezultonte të kishin kryer veprime ose mosveprime në kundërshtim me detyrimet që përcaktojnë neni 21 i Kushtetutës dhe neni 2 i KEDNJ-së </w:t>
      </w:r>
      <w:r w:rsidRPr="00DB11AF">
        <w:rPr>
          <w:rFonts w:ascii="Garamond" w:hAnsi="Garamond"/>
          <w:i/>
          <w:iCs/>
        </w:rPr>
        <w:t>(shih paragrafin 27 të vendimit)</w:t>
      </w:r>
      <w:r w:rsidRPr="00DB11AF">
        <w:rPr>
          <w:rFonts w:ascii="Garamond" w:hAnsi="Garamond"/>
        </w:rPr>
        <w:t xml:space="preserve">. </w:t>
      </w:r>
    </w:p>
    <w:p w14:paraId="4C7E332C" w14:textId="08BFDA3C"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4. Po sipas shumicës, edhe për sa i përket aspektit procedural të së drejtës së jetës, qasja e mbajtur nga organi i prokurorisë kishte pasur një linjë të qartë hetimi në lidhje me ngjarjen për qëllime të përcaktimit të shkaqeve që kishin çuar J.</w:t>
      </w:r>
      <w:r w:rsidR="00EA1248">
        <w:rPr>
          <w:rFonts w:ascii="Garamond" w:hAnsi="Garamond"/>
        </w:rPr>
        <w:t xml:space="preserve"> </w:t>
      </w:r>
      <w:r w:rsidRPr="00DB11AF">
        <w:rPr>
          <w:rFonts w:ascii="Garamond" w:hAnsi="Garamond"/>
        </w:rPr>
        <w:t>K. në vetëvrasje dhe procesi hetimor, në tërësinë e tij, nuk rezultonte në cenim të garancive procedurale që parashikojnë neni 21 i Kushtetutës dhe neni 2 i KEDNJ-së. Organi i ndjekjes penale ka vendosur pushimin e procedimit penal, për shkak se nuk kishte rezultuar që persona konkretë, me veprime ose mosveprime të drejtpërdrejta, me dashje të tërthortë ose nga pakujdesia të kishin shkaktuar ose lejuar, në kundërshtim me detyrën, ardhjen e pasojës, hedhjen nga lartësia të shtetasit J.</w:t>
      </w:r>
      <w:r w:rsidR="00EA1248">
        <w:rPr>
          <w:rFonts w:ascii="Garamond" w:hAnsi="Garamond"/>
        </w:rPr>
        <w:t xml:space="preserve"> </w:t>
      </w:r>
      <w:r w:rsidRPr="00DB11AF">
        <w:rPr>
          <w:rFonts w:ascii="Garamond" w:hAnsi="Garamond"/>
        </w:rPr>
        <w:t xml:space="preserve">K. Në lidhje me mosnjoftimin me shpallje të kërkuesit për gjykimin e çështjes nga Gjykata e Apelit Tiranë, shumica ka vlerësuar se, në kushtet kur ankimi ndaj vendimit të gjykatës së rrethit është ushtruar nga kërkuesi, në të cilin ai ka parashtruar pretendimet e tij, si dhe nuk janë paraqitur prapësime në lidhje me të nga ana e prokurorisë, moskryerja e njoftimit me shpallje për datën e gjykimit të çështjes në gjykatën e apelit nuk e ka vënë kërkuesin në pamundësi objektive për të ushtruar të drejtat e tij ose në kushte të pabarabarta me organin e ndjekjes penale. Për më tepër, parashikimet e KPP-së përcaktojnë qartë afatin ligjor brenda të cilit gjykata ka detyrimin për marrjen në shqyrtim të ankimit </w:t>
      </w:r>
      <w:r w:rsidRPr="00DB11AF">
        <w:rPr>
          <w:rFonts w:ascii="Garamond" w:hAnsi="Garamond"/>
          <w:i/>
          <w:iCs/>
        </w:rPr>
        <w:t>(shih paragrafët  42</w:t>
      </w:r>
      <w:r w:rsidR="00EA1248">
        <w:rPr>
          <w:rFonts w:ascii="Garamond" w:hAnsi="Garamond"/>
          <w:i/>
          <w:iCs/>
        </w:rPr>
        <w:t>–</w:t>
      </w:r>
      <w:r w:rsidRPr="00DB11AF">
        <w:rPr>
          <w:rFonts w:ascii="Garamond" w:hAnsi="Garamond"/>
          <w:i/>
          <w:iCs/>
        </w:rPr>
        <w:t>43 të vendimit)</w:t>
      </w:r>
      <w:r w:rsidRPr="00DB11AF">
        <w:rPr>
          <w:rFonts w:ascii="Garamond" w:hAnsi="Garamond"/>
        </w:rPr>
        <w:t xml:space="preserve">. </w:t>
      </w:r>
    </w:p>
    <w:p w14:paraId="207DE9EA" w14:textId="0CE31099"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 xml:space="preserve">5. Në parantezë, bashkohem me qëndrimin e shumicës se e drejta e jetës, e parashikuar në nenin 21 i Kushtetutës dhe nenin 2, pika 1, të KEDNJ-së, konsiderohet si një ndër vlerat themelore të mbrojtura nga Kushtetuta </w:t>
      </w:r>
      <w:r w:rsidRPr="00DB11AF">
        <w:rPr>
          <w:rFonts w:ascii="Garamond" w:hAnsi="Garamond"/>
          <w:i/>
          <w:iCs/>
        </w:rPr>
        <w:t>(shih vendimet nr. 42, datë 29.5.2024; nr. 65, datë 10.12.1999</w:t>
      </w:r>
      <w:r w:rsidR="00EA1248">
        <w:rPr>
          <w:rFonts w:ascii="Garamond" w:hAnsi="Garamond"/>
          <w:i/>
          <w:iCs/>
        </w:rPr>
        <w:t>,</w:t>
      </w:r>
      <w:r w:rsidRPr="00DB11AF">
        <w:rPr>
          <w:rFonts w:ascii="Garamond" w:hAnsi="Garamond"/>
          <w:i/>
          <w:iCs/>
        </w:rPr>
        <w:t xml:space="preserve"> të Gjykatës Kushtetuese)</w:t>
      </w:r>
      <w:r w:rsidRPr="00DB11AF">
        <w:rPr>
          <w:rFonts w:ascii="Garamond" w:hAnsi="Garamond"/>
        </w:rPr>
        <w:t xml:space="preserve"> dhe në këtë kuptim shteti ka detyrimin për marrjen e masave për garantimin e kësaj të drejte substanciale. Megjithatë, sikurse jam shprehur edhe më parë (</w:t>
      </w:r>
      <w:r w:rsidRPr="00DB11AF">
        <w:rPr>
          <w:rFonts w:ascii="Garamond" w:hAnsi="Garamond"/>
          <w:i/>
          <w:iCs/>
        </w:rPr>
        <w:t>shih mendimin e pakicës në vendimin nr. 53, datë 31.10.2023</w:t>
      </w:r>
      <w:r w:rsidR="00EA1248">
        <w:rPr>
          <w:rFonts w:ascii="Garamond" w:hAnsi="Garamond"/>
          <w:i/>
          <w:iCs/>
        </w:rPr>
        <w:t>,</w:t>
      </w:r>
      <w:r w:rsidRPr="00DB11AF">
        <w:rPr>
          <w:rFonts w:ascii="Garamond" w:hAnsi="Garamond"/>
          <w:i/>
          <w:iCs/>
        </w:rPr>
        <w:t xml:space="preserve"> të Gjykatës Kushtetuese</w:t>
      </w:r>
      <w:r w:rsidRPr="00DB11AF">
        <w:rPr>
          <w:rFonts w:ascii="Garamond" w:hAnsi="Garamond"/>
        </w:rPr>
        <w:t>), mendoj se vlerësimi i të drejtave substanciale nuk duhet të shndërrohet në qëllim në vetvete dhe t’i hapë rrugë shqyrtimit të tyre në çdo rast, pasi përbën tejkalim të kufijve të shqyrtimit të çështjes jashtë objektit të kërkesës dhe shkaqeve të parashtruara në të (</w:t>
      </w:r>
      <w:r w:rsidRPr="00DB11AF">
        <w:rPr>
          <w:rFonts w:ascii="Garamond" w:hAnsi="Garamond"/>
          <w:i/>
          <w:iCs/>
        </w:rPr>
        <w:t>shih nenin 48</w:t>
      </w:r>
      <w:r w:rsidR="00EA1248">
        <w:rPr>
          <w:rFonts w:ascii="Garamond" w:hAnsi="Garamond"/>
          <w:i/>
          <w:iCs/>
        </w:rPr>
        <w:t>,</w:t>
      </w:r>
      <w:r w:rsidRPr="00DB11AF">
        <w:rPr>
          <w:rFonts w:ascii="Garamond" w:hAnsi="Garamond"/>
          <w:i/>
          <w:iCs/>
        </w:rPr>
        <w:t xml:space="preserve"> të ligjit nr. 8577/2000</w:t>
      </w:r>
      <w:r w:rsidRPr="00DB11AF">
        <w:rPr>
          <w:rFonts w:ascii="Garamond" w:hAnsi="Garamond"/>
        </w:rPr>
        <w:t xml:space="preserve">). </w:t>
      </w:r>
    </w:p>
    <w:p w14:paraId="19838210" w14:textId="6717B271"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 xml:space="preserve">6. Në vlerësimin tim, ndryshe nga shumica, çmoj se pretendimet e kërkuesit duhej të ishin trajtuar në drejtim të vlerësimit të cenimit të së drejtës së jetës të lidhur me të drejtën e procesit të rregullt ligjor, në këndvështrim të standardit të arsyetimit të vendimit gjyqësor. Në këtë kuptim duhej analizuar qëndrimi i mbajtur nga organet e përfshira në garantimin e së drejtës së jetës, në rastin konkret, Prokuroria e Tiranës dhe gjykatat e juridiksionit të zakonshëm, në ushtrim të funksioneve të tyre respektive për zbulimin e fakteve dhe rrethanave të ngjarjes, si dhe dhënies së drejtësisë. </w:t>
      </w:r>
    </w:p>
    <w:p w14:paraId="6521614C" w14:textId="211C8AD4"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7. Në mbështetje të qasjes sime, theksoj se në kërkesën drejtuar Gjykatës dhe në  argumentet e parashtruara, kërkuesi, në cilësinë e viktimës indirekte, ka pretenduar cenimin e së drejtës së jetës së të birit, si rrjedhojë e vendimit të Prokurorisë së Tiranës për pushimin e procedimit penal dhe vendimmarrjeve të gjykatave të zakonshme që kanë rrëzuar ankimet e tij kundër vendimit të prokurorisë, pa bërë ndonjë diferencim për aspektin substancial dhe aspektin procedural të saj, siç ka zgjedhur të bëjë shumica. Me fjalë të tjera, pavarësisht se në thelb të pretendimeve të kërkuesit është cenimi i së drejtës së jetës, argumentet e tij kanë të bëjnë me faktin se organi i ndjekjes penale nuk ka kryer hetime efektive në drejtim të zbardhjes së rrethanave të ngjarjes ku ka gjetur vdekjen i biri. Kërkuesi nuk ka pretenduar cenimin e së drejtës së jetës në mënyrë autonome dhe të pavarur nga procesi dhe aq më pak nuk e ka lidhur atë me faktin e vlerësuar nga shumica nëse aeroporti “Nënë Tereza” përfshihet në zonat ku ruajtja e rendit dhe sigurisë i nënshtrohen mbikëqyrjes së posaçme të organeve ligjzbatuese dhe nëse këto organe kishin mundësi të parashikonin ardhjen e pasojës, me qëllim marrjen e masave parandaluese për shmangien e saj (</w:t>
      </w:r>
      <w:r w:rsidRPr="00DB11AF">
        <w:rPr>
          <w:rFonts w:ascii="Garamond" w:hAnsi="Garamond"/>
          <w:i/>
          <w:iCs/>
        </w:rPr>
        <w:t>shih paragrafin 20 të vendimit</w:t>
      </w:r>
      <w:r w:rsidRPr="00DB11AF">
        <w:rPr>
          <w:rFonts w:ascii="Garamond" w:hAnsi="Garamond"/>
        </w:rPr>
        <w:t>). Për më tepër, edhe vetë shumica, në arritjen e përfundimeve të saj për aspektin substancial të së drejtës së jetës, i është referuar arsyetimit të vendimeve gjyqësore (</w:t>
      </w:r>
      <w:r w:rsidRPr="00DB11AF">
        <w:rPr>
          <w:rFonts w:ascii="Garamond" w:hAnsi="Garamond"/>
          <w:i/>
          <w:iCs/>
        </w:rPr>
        <w:t>shih paragrafin 26 të vendimit</w:t>
      </w:r>
      <w:r w:rsidRPr="00DB11AF">
        <w:rPr>
          <w:rFonts w:ascii="Garamond" w:hAnsi="Garamond"/>
        </w:rPr>
        <w:t xml:space="preserve">). </w:t>
      </w:r>
    </w:p>
    <w:p w14:paraId="4C9E975F" w14:textId="7E007207"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 xml:space="preserve">8. Bazuar në këto konsiderata, ashtu siç edhe GJEDNJ-ja ka pranuar, procesi penal përfshin edhe fazën paragjykimore, konkretisht atë të hetimeve paraprake. Megjithatë, ajo çka paraqet rëndësi të veçantë për GJEDNJ-në është faza e shqyrtimit gjyqësor dhe vlerësimi nëse procesi në tërësinë e tij ka qenë i rregullt </w:t>
      </w:r>
      <w:r w:rsidRPr="00DB11AF">
        <w:rPr>
          <w:rFonts w:ascii="Garamond" w:hAnsi="Garamond"/>
          <w:i/>
          <w:iCs/>
        </w:rPr>
        <w:t>(shih Helmers kundër Suedisë, nr. 11826/85, 29.10.1991, § 39; Edwards kundër Mbretërisë së Bashkuar, nr. 13071/87, datë 16.12.1992, § 34; Dombo-Beheer B.</w:t>
      </w:r>
      <w:r w:rsidR="00EA1248">
        <w:rPr>
          <w:rFonts w:ascii="Garamond" w:hAnsi="Garamond"/>
          <w:i/>
          <w:iCs/>
        </w:rPr>
        <w:t xml:space="preserve"> </w:t>
      </w:r>
      <w:r w:rsidRPr="00DB11AF">
        <w:rPr>
          <w:rFonts w:ascii="Garamond" w:hAnsi="Garamond"/>
          <w:i/>
          <w:iCs/>
        </w:rPr>
        <w:t>V. kundër Holandës, nr. 14448/88, datë 27.10.1993; Helle kundër Finlandës, nr. 157/1996/776/977, datë 19.12.1997, § 53)</w:t>
      </w:r>
      <w:r w:rsidRPr="00DB11AF">
        <w:rPr>
          <w:rFonts w:ascii="Garamond" w:hAnsi="Garamond"/>
        </w:rPr>
        <w:t xml:space="preserve">.  </w:t>
      </w:r>
    </w:p>
    <w:p w14:paraId="7B21ED87" w14:textId="25972D0A"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 xml:space="preserve">9. Po në të njëjtin drejtim, edhe në jurisprudencën e Gjykatës pretendimet e lidhura me fazën e hetimit penal janë marrë në shqyrtim në kontekst të procesit të rregull në tërësinë tij, duke theksuar se kur gjykatat e juridiksionit të zakonshëm ndodhen përpara pretendimeve dhe dyshimeve serioze faktike për veprime të paligjshme të organeve që procedojnë me ndjekjen penale, ato kanë detyrimin të ndërmarrin hapat e nevojshëm dhe të domosdoshëm për të kërkuar dhe sqaruar të gjitha rrethanat e çështjes </w:t>
      </w:r>
      <w:r w:rsidRPr="00DB11AF">
        <w:rPr>
          <w:rFonts w:ascii="Garamond" w:hAnsi="Garamond"/>
          <w:i/>
          <w:iCs/>
        </w:rPr>
        <w:t>(shih vendimet nr. 63, datë 20.11.2023; nr. 14, datë 3.5.2011</w:t>
      </w:r>
      <w:r w:rsidR="00EA1248">
        <w:rPr>
          <w:rFonts w:ascii="Garamond" w:hAnsi="Garamond"/>
          <w:i/>
          <w:iCs/>
        </w:rPr>
        <w:t>,</w:t>
      </w:r>
      <w:r w:rsidRPr="00DB11AF">
        <w:rPr>
          <w:rFonts w:ascii="Garamond" w:hAnsi="Garamond"/>
          <w:i/>
          <w:iCs/>
        </w:rPr>
        <w:t xml:space="preserve"> të Gjykatës Kushtetuese)</w:t>
      </w:r>
      <w:r w:rsidRPr="00DB11AF">
        <w:rPr>
          <w:rFonts w:ascii="Garamond" w:hAnsi="Garamond"/>
        </w:rPr>
        <w:t>.</w:t>
      </w:r>
    </w:p>
    <w:p w14:paraId="5FA241F6" w14:textId="65DCFABC"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 xml:space="preserve">10. Për sa u takon provave dhe fakteve ku janë bazuar gjykatat e juridiksionit të zakonshëm për zgjidhjen në themel të çështjes së kërkuesit, jurisprudenca kushtetuese ka pohuar se nuk është detyrë e Gjykatës t’i analizojë ato, pasi kjo mbetet detyrë funksionale e atyre gjykatave. Në aspektin e kontrollit kushtetues, Gjykata shqyrton dhe vlerëson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DB11AF">
        <w:rPr>
          <w:rFonts w:ascii="Garamond" w:hAnsi="Garamond"/>
          <w:i/>
          <w:iCs/>
        </w:rPr>
        <w:t>(shih vendimet nr. 31, datë  18.4.2024; nr. 30, datë 29.5.2023; nr. 33, datë 14.11.2022</w:t>
      </w:r>
      <w:r w:rsidR="00EA1248">
        <w:rPr>
          <w:rFonts w:ascii="Garamond" w:hAnsi="Garamond"/>
          <w:i/>
          <w:iCs/>
        </w:rPr>
        <w:t>,</w:t>
      </w:r>
      <w:r w:rsidRPr="00DB11AF">
        <w:rPr>
          <w:rFonts w:ascii="Garamond" w:hAnsi="Garamond"/>
          <w:i/>
          <w:iCs/>
        </w:rPr>
        <w:t xml:space="preserve"> të Gjykatës Kushtetuese)</w:t>
      </w:r>
      <w:r w:rsidRPr="00DB11AF">
        <w:rPr>
          <w:rFonts w:ascii="Garamond" w:hAnsi="Garamond"/>
        </w:rPr>
        <w:t>.</w:t>
      </w:r>
    </w:p>
    <w:p w14:paraId="6EC96630" w14:textId="00C87D43"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 xml:space="preserve">11. Duke mbajtur në vëmendje këto standarde, sikurse edhe shumica, vlerësoj se në rastin e kërkuesit, në analizë të fakteve dhe ligjit të zbatueshëm, gjykata e rrethit ka arsyetuar qëndrimin e saj për çështjen. Kështu, gjykata ka vlerësuar se nga ana e organit të ndjekjes penale ishin kryer të gjitha veprimet e nevojshme hetimore, të tilla si: këqyrja e vendit të ngjarjes, e viktimës dhe e sendeve të kësaj të fundit; pyetja e personave që kishin dijeni për rrethanat e hetimit; kryerja e ekspertimeve mjekoligjore, </w:t>
      </w:r>
      <w:r w:rsidRPr="00EA1248">
        <w:rPr>
          <w:rFonts w:ascii="Garamond" w:hAnsi="Garamond"/>
        </w:rPr>
        <w:t>teknikosinjalistike</w:t>
      </w:r>
      <w:r w:rsidRPr="00DB11AF">
        <w:rPr>
          <w:rFonts w:ascii="Garamond" w:hAnsi="Garamond"/>
        </w:rPr>
        <w:t xml:space="preserve"> dhe biologjike; marrja nga autoritetet ligjzbatuese e informacioneve të nevojshme, për sa i përket ruajtjes së sigurisë në vendin ku është ngjitur i ndjeri. Po kështu, në vendimin e këtij organi për pushimin e çështjes është dhënë përgjigje e arsyetuar, duke sqaruar me detaje veprimet ose mosveprimet e kryera. Në këto kushte, gjykata e rrethit ka konkluduar se hetimi kishte qenë i plotë e i gjithanshëm dhe se organi i prokurorisë kishte vepruar në konformitet të plotë me ligjin </w:t>
      </w:r>
      <w:r w:rsidRPr="00DB11AF">
        <w:rPr>
          <w:rFonts w:ascii="Garamond" w:hAnsi="Garamond"/>
          <w:i/>
          <w:iCs/>
        </w:rPr>
        <w:t>(shih paragrafin 35 të vendimit)</w:t>
      </w:r>
      <w:r w:rsidRPr="00DB11AF">
        <w:rPr>
          <w:rFonts w:ascii="Garamond" w:hAnsi="Garamond"/>
        </w:rPr>
        <w:t>.</w:t>
      </w:r>
    </w:p>
    <w:p w14:paraId="3F6227E3" w14:textId="0F20999E"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 xml:space="preserve">12. Vendimi i gjykatës së rrethit është vlerësuar i drejtë nga gjykata e apelit, e cila i ka dhënë përgjigje të arsyetuar kërkuesit edhe për pretendimet për kryerjen nga ana e organeve ligjzbatuese të veprës penale “Shpërdorimi i detyrës”, duke i gjetur ato të pabazuara. Në vijim, ligjshmëria e gjykatave të faktit i është nënshtruar kontrollit të Gjykatës së Lartë, e cila i ka vlerësuar ato në zbatim të drejtë të ligjit material e procedural. Po kështu, Gjykata e Lartë ka arsyetuar në vendimin e saj edhe në lidhje me pretendimet e kërkuesit për mosnjoftimin e tij me shpallje për gjykimin e çështjes në Gjykatën e Apelit Tiranë, si dhe për cenimin nga gjykatat e faktit të standardit të arsyetimit të vendimit gjyqësor </w:t>
      </w:r>
      <w:r w:rsidRPr="00DB11AF">
        <w:rPr>
          <w:rFonts w:ascii="Garamond" w:hAnsi="Garamond"/>
          <w:i/>
          <w:iCs/>
        </w:rPr>
        <w:t>(shih paragrafët 35</w:t>
      </w:r>
      <w:r w:rsidR="00EA1248">
        <w:rPr>
          <w:rFonts w:ascii="Garamond" w:hAnsi="Garamond"/>
          <w:i/>
          <w:iCs/>
        </w:rPr>
        <w:t>–</w:t>
      </w:r>
      <w:r w:rsidRPr="00DB11AF">
        <w:rPr>
          <w:rFonts w:ascii="Garamond" w:hAnsi="Garamond"/>
          <w:i/>
          <w:iCs/>
        </w:rPr>
        <w:t>41 të vendimit)</w:t>
      </w:r>
      <w:r w:rsidRPr="00DB11AF">
        <w:rPr>
          <w:rFonts w:ascii="Garamond" w:hAnsi="Garamond"/>
        </w:rPr>
        <w:t xml:space="preserve">. </w:t>
      </w:r>
    </w:p>
    <w:p w14:paraId="33A11166" w14:textId="6EDAA18F"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 xml:space="preserve">13. Nisur nga sa më lart, rezulton se gjykatat e zakonshme kanë arsyetuar qëndrimin e tyre për çështjen, duke dhënë përgjigje të argumentuara për pretendimet e ngritura nga kërkuesi edhe për fazën e hetimeve, ndaj vlerësoj se procesi gjyqësor, në tërësinë e tij, përfshirë edhe fazën e hetimit penal, nuk rezulton të ketë qenë i parregullt në këndvështrimin kushtetues. Pra, zbatimi i ligjit nga gjykatat e zakonshme nuk rezulton të ketë qenë arbitrar, në kuptimin që të bjerë ndesh haptazi me konceptin e gjykimit të drejtë, të përcaktuar në nenin 42 të Kushtetutës. Për rrjedhojë, ashtu siç edhe shumica ka arsyetuar, çmoj se pretendimi i kërkuesit për cenimin e së drejtës së jetës së të birit, si pasojë e procesit hetimor të zhvilluar nga Prokuroria e Tiranës dhe procesit gjyqësor të zhvilluar nga gjykatat e juridiksionit të zakonshëm për ngjarjen e ndodhur, nuk është i bazuar. </w:t>
      </w:r>
    </w:p>
    <w:p w14:paraId="4525390A" w14:textId="232097EB" w:rsidR="00DB11AF" w:rsidRPr="00DB11AF" w:rsidRDefault="00DB11AF" w:rsidP="00DB11AF">
      <w:pPr>
        <w:tabs>
          <w:tab w:val="left" w:pos="1080"/>
        </w:tabs>
        <w:spacing w:line="240" w:lineRule="auto"/>
        <w:ind w:firstLine="284"/>
        <w:jc w:val="both"/>
        <w:rPr>
          <w:rFonts w:ascii="Garamond" w:hAnsi="Garamond"/>
        </w:rPr>
      </w:pPr>
      <w:r w:rsidRPr="00DB11AF">
        <w:rPr>
          <w:rFonts w:ascii="Garamond" w:hAnsi="Garamond"/>
        </w:rPr>
        <w:t>14. Në përfundim, vlerësoj se kërkesa duhej të ishte rrëzuar, sipas arsyetimit të mësipërm.</w:t>
      </w:r>
    </w:p>
    <w:p w14:paraId="400A1D4F" w14:textId="77777777" w:rsidR="00DB11AF" w:rsidRPr="00DB11AF" w:rsidRDefault="00DB11AF" w:rsidP="00DB11AF">
      <w:pPr>
        <w:tabs>
          <w:tab w:val="left" w:pos="1080"/>
        </w:tabs>
        <w:spacing w:line="240" w:lineRule="auto"/>
        <w:ind w:firstLine="284"/>
        <w:jc w:val="both"/>
        <w:rPr>
          <w:rFonts w:ascii="Garamond" w:hAnsi="Garamond"/>
        </w:rPr>
      </w:pPr>
    </w:p>
    <w:p w14:paraId="5F133005" w14:textId="70B2036F" w:rsidR="00DB11AF" w:rsidRPr="00EA1248" w:rsidRDefault="007B61A8" w:rsidP="00DB11AF">
      <w:pPr>
        <w:tabs>
          <w:tab w:val="left" w:pos="1080"/>
        </w:tabs>
        <w:spacing w:line="240" w:lineRule="auto"/>
        <w:ind w:firstLine="284"/>
        <w:jc w:val="both"/>
        <w:rPr>
          <w:rFonts w:ascii="Garamond" w:hAnsi="Garamond"/>
        </w:rPr>
      </w:pPr>
      <w:r w:rsidRPr="00EA1248">
        <w:rPr>
          <w:rFonts w:ascii="Garamond" w:hAnsi="Garamond"/>
          <w:b/>
        </w:rPr>
        <w:t>Anëtar</w:t>
      </w:r>
      <w:r w:rsidR="00EA1248">
        <w:rPr>
          <w:rFonts w:ascii="Garamond" w:hAnsi="Garamond"/>
          <w:b/>
        </w:rPr>
        <w:t>e</w:t>
      </w:r>
      <w:r>
        <w:rPr>
          <w:rFonts w:ascii="Garamond" w:hAnsi="Garamond"/>
        </w:rPr>
        <w:t xml:space="preserve">: </w:t>
      </w:r>
      <w:r w:rsidRPr="00EA1248">
        <w:rPr>
          <w:rFonts w:ascii="Garamond" w:hAnsi="Garamond"/>
          <w:bCs/>
        </w:rPr>
        <w:t>Fiona Papajorgji</w:t>
      </w:r>
    </w:p>
    <w:sectPr w:rsidR="00DB11AF" w:rsidRPr="00EA1248" w:rsidSect="00683790">
      <w:footerReference w:type="first" r:id="rId13"/>
      <w:pgSz w:w="11906" w:h="16838"/>
      <w:pgMar w:top="630" w:right="1440" w:bottom="1980" w:left="1440" w:header="720" w:footer="61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DC6EA10" w16cex:dateUtc="2024-07-15T19:08:00Z"/>
  <w16cex:commentExtensible w16cex:durableId="559A4495" w16cex:dateUtc="2024-07-15T19:51: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10BA1D" w14:textId="77777777" w:rsidR="005E7E2C" w:rsidRDefault="005E7E2C" w:rsidP="009D6BFB">
      <w:pPr>
        <w:spacing w:line="240" w:lineRule="auto"/>
      </w:pPr>
      <w:r>
        <w:separator/>
      </w:r>
    </w:p>
  </w:endnote>
  <w:endnote w:type="continuationSeparator" w:id="0">
    <w:p w14:paraId="7D2B2FA4" w14:textId="77777777" w:rsidR="005E7E2C" w:rsidRDefault="005E7E2C" w:rsidP="009D6BFB">
      <w:pPr>
        <w:spacing w:line="240" w:lineRule="auto"/>
      </w:pPr>
      <w:r>
        <w:continuationSeparator/>
      </w:r>
    </w:p>
  </w:endnote>
  <w:endnote w:type="continuationNotice" w:id="1">
    <w:p w14:paraId="43A5EAC4" w14:textId="77777777" w:rsidR="005E7E2C" w:rsidRDefault="005E7E2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E8D860" w14:textId="77777777" w:rsidR="005E7E2C" w:rsidRDefault="005E7E2C">
    <w:pPr>
      <w:pStyle w:val="Footer"/>
      <w:jc w:val="right"/>
    </w:pPr>
  </w:p>
  <w:p w14:paraId="1AE8D861" w14:textId="77777777" w:rsidR="005E7E2C" w:rsidRDefault="005E7E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F3D83B" w14:textId="77777777" w:rsidR="005E7E2C" w:rsidRDefault="005E7E2C" w:rsidP="009D6BFB">
      <w:pPr>
        <w:spacing w:line="240" w:lineRule="auto"/>
      </w:pPr>
      <w:r>
        <w:separator/>
      </w:r>
    </w:p>
  </w:footnote>
  <w:footnote w:type="continuationSeparator" w:id="0">
    <w:p w14:paraId="0FA31520" w14:textId="77777777" w:rsidR="005E7E2C" w:rsidRDefault="005E7E2C" w:rsidP="009D6BFB">
      <w:pPr>
        <w:spacing w:line="240" w:lineRule="auto"/>
      </w:pPr>
      <w:r>
        <w:continuationSeparator/>
      </w:r>
    </w:p>
  </w:footnote>
  <w:footnote w:type="continuationNotice" w:id="1">
    <w:p w14:paraId="5FF24CB7" w14:textId="77777777" w:rsidR="005E7E2C" w:rsidRDefault="005E7E2C">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657CD"/>
    <w:multiLevelType w:val="hybridMultilevel"/>
    <w:tmpl w:val="E3D8524C"/>
    <w:lvl w:ilvl="0" w:tplc="834C5E26">
      <w:start w:val="1"/>
      <w:numFmt w:val="decimal"/>
      <w:lvlText w:val="%1."/>
      <w:lvlJc w:val="left"/>
      <w:pPr>
        <w:ind w:left="630" w:hanging="360"/>
      </w:pPr>
      <w:rPr>
        <w:rFonts w:ascii="Times New Roman" w:eastAsiaTheme="minorHAnsi" w:hAnsi="Times New Roman" w:cstheme="minorBidi"/>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3"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EA13F29"/>
    <w:multiLevelType w:val="hybridMultilevel"/>
    <w:tmpl w:val="032879AC"/>
    <w:lvl w:ilvl="0" w:tplc="0409000F">
      <w:start w:val="1"/>
      <w:numFmt w:val="decimal"/>
      <w:lvlText w:val="%1."/>
      <w:lvlJc w:val="left"/>
      <w:pPr>
        <w:ind w:left="22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6524B4F"/>
    <w:multiLevelType w:val="multilevel"/>
    <w:tmpl w:val="0409001F"/>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5BD3D60"/>
    <w:multiLevelType w:val="multilevel"/>
    <w:tmpl w:val="0409001F"/>
    <w:lvl w:ilvl="0">
      <w:start w:val="1"/>
      <w:numFmt w:val="decimal"/>
      <w:lvlText w:val="%1."/>
      <w:lvlJc w:val="left"/>
      <w:pPr>
        <w:ind w:left="4320" w:hanging="360"/>
      </w:pPr>
      <w:rPr>
        <w:rFonts w:hint="default"/>
      </w:rPr>
    </w:lvl>
    <w:lvl w:ilvl="1">
      <w:start w:val="1"/>
      <w:numFmt w:val="decimal"/>
      <w:lvlText w:val="%1.%2."/>
      <w:lvlJc w:val="left"/>
      <w:pPr>
        <w:ind w:left="4752" w:hanging="432"/>
      </w:pPr>
    </w:lvl>
    <w:lvl w:ilvl="2">
      <w:start w:val="1"/>
      <w:numFmt w:val="decimal"/>
      <w:lvlText w:val="%1.%2.%3."/>
      <w:lvlJc w:val="left"/>
      <w:pPr>
        <w:ind w:left="5184" w:hanging="504"/>
      </w:pPr>
    </w:lvl>
    <w:lvl w:ilvl="3">
      <w:start w:val="1"/>
      <w:numFmt w:val="decimal"/>
      <w:lvlText w:val="%1.%2.%3.%4."/>
      <w:lvlJc w:val="left"/>
      <w:pPr>
        <w:ind w:left="5688" w:hanging="648"/>
      </w:pPr>
    </w:lvl>
    <w:lvl w:ilvl="4">
      <w:start w:val="1"/>
      <w:numFmt w:val="decimal"/>
      <w:lvlText w:val="%1.%2.%3.%4.%5."/>
      <w:lvlJc w:val="left"/>
      <w:pPr>
        <w:ind w:left="6192" w:hanging="792"/>
      </w:pPr>
    </w:lvl>
    <w:lvl w:ilvl="5">
      <w:start w:val="1"/>
      <w:numFmt w:val="decimal"/>
      <w:lvlText w:val="%1.%2.%3.%4.%5.%6."/>
      <w:lvlJc w:val="left"/>
      <w:pPr>
        <w:ind w:left="6696" w:hanging="936"/>
      </w:pPr>
    </w:lvl>
    <w:lvl w:ilvl="6">
      <w:start w:val="1"/>
      <w:numFmt w:val="decimal"/>
      <w:lvlText w:val="%1.%2.%3.%4.%5.%6.%7."/>
      <w:lvlJc w:val="left"/>
      <w:pPr>
        <w:ind w:left="7200" w:hanging="1080"/>
      </w:pPr>
    </w:lvl>
    <w:lvl w:ilvl="7">
      <w:start w:val="1"/>
      <w:numFmt w:val="decimal"/>
      <w:lvlText w:val="%1.%2.%3.%4.%5.%6.%7.%8."/>
      <w:lvlJc w:val="left"/>
      <w:pPr>
        <w:ind w:left="7704" w:hanging="1224"/>
      </w:pPr>
    </w:lvl>
    <w:lvl w:ilvl="8">
      <w:start w:val="1"/>
      <w:numFmt w:val="decimal"/>
      <w:lvlText w:val="%1.%2.%3.%4.%5.%6.%7.%8.%9."/>
      <w:lvlJc w:val="left"/>
      <w:pPr>
        <w:ind w:left="8280" w:hanging="1440"/>
      </w:pPr>
    </w:lvl>
  </w:abstractNum>
  <w:abstractNum w:abstractNumId="8" w15:restartNumberingAfterBreak="0">
    <w:nsid w:val="6790496C"/>
    <w:multiLevelType w:val="multilevel"/>
    <w:tmpl w:val="0409001F"/>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5842464"/>
    <w:multiLevelType w:val="multilevel"/>
    <w:tmpl w:val="4864A47A"/>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num w:numId="1">
    <w:abstractNumId w:val="6"/>
  </w:num>
  <w:num w:numId="2">
    <w:abstractNumId w:val="5"/>
  </w:num>
  <w:num w:numId="3">
    <w:abstractNumId w:val="3"/>
  </w:num>
  <w:num w:numId="4">
    <w:abstractNumId w:val="7"/>
  </w:num>
  <w:num w:numId="5">
    <w:abstractNumId w:val="2"/>
  </w:num>
  <w:num w:numId="6">
    <w:abstractNumId w:val="0"/>
  </w:num>
  <w:num w:numId="7">
    <w:abstractNumId w:val="9"/>
  </w:num>
  <w:num w:numId="8">
    <w:abstractNumId w:val="8"/>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BFB"/>
    <w:rsid w:val="00001A7B"/>
    <w:rsid w:val="00001FA8"/>
    <w:rsid w:val="00006EC9"/>
    <w:rsid w:val="00007794"/>
    <w:rsid w:val="00007C4E"/>
    <w:rsid w:val="00010593"/>
    <w:rsid w:val="00010B64"/>
    <w:rsid w:val="000117D0"/>
    <w:rsid w:val="0001284D"/>
    <w:rsid w:val="00012F34"/>
    <w:rsid w:val="00012FED"/>
    <w:rsid w:val="00013B89"/>
    <w:rsid w:val="000146AC"/>
    <w:rsid w:val="000147C4"/>
    <w:rsid w:val="000152AF"/>
    <w:rsid w:val="00015583"/>
    <w:rsid w:val="00017193"/>
    <w:rsid w:val="0001732A"/>
    <w:rsid w:val="00021691"/>
    <w:rsid w:val="00022381"/>
    <w:rsid w:val="000223BA"/>
    <w:rsid w:val="00022AD5"/>
    <w:rsid w:val="00024961"/>
    <w:rsid w:val="000254FD"/>
    <w:rsid w:val="00025E60"/>
    <w:rsid w:val="00025F6F"/>
    <w:rsid w:val="0002697E"/>
    <w:rsid w:val="00027F40"/>
    <w:rsid w:val="000303E8"/>
    <w:rsid w:val="0003109E"/>
    <w:rsid w:val="00031851"/>
    <w:rsid w:val="00032804"/>
    <w:rsid w:val="00033638"/>
    <w:rsid w:val="00033783"/>
    <w:rsid w:val="000344FB"/>
    <w:rsid w:val="00035CE4"/>
    <w:rsid w:val="0003680B"/>
    <w:rsid w:val="00040667"/>
    <w:rsid w:val="000407AA"/>
    <w:rsid w:val="00042A15"/>
    <w:rsid w:val="00042F4C"/>
    <w:rsid w:val="00043545"/>
    <w:rsid w:val="00044A0B"/>
    <w:rsid w:val="000478F1"/>
    <w:rsid w:val="00047B44"/>
    <w:rsid w:val="00050987"/>
    <w:rsid w:val="000519C6"/>
    <w:rsid w:val="00052556"/>
    <w:rsid w:val="000529C1"/>
    <w:rsid w:val="00053851"/>
    <w:rsid w:val="000542CE"/>
    <w:rsid w:val="00054814"/>
    <w:rsid w:val="0005497D"/>
    <w:rsid w:val="00054EC4"/>
    <w:rsid w:val="00054ECC"/>
    <w:rsid w:val="00056A17"/>
    <w:rsid w:val="00057016"/>
    <w:rsid w:val="00057107"/>
    <w:rsid w:val="00057B11"/>
    <w:rsid w:val="000611B1"/>
    <w:rsid w:val="000620F1"/>
    <w:rsid w:val="000628F0"/>
    <w:rsid w:val="000630E6"/>
    <w:rsid w:val="00063312"/>
    <w:rsid w:val="00063917"/>
    <w:rsid w:val="000669CA"/>
    <w:rsid w:val="00071E7B"/>
    <w:rsid w:val="000734BA"/>
    <w:rsid w:val="00074782"/>
    <w:rsid w:val="000765AA"/>
    <w:rsid w:val="000804E2"/>
    <w:rsid w:val="0008163E"/>
    <w:rsid w:val="0008276E"/>
    <w:rsid w:val="00086DDF"/>
    <w:rsid w:val="00087210"/>
    <w:rsid w:val="00090A19"/>
    <w:rsid w:val="0009370B"/>
    <w:rsid w:val="00095CDA"/>
    <w:rsid w:val="00097810"/>
    <w:rsid w:val="000A0193"/>
    <w:rsid w:val="000A0EE9"/>
    <w:rsid w:val="000A1EDB"/>
    <w:rsid w:val="000A3E5A"/>
    <w:rsid w:val="000A4170"/>
    <w:rsid w:val="000A523F"/>
    <w:rsid w:val="000A551B"/>
    <w:rsid w:val="000A77A9"/>
    <w:rsid w:val="000B1916"/>
    <w:rsid w:val="000B3E4B"/>
    <w:rsid w:val="000B4822"/>
    <w:rsid w:val="000B5A70"/>
    <w:rsid w:val="000B6C4A"/>
    <w:rsid w:val="000C01AE"/>
    <w:rsid w:val="000C2B42"/>
    <w:rsid w:val="000C2E2F"/>
    <w:rsid w:val="000C37FD"/>
    <w:rsid w:val="000C4552"/>
    <w:rsid w:val="000C610C"/>
    <w:rsid w:val="000C6769"/>
    <w:rsid w:val="000C6A5E"/>
    <w:rsid w:val="000D08E3"/>
    <w:rsid w:val="000D256A"/>
    <w:rsid w:val="000D2CA5"/>
    <w:rsid w:val="000D40A2"/>
    <w:rsid w:val="000D43FF"/>
    <w:rsid w:val="000D510E"/>
    <w:rsid w:val="000D52D2"/>
    <w:rsid w:val="000D61D7"/>
    <w:rsid w:val="000D6904"/>
    <w:rsid w:val="000E00CB"/>
    <w:rsid w:val="000E2E5D"/>
    <w:rsid w:val="000E64CA"/>
    <w:rsid w:val="000F195F"/>
    <w:rsid w:val="000F3141"/>
    <w:rsid w:val="000F388F"/>
    <w:rsid w:val="000F5F37"/>
    <w:rsid w:val="000F67E7"/>
    <w:rsid w:val="000F7457"/>
    <w:rsid w:val="0010312E"/>
    <w:rsid w:val="00103257"/>
    <w:rsid w:val="001050E5"/>
    <w:rsid w:val="00106108"/>
    <w:rsid w:val="00106D66"/>
    <w:rsid w:val="00111084"/>
    <w:rsid w:val="001114C7"/>
    <w:rsid w:val="00111B3A"/>
    <w:rsid w:val="00112A95"/>
    <w:rsid w:val="0011432F"/>
    <w:rsid w:val="00114D2D"/>
    <w:rsid w:val="00114D6E"/>
    <w:rsid w:val="00116377"/>
    <w:rsid w:val="001167C3"/>
    <w:rsid w:val="00116EDF"/>
    <w:rsid w:val="00117E74"/>
    <w:rsid w:val="00125718"/>
    <w:rsid w:val="00125A1B"/>
    <w:rsid w:val="00125F18"/>
    <w:rsid w:val="001279F6"/>
    <w:rsid w:val="00127A16"/>
    <w:rsid w:val="00127E5F"/>
    <w:rsid w:val="00130720"/>
    <w:rsid w:val="00130CD7"/>
    <w:rsid w:val="00131B03"/>
    <w:rsid w:val="001333DA"/>
    <w:rsid w:val="00136CE0"/>
    <w:rsid w:val="00137A20"/>
    <w:rsid w:val="00137A8D"/>
    <w:rsid w:val="00137CE5"/>
    <w:rsid w:val="00141067"/>
    <w:rsid w:val="001410BB"/>
    <w:rsid w:val="00141AB5"/>
    <w:rsid w:val="00143628"/>
    <w:rsid w:val="0014364D"/>
    <w:rsid w:val="00145EAD"/>
    <w:rsid w:val="001461D2"/>
    <w:rsid w:val="0014635C"/>
    <w:rsid w:val="00146DD4"/>
    <w:rsid w:val="0015077D"/>
    <w:rsid w:val="00150DC2"/>
    <w:rsid w:val="00151B6D"/>
    <w:rsid w:val="00153D61"/>
    <w:rsid w:val="0015787F"/>
    <w:rsid w:val="00161905"/>
    <w:rsid w:val="00161F14"/>
    <w:rsid w:val="00163168"/>
    <w:rsid w:val="001632B8"/>
    <w:rsid w:val="001633BB"/>
    <w:rsid w:val="00166202"/>
    <w:rsid w:val="00167D15"/>
    <w:rsid w:val="001718B7"/>
    <w:rsid w:val="001719F6"/>
    <w:rsid w:val="00173313"/>
    <w:rsid w:val="001742C7"/>
    <w:rsid w:val="00175384"/>
    <w:rsid w:val="00176C48"/>
    <w:rsid w:val="00180391"/>
    <w:rsid w:val="00182B92"/>
    <w:rsid w:val="001836B0"/>
    <w:rsid w:val="00191A9B"/>
    <w:rsid w:val="00192380"/>
    <w:rsid w:val="00193CCD"/>
    <w:rsid w:val="00196E79"/>
    <w:rsid w:val="00197272"/>
    <w:rsid w:val="0019753C"/>
    <w:rsid w:val="001A2D67"/>
    <w:rsid w:val="001A6812"/>
    <w:rsid w:val="001A7071"/>
    <w:rsid w:val="001A70D1"/>
    <w:rsid w:val="001B0C91"/>
    <w:rsid w:val="001B20F3"/>
    <w:rsid w:val="001B2F09"/>
    <w:rsid w:val="001C0727"/>
    <w:rsid w:val="001C1187"/>
    <w:rsid w:val="001C2477"/>
    <w:rsid w:val="001C5510"/>
    <w:rsid w:val="001C6D7F"/>
    <w:rsid w:val="001C7E27"/>
    <w:rsid w:val="001D272B"/>
    <w:rsid w:val="001D3856"/>
    <w:rsid w:val="001D4C26"/>
    <w:rsid w:val="001D7B69"/>
    <w:rsid w:val="001E07DA"/>
    <w:rsid w:val="001E1218"/>
    <w:rsid w:val="001E329A"/>
    <w:rsid w:val="001E3800"/>
    <w:rsid w:val="001E3C4E"/>
    <w:rsid w:val="001E4720"/>
    <w:rsid w:val="001E749F"/>
    <w:rsid w:val="001F013A"/>
    <w:rsid w:val="001F1FE8"/>
    <w:rsid w:val="001F4CFB"/>
    <w:rsid w:val="001F59F1"/>
    <w:rsid w:val="001F5AF9"/>
    <w:rsid w:val="001F77A4"/>
    <w:rsid w:val="002015CE"/>
    <w:rsid w:val="00201978"/>
    <w:rsid w:val="002051A6"/>
    <w:rsid w:val="002057FD"/>
    <w:rsid w:val="00205B18"/>
    <w:rsid w:val="00205ECB"/>
    <w:rsid w:val="0021344E"/>
    <w:rsid w:val="00214879"/>
    <w:rsid w:val="00214C4C"/>
    <w:rsid w:val="00220427"/>
    <w:rsid w:val="002206D8"/>
    <w:rsid w:val="002208EE"/>
    <w:rsid w:val="00221D9B"/>
    <w:rsid w:val="002224CD"/>
    <w:rsid w:val="00226260"/>
    <w:rsid w:val="0022691B"/>
    <w:rsid w:val="002313E7"/>
    <w:rsid w:val="00237EB7"/>
    <w:rsid w:val="0024026F"/>
    <w:rsid w:val="00247078"/>
    <w:rsid w:val="002470A9"/>
    <w:rsid w:val="00247FC6"/>
    <w:rsid w:val="00250901"/>
    <w:rsid w:val="0025154B"/>
    <w:rsid w:val="002539FE"/>
    <w:rsid w:val="002575FF"/>
    <w:rsid w:val="00257B13"/>
    <w:rsid w:val="002609E3"/>
    <w:rsid w:val="00261AB8"/>
    <w:rsid w:val="00262B4D"/>
    <w:rsid w:val="00263DC8"/>
    <w:rsid w:val="00266081"/>
    <w:rsid w:val="00266D66"/>
    <w:rsid w:val="002711DD"/>
    <w:rsid w:val="00273291"/>
    <w:rsid w:val="00276050"/>
    <w:rsid w:val="002770E7"/>
    <w:rsid w:val="002776D8"/>
    <w:rsid w:val="00277791"/>
    <w:rsid w:val="00280C3B"/>
    <w:rsid w:val="00281D81"/>
    <w:rsid w:val="002831CD"/>
    <w:rsid w:val="002839C7"/>
    <w:rsid w:val="00284156"/>
    <w:rsid w:val="00285C72"/>
    <w:rsid w:val="00287D50"/>
    <w:rsid w:val="00290BE9"/>
    <w:rsid w:val="0029138B"/>
    <w:rsid w:val="00291663"/>
    <w:rsid w:val="00291E6E"/>
    <w:rsid w:val="0029468C"/>
    <w:rsid w:val="002946D4"/>
    <w:rsid w:val="0029481A"/>
    <w:rsid w:val="00296060"/>
    <w:rsid w:val="002A3E78"/>
    <w:rsid w:val="002A6AA3"/>
    <w:rsid w:val="002B632D"/>
    <w:rsid w:val="002B67F8"/>
    <w:rsid w:val="002B6A5E"/>
    <w:rsid w:val="002C096D"/>
    <w:rsid w:val="002C1D64"/>
    <w:rsid w:val="002C2D32"/>
    <w:rsid w:val="002C2E15"/>
    <w:rsid w:val="002C3B14"/>
    <w:rsid w:val="002C3FA2"/>
    <w:rsid w:val="002C4052"/>
    <w:rsid w:val="002D3A2E"/>
    <w:rsid w:val="002D5008"/>
    <w:rsid w:val="002D55CC"/>
    <w:rsid w:val="002E0220"/>
    <w:rsid w:val="002E040D"/>
    <w:rsid w:val="002E1DE7"/>
    <w:rsid w:val="002E3B63"/>
    <w:rsid w:val="002E3BA3"/>
    <w:rsid w:val="002E415D"/>
    <w:rsid w:val="002E5200"/>
    <w:rsid w:val="002E57F8"/>
    <w:rsid w:val="002E71A2"/>
    <w:rsid w:val="002E7AC1"/>
    <w:rsid w:val="002F0AF1"/>
    <w:rsid w:val="002F0E86"/>
    <w:rsid w:val="002F4178"/>
    <w:rsid w:val="002F515D"/>
    <w:rsid w:val="00301127"/>
    <w:rsid w:val="00301A92"/>
    <w:rsid w:val="00302948"/>
    <w:rsid w:val="00306C72"/>
    <w:rsid w:val="00310065"/>
    <w:rsid w:val="003106AF"/>
    <w:rsid w:val="00312A51"/>
    <w:rsid w:val="00312B7D"/>
    <w:rsid w:val="00313A43"/>
    <w:rsid w:val="00314D33"/>
    <w:rsid w:val="00321423"/>
    <w:rsid w:val="003228A3"/>
    <w:rsid w:val="00322BF9"/>
    <w:rsid w:val="00331A8A"/>
    <w:rsid w:val="00332B83"/>
    <w:rsid w:val="0033739D"/>
    <w:rsid w:val="00341711"/>
    <w:rsid w:val="00342076"/>
    <w:rsid w:val="0034228B"/>
    <w:rsid w:val="003423FA"/>
    <w:rsid w:val="0034537C"/>
    <w:rsid w:val="003462C1"/>
    <w:rsid w:val="00350E99"/>
    <w:rsid w:val="00352260"/>
    <w:rsid w:val="00361C6C"/>
    <w:rsid w:val="0036206B"/>
    <w:rsid w:val="00364A0A"/>
    <w:rsid w:val="00366511"/>
    <w:rsid w:val="00367FC4"/>
    <w:rsid w:val="00371D27"/>
    <w:rsid w:val="003739E3"/>
    <w:rsid w:val="003745CB"/>
    <w:rsid w:val="00375B3E"/>
    <w:rsid w:val="00375C6C"/>
    <w:rsid w:val="00376FD0"/>
    <w:rsid w:val="00380B88"/>
    <w:rsid w:val="00381523"/>
    <w:rsid w:val="00381DC6"/>
    <w:rsid w:val="003823C2"/>
    <w:rsid w:val="00383133"/>
    <w:rsid w:val="00383FF6"/>
    <w:rsid w:val="003844BA"/>
    <w:rsid w:val="00384F39"/>
    <w:rsid w:val="00385D7D"/>
    <w:rsid w:val="003873A3"/>
    <w:rsid w:val="0039003C"/>
    <w:rsid w:val="003918E5"/>
    <w:rsid w:val="00391B6C"/>
    <w:rsid w:val="00392652"/>
    <w:rsid w:val="00392B41"/>
    <w:rsid w:val="00393CF0"/>
    <w:rsid w:val="00395361"/>
    <w:rsid w:val="003959B7"/>
    <w:rsid w:val="00396D33"/>
    <w:rsid w:val="003A2299"/>
    <w:rsid w:val="003A3E2E"/>
    <w:rsid w:val="003A5039"/>
    <w:rsid w:val="003A75BD"/>
    <w:rsid w:val="003B192A"/>
    <w:rsid w:val="003B351C"/>
    <w:rsid w:val="003B463A"/>
    <w:rsid w:val="003B49FC"/>
    <w:rsid w:val="003B5856"/>
    <w:rsid w:val="003B6870"/>
    <w:rsid w:val="003C0CF1"/>
    <w:rsid w:val="003C0D59"/>
    <w:rsid w:val="003C3EC2"/>
    <w:rsid w:val="003C5395"/>
    <w:rsid w:val="003C569D"/>
    <w:rsid w:val="003C6331"/>
    <w:rsid w:val="003C7D3F"/>
    <w:rsid w:val="003D32AA"/>
    <w:rsid w:val="003D3AF3"/>
    <w:rsid w:val="003D4D72"/>
    <w:rsid w:val="003D55EE"/>
    <w:rsid w:val="003D5831"/>
    <w:rsid w:val="003D6981"/>
    <w:rsid w:val="003D74F6"/>
    <w:rsid w:val="003D7504"/>
    <w:rsid w:val="003E11D0"/>
    <w:rsid w:val="003E5237"/>
    <w:rsid w:val="003E5614"/>
    <w:rsid w:val="003E5A6F"/>
    <w:rsid w:val="003E62E5"/>
    <w:rsid w:val="003F18ED"/>
    <w:rsid w:val="003F22C9"/>
    <w:rsid w:val="003F2F04"/>
    <w:rsid w:val="003F4317"/>
    <w:rsid w:val="003F4884"/>
    <w:rsid w:val="003F75B0"/>
    <w:rsid w:val="003F76A2"/>
    <w:rsid w:val="00401D08"/>
    <w:rsid w:val="00402256"/>
    <w:rsid w:val="004045A2"/>
    <w:rsid w:val="00404DA7"/>
    <w:rsid w:val="00405923"/>
    <w:rsid w:val="0040621C"/>
    <w:rsid w:val="00406BC7"/>
    <w:rsid w:val="00406F81"/>
    <w:rsid w:val="00407F1A"/>
    <w:rsid w:val="004114B4"/>
    <w:rsid w:val="00412AA2"/>
    <w:rsid w:val="00412C90"/>
    <w:rsid w:val="00412D4D"/>
    <w:rsid w:val="0041392C"/>
    <w:rsid w:val="0041518E"/>
    <w:rsid w:val="004159E6"/>
    <w:rsid w:val="0041630C"/>
    <w:rsid w:val="0042025D"/>
    <w:rsid w:val="0042245C"/>
    <w:rsid w:val="00423BBE"/>
    <w:rsid w:val="0042476B"/>
    <w:rsid w:val="00426BDA"/>
    <w:rsid w:val="00426C76"/>
    <w:rsid w:val="004277EB"/>
    <w:rsid w:val="00431356"/>
    <w:rsid w:val="00431E5D"/>
    <w:rsid w:val="00431F77"/>
    <w:rsid w:val="004326E9"/>
    <w:rsid w:val="00432926"/>
    <w:rsid w:val="00434EBE"/>
    <w:rsid w:val="0043618C"/>
    <w:rsid w:val="00437CD5"/>
    <w:rsid w:val="00443303"/>
    <w:rsid w:val="00445AEA"/>
    <w:rsid w:val="004517E1"/>
    <w:rsid w:val="00451D49"/>
    <w:rsid w:val="00453A2A"/>
    <w:rsid w:val="004624B0"/>
    <w:rsid w:val="00463C8D"/>
    <w:rsid w:val="0046681A"/>
    <w:rsid w:val="00473099"/>
    <w:rsid w:val="00473E71"/>
    <w:rsid w:val="004745D3"/>
    <w:rsid w:val="00480EDF"/>
    <w:rsid w:val="00482D73"/>
    <w:rsid w:val="004840DA"/>
    <w:rsid w:val="004864B5"/>
    <w:rsid w:val="00490DBE"/>
    <w:rsid w:val="00492098"/>
    <w:rsid w:val="0049433F"/>
    <w:rsid w:val="00495204"/>
    <w:rsid w:val="00495213"/>
    <w:rsid w:val="00495554"/>
    <w:rsid w:val="00497872"/>
    <w:rsid w:val="004A08DA"/>
    <w:rsid w:val="004A3BD7"/>
    <w:rsid w:val="004A42EF"/>
    <w:rsid w:val="004A4ED8"/>
    <w:rsid w:val="004A5BC6"/>
    <w:rsid w:val="004A6062"/>
    <w:rsid w:val="004A6526"/>
    <w:rsid w:val="004A7329"/>
    <w:rsid w:val="004B015F"/>
    <w:rsid w:val="004B31D2"/>
    <w:rsid w:val="004B44EE"/>
    <w:rsid w:val="004B4AF1"/>
    <w:rsid w:val="004B4B98"/>
    <w:rsid w:val="004B4C61"/>
    <w:rsid w:val="004B4CAF"/>
    <w:rsid w:val="004B5330"/>
    <w:rsid w:val="004B5940"/>
    <w:rsid w:val="004B615A"/>
    <w:rsid w:val="004C0302"/>
    <w:rsid w:val="004C23F2"/>
    <w:rsid w:val="004C4090"/>
    <w:rsid w:val="004C67E7"/>
    <w:rsid w:val="004D0C50"/>
    <w:rsid w:val="004D21F6"/>
    <w:rsid w:val="004D3D50"/>
    <w:rsid w:val="004D58E6"/>
    <w:rsid w:val="004D6258"/>
    <w:rsid w:val="004E449C"/>
    <w:rsid w:val="004E5E3B"/>
    <w:rsid w:val="004E6280"/>
    <w:rsid w:val="004F04BC"/>
    <w:rsid w:val="004F1E6A"/>
    <w:rsid w:val="004F432A"/>
    <w:rsid w:val="004F4D51"/>
    <w:rsid w:val="004F51CD"/>
    <w:rsid w:val="004F6778"/>
    <w:rsid w:val="004F7133"/>
    <w:rsid w:val="004F7173"/>
    <w:rsid w:val="005002A4"/>
    <w:rsid w:val="00500B3C"/>
    <w:rsid w:val="00500D32"/>
    <w:rsid w:val="005010CB"/>
    <w:rsid w:val="00501852"/>
    <w:rsid w:val="00503DE8"/>
    <w:rsid w:val="005047ED"/>
    <w:rsid w:val="005149CC"/>
    <w:rsid w:val="00515AFE"/>
    <w:rsid w:val="0051796F"/>
    <w:rsid w:val="00521AE8"/>
    <w:rsid w:val="00521C83"/>
    <w:rsid w:val="00521CFB"/>
    <w:rsid w:val="00523723"/>
    <w:rsid w:val="005250E2"/>
    <w:rsid w:val="005253F8"/>
    <w:rsid w:val="00526BC1"/>
    <w:rsid w:val="00531CF0"/>
    <w:rsid w:val="00532009"/>
    <w:rsid w:val="00536E4F"/>
    <w:rsid w:val="00543AFC"/>
    <w:rsid w:val="0054778F"/>
    <w:rsid w:val="0055056E"/>
    <w:rsid w:val="00550F1A"/>
    <w:rsid w:val="0055218C"/>
    <w:rsid w:val="005521DA"/>
    <w:rsid w:val="005562D2"/>
    <w:rsid w:val="00556582"/>
    <w:rsid w:val="00556A0B"/>
    <w:rsid w:val="0055727A"/>
    <w:rsid w:val="005573F5"/>
    <w:rsid w:val="00562185"/>
    <w:rsid w:val="005647A5"/>
    <w:rsid w:val="00565294"/>
    <w:rsid w:val="005656CE"/>
    <w:rsid w:val="005673B4"/>
    <w:rsid w:val="00567AB2"/>
    <w:rsid w:val="00571524"/>
    <w:rsid w:val="005717C3"/>
    <w:rsid w:val="00573683"/>
    <w:rsid w:val="00573D84"/>
    <w:rsid w:val="00580A26"/>
    <w:rsid w:val="0058168D"/>
    <w:rsid w:val="00581F38"/>
    <w:rsid w:val="00582DA8"/>
    <w:rsid w:val="00584164"/>
    <w:rsid w:val="0058478A"/>
    <w:rsid w:val="00587C3F"/>
    <w:rsid w:val="00587DBB"/>
    <w:rsid w:val="005918DB"/>
    <w:rsid w:val="00592834"/>
    <w:rsid w:val="00592F3C"/>
    <w:rsid w:val="00595C1F"/>
    <w:rsid w:val="00595D88"/>
    <w:rsid w:val="00595E15"/>
    <w:rsid w:val="005964BC"/>
    <w:rsid w:val="00596549"/>
    <w:rsid w:val="005A4AFF"/>
    <w:rsid w:val="005A52AE"/>
    <w:rsid w:val="005A5916"/>
    <w:rsid w:val="005A5C58"/>
    <w:rsid w:val="005B0358"/>
    <w:rsid w:val="005B1F4D"/>
    <w:rsid w:val="005B203B"/>
    <w:rsid w:val="005B47CC"/>
    <w:rsid w:val="005B7C52"/>
    <w:rsid w:val="005C0D09"/>
    <w:rsid w:val="005C0D45"/>
    <w:rsid w:val="005C23E4"/>
    <w:rsid w:val="005C2FE3"/>
    <w:rsid w:val="005C4102"/>
    <w:rsid w:val="005C6AEA"/>
    <w:rsid w:val="005D00C2"/>
    <w:rsid w:val="005D14DD"/>
    <w:rsid w:val="005D300B"/>
    <w:rsid w:val="005D3D47"/>
    <w:rsid w:val="005D78B6"/>
    <w:rsid w:val="005E3CCD"/>
    <w:rsid w:val="005E5183"/>
    <w:rsid w:val="005E7E2C"/>
    <w:rsid w:val="005F01AC"/>
    <w:rsid w:val="005F563E"/>
    <w:rsid w:val="005F758E"/>
    <w:rsid w:val="00600277"/>
    <w:rsid w:val="00601D8B"/>
    <w:rsid w:val="00601E95"/>
    <w:rsid w:val="00602BA9"/>
    <w:rsid w:val="0060342D"/>
    <w:rsid w:val="00603E9F"/>
    <w:rsid w:val="00603F71"/>
    <w:rsid w:val="006041A0"/>
    <w:rsid w:val="006058D7"/>
    <w:rsid w:val="00605F26"/>
    <w:rsid w:val="0060652B"/>
    <w:rsid w:val="00607FE7"/>
    <w:rsid w:val="00614419"/>
    <w:rsid w:val="0061517E"/>
    <w:rsid w:val="0061535B"/>
    <w:rsid w:val="0061539D"/>
    <w:rsid w:val="0061558A"/>
    <w:rsid w:val="00616E20"/>
    <w:rsid w:val="006210E6"/>
    <w:rsid w:val="00623051"/>
    <w:rsid w:val="00623F88"/>
    <w:rsid w:val="0062458F"/>
    <w:rsid w:val="006256A9"/>
    <w:rsid w:val="00626835"/>
    <w:rsid w:val="0063199A"/>
    <w:rsid w:val="00631DB3"/>
    <w:rsid w:val="006323C0"/>
    <w:rsid w:val="006330C3"/>
    <w:rsid w:val="0063729E"/>
    <w:rsid w:val="00641D67"/>
    <w:rsid w:val="00642835"/>
    <w:rsid w:val="0064413A"/>
    <w:rsid w:val="00644738"/>
    <w:rsid w:val="00645649"/>
    <w:rsid w:val="006462B5"/>
    <w:rsid w:val="00646561"/>
    <w:rsid w:val="006509D0"/>
    <w:rsid w:val="006531D2"/>
    <w:rsid w:val="00655735"/>
    <w:rsid w:val="006561A3"/>
    <w:rsid w:val="00662D1E"/>
    <w:rsid w:val="00663B33"/>
    <w:rsid w:val="00663BFD"/>
    <w:rsid w:val="006659D3"/>
    <w:rsid w:val="00665AC0"/>
    <w:rsid w:val="0066717C"/>
    <w:rsid w:val="006674E0"/>
    <w:rsid w:val="00670C53"/>
    <w:rsid w:val="00670D0C"/>
    <w:rsid w:val="0067155D"/>
    <w:rsid w:val="006737E8"/>
    <w:rsid w:val="006744A7"/>
    <w:rsid w:val="006753BE"/>
    <w:rsid w:val="00683790"/>
    <w:rsid w:val="0068392A"/>
    <w:rsid w:val="00683E6E"/>
    <w:rsid w:val="00684D54"/>
    <w:rsid w:val="00685630"/>
    <w:rsid w:val="00685C92"/>
    <w:rsid w:val="00686375"/>
    <w:rsid w:val="006876B0"/>
    <w:rsid w:val="00692E31"/>
    <w:rsid w:val="00696E62"/>
    <w:rsid w:val="00697212"/>
    <w:rsid w:val="006A09E7"/>
    <w:rsid w:val="006A59DC"/>
    <w:rsid w:val="006A6B98"/>
    <w:rsid w:val="006A726B"/>
    <w:rsid w:val="006B12DC"/>
    <w:rsid w:val="006B1ACF"/>
    <w:rsid w:val="006B1FE7"/>
    <w:rsid w:val="006B2BB8"/>
    <w:rsid w:val="006B4637"/>
    <w:rsid w:val="006B48D1"/>
    <w:rsid w:val="006B75F6"/>
    <w:rsid w:val="006B7C0E"/>
    <w:rsid w:val="006C336F"/>
    <w:rsid w:val="006C5083"/>
    <w:rsid w:val="006C5BA2"/>
    <w:rsid w:val="006C5E97"/>
    <w:rsid w:val="006C723A"/>
    <w:rsid w:val="006D0B30"/>
    <w:rsid w:val="006D0C38"/>
    <w:rsid w:val="006D0DEC"/>
    <w:rsid w:val="006D22E6"/>
    <w:rsid w:val="006D2586"/>
    <w:rsid w:val="006D3BDE"/>
    <w:rsid w:val="006D5873"/>
    <w:rsid w:val="006D6887"/>
    <w:rsid w:val="006D6E25"/>
    <w:rsid w:val="006D71F6"/>
    <w:rsid w:val="006E17CE"/>
    <w:rsid w:val="006E36EC"/>
    <w:rsid w:val="006E5505"/>
    <w:rsid w:val="006E5AA9"/>
    <w:rsid w:val="006E6BCD"/>
    <w:rsid w:val="006F234F"/>
    <w:rsid w:val="006F2CAA"/>
    <w:rsid w:val="006F3C60"/>
    <w:rsid w:val="006F3EC1"/>
    <w:rsid w:val="006F48B4"/>
    <w:rsid w:val="006F48B6"/>
    <w:rsid w:val="006F4F9A"/>
    <w:rsid w:val="006F6D6A"/>
    <w:rsid w:val="00700D4B"/>
    <w:rsid w:val="007017AF"/>
    <w:rsid w:val="007050C9"/>
    <w:rsid w:val="00705382"/>
    <w:rsid w:val="00706EEF"/>
    <w:rsid w:val="00707DCF"/>
    <w:rsid w:val="007107C6"/>
    <w:rsid w:val="00711CDC"/>
    <w:rsid w:val="0071296F"/>
    <w:rsid w:val="00713487"/>
    <w:rsid w:val="007137A2"/>
    <w:rsid w:val="00714DAB"/>
    <w:rsid w:val="00716973"/>
    <w:rsid w:val="00721B6F"/>
    <w:rsid w:val="00722481"/>
    <w:rsid w:val="007224B7"/>
    <w:rsid w:val="00722997"/>
    <w:rsid w:val="0072432E"/>
    <w:rsid w:val="00725025"/>
    <w:rsid w:val="0072595B"/>
    <w:rsid w:val="00725E85"/>
    <w:rsid w:val="0072601B"/>
    <w:rsid w:val="007272FB"/>
    <w:rsid w:val="0073004A"/>
    <w:rsid w:val="00733E24"/>
    <w:rsid w:val="00735F01"/>
    <w:rsid w:val="0073637F"/>
    <w:rsid w:val="00740B21"/>
    <w:rsid w:val="0074232E"/>
    <w:rsid w:val="007428B8"/>
    <w:rsid w:val="00744044"/>
    <w:rsid w:val="007444C1"/>
    <w:rsid w:val="0074536E"/>
    <w:rsid w:val="0074625F"/>
    <w:rsid w:val="007502FD"/>
    <w:rsid w:val="00750396"/>
    <w:rsid w:val="007506CE"/>
    <w:rsid w:val="00750C48"/>
    <w:rsid w:val="007512BC"/>
    <w:rsid w:val="007536E6"/>
    <w:rsid w:val="00755A50"/>
    <w:rsid w:val="00755F1D"/>
    <w:rsid w:val="0075655D"/>
    <w:rsid w:val="00757D35"/>
    <w:rsid w:val="007608FF"/>
    <w:rsid w:val="00760FFD"/>
    <w:rsid w:val="00761382"/>
    <w:rsid w:val="00761849"/>
    <w:rsid w:val="00762406"/>
    <w:rsid w:val="007624AC"/>
    <w:rsid w:val="00762BD5"/>
    <w:rsid w:val="007639CA"/>
    <w:rsid w:val="00766811"/>
    <w:rsid w:val="007716EC"/>
    <w:rsid w:val="0077180D"/>
    <w:rsid w:val="007722E7"/>
    <w:rsid w:val="00774CE3"/>
    <w:rsid w:val="0077511F"/>
    <w:rsid w:val="00780CB0"/>
    <w:rsid w:val="00781617"/>
    <w:rsid w:val="007835B4"/>
    <w:rsid w:val="00783DB8"/>
    <w:rsid w:val="007868BC"/>
    <w:rsid w:val="00786991"/>
    <w:rsid w:val="007870E9"/>
    <w:rsid w:val="007875C9"/>
    <w:rsid w:val="00787ECF"/>
    <w:rsid w:val="00795A92"/>
    <w:rsid w:val="007A09C4"/>
    <w:rsid w:val="007A1331"/>
    <w:rsid w:val="007A183B"/>
    <w:rsid w:val="007A3167"/>
    <w:rsid w:val="007A4BC2"/>
    <w:rsid w:val="007A5D3F"/>
    <w:rsid w:val="007A6E87"/>
    <w:rsid w:val="007B5719"/>
    <w:rsid w:val="007B59B3"/>
    <w:rsid w:val="007B5B41"/>
    <w:rsid w:val="007B5E6C"/>
    <w:rsid w:val="007B61A8"/>
    <w:rsid w:val="007B6959"/>
    <w:rsid w:val="007B6B73"/>
    <w:rsid w:val="007B777C"/>
    <w:rsid w:val="007C3730"/>
    <w:rsid w:val="007C3FE6"/>
    <w:rsid w:val="007C59D5"/>
    <w:rsid w:val="007C6DB2"/>
    <w:rsid w:val="007C7A96"/>
    <w:rsid w:val="007D21C3"/>
    <w:rsid w:val="007D3D70"/>
    <w:rsid w:val="007D4CCD"/>
    <w:rsid w:val="007D581F"/>
    <w:rsid w:val="007D597C"/>
    <w:rsid w:val="007D5A63"/>
    <w:rsid w:val="007D6AF0"/>
    <w:rsid w:val="007D7AC5"/>
    <w:rsid w:val="007E0C0D"/>
    <w:rsid w:val="007E209C"/>
    <w:rsid w:val="007E2A72"/>
    <w:rsid w:val="007E436E"/>
    <w:rsid w:val="007E50C2"/>
    <w:rsid w:val="007F1319"/>
    <w:rsid w:val="007F4BC3"/>
    <w:rsid w:val="007F6939"/>
    <w:rsid w:val="00801896"/>
    <w:rsid w:val="008042A6"/>
    <w:rsid w:val="00810F43"/>
    <w:rsid w:val="0081165B"/>
    <w:rsid w:val="00811F1D"/>
    <w:rsid w:val="008145F9"/>
    <w:rsid w:val="008201BD"/>
    <w:rsid w:val="008230AA"/>
    <w:rsid w:val="00826274"/>
    <w:rsid w:val="008266B4"/>
    <w:rsid w:val="008270B4"/>
    <w:rsid w:val="008307D3"/>
    <w:rsid w:val="008317D0"/>
    <w:rsid w:val="008320B7"/>
    <w:rsid w:val="008338A6"/>
    <w:rsid w:val="008338AF"/>
    <w:rsid w:val="00833E13"/>
    <w:rsid w:val="00833EA1"/>
    <w:rsid w:val="00835C31"/>
    <w:rsid w:val="00836743"/>
    <w:rsid w:val="008377F1"/>
    <w:rsid w:val="00837DB1"/>
    <w:rsid w:val="008423C0"/>
    <w:rsid w:val="00842CD0"/>
    <w:rsid w:val="008439E8"/>
    <w:rsid w:val="00845046"/>
    <w:rsid w:val="00845F7B"/>
    <w:rsid w:val="00850854"/>
    <w:rsid w:val="00850B66"/>
    <w:rsid w:val="0086080C"/>
    <w:rsid w:val="00862C7A"/>
    <w:rsid w:val="008631F7"/>
    <w:rsid w:val="00864E2F"/>
    <w:rsid w:val="00866789"/>
    <w:rsid w:val="008676D1"/>
    <w:rsid w:val="008703B1"/>
    <w:rsid w:val="008703B9"/>
    <w:rsid w:val="00872CAF"/>
    <w:rsid w:val="00873C20"/>
    <w:rsid w:val="00876E62"/>
    <w:rsid w:val="008801F4"/>
    <w:rsid w:val="0088304E"/>
    <w:rsid w:val="00884513"/>
    <w:rsid w:val="008849BB"/>
    <w:rsid w:val="00884F86"/>
    <w:rsid w:val="00885093"/>
    <w:rsid w:val="00885728"/>
    <w:rsid w:val="00885C2A"/>
    <w:rsid w:val="008876D4"/>
    <w:rsid w:val="00887E72"/>
    <w:rsid w:val="00891722"/>
    <w:rsid w:val="00891C98"/>
    <w:rsid w:val="008922BE"/>
    <w:rsid w:val="0089317A"/>
    <w:rsid w:val="008960DF"/>
    <w:rsid w:val="008A0B4F"/>
    <w:rsid w:val="008A13FB"/>
    <w:rsid w:val="008A18DE"/>
    <w:rsid w:val="008A26C4"/>
    <w:rsid w:val="008B0AC3"/>
    <w:rsid w:val="008B1A4F"/>
    <w:rsid w:val="008B4A7F"/>
    <w:rsid w:val="008B65D7"/>
    <w:rsid w:val="008B7497"/>
    <w:rsid w:val="008C0AE3"/>
    <w:rsid w:val="008C141A"/>
    <w:rsid w:val="008C1B81"/>
    <w:rsid w:val="008C217D"/>
    <w:rsid w:val="008C235E"/>
    <w:rsid w:val="008C605A"/>
    <w:rsid w:val="008D06C8"/>
    <w:rsid w:val="008D1847"/>
    <w:rsid w:val="008D191E"/>
    <w:rsid w:val="008D4B80"/>
    <w:rsid w:val="008D4BEA"/>
    <w:rsid w:val="008D77C8"/>
    <w:rsid w:val="008E0FB8"/>
    <w:rsid w:val="008E1D03"/>
    <w:rsid w:val="008E372B"/>
    <w:rsid w:val="008E485E"/>
    <w:rsid w:val="008E73F4"/>
    <w:rsid w:val="008F3244"/>
    <w:rsid w:val="008F3B80"/>
    <w:rsid w:val="008F4D86"/>
    <w:rsid w:val="008F64CE"/>
    <w:rsid w:val="008F6DD9"/>
    <w:rsid w:val="008F72B7"/>
    <w:rsid w:val="00900CE5"/>
    <w:rsid w:val="009011CF"/>
    <w:rsid w:val="0090158B"/>
    <w:rsid w:val="00902C05"/>
    <w:rsid w:val="00904FAF"/>
    <w:rsid w:val="00911047"/>
    <w:rsid w:val="00913376"/>
    <w:rsid w:val="00913378"/>
    <w:rsid w:val="0091450D"/>
    <w:rsid w:val="00915252"/>
    <w:rsid w:val="00917235"/>
    <w:rsid w:val="009178EA"/>
    <w:rsid w:val="009230DB"/>
    <w:rsid w:val="00923D46"/>
    <w:rsid w:val="00926431"/>
    <w:rsid w:val="0093056A"/>
    <w:rsid w:val="00934B17"/>
    <w:rsid w:val="0093510C"/>
    <w:rsid w:val="00935277"/>
    <w:rsid w:val="00935C11"/>
    <w:rsid w:val="00941634"/>
    <w:rsid w:val="00941EBE"/>
    <w:rsid w:val="00945951"/>
    <w:rsid w:val="00945DBD"/>
    <w:rsid w:val="009463E1"/>
    <w:rsid w:val="00947277"/>
    <w:rsid w:val="0094766D"/>
    <w:rsid w:val="00947E80"/>
    <w:rsid w:val="00950329"/>
    <w:rsid w:val="0095073A"/>
    <w:rsid w:val="009507ED"/>
    <w:rsid w:val="00952A59"/>
    <w:rsid w:val="0095348A"/>
    <w:rsid w:val="009538F3"/>
    <w:rsid w:val="009547C9"/>
    <w:rsid w:val="00954EE8"/>
    <w:rsid w:val="00955E55"/>
    <w:rsid w:val="00957EB2"/>
    <w:rsid w:val="009613AC"/>
    <w:rsid w:val="00961A44"/>
    <w:rsid w:val="0096404D"/>
    <w:rsid w:val="00966408"/>
    <w:rsid w:val="00971201"/>
    <w:rsid w:val="00971B94"/>
    <w:rsid w:val="00971D71"/>
    <w:rsid w:val="00972B41"/>
    <w:rsid w:val="0097419F"/>
    <w:rsid w:val="00974DF4"/>
    <w:rsid w:val="00976187"/>
    <w:rsid w:val="00976545"/>
    <w:rsid w:val="0097655D"/>
    <w:rsid w:val="00983CA0"/>
    <w:rsid w:val="00983E82"/>
    <w:rsid w:val="00984AF3"/>
    <w:rsid w:val="00986E41"/>
    <w:rsid w:val="00992FC9"/>
    <w:rsid w:val="00994662"/>
    <w:rsid w:val="009961C9"/>
    <w:rsid w:val="0099699E"/>
    <w:rsid w:val="00996CAF"/>
    <w:rsid w:val="00997AAC"/>
    <w:rsid w:val="009A382C"/>
    <w:rsid w:val="009A4A6D"/>
    <w:rsid w:val="009A4C67"/>
    <w:rsid w:val="009A7278"/>
    <w:rsid w:val="009B1347"/>
    <w:rsid w:val="009B23AF"/>
    <w:rsid w:val="009B290F"/>
    <w:rsid w:val="009B448D"/>
    <w:rsid w:val="009B58C2"/>
    <w:rsid w:val="009B676C"/>
    <w:rsid w:val="009B7E80"/>
    <w:rsid w:val="009C03C4"/>
    <w:rsid w:val="009C06EC"/>
    <w:rsid w:val="009C20C8"/>
    <w:rsid w:val="009C40E8"/>
    <w:rsid w:val="009D1AB7"/>
    <w:rsid w:val="009D3B3D"/>
    <w:rsid w:val="009D3F50"/>
    <w:rsid w:val="009D53E5"/>
    <w:rsid w:val="009D5FEE"/>
    <w:rsid w:val="009D6B0D"/>
    <w:rsid w:val="009D6BFB"/>
    <w:rsid w:val="009D70D3"/>
    <w:rsid w:val="009E11B8"/>
    <w:rsid w:val="009E20AF"/>
    <w:rsid w:val="009E2691"/>
    <w:rsid w:val="009E33EF"/>
    <w:rsid w:val="009E347B"/>
    <w:rsid w:val="009E4304"/>
    <w:rsid w:val="009E513F"/>
    <w:rsid w:val="009E5230"/>
    <w:rsid w:val="009E688E"/>
    <w:rsid w:val="009E7449"/>
    <w:rsid w:val="009E7FEE"/>
    <w:rsid w:val="009F0240"/>
    <w:rsid w:val="009F0557"/>
    <w:rsid w:val="009F0F20"/>
    <w:rsid w:val="009F46C6"/>
    <w:rsid w:val="009F73AC"/>
    <w:rsid w:val="00A00A4F"/>
    <w:rsid w:val="00A00F93"/>
    <w:rsid w:val="00A00FDD"/>
    <w:rsid w:val="00A01409"/>
    <w:rsid w:val="00A0140A"/>
    <w:rsid w:val="00A030C2"/>
    <w:rsid w:val="00A04D70"/>
    <w:rsid w:val="00A051D6"/>
    <w:rsid w:val="00A07A7B"/>
    <w:rsid w:val="00A12AA7"/>
    <w:rsid w:val="00A12CE8"/>
    <w:rsid w:val="00A16537"/>
    <w:rsid w:val="00A16B84"/>
    <w:rsid w:val="00A20EBF"/>
    <w:rsid w:val="00A236EB"/>
    <w:rsid w:val="00A23BD0"/>
    <w:rsid w:val="00A249B9"/>
    <w:rsid w:val="00A24F34"/>
    <w:rsid w:val="00A34D96"/>
    <w:rsid w:val="00A35044"/>
    <w:rsid w:val="00A35214"/>
    <w:rsid w:val="00A356EB"/>
    <w:rsid w:val="00A359CA"/>
    <w:rsid w:val="00A35C81"/>
    <w:rsid w:val="00A36B4E"/>
    <w:rsid w:val="00A415BD"/>
    <w:rsid w:val="00A4402F"/>
    <w:rsid w:val="00A454FE"/>
    <w:rsid w:val="00A55F34"/>
    <w:rsid w:val="00A56B56"/>
    <w:rsid w:val="00A56D61"/>
    <w:rsid w:val="00A574BC"/>
    <w:rsid w:val="00A60534"/>
    <w:rsid w:val="00A63BB8"/>
    <w:rsid w:val="00A66639"/>
    <w:rsid w:val="00A7026D"/>
    <w:rsid w:val="00A71F18"/>
    <w:rsid w:val="00A72543"/>
    <w:rsid w:val="00A728C8"/>
    <w:rsid w:val="00A76597"/>
    <w:rsid w:val="00A81B3E"/>
    <w:rsid w:val="00A81DD8"/>
    <w:rsid w:val="00A822CB"/>
    <w:rsid w:val="00A82570"/>
    <w:rsid w:val="00A82CD9"/>
    <w:rsid w:val="00A8339E"/>
    <w:rsid w:val="00A83D7C"/>
    <w:rsid w:val="00A83FF0"/>
    <w:rsid w:val="00A84428"/>
    <w:rsid w:val="00A84B1E"/>
    <w:rsid w:val="00A84BAF"/>
    <w:rsid w:val="00A85B8A"/>
    <w:rsid w:val="00A85ED4"/>
    <w:rsid w:val="00A86A5D"/>
    <w:rsid w:val="00A87329"/>
    <w:rsid w:val="00A87B16"/>
    <w:rsid w:val="00A903C8"/>
    <w:rsid w:val="00A93429"/>
    <w:rsid w:val="00AA10EF"/>
    <w:rsid w:val="00AA2150"/>
    <w:rsid w:val="00AA2BDD"/>
    <w:rsid w:val="00AA458E"/>
    <w:rsid w:val="00AA574B"/>
    <w:rsid w:val="00AA5AF3"/>
    <w:rsid w:val="00AA5D21"/>
    <w:rsid w:val="00AA6BB7"/>
    <w:rsid w:val="00AB0B4A"/>
    <w:rsid w:val="00AB0B57"/>
    <w:rsid w:val="00AB7D76"/>
    <w:rsid w:val="00AB7EB9"/>
    <w:rsid w:val="00AC2FBB"/>
    <w:rsid w:val="00AC5318"/>
    <w:rsid w:val="00AC5421"/>
    <w:rsid w:val="00AC69DA"/>
    <w:rsid w:val="00AC7140"/>
    <w:rsid w:val="00AD3353"/>
    <w:rsid w:val="00AD5ACA"/>
    <w:rsid w:val="00AD72EC"/>
    <w:rsid w:val="00AE3CE9"/>
    <w:rsid w:val="00AE48D4"/>
    <w:rsid w:val="00AE4CE2"/>
    <w:rsid w:val="00AE5661"/>
    <w:rsid w:val="00AE6130"/>
    <w:rsid w:val="00AF068E"/>
    <w:rsid w:val="00AF172E"/>
    <w:rsid w:val="00AF36FF"/>
    <w:rsid w:val="00AF40C1"/>
    <w:rsid w:val="00AF4C10"/>
    <w:rsid w:val="00AF4ED2"/>
    <w:rsid w:val="00AF5D57"/>
    <w:rsid w:val="00B00AAD"/>
    <w:rsid w:val="00B02387"/>
    <w:rsid w:val="00B04281"/>
    <w:rsid w:val="00B04C37"/>
    <w:rsid w:val="00B07A51"/>
    <w:rsid w:val="00B10A36"/>
    <w:rsid w:val="00B11307"/>
    <w:rsid w:val="00B13043"/>
    <w:rsid w:val="00B13BAB"/>
    <w:rsid w:val="00B13C52"/>
    <w:rsid w:val="00B1411B"/>
    <w:rsid w:val="00B148F5"/>
    <w:rsid w:val="00B14A32"/>
    <w:rsid w:val="00B16847"/>
    <w:rsid w:val="00B16852"/>
    <w:rsid w:val="00B17251"/>
    <w:rsid w:val="00B179C0"/>
    <w:rsid w:val="00B2000E"/>
    <w:rsid w:val="00B234AE"/>
    <w:rsid w:val="00B2376D"/>
    <w:rsid w:val="00B23A79"/>
    <w:rsid w:val="00B2441B"/>
    <w:rsid w:val="00B31094"/>
    <w:rsid w:val="00B3222E"/>
    <w:rsid w:val="00B326AE"/>
    <w:rsid w:val="00B34262"/>
    <w:rsid w:val="00B349D3"/>
    <w:rsid w:val="00B350F3"/>
    <w:rsid w:val="00B37FAF"/>
    <w:rsid w:val="00B402A4"/>
    <w:rsid w:val="00B414F9"/>
    <w:rsid w:val="00B419D0"/>
    <w:rsid w:val="00B42466"/>
    <w:rsid w:val="00B434B9"/>
    <w:rsid w:val="00B448B4"/>
    <w:rsid w:val="00B44F5C"/>
    <w:rsid w:val="00B46F1C"/>
    <w:rsid w:val="00B470E2"/>
    <w:rsid w:val="00B51D5C"/>
    <w:rsid w:val="00B53496"/>
    <w:rsid w:val="00B57961"/>
    <w:rsid w:val="00B60BD1"/>
    <w:rsid w:val="00B622DB"/>
    <w:rsid w:val="00B6520D"/>
    <w:rsid w:val="00B653D2"/>
    <w:rsid w:val="00B676A8"/>
    <w:rsid w:val="00B67A46"/>
    <w:rsid w:val="00B70AE9"/>
    <w:rsid w:val="00B72EF4"/>
    <w:rsid w:val="00B7461C"/>
    <w:rsid w:val="00B74D0B"/>
    <w:rsid w:val="00B74EC9"/>
    <w:rsid w:val="00B7534A"/>
    <w:rsid w:val="00B82919"/>
    <w:rsid w:val="00B8535A"/>
    <w:rsid w:val="00B85CAD"/>
    <w:rsid w:val="00B87778"/>
    <w:rsid w:val="00B92F3B"/>
    <w:rsid w:val="00B952BB"/>
    <w:rsid w:val="00B96A5D"/>
    <w:rsid w:val="00BA1CD7"/>
    <w:rsid w:val="00BA39C9"/>
    <w:rsid w:val="00BA55E1"/>
    <w:rsid w:val="00BA6249"/>
    <w:rsid w:val="00BA709B"/>
    <w:rsid w:val="00BA75C3"/>
    <w:rsid w:val="00BB2EE3"/>
    <w:rsid w:val="00BB5052"/>
    <w:rsid w:val="00BB59F0"/>
    <w:rsid w:val="00BB5E4C"/>
    <w:rsid w:val="00BB60A8"/>
    <w:rsid w:val="00BC3210"/>
    <w:rsid w:val="00BC3530"/>
    <w:rsid w:val="00BC6BDC"/>
    <w:rsid w:val="00BD00F5"/>
    <w:rsid w:val="00BD0474"/>
    <w:rsid w:val="00BD50E3"/>
    <w:rsid w:val="00BD63CA"/>
    <w:rsid w:val="00BD6498"/>
    <w:rsid w:val="00BD6A13"/>
    <w:rsid w:val="00BD74A2"/>
    <w:rsid w:val="00BE166A"/>
    <w:rsid w:val="00BE1A43"/>
    <w:rsid w:val="00BE1F7B"/>
    <w:rsid w:val="00BE2E53"/>
    <w:rsid w:val="00BF1194"/>
    <w:rsid w:val="00BF3B2E"/>
    <w:rsid w:val="00BF5519"/>
    <w:rsid w:val="00BF5F3F"/>
    <w:rsid w:val="00BF7728"/>
    <w:rsid w:val="00C01718"/>
    <w:rsid w:val="00C02CBF"/>
    <w:rsid w:val="00C07BFE"/>
    <w:rsid w:val="00C07E97"/>
    <w:rsid w:val="00C10065"/>
    <w:rsid w:val="00C107D2"/>
    <w:rsid w:val="00C10A82"/>
    <w:rsid w:val="00C14E25"/>
    <w:rsid w:val="00C14E4C"/>
    <w:rsid w:val="00C164EC"/>
    <w:rsid w:val="00C24771"/>
    <w:rsid w:val="00C253D0"/>
    <w:rsid w:val="00C25E3F"/>
    <w:rsid w:val="00C26144"/>
    <w:rsid w:val="00C26365"/>
    <w:rsid w:val="00C4145E"/>
    <w:rsid w:val="00C41829"/>
    <w:rsid w:val="00C44D2C"/>
    <w:rsid w:val="00C4681A"/>
    <w:rsid w:val="00C50A9A"/>
    <w:rsid w:val="00C5273A"/>
    <w:rsid w:val="00C535E3"/>
    <w:rsid w:val="00C608D1"/>
    <w:rsid w:val="00C63BDD"/>
    <w:rsid w:val="00C64FA2"/>
    <w:rsid w:val="00C65099"/>
    <w:rsid w:val="00C66337"/>
    <w:rsid w:val="00C66738"/>
    <w:rsid w:val="00C703E9"/>
    <w:rsid w:val="00C71296"/>
    <w:rsid w:val="00C71677"/>
    <w:rsid w:val="00C719FD"/>
    <w:rsid w:val="00C747EF"/>
    <w:rsid w:val="00C75FD5"/>
    <w:rsid w:val="00C77C3F"/>
    <w:rsid w:val="00C804B0"/>
    <w:rsid w:val="00C81629"/>
    <w:rsid w:val="00C831D3"/>
    <w:rsid w:val="00C8525C"/>
    <w:rsid w:val="00C8728D"/>
    <w:rsid w:val="00C876D6"/>
    <w:rsid w:val="00C9181B"/>
    <w:rsid w:val="00C92389"/>
    <w:rsid w:val="00C929FD"/>
    <w:rsid w:val="00C94C0D"/>
    <w:rsid w:val="00C955C6"/>
    <w:rsid w:val="00CA2279"/>
    <w:rsid w:val="00CA2DDD"/>
    <w:rsid w:val="00CA2E22"/>
    <w:rsid w:val="00CA37CD"/>
    <w:rsid w:val="00CA549B"/>
    <w:rsid w:val="00CB0FBB"/>
    <w:rsid w:val="00CB18D2"/>
    <w:rsid w:val="00CB486A"/>
    <w:rsid w:val="00CB4ABA"/>
    <w:rsid w:val="00CB52B7"/>
    <w:rsid w:val="00CB6799"/>
    <w:rsid w:val="00CC0248"/>
    <w:rsid w:val="00CC0C08"/>
    <w:rsid w:val="00CC0F6B"/>
    <w:rsid w:val="00CC3FE9"/>
    <w:rsid w:val="00CD04B9"/>
    <w:rsid w:val="00CD52DB"/>
    <w:rsid w:val="00CD55CA"/>
    <w:rsid w:val="00CD7D3C"/>
    <w:rsid w:val="00CE0D31"/>
    <w:rsid w:val="00CE12F0"/>
    <w:rsid w:val="00CE5154"/>
    <w:rsid w:val="00CE7FFA"/>
    <w:rsid w:val="00CF0276"/>
    <w:rsid w:val="00CF059B"/>
    <w:rsid w:val="00CF1B52"/>
    <w:rsid w:val="00CF39DE"/>
    <w:rsid w:val="00CF508D"/>
    <w:rsid w:val="00CF5642"/>
    <w:rsid w:val="00CF6A9F"/>
    <w:rsid w:val="00CF7793"/>
    <w:rsid w:val="00CF7DF4"/>
    <w:rsid w:val="00D019B8"/>
    <w:rsid w:val="00D03C4A"/>
    <w:rsid w:val="00D03E73"/>
    <w:rsid w:val="00D04799"/>
    <w:rsid w:val="00D0672E"/>
    <w:rsid w:val="00D07C25"/>
    <w:rsid w:val="00D1318E"/>
    <w:rsid w:val="00D14A68"/>
    <w:rsid w:val="00D14E5B"/>
    <w:rsid w:val="00D15C38"/>
    <w:rsid w:val="00D16EFE"/>
    <w:rsid w:val="00D16F46"/>
    <w:rsid w:val="00D20267"/>
    <w:rsid w:val="00D20410"/>
    <w:rsid w:val="00D2210E"/>
    <w:rsid w:val="00D223CE"/>
    <w:rsid w:val="00D22E59"/>
    <w:rsid w:val="00D2683B"/>
    <w:rsid w:val="00D26F89"/>
    <w:rsid w:val="00D3218E"/>
    <w:rsid w:val="00D3497D"/>
    <w:rsid w:val="00D354A1"/>
    <w:rsid w:val="00D36AE0"/>
    <w:rsid w:val="00D37414"/>
    <w:rsid w:val="00D400C7"/>
    <w:rsid w:val="00D405CE"/>
    <w:rsid w:val="00D40B16"/>
    <w:rsid w:val="00D40E45"/>
    <w:rsid w:val="00D419A8"/>
    <w:rsid w:val="00D41A2D"/>
    <w:rsid w:val="00D41AB7"/>
    <w:rsid w:val="00D42D28"/>
    <w:rsid w:val="00D44220"/>
    <w:rsid w:val="00D500DC"/>
    <w:rsid w:val="00D50E1A"/>
    <w:rsid w:val="00D537D0"/>
    <w:rsid w:val="00D54D1A"/>
    <w:rsid w:val="00D54F86"/>
    <w:rsid w:val="00D5505D"/>
    <w:rsid w:val="00D570E0"/>
    <w:rsid w:val="00D60B85"/>
    <w:rsid w:val="00D62328"/>
    <w:rsid w:val="00D623FC"/>
    <w:rsid w:val="00D63A38"/>
    <w:rsid w:val="00D664FB"/>
    <w:rsid w:val="00D67C62"/>
    <w:rsid w:val="00D7023A"/>
    <w:rsid w:val="00D70D03"/>
    <w:rsid w:val="00D71BCB"/>
    <w:rsid w:val="00D71D11"/>
    <w:rsid w:val="00D71FBE"/>
    <w:rsid w:val="00D73263"/>
    <w:rsid w:val="00D76A32"/>
    <w:rsid w:val="00D80170"/>
    <w:rsid w:val="00D80C22"/>
    <w:rsid w:val="00D837B8"/>
    <w:rsid w:val="00D83A37"/>
    <w:rsid w:val="00D85112"/>
    <w:rsid w:val="00D853D5"/>
    <w:rsid w:val="00D857A1"/>
    <w:rsid w:val="00D87185"/>
    <w:rsid w:val="00D87A5D"/>
    <w:rsid w:val="00D9008E"/>
    <w:rsid w:val="00D9012E"/>
    <w:rsid w:val="00D9100E"/>
    <w:rsid w:val="00D9329A"/>
    <w:rsid w:val="00D93A70"/>
    <w:rsid w:val="00D93A8D"/>
    <w:rsid w:val="00D94064"/>
    <w:rsid w:val="00D94FAF"/>
    <w:rsid w:val="00D9790D"/>
    <w:rsid w:val="00DA12E3"/>
    <w:rsid w:val="00DA13AF"/>
    <w:rsid w:val="00DA14E5"/>
    <w:rsid w:val="00DA2A08"/>
    <w:rsid w:val="00DA5188"/>
    <w:rsid w:val="00DA7F10"/>
    <w:rsid w:val="00DB10D7"/>
    <w:rsid w:val="00DB11AF"/>
    <w:rsid w:val="00DB23F3"/>
    <w:rsid w:val="00DB56D3"/>
    <w:rsid w:val="00DB6DA2"/>
    <w:rsid w:val="00DB6F4C"/>
    <w:rsid w:val="00DB7022"/>
    <w:rsid w:val="00DB7BD0"/>
    <w:rsid w:val="00DC0B4B"/>
    <w:rsid w:val="00DC4254"/>
    <w:rsid w:val="00DC702C"/>
    <w:rsid w:val="00DC7AE6"/>
    <w:rsid w:val="00DC7EB7"/>
    <w:rsid w:val="00DD1289"/>
    <w:rsid w:val="00DD2E20"/>
    <w:rsid w:val="00DD367C"/>
    <w:rsid w:val="00DD36D4"/>
    <w:rsid w:val="00DD3CB3"/>
    <w:rsid w:val="00DD3E77"/>
    <w:rsid w:val="00DD41A6"/>
    <w:rsid w:val="00DD6A6C"/>
    <w:rsid w:val="00DD6DD3"/>
    <w:rsid w:val="00DD7310"/>
    <w:rsid w:val="00DD7D11"/>
    <w:rsid w:val="00DE1FBE"/>
    <w:rsid w:val="00DE286B"/>
    <w:rsid w:val="00DE32D2"/>
    <w:rsid w:val="00DE331C"/>
    <w:rsid w:val="00DE3724"/>
    <w:rsid w:val="00DE689F"/>
    <w:rsid w:val="00DF1037"/>
    <w:rsid w:val="00DF2356"/>
    <w:rsid w:val="00DF38BE"/>
    <w:rsid w:val="00DF45A7"/>
    <w:rsid w:val="00DF5ED8"/>
    <w:rsid w:val="00DF5F5F"/>
    <w:rsid w:val="00DF63AA"/>
    <w:rsid w:val="00DF63EC"/>
    <w:rsid w:val="00DF79C6"/>
    <w:rsid w:val="00E009BB"/>
    <w:rsid w:val="00E0149B"/>
    <w:rsid w:val="00E017E7"/>
    <w:rsid w:val="00E02093"/>
    <w:rsid w:val="00E03367"/>
    <w:rsid w:val="00E03BB6"/>
    <w:rsid w:val="00E0646C"/>
    <w:rsid w:val="00E10C78"/>
    <w:rsid w:val="00E13B8C"/>
    <w:rsid w:val="00E13DF3"/>
    <w:rsid w:val="00E177CA"/>
    <w:rsid w:val="00E17AD9"/>
    <w:rsid w:val="00E200F2"/>
    <w:rsid w:val="00E20A5D"/>
    <w:rsid w:val="00E20F84"/>
    <w:rsid w:val="00E23003"/>
    <w:rsid w:val="00E234FA"/>
    <w:rsid w:val="00E23B4B"/>
    <w:rsid w:val="00E2494D"/>
    <w:rsid w:val="00E251A7"/>
    <w:rsid w:val="00E2770C"/>
    <w:rsid w:val="00E27BE5"/>
    <w:rsid w:val="00E30777"/>
    <w:rsid w:val="00E30C21"/>
    <w:rsid w:val="00E30CFF"/>
    <w:rsid w:val="00E31479"/>
    <w:rsid w:val="00E31903"/>
    <w:rsid w:val="00E32C14"/>
    <w:rsid w:val="00E33E2D"/>
    <w:rsid w:val="00E340AF"/>
    <w:rsid w:val="00E34F75"/>
    <w:rsid w:val="00E357F2"/>
    <w:rsid w:val="00E3585F"/>
    <w:rsid w:val="00E36A62"/>
    <w:rsid w:val="00E376F9"/>
    <w:rsid w:val="00E40A92"/>
    <w:rsid w:val="00E40CD6"/>
    <w:rsid w:val="00E41651"/>
    <w:rsid w:val="00E42C92"/>
    <w:rsid w:val="00E43022"/>
    <w:rsid w:val="00E43AF0"/>
    <w:rsid w:val="00E45493"/>
    <w:rsid w:val="00E469B5"/>
    <w:rsid w:val="00E513A5"/>
    <w:rsid w:val="00E51F0B"/>
    <w:rsid w:val="00E52A1D"/>
    <w:rsid w:val="00E52E8B"/>
    <w:rsid w:val="00E55286"/>
    <w:rsid w:val="00E62120"/>
    <w:rsid w:val="00E62748"/>
    <w:rsid w:val="00E627D8"/>
    <w:rsid w:val="00E703A6"/>
    <w:rsid w:val="00E704F1"/>
    <w:rsid w:val="00E706D8"/>
    <w:rsid w:val="00E7230B"/>
    <w:rsid w:val="00E73162"/>
    <w:rsid w:val="00E740CA"/>
    <w:rsid w:val="00E813E7"/>
    <w:rsid w:val="00E82526"/>
    <w:rsid w:val="00E843C3"/>
    <w:rsid w:val="00E844D1"/>
    <w:rsid w:val="00E8468A"/>
    <w:rsid w:val="00E84972"/>
    <w:rsid w:val="00E84AC5"/>
    <w:rsid w:val="00E851DC"/>
    <w:rsid w:val="00E85312"/>
    <w:rsid w:val="00E90457"/>
    <w:rsid w:val="00E93060"/>
    <w:rsid w:val="00E93E2D"/>
    <w:rsid w:val="00E96F45"/>
    <w:rsid w:val="00E977C7"/>
    <w:rsid w:val="00E97BD2"/>
    <w:rsid w:val="00E97D01"/>
    <w:rsid w:val="00EA1248"/>
    <w:rsid w:val="00EA243E"/>
    <w:rsid w:val="00EA3740"/>
    <w:rsid w:val="00EA4395"/>
    <w:rsid w:val="00EA4FE3"/>
    <w:rsid w:val="00EB15CF"/>
    <w:rsid w:val="00EB18BF"/>
    <w:rsid w:val="00EB2DAD"/>
    <w:rsid w:val="00EB3C44"/>
    <w:rsid w:val="00EB5FD0"/>
    <w:rsid w:val="00EC15A0"/>
    <w:rsid w:val="00EC36FF"/>
    <w:rsid w:val="00EC4171"/>
    <w:rsid w:val="00EC4C4F"/>
    <w:rsid w:val="00EC57BC"/>
    <w:rsid w:val="00EC58CC"/>
    <w:rsid w:val="00EC6667"/>
    <w:rsid w:val="00ED107B"/>
    <w:rsid w:val="00ED120D"/>
    <w:rsid w:val="00ED248F"/>
    <w:rsid w:val="00ED39D2"/>
    <w:rsid w:val="00ED5A67"/>
    <w:rsid w:val="00ED6424"/>
    <w:rsid w:val="00EE094D"/>
    <w:rsid w:val="00EE2544"/>
    <w:rsid w:val="00EE2552"/>
    <w:rsid w:val="00EE2DD6"/>
    <w:rsid w:val="00EE59FF"/>
    <w:rsid w:val="00EE662A"/>
    <w:rsid w:val="00EE6A9A"/>
    <w:rsid w:val="00EE6C9F"/>
    <w:rsid w:val="00EE70D1"/>
    <w:rsid w:val="00EF2645"/>
    <w:rsid w:val="00EF3082"/>
    <w:rsid w:val="00EF58A9"/>
    <w:rsid w:val="00F0042A"/>
    <w:rsid w:val="00F0216B"/>
    <w:rsid w:val="00F03DA9"/>
    <w:rsid w:val="00F04605"/>
    <w:rsid w:val="00F07408"/>
    <w:rsid w:val="00F13EDE"/>
    <w:rsid w:val="00F1496C"/>
    <w:rsid w:val="00F17DAF"/>
    <w:rsid w:val="00F20411"/>
    <w:rsid w:val="00F21287"/>
    <w:rsid w:val="00F21369"/>
    <w:rsid w:val="00F213F5"/>
    <w:rsid w:val="00F21E47"/>
    <w:rsid w:val="00F2475D"/>
    <w:rsid w:val="00F275C0"/>
    <w:rsid w:val="00F31768"/>
    <w:rsid w:val="00F3695C"/>
    <w:rsid w:val="00F401D6"/>
    <w:rsid w:val="00F42AA4"/>
    <w:rsid w:val="00F45574"/>
    <w:rsid w:val="00F45E01"/>
    <w:rsid w:val="00F51079"/>
    <w:rsid w:val="00F529B0"/>
    <w:rsid w:val="00F52BD8"/>
    <w:rsid w:val="00F53201"/>
    <w:rsid w:val="00F5330F"/>
    <w:rsid w:val="00F53653"/>
    <w:rsid w:val="00F543D0"/>
    <w:rsid w:val="00F56AB8"/>
    <w:rsid w:val="00F57933"/>
    <w:rsid w:val="00F603BB"/>
    <w:rsid w:val="00F60ACD"/>
    <w:rsid w:val="00F618BD"/>
    <w:rsid w:val="00F63FFE"/>
    <w:rsid w:val="00F67329"/>
    <w:rsid w:val="00F715FC"/>
    <w:rsid w:val="00F727DC"/>
    <w:rsid w:val="00F72A1E"/>
    <w:rsid w:val="00F76891"/>
    <w:rsid w:val="00F771FA"/>
    <w:rsid w:val="00F7770B"/>
    <w:rsid w:val="00F83BD2"/>
    <w:rsid w:val="00F84DDC"/>
    <w:rsid w:val="00F84F98"/>
    <w:rsid w:val="00F858E3"/>
    <w:rsid w:val="00F85BD1"/>
    <w:rsid w:val="00F868A3"/>
    <w:rsid w:val="00F86DC6"/>
    <w:rsid w:val="00F93299"/>
    <w:rsid w:val="00F95BFA"/>
    <w:rsid w:val="00F96669"/>
    <w:rsid w:val="00F97824"/>
    <w:rsid w:val="00FA08B5"/>
    <w:rsid w:val="00FA1A3D"/>
    <w:rsid w:val="00FA2B77"/>
    <w:rsid w:val="00FA50EF"/>
    <w:rsid w:val="00FA5774"/>
    <w:rsid w:val="00FA705F"/>
    <w:rsid w:val="00FA7F24"/>
    <w:rsid w:val="00FB07D0"/>
    <w:rsid w:val="00FB18F1"/>
    <w:rsid w:val="00FB3ED4"/>
    <w:rsid w:val="00FB5F2C"/>
    <w:rsid w:val="00FB6A5F"/>
    <w:rsid w:val="00FB741D"/>
    <w:rsid w:val="00FC0099"/>
    <w:rsid w:val="00FC2FBE"/>
    <w:rsid w:val="00FC3406"/>
    <w:rsid w:val="00FC446D"/>
    <w:rsid w:val="00FC5877"/>
    <w:rsid w:val="00FC5A44"/>
    <w:rsid w:val="00FC6EDC"/>
    <w:rsid w:val="00FC7AC7"/>
    <w:rsid w:val="00FC7FD7"/>
    <w:rsid w:val="00FD3007"/>
    <w:rsid w:val="00FD4BD3"/>
    <w:rsid w:val="00FD56E7"/>
    <w:rsid w:val="00FE10BB"/>
    <w:rsid w:val="00FE125A"/>
    <w:rsid w:val="00FE1936"/>
    <w:rsid w:val="00FE2A51"/>
    <w:rsid w:val="00FE30A0"/>
    <w:rsid w:val="00FE45FD"/>
    <w:rsid w:val="00FE51D4"/>
    <w:rsid w:val="00FE6168"/>
    <w:rsid w:val="00FF0C2E"/>
    <w:rsid w:val="00FF116E"/>
    <w:rsid w:val="00FF331C"/>
    <w:rsid w:val="00FF57A6"/>
    <w:rsid w:val="00FF702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AE8D786"/>
  <w15:chartTrackingRefBased/>
  <w15:docId w15:val="{22484438-0FD1-4E24-B8D3-44288907E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437CD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37CD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960DF"/>
    <w:rPr>
      <w:sz w:val="20"/>
    </w:rPr>
  </w:style>
  <w:style w:type="character" w:customStyle="1" w:styleId="FootnoteTextChar">
    <w:name w:val="Footnote Text Char"/>
    <w:basedOn w:val="DefaultParagraphFont"/>
    <w:link w:val="FootnoteText"/>
    <w:uiPriority w:val="99"/>
    <w:semiHidden/>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character" w:customStyle="1" w:styleId="Heading2Char">
    <w:name w:val="Heading 2 Char"/>
    <w:basedOn w:val="DefaultParagraphFont"/>
    <w:link w:val="Heading2"/>
    <w:uiPriority w:val="9"/>
    <w:semiHidden/>
    <w:rsid w:val="00437CD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37CD5"/>
    <w:rPr>
      <w:rFonts w:asciiTheme="majorHAnsi" w:eastAsiaTheme="majorEastAsia" w:hAnsiTheme="majorHAnsi" w:cstheme="majorBidi"/>
      <w:color w:val="1F3763" w:themeColor="accent1" w:themeShade="7F"/>
    </w:rPr>
  </w:style>
  <w:style w:type="paragraph" w:customStyle="1" w:styleId="JuPara">
    <w:name w:val="Ju_Para"/>
    <w:aliases w:val="Left,First line:  0 cm,_Para,ECHR_Para,Para"/>
    <w:basedOn w:val="Normal"/>
    <w:link w:val="JuParaChar"/>
    <w:qFormat/>
    <w:rsid w:val="000F7457"/>
    <w:pPr>
      <w:suppressAutoHyphens/>
      <w:spacing w:line="240" w:lineRule="auto"/>
      <w:ind w:firstLine="284"/>
      <w:jc w:val="both"/>
    </w:pPr>
    <w:rPr>
      <w:rFonts w:eastAsia="Times New Roman"/>
      <w:szCs w:val="20"/>
      <w:lang w:val="en-GB" w:eastAsia="fr-FR"/>
    </w:rPr>
  </w:style>
  <w:style w:type="character" w:customStyle="1" w:styleId="JuParaChar">
    <w:name w:val="Ju_Para Char"/>
    <w:aliases w:val="_Para Char,ECHR_Para Char"/>
    <w:link w:val="JuPara"/>
    <w:rsid w:val="000F7457"/>
    <w:rPr>
      <w:rFonts w:eastAsia="Times New Roman"/>
      <w:szCs w:val="20"/>
      <w:lang w:val="en-GB" w:eastAsia="fr-FR"/>
    </w:rPr>
  </w:style>
  <w:style w:type="character" w:styleId="Hyperlink">
    <w:name w:val="Hyperlink"/>
    <w:basedOn w:val="DefaultParagraphFont"/>
    <w:uiPriority w:val="99"/>
    <w:unhideWhenUsed/>
    <w:rsid w:val="00FA705F"/>
    <w:rPr>
      <w:color w:val="0563C1" w:themeColor="hyperlink"/>
      <w:u w:val="single"/>
    </w:rPr>
  </w:style>
  <w:style w:type="character" w:customStyle="1" w:styleId="UnresolvedMention1">
    <w:name w:val="Unresolved Mention1"/>
    <w:basedOn w:val="DefaultParagraphFont"/>
    <w:uiPriority w:val="99"/>
    <w:semiHidden/>
    <w:unhideWhenUsed/>
    <w:rsid w:val="00FA705F"/>
    <w:rPr>
      <w:color w:val="605E5C"/>
      <w:shd w:val="clear" w:color="auto" w:fill="E1DFDD"/>
    </w:rPr>
  </w:style>
  <w:style w:type="paragraph" w:styleId="Revision">
    <w:name w:val="Revision"/>
    <w:hidden/>
    <w:uiPriority w:val="99"/>
    <w:semiHidden/>
    <w:rsid w:val="00167D15"/>
    <w:pPr>
      <w:spacing w:line="240" w:lineRule="auto"/>
    </w:pPr>
  </w:style>
  <w:style w:type="character" w:styleId="CommentReference">
    <w:name w:val="annotation reference"/>
    <w:basedOn w:val="DefaultParagraphFont"/>
    <w:uiPriority w:val="99"/>
    <w:semiHidden/>
    <w:unhideWhenUsed/>
    <w:rsid w:val="00AB0B57"/>
    <w:rPr>
      <w:sz w:val="16"/>
      <w:szCs w:val="16"/>
    </w:rPr>
  </w:style>
  <w:style w:type="paragraph" w:styleId="CommentText">
    <w:name w:val="annotation text"/>
    <w:basedOn w:val="Normal"/>
    <w:link w:val="CommentTextChar"/>
    <w:uiPriority w:val="99"/>
    <w:unhideWhenUsed/>
    <w:rsid w:val="00AB0B57"/>
    <w:pPr>
      <w:spacing w:line="240" w:lineRule="auto"/>
    </w:pPr>
    <w:rPr>
      <w:sz w:val="20"/>
      <w:szCs w:val="20"/>
    </w:rPr>
  </w:style>
  <w:style w:type="character" w:customStyle="1" w:styleId="CommentTextChar">
    <w:name w:val="Comment Text Char"/>
    <w:basedOn w:val="DefaultParagraphFont"/>
    <w:link w:val="CommentText"/>
    <w:uiPriority w:val="99"/>
    <w:rsid w:val="00AB0B57"/>
    <w:rPr>
      <w:sz w:val="20"/>
      <w:szCs w:val="20"/>
    </w:rPr>
  </w:style>
  <w:style w:type="paragraph" w:styleId="CommentSubject">
    <w:name w:val="annotation subject"/>
    <w:basedOn w:val="CommentText"/>
    <w:next w:val="CommentText"/>
    <w:link w:val="CommentSubjectChar"/>
    <w:uiPriority w:val="99"/>
    <w:semiHidden/>
    <w:unhideWhenUsed/>
    <w:rsid w:val="00AB0B57"/>
    <w:rPr>
      <w:b/>
      <w:bCs/>
    </w:rPr>
  </w:style>
  <w:style w:type="character" w:customStyle="1" w:styleId="CommentSubjectChar">
    <w:name w:val="Comment Subject Char"/>
    <w:basedOn w:val="CommentTextChar"/>
    <w:link w:val="CommentSubject"/>
    <w:uiPriority w:val="99"/>
    <w:semiHidden/>
    <w:rsid w:val="00AB0B57"/>
    <w:rPr>
      <w:b/>
      <w:bCs/>
      <w:sz w:val="20"/>
      <w:szCs w:val="20"/>
    </w:rPr>
  </w:style>
  <w:style w:type="table" w:styleId="TableGrid">
    <w:name w:val="Table Grid"/>
    <w:basedOn w:val="TableNormal"/>
    <w:uiPriority w:val="39"/>
    <w:rsid w:val="00DB11A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95456">
      <w:bodyDiv w:val="1"/>
      <w:marLeft w:val="0"/>
      <w:marRight w:val="0"/>
      <w:marTop w:val="0"/>
      <w:marBottom w:val="0"/>
      <w:divBdr>
        <w:top w:val="none" w:sz="0" w:space="0" w:color="auto"/>
        <w:left w:val="none" w:sz="0" w:space="0" w:color="auto"/>
        <w:bottom w:val="none" w:sz="0" w:space="0" w:color="auto"/>
        <w:right w:val="none" w:sz="0" w:space="0" w:color="auto"/>
      </w:divBdr>
    </w:div>
    <w:div w:id="294411248">
      <w:bodyDiv w:val="1"/>
      <w:marLeft w:val="0"/>
      <w:marRight w:val="0"/>
      <w:marTop w:val="0"/>
      <w:marBottom w:val="0"/>
      <w:divBdr>
        <w:top w:val="none" w:sz="0" w:space="0" w:color="auto"/>
        <w:left w:val="none" w:sz="0" w:space="0" w:color="auto"/>
        <w:bottom w:val="none" w:sz="0" w:space="0" w:color="auto"/>
        <w:right w:val="none" w:sz="0" w:space="0" w:color="auto"/>
      </w:divBdr>
    </w:div>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sChild>
    </w:div>
    <w:div w:id="1494292481">
      <w:bodyDiv w:val="1"/>
      <w:marLeft w:val="0"/>
      <w:marRight w:val="0"/>
      <w:marTop w:val="0"/>
      <w:marBottom w:val="0"/>
      <w:divBdr>
        <w:top w:val="none" w:sz="0" w:space="0" w:color="auto"/>
        <w:left w:val="none" w:sz="0" w:space="0" w:color="auto"/>
        <w:bottom w:val="none" w:sz="0" w:space="0" w:color="auto"/>
        <w:right w:val="none" w:sz="0" w:space="0" w:color="auto"/>
      </w:divBdr>
      <w:divsChild>
        <w:div w:id="917137493">
          <w:marLeft w:val="0"/>
          <w:marRight w:val="0"/>
          <w:marTop w:val="0"/>
          <w:marBottom w:val="0"/>
          <w:divBdr>
            <w:top w:val="none" w:sz="0" w:space="0" w:color="auto"/>
            <w:left w:val="none" w:sz="0" w:space="0" w:color="auto"/>
            <w:bottom w:val="none" w:sz="0" w:space="0" w:color="auto"/>
            <w:right w:val="none" w:sz="0" w:space="0" w:color="auto"/>
          </w:divBdr>
          <w:divsChild>
            <w:div w:id="346293933">
              <w:marLeft w:val="0"/>
              <w:marRight w:val="0"/>
              <w:marTop w:val="0"/>
              <w:marBottom w:val="0"/>
              <w:divBdr>
                <w:top w:val="none" w:sz="0" w:space="0" w:color="auto"/>
                <w:left w:val="none" w:sz="0" w:space="0" w:color="auto"/>
                <w:bottom w:val="none" w:sz="0" w:space="0" w:color="auto"/>
                <w:right w:val="none" w:sz="0" w:space="0" w:color="auto"/>
              </w:divBdr>
              <w:divsChild>
                <w:div w:id="1445153480">
                  <w:marLeft w:val="0"/>
                  <w:marRight w:val="0"/>
                  <w:marTop w:val="0"/>
                  <w:marBottom w:val="0"/>
                  <w:divBdr>
                    <w:top w:val="none" w:sz="0" w:space="0" w:color="auto"/>
                    <w:left w:val="none" w:sz="0" w:space="0" w:color="auto"/>
                    <w:bottom w:val="none" w:sz="0" w:space="0" w:color="auto"/>
                    <w:right w:val="none" w:sz="0" w:space="0" w:color="auto"/>
                  </w:divBdr>
                  <w:divsChild>
                    <w:div w:id="1582913764">
                      <w:marLeft w:val="0"/>
                      <w:marRight w:val="0"/>
                      <w:marTop w:val="0"/>
                      <w:marBottom w:val="0"/>
                      <w:divBdr>
                        <w:top w:val="none" w:sz="0" w:space="0" w:color="auto"/>
                        <w:left w:val="none" w:sz="0" w:space="0" w:color="auto"/>
                        <w:bottom w:val="none" w:sz="0" w:space="0" w:color="auto"/>
                        <w:right w:val="none" w:sz="0" w:space="0" w:color="auto"/>
                      </w:divBdr>
                      <w:divsChild>
                        <w:div w:id="1600597283">
                          <w:marLeft w:val="0"/>
                          <w:marRight w:val="0"/>
                          <w:marTop w:val="0"/>
                          <w:marBottom w:val="0"/>
                          <w:divBdr>
                            <w:top w:val="none" w:sz="0" w:space="0" w:color="auto"/>
                            <w:left w:val="none" w:sz="0" w:space="0" w:color="auto"/>
                            <w:bottom w:val="none" w:sz="0" w:space="0" w:color="auto"/>
                            <w:right w:val="none" w:sz="0" w:space="0" w:color="auto"/>
                          </w:divBdr>
                        </w:div>
                        <w:div w:id="473302118">
                          <w:marLeft w:val="0"/>
                          <w:marRight w:val="0"/>
                          <w:marTop w:val="0"/>
                          <w:marBottom w:val="0"/>
                          <w:divBdr>
                            <w:top w:val="none" w:sz="0" w:space="0" w:color="auto"/>
                            <w:left w:val="none" w:sz="0" w:space="0" w:color="auto"/>
                            <w:bottom w:val="none" w:sz="0" w:space="0" w:color="auto"/>
                            <w:right w:val="none" w:sz="0" w:space="0" w:color="auto"/>
                          </w:divBdr>
                        </w:div>
                        <w:div w:id="1116022688">
                          <w:marLeft w:val="0"/>
                          <w:marRight w:val="0"/>
                          <w:marTop w:val="0"/>
                          <w:marBottom w:val="0"/>
                          <w:divBdr>
                            <w:top w:val="none" w:sz="0" w:space="0" w:color="auto"/>
                            <w:left w:val="none" w:sz="0" w:space="0" w:color="auto"/>
                            <w:bottom w:val="none" w:sz="0" w:space="0" w:color="auto"/>
                            <w:right w:val="none" w:sz="0" w:space="0" w:color="auto"/>
                          </w:divBdr>
                        </w:div>
                        <w:div w:id="1209684340">
                          <w:marLeft w:val="0"/>
                          <w:marRight w:val="0"/>
                          <w:marTop w:val="0"/>
                          <w:marBottom w:val="0"/>
                          <w:divBdr>
                            <w:top w:val="none" w:sz="0" w:space="0" w:color="auto"/>
                            <w:left w:val="none" w:sz="0" w:space="0" w:color="auto"/>
                            <w:bottom w:val="none" w:sz="0" w:space="0" w:color="auto"/>
                            <w:right w:val="none" w:sz="0" w:space="0" w:color="auto"/>
                          </w:divBdr>
                        </w:div>
                        <w:div w:id="168547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762345">
                  <w:marLeft w:val="0"/>
                  <w:marRight w:val="0"/>
                  <w:marTop w:val="0"/>
                  <w:marBottom w:val="0"/>
                  <w:divBdr>
                    <w:top w:val="none" w:sz="0" w:space="0" w:color="auto"/>
                    <w:left w:val="none" w:sz="0" w:space="0" w:color="auto"/>
                    <w:bottom w:val="none" w:sz="0" w:space="0" w:color="auto"/>
                    <w:right w:val="none" w:sz="0" w:space="0" w:color="auto"/>
                  </w:divBdr>
                  <w:divsChild>
                    <w:div w:id="2143183786">
                      <w:marLeft w:val="0"/>
                      <w:marRight w:val="0"/>
                      <w:marTop w:val="0"/>
                      <w:marBottom w:val="0"/>
                      <w:divBdr>
                        <w:top w:val="none" w:sz="0" w:space="0" w:color="auto"/>
                        <w:left w:val="none" w:sz="0" w:space="0" w:color="auto"/>
                        <w:bottom w:val="none" w:sz="0" w:space="0" w:color="auto"/>
                        <w:right w:val="none" w:sz="0" w:space="0" w:color="auto"/>
                      </w:divBdr>
                    </w:div>
                    <w:div w:id="61625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972496">
          <w:marLeft w:val="0"/>
          <w:marRight w:val="0"/>
          <w:marTop w:val="0"/>
          <w:marBottom w:val="0"/>
          <w:divBdr>
            <w:top w:val="none" w:sz="0" w:space="0" w:color="auto"/>
            <w:left w:val="none" w:sz="0" w:space="0" w:color="auto"/>
            <w:bottom w:val="none" w:sz="0" w:space="0" w:color="auto"/>
            <w:right w:val="none" w:sz="0" w:space="0" w:color="auto"/>
          </w:divBdr>
          <w:divsChild>
            <w:div w:id="121728185">
              <w:marLeft w:val="0"/>
              <w:marRight w:val="0"/>
              <w:marTop w:val="0"/>
              <w:marBottom w:val="0"/>
              <w:divBdr>
                <w:top w:val="none" w:sz="0" w:space="0" w:color="auto"/>
                <w:left w:val="none" w:sz="0" w:space="0" w:color="auto"/>
                <w:bottom w:val="none" w:sz="0" w:space="0" w:color="auto"/>
                <w:right w:val="none" w:sz="0" w:space="0" w:color="auto"/>
              </w:divBdr>
              <w:divsChild>
                <w:div w:id="96019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757134">
          <w:marLeft w:val="0"/>
          <w:marRight w:val="0"/>
          <w:marTop w:val="0"/>
          <w:marBottom w:val="0"/>
          <w:divBdr>
            <w:top w:val="none" w:sz="0" w:space="0" w:color="auto"/>
            <w:left w:val="none" w:sz="0" w:space="0" w:color="auto"/>
            <w:bottom w:val="none" w:sz="0" w:space="0" w:color="auto"/>
            <w:right w:val="none" w:sz="0" w:space="0" w:color="auto"/>
          </w:divBdr>
          <w:divsChild>
            <w:div w:id="1365521934">
              <w:marLeft w:val="0"/>
              <w:marRight w:val="0"/>
              <w:marTop w:val="0"/>
              <w:marBottom w:val="0"/>
              <w:divBdr>
                <w:top w:val="none" w:sz="0" w:space="0" w:color="auto"/>
                <w:left w:val="none" w:sz="0" w:space="0" w:color="auto"/>
                <w:bottom w:val="none" w:sz="0" w:space="0" w:color="auto"/>
                <w:right w:val="none" w:sz="0" w:space="0" w:color="auto"/>
              </w:divBdr>
              <w:divsChild>
                <w:div w:id="1081678492">
                  <w:marLeft w:val="0"/>
                  <w:marRight w:val="0"/>
                  <w:marTop w:val="0"/>
                  <w:marBottom w:val="0"/>
                  <w:divBdr>
                    <w:top w:val="none" w:sz="0" w:space="0" w:color="auto"/>
                    <w:left w:val="none" w:sz="0" w:space="0" w:color="auto"/>
                    <w:bottom w:val="none" w:sz="0" w:space="0" w:color="auto"/>
                    <w:right w:val="none" w:sz="0" w:space="0" w:color="auto"/>
                  </w:divBdr>
                  <w:divsChild>
                    <w:div w:id="32116218">
                      <w:marLeft w:val="0"/>
                      <w:marRight w:val="0"/>
                      <w:marTop w:val="0"/>
                      <w:marBottom w:val="0"/>
                      <w:divBdr>
                        <w:top w:val="none" w:sz="0" w:space="0" w:color="auto"/>
                        <w:left w:val="none" w:sz="0" w:space="0" w:color="auto"/>
                        <w:bottom w:val="none" w:sz="0" w:space="0" w:color="auto"/>
                        <w:right w:val="none" w:sz="0" w:space="0" w:color="auto"/>
                      </w:divBdr>
                      <w:divsChild>
                        <w:div w:id="1689133358">
                          <w:marLeft w:val="0"/>
                          <w:marRight w:val="0"/>
                          <w:marTop w:val="0"/>
                          <w:marBottom w:val="0"/>
                          <w:divBdr>
                            <w:top w:val="none" w:sz="0" w:space="0" w:color="auto"/>
                            <w:left w:val="none" w:sz="0" w:space="0" w:color="auto"/>
                            <w:bottom w:val="none" w:sz="0" w:space="0" w:color="auto"/>
                            <w:right w:val="none" w:sz="0" w:space="0" w:color="auto"/>
                          </w:divBdr>
                          <w:divsChild>
                            <w:div w:id="350567204">
                              <w:marLeft w:val="0"/>
                              <w:marRight w:val="0"/>
                              <w:marTop w:val="0"/>
                              <w:marBottom w:val="0"/>
                              <w:divBdr>
                                <w:top w:val="none" w:sz="0" w:space="0" w:color="auto"/>
                                <w:left w:val="none" w:sz="0" w:space="0" w:color="auto"/>
                                <w:bottom w:val="none" w:sz="0" w:space="0" w:color="auto"/>
                                <w:right w:val="none" w:sz="0" w:space="0" w:color="auto"/>
                              </w:divBdr>
                              <w:divsChild>
                                <w:div w:id="1874344139">
                                  <w:marLeft w:val="0"/>
                                  <w:marRight w:val="0"/>
                                  <w:marTop w:val="0"/>
                                  <w:marBottom w:val="0"/>
                                  <w:divBdr>
                                    <w:top w:val="none" w:sz="0" w:space="0" w:color="auto"/>
                                    <w:left w:val="none" w:sz="0" w:space="0" w:color="auto"/>
                                    <w:bottom w:val="none" w:sz="0" w:space="0" w:color="auto"/>
                                    <w:right w:val="none" w:sz="0" w:space="0" w:color="auto"/>
                                  </w:divBdr>
                                </w:div>
                                <w:div w:id="1593733725">
                                  <w:marLeft w:val="0"/>
                                  <w:marRight w:val="0"/>
                                  <w:marTop w:val="0"/>
                                  <w:marBottom w:val="0"/>
                                  <w:divBdr>
                                    <w:top w:val="none" w:sz="0" w:space="0" w:color="auto"/>
                                    <w:left w:val="none" w:sz="0" w:space="0" w:color="auto"/>
                                    <w:bottom w:val="none" w:sz="0" w:space="0" w:color="auto"/>
                                    <w:right w:val="none" w:sz="0" w:space="0" w:color="auto"/>
                                  </w:divBdr>
                                </w:div>
                                <w:div w:id="183787982">
                                  <w:marLeft w:val="0"/>
                                  <w:marRight w:val="0"/>
                                  <w:marTop w:val="0"/>
                                  <w:marBottom w:val="0"/>
                                  <w:divBdr>
                                    <w:top w:val="none" w:sz="0" w:space="0" w:color="auto"/>
                                    <w:left w:val="none" w:sz="0" w:space="0" w:color="auto"/>
                                    <w:bottom w:val="none" w:sz="0" w:space="0" w:color="auto"/>
                                    <w:right w:val="none" w:sz="0" w:space="0" w:color="auto"/>
                                  </w:divBdr>
                                </w:div>
                                <w:div w:id="1321544672">
                                  <w:marLeft w:val="0"/>
                                  <w:marRight w:val="0"/>
                                  <w:marTop w:val="0"/>
                                  <w:marBottom w:val="0"/>
                                  <w:divBdr>
                                    <w:top w:val="none" w:sz="0" w:space="0" w:color="auto"/>
                                    <w:left w:val="none" w:sz="0" w:space="0" w:color="auto"/>
                                    <w:bottom w:val="none" w:sz="0" w:space="0" w:color="auto"/>
                                    <w:right w:val="none" w:sz="0" w:space="0" w:color="auto"/>
                                  </w:divBdr>
                                </w:div>
                                <w:div w:id="133387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458602">
                      <w:marLeft w:val="0"/>
                      <w:marRight w:val="0"/>
                      <w:marTop w:val="0"/>
                      <w:marBottom w:val="0"/>
                      <w:divBdr>
                        <w:top w:val="none" w:sz="0" w:space="0" w:color="auto"/>
                        <w:left w:val="none" w:sz="0" w:space="0" w:color="auto"/>
                        <w:bottom w:val="none" w:sz="0" w:space="0" w:color="auto"/>
                        <w:right w:val="none" w:sz="0" w:space="0" w:color="auto"/>
                      </w:divBdr>
                      <w:divsChild>
                        <w:div w:id="1400902972">
                          <w:marLeft w:val="0"/>
                          <w:marRight w:val="0"/>
                          <w:marTop w:val="0"/>
                          <w:marBottom w:val="0"/>
                          <w:divBdr>
                            <w:top w:val="none" w:sz="0" w:space="0" w:color="auto"/>
                            <w:left w:val="none" w:sz="0" w:space="0" w:color="auto"/>
                            <w:bottom w:val="none" w:sz="0" w:space="0" w:color="auto"/>
                            <w:right w:val="none" w:sz="0" w:space="0" w:color="auto"/>
                          </w:divBdr>
                          <w:divsChild>
                            <w:div w:id="1738505924">
                              <w:marLeft w:val="0"/>
                              <w:marRight w:val="0"/>
                              <w:marTop w:val="0"/>
                              <w:marBottom w:val="0"/>
                              <w:divBdr>
                                <w:top w:val="none" w:sz="0" w:space="0" w:color="auto"/>
                                <w:left w:val="none" w:sz="0" w:space="0" w:color="auto"/>
                                <w:bottom w:val="none" w:sz="0" w:space="0" w:color="auto"/>
                                <w:right w:val="none" w:sz="0" w:space="0" w:color="auto"/>
                              </w:divBdr>
                              <w:divsChild>
                                <w:div w:id="888498358">
                                  <w:marLeft w:val="0"/>
                                  <w:marRight w:val="0"/>
                                  <w:marTop w:val="0"/>
                                  <w:marBottom w:val="0"/>
                                  <w:divBdr>
                                    <w:top w:val="none" w:sz="0" w:space="0" w:color="auto"/>
                                    <w:left w:val="none" w:sz="0" w:space="0" w:color="auto"/>
                                    <w:bottom w:val="none" w:sz="0" w:space="0" w:color="auto"/>
                                    <w:right w:val="none" w:sz="0" w:space="0" w:color="auto"/>
                                  </w:divBdr>
                                </w:div>
                                <w:div w:id="1097599826">
                                  <w:marLeft w:val="0"/>
                                  <w:marRight w:val="0"/>
                                  <w:marTop w:val="0"/>
                                  <w:marBottom w:val="0"/>
                                  <w:divBdr>
                                    <w:top w:val="none" w:sz="0" w:space="0" w:color="auto"/>
                                    <w:left w:val="none" w:sz="0" w:space="0" w:color="auto"/>
                                    <w:bottom w:val="none" w:sz="0" w:space="0" w:color="auto"/>
                                    <w:right w:val="none" w:sz="0" w:space="0" w:color="auto"/>
                                  </w:divBdr>
                                </w:div>
                                <w:div w:id="1376851673">
                                  <w:marLeft w:val="0"/>
                                  <w:marRight w:val="0"/>
                                  <w:marTop w:val="0"/>
                                  <w:marBottom w:val="0"/>
                                  <w:divBdr>
                                    <w:top w:val="none" w:sz="0" w:space="0" w:color="auto"/>
                                    <w:left w:val="none" w:sz="0" w:space="0" w:color="auto"/>
                                    <w:bottom w:val="none" w:sz="0" w:space="0" w:color="auto"/>
                                    <w:right w:val="none" w:sz="0" w:space="0" w:color="auto"/>
                                  </w:divBdr>
                                </w:div>
                                <w:div w:id="213328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259037">
          <w:marLeft w:val="0"/>
          <w:marRight w:val="0"/>
          <w:marTop w:val="0"/>
          <w:marBottom w:val="0"/>
          <w:divBdr>
            <w:top w:val="none" w:sz="0" w:space="0" w:color="auto"/>
            <w:left w:val="none" w:sz="0" w:space="0" w:color="auto"/>
            <w:bottom w:val="none" w:sz="0" w:space="0" w:color="auto"/>
            <w:right w:val="none" w:sz="0" w:space="0" w:color="auto"/>
          </w:divBdr>
          <w:divsChild>
            <w:div w:id="722561142">
              <w:marLeft w:val="0"/>
              <w:marRight w:val="0"/>
              <w:marTop w:val="0"/>
              <w:marBottom w:val="0"/>
              <w:divBdr>
                <w:top w:val="none" w:sz="0" w:space="0" w:color="auto"/>
                <w:left w:val="none" w:sz="0" w:space="0" w:color="auto"/>
                <w:bottom w:val="none" w:sz="0" w:space="0" w:color="auto"/>
                <w:right w:val="none" w:sz="0" w:space="0" w:color="auto"/>
              </w:divBdr>
              <w:divsChild>
                <w:div w:id="53014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0523">
          <w:marLeft w:val="0"/>
          <w:marRight w:val="0"/>
          <w:marTop w:val="0"/>
          <w:marBottom w:val="0"/>
          <w:divBdr>
            <w:top w:val="none" w:sz="0" w:space="0" w:color="auto"/>
            <w:left w:val="none" w:sz="0" w:space="0" w:color="auto"/>
            <w:bottom w:val="none" w:sz="0" w:space="0" w:color="auto"/>
            <w:right w:val="none" w:sz="0" w:space="0" w:color="auto"/>
          </w:divBdr>
          <w:divsChild>
            <w:div w:id="1510366595">
              <w:marLeft w:val="0"/>
              <w:marRight w:val="0"/>
              <w:marTop w:val="0"/>
              <w:marBottom w:val="0"/>
              <w:divBdr>
                <w:top w:val="none" w:sz="0" w:space="0" w:color="auto"/>
                <w:left w:val="none" w:sz="0" w:space="0" w:color="auto"/>
                <w:bottom w:val="none" w:sz="0" w:space="0" w:color="auto"/>
                <w:right w:val="none" w:sz="0" w:space="0" w:color="auto"/>
              </w:divBdr>
              <w:divsChild>
                <w:div w:id="1442994488">
                  <w:marLeft w:val="0"/>
                  <w:marRight w:val="0"/>
                  <w:marTop w:val="0"/>
                  <w:marBottom w:val="0"/>
                  <w:divBdr>
                    <w:top w:val="none" w:sz="0" w:space="0" w:color="auto"/>
                    <w:left w:val="none" w:sz="0" w:space="0" w:color="auto"/>
                    <w:bottom w:val="none" w:sz="0" w:space="0" w:color="auto"/>
                    <w:right w:val="none" w:sz="0" w:space="0" w:color="auto"/>
                  </w:divBdr>
                  <w:divsChild>
                    <w:div w:id="397870036">
                      <w:marLeft w:val="0"/>
                      <w:marRight w:val="0"/>
                      <w:marTop w:val="0"/>
                      <w:marBottom w:val="0"/>
                      <w:divBdr>
                        <w:top w:val="none" w:sz="0" w:space="0" w:color="auto"/>
                        <w:left w:val="none" w:sz="0" w:space="0" w:color="auto"/>
                        <w:bottom w:val="none" w:sz="0" w:space="0" w:color="auto"/>
                        <w:right w:val="none" w:sz="0" w:space="0" w:color="auto"/>
                      </w:divBdr>
                      <w:divsChild>
                        <w:div w:id="296227678">
                          <w:marLeft w:val="0"/>
                          <w:marRight w:val="0"/>
                          <w:marTop w:val="0"/>
                          <w:marBottom w:val="0"/>
                          <w:divBdr>
                            <w:top w:val="none" w:sz="0" w:space="0" w:color="auto"/>
                            <w:left w:val="none" w:sz="0" w:space="0" w:color="auto"/>
                            <w:bottom w:val="none" w:sz="0" w:space="0" w:color="auto"/>
                            <w:right w:val="none" w:sz="0" w:space="0" w:color="auto"/>
                          </w:divBdr>
                          <w:divsChild>
                            <w:div w:id="478812572">
                              <w:marLeft w:val="0"/>
                              <w:marRight w:val="0"/>
                              <w:marTop w:val="0"/>
                              <w:marBottom w:val="0"/>
                              <w:divBdr>
                                <w:top w:val="none" w:sz="0" w:space="0" w:color="auto"/>
                                <w:left w:val="none" w:sz="0" w:space="0" w:color="auto"/>
                                <w:bottom w:val="none" w:sz="0" w:space="0" w:color="auto"/>
                                <w:right w:val="none" w:sz="0" w:space="0" w:color="auto"/>
                              </w:divBdr>
                              <w:divsChild>
                                <w:div w:id="932786182">
                                  <w:marLeft w:val="0"/>
                                  <w:marRight w:val="0"/>
                                  <w:marTop w:val="0"/>
                                  <w:marBottom w:val="0"/>
                                  <w:divBdr>
                                    <w:top w:val="none" w:sz="0" w:space="0" w:color="auto"/>
                                    <w:left w:val="none" w:sz="0" w:space="0" w:color="auto"/>
                                    <w:bottom w:val="none" w:sz="0" w:space="0" w:color="auto"/>
                                    <w:right w:val="none" w:sz="0" w:space="0" w:color="auto"/>
                                  </w:divBdr>
                                </w:div>
                                <w:div w:id="1171412075">
                                  <w:marLeft w:val="0"/>
                                  <w:marRight w:val="0"/>
                                  <w:marTop w:val="0"/>
                                  <w:marBottom w:val="0"/>
                                  <w:divBdr>
                                    <w:top w:val="none" w:sz="0" w:space="0" w:color="auto"/>
                                    <w:left w:val="none" w:sz="0" w:space="0" w:color="auto"/>
                                    <w:bottom w:val="none" w:sz="0" w:space="0" w:color="auto"/>
                                    <w:right w:val="none" w:sz="0" w:space="0" w:color="auto"/>
                                  </w:divBdr>
                                  <w:divsChild>
                                    <w:div w:id="179721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897665">
          <w:marLeft w:val="0"/>
          <w:marRight w:val="0"/>
          <w:marTop w:val="0"/>
          <w:marBottom w:val="0"/>
          <w:divBdr>
            <w:top w:val="none" w:sz="0" w:space="0" w:color="auto"/>
            <w:left w:val="none" w:sz="0" w:space="0" w:color="auto"/>
            <w:bottom w:val="none" w:sz="0" w:space="0" w:color="auto"/>
            <w:right w:val="none" w:sz="0" w:space="0" w:color="auto"/>
          </w:divBdr>
        </w:div>
        <w:div w:id="2008745018">
          <w:marLeft w:val="0"/>
          <w:marRight w:val="0"/>
          <w:marTop w:val="0"/>
          <w:marBottom w:val="0"/>
          <w:divBdr>
            <w:top w:val="none" w:sz="0" w:space="0" w:color="auto"/>
            <w:left w:val="none" w:sz="0" w:space="0" w:color="auto"/>
            <w:bottom w:val="none" w:sz="0" w:space="0" w:color="auto"/>
            <w:right w:val="none" w:sz="0" w:space="0" w:color="auto"/>
          </w:divBdr>
        </w:div>
        <w:div w:id="1101995014">
          <w:marLeft w:val="0"/>
          <w:marRight w:val="0"/>
          <w:marTop w:val="0"/>
          <w:marBottom w:val="0"/>
          <w:divBdr>
            <w:top w:val="none" w:sz="0" w:space="0" w:color="auto"/>
            <w:left w:val="none" w:sz="0" w:space="0" w:color="auto"/>
            <w:bottom w:val="none" w:sz="0" w:space="0" w:color="auto"/>
            <w:right w:val="none" w:sz="0" w:space="0" w:color="auto"/>
          </w:divBdr>
          <w:divsChild>
            <w:div w:id="1695376643">
              <w:marLeft w:val="0"/>
              <w:marRight w:val="0"/>
              <w:marTop w:val="0"/>
              <w:marBottom w:val="0"/>
              <w:divBdr>
                <w:top w:val="none" w:sz="0" w:space="0" w:color="auto"/>
                <w:left w:val="none" w:sz="0" w:space="0" w:color="auto"/>
                <w:bottom w:val="none" w:sz="0" w:space="0" w:color="auto"/>
                <w:right w:val="none" w:sz="0" w:space="0" w:color="auto"/>
              </w:divBdr>
              <w:divsChild>
                <w:div w:id="106837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474671">
          <w:marLeft w:val="0"/>
          <w:marRight w:val="0"/>
          <w:marTop w:val="0"/>
          <w:marBottom w:val="0"/>
          <w:divBdr>
            <w:top w:val="none" w:sz="0" w:space="0" w:color="auto"/>
            <w:left w:val="none" w:sz="0" w:space="0" w:color="auto"/>
            <w:bottom w:val="none" w:sz="0" w:space="0" w:color="auto"/>
            <w:right w:val="none" w:sz="0" w:space="0" w:color="auto"/>
          </w:divBdr>
          <w:divsChild>
            <w:div w:id="1062217069">
              <w:marLeft w:val="0"/>
              <w:marRight w:val="0"/>
              <w:marTop w:val="0"/>
              <w:marBottom w:val="0"/>
              <w:divBdr>
                <w:top w:val="none" w:sz="0" w:space="0" w:color="auto"/>
                <w:left w:val="none" w:sz="0" w:space="0" w:color="auto"/>
                <w:bottom w:val="none" w:sz="0" w:space="0" w:color="auto"/>
                <w:right w:val="none" w:sz="0" w:space="0" w:color="auto"/>
              </w:divBdr>
              <w:divsChild>
                <w:div w:id="185798552">
                  <w:marLeft w:val="0"/>
                  <w:marRight w:val="0"/>
                  <w:marTop w:val="0"/>
                  <w:marBottom w:val="0"/>
                  <w:divBdr>
                    <w:top w:val="none" w:sz="0" w:space="0" w:color="auto"/>
                    <w:left w:val="none" w:sz="0" w:space="0" w:color="auto"/>
                    <w:bottom w:val="none" w:sz="0" w:space="0" w:color="auto"/>
                    <w:right w:val="none" w:sz="0" w:space="0" w:color="auto"/>
                  </w:divBdr>
                  <w:divsChild>
                    <w:div w:id="490098446">
                      <w:marLeft w:val="0"/>
                      <w:marRight w:val="0"/>
                      <w:marTop w:val="0"/>
                      <w:marBottom w:val="0"/>
                      <w:divBdr>
                        <w:top w:val="none" w:sz="0" w:space="0" w:color="auto"/>
                        <w:left w:val="none" w:sz="0" w:space="0" w:color="auto"/>
                        <w:bottom w:val="none" w:sz="0" w:space="0" w:color="auto"/>
                        <w:right w:val="none" w:sz="0" w:space="0" w:color="auto"/>
                      </w:divBdr>
                    </w:div>
                    <w:div w:id="1459453547">
                      <w:marLeft w:val="0"/>
                      <w:marRight w:val="0"/>
                      <w:marTop w:val="0"/>
                      <w:marBottom w:val="0"/>
                      <w:divBdr>
                        <w:top w:val="none" w:sz="0" w:space="0" w:color="auto"/>
                        <w:left w:val="none" w:sz="0" w:space="0" w:color="auto"/>
                        <w:bottom w:val="none" w:sz="0" w:space="0" w:color="auto"/>
                        <w:right w:val="none" w:sz="0" w:space="0" w:color="auto"/>
                      </w:divBdr>
                      <w:divsChild>
                        <w:div w:id="192167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394376">
          <w:marLeft w:val="0"/>
          <w:marRight w:val="0"/>
          <w:marTop w:val="0"/>
          <w:marBottom w:val="0"/>
          <w:divBdr>
            <w:top w:val="none" w:sz="0" w:space="0" w:color="auto"/>
            <w:left w:val="none" w:sz="0" w:space="0" w:color="auto"/>
            <w:bottom w:val="none" w:sz="0" w:space="0" w:color="auto"/>
            <w:right w:val="none" w:sz="0" w:space="0" w:color="auto"/>
          </w:divBdr>
          <w:divsChild>
            <w:div w:id="549850154">
              <w:marLeft w:val="0"/>
              <w:marRight w:val="0"/>
              <w:marTop w:val="0"/>
              <w:marBottom w:val="0"/>
              <w:divBdr>
                <w:top w:val="none" w:sz="0" w:space="0" w:color="auto"/>
                <w:left w:val="none" w:sz="0" w:space="0" w:color="auto"/>
                <w:bottom w:val="none" w:sz="0" w:space="0" w:color="auto"/>
                <w:right w:val="none" w:sz="0" w:space="0" w:color="auto"/>
              </w:divBdr>
              <w:divsChild>
                <w:div w:id="2078895176">
                  <w:marLeft w:val="0"/>
                  <w:marRight w:val="0"/>
                  <w:marTop w:val="0"/>
                  <w:marBottom w:val="0"/>
                  <w:divBdr>
                    <w:top w:val="none" w:sz="0" w:space="0" w:color="auto"/>
                    <w:left w:val="none" w:sz="0" w:space="0" w:color="auto"/>
                    <w:bottom w:val="none" w:sz="0" w:space="0" w:color="auto"/>
                    <w:right w:val="none" w:sz="0" w:space="0" w:color="auto"/>
                  </w:divBdr>
                  <w:divsChild>
                    <w:div w:id="28732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367348">
          <w:marLeft w:val="0"/>
          <w:marRight w:val="0"/>
          <w:marTop w:val="0"/>
          <w:marBottom w:val="0"/>
          <w:divBdr>
            <w:top w:val="none" w:sz="0" w:space="0" w:color="auto"/>
            <w:left w:val="none" w:sz="0" w:space="0" w:color="auto"/>
            <w:bottom w:val="none" w:sz="0" w:space="0" w:color="auto"/>
            <w:right w:val="none" w:sz="0" w:space="0" w:color="auto"/>
          </w:divBdr>
          <w:divsChild>
            <w:div w:id="989210067">
              <w:marLeft w:val="0"/>
              <w:marRight w:val="0"/>
              <w:marTop w:val="0"/>
              <w:marBottom w:val="0"/>
              <w:divBdr>
                <w:top w:val="none" w:sz="0" w:space="0" w:color="auto"/>
                <w:left w:val="none" w:sz="0" w:space="0" w:color="auto"/>
                <w:bottom w:val="none" w:sz="0" w:space="0" w:color="auto"/>
                <w:right w:val="none" w:sz="0" w:space="0" w:color="auto"/>
              </w:divBdr>
              <w:divsChild>
                <w:div w:id="949429726">
                  <w:marLeft w:val="0"/>
                  <w:marRight w:val="0"/>
                  <w:marTop w:val="0"/>
                  <w:marBottom w:val="0"/>
                  <w:divBdr>
                    <w:top w:val="none" w:sz="0" w:space="0" w:color="auto"/>
                    <w:left w:val="none" w:sz="0" w:space="0" w:color="auto"/>
                    <w:bottom w:val="none" w:sz="0" w:space="0" w:color="auto"/>
                    <w:right w:val="none" w:sz="0" w:space="0" w:color="auto"/>
                  </w:divBdr>
                  <w:divsChild>
                    <w:div w:id="37976064">
                      <w:marLeft w:val="0"/>
                      <w:marRight w:val="0"/>
                      <w:marTop w:val="0"/>
                      <w:marBottom w:val="0"/>
                      <w:divBdr>
                        <w:top w:val="none" w:sz="0" w:space="0" w:color="auto"/>
                        <w:left w:val="none" w:sz="0" w:space="0" w:color="auto"/>
                        <w:bottom w:val="none" w:sz="0" w:space="0" w:color="auto"/>
                        <w:right w:val="none" w:sz="0" w:space="0" w:color="auto"/>
                      </w:divBdr>
                      <w:divsChild>
                        <w:div w:id="2102287244">
                          <w:marLeft w:val="0"/>
                          <w:marRight w:val="0"/>
                          <w:marTop w:val="0"/>
                          <w:marBottom w:val="0"/>
                          <w:divBdr>
                            <w:top w:val="none" w:sz="0" w:space="0" w:color="auto"/>
                            <w:left w:val="none" w:sz="0" w:space="0" w:color="auto"/>
                            <w:bottom w:val="none" w:sz="0" w:space="0" w:color="auto"/>
                            <w:right w:val="none" w:sz="0" w:space="0" w:color="auto"/>
                          </w:divBdr>
                        </w:div>
                        <w:div w:id="1820075851">
                          <w:marLeft w:val="0"/>
                          <w:marRight w:val="0"/>
                          <w:marTop w:val="0"/>
                          <w:marBottom w:val="0"/>
                          <w:divBdr>
                            <w:top w:val="none" w:sz="0" w:space="0" w:color="auto"/>
                            <w:left w:val="none" w:sz="0" w:space="0" w:color="auto"/>
                            <w:bottom w:val="none" w:sz="0" w:space="0" w:color="auto"/>
                            <w:right w:val="none" w:sz="0" w:space="0" w:color="auto"/>
                          </w:divBdr>
                          <w:divsChild>
                            <w:div w:id="99785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262706">
          <w:marLeft w:val="0"/>
          <w:marRight w:val="0"/>
          <w:marTop w:val="0"/>
          <w:marBottom w:val="0"/>
          <w:divBdr>
            <w:top w:val="none" w:sz="0" w:space="0" w:color="auto"/>
            <w:left w:val="none" w:sz="0" w:space="0" w:color="auto"/>
            <w:bottom w:val="none" w:sz="0" w:space="0" w:color="auto"/>
            <w:right w:val="none" w:sz="0" w:space="0" w:color="auto"/>
          </w:divBdr>
          <w:divsChild>
            <w:div w:id="413284870">
              <w:marLeft w:val="0"/>
              <w:marRight w:val="0"/>
              <w:marTop w:val="0"/>
              <w:marBottom w:val="0"/>
              <w:divBdr>
                <w:top w:val="none" w:sz="0" w:space="0" w:color="auto"/>
                <w:left w:val="none" w:sz="0" w:space="0" w:color="auto"/>
                <w:bottom w:val="none" w:sz="0" w:space="0" w:color="auto"/>
                <w:right w:val="none" w:sz="0" w:space="0" w:color="auto"/>
              </w:divBdr>
              <w:divsChild>
                <w:div w:id="32848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98823">
          <w:marLeft w:val="0"/>
          <w:marRight w:val="0"/>
          <w:marTop w:val="0"/>
          <w:marBottom w:val="0"/>
          <w:divBdr>
            <w:top w:val="none" w:sz="0" w:space="0" w:color="auto"/>
            <w:left w:val="none" w:sz="0" w:space="0" w:color="auto"/>
            <w:bottom w:val="none" w:sz="0" w:space="0" w:color="auto"/>
            <w:right w:val="none" w:sz="0" w:space="0" w:color="auto"/>
          </w:divBdr>
          <w:divsChild>
            <w:div w:id="78216756">
              <w:marLeft w:val="0"/>
              <w:marRight w:val="0"/>
              <w:marTop w:val="0"/>
              <w:marBottom w:val="0"/>
              <w:divBdr>
                <w:top w:val="none" w:sz="0" w:space="0" w:color="auto"/>
                <w:left w:val="none" w:sz="0" w:space="0" w:color="auto"/>
                <w:bottom w:val="none" w:sz="0" w:space="0" w:color="auto"/>
                <w:right w:val="none" w:sz="0" w:space="0" w:color="auto"/>
              </w:divBdr>
              <w:divsChild>
                <w:div w:id="1115514514">
                  <w:marLeft w:val="0"/>
                  <w:marRight w:val="0"/>
                  <w:marTop w:val="0"/>
                  <w:marBottom w:val="0"/>
                  <w:divBdr>
                    <w:top w:val="none" w:sz="0" w:space="0" w:color="auto"/>
                    <w:left w:val="none" w:sz="0" w:space="0" w:color="auto"/>
                    <w:bottom w:val="none" w:sz="0" w:space="0" w:color="auto"/>
                    <w:right w:val="none" w:sz="0" w:space="0" w:color="auto"/>
                  </w:divBdr>
                  <w:divsChild>
                    <w:div w:id="764494250">
                      <w:marLeft w:val="0"/>
                      <w:marRight w:val="0"/>
                      <w:marTop w:val="0"/>
                      <w:marBottom w:val="0"/>
                      <w:divBdr>
                        <w:top w:val="none" w:sz="0" w:space="0" w:color="auto"/>
                        <w:left w:val="none" w:sz="0" w:space="0" w:color="auto"/>
                        <w:bottom w:val="none" w:sz="0" w:space="0" w:color="auto"/>
                        <w:right w:val="none" w:sz="0" w:space="0" w:color="auto"/>
                      </w:divBdr>
                    </w:div>
                    <w:div w:id="1644502383">
                      <w:marLeft w:val="0"/>
                      <w:marRight w:val="0"/>
                      <w:marTop w:val="0"/>
                      <w:marBottom w:val="0"/>
                      <w:divBdr>
                        <w:top w:val="none" w:sz="0" w:space="0" w:color="auto"/>
                        <w:left w:val="none" w:sz="0" w:space="0" w:color="auto"/>
                        <w:bottom w:val="none" w:sz="0" w:space="0" w:color="auto"/>
                        <w:right w:val="none" w:sz="0" w:space="0" w:color="auto"/>
                      </w:divBdr>
                      <w:divsChild>
                        <w:div w:id="64686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089883">
          <w:marLeft w:val="0"/>
          <w:marRight w:val="0"/>
          <w:marTop w:val="0"/>
          <w:marBottom w:val="0"/>
          <w:divBdr>
            <w:top w:val="none" w:sz="0" w:space="0" w:color="auto"/>
            <w:left w:val="none" w:sz="0" w:space="0" w:color="auto"/>
            <w:bottom w:val="none" w:sz="0" w:space="0" w:color="auto"/>
            <w:right w:val="none" w:sz="0" w:space="0" w:color="auto"/>
          </w:divBdr>
        </w:div>
        <w:div w:id="444231711">
          <w:marLeft w:val="0"/>
          <w:marRight w:val="0"/>
          <w:marTop w:val="0"/>
          <w:marBottom w:val="0"/>
          <w:divBdr>
            <w:top w:val="none" w:sz="0" w:space="0" w:color="auto"/>
            <w:left w:val="none" w:sz="0" w:space="0" w:color="auto"/>
            <w:bottom w:val="none" w:sz="0" w:space="0" w:color="auto"/>
            <w:right w:val="none" w:sz="0" w:space="0" w:color="auto"/>
          </w:divBdr>
        </w:div>
        <w:div w:id="2112431060">
          <w:marLeft w:val="0"/>
          <w:marRight w:val="0"/>
          <w:marTop w:val="0"/>
          <w:marBottom w:val="0"/>
          <w:divBdr>
            <w:top w:val="none" w:sz="0" w:space="0" w:color="auto"/>
            <w:left w:val="none" w:sz="0" w:space="0" w:color="auto"/>
            <w:bottom w:val="none" w:sz="0" w:space="0" w:color="auto"/>
            <w:right w:val="none" w:sz="0" w:space="0" w:color="auto"/>
          </w:divBdr>
        </w:div>
        <w:div w:id="1682589658">
          <w:marLeft w:val="0"/>
          <w:marRight w:val="0"/>
          <w:marTop w:val="0"/>
          <w:marBottom w:val="0"/>
          <w:divBdr>
            <w:top w:val="none" w:sz="0" w:space="0" w:color="auto"/>
            <w:left w:val="none" w:sz="0" w:space="0" w:color="auto"/>
            <w:bottom w:val="none" w:sz="0" w:space="0" w:color="auto"/>
            <w:right w:val="none" w:sz="0" w:space="0" w:color="auto"/>
          </w:divBdr>
          <w:divsChild>
            <w:div w:id="1494224739">
              <w:marLeft w:val="0"/>
              <w:marRight w:val="0"/>
              <w:marTop w:val="0"/>
              <w:marBottom w:val="0"/>
              <w:divBdr>
                <w:top w:val="none" w:sz="0" w:space="0" w:color="auto"/>
                <w:left w:val="none" w:sz="0" w:space="0" w:color="auto"/>
                <w:bottom w:val="none" w:sz="0" w:space="0" w:color="auto"/>
                <w:right w:val="none" w:sz="0" w:space="0" w:color="auto"/>
              </w:divBdr>
              <w:divsChild>
                <w:div w:id="968583601">
                  <w:marLeft w:val="0"/>
                  <w:marRight w:val="0"/>
                  <w:marTop w:val="0"/>
                  <w:marBottom w:val="0"/>
                  <w:divBdr>
                    <w:top w:val="none" w:sz="0" w:space="0" w:color="auto"/>
                    <w:left w:val="none" w:sz="0" w:space="0" w:color="auto"/>
                    <w:bottom w:val="none" w:sz="0" w:space="0" w:color="auto"/>
                    <w:right w:val="none" w:sz="0" w:space="0" w:color="auto"/>
                  </w:divBdr>
                  <w:divsChild>
                    <w:div w:id="16706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10317">
          <w:marLeft w:val="0"/>
          <w:marRight w:val="0"/>
          <w:marTop w:val="0"/>
          <w:marBottom w:val="0"/>
          <w:divBdr>
            <w:top w:val="none" w:sz="0" w:space="0" w:color="auto"/>
            <w:left w:val="none" w:sz="0" w:space="0" w:color="auto"/>
            <w:bottom w:val="none" w:sz="0" w:space="0" w:color="auto"/>
            <w:right w:val="none" w:sz="0" w:space="0" w:color="auto"/>
          </w:divBdr>
          <w:divsChild>
            <w:div w:id="1217548502">
              <w:marLeft w:val="0"/>
              <w:marRight w:val="0"/>
              <w:marTop w:val="0"/>
              <w:marBottom w:val="0"/>
              <w:divBdr>
                <w:top w:val="none" w:sz="0" w:space="0" w:color="auto"/>
                <w:left w:val="none" w:sz="0" w:space="0" w:color="auto"/>
                <w:bottom w:val="none" w:sz="0" w:space="0" w:color="auto"/>
                <w:right w:val="none" w:sz="0" w:space="0" w:color="auto"/>
              </w:divBdr>
              <w:divsChild>
                <w:div w:id="1052072865">
                  <w:marLeft w:val="0"/>
                  <w:marRight w:val="0"/>
                  <w:marTop w:val="0"/>
                  <w:marBottom w:val="0"/>
                  <w:divBdr>
                    <w:top w:val="none" w:sz="0" w:space="0" w:color="auto"/>
                    <w:left w:val="none" w:sz="0" w:space="0" w:color="auto"/>
                    <w:bottom w:val="none" w:sz="0" w:space="0" w:color="auto"/>
                    <w:right w:val="none" w:sz="0" w:space="0" w:color="auto"/>
                  </w:divBdr>
                  <w:divsChild>
                    <w:div w:id="2007244657">
                      <w:marLeft w:val="0"/>
                      <w:marRight w:val="0"/>
                      <w:marTop w:val="0"/>
                      <w:marBottom w:val="0"/>
                      <w:divBdr>
                        <w:top w:val="none" w:sz="0" w:space="0" w:color="auto"/>
                        <w:left w:val="none" w:sz="0" w:space="0" w:color="auto"/>
                        <w:bottom w:val="none" w:sz="0" w:space="0" w:color="auto"/>
                        <w:right w:val="none" w:sz="0" w:space="0" w:color="auto"/>
                      </w:divBdr>
                      <w:divsChild>
                        <w:div w:id="339233388">
                          <w:marLeft w:val="0"/>
                          <w:marRight w:val="0"/>
                          <w:marTop w:val="0"/>
                          <w:marBottom w:val="0"/>
                          <w:divBdr>
                            <w:top w:val="none" w:sz="0" w:space="0" w:color="auto"/>
                            <w:left w:val="none" w:sz="0" w:space="0" w:color="auto"/>
                            <w:bottom w:val="none" w:sz="0" w:space="0" w:color="auto"/>
                            <w:right w:val="none" w:sz="0" w:space="0" w:color="auto"/>
                          </w:divBdr>
                        </w:div>
                        <w:div w:id="315454999">
                          <w:marLeft w:val="0"/>
                          <w:marRight w:val="0"/>
                          <w:marTop w:val="0"/>
                          <w:marBottom w:val="0"/>
                          <w:divBdr>
                            <w:top w:val="none" w:sz="0" w:space="0" w:color="auto"/>
                            <w:left w:val="none" w:sz="0" w:space="0" w:color="auto"/>
                            <w:bottom w:val="none" w:sz="0" w:space="0" w:color="auto"/>
                            <w:right w:val="none" w:sz="0" w:space="0" w:color="auto"/>
                          </w:divBdr>
                          <w:divsChild>
                            <w:div w:id="62346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153802">
          <w:marLeft w:val="0"/>
          <w:marRight w:val="0"/>
          <w:marTop w:val="0"/>
          <w:marBottom w:val="0"/>
          <w:divBdr>
            <w:top w:val="none" w:sz="0" w:space="0" w:color="auto"/>
            <w:left w:val="none" w:sz="0" w:space="0" w:color="auto"/>
            <w:bottom w:val="none" w:sz="0" w:space="0" w:color="auto"/>
            <w:right w:val="none" w:sz="0" w:space="0" w:color="auto"/>
          </w:divBdr>
          <w:divsChild>
            <w:div w:id="130445089">
              <w:marLeft w:val="0"/>
              <w:marRight w:val="0"/>
              <w:marTop w:val="0"/>
              <w:marBottom w:val="0"/>
              <w:divBdr>
                <w:top w:val="none" w:sz="0" w:space="0" w:color="auto"/>
                <w:left w:val="none" w:sz="0" w:space="0" w:color="auto"/>
                <w:bottom w:val="none" w:sz="0" w:space="0" w:color="auto"/>
                <w:right w:val="none" w:sz="0" w:space="0" w:color="auto"/>
              </w:divBdr>
              <w:divsChild>
                <w:div w:id="174170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675865">
          <w:marLeft w:val="0"/>
          <w:marRight w:val="0"/>
          <w:marTop w:val="0"/>
          <w:marBottom w:val="0"/>
          <w:divBdr>
            <w:top w:val="none" w:sz="0" w:space="0" w:color="auto"/>
            <w:left w:val="none" w:sz="0" w:space="0" w:color="auto"/>
            <w:bottom w:val="none" w:sz="0" w:space="0" w:color="auto"/>
            <w:right w:val="none" w:sz="0" w:space="0" w:color="auto"/>
          </w:divBdr>
          <w:divsChild>
            <w:div w:id="42796742">
              <w:marLeft w:val="0"/>
              <w:marRight w:val="0"/>
              <w:marTop w:val="0"/>
              <w:marBottom w:val="0"/>
              <w:divBdr>
                <w:top w:val="none" w:sz="0" w:space="0" w:color="auto"/>
                <w:left w:val="none" w:sz="0" w:space="0" w:color="auto"/>
                <w:bottom w:val="none" w:sz="0" w:space="0" w:color="auto"/>
                <w:right w:val="none" w:sz="0" w:space="0" w:color="auto"/>
              </w:divBdr>
              <w:divsChild>
                <w:div w:id="1947999898">
                  <w:marLeft w:val="0"/>
                  <w:marRight w:val="0"/>
                  <w:marTop w:val="0"/>
                  <w:marBottom w:val="0"/>
                  <w:divBdr>
                    <w:top w:val="none" w:sz="0" w:space="0" w:color="auto"/>
                    <w:left w:val="none" w:sz="0" w:space="0" w:color="auto"/>
                    <w:bottom w:val="none" w:sz="0" w:space="0" w:color="auto"/>
                    <w:right w:val="none" w:sz="0" w:space="0" w:color="auto"/>
                  </w:divBdr>
                  <w:divsChild>
                    <w:div w:id="208956694">
                      <w:marLeft w:val="0"/>
                      <w:marRight w:val="0"/>
                      <w:marTop w:val="0"/>
                      <w:marBottom w:val="0"/>
                      <w:divBdr>
                        <w:top w:val="none" w:sz="0" w:space="0" w:color="auto"/>
                        <w:left w:val="none" w:sz="0" w:space="0" w:color="auto"/>
                        <w:bottom w:val="none" w:sz="0" w:space="0" w:color="auto"/>
                        <w:right w:val="none" w:sz="0" w:space="0" w:color="auto"/>
                      </w:divBdr>
                    </w:div>
                    <w:div w:id="1234001045">
                      <w:marLeft w:val="0"/>
                      <w:marRight w:val="0"/>
                      <w:marTop w:val="0"/>
                      <w:marBottom w:val="0"/>
                      <w:divBdr>
                        <w:top w:val="none" w:sz="0" w:space="0" w:color="auto"/>
                        <w:left w:val="none" w:sz="0" w:space="0" w:color="auto"/>
                        <w:bottom w:val="none" w:sz="0" w:space="0" w:color="auto"/>
                        <w:right w:val="none" w:sz="0" w:space="0" w:color="auto"/>
                      </w:divBdr>
                      <w:divsChild>
                        <w:div w:id="205450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49593">
          <w:marLeft w:val="0"/>
          <w:marRight w:val="0"/>
          <w:marTop w:val="0"/>
          <w:marBottom w:val="0"/>
          <w:divBdr>
            <w:top w:val="none" w:sz="0" w:space="0" w:color="auto"/>
            <w:left w:val="none" w:sz="0" w:space="0" w:color="auto"/>
            <w:bottom w:val="none" w:sz="0" w:space="0" w:color="auto"/>
            <w:right w:val="none" w:sz="0" w:space="0" w:color="auto"/>
          </w:divBdr>
        </w:div>
        <w:div w:id="1063675195">
          <w:marLeft w:val="0"/>
          <w:marRight w:val="0"/>
          <w:marTop w:val="0"/>
          <w:marBottom w:val="0"/>
          <w:divBdr>
            <w:top w:val="none" w:sz="0" w:space="0" w:color="auto"/>
            <w:left w:val="none" w:sz="0" w:space="0" w:color="auto"/>
            <w:bottom w:val="none" w:sz="0" w:space="0" w:color="auto"/>
            <w:right w:val="none" w:sz="0" w:space="0" w:color="auto"/>
          </w:divBdr>
        </w:div>
        <w:div w:id="727414471">
          <w:marLeft w:val="0"/>
          <w:marRight w:val="0"/>
          <w:marTop w:val="0"/>
          <w:marBottom w:val="0"/>
          <w:divBdr>
            <w:top w:val="none" w:sz="0" w:space="0" w:color="auto"/>
            <w:left w:val="none" w:sz="0" w:space="0" w:color="auto"/>
            <w:bottom w:val="none" w:sz="0" w:space="0" w:color="auto"/>
            <w:right w:val="none" w:sz="0" w:space="0" w:color="auto"/>
          </w:divBdr>
          <w:divsChild>
            <w:div w:id="1454594052">
              <w:marLeft w:val="0"/>
              <w:marRight w:val="0"/>
              <w:marTop w:val="0"/>
              <w:marBottom w:val="0"/>
              <w:divBdr>
                <w:top w:val="none" w:sz="0" w:space="0" w:color="auto"/>
                <w:left w:val="none" w:sz="0" w:space="0" w:color="auto"/>
                <w:bottom w:val="none" w:sz="0" w:space="0" w:color="auto"/>
                <w:right w:val="none" w:sz="0" w:space="0" w:color="auto"/>
              </w:divBdr>
              <w:divsChild>
                <w:div w:id="981075851">
                  <w:marLeft w:val="0"/>
                  <w:marRight w:val="0"/>
                  <w:marTop w:val="0"/>
                  <w:marBottom w:val="0"/>
                  <w:divBdr>
                    <w:top w:val="none" w:sz="0" w:space="0" w:color="auto"/>
                    <w:left w:val="none" w:sz="0" w:space="0" w:color="auto"/>
                    <w:bottom w:val="none" w:sz="0" w:space="0" w:color="auto"/>
                    <w:right w:val="none" w:sz="0" w:space="0" w:color="auto"/>
                  </w:divBdr>
                  <w:divsChild>
                    <w:div w:id="64030011">
                      <w:marLeft w:val="0"/>
                      <w:marRight w:val="0"/>
                      <w:marTop w:val="0"/>
                      <w:marBottom w:val="0"/>
                      <w:divBdr>
                        <w:top w:val="none" w:sz="0" w:space="0" w:color="auto"/>
                        <w:left w:val="none" w:sz="0" w:space="0" w:color="auto"/>
                        <w:bottom w:val="none" w:sz="0" w:space="0" w:color="auto"/>
                        <w:right w:val="none" w:sz="0" w:space="0" w:color="auto"/>
                      </w:divBdr>
                      <w:divsChild>
                        <w:div w:id="923300485">
                          <w:marLeft w:val="0"/>
                          <w:marRight w:val="0"/>
                          <w:marTop w:val="0"/>
                          <w:marBottom w:val="0"/>
                          <w:divBdr>
                            <w:top w:val="none" w:sz="0" w:space="0" w:color="auto"/>
                            <w:left w:val="none" w:sz="0" w:space="0" w:color="auto"/>
                            <w:bottom w:val="none" w:sz="0" w:space="0" w:color="auto"/>
                            <w:right w:val="none" w:sz="0" w:space="0" w:color="auto"/>
                          </w:divBdr>
                          <w:divsChild>
                            <w:div w:id="73747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30422">
          <w:marLeft w:val="0"/>
          <w:marRight w:val="0"/>
          <w:marTop w:val="0"/>
          <w:marBottom w:val="0"/>
          <w:divBdr>
            <w:top w:val="none" w:sz="0" w:space="0" w:color="auto"/>
            <w:left w:val="none" w:sz="0" w:space="0" w:color="auto"/>
            <w:bottom w:val="none" w:sz="0" w:space="0" w:color="auto"/>
            <w:right w:val="none" w:sz="0" w:space="0" w:color="auto"/>
          </w:divBdr>
          <w:divsChild>
            <w:div w:id="1016884290">
              <w:marLeft w:val="0"/>
              <w:marRight w:val="0"/>
              <w:marTop w:val="0"/>
              <w:marBottom w:val="0"/>
              <w:divBdr>
                <w:top w:val="none" w:sz="0" w:space="0" w:color="auto"/>
                <w:left w:val="none" w:sz="0" w:space="0" w:color="auto"/>
                <w:bottom w:val="none" w:sz="0" w:space="0" w:color="auto"/>
                <w:right w:val="none" w:sz="0" w:space="0" w:color="auto"/>
              </w:divBdr>
              <w:divsChild>
                <w:div w:id="160229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11499">
          <w:marLeft w:val="0"/>
          <w:marRight w:val="0"/>
          <w:marTop w:val="0"/>
          <w:marBottom w:val="0"/>
          <w:divBdr>
            <w:top w:val="none" w:sz="0" w:space="0" w:color="auto"/>
            <w:left w:val="none" w:sz="0" w:space="0" w:color="auto"/>
            <w:bottom w:val="none" w:sz="0" w:space="0" w:color="auto"/>
            <w:right w:val="none" w:sz="0" w:space="0" w:color="auto"/>
          </w:divBdr>
          <w:divsChild>
            <w:div w:id="1520777062">
              <w:marLeft w:val="0"/>
              <w:marRight w:val="0"/>
              <w:marTop w:val="0"/>
              <w:marBottom w:val="0"/>
              <w:divBdr>
                <w:top w:val="none" w:sz="0" w:space="0" w:color="auto"/>
                <w:left w:val="none" w:sz="0" w:space="0" w:color="auto"/>
                <w:bottom w:val="none" w:sz="0" w:space="0" w:color="auto"/>
                <w:right w:val="none" w:sz="0" w:space="0" w:color="auto"/>
              </w:divBdr>
              <w:divsChild>
                <w:div w:id="2025744283">
                  <w:marLeft w:val="0"/>
                  <w:marRight w:val="0"/>
                  <w:marTop w:val="0"/>
                  <w:marBottom w:val="0"/>
                  <w:divBdr>
                    <w:top w:val="none" w:sz="0" w:space="0" w:color="auto"/>
                    <w:left w:val="none" w:sz="0" w:space="0" w:color="auto"/>
                    <w:bottom w:val="none" w:sz="0" w:space="0" w:color="auto"/>
                    <w:right w:val="none" w:sz="0" w:space="0" w:color="auto"/>
                  </w:divBdr>
                  <w:divsChild>
                    <w:div w:id="789739818">
                      <w:marLeft w:val="0"/>
                      <w:marRight w:val="0"/>
                      <w:marTop w:val="0"/>
                      <w:marBottom w:val="0"/>
                      <w:divBdr>
                        <w:top w:val="none" w:sz="0" w:space="0" w:color="auto"/>
                        <w:left w:val="none" w:sz="0" w:space="0" w:color="auto"/>
                        <w:bottom w:val="none" w:sz="0" w:space="0" w:color="auto"/>
                        <w:right w:val="none" w:sz="0" w:space="0" w:color="auto"/>
                      </w:divBdr>
                      <w:divsChild>
                        <w:div w:id="18005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602483">
          <w:marLeft w:val="0"/>
          <w:marRight w:val="0"/>
          <w:marTop w:val="0"/>
          <w:marBottom w:val="0"/>
          <w:divBdr>
            <w:top w:val="none" w:sz="0" w:space="0" w:color="auto"/>
            <w:left w:val="none" w:sz="0" w:space="0" w:color="auto"/>
            <w:bottom w:val="none" w:sz="0" w:space="0" w:color="auto"/>
            <w:right w:val="none" w:sz="0" w:space="0" w:color="auto"/>
          </w:divBdr>
        </w:div>
        <w:div w:id="2135244189">
          <w:marLeft w:val="0"/>
          <w:marRight w:val="0"/>
          <w:marTop w:val="0"/>
          <w:marBottom w:val="0"/>
          <w:divBdr>
            <w:top w:val="none" w:sz="0" w:space="0" w:color="auto"/>
            <w:left w:val="none" w:sz="0" w:space="0" w:color="auto"/>
            <w:bottom w:val="none" w:sz="0" w:space="0" w:color="auto"/>
            <w:right w:val="none" w:sz="0" w:space="0" w:color="auto"/>
          </w:divBdr>
        </w:div>
        <w:div w:id="1140611239">
          <w:marLeft w:val="0"/>
          <w:marRight w:val="0"/>
          <w:marTop w:val="0"/>
          <w:marBottom w:val="0"/>
          <w:divBdr>
            <w:top w:val="none" w:sz="0" w:space="0" w:color="auto"/>
            <w:left w:val="none" w:sz="0" w:space="0" w:color="auto"/>
            <w:bottom w:val="none" w:sz="0" w:space="0" w:color="auto"/>
            <w:right w:val="none" w:sz="0" w:space="0" w:color="auto"/>
          </w:divBdr>
        </w:div>
        <w:div w:id="1223761018">
          <w:marLeft w:val="0"/>
          <w:marRight w:val="0"/>
          <w:marTop w:val="0"/>
          <w:marBottom w:val="0"/>
          <w:divBdr>
            <w:top w:val="none" w:sz="0" w:space="0" w:color="auto"/>
            <w:left w:val="none" w:sz="0" w:space="0" w:color="auto"/>
            <w:bottom w:val="none" w:sz="0" w:space="0" w:color="auto"/>
            <w:right w:val="none" w:sz="0" w:space="0" w:color="auto"/>
          </w:divBdr>
          <w:divsChild>
            <w:div w:id="458914443">
              <w:marLeft w:val="0"/>
              <w:marRight w:val="0"/>
              <w:marTop w:val="0"/>
              <w:marBottom w:val="0"/>
              <w:divBdr>
                <w:top w:val="none" w:sz="0" w:space="0" w:color="auto"/>
                <w:left w:val="none" w:sz="0" w:space="0" w:color="auto"/>
                <w:bottom w:val="none" w:sz="0" w:space="0" w:color="auto"/>
                <w:right w:val="none" w:sz="0" w:space="0" w:color="auto"/>
              </w:divBdr>
              <w:divsChild>
                <w:div w:id="68579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96392">
          <w:marLeft w:val="0"/>
          <w:marRight w:val="0"/>
          <w:marTop w:val="0"/>
          <w:marBottom w:val="0"/>
          <w:divBdr>
            <w:top w:val="none" w:sz="0" w:space="0" w:color="auto"/>
            <w:left w:val="none" w:sz="0" w:space="0" w:color="auto"/>
            <w:bottom w:val="none" w:sz="0" w:space="0" w:color="auto"/>
            <w:right w:val="none" w:sz="0" w:space="0" w:color="auto"/>
          </w:divBdr>
          <w:divsChild>
            <w:div w:id="195122694">
              <w:marLeft w:val="0"/>
              <w:marRight w:val="0"/>
              <w:marTop w:val="0"/>
              <w:marBottom w:val="0"/>
              <w:divBdr>
                <w:top w:val="none" w:sz="0" w:space="0" w:color="auto"/>
                <w:left w:val="none" w:sz="0" w:space="0" w:color="auto"/>
                <w:bottom w:val="none" w:sz="0" w:space="0" w:color="auto"/>
                <w:right w:val="none" w:sz="0" w:space="0" w:color="auto"/>
              </w:divBdr>
              <w:divsChild>
                <w:div w:id="199356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733952">
          <w:marLeft w:val="0"/>
          <w:marRight w:val="0"/>
          <w:marTop w:val="0"/>
          <w:marBottom w:val="0"/>
          <w:divBdr>
            <w:top w:val="none" w:sz="0" w:space="0" w:color="auto"/>
            <w:left w:val="none" w:sz="0" w:space="0" w:color="auto"/>
            <w:bottom w:val="none" w:sz="0" w:space="0" w:color="auto"/>
            <w:right w:val="none" w:sz="0" w:space="0" w:color="auto"/>
          </w:divBdr>
          <w:divsChild>
            <w:div w:id="1488060503">
              <w:marLeft w:val="0"/>
              <w:marRight w:val="0"/>
              <w:marTop w:val="0"/>
              <w:marBottom w:val="0"/>
              <w:divBdr>
                <w:top w:val="none" w:sz="0" w:space="0" w:color="auto"/>
                <w:left w:val="none" w:sz="0" w:space="0" w:color="auto"/>
                <w:bottom w:val="none" w:sz="0" w:space="0" w:color="auto"/>
                <w:right w:val="none" w:sz="0" w:space="0" w:color="auto"/>
              </w:divBdr>
              <w:divsChild>
                <w:div w:id="1910068686">
                  <w:marLeft w:val="0"/>
                  <w:marRight w:val="0"/>
                  <w:marTop w:val="0"/>
                  <w:marBottom w:val="0"/>
                  <w:divBdr>
                    <w:top w:val="none" w:sz="0" w:space="0" w:color="auto"/>
                    <w:left w:val="none" w:sz="0" w:space="0" w:color="auto"/>
                    <w:bottom w:val="none" w:sz="0" w:space="0" w:color="auto"/>
                    <w:right w:val="none" w:sz="0" w:space="0" w:color="auto"/>
                  </w:divBdr>
                  <w:divsChild>
                    <w:div w:id="649403991">
                      <w:marLeft w:val="0"/>
                      <w:marRight w:val="0"/>
                      <w:marTop w:val="0"/>
                      <w:marBottom w:val="0"/>
                      <w:divBdr>
                        <w:top w:val="none" w:sz="0" w:space="0" w:color="auto"/>
                        <w:left w:val="none" w:sz="0" w:space="0" w:color="auto"/>
                        <w:bottom w:val="none" w:sz="0" w:space="0" w:color="auto"/>
                        <w:right w:val="none" w:sz="0" w:space="0" w:color="auto"/>
                      </w:divBdr>
                      <w:divsChild>
                        <w:div w:id="59719415">
                          <w:marLeft w:val="0"/>
                          <w:marRight w:val="0"/>
                          <w:marTop w:val="0"/>
                          <w:marBottom w:val="0"/>
                          <w:divBdr>
                            <w:top w:val="none" w:sz="0" w:space="0" w:color="auto"/>
                            <w:left w:val="none" w:sz="0" w:space="0" w:color="auto"/>
                            <w:bottom w:val="none" w:sz="0" w:space="0" w:color="auto"/>
                            <w:right w:val="none" w:sz="0" w:space="0" w:color="auto"/>
                          </w:divBdr>
                          <w:divsChild>
                            <w:div w:id="825633645">
                              <w:marLeft w:val="0"/>
                              <w:marRight w:val="0"/>
                              <w:marTop w:val="0"/>
                              <w:marBottom w:val="0"/>
                              <w:divBdr>
                                <w:top w:val="none" w:sz="0" w:space="0" w:color="auto"/>
                                <w:left w:val="none" w:sz="0" w:space="0" w:color="auto"/>
                                <w:bottom w:val="none" w:sz="0" w:space="0" w:color="auto"/>
                                <w:right w:val="none" w:sz="0" w:space="0" w:color="auto"/>
                              </w:divBdr>
                              <w:divsChild>
                                <w:div w:id="1507787107">
                                  <w:marLeft w:val="0"/>
                                  <w:marRight w:val="0"/>
                                  <w:marTop w:val="0"/>
                                  <w:marBottom w:val="0"/>
                                  <w:divBdr>
                                    <w:top w:val="none" w:sz="0" w:space="0" w:color="auto"/>
                                    <w:left w:val="none" w:sz="0" w:space="0" w:color="auto"/>
                                    <w:bottom w:val="none" w:sz="0" w:space="0" w:color="auto"/>
                                    <w:right w:val="none" w:sz="0" w:space="0" w:color="auto"/>
                                  </w:divBdr>
                                </w:div>
                                <w:div w:id="505289664">
                                  <w:marLeft w:val="0"/>
                                  <w:marRight w:val="0"/>
                                  <w:marTop w:val="0"/>
                                  <w:marBottom w:val="0"/>
                                  <w:divBdr>
                                    <w:top w:val="none" w:sz="0" w:space="0" w:color="auto"/>
                                    <w:left w:val="none" w:sz="0" w:space="0" w:color="auto"/>
                                    <w:bottom w:val="none" w:sz="0" w:space="0" w:color="auto"/>
                                    <w:right w:val="none" w:sz="0" w:space="0" w:color="auto"/>
                                  </w:divBdr>
                                  <w:divsChild>
                                    <w:div w:id="9388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790">
          <w:marLeft w:val="0"/>
          <w:marRight w:val="0"/>
          <w:marTop w:val="0"/>
          <w:marBottom w:val="0"/>
          <w:divBdr>
            <w:top w:val="none" w:sz="0" w:space="0" w:color="auto"/>
            <w:left w:val="none" w:sz="0" w:space="0" w:color="auto"/>
            <w:bottom w:val="none" w:sz="0" w:space="0" w:color="auto"/>
            <w:right w:val="none" w:sz="0" w:space="0" w:color="auto"/>
          </w:divBdr>
        </w:div>
        <w:div w:id="1931936">
          <w:marLeft w:val="0"/>
          <w:marRight w:val="0"/>
          <w:marTop w:val="0"/>
          <w:marBottom w:val="0"/>
          <w:divBdr>
            <w:top w:val="none" w:sz="0" w:space="0" w:color="auto"/>
            <w:left w:val="none" w:sz="0" w:space="0" w:color="auto"/>
            <w:bottom w:val="none" w:sz="0" w:space="0" w:color="auto"/>
            <w:right w:val="none" w:sz="0" w:space="0" w:color="auto"/>
          </w:divBdr>
          <w:divsChild>
            <w:div w:id="1809858501">
              <w:marLeft w:val="0"/>
              <w:marRight w:val="0"/>
              <w:marTop w:val="0"/>
              <w:marBottom w:val="0"/>
              <w:divBdr>
                <w:top w:val="none" w:sz="0" w:space="0" w:color="auto"/>
                <w:left w:val="none" w:sz="0" w:space="0" w:color="auto"/>
                <w:bottom w:val="none" w:sz="0" w:space="0" w:color="auto"/>
                <w:right w:val="none" w:sz="0" w:space="0" w:color="auto"/>
              </w:divBdr>
              <w:divsChild>
                <w:div w:id="474444847">
                  <w:marLeft w:val="0"/>
                  <w:marRight w:val="0"/>
                  <w:marTop w:val="0"/>
                  <w:marBottom w:val="0"/>
                  <w:divBdr>
                    <w:top w:val="none" w:sz="0" w:space="0" w:color="auto"/>
                    <w:left w:val="none" w:sz="0" w:space="0" w:color="auto"/>
                    <w:bottom w:val="none" w:sz="0" w:space="0" w:color="auto"/>
                    <w:right w:val="none" w:sz="0" w:space="0" w:color="auto"/>
                  </w:divBdr>
                  <w:divsChild>
                    <w:div w:id="456531531">
                      <w:marLeft w:val="0"/>
                      <w:marRight w:val="0"/>
                      <w:marTop w:val="0"/>
                      <w:marBottom w:val="0"/>
                      <w:divBdr>
                        <w:top w:val="none" w:sz="0" w:space="0" w:color="auto"/>
                        <w:left w:val="none" w:sz="0" w:space="0" w:color="auto"/>
                        <w:bottom w:val="none" w:sz="0" w:space="0" w:color="auto"/>
                        <w:right w:val="none" w:sz="0" w:space="0" w:color="auto"/>
                      </w:divBdr>
                    </w:div>
                    <w:div w:id="687605241">
                      <w:marLeft w:val="0"/>
                      <w:marRight w:val="0"/>
                      <w:marTop w:val="0"/>
                      <w:marBottom w:val="0"/>
                      <w:divBdr>
                        <w:top w:val="none" w:sz="0" w:space="0" w:color="auto"/>
                        <w:left w:val="none" w:sz="0" w:space="0" w:color="auto"/>
                        <w:bottom w:val="none" w:sz="0" w:space="0" w:color="auto"/>
                        <w:right w:val="none" w:sz="0" w:space="0" w:color="auto"/>
                      </w:divBdr>
                      <w:divsChild>
                        <w:div w:id="70079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35716">
          <w:marLeft w:val="0"/>
          <w:marRight w:val="0"/>
          <w:marTop w:val="0"/>
          <w:marBottom w:val="0"/>
          <w:divBdr>
            <w:top w:val="none" w:sz="0" w:space="0" w:color="auto"/>
            <w:left w:val="none" w:sz="0" w:space="0" w:color="auto"/>
            <w:bottom w:val="none" w:sz="0" w:space="0" w:color="auto"/>
            <w:right w:val="none" w:sz="0" w:space="0" w:color="auto"/>
          </w:divBdr>
        </w:div>
        <w:div w:id="1112944334">
          <w:marLeft w:val="0"/>
          <w:marRight w:val="0"/>
          <w:marTop w:val="0"/>
          <w:marBottom w:val="0"/>
          <w:divBdr>
            <w:top w:val="none" w:sz="0" w:space="0" w:color="auto"/>
            <w:left w:val="none" w:sz="0" w:space="0" w:color="auto"/>
            <w:bottom w:val="none" w:sz="0" w:space="0" w:color="auto"/>
            <w:right w:val="none" w:sz="0" w:space="0" w:color="auto"/>
          </w:divBdr>
          <w:divsChild>
            <w:div w:id="2041322696">
              <w:marLeft w:val="0"/>
              <w:marRight w:val="0"/>
              <w:marTop w:val="0"/>
              <w:marBottom w:val="0"/>
              <w:divBdr>
                <w:top w:val="none" w:sz="0" w:space="0" w:color="auto"/>
                <w:left w:val="none" w:sz="0" w:space="0" w:color="auto"/>
                <w:bottom w:val="none" w:sz="0" w:space="0" w:color="auto"/>
                <w:right w:val="none" w:sz="0" w:space="0" w:color="auto"/>
              </w:divBdr>
              <w:divsChild>
                <w:div w:id="1272592338">
                  <w:marLeft w:val="0"/>
                  <w:marRight w:val="0"/>
                  <w:marTop w:val="0"/>
                  <w:marBottom w:val="0"/>
                  <w:divBdr>
                    <w:top w:val="none" w:sz="0" w:space="0" w:color="auto"/>
                    <w:left w:val="none" w:sz="0" w:space="0" w:color="auto"/>
                    <w:bottom w:val="none" w:sz="0" w:space="0" w:color="auto"/>
                    <w:right w:val="none" w:sz="0" w:space="0" w:color="auto"/>
                  </w:divBdr>
                  <w:divsChild>
                    <w:div w:id="64540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18223">
          <w:marLeft w:val="0"/>
          <w:marRight w:val="0"/>
          <w:marTop w:val="0"/>
          <w:marBottom w:val="0"/>
          <w:divBdr>
            <w:top w:val="none" w:sz="0" w:space="0" w:color="auto"/>
            <w:left w:val="none" w:sz="0" w:space="0" w:color="auto"/>
            <w:bottom w:val="none" w:sz="0" w:space="0" w:color="auto"/>
            <w:right w:val="none" w:sz="0" w:space="0" w:color="auto"/>
          </w:divBdr>
          <w:divsChild>
            <w:div w:id="16278772">
              <w:marLeft w:val="0"/>
              <w:marRight w:val="0"/>
              <w:marTop w:val="0"/>
              <w:marBottom w:val="0"/>
              <w:divBdr>
                <w:top w:val="none" w:sz="0" w:space="0" w:color="auto"/>
                <w:left w:val="none" w:sz="0" w:space="0" w:color="auto"/>
                <w:bottom w:val="none" w:sz="0" w:space="0" w:color="auto"/>
                <w:right w:val="none" w:sz="0" w:space="0" w:color="auto"/>
              </w:divBdr>
              <w:divsChild>
                <w:div w:id="368995963">
                  <w:marLeft w:val="0"/>
                  <w:marRight w:val="0"/>
                  <w:marTop w:val="0"/>
                  <w:marBottom w:val="0"/>
                  <w:divBdr>
                    <w:top w:val="none" w:sz="0" w:space="0" w:color="auto"/>
                    <w:left w:val="none" w:sz="0" w:space="0" w:color="auto"/>
                    <w:bottom w:val="none" w:sz="0" w:space="0" w:color="auto"/>
                    <w:right w:val="none" w:sz="0" w:space="0" w:color="auto"/>
                  </w:divBdr>
                  <w:divsChild>
                    <w:div w:id="1430006724">
                      <w:marLeft w:val="0"/>
                      <w:marRight w:val="0"/>
                      <w:marTop w:val="0"/>
                      <w:marBottom w:val="0"/>
                      <w:divBdr>
                        <w:top w:val="none" w:sz="0" w:space="0" w:color="auto"/>
                        <w:left w:val="none" w:sz="0" w:space="0" w:color="auto"/>
                        <w:bottom w:val="none" w:sz="0" w:space="0" w:color="auto"/>
                        <w:right w:val="none" w:sz="0" w:space="0" w:color="auto"/>
                      </w:divBdr>
                      <w:divsChild>
                        <w:div w:id="523787810">
                          <w:marLeft w:val="0"/>
                          <w:marRight w:val="0"/>
                          <w:marTop w:val="0"/>
                          <w:marBottom w:val="0"/>
                          <w:divBdr>
                            <w:top w:val="none" w:sz="0" w:space="0" w:color="auto"/>
                            <w:left w:val="none" w:sz="0" w:space="0" w:color="auto"/>
                            <w:bottom w:val="none" w:sz="0" w:space="0" w:color="auto"/>
                            <w:right w:val="none" w:sz="0" w:space="0" w:color="auto"/>
                          </w:divBdr>
                        </w:div>
                        <w:div w:id="893657573">
                          <w:marLeft w:val="0"/>
                          <w:marRight w:val="0"/>
                          <w:marTop w:val="0"/>
                          <w:marBottom w:val="0"/>
                          <w:divBdr>
                            <w:top w:val="none" w:sz="0" w:space="0" w:color="auto"/>
                            <w:left w:val="none" w:sz="0" w:space="0" w:color="auto"/>
                            <w:bottom w:val="none" w:sz="0" w:space="0" w:color="auto"/>
                            <w:right w:val="none" w:sz="0" w:space="0" w:color="auto"/>
                          </w:divBdr>
                          <w:divsChild>
                            <w:div w:id="145929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704769">
          <w:marLeft w:val="0"/>
          <w:marRight w:val="0"/>
          <w:marTop w:val="0"/>
          <w:marBottom w:val="0"/>
          <w:divBdr>
            <w:top w:val="none" w:sz="0" w:space="0" w:color="auto"/>
            <w:left w:val="none" w:sz="0" w:space="0" w:color="auto"/>
            <w:bottom w:val="none" w:sz="0" w:space="0" w:color="auto"/>
            <w:right w:val="none" w:sz="0" w:space="0" w:color="auto"/>
          </w:divBdr>
        </w:div>
        <w:div w:id="1403991156">
          <w:marLeft w:val="0"/>
          <w:marRight w:val="0"/>
          <w:marTop w:val="0"/>
          <w:marBottom w:val="0"/>
          <w:divBdr>
            <w:top w:val="none" w:sz="0" w:space="0" w:color="auto"/>
            <w:left w:val="none" w:sz="0" w:space="0" w:color="auto"/>
            <w:bottom w:val="none" w:sz="0" w:space="0" w:color="auto"/>
            <w:right w:val="none" w:sz="0" w:space="0" w:color="auto"/>
          </w:divBdr>
        </w:div>
        <w:div w:id="1512526094">
          <w:marLeft w:val="0"/>
          <w:marRight w:val="0"/>
          <w:marTop w:val="0"/>
          <w:marBottom w:val="0"/>
          <w:divBdr>
            <w:top w:val="none" w:sz="0" w:space="0" w:color="auto"/>
            <w:left w:val="none" w:sz="0" w:space="0" w:color="auto"/>
            <w:bottom w:val="none" w:sz="0" w:space="0" w:color="auto"/>
            <w:right w:val="none" w:sz="0" w:space="0" w:color="auto"/>
          </w:divBdr>
          <w:divsChild>
            <w:div w:id="1545025816">
              <w:marLeft w:val="0"/>
              <w:marRight w:val="0"/>
              <w:marTop w:val="0"/>
              <w:marBottom w:val="0"/>
              <w:divBdr>
                <w:top w:val="none" w:sz="0" w:space="0" w:color="auto"/>
                <w:left w:val="none" w:sz="0" w:space="0" w:color="auto"/>
                <w:bottom w:val="none" w:sz="0" w:space="0" w:color="auto"/>
                <w:right w:val="none" w:sz="0" w:space="0" w:color="auto"/>
              </w:divBdr>
              <w:divsChild>
                <w:div w:id="160132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0395">
          <w:marLeft w:val="0"/>
          <w:marRight w:val="0"/>
          <w:marTop w:val="0"/>
          <w:marBottom w:val="0"/>
          <w:divBdr>
            <w:top w:val="none" w:sz="0" w:space="0" w:color="auto"/>
            <w:left w:val="none" w:sz="0" w:space="0" w:color="auto"/>
            <w:bottom w:val="none" w:sz="0" w:space="0" w:color="auto"/>
            <w:right w:val="none" w:sz="0" w:space="0" w:color="auto"/>
          </w:divBdr>
          <w:divsChild>
            <w:div w:id="403378840">
              <w:marLeft w:val="0"/>
              <w:marRight w:val="0"/>
              <w:marTop w:val="0"/>
              <w:marBottom w:val="0"/>
              <w:divBdr>
                <w:top w:val="none" w:sz="0" w:space="0" w:color="auto"/>
                <w:left w:val="none" w:sz="0" w:space="0" w:color="auto"/>
                <w:bottom w:val="none" w:sz="0" w:space="0" w:color="auto"/>
                <w:right w:val="none" w:sz="0" w:space="0" w:color="auto"/>
              </w:divBdr>
              <w:divsChild>
                <w:div w:id="1717508775">
                  <w:marLeft w:val="0"/>
                  <w:marRight w:val="0"/>
                  <w:marTop w:val="0"/>
                  <w:marBottom w:val="0"/>
                  <w:divBdr>
                    <w:top w:val="none" w:sz="0" w:space="0" w:color="auto"/>
                    <w:left w:val="none" w:sz="0" w:space="0" w:color="auto"/>
                    <w:bottom w:val="none" w:sz="0" w:space="0" w:color="auto"/>
                    <w:right w:val="none" w:sz="0" w:space="0" w:color="auto"/>
                  </w:divBdr>
                  <w:divsChild>
                    <w:div w:id="839124032">
                      <w:marLeft w:val="0"/>
                      <w:marRight w:val="0"/>
                      <w:marTop w:val="0"/>
                      <w:marBottom w:val="0"/>
                      <w:divBdr>
                        <w:top w:val="none" w:sz="0" w:space="0" w:color="auto"/>
                        <w:left w:val="none" w:sz="0" w:space="0" w:color="auto"/>
                        <w:bottom w:val="none" w:sz="0" w:space="0" w:color="auto"/>
                        <w:right w:val="none" w:sz="0" w:space="0" w:color="auto"/>
                      </w:divBdr>
                    </w:div>
                    <w:div w:id="1741096062">
                      <w:marLeft w:val="0"/>
                      <w:marRight w:val="0"/>
                      <w:marTop w:val="0"/>
                      <w:marBottom w:val="0"/>
                      <w:divBdr>
                        <w:top w:val="none" w:sz="0" w:space="0" w:color="auto"/>
                        <w:left w:val="none" w:sz="0" w:space="0" w:color="auto"/>
                        <w:bottom w:val="none" w:sz="0" w:space="0" w:color="auto"/>
                        <w:right w:val="none" w:sz="0" w:space="0" w:color="auto"/>
                      </w:divBdr>
                      <w:divsChild>
                        <w:div w:id="49060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940378">
          <w:marLeft w:val="0"/>
          <w:marRight w:val="0"/>
          <w:marTop w:val="0"/>
          <w:marBottom w:val="0"/>
          <w:divBdr>
            <w:top w:val="none" w:sz="0" w:space="0" w:color="auto"/>
            <w:left w:val="none" w:sz="0" w:space="0" w:color="auto"/>
            <w:bottom w:val="none" w:sz="0" w:space="0" w:color="auto"/>
            <w:right w:val="none" w:sz="0" w:space="0" w:color="auto"/>
          </w:divBdr>
          <w:divsChild>
            <w:div w:id="88896725">
              <w:marLeft w:val="0"/>
              <w:marRight w:val="0"/>
              <w:marTop w:val="0"/>
              <w:marBottom w:val="0"/>
              <w:divBdr>
                <w:top w:val="none" w:sz="0" w:space="0" w:color="auto"/>
                <w:left w:val="none" w:sz="0" w:space="0" w:color="auto"/>
                <w:bottom w:val="none" w:sz="0" w:space="0" w:color="auto"/>
                <w:right w:val="none" w:sz="0" w:space="0" w:color="auto"/>
              </w:divBdr>
              <w:divsChild>
                <w:div w:id="1664625610">
                  <w:marLeft w:val="0"/>
                  <w:marRight w:val="0"/>
                  <w:marTop w:val="0"/>
                  <w:marBottom w:val="0"/>
                  <w:divBdr>
                    <w:top w:val="none" w:sz="0" w:space="0" w:color="auto"/>
                    <w:left w:val="none" w:sz="0" w:space="0" w:color="auto"/>
                    <w:bottom w:val="none" w:sz="0" w:space="0" w:color="auto"/>
                    <w:right w:val="none" w:sz="0" w:space="0" w:color="auto"/>
                  </w:divBdr>
                  <w:divsChild>
                    <w:div w:id="103134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07148">
          <w:marLeft w:val="0"/>
          <w:marRight w:val="0"/>
          <w:marTop w:val="0"/>
          <w:marBottom w:val="0"/>
          <w:divBdr>
            <w:top w:val="none" w:sz="0" w:space="0" w:color="auto"/>
            <w:left w:val="none" w:sz="0" w:space="0" w:color="auto"/>
            <w:bottom w:val="none" w:sz="0" w:space="0" w:color="auto"/>
            <w:right w:val="none" w:sz="0" w:space="0" w:color="auto"/>
          </w:divBdr>
          <w:divsChild>
            <w:div w:id="864562700">
              <w:marLeft w:val="0"/>
              <w:marRight w:val="0"/>
              <w:marTop w:val="0"/>
              <w:marBottom w:val="0"/>
              <w:divBdr>
                <w:top w:val="none" w:sz="0" w:space="0" w:color="auto"/>
                <w:left w:val="none" w:sz="0" w:space="0" w:color="auto"/>
                <w:bottom w:val="none" w:sz="0" w:space="0" w:color="auto"/>
                <w:right w:val="none" w:sz="0" w:space="0" w:color="auto"/>
              </w:divBdr>
              <w:divsChild>
                <w:div w:id="1864856899">
                  <w:marLeft w:val="0"/>
                  <w:marRight w:val="0"/>
                  <w:marTop w:val="0"/>
                  <w:marBottom w:val="0"/>
                  <w:divBdr>
                    <w:top w:val="none" w:sz="0" w:space="0" w:color="auto"/>
                    <w:left w:val="none" w:sz="0" w:space="0" w:color="auto"/>
                    <w:bottom w:val="none" w:sz="0" w:space="0" w:color="auto"/>
                    <w:right w:val="none" w:sz="0" w:space="0" w:color="auto"/>
                  </w:divBdr>
                  <w:divsChild>
                    <w:div w:id="61490877">
                      <w:marLeft w:val="0"/>
                      <w:marRight w:val="0"/>
                      <w:marTop w:val="0"/>
                      <w:marBottom w:val="0"/>
                      <w:divBdr>
                        <w:top w:val="none" w:sz="0" w:space="0" w:color="auto"/>
                        <w:left w:val="none" w:sz="0" w:space="0" w:color="auto"/>
                        <w:bottom w:val="none" w:sz="0" w:space="0" w:color="auto"/>
                        <w:right w:val="none" w:sz="0" w:space="0" w:color="auto"/>
                      </w:divBdr>
                      <w:divsChild>
                        <w:div w:id="185951727">
                          <w:marLeft w:val="0"/>
                          <w:marRight w:val="0"/>
                          <w:marTop w:val="0"/>
                          <w:marBottom w:val="0"/>
                          <w:divBdr>
                            <w:top w:val="none" w:sz="0" w:space="0" w:color="auto"/>
                            <w:left w:val="none" w:sz="0" w:space="0" w:color="auto"/>
                            <w:bottom w:val="none" w:sz="0" w:space="0" w:color="auto"/>
                            <w:right w:val="none" w:sz="0" w:space="0" w:color="auto"/>
                          </w:divBdr>
                        </w:div>
                        <w:div w:id="492380563">
                          <w:marLeft w:val="0"/>
                          <w:marRight w:val="0"/>
                          <w:marTop w:val="0"/>
                          <w:marBottom w:val="0"/>
                          <w:divBdr>
                            <w:top w:val="none" w:sz="0" w:space="0" w:color="auto"/>
                            <w:left w:val="none" w:sz="0" w:space="0" w:color="auto"/>
                            <w:bottom w:val="none" w:sz="0" w:space="0" w:color="auto"/>
                            <w:right w:val="none" w:sz="0" w:space="0" w:color="auto"/>
                          </w:divBdr>
                          <w:divsChild>
                            <w:div w:id="61729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459555">
          <w:marLeft w:val="0"/>
          <w:marRight w:val="0"/>
          <w:marTop w:val="0"/>
          <w:marBottom w:val="0"/>
          <w:divBdr>
            <w:top w:val="none" w:sz="0" w:space="0" w:color="auto"/>
            <w:left w:val="none" w:sz="0" w:space="0" w:color="auto"/>
            <w:bottom w:val="none" w:sz="0" w:space="0" w:color="auto"/>
            <w:right w:val="none" w:sz="0" w:space="0" w:color="auto"/>
          </w:divBdr>
        </w:div>
        <w:div w:id="16322025">
          <w:marLeft w:val="0"/>
          <w:marRight w:val="0"/>
          <w:marTop w:val="0"/>
          <w:marBottom w:val="0"/>
          <w:divBdr>
            <w:top w:val="none" w:sz="0" w:space="0" w:color="auto"/>
            <w:left w:val="none" w:sz="0" w:space="0" w:color="auto"/>
            <w:bottom w:val="none" w:sz="0" w:space="0" w:color="auto"/>
            <w:right w:val="none" w:sz="0" w:space="0" w:color="auto"/>
          </w:divBdr>
        </w:div>
        <w:div w:id="1588926613">
          <w:marLeft w:val="0"/>
          <w:marRight w:val="0"/>
          <w:marTop w:val="0"/>
          <w:marBottom w:val="0"/>
          <w:divBdr>
            <w:top w:val="none" w:sz="0" w:space="0" w:color="auto"/>
            <w:left w:val="none" w:sz="0" w:space="0" w:color="auto"/>
            <w:bottom w:val="none" w:sz="0" w:space="0" w:color="auto"/>
            <w:right w:val="none" w:sz="0" w:space="0" w:color="auto"/>
          </w:divBdr>
          <w:divsChild>
            <w:div w:id="1435781791">
              <w:marLeft w:val="0"/>
              <w:marRight w:val="0"/>
              <w:marTop w:val="0"/>
              <w:marBottom w:val="0"/>
              <w:divBdr>
                <w:top w:val="none" w:sz="0" w:space="0" w:color="auto"/>
                <w:left w:val="none" w:sz="0" w:space="0" w:color="auto"/>
                <w:bottom w:val="none" w:sz="0" w:space="0" w:color="auto"/>
                <w:right w:val="none" w:sz="0" w:space="0" w:color="auto"/>
              </w:divBdr>
              <w:divsChild>
                <w:div w:id="82262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7489">
          <w:marLeft w:val="0"/>
          <w:marRight w:val="0"/>
          <w:marTop w:val="0"/>
          <w:marBottom w:val="0"/>
          <w:divBdr>
            <w:top w:val="none" w:sz="0" w:space="0" w:color="auto"/>
            <w:left w:val="none" w:sz="0" w:space="0" w:color="auto"/>
            <w:bottom w:val="none" w:sz="0" w:space="0" w:color="auto"/>
            <w:right w:val="none" w:sz="0" w:space="0" w:color="auto"/>
          </w:divBdr>
          <w:divsChild>
            <w:div w:id="418870055">
              <w:marLeft w:val="0"/>
              <w:marRight w:val="0"/>
              <w:marTop w:val="0"/>
              <w:marBottom w:val="0"/>
              <w:divBdr>
                <w:top w:val="none" w:sz="0" w:space="0" w:color="auto"/>
                <w:left w:val="none" w:sz="0" w:space="0" w:color="auto"/>
                <w:bottom w:val="none" w:sz="0" w:space="0" w:color="auto"/>
                <w:right w:val="none" w:sz="0" w:space="0" w:color="auto"/>
              </w:divBdr>
              <w:divsChild>
                <w:div w:id="1130585655">
                  <w:marLeft w:val="0"/>
                  <w:marRight w:val="0"/>
                  <w:marTop w:val="0"/>
                  <w:marBottom w:val="0"/>
                  <w:divBdr>
                    <w:top w:val="none" w:sz="0" w:space="0" w:color="auto"/>
                    <w:left w:val="none" w:sz="0" w:space="0" w:color="auto"/>
                    <w:bottom w:val="none" w:sz="0" w:space="0" w:color="auto"/>
                    <w:right w:val="none" w:sz="0" w:space="0" w:color="auto"/>
                  </w:divBdr>
                  <w:divsChild>
                    <w:div w:id="166987364">
                      <w:marLeft w:val="0"/>
                      <w:marRight w:val="0"/>
                      <w:marTop w:val="0"/>
                      <w:marBottom w:val="0"/>
                      <w:divBdr>
                        <w:top w:val="none" w:sz="0" w:space="0" w:color="auto"/>
                        <w:left w:val="none" w:sz="0" w:space="0" w:color="auto"/>
                        <w:bottom w:val="none" w:sz="0" w:space="0" w:color="auto"/>
                        <w:right w:val="none" w:sz="0" w:space="0" w:color="auto"/>
                      </w:divBdr>
                    </w:div>
                    <w:div w:id="1537087598">
                      <w:marLeft w:val="0"/>
                      <w:marRight w:val="0"/>
                      <w:marTop w:val="0"/>
                      <w:marBottom w:val="0"/>
                      <w:divBdr>
                        <w:top w:val="none" w:sz="0" w:space="0" w:color="auto"/>
                        <w:left w:val="none" w:sz="0" w:space="0" w:color="auto"/>
                        <w:bottom w:val="none" w:sz="0" w:space="0" w:color="auto"/>
                        <w:right w:val="none" w:sz="0" w:space="0" w:color="auto"/>
                      </w:divBdr>
                      <w:divsChild>
                        <w:div w:id="102467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791285">
          <w:marLeft w:val="0"/>
          <w:marRight w:val="0"/>
          <w:marTop w:val="0"/>
          <w:marBottom w:val="0"/>
          <w:divBdr>
            <w:top w:val="none" w:sz="0" w:space="0" w:color="auto"/>
            <w:left w:val="none" w:sz="0" w:space="0" w:color="auto"/>
            <w:bottom w:val="none" w:sz="0" w:space="0" w:color="auto"/>
            <w:right w:val="none" w:sz="0" w:space="0" w:color="auto"/>
          </w:divBdr>
          <w:divsChild>
            <w:div w:id="1881044334">
              <w:marLeft w:val="0"/>
              <w:marRight w:val="0"/>
              <w:marTop w:val="0"/>
              <w:marBottom w:val="0"/>
              <w:divBdr>
                <w:top w:val="none" w:sz="0" w:space="0" w:color="auto"/>
                <w:left w:val="none" w:sz="0" w:space="0" w:color="auto"/>
                <w:bottom w:val="none" w:sz="0" w:space="0" w:color="auto"/>
                <w:right w:val="none" w:sz="0" w:space="0" w:color="auto"/>
              </w:divBdr>
              <w:divsChild>
                <w:div w:id="1142621444">
                  <w:marLeft w:val="0"/>
                  <w:marRight w:val="0"/>
                  <w:marTop w:val="0"/>
                  <w:marBottom w:val="0"/>
                  <w:divBdr>
                    <w:top w:val="none" w:sz="0" w:space="0" w:color="auto"/>
                    <w:left w:val="none" w:sz="0" w:space="0" w:color="auto"/>
                    <w:bottom w:val="none" w:sz="0" w:space="0" w:color="auto"/>
                    <w:right w:val="none" w:sz="0" w:space="0" w:color="auto"/>
                  </w:divBdr>
                  <w:divsChild>
                    <w:div w:id="536048700">
                      <w:marLeft w:val="0"/>
                      <w:marRight w:val="0"/>
                      <w:marTop w:val="0"/>
                      <w:marBottom w:val="0"/>
                      <w:divBdr>
                        <w:top w:val="none" w:sz="0" w:space="0" w:color="auto"/>
                        <w:left w:val="none" w:sz="0" w:space="0" w:color="auto"/>
                        <w:bottom w:val="none" w:sz="0" w:space="0" w:color="auto"/>
                        <w:right w:val="none" w:sz="0" w:space="0" w:color="auto"/>
                      </w:divBdr>
                      <w:divsChild>
                        <w:div w:id="936400502">
                          <w:marLeft w:val="0"/>
                          <w:marRight w:val="0"/>
                          <w:marTop w:val="0"/>
                          <w:marBottom w:val="0"/>
                          <w:divBdr>
                            <w:top w:val="none" w:sz="0" w:space="0" w:color="auto"/>
                            <w:left w:val="none" w:sz="0" w:space="0" w:color="auto"/>
                            <w:bottom w:val="none" w:sz="0" w:space="0" w:color="auto"/>
                            <w:right w:val="none" w:sz="0" w:space="0" w:color="auto"/>
                          </w:divBdr>
                          <w:divsChild>
                            <w:div w:id="142089556">
                              <w:marLeft w:val="0"/>
                              <w:marRight w:val="0"/>
                              <w:marTop w:val="0"/>
                              <w:marBottom w:val="0"/>
                              <w:divBdr>
                                <w:top w:val="none" w:sz="0" w:space="0" w:color="auto"/>
                                <w:left w:val="none" w:sz="0" w:space="0" w:color="auto"/>
                                <w:bottom w:val="none" w:sz="0" w:space="0" w:color="auto"/>
                                <w:right w:val="none" w:sz="0" w:space="0" w:color="auto"/>
                              </w:divBdr>
                              <w:divsChild>
                                <w:div w:id="1599024408">
                                  <w:marLeft w:val="0"/>
                                  <w:marRight w:val="0"/>
                                  <w:marTop w:val="0"/>
                                  <w:marBottom w:val="0"/>
                                  <w:divBdr>
                                    <w:top w:val="none" w:sz="0" w:space="0" w:color="auto"/>
                                    <w:left w:val="none" w:sz="0" w:space="0" w:color="auto"/>
                                    <w:bottom w:val="none" w:sz="0" w:space="0" w:color="auto"/>
                                    <w:right w:val="none" w:sz="0" w:space="0" w:color="auto"/>
                                  </w:divBdr>
                                  <w:divsChild>
                                    <w:div w:id="171260040">
                                      <w:marLeft w:val="0"/>
                                      <w:marRight w:val="0"/>
                                      <w:marTop w:val="0"/>
                                      <w:marBottom w:val="0"/>
                                      <w:divBdr>
                                        <w:top w:val="none" w:sz="0" w:space="0" w:color="auto"/>
                                        <w:left w:val="none" w:sz="0" w:space="0" w:color="auto"/>
                                        <w:bottom w:val="none" w:sz="0" w:space="0" w:color="auto"/>
                                        <w:right w:val="none" w:sz="0" w:space="0" w:color="auto"/>
                                      </w:divBdr>
                                      <w:divsChild>
                                        <w:div w:id="17168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0580186">
          <w:marLeft w:val="0"/>
          <w:marRight w:val="0"/>
          <w:marTop w:val="0"/>
          <w:marBottom w:val="0"/>
          <w:divBdr>
            <w:top w:val="none" w:sz="0" w:space="0" w:color="auto"/>
            <w:left w:val="none" w:sz="0" w:space="0" w:color="auto"/>
            <w:bottom w:val="none" w:sz="0" w:space="0" w:color="auto"/>
            <w:right w:val="none" w:sz="0" w:space="0" w:color="auto"/>
          </w:divBdr>
        </w:div>
        <w:div w:id="686559899">
          <w:marLeft w:val="0"/>
          <w:marRight w:val="0"/>
          <w:marTop w:val="0"/>
          <w:marBottom w:val="0"/>
          <w:divBdr>
            <w:top w:val="none" w:sz="0" w:space="0" w:color="auto"/>
            <w:left w:val="none" w:sz="0" w:space="0" w:color="auto"/>
            <w:bottom w:val="none" w:sz="0" w:space="0" w:color="auto"/>
            <w:right w:val="none" w:sz="0" w:space="0" w:color="auto"/>
          </w:divBdr>
          <w:divsChild>
            <w:div w:id="763763161">
              <w:marLeft w:val="0"/>
              <w:marRight w:val="0"/>
              <w:marTop w:val="0"/>
              <w:marBottom w:val="0"/>
              <w:divBdr>
                <w:top w:val="none" w:sz="0" w:space="0" w:color="auto"/>
                <w:left w:val="none" w:sz="0" w:space="0" w:color="auto"/>
                <w:bottom w:val="none" w:sz="0" w:space="0" w:color="auto"/>
                <w:right w:val="none" w:sz="0" w:space="0" w:color="auto"/>
              </w:divBdr>
              <w:divsChild>
                <w:div w:id="2016031375">
                  <w:marLeft w:val="0"/>
                  <w:marRight w:val="0"/>
                  <w:marTop w:val="0"/>
                  <w:marBottom w:val="0"/>
                  <w:divBdr>
                    <w:top w:val="none" w:sz="0" w:space="0" w:color="auto"/>
                    <w:left w:val="none" w:sz="0" w:space="0" w:color="auto"/>
                    <w:bottom w:val="none" w:sz="0" w:space="0" w:color="auto"/>
                    <w:right w:val="none" w:sz="0" w:space="0" w:color="auto"/>
                  </w:divBdr>
                  <w:divsChild>
                    <w:div w:id="403336036">
                      <w:marLeft w:val="0"/>
                      <w:marRight w:val="0"/>
                      <w:marTop w:val="0"/>
                      <w:marBottom w:val="0"/>
                      <w:divBdr>
                        <w:top w:val="none" w:sz="0" w:space="0" w:color="auto"/>
                        <w:left w:val="none" w:sz="0" w:space="0" w:color="auto"/>
                        <w:bottom w:val="none" w:sz="0" w:space="0" w:color="auto"/>
                        <w:right w:val="none" w:sz="0" w:space="0" w:color="auto"/>
                      </w:divBdr>
                      <w:divsChild>
                        <w:div w:id="269707208">
                          <w:marLeft w:val="0"/>
                          <w:marRight w:val="0"/>
                          <w:marTop w:val="0"/>
                          <w:marBottom w:val="0"/>
                          <w:divBdr>
                            <w:top w:val="none" w:sz="0" w:space="0" w:color="auto"/>
                            <w:left w:val="none" w:sz="0" w:space="0" w:color="auto"/>
                            <w:bottom w:val="none" w:sz="0" w:space="0" w:color="auto"/>
                            <w:right w:val="none" w:sz="0" w:space="0" w:color="auto"/>
                          </w:divBdr>
                          <w:divsChild>
                            <w:div w:id="1088766127">
                              <w:marLeft w:val="0"/>
                              <w:marRight w:val="0"/>
                              <w:marTop w:val="0"/>
                              <w:marBottom w:val="0"/>
                              <w:divBdr>
                                <w:top w:val="none" w:sz="0" w:space="0" w:color="auto"/>
                                <w:left w:val="none" w:sz="0" w:space="0" w:color="auto"/>
                                <w:bottom w:val="none" w:sz="0" w:space="0" w:color="auto"/>
                                <w:right w:val="none" w:sz="0" w:space="0" w:color="auto"/>
                              </w:divBdr>
                              <w:divsChild>
                                <w:div w:id="253368403">
                                  <w:marLeft w:val="0"/>
                                  <w:marRight w:val="0"/>
                                  <w:marTop w:val="0"/>
                                  <w:marBottom w:val="0"/>
                                  <w:divBdr>
                                    <w:top w:val="none" w:sz="0" w:space="0" w:color="auto"/>
                                    <w:left w:val="none" w:sz="0" w:space="0" w:color="auto"/>
                                    <w:bottom w:val="none" w:sz="0" w:space="0" w:color="auto"/>
                                    <w:right w:val="none" w:sz="0" w:space="0" w:color="auto"/>
                                  </w:divBdr>
                                  <w:divsChild>
                                    <w:div w:id="116277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88378">
          <w:marLeft w:val="0"/>
          <w:marRight w:val="0"/>
          <w:marTop w:val="0"/>
          <w:marBottom w:val="0"/>
          <w:divBdr>
            <w:top w:val="none" w:sz="0" w:space="0" w:color="auto"/>
            <w:left w:val="none" w:sz="0" w:space="0" w:color="auto"/>
            <w:bottom w:val="none" w:sz="0" w:space="0" w:color="auto"/>
            <w:right w:val="none" w:sz="0" w:space="0" w:color="auto"/>
          </w:divBdr>
          <w:divsChild>
            <w:div w:id="1386829151">
              <w:marLeft w:val="0"/>
              <w:marRight w:val="0"/>
              <w:marTop w:val="0"/>
              <w:marBottom w:val="0"/>
              <w:divBdr>
                <w:top w:val="none" w:sz="0" w:space="0" w:color="auto"/>
                <w:left w:val="none" w:sz="0" w:space="0" w:color="auto"/>
                <w:bottom w:val="none" w:sz="0" w:space="0" w:color="auto"/>
                <w:right w:val="none" w:sz="0" w:space="0" w:color="auto"/>
              </w:divBdr>
              <w:divsChild>
                <w:div w:id="1746993337">
                  <w:marLeft w:val="0"/>
                  <w:marRight w:val="0"/>
                  <w:marTop w:val="0"/>
                  <w:marBottom w:val="0"/>
                  <w:divBdr>
                    <w:top w:val="none" w:sz="0" w:space="0" w:color="auto"/>
                    <w:left w:val="none" w:sz="0" w:space="0" w:color="auto"/>
                    <w:bottom w:val="none" w:sz="0" w:space="0" w:color="auto"/>
                    <w:right w:val="none" w:sz="0" w:space="0" w:color="auto"/>
                  </w:divBdr>
                  <w:divsChild>
                    <w:div w:id="131590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216698">
          <w:marLeft w:val="0"/>
          <w:marRight w:val="0"/>
          <w:marTop w:val="0"/>
          <w:marBottom w:val="0"/>
          <w:divBdr>
            <w:top w:val="none" w:sz="0" w:space="0" w:color="auto"/>
            <w:left w:val="none" w:sz="0" w:space="0" w:color="auto"/>
            <w:bottom w:val="none" w:sz="0" w:space="0" w:color="auto"/>
            <w:right w:val="none" w:sz="0" w:space="0" w:color="auto"/>
          </w:divBdr>
          <w:divsChild>
            <w:div w:id="1616713390">
              <w:marLeft w:val="0"/>
              <w:marRight w:val="0"/>
              <w:marTop w:val="0"/>
              <w:marBottom w:val="0"/>
              <w:divBdr>
                <w:top w:val="none" w:sz="0" w:space="0" w:color="auto"/>
                <w:left w:val="none" w:sz="0" w:space="0" w:color="auto"/>
                <w:bottom w:val="none" w:sz="0" w:space="0" w:color="auto"/>
                <w:right w:val="none" w:sz="0" w:space="0" w:color="auto"/>
              </w:divBdr>
              <w:divsChild>
                <w:div w:id="1676227757">
                  <w:marLeft w:val="0"/>
                  <w:marRight w:val="0"/>
                  <w:marTop w:val="0"/>
                  <w:marBottom w:val="0"/>
                  <w:divBdr>
                    <w:top w:val="none" w:sz="0" w:space="0" w:color="auto"/>
                    <w:left w:val="none" w:sz="0" w:space="0" w:color="auto"/>
                    <w:bottom w:val="none" w:sz="0" w:space="0" w:color="auto"/>
                    <w:right w:val="none" w:sz="0" w:space="0" w:color="auto"/>
                  </w:divBdr>
                  <w:divsChild>
                    <w:div w:id="69010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18802">
          <w:marLeft w:val="0"/>
          <w:marRight w:val="0"/>
          <w:marTop w:val="0"/>
          <w:marBottom w:val="0"/>
          <w:divBdr>
            <w:top w:val="none" w:sz="0" w:space="0" w:color="auto"/>
            <w:left w:val="none" w:sz="0" w:space="0" w:color="auto"/>
            <w:bottom w:val="none" w:sz="0" w:space="0" w:color="auto"/>
            <w:right w:val="none" w:sz="0" w:space="0" w:color="auto"/>
          </w:divBdr>
          <w:divsChild>
            <w:div w:id="283389919">
              <w:marLeft w:val="0"/>
              <w:marRight w:val="0"/>
              <w:marTop w:val="0"/>
              <w:marBottom w:val="0"/>
              <w:divBdr>
                <w:top w:val="none" w:sz="0" w:space="0" w:color="auto"/>
                <w:left w:val="none" w:sz="0" w:space="0" w:color="auto"/>
                <w:bottom w:val="none" w:sz="0" w:space="0" w:color="auto"/>
                <w:right w:val="none" w:sz="0" w:space="0" w:color="auto"/>
              </w:divBdr>
              <w:divsChild>
                <w:div w:id="894436126">
                  <w:marLeft w:val="0"/>
                  <w:marRight w:val="0"/>
                  <w:marTop w:val="0"/>
                  <w:marBottom w:val="0"/>
                  <w:divBdr>
                    <w:top w:val="none" w:sz="0" w:space="0" w:color="auto"/>
                    <w:left w:val="none" w:sz="0" w:space="0" w:color="auto"/>
                    <w:bottom w:val="none" w:sz="0" w:space="0" w:color="auto"/>
                    <w:right w:val="none" w:sz="0" w:space="0" w:color="auto"/>
                  </w:divBdr>
                  <w:divsChild>
                    <w:div w:id="11445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56504">
          <w:marLeft w:val="0"/>
          <w:marRight w:val="0"/>
          <w:marTop w:val="0"/>
          <w:marBottom w:val="0"/>
          <w:divBdr>
            <w:top w:val="none" w:sz="0" w:space="0" w:color="auto"/>
            <w:left w:val="none" w:sz="0" w:space="0" w:color="auto"/>
            <w:bottom w:val="none" w:sz="0" w:space="0" w:color="auto"/>
            <w:right w:val="none" w:sz="0" w:space="0" w:color="auto"/>
          </w:divBdr>
          <w:divsChild>
            <w:div w:id="760641218">
              <w:marLeft w:val="0"/>
              <w:marRight w:val="0"/>
              <w:marTop w:val="0"/>
              <w:marBottom w:val="0"/>
              <w:divBdr>
                <w:top w:val="none" w:sz="0" w:space="0" w:color="auto"/>
                <w:left w:val="none" w:sz="0" w:space="0" w:color="auto"/>
                <w:bottom w:val="none" w:sz="0" w:space="0" w:color="auto"/>
                <w:right w:val="none" w:sz="0" w:space="0" w:color="auto"/>
              </w:divBdr>
              <w:divsChild>
                <w:div w:id="204374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419941">
          <w:marLeft w:val="0"/>
          <w:marRight w:val="0"/>
          <w:marTop w:val="0"/>
          <w:marBottom w:val="0"/>
          <w:divBdr>
            <w:top w:val="none" w:sz="0" w:space="0" w:color="auto"/>
            <w:left w:val="none" w:sz="0" w:space="0" w:color="auto"/>
            <w:bottom w:val="none" w:sz="0" w:space="0" w:color="auto"/>
            <w:right w:val="none" w:sz="0" w:space="0" w:color="auto"/>
          </w:divBdr>
          <w:divsChild>
            <w:div w:id="140193157">
              <w:marLeft w:val="0"/>
              <w:marRight w:val="0"/>
              <w:marTop w:val="0"/>
              <w:marBottom w:val="0"/>
              <w:divBdr>
                <w:top w:val="none" w:sz="0" w:space="0" w:color="auto"/>
                <w:left w:val="none" w:sz="0" w:space="0" w:color="auto"/>
                <w:bottom w:val="none" w:sz="0" w:space="0" w:color="auto"/>
                <w:right w:val="none" w:sz="0" w:space="0" w:color="auto"/>
              </w:divBdr>
            </w:div>
          </w:divsChild>
        </w:div>
        <w:div w:id="1927105018">
          <w:marLeft w:val="0"/>
          <w:marRight w:val="0"/>
          <w:marTop w:val="0"/>
          <w:marBottom w:val="0"/>
          <w:divBdr>
            <w:top w:val="none" w:sz="0" w:space="0" w:color="auto"/>
            <w:left w:val="none" w:sz="0" w:space="0" w:color="auto"/>
            <w:bottom w:val="none" w:sz="0" w:space="0" w:color="auto"/>
            <w:right w:val="none" w:sz="0" w:space="0" w:color="auto"/>
          </w:divBdr>
          <w:divsChild>
            <w:div w:id="1075200341">
              <w:marLeft w:val="0"/>
              <w:marRight w:val="0"/>
              <w:marTop w:val="0"/>
              <w:marBottom w:val="0"/>
              <w:divBdr>
                <w:top w:val="none" w:sz="0" w:space="0" w:color="auto"/>
                <w:left w:val="none" w:sz="0" w:space="0" w:color="auto"/>
                <w:bottom w:val="none" w:sz="0" w:space="0" w:color="auto"/>
                <w:right w:val="none" w:sz="0" w:space="0" w:color="auto"/>
              </w:divBdr>
              <w:divsChild>
                <w:div w:id="1523475972">
                  <w:marLeft w:val="0"/>
                  <w:marRight w:val="0"/>
                  <w:marTop w:val="0"/>
                  <w:marBottom w:val="0"/>
                  <w:divBdr>
                    <w:top w:val="none" w:sz="0" w:space="0" w:color="auto"/>
                    <w:left w:val="none" w:sz="0" w:space="0" w:color="auto"/>
                    <w:bottom w:val="none" w:sz="0" w:space="0" w:color="auto"/>
                    <w:right w:val="none" w:sz="0" w:space="0" w:color="auto"/>
                  </w:divBdr>
                  <w:divsChild>
                    <w:div w:id="1109203849">
                      <w:marLeft w:val="0"/>
                      <w:marRight w:val="0"/>
                      <w:marTop w:val="0"/>
                      <w:marBottom w:val="0"/>
                      <w:divBdr>
                        <w:top w:val="none" w:sz="0" w:space="0" w:color="auto"/>
                        <w:left w:val="none" w:sz="0" w:space="0" w:color="auto"/>
                        <w:bottom w:val="none" w:sz="0" w:space="0" w:color="auto"/>
                        <w:right w:val="none" w:sz="0" w:space="0" w:color="auto"/>
                      </w:divBdr>
                      <w:divsChild>
                        <w:div w:id="125955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50951">
          <w:marLeft w:val="0"/>
          <w:marRight w:val="0"/>
          <w:marTop w:val="0"/>
          <w:marBottom w:val="0"/>
          <w:divBdr>
            <w:top w:val="none" w:sz="0" w:space="0" w:color="auto"/>
            <w:left w:val="none" w:sz="0" w:space="0" w:color="auto"/>
            <w:bottom w:val="none" w:sz="0" w:space="0" w:color="auto"/>
            <w:right w:val="none" w:sz="0" w:space="0" w:color="auto"/>
          </w:divBdr>
          <w:divsChild>
            <w:div w:id="1604455110">
              <w:marLeft w:val="0"/>
              <w:marRight w:val="0"/>
              <w:marTop w:val="0"/>
              <w:marBottom w:val="0"/>
              <w:divBdr>
                <w:top w:val="none" w:sz="0" w:space="0" w:color="auto"/>
                <w:left w:val="none" w:sz="0" w:space="0" w:color="auto"/>
                <w:bottom w:val="none" w:sz="0" w:space="0" w:color="auto"/>
                <w:right w:val="none" w:sz="0" w:space="0" w:color="auto"/>
              </w:divBdr>
              <w:divsChild>
                <w:div w:id="496382275">
                  <w:marLeft w:val="0"/>
                  <w:marRight w:val="0"/>
                  <w:marTop w:val="0"/>
                  <w:marBottom w:val="0"/>
                  <w:divBdr>
                    <w:top w:val="none" w:sz="0" w:space="0" w:color="auto"/>
                    <w:left w:val="none" w:sz="0" w:space="0" w:color="auto"/>
                    <w:bottom w:val="none" w:sz="0" w:space="0" w:color="auto"/>
                    <w:right w:val="none" w:sz="0" w:space="0" w:color="auto"/>
                  </w:divBdr>
                  <w:divsChild>
                    <w:div w:id="215969864">
                      <w:marLeft w:val="0"/>
                      <w:marRight w:val="0"/>
                      <w:marTop w:val="0"/>
                      <w:marBottom w:val="0"/>
                      <w:divBdr>
                        <w:top w:val="none" w:sz="0" w:space="0" w:color="auto"/>
                        <w:left w:val="none" w:sz="0" w:space="0" w:color="auto"/>
                        <w:bottom w:val="none" w:sz="0" w:space="0" w:color="auto"/>
                        <w:right w:val="none" w:sz="0" w:space="0" w:color="auto"/>
                      </w:divBdr>
                      <w:divsChild>
                        <w:div w:id="25559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505988">
              <w:marLeft w:val="0"/>
              <w:marRight w:val="0"/>
              <w:marTop w:val="0"/>
              <w:marBottom w:val="0"/>
              <w:divBdr>
                <w:top w:val="none" w:sz="0" w:space="0" w:color="auto"/>
                <w:left w:val="none" w:sz="0" w:space="0" w:color="auto"/>
                <w:bottom w:val="none" w:sz="0" w:space="0" w:color="auto"/>
                <w:right w:val="none" w:sz="0" w:space="0" w:color="auto"/>
              </w:divBdr>
              <w:divsChild>
                <w:div w:id="1498492963">
                  <w:marLeft w:val="0"/>
                  <w:marRight w:val="0"/>
                  <w:marTop w:val="0"/>
                  <w:marBottom w:val="0"/>
                  <w:divBdr>
                    <w:top w:val="none" w:sz="0" w:space="0" w:color="auto"/>
                    <w:left w:val="none" w:sz="0" w:space="0" w:color="auto"/>
                    <w:bottom w:val="none" w:sz="0" w:space="0" w:color="auto"/>
                    <w:right w:val="none" w:sz="0" w:space="0" w:color="auto"/>
                  </w:divBdr>
                  <w:divsChild>
                    <w:div w:id="1002589488">
                      <w:marLeft w:val="0"/>
                      <w:marRight w:val="0"/>
                      <w:marTop w:val="0"/>
                      <w:marBottom w:val="0"/>
                      <w:divBdr>
                        <w:top w:val="none" w:sz="0" w:space="0" w:color="auto"/>
                        <w:left w:val="none" w:sz="0" w:space="0" w:color="auto"/>
                        <w:bottom w:val="none" w:sz="0" w:space="0" w:color="auto"/>
                        <w:right w:val="none" w:sz="0" w:space="0" w:color="auto"/>
                      </w:divBdr>
                      <w:divsChild>
                        <w:div w:id="12873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709343">
              <w:marLeft w:val="0"/>
              <w:marRight w:val="0"/>
              <w:marTop w:val="0"/>
              <w:marBottom w:val="0"/>
              <w:divBdr>
                <w:top w:val="none" w:sz="0" w:space="0" w:color="auto"/>
                <w:left w:val="none" w:sz="0" w:space="0" w:color="auto"/>
                <w:bottom w:val="none" w:sz="0" w:space="0" w:color="auto"/>
                <w:right w:val="none" w:sz="0" w:space="0" w:color="auto"/>
              </w:divBdr>
              <w:divsChild>
                <w:div w:id="1592276319">
                  <w:marLeft w:val="0"/>
                  <w:marRight w:val="0"/>
                  <w:marTop w:val="0"/>
                  <w:marBottom w:val="0"/>
                  <w:divBdr>
                    <w:top w:val="none" w:sz="0" w:space="0" w:color="auto"/>
                    <w:left w:val="none" w:sz="0" w:space="0" w:color="auto"/>
                    <w:bottom w:val="none" w:sz="0" w:space="0" w:color="auto"/>
                    <w:right w:val="none" w:sz="0" w:space="0" w:color="auto"/>
                  </w:divBdr>
                  <w:divsChild>
                    <w:div w:id="194846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04854">
              <w:marLeft w:val="0"/>
              <w:marRight w:val="0"/>
              <w:marTop w:val="0"/>
              <w:marBottom w:val="0"/>
              <w:divBdr>
                <w:top w:val="none" w:sz="0" w:space="0" w:color="auto"/>
                <w:left w:val="none" w:sz="0" w:space="0" w:color="auto"/>
                <w:bottom w:val="none" w:sz="0" w:space="0" w:color="auto"/>
                <w:right w:val="none" w:sz="0" w:space="0" w:color="auto"/>
              </w:divBdr>
              <w:divsChild>
                <w:div w:id="1028599090">
                  <w:marLeft w:val="0"/>
                  <w:marRight w:val="0"/>
                  <w:marTop w:val="0"/>
                  <w:marBottom w:val="0"/>
                  <w:divBdr>
                    <w:top w:val="none" w:sz="0" w:space="0" w:color="auto"/>
                    <w:left w:val="none" w:sz="0" w:space="0" w:color="auto"/>
                    <w:bottom w:val="none" w:sz="0" w:space="0" w:color="auto"/>
                    <w:right w:val="none" w:sz="0" w:space="0" w:color="auto"/>
                  </w:divBdr>
                  <w:divsChild>
                    <w:div w:id="1666545023">
                      <w:marLeft w:val="0"/>
                      <w:marRight w:val="0"/>
                      <w:marTop w:val="0"/>
                      <w:marBottom w:val="0"/>
                      <w:divBdr>
                        <w:top w:val="none" w:sz="0" w:space="0" w:color="auto"/>
                        <w:left w:val="none" w:sz="0" w:space="0" w:color="auto"/>
                        <w:bottom w:val="none" w:sz="0" w:space="0" w:color="auto"/>
                        <w:right w:val="none" w:sz="0" w:space="0" w:color="auto"/>
                      </w:divBdr>
                      <w:divsChild>
                        <w:div w:id="187761890">
                          <w:marLeft w:val="0"/>
                          <w:marRight w:val="0"/>
                          <w:marTop w:val="0"/>
                          <w:marBottom w:val="0"/>
                          <w:divBdr>
                            <w:top w:val="none" w:sz="0" w:space="0" w:color="auto"/>
                            <w:left w:val="none" w:sz="0" w:space="0" w:color="auto"/>
                            <w:bottom w:val="none" w:sz="0" w:space="0" w:color="auto"/>
                            <w:right w:val="none" w:sz="0" w:space="0" w:color="auto"/>
                          </w:divBdr>
                          <w:divsChild>
                            <w:div w:id="691876849">
                              <w:marLeft w:val="0"/>
                              <w:marRight w:val="0"/>
                              <w:marTop w:val="0"/>
                              <w:marBottom w:val="0"/>
                              <w:divBdr>
                                <w:top w:val="none" w:sz="0" w:space="0" w:color="auto"/>
                                <w:left w:val="none" w:sz="0" w:space="0" w:color="auto"/>
                                <w:bottom w:val="none" w:sz="0" w:space="0" w:color="auto"/>
                                <w:right w:val="none" w:sz="0" w:space="0" w:color="auto"/>
                              </w:divBdr>
                            </w:div>
                            <w:div w:id="120340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93084">
              <w:marLeft w:val="0"/>
              <w:marRight w:val="0"/>
              <w:marTop w:val="0"/>
              <w:marBottom w:val="0"/>
              <w:divBdr>
                <w:top w:val="none" w:sz="0" w:space="0" w:color="auto"/>
                <w:left w:val="none" w:sz="0" w:space="0" w:color="auto"/>
                <w:bottom w:val="none" w:sz="0" w:space="0" w:color="auto"/>
                <w:right w:val="none" w:sz="0" w:space="0" w:color="auto"/>
              </w:divBdr>
              <w:divsChild>
                <w:div w:id="191696096">
                  <w:marLeft w:val="0"/>
                  <w:marRight w:val="0"/>
                  <w:marTop w:val="0"/>
                  <w:marBottom w:val="0"/>
                  <w:divBdr>
                    <w:top w:val="none" w:sz="0" w:space="0" w:color="auto"/>
                    <w:left w:val="none" w:sz="0" w:space="0" w:color="auto"/>
                    <w:bottom w:val="none" w:sz="0" w:space="0" w:color="auto"/>
                    <w:right w:val="none" w:sz="0" w:space="0" w:color="auto"/>
                  </w:divBdr>
                  <w:divsChild>
                    <w:div w:id="277422">
                      <w:marLeft w:val="0"/>
                      <w:marRight w:val="0"/>
                      <w:marTop w:val="0"/>
                      <w:marBottom w:val="0"/>
                      <w:divBdr>
                        <w:top w:val="none" w:sz="0" w:space="0" w:color="auto"/>
                        <w:left w:val="none" w:sz="0" w:space="0" w:color="auto"/>
                        <w:bottom w:val="none" w:sz="0" w:space="0" w:color="auto"/>
                        <w:right w:val="none" w:sz="0" w:space="0" w:color="auto"/>
                      </w:divBdr>
                      <w:divsChild>
                        <w:div w:id="169537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277522">
              <w:marLeft w:val="0"/>
              <w:marRight w:val="0"/>
              <w:marTop w:val="0"/>
              <w:marBottom w:val="0"/>
              <w:divBdr>
                <w:top w:val="none" w:sz="0" w:space="0" w:color="auto"/>
                <w:left w:val="none" w:sz="0" w:space="0" w:color="auto"/>
                <w:bottom w:val="none" w:sz="0" w:space="0" w:color="auto"/>
                <w:right w:val="none" w:sz="0" w:space="0" w:color="auto"/>
              </w:divBdr>
              <w:divsChild>
                <w:div w:id="324628294">
                  <w:marLeft w:val="0"/>
                  <w:marRight w:val="0"/>
                  <w:marTop w:val="0"/>
                  <w:marBottom w:val="0"/>
                  <w:divBdr>
                    <w:top w:val="none" w:sz="0" w:space="0" w:color="auto"/>
                    <w:left w:val="none" w:sz="0" w:space="0" w:color="auto"/>
                    <w:bottom w:val="none" w:sz="0" w:space="0" w:color="auto"/>
                    <w:right w:val="none" w:sz="0" w:space="0" w:color="auto"/>
                  </w:divBdr>
                  <w:divsChild>
                    <w:div w:id="1045760261">
                      <w:marLeft w:val="0"/>
                      <w:marRight w:val="0"/>
                      <w:marTop w:val="0"/>
                      <w:marBottom w:val="0"/>
                      <w:divBdr>
                        <w:top w:val="none" w:sz="0" w:space="0" w:color="auto"/>
                        <w:left w:val="none" w:sz="0" w:space="0" w:color="auto"/>
                        <w:bottom w:val="none" w:sz="0" w:space="0" w:color="auto"/>
                        <w:right w:val="none" w:sz="0" w:space="0" w:color="auto"/>
                      </w:divBdr>
                      <w:divsChild>
                        <w:div w:id="163940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163318">
              <w:marLeft w:val="0"/>
              <w:marRight w:val="0"/>
              <w:marTop w:val="0"/>
              <w:marBottom w:val="0"/>
              <w:divBdr>
                <w:top w:val="none" w:sz="0" w:space="0" w:color="auto"/>
                <w:left w:val="none" w:sz="0" w:space="0" w:color="auto"/>
                <w:bottom w:val="none" w:sz="0" w:space="0" w:color="auto"/>
                <w:right w:val="none" w:sz="0" w:space="0" w:color="auto"/>
              </w:divBdr>
              <w:divsChild>
                <w:div w:id="186526493">
                  <w:marLeft w:val="0"/>
                  <w:marRight w:val="0"/>
                  <w:marTop w:val="0"/>
                  <w:marBottom w:val="0"/>
                  <w:divBdr>
                    <w:top w:val="none" w:sz="0" w:space="0" w:color="auto"/>
                    <w:left w:val="none" w:sz="0" w:space="0" w:color="auto"/>
                    <w:bottom w:val="none" w:sz="0" w:space="0" w:color="auto"/>
                    <w:right w:val="none" w:sz="0" w:space="0" w:color="auto"/>
                  </w:divBdr>
                  <w:divsChild>
                    <w:div w:id="133418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696409">
          <w:marLeft w:val="0"/>
          <w:marRight w:val="0"/>
          <w:marTop w:val="0"/>
          <w:marBottom w:val="0"/>
          <w:divBdr>
            <w:top w:val="none" w:sz="0" w:space="0" w:color="auto"/>
            <w:left w:val="none" w:sz="0" w:space="0" w:color="auto"/>
            <w:bottom w:val="none" w:sz="0" w:space="0" w:color="auto"/>
            <w:right w:val="none" w:sz="0" w:space="0" w:color="auto"/>
          </w:divBdr>
          <w:divsChild>
            <w:div w:id="494616276">
              <w:marLeft w:val="0"/>
              <w:marRight w:val="0"/>
              <w:marTop w:val="0"/>
              <w:marBottom w:val="0"/>
              <w:divBdr>
                <w:top w:val="none" w:sz="0" w:space="0" w:color="auto"/>
                <w:left w:val="none" w:sz="0" w:space="0" w:color="auto"/>
                <w:bottom w:val="none" w:sz="0" w:space="0" w:color="auto"/>
                <w:right w:val="none" w:sz="0" w:space="0" w:color="auto"/>
              </w:divBdr>
              <w:divsChild>
                <w:div w:id="1652755604">
                  <w:marLeft w:val="0"/>
                  <w:marRight w:val="0"/>
                  <w:marTop w:val="0"/>
                  <w:marBottom w:val="0"/>
                  <w:divBdr>
                    <w:top w:val="none" w:sz="0" w:space="0" w:color="auto"/>
                    <w:left w:val="none" w:sz="0" w:space="0" w:color="auto"/>
                    <w:bottom w:val="none" w:sz="0" w:space="0" w:color="auto"/>
                    <w:right w:val="none" w:sz="0" w:space="0" w:color="auto"/>
                  </w:divBdr>
                  <w:divsChild>
                    <w:div w:id="193616565">
                      <w:marLeft w:val="0"/>
                      <w:marRight w:val="0"/>
                      <w:marTop w:val="0"/>
                      <w:marBottom w:val="0"/>
                      <w:divBdr>
                        <w:top w:val="none" w:sz="0" w:space="0" w:color="auto"/>
                        <w:left w:val="none" w:sz="0" w:space="0" w:color="auto"/>
                        <w:bottom w:val="none" w:sz="0" w:space="0" w:color="auto"/>
                        <w:right w:val="none" w:sz="0" w:space="0" w:color="auto"/>
                      </w:divBdr>
                      <w:divsChild>
                        <w:div w:id="31699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498170">
          <w:marLeft w:val="0"/>
          <w:marRight w:val="0"/>
          <w:marTop w:val="0"/>
          <w:marBottom w:val="0"/>
          <w:divBdr>
            <w:top w:val="none" w:sz="0" w:space="0" w:color="auto"/>
            <w:left w:val="none" w:sz="0" w:space="0" w:color="auto"/>
            <w:bottom w:val="none" w:sz="0" w:space="0" w:color="auto"/>
            <w:right w:val="none" w:sz="0" w:space="0" w:color="auto"/>
          </w:divBdr>
          <w:divsChild>
            <w:div w:id="1231699572">
              <w:marLeft w:val="0"/>
              <w:marRight w:val="0"/>
              <w:marTop w:val="0"/>
              <w:marBottom w:val="0"/>
              <w:divBdr>
                <w:top w:val="none" w:sz="0" w:space="0" w:color="auto"/>
                <w:left w:val="none" w:sz="0" w:space="0" w:color="auto"/>
                <w:bottom w:val="none" w:sz="0" w:space="0" w:color="auto"/>
                <w:right w:val="none" w:sz="0" w:space="0" w:color="auto"/>
              </w:divBdr>
              <w:divsChild>
                <w:div w:id="698512514">
                  <w:marLeft w:val="0"/>
                  <w:marRight w:val="0"/>
                  <w:marTop w:val="0"/>
                  <w:marBottom w:val="0"/>
                  <w:divBdr>
                    <w:top w:val="none" w:sz="0" w:space="0" w:color="auto"/>
                    <w:left w:val="none" w:sz="0" w:space="0" w:color="auto"/>
                    <w:bottom w:val="none" w:sz="0" w:space="0" w:color="auto"/>
                    <w:right w:val="none" w:sz="0" w:space="0" w:color="auto"/>
                  </w:divBdr>
                  <w:divsChild>
                    <w:div w:id="1578829161">
                      <w:marLeft w:val="0"/>
                      <w:marRight w:val="0"/>
                      <w:marTop w:val="0"/>
                      <w:marBottom w:val="0"/>
                      <w:divBdr>
                        <w:top w:val="none" w:sz="0" w:space="0" w:color="auto"/>
                        <w:left w:val="none" w:sz="0" w:space="0" w:color="auto"/>
                        <w:bottom w:val="none" w:sz="0" w:space="0" w:color="auto"/>
                        <w:right w:val="none" w:sz="0" w:space="0" w:color="auto"/>
                      </w:divBdr>
                      <w:divsChild>
                        <w:div w:id="155076939">
                          <w:marLeft w:val="0"/>
                          <w:marRight w:val="0"/>
                          <w:marTop w:val="0"/>
                          <w:marBottom w:val="0"/>
                          <w:divBdr>
                            <w:top w:val="none" w:sz="0" w:space="0" w:color="auto"/>
                            <w:left w:val="none" w:sz="0" w:space="0" w:color="auto"/>
                            <w:bottom w:val="none" w:sz="0" w:space="0" w:color="auto"/>
                            <w:right w:val="none" w:sz="0" w:space="0" w:color="auto"/>
                          </w:divBdr>
                          <w:divsChild>
                            <w:div w:id="1280458162">
                              <w:marLeft w:val="0"/>
                              <w:marRight w:val="0"/>
                              <w:marTop w:val="0"/>
                              <w:marBottom w:val="0"/>
                              <w:divBdr>
                                <w:top w:val="none" w:sz="0" w:space="0" w:color="auto"/>
                                <w:left w:val="none" w:sz="0" w:space="0" w:color="auto"/>
                                <w:bottom w:val="none" w:sz="0" w:space="0" w:color="auto"/>
                                <w:right w:val="none" w:sz="0" w:space="0" w:color="auto"/>
                              </w:divBdr>
                              <w:divsChild>
                                <w:div w:id="488523890">
                                  <w:marLeft w:val="0"/>
                                  <w:marRight w:val="0"/>
                                  <w:marTop w:val="0"/>
                                  <w:marBottom w:val="0"/>
                                  <w:divBdr>
                                    <w:top w:val="none" w:sz="0" w:space="0" w:color="auto"/>
                                    <w:left w:val="none" w:sz="0" w:space="0" w:color="auto"/>
                                    <w:bottom w:val="none" w:sz="0" w:space="0" w:color="auto"/>
                                    <w:right w:val="none" w:sz="0" w:space="0" w:color="auto"/>
                                  </w:divBdr>
                                  <w:divsChild>
                                    <w:div w:id="1525482070">
                                      <w:marLeft w:val="0"/>
                                      <w:marRight w:val="0"/>
                                      <w:marTop w:val="0"/>
                                      <w:marBottom w:val="0"/>
                                      <w:divBdr>
                                        <w:top w:val="none" w:sz="0" w:space="0" w:color="auto"/>
                                        <w:left w:val="none" w:sz="0" w:space="0" w:color="auto"/>
                                        <w:bottom w:val="none" w:sz="0" w:space="0" w:color="auto"/>
                                        <w:right w:val="none" w:sz="0" w:space="0" w:color="auto"/>
                                      </w:divBdr>
                                      <w:divsChild>
                                        <w:div w:id="1583105285">
                                          <w:marLeft w:val="0"/>
                                          <w:marRight w:val="0"/>
                                          <w:marTop w:val="0"/>
                                          <w:marBottom w:val="0"/>
                                          <w:divBdr>
                                            <w:top w:val="none" w:sz="0" w:space="0" w:color="auto"/>
                                            <w:left w:val="none" w:sz="0" w:space="0" w:color="auto"/>
                                            <w:bottom w:val="none" w:sz="0" w:space="0" w:color="auto"/>
                                            <w:right w:val="none" w:sz="0" w:space="0" w:color="auto"/>
                                          </w:divBdr>
                                          <w:divsChild>
                                            <w:div w:id="103376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044288">
                                  <w:marLeft w:val="0"/>
                                  <w:marRight w:val="0"/>
                                  <w:marTop w:val="0"/>
                                  <w:marBottom w:val="0"/>
                                  <w:divBdr>
                                    <w:top w:val="none" w:sz="0" w:space="0" w:color="auto"/>
                                    <w:left w:val="none" w:sz="0" w:space="0" w:color="auto"/>
                                    <w:bottom w:val="none" w:sz="0" w:space="0" w:color="auto"/>
                                    <w:right w:val="none" w:sz="0" w:space="0" w:color="auto"/>
                                  </w:divBdr>
                                  <w:divsChild>
                                    <w:div w:id="1533153476">
                                      <w:marLeft w:val="0"/>
                                      <w:marRight w:val="0"/>
                                      <w:marTop w:val="0"/>
                                      <w:marBottom w:val="0"/>
                                      <w:divBdr>
                                        <w:top w:val="none" w:sz="0" w:space="0" w:color="auto"/>
                                        <w:left w:val="none" w:sz="0" w:space="0" w:color="auto"/>
                                        <w:bottom w:val="none" w:sz="0" w:space="0" w:color="auto"/>
                                        <w:right w:val="none" w:sz="0" w:space="0" w:color="auto"/>
                                      </w:divBdr>
                                      <w:divsChild>
                                        <w:div w:id="339629408">
                                          <w:marLeft w:val="0"/>
                                          <w:marRight w:val="0"/>
                                          <w:marTop w:val="0"/>
                                          <w:marBottom w:val="0"/>
                                          <w:divBdr>
                                            <w:top w:val="none" w:sz="0" w:space="0" w:color="auto"/>
                                            <w:left w:val="none" w:sz="0" w:space="0" w:color="auto"/>
                                            <w:bottom w:val="none" w:sz="0" w:space="0" w:color="auto"/>
                                            <w:right w:val="none" w:sz="0" w:space="0" w:color="auto"/>
                                          </w:divBdr>
                                          <w:divsChild>
                                            <w:div w:id="127521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875670">
                                  <w:marLeft w:val="0"/>
                                  <w:marRight w:val="0"/>
                                  <w:marTop w:val="0"/>
                                  <w:marBottom w:val="0"/>
                                  <w:divBdr>
                                    <w:top w:val="none" w:sz="0" w:space="0" w:color="auto"/>
                                    <w:left w:val="none" w:sz="0" w:space="0" w:color="auto"/>
                                    <w:bottom w:val="none" w:sz="0" w:space="0" w:color="auto"/>
                                    <w:right w:val="none" w:sz="0" w:space="0" w:color="auto"/>
                                  </w:divBdr>
                                  <w:divsChild>
                                    <w:div w:id="1576284296">
                                      <w:marLeft w:val="0"/>
                                      <w:marRight w:val="0"/>
                                      <w:marTop w:val="0"/>
                                      <w:marBottom w:val="0"/>
                                      <w:divBdr>
                                        <w:top w:val="none" w:sz="0" w:space="0" w:color="auto"/>
                                        <w:left w:val="none" w:sz="0" w:space="0" w:color="auto"/>
                                        <w:bottom w:val="none" w:sz="0" w:space="0" w:color="auto"/>
                                        <w:right w:val="none" w:sz="0" w:space="0" w:color="auto"/>
                                      </w:divBdr>
                                      <w:divsChild>
                                        <w:div w:id="614479248">
                                          <w:marLeft w:val="0"/>
                                          <w:marRight w:val="0"/>
                                          <w:marTop w:val="0"/>
                                          <w:marBottom w:val="0"/>
                                          <w:divBdr>
                                            <w:top w:val="none" w:sz="0" w:space="0" w:color="auto"/>
                                            <w:left w:val="none" w:sz="0" w:space="0" w:color="auto"/>
                                            <w:bottom w:val="none" w:sz="0" w:space="0" w:color="auto"/>
                                            <w:right w:val="none" w:sz="0" w:space="0" w:color="auto"/>
                                          </w:divBdr>
                                          <w:divsChild>
                                            <w:div w:id="8466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411723">
                                  <w:marLeft w:val="0"/>
                                  <w:marRight w:val="0"/>
                                  <w:marTop w:val="0"/>
                                  <w:marBottom w:val="0"/>
                                  <w:divBdr>
                                    <w:top w:val="none" w:sz="0" w:space="0" w:color="auto"/>
                                    <w:left w:val="none" w:sz="0" w:space="0" w:color="auto"/>
                                    <w:bottom w:val="none" w:sz="0" w:space="0" w:color="auto"/>
                                    <w:right w:val="none" w:sz="0" w:space="0" w:color="auto"/>
                                  </w:divBdr>
                                  <w:divsChild>
                                    <w:div w:id="134421687">
                                      <w:marLeft w:val="0"/>
                                      <w:marRight w:val="0"/>
                                      <w:marTop w:val="0"/>
                                      <w:marBottom w:val="0"/>
                                      <w:divBdr>
                                        <w:top w:val="none" w:sz="0" w:space="0" w:color="auto"/>
                                        <w:left w:val="none" w:sz="0" w:space="0" w:color="auto"/>
                                        <w:bottom w:val="none" w:sz="0" w:space="0" w:color="auto"/>
                                        <w:right w:val="none" w:sz="0" w:space="0" w:color="auto"/>
                                      </w:divBdr>
                                      <w:divsChild>
                                        <w:div w:id="584611261">
                                          <w:marLeft w:val="0"/>
                                          <w:marRight w:val="0"/>
                                          <w:marTop w:val="0"/>
                                          <w:marBottom w:val="0"/>
                                          <w:divBdr>
                                            <w:top w:val="none" w:sz="0" w:space="0" w:color="auto"/>
                                            <w:left w:val="none" w:sz="0" w:space="0" w:color="auto"/>
                                            <w:bottom w:val="none" w:sz="0" w:space="0" w:color="auto"/>
                                            <w:right w:val="none" w:sz="0" w:space="0" w:color="auto"/>
                                          </w:divBdr>
                                          <w:divsChild>
                                            <w:div w:id="6726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365152">
                              <w:marLeft w:val="0"/>
                              <w:marRight w:val="0"/>
                              <w:marTop w:val="0"/>
                              <w:marBottom w:val="0"/>
                              <w:divBdr>
                                <w:top w:val="none" w:sz="0" w:space="0" w:color="auto"/>
                                <w:left w:val="none" w:sz="0" w:space="0" w:color="auto"/>
                                <w:bottom w:val="none" w:sz="0" w:space="0" w:color="auto"/>
                                <w:right w:val="none" w:sz="0" w:space="0" w:color="auto"/>
                              </w:divBdr>
                              <w:divsChild>
                                <w:div w:id="1137727336">
                                  <w:marLeft w:val="0"/>
                                  <w:marRight w:val="0"/>
                                  <w:marTop w:val="0"/>
                                  <w:marBottom w:val="0"/>
                                  <w:divBdr>
                                    <w:top w:val="none" w:sz="0" w:space="0" w:color="auto"/>
                                    <w:left w:val="none" w:sz="0" w:space="0" w:color="auto"/>
                                    <w:bottom w:val="none" w:sz="0" w:space="0" w:color="auto"/>
                                    <w:right w:val="none" w:sz="0" w:space="0" w:color="auto"/>
                                  </w:divBdr>
                                  <w:divsChild>
                                    <w:div w:id="1846818898">
                                      <w:marLeft w:val="0"/>
                                      <w:marRight w:val="0"/>
                                      <w:marTop w:val="0"/>
                                      <w:marBottom w:val="0"/>
                                      <w:divBdr>
                                        <w:top w:val="none" w:sz="0" w:space="0" w:color="auto"/>
                                        <w:left w:val="none" w:sz="0" w:space="0" w:color="auto"/>
                                        <w:bottom w:val="none" w:sz="0" w:space="0" w:color="auto"/>
                                        <w:right w:val="none" w:sz="0" w:space="0" w:color="auto"/>
                                      </w:divBdr>
                                      <w:divsChild>
                                        <w:div w:id="1643385633">
                                          <w:marLeft w:val="0"/>
                                          <w:marRight w:val="0"/>
                                          <w:marTop w:val="0"/>
                                          <w:marBottom w:val="0"/>
                                          <w:divBdr>
                                            <w:top w:val="none" w:sz="0" w:space="0" w:color="auto"/>
                                            <w:left w:val="none" w:sz="0" w:space="0" w:color="auto"/>
                                            <w:bottom w:val="none" w:sz="0" w:space="0" w:color="auto"/>
                                            <w:right w:val="none" w:sz="0" w:space="0" w:color="auto"/>
                                          </w:divBdr>
                                          <w:divsChild>
                                            <w:div w:id="190109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736038">
                                  <w:marLeft w:val="0"/>
                                  <w:marRight w:val="0"/>
                                  <w:marTop w:val="0"/>
                                  <w:marBottom w:val="0"/>
                                  <w:divBdr>
                                    <w:top w:val="none" w:sz="0" w:space="0" w:color="auto"/>
                                    <w:left w:val="none" w:sz="0" w:space="0" w:color="auto"/>
                                    <w:bottom w:val="none" w:sz="0" w:space="0" w:color="auto"/>
                                    <w:right w:val="none" w:sz="0" w:space="0" w:color="auto"/>
                                  </w:divBdr>
                                  <w:divsChild>
                                    <w:div w:id="436876075">
                                      <w:marLeft w:val="0"/>
                                      <w:marRight w:val="0"/>
                                      <w:marTop w:val="0"/>
                                      <w:marBottom w:val="0"/>
                                      <w:divBdr>
                                        <w:top w:val="none" w:sz="0" w:space="0" w:color="auto"/>
                                        <w:left w:val="none" w:sz="0" w:space="0" w:color="auto"/>
                                        <w:bottom w:val="none" w:sz="0" w:space="0" w:color="auto"/>
                                        <w:right w:val="none" w:sz="0" w:space="0" w:color="auto"/>
                                      </w:divBdr>
                                      <w:divsChild>
                                        <w:div w:id="873998479">
                                          <w:marLeft w:val="0"/>
                                          <w:marRight w:val="0"/>
                                          <w:marTop w:val="0"/>
                                          <w:marBottom w:val="0"/>
                                          <w:divBdr>
                                            <w:top w:val="none" w:sz="0" w:space="0" w:color="auto"/>
                                            <w:left w:val="none" w:sz="0" w:space="0" w:color="auto"/>
                                            <w:bottom w:val="none" w:sz="0" w:space="0" w:color="auto"/>
                                            <w:right w:val="none" w:sz="0" w:space="0" w:color="auto"/>
                                          </w:divBdr>
                                          <w:divsChild>
                                            <w:div w:id="134370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887559">
                                  <w:marLeft w:val="0"/>
                                  <w:marRight w:val="0"/>
                                  <w:marTop w:val="0"/>
                                  <w:marBottom w:val="0"/>
                                  <w:divBdr>
                                    <w:top w:val="none" w:sz="0" w:space="0" w:color="auto"/>
                                    <w:left w:val="none" w:sz="0" w:space="0" w:color="auto"/>
                                    <w:bottom w:val="none" w:sz="0" w:space="0" w:color="auto"/>
                                    <w:right w:val="none" w:sz="0" w:space="0" w:color="auto"/>
                                  </w:divBdr>
                                  <w:divsChild>
                                    <w:div w:id="2038652245">
                                      <w:marLeft w:val="0"/>
                                      <w:marRight w:val="0"/>
                                      <w:marTop w:val="0"/>
                                      <w:marBottom w:val="0"/>
                                      <w:divBdr>
                                        <w:top w:val="none" w:sz="0" w:space="0" w:color="auto"/>
                                        <w:left w:val="none" w:sz="0" w:space="0" w:color="auto"/>
                                        <w:bottom w:val="none" w:sz="0" w:space="0" w:color="auto"/>
                                        <w:right w:val="none" w:sz="0" w:space="0" w:color="auto"/>
                                      </w:divBdr>
                                      <w:divsChild>
                                        <w:div w:id="95105140">
                                          <w:marLeft w:val="0"/>
                                          <w:marRight w:val="0"/>
                                          <w:marTop w:val="0"/>
                                          <w:marBottom w:val="0"/>
                                          <w:divBdr>
                                            <w:top w:val="none" w:sz="0" w:space="0" w:color="auto"/>
                                            <w:left w:val="none" w:sz="0" w:space="0" w:color="auto"/>
                                            <w:bottom w:val="none" w:sz="0" w:space="0" w:color="auto"/>
                                            <w:right w:val="none" w:sz="0" w:space="0" w:color="auto"/>
                                          </w:divBdr>
                                          <w:divsChild>
                                            <w:div w:id="62423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1581952">
          <w:marLeft w:val="0"/>
          <w:marRight w:val="0"/>
          <w:marTop w:val="0"/>
          <w:marBottom w:val="0"/>
          <w:divBdr>
            <w:top w:val="none" w:sz="0" w:space="0" w:color="auto"/>
            <w:left w:val="none" w:sz="0" w:space="0" w:color="auto"/>
            <w:bottom w:val="none" w:sz="0" w:space="0" w:color="auto"/>
            <w:right w:val="none" w:sz="0" w:space="0" w:color="auto"/>
          </w:divBdr>
          <w:divsChild>
            <w:div w:id="485098095">
              <w:marLeft w:val="0"/>
              <w:marRight w:val="0"/>
              <w:marTop w:val="0"/>
              <w:marBottom w:val="0"/>
              <w:divBdr>
                <w:top w:val="none" w:sz="0" w:space="0" w:color="auto"/>
                <w:left w:val="none" w:sz="0" w:space="0" w:color="auto"/>
                <w:bottom w:val="none" w:sz="0" w:space="0" w:color="auto"/>
                <w:right w:val="none" w:sz="0" w:space="0" w:color="auto"/>
              </w:divBdr>
              <w:divsChild>
                <w:div w:id="835681603">
                  <w:marLeft w:val="0"/>
                  <w:marRight w:val="0"/>
                  <w:marTop w:val="0"/>
                  <w:marBottom w:val="0"/>
                  <w:divBdr>
                    <w:top w:val="none" w:sz="0" w:space="0" w:color="auto"/>
                    <w:left w:val="none" w:sz="0" w:space="0" w:color="auto"/>
                    <w:bottom w:val="none" w:sz="0" w:space="0" w:color="auto"/>
                    <w:right w:val="none" w:sz="0" w:space="0" w:color="auto"/>
                  </w:divBdr>
                  <w:divsChild>
                    <w:div w:id="301081921">
                      <w:marLeft w:val="0"/>
                      <w:marRight w:val="0"/>
                      <w:marTop w:val="0"/>
                      <w:marBottom w:val="0"/>
                      <w:divBdr>
                        <w:top w:val="none" w:sz="0" w:space="0" w:color="auto"/>
                        <w:left w:val="none" w:sz="0" w:space="0" w:color="auto"/>
                        <w:bottom w:val="none" w:sz="0" w:space="0" w:color="auto"/>
                        <w:right w:val="none" w:sz="0" w:space="0" w:color="auto"/>
                      </w:divBdr>
                    </w:div>
                    <w:div w:id="914782588">
                      <w:marLeft w:val="0"/>
                      <w:marRight w:val="0"/>
                      <w:marTop w:val="0"/>
                      <w:marBottom w:val="0"/>
                      <w:divBdr>
                        <w:top w:val="none" w:sz="0" w:space="0" w:color="auto"/>
                        <w:left w:val="none" w:sz="0" w:space="0" w:color="auto"/>
                        <w:bottom w:val="none" w:sz="0" w:space="0" w:color="auto"/>
                        <w:right w:val="none" w:sz="0" w:space="0" w:color="auto"/>
                      </w:divBdr>
                      <w:divsChild>
                        <w:div w:id="126106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150880">
          <w:marLeft w:val="0"/>
          <w:marRight w:val="0"/>
          <w:marTop w:val="0"/>
          <w:marBottom w:val="0"/>
          <w:divBdr>
            <w:top w:val="none" w:sz="0" w:space="0" w:color="auto"/>
            <w:left w:val="none" w:sz="0" w:space="0" w:color="auto"/>
            <w:bottom w:val="none" w:sz="0" w:space="0" w:color="auto"/>
            <w:right w:val="none" w:sz="0" w:space="0" w:color="auto"/>
          </w:divBdr>
          <w:divsChild>
            <w:div w:id="229996994">
              <w:marLeft w:val="0"/>
              <w:marRight w:val="0"/>
              <w:marTop w:val="0"/>
              <w:marBottom w:val="0"/>
              <w:divBdr>
                <w:top w:val="none" w:sz="0" w:space="0" w:color="auto"/>
                <w:left w:val="none" w:sz="0" w:space="0" w:color="auto"/>
                <w:bottom w:val="none" w:sz="0" w:space="0" w:color="auto"/>
                <w:right w:val="none" w:sz="0" w:space="0" w:color="auto"/>
              </w:divBdr>
              <w:divsChild>
                <w:div w:id="1484274996">
                  <w:marLeft w:val="0"/>
                  <w:marRight w:val="0"/>
                  <w:marTop w:val="0"/>
                  <w:marBottom w:val="0"/>
                  <w:divBdr>
                    <w:top w:val="none" w:sz="0" w:space="0" w:color="auto"/>
                    <w:left w:val="none" w:sz="0" w:space="0" w:color="auto"/>
                    <w:bottom w:val="none" w:sz="0" w:space="0" w:color="auto"/>
                    <w:right w:val="none" w:sz="0" w:space="0" w:color="auto"/>
                  </w:divBdr>
                  <w:divsChild>
                    <w:div w:id="1842506341">
                      <w:marLeft w:val="0"/>
                      <w:marRight w:val="0"/>
                      <w:marTop w:val="0"/>
                      <w:marBottom w:val="0"/>
                      <w:divBdr>
                        <w:top w:val="none" w:sz="0" w:space="0" w:color="auto"/>
                        <w:left w:val="none" w:sz="0" w:space="0" w:color="auto"/>
                        <w:bottom w:val="none" w:sz="0" w:space="0" w:color="auto"/>
                        <w:right w:val="none" w:sz="0" w:space="0" w:color="auto"/>
                      </w:divBdr>
                      <w:divsChild>
                        <w:div w:id="7786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509430">
          <w:marLeft w:val="0"/>
          <w:marRight w:val="0"/>
          <w:marTop w:val="0"/>
          <w:marBottom w:val="0"/>
          <w:divBdr>
            <w:top w:val="none" w:sz="0" w:space="0" w:color="auto"/>
            <w:left w:val="none" w:sz="0" w:space="0" w:color="auto"/>
            <w:bottom w:val="none" w:sz="0" w:space="0" w:color="auto"/>
            <w:right w:val="none" w:sz="0" w:space="0" w:color="auto"/>
          </w:divBdr>
          <w:divsChild>
            <w:div w:id="2038583893">
              <w:marLeft w:val="0"/>
              <w:marRight w:val="0"/>
              <w:marTop w:val="0"/>
              <w:marBottom w:val="0"/>
              <w:divBdr>
                <w:top w:val="none" w:sz="0" w:space="0" w:color="auto"/>
                <w:left w:val="none" w:sz="0" w:space="0" w:color="auto"/>
                <w:bottom w:val="none" w:sz="0" w:space="0" w:color="auto"/>
                <w:right w:val="none" w:sz="0" w:space="0" w:color="auto"/>
              </w:divBdr>
              <w:divsChild>
                <w:div w:id="395977610">
                  <w:marLeft w:val="0"/>
                  <w:marRight w:val="0"/>
                  <w:marTop w:val="0"/>
                  <w:marBottom w:val="0"/>
                  <w:divBdr>
                    <w:top w:val="none" w:sz="0" w:space="0" w:color="auto"/>
                    <w:left w:val="none" w:sz="0" w:space="0" w:color="auto"/>
                    <w:bottom w:val="none" w:sz="0" w:space="0" w:color="auto"/>
                    <w:right w:val="none" w:sz="0" w:space="0" w:color="auto"/>
                  </w:divBdr>
                  <w:divsChild>
                    <w:div w:id="1516071323">
                      <w:marLeft w:val="0"/>
                      <w:marRight w:val="0"/>
                      <w:marTop w:val="0"/>
                      <w:marBottom w:val="0"/>
                      <w:divBdr>
                        <w:top w:val="none" w:sz="0" w:space="0" w:color="auto"/>
                        <w:left w:val="none" w:sz="0" w:space="0" w:color="auto"/>
                        <w:bottom w:val="none" w:sz="0" w:space="0" w:color="auto"/>
                        <w:right w:val="none" w:sz="0" w:space="0" w:color="auto"/>
                      </w:divBdr>
                      <w:divsChild>
                        <w:div w:id="1471705208">
                          <w:marLeft w:val="0"/>
                          <w:marRight w:val="0"/>
                          <w:marTop w:val="0"/>
                          <w:marBottom w:val="0"/>
                          <w:divBdr>
                            <w:top w:val="none" w:sz="0" w:space="0" w:color="auto"/>
                            <w:left w:val="none" w:sz="0" w:space="0" w:color="auto"/>
                            <w:bottom w:val="none" w:sz="0" w:space="0" w:color="auto"/>
                            <w:right w:val="none" w:sz="0" w:space="0" w:color="auto"/>
                          </w:divBdr>
                          <w:divsChild>
                            <w:div w:id="1955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2100">
                      <w:marLeft w:val="0"/>
                      <w:marRight w:val="0"/>
                      <w:marTop w:val="0"/>
                      <w:marBottom w:val="0"/>
                      <w:divBdr>
                        <w:top w:val="none" w:sz="0" w:space="0" w:color="auto"/>
                        <w:left w:val="none" w:sz="0" w:space="0" w:color="auto"/>
                        <w:bottom w:val="none" w:sz="0" w:space="0" w:color="auto"/>
                        <w:right w:val="none" w:sz="0" w:space="0" w:color="auto"/>
                      </w:divBdr>
                      <w:divsChild>
                        <w:div w:id="1023047459">
                          <w:marLeft w:val="0"/>
                          <w:marRight w:val="0"/>
                          <w:marTop w:val="0"/>
                          <w:marBottom w:val="0"/>
                          <w:divBdr>
                            <w:top w:val="none" w:sz="0" w:space="0" w:color="auto"/>
                            <w:left w:val="none" w:sz="0" w:space="0" w:color="auto"/>
                            <w:bottom w:val="none" w:sz="0" w:space="0" w:color="auto"/>
                            <w:right w:val="none" w:sz="0" w:space="0" w:color="auto"/>
                          </w:divBdr>
                          <w:divsChild>
                            <w:div w:id="198839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60459">
                  <w:marLeft w:val="0"/>
                  <w:marRight w:val="0"/>
                  <w:marTop w:val="0"/>
                  <w:marBottom w:val="0"/>
                  <w:divBdr>
                    <w:top w:val="none" w:sz="0" w:space="0" w:color="auto"/>
                    <w:left w:val="none" w:sz="0" w:space="0" w:color="auto"/>
                    <w:bottom w:val="none" w:sz="0" w:space="0" w:color="auto"/>
                    <w:right w:val="none" w:sz="0" w:space="0" w:color="auto"/>
                  </w:divBdr>
                  <w:divsChild>
                    <w:div w:id="1352760656">
                      <w:marLeft w:val="0"/>
                      <w:marRight w:val="0"/>
                      <w:marTop w:val="0"/>
                      <w:marBottom w:val="0"/>
                      <w:divBdr>
                        <w:top w:val="none" w:sz="0" w:space="0" w:color="auto"/>
                        <w:left w:val="none" w:sz="0" w:space="0" w:color="auto"/>
                        <w:bottom w:val="none" w:sz="0" w:space="0" w:color="auto"/>
                        <w:right w:val="none" w:sz="0" w:space="0" w:color="auto"/>
                      </w:divBdr>
                      <w:divsChild>
                        <w:div w:id="1087724095">
                          <w:marLeft w:val="0"/>
                          <w:marRight w:val="0"/>
                          <w:marTop w:val="0"/>
                          <w:marBottom w:val="0"/>
                          <w:divBdr>
                            <w:top w:val="none" w:sz="0" w:space="0" w:color="auto"/>
                            <w:left w:val="none" w:sz="0" w:space="0" w:color="auto"/>
                            <w:bottom w:val="none" w:sz="0" w:space="0" w:color="auto"/>
                            <w:right w:val="none" w:sz="0" w:space="0" w:color="auto"/>
                          </w:divBdr>
                          <w:divsChild>
                            <w:div w:id="1893345007">
                              <w:marLeft w:val="0"/>
                              <w:marRight w:val="0"/>
                              <w:marTop w:val="0"/>
                              <w:marBottom w:val="0"/>
                              <w:divBdr>
                                <w:top w:val="none" w:sz="0" w:space="0" w:color="auto"/>
                                <w:left w:val="none" w:sz="0" w:space="0" w:color="auto"/>
                                <w:bottom w:val="none" w:sz="0" w:space="0" w:color="auto"/>
                                <w:right w:val="none" w:sz="0" w:space="0" w:color="auto"/>
                              </w:divBdr>
                            </w:div>
                            <w:div w:id="2114351847">
                              <w:marLeft w:val="0"/>
                              <w:marRight w:val="0"/>
                              <w:marTop w:val="0"/>
                              <w:marBottom w:val="0"/>
                              <w:divBdr>
                                <w:top w:val="none" w:sz="0" w:space="0" w:color="auto"/>
                                <w:left w:val="none" w:sz="0" w:space="0" w:color="auto"/>
                                <w:bottom w:val="none" w:sz="0" w:space="0" w:color="auto"/>
                                <w:right w:val="none" w:sz="0" w:space="0" w:color="auto"/>
                              </w:divBdr>
                              <w:divsChild>
                                <w:div w:id="86089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27711">
                      <w:marLeft w:val="0"/>
                      <w:marRight w:val="0"/>
                      <w:marTop w:val="0"/>
                      <w:marBottom w:val="0"/>
                      <w:divBdr>
                        <w:top w:val="none" w:sz="0" w:space="0" w:color="auto"/>
                        <w:left w:val="none" w:sz="0" w:space="0" w:color="auto"/>
                        <w:bottom w:val="none" w:sz="0" w:space="0" w:color="auto"/>
                        <w:right w:val="none" w:sz="0" w:space="0" w:color="auto"/>
                      </w:divBdr>
                      <w:divsChild>
                        <w:div w:id="1856268194">
                          <w:marLeft w:val="0"/>
                          <w:marRight w:val="0"/>
                          <w:marTop w:val="0"/>
                          <w:marBottom w:val="0"/>
                          <w:divBdr>
                            <w:top w:val="none" w:sz="0" w:space="0" w:color="auto"/>
                            <w:left w:val="none" w:sz="0" w:space="0" w:color="auto"/>
                            <w:bottom w:val="none" w:sz="0" w:space="0" w:color="auto"/>
                            <w:right w:val="none" w:sz="0" w:space="0" w:color="auto"/>
                          </w:divBdr>
                          <w:divsChild>
                            <w:div w:id="411784364">
                              <w:marLeft w:val="0"/>
                              <w:marRight w:val="0"/>
                              <w:marTop w:val="0"/>
                              <w:marBottom w:val="0"/>
                              <w:divBdr>
                                <w:top w:val="none" w:sz="0" w:space="0" w:color="auto"/>
                                <w:left w:val="none" w:sz="0" w:space="0" w:color="auto"/>
                                <w:bottom w:val="none" w:sz="0" w:space="0" w:color="auto"/>
                                <w:right w:val="none" w:sz="0" w:space="0" w:color="auto"/>
                              </w:divBdr>
                            </w:div>
                            <w:div w:id="858664416">
                              <w:marLeft w:val="0"/>
                              <w:marRight w:val="0"/>
                              <w:marTop w:val="0"/>
                              <w:marBottom w:val="0"/>
                              <w:divBdr>
                                <w:top w:val="none" w:sz="0" w:space="0" w:color="auto"/>
                                <w:left w:val="none" w:sz="0" w:space="0" w:color="auto"/>
                                <w:bottom w:val="none" w:sz="0" w:space="0" w:color="auto"/>
                                <w:right w:val="none" w:sz="0" w:space="0" w:color="auto"/>
                              </w:divBdr>
                              <w:divsChild>
                                <w:div w:id="16633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9896803">
          <w:marLeft w:val="0"/>
          <w:marRight w:val="0"/>
          <w:marTop w:val="0"/>
          <w:marBottom w:val="0"/>
          <w:divBdr>
            <w:top w:val="none" w:sz="0" w:space="0" w:color="auto"/>
            <w:left w:val="none" w:sz="0" w:space="0" w:color="auto"/>
            <w:bottom w:val="none" w:sz="0" w:space="0" w:color="auto"/>
            <w:right w:val="none" w:sz="0" w:space="0" w:color="auto"/>
          </w:divBdr>
          <w:divsChild>
            <w:div w:id="1060327162">
              <w:marLeft w:val="0"/>
              <w:marRight w:val="0"/>
              <w:marTop w:val="0"/>
              <w:marBottom w:val="0"/>
              <w:divBdr>
                <w:top w:val="none" w:sz="0" w:space="0" w:color="auto"/>
                <w:left w:val="none" w:sz="0" w:space="0" w:color="auto"/>
                <w:bottom w:val="none" w:sz="0" w:space="0" w:color="auto"/>
                <w:right w:val="none" w:sz="0" w:space="0" w:color="auto"/>
              </w:divBdr>
              <w:divsChild>
                <w:div w:id="1994213066">
                  <w:marLeft w:val="0"/>
                  <w:marRight w:val="0"/>
                  <w:marTop w:val="0"/>
                  <w:marBottom w:val="0"/>
                  <w:divBdr>
                    <w:top w:val="none" w:sz="0" w:space="0" w:color="auto"/>
                    <w:left w:val="none" w:sz="0" w:space="0" w:color="auto"/>
                    <w:bottom w:val="none" w:sz="0" w:space="0" w:color="auto"/>
                    <w:right w:val="none" w:sz="0" w:space="0" w:color="auto"/>
                  </w:divBdr>
                  <w:divsChild>
                    <w:div w:id="1291789751">
                      <w:marLeft w:val="0"/>
                      <w:marRight w:val="0"/>
                      <w:marTop w:val="0"/>
                      <w:marBottom w:val="0"/>
                      <w:divBdr>
                        <w:top w:val="none" w:sz="0" w:space="0" w:color="auto"/>
                        <w:left w:val="none" w:sz="0" w:space="0" w:color="auto"/>
                        <w:bottom w:val="none" w:sz="0" w:space="0" w:color="auto"/>
                        <w:right w:val="none" w:sz="0" w:space="0" w:color="auto"/>
                      </w:divBdr>
                      <w:divsChild>
                        <w:div w:id="831221620">
                          <w:marLeft w:val="0"/>
                          <w:marRight w:val="0"/>
                          <w:marTop w:val="0"/>
                          <w:marBottom w:val="0"/>
                          <w:divBdr>
                            <w:top w:val="none" w:sz="0" w:space="0" w:color="auto"/>
                            <w:left w:val="none" w:sz="0" w:space="0" w:color="auto"/>
                            <w:bottom w:val="none" w:sz="0" w:space="0" w:color="auto"/>
                            <w:right w:val="none" w:sz="0" w:space="0" w:color="auto"/>
                          </w:divBdr>
                          <w:divsChild>
                            <w:div w:id="2079397768">
                              <w:marLeft w:val="0"/>
                              <w:marRight w:val="0"/>
                              <w:marTop w:val="0"/>
                              <w:marBottom w:val="0"/>
                              <w:divBdr>
                                <w:top w:val="none" w:sz="0" w:space="0" w:color="auto"/>
                                <w:left w:val="none" w:sz="0" w:space="0" w:color="auto"/>
                                <w:bottom w:val="none" w:sz="0" w:space="0" w:color="auto"/>
                                <w:right w:val="none" w:sz="0" w:space="0" w:color="auto"/>
                              </w:divBdr>
                              <w:divsChild>
                                <w:div w:id="561066361">
                                  <w:marLeft w:val="0"/>
                                  <w:marRight w:val="0"/>
                                  <w:marTop w:val="0"/>
                                  <w:marBottom w:val="0"/>
                                  <w:divBdr>
                                    <w:top w:val="none" w:sz="0" w:space="0" w:color="auto"/>
                                    <w:left w:val="none" w:sz="0" w:space="0" w:color="auto"/>
                                    <w:bottom w:val="none" w:sz="0" w:space="0" w:color="auto"/>
                                    <w:right w:val="none" w:sz="0" w:space="0" w:color="auto"/>
                                  </w:divBdr>
                                </w:div>
                              </w:divsChild>
                            </w:div>
                            <w:div w:id="131644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535392671">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38151792">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sChild>
    </w:div>
    <w:div w:id="1830174993">
      <w:bodyDiv w:val="1"/>
      <w:marLeft w:val="0"/>
      <w:marRight w:val="0"/>
      <w:marTop w:val="0"/>
      <w:marBottom w:val="0"/>
      <w:divBdr>
        <w:top w:val="none" w:sz="0" w:space="0" w:color="auto"/>
        <w:left w:val="none" w:sz="0" w:space="0" w:color="auto"/>
        <w:bottom w:val="none" w:sz="0" w:space="0" w:color="auto"/>
        <w:right w:val="none" w:sz="0" w:space="0" w:color="auto"/>
      </w:divBdr>
      <w:divsChild>
        <w:div w:id="235479646">
          <w:marLeft w:val="0"/>
          <w:marRight w:val="0"/>
          <w:marTop w:val="0"/>
          <w:marBottom w:val="0"/>
          <w:divBdr>
            <w:top w:val="none" w:sz="0" w:space="0" w:color="auto"/>
            <w:left w:val="none" w:sz="0" w:space="0" w:color="auto"/>
            <w:bottom w:val="none" w:sz="0" w:space="0" w:color="auto"/>
            <w:right w:val="none" w:sz="0" w:space="0" w:color="auto"/>
          </w:divBdr>
          <w:divsChild>
            <w:div w:id="1613896099">
              <w:marLeft w:val="0"/>
              <w:marRight w:val="0"/>
              <w:marTop w:val="0"/>
              <w:marBottom w:val="0"/>
              <w:divBdr>
                <w:top w:val="none" w:sz="0" w:space="0" w:color="auto"/>
                <w:left w:val="none" w:sz="0" w:space="0" w:color="auto"/>
                <w:bottom w:val="none" w:sz="0" w:space="0" w:color="auto"/>
                <w:right w:val="none" w:sz="0" w:space="0" w:color="auto"/>
              </w:divBdr>
              <w:divsChild>
                <w:div w:id="991173928">
                  <w:marLeft w:val="0"/>
                  <w:marRight w:val="0"/>
                  <w:marTop w:val="0"/>
                  <w:marBottom w:val="0"/>
                  <w:divBdr>
                    <w:top w:val="none" w:sz="0" w:space="0" w:color="auto"/>
                    <w:left w:val="none" w:sz="0" w:space="0" w:color="auto"/>
                    <w:bottom w:val="none" w:sz="0" w:space="0" w:color="auto"/>
                    <w:right w:val="none" w:sz="0" w:space="0" w:color="auto"/>
                  </w:divBdr>
                  <w:divsChild>
                    <w:div w:id="374350902">
                      <w:marLeft w:val="0"/>
                      <w:marRight w:val="0"/>
                      <w:marTop w:val="0"/>
                      <w:marBottom w:val="0"/>
                      <w:divBdr>
                        <w:top w:val="none" w:sz="0" w:space="0" w:color="auto"/>
                        <w:left w:val="none" w:sz="0" w:space="0" w:color="auto"/>
                        <w:bottom w:val="none" w:sz="0" w:space="0" w:color="auto"/>
                        <w:right w:val="none" w:sz="0" w:space="0" w:color="auto"/>
                      </w:divBdr>
                      <w:divsChild>
                        <w:div w:id="1980257876">
                          <w:marLeft w:val="0"/>
                          <w:marRight w:val="0"/>
                          <w:marTop w:val="0"/>
                          <w:marBottom w:val="0"/>
                          <w:divBdr>
                            <w:top w:val="none" w:sz="0" w:space="0" w:color="auto"/>
                            <w:left w:val="none" w:sz="0" w:space="0" w:color="auto"/>
                            <w:bottom w:val="none" w:sz="0" w:space="0" w:color="auto"/>
                            <w:right w:val="none" w:sz="0" w:space="0" w:color="auto"/>
                          </w:divBdr>
                        </w:div>
                        <w:div w:id="77219409">
                          <w:marLeft w:val="0"/>
                          <w:marRight w:val="0"/>
                          <w:marTop w:val="0"/>
                          <w:marBottom w:val="0"/>
                          <w:divBdr>
                            <w:top w:val="none" w:sz="0" w:space="0" w:color="auto"/>
                            <w:left w:val="none" w:sz="0" w:space="0" w:color="auto"/>
                            <w:bottom w:val="none" w:sz="0" w:space="0" w:color="auto"/>
                            <w:right w:val="none" w:sz="0" w:space="0" w:color="auto"/>
                          </w:divBdr>
                        </w:div>
                        <w:div w:id="1093012166">
                          <w:marLeft w:val="0"/>
                          <w:marRight w:val="0"/>
                          <w:marTop w:val="0"/>
                          <w:marBottom w:val="0"/>
                          <w:divBdr>
                            <w:top w:val="none" w:sz="0" w:space="0" w:color="auto"/>
                            <w:left w:val="none" w:sz="0" w:space="0" w:color="auto"/>
                            <w:bottom w:val="none" w:sz="0" w:space="0" w:color="auto"/>
                            <w:right w:val="none" w:sz="0" w:space="0" w:color="auto"/>
                          </w:divBdr>
                        </w:div>
                        <w:div w:id="1706324589">
                          <w:marLeft w:val="0"/>
                          <w:marRight w:val="0"/>
                          <w:marTop w:val="0"/>
                          <w:marBottom w:val="0"/>
                          <w:divBdr>
                            <w:top w:val="none" w:sz="0" w:space="0" w:color="auto"/>
                            <w:left w:val="none" w:sz="0" w:space="0" w:color="auto"/>
                            <w:bottom w:val="none" w:sz="0" w:space="0" w:color="auto"/>
                            <w:right w:val="none" w:sz="0" w:space="0" w:color="auto"/>
                          </w:divBdr>
                        </w:div>
                        <w:div w:id="164889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70668">
                  <w:marLeft w:val="0"/>
                  <w:marRight w:val="0"/>
                  <w:marTop w:val="0"/>
                  <w:marBottom w:val="0"/>
                  <w:divBdr>
                    <w:top w:val="none" w:sz="0" w:space="0" w:color="auto"/>
                    <w:left w:val="none" w:sz="0" w:space="0" w:color="auto"/>
                    <w:bottom w:val="none" w:sz="0" w:space="0" w:color="auto"/>
                    <w:right w:val="none" w:sz="0" w:space="0" w:color="auto"/>
                  </w:divBdr>
                  <w:divsChild>
                    <w:div w:id="498694675">
                      <w:marLeft w:val="0"/>
                      <w:marRight w:val="0"/>
                      <w:marTop w:val="0"/>
                      <w:marBottom w:val="0"/>
                      <w:divBdr>
                        <w:top w:val="none" w:sz="0" w:space="0" w:color="auto"/>
                        <w:left w:val="none" w:sz="0" w:space="0" w:color="auto"/>
                        <w:bottom w:val="none" w:sz="0" w:space="0" w:color="auto"/>
                        <w:right w:val="none" w:sz="0" w:space="0" w:color="auto"/>
                      </w:divBdr>
                    </w:div>
                    <w:div w:id="138564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192625">
          <w:marLeft w:val="0"/>
          <w:marRight w:val="0"/>
          <w:marTop w:val="0"/>
          <w:marBottom w:val="0"/>
          <w:divBdr>
            <w:top w:val="none" w:sz="0" w:space="0" w:color="auto"/>
            <w:left w:val="none" w:sz="0" w:space="0" w:color="auto"/>
            <w:bottom w:val="none" w:sz="0" w:space="0" w:color="auto"/>
            <w:right w:val="none" w:sz="0" w:space="0" w:color="auto"/>
          </w:divBdr>
          <w:divsChild>
            <w:div w:id="1874534387">
              <w:marLeft w:val="0"/>
              <w:marRight w:val="0"/>
              <w:marTop w:val="0"/>
              <w:marBottom w:val="0"/>
              <w:divBdr>
                <w:top w:val="none" w:sz="0" w:space="0" w:color="auto"/>
                <w:left w:val="none" w:sz="0" w:space="0" w:color="auto"/>
                <w:bottom w:val="none" w:sz="0" w:space="0" w:color="auto"/>
                <w:right w:val="none" w:sz="0" w:space="0" w:color="auto"/>
              </w:divBdr>
              <w:divsChild>
                <w:div w:id="197285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29295">
          <w:marLeft w:val="0"/>
          <w:marRight w:val="0"/>
          <w:marTop w:val="0"/>
          <w:marBottom w:val="0"/>
          <w:divBdr>
            <w:top w:val="none" w:sz="0" w:space="0" w:color="auto"/>
            <w:left w:val="none" w:sz="0" w:space="0" w:color="auto"/>
            <w:bottom w:val="none" w:sz="0" w:space="0" w:color="auto"/>
            <w:right w:val="none" w:sz="0" w:space="0" w:color="auto"/>
          </w:divBdr>
          <w:divsChild>
            <w:div w:id="2072145963">
              <w:marLeft w:val="0"/>
              <w:marRight w:val="0"/>
              <w:marTop w:val="0"/>
              <w:marBottom w:val="0"/>
              <w:divBdr>
                <w:top w:val="none" w:sz="0" w:space="0" w:color="auto"/>
                <w:left w:val="none" w:sz="0" w:space="0" w:color="auto"/>
                <w:bottom w:val="none" w:sz="0" w:space="0" w:color="auto"/>
                <w:right w:val="none" w:sz="0" w:space="0" w:color="auto"/>
              </w:divBdr>
              <w:divsChild>
                <w:div w:id="561984382">
                  <w:marLeft w:val="0"/>
                  <w:marRight w:val="0"/>
                  <w:marTop w:val="0"/>
                  <w:marBottom w:val="0"/>
                  <w:divBdr>
                    <w:top w:val="none" w:sz="0" w:space="0" w:color="auto"/>
                    <w:left w:val="none" w:sz="0" w:space="0" w:color="auto"/>
                    <w:bottom w:val="none" w:sz="0" w:space="0" w:color="auto"/>
                    <w:right w:val="none" w:sz="0" w:space="0" w:color="auto"/>
                  </w:divBdr>
                  <w:divsChild>
                    <w:div w:id="985621344">
                      <w:marLeft w:val="0"/>
                      <w:marRight w:val="0"/>
                      <w:marTop w:val="0"/>
                      <w:marBottom w:val="0"/>
                      <w:divBdr>
                        <w:top w:val="none" w:sz="0" w:space="0" w:color="auto"/>
                        <w:left w:val="none" w:sz="0" w:space="0" w:color="auto"/>
                        <w:bottom w:val="none" w:sz="0" w:space="0" w:color="auto"/>
                        <w:right w:val="none" w:sz="0" w:space="0" w:color="auto"/>
                      </w:divBdr>
                      <w:divsChild>
                        <w:div w:id="1570963611">
                          <w:marLeft w:val="0"/>
                          <w:marRight w:val="0"/>
                          <w:marTop w:val="0"/>
                          <w:marBottom w:val="0"/>
                          <w:divBdr>
                            <w:top w:val="none" w:sz="0" w:space="0" w:color="auto"/>
                            <w:left w:val="none" w:sz="0" w:space="0" w:color="auto"/>
                            <w:bottom w:val="none" w:sz="0" w:space="0" w:color="auto"/>
                            <w:right w:val="none" w:sz="0" w:space="0" w:color="auto"/>
                          </w:divBdr>
                          <w:divsChild>
                            <w:div w:id="1944650594">
                              <w:marLeft w:val="0"/>
                              <w:marRight w:val="0"/>
                              <w:marTop w:val="0"/>
                              <w:marBottom w:val="0"/>
                              <w:divBdr>
                                <w:top w:val="none" w:sz="0" w:space="0" w:color="auto"/>
                                <w:left w:val="none" w:sz="0" w:space="0" w:color="auto"/>
                                <w:bottom w:val="none" w:sz="0" w:space="0" w:color="auto"/>
                                <w:right w:val="none" w:sz="0" w:space="0" w:color="auto"/>
                              </w:divBdr>
                              <w:divsChild>
                                <w:div w:id="1569194628">
                                  <w:marLeft w:val="0"/>
                                  <w:marRight w:val="0"/>
                                  <w:marTop w:val="0"/>
                                  <w:marBottom w:val="0"/>
                                  <w:divBdr>
                                    <w:top w:val="none" w:sz="0" w:space="0" w:color="auto"/>
                                    <w:left w:val="none" w:sz="0" w:space="0" w:color="auto"/>
                                    <w:bottom w:val="none" w:sz="0" w:space="0" w:color="auto"/>
                                    <w:right w:val="none" w:sz="0" w:space="0" w:color="auto"/>
                                  </w:divBdr>
                                </w:div>
                                <w:div w:id="454101767">
                                  <w:marLeft w:val="0"/>
                                  <w:marRight w:val="0"/>
                                  <w:marTop w:val="0"/>
                                  <w:marBottom w:val="0"/>
                                  <w:divBdr>
                                    <w:top w:val="none" w:sz="0" w:space="0" w:color="auto"/>
                                    <w:left w:val="none" w:sz="0" w:space="0" w:color="auto"/>
                                    <w:bottom w:val="none" w:sz="0" w:space="0" w:color="auto"/>
                                    <w:right w:val="none" w:sz="0" w:space="0" w:color="auto"/>
                                  </w:divBdr>
                                </w:div>
                                <w:div w:id="499930313">
                                  <w:marLeft w:val="0"/>
                                  <w:marRight w:val="0"/>
                                  <w:marTop w:val="0"/>
                                  <w:marBottom w:val="0"/>
                                  <w:divBdr>
                                    <w:top w:val="none" w:sz="0" w:space="0" w:color="auto"/>
                                    <w:left w:val="none" w:sz="0" w:space="0" w:color="auto"/>
                                    <w:bottom w:val="none" w:sz="0" w:space="0" w:color="auto"/>
                                    <w:right w:val="none" w:sz="0" w:space="0" w:color="auto"/>
                                  </w:divBdr>
                                </w:div>
                                <w:div w:id="1396202109">
                                  <w:marLeft w:val="0"/>
                                  <w:marRight w:val="0"/>
                                  <w:marTop w:val="0"/>
                                  <w:marBottom w:val="0"/>
                                  <w:divBdr>
                                    <w:top w:val="none" w:sz="0" w:space="0" w:color="auto"/>
                                    <w:left w:val="none" w:sz="0" w:space="0" w:color="auto"/>
                                    <w:bottom w:val="none" w:sz="0" w:space="0" w:color="auto"/>
                                    <w:right w:val="none" w:sz="0" w:space="0" w:color="auto"/>
                                  </w:divBdr>
                                </w:div>
                                <w:div w:id="4896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300063">
                      <w:marLeft w:val="0"/>
                      <w:marRight w:val="0"/>
                      <w:marTop w:val="0"/>
                      <w:marBottom w:val="0"/>
                      <w:divBdr>
                        <w:top w:val="none" w:sz="0" w:space="0" w:color="auto"/>
                        <w:left w:val="none" w:sz="0" w:space="0" w:color="auto"/>
                        <w:bottom w:val="none" w:sz="0" w:space="0" w:color="auto"/>
                        <w:right w:val="none" w:sz="0" w:space="0" w:color="auto"/>
                      </w:divBdr>
                      <w:divsChild>
                        <w:div w:id="45570460">
                          <w:marLeft w:val="0"/>
                          <w:marRight w:val="0"/>
                          <w:marTop w:val="0"/>
                          <w:marBottom w:val="0"/>
                          <w:divBdr>
                            <w:top w:val="none" w:sz="0" w:space="0" w:color="auto"/>
                            <w:left w:val="none" w:sz="0" w:space="0" w:color="auto"/>
                            <w:bottom w:val="none" w:sz="0" w:space="0" w:color="auto"/>
                            <w:right w:val="none" w:sz="0" w:space="0" w:color="auto"/>
                          </w:divBdr>
                          <w:divsChild>
                            <w:div w:id="880895950">
                              <w:marLeft w:val="0"/>
                              <w:marRight w:val="0"/>
                              <w:marTop w:val="0"/>
                              <w:marBottom w:val="0"/>
                              <w:divBdr>
                                <w:top w:val="none" w:sz="0" w:space="0" w:color="auto"/>
                                <w:left w:val="none" w:sz="0" w:space="0" w:color="auto"/>
                                <w:bottom w:val="none" w:sz="0" w:space="0" w:color="auto"/>
                                <w:right w:val="none" w:sz="0" w:space="0" w:color="auto"/>
                              </w:divBdr>
                              <w:divsChild>
                                <w:div w:id="1985427788">
                                  <w:marLeft w:val="0"/>
                                  <w:marRight w:val="0"/>
                                  <w:marTop w:val="0"/>
                                  <w:marBottom w:val="0"/>
                                  <w:divBdr>
                                    <w:top w:val="none" w:sz="0" w:space="0" w:color="auto"/>
                                    <w:left w:val="none" w:sz="0" w:space="0" w:color="auto"/>
                                    <w:bottom w:val="none" w:sz="0" w:space="0" w:color="auto"/>
                                    <w:right w:val="none" w:sz="0" w:space="0" w:color="auto"/>
                                  </w:divBdr>
                                </w:div>
                                <w:div w:id="1007753744">
                                  <w:marLeft w:val="0"/>
                                  <w:marRight w:val="0"/>
                                  <w:marTop w:val="0"/>
                                  <w:marBottom w:val="0"/>
                                  <w:divBdr>
                                    <w:top w:val="none" w:sz="0" w:space="0" w:color="auto"/>
                                    <w:left w:val="none" w:sz="0" w:space="0" w:color="auto"/>
                                    <w:bottom w:val="none" w:sz="0" w:space="0" w:color="auto"/>
                                    <w:right w:val="none" w:sz="0" w:space="0" w:color="auto"/>
                                  </w:divBdr>
                                </w:div>
                                <w:div w:id="1942227017">
                                  <w:marLeft w:val="0"/>
                                  <w:marRight w:val="0"/>
                                  <w:marTop w:val="0"/>
                                  <w:marBottom w:val="0"/>
                                  <w:divBdr>
                                    <w:top w:val="none" w:sz="0" w:space="0" w:color="auto"/>
                                    <w:left w:val="none" w:sz="0" w:space="0" w:color="auto"/>
                                    <w:bottom w:val="none" w:sz="0" w:space="0" w:color="auto"/>
                                    <w:right w:val="none" w:sz="0" w:space="0" w:color="auto"/>
                                  </w:divBdr>
                                </w:div>
                                <w:div w:id="191458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918019">
          <w:marLeft w:val="0"/>
          <w:marRight w:val="0"/>
          <w:marTop w:val="0"/>
          <w:marBottom w:val="0"/>
          <w:divBdr>
            <w:top w:val="none" w:sz="0" w:space="0" w:color="auto"/>
            <w:left w:val="none" w:sz="0" w:space="0" w:color="auto"/>
            <w:bottom w:val="none" w:sz="0" w:space="0" w:color="auto"/>
            <w:right w:val="none" w:sz="0" w:space="0" w:color="auto"/>
          </w:divBdr>
          <w:divsChild>
            <w:div w:id="1118840453">
              <w:marLeft w:val="0"/>
              <w:marRight w:val="0"/>
              <w:marTop w:val="0"/>
              <w:marBottom w:val="0"/>
              <w:divBdr>
                <w:top w:val="none" w:sz="0" w:space="0" w:color="auto"/>
                <w:left w:val="none" w:sz="0" w:space="0" w:color="auto"/>
                <w:bottom w:val="none" w:sz="0" w:space="0" w:color="auto"/>
                <w:right w:val="none" w:sz="0" w:space="0" w:color="auto"/>
              </w:divBdr>
              <w:divsChild>
                <w:div w:id="157262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559518">
          <w:marLeft w:val="0"/>
          <w:marRight w:val="0"/>
          <w:marTop w:val="0"/>
          <w:marBottom w:val="0"/>
          <w:divBdr>
            <w:top w:val="none" w:sz="0" w:space="0" w:color="auto"/>
            <w:left w:val="none" w:sz="0" w:space="0" w:color="auto"/>
            <w:bottom w:val="none" w:sz="0" w:space="0" w:color="auto"/>
            <w:right w:val="none" w:sz="0" w:space="0" w:color="auto"/>
          </w:divBdr>
          <w:divsChild>
            <w:div w:id="535234253">
              <w:marLeft w:val="0"/>
              <w:marRight w:val="0"/>
              <w:marTop w:val="0"/>
              <w:marBottom w:val="0"/>
              <w:divBdr>
                <w:top w:val="none" w:sz="0" w:space="0" w:color="auto"/>
                <w:left w:val="none" w:sz="0" w:space="0" w:color="auto"/>
                <w:bottom w:val="none" w:sz="0" w:space="0" w:color="auto"/>
                <w:right w:val="none" w:sz="0" w:space="0" w:color="auto"/>
              </w:divBdr>
              <w:divsChild>
                <w:div w:id="699667882">
                  <w:marLeft w:val="0"/>
                  <w:marRight w:val="0"/>
                  <w:marTop w:val="0"/>
                  <w:marBottom w:val="0"/>
                  <w:divBdr>
                    <w:top w:val="none" w:sz="0" w:space="0" w:color="auto"/>
                    <w:left w:val="none" w:sz="0" w:space="0" w:color="auto"/>
                    <w:bottom w:val="none" w:sz="0" w:space="0" w:color="auto"/>
                    <w:right w:val="none" w:sz="0" w:space="0" w:color="auto"/>
                  </w:divBdr>
                  <w:divsChild>
                    <w:div w:id="584412686">
                      <w:marLeft w:val="0"/>
                      <w:marRight w:val="0"/>
                      <w:marTop w:val="0"/>
                      <w:marBottom w:val="0"/>
                      <w:divBdr>
                        <w:top w:val="none" w:sz="0" w:space="0" w:color="auto"/>
                        <w:left w:val="none" w:sz="0" w:space="0" w:color="auto"/>
                        <w:bottom w:val="none" w:sz="0" w:space="0" w:color="auto"/>
                        <w:right w:val="none" w:sz="0" w:space="0" w:color="auto"/>
                      </w:divBdr>
                      <w:divsChild>
                        <w:div w:id="106045286">
                          <w:marLeft w:val="0"/>
                          <w:marRight w:val="0"/>
                          <w:marTop w:val="0"/>
                          <w:marBottom w:val="0"/>
                          <w:divBdr>
                            <w:top w:val="none" w:sz="0" w:space="0" w:color="auto"/>
                            <w:left w:val="none" w:sz="0" w:space="0" w:color="auto"/>
                            <w:bottom w:val="none" w:sz="0" w:space="0" w:color="auto"/>
                            <w:right w:val="none" w:sz="0" w:space="0" w:color="auto"/>
                          </w:divBdr>
                          <w:divsChild>
                            <w:div w:id="1858692373">
                              <w:marLeft w:val="0"/>
                              <w:marRight w:val="0"/>
                              <w:marTop w:val="0"/>
                              <w:marBottom w:val="0"/>
                              <w:divBdr>
                                <w:top w:val="none" w:sz="0" w:space="0" w:color="auto"/>
                                <w:left w:val="none" w:sz="0" w:space="0" w:color="auto"/>
                                <w:bottom w:val="none" w:sz="0" w:space="0" w:color="auto"/>
                                <w:right w:val="none" w:sz="0" w:space="0" w:color="auto"/>
                              </w:divBdr>
                              <w:divsChild>
                                <w:div w:id="532035388">
                                  <w:marLeft w:val="0"/>
                                  <w:marRight w:val="0"/>
                                  <w:marTop w:val="0"/>
                                  <w:marBottom w:val="0"/>
                                  <w:divBdr>
                                    <w:top w:val="none" w:sz="0" w:space="0" w:color="auto"/>
                                    <w:left w:val="none" w:sz="0" w:space="0" w:color="auto"/>
                                    <w:bottom w:val="none" w:sz="0" w:space="0" w:color="auto"/>
                                    <w:right w:val="none" w:sz="0" w:space="0" w:color="auto"/>
                                  </w:divBdr>
                                </w:div>
                                <w:div w:id="1996302842">
                                  <w:marLeft w:val="0"/>
                                  <w:marRight w:val="0"/>
                                  <w:marTop w:val="0"/>
                                  <w:marBottom w:val="0"/>
                                  <w:divBdr>
                                    <w:top w:val="none" w:sz="0" w:space="0" w:color="auto"/>
                                    <w:left w:val="none" w:sz="0" w:space="0" w:color="auto"/>
                                    <w:bottom w:val="none" w:sz="0" w:space="0" w:color="auto"/>
                                    <w:right w:val="none" w:sz="0" w:space="0" w:color="auto"/>
                                  </w:divBdr>
                                  <w:divsChild>
                                    <w:div w:id="23128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2780613">
          <w:marLeft w:val="0"/>
          <w:marRight w:val="0"/>
          <w:marTop w:val="0"/>
          <w:marBottom w:val="0"/>
          <w:divBdr>
            <w:top w:val="none" w:sz="0" w:space="0" w:color="auto"/>
            <w:left w:val="none" w:sz="0" w:space="0" w:color="auto"/>
            <w:bottom w:val="none" w:sz="0" w:space="0" w:color="auto"/>
            <w:right w:val="none" w:sz="0" w:space="0" w:color="auto"/>
          </w:divBdr>
        </w:div>
        <w:div w:id="2052000014">
          <w:marLeft w:val="0"/>
          <w:marRight w:val="0"/>
          <w:marTop w:val="0"/>
          <w:marBottom w:val="0"/>
          <w:divBdr>
            <w:top w:val="none" w:sz="0" w:space="0" w:color="auto"/>
            <w:left w:val="none" w:sz="0" w:space="0" w:color="auto"/>
            <w:bottom w:val="none" w:sz="0" w:space="0" w:color="auto"/>
            <w:right w:val="none" w:sz="0" w:space="0" w:color="auto"/>
          </w:divBdr>
        </w:div>
        <w:div w:id="1689720904">
          <w:marLeft w:val="0"/>
          <w:marRight w:val="0"/>
          <w:marTop w:val="0"/>
          <w:marBottom w:val="0"/>
          <w:divBdr>
            <w:top w:val="none" w:sz="0" w:space="0" w:color="auto"/>
            <w:left w:val="none" w:sz="0" w:space="0" w:color="auto"/>
            <w:bottom w:val="none" w:sz="0" w:space="0" w:color="auto"/>
            <w:right w:val="none" w:sz="0" w:space="0" w:color="auto"/>
          </w:divBdr>
          <w:divsChild>
            <w:div w:id="448356011">
              <w:marLeft w:val="0"/>
              <w:marRight w:val="0"/>
              <w:marTop w:val="0"/>
              <w:marBottom w:val="0"/>
              <w:divBdr>
                <w:top w:val="none" w:sz="0" w:space="0" w:color="auto"/>
                <w:left w:val="none" w:sz="0" w:space="0" w:color="auto"/>
                <w:bottom w:val="none" w:sz="0" w:space="0" w:color="auto"/>
                <w:right w:val="none" w:sz="0" w:space="0" w:color="auto"/>
              </w:divBdr>
              <w:divsChild>
                <w:div w:id="156344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2996">
          <w:marLeft w:val="0"/>
          <w:marRight w:val="0"/>
          <w:marTop w:val="0"/>
          <w:marBottom w:val="0"/>
          <w:divBdr>
            <w:top w:val="none" w:sz="0" w:space="0" w:color="auto"/>
            <w:left w:val="none" w:sz="0" w:space="0" w:color="auto"/>
            <w:bottom w:val="none" w:sz="0" w:space="0" w:color="auto"/>
            <w:right w:val="none" w:sz="0" w:space="0" w:color="auto"/>
          </w:divBdr>
          <w:divsChild>
            <w:div w:id="1066757117">
              <w:marLeft w:val="0"/>
              <w:marRight w:val="0"/>
              <w:marTop w:val="0"/>
              <w:marBottom w:val="0"/>
              <w:divBdr>
                <w:top w:val="none" w:sz="0" w:space="0" w:color="auto"/>
                <w:left w:val="none" w:sz="0" w:space="0" w:color="auto"/>
                <w:bottom w:val="none" w:sz="0" w:space="0" w:color="auto"/>
                <w:right w:val="none" w:sz="0" w:space="0" w:color="auto"/>
              </w:divBdr>
              <w:divsChild>
                <w:div w:id="1967809241">
                  <w:marLeft w:val="0"/>
                  <w:marRight w:val="0"/>
                  <w:marTop w:val="0"/>
                  <w:marBottom w:val="0"/>
                  <w:divBdr>
                    <w:top w:val="none" w:sz="0" w:space="0" w:color="auto"/>
                    <w:left w:val="none" w:sz="0" w:space="0" w:color="auto"/>
                    <w:bottom w:val="none" w:sz="0" w:space="0" w:color="auto"/>
                    <w:right w:val="none" w:sz="0" w:space="0" w:color="auto"/>
                  </w:divBdr>
                  <w:divsChild>
                    <w:div w:id="105123947">
                      <w:marLeft w:val="0"/>
                      <w:marRight w:val="0"/>
                      <w:marTop w:val="0"/>
                      <w:marBottom w:val="0"/>
                      <w:divBdr>
                        <w:top w:val="none" w:sz="0" w:space="0" w:color="auto"/>
                        <w:left w:val="none" w:sz="0" w:space="0" w:color="auto"/>
                        <w:bottom w:val="none" w:sz="0" w:space="0" w:color="auto"/>
                        <w:right w:val="none" w:sz="0" w:space="0" w:color="auto"/>
                      </w:divBdr>
                    </w:div>
                    <w:div w:id="851652097">
                      <w:marLeft w:val="0"/>
                      <w:marRight w:val="0"/>
                      <w:marTop w:val="0"/>
                      <w:marBottom w:val="0"/>
                      <w:divBdr>
                        <w:top w:val="none" w:sz="0" w:space="0" w:color="auto"/>
                        <w:left w:val="none" w:sz="0" w:space="0" w:color="auto"/>
                        <w:bottom w:val="none" w:sz="0" w:space="0" w:color="auto"/>
                        <w:right w:val="none" w:sz="0" w:space="0" w:color="auto"/>
                      </w:divBdr>
                      <w:divsChild>
                        <w:div w:id="201792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765624">
          <w:marLeft w:val="0"/>
          <w:marRight w:val="0"/>
          <w:marTop w:val="0"/>
          <w:marBottom w:val="0"/>
          <w:divBdr>
            <w:top w:val="none" w:sz="0" w:space="0" w:color="auto"/>
            <w:left w:val="none" w:sz="0" w:space="0" w:color="auto"/>
            <w:bottom w:val="none" w:sz="0" w:space="0" w:color="auto"/>
            <w:right w:val="none" w:sz="0" w:space="0" w:color="auto"/>
          </w:divBdr>
          <w:divsChild>
            <w:div w:id="373620796">
              <w:marLeft w:val="0"/>
              <w:marRight w:val="0"/>
              <w:marTop w:val="0"/>
              <w:marBottom w:val="0"/>
              <w:divBdr>
                <w:top w:val="none" w:sz="0" w:space="0" w:color="auto"/>
                <w:left w:val="none" w:sz="0" w:space="0" w:color="auto"/>
                <w:bottom w:val="none" w:sz="0" w:space="0" w:color="auto"/>
                <w:right w:val="none" w:sz="0" w:space="0" w:color="auto"/>
              </w:divBdr>
              <w:divsChild>
                <w:div w:id="1686589513">
                  <w:marLeft w:val="0"/>
                  <w:marRight w:val="0"/>
                  <w:marTop w:val="0"/>
                  <w:marBottom w:val="0"/>
                  <w:divBdr>
                    <w:top w:val="none" w:sz="0" w:space="0" w:color="auto"/>
                    <w:left w:val="none" w:sz="0" w:space="0" w:color="auto"/>
                    <w:bottom w:val="none" w:sz="0" w:space="0" w:color="auto"/>
                    <w:right w:val="none" w:sz="0" w:space="0" w:color="auto"/>
                  </w:divBdr>
                  <w:divsChild>
                    <w:div w:id="189473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24483">
          <w:marLeft w:val="0"/>
          <w:marRight w:val="0"/>
          <w:marTop w:val="0"/>
          <w:marBottom w:val="0"/>
          <w:divBdr>
            <w:top w:val="none" w:sz="0" w:space="0" w:color="auto"/>
            <w:left w:val="none" w:sz="0" w:space="0" w:color="auto"/>
            <w:bottom w:val="none" w:sz="0" w:space="0" w:color="auto"/>
            <w:right w:val="none" w:sz="0" w:space="0" w:color="auto"/>
          </w:divBdr>
          <w:divsChild>
            <w:div w:id="1038896113">
              <w:marLeft w:val="0"/>
              <w:marRight w:val="0"/>
              <w:marTop w:val="0"/>
              <w:marBottom w:val="0"/>
              <w:divBdr>
                <w:top w:val="none" w:sz="0" w:space="0" w:color="auto"/>
                <w:left w:val="none" w:sz="0" w:space="0" w:color="auto"/>
                <w:bottom w:val="none" w:sz="0" w:space="0" w:color="auto"/>
                <w:right w:val="none" w:sz="0" w:space="0" w:color="auto"/>
              </w:divBdr>
              <w:divsChild>
                <w:div w:id="667295861">
                  <w:marLeft w:val="0"/>
                  <w:marRight w:val="0"/>
                  <w:marTop w:val="0"/>
                  <w:marBottom w:val="0"/>
                  <w:divBdr>
                    <w:top w:val="none" w:sz="0" w:space="0" w:color="auto"/>
                    <w:left w:val="none" w:sz="0" w:space="0" w:color="auto"/>
                    <w:bottom w:val="none" w:sz="0" w:space="0" w:color="auto"/>
                    <w:right w:val="none" w:sz="0" w:space="0" w:color="auto"/>
                  </w:divBdr>
                  <w:divsChild>
                    <w:div w:id="2028672810">
                      <w:marLeft w:val="0"/>
                      <w:marRight w:val="0"/>
                      <w:marTop w:val="0"/>
                      <w:marBottom w:val="0"/>
                      <w:divBdr>
                        <w:top w:val="none" w:sz="0" w:space="0" w:color="auto"/>
                        <w:left w:val="none" w:sz="0" w:space="0" w:color="auto"/>
                        <w:bottom w:val="none" w:sz="0" w:space="0" w:color="auto"/>
                        <w:right w:val="none" w:sz="0" w:space="0" w:color="auto"/>
                      </w:divBdr>
                      <w:divsChild>
                        <w:div w:id="1691831751">
                          <w:marLeft w:val="0"/>
                          <w:marRight w:val="0"/>
                          <w:marTop w:val="0"/>
                          <w:marBottom w:val="0"/>
                          <w:divBdr>
                            <w:top w:val="none" w:sz="0" w:space="0" w:color="auto"/>
                            <w:left w:val="none" w:sz="0" w:space="0" w:color="auto"/>
                            <w:bottom w:val="none" w:sz="0" w:space="0" w:color="auto"/>
                            <w:right w:val="none" w:sz="0" w:space="0" w:color="auto"/>
                          </w:divBdr>
                        </w:div>
                        <w:div w:id="1575622644">
                          <w:marLeft w:val="0"/>
                          <w:marRight w:val="0"/>
                          <w:marTop w:val="0"/>
                          <w:marBottom w:val="0"/>
                          <w:divBdr>
                            <w:top w:val="none" w:sz="0" w:space="0" w:color="auto"/>
                            <w:left w:val="none" w:sz="0" w:space="0" w:color="auto"/>
                            <w:bottom w:val="none" w:sz="0" w:space="0" w:color="auto"/>
                            <w:right w:val="none" w:sz="0" w:space="0" w:color="auto"/>
                          </w:divBdr>
                          <w:divsChild>
                            <w:div w:id="155519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736898">
          <w:marLeft w:val="0"/>
          <w:marRight w:val="0"/>
          <w:marTop w:val="0"/>
          <w:marBottom w:val="0"/>
          <w:divBdr>
            <w:top w:val="none" w:sz="0" w:space="0" w:color="auto"/>
            <w:left w:val="none" w:sz="0" w:space="0" w:color="auto"/>
            <w:bottom w:val="none" w:sz="0" w:space="0" w:color="auto"/>
            <w:right w:val="none" w:sz="0" w:space="0" w:color="auto"/>
          </w:divBdr>
          <w:divsChild>
            <w:div w:id="1538856770">
              <w:marLeft w:val="0"/>
              <w:marRight w:val="0"/>
              <w:marTop w:val="0"/>
              <w:marBottom w:val="0"/>
              <w:divBdr>
                <w:top w:val="none" w:sz="0" w:space="0" w:color="auto"/>
                <w:left w:val="none" w:sz="0" w:space="0" w:color="auto"/>
                <w:bottom w:val="none" w:sz="0" w:space="0" w:color="auto"/>
                <w:right w:val="none" w:sz="0" w:space="0" w:color="auto"/>
              </w:divBdr>
              <w:divsChild>
                <w:div w:id="96177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5878">
          <w:marLeft w:val="0"/>
          <w:marRight w:val="0"/>
          <w:marTop w:val="0"/>
          <w:marBottom w:val="0"/>
          <w:divBdr>
            <w:top w:val="none" w:sz="0" w:space="0" w:color="auto"/>
            <w:left w:val="none" w:sz="0" w:space="0" w:color="auto"/>
            <w:bottom w:val="none" w:sz="0" w:space="0" w:color="auto"/>
            <w:right w:val="none" w:sz="0" w:space="0" w:color="auto"/>
          </w:divBdr>
          <w:divsChild>
            <w:div w:id="375351807">
              <w:marLeft w:val="0"/>
              <w:marRight w:val="0"/>
              <w:marTop w:val="0"/>
              <w:marBottom w:val="0"/>
              <w:divBdr>
                <w:top w:val="none" w:sz="0" w:space="0" w:color="auto"/>
                <w:left w:val="none" w:sz="0" w:space="0" w:color="auto"/>
                <w:bottom w:val="none" w:sz="0" w:space="0" w:color="auto"/>
                <w:right w:val="none" w:sz="0" w:space="0" w:color="auto"/>
              </w:divBdr>
              <w:divsChild>
                <w:div w:id="239754317">
                  <w:marLeft w:val="0"/>
                  <w:marRight w:val="0"/>
                  <w:marTop w:val="0"/>
                  <w:marBottom w:val="0"/>
                  <w:divBdr>
                    <w:top w:val="none" w:sz="0" w:space="0" w:color="auto"/>
                    <w:left w:val="none" w:sz="0" w:space="0" w:color="auto"/>
                    <w:bottom w:val="none" w:sz="0" w:space="0" w:color="auto"/>
                    <w:right w:val="none" w:sz="0" w:space="0" w:color="auto"/>
                  </w:divBdr>
                  <w:divsChild>
                    <w:div w:id="1296066648">
                      <w:marLeft w:val="0"/>
                      <w:marRight w:val="0"/>
                      <w:marTop w:val="0"/>
                      <w:marBottom w:val="0"/>
                      <w:divBdr>
                        <w:top w:val="none" w:sz="0" w:space="0" w:color="auto"/>
                        <w:left w:val="none" w:sz="0" w:space="0" w:color="auto"/>
                        <w:bottom w:val="none" w:sz="0" w:space="0" w:color="auto"/>
                        <w:right w:val="none" w:sz="0" w:space="0" w:color="auto"/>
                      </w:divBdr>
                    </w:div>
                    <w:div w:id="1249458721">
                      <w:marLeft w:val="0"/>
                      <w:marRight w:val="0"/>
                      <w:marTop w:val="0"/>
                      <w:marBottom w:val="0"/>
                      <w:divBdr>
                        <w:top w:val="none" w:sz="0" w:space="0" w:color="auto"/>
                        <w:left w:val="none" w:sz="0" w:space="0" w:color="auto"/>
                        <w:bottom w:val="none" w:sz="0" w:space="0" w:color="auto"/>
                        <w:right w:val="none" w:sz="0" w:space="0" w:color="auto"/>
                      </w:divBdr>
                      <w:divsChild>
                        <w:div w:id="58635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603827">
          <w:marLeft w:val="0"/>
          <w:marRight w:val="0"/>
          <w:marTop w:val="0"/>
          <w:marBottom w:val="0"/>
          <w:divBdr>
            <w:top w:val="none" w:sz="0" w:space="0" w:color="auto"/>
            <w:left w:val="none" w:sz="0" w:space="0" w:color="auto"/>
            <w:bottom w:val="none" w:sz="0" w:space="0" w:color="auto"/>
            <w:right w:val="none" w:sz="0" w:space="0" w:color="auto"/>
          </w:divBdr>
        </w:div>
        <w:div w:id="962423475">
          <w:marLeft w:val="0"/>
          <w:marRight w:val="0"/>
          <w:marTop w:val="0"/>
          <w:marBottom w:val="0"/>
          <w:divBdr>
            <w:top w:val="none" w:sz="0" w:space="0" w:color="auto"/>
            <w:left w:val="none" w:sz="0" w:space="0" w:color="auto"/>
            <w:bottom w:val="none" w:sz="0" w:space="0" w:color="auto"/>
            <w:right w:val="none" w:sz="0" w:space="0" w:color="auto"/>
          </w:divBdr>
        </w:div>
        <w:div w:id="1976720528">
          <w:marLeft w:val="0"/>
          <w:marRight w:val="0"/>
          <w:marTop w:val="0"/>
          <w:marBottom w:val="0"/>
          <w:divBdr>
            <w:top w:val="none" w:sz="0" w:space="0" w:color="auto"/>
            <w:left w:val="none" w:sz="0" w:space="0" w:color="auto"/>
            <w:bottom w:val="none" w:sz="0" w:space="0" w:color="auto"/>
            <w:right w:val="none" w:sz="0" w:space="0" w:color="auto"/>
          </w:divBdr>
        </w:div>
        <w:div w:id="80756270">
          <w:marLeft w:val="0"/>
          <w:marRight w:val="0"/>
          <w:marTop w:val="0"/>
          <w:marBottom w:val="0"/>
          <w:divBdr>
            <w:top w:val="none" w:sz="0" w:space="0" w:color="auto"/>
            <w:left w:val="none" w:sz="0" w:space="0" w:color="auto"/>
            <w:bottom w:val="none" w:sz="0" w:space="0" w:color="auto"/>
            <w:right w:val="none" w:sz="0" w:space="0" w:color="auto"/>
          </w:divBdr>
          <w:divsChild>
            <w:div w:id="1551379873">
              <w:marLeft w:val="0"/>
              <w:marRight w:val="0"/>
              <w:marTop w:val="0"/>
              <w:marBottom w:val="0"/>
              <w:divBdr>
                <w:top w:val="none" w:sz="0" w:space="0" w:color="auto"/>
                <w:left w:val="none" w:sz="0" w:space="0" w:color="auto"/>
                <w:bottom w:val="none" w:sz="0" w:space="0" w:color="auto"/>
                <w:right w:val="none" w:sz="0" w:space="0" w:color="auto"/>
              </w:divBdr>
              <w:divsChild>
                <w:div w:id="1138956085">
                  <w:marLeft w:val="0"/>
                  <w:marRight w:val="0"/>
                  <w:marTop w:val="0"/>
                  <w:marBottom w:val="0"/>
                  <w:divBdr>
                    <w:top w:val="none" w:sz="0" w:space="0" w:color="auto"/>
                    <w:left w:val="none" w:sz="0" w:space="0" w:color="auto"/>
                    <w:bottom w:val="none" w:sz="0" w:space="0" w:color="auto"/>
                    <w:right w:val="none" w:sz="0" w:space="0" w:color="auto"/>
                  </w:divBdr>
                  <w:divsChild>
                    <w:div w:id="55582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730837">
          <w:marLeft w:val="0"/>
          <w:marRight w:val="0"/>
          <w:marTop w:val="0"/>
          <w:marBottom w:val="0"/>
          <w:divBdr>
            <w:top w:val="none" w:sz="0" w:space="0" w:color="auto"/>
            <w:left w:val="none" w:sz="0" w:space="0" w:color="auto"/>
            <w:bottom w:val="none" w:sz="0" w:space="0" w:color="auto"/>
            <w:right w:val="none" w:sz="0" w:space="0" w:color="auto"/>
          </w:divBdr>
          <w:divsChild>
            <w:div w:id="66999357">
              <w:marLeft w:val="0"/>
              <w:marRight w:val="0"/>
              <w:marTop w:val="0"/>
              <w:marBottom w:val="0"/>
              <w:divBdr>
                <w:top w:val="none" w:sz="0" w:space="0" w:color="auto"/>
                <w:left w:val="none" w:sz="0" w:space="0" w:color="auto"/>
                <w:bottom w:val="none" w:sz="0" w:space="0" w:color="auto"/>
                <w:right w:val="none" w:sz="0" w:space="0" w:color="auto"/>
              </w:divBdr>
              <w:divsChild>
                <w:div w:id="1159688634">
                  <w:marLeft w:val="0"/>
                  <w:marRight w:val="0"/>
                  <w:marTop w:val="0"/>
                  <w:marBottom w:val="0"/>
                  <w:divBdr>
                    <w:top w:val="none" w:sz="0" w:space="0" w:color="auto"/>
                    <w:left w:val="none" w:sz="0" w:space="0" w:color="auto"/>
                    <w:bottom w:val="none" w:sz="0" w:space="0" w:color="auto"/>
                    <w:right w:val="none" w:sz="0" w:space="0" w:color="auto"/>
                  </w:divBdr>
                  <w:divsChild>
                    <w:div w:id="1789854882">
                      <w:marLeft w:val="0"/>
                      <w:marRight w:val="0"/>
                      <w:marTop w:val="0"/>
                      <w:marBottom w:val="0"/>
                      <w:divBdr>
                        <w:top w:val="none" w:sz="0" w:space="0" w:color="auto"/>
                        <w:left w:val="none" w:sz="0" w:space="0" w:color="auto"/>
                        <w:bottom w:val="none" w:sz="0" w:space="0" w:color="auto"/>
                        <w:right w:val="none" w:sz="0" w:space="0" w:color="auto"/>
                      </w:divBdr>
                      <w:divsChild>
                        <w:div w:id="134959457">
                          <w:marLeft w:val="0"/>
                          <w:marRight w:val="0"/>
                          <w:marTop w:val="0"/>
                          <w:marBottom w:val="0"/>
                          <w:divBdr>
                            <w:top w:val="none" w:sz="0" w:space="0" w:color="auto"/>
                            <w:left w:val="none" w:sz="0" w:space="0" w:color="auto"/>
                            <w:bottom w:val="none" w:sz="0" w:space="0" w:color="auto"/>
                            <w:right w:val="none" w:sz="0" w:space="0" w:color="auto"/>
                          </w:divBdr>
                        </w:div>
                        <w:div w:id="1635476840">
                          <w:marLeft w:val="0"/>
                          <w:marRight w:val="0"/>
                          <w:marTop w:val="0"/>
                          <w:marBottom w:val="0"/>
                          <w:divBdr>
                            <w:top w:val="none" w:sz="0" w:space="0" w:color="auto"/>
                            <w:left w:val="none" w:sz="0" w:space="0" w:color="auto"/>
                            <w:bottom w:val="none" w:sz="0" w:space="0" w:color="auto"/>
                            <w:right w:val="none" w:sz="0" w:space="0" w:color="auto"/>
                          </w:divBdr>
                          <w:divsChild>
                            <w:div w:id="49410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627158">
          <w:marLeft w:val="0"/>
          <w:marRight w:val="0"/>
          <w:marTop w:val="0"/>
          <w:marBottom w:val="0"/>
          <w:divBdr>
            <w:top w:val="none" w:sz="0" w:space="0" w:color="auto"/>
            <w:left w:val="none" w:sz="0" w:space="0" w:color="auto"/>
            <w:bottom w:val="none" w:sz="0" w:space="0" w:color="auto"/>
            <w:right w:val="none" w:sz="0" w:space="0" w:color="auto"/>
          </w:divBdr>
          <w:divsChild>
            <w:div w:id="1000083695">
              <w:marLeft w:val="0"/>
              <w:marRight w:val="0"/>
              <w:marTop w:val="0"/>
              <w:marBottom w:val="0"/>
              <w:divBdr>
                <w:top w:val="none" w:sz="0" w:space="0" w:color="auto"/>
                <w:left w:val="none" w:sz="0" w:space="0" w:color="auto"/>
                <w:bottom w:val="none" w:sz="0" w:space="0" w:color="auto"/>
                <w:right w:val="none" w:sz="0" w:space="0" w:color="auto"/>
              </w:divBdr>
              <w:divsChild>
                <w:div w:id="56591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43983">
          <w:marLeft w:val="0"/>
          <w:marRight w:val="0"/>
          <w:marTop w:val="0"/>
          <w:marBottom w:val="0"/>
          <w:divBdr>
            <w:top w:val="none" w:sz="0" w:space="0" w:color="auto"/>
            <w:left w:val="none" w:sz="0" w:space="0" w:color="auto"/>
            <w:bottom w:val="none" w:sz="0" w:space="0" w:color="auto"/>
            <w:right w:val="none" w:sz="0" w:space="0" w:color="auto"/>
          </w:divBdr>
          <w:divsChild>
            <w:div w:id="550264057">
              <w:marLeft w:val="0"/>
              <w:marRight w:val="0"/>
              <w:marTop w:val="0"/>
              <w:marBottom w:val="0"/>
              <w:divBdr>
                <w:top w:val="none" w:sz="0" w:space="0" w:color="auto"/>
                <w:left w:val="none" w:sz="0" w:space="0" w:color="auto"/>
                <w:bottom w:val="none" w:sz="0" w:space="0" w:color="auto"/>
                <w:right w:val="none" w:sz="0" w:space="0" w:color="auto"/>
              </w:divBdr>
              <w:divsChild>
                <w:div w:id="1196236736">
                  <w:marLeft w:val="0"/>
                  <w:marRight w:val="0"/>
                  <w:marTop w:val="0"/>
                  <w:marBottom w:val="0"/>
                  <w:divBdr>
                    <w:top w:val="none" w:sz="0" w:space="0" w:color="auto"/>
                    <w:left w:val="none" w:sz="0" w:space="0" w:color="auto"/>
                    <w:bottom w:val="none" w:sz="0" w:space="0" w:color="auto"/>
                    <w:right w:val="none" w:sz="0" w:space="0" w:color="auto"/>
                  </w:divBdr>
                  <w:divsChild>
                    <w:div w:id="633171996">
                      <w:marLeft w:val="0"/>
                      <w:marRight w:val="0"/>
                      <w:marTop w:val="0"/>
                      <w:marBottom w:val="0"/>
                      <w:divBdr>
                        <w:top w:val="none" w:sz="0" w:space="0" w:color="auto"/>
                        <w:left w:val="none" w:sz="0" w:space="0" w:color="auto"/>
                        <w:bottom w:val="none" w:sz="0" w:space="0" w:color="auto"/>
                        <w:right w:val="none" w:sz="0" w:space="0" w:color="auto"/>
                      </w:divBdr>
                    </w:div>
                    <w:div w:id="1793942233">
                      <w:marLeft w:val="0"/>
                      <w:marRight w:val="0"/>
                      <w:marTop w:val="0"/>
                      <w:marBottom w:val="0"/>
                      <w:divBdr>
                        <w:top w:val="none" w:sz="0" w:space="0" w:color="auto"/>
                        <w:left w:val="none" w:sz="0" w:space="0" w:color="auto"/>
                        <w:bottom w:val="none" w:sz="0" w:space="0" w:color="auto"/>
                        <w:right w:val="none" w:sz="0" w:space="0" w:color="auto"/>
                      </w:divBdr>
                      <w:divsChild>
                        <w:div w:id="50771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330644">
          <w:marLeft w:val="0"/>
          <w:marRight w:val="0"/>
          <w:marTop w:val="0"/>
          <w:marBottom w:val="0"/>
          <w:divBdr>
            <w:top w:val="none" w:sz="0" w:space="0" w:color="auto"/>
            <w:left w:val="none" w:sz="0" w:space="0" w:color="auto"/>
            <w:bottom w:val="none" w:sz="0" w:space="0" w:color="auto"/>
            <w:right w:val="none" w:sz="0" w:space="0" w:color="auto"/>
          </w:divBdr>
        </w:div>
        <w:div w:id="427239712">
          <w:marLeft w:val="0"/>
          <w:marRight w:val="0"/>
          <w:marTop w:val="0"/>
          <w:marBottom w:val="0"/>
          <w:divBdr>
            <w:top w:val="none" w:sz="0" w:space="0" w:color="auto"/>
            <w:left w:val="none" w:sz="0" w:space="0" w:color="auto"/>
            <w:bottom w:val="none" w:sz="0" w:space="0" w:color="auto"/>
            <w:right w:val="none" w:sz="0" w:space="0" w:color="auto"/>
          </w:divBdr>
        </w:div>
        <w:div w:id="1664821769">
          <w:marLeft w:val="0"/>
          <w:marRight w:val="0"/>
          <w:marTop w:val="0"/>
          <w:marBottom w:val="0"/>
          <w:divBdr>
            <w:top w:val="none" w:sz="0" w:space="0" w:color="auto"/>
            <w:left w:val="none" w:sz="0" w:space="0" w:color="auto"/>
            <w:bottom w:val="none" w:sz="0" w:space="0" w:color="auto"/>
            <w:right w:val="none" w:sz="0" w:space="0" w:color="auto"/>
          </w:divBdr>
          <w:divsChild>
            <w:div w:id="1528064283">
              <w:marLeft w:val="0"/>
              <w:marRight w:val="0"/>
              <w:marTop w:val="0"/>
              <w:marBottom w:val="0"/>
              <w:divBdr>
                <w:top w:val="none" w:sz="0" w:space="0" w:color="auto"/>
                <w:left w:val="none" w:sz="0" w:space="0" w:color="auto"/>
                <w:bottom w:val="none" w:sz="0" w:space="0" w:color="auto"/>
                <w:right w:val="none" w:sz="0" w:space="0" w:color="auto"/>
              </w:divBdr>
              <w:divsChild>
                <w:div w:id="1566068834">
                  <w:marLeft w:val="0"/>
                  <w:marRight w:val="0"/>
                  <w:marTop w:val="0"/>
                  <w:marBottom w:val="0"/>
                  <w:divBdr>
                    <w:top w:val="none" w:sz="0" w:space="0" w:color="auto"/>
                    <w:left w:val="none" w:sz="0" w:space="0" w:color="auto"/>
                    <w:bottom w:val="none" w:sz="0" w:space="0" w:color="auto"/>
                    <w:right w:val="none" w:sz="0" w:space="0" w:color="auto"/>
                  </w:divBdr>
                  <w:divsChild>
                    <w:div w:id="890111349">
                      <w:marLeft w:val="0"/>
                      <w:marRight w:val="0"/>
                      <w:marTop w:val="0"/>
                      <w:marBottom w:val="0"/>
                      <w:divBdr>
                        <w:top w:val="none" w:sz="0" w:space="0" w:color="auto"/>
                        <w:left w:val="none" w:sz="0" w:space="0" w:color="auto"/>
                        <w:bottom w:val="none" w:sz="0" w:space="0" w:color="auto"/>
                        <w:right w:val="none" w:sz="0" w:space="0" w:color="auto"/>
                      </w:divBdr>
                      <w:divsChild>
                        <w:div w:id="1659769478">
                          <w:marLeft w:val="0"/>
                          <w:marRight w:val="0"/>
                          <w:marTop w:val="0"/>
                          <w:marBottom w:val="0"/>
                          <w:divBdr>
                            <w:top w:val="none" w:sz="0" w:space="0" w:color="auto"/>
                            <w:left w:val="none" w:sz="0" w:space="0" w:color="auto"/>
                            <w:bottom w:val="none" w:sz="0" w:space="0" w:color="auto"/>
                            <w:right w:val="none" w:sz="0" w:space="0" w:color="auto"/>
                          </w:divBdr>
                          <w:divsChild>
                            <w:div w:id="94083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238957">
          <w:marLeft w:val="0"/>
          <w:marRight w:val="0"/>
          <w:marTop w:val="0"/>
          <w:marBottom w:val="0"/>
          <w:divBdr>
            <w:top w:val="none" w:sz="0" w:space="0" w:color="auto"/>
            <w:left w:val="none" w:sz="0" w:space="0" w:color="auto"/>
            <w:bottom w:val="none" w:sz="0" w:space="0" w:color="auto"/>
            <w:right w:val="none" w:sz="0" w:space="0" w:color="auto"/>
          </w:divBdr>
          <w:divsChild>
            <w:div w:id="1879123947">
              <w:marLeft w:val="0"/>
              <w:marRight w:val="0"/>
              <w:marTop w:val="0"/>
              <w:marBottom w:val="0"/>
              <w:divBdr>
                <w:top w:val="none" w:sz="0" w:space="0" w:color="auto"/>
                <w:left w:val="none" w:sz="0" w:space="0" w:color="auto"/>
                <w:bottom w:val="none" w:sz="0" w:space="0" w:color="auto"/>
                <w:right w:val="none" w:sz="0" w:space="0" w:color="auto"/>
              </w:divBdr>
              <w:divsChild>
                <w:div w:id="80107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64293">
          <w:marLeft w:val="0"/>
          <w:marRight w:val="0"/>
          <w:marTop w:val="0"/>
          <w:marBottom w:val="0"/>
          <w:divBdr>
            <w:top w:val="none" w:sz="0" w:space="0" w:color="auto"/>
            <w:left w:val="none" w:sz="0" w:space="0" w:color="auto"/>
            <w:bottom w:val="none" w:sz="0" w:space="0" w:color="auto"/>
            <w:right w:val="none" w:sz="0" w:space="0" w:color="auto"/>
          </w:divBdr>
          <w:divsChild>
            <w:div w:id="1393430142">
              <w:marLeft w:val="0"/>
              <w:marRight w:val="0"/>
              <w:marTop w:val="0"/>
              <w:marBottom w:val="0"/>
              <w:divBdr>
                <w:top w:val="none" w:sz="0" w:space="0" w:color="auto"/>
                <w:left w:val="none" w:sz="0" w:space="0" w:color="auto"/>
                <w:bottom w:val="none" w:sz="0" w:space="0" w:color="auto"/>
                <w:right w:val="none" w:sz="0" w:space="0" w:color="auto"/>
              </w:divBdr>
              <w:divsChild>
                <w:div w:id="1005746280">
                  <w:marLeft w:val="0"/>
                  <w:marRight w:val="0"/>
                  <w:marTop w:val="0"/>
                  <w:marBottom w:val="0"/>
                  <w:divBdr>
                    <w:top w:val="none" w:sz="0" w:space="0" w:color="auto"/>
                    <w:left w:val="none" w:sz="0" w:space="0" w:color="auto"/>
                    <w:bottom w:val="none" w:sz="0" w:space="0" w:color="auto"/>
                    <w:right w:val="none" w:sz="0" w:space="0" w:color="auto"/>
                  </w:divBdr>
                  <w:divsChild>
                    <w:div w:id="380901973">
                      <w:marLeft w:val="0"/>
                      <w:marRight w:val="0"/>
                      <w:marTop w:val="0"/>
                      <w:marBottom w:val="0"/>
                      <w:divBdr>
                        <w:top w:val="none" w:sz="0" w:space="0" w:color="auto"/>
                        <w:left w:val="none" w:sz="0" w:space="0" w:color="auto"/>
                        <w:bottom w:val="none" w:sz="0" w:space="0" w:color="auto"/>
                        <w:right w:val="none" w:sz="0" w:space="0" w:color="auto"/>
                      </w:divBdr>
                      <w:divsChild>
                        <w:div w:id="161867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2162">
          <w:marLeft w:val="0"/>
          <w:marRight w:val="0"/>
          <w:marTop w:val="0"/>
          <w:marBottom w:val="0"/>
          <w:divBdr>
            <w:top w:val="none" w:sz="0" w:space="0" w:color="auto"/>
            <w:left w:val="none" w:sz="0" w:space="0" w:color="auto"/>
            <w:bottom w:val="none" w:sz="0" w:space="0" w:color="auto"/>
            <w:right w:val="none" w:sz="0" w:space="0" w:color="auto"/>
          </w:divBdr>
        </w:div>
        <w:div w:id="1064445630">
          <w:marLeft w:val="0"/>
          <w:marRight w:val="0"/>
          <w:marTop w:val="0"/>
          <w:marBottom w:val="0"/>
          <w:divBdr>
            <w:top w:val="none" w:sz="0" w:space="0" w:color="auto"/>
            <w:left w:val="none" w:sz="0" w:space="0" w:color="auto"/>
            <w:bottom w:val="none" w:sz="0" w:space="0" w:color="auto"/>
            <w:right w:val="none" w:sz="0" w:space="0" w:color="auto"/>
          </w:divBdr>
        </w:div>
        <w:div w:id="1797526918">
          <w:marLeft w:val="0"/>
          <w:marRight w:val="0"/>
          <w:marTop w:val="0"/>
          <w:marBottom w:val="0"/>
          <w:divBdr>
            <w:top w:val="none" w:sz="0" w:space="0" w:color="auto"/>
            <w:left w:val="none" w:sz="0" w:space="0" w:color="auto"/>
            <w:bottom w:val="none" w:sz="0" w:space="0" w:color="auto"/>
            <w:right w:val="none" w:sz="0" w:space="0" w:color="auto"/>
          </w:divBdr>
        </w:div>
        <w:div w:id="596984035">
          <w:marLeft w:val="0"/>
          <w:marRight w:val="0"/>
          <w:marTop w:val="0"/>
          <w:marBottom w:val="0"/>
          <w:divBdr>
            <w:top w:val="none" w:sz="0" w:space="0" w:color="auto"/>
            <w:left w:val="none" w:sz="0" w:space="0" w:color="auto"/>
            <w:bottom w:val="none" w:sz="0" w:space="0" w:color="auto"/>
            <w:right w:val="none" w:sz="0" w:space="0" w:color="auto"/>
          </w:divBdr>
          <w:divsChild>
            <w:div w:id="1398741698">
              <w:marLeft w:val="0"/>
              <w:marRight w:val="0"/>
              <w:marTop w:val="0"/>
              <w:marBottom w:val="0"/>
              <w:divBdr>
                <w:top w:val="none" w:sz="0" w:space="0" w:color="auto"/>
                <w:left w:val="none" w:sz="0" w:space="0" w:color="auto"/>
                <w:bottom w:val="none" w:sz="0" w:space="0" w:color="auto"/>
                <w:right w:val="none" w:sz="0" w:space="0" w:color="auto"/>
              </w:divBdr>
              <w:divsChild>
                <w:div w:id="119704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15022">
          <w:marLeft w:val="0"/>
          <w:marRight w:val="0"/>
          <w:marTop w:val="0"/>
          <w:marBottom w:val="0"/>
          <w:divBdr>
            <w:top w:val="none" w:sz="0" w:space="0" w:color="auto"/>
            <w:left w:val="none" w:sz="0" w:space="0" w:color="auto"/>
            <w:bottom w:val="none" w:sz="0" w:space="0" w:color="auto"/>
            <w:right w:val="none" w:sz="0" w:space="0" w:color="auto"/>
          </w:divBdr>
          <w:divsChild>
            <w:div w:id="2077622692">
              <w:marLeft w:val="0"/>
              <w:marRight w:val="0"/>
              <w:marTop w:val="0"/>
              <w:marBottom w:val="0"/>
              <w:divBdr>
                <w:top w:val="none" w:sz="0" w:space="0" w:color="auto"/>
                <w:left w:val="none" w:sz="0" w:space="0" w:color="auto"/>
                <w:bottom w:val="none" w:sz="0" w:space="0" w:color="auto"/>
                <w:right w:val="none" w:sz="0" w:space="0" w:color="auto"/>
              </w:divBdr>
              <w:divsChild>
                <w:div w:id="157227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103722">
          <w:marLeft w:val="0"/>
          <w:marRight w:val="0"/>
          <w:marTop w:val="0"/>
          <w:marBottom w:val="0"/>
          <w:divBdr>
            <w:top w:val="none" w:sz="0" w:space="0" w:color="auto"/>
            <w:left w:val="none" w:sz="0" w:space="0" w:color="auto"/>
            <w:bottom w:val="none" w:sz="0" w:space="0" w:color="auto"/>
            <w:right w:val="none" w:sz="0" w:space="0" w:color="auto"/>
          </w:divBdr>
          <w:divsChild>
            <w:div w:id="1908106131">
              <w:marLeft w:val="0"/>
              <w:marRight w:val="0"/>
              <w:marTop w:val="0"/>
              <w:marBottom w:val="0"/>
              <w:divBdr>
                <w:top w:val="none" w:sz="0" w:space="0" w:color="auto"/>
                <w:left w:val="none" w:sz="0" w:space="0" w:color="auto"/>
                <w:bottom w:val="none" w:sz="0" w:space="0" w:color="auto"/>
                <w:right w:val="none" w:sz="0" w:space="0" w:color="auto"/>
              </w:divBdr>
              <w:divsChild>
                <w:div w:id="1414205494">
                  <w:marLeft w:val="0"/>
                  <w:marRight w:val="0"/>
                  <w:marTop w:val="0"/>
                  <w:marBottom w:val="0"/>
                  <w:divBdr>
                    <w:top w:val="none" w:sz="0" w:space="0" w:color="auto"/>
                    <w:left w:val="none" w:sz="0" w:space="0" w:color="auto"/>
                    <w:bottom w:val="none" w:sz="0" w:space="0" w:color="auto"/>
                    <w:right w:val="none" w:sz="0" w:space="0" w:color="auto"/>
                  </w:divBdr>
                  <w:divsChild>
                    <w:div w:id="1885634327">
                      <w:marLeft w:val="0"/>
                      <w:marRight w:val="0"/>
                      <w:marTop w:val="0"/>
                      <w:marBottom w:val="0"/>
                      <w:divBdr>
                        <w:top w:val="none" w:sz="0" w:space="0" w:color="auto"/>
                        <w:left w:val="none" w:sz="0" w:space="0" w:color="auto"/>
                        <w:bottom w:val="none" w:sz="0" w:space="0" w:color="auto"/>
                        <w:right w:val="none" w:sz="0" w:space="0" w:color="auto"/>
                      </w:divBdr>
                      <w:divsChild>
                        <w:div w:id="295650161">
                          <w:marLeft w:val="0"/>
                          <w:marRight w:val="0"/>
                          <w:marTop w:val="0"/>
                          <w:marBottom w:val="0"/>
                          <w:divBdr>
                            <w:top w:val="none" w:sz="0" w:space="0" w:color="auto"/>
                            <w:left w:val="none" w:sz="0" w:space="0" w:color="auto"/>
                            <w:bottom w:val="none" w:sz="0" w:space="0" w:color="auto"/>
                            <w:right w:val="none" w:sz="0" w:space="0" w:color="auto"/>
                          </w:divBdr>
                          <w:divsChild>
                            <w:div w:id="1030031474">
                              <w:marLeft w:val="0"/>
                              <w:marRight w:val="0"/>
                              <w:marTop w:val="0"/>
                              <w:marBottom w:val="0"/>
                              <w:divBdr>
                                <w:top w:val="none" w:sz="0" w:space="0" w:color="auto"/>
                                <w:left w:val="none" w:sz="0" w:space="0" w:color="auto"/>
                                <w:bottom w:val="none" w:sz="0" w:space="0" w:color="auto"/>
                                <w:right w:val="none" w:sz="0" w:space="0" w:color="auto"/>
                              </w:divBdr>
                              <w:divsChild>
                                <w:div w:id="1657805202">
                                  <w:marLeft w:val="0"/>
                                  <w:marRight w:val="0"/>
                                  <w:marTop w:val="0"/>
                                  <w:marBottom w:val="0"/>
                                  <w:divBdr>
                                    <w:top w:val="none" w:sz="0" w:space="0" w:color="auto"/>
                                    <w:left w:val="none" w:sz="0" w:space="0" w:color="auto"/>
                                    <w:bottom w:val="none" w:sz="0" w:space="0" w:color="auto"/>
                                    <w:right w:val="none" w:sz="0" w:space="0" w:color="auto"/>
                                  </w:divBdr>
                                </w:div>
                                <w:div w:id="509373976">
                                  <w:marLeft w:val="0"/>
                                  <w:marRight w:val="0"/>
                                  <w:marTop w:val="0"/>
                                  <w:marBottom w:val="0"/>
                                  <w:divBdr>
                                    <w:top w:val="none" w:sz="0" w:space="0" w:color="auto"/>
                                    <w:left w:val="none" w:sz="0" w:space="0" w:color="auto"/>
                                    <w:bottom w:val="none" w:sz="0" w:space="0" w:color="auto"/>
                                    <w:right w:val="none" w:sz="0" w:space="0" w:color="auto"/>
                                  </w:divBdr>
                                  <w:divsChild>
                                    <w:div w:id="36826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9001620">
          <w:marLeft w:val="0"/>
          <w:marRight w:val="0"/>
          <w:marTop w:val="0"/>
          <w:marBottom w:val="0"/>
          <w:divBdr>
            <w:top w:val="none" w:sz="0" w:space="0" w:color="auto"/>
            <w:left w:val="none" w:sz="0" w:space="0" w:color="auto"/>
            <w:bottom w:val="none" w:sz="0" w:space="0" w:color="auto"/>
            <w:right w:val="none" w:sz="0" w:space="0" w:color="auto"/>
          </w:divBdr>
        </w:div>
        <w:div w:id="528227241">
          <w:marLeft w:val="0"/>
          <w:marRight w:val="0"/>
          <w:marTop w:val="0"/>
          <w:marBottom w:val="0"/>
          <w:divBdr>
            <w:top w:val="none" w:sz="0" w:space="0" w:color="auto"/>
            <w:left w:val="none" w:sz="0" w:space="0" w:color="auto"/>
            <w:bottom w:val="none" w:sz="0" w:space="0" w:color="auto"/>
            <w:right w:val="none" w:sz="0" w:space="0" w:color="auto"/>
          </w:divBdr>
          <w:divsChild>
            <w:div w:id="1244560340">
              <w:marLeft w:val="0"/>
              <w:marRight w:val="0"/>
              <w:marTop w:val="0"/>
              <w:marBottom w:val="0"/>
              <w:divBdr>
                <w:top w:val="none" w:sz="0" w:space="0" w:color="auto"/>
                <w:left w:val="none" w:sz="0" w:space="0" w:color="auto"/>
                <w:bottom w:val="none" w:sz="0" w:space="0" w:color="auto"/>
                <w:right w:val="none" w:sz="0" w:space="0" w:color="auto"/>
              </w:divBdr>
              <w:divsChild>
                <w:div w:id="1274171112">
                  <w:marLeft w:val="0"/>
                  <w:marRight w:val="0"/>
                  <w:marTop w:val="0"/>
                  <w:marBottom w:val="0"/>
                  <w:divBdr>
                    <w:top w:val="none" w:sz="0" w:space="0" w:color="auto"/>
                    <w:left w:val="none" w:sz="0" w:space="0" w:color="auto"/>
                    <w:bottom w:val="none" w:sz="0" w:space="0" w:color="auto"/>
                    <w:right w:val="none" w:sz="0" w:space="0" w:color="auto"/>
                  </w:divBdr>
                  <w:divsChild>
                    <w:div w:id="1983122841">
                      <w:marLeft w:val="0"/>
                      <w:marRight w:val="0"/>
                      <w:marTop w:val="0"/>
                      <w:marBottom w:val="0"/>
                      <w:divBdr>
                        <w:top w:val="none" w:sz="0" w:space="0" w:color="auto"/>
                        <w:left w:val="none" w:sz="0" w:space="0" w:color="auto"/>
                        <w:bottom w:val="none" w:sz="0" w:space="0" w:color="auto"/>
                        <w:right w:val="none" w:sz="0" w:space="0" w:color="auto"/>
                      </w:divBdr>
                    </w:div>
                    <w:div w:id="346837300">
                      <w:marLeft w:val="0"/>
                      <w:marRight w:val="0"/>
                      <w:marTop w:val="0"/>
                      <w:marBottom w:val="0"/>
                      <w:divBdr>
                        <w:top w:val="none" w:sz="0" w:space="0" w:color="auto"/>
                        <w:left w:val="none" w:sz="0" w:space="0" w:color="auto"/>
                        <w:bottom w:val="none" w:sz="0" w:space="0" w:color="auto"/>
                        <w:right w:val="none" w:sz="0" w:space="0" w:color="auto"/>
                      </w:divBdr>
                      <w:divsChild>
                        <w:div w:id="5754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142718">
          <w:marLeft w:val="0"/>
          <w:marRight w:val="0"/>
          <w:marTop w:val="0"/>
          <w:marBottom w:val="0"/>
          <w:divBdr>
            <w:top w:val="none" w:sz="0" w:space="0" w:color="auto"/>
            <w:left w:val="none" w:sz="0" w:space="0" w:color="auto"/>
            <w:bottom w:val="none" w:sz="0" w:space="0" w:color="auto"/>
            <w:right w:val="none" w:sz="0" w:space="0" w:color="auto"/>
          </w:divBdr>
        </w:div>
        <w:div w:id="479663251">
          <w:marLeft w:val="0"/>
          <w:marRight w:val="0"/>
          <w:marTop w:val="0"/>
          <w:marBottom w:val="0"/>
          <w:divBdr>
            <w:top w:val="none" w:sz="0" w:space="0" w:color="auto"/>
            <w:left w:val="none" w:sz="0" w:space="0" w:color="auto"/>
            <w:bottom w:val="none" w:sz="0" w:space="0" w:color="auto"/>
            <w:right w:val="none" w:sz="0" w:space="0" w:color="auto"/>
          </w:divBdr>
          <w:divsChild>
            <w:div w:id="959067270">
              <w:marLeft w:val="0"/>
              <w:marRight w:val="0"/>
              <w:marTop w:val="0"/>
              <w:marBottom w:val="0"/>
              <w:divBdr>
                <w:top w:val="none" w:sz="0" w:space="0" w:color="auto"/>
                <w:left w:val="none" w:sz="0" w:space="0" w:color="auto"/>
                <w:bottom w:val="none" w:sz="0" w:space="0" w:color="auto"/>
                <w:right w:val="none" w:sz="0" w:space="0" w:color="auto"/>
              </w:divBdr>
              <w:divsChild>
                <w:div w:id="1008025135">
                  <w:marLeft w:val="0"/>
                  <w:marRight w:val="0"/>
                  <w:marTop w:val="0"/>
                  <w:marBottom w:val="0"/>
                  <w:divBdr>
                    <w:top w:val="none" w:sz="0" w:space="0" w:color="auto"/>
                    <w:left w:val="none" w:sz="0" w:space="0" w:color="auto"/>
                    <w:bottom w:val="none" w:sz="0" w:space="0" w:color="auto"/>
                    <w:right w:val="none" w:sz="0" w:space="0" w:color="auto"/>
                  </w:divBdr>
                  <w:divsChild>
                    <w:div w:id="180381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023782">
          <w:marLeft w:val="0"/>
          <w:marRight w:val="0"/>
          <w:marTop w:val="0"/>
          <w:marBottom w:val="0"/>
          <w:divBdr>
            <w:top w:val="none" w:sz="0" w:space="0" w:color="auto"/>
            <w:left w:val="none" w:sz="0" w:space="0" w:color="auto"/>
            <w:bottom w:val="none" w:sz="0" w:space="0" w:color="auto"/>
            <w:right w:val="none" w:sz="0" w:space="0" w:color="auto"/>
          </w:divBdr>
          <w:divsChild>
            <w:div w:id="360475611">
              <w:marLeft w:val="0"/>
              <w:marRight w:val="0"/>
              <w:marTop w:val="0"/>
              <w:marBottom w:val="0"/>
              <w:divBdr>
                <w:top w:val="none" w:sz="0" w:space="0" w:color="auto"/>
                <w:left w:val="none" w:sz="0" w:space="0" w:color="auto"/>
                <w:bottom w:val="none" w:sz="0" w:space="0" w:color="auto"/>
                <w:right w:val="none" w:sz="0" w:space="0" w:color="auto"/>
              </w:divBdr>
              <w:divsChild>
                <w:div w:id="2065399691">
                  <w:marLeft w:val="0"/>
                  <w:marRight w:val="0"/>
                  <w:marTop w:val="0"/>
                  <w:marBottom w:val="0"/>
                  <w:divBdr>
                    <w:top w:val="none" w:sz="0" w:space="0" w:color="auto"/>
                    <w:left w:val="none" w:sz="0" w:space="0" w:color="auto"/>
                    <w:bottom w:val="none" w:sz="0" w:space="0" w:color="auto"/>
                    <w:right w:val="none" w:sz="0" w:space="0" w:color="auto"/>
                  </w:divBdr>
                  <w:divsChild>
                    <w:div w:id="19597693">
                      <w:marLeft w:val="0"/>
                      <w:marRight w:val="0"/>
                      <w:marTop w:val="0"/>
                      <w:marBottom w:val="0"/>
                      <w:divBdr>
                        <w:top w:val="none" w:sz="0" w:space="0" w:color="auto"/>
                        <w:left w:val="none" w:sz="0" w:space="0" w:color="auto"/>
                        <w:bottom w:val="none" w:sz="0" w:space="0" w:color="auto"/>
                        <w:right w:val="none" w:sz="0" w:space="0" w:color="auto"/>
                      </w:divBdr>
                      <w:divsChild>
                        <w:div w:id="1667898024">
                          <w:marLeft w:val="0"/>
                          <w:marRight w:val="0"/>
                          <w:marTop w:val="0"/>
                          <w:marBottom w:val="0"/>
                          <w:divBdr>
                            <w:top w:val="none" w:sz="0" w:space="0" w:color="auto"/>
                            <w:left w:val="none" w:sz="0" w:space="0" w:color="auto"/>
                            <w:bottom w:val="none" w:sz="0" w:space="0" w:color="auto"/>
                            <w:right w:val="none" w:sz="0" w:space="0" w:color="auto"/>
                          </w:divBdr>
                        </w:div>
                        <w:div w:id="2086105603">
                          <w:marLeft w:val="0"/>
                          <w:marRight w:val="0"/>
                          <w:marTop w:val="0"/>
                          <w:marBottom w:val="0"/>
                          <w:divBdr>
                            <w:top w:val="none" w:sz="0" w:space="0" w:color="auto"/>
                            <w:left w:val="none" w:sz="0" w:space="0" w:color="auto"/>
                            <w:bottom w:val="none" w:sz="0" w:space="0" w:color="auto"/>
                            <w:right w:val="none" w:sz="0" w:space="0" w:color="auto"/>
                          </w:divBdr>
                          <w:divsChild>
                            <w:div w:id="55497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1928821">
          <w:marLeft w:val="0"/>
          <w:marRight w:val="0"/>
          <w:marTop w:val="0"/>
          <w:marBottom w:val="0"/>
          <w:divBdr>
            <w:top w:val="none" w:sz="0" w:space="0" w:color="auto"/>
            <w:left w:val="none" w:sz="0" w:space="0" w:color="auto"/>
            <w:bottom w:val="none" w:sz="0" w:space="0" w:color="auto"/>
            <w:right w:val="none" w:sz="0" w:space="0" w:color="auto"/>
          </w:divBdr>
        </w:div>
        <w:div w:id="153573083">
          <w:marLeft w:val="0"/>
          <w:marRight w:val="0"/>
          <w:marTop w:val="0"/>
          <w:marBottom w:val="0"/>
          <w:divBdr>
            <w:top w:val="none" w:sz="0" w:space="0" w:color="auto"/>
            <w:left w:val="none" w:sz="0" w:space="0" w:color="auto"/>
            <w:bottom w:val="none" w:sz="0" w:space="0" w:color="auto"/>
            <w:right w:val="none" w:sz="0" w:space="0" w:color="auto"/>
          </w:divBdr>
        </w:div>
        <w:div w:id="1794179119">
          <w:marLeft w:val="0"/>
          <w:marRight w:val="0"/>
          <w:marTop w:val="0"/>
          <w:marBottom w:val="0"/>
          <w:divBdr>
            <w:top w:val="none" w:sz="0" w:space="0" w:color="auto"/>
            <w:left w:val="none" w:sz="0" w:space="0" w:color="auto"/>
            <w:bottom w:val="none" w:sz="0" w:space="0" w:color="auto"/>
            <w:right w:val="none" w:sz="0" w:space="0" w:color="auto"/>
          </w:divBdr>
          <w:divsChild>
            <w:div w:id="1074821588">
              <w:marLeft w:val="0"/>
              <w:marRight w:val="0"/>
              <w:marTop w:val="0"/>
              <w:marBottom w:val="0"/>
              <w:divBdr>
                <w:top w:val="none" w:sz="0" w:space="0" w:color="auto"/>
                <w:left w:val="none" w:sz="0" w:space="0" w:color="auto"/>
                <w:bottom w:val="none" w:sz="0" w:space="0" w:color="auto"/>
                <w:right w:val="none" w:sz="0" w:space="0" w:color="auto"/>
              </w:divBdr>
              <w:divsChild>
                <w:div w:id="96635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30958">
          <w:marLeft w:val="0"/>
          <w:marRight w:val="0"/>
          <w:marTop w:val="0"/>
          <w:marBottom w:val="0"/>
          <w:divBdr>
            <w:top w:val="none" w:sz="0" w:space="0" w:color="auto"/>
            <w:left w:val="none" w:sz="0" w:space="0" w:color="auto"/>
            <w:bottom w:val="none" w:sz="0" w:space="0" w:color="auto"/>
            <w:right w:val="none" w:sz="0" w:space="0" w:color="auto"/>
          </w:divBdr>
          <w:divsChild>
            <w:div w:id="1485391452">
              <w:marLeft w:val="0"/>
              <w:marRight w:val="0"/>
              <w:marTop w:val="0"/>
              <w:marBottom w:val="0"/>
              <w:divBdr>
                <w:top w:val="none" w:sz="0" w:space="0" w:color="auto"/>
                <w:left w:val="none" w:sz="0" w:space="0" w:color="auto"/>
                <w:bottom w:val="none" w:sz="0" w:space="0" w:color="auto"/>
                <w:right w:val="none" w:sz="0" w:space="0" w:color="auto"/>
              </w:divBdr>
              <w:divsChild>
                <w:div w:id="1822311598">
                  <w:marLeft w:val="0"/>
                  <w:marRight w:val="0"/>
                  <w:marTop w:val="0"/>
                  <w:marBottom w:val="0"/>
                  <w:divBdr>
                    <w:top w:val="none" w:sz="0" w:space="0" w:color="auto"/>
                    <w:left w:val="none" w:sz="0" w:space="0" w:color="auto"/>
                    <w:bottom w:val="none" w:sz="0" w:space="0" w:color="auto"/>
                    <w:right w:val="none" w:sz="0" w:space="0" w:color="auto"/>
                  </w:divBdr>
                  <w:divsChild>
                    <w:div w:id="259218481">
                      <w:marLeft w:val="0"/>
                      <w:marRight w:val="0"/>
                      <w:marTop w:val="0"/>
                      <w:marBottom w:val="0"/>
                      <w:divBdr>
                        <w:top w:val="none" w:sz="0" w:space="0" w:color="auto"/>
                        <w:left w:val="none" w:sz="0" w:space="0" w:color="auto"/>
                        <w:bottom w:val="none" w:sz="0" w:space="0" w:color="auto"/>
                        <w:right w:val="none" w:sz="0" w:space="0" w:color="auto"/>
                      </w:divBdr>
                    </w:div>
                    <w:div w:id="492450896">
                      <w:marLeft w:val="0"/>
                      <w:marRight w:val="0"/>
                      <w:marTop w:val="0"/>
                      <w:marBottom w:val="0"/>
                      <w:divBdr>
                        <w:top w:val="none" w:sz="0" w:space="0" w:color="auto"/>
                        <w:left w:val="none" w:sz="0" w:space="0" w:color="auto"/>
                        <w:bottom w:val="none" w:sz="0" w:space="0" w:color="auto"/>
                        <w:right w:val="none" w:sz="0" w:space="0" w:color="auto"/>
                      </w:divBdr>
                      <w:divsChild>
                        <w:div w:id="203496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6723">
          <w:marLeft w:val="0"/>
          <w:marRight w:val="0"/>
          <w:marTop w:val="0"/>
          <w:marBottom w:val="0"/>
          <w:divBdr>
            <w:top w:val="none" w:sz="0" w:space="0" w:color="auto"/>
            <w:left w:val="none" w:sz="0" w:space="0" w:color="auto"/>
            <w:bottom w:val="none" w:sz="0" w:space="0" w:color="auto"/>
            <w:right w:val="none" w:sz="0" w:space="0" w:color="auto"/>
          </w:divBdr>
          <w:divsChild>
            <w:div w:id="267540819">
              <w:marLeft w:val="0"/>
              <w:marRight w:val="0"/>
              <w:marTop w:val="0"/>
              <w:marBottom w:val="0"/>
              <w:divBdr>
                <w:top w:val="none" w:sz="0" w:space="0" w:color="auto"/>
                <w:left w:val="none" w:sz="0" w:space="0" w:color="auto"/>
                <w:bottom w:val="none" w:sz="0" w:space="0" w:color="auto"/>
                <w:right w:val="none" w:sz="0" w:space="0" w:color="auto"/>
              </w:divBdr>
              <w:divsChild>
                <w:div w:id="37320693">
                  <w:marLeft w:val="0"/>
                  <w:marRight w:val="0"/>
                  <w:marTop w:val="0"/>
                  <w:marBottom w:val="0"/>
                  <w:divBdr>
                    <w:top w:val="none" w:sz="0" w:space="0" w:color="auto"/>
                    <w:left w:val="none" w:sz="0" w:space="0" w:color="auto"/>
                    <w:bottom w:val="none" w:sz="0" w:space="0" w:color="auto"/>
                    <w:right w:val="none" w:sz="0" w:space="0" w:color="auto"/>
                  </w:divBdr>
                  <w:divsChild>
                    <w:div w:id="173546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496171">
          <w:marLeft w:val="0"/>
          <w:marRight w:val="0"/>
          <w:marTop w:val="0"/>
          <w:marBottom w:val="0"/>
          <w:divBdr>
            <w:top w:val="none" w:sz="0" w:space="0" w:color="auto"/>
            <w:left w:val="none" w:sz="0" w:space="0" w:color="auto"/>
            <w:bottom w:val="none" w:sz="0" w:space="0" w:color="auto"/>
            <w:right w:val="none" w:sz="0" w:space="0" w:color="auto"/>
          </w:divBdr>
          <w:divsChild>
            <w:div w:id="146362316">
              <w:marLeft w:val="0"/>
              <w:marRight w:val="0"/>
              <w:marTop w:val="0"/>
              <w:marBottom w:val="0"/>
              <w:divBdr>
                <w:top w:val="none" w:sz="0" w:space="0" w:color="auto"/>
                <w:left w:val="none" w:sz="0" w:space="0" w:color="auto"/>
                <w:bottom w:val="none" w:sz="0" w:space="0" w:color="auto"/>
                <w:right w:val="none" w:sz="0" w:space="0" w:color="auto"/>
              </w:divBdr>
              <w:divsChild>
                <w:div w:id="593588689">
                  <w:marLeft w:val="0"/>
                  <w:marRight w:val="0"/>
                  <w:marTop w:val="0"/>
                  <w:marBottom w:val="0"/>
                  <w:divBdr>
                    <w:top w:val="none" w:sz="0" w:space="0" w:color="auto"/>
                    <w:left w:val="none" w:sz="0" w:space="0" w:color="auto"/>
                    <w:bottom w:val="none" w:sz="0" w:space="0" w:color="auto"/>
                    <w:right w:val="none" w:sz="0" w:space="0" w:color="auto"/>
                  </w:divBdr>
                  <w:divsChild>
                    <w:div w:id="617418320">
                      <w:marLeft w:val="0"/>
                      <w:marRight w:val="0"/>
                      <w:marTop w:val="0"/>
                      <w:marBottom w:val="0"/>
                      <w:divBdr>
                        <w:top w:val="none" w:sz="0" w:space="0" w:color="auto"/>
                        <w:left w:val="none" w:sz="0" w:space="0" w:color="auto"/>
                        <w:bottom w:val="none" w:sz="0" w:space="0" w:color="auto"/>
                        <w:right w:val="none" w:sz="0" w:space="0" w:color="auto"/>
                      </w:divBdr>
                      <w:divsChild>
                        <w:div w:id="2039230844">
                          <w:marLeft w:val="0"/>
                          <w:marRight w:val="0"/>
                          <w:marTop w:val="0"/>
                          <w:marBottom w:val="0"/>
                          <w:divBdr>
                            <w:top w:val="none" w:sz="0" w:space="0" w:color="auto"/>
                            <w:left w:val="none" w:sz="0" w:space="0" w:color="auto"/>
                            <w:bottom w:val="none" w:sz="0" w:space="0" w:color="auto"/>
                            <w:right w:val="none" w:sz="0" w:space="0" w:color="auto"/>
                          </w:divBdr>
                        </w:div>
                        <w:div w:id="797261402">
                          <w:marLeft w:val="0"/>
                          <w:marRight w:val="0"/>
                          <w:marTop w:val="0"/>
                          <w:marBottom w:val="0"/>
                          <w:divBdr>
                            <w:top w:val="none" w:sz="0" w:space="0" w:color="auto"/>
                            <w:left w:val="none" w:sz="0" w:space="0" w:color="auto"/>
                            <w:bottom w:val="none" w:sz="0" w:space="0" w:color="auto"/>
                            <w:right w:val="none" w:sz="0" w:space="0" w:color="auto"/>
                          </w:divBdr>
                          <w:divsChild>
                            <w:div w:id="173743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546398">
          <w:marLeft w:val="0"/>
          <w:marRight w:val="0"/>
          <w:marTop w:val="0"/>
          <w:marBottom w:val="0"/>
          <w:divBdr>
            <w:top w:val="none" w:sz="0" w:space="0" w:color="auto"/>
            <w:left w:val="none" w:sz="0" w:space="0" w:color="auto"/>
            <w:bottom w:val="none" w:sz="0" w:space="0" w:color="auto"/>
            <w:right w:val="none" w:sz="0" w:space="0" w:color="auto"/>
          </w:divBdr>
        </w:div>
        <w:div w:id="1319573164">
          <w:marLeft w:val="0"/>
          <w:marRight w:val="0"/>
          <w:marTop w:val="0"/>
          <w:marBottom w:val="0"/>
          <w:divBdr>
            <w:top w:val="none" w:sz="0" w:space="0" w:color="auto"/>
            <w:left w:val="none" w:sz="0" w:space="0" w:color="auto"/>
            <w:bottom w:val="none" w:sz="0" w:space="0" w:color="auto"/>
            <w:right w:val="none" w:sz="0" w:space="0" w:color="auto"/>
          </w:divBdr>
        </w:div>
        <w:div w:id="1559243077">
          <w:marLeft w:val="0"/>
          <w:marRight w:val="0"/>
          <w:marTop w:val="0"/>
          <w:marBottom w:val="0"/>
          <w:divBdr>
            <w:top w:val="none" w:sz="0" w:space="0" w:color="auto"/>
            <w:left w:val="none" w:sz="0" w:space="0" w:color="auto"/>
            <w:bottom w:val="none" w:sz="0" w:space="0" w:color="auto"/>
            <w:right w:val="none" w:sz="0" w:space="0" w:color="auto"/>
          </w:divBdr>
          <w:divsChild>
            <w:div w:id="1784032598">
              <w:marLeft w:val="0"/>
              <w:marRight w:val="0"/>
              <w:marTop w:val="0"/>
              <w:marBottom w:val="0"/>
              <w:divBdr>
                <w:top w:val="none" w:sz="0" w:space="0" w:color="auto"/>
                <w:left w:val="none" w:sz="0" w:space="0" w:color="auto"/>
                <w:bottom w:val="none" w:sz="0" w:space="0" w:color="auto"/>
                <w:right w:val="none" w:sz="0" w:space="0" w:color="auto"/>
              </w:divBdr>
              <w:divsChild>
                <w:div w:id="158472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95974">
          <w:marLeft w:val="0"/>
          <w:marRight w:val="0"/>
          <w:marTop w:val="0"/>
          <w:marBottom w:val="0"/>
          <w:divBdr>
            <w:top w:val="none" w:sz="0" w:space="0" w:color="auto"/>
            <w:left w:val="none" w:sz="0" w:space="0" w:color="auto"/>
            <w:bottom w:val="none" w:sz="0" w:space="0" w:color="auto"/>
            <w:right w:val="none" w:sz="0" w:space="0" w:color="auto"/>
          </w:divBdr>
          <w:divsChild>
            <w:div w:id="1829204935">
              <w:marLeft w:val="0"/>
              <w:marRight w:val="0"/>
              <w:marTop w:val="0"/>
              <w:marBottom w:val="0"/>
              <w:divBdr>
                <w:top w:val="none" w:sz="0" w:space="0" w:color="auto"/>
                <w:left w:val="none" w:sz="0" w:space="0" w:color="auto"/>
                <w:bottom w:val="none" w:sz="0" w:space="0" w:color="auto"/>
                <w:right w:val="none" w:sz="0" w:space="0" w:color="auto"/>
              </w:divBdr>
              <w:divsChild>
                <w:div w:id="595864011">
                  <w:marLeft w:val="0"/>
                  <w:marRight w:val="0"/>
                  <w:marTop w:val="0"/>
                  <w:marBottom w:val="0"/>
                  <w:divBdr>
                    <w:top w:val="none" w:sz="0" w:space="0" w:color="auto"/>
                    <w:left w:val="none" w:sz="0" w:space="0" w:color="auto"/>
                    <w:bottom w:val="none" w:sz="0" w:space="0" w:color="auto"/>
                    <w:right w:val="none" w:sz="0" w:space="0" w:color="auto"/>
                  </w:divBdr>
                  <w:divsChild>
                    <w:div w:id="1132479556">
                      <w:marLeft w:val="0"/>
                      <w:marRight w:val="0"/>
                      <w:marTop w:val="0"/>
                      <w:marBottom w:val="0"/>
                      <w:divBdr>
                        <w:top w:val="none" w:sz="0" w:space="0" w:color="auto"/>
                        <w:left w:val="none" w:sz="0" w:space="0" w:color="auto"/>
                        <w:bottom w:val="none" w:sz="0" w:space="0" w:color="auto"/>
                        <w:right w:val="none" w:sz="0" w:space="0" w:color="auto"/>
                      </w:divBdr>
                    </w:div>
                    <w:div w:id="1079597820">
                      <w:marLeft w:val="0"/>
                      <w:marRight w:val="0"/>
                      <w:marTop w:val="0"/>
                      <w:marBottom w:val="0"/>
                      <w:divBdr>
                        <w:top w:val="none" w:sz="0" w:space="0" w:color="auto"/>
                        <w:left w:val="none" w:sz="0" w:space="0" w:color="auto"/>
                        <w:bottom w:val="none" w:sz="0" w:space="0" w:color="auto"/>
                        <w:right w:val="none" w:sz="0" w:space="0" w:color="auto"/>
                      </w:divBdr>
                      <w:divsChild>
                        <w:div w:id="187272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932706">
          <w:marLeft w:val="0"/>
          <w:marRight w:val="0"/>
          <w:marTop w:val="0"/>
          <w:marBottom w:val="0"/>
          <w:divBdr>
            <w:top w:val="none" w:sz="0" w:space="0" w:color="auto"/>
            <w:left w:val="none" w:sz="0" w:space="0" w:color="auto"/>
            <w:bottom w:val="none" w:sz="0" w:space="0" w:color="auto"/>
            <w:right w:val="none" w:sz="0" w:space="0" w:color="auto"/>
          </w:divBdr>
          <w:divsChild>
            <w:div w:id="1702246816">
              <w:marLeft w:val="0"/>
              <w:marRight w:val="0"/>
              <w:marTop w:val="0"/>
              <w:marBottom w:val="0"/>
              <w:divBdr>
                <w:top w:val="none" w:sz="0" w:space="0" w:color="auto"/>
                <w:left w:val="none" w:sz="0" w:space="0" w:color="auto"/>
                <w:bottom w:val="none" w:sz="0" w:space="0" w:color="auto"/>
                <w:right w:val="none" w:sz="0" w:space="0" w:color="auto"/>
              </w:divBdr>
              <w:divsChild>
                <w:div w:id="1915697862">
                  <w:marLeft w:val="0"/>
                  <w:marRight w:val="0"/>
                  <w:marTop w:val="0"/>
                  <w:marBottom w:val="0"/>
                  <w:divBdr>
                    <w:top w:val="none" w:sz="0" w:space="0" w:color="auto"/>
                    <w:left w:val="none" w:sz="0" w:space="0" w:color="auto"/>
                    <w:bottom w:val="none" w:sz="0" w:space="0" w:color="auto"/>
                    <w:right w:val="none" w:sz="0" w:space="0" w:color="auto"/>
                  </w:divBdr>
                  <w:divsChild>
                    <w:div w:id="1020357662">
                      <w:marLeft w:val="0"/>
                      <w:marRight w:val="0"/>
                      <w:marTop w:val="0"/>
                      <w:marBottom w:val="0"/>
                      <w:divBdr>
                        <w:top w:val="none" w:sz="0" w:space="0" w:color="auto"/>
                        <w:left w:val="none" w:sz="0" w:space="0" w:color="auto"/>
                        <w:bottom w:val="none" w:sz="0" w:space="0" w:color="auto"/>
                        <w:right w:val="none" w:sz="0" w:space="0" w:color="auto"/>
                      </w:divBdr>
                      <w:divsChild>
                        <w:div w:id="424545529">
                          <w:marLeft w:val="0"/>
                          <w:marRight w:val="0"/>
                          <w:marTop w:val="0"/>
                          <w:marBottom w:val="0"/>
                          <w:divBdr>
                            <w:top w:val="none" w:sz="0" w:space="0" w:color="auto"/>
                            <w:left w:val="none" w:sz="0" w:space="0" w:color="auto"/>
                            <w:bottom w:val="none" w:sz="0" w:space="0" w:color="auto"/>
                            <w:right w:val="none" w:sz="0" w:space="0" w:color="auto"/>
                          </w:divBdr>
                          <w:divsChild>
                            <w:div w:id="155657796">
                              <w:marLeft w:val="0"/>
                              <w:marRight w:val="0"/>
                              <w:marTop w:val="0"/>
                              <w:marBottom w:val="0"/>
                              <w:divBdr>
                                <w:top w:val="none" w:sz="0" w:space="0" w:color="auto"/>
                                <w:left w:val="none" w:sz="0" w:space="0" w:color="auto"/>
                                <w:bottom w:val="none" w:sz="0" w:space="0" w:color="auto"/>
                                <w:right w:val="none" w:sz="0" w:space="0" w:color="auto"/>
                              </w:divBdr>
                              <w:divsChild>
                                <w:div w:id="400643358">
                                  <w:marLeft w:val="0"/>
                                  <w:marRight w:val="0"/>
                                  <w:marTop w:val="0"/>
                                  <w:marBottom w:val="0"/>
                                  <w:divBdr>
                                    <w:top w:val="none" w:sz="0" w:space="0" w:color="auto"/>
                                    <w:left w:val="none" w:sz="0" w:space="0" w:color="auto"/>
                                    <w:bottom w:val="none" w:sz="0" w:space="0" w:color="auto"/>
                                    <w:right w:val="none" w:sz="0" w:space="0" w:color="auto"/>
                                  </w:divBdr>
                                  <w:divsChild>
                                    <w:div w:id="672538820">
                                      <w:marLeft w:val="0"/>
                                      <w:marRight w:val="0"/>
                                      <w:marTop w:val="0"/>
                                      <w:marBottom w:val="0"/>
                                      <w:divBdr>
                                        <w:top w:val="none" w:sz="0" w:space="0" w:color="auto"/>
                                        <w:left w:val="none" w:sz="0" w:space="0" w:color="auto"/>
                                        <w:bottom w:val="none" w:sz="0" w:space="0" w:color="auto"/>
                                        <w:right w:val="none" w:sz="0" w:space="0" w:color="auto"/>
                                      </w:divBdr>
                                      <w:divsChild>
                                        <w:div w:id="22010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861042">
          <w:marLeft w:val="0"/>
          <w:marRight w:val="0"/>
          <w:marTop w:val="0"/>
          <w:marBottom w:val="0"/>
          <w:divBdr>
            <w:top w:val="none" w:sz="0" w:space="0" w:color="auto"/>
            <w:left w:val="none" w:sz="0" w:space="0" w:color="auto"/>
            <w:bottom w:val="none" w:sz="0" w:space="0" w:color="auto"/>
            <w:right w:val="none" w:sz="0" w:space="0" w:color="auto"/>
          </w:divBdr>
        </w:div>
        <w:div w:id="988482815">
          <w:marLeft w:val="0"/>
          <w:marRight w:val="0"/>
          <w:marTop w:val="0"/>
          <w:marBottom w:val="0"/>
          <w:divBdr>
            <w:top w:val="none" w:sz="0" w:space="0" w:color="auto"/>
            <w:left w:val="none" w:sz="0" w:space="0" w:color="auto"/>
            <w:bottom w:val="none" w:sz="0" w:space="0" w:color="auto"/>
            <w:right w:val="none" w:sz="0" w:space="0" w:color="auto"/>
          </w:divBdr>
          <w:divsChild>
            <w:div w:id="23095325">
              <w:marLeft w:val="0"/>
              <w:marRight w:val="0"/>
              <w:marTop w:val="0"/>
              <w:marBottom w:val="0"/>
              <w:divBdr>
                <w:top w:val="none" w:sz="0" w:space="0" w:color="auto"/>
                <w:left w:val="none" w:sz="0" w:space="0" w:color="auto"/>
                <w:bottom w:val="none" w:sz="0" w:space="0" w:color="auto"/>
                <w:right w:val="none" w:sz="0" w:space="0" w:color="auto"/>
              </w:divBdr>
              <w:divsChild>
                <w:div w:id="1249192439">
                  <w:marLeft w:val="0"/>
                  <w:marRight w:val="0"/>
                  <w:marTop w:val="0"/>
                  <w:marBottom w:val="0"/>
                  <w:divBdr>
                    <w:top w:val="none" w:sz="0" w:space="0" w:color="auto"/>
                    <w:left w:val="none" w:sz="0" w:space="0" w:color="auto"/>
                    <w:bottom w:val="none" w:sz="0" w:space="0" w:color="auto"/>
                    <w:right w:val="none" w:sz="0" w:space="0" w:color="auto"/>
                  </w:divBdr>
                  <w:divsChild>
                    <w:div w:id="1201475984">
                      <w:marLeft w:val="0"/>
                      <w:marRight w:val="0"/>
                      <w:marTop w:val="0"/>
                      <w:marBottom w:val="0"/>
                      <w:divBdr>
                        <w:top w:val="none" w:sz="0" w:space="0" w:color="auto"/>
                        <w:left w:val="none" w:sz="0" w:space="0" w:color="auto"/>
                        <w:bottom w:val="none" w:sz="0" w:space="0" w:color="auto"/>
                        <w:right w:val="none" w:sz="0" w:space="0" w:color="auto"/>
                      </w:divBdr>
                      <w:divsChild>
                        <w:div w:id="37828911">
                          <w:marLeft w:val="0"/>
                          <w:marRight w:val="0"/>
                          <w:marTop w:val="0"/>
                          <w:marBottom w:val="0"/>
                          <w:divBdr>
                            <w:top w:val="none" w:sz="0" w:space="0" w:color="auto"/>
                            <w:left w:val="none" w:sz="0" w:space="0" w:color="auto"/>
                            <w:bottom w:val="none" w:sz="0" w:space="0" w:color="auto"/>
                            <w:right w:val="none" w:sz="0" w:space="0" w:color="auto"/>
                          </w:divBdr>
                          <w:divsChild>
                            <w:div w:id="392119945">
                              <w:marLeft w:val="0"/>
                              <w:marRight w:val="0"/>
                              <w:marTop w:val="0"/>
                              <w:marBottom w:val="0"/>
                              <w:divBdr>
                                <w:top w:val="none" w:sz="0" w:space="0" w:color="auto"/>
                                <w:left w:val="none" w:sz="0" w:space="0" w:color="auto"/>
                                <w:bottom w:val="none" w:sz="0" w:space="0" w:color="auto"/>
                                <w:right w:val="none" w:sz="0" w:space="0" w:color="auto"/>
                              </w:divBdr>
                              <w:divsChild>
                                <w:div w:id="1599024355">
                                  <w:marLeft w:val="0"/>
                                  <w:marRight w:val="0"/>
                                  <w:marTop w:val="0"/>
                                  <w:marBottom w:val="0"/>
                                  <w:divBdr>
                                    <w:top w:val="none" w:sz="0" w:space="0" w:color="auto"/>
                                    <w:left w:val="none" w:sz="0" w:space="0" w:color="auto"/>
                                    <w:bottom w:val="none" w:sz="0" w:space="0" w:color="auto"/>
                                    <w:right w:val="none" w:sz="0" w:space="0" w:color="auto"/>
                                  </w:divBdr>
                                  <w:divsChild>
                                    <w:div w:id="23070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023371">
          <w:marLeft w:val="0"/>
          <w:marRight w:val="0"/>
          <w:marTop w:val="0"/>
          <w:marBottom w:val="0"/>
          <w:divBdr>
            <w:top w:val="none" w:sz="0" w:space="0" w:color="auto"/>
            <w:left w:val="none" w:sz="0" w:space="0" w:color="auto"/>
            <w:bottom w:val="none" w:sz="0" w:space="0" w:color="auto"/>
            <w:right w:val="none" w:sz="0" w:space="0" w:color="auto"/>
          </w:divBdr>
          <w:divsChild>
            <w:div w:id="969361278">
              <w:marLeft w:val="0"/>
              <w:marRight w:val="0"/>
              <w:marTop w:val="0"/>
              <w:marBottom w:val="0"/>
              <w:divBdr>
                <w:top w:val="none" w:sz="0" w:space="0" w:color="auto"/>
                <w:left w:val="none" w:sz="0" w:space="0" w:color="auto"/>
                <w:bottom w:val="none" w:sz="0" w:space="0" w:color="auto"/>
                <w:right w:val="none" w:sz="0" w:space="0" w:color="auto"/>
              </w:divBdr>
              <w:divsChild>
                <w:div w:id="543251484">
                  <w:marLeft w:val="0"/>
                  <w:marRight w:val="0"/>
                  <w:marTop w:val="0"/>
                  <w:marBottom w:val="0"/>
                  <w:divBdr>
                    <w:top w:val="none" w:sz="0" w:space="0" w:color="auto"/>
                    <w:left w:val="none" w:sz="0" w:space="0" w:color="auto"/>
                    <w:bottom w:val="none" w:sz="0" w:space="0" w:color="auto"/>
                    <w:right w:val="none" w:sz="0" w:space="0" w:color="auto"/>
                  </w:divBdr>
                  <w:divsChild>
                    <w:div w:id="43020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30144">
          <w:marLeft w:val="0"/>
          <w:marRight w:val="0"/>
          <w:marTop w:val="0"/>
          <w:marBottom w:val="0"/>
          <w:divBdr>
            <w:top w:val="none" w:sz="0" w:space="0" w:color="auto"/>
            <w:left w:val="none" w:sz="0" w:space="0" w:color="auto"/>
            <w:bottom w:val="none" w:sz="0" w:space="0" w:color="auto"/>
            <w:right w:val="none" w:sz="0" w:space="0" w:color="auto"/>
          </w:divBdr>
          <w:divsChild>
            <w:div w:id="496267200">
              <w:marLeft w:val="0"/>
              <w:marRight w:val="0"/>
              <w:marTop w:val="0"/>
              <w:marBottom w:val="0"/>
              <w:divBdr>
                <w:top w:val="none" w:sz="0" w:space="0" w:color="auto"/>
                <w:left w:val="none" w:sz="0" w:space="0" w:color="auto"/>
                <w:bottom w:val="none" w:sz="0" w:space="0" w:color="auto"/>
                <w:right w:val="none" w:sz="0" w:space="0" w:color="auto"/>
              </w:divBdr>
              <w:divsChild>
                <w:div w:id="2079279980">
                  <w:marLeft w:val="0"/>
                  <w:marRight w:val="0"/>
                  <w:marTop w:val="0"/>
                  <w:marBottom w:val="0"/>
                  <w:divBdr>
                    <w:top w:val="none" w:sz="0" w:space="0" w:color="auto"/>
                    <w:left w:val="none" w:sz="0" w:space="0" w:color="auto"/>
                    <w:bottom w:val="none" w:sz="0" w:space="0" w:color="auto"/>
                    <w:right w:val="none" w:sz="0" w:space="0" w:color="auto"/>
                  </w:divBdr>
                  <w:divsChild>
                    <w:div w:id="187973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034193">
          <w:marLeft w:val="0"/>
          <w:marRight w:val="0"/>
          <w:marTop w:val="0"/>
          <w:marBottom w:val="0"/>
          <w:divBdr>
            <w:top w:val="none" w:sz="0" w:space="0" w:color="auto"/>
            <w:left w:val="none" w:sz="0" w:space="0" w:color="auto"/>
            <w:bottom w:val="none" w:sz="0" w:space="0" w:color="auto"/>
            <w:right w:val="none" w:sz="0" w:space="0" w:color="auto"/>
          </w:divBdr>
          <w:divsChild>
            <w:div w:id="1172643492">
              <w:marLeft w:val="0"/>
              <w:marRight w:val="0"/>
              <w:marTop w:val="0"/>
              <w:marBottom w:val="0"/>
              <w:divBdr>
                <w:top w:val="none" w:sz="0" w:space="0" w:color="auto"/>
                <w:left w:val="none" w:sz="0" w:space="0" w:color="auto"/>
                <w:bottom w:val="none" w:sz="0" w:space="0" w:color="auto"/>
                <w:right w:val="none" w:sz="0" w:space="0" w:color="auto"/>
              </w:divBdr>
              <w:divsChild>
                <w:div w:id="1630014924">
                  <w:marLeft w:val="0"/>
                  <w:marRight w:val="0"/>
                  <w:marTop w:val="0"/>
                  <w:marBottom w:val="0"/>
                  <w:divBdr>
                    <w:top w:val="none" w:sz="0" w:space="0" w:color="auto"/>
                    <w:left w:val="none" w:sz="0" w:space="0" w:color="auto"/>
                    <w:bottom w:val="none" w:sz="0" w:space="0" w:color="auto"/>
                    <w:right w:val="none" w:sz="0" w:space="0" w:color="auto"/>
                  </w:divBdr>
                  <w:divsChild>
                    <w:div w:id="115448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542347">
          <w:marLeft w:val="0"/>
          <w:marRight w:val="0"/>
          <w:marTop w:val="0"/>
          <w:marBottom w:val="0"/>
          <w:divBdr>
            <w:top w:val="none" w:sz="0" w:space="0" w:color="auto"/>
            <w:left w:val="none" w:sz="0" w:space="0" w:color="auto"/>
            <w:bottom w:val="none" w:sz="0" w:space="0" w:color="auto"/>
            <w:right w:val="none" w:sz="0" w:space="0" w:color="auto"/>
          </w:divBdr>
          <w:divsChild>
            <w:div w:id="6952958">
              <w:marLeft w:val="0"/>
              <w:marRight w:val="0"/>
              <w:marTop w:val="0"/>
              <w:marBottom w:val="0"/>
              <w:divBdr>
                <w:top w:val="none" w:sz="0" w:space="0" w:color="auto"/>
                <w:left w:val="none" w:sz="0" w:space="0" w:color="auto"/>
                <w:bottom w:val="none" w:sz="0" w:space="0" w:color="auto"/>
                <w:right w:val="none" w:sz="0" w:space="0" w:color="auto"/>
              </w:divBdr>
              <w:divsChild>
                <w:div w:id="5127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194842">
          <w:marLeft w:val="0"/>
          <w:marRight w:val="0"/>
          <w:marTop w:val="0"/>
          <w:marBottom w:val="0"/>
          <w:divBdr>
            <w:top w:val="none" w:sz="0" w:space="0" w:color="auto"/>
            <w:left w:val="none" w:sz="0" w:space="0" w:color="auto"/>
            <w:bottom w:val="none" w:sz="0" w:space="0" w:color="auto"/>
            <w:right w:val="none" w:sz="0" w:space="0" w:color="auto"/>
          </w:divBdr>
          <w:divsChild>
            <w:div w:id="385689987">
              <w:marLeft w:val="0"/>
              <w:marRight w:val="0"/>
              <w:marTop w:val="0"/>
              <w:marBottom w:val="0"/>
              <w:divBdr>
                <w:top w:val="none" w:sz="0" w:space="0" w:color="auto"/>
                <w:left w:val="none" w:sz="0" w:space="0" w:color="auto"/>
                <w:bottom w:val="none" w:sz="0" w:space="0" w:color="auto"/>
                <w:right w:val="none" w:sz="0" w:space="0" w:color="auto"/>
              </w:divBdr>
            </w:div>
          </w:divsChild>
        </w:div>
        <w:div w:id="476336262">
          <w:marLeft w:val="0"/>
          <w:marRight w:val="0"/>
          <w:marTop w:val="0"/>
          <w:marBottom w:val="0"/>
          <w:divBdr>
            <w:top w:val="none" w:sz="0" w:space="0" w:color="auto"/>
            <w:left w:val="none" w:sz="0" w:space="0" w:color="auto"/>
            <w:bottom w:val="none" w:sz="0" w:space="0" w:color="auto"/>
            <w:right w:val="none" w:sz="0" w:space="0" w:color="auto"/>
          </w:divBdr>
          <w:divsChild>
            <w:div w:id="1136339468">
              <w:marLeft w:val="0"/>
              <w:marRight w:val="0"/>
              <w:marTop w:val="0"/>
              <w:marBottom w:val="0"/>
              <w:divBdr>
                <w:top w:val="none" w:sz="0" w:space="0" w:color="auto"/>
                <w:left w:val="none" w:sz="0" w:space="0" w:color="auto"/>
                <w:bottom w:val="none" w:sz="0" w:space="0" w:color="auto"/>
                <w:right w:val="none" w:sz="0" w:space="0" w:color="auto"/>
              </w:divBdr>
              <w:divsChild>
                <w:div w:id="1612542328">
                  <w:marLeft w:val="0"/>
                  <w:marRight w:val="0"/>
                  <w:marTop w:val="0"/>
                  <w:marBottom w:val="0"/>
                  <w:divBdr>
                    <w:top w:val="none" w:sz="0" w:space="0" w:color="auto"/>
                    <w:left w:val="none" w:sz="0" w:space="0" w:color="auto"/>
                    <w:bottom w:val="none" w:sz="0" w:space="0" w:color="auto"/>
                    <w:right w:val="none" w:sz="0" w:space="0" w:color="auto"/>
                  </w:divBdr>
                  <w:divsChild>
                    <w:div w:id="459570227">
                      <w:marLeft w:val="0"/>
                      <w:marRight w:val="0"/>
                      <w:marTop w:val="0"/>
                      <w:marBottom w:val="0"/>
                      <w:divBdr>
                        <w:top w:val="none" w:sz="0" w:space="0" w:color="auto"/>
                        <w:left w:val="none" w:sz="0" w:space="0" w:color="auto"/>
                        <w:bottom w:val="none" w:sz="0" w:space="0" w:color="auto"/>
                        <w:right w:val="none" w:sz="0" w:space="0" w:color="auto"/>
                      </w:divBdr>
                      <w:divsChild>
                        <w:div w:id="145682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372857">
          <w:marLeft w:val="0"/>
          <w:marRight w:val="0"/>
          <w:marTop w:val="0"/>
          <w:marBottom w:val="0"/>
          <w:divBdr>
            <w:top w:val="none" w:sz="0" w:space="0" w:color="auto"/>
            <w:left w:val="none" w:sz="0" w:space="0" w:color="auto"/>
            <w:bottom w:val="none" w:sz="0" w:space="0" w:color="auto"/>
            <w:right w:val="none" w:sz="0" w:space="0" w:color="auto"/>
          </w:divBdr>
          <w:divsChild>
            <w:div w:id="1250961932">
              <w:marLeft w:val="0"/>
              <w:marRight w:val="0"/>
              <w:marTop w:val="0"/>
              <w:marBottom w:val="0"/>
              <w:divBdr>
                <w:top w:val="none" w:sz="0" w:space="0" w:color="auto"/>
                <w:left w:val="none" w:sz="0" w:space="0" w:color="auto"/>
                <w:bottom w:val="none" w:sz="0" w:space="0" w:color="auto"/>
                <w:right w:val="none" w:sz="0" w:space="0" w:color="auto"/>
              </w:divBdr>
              <w:divsChild>
                <w:div w:id="779953156">
                  <w:marLeft w:val="0"/>
                  <w:marRight w:val="0"/>
                  <w:marTop w:val="0"/>
                  <w:marBottom w:val="0"/>
                  <w:divBdr>
                    <w:top w:val="none" w:sz="0" w:space="0" w:color="auto"/>
                    <w:left w:val="none" w:sz="0" w:space="0" w:color="auto"/>
                    <w:bottom w:val="none" w:sz="0" w:space="0" w:color="auto"/>
                    <w:right w:val="none" w:sz="0" w:space="0" w:color="auto"/>
                  </w:divBdr>
                  <w:divsChild>
                    <w:div w:id="1918436707">
                      <w:marLeft w:val="0"/>
                      <w:marRight w:val="0"/>
                      <w:marTop w:val="0"/>
                      <w:marBottom w:val="0"/>
                      <w:divBdr>
                        <w:top w:val="none" w:sz="0" w:space="0" w:color="auto"/>
                        <w:left w:val="none" w:sz="0" w:space="0" w:color="auto"/>
                        <w:bottom w:val="none" w:sz="0" w:space="0" w:color="auto"/>
                        <w:right w:val="none" w:sz="0" w:space="0" w:color="auto"/>
                      </w:divBdr>
                      <w:divsChild>
                        <w:div w:id="99765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558595">
              <w:marLeft w:val="0"/>
              <w:marRight w:val="0"/>
              <w:marTop w:val="0"/>
              <w:marBottom w:val="0"/>
              <w:divBdr>
                <w:top w:val="none" w:sz="0" w:space="0" w:color="auto"/>
                <w:left w:val="none" w:sz="0" w:space="0" w:color="auto"/>
                <w:bottom w:val="none" w:sz="0" w:space="0" w:color="auto"/>
                <w:right w:val="none" w:sz="0" w:space="0" w:color="auto"/>
              </w:divBdr>
              <w:divsChild>
                <w:div w:id="280191956">
                  <w:marLeft w:val="0"/>
                  <w:marRight w:val="0"/>
                  <w:marTop w:val="0"/>
                  <w:marBottom w:val="0"/>
                  <w:divBdr>
                    <w:top w:val="none" w:sz="0" w:space="0" w:color="auto"/>
                    <w:left w:val="none" w:sz="0" w:space="0" w:color="auto"/>
                    <w:bottom w:val="none" w:sz="0" w:space="0" w:color="auto"/>
                    <w:right w:val="none" w:sz="0" w:space="0" w:color="auto"/>
                  </w:divBdr>
                  <w:divsChild>
                    <w:div w:id="1753696648">
                      <w:marLeft w:val="0"/>
                      <w:marRight w:val="0"/>
                      <w:marTop w:val="0"/>
                      <w:marBottom w:val="0"/>
                      <w:divBdr>
                        <w:top w:val="none" w:sz="0" w:space="0" w:color="auto"/>
                        <w:left w:val="none" w:sz="0" w:space="0" w:color="auto"/>
                        <w:bottom w:val="none" w:sz="0" w:space="0" w:color="auto"/>
                        <w:right w:val="none" w:sz="0" w:space="0" w:color="auto"/>
                      </w:divBdr>
                      <w:divsChild>
                        <w:div w:id="6321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09613">
              <w:marLeft w:val="0"/>
              <w:marRight w:val="0"/>
              <w:marTop w:val="0"/>
              <w:marBottom w:val="0"/>
              <w:divBdr>
                <w:top w:val="none" w:sz="0" w:space="0" w:color="auto"/>
                <w:left w:val="none" w:sz="0" w:space="0" w:color="auto"/>
                <w:bottom w:val="none" w:sz="0" w:space="0" w:color="auto"/>
                <w:right w:val="none" w:sz="0" w:space="0" w:color="auto"/>
              </w:divBdr>
              <w:divsChild>
                <w:div w:id="935752494">
                  <w:marLeft w:val="0"/>
                  <w:marRight w:val="0"/>
                  <w:marTop w:val="0"/>
                  <w:marBottom w:val="0"/>
                  <w:divBdr>
                    <w:top w:val="none" w:sz="0" w:space="0" w:color="auto"/>
                    <w:left w:val="none" w:sz="0" w:space="0" w:color="auto"/>
                    <w:bottom w:val="none" w:sz="0" w:space="0" w:color="auto"/>
                    <w:right w:val="none" w:sz="0" w:space="0" w:color="auto"/>
                  </w:divBdr>
                  <w:divsChild>
                    <w:div w:id="34185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585326">
              <w:marLeft w:val="0"/>
              <w:marRight w:val="0"/>
              <w:marTop w:val="0"/>
              <w:marBottom w:val="0"/>
              <w:divBdr>
                <w:top w:val="none" w:sz="0" w:space="0" w:color="auto"/>
                <w:left w:val="none" w:sz="0" w:space="0" w:color="auto"/>
                <w:bottom w:val="none" w:sz="0" w:space="0" w:color="auto"/>
                <w:right w:val="none" w:sz="0" w:space="0" w:color="auto"/>
              </w:divBdr>
              <w:divsChild>
                <w:div w:id="1770009367">
                  <w:marLeft w:val="0"/>
                  <w:marRight w:val="0"/>
                  <w:marTop w:val="0"/>
                  <w:marBottom w:val="0"/>
                  <w:divBdr>
                    <w:top w:val="none" w:sz="0" w:space="0" w:color="auto"/>
                    <w:left w:val="none" w:sz="0" w:space="0" w:color="auto"/>
                    <w:bottom w:val="none" w:sz="0" w:space="0" w:color="auto"/>
                    <w:right w:val="none" w:sz="0" w:space="0" w:color="auto"/>
                  </w:divBdr>
                  <w:divsChild>
                    <w:div w:id="417365874">
                      <w:marLeft w:val="0"/>
                      <w:marRight w:val="0"/>
                      <w:marTop w:val="0"/>
                      <w:marBottom w:val="0"/>
                      <w:divBdr>
                        <w:top w:val="none" w:sz="0" w:space="0" w:color="auto"/>
                        <w:left w:val="none" w:sz="0" w:space="0" w:color="auto"/>
                        <w:bottom w:val="none" w:sz="0" w:space="0" w:color="auto"/>
                        <w:right w:val="none" w:sz="0" w:space="0" w:color="auto"/>
                      </w:divBdr>
                      <w:divsChild>
                        <w:div w:id="1551184740">
                          <w:marLeft w:val="0"/>
                          <w:marRight w:val="0"/>
                          <w:marTop w:val="0"/>
                          <w:marBottom w:val="0"/>
                          <w:divBdr>
                            <w:top w:val="none" w:sz="0" w:space="0" w:color="auto"/>
                            <w:left w:val="none" w:sz="0" w:space="0" w:color="auto"/>
                            <w:bottom w:val="none" w:sz="0" w:space="0" w:color="auto"/>
                            <w:right w:val="none" w:sz="0" w:space="0" w:color="auto"/>
                          </w:divBdr>
                          <w:divsChild>
                            <w:div w:id="1770202905">
                              <w:marLeft w:val="0"/>
                              <w:marRight w:val="0"/>
                              <w:marTop w:val="0"/>
                              <w:marBottom w:val="0"/>
                              <w:divBdr>
                                <w:top w:val="none" w:sz="0" w:space="0" w:color="auto"/>
                                <w:left w:val="none" w:sz="0" w:space="0" w:color="auto"/>
                                <w:bottom w:val="none" w:sz="0" w:space="0" w:color="auto"/>
                                <w:right w:val="none" w:sz="0" w:space="0" w:color="auto"/>
                              </w:divBdr>
                            </w:div>
                            <w:div w:id="183529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236388">
              <w:marLeft w:val="0"/>
              <w:marRight w:val="0"/>
              <w:marTop w:val="0"/>
              <w:marBottom w:val="0"/>
              <w:divBdr>
                <w:top w:val="none" w:sz="0" w:space="0" w:color="auto"/>
                <w:left w:val="none" w:sz="0" w:space="0" w:color="auto"/>
                <w:bottom w:val="none" w:sz="0" w:space="0" w:color="auto"/>
                <w:right w:val="none" w:sz="0" w:space="0" w:color="auto"/>
              </w:divBdr>
              <w:divsChild>
                <w:div w:id="1192915588">
                  <w:marLeft w:val="0"/>
                  <w:marRight w:val="0"/>
                  <w:marTop w:val="0"/>
                  <w:marBottom w:val="0"/>
                  <w:divBdr>
                    <w:top w:val="none" w:sz="0" w:space="0" w:color="auto"/>
                    <w:left w:val="none" w:sz="0" w:space="0" w:color="auto"/>
                    <w:bottom w:val="none" w:sz="0" w:space="0" w:color="auto"/>
                    <w:right w:val="none" w:sz="0" w:space="0" w:color="auto"/>
                  </w:divBdr>
                  <w:divsChild>
                    <w:div w:id="1685285767">
                      <w:marLeft w:val="0"/>
                      <w:marRight w:val="0"/>
                      <w:marTop w:val="0"/>
                      <w:marBottom w:val="0"/>
                      <w:divBdr>
                        <w:top w:val="none" w:sz="0" w:space="0" w:color="auto"/>
                        <w:left w:val="none" w:sz="0" w:space="0" w:color="auto"/>
                        <w:bottom w:val="none" w:sz="0" w:space="0" w:color="auto"/>
                        <w:right w:val="none" w:sz="0" w:space="0" w:color="auto"/>
                      </w:divBdr>
                      <w:divsChild>
                        <w:div w:id="132258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266694">
              <w:marLeft w:val="0"/>
              <w:marRight w:val="0"/>
              <w:marTop w:val="0"/>
              <w:marBottom w:val="0"/>
              <w:divBdr>
                <w:top w:val="none" w:sz="0" w:space="0" w:color="auto"/>
                <w:left w:val="none" w:sz="0" w:space="0" w:color="auto"/>
                <w:bottom w:val="none" w:sz="0" w:space="0" w:color="auto"/>
                <w:right w:val="none" w:sz="0" w:space="0" w:color="auto"/>
              </w:divBdr>
              <w:divsChild>
                <w:div w:id="778376865">
                  <w:marLeft w:val="0"/>
                  <w:marRight w:val="0"/>
                  <w:marTop w:val="0"/>
                  <w:marBottom w:val="0"/>
                  <w:divBdr>
                    <w:top w:val="none" w:sz="0" w:space="0" w:color="auto"/>
                    <w:left w:val="none" w:sz="0" w:space="0" w:color="auto"/>
                    <w:bottom w:val="none" w:sz="0" w:space="0" w:color="auto"/>
                    <w:right w:val="none" w:sz="0" w:space="0" w:color="auto"/>
                  </w:divBdr>
                  <w:divsChild>
                    <w:div w:id="302346676">
                      <w:marLeft w:val="0"/>
                      <w:marRight w:val="0"/>
                      <w:marTop w:val="0"/>
                      <w:marBottom w:val="0"/>
                      <w:divBdr>
                        <w:top w:val="none" w:sz="0" w:space="0" w:color="auto"/>
                        <w:left w:val="none" w:sz="0" w:space="0" w:color="auto"/>
                        <w:bottom w:val="none" w:sz="0" w:space="0" w:color="auto"/>
                        <w:right w:val="none" w:sz="0" w:space="0" w:color="auto"/>
                      </w:divBdr>
                      <w:divsChild>
                        <w:div w:id="71677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09538">
              <w:marLeft w:val="0"/>
              <w:marRight w:val="0"/>
              <w:marTop w:val="0"/>
              <w:marBottom w:val="0"/>
              <w:divBdr>
                <w:top w:val="none" w:sz="0" w:space="0" w:color="auto"/>
                <w:left w:val="none" w:sz="0" w:space="0" w:color="auto"/>
                <w:bottom w:val="none" w:sz="0" w:space="0" w:color="auto"/>
                <w:right w:val="none" w:sz="0" w:space="0" w:color="auto"/>
              </w:divBdr>
              <w:divsChild>
                <w:div w:id="804079396">
                  <w:marLeft w:val="0"/>
                  <w:marRight w:val="0"/>
                  <w:marTop w:val="0"/>
                  <w:marBottom w:val="0"/>
                  <w:divBdr>
                    <w:top w:val="none" w:sz="0" w:space="0" w:color="auto"/>
                    <w:left w:val="none" w:sz="0" w:space="0" w:color="auto"/>
                    <w:bottom w:val="none" w:sz="0" w:space="0" w:color="auto"/>
                    <w:right w:val="none" w:sz="0" w:space="0" w:color="auto"/>
                  </w:divBdr>
                  <w:divsChild>
                    <w:div w:id="181117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383161">
          <w:marLeft w:val="0"/>
          <w:marRight w:val="0"/>
          <w:marTop w:val="0"/>
          <w:marBottom w:val="0"/>
          <w:divBdr>
            <w:top w:val="none" w:sz="0" w:space="0" w:color="auto"/>
            <w:left w:val="none" w:sz="0" w:space="0" w:color="auto"/>
            <w:bottom w:val="none" w:sz="0" w:space="0" w:color="auto"/>
            <w:right w:val="none" w:sz="0" w:space="0" w:color="auto"/>
          </w:divBdr>
          <w:divsChild>
            <w:div w:id="301274363">
              <w:marLeft w:val="0"/>
              <w:marRight w:val="0"/>
              <w:marTop w:val="0"/>
              <w:marBottom w:val="0"/>
              <w:divBdr>
                <w:top w:val="none" w:sz="0" w:space="0" w:color="auto"/>
                <w:left w:val="none" w:sz="0" w:space="0" w:color="auto"/>
                <w:bottom w:val="none" w:sz="0" w:space="0" w:color="auto"/>
                <w:right w:val="none" w:sz="0" w:space="0" w:color="auto"/>
              </w:divBdr>
              <w:divsChild>
                <w:div w:id="1657032116">
                  <w:marLeft w:val="0"/>
                  <w:marRight w:val="0"/>
                  <w:marTop w:val="0"/>
                  <w:marBottom w:val="0"/>
                  <w:divBdr>
                    <w:top w:val="none" w:sz="0" w:space="0" w:color="auto"/>
                    <w:left w:val="none" w:sz="0" w:space="0" w:color="auto"/>
                    <w:bottom w:val="none" w:sz="0" w:space="0" w:color="auto"/>
                    <w:right w:val="none" w:sz="0" w:space="0" w:color="auto"/>
                  </w:divBdr>
                  <w:divsChild>
                    <w:div w:id="1181891464">
                      <w:marLeft w:val="0"/>
                      <w:marRight w:val="0"/>
                      <w:marTop w:val="0"/>
                      <w:marBottom w:val="0"/>
                      <w:divBdr>
                        <w:top w:val="none" w:sz="0" w:space="0" w:color="auto"/>
                        <w:left w:val="none" w:sz="0" w:space="0" w:color="auto"/>
                        <w:bottom w:val="none" w:sz="0" w:space="0" w:color="auto"/>
                        <w:right w:val="none" w:sz="0" w:space="0" w:color="auto"/>
                      </w:divBdr>
                      <w:divsChild>
                        <w:div w:id="142141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453291">
          <w:marLeft w:val="0"/>
          <w:marRight w:val="0"/>
          <w:marTop w:val="0"/>
          <w:marBottom w:val="0"/>
          <w:divBdr>
            <w:top w:val="none" w:sz="0" w:space="0" w:color="auto"/>
            <w:left w:val="none" w:sz="0" w:space="0" w:color="auto"/>
            <w:bottom w:val="none" w:sz="0" w:space="0" w:color="auto"/>
            <w:right w:val="none" w:sz="0" w:space="0" w:color="auto"/>
          </w:divBdr>
          <w:divsChild>
            <w:div w:id="2137212567">
              <w:marLeft w:val="0"/>
              <w:marRight w:val="0"/>
              <w:marTop w:val="0"/>
              <w:marBottom w:val="0"/>
              <w:divBdr>
                <w:top w:val="none" w:sz="0" w:space="0" w:color="auto"/>
                <w:left w:val="none" w:sz="0" w:space="0" w:color="auto"/>
                <w:bottom w:val="none" w:sz="0" w:space="0" w:color="auto"/>
                <w:right w:val="none" w:sz="0" w:space="0" w:color="auto"/>
              </w:divBdr>
              <w:divsChild>
                <w:div w:id="1459227242">
                  <w:marLeft w:val="0"/>
                  <w:marRight w:val="0"/>
                  <w:marTop w:val="0"/>
                  <w:marBottom w:val="0"/>
                  <w:divBdr>
                    <w:top w:val="none" w:sz="0" w:space="0" w:color="auto"/>
                    <w:left w:val="none" w:sz="0" w:space="0" w:color="auto"/>
                    <w:bottom w:val="none" w:sz="0" w:space="0" w:color="auto"/>
                    <w:right w:val="none" w:sz="0" w:space="0" w:color="auto"/>
                  </w:divBdr>
                  <w:divsChild>
                    <w:div w:id="808403738">
                      <w:marLeft w:val="0"/>
                      <w:marRight w:val="0"/>
                      <w:marTop w:val="0"/>
                      <w:marBottom w:val="0"/>
                      <w:divBdr>
                        <w:top w:val="none" w:sz="0" w:space="0" w:color="auto"/>
                        <w:left w:val="none" w:sz="0" w:space="0" w:color="auto"/>
                        <w:bottom w:val="none" w:sz="0" w:space="0" w:color="auto"/>
                        <w:right w:val="none" w:sz="0" w:space="0" w:color="auto"/>
                      </w:divBdr>
                      <w:divsChild>
                        <w:div w:id="83652544">
                          <w:marLeft w:val="0"/>
                          <w:marRight w:val="0"/>
                          <w:marTop w:val="0"/>
                          <w:marBottom w:val="0"/>
                          <w:divBdr>
                            <w:top w:val="none" w:sz="0" w:space="0" w:color="auto"/>
                            <w:left w:val="none" w:sz="0" w:space="0" w:color="auto"/>
                            <w:bottom w:val="none" w:sz="0" w:space="0" w:color="auto"/>
                            <w:right w:val="none" w:sz="0" w:space="0" w:color="auto"/>
                          </w:divBdr>
                          <w:divsChild>
                            <w:div w:id="267009132">
                              <w:marLeft w:val="0"/>
                              <w:marRight w:val="0"/>
                              <w:marTop w:val="0"/>
                              <w:marBottom w:val="0"/>
                              <w:divBdr>
                                <w:top w:val="none" w:sz="0" w:space="0" w:color="auto"/>
                                <w:left w:val="none" w:sz="0" w:space="0" w:color="auto"/>
                                <w:bottom w:val="none" w:sz="0" w:space="0" w:color="auto"/>
                                <w:right w:val="none" w:sz="0" w:space="0" w:color="auto"/>
                              </w:divBdr>
                              <w:divsChild>
                                <w:div w:id="474374847">
                                  <w:marLeft w:val="0"/>
                                  <w:marRight w:val="0"/>
                                  <w:marTop w:val="0"/>
                                  <w:marBottom w:val="0"/>
                                  <w:divBdr>
                                    <w:top w:val="none" w:sz="0" w:space="0" w:color="auto"/>
                                    <w:left w:val="none" w:sz="0" w:space="0" w:color="auto"/>
                                    <w:bottom w:val="none" w:sz="0" w:space="0" w:color="auto"/>
                                    <w:right w:val="none" w:sz="0" w:space="0" w:color="auto"/>
                                  </w:divBdr>
                                  <w:divsChild>
                                    <w:div w:id="1344938564">
                                      <w:marLeft w:val="0"/>
                                      <w:marRight w:val="0"/>
                                      <w:marTop w:val="0"/>
                                      <w:marBottom w:val="0"/>
                                      <w:divBdr>
                                        <w:top w:val="none" w:sz="0" w:space="0" w:color="auto"/>
                                        <w:left w:val="none" w:sz="0" w:space="0" w:color="auto"/>
                                        <w:bottom w:val="none" w:sz="0" w:space="0" w:color="auto"/>
                                        <w:right w:val="none" w:sz="0" w:space="0" w:color="auto"/>
                                      </w:divBdr>
                                      <w:divsChild>
                                        <w:div w:id="2134054302">
                                          <w:marLeft w:val="0"/>
                                          <w:marRight w:val="0"/>
                                          <w:marTop w:val="0"/>
                                          <w:marBottom w:val="0"/>
                                          <w:divBdr>
                                            <w:top w:val="none" w:sz="0" w:space="0" w:color="auto"/>
                                            <w:left w:val="none" w:sz="0" w:space="0" w:color="auto"/>
                                            <w:bottom w:val="none" w:sz="0" w:space="0" w:color="auto"/>
                                            <w:right w:val="none" w:sz="0" w:space="0" w:color="auto"/>
                                          </w:divBdr>
                                          <w:divsChild>
                                            <w:div w:id="140071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579884">
                                  <w:marLeft w:val="0"/>
                                  <w:marRight w:val="0"/>
                                  <w:marTop w:val="0"/>
                                  <w:marBottom w:val="0"/>
                                  <w:divBdr>
                                    <w:top w:val="none" w:sz="0" w:space="0" w:color="auto"/>
                                    <w:left w:val="none" w:sz="0" w:space="0" w:color="auto"/>
                                    <w:bottom w:val="none" w:sz="0" w:space="0" w:color="auto"/>
                                    <w:right w:val="none" w:sz="0" w:space="0" w:color="auto"/>
                                  </w:divBdr>
                                  <w:divsChild>
                                    <w:div w:id="1357461673">
                                      <w:marLeft w:val="0"/>
                                      <w:marRight w:val="0"/>
                                      <w:marTop w:val="0"/>
                                      <w:marBottom w:val="0"/>
                                      <w:divBdr>
                                        <w:top w:val="none" w:sz="0" w:space="0" w:color="auto"/>
                                        <w:left w:val="none" w:sz="0" w:space="0" w:color="auto"/>
                                        <w:bottom w:val="none" w:sz="0" w:space="0" w:color="auto"/>
                                        <w:right w:val="none" w:sz="0" w:space="0" w:color="auto"/>
                                      </w:divBdr>
                                      <w:divsChild>
                                        <w:div w:id="818421651">
                                          <w:marLeft w:val="0"/>
                                          <w:marRight w:val="0"/>
                                          <w:marTop w:val="0"/>
                                          <w:marBottom w:val="0"/>
                                          <w:divBdr>
                                            <w:top w:val="none" w:sz="0" w:space="0" w:color="auto"/>
                                            <w:left w:val="none" w:sz="0" w:space="0" w:color="auto"/>
                                            <w:bottom w:val="none" w:sz="0" w:space="0" w:color="auto"/>
                                            <w:right w:val="none" w:sz="0" w:space="0" w:color="auto"/>
                                          </w:divBdr>
                                          <w:divsChild>
                                            <w:div w:id="189392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06494">
                                  <w:marLeft w:val="0"/>
                                  <w:marRight w:val="0"/>
                                  <w:marTop w:val="0"/>
                                  <w:marBottom w:val="0"/>
                                  <w:divBdr>
                                    <w:top w:val="none" w:sz="0" w:space="0" w:color="auto"/>
                                    <w:left w:val="none" w:sz="0" w:space="0" w:color="auto"/>
                                    <w:bottom w:val="none" w:sz="0" w:space="0" w:color="auto"/>
                                    <w:right w:val="none" w:sz="0" w:space="0" w:color="auto"/>
                                  </w:divBdr>
                                  <w:divsChild>
                                    <w:div w:id="963658669">
                                      <w:marLeft w:val="0"/>
                                      <w:marRight w:val="0"/>
                                      <w:marTop w:val="0"/>
                                      <w:marBottom w:val="0"/>
                                      <w:divBdr>
                                        <w:top w:val="none" w:sz="0" w:space="0" w:color="auto"/>
                                        <w:left w:val="none" w:sz="0" w:space="0" w:color="auto"/>
                                        <w:bottom w:val="none" w:sz="0" w:space="0" w:color="auto"/>
                                        <w:right w:val="none" w:sz="0" w:space="0" w:color="auto"/>
                                      </w:divBdr>
                                      <w:divsChild>
                                        <w:div w:id="9263682">
                                          <w:marLeft w:val="0"/>
                                          <w:marRight w:val="0"/>
                                          <w:marTop w:val="0"/>
                                          <w:marBottom w:val="0"/>
                                          <w:divBdr>
                                            <w:top w:val="none" w:sz="0" w:space="0" w:color="auto"/>
                                            <w:left w:val="none" w:sz="0" w:space="0" w:color="auto"/>
                                            <w:bottom w:val="none" w:sz="0" w:space="0" w:color="auto"/>
                                            <w:right w:val="none" w:sz="0" w:space="0" w:color="auto"/>
                                          </w:divBdr>
                                          <w:divsChild>
                                            <w:div w:id="170637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506651">
                                  <w:marLeft w:val="0"/>
                                  <w:marRight w:val="0"/>
                                  <w:marTop w:val="0"/>
                                  <w:marBottom w:val="0"/>
                                  <w:divBdr>
                                    <w:top w:val="none" w:sz="0" w:space="0" w:color="auto"/>
                                    <w:left w:val="none" w:sz="0" w:space="0" w:color="auto"/>
                                    <w:bottom w:val="none" w:sz="0" w:space="0" w:color="auto"/>
                                    <w:right w:val="none" w:sz="0" w:space="0" w:color="auto"/>
                                  </w:divBdr>
                                  <w:divsChild>
                                    <w:div w:id="556085621">
                                      <w:marLeft w:val="0"/>
                                      <w:marRight w:val="0"/>
                                      <w:marTop w:val="0"/>
                                      <w:marBottom w:val="0"/>
                                      <w:divBdr>
                                        <w:top w:val="none" w:sz="0" w:space="0" w:color="auto"/>
                                        <w:left w:val="none" w:sz="0" w:space="0" w:color="auto"/>
                                        <w:bottom w:val="none" w:sz="0" w:space="0" w:color="auto"/>
                                        <w:right w:val="none" w:sz="0" w:space="0" w:color="auto"/>
                                      </w:divBdr>
                                      <w:divsChild>
                                        <w:div w:id="1520512711">
                                          <w:marLeft w:val="0"/>
                                          <w:marRight w:val="0"/>
                                          <w:marTop w:val="0"/>
                                          <w:marBottom w:val="0"/>
                                          <w:divBdr>
                                            <w:top w:val="none" w:sz="0" w:space="0" w:color="auto"/>
                                            <w:left w:val="none" w:sz="0" w:space="0" w:color="auto"/>
                                            <w:bottom w:val="none" w:sz="0" w:space="0" w:color="auto"/>
                                            <w:right w:val="none" w:sz="0" w:space="0" w:color="auto"/>
                                          </w:divBdr>
                                          <w:divsChild>
                                            <w:div w:id="4445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46355">
                              <w:marLeft w:val="0"/>
                              <w:marRight w:val="0"/>
                              <w:marTop w:val="0"/>
                              <w:marBottom w:val="0"/>
                              <w:divBdr>
                                <w:top w:val="none" w:sz="0" w:space="0" w:color="auto"/>
                                <w:left w:val="none" w:sz="0" w:space="0" w:color="auto"/>
                                <w:bottom w:val="none" w:sz="0" w:space="0" w:color="auto"/>
                                <w:right w:val="none" w:sz="0" w:space="0" w:color="auto"/>
                              </w:divBdr>
                              <w:divsChild>
                                <w:div w:id="336882548">
                                  <w:marLeft w:val="0"/>
                                  <w:marRight w:val="0"/>
                                  <w:marTop w:val="0"/>
                                  <w:marBottom w:val="0"/>
                                  <w:divBdr>
                                    <w:top w:val="none" w:sz="0" w:space="0" w:color="auto"/>
                                    <w:left w:val="none" w:sz="0" w:space="0" w:color="auto"/>
                                    <w:bottom w:val="none" w:sz="0" w:space="0" w:color="auto"/>
                                    <w:right w:val="none" w:sz="0" w:space="0" w:color="auto"/>
                                  </w:divBdr>
                                  <w:divsChild>
                                    <w:div w:id="1990791476">
                                      <w:marLeft w:val="0"/>
                                      <w:marRight w:val="0"/>
                                      <w:marTop w:val="0"/>
                                      <w:marBottom w:val="0"/>
                                      <w:divBdr>
                                        <w:top w:val="none" w:sz="0" w:space="0" w:color="auto"/>
                                        <w:left w:val="none" w:sz="0" w:space="0" w:color="auto"/>
                                        <w:bottom w:val="none" w:sz="0" w:space="0" w:color="auto"/>
                                        <w:right w:val="none" w:sz="0" w:space="0" w:color="auto"/>
                                      </w:divBdr>
                                      <w:divsChild>
                                        <w:div w:id="1416442409">
                                          <w:marLeft w:val="0"/>
                                          <w:marRight w:val="0"/>
                                          <w:marTop w:val="0"/>
                                          <w:marBottom w:val="0"/>
                                          <w:divBdr>
                                            <w:top w:val="none" w:sz="0" w:space="0" w:color="auto"/>
                                            <w:left w:val="none" w:sz="0" w:space="0" w:color="auto"/>
                                            <w:bottom w:val="none" w:sz="0" w:space="0" w:color="auto"/>
                                            <w:right w:val="none" w:sz="0" w:space="0" w:color="auto"/>
                                          </w:divBdr>
                                          <w:divsChild>
                                            <w:div w:id="12177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3839">
                                  <w:marLeft w:val="0"/>
                                  <w:marRight w:val="0"/>
                                  <w:marTop w:val="0"/>
                                  <w:marBottom w:val="0"/>
                                  <w:divBdr>
                                    <w:top w:val="none" w:sz="0" w:space="0" w:color="auto"/>
                                    <w:left w:val="none" w:sz="0" w:space="0" w:color="auto"/>
                                    <w:bottom w:val="none" w:sz="0" w:space="0" w:color="auto"/>
                                    <w:right w:val="none" w:sz="0" w:space="0" w:color="auto"/>
                                  </w:divBdr>
                                  <w:divsChild>
                                    <w:div w:id="836457901">
                                      <w:marLeft w:val="0"/>
                                      <w:marRight w:val="0"/>
                                      <w:marTop w:val="0"/>
                                      <w:marBottom w:val="0"/>
                                      <w:divBdr>
                                        <w:top w:val="none" w:sz="0" w:space="0" w:color="auto"/>
                                        <w:left w:val="none" w:sz="0" w:space="0" w:color="auto"/>
                                        <w:bottom w:val="none" w:sz="0" w:space="0" w:color="auto"/>
                                        <w:right w:val="none" w:sz="0" w:space="0" w:color="auto"/>
                                      </w:divBdr>
                                      <w:divsChild>
                                        <w:div w:id="630328409">
                                          <w:marLeft w:val="0"/>
                                          <w:marRight w:val="0"/>
                                          <w:marTop w:val="0"/>
                                          <w:marBottom w:val="0"/>
                                          <w:divBdr>
                                            <w:top w:val="none" w:sz="0" w:space="0" w:color="auto"/>
                                            <w:left w:val="none" w:sz="0" w:space="0" w:color="auto"/>
                                            <w:bottom w:val="none" w:sz="0" w:space="0" w:color="auto"/>
                                            <w:right w:val="none" w:sz="0" w:space="0" w:color="auto"/>
                                          </w:divBdr>
                                          <w:divsChild>
                                            <w:div w:id="155130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796010">
                                  <w:marLeft w:val="0"/>
                                  <w:marRight w:val="0"/>
                                  <w:marTop w:val="0"/>
                                  <w:marBottom w:val="0"/>
                                  <w:divBdr>
                                    <w:top w:val="none" w:sz="0" w:space="0" w:color="auto"/>
                                    <w:left w:val="none" w:sz="0" w:space="0" w:color="auto"/>
                                    <w:bottom w:val="none" w:sz="0" w:space="0" w:color="auto"/>
                                    <w:right w:val="none" w:sz="0" w:space="0" w:color="auto"/>
                                  </w:divBdr>
                                  <w:divsChild>
                                    <w:div w:id="1319000535">
                                      <w:marLeft w:val="0"/>
                                      <w:marRight w:val="0"/>
                                      <w:marTop w:val="0"/>
                                      <w:marBottom w:val="0"/>
                                      <w:divBdr>
                                        <w:top w:val="none" w:sz="0" w:space="0" w:color="auto"/>
                                        <w:left w:val="none" w:sz="0" w:space="0" w:color="auto"/>
                                        <w:bottom w:val="none" w:sz="0" w:space="0" w:color="auto"/>
                                        <w:right w:val="none" w:sz="0" w:space="0" w:color="auto"/>
                                      </w:divBdr>
                                      <w:divsChild>
                                        <w:div w:id="717045466">
                                          <w:marLeft w:val="0"/>
                                          <w:marRight w:val="0"/>
                                          <w:marTop w:val="0"/>
                                          <w:marBottom w:val="0"/>
                                          <w:divBdr>
                                            <w:top w:val="none" w:sz="0" w:space="0" w:color="auto"/>
                                            <w:left w:val="none" w:sz="0" w:space="0" w:color="auto"/>
                                            <w:bottom w:val="none" w:sz="0" w:space="0" w:color="auto"/>
                                            <w:right w:val="none" w:sz="0" w:space="0" w:color="auto"/>
                                          </w:divBdr>
                                          <w:divsChild>
                                            <w:div w:id="6495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7366258">
          <w:marLeft w:val="0"/>
          <w:marRight w:val="0"/>
          <w:marTop w:val="0"/>
          <w:marBottom w:val="0"/>
          <w:divBdr>
            <w:top w:val="none" w:sz="0" w:space="0" w:color="auto"/>
            <w:left w:val="none" w:sz="0" w:space="0" w:color="auto"/>
            <w:bottom w:val="none" w:sz="0" w:space="0" w:color="auto"/>
            <w:right w:val="none" w:sz="0" w:space="0" w:color="auto"/>
          </w:divBdr>
          <w:divsChild>
            <w:div w:id="595670534">
              <w:marLeft w:val="0"/>
              <w:marRight w:val="0"/>
              <w:marTop w:val="0"/>
              <w:marBottom w:val="0"/>
              <w:divBdr>
                <w:top w:val="none" w:sz="0" w:space="0" w:color="auto"/>
                <w:left w:val="none" w:sz="0" w:space="0" w:color="auto"/>
                <w:bottom w:val="none" w:sz="0" w:space="0" w:color="auto"/>
                <w:right w:val="none" w:sz="0" w:space="0" w:color="auto"/>
              </w:divBdr>
              <w:divsChild>
                <w:div w:id="2142994015">
                  <w:marLeft w:val="0"/>
                  <w:marRight w:val="0"/>
                  <w:marTop w:val="0"/>
                  <w:marBottom w:val="0"/>
                  <w:divBdr>
                    <w:top w:val="none" w:sz="0" w:space="0" w:color="auto"/>
                    <w:left w:val="none" w:sz="0" w:space="0" w:color="auto"/>
                    <w:bottom w:val="none" w:sz="0" w:space="0" w:color="auto"/>
                    <w:right w:val="none" w:sz="0" w:space="0" w:color="auto"/>
                  </w:divBdr>
                  <w:divsChild>
                    <w:div w:id="119081301">
                      <w:marLeft w:val="0"/>
                      <w:marRight w:val="0"/>
                      <w:marTop w:val="0"/>
                      <w:marBottom w:val="0"/>
                      <w:divBdr>
                        <w:top w:val="none" w:sz="0" w:space="0" w:color="auto"/>
                        <w:left w:val="none" w:sz="0" w:space="0" w:color="auto"/>
                        <w:bottom w:val="none" w:sz="0" w:space="0" w:color="auto"/>
                        <w:right w:val="none" w:sz="0" w:space="0" w:color="auto"/>
                      </w:divBdr>
                    </w:div>
                    <w:div w:id="1163424172">
                      <w:marLeft w:val="0"/>
                      <w:marRight w:val="0"/>
                      <w:marTop w:val="0"/>
                      <w:marBottom w:val="0"/>
                      <w:divBdr>
                        <w:top w:val="none" w:sz="0" w:space="0" w:color="auto"/>
                        <w:left w:val="none" w:sz="0" w:space="0" w:color="auto"/>
                        <w:bottom w:val="none" w:sz="0" w:space="0" w:color="auto"/>
                        <w:right w:val="none" w:sz="0" w:space="0" w:color="auto"/>
                      </w:divBdr>
                      <w:divsChild>
                        <w:div w:id="21031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522309">
          <w:marLeft w:val="0"/>
          <w:marRight w:val="0"/>
          <w:marTop w:val="0"/>
          <w:marBottom w:val="0"/>
          <w:divBdr>
            <w:top w:val="none" w:sz="0" w:space="0" w:color="auto"/>
            <w:left w:val="none" w:sz="0" w:space="0" w:color="auto"/>
            <w:bottom w:val="none" w:sz="0" w:space="0" w:color="auto"/>
            <w:right w:val="none" w:sz="0" w:space="0" w:color="auto"/>
          </w:divBdr>
          <w:divsChild>
            <w:div w:id="1300107286">
              <w:marLeft w:val="0"/>
              <w:marRight w:val="0"/>
              <w:marTop w:val="0"/>
              <w:marBottom w:val="0"/>
              <w:divBdr>
                <w:top w:val="none" w:sz="0" w:space="0" w:color="auto"/>
                <w:left w:val="none" w:sz="0" w:space="0" w:color="auto"/>
                <w:bottom w:val="none" w:sz="0" w:space="0" w:color="auto"/>
                <w:right w:val="none" w:sz="0" w:space="0" w:color="auto"/>
              </w:divBdr>
              <w:divsChild>
                <w:div w:id="498934121">
                  <w:marLeft w:val="0"/>
                  <w:marRight w:val="0"/>
                  <w:marTop w:val="0"/>
                  <w:marBottom w:val="0"/>
                  <w:divBdr>
                    <w:top w:val="none" w:sz="0" w:space="0" w:color="auto"/>
                    <w:left w:val="none" w:sz="0" w:space="0" w:color="auto"/>
                    <w:bottom w:val="none" w:sz="0" w:space="0" w:color="auto"/>
                    <w:right w:val="none" w:sz="0" w:space="0" w:color="auto"/>
                  </w:divBdr>
                  <w:divsChild>
                    <w:div w:id="1884562725">
                      <w:marLeft w:val="0"/>
                      <w:marRight w:val="0"/>
                      <w:marTop w:val="0"/>
                      <w:marBottom w:val="0"/>
                      <w:divBdr>
                        <w:top w:val="none" w:sz="0" w:space="0" w:color="auto"/>
                        <w:left w:val="none" w:sz="0" w:space="0" w:color="auto"/>
                        <w:bottom w:val="none" w:sz="0" w:space="0" w:color="auto"/>
                        <w:right w:val="none" w:sz="0" w:space="0" w:color="auto"/>
                      </w:divBdr>
                      <w:divsChild>
                        <w:div w:id="123774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636628">
          <w:marLeft w:val="0"/>
          <w:marRight w:val="0"/>
          <w:marTop w:val="0"/>
          <w:marBottom w:val="0"/>
          <w:divBdr>
            <w:top w:val="none" w:sz="0" w:space="0" w:color="auto"/>
            <w:left w:val="none" w:sz="0" w:space="0" w:color="auto"/>
            <w:bottom w:val="none" w:sz="0" w:space="0" w:color="auto"/>
            <w:right w:val="none" w:sz="0" w:space="0" w:color="auto"/>
          </w:divBdr>
          <w:divsChild>
            <w:div w:id="937325546">
              <w:marLeft w:val="0"/>
              <w:marRight w:val="0"/>
              <w:marTop w:val="0"/>
              <w:marBottom w:val="0"/>
              <w:divBdr>
                <w:top w:val="none" w:sz="0" w:space="0" w:color="auto"/>
                <w:left w:val="none" w:sz="0" w:space="0" w:color="auto"/>
                <w:bottom w:val="none" w:sz="0" w:space="0" w:color="auto"/>
                <w:right w:val="none" w:sz="0" w:space="0" w:color="auto"/>
              </w:divBdr>
              <w:divsChild>
                <w:div w:id="1687512811">
                  <w:marLeft w:val="0"/>
                  <w:marRight w:val="0"/>
                  <w:marTop w:val="0"/>
                  <w:marBottom w:val="0"/>
                  <w:divBdr>
                    <w:top w:val="none" w:sz="0" w:space="0" w:color="auto"/>
                    <w:left w:val="none" w:sz="0" w:space="0" w:color="auto"/>
                    <w:bottom w:val="none" w:sz="0" w:space="0" w:color="auto"/>
                    <w:right w:val="none" w:sz="0" w:space="0" w:color="auto"/>
                  </w:divBdr>
                  <w:divsChild>
                    <w:div w:id="49355159">
                      <w:marLeft w:val="0"/>
                      <w:marRight w:val="0"/>
                      <w:marTop w:val="0"/>
                      <w:marBottom w:val="0"/>
                      <w:divBdr>
                        <w:top w:val="none" w:sz="0" w:space="0" w:color="auto"/>
                        <w:left w:val="none" w:sz="0" w:space="0" w:color="auto"/>
                        <w:bottom w:val="none" w:sz="0" w:space="0" w:color="auto"/>
                        <w:right w:val="none" w:sz="0" w:space="0" w:color="auto"/>
                      </w:divBdr>
                      <w:divsChild>
                        <w:div w:id="1325815007">
                          <w:marLeft w:val="0"/>
                          <w:marRight w:val="0"/>
                          <w:marTop w:val="0"/>
                          <w:marBottom w:val="0"/>
                          <w:divBdr>
                            <w:top w:val="none" w:sz="0" w:space="0" w:color="auto"/>
                            <w:left w:val="none" w:sz="0" w:space="0" w:color="auto"/>
                            <w:bottom w:val="none" w:sz="0" w:space="0" w:color="auto"/>
                            <w:right w:val="none" w:sz="0" w:space="0" w:color="auto"/>
                          </w:divBdr>
                          <w:divsChild>
                            <w:div w:id="5474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01028">
                      <w:marLeft w:val="0"/>
                      <w:marRight w:val="0"/>
                      <w:marTop w:val="0"/>
                      <w:marBottom w:val="0"/>
                      <w:divBdr>
                        <w:top w:val="none" w:sz="0" w:space="0" w:color="auto"/>
                        <w:left w:val="none" w:sz="0" w:space="0" w:color="auto"/>
                        <w:bottom w:val="none" w:sz="0" w:space="0" w:color="auto"/>
                        <w:right w:val="none" w:sz="0" w:space="0" w:color="auto"/>
                      </w:divBdr>
                      <w:divsChild>
                        <w:div w:id="1607031371">
                          <w:marLeft w:val="0"/>
                          <w:marRight w:val="0"/>
                          <w:marTop w:val="0"/>
                          <w:marBottom w:val="0"/>
                          <w:divBdr>
                            <w:top w:val="none" w:sz="0" w:space="0" w:color="auto"/>
                            <w:left w:val="none" w:sz="0" w:space="0" w:color="auto"/>
                            <w:bottom w:val="none" w:sz="0" w:space="0" w:color="auto"/>
                            <w:right w:val="none" w:sz="0" w:space="0" w:color="auto"/>
                          </w:divBdr>
                          <w:divsChild>
                            <w:div w:id="101838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762947">
                  <w:marLeft w:val="0"/>
                  <w:marRight w:val="0"/>
                  <w:marTop w:val="0"/>
                  <w:marBottom w:val="0"/>
                  <w:divBdr>
                    <w:top w:val="none" w:sz="0" w:space="0" w:color="auto"/>
                    <w:left w:val="none" w:sz="0" w:space="0" w:color="auto"/>
                    <w:bottom w:val="none" w:sz="0" w:space="0" w:color="auto"/>
                    <w:right w:val="none" w:sz="0" w:space="0" w:color="auto"/>
                  </w:divBdr>
                  <w:divsChild>
                    <w:div w:id="1543635660">
                      <w:marLeft w:val="0"/>
                      <w:marRight w:val="0"/>
                      <w:marTop w:val="0"/>
                      <w:marBottom w:val="0"/>
                      <w:divBdr>
                        <w:top w:val="none" w:sz="0" w:space="0" w:color="auto"/>
                        <w:left w:val="none" w:sz="0" w:space="0" w:color="auto"/>
                        <w:bottom w:val="none" w:sz="0" w:space="0" w:color="auto"/>
                        <w:right w:val="none" w:sz="0" w:space="0" w:color="auto"/>
                      </w:divBdr>
                      <w:divsChild>
                        <w:div w:id="1672025225">
                          <w:marLeft w:val="0"/>
                          <w:marRight w:val="0"/>
                          <w:marTop w:val="0"/>
                          <w:marBottom w:val="0"/>
                          <w:divBdr>
                            <w:top w:val="none" w:sz="0" w:space="0" w:color="auto"/>
                            <w:left w:val="none" w:sz="0" w:space="0" w:color="auto"/>
                            <w:bottom w:val="none" w:sz="0" w:space="0" w:color="auto"/>
                            <w:right w:val="none" w:sz="0" w:space="0" w:color="auto"/>
                          </w:divBdr>
                          <w:divsChild>
                            <w:div w:id="1735004297">
                              <w:marLeft w:val="0"/>
                              <w:marRight w:val="0"/>
                              <w:marTop w:val="0"/>
                              <w:marBottom w:val="0"/>
                              <w:divBdr>
                                <w:top w:val="none" w:sz="0" w:space="0" w:color="auto"/>
                                <w:left w:val="none" w:sz="0" w:space="0" w:color="auto"/>
                                <w:bottom w:val="none" w:sz="0" w:space="0" w:color="auto"/>
                                <w:right w:val="none" w:sz="0" w:space="0" w:color="auto"/>
                              </w:divBdr>
                            </w:div>
                            <w:div w:id="1806267266">
                              <w:marLeft w:val="0"/>
                              <w:marRight w:val="0"/>
                              <w:marTop w:val="0"/>
                              <w:marBottom w:val="0"/>
                              <w:divBdr>
                                <w:top w:val="none" w:sz="0" w:space="0" w:color="auto"/>
                                <w:left w:val="none" w:sz="0" w:space="0" w:color="auto"/>
                                <w:bottom w:val="none" w:sz="0" w:space="0" w:color="auto"/>
                                <w:right w:val="none" w:sz="0" w:space="0" w:color="auto"/>
                              </w:divBdr>
                              <w:divsChild>
                                <w:div w:id="146469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107663">
                      <w:marLeft w:val="0"/>
                      <w:marRight w:val="0"/>
                      <w:marTop w:val="0"/>
                      <w:marBottom w:val="0"/>
                      <w:divBdr>
                        <w:top w:val="none" w:sz="0" w:space="0" w:color="auto"/>
                        <w:left w:val="none" w:sz="0" w:space="0" w:color="auto"/>
                        <w:bottom w:val="none" w:sz="0" w:space="0" w:color="auto"/>
                        <w:right w:val="none" w:sz="0" w:space="0" w:color="auto"/>
                      </w:divBdr>
                      <w:divsChild>
                        <w:div w:id="2142965779">
                          <w:marLeft w:val="0"/>
                          <w:marRight w:val="0"/>
                          <w:marTop w:val="0"/>
                          <w:marBottom w:val="0"/>
                          <w:divBdr>
                            <w:top w:val="none" w:sz="0" w:space="0" w:color="auto"/>
                            <w:left w:val="none" w:sz="0" w:space="0" w:color="auto"/>
                            <w:bottom w:val="none" w:sz="0" w:space="0" w:color="auto"/>
                            <w:right w:val="none" w:sz="0" w:space="0" w:color="auto"/>
                          </w:divBdr>
                          <w:divsChild>
                            <w:div w:id="1523128013">
                              <w:marLeft w:val="0"/>
                              <w:marRight w:val="0"/>
                              <w:marTop w:val="0"/>
                              <w:marBottom w:val="0"/>
                              <w:divBdr>
                                <w:top w:val="none" w:sz="0" w:space="0" w:color="auto"/>
                                <w:left w:val="none" w:sz="0" w:space="0" w:color="auto"/>
                                <w:bottom w:val="none" w:sz="0" w:space="0" w:color="auto"/>
                                <w:right w:val="none" w:sz="0" w:space="0" w:color="auto"/>
                              </w:divBdr>
                            </w:div>
                            <w:div w:id="1133254531">
                              <w:marLeft w:val="0"/>
                              <w:marRight w:val="0"/>
                              <w:marTop w:val="0"/>
                              <w:marBottom w:val="0"/>
                              <w:divBdr>
                                <w:top w:val="none" w:sz="0" w:space="0" w:color="auto"/>
                                <w:left w:val="none" w:sz="0" w:space="0" w:color="auto"/>
                                <w:bottom w:val="none" w:sz="0" w:space="0" w:color="auto"/>
                                <w:right w:val="none" w:sz="0" w:space="0" w:color="auto"/>
                              </w:divBdr>
                              <w:divsChild>
                                <w:div w:id="137962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250659">
          <w:marLeft w:val="0"/>
          <w:marRight w:val="0"/>
          <w:marTop w:val="0"/>
          <w:marBottom w:val="0"/>
          <w:divBdr>
            <w:top w:val="none" w:sz="0" w:space="0" w:color="auto"/>
            <w:left w:val="none" w:sz="0" w:space="0" w:color="auto"/>
            <w:bottom w:val="none" w:sz="0" w:space="0" w:color="auto"/>
            <w:right w:val="none" w:sz="0" w:space="0" w:color="auto"/>
          </w:divBdr>
          <w:divsChild>
            <w:div w:id="1130628134">
              <w:marLeft w:val="0"/>
              <w:marRight w:val="0"/>
              <w:marTop w:val="0"/>
              <w:marBottom w:val="0"/>
              <w:divBdr>
                <w:top w:val="none" w:sz="0" w:space="0" w:color="auto"/>
                <w:left w:val="none" w:sz="0" w:space="0" w:color="auto"/>
                <w:bottom w:val="none" w:sz="0" w:space="0" w:color="auto"/>
                <w:right w:val="none" w:sz="0" w:space="0" w:color="auto"/>
              </w:divBdr>
              <w:divsChild>
                <w:div w:id="2082369799">
                  <w:marLeft w:val="0"/>
                  <w:marRight w:val="0"/>
                  <w:marTop w:val="0"/>
                  <w:marBottom w:val="0"/>
                  <w:divBdr>
                    <w:top w:val="none" w:sz="0" w:space="0" w:color="auto"/>
                    <w:left w:val="none" w:sz="0" w:space="0" w:color="auto"/>
                    <w:bottom w:val="none" w:sz="0" w:space="0" w:color="auto"/>
                    <w:right w:val="none" w:sz="0" w:space="0" w:color="auto"/>
                  </w:divBdr>
                  <w:divsChild>
                    <w:div w:id="647246801">
                      <w:marLeft w:val="0"/>
                      <w:marRight w:val="0"/>
                      <w:marTop w:val="0"/>
                      <w:marBottom w:val="0"/>
                      <w:divBdr>
                        <w:top w:val="none" w:sz="0" w:space="0" w:color="auto"/>
                        <w:left w:val="none" w:sz="0" w:space="0" w:color="auto"/>
                        <w:bottom w:val="none" w:sz="0" w:space="0" w:color="auto"/>
                        <w:right w:val="none" w:sz="0" w:space="0" w:color="auto"/>
                      </w:divBdr>
                      <w:divsChild>
                        <w:div w:id="1345093151">
                          <w:marLeft w:val="0"/>
                          <w:marRight w:val="0"/>
                          <w:marTop w:val="0"/>
                          <w:marBottom w:val="0"/>
                          <w:divBdr>
                            <w:top w:val="none" w:sz="0" w:space="0" w:color="auto"/>
                            <w:left w:val="none" w:sz="0" w:space="0" w:color="auto"/>
                            <w:bottom w:val="none" w:sz="0" w:space="0" w:color="auto"/>
                            <w:right w:val="none" w:sz="0" w:space="0" w:color="auto"/>
                          </w:divBdr>
                          <w:divsChild>
                            <w:div w:id="2063362125">
                              <w:marLeft w:val="0"/>
                              <w:marRight w:val="0"/>
                              <w:marTop w:val="0"/>
                              <w:marBottom w:val="0"/>
                              <w:divBdr>
                                <w:top w:val="none" w:sz="0" w:space="0" w:color="auto"/>
                                <w:left w:val="none" w:sz="0" w:space="0" w:color="auto"/>
                                <w:bottom w:val="none" w:sz="0" w:space="0" w:color="auto"/>
                                <w:right w:val="none" w:sz="0" w:space="0" w:color="auto"/>
                              </w:divBdr>
                              <w:divsChild>
                                <w:div w:id="82147867">
                                  <w:marLeft w:val="0"/>
                                  <w:marRight w:val="0"/>
                                  <w:marTop w:val="0"/>
                                  <w:marBottom w:val="0"/>
                                  <w:divBdr>
                                    <w:top w:val="none" w:sz="0" w:space="0" w:color="auto"/>
                                    <w:left w:val="none" w:sz="0" w:space="0" w:color="auto"/>
                                    <w:bottom w:val="none" w:sz="0" w:space="0" w:color="auto"/>
                                    <w:right w:val="none" w:sz="0" w:space="0" w:color="auto"/>
                                  </w:divBdr>
                                </w:div>
                              </w:divsChild>
                            </w:div>
                            <w:div w:id="2930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535047811">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46028054">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5430320B558402197BDE76FF69298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Nr_x002e__x0020_akti>
    <Data_x0020_e_x0020_Krijimit xmlns="0e656187-b300-4fb0-8bf4-3a50f872073c">2024-07-23T07:59:05Z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Pushim procedimi penal. E drejta e jetes ne aspektin substancial dhe procedural.</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2024-07-22T00:00:00Z</Date_x0020_protokolli>
    <Titulli xmlns="0e656187-b300-4fb0-8bf4-3a50f872073c">Shfuqizimi i vendimeve nr. 1195 akti, datë 15.12.2017 të Gjykatës së Rrethit Gjyqësor Tiranë; nr. 183, datë 01.02.2018 të Gjykatës së Apelit Tiranë; nr. 00-2023-1151, datë 03.07.2023 të Kolegjit Penal të Gjykatës së Lartë, si të papajtueshme me Kushtetutën e Republikës së Shqipërisë. </Titulli>
    <Modifikuesi xmlns="0e656187-b300-4fb0-8bf4-3a50f872073c">Fjora.Cahani</Modifikuesi>
    <Nr_x002e__x0020_prot_x0020_QBZ xmlns="0e656187-b300-4fb0-8bf4-3a50f872073c">1292/1</Nr_x002e__x0020_prot_x0020_QBZ>
    <Data_x0020_e_x0020_Modifikimit xmlns="0e656187-b300-4fb0-8bf4-3a50f872073c">2024-07-23T11:20:40Z</Data_x0020_e_x0020_Modifikimit>
    <Dekretuar xmlns="0e656187-b300-4fb0-8bf4-3a50f872073c">false</Dekretuar>
    <Data xmlns="0e656187-b300-4fb0-8bf4-3a50f872073c">2024-06-20T00:00:00Z</Data>
    <Nr_x002e__x0020_protokolli_x0020_i_x0020_aktit xmlns="0e656187-b300-4fb0-8bf4-3a50f872073c">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5430320B558402197BDE76FF69298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80F9A-18D5-420F-9122-5CD446D3425A}">
  <ds:schemaRefs>
    <ds:schemaRef ds:uri="http://schemas.microsoft.com/sharepoint/v3/contenttype/forms"/>
  </ds:schemaRefs>
</ds:datastoreItem>
</file>

<file path=customXml/itemProps2.xml><?xml version="1.0" encoding="utf-8"?>
<ds:datastoreItem xmlns:ds="http://schemas.openxmlformats.org/officeDocument/2006/customXml" ds:itemID="{B5C6A92F-5E02-4B10-8368-9B254435D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3288B91-8138-421D-90B9-42C82C73458B}">
  <ds:schemaRefs>
    <ds:schemaRef ds:uri="http://purl.org/dc/elements/1.1/"/>
    <ds:schemaRef ds:uri="http://purl.org/dc/dcmitype/"/>
    <ds:schemaRef ds:uri="http://schemas.microsoft.com/office/2006/documentManagement/types"/>
    <ds:schemaRef ds:uri="http://purl.org/dc/terms/"/>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E3F21D4-3BEF-4205-B155-E451B4A7F959}">
  <ds:schemaRefs>
    <ds:schemaRef ds:uri="http://schemas.microsoft.com/sharepoint/v3/contenttype/forms"/>
  </ds:schemaRefs>
</ds:datastoreItem>
</file>

<file path=customXml/itemProps5.xml><?xml version="1.0" encoding="utf-8"?>
<ds:datastoreItem xmlns:ds="http://schemas.openxmlformats.org/officeDocument/2006/customXml" ds:itemID="{5470ED58-9140-4C30-998B-A91078A4D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214DE8C-AB79-4B66-82DF-925A208F3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16</Pages>
  <Words>10039</Words>
  <Characters>57227</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Shfuqizimi i vendimeve nr. 1195 akti, datë 15.12.2017 të Gjykatës së Rrethit Gjyqësor Tiranë; nr. 183, datë 01.02.2018 të Gjykatës së Apelit Tiranë; nr. 00-2023-1151, datë 03.07.2023 të Kolegjit Penal të Gjykatës së Lartë, si të papajtueshme me Kushtetutë</vt:lpstr>
    </vt:vector>
  </TitlesOfParts>
  <Company>User</Company>
  <LinksUpToDate>false</LinksUpToDate>
  <CharactersWithSpaces>67132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1195 akti, datë 15.12.2017 të Gjykatës së Rrethit Gjyqësor Tiranë; nr. 183, datë 01.02.2018 të Gjykatës së Apelit Tiranë; nr. 00-2023-1151, datë 03.07.2023 të Kolegjit Penal të Gjykatës së Lartë, si të papajtueshme me Kushtetutën e Republikës së Shqipërisë.</dc:title>
  <dc:subject>Dt. 20.06.2024</dc:subject>
  <dc:creator>Elsa TOSKA</dc:creator>
  <cp:keywords>Brunilda BARA</cp:keywords>
  <dc:description>Pushim procedimi penal. E drejta e jetes ne aspektin substancial dhe procedural.</dc:description>
  <cp:lastModifiedBy>Entela Suli</cp:lastModifiedBy>
  <cp:revision>13</cp:revision>
  <cp:lastPrinted>2023-10-20T07:34:00Z</cp:lastPrinted>
  <dcterms:created xsi:type="dcterms:W3CDTF">2024-07-23T06:53:00Z</dcterms:created>
  <dcterms:modified xsi:type="dcterms:W3CDTF">2024-07-24T09:10:00Z</dcterms:modified>
  <cp:category>Penale</cp:category>
</cp:coreProperties>
</file>