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A521A" w14:textId="35E630D2"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VENDIM</w:t>
      </w:r>
    </w:p>
    <w:p w14:paraId="313C6312" w14:textId="411A1578"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Nr.</w:t>
      </w:r>
      <w:r w:rsidR="005B6DAC">
        <w:rPr>
          <w:rFonts w:ascii="Garamond" w:hAnsi="Garamond" w:cs="Times New Roman"/>
          <w:b/>
          <w:bCs/>
          <w:color w:val="000000"/>
          <w:sz w:val="24"/>
          <w:szCs w:val="24"/>
        </w:rPr>
        <w:t xml:space="preserve"> </w:t>
      </w:r>
      <w:r w:rsidRPr="00CF7C71">
        <w:rPr>
          <w:rFonts w:ascii="Garamond" w:hAnsi="Garamond" w:cs="Times New Roman"/>
          <w:b/>
          <w:bCs/>
          <w:color w:val="000000"/>
          <w:sz w:val="24"/>
          <w:szCs w:val="24"/>
        </w:rPr>
        <w:t>57, datë 17.9.2024</w:t>
      </w:r>
    </w:p>
    <w:p w14:paraId="5ABDE84B" w14:textId="77777777" w:rsidR="00CF7C71" w:rsidRPr="00843097"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p>
    <w:p w14:paraId="59E747F3" w14:textId="0FBFB678"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NË EMËR TË REPUBLIKËS SË SHQIPËRISË</w:t>
      </w:r>
    </w:p>
    <w:p w14:paraId="18C02AB1" w14:textId="77777777"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24"/>
          <w:szCs w:val="24"/>
        </w:rPr>
      </w:pPr>
    </w:p>
    <w:p w14:paraId="1F3293FB" w14:textId="77777777"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1843"/>
      </w:tblGrid>
      <w:tr w:rsidR="00976C55" w:rsidRPr="00843097" w14:paraId="582B300E" w14:textId="77777777" w:rsidTr="005B6DAC">
        <w:tc>
          <w:tcPr>
            <w:tcW w:w="2372" w:type="dxa"/>
          </w:tcPr>
          <w:p w14:paraId="400BEE25" w14:textId="028F3960" w:rsidR="00976C55" w:rsidRPr="00843097" w:rsidRDefault="00976C55" w:rsidP="00CF7C71">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Holta Zaçaj</w:t>
            </w:r>
          </w:p>
        </w:tc>
        <w:tc>
          <w:tcPr>
            <w:tcW w:w="1843" w:type="dxa"/>
          </w:tcPr>
          <w:p w14:paraId="24BBEACB" w14:textId="1EF18F68" w:rsidR="00976C55" w:rsidRPr="00843097" w:rsidRDefault="005B6DAC" w:rsidP="00CF7C71">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kryetar</w:t>
            </w:r>
            <w:r w:rsidRPr="00843097">
              <w:rPr>
                <w:rFonts w:ascii="Garamond" w:hAnsi="Garamond" w:cs="Times New Roman"/>
                <w:color w:val="000000"/>
                <w:sz w:val="24"/>
                <w:szCs w:val="24"/>
              </w:rPr>
              <w:t>e</w:t>
            </w:r>
            <w:r>
              <w:rPr>
                <w:rFonts w:ascii="Garamond" w:hAnsi="Garamond" w:cs="Times New Roman"/>
                <w:color w:val="000000"/>
                <w:sz w:val="24"/>
                <w:szCs w:val="24"/>
              </w:rPr>
              <w:t>;</w:t>
            </w:r>
          </w:p>
        </w:tc>
      </w:tr>
      <w:tr w:rsidR="00976C55" w:rsidRPr="00843097" w14:paraId="5BFA71DC" w14:textId="77777777" w:rsidTr="005B6DAC">
        <w:tc>
          <w:tcPr>
            <w:tcW w:w="2372" w:type="dxa"/>
          </w:tcPr>
          <w:p w14:paraId="0BDF7FC7" w14:textId="57A64F52"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Fiona Papajorgji</w:t>
            </w:r>
          </w:p>
        </w:tc>
        <w:tc>
          <w:tcPr>
            <w:tcW w:w="1843" w:type="dxa"/>
          </w:tcPr>
          <w:p w14:paraId="18359DFB" w14:textId="48078113"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anëtare</w:t>
            </w:r>
            <w:r>
              <w:rPr>
                <w:rFonts w:ascii="Garamond" w:hAnsi="Garamond" w:cs="Times New Roman"/>
                <w:color w:val="000000"/>
                <w:sz w:val="24"/>
                <w:szCs w:val="24"/>
              </w:rPr>
              <w:t>;</w:t>
            </w:r>
          </w:p>
        </w:tc>
      </w:tr>
      <w:tr w:rsidR="00976C55" w:rsidRPr="00843097" w14:paraId="33B13565" w14:textId="77777777" w:rsidTr="005B6DAC">
        <w:tc>
          <w:tcPr>
            <w:tcW w:w="2372" w:type="dxa"/>
          </w:tcPr>
          <w:p w14:paraId="31EEF04C" w14:textId="3BB5DFB3"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Elsa Toska</w:t>
            </w:r>
          </w:p>
        </w:tc>
        <w:tc>
          <w:tcPr>
            <w:tcW w:w="1843" w:type="dxa"/>
          </w:tcPr>
          <w:p w14:paraId="36855240" w14:textId="3F84591D"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anëtare</w:t>
            </w:r>
            <w:r>
              <w:rPr>
                <w:rFonts w:ascii="Garamond" w:hAnsi="Garamond" w:cs="Times New Roman"/>
                <w:color w:val="000000"/>
                <w:sz w:val="24"/>
                <w:szCs w:val="24"/>
              </w:rPr>
              <w:t>;</w:t>
            </w:r>
          </w:p>
        </w:tc>
      </w:tr>
      <w:tr w:rsidR="00976C55" w:rsidRPr="00843097" w14:paraId="1C1A8BA4" w14:textId="77777777" w:rsidTr="005B6DAC">
        <w:tc>
          <w:tcPr>
            <w:tcW w:w="2372" w:type="dxa"/>
          </w:tcPr>
          <w:p w14:paraId="305A3CDB" w14:textId="56117501"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Sonila Bejtja</w:t>
            </w:r>
          </w:p>
        </w:tc>
        <w:tc>
          <w:tcPr>
            <w:tcW w:w="1843" w:type="dxa"/>
          </w:tcPr>
          <w:p w14:paraId="10DD7D3F" w14:textId="196AE988"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anëtare</w:t>
            </w:r>
            <w:r>
              <w:rPr>
                <w:rFonts w:ascii="Garamond" w:hAnsi="Garamond" w:cs="Times New Roman"/>
                <w:color w:val="000000"/>
                <w:sz w:val="24"/>
                <w:szCs w:val="24"/>
              </w:rPr>
              <w:t>;</w:t>
            </w:r>
          </w:p>
        </w:tc>
      </w:tr>
      <w:tr w:rsidR="00976C55" w:rsidRPr="00843097" w14:paraId="34EE71C1" w14:textId="77777777" w:rsidTr="005B6DAC">
        <w:tc>
          <w:tcPr>
            <w:tcW w:w="2372" w:type="dxa"/>
          </w:tcPr>
          <w:p w14:paraId="416BDD6F" w14:textId="5EAD3A33"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Sandër Beci</w:t>
            </w:r>
          </w:p>
        </w:tc>
        <w:tc>
          <w:tcPr>
            <w:tcW w:w="1843" w:type="dxa"/>
          </w:tcPr>
          <w:p w14:paraId="621AB068" w14:textId="4955F2B6"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w:t>
            </w:r>
            <w:r>
              <w:rPr>
                <w:rFonts w:ascii="Garamond" w:hAnsi="Garamond" w:cs="Times New Roman"/>
                <w:color w:val="000000"/>
                <w:sz w:val="24"/>
                <w:szCs w:val="24"/>
              </w:rPr>
              <w:t>;</w:t>
            </w:r>
          </w:p>
        </w:tc>
      </w:tr>
      <w:tr w:rsidR="00976C55" w:rsidRPr="00843097" w14:paraId="7BBA22C6" w14:textId="77777777" w:rsidTr="005B6DAC">
        <w:tc>
          <w:tcPr>
            <w:tcW w:w="2372" w:type="dxa"/>
          </w:tcPr>
          <w:p w14:paraId="3A8EC923" w14:textId="5BE074F8"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Ilir Toska</w:t>
            </w:r>
          </w:p>
        </w:tc>
        <w:tc>
          <w:tcPr>
            <w:tcW w:w="1843" w:type="dxa"/>
          </w:tcPr>
          <w:p w14:paraId="12C71D42" w14:textId="7D7A7D36"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w:t>
            </w:r>
            <w:r>
              <w:rPr>
                <w:rFonts w:ascii="Garamond" w:hAnsi="Garamond" w:cs="Times New Roman"/>
                <w:color w:val="000000"/>
                <w:sz w:val="24"/>
                <w:szCs w:val="24"/>
              </w:rPr>
              <w:t>;</w:t>
            </w:r>
          </w:p>
        </w:tc>
      </w:tr>
      <w:tr w:rsidR="00976C55" w:rsidRPr="00843097" w14:paraId="40071406" w14:textId="77777777" w:rsidTr="005B6DAC">
        <w:tc>
          <w:tcPr>
            <w:tcW w:w="2372" w:type="dxa"/>
          </w:tcPr>
          <w:p w14:paraId="2ED4EFCE" w14:textId="11CB5B4D"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Genti Ibrahimi</w:t>
            </w:r>
          </w:p>
        </w:tc>
        <w:tc>
          <w:tcPr>
            <w:tcW w:w="1843" w:type="dxa"/>
          </w:tcPr>
          <w:p w14:paraId="3A007EA3" w14:textId="2C3AA7B1"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w:t>
            </w:r>
            <w:r>
              <w:rPr>
                <w:rFonts w:ascii="Garamond" w:hAnsi="Garamond" w:cs="Times New Roman"/>
                <w:color w:val="000000"/>
                <w:sz w:val="24"/>
                <w:szCs w:val="24"/>
              </w:rPr>
              <w:t>;</w:t>
            </w:r>
          </w:p>
        </w:tc>
      </w:tr>
      <w:tr w:rsidR="00976C55" w:rsidRPr="00843097" w14:paraId="35C68FBB" w14:textId="77777777" w:rsidTr="005B6DAC">
        <w:tc>
          <w:tcPr>
            <w:tcW w:w="2372" w:type="dxa"/>
          </w:tcPr>
          <w:p w14:paraId="6A97F7BA" w14:textId="1FA89255"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Marjana Semini</w:t>
            </w:r>
          </w:p>
        </w:tc>
        <w:tc>
          <w:tcPr>
            <w:tcW w:w="1843" w:type="dxa"/>
          </w:tcPr>
          <w:p w14:paraId="63079AB2" w14:textId="41A79DCB"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w:t>
            </w:r>
            <w:r>
              <w:rPr>
                <w:rFonts w:ascii="Garamond" w:hAnsi="Garamond" w:cs="Times New Roman"/>
                <w:color w:val="000000"/>
                <w:sz w:val="24"/>
                <w:szCs w:val="24"/>
              </w:rPr>
              <w:t>;</w:t>
            </w:r>
          </w:p>
        </w:tc>
      </w:tr>
      <w:tr w:rsidR="00976C55" w:rsidRPr="00843097" w14:paraId="75D6F65B" w14:textId="77777777" w:rsidTr="005B6DAC">
        <w:tc>
          <w:tcPr>
            <w:tcW w:w="2372" w:type="dxa"/>
          </w:tcPr>
          <w:p w14:paraId="5E40A923" w14:textId="797C75A8" w:rsidR="00976C55" w:rsidRPr="00843097" w:rsidRDefault="00976C55"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Marsida Xhaferllari</w:t>
            </w:r>
          </w:p>
        </w:tc>
        <w:tc>
          <w:tcPr>
            <w:tcW w:w="1843" w:type="dxa"/>
          </w:tcPr>
          <w:p w14:paraId="71A58472" w14:textId="2F4D3C96" w:rsidR="00976C55" w:rsidRPr="00843097" w:rsidRDefault="005B6DAC" w:rsidP="00976C55">
            <w:pPr>
              <w:autoSpaceDE w:val="0"/>
              <w:autoSpaceDN w:val="0"/>
              <w:adjustRightInd w:val="0"/>
              <w:jc w:val="both"/>
              <w:rPr>
                <w:rFonts w:ascii="Garamond" w:hAnsi="Garamond" w:cs="Times New Roman"/>
                <w:color w:val="000000"/>
                <w:sz w:val="24"/>
                <w:szCs w:val="24"/>
              </w:rPr>
            </w:pPr>
            <w:r w:rsidRPr="00CF7C71">
              <w:rPr>
                <w:rFonts w:ascii="Garamond" w:hAnsi="Garamond" w:cs="Times New Roman"/>
                <w:color w:val="000000"/>
                <w:sz w:val="24"/>
                <w:szCs w:val="24"/>
              </w:rPr>
              <w:t>anëtare</w:t>
            </w:r>
            <w:r>
              <w:rPr>
                <w:rFonts w:ascii="Garamond" w:hAnsi="Garamond" w:cs="Times New Roman"/>
                <w:color w:val="000000"/>
                <w:sz w:val="24"/>
                <w:szCs w:val="24"/>
              </w:rPr>
              <w:t>,</w:t>
            </w:r>
          </w:p>
        </w:tc>
      </w:tr>
    </w:tbl>
    <w:p w14:paraId="3ABD6405" w14:textId="7AC3B6BB"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 xml:space="preserve">me sekretare Belma Lleshi, </w:t>
      </w:r>
      <w:r w:rsidR="005B6DAC">
        <w:rPr>
          <w:rFonts w:ascii="Garamond" w:hAnsi="Garamond" w:cs="Times New Roman"/>
          <w:color w:val="000000"/>
          <w:sz w:val="24"/>
          <w:szCs w:val="24"/>
        </w:rPr>
        <w:t>m</w:t>
      </w:r>
      <w:r w:rsidRPr="00CF7C71">
        <w:rPr>
          <w:rFonts w:ascii="Garamond" w:hAnsi="Garamond" w:cs="Times New Roman"/>
          <w:color w:val="000000"/>
          <w:sz w:val="24"/>
          <w:szCs w:val="24"/>
        </w:rPr>
        <w:t>ë datë 17.</w:t>
      </w:r>
      <w:r w:rsidR="00574E78">
        <w:rPr>
          <w:rFonts w:ascii="Garamond" w:hAnsi="Garamond" w:cs="Times New Roman"/>
          <w:color w:val="000000"/>
          <w:sz w:val="24"/>
          <w:szCs w:val="24"/>
        </w:rPr>
        <w:t>9</w:t>
      </w:r>
      <w:r w:rsidRPr="00CF7C71">
        <w:rPr>
          <w:rFonts w:ascii="Garamond" w:hAnsi="Garamond" w:cs="Times New Roman"/>
          <w:color w:val="000000"/>
          <w:sz w:val="24"/>
          <w:szCs w:val="24"/>
        </w:rPr>
        <w:t>.2024</w:t>
      </w:r>
      <w:r w:rsidR="005B6DAC">
        <w:rPr>
          <w:rFonts w:ascii="Garamond" w:hAnsi="Garamond" w:cs="Times New Roman"/>
          <w:color w:val="000000"/>
          <w:sz w:val="24"/>
          <w:szCs w:val="24"/>
        </w:rPr>
        <w:t>,</w:t>
      </w:r>
      <w:r w:rsidRPr="00CF7C71">
        <w:rPr>
          <w:rFonts w:ascii="Garamond" w:hAnsi="Garamond" w:cs="Times New Roman"/>
          <w:color w:val="000000"/>
          <w:sz w:val="24"/>
          <w:szCs w:val="24"/>
        </w:rPr>
        <w:t xml:space="preserve"> mori në shqyrtim në seancë plenare mbi bazë të dokumenteve kërkesën nr. 1 (Y) 2024 të Regjistrit Themeltar, që u përket:</w:t>
      </w:r>
    </w:p>
    <w:p w14:paraId="7EDBB427" w14:textId="76CD4F2C"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bCs/>
          <w:color w:val="000000"/>
          <w:sz w:val="24"/>
          <w:szCs w:val="24"/>
        </w:rPr>
        <w:t>KËRKUES:</w:t>
      </w:r>
      <w:r w:rsidRPr="00843097">
        <w:rPr>
          <w:rFonts w:ascii="Garamond" w:hAnsi="Garamond" w:cs="Times New Roman"/>
          <w:bCs/>
          <w:color w:val="000000"/>
          <w:sz w:val="24"/>
          <w:szCs w:val="24"/>
        </w:rPr>
        <w:t xml:space="preserve"> </w:t>
      </w:r>
      <w:r w:rsidR="008B4A8E" w:rsidRPr="00843097">
        <w:rPr>
          <w:rFonts w:ascii="Garamond" w:hAnsi="Garamond" w:cs="Times New Roman"/>
          <w:bCs/>
          <w:color w:val="000000"/>
          <w:sz w:val="24"/>
          <w:szCs w:val="24"/>
        </w:rPr>
        <w:t>Ylli Dylgjeri</w:t>
      </w:r>
      <w:r w:rsidRPr="00CF7C71">
        <w:rPr>
          <w:rFonts w:ascii="Garamond" w:hAnsi="Garamond" w:cs="Times New Roman"/>
          <w:bCs/>
          <w:color w:val="000000"/>
          <w:sz w:val="24"/>
          <w:szCs w:val="24"/>
        </w:rPr>
        <w:t>,</w:t>
      </w:r>
      <w:r w:rsidRPr="00CF7C71">
        <w:rPr>
          <w:rFonts w:ascii="Garamond" w:hAnsi="Garamond" w:cs="Times New Roman"/>
          <w:color w:val="000000"/>
          <w:sz w:val="24"/>
          <w:szCs w:val="24"/>
        </w:rPr>
        <w:t xml:space="preserve"> përfaqësuar nga avokate Etleva Haka, me prokurë të posaçme.</w:t>
      </w:r>
    </w:p>
    <w:p w14:paraId="553A3359" w14:textId="2F91D8D2" w:rsidR="00CF7C71" w:rsidRPr="00CF7C71" w:rsidRDefault="00CF7C71" w:rsidP="008B4A8E">
      <w:pPr>
        <w:tabs>
          <w:tab w:val="left" w:pos="3600"/>
        </w:tabs>
        <w:autoSpaceDE w:val="0"/>
        <w:autoSpaceDN w:val="0"/>
        <w:adjustRightInd w:val="0"/>
        <w:spacing w:after="0" w:line="240" w:lineRule="auto"/>
        <w:ind w:firstLine="284"/>
        <w:rPr>
          <w:rFonts w:ascii="Garamond" w:hAnsi="Garamond" w:cs="Times New Roman"/>
          <w:bCs/>
          <w:color w:val="000000"/>
          <w:sz w:val="24"/>
          <w:szCs w:val="24"/>
        </w:rPr>
      </w:pPr>
      <w:r w:rsidRPr="00CF7C71">
        <w:rPr>
          <w:rFonts w:ascii="Garamond" w:hAnsi="Garamond" w:cs="Times New Roman"/>
          <w:bCs/>
          <w:color w:val="000000"/>
          <w:sz w:val="24"/>
          <w:szCs w:val="24"/>
        </w:rPr>
        <w:t>SUBJEKTE TË INTERESUARA:</w:t>
      </w:r>
      <w:r w:rsidR="008B4A8E" w:rsidRPr="00843097">
        <w:rPr>
          <w:rFonts w:ascii="Garamond" w:hAnsi="Garamond" w:cs="Times New Roman"/>
          <w:bCs/>
          <w:color w:val="000000"/>
          <w:sz w:val="24"/>
          <w:szCs w:val="24"/>
        </w:rPr>
        <w:t xml:space="preserve"> Agjencia e Trajtimit të Koncesioneve</w:t>
      </w:r>
      <w:r w:rsidRPr="00CF7C71">
        <w:rPr>
          <w:rFonts w:ascii="Garamond" w:hAnsi="Garamond" w:cs="Times New Roman"/>
          <w:bCs/>
          <w:color w:val="000000"/>
          <w:sz w:val="24"/>
          <w:szCs w:val="24"/>
        </w:rPr>
        <w:t xml:space="preserve">, </w:t>
      </w:r>
      <w:r w:rsidRPr="00CF7C71">
        <w:rPr>
          <w:rFonts w:ascii="Garamond" w:hAnsi="Garamond" w:cs="Times New Roman"/>
          <w:color w:val="000000"/>
          <w:sz w:val="24"/>
          <w:szCs w:val="24"/>
        </w:rPr>
        <w:t>në mungesë.</w:t>
      </w:r>
    </w:p>
    <w:p w14:paraId="34D0B78C" w14:textId="04F5EAF5" w:rsidR="00CF7C71" w:rsidRPr="00CF7C71" w:rsidRDefault="008B4A8E" w:rsidP="00CF7C71">
      <w:pPr>
        <w:autoSpaceDE w:val="0"/>
        <w:autoSpaceDN w:val="0"/>
        <w:adjustRightInd w:val="0"/>
        <w:spacing w:after="0" w:line="240" w:lineRule="auto"/>
        <w:ind w:firstLine="284"/>
        <w:jc w:val="both"/>
        <w:rPr>
          <w:rFonts w:ascii="Garamond" w:hAnsi="Garamond" w:cs="Times New Roman"/>
          <w:bCs/>
          <w:color w:val="000000"/>
          <w:sz w:val="24"/>
          <w:szCs w:val="24"/>
        </w:rPr>
      </w:pPr>
      <w:r w:rsidRPr="00843097">
        <w:rPr>
          <w:rFonts w:ascii="Garamond" w:hAnsi="Garamond" w:cs="Times New Roman"/>
          <w:bCs/>
          <w:color w:val="000000"/>
          <w:sz w:val="24"/>
          <w:szCs w:val="24"/>
        </w:rPr>
        <w:t>Departamenti i Administratës Publike</w:t>
      </w:r>
      <w:r w:rsidR="00CF7C71" w:rsidRPr="00CF7C71">
        <w:rPr>
          <w:rFonts w:ascii="Garamond" w:hAnsi="Garamond" w:cs="Times New Roman"/>
          <w:bCs/>
          <w:color w:val="000000"/>
          <w:sz w:val="24"/>
          <w:szCs w:val="24"/>
        </w:rPr>
        <w:t>,</w:t>
      </w:r>
      <w:r w:rsidR="00CF7C71" w:rsidRPr="00CF7C71">
        <w:rPr>
          <w:rFonts w:ascii="Garamond" w:hAnsi="Garamond" w:cs="Times New Roman"/>
          <w:color w:val="000000"/>
          <w:sz w:val="24"/>
          <w:szCs w:val="24"/>
        </w:rPr>
        <w:t xml:space="preserve"> përfaqësuar nga drejtoresha Enkela Dudushi.</w:t>
      </w:r>
      <w:r w:rsidR="00CF7C71" w:rsidRPr="00CF7C71">
        <w:rPr>
          <w:rFonts w:ascii="Garamond" w:hAnsi="Garamond" w:cs="Times New Roman"/>
          <w:bCs/>
          <w:color w:val="000000"/>
          <w:sz w:val="24"/>
          <w:szCs w:val="24"/>
        </w:rPr>
        <w:t xml:space="preserve"> </w:t>
      </w:r>
    </w:p>
    <w:p w14:paraId="1223EBE1" w14:textId="56052639"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F7C71">
        <w:rPr>
          <w:rFonts w:ascii="Garamond" w:hAnsi="Garamond" w:cs="Times New Roman"/>
          <w:bCs/>
          <w:color w:val="000000"/>
          <w:sz w:val="24"/>
          <w:szCs w:val="24"/>
        </w:rPr>
        <w:t>OBJEKTI:</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Shfuqizimi i vendimit nr. 00-2023-3812, datë 12.10.2023 të Kolegjit Administrativ të Gjykatës së Lartë, si i papajtueshëm me Kushtetutën e Republikës së Shqipërisë.</w:t>
      </w:r>
    </w:p>
    <w:p w14:paraId="071CC07A" w14:textId="763D2FA1"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F7C71">
        <w:rPr>
          <w:rFonts w:ascii="Garamond" w:hAnsi="Garamond" w:cs="Times New Roman"/>
          <w:bCs/>
          <w:color w:val="000000"/>
          <w:sz w:val="24"/>
          <w:szCs w:val="24"/>
        </w:rPr>
        <w:t>Konstatimi i shkeljes së afatit të arsyeshëm dhe përshpejtimi i procedurave në gjykimin e çështjes administrative nr. 31154-02568-86-2019, datë 28.6.2019 të regjistruar pranë Gjykatës Administrative të Apelit.</w:t>
      </w:r>
    </w:p>
    <w:p w14:paraId="7510C276" w14:textId="5D519D93"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F7C71">
        <w:rPr>
          <w:rFonts w:ascii="Garamond" w:hAnsi="Garamond" w:cs="Times New Roman"/>
          <w:bCs/>
          <w:color w:val="000000"/>
          <w:sz w:val="24"/>
          <w:szCs w:val="24"/>
        </w:rPr>
        <w:t>Detyrimi i Gjykatës Administrative të Apelit të shqyrtojë çështjen brenda afatit njëmujor nga dhënia e vendimit të Gjykatës Kushtetuese.</w:t>
      </w:r>
    </w:p>
    <w:p w14:paraId="0A4C6C65" w14:textId="0BD08E42" w:rsidR="00CF7C71" w:rsidRPr="00CF7C71" w:rsidRDefault="00CF7C71" w:rsidP="00CF7C71">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CF7C71">
        <w:rPr>
          <w:rFonts w:ascii="Garamond" w:hAnsi="Garamond" w:cs="Times New Roman"/>
          <w:bCs/>
          <w:color w:val="000000"/>
          <w:sz w:val="24"/>
          <w:szCs w:val="24"/>
        </w:rPr>
        <w:t>BAZA LIGJORE:</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Nenet 18, pika 1, 41, 42, 43, 44, 131, pika 1, shkronja “f”, 134, pika 1, shkronja “i” dhe 142 të Kushtetutës së Republikës së Shqipërisë (</w:t>
      </w:r>
      <w:r w:rsidRPr="00CF7C71">
        <w:rPr>
          <w:rFonts w:ascii="Garamond" w:hAnsi="Garamond" w:cs="Times New Roman"/>
          <w:bCs/>
          <w:i/>
          <w:iCs/>
          <w:color w:val="000000"/>
          <w:sz w:val="24"/>
          <w:szCs w:val="24"/>
        </w:rPr>
        <w:t>Kushtetuta</w:t>
      </w:r>
      <w:r w:rsidRPr="00CF7C71">
        <w:rPr>
          <w:rFonts w:ascii="Garamond" w:hAnsi="Garamond" w:cs="Times New Roman"/>
          <w:bCs/>
          <w:color w:val="000000"/>
          <w:sz w:val="24"/>
          <w:szCs w:val="24"/>
        </w:rPr>
        <w:t>); neni 6, pika 1, i Konventës Evropiane për të Drejtat e Njeriut; nenet 27, pikat 1 dhe 2, 71, pika 1, 71/a dhe 71/b të ligjit nr. 8577, datë 10.2.2000</w:t>
      </w:r>
      <w:r w:rsidR="005B6DAC">
        <w:rPr>
          <w:rFonts w:ascii="Garamond" w:hAnsi="Garamond" w:cs="Times New Roman"/>
          <w:bCs/>
          <w:color w:val="000000"/>
          <w:sz w:val="24"/>
          <w:szCs w:val="24"/>
        </w:rPr>
        <w:t>,</w:t>
      </w:r>
      <w:r w:rsidRPr="00CF7C71">
        <w:rPr>
          <w:rFonts w:ascii="Garamond" w:hAnsi="Garamond" w:cs="Times New Roman"/>
          <w:bCs/>
          <w:color w:val="000000"/>
          <w:sz w:val="24"/>
          <w:szCs w:val="24"/>
        </w:rPr>
        <w:t xml:space="preserve"> “Për organizimin dhe funksionimin e Gjykatës Kushtetuese të Republikës së Shqipërisë”, të ndryshuar (</w:t>
      </w:r>
      <w:r w:rsidRPr="00CF7C71">
        <w:rPr>
          <w:rFonts w:ascii="Garamond" w:hAnsi="Garamond" w:cs="Times New Roman"/>
          <w:bCs/>
          <w:i/>
          <w:iCs/>
          <w:color w:val="000000"/>
          <w:sz w:val="24"/>
          <w:szCs w:val="24"/>
        </w:rPr>
        <w:t>ligji nr. 8577/2000</w:t>
      </w:r>
      <w:r w:rsidRPr="00CF7C71">
        <w:rPr>
          <w:rFonts w:ascii="Garamond" w:hAnsi="Garamond" w:cs="Times New Roman"/>
          <w:bCs/>
          <w:color w:val="000000"/>
          <w:sz w:val="24"/>
          <w:szCs w:val="24"/>
        </w:rPr>
        <w:t>).</w:t>
      </w:r>
    </w:p>
    <w:p w14:paraId="30E70881" w14:textId="77777777" w:rsidR="00CF7C71" w:rsidRPr="00CF7C71" w:rsidRDefault="00CF7C71" w:rsidP="00CF7C71">
      <w:pPr>
        <w:autoSpaceDE w:val="0"/>
        <w:autoSpaceDN w:val="0"/>
        <w:adjustRightInd w:val="0"/>
        <w:spacing w:after="0" w:line="240" w:lineRule="auto"/>
        <w:ind w:firstLine="284"/>
        <w:jc w:val="center"/>
        <w:rPr>
          <w:rFonts w:ascii="Garamond" w:hAnsi="Garamond" w:cs="Times New Roman"/>
          <w:bCs/>
          <w:color w:val="000000"/>
          <w:sz w:val="16"/>
          <w:szCs w:val="16"/>
        </w:rPr>
      </w:pPr>
    </w:p>
    <w:p w14:paraId="2A3DFDFA" w14:textId="77777777"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Cs/>
          <w:color w:val="000000"/>
          <w:sz w:val="24"/>
          <w:szCs w:val="24"/>
        </w:rPr>
        <w:t>GJYKATA KUSHTETUESE,</w:t>
      </w:r>
    </w:p>
    <w:p w14:paraId="4F920243" w14:textId="77777777" w:rsidR="008B4A8E" w:rsidRPr="00843097" w:rsidRDefault="008B4A8E" w:rsidP="00CF7C71">
      <w:pPr>
        <w:autoSpaceDE w:val="0"/>
        <w:autoSpaceDN w:val="0"/>
        <w:adjustRightInd w:val="0"/>
        <w:spacing w:after="0" w:line="240" w:lineRule="auto"/>
        <w:ind w:firstLine="284"/>
        <w:jc w:val="both"/>
        <w:rPr>
          <w:rFonts w:ascii="Garamond" w:hAnsi="Garamond" w:cs="Times New Roman"/>
          <w:color w:val="000000"/>
          <w:sz w:val="24"/>
          <w:szCs w:val="24"/>
        </w:rPr>
      </w:pPr>
    </w:p>
    <w:p w14:paraId="274533BE" w14:textId="1F16FA6E"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pasi dëgjoi relatoren e çështjes Marsida Xhaferllari, shqyrtoi kërkesën e kërkuesit, prapësimet me shkrim të subjektit të interesuar, Departamentit të Administratës Publike (</w:t>
      </w:r>
      <w:r w:rsidRPr="00CF7C71">
        <w:rPr>
          <w:rFonts w:ascii="Garamond" w:hAnsi="Garamond" w:cs="Times New Roman"/>
          <w:i/>
          <w:iCs/>
          <w:color w:val="000000"/>
          <w:sz w:val="24"/>
          <w:szCs w:val="24"/>
        </w:rPr>
        <w:t>DAP</w:t>
      </w:r>
      <w:r w:rsidRPr="00CF7C71">
        <w:rPr>
          <w:rFonts w:ascii="Garamond" w:hAnsi="Garamond" w:cs="Times New Roman"/>
          <w:color w:val="000000"/>
          <w:sz w:val="24"/>
          <w:szCs w:val="24"/>
        </w:rPr>
        <w:t>), që shprehet në favor të përshpejtimit të procesit, konstatoi mungesën e prapësimeve me shkrim të subjektit të interesuar, Agjencisë së Trajtimit të Koncesioneve (</w:t>
      </w:r>
      <w:r w:rsidRPr="00CF7C71">
        <w:rPr>
          <w:rFonts w:ascii="Garamond" w:hAnsi="Garamond" w:cs="Times New Roman"/>
          <w:i/>
          <w:iCs/>
          <w:color w:val="000000"/>
          <w:sz w:val="24"/>
          <w:szCs w:val="24"/>
        </w:rPr>
        <w:t>Agjencia</w:t>
      </w:r>
      <w:r w:rsidRPr="00CF7C71">
        <w:rPr>
          <w:rFonts w:ascii="Garamond" w:hAnsi="Garamond" w:cs="Times New Roman"/>
          <w:color w:val="000000"/>
          <w:sz w:val="24"/>
          <w:szCs w:val="24"/>
        </w:rPr>
        <w:t xml:space="preserve">), si dhe diskutoi çështjen në tërësi, </w:t>
      </w:r>
    </w:p>
    <w:p w14:paraId="24DEC449" w14:textId="77777777" w:rsidR="00CF7C71" w:rsidRPr="00CF7C71" w:rsidRDefault="00CF7C71" w:rsidP="00CF7C71">
      <w:pPr>
        <w:autoSpaceDE w:val="0"/>
        <w:autoSpaceDN w:val="0"/>
        <w:adjustRightInd w:val="0"/>
        <w:spacing w:after="0" w:line="240" w:lineRule="auto"/>
        <w:ind w:firstLine="284"/>
        <w:jc w:val="both"/>
        <w:rPr>
          <w:rFonts w:ascii="Garamond" w:hAnsi="Garamond" w:cs="Times New Roman"/>
          <w:color w:val="000000"/>
          <w:sz w:val="16"/>
          <w:szCs w:val="16"/>
        </w:rPr>
      </w:pPr>
    </w:p>
    <w:p w14:paraId="111CEA35" w14:textId="0404CC33"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F7C71">
        <w:rPr>
          <w:rFonts w:ascii="Garamond" w:hAnsi="Garamond" w:cs="Times New Roman"/>
          <w:bCs/>
          <w:color w:val="000000"/>
          <w:sz w:val="24"/>
          <w:szCs w:val="24"/>
        </w:rPr>
        <w:t>VËREN:</w:t>
      </w:r>
    </w:p>
    <w:p w14:paraId="5B546DE1" w14:textId="77777777" w:rsidR="008B4A8E" w:rsidRPr="00843097" w:rsidRDefault="008B4A8E"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D51A3E3" w14:textId="471A69AA"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I</w:t>
      </w:r>
    </w:p>
    <w:p w14:paraId="6008EA85"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Rrethanat e çështjes</w:t>
      </w:r>
    </w:p>
    <w:p w14:paraId="5119CCDA"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5D4AD8C" w14:textId="7AFDE29A"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Kërkuesi Ylli Dylgjeri (</w:t>
      </w:r>
      <w:r w:rsidRPr="00CF7C71">
        <w:rPr>
          <w:rFonts w:ascii="Garamond" w:hAnsi="Garamond" w:cs="Times New Roman"/>
          <w:i/>
          <w:iCs/>
          <w:color w:val="000000"/>
          <w:sz w:val="24"/>
          <w:szCs w:val="24"/>
        </w:rPr>
        <w:t>kërkuesi</w:t>
      </w:r>
      <w:r w:rsidRPr="00CF7C71">
        <w:rPr>
          <w:rFonts w:ascii="Garamond" w:hAnsi="Garamond" w:cs="Times New Roman"/>
          <w:color w:val="000000"/>
          <w:sz w:val="24"/>
          <w:szCs w:val="24"/>
        </w:rPr>
        <w:t xml:space="preserve">) ka ushtruar detyrën e drejtorit të Drejtorisë së Planifikimit dhe Nxitjes pranë Agjencisë prej datës 31.1.2014 dhe ka pasur statusin e nëpunësit civil. </w:t>
      </w:r>
      <w:r w:rsidR="00976AAD">
        <w:rPr>
          <w:rFonts w:ascii="Garamond" w:hAnsi="Garamond" w:cs="Times New Roman"/>
          <w:color w:val="000000"/>
          <w:sz w:val="24"/>
          <w:szCs w:val="24"/>
        </w:rPr>
        <w:t>M</w:t>
      </w:r>
      <w:r w:rsidRPr="00CF7C71">
        <w:rPr>
          <w:rFonts w:ascii="Garamond" w:hAnsi="Garamond" w:cs="Times New Roman"/>
          <w:color w:val="000000"/>
          <w:sz w:val="24"/>
          <w:szCs w:val="24"/>
        </w:rPr>
        <w:t xml:space="preserve">ë datë 18.3.2019 ndaj tij është marrë masa disiplinore e largimit nga Shërbimi Civil për shkeljen e rëndë disiplinore të postimit në rrjete sociale të vlerësimeve politike, në kundërshtim me parimin e paanësisë. </w:t>
      </w:r>
    </w:p>
    <w:p w14:paraId="2B12B258" w14:textId="39BD11B5"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Kërkuesi ka ngritur padi ndaj Agjencisë dhe DAP-it, me objekt shfuqizimin e vendimit për largimin nga detyra, rikthimin në detyrë dhe kryerjen e pagesave deri në rikthimin në detyrë. Gjykata </w:t>
      </w:r>
      <w:r w:rsidRPr="00CF7C71">
        <w:rPr>
          <w:rFonts w:ascii="Garamond" w:hAnsi="Garamond" w:cs="Times New Roman"/>
          <w:color w:val="000000"/>
          <w:sz w:val="24"/>
          <w:szCs w:val="24"/>
        </w:rPr>
        <w:lastRenderedPageBreak/>
        <w:t>Administrative e Shkallës së Parë Tiranë, me vendimin nr. 1615, datë 8.5.2019, ka vendosur pranimin e padisë. Kundër vendimit ka paraqitur ankim pala e paditur. Çështja është regjistruar në Gjykatën Administrative të Apelit me nr. 31154-02568-86-2019, datë 28.</w:t>
      </w:r>
      <w:r w:rsidR="00574E78">
        <w:rPr>
          <w:rFonts w:ascii="Garamond" w:hAnsi="Garamond" w:cs="Times New Roman"/>
          <w:color w:val="000000"/>
          <w:sz w:val="24"/>
          <w:szCs w:val="24"/>
        </w:rPr>
        <w:t>6</w:t>
      </w:r>
      <w:r w:rsidRPr="00CF7C71">
        <w:rPr>
          <w:rFonts w:ascii="Garamond" w:hAnsi="Garamond" w:cs="Times New Roman"/>
          <w:color w:val="000000"/>
          <w:sz w:val="24"/>
          <w:szCs w:val="24"/>
        </w:rPr>
        <w:t>.2019, megjithatë nuk janë kryer veprime gjyqësore.</w:t>
      </w:r>
    </w:p>
    <w:p w14:paraId="0750B5AF" w14:textId="6897A56E"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3.</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Pas pothuajse 4 vjetëve, </w:t>
      </w:r>
      <w:r w:rsidR="00976AAD">
        <w:rPr>
          <w:rFonts w:ascii="Garamond" w:hAnsi="Garamond" w:cs="Times New Roman"/>
          <w:color w:val="000000"/>
          <w:sz w:val="24"/>
          <w:szCs w:val="24"/>
        </w:rPr>
        <w:t>m</w:t>
      </w:r>
      <w:r w:rsidRPr="00CF7C71">
        <w:rPr>
          <w:rFonts w:ascii="Garamond" w:hAnsi="Garamond" w:cs="Times New Roman"/>
          <w:color w:val="000000"/>
          <w:sz w:val="24"/>
          <w:szCs w:val="24"/>
        </w:rPr>
        <w:t>ë datë 13.6.2023 kërkuesi i është drejtuar Gjykatës së Lartë me kërkesë për konstatimin e shkeljes së afatit të arsyeshëm. Kolegji Administrativ i Gjykatës së Lartë, me vendimin nr. 00-2023-3812, datë 12.10.2023, në dhomën e këshillimit, ka vendosur rrëzimin e kërkesës, me arsyetimin se nuk vërehet pakujdesi në veprimtarinë e gjykatës së apelit dhe se ajo gjykatë është në pamundësi objektive (mungesë e theksuar gjyqtarësh dhe stafi të kualifikuar ndihmës) për shqyrtimin e menjëhershëm të çështjes.</w:t>
      </w:r>
    </w:p>
    <w:p w14:paraId="3E56BAA3" w14:textId="7AF05AC3"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4.</w:t>
      </w:r>
      <w:r w:rsidRPr="00843097">
        <w:rPr>
          <w:rFonts w:ascii="Garamond" w:hAnsi="Garamond" w:cs="Times New Roman"/>
          <w:color w:val="000000"/>
          <w:sz w:val="24"/>
          <w:szCs w:val="24"/>
        </w:rPr>
        <w:t xml:space="preserve"> </w:t>
      </w:r>
      <w:r w:rsidR="005B6DAC">
        <w:rPr>
          <w:rFonts w:ascii="Garamond" w:hAnsi="Garamond" w:cs="Times New Roman"/>
          <w:color w:val="000000"/>
          <w:sz w:val="24"/>
          <w:szCs w:val="24"/>
        </w:rPr>
        <w:t>M</w:t>
      </w:r>
      <w:r w:rsidRPr="00CF7C71">
        <w:rPr>
          <w:rFonts w:ascii="Garamond" w:hAnsi="Garamond" w:cs="Times New Roman"/>
          <w:color w:val="000000"/>
          <w:sz w:val="24"/>
          <w:szCs w:val="24"/>
        </w:rPr>
        <w:t>ë datë 1.3.2024 kërkuesi ka paraqitur ankim kushtetues individual në Gjykatën Kushtetuese (</w:t>
      </w:r>
      <w:r w:rsidRPr="00CF7C71">
        <w:rPr>
          <w:rFonts w:ascii="Garamond" w:hAnsi="Garamond" w:cs="Times New Roman"/>
          <w:i/>
          <w:iCs/>
          <w:color w:val="000000"/>
          <w:sz w:val="24"/>
          <w:szCs w:val="24"/>
        </w:rPr>
        <w:t>Gjykata</w:t>
      </w:r>
      <w:r w:rsidRPr="00CF7C71">
        <w:rPr>
          <w:rFonts w:ascii="Garamond" w:hAnsi="Garamond" w:cs="Times New Roman"/>
          <w:color w:val="000000"/>
          <w:sz w:val="24"/>
          <w:szCs w:val="24"/>
        </w:rPr>
        <w:t xml:space="preserve">) sipas objektit. Kolegji i Gjykatës </w:t>
      </w:r>
      <w:r w:rsidR="00976AAD">
        <w:rPr>
          <w:rFonts w:ascii="Garamond" w:hAnsi="Garamond" w:cs="Times New Roman"/>
          <w:color w:val="000000"/>
          <w:sz w:val="24"/>
          <w:szCs w:val="24"/>
        </w:rPr>
        <w:t>m</w:t>
      </w:r>
      <w:r w:rsidRPr="00CF7C71">
        <w:rPr>
          <w:rFonts w:ascii="Garamond" w:hAnsi="Garamond" w:cs="Times New Roman"/>
          <w:color w:val="000000"/>
          <w:sz w:val="24"/>
          <w:szCs w:val="24"/>
        </w:rPr>
        <w:t>ë datë 18.4.2024 ka vendosur kalimin e çështjes për shqyrtim në seancë plenare mbi bazë të dokumenteve.</w:t>
      </w:r>
    </w:p>
    <w:p w14:paraId="2042E4AC" w14:textId="77777777" w:rsidR="00CF7C71" w:rsidRPr="00CF7C71" w:rsidRDefault="00CF7C71" w:rsidP="00CF7C71">
      <w:pPr>
        <w:autoSpaceDE w:val="0"/>
        <w:autoSpaceDN w:val="0"/>
        <w:adjustRightInd w:val="0"/>
        <w:spacing w:after="0" w:line="240" w:lineRule="auto"/>
        <w:ind w:firstLine="284"/>
        <w:rPr>
          <w:rFonts w:ascii="Garamond" w:hAnsi="Garamond" w:cs="Times New Roman"/>
          <w:color w:val="000000"/>
          <w:sz w:val="24"/>
          <w:szCs w:val="24"/>
        </w:rPr>
      </w:pPr>
    </w:p>
    <w:p w14:paraId="414B4BB6" w14:textId="77777777"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II</w:t>
      </w:r>
    </w:p>
    <w:p w14:paraId="00A46BEC" w14:textId="52FE9707" w:rsidR="00CF7C71" w:rsidRPr="00843097"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Pretendimet në Gjykatën Kushtetuese</w:t>
      </w:r>
    </w:p>
    <w:p w14:paraId="0BF4C91A" w14:textId="77777777" w:rsidR="00843097" w:rsidRPr="00CF7C71" w:rsidRDefault="00843097" w:rsidP="00CF7C71">
      <w:pPr>
        <w:autoSpaceDE w:val="0"/>
        <w:autoSpaceDN w:val="0"/>
        <w:adjustRightInd w:val="0"/>
        <w:spacing w:after="0" w:line="240" w:lineRule="auto"/>
        <w:ind w:firstLine="284"/>
        <w:jc w:val="center"/>
        <w:rPr>
          <w:rFonts w:ascii="Garamond" w:hAnsi="Garamond" w:cs="Times New Roman"/>
          <w:b/>
          <w:bCs/>
          <w:color w:val="000000"/>
          <w:sz w:val="24"/>
          <w:szCs w:val="24"/>
        </w:rPr>
      </w:pPr>
    </w:p>
    <w:p w14:paraId="3ECCF84E" w14:textId="2BA23251" w:rsidR="00CF7C71" w:rsidRPr="00CF7C71" w:rsidRDefault="00CF7C71" w:rsidP="00CF7C71">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b/>
          <w:bCs/>
          <w:i/>
          <w:iCs/>
          <w:color w:val="222222"/>
          <w:sz w:val="24"/>
          <w:szCs w:val="24"/>
        </w:rPr>
        <w:t>5.</w:t>
      </w:r>
      <w:r w:rsidRPr="00843097">
        <w:rPr>
          <w:rFonts w:ascii="Garamond" w:hAnsi="Garamond" w:cs="Times New Roman"/>
          <w:b/>
          <w:bCs/>
          <w:i/>
          <w:iCs/>
          <w:color w:val="222222"/>
          <w:sz w:val="24"/>
          <w:szCs w:val="24"/>
        </w:rPr>
        <w:t xml:space="preserve"> </w:t>
      </w:r>
      <w:r w:rsidRPr="00CF7C71">
        <w:rPr>
          <w:rFonts w:ascii="Garamond" w:hAnsi="Garamond" w:cs="Times New Roman"/>
          <w:b/>
          <w:bCs/>
          <w:i/>
          <w:iCs/>
          <w:color w:val="222222"/>
          <w:sz w:val="24"/>
          <w:szCs w:val="24"/>
        </w:rPr>
        <w:t>Kërkuesi</w:t>
      </w:r>
      <w:r w:rsidRPr="00CF7C71">
        <w:rPr>
          <w:rFonts w:ascii="Garamond" w:hAnsi="Garamond" w:cs="Times New Roman"/>
          <w:color w:val="222222"/>
          <w:sz w:val="24"/>
          <w:szCs w:val="24"/>
        </w:rPr>
        <w:t xml:space="preserve">, në mënyrë të përmbledhur, ka pretenduar cenimin e </w:t>
      </w:r>
      <w:r w:rsidRPr="00CF7C71">
        <w:rPr>
          <w:rFonts w:ascii="Garamond" w:hAnsi="Garamond" w:cs="Times New Roman"/>
          <w:i/>
          <w:iCs/>
          <w:color w:val="222222"/>
          <w:sz w:val="24"/>
          <w:szCs w:val="24"/>
        </w:rPr>
        <w:t xml:space="preserve">së </w:t>
      </w:r>
      <w:r w:rsidRPr="00CF7C71">
        <w:rPr>
          <w:rFonts w:ascii="Garamond" w:hAnsi="Garamond" w:cs="Times New Roman"/>
          <w:i/>
          <w:iCs/>
          <w:color w:val="000000"/>
          <w:sz w:val="24"/>
          <w:szCs w:val="24"/>
        </w:rPr>
        <w:t>drejtës për proces të rregullt ligjor</w:t>
      </w:r>
      <w:r w:rsidRPr="00CF7C71">
        <w:rPr>
          <w:rFonts w:ascii="Garamond" w:hAnsi="Garamond" w:cs="Times New Roman"/>
          <w:color w:val="000000"/>
          <w:sz w:val="24"/>
          <w:szCs w:val="24"/>
        </w:rPr>
        <w:t>, të garantuar nga neni 42 i Kushtetutës, në aspektet e mëposhtme:</w:t>
      </w:r>
    </w:p>
    <w:p w14:paraId="585E8B52" w14:textId="619B7B1B" w:rsidR="00CF7C71" w:rsidRPr="00CF7C71" w:rsidRDefault="00CF7C71" w:rsidP="00CF7C71">
      <w:pPr>
        <w:tabs>
          <w:tab w:val="left" w:pos="5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222222"/>
          <w:sz w:val="24"/>
          <w:szCs w:val="24"/>
        </w:rPr>
        <w:t>5.1</w:t>
      </w:r>
      <w:r w:rsidRPr="00843097">
        <w:rPr>
          <w:rFonts w:ascii="Garamond" w:hAnsi="Garamond" w:cs="Times New Roman"/>
          <w:color w:val="222222"/>
          <w:sz w:val="24"/>
          <w:szCs w:val="24"/>
        </w:rPr>
        <w:t xml:space="preserve"> </w:t>
      </w:r>
      <w:r w:rsidRPr="00CF7C71">
        <w:rPr>
          <w:rFonts w:ascii="Garamond" w:hAnsi="Garamond" w:cs="Times New Roman"/>
          <w:i/>
          <w:iCs/>
          <w:color w:val="222222"/>
          <w:sz w:val="24"/>
          <w:szCs w:val="24"/>
        </w:rPr>
        <w:t>E drejta për</w:t>
      </w:r>
      <w:r w:rsidRPr="00CF7C71">
        <w:rPr>
          <w:rFonts w:ascii="Garamond" w:hAnsi="Garamond" w:cs="Times New Roman"/>
          <w:i/>
          <w:iCs/>
          <w:color w:val="000000"/>
          <w:sz w:val="24"/>
          <w:szCs w:val="24"/>
        </w:rPr>
        <w:t xml:space="preserve"> gjykim brenda një afati të arsyeshëm</w:t>
      </w:r>
      <w:r w:rsidRPr="00CF7C71">
        <w:rPr>
          <w:rFonts w:ascii="Garamond" w:hAnsi="Garamond" w:cs="Times New Roman"/>
          <w:color w:val="000000"/>
          <w:sz w:val="24"/>
          <w:szCs w:val="24"/>
        </w:rPr>
        <w:t xml:space="preserve">, pasi çështja e largimit të tij nga puna është në pritje në gjykatën e apelit prej më shumë se 4 vjetësh dhe </w:t>
      </w:r>
      <w:r w:rsidRPr="00CF7C71">
        <w:rPr>
          <w:rFonts w:ascii="Garamond" w:hAnsi="Garamond" w:cs="Times New Roman"/>
          <w:color w:val="222222"/>
          <w:sz w:val="24"/>
          <w:szCs w:val="24"/>
        </w:rPr>
        <w:t>Kolegji Administrativ i Gjykatës së Lartë në shqyrtimin e kërkesës për konstatimin e shkeljes nuk ka respektuar afatin ligjor 45-ditor.</w:t>
      </w:r>
    </w:p>
    <w:p w14:paraId="3E13BCEE" w14:textId="24CEB073" w:rsidR="00CF7C71" w:rsidRPr="00CF7C71" w:rsidRDefault="00CF7C71" w:rsidP="00CF7C71">
      <w:pPr>
        <w:tabs>
          <w:tab w:val="left" w:pos="5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222222"/>
          <w:sz w:val="24"/>
          <w:szCs w:val="24"/>
        </w:rPr>
        <w:t>5.2</w:t>
      </w:r>
      <w:r w:rsidRPr="00843097">
        <w:rPr>
          <w:rFonts w:ascii="Garamond" w:hAnsi="Garamond" w:cs="Times New Roman"/>
          <w:color w:val="222222"/>
          <w:sz w:val="24"/>
          <w:szCs w:val="24"/>
        </w:rPr>
        <w:t xml:space="preserve"> </w:t>
      </w:r>
      <w:r w:rsidRPr="00CF7C71">
        <w:rPr>
          <w:rFonts w:ascii="Garamond" w:hAnsi="Garamond" w:cs="Times New Roman"/>
          <w:i/>
          <w:iCs/>
          <w:color w:val="222222"/>
          <w:sz w:val="24"/>
          <w:szCs w:val="24"/>
        </w:rPr>
        <w:t>E drejta e aksesit në gjykatë</w:t>
      </w:r>
      <w:r w:rsidRPr="00CF7C71">
        <w:rPr>
          <w:rFonts w:ascii="Garamond" w:hAnsi="Garamond" w:cs="Times New Roman"/>
          <w:color w:val="222222"/>
          <w:sz w:val="24"/>
          <w:szCs w:val="24"/>
        </w:rPr>
        <w:t xml:space="preserve">, </w:t>
      </w:r>
      <w:r w:rsidRPr="00CF7C71">
        <w:rPr>
          <w:rFonts w:ascii="Garamond" w:hAnsi="Garamond" w:cs="Times New Roman"/>
          <w:color w:val="000000"/>
          <w:sz w:val="24"/>
          <w:szCs w:val="24"/>
        </w:rPr>
        <w:t>pasi sekretaria e Gjykatës së Lartë, pas shtyrjes së seancës së planifikuar për shqyrtimin e kërkesës për konstatimin e shkeljes, nuk e ka njoftuar kërkuesin për datën dhe orën e seancës së radhës.</w:t>
      </w:r>
    </w:p>
    <w:p w14:paraId="1643BEC5" w14:textId="2853E600" w:rsidR="00CF7C71" w:rsidRPr="00CF7C71" w:rsidRDefault="00CF7C71" w:rsidP="00CF7C71">
      <w:pPr>
        <w:tabs>
          <w:tab w:val="left" w:pos="5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222222"/>
          <w:sz w:val="24"/>
          <w:szCs w:val="24"/>
        </w:rPr>
        <w:t>5.3</w:t>
      </w:r>
      <w:r w:rsidRPr="00843097">
        <w:rPr>
          <w:rFonts w:ascii="Garamond" w:hAnsi="Garamond" w:cs="Times New Roman"/>
          <w:color w:val="222222"/>
          <w:sz w:val="24"/>
          <w:szCs w:val="24"/>
        </w:rPr>
        <w:t xml:space="preserve"> </w:t>
      </w:r>
      <w:r w:rsidRPr="00CF7C71">
        <w:rPr>
          <w:rFonts w:ascii="Garamond" w:hAnsi="Garamond" w:cs="Times New Roman"/>
          <w:i/>
          <w:iCs/>
          <w:color w:val="000000"/>
          <w:sz w:val="24"/>
          <w:szCs w:val="24"/>
        </w:rPr>
        <w:t xml:space="preserve">E drejta </w:t>
      </w:r>
      <w:r w:rsidRPr="00CF7C71">
        <w:rPr>
          <w:rFonts w:ascii="Garamond" w:hAnsi="Garamond" w:cs="Times New Roman"/>
          <w:i/>
          <w:iCs/>
          <w:color w:val="222222"/>
          <w:sz w:val="24"/>
          <w:szCs w:val="24"/>
        </w:rPr>
        <w:t>për t‘u gjykuar nga një gjykatë e caktuar me ligj</w:t>
      </w:r>
      <w:r w:rsidRPr="00CF7C71">
        <w:rPr>
          <w:rFonts w:ascii="Garamond" w:hAnsi="Garamond" w:cs="Times New Roman"/>
          <w:color w:val="222222"/>
          <w:sz w:val="24"/>
          <w:szCs w:val="24"/>
        </w:rPr>
        <w:t xml:space="preserve"> dhe </w:t>
      </w:r>
      <w:r w:rsidRPr="00CF7C71">
        <w:rPr>
          <w:rFonts w:ascii="Garamond" w:hAnsi="Garamond" w:cs="Times New Roman"/>
          <w:i/>
          <w:iCs/>
          <w:color w:val="222222"/>
          <w:sz w:val="24"/>
          <w:szCs w:val="24"/>
        </w:rPr>
        <w:t>parimi i gjykatës së paanshme,</w:t>
      </w:r>
      <w:r w:rsidRPr="00CF7C71">
        <w:rPr>
          <w:rFonts w:ascii="Garamond" w:hAnsi="Garamond" w:cs="Times New Roman"/>
          <w:color w:val="222222"/>
          <w:sz w:val="24"/>
          <w:szCs w:val="24"/>
        </w:rPr>
        <w:t xml:space="preserve"> pasi Kolegji Administrativ i Gjykatës së Lartë me vendimmarrjen e tij ka vepruar si një gjykatë e urdhëruar për të marrë një vendim politik ndaj kërkuesit.</w:t>
      </w:r>
    </w:p>
    <w:p w14:paraId="3FFA49E8" w14:textId="35AB46A6" w:rsidR="00CF7C71" w:rsidRPr="00CF7C71" w:rsidRDefault="00CF7C71" w:rsidP="00CF7C71">
      <w:pPr>
        <w:tabs>
          <w:tab w:val="left" w:pos="56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222222"/>
          <w:sz w:val="24"/>
          <w:szCs w:val="24"/>
        </w:rPr>
        <w:t>5.4</w:t>
      </w:r>
      <w:r w:rsidRPr="00843097">
        <w:rPr>
          <w:rFonts w:ascii="Garamond" w:hAnsi="Garamond" w:cs="Times New Roman"/>
          <w:color w:val="222222"/>
          <w:sz w:val="24"/>
          <w:szCs w:val="24"/>
        </w:rPr>
        <w:t xml:space="preserve"> </w:t>
      </w:r>
      <w:r w:rsidRPr="00CF7C71">
        <w:rPr>
          <w:rFonts w:ascii="Garamond" w:hAnsi="Garamond" w:cs="Times New Roman"/>
          <w:i/>
          <w:iCs/>
          <w:color w:val="222222"/>
          <w:sz w:val="24"/>
          <w:szCs w:val="24"/>
        </w:rPr>
        <w:t>Parimi i sigurisë juridike,</w:t>
      </w:r>
      <w:r w:rsidRPr="00CF7C71">
        <w:rPr>
          <w:rFonts w:ascii="Garamond" w:hAnsi="Garamond" w:cs="Times New Roman"/>
          <w:color w:val="222222"/>
          <w:sz w:val="24"/>
          <w:szCs w:val="24"/>
        </w:rPr>
        <w:t xml:space="preserve"> pasi tejkalimi i çdo afati të arsyeshëm në gjykimin e çështjes së largimit të padrejtë nga puna të kërkuesit ka cenuar pritshmëritë e ligjshme të tij për zgjidhjen e mosmarrëveshjes me një vendim të formës së prerë.</w:t>
      </w:r>
    </w:p>
    <w:p w14:paraId="7FF227E9" w14:textId="572BB482" w:rsidR="00CF7C71" w:rsidRPr="00CF7C71" w:rsidRDefault="00CF7C71" w:rsidP="00CF7C71">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6.</w:t>
      </w:r>
      <w:r w:rsidRPr="00843097">
        <w:rPr>
          <w:rFonts w:ascii="Garamond" w:hAnsi="Garamond" w:cs="Times New Roman"/>
          <w:color w:val="000000"/>
          <w:sz w:val="24"/>
          <w:szCs w:val="24"/>
        </w:rPr>
        <w:t xml:space="preserve"> </w:t>
      </w:r>
      <w:r w:rsidRPr="00CF7C71">
        <w:rPr>
          <w:rFonts w:ascii="Garamond" w:hAnsi="Garamond" w:cs="Times New Roman"/>
          <w:b/>
          <w:bCs/>
          <w:i/>
          <w:iCs/>
          <w:color w:val="000000"/>
          <w:sz w:val="24"/>
          <w:szCs w:val="24"/>
        </w:rPr>
        <w:t>Subjekti i interesuar,</w:t>
      </w:r>
      <w:r w:rsidRPr="00CF7C71">
        <w:rPr>
          <w:rFonts w:ascii="Garamond" w:hAnsi="Garamond" w:cs="Times New Roman"/>
          <w:i/>
          <w:iCs/>
          <w:color w:val="000000"/>
          <w:sz w:val="24"/>
          <w:szCs w:val="24"/>
        </w:rPr>
        <w:t xml:space="preserve"> </w:t>
      </w:r>
      <w:r w:rsidRPr="00CF7C71">
        <w:rPr>
          <w:rFonts w:ascii="Garamond" w:hAnsi="Garamond" w:cs="Times New Roman"/>
          <w:b/>
          <w:bCs/>
          <w:i/>
          <w:iCs/>
          <w:color w:val="000000"/>
          <w:sz w:val="24"/>
          <w:szCs w:val="24"/>
        </w:rPr>
        <w:t>DAP-i</w:t>
      </w:r>
      <w:r w:rsidRPr="00CF7C71">
        <w:rPr>
          <w:rFonts w:ascii="Garamond" w:hAnsi="Garamond" w:cs="Times New Roman"/>
          <w:color w:val="000000"/>
          <w:sz w:val="24"/>
          <w:szCs w:val="24"/>
        </w:rPr>
        <w:t>, në mënyrë të përmbledhur, është shprehur se çështja gjyqësore e largimit të kërkuesit nga puna duhet të përshpejtohet.</w:t>
      </w:r>
    </w:p>
    <w:p w14:paraId="07F225A9" w14:textId="450222F1" w:rsidR="00CF7C71" w:rsidRPr="00CF7C71" w:rsidRDefault="00CF7C71" w:rsidP="00CF7C71">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7.</w:t>
      </w:r>
      <w:r w:rsidRPr="00843097">
        <w:rPr>
          <w:rFonts w:ascii="Garamond" w:hAnsi="Garamond" w:cs="Times New Roman"/>
          <w:color w:val="000000"/>
          <w:sz w:val="24"/>
          <w:szCs w:val="24"/>
        </w:rPr>
        <w:t xml:space="preserve"> </w:t>
      </w:r>
      <w:r w:rsidRPr="00CF7C71">
        <w:rPr>
          <w:rFonts w:ascii="Garamond" w:hAnsi="Garamond" w:cs="Times New Roman"/>
          <w:b/>
          <w:bCs/>
          <w:i/>
          <w:iCs/>
          <w:color w:val="000000"/>
          <w:sz w:val="24"/>
          <w:szCs w:val="24"/>
        </w:rPr>
        <w:t>Subjekti i interesuar, Agjencia</w:t>
      </w:r>
      <w:r w:rsidRPr="00CF7C71">
        <w:rPr>
          <w:rFonts w:ascii="Garamond" w:hAnsi="Garamond" w:cs="Times New Roman"/>
          <w:color w:val="000000"/>
          <w:sz w:val="24"/>
          <w:szCs w:val="24"/>
        </w:rPr>
        <w:t>, nuk ka paraqitur prapësime me shkrim, edhe pse është njoftuar rregullisht.</w:t>
      </w:r>
    </w:p>
    <w:p w14:paraId="6F9B7C5D" w14:textId="77777777" w:rsidR="00CF7C71" w:rsidRPr="00CF7C71" w:rsidRDefault="00CF7C71" w:rsidP="00CF7C71">
      <w:pPr>
        <w:tabs>
          <w:tab w:val="left" w:pos="980"/>
        </w:tabs>
        <w:autoSpaceDE w:val="0"/>
        <w:autoSpaceDN w:val="0"/>
        <w:adjustRightInd w:val="0"/>
        <w:spacing w:after="0" w:line="240" w:lineRule="auto"/>
        <w:ind w:firstLine="284"/>
        <w:jc w:val="both"/>
        <w:rPr>
          <w:rFonts w:ascii="Garamond" w:hAnsi="Garamond" w:cs="Times New Roman"/>
          <w:color w:val="000000"/>
          <w:sz w:val="16"/>
          <w:szCs w:val="16"/>
        </w:rPr>
      </w:pPr>
    </w:p>
    <w:p w14:paraId="3AFEEFED"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III</w:t>
      </w:r>
    </w:p>
    <w:p w14:paraId="61471F8D"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CF7C71">
        <w:rPr>
          <w:rFonts w:ascii="Garamond" w:hAnsi="Garamond" w:cs="Times New Roman"/>
          <w:b/>
          <w:bCs/>
          <w:color w:val="000000"/>
          <w:sz w:val="24"/>
          <w:szCs w:val="24"/>
        </w:rPr>
        <w:t>Vlerësimi i Gjykatës Kushtetuese</w:t>
      </w:r>
    </w:p>
    <w:p w14:paraId="7C38578E" w14:textId="77777777" w:rsidR="00843097" w:rsidRPr="00843097" w:rsidRDefault="00843097" w:rsidP="00CF7C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009256DE" w14:textId="48D3B0F4"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F7C71">
        <w:rPr>
          <w:rFonts w:ascii="Garamond" w:hAnsi="Garamond" w:cs="Times New Roman"/>
          <w:i/>
          <w:iCs/>
          <w:color w:val="000000"/>
          <w:sz w:val="24"/>
          <w:szCs w:val="24"/>
        </w:rPr>
        <w:t>A.</w:t>
      </w:r>
      <w:r w:rsidRPr="00843097">
        <w:rPr>
          <w:rFonts w:ascii="Garamond" w:hAnsi="Garamond" w:cs="Times New Roman"/>
          <w:i/>
          <w:iCs/>
          <w:color w:val="000000"/>
          <w:sz w:val="24"/>
          <w:szCs w:val="24"/>
        </w:rPr>
        <w:t xml:space="preserve"> </w:t>
      </w:r>
      <w:r w:rsidRPr="00CF7C71">
        <w:rPr>
          <w:rFonts w:ascii="Garamond" w:hAnsi="Garamond" w:cs="Times New Roman"/>
          <w:i/>
          <w:iCs/>
          <w:color w:val="000000"/>
          <w:sz w:val="24"/>
          <w:szCs w:val="24"/>
        </w:rPr>
        <w:t xml:space="preserve">Për legjitimimin e kërkuesit </w:t>
      </w:r>
    </w:p>
    <w:p w14:paraId="091B32AE" w14:textId="2DFACB1B" w:rsidR="00CF7C71" w:rsidRPr="00CF7C71" w:rsidRDefault="00CF7C71" w:rsidP="00CF7C71">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8.</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Çështja e legjitimimit (</w:t>
      </w:r>
      <w:r w:rsidRPr="00CF7C71">
        <w:rPr>
          <w:rFonts w:ascii="Garamond" w:hAnsi="Garamond" w:cs="Times New Roman"/>
          <w:i/>
          <w:iCs/>
          <w:color w:val="000000"/>
          <w:sz w:val="24"/>
          <w:szCs w:val="24"/>
        </w:rPr>
        <w:t>locus standi</w:t>
      </w:r>
      <w:r w:rsidRPr="00CF7C71">
        <w:rPr>
          <w:rFonts w:ascii="Garamond" w:hAnsi="Garamond" w:cs="Times New Roman"/>
          <w:color w:val="000000"/>
          <w:sz w:val="24"/>
          <w:szCs w:val="24"/>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7374013F" w14:textId="2988008C"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9.</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Gjykata vlerëson se kërkuesi, si bartës i të drejtave dhe lirive themelore të parashikuara nga Kushtetuta, legjitimohet </w:t>
      </w:r>
      <w:r w:rsidRPr="00CF7C71">
        <w:rPr>
          <w:rFonts w:ascii="Garamond" w:hAnsi="Garamond" w:cs="Times New Roman"/>
          <w:i/>
          <w:iCs/>
          <w:color w:val="000000"/>
          <w:sz w:val="24"/>
          <w:szCs w:val="24"/>
        </w:rPr>
        <w:t>ratione personae</w:t>
      </w:r>
      <w:r w:rsidRPr="00CF7C71">
        <w:rPr>
          <w:rFonts w:ascii="Garamond" w:hAnsi="Garamond" w:cs="Times New Roman"/>
          <w:color w:val="000000"/>
          <w:sz w:val="24"/>
          <w:szCs w:val="24"/>
        </w:rPr>
        <w:t xml:space="preserve">, bazuar në nenet 131, pika 1, shkronja “f” dhe 134, pika 1, </w:t>
      </w:r>
      <w:r w:rsidRPr="00CF7C71">
        <w:rPr>
          <w:rFonts w:ascii="Garamond" w:hAnsi="Garamond" w:cs="Times New Roman"/>
          <w:color w:val="000000"/>
          <w:sz w:val="24"/>
          <w:szCs w:val="24"/>
        </w:rPr>
        <w:lastRenderedPageBreak/>
        <w:t>shkronja “i”, të Kushtetutës, pasi është palë ndërgjyqëse në gjykimin administrativ të largimit të tij nga detyra, për të cilin ka pretenduar cenimin e procesit të rregullt ligjor.</w:t>
      </w:r>
    </w:p>
    <w:p w14:paraId="4460B088" w14:textId="7CAF4B5B"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10.</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lidhje me </w:t>
      </w:r>
      <w:r w:rsidRPr="00CF7C71">
        <w:rPr>
          <w:rFonts w:ascii="Garamond" w:hAnsi="Garamond" w:cs="Times New Roman"/>
          <w:i/>
          <w:iCs/>
          <w:color w:val="000000"/>
          <w:sz w:val="24"/>
          <w:szCs w:val="24"/>
        </w:rPr>
        <w:t>shterimin e mjeteve juridike efektive</w:t>
      </w:r>
      <w:r w:rsidRPr="00CF7C71">
        <w:rPr>
          <w:rFonts w:ascii="Garamond" w:hAnsi="Garamond" w:cs="Times New Roman"/>
          <w:color w:val="000000"/>
          <w:sz w:val="24"/>
          <w:szCs w:val="24"/>
        </w:rPr>
        <w:t xml:space="preserve">, Gjykata vëren se kërkuesi, bazuar në nenet 399/2 e vijues të Kodit të Procedurës Civile </w:t>
      </w:r>
      <w:r w:rsidRPr="00CF7C71">
        <w:rPr>
          <w:rFonts w:ascii="Garamond" w:hAnsi="Garamond" w:cs="Times New Roman"/>
          <w:i/>
          <w:iCs/>
          <w:color w:val="000000"/>
          <w:sz w:val="24"/>
          <w:szCs w:val="24"/>
        </w:rPr>
        <w:t>(KPC)</w:t>
      </w:r>
      <w:r w:rsidRPr="00CF7C71">
        <w:rPr>
          <w:rFonts w:ascii="Garamond" w:hAnsi="Garamond" w:cs="Times New Roman"/>
          <w:color w:val="000000"/>
          <w:sz w:val="24"/>
          <w:szCs w:val="24"/>
        </w:rPr>
        <w:t xml:space="preserve">, i është drejtuar Gjykatës së Lartë me kërkesë për konstatimin e shkeljes, kërkesë e cila është rrëzuar me vendimin nr. 00-2023-3812, datë 12.10.2023. Për rrjedhojë, i vetmi mjet në dispozicion të kërkuesit për rivendosjen në vend të së drejtës së cenuar është ankimi kushtetues individual. </w:t>
      </w:r>
    </w:p>
    <w:p w14:paraId="4C611D29" w14:textId="4AC0687C"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11.</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Për sa i takon afatit të paraqitjes së ankimit kushtetues, kërkuesi i është drejtuar Gjykatës </w:t>
      </w:r>
      <w:r w:rsidR="005B6DAC">
        <w:rPr>
          <w:rFonts w:ascii="Garamond" w:hAnsi="Garamond" w:cs="Times New Roman"/>
          <w:color w:val="000000"/>
          <w:sz w:val="24"/>
          <w:szCs w:val="24"/>
        </w:rPr>
        <w:t>m</w:t>
      </w:r>
      <w:r w:rsidRPr="00CF7C71">
        <w:rPr>
          <w:rFonts w:ascii="Garamond" w:hAnsi="Garamond" w:cs="Times New Roman"/>
          <w:color w:val="000000"/>
          <w:sz w:val="24"/>
          <w:szCs w:val="24"/>
        </w:rPr>
        <w:t xml:space="preserve">ë datë 1.3.2024. Ndërkohë, vendimi i Gjykatës së Lartë që ka rrëzuar kërkesën për konstatimin e shkeljes është dhënë </w:t>
      </w:r>
      <w:r w:rsidR="00976AAD">
        <w:rPr>
          <w:rFonts w:ascii="Garamond" w:hAnsi="Garamond" w:cs="Times New Roman"/>
          <w:color w:val="000000"/>
          <w:sz w:val="24"/>
          <w:szCs w:val="24"/>
        </w:rPr>
        <w:t>m</w:t>
      </w:r>
      <w:r w:rsidRPr="00CF7C71">
        <w:rPr>
          <w:rFonts w:ascii="Garamond" w:hAnsi="Garamond" w:cs="Times New Roman"/>
          <w:color w:val="000000"/>
          <w:sz w:val="24"/>
          <w:szCs w:val="24"/>
        </w:rPr>
        <w:t xml:space="preserve">ë datë 12.10.2023, por është bërë i disponueshëm për palët dhe është publikuar në faqen zyrtare </w:t>
      </w:r>
      <w:r w:rsidR="00976AAD">
        <w:rPr>
          <w:rFonts w:ascii="Garamond" w:hAnsi="Garamond" w:cs="Times New Roman"/>
          <w:color w:val="000000"/>
          <w:sz w:val="24"/>
          <w:szCs w:val="24"/>
        </w:rPr>
        <w:t>m</w:t>
      </w:r>
      <w:r w:rsidR="00976AAD" w:rsidRPr="00CF7C71">
        <w:rPr>
          <w:rFonts w:ascii="Garamond" w:hAnsi="Garamond" w:cs="Times New Roman"/>
          <w:color w:val="000000"/>
          <w:sz w:val="24"/>
          <w:szCs w:val="24"/>
        </w:rPr>
        <w:t xml:space="preserve">ë datë </w:t>
      </w:r>
      <w:r w:rsidRPr="00CF7C71">
        <w:rPr>
          <w:rFonts w:ascii="Garamond" w:hAnsi="Garamond" w:cs="Times New Roman"/>
          <w:color w:val="000000"/>
          <w:sz w:val="24"/>
          <w:szCs w:val="24"/>
        </w:rPr>
        <w:t xml:space="preserve">10.11.2023. Për rrjedhojë, Gjykata vlerëson se kërkuesi legjitimohet edhe </w:t>
      </w:r>
      <w:r w:rsidRPr="00CF7C71">
        <w:rPr>
          <w:rFonts w:ascii="Garamond" w:hAnsi="Garamond" w:cs="Times New Roman"/>
          <w:i/>
          <w:iCs/>
          <w:color w:val="000000"/>
          <w:sz w:val="24"/>
          <w:szCs w:val="24"/>
        </w:rPr>
        <w:t>ratione temporis</w:t>
      </w:r>
      <w:r w:rsidRPr="00CF7C71">
        <w:rPr>
          <w:rFonts w:ascii="Garamond" w:hAnsi="Garamond" w:cs="Times New Roman"/>
          <w:color w:val="000000"/>
          <w:sz w:val="24"/>
          <w:szCs w:val="24"/>
        </w:rPr>
        <w:t>, sepse jo vetëm që shkelja është vazhduese, por edhe ankimi kushtetues individual është paraqitur brenda afatit 4-mujor të parashikuar nga neni 71/a, pika 1, shkronja “b”, i ligjit nr. 8577/2000.</w:t>
      </w:r>
    </w:p>
    <w:p w14:paraId="44A879DF" w14:textId="0A0E918F"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12.</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drejtim të legjitimimit </w:t>
      </w:r>
      <w:r w:rsidRPr="00CF7C71">
        <w:rPr>
          <w:rFonts w:ascii="Garamond" w:hAnsi="Garamond" w:cs="Times New Roman"/>
          <w:i/>
          <w:iCs/>
          <w:color w:val="000000"/>
          <w:sz w:val="24"/>
          <w:szCs w:val="24"/>
        </w:rPr>
        <w:t>ratione materiae</w:t>
      </w:r>
      <w:r w:rsidRPr="00CF7C71">
        <w:rPr>
          <w:rFonts w:ascii="Garamond" w:hAnsi="Garamond" w:cs="Times New Roman"/>
          <w:color w:val="000000"/>
          <w:sz w:val="24"/>
          <w:szCs w:val="24"/>
        </w:rPr>
        <w:t xml:space="preserve">, Gjykata vëren se kërkuesi, në thelb, ka pretenduar se gjykata e apelit dhe Gjykata e Lartë nuk i kanë garantuar atij të drejtën kushtetuese për gjykimin e çështjes së largimit nga detyra brenda një afati të arsyeshëm dhe, po kështu, kërkesa për konstatimin e shkeljes nuk i është nënshtruar një procesi të rregullt ligjor, në aspektet e aksesit në gjykatë, gjykatës së caktuar me ligj, gjykatës së paanshme dhe sigurisë juridike. Gjykata, duke mbajtur në konsideratë se pretendimi kryesor i kërkuesit lidhet me të drejtën kushtetuese për gjykimin e çështjes brenda afatit të arsyeshëm, se procesi për konstatimin e shkeljes së afatit të arsyeshëm që zhvillohet nga gjykatat e zakonshme ka natyrë subsidiare dhe se kontrolli kushtetues i kësaj të drejte ushtrohet duke analizuar edhe sjelljen e autoriteteve, përfshirë ato të gjykatave të zakonshme, çmon t’i shqyrtojë pretendimet e kërkuesit në këndvështrim të së drejtës për gjykim brenda një afati të arsyeshëm. </w:t>
      </w:r>
    </w:p>
    <w:p w14:paraId="6ABE65B5" w14:textId="77777777"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i/>
          <w:iCs/>
          <w:color w:val="000000"/>
          <w:sz w:val="24"/>
          <w:szCs w:val="24"/>
        </w:rPr>
        <w:t>B. Për themelin e pretendimeve</w:t>
      </w:r>
    </w:p>
    <w:p w14:paraId="2550CCC3" w14:textId="77B957E4"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i/>
          <w:iCs/>
          <w:color w:val="000000"/>
          <w:sz w:val="24"/>
          <w:szCs w:val="24"/>
        </w:rPr>
        <w:t>B.1 Për cenimin e së drejtës për gjykim brenda një afati të arsyeshëm</w:t>
      </w:r>
    </w:p>
    <w:p w14:paraId="27CC1FEB" w14:textId="5CE5FD45"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13.</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Kërkuesi ka pretenduar cenimin e së drejtës për gjykim brenda një afati të arsyeshëm ligjor, pasi çështja e tij është në pritje për t’u shqyrtuar në shkallë të dytë prej më shumë se 4 vjetësh. Sipas tij, Gjykata e Lartë ka vendosur rrëzimin e kërkesës për konstatimin e shkeljes duke mos respektuar afatin ligjor 45-ditor dhe duke kryer një sërë shkeljesh të të drejtave të kërkuesit. </w:t>
      </w:r>
    </w:p>
    <w:p w14:paraId="5CF1545C" w14:textId="630D2B78"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14.</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Subjekti i interesuar, DAP-i, ka mbajtur qëndrimin se gjykimi brenda një afati të arsyeshëm është në favor të të gjitha palëve, përfshirë këtu edhe organet publike, si DAP-i, pasi vonesat rrisin dëmin në buxhetin e shtetit dhe vështirësojnë ekzekutimin e vendimit. </w:t>
      </w:r>
    </w:p>
    <w:p w14:paraId="313E2D08" w14:textId="54EBE9FE"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15.</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Neni 42 i Kushtetutës parashikon, ndër të tjera, se kushdo, për mbrojtjen e të drejtave të tij kushtetuese dhe ligjore, ka të drejtën e një gjykimi të drejtë brenda një afati të arsyeshëm. Në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Pr="00CF7C71">
        <w:rPr>
          <w:rFonts w:ascii="Garamond" w:hAnsi="Garamond" w:cs="Times New Roman"/>
          <w:i/>
          <w:iCs/>
          <w:color w:val="000000"/>
          <w:sz w:val="24"/>
          <w:szCs w:val="24"/>
        </w:rPr>
        <w:t>(shih vendimet nr. 46, datë 3.10.2023; nr. 6, datë 16.2.2023; nr. 13, datë 26.5.2022 të Gjykatës Kushtetuese)</w:t>
      </w:r>
      <w:r w:rsidRPr="00CF7C71">
        <w:rPr>
          <w:rFonts w:ascii="Garamond" w:hAnsi="Garamond" w:cs="Times New Roman"/>
          <w:color w:val="000000"/>
          <w:sz w:val="24"/>
          <w:szCs w:val="24"/>
        </w:rPr>
        <w:t>.</w:t>
      </w:r>
    </w:p>
    <w:p w14:paraId="39525D0E" w14:textId="72931609"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16.</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çështjen konkrete, Gjykata konstaton se mosmarrëveshja që po gjykohet nga gjykatat e juridiksionit të zakonshëm lidhet me marrëdhënien e punësimit të kërkuesit. Procesi gjyqësor ka filluar në shkallë të parë në vitin 2019 dhe pas dhënies së vendimit në favor të kërkuesit nga Gjykata Administrative e Shkallës së Parë Tiranë </w:t>
      </w:r>
      <w:r w:rsidR="005B6DAC">
        <w:rPr>
          <w:rFonts w:ascii="Garamond" w:hAnsi="Garamond" w:cs="Times New Roman"/>
          <w:color w:val="000000"/>
          <w:sz w:val="24"/>
          <w:szCs w:val="24"/>
        </w:rPr>
        <w:t>m</w:t>
      </w:r>
      <w:r w:rsidRPr="00CF7C71">
        <w:rPr>
          <w:rFonts w:ascii="Garamond" w:hAnsi="Garamond" w:cs="Times New Roman"/>
          <w:color w:val="000000"/>
          <w:sz w:val="24"/>
          <w:szCs w:val="24"/>
        </w:rPr>
        <w:t xml:space="preserve">ë datë 8.5.2019, subjektet e interesuara kanë paraqitur apel. Çështja është regjistruar në Gjykatën Administrative të Apelit </w:t>
      </w:r>
      <w:r w:rsidR="005B6DAC">
        <w:rPr>
          <w:rFonts w:ascii="Garamond" w:hAnsi="Garamond" w:cs="Times New Roman"/>
          <w:color w:val="000000"/>
          <w:sz w:val="24"/>
          <w:szCs w:val="24"/>
        </w:rPr>
        <w:t>m</w:t>
      </w:r>
      <w:r w:rsidRPr="00CF7C71">
        <w:rPr>
          <w:rFonts w:ascii="Garamond" w:hAnsi="Garamond" w:cs="Times New Roman"/>
          <w:color w:val="000000"/>
          <w:sz w:val="24"/>
          <w:szCs w:val="24"/>
        </w:rPr>
        <w:t xml:space="preserve">ë datë 28.6.2019 dhe deri </w:t>
      </w:r>
      <w:r w:rsidR="005B6DAC">
        <w:rPr>
          <w:rFonts w:ascii="Garamond" w:hAnsi="Garamond" w:cs="Times New Roman"/>
          <w:color w:val="000000"/>
          <w:sz w:val="24"/>
          <w:szCs w:val="24"/>
        </w:rPr>
        <w:t>m</w:t>
      </w:r>
      <w:r w:rsidRPr="00CF7C71">
        <w:rPr>
          <w:rFonts w:ascii="Garamond" w:hAnsi="Garamond" w:cs="Times New Roman"/>
          <w:color w:val="000000"/>
          <w:sz w:val="24"/>
          <w:szCs w:val="24"/>
        </w:rPr>
        <w:t xml:space="preserve">ë datë 9.9.2024 nuk ka ende një datë të planifikuar për gjykim nga gjyqtari relator, pra ndonëse kanë kaluar më shumë se 5 vjet, ende nuk ka një vendimmarrje për çështjen. </w:t>
      </w:r>
    </w:p>
    <w:p w14:paraId="27C8B110" w14:textId="3386469F"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17.</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Duke iu referuar objektit të mosmarrëveshjes gjyqësore, Gjykata vëren se neni 399/2, pika 1, shkronja “a”, i KPC-së ka përcaktuar se përbën afat të arsyeshëm përfundimi i gjykimit administrativ në gjykatën e apelit brenda një viti. Kjo do të thotë se gjykimi i çështjes konkrete në </w:t>
      </w:r>
      <w:r w:rsidRPr="00CF7C71">
        <w:rPr>
          <w:rFonts w:ascii="Garamond" w:hAnsi="Garamond" w:cs="Times New Roman"/>
          <w:color w:val="000000"/>
          <w:sz w:val="24"/>
          <w:szCs w:val="24"/>
        </w:rPr>
        <w:lastRenderedPageBreak/>
        <w:t>Gjykatën Administrative të Apelit është tejzgjatur, ndaj për të vlerësuar nëse kërkuesit i është cenuar e drejta kushtetuese për gjykim brenda afatit të arsyeshëm, Gjykata do të analizojë rrethanat e veçanta të çështjes konkrete dhe kriteret e vendosura nga jurisprudenca kushtetuese që lidhen me: (i) sjelljen e kërkuesit; (ii) kompleksitetin e çështjes; (iii) sjelljen e autoriteteve; (iv) rëndësinë e asaj çfarë rrezikon kërkuesi (</w:t>
      </w:r>
      <w:r w:rsidRPr="00CF7C71">
        <w:rPr>
          <w:rFonts w:ascii="Garamond" w:hAnsi="Garamond" w:cs="Times New Roman"/>
          <w:i/>
          <w:iCs/>
          <w:color w:val="000000"/>
          <w:sz w:val="24"/>
          <w:szCs w:val="24"/>
        </w:rPr>
        <w:t>shih vendimet nr. 46, datë 3.10.2023; nr. 6, datë 16.2.2023; nr. 13, datë 26.5.2022 të Gjykatës Kushtetuese</w:t>
      </w:r>
      <w:r w:rsidRPr="00CF7C71">
        <w:rPr>
          <w:rFonts w:ascii="Garamond" w:hAnsi="Garamond" w:cs="Times New Roman"/>
          <w:color w:val="000000"/>
          <w:sz w:val="24"/>
          <w:szCs w:val="24"/>
        </w:rPr>
        <w:t xml:space="preserve">). </w:t>
      </w:r>
    </w:p>
    <w:p w14:paraId="593D7785" w14:textId="32E5C368"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18.</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Për sa i takon </w:t>
      </w:r>
      <w:r w:rsidRPr="00CF7C71">
        <w:rPr>
          <w:rFonts w:ascii="Garamond" w:hAnsi="Garamond" w:cs="Times New Roman"/>
          <w:i/>
          <w:iCs/>
          <w:color w:val="000000"/>
          <w:sz w:val="24"/>
          <w:szCs w:val="24"/>
        </w:rPr>
        <w:t>sjelljes së kërkuesit</w:t>
      </w:r>
      <w:r w:rsidRPr="00CF7C71">
        <w:rPr>
          <w:rFonts w:ascii="Garamond" w:hAnsi="Garamond" w:cs="Times New Roman"/>
          <w:color w:val="000000"/>
          <w:sz w:val="24"/>
          <w:szCs w:val="24"/>
        </w:rPr>
        <w:t>, merr rëndësi të analizohen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CF7C71">
        <w:rPr>
          <w:rFonts w:ascii="Garamond" w:hAnsi="Garamond" w:cs="Times New Roman"/>
          <w:i/>
          <w:iCs/>
          <w:color w:val="000000"/>
          <w:sz w:val="24"/>
          <w:szCs w:val="24"/>
        </w:rPr>
        <w:t>shih vendimet nr. 6, datë 16.2.2023; nr. 37, datë 5.11.2021; nr. 35, datë 1.11.2021 të Gjykatës Kushtetuese</w:t>
      </w:r>
      <w:r w:rsidRPr="00CF7C71">
        <w:rPr>
          <w:rFonts w:ascii="Garamond" w:hAnsi="Garamond" w:cs="Times New Roman"/>
          <w:color w:val="000000"/>
          <w:sz w:val="24"/>
          <w:szCs w:val="24"/>
        </w:rPr>
        <w:t xml:space="preserve">). </w:t>
      </w:r>
    </w:p>
    <w:p w14:paraId="261F18D0" w14:textId="0631B16C"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19.</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Gjykata vëren se kërkuesi, pasi ka pritur dhe ka konstatuar se nuk ishte planifikuar një datë për shqyrtimin e ankimit në Gjykatën Administrative të Apelit, i është drejtuar fillimisht Gjykatës së Lartë, me kërkesën e regjistruar </w:t>
      </w:r>
      <w:r w:rsidR="00A76CDE">
        <w:rPr>
          <w:rFonts w:ascii="Garamond" w:hAnsi="Garamond" w:cs="Times New Roman"/>
          <w:color w:val="000000"/>
          <w:sz w:val="24"/>
          <w:szCs w:val="24"/>
        </w:rPr>
        <w:t>m</w:t>
      </w:r>
      <w:r w:rsidR="00A76CDE" w:rsidRPr="00CF7C71">
        <w:rPr>
          <w:rFonts w:ascii="Garamond" w:hAnsi="Garamond" w:cs="Times New Roman"/>
          <w:color w:val="000000"/>
          <w:sz w:val="24"/>
          <w:szCs w:val="24"/>
        </w:rPr>
        <w:t xml:space="preserve">ë datë </w:t>
      </w:r>
      <w:r w:rsidRPr="00CF7C71">
        <w:rPr>
          <w:rFonts w:ascii="Garamond" w:hAnsi="Garamond" w:cs="Times New Roman"/>
          <w:color w:val="000000"/>
          <w:sz w:val="24"/>
          <w:szCs w:val="24"/>
        </w:rPr>
        <w:t xml:space="preserve">13.6.2023, për konstatimin e shkeljes së afatit të arsyeshëm, në përputhje me parashikimet e neneve 399/1 e vijues të KPC-së. Kjo kërkesë është rrëzuar nga Gjykata e Lartë </w:t>
      </w:r>
      <w:r w:rsidR="00A76CDE">
        <w:rPr>
          <w:rFonts w:ascii="Garamond" w:hAnsi="Garamond" w:cs="Times New Roman"/>
          <w:color w:val="000000"/>
          <w:sz w:val="24"/>
          <w:szCs w:val="24"/>
        </w:rPr>
        <w:t>m</w:t>
      </w:r>
      <w:r w:rsidR="00A76CDE" w:rsidRPr="00CF7C71">
        <w:rPr>
          <w:rFonts w:ascii="Garamond" w:hAnsi="Garamond" w:cs="Times New Roman"/>
          <w:color w:val="000000"/>
          <w:sz w:val="24"/>
          <w:szCs w:val="24"/>
        </w:rPr>
        <w:t xml:space="preserve">ë datë </w:t>
      </w:r>
      <w:r w:rsidRPr="00CF7C71">
        <w:rPr>
          <w:rFonts w:ascii="Garamond" w:hAnsi="Garamond" w:cs="Times New Roman"/>
          <w:color w:val="000000"/>
          <w:sz w:val="24"/>
          <w:szCs w:val="24"/>
        </w:rPr>
        <w:t>12.10.2023 dhe sërish çështja ka mbetur pa veprime, në pritje të planifikimit për një datë shqyrtimi. Kërkuesi, pasi është njohur me vendimin e Gjykatës së Lartë, ka paraqitur ankim kushtetues individual, sipas objektit. Për rrjedhojë, Gjykata çmon se sjellja e kërkuesit nuk është bërë shkak për tejzgjatjen e gjykimit të çështjes së tij.</w:t>
      </w:r>
    </w:p>
    <w:p w14:paraId="1207A1D5" w14:textId="217BE037"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F7C71">
        <w:rPr>
          <w:rFonts w:ascii="Garamond" w:hAnsi="Garamond" w:cs="Times New Roman"/>
          <w:color w:val="000000"/>
          <w:sz w:val="24"/>
          <w:szCs w:val="24"/>
        </w:rPr>
        <w:t>20.</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lidhje me </w:t>
      </w:r>
      <w:r w:rsidRPr="00CF7C71">
        <w:rPr>
          <w:rFonts w:ascii="Garamond" w:hAnsi="Garamond" w:cs="Times New Roman"/>
          <w:i/>
          <w:iCs/>
          <w:color w:val="000000"/>
          <w:sz w:val="24"/>
          <w:szCs w:val="24"/>
        </w:rPr>
        <w:t>kompleksitetin e çështjes</w:t>
      </w:r>
      <w:r w:rsidRPr="00CF7C71">
        <w:rPr>
          <w:rFonts w:ascii="Garamond" w:hAnsi="Garamond" w:cs="Times New Roman"/>
          <w:color w:val="000000"/>
          <w:sz w:val="24"/>
          <w:szCs w:val="24"/>
        </w:rPr>
        <w:t xml:space="preserve">, Gjykata vëren se çështja ka në objektin e saj marrëdhëniet e punësimit të kërkuesit, sipas legjislacionit të Shërbimit Civil. Gjykimi në shkallën e parë është zhvilluar në seancë gjyqësore publike dhe krahas kërkuesit në gjykim janë thirrur si palë ndërgjyqëse Agjencia dhe DAP-i. Gjykata Administrative e Shkallës së Parë e ka përfunduar gjykimin brenda pak muajve dhe ka vendosur pranimin e padisë. Për rrjedhojë, Gjykata çmon se çështja e kërkuesit nuk paraqitet komplekse që të justifikojë kohëzgjatjen e shqyrtimit të saj prej më shumë se 5 vjetësh në shkallë të dytë. </w:t>
      </w:r>
    </w:p>
    <w:p w14:paraId="49D819AE" w14:textId="6F5A566B"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21.</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lidhje me </w:t>
      </w:r>
      <w:r w:rsidRPr="00CF7C71">
        <w:rPr>
          <w:rFonts w:ascii="Garamond" w:hAnsi="Garamond" w:cs="Times New Roman"/>
          <w:i/>
          <w:iCs/>
          <w:color w:val="000000"/>
          <w:sz w:val="24"/>
          <w:szCs w:val="24"/>
        </w:rPr>
        <w:t>sjelljen e autoriteteve</w:t>
      </w:r>
      <w:r w:rsidRPr="00CF7C71">
        <w:rPr>
          <w:rFonts w:ascii="Garamond" w:hAnsi="Garamond" w:cs="Times New Roman"/>
          <w:color w:val="000000"/>
          <w:sz w:val="24"/>
          <w:szCs w:val="24"/>
        </w:rPr>
        <w:t>, Gjykata konstaton se ankimi në çështjen e kërkuesit për marrëdhëniet e punësimit është në pritje për shqyrtim prej më shumë se 5 vjetësh në Gjykatën Administrative të Apelit. Ai i është caktuar me short pesë gjyqtarëve, konkretisht në datat 2.7.2019, 20.5.2022, 9.3.2023, 14.9.2023 dhe 24.11.2023, për shkak të organizimit të brendshëm të punës në atë gjykatë. Lloji i çështjes së kërkuesit përfshihet në grupin e çështjeve të parashikuara si prioritare për shqyrtim nga shkronja “gj” e pikës 3.1 të vendimit nr. 78, datë 30.5.2019 të Këshillit të Lartë Gjyqësor (</w:t>
      </w:r>
      <w:r w:rsidRPr="00CF7C71">
        <w:rPr>
          <w:rFonts w:ascii="Garamond" w:hAnsi="Garamond" w:cs="Times New Roman"/>
          <w:i/>
          <w:iCs/>
          <w:color w:val="000000"/>
          <w:sz w:val="24"/>
          <w:szCs w:val="24"/>
        </w:rPr>
        <w:t>KLGJ</w:t>
      </w:r>
      <w:r w:rsidRPr="00CF7C71">
        <w:rPr>
          <w:rFonts w:ascii="Garamond" w:hAnsi="Garamond" w:cs="Times New Roman"/>
          <w:color w:val="000000"/>
          <w:sz w:val="24"/>
          <w:szCs w:val="24"/>
        </w:rPr>
        <w:t>) “Për kalendarin e shqyrtimit të çështjeve në gjykatën e apelit” (</w:t>
      </w:r>
      <w:r w:rsidRPr="00CF7C71">
        <w:rPr>
          <w:rFonts w:ascii="Garamond" w:hAnsi="Garamond" w:cs="Times New Roman"/>
          <w:i/>
          <w:iCs/>
          <w:color w:val="000000"/>
          <w:sz w:val="24"/>
          <w:szCs w:val="24"/>
        </w:rPr>
        <w:t>vendimi nr. 78/2019</w:t>
      </w:r>
      <w:r w:rsidRPr="00CF7C71">
        <w:rPr>
          <w:rFonts w:ascii="Garamond" w:hAnsi="Garamond" w:cs="Times New Roman"/>
          <w:color w:val="000000"/>
          <w:sz w:val="24"/>
          <w:szCs w:val="24"/>
        </w:rPr>
        <w:t xml:space="preserve">). Pavarësisht kësaj, përveç organizimit të shorteve dhe lëvizjes së çështjes nga njëri gjyqtar relator tek tjetri, nuk rezulton të jenë kryer veprime të tjera me çështjen. Ndërkohë, Gjykata e Lartë ka rrëzuar kërkesën për konstatimin e shkeljes, duke vlerësuar se gjykata e apelit është në pamundësi objektive, për shkak të mungesës së theksuar të gjyqtarëve dhe të stafit të kualifikuar ndihmës, si rezultat i zbatimit të reformës në drejtësi. </w:t>
      </w:r>
    </w:p>
    <w:p w14:paraId="025E15FC" w14:textId="0F62FA16"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22.</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Gjykata konstaton se </w:t>
      </w:r>
      <w:r w:rsidR="00725E0A">
        <w:rPr>
          <w:rFonts w:ascii="Garamond" w:hAnsi="Garamond" w:cs="Times New Roman"/>
          <w:color w:val="000000"/>
          <w:sz w:val="24"/>
          <w:szCs w:val="24"/>
        </w:rPr>
        <w:t>m</w:t>
      </w:r>
      <w:r w:rsidR="00725E0A" w:rsidRPr="00CF7C71">
        <w:rPr>
          <w:rFonts w:ascii="Garamond" w:hAnsi="Garamond" w:cs="Times New Roman"/>
          <w:color w:val="000000"/>
          <w:sz w:val="24"/>
          <w:szCs w:val="24"/>
        </w:rPr>
        <w:t xml:space="preserve">ë datë </w:t>
      </w:r>
      <w:r w:rsidRPr="00CF7C71">
        <w:rPr>
          <w:rFonts w:ascii="Garamond" w:hAnsi="Garamond" w:cs="Times New Roman"/>
          <w:color w:val="000000"/>
          <w:sz w:val="24"/>
          <w:szCs w:val="24"/>
        </w:rPr>
        <w:t xml:space="preserve">28.6.2019, kur çështja e kërkuesit është regjistruar, reforma në drejtësi kishte filluar të zbatohej. Aktualisht, reforma është ende në proces zbatimi dhe çështja e kërkuesit vijon pa vendimmarrje, ndërsa numri i gjyqtarëve të Gjykatës Administrative të Apelit është nën organikën e saj, gjithsej, 11 gjyqtarë. Në atë gjykatë janë duke u shqyrtuar çështjet e regjistruara në vitin 2018, ndërsa janë në pritje për shqyrtim 696 çështje të ngjashme me ato të kërkuesit. Gjyqtarja relatore, së cilës i është caktuar për shqyrtim së fundmi çështja e kërkuesit, ka për shqyrtim 2023 çështje gjyqësore. </w:t>
      </w:r>
    </w:p>
    <w:p w14:paraId="6E7E1BFE" w14:textId="14D833A2"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23.</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Duke i analizuar treguesit e mësipërm, Gjykata çmon se vonesa prej më shumë se 5 vjetësh në gjykimin e çështjes së kërkuesit është pasojë e ngarkesës së lartë në Gjykatën Administrative të Apelit dhe të gjyqtares relatore, shkaktuar nga zbatimi i reformës në drejtësi.</w:t>
      </w:r>
    </w:p>
    <w:p w14:paraId="7704C8FF" w14:textId="02B571F2"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24.</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këtë drejtim, Gjykata thekson në mënyrë të përsëritur se pavarësisht rëndësisë dhe përfitimeve që sjellin reformat në sektorin e drejtësisë, ligjvënësi ka për detyrë të marrë masat dhe të gjejë mjetet e duhura për ndryshimin e gjendjes faktike, me qëllim që ligjet të zbatohen dhe </w:t>
      </w:r>
      <w:r w:rsidRPr="00CF7C71">
        <w:rPr>
          <w:rFonts w:ascii="Garamond" w:hAnsi="Garamond" w:cs="Times New Roman"/>
          <w:color w:val="000000"/>
          <w:sz w:val="24"/>
          <w:szCs w:val="24"/>
        </w:rPr>
        <w:lastRenderedPageBreak/>
        <w:t xml:space="preserve">gjykatat e të gjitha niveleve të funksionojnë normalisht </w:t>
      </w:r>
      <w:r w:rsidRPr="00CF7C71">
        <w:rPr>
          <w:rFonts w:ascii="Garamond" w:hAnsi="Garamond" w:cs="Times New Roman"/>
          <w:i/>
          <w:iCs/>
          <w:color w:val="000000"/>
          <w:sz w:val="24"/>
          <w:szCs w:val="24"/>
        </w:rPr>
        <w:t>(shih vendimet nr. 2, datë 17.2.2022; nr. 37, datë 5.11.2021; nr. 35, datë 1.11.2021 të Gjykatës Kushtetuese</w:t>
      </w:r>
      <w:r w:rsidRPr="00CF7C71">
        <w:rPr>
          <w:rFonts w:ascii="Garamond" w:hAnsi="Garamond" w:cs="Times New Roman"/>
          <w:color w:val="000000"/>
          <w:sz w:val="24"/>
          <w:szCs w:val="24"/>
        </w:rPr>
        <w:t>).</w:t>
      </w:r>
      <w:r w:rsidRPr="00CF7C71">
        <w:rPr>
          <w:rFonts w:ascii="Garamond" w:hAnsi="Garamond" w:cs="Times New Roman"/>
          <w:i/>
          <w:iCs/>
          <w:color w:val="000000"/>
          <w:sz w:val="24"/>
          <w:szCs w:val="24"/>
        </w:rPr>
        <w:t xml:space="preserve"> </w:t>
      </w:r>
      <w:r w:rsidRPr="00CF7C71">
        <w:rPr>
          <w:rFonts w:ascii="Garamond" w:hAnsi="Garamond" w:cs="Times New Roman"/>
          <w:color w:val="000000"/>
          <w:sz w:val="24"/>
          <w:szCs w:val="24"/>
        </w:rPr>
        <w:t>Gjithsesi, kjo gjendje është duke u zgjatur prej disa vitesh, prandaj edhe metodat e identifikuara nga vetë gjykatat dhe KLGJ-ja, në cilësinë e organit kushtetues që ka përgjegjësinë për të siguruar mbarëvajtjen e pushtetit gjyqësor (</w:t>
      </w:r>
      <w:r w:rsidRPr="00CF7C71">
        <w:rPr>
          <w:rFonts w:ascii="Garamond" w:hAnsi="Garamond" w:cs="Times New Roman"/>
          <w:i/>
          <w:iCs/>
          <w:color w:val="000000"/>
          <w:sz w:val="24"/>
          <w:szCs w:val="24"/>
        </w:rPr>
        <w:t>neni 147, pika 1, i Kushtetutës</w:t>
      </w:r>
      <w:r w:rsidRPr="00CF7C71">
        <w:rPr>
          <w:rFonts w:ascii="Garamond" w:hAnsi="Garamond" w:cs="Times New Roman"/>
          <w:color w:val="000000"/>
          <w:sz w:val="24"/>
          <w:szCs w:val="24"/>
        </w:rPr>
        <w:t xml:space="preserve">), tregojnë se mekanizmat e parashikuar nga nenet 399/1-399/12 të KPC-së i shërbejnë një kohe normale të veprimtarisë gjyqësore, pra jo situatës së jashtëzakonshme, në pikëpamje të volumit, që ndodhet tashmë sistemi i drejtësisë </w:t>
      </w:r>
      <w:r w:rsidRPr="00CF7C71">
        <w:rPr>
          <w:rFonts w:ascii="Garamond" w:hAnsi="Garamond" w:cs="Times New Roman"/>
          <w:i/>
          <w:iCs/>
          <w:color w:val="000000"/>
          <w:sz w:val="24"/>
          <w:szCs w:val="24"/>
        </w:rPr>
        <w:t>(shih vendimet nr. 43, datë 4.6.2024;</w:t>
      </w:r>
      <w:r w:rsidRPr="00CF7C71">
        <w:rPr>
          <w:rFonts w:ascii="Garamond" w:hAnsi="Garamond" w:cs="Calibri"/>
          <w:color w:val="000000"/>
        </w:rPr>
        <w:t xml:space="preserve"> </w:t>
      </w:r>
      <w:r w:rsidRPr="00CF7C71">
        <w:rPr>
          <w:rFonts w:ascii="Garamond" w:hAnsi="Garamond" w:cs="Times New Roman"/>
          <w:i/>
          <w:iCs/>
          <w:color w:val="000000"/>
          <w:sz w:val="24"/>
          <w:szCs w:val="24"/>
        </w:rPr>
        <w:t>nr. 21, datë 4.4.2024 të Gjykatës Kushtetuese</w:t>
      </w:r>
      <w:r w:rsidRPr="00CF7C71">
        <w:rPr>
          <w:rFonts w:ascii="Garamond" w:hAnsi="Garamond" w:cs="Times New Roman"/>
          <w:color w:val="000000"/>
          <w:sz w:val="24"/>
          <w:szCs w:val="24"/>
        </w:rPr>
        <w:t>).</w:t>
      </w:r>
    </w:p>
    <w:p w14:paraId="0D9FDACC" w14:textId="28325501"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25.</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lidhje me </w:t>
      </w:r>
      <w:r w:rsidRPr="00CF7C71">
        <w:rPr>
          <w:rFonts w:ascii="Garamond" w:hAnsi="Garamond" w:cs="Times New Roman"/>
          <w:i/>
          <w:iCs/>
          <w:color w:val="000000"/>
          <w:sz w:val="24"/>
          <w:szCs w:val="24"/>
        </w:rPr>
        <w:t>atë çfarë rrezikon kërkuesi</w:t>
      </w:r>
      <w:r w:rsidRPr="00CF7C71">
        <w:rPr>
          <w:rFonts w:ascii="Garamond" w:hAnsi="Garamond" w:cs="Times New Roman"/>
          <w:color w:val="000000"/>
          <w:sz w:val="24"/>
          <w:szCs w:val="24"/>
        </w:rPr>
        <w:t xml:space="preserve"> në procesin gjyqësor, Gjykata ka pohuar se disa kategori çështjesh, për shkak të natyrës së tyre, kërkojnë përshpejtim të posaçëm të gjykimit. Disa çështje që lidhen me interesa “vetjakë e jetësorë”, nevojitet të trajtohen me përparësi dhe shpejtësi të veçantë. Lista e këtyre çështjeve nuk mund të jetë shteruese dhe kriteri i interesit të kërkuesit në proces verifikohet nga Gjykata rast pas rasti (</w:t>
      </w:r>
      <w:r w:rsidRPr="00CF7C71">
        <w:rPr>
          <w:rFonts w:ascii="Garamond" w:hAnsi="Garamond" w:cs="Times New Roman"/>
          <w:i/>
          <w:iCs/>
          <w:color w:val="000000"/>
          <w:sz w:val="24"/>
          <w:szCs w:val="24"/>
        </w:rPr>
        <w:t>shih vendimet nr. 6, datë 16.2.2023; nr. 35, datë 1.11.2021 të Gjykatës Kushtetuese</w:t>
      </w:r>
      <w:r w:rsidRPr="00CF7C71">
        <w:rPr>
          <w:rFonts w:ascii="Garamond" w:hAnsi="Garamond" w:cs="Times New Roman"/>
          <w:color w:val="000000"/>
          <w:sz w:val="24"/>
          <w:szCs w:val="24"/>
        </w:rPr>
        <w:t xml:space="preserve">). </w:t>
      </w:r>
    </w:p>
    <w:p w14:paraId="489976D6" w14:textId="05E0F5A2"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26.</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Duke iu kthyer çështjes konkrete, Gjykata vëren se në objektin e saj është marrëdhënia e punësimit të kërkuesit dhe shpërblimi i dëmit që rrjedh prej saj. Gjykata Evropiane për të Drejtat e Njeriut ka pohuar se mosmarrëveshjet në fushën e punësimit, për nga natyra e tyre, kërkojnë vendimmarrje të përshpejtuar (</w:t>
      </w:r>
      <w:r w:rsidRPr="00CF7C71">
        <w:rPr>
          <w:rFonts w:ascii="Garamond" w:hAnsi="Garamond" w:cs="Times New Roman"/>
          <w:i/>
          <w:iCs/>
          <w:color w:val="000000"/>
          <w:sz w:val="24"/>
          <w:szCs w:val="24"/>
        </w:rPr>
        <w:t>shih Vocaturo kundër Italisë, 24.5.1991, § 17</w:t>
      </w:r>
      <w:r w:rsidRPr="00CF7C71">
        <w:rPr>
          <w:rFonts w:ascii="Garamond" w:hAnsi="Garamond" w:cs="Times New Roman"/>
          <w:color w:val="000000"/>
          <w:sz w:val="24"/>
          <w:szCs w:val="24"/>
        </w:rPr>
        <w:t>), ndërsa KLGJ-ja në vendimin e saj nr. 78/2019 ka vlerësuar se këto lloj çështjesh gjyqësore janë prioritare për shqyrtim. Për këto arsye, Gjykata çmon se mosmarrëveshja e punësimit, për shkak të pasojave të saj me natyrë sociale dhe financiare, përbën interes vetjak dhe jetësor për kërkuesin, i cili aktualisht është i moshës 61 vjeç, ndaj çështja e tij duhet të trajtohej me shpejtësi të veçantë nga gjykatat e juridiksionit të zakonshëm.</w:t>
      </w:r>
    </w:p>
    <w:p w14:paraId="4270C875" w14:textId="7376A937"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27.</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përmbledhje të analizës së mësipërme, Gjykata vlerëson se interpretimi i ligjit nga Gjykata e Lartë për rrëzimin e kërkesës për konstatimin e shkeljes së të drejtës së kërkuesit për gjykim brenda afatit të arsyeshëm nuk është në përputhje me Kushtetutën, ndaj vendimi i saj duhet shfuqizuar. Gjykimi përtej afatit të arsyeshëm, bazuar vetëm në faktin se shteti ka dështuar të marrë masa efikase, nuk mund të përligjë cenimin e të drejtave kushtetuese të individëve, në kushtet kur mbingarkesa në gjykata tashmë është një situatë e njohur dhe e zgjatur në kohë, e cila nuk varet nga individët dhe nuk mund të rëndojë mbi ta. </w:t>
      </w:r>
    </w:p>
    <w:p w14:paraId="7BC70CBD" w14:textId="7422A60E"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28.</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Në përfundim, duke pasur parasysh kohëzgjatjen prej më shumë se 5 vjetësh të gjykimit të çështjes në shkallë të dytë, natyrën jo komplekse të çështjes, sjelljen e autoriteteve, si dhe interesin vetjak të kërkuesit për marrëdhënien e punësimit, Gjykata vlerëson se kërkuesit i është cenuar e drejta kushtetuese për gjykim brenda një afati të arsyeshëm, ndaj kërkesa duhet të pranohet. Po kështu, bazuar në nenin 81, pika 3, të ligjit nr. 8577/2000 dhe duke mbajtur në konsideratë volumin e punës së Gjykatës Administrative të Apelit, numrin e çështjeve të ngjashme dhe ngarkesën e gjyqtares relatore, Gjykata çmon se duhet urdhëruar përfundimi i gjykimit të çështjes së kërkuesit brenda 6 muajve.</w:t>
      </w:r>
    </w:p>
    <w:p w14:paraId="1E409F81" w14:textId="77777777" w:rsidR="00CF7C71" w:rsidRP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16"/>
          <w:szCs w:val="16"/>
        </w:rPr>
      </w:pPr>
    </w:p>
    <w:p w14:paraId="3033E09F"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CF7C71">
        <w:rPr>
          <w:rFonts w:ascii="Garamond" w:hAnsi="Garamond" w:cs="Times New Roman"/>
          <w:bCs/>
          <w:color w:val="000000"/>
          <w:sz w:val="24"/>
          <w:szCs w:val="24"/>
        </w:rPr>
        <w:t>PËR KËTO ARSYE,</w:t>
      </w:r>
    </w:p>
    <w:p w14:paraId="14EB44CA" w14:textId="77777777" w:rsidR="00843097" w:rsidRDefault="00843097"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13CF58C" w14:textId="0724D5EF"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Gjykata Kushtetuese, në mbështetje të neneve 131, pika 1, shkronja “f” dhe 134, pika 1, shkronja “i”, të Kushtetutës, si dhe nenit 72</w:t>
      </w:r>
      <w:r w:rsidR="005B6DAC">
        <w:rPr>
          <w:rFonts w:ascii="Garamond" w:hAnsi="Garamond" w:cs="Times New Roman"/>
          <w:color w:val="000000"/>
          <w:sz w:val="24"/>
          <w:szCs w:val="24"/>
        </w:rPr>
        <w:t>,</w:t>
      </w:r>
      <w:r w:rsidRPr="00CF7C71">
        <w:rPr>
          <w:rFonts w:ascii="Garamond" w:hAnsi="Garamond" w:cs="Times New Roman"/>
          <w:color w:val="000000"/>
          <w:sz w:val="24"/>
          <w:szCs w:val="24"/>
        </w:rPr>
        <w:t xml:space="preserve"> të ligjit nr. 8577, datë 10.2.2000</w:t>
      </w:r>
      <w:r w:rsidR="005B6DAC">
        <w:rPr>
          <w:rFonts w:ascii="Garamond" w:hAnsi="Garamond" w:cs="Times New Roman"/>
          <w:color w:val="000000"/>
          <w:sz w:val="24"/>
          <w:szCs w:val="24"/>
        </w:rPr>
        <w:t>,</w:t>
      </w:r>
      <w:r w:rsidRPr="00CF7C71">
        <w:rPr>
          <w:rFonts w:ascii="Garamond" w:hAnsi="Garamond" w:cs="Times New Roman"/>
          <w:color w:val="000000"/>
          <w:sz w:val="24"/>
          <w:szCs w:val="24"/>
        </w:rPr>
        <w:t xml:space="preserve"> “Për organizimin dhe funksionimin e Gjykatës Kushtetuese të Republikës së Shqipërisë”, të ndryshuar, me shumicë votash,</w:t>
      </w:r>
    </w:p>
    <w:p w14:paraId="2AA4E822" w14:textId="77777777" w:rsidR="00CF7C71" w:rsidRP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36A25E3" w14:textId="388711B1" w:rsidR="00CF7C71" w:rsidRDefault="00CF7C71" w:rsidP="00CF7C71">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F7C71">
        <w:rPr>
          <w:rFonts w:ascii="Garamond" w:hAnsi="Garamond" w:cs="Times New Roman"/>
          <w:bCs/>
          <w:color w:val="000000"/>
          <w:sz w:val="24"/>
          <w:szCs w:val="24"/>
        </w:rPr>
        <w:t>VENDOSI:</w:t>
      </w:r>
    </w:p>
    <w:p w14:paraId="5B3B2BCE" w14:textId="77777777" w:rsidR="005B6DAC" w:rsidRPr="00CF7C71" w:rsidRDefault="005B6DAC" w:rsidP="00CF7C71">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6A3C3E85" w14:textId="4A3A7D25"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Pranimin e kërkesës. </w:t>
      </w:r>
    </w:p>
    <w:p w14:paraId="243751FB" w14:textId="2B2FEFF1"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Shfuqizimin e vendimit nr. 00-2023-3812, datë 12.10.2023</w:t>
      </w:r>
      <w:r w:rsidR="005B6DAC">
        <w:rPr>
          <w:rFonts w:ascii="Garamond" w:hAnsi="Garamond" w:cs="Times New Roman"/>
          <w:color w:val="000000"/>
          <w:sz w:val="24"/>
          <w:szCs w:val="24"/>
        </w:rPr>
        <w:t>,</w:t>
      </w:r>
      <w:r w:rsidRPr="00CF7C71">
        <w:rPr>
          <w:rFonts w:ascii="Garamond" w:hAnsi="Garamond" w:cs="Times New Roman"/>
          <w:b/>
          <w:bCs/>
          <w:color w:val="000000"/>
          <w:sz w:val="24"/>
          <w:szCs w:val="24"/>
        </w:rPr>
        <w:t xml:space="preserve"> </w:t>
      </w:r>
      <w:r w:rsidRPr="00CF7C71">
        <w:rPr>
          <w:rFonts w:ascii="Garamond" w:hAnsi="Garamond" w:cs="Times New Roman"/>
          <w:color w:val="000000"/>
          <w:sz w:val="24"/>
          <w:szCs w:val="24"/>
        </w:rPr>
        <w:t xml:space="preserve">të Kolegjit Administrativ të Gjykatës së Lartë. </w:t>
      </w:r>
    </w:p>
    <w:p w14:paraId="7950BF9B" w14:textId="22DBD749"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lastRenderedPageBreak/>
        <w:t>3.</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Konstatimin e cenimit të së drejtës për një gjykim brenda afatit të arsyeshëm.</w:t>
      </w:r>
    </w:p>
    <w:p w14:paraId="29D38AB5" w14:textId="0CECF04F"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4.</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Detyrimin e Gjykatës Administrative të Apelit të gjykojë çështjen e kërkuesit brenda 6 (gjashtë) muajve nga hyrja në fuqi e këtij vendimi.</w:t>
      </w:r>
    </w:p>
    <w:p w14:paraId="337CFCB9" w14:textId="77777777"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 xml:space="preserve">Ky vendim është përfundimtar dhe hyn në fuqi ditën e botimit në Fletoren Zyrtare. </w:t>
      </w:r>
    </w:p>
    <w:p w14:paraId="5D07F3F5" w14:textId="77777777" w:rsidR="005B6DAC" w:rsidRDefault="005B6DAC" w:rsidP="00CF7C71">
      <w:pPr>
        <w:autoSpaceDE w:val="0"/>
        <w:autoSpaceDN w:val="0"/>
        <w:adjustRightInd w:val="0"/>
        <w:spacing w:after="0" w:line="240" w:lineRule="auto"/>
        <w:ind w:firstLine="284"/>
        <w:jc w:val="both"/>
        <w:rPr>
          <w:rFonts w:ascii="Garamond" w:hAnsi="Garamond" w:cs="Times New Roman"/>
          <w:b/>
          <w:bCs/>
          <w:color w:val="000000"/>
          <w:sz w:val="24"/>
          <w:szCs w:val="24"/>
        </w:rPr>
      </w:pPr>
    </w:p>
    <w:p w14:paraId="5CF81D2C" w14:textId="0EEF6925" w:rsidR="00CF7C71" w:rsidRPr="00CF7C71" w:rsidRDefault="00CF7C71" w:rsidP="00CF7C71">
      <w:pPr>
        <w:autoSpaceDE w:val="0"/>
        <w:autoSpaceDN w:val="0"/>
        <w:adjustRightInd w:val="0"/>
        <w:spacing w:after="0" w:line="240" w:lineRule="auto"/>
        <w:ind w:firstLine="284"/>
        <w:jc w:val="both"/>
        <w:rPr>
          <w:rFonts w:ascii="Garamond" w:hAnsi="Garamond" w:cs="Times New Roman"/>
          <w:b/>
          <w:bCs/>
          <w:color w:val="000000"/>
          <w:sz w:val="24"/>
          <w:szCs w:val="24"/>
        </w:rPr>
      </w:pPr>
      <w:r w:rsidRPr="00CF7C71">
        <w:rPr>
          <w:rFonts w:ascii="Garamond" w:hAnsi="Garamond" w:cs="Times New Roman"/>
          <w:b/>
          <w:bCs/>
          <w:color w:val="000000"/>
          <w:sz w:val="24"/>
          <w:szCs w:val="24"/>
        </w:rPr>
        <w:t>Marrë</w:t>
      </w:r>
      <w:r w:rsidR="005B6DAC">
        <w:rPr>
          <w:rFonts w:ascii="Garamond" w:hAnsi="Garamond" w:cs="Times New Roman"/>
          <w:b/>
          <w:bCs/>
          <w:color w:val="000000"/>
          <w:sz w:val="24"/>
          <w:szCs w:val="24"/>
        </w:rPr>
        <w:t>,</w:t>
      </w:r>
      <w:r w:rsidRPr="00CF7C71">
        <w:rPr>
          <w:rFonts w:ascii="Garamond" w:hAnsi="Garamond" w:cs="Times New Roman"/>
          <w:b/>
          <w:bCs/>
          <w:color w:val="000000"/>
          <w:sz w:val="24"/>
          <w:szCs w:val="24"/>
        </w:rPr>
        <w:t xml:space="preserve"> më 17.9.2024</w:t>
      </w:r>
      <w:r w:rsidR="005B6DAC">
        <w:rPr>
          <w:rFonts w:ascii="Garamond" w:hAnsi="Garamond" w:cs="Times New Roman"/>
          <w:b/>
          <w:bCs/>
          <w:color w:val="000000"/>
          <w:sz w:val="24"/>
          <w:szCs w:val="24"/>
        </w:rPr>
        <w:t>.</w:t>
      </w:r>
    </w:p>
    <w:p w14:paraId="35840444" w14:textId="7923CD4A" w:rsidR="00CF7C71" w:rsidRPr="00CF7C71" w:rsidRDefault="00CF7C71" w:rsidP="00CF7C71">
      <w:pPr>
        <w:autoSpaceDE w:val="0"/>
        <w:autoSpaceDN w:val="0"/>
        <w:adjustRightInd w:val="0"/>
        <w:spacing w:after="0" w:line="240" w:lineRule="auto"/>
        <w:ind w:firstLine="284"/>
        <w:jc w:val="both"/>
        <w:rPr>
          <w:rFonts w:ascii="Garamond" w:hAnsi="Garamond" w:cs="Times New Roman"/>
          <w:b/>
          <w:bCs/>
          <w:color w:val="000000"/>
          <w:sz w:val="24"/>
          <w:szCs w:val="24"/>
        </w:rPr>
      </w:pPr>
      <w:r w:rsidRPr="00CF7C71">
        <w:rPr>
          <w:rFonts w:ascii="Garamond" w:hAnsi="Garamond" w:cs="Times New Roman"/>
          <w:b/>
          <w:bCs/>
          <w:color w:val="000000"/>
          <w:sz w:val="24"/>
          <w:szCs w:val="24"/>
        </w:rPr>
        <w:t>Shpallur</w:t>
      </w:r>
      <w:r w:rsidR="005B6DAC">
        <w:rPr>
          <w:rFonts w:ascii="Garamond" w:hAnsi="Garamond" w:cs="Times New Roman"/>
          <w:b/>
          <w:bCs/>
          <w:color w:val="000000"/>
          <w:sz w:val="24"/>
          <w:szCs w:val="24"/>
        </w:rPr>
        <w:t>,</w:t>
      </w:r>
      <w:r w:rsidRPr="00CF7C71">
        <w:rPr>
          <w:rFonts w:ascii="Garamond" w:hAnsi="Garamond" w:cs="Times New Roman"/>
          <w:b/>
          <w:bCs/>
          <w:color w:val="000000"/>
          <w:sz w:val="24"/>
          <w:szCs w:val="24"/>
        </w:rPr>
        <w:t xml:space="preserve"> më 3.10.2024</w:t>
      </w:r>
      <w:r w:rsidR="005B6DAC">
        <w:rPr>
          <w:rFonts w:ascii="Garamond" w:hAnsi="Garamond" w:cs="Times New Roman"/>
          <w:b/>
          <w:bCs/>
          <w:color w:val="000000"/>
          <w:sz w:val="24"/>
          <w:szCs w:val="24"/>
        </w:rPr>
        <w:t>.</w:t>
      </w:r>
    </w:p>
    <w:p w14:paraId="24A47208" w14:textId="30BE7B02" w:rsidR="00CF7C71" w:rsidRDefault="00CF7C71"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681CF0D" w14:textId="4D8B749F" w:rsidR="00843097" w:rsidRPr="0065080D" w:rsidRDefault="00843097"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43097">
        <w:rPr>
          <w:rFonts w:ascii="Garamond" w:hAnsi="Garamond" w:cs="Times New Roman"/>
          <w:b/>
          <w:color w:val="000000"/>
          <w:sz w:val="24"/>
          <w:szCs w:val="24"/>
        </w:rPr>
        <w:t>Kryetare</w:t>
      </w:r>
      <w:r>
        <w:rPr>
          <w:rFonts w:ascii="Garamond" w:hAnsi="Garamond" w:cs="Times New Roman"/>
          <w:color w:val="000000"/>
          <w:sz w:val="24"/>
          <w:szCs w:val="24"/>
        </w:rPr>
        <w:t xml:space="preserve">: </w:t>
      </w:r>
      <w:r w:rsidRPr="00CF7C71">
        <w:rPr>
          <w:rFonts w:ascii="Garamond" w:hAnsi="Garamond" w:cs="Times New Roman"/>
          <w:bCs/>
          <w:color w:val="000000"/>
          <w:sz w:val="24"/>
          <w:szCs w:val="24"/>
        </w:rPr>
        <w:t>Holta Zaçaj</w:t>
      </w:r>
      <w:r>
        <w:rPr>
          <w:rFonts w:ascii="Garamond" w:hAnsi="Garamond" w:cs="Times New Roman"/>
          <w:bCs/>
          <w:color w:val="000000"/>
          <w:sz w:val="24"/>
          <w:szCs w:val="24"/>
        </w:rPr>
        <w:t xml:space="preserve"> </w:t>
      </w:r>
      <w:r w:rsidR="0065080D" w:rsidRPr="0065080D">
        <w:rPr>
          <w:rFonts w:ascii="Garamond" w:hAnsi="Garamond" w:cs="Times New Roman"/>
          <w:bCs/>
          <w:color w:val="000000"/>
          <w:sz w:val="24"/>
          <w:szCs w:val="24"/>
        </w:rPr>
        <w:t>(kundër)</w:t>
      </w:r>
    </w:p>
    <w:p w14:paraId="0EB24C3D" w14:textId="35C55E1C" w:rsidR="00843097" w:rsidRDefault="00843097"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43097">
        <w:rPr>
          <w:rFonts w:ascii="Garamond" w:hAnsi="Garamond" w:cs="Times New Roman"/>
          <w:b/>
          <w:color w:val="000000"/>
          <w:sz w:val="24"/>
          <w:szCs w:val="24"/>
        </w:rPr>
        <w:t>Anëtarë</w:t>
      </w:r>
      <w:r>
        <w:rPr>
          <w:rFonts w:ascii="Garamond" w:hAnsi="Garamond" w:cs="Times New Roman"/>
          <w:color w:val="000000"/>
          <w:sz w:val="24"/>
          <w:szCs w:val="24"/>
        </w:rPr>
        <w:t xml:space="preserve">: </w:t>
      </w:r>
      <w:r w:rsidRPr="00CF7C71">
        <w:rPr>
          <w:rFonts w:ascii="Garamond" w:hAnsi="Garamond" w:cs="Times New Roman"/>
          <w:bCs/>
          <w:color w:val="000000"/>
          <w:sz w:val="24"/>
          <w:szCs w:val="24"/>
        </w:rPr>
        <w:t>Elsa Toska</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 xml:space="preserve">Sandër </w:t>
      </w:r>
      <w:bookmarkStart w:id="0" w:name="_GoBack"/>
      <w:bookmarkEnd w:id="0"/>
      <w:r w:rsidRPr="00CF7C71">
        <w:rPr>
          <w:rFonts w:ascii="Garamond" w:hAnsi="Garamond" w:cs="Times New Roman"/>
          <w:bCs/>
          <w:color w:val="000000"/>
          <w:sz w:val="24"/>
          <w:szCs w:val="24"/>
        </w:rPr>
        <w:t>Beci</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Sonila Bejtja</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Marsida Xhaferllari</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Marjana Semini</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Genti Ibrahimi</w:t>
      </w:r>
    </w:p>
    <w:p w14:paraId="0F37CFFA" w14:textId="4A780770" w:rsidR="00843097" w:rsidRPr="00CF7C71" w:rsidRDefault="00843097" w:rsidP="00CF7C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43097">
        <w:rPr>
          <w:rFonts w:ascii="Garamond" w:hAnsi="Garamond" w:cs="Times New Roman"/>
          <w:b/>
          <w:color w:val="000000"/>
          <w:sz w:val="24"/>
          <w:szCs w:val="24"/>
        </w:rPr>
        <w:t xml:space="preserve">Anëtarë </w:t>
      </w:r>
      <w:r w:rsidR="005B6DAC" w:rsidRPr="0065080D">
        <w:rPr>
          <w:rFonts w:ascii="Garamond" w:hAnsi="Garamond" w:cs="Times New Roman"/>
          <w:b/>
          <w:bCs/>
          <w:color w:val="000000"/>
          <w:sz w:val="24"/>
          <w:szCs w:val="24"/>
        </w:rPr>
        <w:t>kundër</w:t>
      </w:r>
      <w:r w:rsidRPr="0065080D">
        <w:rPr>
          <w:rFonts w:ascii="Garamond" w:hAnsi="Garamond" w:cs="Times New Roman"/>
          <w:b/>
          <w:color w:val="000000"/>
          <w:sz w:val="24"/>
          <w:szCs w:val="24"/>
        </w:rPr>
        <w:t>:</w:t>
      </w:r>
      <w:r w:rsidRPr="005B6DAC">
        <w:rPr>
          <w:rFonts w:ascii="Garamond" w:hAnsi="Garamond" w:cs="Times New Roman"/>
          <w:color w:val="000000"/>
          <w:sz w:val="24"/>
          <w:szCs w:val="24"/>
        </w:rPr>
        <w:t xml:space="preserve"> </w:t>
      </w:r>
      <w:r w:rsidRPr="00CF7C71">
        <w:rPr>
          <w:rFonts w:ascii="Garamond" w:hAnsi="Garamond" w:cs="Times New Roman"/>
          <w:bCs/>
          <w:color w:val="000000"/>
          <w:sz w:val="24"/>
          <w:szCs w:val="24"/>
        </w:rPr>
        <w:t>Fiona Papajorgji</w:t>
      </w:r>
      <w:r>
        <w:rPr>
          <w:rFonts w:ascii="Garamond" w:hAnsi="Garamond" w:cs="Times New Roman"/>
          <w:bCs/>
          <w:color w:val="000000"/>
          <w:sz w:val="24"/>
          <w:szCs w:val="24"/>
        </w:rPr>
        <w:t>,</w:t>
      </w:r>
      <w:r w:rsidRPr="00843097">
        <w:rPr>
          <w:rFonts w:ascii="Garamond" w:hAnsi="Garamond" w:cs="Times New Roman"/>
          <w:bCs/>
          <w:color w:val="000000"/>
          <w:sz w:val="24"/>
          <w:szCs w:val="24"/>
        </w:rPr>
        <w:t xml:space="preserve"> </w:t>
      </w:r>
      <w:r w:rsidRPr="00CF7C71">
        <w:rPr>
          <w:rFonts w:ascii="Garamond" w:hAnsi="Garamond" w:cs="Times New Roman"/>
          <w:bCs/>
          <w:color w:val="000000"/>
          <w:sz w:val="24"/>
          <w:szCs w:val="24"/>
        </w:rPr>
        <w:t>Ilir Toska</w:t>
      </w:r>
    </w:p>
    <w:p w14:paraId="03F2527A" w14:textId="77777777" w:rsidR="00843097" w:rsidRDefault="00843097" w:rsidP="00CF7C71">
      <w:pPr>
        <w:tabs>
          <w:tab w:val="left" w:pos="0"/>
        </w:tabs>
        <w:autoSpaceDE w:val="0"/>
        <w:autoSpaceDN w:val="0"/>
        <w:adjustRightInd w:val="0"/>
        <w:spacing w:after="0" w:line="240" w:lineRule="auto"/>
        <w:ind w:firstLine="284"/>
        <w:rPr>
          <w:rFonts w:ascii="Garamond" w:hAnsi="Garamond" w:cs="Times New Roman"/>
          <w:bCs/>
          <w:color w:val="000000"/>
          <w:sz w:val="24"/>
          <w:szCs w:val="24"/>
        </w:rPr>
      </w:pPr>
    </w:p>
    <w:p w14:paraId="6C36E312" w14:textId="77777777"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p>
    <w:p w14:paraId="10B22D91" w14:textId="77777777" w:rsidR="00CF7C71" w:rsidRPr="00CF7C71" w:rsidRDefault="00CF7C71" w:rsidP="00CF7C71">
      <w:pPr>
        <w:autoSpaceDE w:val="0"/>
        <w:autoSpaceDN w:val="0"/>
        <w:adjustRightInd w:val="0"/>
        <w:spacing w:after="0" w:line="240" w:lineRule="auto"/>
        <w:ind w:firstLine="284"/>
        <w:jc w:val="center"/>
        <w:rPr>
          <w:rFonts w:ascii="Garamond" w:hAnsi="Garamond" w:cs="Times New Roman"/>
          <w:b/>
          <w:bCs/>
          <w:color w:val="000000"/>
          <w:sz w:val="24"/>
          <w:szCs w:val="24"/>
        </w:rPr>
      </w:pPr>
      <w:r w:rsidRPr="00CF7C71">
        <w:rPr>
          <w:rFonts w:ascii="Garamond" w:hAnsi="Garamond" w:cs="Times New Roman"/>
          <w:b/>
          <w:bCs/>
          <w:color w:val="000000"/>
          <w:sz w:val="24"/>
          <w:szCs w:val="24"/>
        </w:rPr>
        <w:t>MENDIM PAKICE</w:t>
      </w:r>
    </w:p>
    <w:p w14:paraId="4ABE7846" w14:textId="77777777" w:rsidR="00EF77C3" w:rsidRDefault="00EF77C3"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E8AC940" w14:textId="24366AC4"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1.</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Në gjykimin kushtetues të çështjes që i përket kërkuesit Ylli Dylgjeri, me objekt: “</w:t>
      </w:r>
      <w:r w:rsidRPr="00CF7C71">
        <w:rPr>
          <w:rFonts w:ascii="Garamond" w:hAnsi="Garamond" w:cs="Times New Roman"/>
          <w:i/>
          <w:iCs/>
          <w:color w:val="000000"/>
          <w:sz w:val="24"/>
          <w:szCs w:val="24"/>
        </w:rPr>
        <w:t xml:space="preserve">Shfuqizimin e vendimit nr. 00-2023-3812, datë 12.10.2023 të Gjykatës së Lartë, si të papajtueshëm me Kushtetutën. Konstatimin e shkeljes së afatit të arsyeshëm dhe përshpejtimin e procedurave në gjykimin e çështjes administrative nr. 31154-02568-86-2019, datë 28.6.2019 të regjistruar pranë Gjykatës Administrative të Apelit. Detyrimin e Gjykatës Administrative të Apelit ta shqyrtojë çështjen brenda një afati një muaj nga dhënia e vendimit të Gjykatës Kushtetuese”, </w:t>
      </w:r>
      <w:r w:rsidRPr="00CF7C71">
        <w:rPr>
          <w:rFonts w:ascii="Garamond" w:hAnsi="Garamond" w:cs="Times New Roman"/>
          <w:color w:val="000000"/>
          <w:sz w:val="24"/>
          <w:szCs w:val="24"/>
        </w:rPr>
        <w:t>jemi kundër qëndrimit të shumicës për pranimin e kërkesës dhe vlerësojmë se kërkesa duhej të ishte rrëzuar, për shkak se në drejtim të vlerësimit të kohëzgjatjes së arsyeshme të procesit gjyqësor të kundërshtuar nuk është plotësuar kriteri i rëndësisë së asaj çfarë rrezikon kërkuesi dhe për këtë arsye çmojmë të shprehemi me mendim pakice.</w:t>
      </w:r>
    </w:p>
    <w:p w14:paraId="4D577138" w14:textId="55B4BB95"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2.</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Duke iu referuar rrethanave të çështjes konkrete në shqyrtim, siç ka konstatuar edhe shumica, procesi gjyqësor në Gjykatën Administrative të Apelit, ku ankimi i paraqitur nga pala kundërshtare e kërkuesit është në pritje për t’u shqyrtuar prej pak më shumë se 5 vjetësh, është në tejkalim të afatit të parashikuar për këtë lloj gjykimi nga Kodi i Procedurës Civile </w:t>
      </w:r>
      <w:r w:rsidRPr="00CF7C71">
        <w:rPr>
          <w:rFonts w:ascii="Garamond" w:hAnsi="Garamond" w:cs="Times New Roman"/>
          <w:i/>
          <w:iCs/>
          <w:color w:val="000000"/>
          <w:sz w:val="24"/>
          <w:szCs w:val="24"/>
        </w:rPr>
        <w:t>(KPC).</w:t>
      </w:r>
      <w:r w:rsidRPr="00CF7C71">
        <w:rPr>
          <w:rFonts w:ascii="Garamond" w:hAnsi="Garamond" w:cs="Times New Roman"/>
          <w:color w:val="000000"/>
          <w:sz w:val="24"/>
          <w:szCs w:val="24"/>
        </w:rPr>
        <w:t xml:space="preserve"> Megjithatë, kjo, në vetvete, nuk përbën argument për të deklaruar kohëzgjatjen e paarsyeshme të procesit, për sa kohë që për të arritur në një vlerësim të tillë nevojitet të vlerësohen kriteret e përcaktuara në jurisprudencën kushtetuese, në përputhje me atë të Gjykatës Evropiane të të Drejtave të Njeriut </w:t>
      </w:r>
      <w:r w:rsidRPr="00CF7C71">
        <w:rPr>
          <w:rFonts w:ascii="Garamond" w:hAnsi="Garamond" w:cs="Times New Roman"/>
          <w:i/>
          <w:iCs/>
          <w:color w:val="000000"/>
          <w:sz w:val="24"/>
          <w:szCs w:val="24"/>
        </w:rPr>
        <w:t>(GJEDNJ),</w:t>
      </w:r>
      <w:r w:rsidRPr="00CF7C71">
        <w:rPr>
          <w:rFonts w:ascii="Garamond" w:hAnsi="Garamond" w:cs="Times New Roman"/>
          <w:color w:val="000000"/>
          <w:sz w:val="24"/>
          <w:szCs w:val="24"/>
        </w:rPr>
        <w:t xml:space="preserve"> konkretisht ato që kanë të bëjnë me: (i) sjelljen e kërkuesit; (ii) kompleksitetin e çështjes; (iii) sjelljen e autoriteteve; (iv) rëndësinë e asaj çfarë rrezikon kërkuesi. </w:t>
      </w:r>
    </w:p>
    <w:p w14:paraId="2E9F4A6F" w14:textId="71183FAC"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3.</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Për sa u përket tre kritereve të para, bashkohemi me shumicën në vlerësimin që ajo i ka bërë sjelljes së kërkuesit dhe asaj të autoriteteve, si edhe për sa i përket kompleksitetit të çështjes. Megjithatë, ne ndahemi nga qëndrimi i shumicës në lidhje me kriterin e katërt, pra atë të rëndësisë së asaj çfarë rrezikon kërkuesi nga kohëzgjatja e procesit gjyqësor. </w:t>
      </w:r>
    </w:p>
    <w:p w14:paraId="2FF75D0A" w14:textId="56AAAEC1"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4.</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Sipas shumicës, objekt i çështjes konkrete është marrëdhënia e punësimit të kërkuesit dhe shpërblimi i dëmit që rrjedh prej saj. Nisur nga kjo, duke referuar në jurisprudencën e GJEDNJ-së në çështjen Vocaturo kundër Italisë, më 24.5.1991, si dhe në vendimin nr. 78/2019 të Këshillit të Lartë Gjyqësor, shumica ka arritur në përfundimin se mosmarrëveshja e punësimit për shkak të pasojave të saj me natyrë sociale dhe financiare përbën interes vetjak dhe jetësor për kërkuesin, i cili aktualisht është i moshës 61 vjeç, ndaj, për pasojë, çështja e tij duhej të trajtohej me shpejtësi të veçantë nga gjykatat e juridiksionit të zakonshëm (</w:t>
      </w:r>
      <w:r w:rsidRPr="00CF7C71">
        <w:rPr>
          <w:rFonts w:ascii="Garamond" w:hAnsi="Garamond" w:cs="Times New Roman"/>
          <w:i/>
          <w:iCs/>
          <w:color w:val="000000"/>
          <w:sz w:val="24"/>
          <w:szCs w:val="24"/>
        </w:rPr>
        <w:t>shih paragrafin 26 të vendimit</w:t>
      </w:r>
      <w:r w:rsidRPr="00CF7C71">
        <w:rPr>
          <w:rFonts w:ascii="Garamond" w:hAnsi="Garamond" w:cs="Times New Roman"/>
          <w:color w:val="000000"/>
          <w:sz w:val="24"/>
          <w:szCs w:val="24"/>
        </w:rPr>
        <w:t xml:space="preserve">). </w:t>
      </w:r>
    </w:p>
    <w:p w14:paraId="3FB924DF" w14:textId="42D15709"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5.</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lidhje me </w:t>
      </w:r>
      <w:r w:rsidRPr="00CF7C71">
        <w:rPr>
          <w:rFonts w:ascii="Garamond" w:hAnsi="Garamond" w:cs="Times New Roman"/>
          <w:i/>
          <w:iCs/>
          <w:color w:val="000000"/>
          <w:sz w:val="24"/>
          <w:szCs w:val="24"/>
        </w:rPr>
        <w:t>atë çfarë rrezikon kërkuesi</w:t>
      </w:r>
      <w:r w:rsidRPr="00CF7C71">
        <w:rPr>
          <w:rFonts w:ascii="Garamond" w:hAnsi="Garamond" w:cs="Times New Roman"/>
          <w:color w:val="000000"/>
          <w:sz w:val="24"/>
          <w:szCs w:val="24"/>
        </w:rPr>
        <w:t xml:space="preserve"> nga kohëzgjatja e procesit gjyqësor, sikurse edhe shumica ka evidentuar, Gjykata ka pohuar se disa kategori çështjesh, për shkak të natyrës së tyre, kërkojnë përshpejtim të posaçëm të gjykimit. Disa çështje që lidhen me interesa “vetjakë e jetësorë”, nevojitet të trajtohen me përparësi dhe shpejtësi të veçantë. Lista e këtyre çështjeve nuk mund të jetë shteruese dhe kriteri i interesit të kërkuesit në proces verifikohet nga Gjykata rast pas rasti (</w:t>
      </w:r>
      <w:r w:rsidRPr="00CF7C71">
        <w:rPr>
          <w:rFonts w:ascii="Garamond" w:hAnsi="Garamond" w:cs="Times New Roman"/>
          <w:i/>
          <w:iCs/>
          <w:color w:val="000000"/>
          <w:sz w:val="24"/>
          <w:szCs w:val="24"/>
        </w:rPr>
        <w:t>shih vendimet nr. 6, datë 16.2.2023; nr. 35, datë 1.11.2021 të Gjykatës Kushtetuese</w:t>
      </w:r>
      <w:r w:rsidRPr="00CF7C71">
        <w:rPr>
          <w:rFonts w:ascii="Garamond" w:hAnsi="Garamond" w:cs="Times New Roman"/>
          <w:color w:val="000000"/>
          <w:sz w:val="24"/>
          <w:szCs w:val="24"/>
        </w:rPr>
        <w:t>). Gjithashtu, bazuar në jurisprudencën e GJEDNJ-së, Gjykata ka theksuar se të tilla janë çështjet që kërkojnë “kujdes të veçantë” ose “kujdes të jashtëzakonshëm”, si ato që lidhen me statusin civil, kujdestarinë e fëmijëve, marrëdhëniet e punësimit, sëmundjet e pashërueshme, pensionin (</w:t>
      </w:r>
      <w:r w:rsidRPr="00CF7C71">
        <w:rPr>
          <w:rFonts w:ascii="Garamond" w:hAnsi="Garamond" w:cs="Times New Roman"/>
          <w:i/>
          <w:iCs/>
          <w:color w:val="000000"/>
          <w:sz w:val="24"/>
          <w:szCs w:val="24"/>
        </w:rPr>
        <w:t>shih vendimin nr. 37, datë 7.5.2024 të Gjykatës Kushtetuese</w:t>
      </w:r>
      <w:r w:rsidRPr="00CF7C71">
        <w:rPr>
          <w:rFonts w:ascii="Garamond" w:hAnsi="Garamond" w:cs="Times New Roman"/>
          <w:color w:val="000000"/>
          <w:sz w:val="24"/>
          <w:szCs w:val="24"/>
        </w:rPr>
        <w:t>). Megjithatë, në vlerësimin tonë, natyra e çështjes, në vetvete, nuk është e mjaftueshme për të përcaktuar interesin e lartë/të veçantë vetjak të personit që kërkon përshpejtimin e procedurave, por është e nevojshme edhe të provuarit të këtij interesi në drejtim të pasojave të ardhura ose të mundshme për shkak të asaj vonese. Nisur nga kjo, vërejmë se kërkuesi nuk ka parashtruar argumente dhe as ka paraqitur prova në drejtim të asaj çfarë rrezikon ai për shkak të vonesës së procesit gjyqësor në Gjykatën Administrative të Apelit.</w:t>
      </w:r>
    </w:p>
    <w:p w14:paraId="3CC8497E" w14:textId="567BD67E"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6.</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Në drejtim të asaj çfarë rrezikon kërkuesi nga kohëzgjatja e procesit gjyqësor, në rastin konkret, mendojmë se vlen të mbahet parasysh edhe fakti se vetë kërkuesi nuk ka vlerësuar se vonesa e procesit gjyqësor dhe, për pasojë, edhe ekzekutimi i dëmshpërblimit të akorduar për të nga gjykata e shkallës së parë, mund t’i shkaktojë atij dëme të rëndësishme, përderisa nuk rezulton të ketë shfrytëzuar të drejtën për të kërkuar dhënien me ekzekutim të përkohshëm të vendimit të gjykatës së shkallës së parë sipas nenit 317 të KPC-së.</w:t>
      </w:r>
      <w:r w:rsidR="004A1F79">
        <w:rPr>
          <w:rFonts w:ascii="Garamond" w:hAnsi="Garamond" w:cs="Times New Roman"/>
          <w:color w:val="000000"/>
          <w:sz w:val="24"/>
          <w:szCs w:val="24"/>
        </w:rPr>
        <w:t xml:space="preserve"> </w:t>
      </w:r>
    </w:p>
    <w:p w14:paraId="6AB82F60" w14:textId="188E69AA" w:rsidR="00CF7C71" w:rsidRP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7C71">
        <w:rPr>
          <w:rFonts w:ascii="Garamond" w:hAnsi="Garamond" w:cs="Times New Roman"/>
          <w:color w:val="000000"/>
          <w:sz w:val="24"/>
          <w:szCs w:val="24"/>
        </w:rPr>
        <w:t>7.</w:t>
      </w:r>
      <w:r w:rsidRPr="00843097">
        <w:rPr>
          <w:rFonts w:ascii="Garamond" w:hAnsi="Garamond" w:cs="Times New Roman"/>
          <w:color w:val="000000"/>
          <w:sz w:val="24"/>
          <w:szCs w:val="24"/>
        </w:rPr>
        <w:t xml:space="preserve"> </w:t>
      </w:r>
      <w:r w:rsidRPr="00CF7C71">
        <w:rPr>
          <w:rFonts w:ascii="Garamond" w:hAnsi="Garamond" w:cs="Times New Roman"/>
          <w:color w:val="000000"/>
          <w:sz w:val="24"/>
          <w:szCs w:val="24"/>
        </w:rPr>
        <w:t xml:space="preserve">Në vlerësimin tonë, në drejtim të kriterit të rëndësisë së asaj çfarë rrezikon kërkuesi për shkak të vonesës së procesit gjyqësor në Gjykatën Administrative të Apelit, në kontekst të rrethanave të rastit, ai nuk ka argumentuar dhe provuar rrezikun për interesat e tij “vetjakë e jetësorë”, të cilat kërkojnë trajtimin me përparësi dhe shpejtësi të veçantë të çështjes së tij. Nisur nga kjo, mbajtëm qëndrimin se nuk ka cenim të së drejtës për proces të rregullt në aspekt të kohëzgjatjes së arsyeshme të gjykimit në gjykatën në fjalë, ndaj, për rrjedhojë, kërkesa duhej të ishte rrëzuar. </w:t>
      </w:r>
    </w:p>
    <w:p w14:paraId="36FE7674" w14:textId="0818ED19" w:rsidR="00CF7C71" w:rsidRDefault="00CF7C71" w:rsidP="00CF7C71">
      <w:pPr>
        <w:tabs>
          <w:tab w:val="left" w:pos="1080"/>
        </w:tabs>
        <w:autoSpaceDE w:val="0"/>
        <w:autoSpaceDN w:val="0"/>
        <w:adjustRightInd w:val="0"/>
        <w:spacing w:after="0" w:line="240" w:lineRule="auto"/>
        <w:ind w:firstLine="284"/>
        <w:jc w:val="both"/>
        <w:rPr>
          <w:rFonts w:ascii="Garamond" w:hAnsi="Garamond" w:cs="Times New Roman"/>
          <w:color w:val="000000"/>
          <w:sz w:val="14"/>
          <w:szCs w:val="14"/>
        </w:rPr>
      </w:pPr>
    </w:p>
    <w:p w14:paraId="5F20D398" w14:textId="30C1E8F1" w:rsidR="00FC4196" w:rsidRDefault="00FC4196" w:rsidP="00CF7C71">
      <w:pPr>
        <w:tabs>
          <w:tab w:val="left" w:pos="1080"/>
        </w:tabs>
        <w:autoSpaceDE w:val="0"/>
        <w:autoSpaceDN w:val="0"/>
        <w:adjustRightInd w:val="0"/>
        <w:spacing w:after="0" w:line="240" w:lineRule="auto"/>
        <w:ind w:firstLine="284"/>
        <w:jc w:val="both"/>
        <w:rPr>
          <w:rFonts w:ascii="Garamond" w:hAnsi="Garamond" w:cs="Times New Roman"/>
          <w:b/>
          <w:color w:val="000000"/>
          <w:sz w:val="24"/>
          <w:szCs w:val="24"/>
        </w:rPr>
      </w:pPr>
      <w:r>
        <w:rPr>
          <w:rFonts w:ascii="Garamond" w:hAnsi="Garamond" w:cs="Times New Roman"/>
          <w:b/>
          <w:color w:val="000000"/>
          <w:sz w:val="24"/>
          <w:szCs w:val="24"/>
        </w:rPr>
        <w:t>Kryetare:</w:t>
      </w:r>
      <w:r w:rsidRPr="00FC4196">
        <w:rPr>
          <w:rFonts w:ascii="Garamond" w:hAnsi="Garamond" w:cs="Times New Roman"/>
          <w:bCs/>
          <w:color w:val="000000"/>
          <w:sz w:val="24"/>
          <w:szCs w:val="24"/>
        </w:rPr>
        <w:t xml:space="preserve"> </w:t>
      </w:r>
      <w:r w:rsidRPr="00CF7C71">
        <w:rPr>
          <w:rFonts w:ascii="Garamond" w:hAnsi="Garamond" w:cs="Times New Roman"/>
          <w:bCs/>
          <w:color w:val="000000"/>
          <w:sz w:val="24"/>
          <w:szCs w:val="24"/>
        </w:rPr>
        <w:t>Holta Zaçaj</w:t>
      </w:r>
    </w:p>
    <w:p w14:paraId="3F4C9F7D" w14:textId="1A1240F7" w:rsidR="00EF77C3" w:rsidRPr="00EF77C3" w:rsidRDefault="00EF77C3" w:rsidP="00CF7C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7502D">
        <w:rPr>
          <w:rFonts w:ascii="Garamond" w:hAnsi="Garamond" w:cs="Times New Roman"/>
          <w:b/>
          <w:color w:val="000000"/>
          <w:sz w:val="24"/>
          <w:szCs w:val="24"/>
        </w:rPr>
        <w:t>Anëtarë</w:t>
      </w:r>
      <w:r w:rsidRPr="00EF77C3">
        <w:rPr>
          <w:rFonts w:ascii="Garamond" w:hAnsi="Garamond" w:cs="Times New Roman"/>
          <w:color w:val="000000"/>
          <w:sz w:val="24"/>
          <w:szCs w:val="24"/>
        </w:rPr>
        <w:t>:</w:t>
      </w:r>
      <w:r w:rsidR="0077502D" w:rsidRPr="00CF7C71">
        <w:rPr>
          <w:rFonts w:ascii="Garamond" w:hAnsi="Garamond" w:cs="Times New Roman"/>
          <w:bCs/>
          <w:color w:val="000000"/>
          <w:sz w:val="24"/>
          <w:szCs w:val="24"/>
        </w:rPr>
        <w:t xml:space="preserve"> </w:t>
      </w:r>
      <w:r w:rsidRPr="00CF7C71">
        <w:rPr>
          <w:rFonts w:ascii="Garamond" w:hAnsi="Garamond" w:cs="Times New Roman"/>
          <w:bCs/>
          <w:color w:val="000000"/>
          <w:sz w:val="24"/>
          <w:szCs w:val="24"/>
        </w:rPr>
        <w:t>Ilir Toska</w:t>
      </w:r>
      <w:r>
        <w:rPr>
          <w:rFonts w:ascii="Garamond" w:hAnsi="Garamond" w:cs="Times New Roman"/>
          <w:bCs/>
          <w:color w:val="000000"/>
          <w:sz w:val="24"/>
          <w:szCs w:val="24"/>
        </w:rPr>
        <w:t>,</w:t>
      </w:r>
      <w:r w:rsidRPr="00EF77C3">
        <w:rPr>
          <w:rFonts w:ascii="Garamond" w:hAnsi="Garamond" w:cs="Times New Roman"/>
          <w:bCs/>
          <w:color w:val="000000"/>
          <w:sz w:val="24"/>
          <w:szCs w:val="24"/>
        </w:rPr>
        <w:t xml:space="preserve"> </w:t>
      </w:r>
      <w:r w:rsidRPr="00CF7C71">
        <w:rPr>
          <w:rFonts w:ascii="Garamond" w:hAnsi="Garamond" w:cs="Times New Roman"/>
          <w:bCs/>
          <w:color w:val="000000"/>
          <w:sz w:val="24"/>
          <w:szCs w:val="24"/>
        </w:rPr>
        <w:t>Fiona Papajorgji</w:t>
      </w:r>
    </w:p>
    <w:p w14:paraId="0BD1BA12" w14:textId="07DC0368" w:rsidR="00EF77C3" w:rsidRDefault="00EF77C3" w:rsidP="00CF7C71">
      <w:pPr>
        <w:tabs>
          <w:tab w:val="left" w:pos="1080"/>
        </w:tabs>
        <w:autoSpaceDE w:val="0"/>
        <w:autoSpaceDN w:val="0"/>
        <w:adjustRightInd w:val="0"/>
        <w:spacing w:after="0" w:line="240" w:lineRule="auto"/>
        <w:ind w:firstLine="284"/>
        <w:jc w:val="both"/>
        <w:rPr>
          <w:rFonts w:ascii="Garamond" w:hAnsi="Garamond" w:cs="Times New Roman"/>
          <w:color w:val="000000"/>
          <w:sz w:val="14"/>
          <w:szCs w:val="14"/>
        </w:rPr>
      </w:pPr>
    </w:p>
    <w:sectPr w:rsidR="00EF77C3" w:rsidSect="00CF7C71">
      <w:headerReference w:type="default" r:id="rId13"/>
      <w:pgSz w:w="11909" w:h="16834"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243DC" w14:textId="77777777" w:rsidR="0065080D" w:rsidRDefault="0065080D" w:rsidP="0019377B">
      <w:pPr>
        <w:spacing w:after="0" w:line="240" w:lineRule="auto"/>
      </w:pPr>
      <w:r>
        <w:separator/>
      </w:r>
    </w:p>
  </w:endnote>
  <w:endnote w:type="continuationSeparator" w:id="0">
    <w:p w14:paraId="0834B5B1" w14:textId="77777777" w:rsidR="0065080D" w:rsidRDefault="0065080D" w:rsidP="0019377B">
      <w:pPr>
        <w:spacing w:after="0" w:line="240" w:lineRule="auto"/>
      </w:pPr>
      <w:r>
        <w:continuationSeparator/>
      </w:r>
    </w:p>
  </w:endnote>
  <w:endnote w:type="continuationNotice" w:id="1">
    <w:p w14:paraId="3219E800" w14:textId="77777777" w:rsidR="0065080D" w:rsidRDefault="00650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45433" w14:textId="77777777" w:rsidR="0065080D" w:rsidRDefault="0065080D" w:rsidP="0019377B">
      <w:pPr>
        <w:spacing w:after="0" w:line="240" w:lineRule="auto"/>
      </w:pPr>
      <w:r>
        <w:separator/>
      </w:r>
    </w:p>
  </w:footnote>
  <w:footnote w:type="continuationSeparator" w:id="0">
    <w:p w14:paraId="4C5CD58D" w14:textId="77777777" w:rsidR="0065080D" w:rsidRDefault="0065080D" w:rsidP="0019377B">
      <w:pPr>
        <w:spacing w:after="0" w:line="240" w:lineRule="auto"/>
      </w:pPr>
      <w:r>
        <w:continuationSeparator/>
      </w:r>
    </w:p>
  </w:footnote>
  <w:footnote w:type="continuationNotice" w:id="1">
    <w:p w14:paraId="6A942612" w14:textId="77777777" w:rsidR="0065080D" w:rsidRDefault="006508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88C42" w14:textId="77777777" w:rsidR="0065080D" w:rsidRPr="00B5336A" w:rsidRDefault="0065080D" w:rsidP="00B5336A">
    <w:pPr>
      <w:pStyle w:val="Header"/>
    </w:pPr>
    <w:r w:rsidRPr="00B5336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F4A70"/>
    <w:multiLevelType w:val="multilevel"/>
    <w:tmpl w:val="66C041C0"/>
    <w:lvl w:ilvl="0">
      <w:start w:val="6"/>
      <w:numFmt w:val="decimal"/>
      <w:lvlText w:val="%1."/>
      <w:lvlJc w:val="left"/>
      <w:pPr>
        <w:ind w:left="360" w:hanging="360"/>
      </w:pPr>
      <w:rPr>
        <w:rFonts w:hint="default"/>
        <w:i w:val="0"/>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15:restartNumberingAfterBreak="0">
    <w:nsid w:val="0EEF233F"/>
    <w:multiLevelType w:val="multilevel"/>
    <w:tmpl w:val="B568D8DE"/>
    <w:lvl w:ilvl="0">
      <w:start w:val="10"/>
      <w:numFmt w:val="decimal"/>
      <w:lvlText w:val="%1."/>
      <w:lvlJc w:val="left"/>
      <w:pPr>
        <w:ind w:left="660" w:hanging="660"/>
      </w:pPr>
      <w:rPr>
        <w:rFonts w:hint="default"/>
        <w:i/>
        <w:color w:val="222222"/>
      </w:rPr>
    </w:lvl>
    <w:lvl w:ilvl="1">
      <w:start w:val="1"/>
      <w:numFmt w:val="decimal"/>
      <w:lvlText w:val="%1.%2."/>
      <w:lvlJc w:val="left"/>
      <w:pPr>
        <w:ind w:left="660" w:hanging="660"/>
      </w:pPr>
      <w:rPr>
        <w:rFonts w:hint="default"/>
        <w:i/>
        <w:color w:val="222222"/>
      </w:rPr>
    </w:lvl>
    <w:lvl w:ilvl="2">
      <w:start w:val="3"/>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 w15:restartNumberingAfterBreak="0">
    <w:nsid w:val="0F34658F"/>
    <w:multiLevelType w:val="multilevel"/>
    <w:tmpl w:val="BA74689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1C1460C"/>
    <w:multiLevelType w:val="multilevel"/>
    <w:tmpl w:val="F19A3058"/>
    <w:lvl w:ilvl="0">
      <w:start w:val="6"/>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13FA022B"/>
    <w:multiLevelType w:val="multilevel"/>
    <w:tmpl w:val="D23A8810"/>
    <w:lvl w:ilvl="0">
      <w:start w:val="10"/>
      <w:numFmt w:val="decimal"/>
      <w:lvlText w:val="%1."/>
      <w:lvlJc w:val="left"/>
      <w:pPr>
        <w:ind w:left="360" w:hanging="360"/>
      </w:pPr>
      <w:rPr>
        <w:rFonts w:eastAsia="Calibri" w:hint="default"/>
        <w:i w:val="0"/>
      </w:rPr>
    </w:lvl>
    <w:lvl w:ilvl="1">
      <w:start w:val="1"/>
      <w:numFmt w:val="decimal"/>
      <w:lvlText w:val="%1.%2."/>
      <w:lvlJc w:val="left"/>
      <w:pPr>
        <w:ind w:left="3600" w:hanging="360"/>
      </w:pPr>
      <w:rPr>
        <w:rFonts w:eastAsia="Calibri" w:hint="default"/>
        <w:i w:val="0"/>
      </w:rPr>
    </w:lvl>
    <w:lvl w:ilvl="2">
      <w:start w:val="1"/>
      <w:numFmt w:val="decimal"/>
      <w:lvlText w:val="%1.%2.%3."/>
      <w:lvlJc w:val="left"/>
      <w:pPr>
        <w:ind w:left="7200" w:hanging="720"/>
      </w:pPr>
      <w:rPr>
        <w:rFonts w:eastAsia="Calibri" w:hint="default"/>
      </w:rPr>
    </w:lvl>
    <w:lvl w:ilvl="3">
      <w:start w:val="1"/>
      <w:numFmt w:val="decimal"/>
      <w:lvlText w:val="%1.%2.%3.%4."/>
      <w:lvlJc w:val="left"/>
      <w:pPr>
        <w:ind w:left="10440" w:hanging="720"/>
      </w:pPr>
      <w:rPr>
        <w:rFonts w:eastAsia="Calibri" w:hint="default"/>
      </w:rPr>
    </w:lvl>
    <w:lvl w:ilvl="4">
      <w:start w:val="1"/>
      <w:numFmt w:val="decimal"/>
      <w:lvlText w:val="%1.%2.%3.%4.%5."/>
      <w:lvlJc w:val="left"/>
      <w:pPr>
        <w:ind w:left="14040" w:hanging="1080"/>
      </w:pPr>
      <w:rPr>
        <w:rFonts w:eastAsia="Calibri" w:hint="default"/>
      </w:rPr>
    </w:lvl>
    <w:lvl w:ilvl="5">
      <w:start w:val="1"/>
      <w:numFmt w:val="decimal"/>
      <w:lvlText w:val="%1.%2.%3.%4.%5.%6."/>
      <w:lvlJc w:val="left"/>
      <w:pPr>
        <w:ind w:left="17280" w:hanging="1080"/>
      </w:pPr>
      <w:rPr>
        <w:rFonts w:eastAsia="Calibri" w:hint="default"/>
      </w:rPr>
    </w:lvl>
    <w:lvl w:ilvl="6">
      <w:start w:val="1"/>
      <w:numFmt w:val="decimal"/>
      <w:lvlText w:val="%1.%2.%3.%4.%5.%6.%7."/>
      <w:lvlJc w:val="left"/>
      <w:pPr>
        <w:ind w:left="20880" w:hanging="1440"/>
      </w:pPr>
      <w:rPr>
        <w:rFonts w:eastAsia="Calibri" w:hint="default"/>
      </w:rPr>
    </w:lvl>
    <w:lvl w:ilvl="7">
      <w:start w:val="1"/>
      <w:numFmt w:val="decimal"/>
      <w:lvlText w:val="%1.%2.%3.%4.%5.%6.%7.%8."/>
      <w:lvlJc w:val="left"/>
      <w:pPr>
        <w:ind w:left="24120" w:hanging="1440"/>
      </w:pPr>
      <w:rPr>
        <w:rFonts w:eastAsia="Calibri" w:hint="default"/>
      </w:rPr>
    </w:lvl>
    <w:lvl w:ilvl="8">
      <w:start w:val="1"/>
      <w:numFmt w:val="decimal"/>
      <w:lvlText w:val="%1.%2.%3.%4.%5.%6.%7.%8.%9."/>
      <w:lvlJc w:val="left"/>
      <w:pPr>
        <w:ind w:left="27720" w:hanging="1800"/>
      </w:pPr>
      <w:rPr>
        <w:rFonts w:eastAsia="Calibri" w:hint="default"/>
      </w:rPr>
    </w:lvl>
  </w:abstractNum>
  <w:abstractNum w:abstractNumId="5"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74D0C9D"/>
    <w:multiLevelType w:val="multilevel"/>
    <w:tmpl w:val="5C98B508"/>
    <w:lvl w:ilvl="0">
      <w:start w:val="1"/>
      <w:numFmt w:val="decimal"/>
      <w:lvlText w:val="%1."/>
      <w:lvlJc w:val="left"/>
      <w:pPr>
        <w:ind w:left="1440" w:hanging="720"/>
      </w:pPr>
      <w:rPr>
        <w:rFonts w:ascii="Times New Roman" w:eastAsia="Times New Roman" w:hAnsi="Times New Roman" w:cs="Times New Roman"/>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7" w15:restartNumberingAfterBreak="0">
    <w:nsid w:val="177B6FD1"/>
    <w:multiLevelType w:val="multilevel"/>
    <w:tmpl w:val="FED8365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5CE076F"/>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E21BAB"/>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467241"/>
    <w:multiLevelType w:val="multilevel"/>
    <w:tmpl w:val="E984EEC6"/>
    <w:lvl w:ilvl="0">
      <w:start w:val="10"/>
      <w:numFmt w:val="decimal"/>
      <w:lvlText w:val="%1."/>
      <w:lvlJc w:val="left"/>
      <w:pPr>
        <w:ind w:left="480" w:hanging="480"/>
      </w:pPr>
      <w:rPr>
        <w:rFonts w:hint="default"/>
        <w:i/>
        <w:color w:val="222222"/>
      </w:rPr>
    </w:lvl>
    <w:lvl w:ilvl="1">
      <w:start w:val="1"/>
      <w:numFmt w:val="decimal"/>
      <w:lvlText w:val="%1.%2."/>
      <w:lvlJc w:val="left"/>
      <w:pPr>
        <w:ind w:left="1290" w:hanging="48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2" w15:restartNumberingAfterBreak="0">
    <w:nsid w:val="37B96C19"/>
    <w:multiLevelType w:val="multilevel"/>
    <w:tmpl w:val="C316DB9C"/>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3" w15:restartNumberingAfterBreak="0">
    <w:nsid w:val="3D4254AF"/>
    <w:multiLevelType w:val="hybridMultilevel"/>
    <w:tmpl w:val="C3A41F9E"/>
    <w:lvl w:ilvl="0" w:tplc="E3E42C60">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B62B0"/>
    <w:multiLevelType w:val="multilevel"/>
    <w:tmpl w:val="21EE270E"/>
    <w:lvl w:ilvl="0">
      <w:start w:val="10"/>
      <w:numFmt w:val="decimal"/>
      <w:lvlText w:val="%1."/>
      <w:lvlJc w:val="left"/>
      <w:pPr>
        <w:ind w:left="660" w:hanging="660"/>
      </w:pPr>
      <w:rPr>
        <w:rFonts w:hint="default"/>
        <w:i w:val="0"/>
        <w:color w:val="222222"/>
      </w:rPr>
    </w:lvl>
    <w:lvl w:ilvl="1">
      <w:start w:val="1"/>
      <w:numFmt w:val="decimal"/>
      <w:lvlText w:val="%1.%2."/>
      <w:lvlJc w:val="left"/>
      <w:pPr>
        <w:ind w:left="660" w:hanging="66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5" w15:restartNumberingAfterBreak="0">
    <w:nsid w:val="43EA3C55"/>
    <w:multiLevelType w:val="multilevel"/>
    <w:tmpl w:val="5D8892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106E57"/>
    <w:multiLevelType w:val="hybridMultilevel"/>
    <w:tmpl w:val="D598B832"/>
    <w:lvl w:ilvl="0" w:tplc="B50C1AF0">
      <w:start w:val="2"/>
      <w:numFmt w:val="bullet"/>
      <w:lvlText w:val="-"/>
      <w:lvlJc w:val="left"/>
      <w:pPr>
        <w:ind w:left="1440" w:hanging="360"/>
      </w:pPr>
      <w:rPr>
        <w:rFonts w:ascii="Times New Roman" w:eastAsia="MS Mincho" w:hAnsi="Times New Roman" w:cs="Times New Roman" w:hint="default"/>
      </w:rPr>
    </w:lvl>
    <w:lvl w:ilvl="1" w:tplc="041C0003">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 w15:restartNumberingAfterBreak="0">
    <w:nsid w:val="4D9212DD"/>
    <w:multiLevelType w:val="hybridMultilevel"/>
    <w:tmpl w:val="1B20FCC0"/>
    <w:lvl w:ilvl="0" w:tplc="904E88FE">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6F1BF5"/>
    <w:multiLevelType w:val="multilevel"/>
    <w:tmpl w:val="9F2490C6"/>
    <w:lvl w:ilvl="0">
      <w:start w:val="5"/>
      <w:numFmt w:val="decimal"/>
      <w:lvlText w:val="%1"/>
      <w:lvlJc w:val="left"/>
      <w:pPr>
        <w:ind w:left="360" w:hanging="360"/>
      </w:pPr>
      <w:rPr>
        <w:rFonts w:hint="default"/>
        <w:i/>
        <w:color w:val="222222"/>
      </w:rPr>
    </w:lvl>
    <w:lvl w:ilvl="1">
      <w:start w:val="1"/>
      <w:numFmt w:val="decimal"/>
      <w:lvlText w:val="%1.%2"/>
      <w:lvlJc w:val="left"/>
      <w:pPr>
        <w:ind w:left="1080" w:hanging="360"/>
      </w:pPr>
      <w:rPr>
        <w:rFonts w:hint="default"/>
        <w:i w:val="0"/>
        <w:color w:val="222222"/>
      </w:rPr>
    </w:lvl>
    <w:lvl w:ilvl="2">
      <w:start w:val="1"/>
      <w:numFmt w:val="decimal"/>
      <w:lvlText w:val="%1.%2.%3"/>
      <w:lvlJc w:val="left"/>
      <w:pPr>
        <w:ind w:left="2160" w:hanging="720"/>
      </w:pPr>
      <w:rPr>
        <w:rFonts w:hint="default"/>
        <w:i/>
        <w:color w:val="222222"/>
      </w:rPr>
    </w:lvl>
    <w:lvl w:ilvl="3">
      <w:start w:val="1"/>
      <w:numFmt w:val="decimal"/>
      <w:lvlText w:val="%1.%2.%3.%4"/>
      <w:lvlJc w:val="left"/>
      <w:pPr>
        <w:ind w:left="2880" w:hanging="720"/>
      </w:pPr>
      <w:rPr>
        <w:rFonts w:hint="default"/>
        <w:i/>
        <w:color w:val="222222"/>
      </w:rPr>
    </w:lvl>
    <w:lvl w:ilvl="4">
      <w:start w:val="1"/>
      <w:numFmt w:val="decimal"/>
      <w:lvlText w:val="%1.%2.%3.%4.%5"/>
      <w:lvlJc w:val="left"/>
      <w:pPr>
        <w:ind w:left="3960" w:hanging="1080"/>
      </w:pPr>
      <w:rPr>
        <w:rFonts w:hint="default"/>
        <w:i/>
        <w:color w:val="222222"/>
      </w:rPr>
    </w:lvl>
    <w:lvl w:ilvl="5">
      <w:start w:val="1"/>
      <w:numFmt w:val="decimal"/>
      <w:lvlText w:val="%1.%2.%3.%4.%5.%6"/>
      <w:lvlJc w:val="left"/>
      <w:pPr>
        <w:ind w:left="4680" w:hanging="1080"/>
      </w:pPr>
      <w:rPr>
        <w:rFonts w:hint="default"/>
        <w:i/>
        <w:color w:val="222222"/>
      </w:rPr>
    </w:lvl>
    <w:lvl w:ilvl="6">
      <w:start w:val="1"/>
      <w:numFmt w:val="decimal"/>
      <w:lvlText w:val="%1.%2.%3.%4.%5.%6.%7"/>
      <w:lvlJc w:val="left"/>
      <w:pPr>
        <w:ind w:left="5760" w:hanging="1440"/>
      </w:pPr>
      <w:rPr>
        <w:rFonts w:hint="default"/>
        <w:i/>
        <w:color w:val="222222"/>
      </w:rPr>
    </w:lvl>
    <w:lvl w:ilvl="7">
      <w:start w:val="1"/>
      <w:numFmt w:val="decimal"/>
      <w:lvlText w:val="%1.%2.%3.%4.%5.%6.%7.%8"/>
      <w:lvlJc w:val="left"/>
      <w:pPr>
        <w:ind w:left="6480" w:hanging="1440"/>
      </w:pPr>
      <w:rPr>
        <w:rFonts w:hint="default"/>
        <w:i/>
        <w:color w:val="222222"/>
      </w:rPr>
    </w:lvl>
    <w:lvl w:ilvl="8">
      <w:start w:val="1"/>
      <w:numFmt w:val="decimal"/>
      <w:lvlText w:val="%1.%2.%3.%4.%5.%6.%7.%8.%9"/>
      <w:lvlJc w:val="left"/>
      <w:pPr>
        <w:ind w:left="7560" w:hanging="1800"/>
      </w:pPr>
      <w:rPr>
        <w:rFonts w:hint="default"/>
        <w:i/>
        <w:color w:val="222222"/>
      </w:rPr>
    </w:lvl>
  </w:abstractNum>
  <w:abstractNum w:abstractNumId="22" w15:restartNumberingAfterBreak="0">
    <w:nsid w:val="5ED72B07"/>
    <w:multiLevelType w:val="multilevel"/>
    <w:tmpl w:val="95DEE3EA"/>
    <w:lvl w:ilvl="0">
      <w:start w:val="5"/>
      <w:numFmt w:val="decimal"/>
      <w:lvlText w:val="%1."/>
      <w:lvlJc w:val="left"/>
      <w:pPr>
        <w:ind w:left="360" w:hanging="360"/>
      </w:pPr>
      <w:rPr>
        <w:rFonts w:hint="default"/>
        <w:i/>
        <w:color w:val="222222"/>
      </w:rPr>
    </w:lvl>
    <w:lvl w:ilvl="1">
      <w:start w:val="1"/>
      <w:numFmt w:val="decimal"/>
      <w:lvlText w:val="%1.%2."/>
      <w:lvlJc w:val="left"/>
      <w:pPr>
        <w:ind w:left="360" w:hanging="360"/>
      </w:pPr>
      <w:rPr>
        <w:rFonts w:hint="default"/>
        <w:i w:val="0"/>
        <w:color w:val="222222"/>
      </w:rPr>
    </w:lvl>
    <w:lvl w:ilvl="2">
      <w:start w:val="1"/>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3"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4" w15:restartNumberingAfterBreak="0">
    <w:nsid w:val="651364A5"/>
    <w:multiLevelType w:val="hybridMultilevel"/>
    <w:tmpl w:val="B7CA738C"/>
    <w:lvl w:ilvl="0" w:tplc="04090019">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7863D64"/>
    <w:multiLevelType w:val="multilevel"/>
    <w:tmpl w:val="4B2E9C3E"/>
    <w:lvl w:ilvl="0">
      <w:start w:val="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C7E6125"/>
    <w:multiLevelType w:val="multilevel"/>
    <w:tmpl w:val="9C04BE16"/>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2"/>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7" w15:restartNumberingAfterBreak="0">
    <w:nsid w:val="74A417AB"/>
    <w:multiLevelType w:val="hybridMultilevel"/>
    <w:tmpl w:val="D722C600"/>
    <w:lvl w:ilvl="0" w:tplc="F7D668A4">
      <w:start w:val="1"/>
      <w:numFmt w:val="decimal"/>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75B43FD5"/>
    <w:multiLevelType w:val="hybridMultilevel"/>
    <w:tmpl w:val="A5AA1DD2"/>
    <w:lvl w:ilvl="0" w:tplc="57EE9EE8">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6"/>
  </w:num>
  <w:num w:numId="2">
    <w:abstractNumId w:val="7"/>
  </w:num>
  <w:num w:numId="3">
    <w:abstractNumId w:val="11"/>
  </w:num>
  <w:num w:numId="4">
    <w:abstractNumId w:val="26"/>
  </w:num>
  <w:num w:numId="5">
    <w:abstractNumId w:val="14"/>
  </w:num>
  <w:num w:numId="6">
    <w:abstractNumId w:val="12"/>
  </w:num>
  <w:num w:numId="7">
    <w:abstractNumId w:val="1"/>
  </w:num>
  <w:num w:numId="8">
    <w:abstractNumId w:val="25"/>
  </w:num>
  <w:num w:numId="9">
    <w:abstractNumId w:val="27"/>
  </w:num>
  <w:num w:numId="10">
    <w:abstractNumId w:val="2"/>
  </w:num>
  <w:num w:numId="11">
    <w:abstractNumId w:val="23"/>
  </w:num>
  <w:num w:numId="12">
    <w:abstractNumId w:val="5"/>
  </w:num>
  <w:num w:numId="13">
    <w:abstractNumId w:val="13"/>
  </w:num>
  <w:num w:numId="14">
    <w:abstractNumId w:val="20"/>
  </w:num>
  <w:num w:numId="15">
    <w:abstractNumId w:val="0"/>
  </w:num>
  <w:num w:numId="16">
    <w:abstractNumId w:val="9"/>
  </w:num>
  <w:num w:numId="17">
    <w:abstractNumId w:val="18"/>
  </w:num>
  <w:num w:numId="18">
    <w:abstractNumId w:val="10"/>
  </w:num>
  <w:num w:numId="19">
    <w:abstractNumId w:val="3"/>
  </w:num>
  <w:num w:numId="20">
    <w:abstractNumId w:val="4"/>
  </w:num>
  <w:num w:numId="21">
    <w:abstractNumId w:val="15"/>
  </w:num>
  <w:num w:numId="22">
    <w:abstractNumId w:val="17"/>
  </w:num>
  <w:num w:numId="23">
    <w:abstractNumId w:val="21"/>
  </w:num>
  <w:num w:numId="24">
    <w:abstractNumId w:val="22"/>
  </w:num>
  <w:num w:numId="25">
    <w:abstractNumId w:val="19"/>
  </w:num>
  <w:num w:numId="26">
    <w:abstractNumId w:val="24"/>
  </w:num>
  <w:num w:numId="27">
    <w:abstractNumId w:val="8"/>
  </w:num>
  <w:num w:numId="28">
    <w:abstractNumId w:val="6"/>
  </w:num>
  <w:num w:numId="29">
    <w:abstractNumId w:val="28"/>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DD"/>
    <w:rsid w:val="00011D41"/>
    <w:rsid w:val="00022D8E"/>
    <w:rsid w:val="000230D2"/>
    <w:rsid w:val="0002444F"/>
    <w:rsid w:val="00030413"/>
    <w:rsid w:val="000307A3"/>
    <w:rsid w:val="00030FBD"/>
    <w:rsid w:val="00035A17"/>
    <w:rsid w:val="0003688E"/>
    <w:rsid w:val="00036A39"/>
    <w:rsid w:val="000378B4"/>
    <w:rsid w:val="00040566"/>
    <w:rsid w:val="000409C5"/>
    <w:rsid w:val="00040E4B"/>
    <w:rsid w:val="000461BD"/>
    <w:rsid w:val="00051BCB"/>
    <w:rsid w:val="000557F4"/>
    <w:rsid w:val="000631E2"/>
    <w:rsid w:val="00065FCA"/>
    <w:rsid w:val="000679C4"/>
    <w:rsid w:val="00070155"/>
    <w:rsid w:val="00070F0A"/>
    <w:rsid w:val="0007226B"/>
    <w:rsid w:val="00075F22"/>
    <w:rsid w:val="00080AD8"/>
    <w:rsid w:val="000823DE"/>
    <w:rsid w:val="000827AA"/>
    <w:rsid w:val="00090C21"/>
    <w:rsid w:val="00092559"/>
    <w:rsid w:val="0009259E"/>
    <w:rsid w:val="00094F76"/>
    <w:rsid w:val="000A21A8"/>
    <w:rsid w:val="000A2F0A"/>
    <w:rsid w:val="000A77A7"/>
    <w:rsid w:val="000A7BA5"/>
    <w:rsid w:val="000B0641"/>
    <w:rsid w:val="000B4620"/>
    <w:rsid w:val="000B7CBE"/>
    <w:rsid w:val="000C1DBC"/>
    <w:rsid w:val="000C22A8"/>
    <w:rsid w:val="000C454F"/>
    <w:rsid w:val="000C48C5"/>
    <w:rsid w:val="000C678E"/>
    <w:rsid w:val="000C69D5"/>
    <w:rsid w:val="000C6CF8"/>
    <w:rsid w:val="000C6E48"/>
    <w:rsid w:val="000D13DF"/>
    <w:rsid w:val="000D2B11"/>
    <w:rsid w:val="000D300E"/>
    <w:rsid w:val="000D52F2"/>
    <w:rsid w:val="000E438F"/>
    <w:rsid w:val="000E504A"/>
    <w:rsid w:val="000E50E2"/>
    <w:rsid w:val="000E5F1A"/>
    <w:rsid w:val="000F64B8"/>
    <w:rsid w:val="000F7952"/>
    <w:rsid w:val="001058DF"/>
    <w:rsid w:val="00105DE6"/>
    <w:rsid w:val="00110E9F"/>
    <w:rsid w:val="0011233E"/>
    <w:rsid w:val="00112F4E"/>
    <w:rsid w:val="00114B96"/>
    <w:rsid w:val="0011562E"/>
    <w:rsid w:val="001208D4"/>
    <w:rsid w:val="00121E35"/>
    <w:rsid w:val="00123512"/>
    <w:rsid w:val="00131B96"/>
    <w:rsid w:val="00131EA6"/>
    <w:rsid w:val="001423BB"/>
    <w:rsid w:val="00144199"/>
    <w:rsid w:val="00144F25"/>
    <w:rsid w:val="00150B97"/>
    <w:rsid w:val="001513F8"/>
    <w:rsid w:val="0015530A"/>
    <w:rsid w:val="00160688"/>
    <w:rsid w:val="00172ECD"/>
    <w:rsid w:val="0017399F"/>
    <w:rsid w:val="001808E7"/>
    <w:rsid w:val="00182825"/>
    <w:rsid w:val="00186E07"/>
    <w:rsid w:val="0018778F"/>
    <w:rsid w:val="00187D62"/>
    <w:rsid w:val="0019256A"/>
    <w:rsid w:val="0019377B"/>
    <w:rsid w:val="00193DB4"/>
    <w:rsid w:val="00194475"/>
    <w:rsid w:val="00196631"/>
    <w:rsid w:val="00196D06"/>
    <w:rsid w:val="001A0C54"/>
    <w:rsid w:val="001A22F9"/>
    <w:rsid w:val="001A4EF9"/>
    <w:rsid w:val="001B220B"/>
    <w:rsid w:val="001B45F0"/>
    <w:rsid w:val="001B4CC5"/>
    <w:rsid w:val="001B7AAD"/>
    <w:rsid w:val="001C01BC"/>
    <w:rsid w:val="001C0666"/>
    <w:rsid w:val="001C256D"/>
    <w:rsid w:val="001C30B6"/>
    <w:rsid w:val="001C3677"/>
    <w:rsid w:val="001D2B29"/>
    <w:rsid w:val="001D5591"/>
    <w:rsid w:val="001F4B91"/>
    <w:rsid w:val="001F5C7A"/>
    <w:rsid w:val="0020603B"/>
    <w:rsid w:val="00207826"/>
    <w:rsid w:val="00210D0A"/>
    <w:rsid w:val="00216AF7"/>
    <w:rsid w:val="00216BCB"/>
    <w:rsid w:val="00220542"/>
    <w:rsid w:val="00220886"/>
    <w:rsid w:val="00221CF8"/>
    <w:rsid w:val="00225021"/>
    <w:rsid w:val="002312D7"/>
    <w:rsid w:val="002341ED"/>
    <w:rsid w:val="00242A26"/>
    <w:rsid w:val="00243D3F"/>
    <w:rsid w:val="00251DA0"/>
    <w:rsid w:val="0025454E"/>
    <w:rsid w:val="00263AE7"/>
    <w:rsid w:val="00264F6A"/>
    <w:rsid w:val="0026564B"/>
    <w:rsid w:val="00277AB2"/>
    <w:rsid w:val="00281A70"/>
    <w:rsid w:val="00286F6D"/>
    <w:rsid w:val="00287901"/>
    <w:rsid w:val="00296715"/>
    <w:rsid w:val="00297449"/>
    <w:rsid w:val="00297492"/>
    <w:rsid w:val="002A09B1"/>
    <w:rsid w:val="002A2B68"/>
    <w:rsid w:val="002A4268"/>
    <w:rsid w:val="002A76FE"/>
    <w:rsid w:val="002A7DF1"/>
    <w:rsid w:val="002B1534"/>
    <w:rsid w:val="002B1703"/>
    <w:rsid w:val="002B7440"/>
    <w:rsid w:val="002C0511"/>
    <w:rsid w:val="002C35BC"/>
    <w:rsid w:val="002C7BFE"/>
    <w:rsid w:val="002C7EB3"/>
    <w:rsid w:val="002D44E2"/>
    <w:rsid w:val="002E2579"/>
    <w:rsid w:val="002E793A"/>
    <w:rsid w:val="002F586E"/>
    <w:rsid w:val="002F66FD"/>
    <w:rsid w:val="0030068F"/>
    <w:rsid w:val="00301F91"/>
    <w:rsid w:val="003031A8"/>
    <w:rsid w:val="0030726E"/>
    <w:rsid w:val="003104D4"/>
    <w:rsid w:val="00310F92"/>
    <w:rsid w:val="0032230A"/>
    <w:rsid w:val="0032331E"/>
    <w:rsid w:val="003236A1"/>
    <w:rsid w:val="00324640"/>
    <w:rsid w:val="00327FED"/>
    <w:rsid w:val="0034058A"/>
    <w:rsid w:val="00341103"/>
    <w:rsid w:val="0034194B"/>
    <w:rsid w:val="00353323"/>
    <w:rsid w:val="003549E2"/>
    <w:rsid w:val="003552C5"/>
    <w:rsid w:val="00355529"/>
    <w:rsid w:val="003634E0"/>
    <w:rsid w:val="003644CE"/>
    <w:rsid w:val="00364761"/>
    <w:rsid w:val="003648CD"/>
    <w:rsid w:val="003665C2"/>
    <w:rsid w:val="00375E11"/>
    <w:rsid w:val="00376D40"/>
    <w:rsid w:val="00384F88"/>
    <w:rsid w:val="00385EA1"/>
    <w:rsid w:val="003866DD"/>
    <w:rsid w:val="003918C1"/>
    <w:rsid w:val="00397B3B"/>
    <w:rsid w:val="003A40A6"/>
    <w:rsid w:val="003A4C14"/>
    <w:rsid w:val="003A4F8C"/>
    <w:rsid w:val="003A5406"/>
    <w:rsid w:val="003A76A4"/>
    <w:rsid w:val="003B2F0F"/>
    <w:rsid w:val="003B36E6"/>
    <w:rsid w:val="003B6AB6"/>
    <w:rsid w:val="003C350B"/>
    <w:rsid w:val="003C6AEF"/>
    <w:rsid w:val="003C6CC8"/>
    <w:rsid w:val="003D19DC"/>
    <w:rsid w:val="003D1BC8"/>
    <w:rsid w:val="003D31DA"/>
    <w:rsid w:val="003D4513"/>
    <w:rsid w:val="003E00BC"/>
    <w:rsid w:val="003E0A26"/>
    <w:rsid w:val="003E7298"/>
    <w:rsid w:val="00401576"/>
    <w:rsid w:val="004019D4"/>
    <w:rsid w:val="0040284A"/>
    <w:rsid w:val="00407E8C"/>
    <w:rsid w:val="00413523"/>
    <w:rsid w:val="00413966"/>
    <w:rsid w:val="004176C0"/>
    <w:rsid w:val="00420F0C"/>
    <w:rsid w:val="00424450"/>
    <w:rsid w:val="0042580E"/>
    <w:rsid w:val="004277EA"/>
    <w:rsid w:val="00427C04"/>
    <w:rsid w:val="00434535"/>
    <w:rsid w:val="00435731"/>
    <w:rsid w:val="004406B2"/>
    <w:rsid w:val="004419BE"/>
    <w:rsid w:val="00441DFD"/>
    <w:rsid w:val="00442473"/>
    <w:rsid w:val="0044277B"/>
    <w:rsid w:val="0044555A"/>
    <w:rsid w:val="00450BC4"/>
    <w:rsid w:val="00451954"/>
    <w:rsid w:val="004545C5"/>
    <w:rsid w:val="00457025"/>
    <w:rsid w:val="004600B6"/>
    <w:rsid w:val="004618DC"/>
    <w:rsid w:val="00462EAA"/>
    <w:rsid w:val="0046405E"/>
    <w:rsid w:val="00465FDC"/>
    <w:rsid w:val="00466769"/>
    <w:rsid w:val="00470BFD"/>
    <w:rsid w:val="00471BEC"/>
    <w:rsid w:val="00472C1B"/>
    <w:rsid w:val="00477DAB"/>
    <w:rsid w:val="00480D5F"/>
    <w:rsid w:val="0048266C"/>
    <w:rsid w:val="004830B5"/>
    <w:rsid w:val="004871BB"/>
    <w:rsid w:val="00491B5C"/>
    <w:rsid w:val="00494EF2"/>
    <w:rsid w:val="004A1891"/>
    <w:rsid w:val="004A1F79"/>
    <w:rsid w:val="004A2B19"/>
    <w:rsid w:val="004B1BDF"/>
    <w:rsid w:val="004B611B"/>
    <w:rsid w:val="004B6DAE"/>
    <w:rsid w:val="004B7C2D"/>
    <w:rsid w:val="004C26C9"/>
    <w:rsid w:val="004C3245"/>
    <w:rsid w:val="004C5CC1"/>
    <w:rsid w:val="004E6493"/>
    <w:rsid w:val="005026BE"/>
    <w:rsid w:val="00502C06"/>
    <w:rsid w:val="005071A7"/>
    <w:rsid w:val="00516DE0"/>
    <w:rsid w:val="00521CC8"/>
    <w:rsid w:val="005220A0"/>
    <w:rsid w:val="0052741F"/>
    <w:rsid w:val="00530DC4"/>
    <w:rsid w:val="00531C81"/>
    <w:rsid w:val="00532099"/>
    <w:rsid w:val="00532C74"/>
    <w:rsid w:val="00534CA6"/>
    <w:rsid w:val="005413FE"/>
    <w:rsid w:val="00546A1A"/>
    <w:rsid w:val="00551ED1"/>
    <w:rsid w:val="00553688"/>
    <w:rsid w:val="00560838"/>
    <w:rsid w:val="00561336"/>
    <w:rsid w:val="00561BF0"/>
    <w:rsid w:val="00561EC4"/>
    <w:rsid w:val="0056274D"/>
    <w:rsid w:val="00563ABC"/>
    <w:rsid w:val="00564FFB"/>
    <w:rsid w:val="0056598F"/>
    <w:rsid w:val="00567971"/>
    <w:rsid w:val="00574E78"/>
    <w:rsid w:val="0058149D"/>
    <w:rsid w:val="00586E98"/>
    <w:rsid w:val="00586F65"/>
    <w:rsid w:val="00590791"/>
    <w:rsid w:val="00594439"/>
    <w:rsid w:val="00597166"/>
    <w:rsid w:val="005A176A"/>
    <w:rsid w:val="005A2937"/>
    <w:rsid w:val="005A45DF"/>
    <w:rsid w:val="005B51DE"/>
    <w:rsid w:val="005B65C0"/>
    <w:rsid w:val="005B6DAC"/>
    <w:rsid w:val="005C53E1"/>
    <w:rsid w:val="005D1B7D"/>
    <w:rsid w:val="005D1F46"/>
    <w:rsid w:val="005D2FCC"/>
    <w:rsid w:val="005D6854"/>
    <w:rsid w:val="005D7BD0"/>
    <w:rsid w:val="005E1AD0"/>
    <w:rsid w:val="005E29A5"/>
    <w:rsid w:val="005E2A02"/>
    <w:rsid w:val="005F4647"/>
    <w:rsid w:val="005F51BE"/>
    <w:rsid w:val="006003D3"/>
    <w:rsid w:val="00600827"/>
    <w:rsid w:val="00600D82"/>
    <w:rsid w:val="0060325F"/>
    <w:rsid w:val="00604462"/>
    <w:rsid w:val="00605443"/>
    <w:rsid w:val="00615D8B"/>
    <w:rsid w:val="0061627B"/>
    <w:rsid w:val="006200A2"/>
    <w:rsid w:val="006278A7"/>
    <w:rsid w:val="00631520"/>
    <w:rsid w:val="006319A1"/>
    <w:rsid w:val="00634385"/>
    <w:rsid w:val="00635F97"/>
    <w:rsid w:val="0063620D"/>
    <w:rsid w:val="006405A2"/>
    <w:rsid w:val="00641679"/>
    <w:rsid w:val="00641D1B"/>
    <w:rsid w:val="00643545"/>
    <w:rsid w:val="00646E10"/>
    <w:rsid w:val="00646EBC"/>
    <w:rsid w:val="00647C2F"/>
    <w:rsid w:val="006506E4"/>
    <w:rsid w:val="0065080D"/>
    <w:rsid w:val="00652A79"/>
    <w:rsid w:val="00652CBB"/>
    <w:rsid w:val="00656B7C"/>
    <w:rsid w:val="00666682"/>
    <w:rsid w:val="006720CE"/>
    <w:rsid w:val="00674650"/>
    <w:rsid w:val="0067667D"/>
    <w:rsid w:val="00677719"/>
    <w:rsid w:val="00685CD4"/>
    <w:rsid w:val="0068720A"/>
    <w:rsid w:val="00695159"/>
    <w:rsid w:val="00697710"/>
    <w:rsid w:val="006A1B95"/>
    <w:rsid w:val="006B49DA"/>
    <w:rsid w:val="006C2FC8"/>
    <w:rsid w:val="006D2572"/>
    <w:rsid w:val="006D2A68"/>
    <w:rsid w:val="006D3763"/>
    <w:rsid w:val="006D3C00"/>
    <w:rsid w:val="006E15A9"/>
    <w:rsid w:val="006E36BB"/>
    <w:rsid w:val="006E4954"/>
    <w:rsid w:val="006E618E"/>
    <w:rsid w:val="006F0B1B"/>
    <w:rsid w:val="006F0C69"/>
    <w:rsid w:val="006F231E"/>
    <w:rsid w:val="006F7918"/>
    <w:rsid w:val="006F7F16"/>
    <w:rsid w:val="00705F0A"/>
    <w:rsid w:val="00713838"/>
    <w:rsid w:val="00714ECD"/>
    <w:rsid w:val="00714FC1"/>
    <w:rsid w:val="0071555E"/>
    <w:rsid w:val="00725E0A"/>
    <w:rsid w:val="0072620B"/>
    <w:rsid w:val="00727114"/>
    <w:rsid w:val="00730560"/>
    <w:rsid w:val="0073158F"/>
    <w:rsid w:val="007347A4"/>
    <w:rsid w:val="00735D92"/>
    <w:rsid w:val="0074131A"/>
    <w:rsid w:val="00742770"/>
    <w:rsid w:val="0074482F"/>
    <w:rsid w:val="00744C34"/>
    <w:rsid w:val="007469F8"/>
    <w:rsid w:val="00752B71"/>
    <w:rsid w:val="00761CF7"/>
    <w:rsid w:val="00762873"/>
    <w:rsid w:val="00765B1D"/>
    <w:rsid w:val="007660BB"/>
    <w:rsid w:val="00770943"/>
    <w:rsid w:val="00772EFA"/>
    <w:rsid w:val="0077502D"/>
    <w:rsid w:val="00784DE7"/>
    <w:rsid w:val="007856E1"/>
    <w:rsid w:val="00785E66"/>
    <w:rsid w:val="0079531A"/>
    <w:rsid w:val="00796099"/>
    <w:rsid w:val="00796B62"/>
    <w:rsid w:val="007A2FFD"/>
    <w:rsid w:val="007A4BB2"/>
    <w:rsid w:val="007A6DF4"/>
    <w:rsid w:val="007A6F97"/>
    <w:rsid w:val="007A713D"/>
    <w:rsid w:val="007B28DC"/>
    <w:rsid w:val="007B5C8E"/>
    <w:rsid w:val="007B6507"/>
    <w:rsid w:val="007C3C00"/>
    <w:rsid w:val="007C41B1"/>
    <w:rsid w:val="007C7B6B"/>
    <w:rsid w:val="007D2777"/>
    <w:rsid w:val="007D296A"/>
    <w:rsid w:val="007E1890"/>
    <w:rsid w:val="007E387B"/>
    <w:rsid w:val="007F0E77"/>
    <w:rsid w:val="007F48FA"/>
    <w:rsid w:val="007F54DE"/>
    <w:rsid w:val="007F7C77"/>
    <w:rsid w:val="0081167E"/>
    <w:rsid w:val="00823D4B"/>
    <w:rsid w:val="008337C6"/>
    <w:rsid w:val="00834BC6"/>
    <w:rsid w:val="00836B59"/>
    <w:rsid w:val="008414D6"/>
    <w:rsid w:val="00843097"/>
    <w:rsid w:val="00844EAC"/>
    <w:rsid w:val="0084588C"/>
    <w:rsid w:val="00850083"/>
    <w:rsid w:val="008500EC"/>
    <w:rsid w:val="00851CC4"/>
    <w:rsid w:val="00852FB7"/>
    <w:rsid w:val="00857CE7"/>
    <w:rsid w:val="008620F3"/>
    <w:rsid w:val="0086224E"/>
    <w:rsid w:val="00866EA1"/>
    <w:rsid w:val="008730F2"/>
    <w:rsid w:val="00875895"/>
    <w:rsid w:val="00875ACF"/>
    <w:rsid w:val="00882E1F"/>
    <w:rsid w:val="00891B32"/>
    <w:rsid w:val="00893406"/>
    <w:rsid w:val="0089356A"/>
    <w:rsid w:val="00894F3B"/>
    <w:rsid w:val="00895AA8"/>
    <w:rsid w:val="0089655D"/>
    <w:rsid w:val="008A444E"/>
    <w:rsid w:val="008A45E6"/>
    <w:rsid w:val="008A6D6D"/>
    <w:rsid w:val="008B4A8E"/>
    <w:rsid w:val="008B524E"/>
    <w:rsid w:val="008B5753"/>
    <w:rsid w:val="008C1743"/>
    <w:rsid w:val="008D0393"/>
    <w:rsid w:val="008D1C91"/>
    <w:rsid w:val="008D2BD1"/>
    <w:rsid w:val="008D3CB9"/>
    <w:rsid w:val="008D4781"/>
    <w:rsid w:val="008E110C"/>
    <w:rsid w:val="008E1662"/>
    <w:rsid w:val="008F217D"/>
    <w:rsid w:val="008F21F4"/>
    <w:rsid w:val="008F3480"/>
    <w:rsid w:val="008F45D2"/>
    <w:rsid w:val="008F4D47"/>
    <w:rsid w:val="00901F0E"/>
    <w:rsid w:val="00906FD3"/>
    <w:rsid w:val="00907AAA"/>
    <w:rsid w:val="00912223"/>
    <w:rsid w:val="009201E6"/>
    <w:rsid w:val="00922124"/>
    <w:rsid w:val="00926DFD"/>
    <w:rsid w:val="009327E1"/>
    <w:rsid w:val="00934232"/>
    <w:rsid w:val="00936EEF"/>
    <w:rsid w:val="00940771"/>
    <w:rsid w:val="00940DAC"/>
    <w:rsid w:val="00941772"/>
    <w:rsid w:val="00945447"/>
    <w:rsid w:val="00945C7F"/>
    <w:rsid w:val="00946F9E"/>
    <w:rsid w:val="0095199B"/>
    <w:rsid w:val="0096329C"/>
    <w:rsid w:val="00973E1D"/>
    <w:rsid w:val="00974043"/>
    <w:rsid w:val="00976AAD"/>
    <w:rsid w:val="00976C55"/>
    <w:rsid w:val="00977AF8"/>
    <w:rsid w:val="009841F9"/>
    <w:rsid w:val="009844A4"/>
    <w:rsid w:val="009844B4"/>
    <w:rsid w:val="009871C9"/>
    <w:rsid w:val="009905C6"/>
    <w:rsid w:val="009952C9"/>
    <w:rsid w:val="00997F54"/>
    <w:rsid w:val="009A10F7"/>
    <w:rsid w:val="009A168B"/>
    <w:rsid w:val="009A2518"/>
    <w:rsid w:val="009A3DEA"/>
    <w:rsid w:val="009A588D"/>
    <w:rsid w:val="009A6A33"/>
    <w:rsid w:val="009A7424"/>
    <w:rsid w:val="009C2DF5"/>
    <w:rsid w:val="009C4D2C"/>
    <w:rsid w:val="009C5646"/>
    <w:rsid w:val="009D194E"/>
    <w:rsid w:val="009E1011"/>
    <w:rsid w:val="009F078F"/>
    <w:rsid w:val="009F1CFA"/>
    <w:rsid w:val="00A00FC9"/>
    <w:rsid w:val="00A041C1"/>
    <w:rsid w:val="00A04E39"/>
    <w:rsid w:val="00A07E5D"/>
    <w:rsid w:val="00A10929"/>
    <w:rsid w:val="00A14F86"/>
    <w:rsid w:val="00A16EDE"/>
    <w:rsid w:val="00A21F5C"/>
    <w:rsid w:val="00A2537D"/>
    <w:rsid w:val="00A31734"/>
    <w:rsid w:val="00A3593B"/>
    <w:rsid w:val="00A3602B"/>
    <w:rsid w:val="00A41681"/>
    <w:rsid w:val="00A4190D"/>
    <w:rsid w:val="00A46526"/>
    <w:rsid w:val="00A46A6F"/>
    <w:rsid w:val="00A5103B"/>
    <w:rsid w:val="00A562D2"/>
    <w:rsid w:val="00A56C5A"/>
    <w:rsid w:val="00A62284"/>
    <w:rsid w:val="00A639B4"/>
    <w:rsid w:val="00A64912"/>
    <w:rsid w:val="00A64ADD"/>
    <w:rsid w:val="00A66B0C"/>
    <w:rsid w:val="00A72482"/>
    <w:rsid w:val="00A734BB"/>
    <w:rsid w:val="00A73AAD"/>
    <w:rsid w:val="00A7632F"/>
    <w:rsid w:val="00A76CDE"/>
    <w:rsid w:val="00A8060B"/>
    <w:rsid w:val="00A8656B"/>
    <w:rsid w:val="00A8670C"/>
    <w:rsid w:val="00A86C0E"/>
    <w:rsid w:val="00A86FF8"/>
    <w:rsid w:val="00A95D77"/>
    <w:rsid w:val="00A97007"/>
    <w:rsid w:val="00A97614"/>
    <w:rsid w:val="00AA11C8"/>
    <w:rsid w:val="00AA2515"/>
    <w:rsid w:val="00AA671F"/>
    <w:rsid w:val="00AB17D8"/>
    <w:rsid w:val="00AB4A58"/>
    <w:rsid w:val="00AC20C0"/>
    <w:rsid w:val="00AC2A67"/>
    <w:rsid w:val="00AD0A4A"/>
    <w:rsid w:val="00AD134D"/>
    <w:rsid w:val="00AD20C7"/>
    <w:rsid w:val="00AD2918"/>
    <w:rsid w:val="00AD5854"/>
    <w:rsid w:val="00AE0B92"/>
    <w:rsid w:val="00AE3521"/>
    <w:rsid w:val="00AF01B9"/>
    <w:rsid w:val="00AF5002"/>
    <w:rsid w:val="00AF7A4B"/>
    <w:rsid w:val="00B00885"/>
    <w:rsid w:val="00B04043"/>
    <w:rsid w:val="00B05048"/>
    <w:rsid w:val="00B058B9"/>
    <w:rsid w:val="00B07A42"/>
    <w:rsid w:val="00B14B74"/>
    <w:rsid w:val="00B14D7E"/>
    <w:rsid w:val="00B15F4C"/>
    <w:rsid w:val="00B16439"/>
    <w:rsid w:val="00B20261"/>
    <w:rsid w:val="00B20632"/>
    <w:rsid w:val="00B21F1A"/>
    <w:rsid w:val="00B250D6"/>
    <w:rsid w:val="00B3087F"/>
    <w:rsid w:val="00B417BC"/>
    <w:rsid w:val="00B50635"/>
    <w:rsid w:val="00B50DCB"/>
    <w:rsid w:val="00B51BBE"/>
    <w:rsid w:val="00B52673"/>
    <w:rsid w:val="00B52B6F"/>
    <w:rsid w:val="00B52CF2"/>
    <w:rsid w:val="00B5336A"/>
    <w:rsid w:val="00B55A7D"/>
    <w:rsid w:val="00B5648E"/>
    <w:rsid w:val="00B57768"/>
    <w:rsid w:val="00B57BBE"/>
    <w:rsid w:val="00B60F93"/>
    <w:rsid w:val="00B614C3"/>
    <w:rsid w:val="00B628D5"/>
    <w:rsid w:val="00B63016"/>
    <w:rsid w:val="00B6685E"/>
    <w:rsid w:val="00B67D68"/>
    <w:rsid w:val="00B7527E"/>
    <w:rsid w:val="00B75B1E"/>
    <w:rsid w:val="00B775C3"/>
    <w:rsid w:val="00B77D48"/>
    <w:rsid w:val="00B81397"/>
    <w:rsid w:val="00B8591A"/>
    <w:rsid w:val="00B869D8"/>
    <w:rsid w:val="00B8716C"/>
    <w:rsid w:val="00B87812"/>
    <w:rsid w:val="00B90067"/>
    <w:rsid w:val="00B95B68"/>
    <w:rsid w:val="00BA03DE"/>
    <w:rsid w:val="00BA1DCB"/>
    <w:rsid w:val="00BA5574"/>
    <w:rsid w:val="00BB2580"/>
    <w:rsid w:val="00BB5EF3"/>
    <w:rsid w:val="00BC2096"/>
    <w:rsid w:val="00BC4A6C"/>
    <w:rsid w:val="00BD21D8"/>
    <w:rsid w:val="00BD4ABD"/>
    <w:rsid w:val="00BD75E8"/>
    <w:rsid w:val="00BE7C6D"/>
    <w:rsid w:val="00BF087D"/>
    <w:rsid w:val="00BF1B7A"/>
    <w:rsid w:val="00BF1FF8"/>
    <w:rsid w:val="00BF4046"/>
    <w:rsid w:val="00BF53F3"/>
    <w:rsid w:val="00C04405"/>
    <w:rsid w:val="00C046D5"/>
    <w:rsid w:val="00C07600"/>
    <w:rsid w:val="00C112FE"/>
    <w:rsid w:val="00C1621C"/>
    <w:rsid w:val="00C246C6"/>
    <w:rsid w:val="00C26FED"/>
    <w:rsid w:val="00C275AD"/>
    <w:rsid w:val="00C325FA"/>
    <w:rsid w:val="00C35531"/>
    <w:rsid w:val="00C363B8"/>
    <w:rsid w:val="00C4053D"/>
    <w:rsid w:val="00C40628"/>
    <w:rsid w:val="00C424F7"/>
    <w:rsid w:val="00C4603B"/>
    <w:rsid w:val="00C47134"/>
    <w:rsid w:val="00C537D1"/>
    <w:rsid w:val="00C542FD"/>
    <w:rsid w:val="00C54FC5"/>
    <w:rsid w:val="00C6157D"/>
    <w:rsid w:val="00C67ABF"/>
    <w:rsid w:val="00C72334"/>
    <w:rsid w:val="00C72370"/>
    <w:rsid w:val="00C72764"/>
    <w:rsid w:val="00C76E5B"/>
    <w:rsid w:val="00C82B59"/>
    <w:rsid w:val="00C90AFE"/>
    <w:rsid w:val="00C90E47"/>
    <w:rsid w:val="00C9346B"/>
    <w:rsid w:val="00C971DA"/>
    <w:rsid w:val="00CA00DC"/>
    <w:rsid w:val="00CA196C"/>
    <w:rsid w:val="00CA3A7B"/>
    <w:rsid w:val="00CA5DC6"/>
    <w:rsid w:val="00CB1EAC"/>
    <w:rsid w:val="00CB7B91"/>
    <w:rsid w:val="00CC141F"/>
    <w:rsid w:val="00CC23AC"/>
    <w:rsid w:val="00CC3262"/>
    <w:rsid w:val="00CC3997"/>
    <w:rsid w:val="00CC5226"/>
    <w:rsid w:val="00CC6575"/>
    <w:rsid w:val="00CD1124"/>
    <w:rsid w:val="00CD1236"/>
    <w:rsid w:val="00CD1559"/>
    <w:rsid w:val="00CD1C5E"/>
    <w:rsid w:val="00CD7269"/>
    <w:rsid w:val="00CE0CEA"/>
    <w:rsid w:val="00CE1382"/>
    <w:rsid w:val="00CE34E4"/>
    <w:rsid w:val="00CE5AE8"/>
    <w:rsid w:val="00CE63D9"/>
    <w:rsid w:val="00CF2199"/>
    <w:rsid w:val="00CF2B83"/>
    <w:rsid w:val="00CF32D3"/>
    <w:rsid w:val="00CF7C71"/>
    <w:rsid w:val="00D20C05"/>
    <w:rsid w:val="00D2132B"/>
    <w:rsid w:val="00D214CE"/>
    <w:rsid w:val="00D2460D"/>
    <w:rsid w:val="00D27DDD"/>
    <w:rsid w:val="00D30AE3"/>
    <w:rsid w:val="00D31C75"/>
    <w:rsid w:val="00D44229"/>
    <w:rsid w:val="00D44533"/>
    <w:rsid w:val="00D45462"/>
    <w:rsid w:val="00D51CB2"/>
    <w:rsid w:val="00D53164"/>
    <w:rsid w:val="00D54A6F"/>
    <w:rsid w:val="00D551F3"/>
    <w:rsid w:val="00D62006"/>
    <w:rsid w:val="00D627C8"/>
    <w:rsid w:val="00D75313"/>
    <w:rsid w:val="00D810E4"/>
    <w:rsid w:val="00D9132E"/>
    <w:rsid w:val="00D93C10"/>
    <w:rsid w:val="00DA6340"/>
    <w:rsid w:val="00DA7341"/>
    <w:rsid w:val="00DB0F99"/>
    <w:rsid w:val="00DB1E69"/>
    <w:rsid w:val="00DB27EA"/>
    <w:rsid w:val="00DB2DAA"/>
    <w:rsid w:val="00DB6857"/>
    <w:rsid w:val="00DC666B"/>
    <w:rsid w:val="00DC676A"/>
    <w:rsid w:val="00DD06A0"/>
    <w:rsid w:val="00DD16D6"/>
    <w:rsid w:val="00DD68B9"/>
    <w:rsid w:val="00DE13CE"/>
    <w:rsid w:val="00DE5DA3"/>
    <w:rsid w:val="00DE6D3A"/>
    <w:rsid w:val="00DF0FCA"/>
    <w:rsid w:val="00E00D09"/>
    <w:rsid w:val="00E01480"/>
    <w:rsid w:val="00E041EC"/>
    <w:rsid w:val="00E110F7"/>
    <w:rsid w:val="00E11582"/>
    <w:rsid w:val="00E11A89"/>
    <w:rsid w:val="00E1228A"/>
    <w:rsid w:val="00E16DA8"/>
    <w:rsid w:val="00E1780C"/>
    <w:rsid w:val="00E17D9C"/>
    <w:rsid w:val="00E200C9"/>
    <w:rsid w:val="00E20E67"/>
    <w:rsid w:val="00E234CB"/>
    <w:rsid w:val="00E255D2"/>
    <w:rsid w:val="00E25E30"/>
    <w:rsid w:val="00E33B2F"/>
    <w:rsid w:val="00E501D0"/>
    <w:rsid w:val="00E5563C"/>
    <w:rsid w:val="00E56033"/>
    <w:rsid w:val="00E63767"/>
    <w:rsid w:val="00E65A1B"/>
    <w:rsid w:val="00E671EE"/>
    <w:rsid w:val="00E674B5"/>
    <w:rsid w:val="00E718A7"/>
    <w:rsid w:val="00E72B47"/>
    <w:rsid w:val="00E752E4"/>
    <w:rsid w:val="00E811D5"/>
    <w:rsid w:val="00E81648"/>
    <w:rsid w:val="00E829F6"/>
    <w:rsid w:val="00E8427C"/>
    <w:rsid w:val="00E84B55"/>
    <w:rsid w:val="00E85180"/>
    <w:rsid w:val="00E9406E"/>
    <w:rsid w:val="00E96C39"/>
    <w:rsid w:val="00EA3446"/>
    <w:rsid w:val="00EA44EE"/>
    <w:rsid w:val="00EA74E6"/>
    <w:rsid w:val="00EB0522"/>
    <w:rsid w:val="00EB4276"/>
    <w:rsid w:val="00EC0B12"/>
    <w:rsid w:val="00EC1939"/>
    <w:rsid w:val="00EC1B11"/>
    <w:rsid w:val="00EC5756"/>
    <w:rsid w:val="00EC6A39"/>
    <w:rsid w:val="00EC6ED4"/>
    <w:rsid w:val="00ED6921"/>
    <w:rsid w:val="00EE0880"/>
    <w:rsid w:val="00EE3F62"/>
    <w:rsid w:val="00EF041E"/>
    <w:rsid w:val="00EF0C0D"/>
    <w:rsid w:val="00EF29EC"/>
    <w:rsid w:val="00EF3149"/>
    <w:rsid w:val="00EF4A2B"/>
    <w:rsid w:val="00EF5ADD"/>
    <w:rsid w:val="00EF77C3"/>
    <w:rsid w:val="00EF7BA9"/>
    <w:rsid w:val="00F012CB"/>
    <w:rsid w:val="00F13C20"/>
    <w:rsid w:val="00F1697A"/>
    <w:rsid w:val="00F21C66"/>
    <w:rsid w:val="00F30CFE"/>
    <w:rsid w:val="00F33602"/>
    <w:rsid w:val="00F362FE"/>
    <w:rsid w:val="00F36E9E"/>
    <w:rsid w:val="00F41562"/>
    <w:rsid w:val="00F52D4C"/>
    <w:rsid w:val="00F5375C"/>
    <w:rsid w:val="00F553CC"/>
    <w:rsid w:val="00F61E68"/>
    <w:rsid w:val="00F7122A"/>
    <w:rsid w:val="00F72337"/>
    <w:rsid w:val="00F73874"/>
    <w:rsid w:val="00F774CD"/>
    <w:rsid w:val="00F83F42"/>
    <w:rsid w:val="00F87DB8"/>
    <w:rsid w:val="00F921CD"/>
    <w:rsid w:val="00F94D64"/>
    <w:rsid w:val="00F962C6"/>
    <w:rsid w:val="00FA23E3"/>
    <w:rsid w:val="00FA5F5E"/>
    <w:rsid w:val="00FA6975"/>
    <w:rsid w:val="00FB04E6"/>
    <w:rsid w:val="00FB26A4"/>
    <w:rsid w:val="00FB6531"/>
    <w:rsid w:val="00FB7110"/>
    <w:rsid w:val="00FC3EC4"/>
    <w:rsid w:val="00FC4196"/>
    <w:rsid w:val="00FC58BC"/>
    <w:rsid w:val="00FC681A"/>
    <w:rsid w:val="00FE2416"/>
    <w:rsid w:val="00FE73B1"/>
    <w:rsid w:val="00FF07CA"/>
    <w:rsid w:val="00FF1CE5"/>
    <w:rsid w:val="00FF3BC4"/>
    <w:rsid w:val="00FF51A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CCE452"/>
  <w15:chartTrackingRefBased/>
  <w15:docId w15:val="{A1999742-CF24-4909-8DE0-9306BC069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1C3677"/>
    <w:pPr>
      <w:spacing w:after="0" w:line="360" w:lineRule="auto"/>
      <w:ind w:left="2880" w:hanging="2160"/>
      <w:jc w:val="both"/>
    </w:pPr>
    <w:rPr>
      <w:rFonts w:ascii="Times New Roman" w:eastAsiaTheme="minorHAnsi" w:hAnsi="Times New Roman" w:cs="Times New Roman"/>
      <w:b/>
      <w:sz w:val="24"/>
      <w:szCs w:val="24"/>
    </w:rPr>
  </w:style>
  <w:style w:type="character" w:customStyle="1" w:styleId="BodyTextIndent2Char">
    <w:name w:val="Body Text Indent 2 Char"/>
    <w:basedOn w:val="DefaultParagraphFont"/>
    <w:link w:val="BodyTextIndent2"/>
    <w:uiPriority w:val="99"/>
    <w:rsid w:val="001C3677"/>
    <w:rPr>
      <w:rFonts w:ascii="Times New Roman" w:eastAsiaTheme="minorHAnsi" w:hAnsi="Times New Roman" w:cs="Times New Roman"/>
      <w:b/>
      <w:sz w:val="24"/>
      <w:szCs w:val="24"/>
    </w:rPr>
  </w:style>
  <w:style w:type="table" w:styleId="TableGrid">
    <w:name w:val="Table Grid"/>
    <w:basedOn w:val="TableNormal"/>
    <w:uiPriority w:val="39"/>
    <w:rsid w:val="00976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468480015">
      <w:bodyDiv w:val="1"/>
      <w:marLeft w:val="0"/>
      <w:marRight w:val="0"/>
      <w:marTop w:val="0"/>
      <w:marBottom w:val="0"/>
      <w:divBdr>
        <w:top w:val="none" w:sz="0" w:space="0" w:color="auto"/>
        <w:left w:val="none" w:sz="0" w:space="0" w:color="auto"/>
        <w:bottom w:val="none" w:sz="0" w:space="0" w:color="auto"/>
        <w:right w:val="none" w:sz="0" w:space="0" w:color="auto"/>
      </w:divBdr>
    </w:div>
    <w:div w:id="822351368">
      <w:bodyDiv w:val="1"/>
      <w:marLeft w:val="0"/>
      <w:marRight w:val="0"/>
      <w:marTop w:val="0"/>
      <w:marBottom w:val="0"/>
      <w:divBdr>
        <w:top w:val="none" w:sz="0" w:space="0" w:color="auto"/>
        <w:left w:val="none" w:sz="0" w:space="0" w:color="auto"/>
        <w:bottom w:val="none" w:sz="0" w:space="0" w:color="auto"/>
        <w:right w:val="none" w:sz="0" w:space="0" w:color="auto"/>
      </w:divBdr>
    </w:div>
    <w:div w:id="1296981087">
      <w:bodyDiv w:val="1"/>
      <w:marLeft w:val="0"/>
      <w:marRight w:val="0"/>
      <w:marTop w:val="0"/>
      <w:marBottom w:val="0"/>
      <w:divBdr>
        <w:top w:val="none" w:sz="0" w:space="0" w:color="auto"/>
        <w:left w:val="none" w:sz="0" w:space="0" w:color="auto"/>
        <w:bottom w:val="none" w:sz="0" w:space="0" w:color="auto"/>
        <w:right w:val="none" w:sz="0" w:space="0" w:color="auto"/>
      </w:divBdr>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 w:id="1684744133">
      <w:bodyDiv w:val="1"/>
      <w:marLeft w:val="0"/>
      <w:marRight w:val="0"/>
      <w:marTop w:val="0"/>
      <w:marBottom w:val="0"/>
      <w:divBdr>
        <w:top w:val="none" w:sz="0" w:space="0" w:color="auto"/>
        <w:left w:val="none" w:sz="0" w:space="0" w:color="auto"/>
        <w:bottom w:val="none" w:sz="0" w:space="0" w:color="auto"/>
        <w:right w:val="none" w:sz="0" w:space="0" w:color="auto"/>
      </w:divBdr>
    </w:div>
    <w:div w:id="194735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6F6FEED388940BABD07D9B270C599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2024-10-07T13:33:30Z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Me objekt shfuqizimin e vendimit nr. 00-2023-3812, datë 12.10.2023 të Kolegjit Administrativ të Gjykatës së Lartë, si i papajtueshëm me Kushtetutën e Republikës së Shqipërisë. Konstatimi i shkeljes së afatit të arsyeshëm dhe përshpejtimi i procedurave në gjykimin e çështjes administrative nr. 31154-02568-86-2019, datë 28.06.2019 të regjistruar pranë Gjykatës Administrative të Apelit. Detyrimi i Gjykatës Administrative të Apelit të shqyrtojë çështjen brenda afatit njëmujor nga dhënia e vendimit të Gjykatës Kushtetuese.</Titulli>
    <Modifikuesi xmlns="0e656187-b300-4fb0-8bf4-3a50f872073c">jorina.kryeziu</Modifikuesi>
    <Nr_x002e__x0020_prot_x0020_QBZ xmlns="0e656187-b300-4fb0-8bf4-3a50f872073c">1729/1</Nr_x002e__x0020_prot_x0020_QBZ>
    <Data_x0020_e_x0020_Modifikimit xmlns="0e656187-b300-4fb0-8bf4-3a50f872073c">2024-10-07T13:56:59Z</Data_x0020_e_x0020_Modifikimit>
    <Dekretuar xmlns="0e656187-b300-4fb0-8bf4-3a50f872073c">false</Dekretuar>
    <Data xmlns="0e656187-b300-4fb0-8bf4-3a50f872073c">2024-09-17T00:00:00Z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F6FEED388940BABD07D9B270C599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A81D2-ADE9-442F-9392-1114C936E54E}">
  <ds:schemaRefs>
    <ds:schemaRef ds:uri="http://schemas.microsoft.com/sharepoint/v3/contenttype/forms"/>
  </ds:schemaRefs>
</ds:datastoreItem>
</file>

<file path=customXml/itemProps2.xml><?xml version="1.0" encoding="utf-8"?>
<ds:datastoreItem xmlns:ds="http://schemas.openxmlformats.org/officeDocument/2006/customXml" ds:itemID="{288097F5-4407-4274-BACE-8C1868A9B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D24C29F-2EC6-4F74-8004-061D9F68BF42}">
  <ds:schemaRefs>
    <ds:schemaRef ds:uri="http://schemas.microsoft.com/office/2006/metadata/properties"/>
    <ds:schemaRef ds:uri="0e656187-b300-4fb0-8bf4-3a50f872073c"/>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043C3F8D-06AF-4043-8D67-9C4411B4A7B7}">
  <ds:schemaRefs>
    <ds:schemaRef ds:uri="http://schemas.microsoft.com/sharepoint/v3/contenttype/forms"/>
  </ds:schemaRefs>
</ds:datastoreItem>
</file>

<file path=customXml/itemProps5.xml><?xml version="1.0" encoding="utf-8"?>
<ds:datastoreItem xmlns:ds="http://schemas.openxmlformats.org/officeDocument/2006/customXml" ds:itemID="{41D21677-0FC3-48A3-96EF-91602F000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6C16ADC-0A69-414D-AF62-46D348BC8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3833</Words>
  <Characters>21852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Me objekt shfuqizimin e vendimit nr. 00-2023-3812, datë 12.10.2023 të Kolegjit Administrativ të Gjykatës së Lartë, si i papajtueshëm me Kushtetutën e Republikës së Shqipërisë. Konstatimi i shkeljes së afatit të arsyeshëm dhe përshpejtimi i procedurave në </vt:lpstr>
    </vt:vector>
  </TitlesOfParts>
  <Company/>
  <LinksUpToDate>false</LinksUpToDate>
  <CharactersWithSpaces>25634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00-2023-3812, datë 12.10.2023 të Kolegjit Administrativ të Gjykatës së Lartë, si i papajtueshëm me Kushtetutën e Republikës së Shqipërisë. Konstatimi i shkeljes së afatit të arsyeshëm dhe përshpejtimi i procedurave në gjykimin e çështjes administrative nr. 31154-02568-86-2019, datë 28.06.2019 të regjistruar pranë Gjykatës Administrative të Apelit. Detyrimi i Gjykatës Administrative të Apelit të shqyrtojë çështjen brenda afatit njëmujor nga dhënia e vendimit të Gjykatës Kushtetuese.</dc:title>
  <dc:creator>Jonida Kondili, Këshilltare Ligjore</dc:creator>
  <cp:lastModifiedBy>Entela Suli</cp:lastModifiedBy>
  <cp:revision>28</cp:revision>
  <cp:lastPrinted>2024-10-01T14:11:00Z</cp:lastPrinted>
  <dcterms:created xsi:type="dcterms:W3CDTF">2024-10-07T12:09:00Z</dcterms:created>
  <dcterms:modified xsi:type="dcterms:W3CDTF">2024-10-08T08:17:00Z</dcterms:modified>
</cp:coreProperties>
</file>