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FD32F6" w14:textId="6ED9BD86" w:rsidR="00032A2B" w:rsidRPr="00C22903" w:rsidRDefault="00032A2B" w:rsidP="00032A2B">
      <w:pPr>
        <w:autoSpaceDE w:val="0"/>
        <w:autoSpaceDN w:val="0"/>
        <w:adjustRightInd w:val="0"/>
        <w:spacing w:line="240" w:lineRule="auto"/>
        <w:ind w:firstLine="284"/>
        <w:jc w:val="center"/>
        <w:rPr>
          <w:rFonts w:ascii="Garamond" w:hAnsi="Garamond"/>
          <w:b/>
          <w:bCs/>
          <w:color w:val="000000"/>
        </w:rPr>
      </w:pPr>
      <w:r w:rsidRPr="00C22903">
        <w:rPr>
          <w:rFonts w:ascii="Garamond" w:hAnsi="Garamond"/>
          <w:b/>
          <w:bCs/>
          <w:color w:val="000000"/>
        </w:rPr>
        <w:t>VENDIM</w:t>
      </w:r>
    </w:p>
    <w:p w14:paraId="7F98BC43" w14:textId="0228879B" w:rsidR="00032A2B" w:rsidRPr="00C22903" w:rsidRDefault="00032A2B" w:rsidP="00032A2B">
      <w:pPr>
        <w:autoSpaceDE w:val="0"/>
        <w:autoSpaceDN w:val="0"/>
        <w:adjustRightInd w:val="0"/>
        <w:spacing w:line="240" w:lineRule="auto"/>
        <w:ind w:firstLine="284"/>
        <w:jc w:val="center"/>
        <w:rPr>
          <w:rFonts w:ascii="Garamond" w:hAnsi="Garamond"/>
          <w:b/>
          <w:bCs/>
          <w:color w:val="000000"/>
        </w:rPr>
      </w:pPr>
      <w:r w:rsidRPr="00C22903">
        <w:rPr>
          <w:rFonts w:ascii="Garamond" w:hAnsi="Garamond"/>
          <w:b/>
          <w:bCs/>
          <w:color w:val="000000"/>
        </w:rPr>
        <w:t>Nr. 5, datë 29.1.2025</w:t>
      </w:r>
    </w:p>
    <w:p w14:paraId="0AF8A95F" w14:textId="77777777" w:rsidR="00032A2B" w:rsidRPr="00C22903" w:rsidRDefault="00032A2B" w:rsidP="00032A2B">
      <w:pPr>
        <w:autoSpaceDE w:val="0"/>
        <w:autoSpaceDN w:val="0"/>
        <w:adjustRightInd w:val="0"/>
        <w:spacing w:line="240" w:lineRule="auto"/>
        <w:ind w:firstLine="284"/>
        <w:jc w:val="center"/>
        <w:rPr>
          <w:rFonts w:ascii="Garamond" w:hAnsi="Garamond"/>
          <w:b/>
          <w:bCs/>
          <w:color w:val="000000"/>
        </w:rPr>
      </w:pPr>
    </w:p>
    <w:p w14:paraId="217B5FB0" w14:textId="3D0F4CF6" w:rsidR="00032A2B" w:rsidRPr="00C22903" w:rsidRDefault="00032A2B" w:rsidP="00032A2B">
      <w:pPr>
        <w:autoSpaceDE w:val="0"/>
        <w:autoSpaceDN w:val="0"/>
        <w:adjustRightInd w:val="0"/>
        <w:spacing w:line="240" w:lineRule="auto"/>
        <w:ind w:firstLine="284"/>
        <w:jc w:val="center"/>
        <w:rPr>
          <w:rFonts w:ascii="Garamond" w:hAnsi="Garamond"/>
          <w:b/>
          <w:bCs/>
          <w:color w:val="000000"/>
        </w:rPr>
      </w:pPr>
      <w:r w:rsidRPr="00C22903">
        <w:rPr>
          <w:rFonts w:ascii="Garamond" w:hAnsi="Garamond"/>
          <w:b/>
          <w:bCs/>
          <w:color w:val="000000"/>
        </w:rPr>
        <w:t>NË EMËR TË REPUBLIKËS SË SHQIPËRISË</w:t>
      </w:r>
    </w:p>
    <w:p w14:paraId="15129478" w14:textId="77777777" w:rsidR="00032A2B" w:rsidRPr="00C22903" w:rsidRDefault="00032A2B" w:rsidP="00032A2B">
      <w:pPr>
        <w:autoSpaceDE w:val="0"/>
        <w:autoSpaceDN w:val="0"/>
        <w:adjustRightInd w:val="0"/>
        <w:spacing w:line="240" w:lineRule="auto"/>
        <w:ind w:firstLine="284"/>
        <w:jc w:val="both"/>
        <w:rPr>
          <w:rFonts w:ascii="Garamond" w:hAnsi="Garamond"/>
          <w:color w:val="000000"/>
        </w:rPr>
      </w:pPr>
    </w:p>
    <w:p w14:paraId="04D6758C" w14:textId="77777777" w:rsidR="00032A2B" w:rsidRPr="00C22903" w:rsidRDefault="00032A2B" w:rsidP="00032A2B">
      <w:pPr>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559"/>
      </w:tblGrid>
      <w:tr w:rsidR="00032A2B" w:rsidRPr="00C22903" w14:paraId="24646A51" w14:textId="77777777" w:rsidTr="00032A2B">
        <w:tc>
          <w:tcPr>
            <w:tcW w:w="2405" w:type="dxa"/>
          </w:tcPr>
          <w:p w14:paraId="159E3638" w14:textId="12E6F014" w:rsidR="00032A2B" w:rsidRPr="00C22903" w:rsidRDefault="00032A2B" w:rsidP="00032A2B">
            <w:pPr>
              <w:autoSpaceDE w:val="0"/>
              <w:autoSpaceDN w:val="0"/>
              <w:adjustRightInd w:val="0"/>
              <w:spacing w:line="240" w:lineRule="auto"/>
              <w:jc w:val="both"/>
              <w:rPr>
                <w:rFonts w:ascii="Garamond" w:hAnsi="Garamond"/>
                <w:color w:val="000000"/>
              </w:rPr>
            </w:pPr>
            <w:proofErr w:type="spellStart"/>
            <w:r w:rsidRPr="00C22903">
              <w:rPr>
                <w:rFonts w:ascii="Garamond" w:hAnsi="Garamond"/>
                <w:color w:val="000000"/>
              </w:rPr>
              <w:t>Holta</w:t>
            </w:r>
            <w:proofErr w:type="spellEnd"/>
            <w:r w:rsidRPr="00C22903">
              <w:rPr>
                <w:rFonts w:ascii="Garamond" w:hAnsi="Garamond"/>
                <w:color w:val="000000"/>
              </w:rPr>
              <w:t xml:space="preserve"> </w:t>
            </w:r>
            <w:proofErr w:type="spellStart"/>
            <w:r w:rsidRPr="00C22903">
              <w:rPr>
                <w:rFonts w:ascii="Garamond" w:hAnsi="Garamond"/>
                <w:color w:val="000000"/>
              </w:rPr>
              <w:t>Zaçaj</w:t>
            </w:r>
            <w:proofErr w:type="spellEnd"/>
            <w:r w:rsidRPr="00C22903">
              <w:rPr>
                <w:rFonts w:ascii="Garamond" w:hAnsi="Garamond"/>
                <w:color w:val="000000"/>
              </w:rPr>
              <w:t>,</w:t>
            </w:r>
          </w:p>
        </w:tc>
        <w:tc>
          <w:tcPr>
            <w:tcW w:w="1559" w:type="dxa"/>
          </w:tcPr>
          <w:p w14:paraId="7192B631" w14:textId="1507C79F" w:rsidR="00032A2B" w:rsidRPr="00C22903" w:rsidRDefault="00C22903" w:rsidP="00032A2B">
            <w:pPr>
              <w:autoSpaceDE w:val="0"/>
              <w:autoSpaceDN w:val="0"/>
              <w:adjustRightInd w:val="0"/>
              <w:spacing w:line="240" w:lineRule="auto"/>
              <w:jc w:val="both"/>
              <w:rPr>
                <w:rFonts w:ascii="Garamond" w:hAnsi="Garamond"/>
                <w:color w:val="000000"/>
              </w:rPr>
            </w:pPr>
            <w:r w:rsidRPr="00C22903">
              <w:rPr>
                <w:rFonts w:ascii="Garamond" w:hAnsi="Garamond"/>
                <w:color w:val="000000"/>
              </w:rPr>
              <w:t>kryetare</w:t>
            </w:r>
            <w:r>
              <w:rPr>
                <w:rFonts w:ascii="Garamond" w:hAnsi="Garamond"/>
                <w:color w:val="000000"/>
              </w:rPr>
              <w:t>;</w:t>
            </w:r>
          </w:p>
        </w:tc>
      </w:tr>
      <w:tr w:rsidR="00032A2B" w:rsidRPr="00C22903" w14:paraId="42ECDBE1" w14:textId="77777777" w:rsidTr="00032A2B">
        <w:tc>
          <w:tcPr>
            <w:tcW w:w="2405" w:type="dxa"/>
          </w:tcPr>
          <w:p w14:paraId="3B4F6A49" w14:textId="1CCB32FD" w:rsidR="00032A2B" w:rsidRPr="00C22903" w:rsidRDefault="00032A2B" w:rsidP="00032A2B">
            <w:pPr>
              <w:autoSpaceDE w:val="0"/>
              <w:autoSpaceDN w:val="0"/>
              <w:adjustRightInd w:val="0"/>
              <w:spacing w:line="240" w:lineRule="auto"/>
              <w:jc w:val="both"/>
              <w:rPr>
                <w:rFonts w:ascii="Garamond" w:hAnsi="Garamond"/>
                <w:color w:val="000000"/>
              </w:rPr>
            </w:pPr>
            <w:proofErr w:type="spellStart"/>
            <w:r w:rsidRPr="00C22903">
              <w:rPr>
                <w:rFonts w:ascii="Garamond" w:hAnsi="Garamond"/>
                <w:color w:val="000000"/>
              </w:rPr>
              <w:t>Marsida</w:t>
            </w:r>
            <w:proofErr w:type="spellEnd"/>
            <w:r w:rsidRPr="00C22903">
              <w:rPr>
                <w:rFonts w:ascii="Garamond" w:hAnsi="Garamond"/>
                <w:color w:val="000000"/>
              </w:rPr>
              <w:t xml:space="preserve"> </w:t>
            </w:r>
            <w:proofErr w:type="spellStart"/>
            <w:r w:rsidRPr="00C22903">
              <w:rPr>
                <w:rFonts w:ascii="Garamond" w:hAnsi="Garamond"/>
                <w:color w:val="000000"/>
              </w:rPr>
              <w:t>Xhaferllari</w:t>
            </w:r>
            <w:proofErr w:type="spellEnd"/>
            <w:r w:rsidRPr="00C22903">
              <w:rPr>
                <w:rFonts w:ascii="Garamond" w:hAnsi="Garamond"/>
                <w:color w:val="000000"/>
              </w:rPr>
              <w:t>,</w:t>
            </w:r>
          </w:p>
        </w:tc>
        <w:tc>
          <w:tcPr>
            <w:tcW w:w="1559" w:type="dxa"/>
          </w:tcPr>
          <w:p w14:paraId="70AD4995" w14:textId="6681CE6A" w:rsidR="00032A2B" w:rsidRPr="00C22903" w:rsidRDefault="00C22903" w:rsidP="00032A2B">
            <w:pPr>
              <w:autoSpaceDE w:val="0"/>
              <w:autoSpaceDN w:val="0"/>
              <w:adjustRightInd w:val="0"/>
              <w:spacing w:line="240" w:lineRule="auto"/>
              <w:jc w:val="both"/>
              <w:rPr>
                <w:rFonts w:ascii="Garamond" w:hAnsi="Garamond"/>
                <w:color w:val="000000"/>
              </w:rPr>
            </w:pPr>
            <w:r w:rsidRPr="00C22903">
              <w:rPr>
                <w:rFonts w:ascii="Garamond" w:hAnsi="Garamond"/>
                <w:color w:val="000000"/>
              </w:rPr>
              <w:t>anëtare</w:t>
            </w:r>
            <w:r>
              <w:rPr>
                <w:rFonts w:ascii="Garamond" w:hAnsi="Garamond"/>
                <w:color w:val="000000"/>
              </w:rPr>
              <w:t>;</w:t>
            </w:r>
          </w:p>
        </w:tc>
      </w:tr>
      <w:tr w:rsidR="00032A2B" w:rsidRPr="00C22903" w14:paraId="2A0FF30C" w14:textId="77777777" w:rsidTr="00032A2B">
        <w:tc>
          <w:tcPr>
            <w:tcW w:w="2405" w:type="dxa"/>
          </w:tcPr>
          <w:p w14:paraId="13BC1F3B" w14:textId="7B50B93E" w:rsidR="00032A2B" w:rsidRPr="00C22903" w:rsidRDefault="00032A2B" w:rsidP="00032A2B">
            <w:pPr>
              <w:autoSpaceDE w:val="0"/>
              <w:autoSpaceDN w:val="0"/>
              <w:adjustRightInd w:val="0"/>
              <w:spacing w:line="240" w:lineRule="auto"/>
              <w:jc w:val="both"/>
              <w:rPr>
                <w:rFonts w:ascii="Garamond" w:hAnsi="Garamond"/>
                <w:color w:val="000000"/>
              </w:rPr>
            </w:pPr>
            <w:proofErr w:type="spellStart"/>
            <w:r w:rsidRPr="00C22903">
              <w:rPr>
                <w:rFonts w:ascii="Garamond" w:hAnsi="Garamond"/>
                <w:color w:val="000000"/>
              </w:rPr>
              <w:t>Fiona</w:t>
            </w:r>
            <w:proofErr w:type="spellEnd"/>
            <w:r w:rsidRPr="00C22903">
              <w:rPr>
                <w:rFonts w:ascii="Garamond" w:hAnsi="Garamond"/>
                <w:color w:val="000000"/>
              </w:rPr>
              <w:t xml:space="preserve"> </w:t>
            </w:r>
            <w:proofErr w:type="spellStart"/>
            <w:r w:rsidRPr="00C22903">
              <w:rPr>
                <w:rFonts w:ascii="Garamond" w:hAnsi="Garamond"/>
                <w:color w:val="000000"/>
              </w:rPr>
              <w:t>Papajorgji</w:t>
            </w:r>
            <w:proofErr w:type="spellEnd"/>
            <w:r w:rsidRPr="00C22903">
              <w:rPr>
                <w:rFonts w:ascii="Garamond" w:hAnsi="Garamond"/>
                <w:color w:val="000000"/>
              </w:rPr>
              <w:t>,</w:t>
            </w:r>
          </w:p>
        </w:tc>
        <w:tc>
          <w:tcPr>
            <w:tcW w:w="1559" w:type="dxa"/>
          </w:tcPr>
          <w:p w14:paraId="3306E1C4" w14:textId="1CD8A66E" w:rsidR="00032A2B" w:rsidRPr="00C22903" w:rsidRDefault="00C22903" w:rsidP="00032A2B">
            <w:pPr>
              <w:autoSpaceDE w:val="0"/>
              <w:autoSpaceDN w:val="0"/>
              <w:adjustRightInd w:val="0"/>
              <w:spacing w:line="240" w:lineRule="auto"/>
              <w:jc w:val="both"/>
              <w:rPr>
                <w:rFonts w:ascii="Garamond" w:hAnsi="Garamond"/>
                <w:color w:val="000000"/>
              </w:rPr>
            </w:pPr>
            <w:r w:rsidRPr="00C22903">
              <w:rPr>
                <w:rFonts w:ascii="Garamond" w:hAnsi="Garamond"/>
                <w:color w:val="000000"/>
              </w:rPr>
              <w:t>anëtare</w:t>
            </w:r>
            <w:r>
              <w:rPr>
                <w:rFonts w:ascii="Garamond" w:hAnsi="Garamond"/>
                <w:color w:val="000000"/>
              </w:rPr>
              <w:t>;</w:t>
            </w:r>
          </w:p>
        </w:tc>
      </w:tr>
      <w:tr w:rsidR="00032A2B" w:rsidRPr="00C22903" w14:paraId="6BDA19B4" w14:textId="77777777" w:rsidTr="00032A2B">
        <w:tc>
          <w:tcPr>
            <w:tcW w:w="2405" w:type="dxa"/>
          </w:tcPr>
          <w:p w14:paraId="40EBDAD7" w14:textId="735F1D79" w:rsidR="00032A2B" w:rsidRPr="00C22903" w:rsidRDefault="00032A2B" w:rsidP="00032A2B">
            <w:pPr>
              <w:autoSpaceDE w:val="0"/>
              <w:autoSpaceDN w:val="0"/>
              <w:adjustRightInd w:val="0"/>
              <w:spacing w:line="240" w:lineRule="auto"/>
              <w:jc w:val="both"/>
              <w:rPr>
                <w:rFonts w:ascii="Garamond" w:hAnsi="Garamond"/>
                <w:color w:val="000000"/>
              </w:rPr>
            </w:pPr>
            <w:proofErr w:type="spellStart"/>
            <w:r w:rsidRPr="00C22903">
              <w:rPr>
                <w:rFonts w:ascii="Garamond" w:hAnsi="Garamond"/>
                <w:color w:val="000000"/>
              </w:rPr>
              <w:t>Sandër</w:t>
            </w:r>
            <w:proofErr w:type="spellEnd"/>
            <w:r w:rsidRPr="00C22903">
              <w:rPr>
                <w:rFonts w:ascii="Garamond" w:hAnsi="Garamond"/>
                <w:color w:val="000000"/>
              </w:rPr>
              <w:t xml:space="preserve"> Beci, </w:t>
            </w:r>
          </w:p>
        </w:tc>
        <w:tc>
          <w:tcPr>
            <w:tcW w:w="1559" w:type="dxa"/>
          </w:tcPr>
          <w:p w14:paraId="33374EE3" w14:textId="3E758F58" w:rsidR="00032A2B" w:rsidRPr="00C22903" w:rsidRDefault="00C22903" w:rsidP="00032A2B">
            <w:pPr>
              <w:autoSpaceDE w:val="0"/>
              <w:autoSpaceDN w:val="0"/>
              <w:adjustRightInd w:val="0"/>
              <w:spacing w:line="240" w:lineRule="auto"/>
              <w:jc w:val="both"/>
              <w:rPr>
                <w:rFonts w:ascii="Garamond" w:hAnsi="Garamond"/>
                <w:color w:val="000000"/>
              </w:rPr>
            </w:pPr>
            <w:r w:rsidRPr="00C22903">
              <w:rPr>
                <w:rFonts w:ascii="Garamond" w:hAnsi="Garamond"/>
                <w:color w:val="000000"/>
              </w:rPr>
              <w:t>anëtar</w:t>
            </w:r>
            <w:r>
              <w:rPr>
                <w:rFonts w:ascii="Garamond" w:hAnsi="Garamond"/>
                <w:color w:val="000000"/>
              </w:rPr>
              <w:t>;</w:t>
            </w:r>
          </w:p>
        </w:tc>
      </w:tr>
      <w:tr w:rsidR="00032A2B" w:rsidRPr="00C22903" w14:paraId="1BC6D904" w14:textId="77777777" w:rsidTr="00032A2B">
        <w:tc>
          <w:tcPr>
            <w:tcW w:w="2405" w:type="dxa"/>
          </w:tcPr>
          <w:p w14:paraId="2918F3EC" w14:textId="157BC8DB" w:rsidR="00032A2B" w:rsidRPr="00C22903" w:rsidRDefault="00032A2B" w:rsidP="00032A2B">
            <w:pPr>
              <w:autoSpaceDE w:val="0"/>
              <w:autoSpaceDN w:val="0"/>
              <w:adjustRightInd w:val="0"/>
              <w:spacing w:line="240" w:lineRule="auto"/>
              <w:jc w:val="both"/>
              <w:rPr>
                <w:rFonts w:ascii="Garamond" w:hAnsi="Garamond"/>
                <w:color w:val="000000"/>
              </w:rPr>
            </w:pPr>
            <w:r w:rsidRPr="00C22903">
              <w:rPr>
                <w:rFonts w:ascii="Garamond" w:hAnsi="Garamond"/>
                <w:color w:val="000000"/>
              </w:rPr>
              <w:t>Ilir Toska,</w:t>
            </w:r>
          </w:p>
        </w:tc>
        <w:tc>
          <w:tcPr>
            <w:tcW w:w="1559" w:type="dxa"/>
          </w:tcPr>
          <w:p w14:paraId="3D525D02" w14:textId="3F090473" w:rsidR="00032A2B" w:rsidRPr="00C22903" w:rsidRDefault="00C22903" w:rsidP="00032A2B">
            <w:pPr>
              <w:autoSpaceDE w:val="0"/>
              <w:autoSpaceDN w:val="0"/>
              <w:adjustRightInd w:val="0"/>
              <w:spacing w:line="240" w:lineRule="auto"/>
              <w:jc w:val="both"/>
              <w:rPr>
                <w:rFonts w:ascii="Garamond" w:hAnsi="Garamond"/>
                <w:color w:val="000000"/>
              </w:rPr>
            </w:pPr>
            <w:r w:rsidRPr="00C22903">
              <w:rPr>
                <w:rFonts w:ascii="Garamond" w:hAnsi="Garamond"/>
                <w:color w:val="000000"/>
              </w:rPr>
              <w:t>anëtar</w:t>
            </w:r>
            <w:r>
              <w:rPr>
                <w:rFonts w:ascii="Garamond" w:hAnsi="Garamond"/>
                <w:color w:val="000000"/>
              </w:rPr>
              <w:t>;</w:t>
            </w:r>
          </w:p>
        </w:tc>
      </w:tr>
      <w:tr w:rsidR="00032A2B" w:rsidRPr="00C22903" w14:paraId="2C01E467" w14:textId="77777777" w:rsidTr="00032A2B">
        <w:tc>
          <w:tcPr>
            <w:tcW w:w="2405" w:type="dxa"/>
          </w:tcPr>
          <w:p w14:paraId="36802647" w14:textId="09F87750" w:rsidR="00032A2B" w:rsidRPr="00C22903" w:rsidRDefault="00032A2B" w:rsidP="00032A2B">
            <w:pPr>
              <w:autoSpaceDE w:val="0"/>
              <w:autoSpaceDN w:val="0"/>
              <w:adjustRightInd w:val="0"/>
              <w:spacing w:line="240" w:lineRule="auto"/>
              <w:jc w:val="both"/>
              <w:rPr>
                <w:rFonts w:ascii="Garamond" w:hAnsi="Garamond"/>
                <w:color w:val="000000"/>
              </w:rPr>
            </w:pPr>
            <w:r w:rsidRPr="00C22903">
              <w:rPr>
                <w:rFonts w:ascii="Garamond" w:hAnsi="Garamond"/>
                <w:color w:val="000000"/>
              </w:rPr>
              <w:t>Genti Ibrahimi</w:t>
            </w:r>
          </w:p>
        </w:tc>
        <w:tc>
          <w:tcPr>
            <w:tcW w:w="1559" w:type="dxa"/>
          </w:tcPr>
          <w:p w14:paraId="6D4931A1" w14:textId="57FC95AE" w:rsidR="00032A2B" w:rsidRPr="00C22903" w:rsidRDefault="00C22903" w:rsidP="00032A2B">
            <w:pPr>
              <w:autoSpaceDE w:val="0"/>
              <w:autoSpaceDN w:val="0"/>
              <w:adjustRightInd w:val="0"/>
              <w:spacing w:line="240" w:lineRule="auto"/>
              <w:jc w:val="both"/>
              <w:rPr>
                <w:rFonts w:ascii="Garamond" w:hAnsi="Garamond"/>
                <w:color w:val="000000"/>
              </w:rPr>
            </w:pPr>
            <w:r w:rsidRPr="00C22903">
              <w:rPr>
                <w:rFonts w:ascii="Garamond" w:hAnsi="Garamond"/>
                <w:color w:val="000000"/>
              </w:rPr>
              <w:t>anëtar</w:t>
            </w:r>
            <w:r>
              <w:rPr>
                <w:rFonts w:ascii="Garamond" w:hAnsi="Garamond"/>
                <w:color w:val="000000"/>
              </w:rPr>
              <w:t>;</w:t>
            </w:r>
          </w:p>
        </w:tc>
      </w:tr>
      <w:tr w:rsidR="00032A2B" w:rsidRPr="00C22903" w14:paraId="3E1BB8CE" w14:textId="77777777" w:rsidTr="00032A2B">
        <w:tc>
          <w:tcPr>
            <w:tcW w:w="2405" w:type="dxa"/>
          </w:tcPr>
          <w:p w14:paraId="5FA40115" w14:textId="03D38607" w:rsidR="00032A2B" w:rsidRPr="00C22903" w:rsidRDefault="00032A2B" w:rsidP="00032A2B">
            <w:pPr>
              <w:autoSpaceDE w:val="0"/>
              <w:autoSpaceDN w:val="0"/>
              <w:adjustRightInd w:val="0"/>
              <w:spacing w:line="240" w:lineRule="auto"/>
              <w:jc w:val="both"/>
              <w:rPr>
                <w:rFonts w:ascii="Garamond" w:hAnsi="Garamond"/>
                <w:color w:val="000000"/>
              </w:rPr>
            </w:pPr>
            <w:proofErr w:type="spellStart"/>
            <w:r w:rsidRPr="00C22903">
              <w:rPr>
                <w:rFonts w:ascii="Garamond" w:hAnsi="Garamond"/>
                <w:color w:val="000000"/>
              </w:rPr>
              <w:t>Marjana</w:t>
            </w:r>
            <w:proofErr w:type="spellEnd"/>
            <w:r w:rsidRPr="00C22903">
              <w:rPr>
                <w:rFonts w:ascii="Garamond" w:hAnsi="Garamond"/>
                <w:color w:val="000000"/>
              </w:rPr>
              <w:t xml:space="preserve"> </w:t>
            </w:r>
            <w:proofErr w:type="spellStart"/>
            <w:r w:rsidRPr="00C22903">
              <w:rPr>
                <w:rFonts w:ascii="Garamond" w:hAnsi="Garamond"/>
                <w:color w:val="000000"/>
              </w:rPr>
              <w:t>Semini</w:t>
            </w:r>
            <w:proofErr w:type="spellEnd"/>
            <w:r w:rsidRPr="00C22903">
              <w:rPr>
                <w:rFonts w:ascii="Garamond" w:hAnsi="Garamond"/>
                <w:color w:val="000000"/>
              </w:rPr>
              <w:t>,</w:t>
            </w:r>
          </w:p>
        </w:tc>
        <w:tc>
          <w:tcPr>
            <w:tcW w:w="1559" w:type="dxa"/>
          </w:tcPr>
          <w:p w14:paraId="31CA6F47" w14:textId="10070F41" w:rsidR="00032A2B" w:rsidRPr="00C22903" w:rsidRDefault="00C22903" w:rsidP="00032A2B">
            <w:pPr>
              <w:autoSpaceDE w:val="0"/>
              <w:autoSpaceDN w:val="0"/>
              <w:adjustRightInd w:val="0"/>
              <w:spacing w:line="240" w:lineRule="auto"/>
              <w:jc w:val="both"/>
              <w:rPr>
                <w:rFonts w:ascii="Garamond" w:hAnsi="Garamond"/>
                <w:color w:val="000000"/>
              </w:rPr>
            </w:pPr>
            <w:r w:rsidRPr="00C22903">
              <w:rPr>
                <w:rFonts w:ascii="Garamond" w:hAnsi="Garamond"/>
                <w:color w:val="000000"/>
              </w:rPr>
              <w:t>anëtare</w:t>
            </w:r>
            <w:r>
              <w:rPr>
                <w:rFonts w:ascii="Garamond" w:hAnsi="Garamond"/>
                <w:color w:val="000000"/>
              </w:rPr>
              <w:t>;</w:t>
            </w:r>
          </w:p>
        </w:tc>
      </w:tr>
      <w:tr w:rsidR="00032A2B" w:rsidRPr="00C22903" w14:paraId="7CFBA951" w14:textId="77777777" w:rsidTr="00032A2B">
        <w:tc>
          <w:tcPr>
            <w:tcW w:w="2405" w:type="dxa"/>
          </w:tcPr>
          <w:p w14:paraId="001E7402" w14:textId="4F53168E" w:rsidR="00032A2B" w:rsidRPr="00C22903" w:rsidRDefault="00032A2B" w:rsidP="00032A2B">
            <w:pPr>
              <w:autoSpaceDE w:val="0"/>
              <w:autoSpaceDN w:val="0"/>
              <w:adjustRightInd w:val="0"/>
              <w:spacing w:line="240" w:lineRule="auto"/>
              <w:jc w:val="both"/>
              <w:rPr>
                <w:rFonts w:ascii="Garamond" w:hAnsi="Garamond"/>
                <w:color w:val="000000"/>
              </w:rPr>
            </w:pPr>
            <w:proofErr w:type="spellStart"/>
            <w:r w:rsidRPr="00C22903">
              <w:rPr>
                <w:rFonts w:ascii="Garamond" w:hAnsi="Garamond"/>
                <w:color w:val="000000"/>
              </w:rPr>
              <w:t>Sonila</w:t>
            </w:r>
            <w:proofErr w:type="spellEnd"/>
            <w:r w:rsidRPr="00C22903">
              <w:rPr>
                <w:rFonts w:ascii="Garamond" w:hAnsi="Garamond"/>
                <w:color w:val="000000"/>
              </w:rPr>
              <w:t xml:space="preserve"> Bejtja,</w:t>
            </w:r>
          </w:p>
        </w:tc>
        <w:tc>
          <w:tcPr>
            <w:tcW w:w="1559" w:type="dxa"/>
          </w:tcPr>
          <w:p w14:paraId="2B552866" w14:textId="79E0D852" w:rsidR="00032A2B" w:rsidRPr="00C22903" w:rsidRDefault="00C22903" w:rsidP="00032A2B">
            <w:pPr>
              <w:autoSpaceDE w:val="0"/>
              <w:autoSpaceDN w:val="0"/>
              <w:adjustRightInd w:val="0"/>
              <w:spacing w:line="240" w:lineRule="auto"/>
              <w:jc w:val="both"/>
              <w:rPr>
                <w:rFonts w:ascii="Garamond" w:hAnsi="Garamond"/>
                <w:color w:val="000000"/>
              </w:rPr>
            </w:pPr>
            <w:r w:rsidRPr="00C22903">
              <w:rPr>
                <w:rFonts w:ascii="Garamond" w:hAnsi="Garamond"/>
                <w:color w:val="000000"/>
              </w:rPr>
              <w:t>anëtare</w:t>
            </w:r>
            <w:r>
              <w:rPr>
                <w:rFonts w:ascii="Garamond" w:hAnsi="Garamond"/>
                <w:color w:val="000000"/>
              </w:rPr>
              <w:t>,</w:t>
            </w:r>
          </w:p>
        </w:tc>
      </w:tr>
    </w:tbl>
    <w:p w14:paraId="6A281528" w14:textId="0EC6AD2D" w:rsidR="00032A2B" w:rsidRPr="00C22903" w:rsidRDefault="00032A2B" w:rsidP="00032A2B">
      <w:pPr>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 xml:space="preserve">me sekretare </w:t>
      </w:r>
      <w:proofErr w:type="spellStart"/>
      <w:r w:rsidRPr="00C22903">
        <w:rPr>
          <w:rFonts w:ascii="Garamond" w:hAnsi="Garamond"/>
          <w:color w:val="000000"/>
        </w:rPr>
        <w:t>Belma</w:t>
      </w:r>
      <w:proofErr w:type="spellEnd"/>
      <w:r w:rsidRPr="00C22903">
        <w:rPr>
          <w:rFonts w:ascii="Garamond" w:hAnsi="Garamond"/>
          <w:color w:val="000000"/>
        </w:rPr>
        <w:t xml:space="preserve"> Lleshi, në datën 29.1.2025</w:t>
      </w:r>
      <w:r w:rsidR="00C22903">
        <w:rPr>
          <w:rFonts w:ascii="Garamond" w:hAnsi="Garamond"/>
          <w:color w:val="000000"/>
        </w:rPr>
        <w:t>,</w:t>
      </w:r>
      <w:r w:rsidRPr="00C22903">
        <w:rPr>
          <w:rFonts w:ascii="Garamond" w:hAnsi="Garamond"/>
          <w:color w:val="000000"/>
        </w:rPr>
        <w:t xml:space="preserve"> mori në shqyrtim në seancë plenare, mbi bazë të dokumenteve, çështjen nr. 14 (Sh) 2024 të Regjistrit Themeltar, që u përket:</w:t>
      </w:r>
    </w:p>
    <w:p w14:paraId="5EA2E222" w14:textId="1C2813E6" w:rsidR="00032A2B" w:rsidRPr="00C22903" w:rsidRDefault="00032A2B" w:rsidP="00032A2B">
      <w:pPr>
        <w:autoSpaceDE w:val="0"/>
        <w:autoSpaceDN w:val="0"/>
        <w:adjustRightInd w:val="0"/>
        <w:spacing w:line="240" w:lineRule="auto"/>
        <w:ind w:firstLine="284"/>
        <w:jc w:val="both"/>
        <w:rPr>
          <w:rFonts w:ascii="Garamond" w:hAnsi="Garamond"/>
          <w:color w:val="000000"/>
        </w:rPr>
      </w:pPr>
      <w:r w:rsidRPr="00C22903">
        <w:rPr>
          <w:rFonts w:ascii="Garamond" w:hAnsi="Garamond"/>
          <w:bCs/>
          <w:color w:val="000000"/>
        </w:rPr>
        <w:t xml:space="preserve">KËRKUES: </w:t>
      </w:r>
      <w:r w:rsidR="00C22903" w:rsidRPr="00C22903">
        <w:rPr>
          <w:rFonts w:ascii="Garamond" w:hAnsi="Garamond"/>
          <w:bCs/>
          <w:color w:val="000000"/>
        </w:rPr>
        <w:t>Shoqëria</w:t>
      </w:r>
      <w:r w:rsidRPr="00C22903">
        <w:rPr>
          <w:rFonts w:ascii="Garamond" w:hAnsi="Garamond"/>
          <w:bCs/>
          <w:color w:val="000000"/>
        </w:rPr>
        <w:t xml:space="preserve"> “</w:t>
      </w:r>
      <w:proofErr w:type="spellStart"/>
      <w:r w:rsidRPr="00C22903">
        <w:rPr>
          <w:rFonts w:ascii="Garamond" w:hAnsi="Garamond"/>
          <w:bCs/>
          <w:color w:val="000000"/>
        </w:rPr>
        <w:t>DEA</w:t>
      </w:r>
      <w:proofErr w:type="spellEnd"/>
      <w:r w:rsidRPr="00C22903">
        <w:rPr>
          <w:rFonts w:ascii="Garamond" w:hAnsi="Garamond"/>
          <w:bCs/>
          <w:color w:val="000000"/>
        </w:rPr>
        <w:t xml:space="preserve">-Z” </w:t>
      </w:r>
      <w:proofErr w:type="spellStart"/>
      <w:r w:rsidR="00C22903" w:rsidRPr="00C22903">
        <w:rPr>
          <w:rFonts w:ascii="Garamond" w:hAnsi="Garamond"/>
          <w:bCs/>
          <w:color w:val="000000"/>
        </w:rPr>
        <w:t>sh.p.k</w:t>
      </w:r>
      <w:proofErr w:type="spellEnd"/>
      <w:r w:rsidR="00C22903" w:rsidRPr="00C22903">
        <w:rPr>
          <w:rFonts w:ascii="Garamond" w:hAnsi="Garamond"/>
          <w:bCs/>
          <w:color w:val="000000"/>
        </w:rPr>
        <w:t>.</w:t>
      </w:r>
      <w:r w:rsidRPr="00C22903">
        <w:rPr>
          <w:rFonts w:ascii="Garamond" w:hAnsi="Garamond"/>
          <w:bCs/>
          <w:color w:val="000000"/>
        </w:rPr>
        <w:t xml:space="preserve">, </w:t>
      </w:r>
      <w:r w:rsidRPr="00C22903">
        <w:rPr>
          <w:rFonts w:ascii="Garamond" w:hAnsi="Garamond"/>
          <w:color w:val="000000"/>
        </w:rPr>
        <w:t xml:space="preserve">përfaqësuar nga Zaim </w:t>
      </w:r>
      <w:proofErr w:type="spellStart"/>
      <w:r w:rsidRPr="00C22903">
        <w:rPr>
          <w:rFonts w:ascii="Garamond" w:hAnsi="Garamond"/>
          <w:color w:val="000000"/>
        </w:rPr>
        <w:t>Korsi</w:t>
      </w:r>
      <w:proofErr w:type="spellEnd"/>
      <w:r w:rsidRPr="00C22903">
        <w:rPr>
          <w:rFonts w:ascii="Garamond" w:hAnsi="Garamond"/>
          <w:color w:val="000000"/>
        </w:rPr>
        <w:t>, me prokurë.</w:t>
      </w:r>
    </w:p>
    <w:p w14:paraId="29CA0A78" w14:textId="42F1B8A2" w:rsidR="00032A2B" w:rsidRPr="00C22903" w:rsidRDefault="00C22903" w:rsidP="00032A2B">
      <w:pPr>
        <w:autoSpaceDE w:val="0"/>
        <w:autoSpaceDN w:val="0"/>
        <w:adjustRightInd w:val="0"/>
        <w:spacing w:line="240" w:lineRule="auto"/>
        <w:ind w:firstLine="284"/>
        <w:jc w:val="both"/>
        <w:rPr>
          <w:rFonts w:ascii="Garamond" w:hAnsi="Garamond"/>
          <w:i/>
          <w:iCs/>
          <w:color w:val="000000"/>
        </w:rPr>
      </w:pPr>
      <w:r w:rsidRPr="00C22903">
        <w:rPr>
          <w:rFonts w:ascii="Garamond" w:hAnsi="Garamond"/>
          <w:bCs/>
          <w:color w:val="000000"/>
        </w:rPr>
        <w:t xml:space="preserve">Zaim </w:t>
      </w:r>
      <w:proofErr w:type="spellStart"/>
      <w:r w:rsidRPr="00C22903">
        <w:rPr>
          <w:rFonts w:ascii="Garamond" w:hAnsi="Garamond"/>
          <w:bCs/>
          <w:color w:val="000000"/>
        </w:rPr>
        <w:t>Korsi</w:t>
      </w:r>
      <w:proofErr w:type="spellEnd"/>
    </w:p>
    <w:p w14:paraId="0D2D8BE6" w14:textId="393792F8" w:rsidR="00032A2B" w:rsidRPr="00C22903" w:rsidRDefault="00032A2B" w:rsidP="00C22903">
      <w:pPr>
        <w:autoSpaceDE w:val="0"/>
        <w:autoSpaceDN w:val="0"/>
        <w:adjustRightInd w:val="0"/>
        <w:spacing w:line="240" w:lineRule="auto"/>
        <w:ind w:firstLine="284"/>
        <w:jc w:val="both"/>
        <w:rPr>
          <w:rFonts w:ascii="Garamond" w:hAnsi="Garamond"/>
          <w:bCs/>
          <w:color w:val="000000"/>
        </w:rPr>
      </w:pPr>
      <w:r w:rsidRPr="00C22903">
        <w:rPr>
          <w:rFonts w:ascii="Garamond" w:hAnsi="Garamond"/>
          <w:bCs/>
          <w:color w:val="000000"/>
        </w:rPr>
        <w:t>SUBJEKTE TË INTERESUARA:</w:t>
      </w:r>
      <w:r w:rsidR="00C22903">
        <w:rPr>
          <w:rFonts w:ascii="Garamond" w:hAnsi="Garamond"/>
          <w:bCs/>
          <w:color w:val="000000"/>
        </w:rPr>
        <w:t xml:space="preserve"> </w:t>
      </w:r>
      <w:proofErr w:type="spellStart"/>
      <w:r w:rsidR="00C22903" w:rsidRPr="00C22903">
        <w:rPr>
          <w:rFonts w:ascii="Garamond" w:hAnsi="Garamond"/>
          <w:bCs/>
          <w:color w:val="000000"/>
        </w:rPr>
        <w:t>Viktor</w:t>
      </w:r>
      <w:proofErr w:type="spellEnd"/>
      <w:r w:rsidR="00C22903" w:rsidRPr="00C22903">
        <w:rPr>
          <w:rFonts w:ascii="Garamond" w:hAnsi="Garamond"/>
          <w:bCs/>
          <w:color w:val="000000"/>
        </w:rPr>
        <w:t xml:space="preserve"> </w:t>
      </w:r>
      <w:proofErr w:type="spellStart"/>
      <w:r w:rsidR="00C22903" w:rsidRPr="00C22903">
        <w:rPr>
          <w:rFonts w:ascii="Garamond" w:hAnsi="Garamond"/>
          <w:bCs/>
          <w:color w:val="000000"/>
        </w:rPr>
        <w:t>Ndoci</w:t>
      </w:r>
      <w:proofErr w:type="spellEnd"/>
      <w:r w:rsidR="00C22903" w:rsidRPr="00C22903">
        <w:rPr>
          <w:rFonts w:ascii="Garamond" w:hAnsi="Garamond"/>
          <w:bCs/>
          <w:color w:val="000000"/>
        </w:rPr>
        <w:t xml:space="preserve">, </w:t>
      </w:r>
      <w:proofErr w:type="spellStart"/>
      <w:r w:rsidR="00C22903" w:rsidRPr="00C22903">
        <w:rPr>
          <w:rFonts w:ascii="Garamond" w:hAnsi="Garamond"/>
          <w:bCs/>
          <w:color w:val="000000"/>
        </w:rPr>
        <w:t>Ridvan</w:t>
      </w:r>
      <w:proofErr w:type="spellEnd"/>
      <w:r w:rsidR="00C22903" w:rsidRPr="00C22903">
        <w:rPr>
          <w:rFonts w:ascii="Garamond" w:hAnsi="Garamond"/>
          <w:bCs/>
          <w:color w:val="000000"/>
        </w:rPr>
        <w:t xml:space="preserve"> Sokoli, Kujtim Sokoli, Agjencia Shtetërore </w:t>
      </w:r>
      <w:r w:rsidR="00C22903">
        <w:rPr>
          <w:rFonts w:ascii="Garamond" w:hAnsi="Garamond"/>
          <w:bCs/>
          <w:color w:val="000000"/>
        </w:rPr>
        <w:t>e</w:t>
      </w:r>
      <w:r w:rsidR="00C22903" w:rsidRPr="00C22903">
        <w:rPr>
          <w:rFonts w:ascii="Garamond" w:hAnsi="Garamond"/>
          <w:bCs/>
          <w:color w:val="000000"/>
        </w:rPr>
        <w:t xml:space="preserve"> Kadastrës</w:t>
      </w:r>
    </w:p>
    <w:p w14:paraId="277E1764" w14:textId="707AA27A" w:rsidR="00032A2B" w:rsidRPr="00C22903" w:rsidRDefault="00032A2B" w:rsidP="00032A2B">
      <w:pPr>
        <w:autoSpaceDE w:val="0"/>
        <w:autoSpaceDN w:val="0"/>
        <w:adjustRightInd w:val="0"/>
        <w:spacing w:line="240" w:lineRule="auto"/>
        <w:ind w:firstLine="284"/>
        <w:jc w:val="both"/>
        <w:rPr>
          <w:rFonts w:ascii="Garamond" w:hAnsi="Garamond"/>
          <w:bCs/>
          <w:color w:val="000000"/>
        </w:rPr>
      </w:pPr>
      <w:r w:rsidRPr="00C22903">
        <w:rPr>
          <w:rFonts w:ascii="Garamond" w:hAnsi="Garamond"/>
          <w:bCs/>
          <w:color w:val="000000"/>
        </w:rPr>
        <w:t>OBJEKTI: Shfuqizimi i vendimeve nr. 2943, datë 10.4.2015</w:t>
      </w:r>
      <w:r w:rsidR="00C22903">
        <w:rPr>
          <w:rFonts w:ascii="Garamond" w:hAnsi="Garamond"/>
          <w:bCs/>
          <w:color w:val="000000"/>
        </w:rPr>
        <w:t>,</w:t>
      </w:r>
      <w:r w:rsidRPr="00C22903">
        <w:rPr>
          <w:rFonts w:ascii="Garamond" w:hAnsi="Garamond"/>
          <w:bCs/>
          <w:color w:val="000000"/>
        </w:rPr>
        <w:t xml:space="preserve"> të Gjykatës së Rrethit Gjyqësor Tiranë; nr. 665, datë 29.3.2016</w:t>
      </w:r>
      <w:r w:rsidR="00C22903">
        <w:rPr>
          <w:rFonts w:ascii="Garamond" w:hAnsi="Garamond"/>
          <w:bCs/>
          <w:color w:val="000000"/>
        </w:rPr>
        <w:t>,</w:t>
      </w:r>
      <w:r w:rsidRPr="00C22903">
        <w:rPr>
          <w:rFonts w:ascii="Garamond" w:hAnsi="Garamond"/>
          <w:bCs/>
          <w:color w:val="000000"/>
        </w:rPr>
        <w:t xml:space="preserve"> të Gjykatës së Apelit Tiranë; nr. 00-2023-4272, datë 25.10.2023</w:t>
      </w:r>
      <w:r w:rsidR="00C22903">
        <w:rPr>
          <w:rFonts w:ascii="Garamond" w:hAnsi="Garamond"/>
          <w:bCs/>
          <w:color w:val="000000"/>
        </w:rPr>
        <w:t>,</w:t>
      </w:r>
      <w:r w:rsidRPr="00C22903">
        <w:rPr>
          <w:rFonts w:ascii="Garamond" w:hAnsi="Garamond"/>
          <w:bCs/>
          <w:color w:val="000000"/>
        </w:rPr>
        <w:t xml:space="preserve"> të Kolegjit Civil të Gjykatës së Lartë, si të papajtueshme me Kushtetutën e Republikës së Shqipërisë. </w:t>
      </w:r>
    </w:p>
    <w:p w14:paraId="57AA1365" w14:textId="3DBE9066" w:rsidR="00032A2B" w:rsidRPr="00C22903" w:rsidRDefault="00032A2B" w:rsidP="00032A2B">
      <w:pPr>
        <w:autoSpaceDE w:val="0"/>
        <w:autoSpaceDN w:val="0"/>
        <w:adjustRightInd w:val="0"/>
        <w:spacing w:line="240" w:lineRule="auto"/>
        <w:ind w:firstLine="284"/>
        <w:jc w:val="both"/>
        <w:rPr>
          <w:rFonts w:ascii="Garamond" w:hAnsi="Garamond"/>
          <w:color w:val="000000"/>
        </w:rPr>
      </w:pPr>
      <w:r w:rsidRPr="00C22903">
        <w:rPr>
          <w:rFonts w:ascii="Garamond" w:hAnsi="Garamond"/>
          <w:bCs/>
          <w:color w:val="000000"/>
        </w:rPr>
        <w:t>BAZA LIGJORE:</w:t>
      </w:r>
      <w:r w:rsidR="0082608D">
        <w:rPr>
          <w:rFonts w:ascii="Garamond" w:hAnsi="Garamond"/>
          <w:bCs/>
          <w:color w:val="000000"/>
        </w:rPr>
        <w:t xml:space="preserve"> </w:t>
      </w:r>
      <w:r w:rsidRPr="00C22903">
        <w:rPr>
          <w:rFonts w:ascii="Garamond" w:hAnsi="Garamond"/>
          <w:bCs/>
          <w:color w:val="000000"/>
        </w:rPr>
        <w:t>Nenet 42, 131, pika 1, shkronja “f” dhe 134, pikat 1, shkronja “i” dhe 2, të Kushtetutës së Republikës së Shqipërisë (</w:t>
      </w:r>
      <w:r w:rsidRPr="00C22903">
        <w:rPr>
          <w:rFonts w:ascii="Garamond" w:hAnsi="Garamond"/>
          <w:bCs/>
          <w:i/>
          <w:iCs/>
          <w:color w:val="000000"/>
        </w:rPr>
        <w:t>Kushtetuta</w:t>
      </w:r>
      <w:r w:rsidRPr="00C22903">
        <w:rPr>
          <w:rFonts w:ascii="Garamond" w:hAnsi="Garamond"/>
          <w:bCs/>
          <w:color w:val="000000"/>
        </w:rPr>
        <w:t>); nenet 27, 31, 71, 71/a e vijues të ligjit nr. 8577, datë 10.2.2000</w:t>
      </w:r>
      <w:r w:rsidR="00C22903">
        <w:rPr>
          <w:rFonts w:ascii="Garamond" w:hAnsi="Garamond"/>
          <w:bCs/>
          <w:color w:val="000000"/>
        </w:rPr>
        <w:t>,</w:t>
      </w:r>
      <w:r w:rsidRPr="00C22903">
        <w:rPr>
          <w:rFonts w:ascii="Garamond" w:hAnsi="Garamond"/>
          <w:bCs/>
          <w:color w:val="000000"/>
        </w:rPr>
        <w:t xml:space="preserve"> “Për organizimin dhe funksionimin e Gjykatës Kushtetuese të Republikës së Shqipërisë”, të ndryshuar (</w:t>
      </w:r>
      <w:r w:rsidRPr="00C22903">
        <w:rPr>
          <w:rFonts w:ascii="Garamond" w:hAnsi="Garamond"/>
          <w:bCs/>
          <w:i/>
          <w:iCs/>
          <w:color w:val="000000"/>
        </w:rPr>
        <w:t>ligji nr. 8577/2000</w:t>
      </w:r>
      <w:r w:rsidRPr="00C22903">
        <w:rPr>
          <w:rFonts w:ascii="Garamond" w:hAnsi="Garamond"/>
          <w:bCs/>
          <w:color w:val="000000"/>
        </w:rPr>
        <w:t>).</w:t>
      </w:r>
    </w:p>
    <w:p w14:paraId="32B6F943" w14:textId="77777777" w:rsidR="00032A2B" w:rsidRPr="00C22903" w:rsidRDefault="00032A2B" w:rsidP="00032A2B">
      <w:pPr>
        <w:autoSpaceDE w:val="0"/>
        <w:autoSpaceDN w:val="0"/>
        <w:adjustRightInd w:val="0"/>
        <w:spacing w:line="240" w:lineRule="auto"/>
        <w:ind w:firstLine="284"/>
        <w:jc w:val="both"/>
        <w:rPr>
          <w:rFonts w:ascii="Garamond" w:hAnsi="Garamond"/>
          <w:color w:val="000000"/>
        </w:rPr>
      </w:pPr>
    </w:p>
    <w:p w14:paraId="30854493" w14:textId="72828276" w:rsidR="00032A2B" w:rsidRPr="00C22903" w:rsidRDefault="00032A2B" w:rsidP="00032A2B">
      <w:pPr>
        <w:autoSpaceDE w:val="0"/>
        <w:autoSpaceDN w:val="0"/>
        <w:adjustRightInd w:val="0"/>
        <w:spacing w:line="240" w:lineRule="auto"/>
        <w:ind w:firstLine="284"/>
        <w:jc w:val="center"/>
        <w:rPr>
          <w:rFonts w:ascii="Garamond" w:hAnsi="Garamond"/>
          <w:color w:val="000000"/>
        </w:rPr>
      </w:pPr>
      <w:r w:rsidRPr="00C22903">
        <w:rPr>
          <w:rFonts w:ascii="Garamond" w:hAnsi="Garamond"/>
          <w:bCs/>
          <w:color w:val="000000"/>
        </w:rPr>
        <w:t>GJYKATA KUSHTETUESE</w:t>
      </w:r>
      <w:r w:rsidRPr="00C22903">
        <w:rPr>
          <w:rFonts w:ascii="Garamond" w:hAnsi="Garamond"/>
          <w:color w:val="000000"/>
        </w:rPr>
        <w:t>,</w:t>
      </w:r>
    </w:p>
    <w:p w14:paraId="13D3DC43" w14:textId="77777777" w:rsidR="007156A3" w:rsidRPr="00C22903" w:rsidRDefault="007156A3" w:rsidP="00032A2B">
      <w:pPr>
        <w:autoSpaceDE w:val="0"/>
        <w:autoSpaceDN w:val="0"/>
        <w:adjustRightInd w:val="0"/>
        <w:spacing w:line="240" w:lineRule="auto"/>
        <w:ind w:firstLine="284"/>
        <w:jc w:val="center"/>
        <w:rPr>
          <w:rFonts w:ascii="Garamond" w:hAnsi="Garamond"/>
          <w:color w:val="000000"/>
        </w:rPr>
      </w:pPr>
    </w:p>
    <w:p w14:paraId="03A48EF4" w14:textId="77777777" w:rsidR="00032A2B" w:rsidRPr="00C22903" w:rsidRDefault="00032A2B" w:rsidP="00032A2B">
      <w:pPr>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 xml:space="preserve">pasi dëgjoi </w:t>
      </w:r>
      <w:proofErr w:type="spellStart"/>
      <w:r w:rsidRPr="00C22903">
        <w:rPr>
          <w:rFonts w:ascii="Garamond" w:hAnsi="Garamond"/>
          <w:color w:val="000000"/>
        </w:rPr>
        <w:t>relatoren</w:t>
      </w:r>
      <w:proofErr w:type="spellEnd"/>
      <w:r w:rsidRPr="00C22903">
        <w:rPr>
          <w:rFonts w:ascii="Garamond" w:hAnsi="Garamond"/>
          <w:color w:val="000000"/>
        </w:rPr>
        <w:t xml:space="preserve"> e çështjes </w:t>
      </w:r>
      <w:proofErr w:type="spellStart"/>
      <w:r w:rsidRPr="00C22903">
        <w:rPr>
          <w:rFonts w:ascii="Garamond" w:hAnsi="Garamond"/>
          <w:color w:val="000000"/>
        </w:rPr>
        <w:t>Sonila</w:t>
      </w:r>
      <w:proofErr w:type="spellEnd"/>
      <w:r w:rsidRPr="00C22903">
        <w:rPr>
          <w:rFonts w:ascii="Garamond" w:hAnsi="Garamond"/>
          <w:color w:val="000000"/>
        </w:rPr>
        <w:t xml:space="preserve"> Bejtja, mori në shqyrtim pretendimet me shkrim të kërkuesve, të cilët kanë kërkuar pranimin e kërkesës, prapësimet me shkrim të subjektit të interesuar, </w:t>
      </w:r>
      <w:proofErr w:type="spellStart"/>
      <w:r w:rsidRPr="00C22903">
        <w:rPr>
          <w:rFonts w:ascii="Garamond" w:hAnsi="Garamond"/>
          <w:color w:val="000000"/>
        </w:rPr>
        <w:t>Viktor</w:t>
      </w:r>
      <w:proofErr w:type="spellEnd"/>
      <w:r w:rsidRPr="00C22903">
        <w:rPr>
          <w:rFonts w:ascii="Garamond" w:hAnsi="Garamond"/>
          <w:color w:val="000000"/>
        </w:rPr>
        <w:t xml:space="preserve"> </w:t>
      </w:r>
      <w:proofErr w:type="spellStart"/>
      <w:r w:rsidRPr="00C22903">
        <w:rPr>
          <w:rFonts w:ascii="Garamond" w:hAnsi="Garamond"/>
          <w:color w:val="000000"/>
        </w:rPr>
        <w:t>Ndoci</w:t>
      </w:r>
      <w:proofErr w:type="spellEnd"/>
      <w:r w:rsidRPr="00C22903">
        <w:rPr>
          <w:rFonts w:ascii="Garamond" w:hAnsi="Garamond"/>
          <w:color w:val="000000"/>
        </w:rPr>
        <w:t xml:space="preserve">, i cili ka kërkuar rrëzimin e kërkesës, konstatoi se subjektet e tjera të interesuara, </w:t>
      </w:r>
      <w:proofErr w:type="spellStart"/>
      <w:r w:rsidRPr="00C22903">
        <w:rPr>
          <w:rFonts w:ascii="Garamond" w:hAnsi="Garamond"/>
          <w:color w:val="000000"/>
        </w:rPr>
        <w:t>Ridvan</w:t>
      </w:r>
      <w:proofErr w:type="spellEnd"/>
      <w:r w:rsidRPr="00C22903">
        <w:rPr>
          <w:rFonts w:ascii="Garamond" w:hAnsi="Garamond"/>
          <w:color w:val="000000"/>
        </w:rPr>
        <w:t xml:space="preserve"> Sokoli, Kujtim Sokoli dhe Agjencia Shtetërore e Kadastrës, nuk paraqitën prapësime, si dhe diskutoi çështjen në tërësi,</w:t>
      </w:r>
    </w:p>
    <w:p w14:paraId="5B0CC80F" w14:textId="77777777" w:rsidR="00032A2B" w:rsidRPr="00C22903" w:rsidRDefault="00032A2B" w:rsidP="00032A2B">
      <w:pPr>
        <w:autoSpaceDE w:val="0"/>
        <w:autoSpaceDN w:val="0"/>
        <w:adjustRightInd w:val="0"/>
        <w:spacing w:line="240" w:lineRule="auto"/>
        <w:ind w:firstLine="284"/>
        <w:jc w:val="center"/>
        <w:rPr>
          <w:rFonts w:ascii="Garamond" w:hAnsi="Garamond"/>
          <w:b/>
          <w:bCs/>
          <w:color w:val="000000"/>
        </w:rPr>
      </w:pPr>
    </w:p>
    <w:p w14:paraId="1463C1BE" w14:textId="00EBF860" w:rsidR="00032A2B" w:rsidRPr="00C22903" w:rsidRDefault="00032A2B" w:rsidP="00032A2B">
      <w:pPr>
        <w:autoSpaceDE w:val="0"/>
        <w:autoSpaceDN w:val="0"/>
        <w:adjustRightInd w:val="0"/>
        <w:spacing w:line="240" w:lineRule="auto"/>
        <w:ind w:firstLine="284"/>
        <w:jc w:val="center"/>
        <w:rPr>
          <w:rFonts w:ascii="Garamond" w:hAnsi="Garamond"/>
          <w:bCs/>
          <w:color w:val="000000"/>
        </w:rPr>
      </w:pPr>
      <w:r w:rsidRPr="00C22903">
        <w:rPr>
          <w:rFonts w:ascii="Garamond" w:hAnsi="Garamond"/>
          <w:bCs/>
          <w:color w:val="000000"/>
        </w:rPr>
        <w:t>VËREN:</w:t>
      </w:r>
    </w:p>
    <w:p w14:paraId="520C44C7" w14:textId="77777777" w:rsidR="00032A2B" w:rsidRPr="00C22903" w:rsidRDefault="00032A2B" w:rsidP="00032A2B">
      <w:pPr>
        <w:autoSpaceDE w:val="0"/>
        <w:autoSpaceDN w:val="0"/>
        <w:adjustRightInd w:val="0"/>
        <w:spacing w:line="240" w:lineRule="auto"/>
        <w:ind w:firstLine="284"/>
        <w:jc w:val="center"/>
        <w:rPr>
          <w:rFonts w:ascii="Garamond" w:hAnsi="Garamond"/>
          <w:bCs/>
          <w:color w:val="000000"/>
        </w:rPr>
      </w:pPr>
      <w:r w:rsidRPr="00C22903">
        <w:rPr>
          <w:rFonts w:ascii="Garamond" w:hAnsi="Garamond"/>
          <w:bCs/>
          <w:color w:val="000000"/>
        </w:rPr>
        <w:t>I</w:t>
      </w:r>
    </w:p>
    <w:p w14:paraId="3BB76D52" w14:textId="77A42189" w:rsidR="00032A2B" w:rsidRPr="00C22903" w:rsidRDefault="00032A2B" w:rsidP="00032A2B">
      <w:pPr>
        <w:autoSpaceDE w:val="0"/>
        <w:autoSpaceDN w:val="0"/>
        <w:adjustRightInd w:val="0"/>
        <w:spacing w:line="240" w:lineRule="auto"/>
        <w:ind w:firstLine="284"/>
        <w:jc w:val="center"/>
        <w:rPr>
          <w:rFonts w:ascii="Garamond" w:hAnsi="Garamond"/>
          <w:b/>
          <w:bCs/>
          <w:color w:val="000000"/>
        </w:rPr>
      </w:pPr>
      <w:r w:rsidRPr="00C22903">
        <w:rPr>
          <w:rFonts w:ascii="Garamond" w:hAnsi="Garamond"/>
          <w:b/>
          <w:bCs/>
          <w:color w:val="000000"/>
        </w:rPr>
        <w:t>Rrethanat e çështjes</w:t>
      </w:r>
    </w:p>
    <w:p w14:paraId="6EA77A7B" w14:textId="77777777" w:rsidR="007156A3" w:rsidRPr="00C22903" w:rsidRDefault="007156A3" w:rsidP="00032A2B">
      <w:pPr>
        <w:autoSpaceDE w:val="0"/>
        <w:autoSpaceDN w:val="0"/>
        <w:adjustRightInd w:val="0"/>
        <w:spacing w:line="240" w:lineRule="auto"/>
        <w:ind w:firstLine="284"/>
        <w:jc w:val="center"/>
        <w:rPr>
          <w:rFonts w:ascii="Garamond" w:hAnsi="Garamond"/>
          <w:b/>
          <w:bCs/>
          <w:color w:val="000000"/>
        </w:rPr>
      </w:pPr>
    </w:p>
    <w:p w14:paraId="06E9B344" w14:textId="062C0D61" w:rsidR="00032A2B" w:rsidRPr="00C22903" w:rsidRDefault="00032A2B" w:rsidP="00C22903">
      <w:pPr>
        <w:tabs>
          <w:tab w:val="left" w:pos="720"/>
          <w:tab w:val="left" w:pos="980"/>
          <w:tab w:val="left" w:pos="4320"/>
          <w:tab w:val="left" w:pos="486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rPr>
      </w:pPr>
      <w:r w:rsidRPr="00C22903">
        <w:rPr>
          <w:rFonts w:ascii="Garamond" w:hAnsi="Garamond"/>
          <w:color w:val="1D1B11"/>
        </w:rPr>
        <w:t>1. Nga aktet e dosjes gjyqësore të administruar për nevoja të këtij gjykimi rezulton se ndërmjet kërkueses, shoqërisë “</w:t>
      </w:r>
      <w:proofErr w:type="spellStart"/>
      <w:r w:rsidRPr="00C22903">
        <w:rPr>
          <w:rFonts w:ascii="Garamond" w:hAnsi="Garamond"/>
          <w:color w:val="1D1B11"/>
        </w:rPr>
        <w:t>DIAMAND</w:t>
      </w:r>
      <w:proofErr w:type="spellEnd"/>
      <w:r w:rsidRPr="00C22903">
        <w:rPr>
          <w:rFonts w:ascii="Garamond" w:hAnsi="Garamond"/>
          <w:color w:val="1D1B11"/>
        </w:rPr>
        <w:t>”</w:t>
      </w:r>
      <w:r w:rsidR="007156A3" w:rsidRPr="00C22903">
        <w:rPr>
          <w:rStyle w:val="FootnoteReference"/>
          <w:rFonts w:ascii="Garamond" w:hAnsi="Garamond"/>
          <w:color w:val="1D1B11"/>
        </w:rPr>
        <w:footnoteReference w:id="2"/>
      </w:r>
      <w:r w:rsidRPr="00C22903">
        <w:rPr>
          <w:rFonts w:ascii="Garamond" w:hAnsi="Garamond"/>
          <w:color w:val="1D1B11"/>
        </w:rPr>
        <w:t xml:space="preserve"> </w:t>
      </w:r>
      <w:proofErr w:type="spellStart"/>
      <w:r w:rsidRPr="00C22903">
        <w:rPr>
          <w:rFonts w:ascii="Garamond" w:hAnsi="Garamond"/>
          <w:color w:val="1D1B11"/>
        </w:rPr>
        <w:t>sh.p.k</w:t>
      </w:r>
      <w:proofErr w:type="spellEnd"/>
      <w:r w:rsidRPr="00C22903">
        <w:rPr>
          <w:rFonts w:ascii="Garamond" w:hAnsi="Garamond"/>
          <w:color w:val="1D1B11"/>
        </w:rPr>
        <w:t>. (</w:t>
      </w:r>
      <w:r w:rsidRPr="00C22903">
        <w:rPr>
          <w:rFonts w:ascii="Garamond" w:hAnsi="Garamond"/>
          <w:i/>
          <w:iCs/>
          <w:color w:val="1D1B11"/>
        </w:rPr>
        <w:t>në vijim shoqëria “</w:t>
      </w:r>
      <w:proofErr w:type="spellStart"/>
      <w:r w:rsidRPr="00C22903">
        <w:rPr>
          <w:rFonts w:ascii="Garamond" w:hAnsi="Garamond"/>
          <w:i/>
          <w:iCs/>
          <w:color w:val="1D1B11"/>
        </w:rPr>
        <w:t>DEA</w:t>
      </w:r>
      <w:proofErr w:type="spellEnd"/>
      <w:r w:rsidRPr="00C22903">
        <w:rPr>
          <w:rFonts w:ascii="Garamond" w:hAnsi="Garamond"/>
          <w:i/>
          <w:iCs/>
          <w:color w:val="1D1B11"/>
        </w:rPr>
        <w:t xml:space="preserve">-Z” </w:t>
      </w:r>
      <w:proofErr w:type="spellStart"/>
      <w:r w:rsidRPr="00C22903">
        <w:rPr>
          <w:rFonts w:ascii="Garamond" w:hAnsi="Garamond"/>
          <w:i/>
          <w:iCs/>
          <w:color w:val="1D1B11"/>
        </w:rPr>
        <w:t>sh.p.k</w:t>
      </w:r>
      <w:proofErr w:type="spellEnd"/>
      <w:r w:rsidRPr="00C22903">
        <w:rPr>
          <w:rFonts w:ascii="Garamond" w:hAnsi="Garamond"/>
          <w:i/>
          <w:iCs/>
          <w:color w:val="1D1B11"/>
        </w:rPr>
        <w:t>.</w:t>
      </w:r>
      <w:r w:rsidRPr="00C22903">
        <w:rPr>
          <w:rFonts w:ascii="Garamond" w:hAnsi="Garamond"/>
          <w:color w:val="1D1B11"/>
        </w:rPr>
        <w:t xml:space="preserve">), e përfaqësuar nga shtetasi Zaim </w:t>
      </w:r>
      <w:proofErr w:type="spellStart"/>
      <w:r w:rsidRPr="00C22903">
        <w:rPr>
          <w:rFonts w:ascii="Garamond" w:hAnsi="Garamond"/>
          <w:color w:val="1D1B11"/>
        </w:rPr>
        <w:t>Korsi</w:t>
      </w:r>
      <w:proofErr w:type="spellEnd"/>
      <w:r w:rsidRPr="00C22903">
        <w:rPr>
          <w:rFonts w:ascii="Garamond" w:hAnsi="Garamond"/>
          <w:color w:val="1D1B11"/>
        </w:rPr>
        <w:t xml:space="preserve">, si administrator i vetëm i saj </w:t>
      </w:r>
      <w:r w:rsidRPr="00C22903">
        <w:rPr>
          <w:rFonts w:ascii="Garamond" w:hAnsi="Garamond"/>
          <w:color w:val="000000"/>
        </w:rPr>
        <w:t xml:space="preserve">dhe shtetases </w:t>
      </w:r>
      <w:proofErr w:type="spellStart"/>
      <w:r w:rsidRPr="00C22903">
        <w:rPr>
          <w:rFonts w:ascii="Garamond" w:hAnsi="Garamond"/>
          <w:color w:val="000000"/>
        </w:rPr>
        <w:t>Xh.T</w:t>
      </w:r>
      <w:proofErr w:type="spellEnd"/>
      <w:r w:rsidRPr="00C22903">
        <w:rPr>
          <w:rFonts w:ascii="Garamond" w:hAnsi="Garamond"/>
          <w:color w:val="000000"/>
        </w:rPr>
        <w:t xml:space="preserve">. është lidhur kontrata paraprake nr. 2239 </w:t>
      </w:r>
      <w:proofErr w:type="spellStart"/>
      <w:r w:rsidRPr="00C22903">
        <w:rPr>
          <w:rFonts w:ascii="Garamond" w:hAnsi="Garamond"/>
          <w:color w:val="000000"/>
        </w:rPr>
        <w:t>rep</w:t>
      </w:r>
      <w:proofErr w:type="spellEnd"/>
      <w:r w:rsidRPr="00C22903">
        <w:rPr>
          <w:rFonts w:ascii="Garamond" w:hAnsi="Garamond"/>
          <w:color w:val="000000"/>
        </w:rPr>
        <w:t xml:space="preserve">. nr. 547 </w:t>
      </w:r>
      <w:proofErr w:type="spellStart"/>
      <w:r w:rsidRPr="00C22903">
        <w:rPr>
          <w:rFonts w:ascii="Garamond" w:hAnsi="Garamond"/>
          <w:color w:val="000000"/>
        </w:rPr>
        <w:t>kol</w:t>
      </w:r>
      <w:proofErr w:type="spellEnd"/>
      <w:r w:rsidRPr="00C22903">
        <w:rPr>
          <w:rFonts w:ascii="Garamond" w:hAnsi="Garamond"/>
          <w:color w:val="000000"/>
        </w:rPr>
        <w:t>., datë 2.7.2001. Me anë të kësaj kontrate palët kanë rënë dakord që shtetasja Xh.</w:t>
      </w:r>
      <w:r w:rsidR="00ED15C9">
        <w:rPr>
          <w:rFonts w:ascii="Garamond" w:hAnsi="Garamond"/>
          <w:color w:val="000000"/>
        </w:rPr>
        <w:t xml:space="preserve"> </w:t>
      </w:r>
      <w:r w:rsidRPr="00C22903">
        <w:rPr>
          <w:rFonts w:ascii="Garamond" w:hAnsi="Garamond"/>
          <w:color w:val="000000"/>
        </w:rPr>
        <w:t>T., në cilësinë e pronares së truallit, të vërë në dispozicion të palës tjetër, shoqërisë “</w:t>
      </w:r>
      <w:proofErr w:type="spellStart"/>
      <w:r w:rsidRPr="00C22903">
        <w:rPr>
          <w:rFonts w:ascii="Garamond" w:hAnsi="Garamond"/>
          <w:color w:val="000000"/>
        </w:rPr>
        <w:t>DEA</w:t>
      </w:r>
      <w:proofErr w:type="spellEnd"/>
      <w:r w:rsidRPr="00C22903">
        <w:rPr>
          <w:rFonts w:ascii="Garamond" w:hAnsi="Garamond"/>
          <w:color w:val="000000"/>
        </w:rPr>
        <w:t xml:space="preserve">-Z” </w:t>
      </w:r>
      <w:proofErr w:type="spellStart"/>
      <w:r w:rsidRPr="00C22903">
        <w:rPr>
          <w:rFonts w:ascii="Garamond" w:hAnsi="Garamond"/>
          <w:color w:val="000000"/>
        </w:rPr>
        <w:t>sh.p.k</w:t>
      </w:r>
      <w:proofErr w:type="spellEnd"/>
      <w:r w:rsidRPr="00C22903">
        <w:rPr>
          <w:rFonts w:ascii="Garamond" w:hAnsi="Garamond"/>
          <w:color w:val="000000"/>
        </w:rPr>
        <w:t xml:space="preserve">., një sipërfaqe trualli në pronësi të saj, të ndodhur në Rrugën e Elbasanit, Tiranë, </w:t>
      </w:r>
      <w:r w:rsidRPr="00C22903">
        <w:rPr>
          <w:rFonts w:ascii="Garamond" w:hAnsi="Garamond"/>
          <w:color w:val="000000"/>
        </w:rPr>
        <w:lastRenderedPageBreak/>
        <w:t>për ndërtimin nga shoqëria “</w:t>
      </w:r>
      <w:proofErr w:type="spellStart"/>
      <w:r w:rsidRPr="00C22903">
        <w:rPr>
          <w:rFonts w:ascii="Garamond" w:hAnsi="Garamond"/>
          <w:color w:val="000000"/>
        </w:rPr>
        <w:t>DEA</w:t>
      </w:r>
      <w:proofErr w:type="spellEnd"/>
      <w:r w:rsidRPr="00C22903">
        <w:rPr>
          <w:rFonts w:ascii="Garamond" w:hAnsi="Garamond"/>
          <w:color w:val="000000"/>
        </w:rPr>
        <w:t xml:space="preserve">-Z” </w:t>
      </w:r>
      <w:proofErr w:type="spellStart"/>
      <w:r w:rsidRPr="00C22903">
        <w:rPr>
          <w:rFonts w:ascii="Garamond" w:hAnsi="Garamond"/>
          <w:color w:val="000000"/>
        </w:rPr>
        <w:t>sh.p.k</w:t>
      </w:r>
      <w:proofErr w:type="spellEnd"/>
      <w:r w:rsidRPr="00C22903">
        <w:rPr>
          <w:rFonts w:ascii="Garamond" w:hAnsi="Garamond"/>
          <w:color w:val="000000"/>
        </w:rPr>
        <w:t>. të një objekti banimi shumëkatësh, kundrejt detyrimit të shoqërisë për t’i dhënë shtetases Xh.</w:t>
      </w:r>
      <w:r w:rsidR="00C22903">
        <w:rPr>
          <w:rFonts w:ascii="Garamond" w:hAnsi="Garamond"/>
          <w:color w:val="000000"/>
        </w:rPr>
        <w:t xml:space="preserve"> </w:t>
      </w:r>
      <w:r w:rsidRPr="00C22903">
        <w:rPr>
          <w:rFonts w:ascii="Garamond" w:hAnsi="Garamond"/>
          <w:color w:val="000000"/>
        </w:rPr>
        <w:t xml:space="preserve">T. si përfitim 22% të sipërfaqes ndërtimore. </w:t>
      </w:r>
    </w:p>
    <w:p w14:paraId="4E8EEE53" w14:textId="213F728E" w:rsidR="00032A2B" w:rsidRPr="00C22903" w:rsidRDefault="00032A2B" w:rsidP="00C22903">
      <w:pPr>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2. Në vijim, ndërmjet shoqërisë “</w:t>
      </w:r>
      <w:proofErr w:type="spellStart"/>
      <w:r w:rsidRPr="00C22903">
        <w:rPr>
          <w:rFonts w:ascii="Garamond" w:hAnsi="Garamond"/>
          <w:color w:val="000000"/>
        </w:rPr>
        <w:t>DEA</w:t>
      </w:r>
      <w:proofErr w:type="spellEnd"/>
      <w:r w:rsidRPr="00C22903">
        <w:rPr>
          <w:rFonts w:ascii="Garamond" w:hAnsi="Garamond"/>
          <w:color w:val="000000"/>
        </w:rPr>
        <w:t xml:space="preserve">-Z” </w:t>
      </w:r>
      <w:proofErr w:type="spellStart"/>
      <w:r w:rsidRPr="00C22903">
        <w:rPr>
          <w:rFonts w:ascii="Garamond" w:hAnsi="Garamond"/>
          <w:color w:val="000000"/>
        </w:rPr>
        <w:t>sh.p.k</w:t>
      </w:r>
      <w:proofErr w:type="spellEnd"/>
      <w:r w:rsidRPr="00C22903">
        <w:rPr>
          <w:rFonts w:ascii="Garamond" w:hAnsi="Garamond"/>
          <w:color w:val="000000"/>
        </w:rPr>
        <w:t xml:space="preserve">., përfaqësuar nga Zaim </w:t>
      </w:r>
      <w:proofErr w:type="spellStart"/>
      <w:r w:rsidRPr="00C22903">
        <w:rPr>
          <w:rFonts w:ascii="Garamond" w:hAnsi="Garamond"/>
          <w:color w:val="000000"/>
        </w:rPr>
        <w:t>Korsi</w:t>
      </w:r>
      <w:proofErr w:type="spellEnd"/>
      <w:r w:rsidRPr="00C22903">
        <w:rPr>
          <w:rFonts w:ascii="Garamond" w:hAnsi="Garamond"/>
          <w:color w:val="000000"/>
        </w:rPr>
        <w:t xml:space="preserve"> dhe subjektit të interesuar, shtetasit </w:t>
      </w:r>
      <w:proofErr w:type="spellStart"/>
      <w:r w:rsidRPr="00C22903">
        <w:rPr>
          <w:rFonts w:ascii="Garamond" w:hAnsi="Garamond"/>
          <w:color w:val="000000"/>
        </w:rPr>
        <w:t>Viktor</w:t>
      </w:r>
      <w:proofErr w:type="spellEnd"/>
      <w:r w:rsidRPr="00C22903">
        <w:rPr>
          <w:rFonts w:ascii="Garamond" w:hAnsi="Garamond"/>
          <w:color w:val="000000"/>
        </w:rPr>
        <w:t xml:space="preserve"> </w:t>
      </w:r>
      <w:proofErr w:type="spellStart"/>
      <w:r w:rsidRPr="00C22903">
        <w:rPr>
          <w:rFonts w:ascii="Garamond" w:hAnsi="Garamond"/>
          <w:color w:val="000000"/>
        </w:rPr>
        <w:t>Ndoci</w:t>
      </w:r>
      <w:proofErr w:type="spellEnd"/>
      <w:r w:rsidRPr="00C22903">
        <w:rPr>
          <w:rFonts w:ascii="Garamond" w:hAnsi="Garamond"/>
          <w:color w:val="000000"/>
        </w:rPr>
        <w:t>, këta të fundit në cilësitë e sipërmarrësve dhe investitorëve, dhe shtetases Xh.</w:t>
      </w:r>
      <w:r w:rsidR="00C22903">
        <w:rPr>
          <w:rFonts w:ascii="Garamond" w:hAnsi="Garamond"/>
          <w:color w:val="000000"/>
        </w:rPr>
        <w:t xml:space="preserve"> </w:t>
      </w:r>
      <w:r w:rsidRPr="00C22903">
        <w:rPr>
          <w:rFonts w:ascii="Garamond" w:hAnsi="Garamond"/>
          <w:color w:val="000000"/>
        </w:rPr>
        <w:t xml:space="preserve">T., në cilësinë e pronares së truallit, të përfaqësuar nga djali i saj sipas prokurës nr. 2622 </w:t>
      </w:r>
      <w:proofErr w:type="spellStart"/>
      <w:r w:rsidRPr="00C22903">
        <w:rPr>
          <w:rFonts w:ascii="Garamond" w:hAnsi="Garamond"/>
          <w:color w:val="000000"/>
        </w:rPr>
        <w:t>rep</w:t>
      </w:r>
      <w:proofErr w:type="spellEnd"/>
      <w:r w:rsidRPr="00C22903">
        <w:rPr>
          <w:rFonts w:ascii="Garamond" w:hAnsi="Garamond"/>
          <w:color w:val="000000"/>
        </w:rPr>
        <w:t xml:space="preserve">. dhe nr. 261 </w:t>
      </w:r>
      <w:proofErr w:type="spellStart"/>
      <w:r w:rsidRPr="00C22903">
        <w:rPr>
          <w:rFonts w:ascii="Garamond" w:hAnsi="Garamond"/>
          <w:color w:val="000000"/>
        </w:rPr>
        <w:t>kol</w:t>
      </w:r>
      <w:proofErr w:type="spellEnd"/>
      <w:r w:rsidRPr="00C22903">
        <w:rPr>
          <w:rFonts w:ascii="Garamond" w:hAnsi="Garamond"/>
          <w:color w:val="000000"/>
        </w:rPr>
        <w:t>., datë 17.4.2000, është lidhur “Kontrata e sipërmarrjes paraprake” e datës 23.10.2003 (</w:t>
      </w:r>
      <w:r w:rsidRPr="00C22903">
        <w:rPr>
          <w:rFonts w:ascii="Garamond" w:hAnsi="Garamond"/>
          <w:i/>
          <w:iCs/>
          <w:color w:val="000000"/>
        </w:rPr>
        <w:t>kontrata e sipërmarrjes</w:t>
      </w:r>
      <w:r w:rsidRPr="00C22903">
        <w:rPr>
          <w:rFonts w:ascii="Garamond" w:hAnsi="Garamond"/>
          <w:color w:val="000000"/>
        </w:rPr>
        <w:t>). Bazuar në këtë kontratë sipërmarrjeje, shtetasja Xh.</w:t>
      </w:r>
      <w:r w:rsidR="00C22903">
        <w:rPr>
          <w:rFonts w:ascii="Garamond" w:hAnsi="Garamond"/>
          <w:color w:val="000000"/>
        </w:rPr>
        <w:t xml:space="preserve"> </w:t>
      </w:r>
      <w:r w:rsidRPr="00C22903">
        <w:rPr>
          <w:rFonts w:ascii="Garamond" w:hAnsi="Garamond"/>
          <w:color w:val="000000"/>
        </w:rPr>
        <w:t>T. ka vënë në dispozicion të shoqërisë “</w:t>
      </w:r>
      <w:proofErr w:type="spellStart"/>
      <w:r w:rsidRPr="00C22903">
        <w:rPr>
          <w:rFonts w:ascii="Garamond" w:hAnsi="Garamond"/>
          <w:color w:val="000000"/>
        </w:rPr>
        <w:t>DEA</w:t>
      </w:r>
      <w:proofErr w:type="spellEnd"/>
      <w:r w:rsidRPr="00C22903">
        <w:rPr>
          <w:rFonts w:ascii="Garamond" w:hAnsi="Garamond"/>
          <w:color w:val="000000"/>
        </w:rPr>
        <w:t xml:space="preserve">-Z” </w:t>
      </w:r>
      <w:proofErr w:type="spellStart"/>
      <w:r w:rsidRPr="00C22903">
        <w:rPr>
          <w:rFonts w:ascii="Garamond" w:hAnsi="Garamond"/>
          <w:color w:val="000000"/>
        </w:rPr>
        <w:t>sh.p.k</w:t>
      </w:r>
      <w:proofErr w:type="spellEnd"/>
      <w:r w:rsidRPr="00C22903">
        <w:rPr>
          <w:rFonts w:ascii="Garamond" w:hAnsi="Garamond"/>
          <w:color w:val="000000"/>
        </w:rPr>
        <w:t xml:space="preserve">. sipërfaqen e truallit 736 </w:t>
      </w:r>
      <w:r w:rsidR="00C22903">
        <w:rPr>
          <w:rFonts w:ascii="Garamond" w:hAnsi="Garamond"/>
          <w:color w:val="000000"/>
        </w:rPr>
        <w:t>m</w:t>
      </w:r>
      <w:r w:rsidR="00C22903" w:rsidRPr="00C22903">
        <w:rPr>
          <w:rFonts w:ascii="Garamond" w:hAnsi="Garamond"/>
          <w:color w:val="000000"/>
          <w:vertAlign w:val="superscript"/>
        </w:rPr>
        <w:t>2</w:t>
      </w:r>
      <w:r w:rsidRPr="00C22903">
        <w:rPr>
          <w:rFonts w:ascii="Garamond" w:hAnsi="Garamond"/>
          <w:color w:val="000000"/>
        </w:rPr>
        <w:t xml:space="preserve"> për ndërtimin e një pallati banimi shumëkatësh. Sipas nenit 4 të kësaj kontrate, pronarja e truallit, shtetasja Xh.</w:t>
      </w:r>
      <w:r w:rsidR="00C22903">
        <w:rPr>
          <w:rFonts w:ascii="Garamond" w:hAnsi="Garamond"/>
          <w:color w:val="000000"/>
        </w:rPr>
        <w:t xml:space="preserve"> </w:t>
      </w:r>
      <w:r w:rsidRPr="00C22903">
        <w:rPr>
          <w:rFonts w:ascii="Garamond" w:hAnsi="Garamond"/>
          <w:color w:val="000000"/>
        </w:rPr>
        <w:t xml:space="preserve">T., do të përfitonte 1000 </w:t>
      </w:r>
      <w:r w:rsidR="00C22903">
        <w:rPr>
          <w:rFonts w:ascii="Garamond" w:hAnsi="Garamond"/>
          <w:color w:val="000000"/>
        </w:rPr>
        <w:t>m</w:t>
      </w:r>
      <w:r w:rsidR="00C22903" w:rsidRPr="00C22903">
        <w:rPr>
          <w:rFonts w:ascii="Garamond" w:hAnsi="Garamond"/>
          <w:color w:val="000000"/>
          <w:vertAlign w:val="superscript"/>
        </w:rPr>
        <w:t>2</w:t>
      </w:r>
      <w:r w:rsidRPr="00C22903">
        <w:rPr>
          <w:rFonts w:ascii="Garamond" w:hAnsi="Garamond"/>
          <w:color w:val="000000"/>
        </w:rPr>
        <w:t xml:space="preserve"> sipërfaqe ndërtimore. </w:t>
      </w:r>
    </w:p>
    <w:p w14:paraId="5C59CFF3" w14:textId="2DE247E2" w:rsidR="00032A2B" w:rsidRPr="00C22903" w:rsidRDefault="00032A2B" w:rsidP="00C22903">
      <w:pPr>
        <w:autoSpaceDE w:val="0"/>
        <w:autoSpaceDN w:val="0"/>
        <w:adjustRightInd w:val="0"/>
        <w:spacing w:line="240" w:lineRule="auto"/>
        <w:ind w:firstLine="284"/>
        <w:jc w:val="both"/>
        <w:rPr>
          <w:rFonts w:ascii="Garamond" w:hAnsi="Garamond"/>
          <w:color w:val="000000"/>
        </w:rPr>
      </w:pPr>
      <w:r w:rsidRPr="00C22903">
        <w:rPr>
          <w:rFonts w:ascii="Garamond" w:hAnsi="Garamond"/>
          <w:color w:val="1D1B11"/>
        </w:rPr>
        <w:t>3. Për sa më lart, b</w:t>
      </w:r>
      <w:r w:rsidRPr="00C22903">
        <w:rPr>
          <w:rFonts w:ascii="Garamond" w:hAnsi="Garamond"/>
          <w:color w:val="000000"/>
        </w:rPr>
        <w:t xml:space="preserve">azuar në kontratën e sipërmarrjes, subjekti i interesuar </w:t>
      </w:r>
      <w:proofErr w:type="spellStart"/>
      <w:r w:rsidRPr="00C22903">
        <w:rPr>
          <w:rFonts w:ascii="Garamond" w:hAnsi="Garamond"/>
          <w:color w:val="000000"/>
        </w:rPr>
        <w:t>Viktor</w:t>
      </w:r>
      <w:proofErr w:type="spellEnd"/>
      <w:r w:rsidRPr="00C22903">
        <w:rPr>
          <w:rFonts w:ascii="Garamond" w:hAnsi="Garamond"/>
          <w:color w:val="000000"/>
        </w:rPr>
        <w:t xml:space="preserve"> </w:t>
      </w:r>
      <w:proofErr w:type="spellStart"/>
      <w:r w:rsidRPr="00C22903">
        <w:rPr>
          <w:rFonts w:ascii="Garamond" w:hAnsi="Garamond"/>
          <w:color w:val="000000"/>
        </w:rPr>
        <w:t>Ndoci</w:t>
      </w:r>
      <w:proofErr w:type="spellEnd"/>
      <w:r w:rsidRPr="00C22903">
        <w:rPr>
          <w:rFonts w:ascii="Garamond" w:hAnsi="Garamond"/>
          <w:color w:val="000000"/>
        </w:rPr>
        <w:t xml:space="preserve"> dhe shtetasi Zaim </w:t>
      </w:r>
      <w:proofErr w:type="spellStart"/>
      <w:r w:rsidRPr="00C22903">
        <w:rPr>
          <w:rFonts w:ascii="Garamond" w:hAnsi="Garamond"/>
          <w:color w:val="000000"/>
        </w:rPr>
        <w:t>Korsi</w:t>
      </w:r>
      <w:proofErr w:type="spellEnd"/>
      <w:r w:rsidRPr="00C22903">
        <w:rPr>
          <w:rFonts w:ascii="Garamond" w:hAnsi="Garamond"/>
          <w:color w:val="000000"/>
        </w:rPr>
        <w:t>, në cilësinë e investitorëve dhe shoqëria “</w:t>
      </w:r>
      <w:proofErr w:type="spellStart"/>
      <w:r w:rsidRPr="00C22903">
        <w:rPr>
          <w:rFonts w:ascii="Garamond" w:hAnsi="Garamond"/>
          <w:color w:val="000000"/>
        </w:rPr>
        <w:t>DEA</w:t>
      </w:r>
      <w:proofErr w:type="spellEnd"/>
      <w:r w:rsidRPr="00C22903">
        <w:rPr>
          <w:rFonts w:ascii="Garamond" w:hAnsi="Garamond"/>
          <w:color w:val="000000"/>
        </w:rPr>
        <w:t xml:space="preserve">-Z” </w:t>
      </w:r>
      <w:proofErr w:type="spellStart"/>
      <w:r w:rsidRPr="00C22903">
        <w:rPr>
          <w:rFonts w:ascii="Garamond" w:hAnsi="Garamond"/>
          <w:color w:val="000000"/>
        </w:rPr>
        <w:t>sh.p.k</w:t>
      </w:r>
      <w:proofErr w:type="spellEnd"/>
      <w:r w:rsidRPr="00C22903">
        <w:rPr>
          <w:rFonts w:ascii="Garamond" w:hAnsi="Garamond"/>
          <w:color w:val="000000"/>
        </w:rPr>
        <w:t xml:space="preserve">., në cilësinë e firmës ndërtuese, e përfaqësuar nga Zaim </w:t>
      </w:r>
      <w:proofErr w:type="spellStart"/>
      <w:r w:rsidRPr="00C22903">
        <w:rPr>
          <w:rFonts w:ascii="Garamond" w:hAnsi="Garamond"/>
          <w:color w:val="000000"/>
        </w:rPr>
        <w:t>Korsi</w:t>
      </w:r>
      <w:proofErr w:type="spellEnd"/>
      <w:r w:rsidRPr="00C22903">
        <w:rPr>
          <w:rFonts w:ascii="Garamond" w:hAnsi="Garamond"/>
          <w:color w:val="000000"/>
        </w:rPr>
        <w:t>, kanë lidhur aktmarrëveshjen e</w:t>
      </w:r>
      <w:r w:rsidRPr="00C22903">
        <w:rPr>
          <w:rFonts w:ascii="Garamond" w:hAnsi="Garamond"/>
          <w:color w:val="FF0000"/>
        </w:rPr>
        <w:t xml:space="preserve"> </w:t>
      </w:r>
      <w:r w:rsidRPr="00C22903">
        <w:rPr>
          <w:rFonts w:ascii="Garamond" w:hAnsi="Garamond"/>
          <w:color w:val="000000"/>
        </w:rPr>
        <w:t>datës 24.1.2004, sipas së cilës financimet për ndërtimin e pallatit do t’i realizonin së bashku në mënyrë të barabartë (50% me 50%) dhe përfitimin neto që do të realizohej nga ndërtimi do ta ndanin në mënyrë të barabartë. Sipas kësaj aktmarrëveshjeje, ndërtimin e pallatit do ta realizonte shoqëria “</w:t>
      </w:r>
      <w:proofErr w:type="spellStart"/>
      <w:r w:rsidRPr="00C22903">
        <w:rPr>
          <w:rFonts w:ascii="Garamond" w:hAnsi="Garamond"/>
          <w:color w:val="000000"/>
        </w:rPr>
        <w:t>DEA</w:t>
      </w:r>
      <w:proofErr w:type="spellEnd"/>
      <w:r w:rsidRPr="00C22903">
        <w:rPr>
          <w:rFonts w:ascii="Garamond" w:hAnsi="Garamond"/>
          <w:color w:val="000000"/>
        </w:rPr>
        <w:t xml:space="preserve">-Z” </w:t>
      </w:r>
      <w:proofErr w:type="spellStart"/>
      <w:r w:rsidRPr="00C22903">
        <w:rPr>
          <w:rFonts w:ascii="Garamond" w:hAnsi="Garamond"/>
          <w:color w:val="000000"/>
        </w:rPr>
        <w:t>sh.p.k</w:t>
      </w:r>
      <w:proofErr w:type="spellEnd"/>
      <w:r w:rsidRPr="00C22903">
        <w:rPr>
          <w:rFonts w:ascii="Garamond" w:hAnsi="Garamond"/>
          <w:color w:val="000000"/>
        </w:rPr>
        <w:t xml:space="preserve">. me kosto ndërtimi 250 euro për </w:t>
      </w:r>
      <w:r w:rsidR="0047389F">
        <w:rPr>
          <w:rFonts w:ascii="Garamond" w:hAnsi="Garamond"/>
          <w:color w:val="000000"/>
        </w:rPr>
        <w:t>m</w:t>
      </w:r>
      <w:r w:rsidR="0047389F" w:rsidRPr="00C22903">
        <w:rPr>
          <w:rFonts w:ascii="Garamond" w:hAnsi="Garamond"/>
          <w:color w:val="000000"/>
          <w:vertAlign w:val="superscript"/>
        </w:rPr>
        <w:t>2</w:t>
      </w:r>
      <w:r w:rsidRPr="00C22903">
        <w:rPr>
          <w:rFonts w:ascii="Garamond" w:hAnsi="Garamond"/>
          <w:color w:val="000000"/>
        </w:rPr>
        <w:t xml:space="preserve">. Ndërkohë, sipas </w:t>
      </w:r>
      <w:proofErr w:type="spellStart"/>
      <w:r w:rsidRPr="00C22903">
        <w:rPr>
          <w:rFonts w:ascii="Garamond" w:hAnsi="Garamond"/>
          <w:color w:val="000000"/>
        </w:rPr>
        <w:t>aktkolaudimit</w:t>
      </w:r>
      <w:proofErr w:type="spellEnd"/>
      <w:r w:rsidRPr="00C22903">
        <w:rPr>
          <w:rFonts w:ascii="Garamond" w:hAnsi="Garamond"/>
          <w:color w:val="000000"/>
        </w:rPr>
        <w:t xml:space="preserve"> tekniko-ekonomik të muajit tetor të vitit 2005, ndërtimi i objektit ka përfunduar në muajin shtator të vitit 2005. Po ashtu, sipas kontratës të datës 13.11.2005, rezulton se shoqëria “</w:t>
      </w:r>
      <w:proofErr w:type="spellStart"/>
      <w:r w:rsidRPr="00C22903">
        <w:rPr>
          <w:rFonts w:ascii="Garamond" w:hAnsi="Garamond"/>
          <w:color w:val="000000"/>
        </w:rPr>
        <w:t>DEA</w:t>
      </w:r>
      <w:proofErr w:type="spellEnd"/>
      <w:r w:rsidRPr="00C22903">
        <w:rPr>
          <w:rFonts w:ascii="Garamond" w:hAnsi="Garamond"/>
          <w:color w:val="000000"/>
        </w:rPr>
        <w:t xml:space="preserve">-Z” </w:t>
      </w:r>
      <w:proofErr w:type="spellStart"/>
      <w:r w:rsidRPr="00C22903">
        <w:rPr>
          <w:rFonts w:ascii="Garamond" w:hAnsi="Garamond"/>
          <w:color w:val="000000"/>
        </w:rPr>
        <w:t>sh.p.k</w:t>
      </w:r>
      <w:proofErr w:type="spellEnd"/>
      <w:r w:rsidRPr="00C22903">
        <w:rPr>
          <w:rFonts w:ascii="Garamond" w:hAnsi="Garamond"/>
          <w:color w:val="000000"/>
        </w:rPr>
        <w:t xml:space="preserve">. ka ndërtuar për llogari të shtetasit </w:t>
      </w:r>
      <w:proofErr w:type="spellStart"/>
      <w:r w:rsidRPr="00C22903">
        <w:rPr>
          <w:rFonts w:ascii="Garamond" w:hAnsi="Garamond"/>
          <w:color w:val="000000"/>
        </w:rPr>
        <w:t>Viktor</w:t>
      </w:r>
      <w:proofErr w:type="spellEnd"/>
      <w:r w:rsidRPr="00C22903">
        <w:rPr>
          <w:rFonts w:ascii="Garamond" w:hAnsi="Garamond"/>
          <w:color w:val="000000"/>
        </w:rPr>
        <w:t xml:space="preserve"> </w:t>
      </w:r>
      <w:proofErr w:type="spellStart"/>
      <w:r w:rsidRPr="00C22903">
        <w:rPr>
          <w:rFonts w:ascii="Garamond" w:hAnsi="Garamond"/>
          <w:color w:val="000000"/>
        </w:rPr>
        <w:t>Ndoci</w:t>
      </w:r>
      <w:proofErr w:type="spellEnd"/>
      <w:r w:rsidRPr="00C22903">
        <w:rPr>
          <w:rFonts w:ascii="Garamond" w:hAnsi="Garamond"/>
          <w:color w:val="000000"/>
        </w:rPr>
        <w:t xml:space="preserve"> një dyqan në katin përdhe, në pallatin e ndërtuar prej saj, me sipërfaqe 232 </w:t>
      </w:r>
      <w:r w:rsidR="0047389F">
        <w:rPr>
          <w:rFonts w:ascii="Garamond" w:hAnsi="Garamond"/>
          <w:color w:val="000000"/>
        </w:rPr>
        <w:t>m</w:t>
      </w:r>
      <w:r w:rsidR="0047389F" w:rsidRPr="00C22903">
        <w:rPr>
          <w:rFonts w:ascii="Garamond" w:hAnsi="Garamond"/>
          <w:color w:val="000000"/>
          <w:vertAlign w:val="superscript"/>
        </w:rPr>
        <w:t>2</w:t>
      </w:r>
      <w:r w:rsidRPr="00C22903">
        <w:rPr>
          <w:rFonts w:ascii="Garamond" w:hAnsi="Garamond"/>
          <w:color w:val="000000"/>
        </w:rPr>
        <w:t xml:space="preserve">, me vlerën 450,000 euro. </w:t>
      </w:r>
    </w:p>
    <w:p w14:paraId="7C8B8965" w14:textId="4E0C8FAD" w:rsidR="00032A2B" w:rsidRPr="00C22903" w:rsidRDefault="00032A2B" w:rsidP="00C22903">
      <w:pPr>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4. Në vitin 2012 shoqëria “</w:t>
      </w:r>
      <w:proofErr w:type="spellStart"/>
      <w:r w:rsidRPr="00C22903">
        <w:rPr>
          <w:rFonts w:ascii="Garamond" w:hAnsi="Garamond"/>
          <w:color w:val="000000"/>
        </w:rPr>
        <w:t>DEA</w:t>
      </w:r>
      <w:proofErr w:type="spellEnd"/>
      <w:r w:rsidRPr="00C22903">
        <w:rPr>
          <w:rFonts w:ascii="Garamond" w:hAnsi="Garamond"/>
          <w:color w:val="000000"/>
        </w:rPr>
        <w:t xml:space="preserve">-Z” </w:t>
      </w:r>
      <w:proofErr w:type="spellStart"/>
      <w:r w:rsidRPr="00C22903">
        <w:rPr>
          <w:rFonts w:ascii="Garamond" w:hAnsi="Garamond"/>
          <w:color w:val="000000"/>
        </w:rPr>
        <w:t>sh.p.k</w:t>
      </w:r>
      <w:proofErr w:type="spellEnd"/>
      <w:r w:rsidRPr="00C22903">
        <w:rPr>
          <w:rFonts w:ascii="Garamond" w:hAnsi="Garamond"/>
          <w:color w:val="000000"/>
        </w:rPr>
        <w:t>. e ka regjistruar objektin e ndërtuar në Zyrën e Regjistrimit të Pasurive të Paluajtshme (</w:t>
      </w:r>
      <w:proofErr w:type="spellStart"/>
      <w:r w:rsidRPr="00C22903">
        <w:rPr>
          <w:rFonts w:ascii="Garamond" w:hAnsi="Garamond"/>
          <w:i/>
          <w:iCs/>
          <w:color w:val="000000"/>
        </w:rPr>
        <w:t>ZRPP</w:t>
      </w:r>
      <w:proofErr w:type="spellEnd"/>
      <w:r w:rsidRPr="00C22903">
        <w:rPr>
          <w:rFonts w:ascii="Garamond" w:hAnsi="Garamond"/>
          <w:color w:val="000000"/>
        </w:rPr>
        <w:t>) Tiranë në emër të saj. Duke qenë se ndërmjet shoqërisë “</w:t>
      </w:r>
      <w:proofErr w:type="spellStart"/>
      <w:r w:rsidRPr="00C22903">
        <w:rPr>
          <w:rFonts w:ascii="Garamond" w:hAnsi="Garamond"/>
          <w:color w:val="000000"/>
        </w:rPr>
        <w:t>DEA</w:t>
      </w:r>
      <w:proofErr w:type="spellEnd"/>
      <w:r w:rsidRPr="00C22903">
        <w:rPr>
          <w:rFonts w:ascii="Garamond" w:hAnsi="Garamond"/>
          <w:color w:val="000000"/>
        </w:rPr>
        <w:t xml:space="preserve">-Z” </w:t>
      </w:r>
      <w:proofErr w:type="spellStart"/>
      <w:r w:rsidRPr="00C22903">
        <w:rPr>
          <w:rFonts w:ascii="Garamond" w:hAnsi="Garamond"/>
          <w:color w:val="000000"/>
        </w:rPr>
        <w:t>sh.p.k</w:t>
      </w:r>
      <w:proofErr w:type="spellEnd"/>
      <w:r w:rsidRPr="00C22903">
        <w:rPr>
          <w:rFonts w:ascii="Garamond" w:hAnsi="Garamond"/>
          <w:color w:val="000000"/>
        </w:rPr>
        <w:t xml:space="preserve">. dhe subjektit të interesuar </w:t>
      </w:r>
      <w:proofErr w:type="spellStart"/>
      <w:r w:rsidRPr="00C22903">
        <w:rPr>
          <w:rFonts w:ascii="Garamond" w:hAnsi="Garamond"/>
          <w:color w:val="000000"/>
        </w:rPr>
        <w:t>Viktor</w:t>
      </w:r>
      <w:proofErr w:type="spellEnd"/>
      <w:r w:rsidRPr="00C22903">
        <w:rPr>
          <w:rFonts w:ascii="Garamond" w:hAnsi="Garamond"/>
          <w:color w:val="000000"/>
        </w:rPr>
        <w:t xml:space="preserve"> </w:t>
      </w:r>
      <w:proofErr w:type="spellStart"/>
      <w:r w:rsidRPr="00C22903">
        <w:rPr>
          <w:rFonts w:ascii="Garamond" w:hAnsi="Garamond"/>
          <w:color w:val="000000"/>
        </w:rPr>
        <w:t>Ndoci</w:t>
      </w:r>
      <w:proofErr w:type="spellEnd"/>
      <w:r w:rsidRPr="00C22903">
        <w:rPr>
          <w:rFonts w:ascii="Garamond" w:hAnsi="Garamond"/>
          <w:color w:val="000000"/>
        </w:rPr>
        <w:t xml:space="preserve"> nuk është mundur të ndahet me mirëkuptim fitimi i realizuar nga ndërtimi i objektit, subjekti i interesuar, me pretendimin se nuk i janë dorëzuar të gjitha pjesët që i takonin sipas aktmarrëveshjes të datës 24.1.2004, i është drejtuar gjykatës me kërkesëpadinë me objekt: “Detyrimin e shoqërisë </w:t>
      </w:r>
      <w:r w:rsidR="0047389F">
        <w:rPr>
          <w:rFonts w:ascii="Garamond" w:hAnsi="Garamond"/>
          <w:color w:val="000000"/>
        </w:rPr>
        <w:t>‘</w:t>
      </w:r>
      <w:proofErr w:type="spellStart"/>
      <w:r w:rsidRPr="00C22903">
        <w:rPr>
          <w:rFonts w:ascii="Garamond" w:hAnsi="Garamond"/>
          <w:color w:val="000000"/>
        </w:rPr>
        <w:t>DEA</w:t>
      </w:r>
      <w:proofErr w:type="spellEnd"/>
      <w:r w:rsidRPr="00C22903">
        <w:rPr>
          <w:rFonts w:ascii="Garamond" w:hAnsi="Garamond"/>
          <w:color w:val="000000"/>
        </w:rPr>
        <w:t>-Z</w:t>
      </w:r>
      <w:r w:rsidR="0047389F">
        <w:rPr>
          <w:rFonts w:ascii="Garamond" w:hAnsi="Garamond"/>
          <w:color w:val="000000"/>
        </w:rPr>
        <w:t>’</w:t>
      </w:r>
      <w:r w:rsidRPr="00C22903">
        <w:rPr>
          <w:rFonts w:ascii="Garamond" w:hAnsi="Garamond"/>
          <w:color w:val="000000"/>
        </w:rPr>
        <w:t xml:space="preserve"> </w:t>
      </w:r>
      <w:proofErr w:type="spellStart"/>
      <w:r w:rsidRPr="00C22903">
        <w:rPr>
          <w:rFonts w:ascii="Garamond" w:hAnsi="Garamond"/>
          <w:color w:val="000000"/>
        </w:rPr>
        <w:t>sh.p.k</w:t>
      </w:r>
      <w:proofErr w:type="spellEnd"/>
      <w:r w:rsidRPr="00C22903">
        <w:rPr>
          <w:rFonts w:ascii="Garamond" w:hAnsi="Garamond"/>
          <w:color w:val="000000"/>
        </w:rPr>
        <w:t xml:space="preserve">. për ta njohur pronar atë të pasurive: njësi me sipërfaqe 212 </w:t>
      </w:r>
      <w:r w:rsidR="0047389F">
        <w:rPr>
          <w:rFonts w:ascii="Garamond" w:hAnsi="Garamond"/>
          <w:color w:val="000000"/>
        </w:rPr>
        <w:t>m</w:t>
      </w:r>
      <w:r w:rsidR="0047389F" w:rsidRPr="00C22903">
        <w:rPr>
          <w:rFonts w:ascii="Garamond" w:hAnsi="Garamond"/>
          <w:color w:val="000000"/>
          <w:vertAlign w:val="superscript"/>
        </w:rPr>
        <w:t>2</w:t>
      </w:r>
      <w:r w:rsidRPr="00C22903">
        <w:rPr>
          <w:rFonts w:ascii="Garamond" w:hAnsi="Garamond"/>
          <w:color w:val="202122"/>
          <w:position w:val="7"/>
        </w:rPr>
        <w:t xml:space="preserve"> </w:t>
      </w:r>
      <w:r w:rsidRPr="00C22903">
        <w:rPr>
          <w:rFonts w:ascii="Garamond" w:hAnsi="Garamond"/>
          <w:color w:val="000000"/>
        </w:rPr>
        <w:t xml:space="preserve">dhe 72 </w:t>
      </w:r>
      <w:r w:rsidR="0047389F">
        <w:rPr>
          <w:rFonts w:ascii="Garamond" w:hAnsi="Garamond"/>
          <w:color w:val="000000"/>
        </w:rPr>
        <w:t>m</w:t>
      </w:r>
      <w:r w:rsidR="0047389F" w:rsidRPr="00C22903">
        <w:rPr>
          <w:rFonts w:ascii="Garamond" w:hAnsi="Garamond"/>
          <w:color w:val="000000"/>
          <w:vertAlign w:val="superscript"/>
        </w:rPr>
        <w:t>2</w:t>
      </w:r>
      <w:r w:rsidRPr="00C22903">
        <w:rPr>
          <w:rFonts w:ascii="Garamond" w:hAnsi="Garamond"/>
          <w:color w:val="000000"/>
        </w:rPr>
        <w:t xml:space="preserve">; katër </w:t>
      </w:r>
      <w:proofErr w:type="spellStart"/>
      <w:r w:rsidRPr="00C22903">
        <w:rPr>
          <w:rFonts w:ascii="Garamond" w:hAnsi="Garamond"/>
          <w:color w:val="000000"/>
        </w:rPr>
        <w:t>vendparkime</w:t>
      </w:r>
      <w:proofErr w:type="spellEnd"/>
      <w:r w:rsidRPr="00C22903">
        <w:rPr>
          <w:rFonts w:ascii="Garamond" w:hAnsi="Garamond"/>
          <w:color w:val="000000"/>
        </w:rPr>
        <w:t xml:space="preserve">; detyrimin e shoqërisë </w:t>
      </w:r>
      <w:r w:rsidR="0047389F">
        <w:rPr>
          <w:rFonts w:ascii="Garamond" w:hAnsi="Garamond"/>
          <w:color w:val="000000"/>
        </w:rPr>
        <w:t>‘</w:t>
      </w:r>
      <w:proofErr w:type="spellStart"/>
      <w:r w:rsidRPr="00C22903">
        <w:rPr>
          <w:rFonts w:ascii="Garamond" w:hAnsi="Garamond"/>
          <w:color w:val="000000"/>
        </w:rPr>
        <w:t>DEA</w:t>
      </w:r>
      <w:proofErr w:type="spellEnd"/>
      <w:r w:rsidRPr="00C22903">
        <w:rPr>
          <w:rFonts w:ascii="Garamond" w:hAnsi="Garamond"/>
          <w:color w:val="000000"/>
        </w:rPr>
        <w:t>-Z</w:t>
      </w:r>
      <w:r w:rsidR="0047389F">
        <w:rPr>
          <w:rFonts w:ascii="Garamond" w:hAnsi="Garamond"/>
          <w:color w:val="000000"/>
        </w:rPr>
        <w:t>’</w:t>
      </w:r>
      <w:r w:rsidRPr="00C22903">
        <w:rPr>
          <w:rFonts w:ascii="Garamond" w:hAnsi="Garamond"/>
          <w:color w:val="000000"/>
        </w:rPr>
        <w:t xml:space="preserve"> </w:t>
      </w:r>
      <w:proofErr w:type="spellStart"/>
      <w:r w:rsidRPr="00C22903">
        <w:rPr>
          <w:rFonts w:ascii="Garamond" w:hAnsi="Garamond"/>
          <w:color w:val="000000"/>
        </w:rPr>
        <w:t>sh.p.k</w:t>
      </w:r>
      <w:proofErr w:type="spellEnd"/>
      <w:r w:rsidRPr="00C22903">
        <w:rPr>
          <w:rFonts w:ascii="Garamond" w:hAnsi="Garamond"/>
          <w:color w:val="000000"/>
        </w:rPr>
        <w:t xml:space="preserve">. t`i shlyejë atij shumën 426,776.5 euro; detyrimin e </w:t>
      </w:r>
      <w:proofErr w:type="spellStart"/>
      <w:r w:rsidRPr="00C22903">
        <w:rPr>
          <w:rFonts w:ascii="Garamond" w:hAnsi="Garamond"/>
          <w:color w:val="000000"/>
        </w:rPr>
        <w:t>ZRPP</w:t>
      </w:r>
      <w:proofErr w:type="spellEnd"/>
      <w:r w:rsidRPr="00C22903">
        <w:rPr>
          <w:rFonts w:ascii="Garamond" w:hAnsi="Garamond"/>
          <w:color w:val="000000"/>
        </w:rPr>
        <w:t xml:space="preserve">-së, Tiranë të bëjë çregjistrimin e këtyre pasurive në emër të shoqërisë </w:t>
      </w:r>
      <w:r w:rsidR="0047389F">
        <w:rPr>
          <w:rFonts w:ascii="Garamond" w:hAnsi="Garamond"/>
          <w:color w:val="000000"/>
        </w:rPr>
        <w:t>‘</w:t>
      </w:r>
      <w:proofErr w:type="spellStart"/>
      <w:r w:rsidRPr="00C22903">
        <w:rPr>
          <w:rFonts w:ascii="Garamond" w:hAnsi="Garamond"/>
          <w:color w:val="000000"/>
        </w:rPr>
        <w:t>DEA</w:t>
      </w:r>
      <w:proofErr w:type="spellEnd"/>
      <w:r w:rsidRPr="00C22903">
        <w:rPr>
          <w:rFonts w:ascii="Garamond" w:hAnsi="Garamond"/>
          <w:color w:val="000000"/>
        </w:rPr>
        <w:t>-Z</w:t>
      </w:r>
      <w:r w:rsidR="0047389F">
        <w:rPr>
          <w:rFonts w:ascii="Garamond" w:hAnsi="Garamond"/>
          <w:color w:val="000000"/>
        </w:rPr>
        <w:t>’</w:t>
      </w:r>
      <w:r w:rsidRPr="00C22903">
        <w:rPr>
          <w:rFonts w:ascii="Garamond" w:hAnsi="Garamond"/>
          <w:color w:val="000000"/>
        </w:rPr>
        <w:t xml:space="preserve"> </w:t>
      </w:r>
      <w:proofErr w:type="spellStart"/>
      <w:r w:rsidRPr="00C22903">
        <w:rPr>
          <w:rFonts w:ascii="Garamond" w:hAnsi="Garamond"/>
          <w:color w:val="000000"/>
        </w:rPr>
        <w:t>sh.p.k</w:t>
      </w:r>
      <w:proofErr w:type="spellEnd"/>
      <w:r w:rsidRPr="00C22903">
        <w:rPr>
          <w:rFonts w:ascii="Garamond" w:hAnsi="Garamond"/>
          <w:color w:val="000000"/>
        </w:rPr>
        <w:t xml:space="preserve">. dhe regjistrimin e tyre në emër të tij”. </w:t>
      </w:r>
    </w:p>
    <w:p w14:paraId="1022EC05" w14:textId="4F5F1F4D" w:rsidR="00032A2B" w:rsidRPr="00C22903" w:rsidRDefault="00032A2B" w:rsidP="00C22903">
      <w:pPr>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5. Gjykata e Rrethit Gjyqësor Tiranë, me vendimin nr. 2943, datë 10.4.2015, ka vendosur pranimin e pjesshëm të kërkesëpadisë, duke detyruar palët e paditura, shoqërinë “</w:t>
      </w:r>
      <w:proofErr w:type="spellStart"/>
      <w:r w:rsidRPr="00C22903">
        <w:rPr>
          <w:rFonts w:ascii="Garamond" w:hAnsi="Garamond"/>
          <w:color w:val="000000"/>
        </w:rPr>
        <w:t>DEA</w:t>
      </w:r>
      <w:proofErr w:type="spellEnd"/>
      <w:r w:rsidRPr="00C22903">
        <w:rPr>
          <w:rFonts w:ascii="Garamond" w:hAnsi="Garamond"/>
          <w:color w:val="000000"/>
        </w:rPr>
        <w:t xml:space="preserve">-Z” </w:t>
      </w:r>
      <w:proofErr w:type="spellStart"/>
      <w:r w:rsidRPr="00C22903">
        <w:rPr>
          <w:rFonts w:ascii="Garamond" w:hAnsi="Garamond"/>
          <w:color w:val="000000"/>
        </w:rPr>
        <w:t>sh.p.k</w:t>
      </w:r>
      <w:proofErr w:type="spellEnd"/>
      <w:r w:rsidRPr="00C22903">
        <w:rPr>
          <w:rFonts w:ascii="Garamond" w:hAnsi="Garamond"/>
          <w:color w:val="000000"/>
        </w:rPr>
        <w:t xml:space="preserve">. dhe shtetasin Zaim </w:t>
      </w:r>
      <w:proofErr w:type="spellStart"/>
      <w:r w:rsidRPr="00C22903">
        <w:rPr>
          <w:rFonts w:ascii="Garamond" w:hAnsi="Garamond"/>
          <w:color w:val="000000"/>
        </w:rPr>
        <w:t>Korsi</w:t>
      </w:r>
      <w:proofErr w:type="spellEnd"/>
      <w:r w:rsidRPr="00C22903">
        <w:rPr>
          <w:rFonts w:ascii="Garamond" w:hAnsi="Garamond"/>
          <w:color w:val="000000"/>
        </w:rPr>
        <w:t xml:space="preserve"> (ortaku i vetëm i shoqërisë), të njohin paditësin (subjektin e interesuar) pronar të pasurisë së paluajtshme, njësi me sipërfaqe 212 </w:t>
      </w:r>
      <w:r w:rsidR="0047389F">
        <w:rPr>
          <w:rFonts w:ascii="Garamond" w:hAnsi="Garamond"/>
          <w:color w:val="000000"/>
        </w:rPr>
        <w:t>m</w:t>
      </w:r>
      <w:r w:rsidR="0047389F" w:rsidRPr="00C22903">
        <w:rPr>
          <w:rFonts w:ascii="Garamond" w:hAnsi="Garamond"/>
          <w:color w:val="000000"/>
          <w:vertAlign w:val="superscript"/>
        </w:rPr>
        <w:t>2</w:t>
      </w:r>
      <w:r w:rsidRPr="00C22903">
        <w:rPr>
          <w:rFonts w:ascii="Garamond" w:hAnsi="Garamond"/>
          <w:color w:val="000000"/>
        </w:rPr>
        <w:t xml:space="preserve">, të regjistruar në </w:t>
      </w:r>
      <w:proofErr w:type="spellStart"/>
      <w:r w:rsidRPr="00C22903">
        <w:rPr>
          <w:rFonts w:ascii="Garamond" w:hAnsi="Garamond"/>
          <w:color w:val="000000"/>
        </w:rPr>
        <w:t>ZRPP</w:t>
      </w:r>
      <w:proofErr w:type="spellEnd"/>
      <w:r w:rsidRPr="00C22903">
        <w:rPr>
          <w:rFonts w:ascii="Garamond" w:hAnsi="Garamond"/>
          <w:color w:val="000000"/>
        </w:rPr>
        <w:t xml:space="preserve"> në emër të shoqërisë “</w:t>
      </w:r>
      <w:proofErr w:type="spellStart"/>
      <w:r w:rsidRPr="00C22903">
        <w:rPr>
          <w:rFonts w:ascii="Garamond" w:hAnsi="Garamond"/>
          <w:color w:val="000000"/>
        </w:rPr>
        <w:t>DEA</w:t>
      </w:r>
      <w:proofErr w:type="spellEnd"/>
      <w:r w:rsidRPr="00C22903">
        <w:rPr>
          <w:rFonts w:ascii="Garamond" w:hAnsi="Garamond"/>
          <w:color w:val="000000"/>
        </w:rPr>
        <w:t xml:space="preserve">-Z” </w:t>
      </w:r>
      <w:proofErr w:type="spellStart"/>
      <w:r w:rsidRPr="00C22903">
        <w:rPr>
          <w:rFonts w:ascii="Garamond" w:hAnsi="Garamond"/>
          <w:color w:val="000000"/>
        </w:rPr>
        <w:t>sh.p.k</w:t>
      </w:r>
      <w:proofErr w:type="spellEnd"/>
      <w:r w:rsidRPr="00C22903">
        <w:rPr>
          <w:rFonts w:ascii="Garamond" w:hAnsi="Garamond"/>
          <w:color w:val="000000"/>
        </w:rPr>
        <w:t xml:space="preserve">. Në lidhje me kërkimin për çregjistrimin nga </w:t>
      </w:r>
      <w:proofErr w:type="spellStart"/>
      <w:r w:rsidRPr="00C22903">
        <w:rPr>
          <w:rFonts w:ascii="Garamond" w:hAnsi="Garamond"/>
          <w:color w:val="000000"/>
        </w:rPr>
        <w:t>ZRPP</w:t>
      </w:r>
      <w:proofErr w:type="spellEnd"/>
      <w:r w:rsidRPr="00C22903">
        <w:rPr>
          <w:rFonts w:ascii="Garamond" w:hAnsi="Garamond"/>
          <w:color w:val="000000"/>
        </w:rPr>
        <w:t>-ja të pasurisë së paluajtshme të regjistruar në emër të palës së paditur (shoqërisë “</w:t>
      </w:r>
      <w:proofErr w:type="spellStart"/>
      <w:r w:rsidRPr="00C22903">
        <w:rPr>
          <w:rFonts w:ascii="Garamond" w:hAnsi="Garamond"/>
          <w:color w:val="000000"/>
        </w:rPr>
        <w:t>DEA</w:t>
      </w:r>
      <w:proofErr w:type="spellEnd"/>
      <w:r w:rsidRPr="00C22903">
        <w:rPr>
          <w:rFonts w:ascii="Garamond" w:hAnsi="Garamond"/>
          <w:color w:val="000000"/>
        </w:rPr>
        <w:t xml:space="preserve">-Z” </w:t>
      </w:r>
      <w:proofErr w:type="spellStart"/>
      <w:r w:rsidRPr="00C22903">
        <w:rPr>
          <w:rFonts w:ascii="Garamond" w:hAnsi="Garamond"/>
          <w:color w:val="000000"/>
        </w:rPr>
        <w:t>sh.p.k</w:t>
      </w:r>
      <w:proofErr w:type="spellEnd"/>
      <w:r w:rsidRPr="00C22903">
        <w:rPr>
          <w:rFonts w:ascii="Garamond" w:hAnsi="Garamond"/>
          <w:color w:val="000000"/>
        </w:rPr>
        <w:t xml:space="preserve">.) dhe regjistrimin e saj në emër të paditësit (subjektit të interesuar), gjykata ka vendosur pushimin e gjykimit të çështjes, ndërkohë që për pjesën tjetër të kërkesëpadisë ka vendosur rrëzimin. </w:t>
      </w:r>
    </w:p>
    <w:p w14:paraId="26C526E7" w14:textId="2275C920" w:rsidR="00032A2B" w:rsidRPr="00C22903" w:rsidRDefault="00032A2B" w:rsidP="00C22903">
      <w:pPr>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 xml:space="preserve">6. Sipas gjykatës së shkallës së parë, bazuar në </w:t>
      </w:r>
      <w:proofErr w:type="spellStart"/>
      <w:r w:rsidRPr="00C22903">
        <w:rPr>
          <w:rFonts w:ascii="Garamond" w:hAnsi="Garamond"/>
          <w:color w:val="000000"/>
        </w:rPr>
        <w:t>aktekspertimet</w:t>
      </w:r>
      <w:proofErr w:type="spellEnd"/>
      <w:r w:rsidRPr="00C22903">
        <w:rPr>
          <w:rFonts w:ascii="Garamond" w:hAnsi="Garamond"/>
          <w:color w:val="000000"/>
        </w:rPr>
        <w:t xml:space="preserve"> e administruara në gjykim, fitimet e nxjerra nga ndërtimi i pallatit duhet të ndaheshin midis palëve </w:t>
      </w:r>
      <w:proofErr w:type="spellStart"/>
      <w:r w:rsidRPr="00C22903">
        <w:rPr>
          <w:rFonts w:ascii="Garamond" w:hAnsi="Garamond"/>
          <w:color w:val="000000"/>
        </w:rPr>
        <w:t>ndërgjyqëse</w:t>
      </w:r>
      <w:proofErr w:type="spellEnd"/>
      <w:r w:rsidRPr="00C22903">
        <w:rPr>
          <w:rFonts w:ascii="Garamond" w:hAnsi="Garamond"/>
          <w:color w:val="000000"/>
        </w:rPr>
        <w:t xml:space="preserve"> në raport me masën e financimit të kryer nga secila prej tyre, raport ky në masën 19% paditësi (subjekti i interesuar) dhe 81% pala e paditur (shoqëria “</w:t>
      </w:r>
      <w:proofErr w:type="spellStart"/>
      <w:r w:rsidRPr="00C22903">
        <w:rPr>
          <w:rFonts w:ascii="Garamond" w:hAnsi="Garamond"/>
          <w:color w:val="000000"/>
        </w:rPr>
        <w:t>DEA</w:t>
      </w:r>
      <w:proofErr w:type="spellEnd"/>
      <w:r w:rsidRPr="00C22903">
        <w:rPr>
          <w:rFonts w:ascii="Garamond" w:hAnsi="Garamond"/>
          <w:color w:val="000000"/>
        </w:rPr>
        <w:t xml:space="preserve">-Z” </w:t>
      </w:r>
      <w:proofErr w:type="spellStart"/>
      <w:r w:rsidRPr="00C22903">
        <w:rPr>
          <w:rFonts w:ascii="Garamond" w:hAnsi="Garamond"/>
          <w:color w:val="000000"/>
        </w:rPr>
        <w:t>sh.p.k</w:t>
      </w:r>
      <w:proofErr w:type="spellEnd"/>
      <w:r w:rsidRPr="00C22903">
        <w:rPr>
          <w:rFonts w:ascii="Garamond" w:hAnsi="Garamond"/>
          <w:color w:val="000000"/>
        </w:rPr>
        <w:t>.). Po sipas gjykatës së shkallës së parë, duke pasur parasysh aktmarrëveshjet midis palëve, përfshirë kontratën e datës 13.11.2005, me të cilën</w:t>
      </w:r>
      <w:r w:rsidRPr="00C22903">
        <w:rPr>
          <w:rFonts w:ascii="Garamond" w:hAnsi="Garamond"/>
          <w:b/>
          <w:bCs/>
        </w:rPr>
        <w:t xml:space="preserve"> </w:t>
      </w:r>
      <w:r w:rsidRPr="00C22903">
        <w:rPr>
          <w:rFonts w:ascii="Garamond" w:hAnsi="Garamond"/>
        </w:rPr>
        <w:t xml:space="preserve">shoqëria </w:t>
      </w:r>
      <w:r w:rsidRPr="00C22903">
        <w:rPr>
          <w:rFonts w:ascii="Garamond" w:hAnsi="Garamond"/>
          <w:color w:val="000000"/>
        </w:rPr>
        <w:t>“</w:t>
      </w:r>
      <w:proofErr w:type="spellStart"/>
      <w:r w:rsidRPr="00C22903">
        <w:rPr>
          <w:rFonts w:ascii="Garamond" w:hAnsi="Garamond"/>
          <w:color w:val="000000"/>
        </w:rPr>
        <w:t>DEA</w:t>
      </w:r>
      <w:proofErr w:type="spellEnd"/>
      <w:r w:rsidRPr="00C22903">
        <w:rPr>
          <w:rFonts w:ascii="Garamond" w:hAnsi="Garamond"/>
          <w:color w:val="000000"/>
        </w:rPr>
        <w:t xml:space="preserve">-Z” </w:t>
      </w:r>
      <w:proofErr w:type="spellStart"/>
      <w:r w:rsidRPr="00C22903">
        <w:rPr>
          <w:rFonts w:ascii="Garamond" w:hAnsi="Garamond"/>
          <w:color w:val="000000"/>
        </w:rPr>
        <w:t>sh.p.k</w:t>
      </w:r>
      <w:proofErr w:type="spellEnd"/>
      <w:r w:rsidRPr="00C22903">
        <w:rPr>
          <w:rFonts w:ascii="Garamond" w:hAnsi="Garamond"/>
          <w:color w:val="000000"/>
        </w:rPr>
        <w:t xml:space="preserve">. vërteton se ka ndërtuar për llogari të shtetasit </w:t>
      </w:r>
      <w:proofErr w:type="spellStart"/>
      <w:r w:rsidRPr="00C22903">
        <w:rPr>
          <w:rFonts w:ascii="Garamond" w:hAnsi="Garamond"/>
          <w:color w:val="000000"/>
        </w:rPr>
        <w:t>Viktor</w:t>
      </w:r>
      <w:proofErr w:type="spellEnd"/>
      <w:r w:rsidRPr="00C22903">
        <w:rPr>
          <w:rFonts w:ascii="Garamond" w:hAnsi="Garamond"/>
          <w:color w:val="000000"/>
        </w:rPr>
        <w:t xml:space="preserve"> </w:t>
      </w:r>
      <w:proofErr w:type="spellStart"/>
      <w:r w:rsidRPr="00C22903">
        <w:rPr>
          <w:rFonts w:ascii="Garamond" w:hAnsi="Garamond"/>
          <w:color w:val="000000"/>
        </w:rPr>
        <w:t>Ndoci</w:t>
      </w:r>
      <w:proofErr w:type="spellEnd"/>
      <w:r w:rsidRPr="00C22903">
        <w:rPr>
          <w:rFonts w:ascii="Garamond" w:hAnsi="Garamond"/>
          <w:color w:val="000000"/>
        </w:rPr>
        <w:t xml:space="preserve"> një dyqan në katin përdhe të pallatit me sipërfaqe ndërtimi 212 </w:t>
      </w:r>
      <w:r w:rsidR="0047389F">
        <w:rPr>
          <w:rFonts w:ascii="Garamond" w:hAnsi="Garamond"/>
          <w:color w:val="000000"/>
        </w:rPr>
        <w:t>m</w:t>
      </w:r>
      <w:r w:rsidR="0047389F" w:rsidRPr="00C22903">
        <w:rPr>
          <w:rFonts w:ascii="Garamond" w:hAnsi="Garamond"/>
          <w:color w:val="000000"/>
          <w:vertAlign w:val="superscript"/>
        </w:rPr>
        <w:t>2</w:t>
      </w:r>
      <w:r w:rsidRPr="00C22903">
        <w:rPr>
          <w:rFonts w:ascii="Garamond" w:hAnsi="Garamond"/>
          <w:color w:val="000000"/>
        </w:rPr>
        <w:t xml:space="preserve"> (</w:t>
      </w:r>
      <w:r w:rsidRPr="00C22903">
        <w:rPr>
          <w:rFonts w:ascii="Garamond" w:hAnsi="Garamond"/>
          <w:i/>
          <w:iCs/>
        </w:rPr>
        <w:t xml:space="preserve">të reduktuar </w:t>
      </w:r>
      <w:r w:rsidRPr="006E3282">
        <w:rPr>
          <w:rFonts w:ascii="Garamond" w:hAnsi="Garamond"/>
          <w:i/>
          <w:iCs/>
        </w:rPr>
        <w:t xml:space="preserve">nga 232 </w:t>
      </w:r>
      <w:r w:rsidR="0047389F" w:rsidRPr="006E3282">
        <w:rPr>
          <w:rFonts w:ascii="Garamond" w:hAnsi="Garamond"/>
          <w:i/>
          <w:color w:val="000000"/>
        </w:rPr>
        <w:t>m</w:t>
      </w:r>
      <w:r w:rsidR="0047389F" w:rsidRPr="006E3282">
        <w:rPr>
          <w:rFonts w:ascii="Garamond" w:hAnsi="Garamond"/>
          <w:i/>
          <w:color w:val="000000"/>
          <w:vertAlign w:val="superscript"/>
        </w:rPr>
        <w:t>2</w:t>
      </w:r>
      <w:r w:rsidRPr="006E3282">
        <w:rPr>
          <w:rFonts w:ascii="Garamond" w:hAnsi="Garamond"/>
          <w:i/>
          <w:iCs/>
          <w:color w:val="000000"/>
        </w:rPr>
        <w:t xml:space="preserve"> në 212 </w:t>
      </w:r>
      <w:r w:rsidR="0047389F" w:rsidRPr="006E3282">
        <w:rPr>
          <w:rFonts w:ascii="Garamond" w:hAnsi="Garamond"/>
          <w:i/>
          <w:color w:val="000000"/>
        </w:rPr>
        <w:t>m</w:t>
      </w:r>
      <w:r w:rsidR="0047389F" w:rsidRPr="006E3282">
        <w:rPr>
          <w:rFonts w:ascii="Garamond" w:hAnsi="Garamond"/>
          <w:i/>
          <w:color w:val="000000"/>
          <w:vertAlign w:val="superscript"/>
        </w:rPr>
        <w:t>2</w:t>
      </w:r>
      <w:r w:rsidR="0047389F" w:rsidRPr="006E3282">
        <w:rPr>
          <w:rFonts w:ascii="Garamond" w:hAnsi="Garamond"/>
          <w:i/>
          <w:color w:val="000000"/>
        </w:rPr>
        <w:t>)</w:t>
      </w:r>
      <w:r w:rsidRPr="00C22903">
        <w:rPr>
          <w:rFonts w:ascii="Garamond" w:hAnsi="Garamond"/>
          <w:i/>
          <w:iCs/>
        </w:rPr>
        <w:t xml:space="preserve"> </w:t>
      </w:r>
      <w:r w:rsidRPr="00C22903">
        <w:rPr>
          <w:rFonts w:ascii="Garamond" w:hAnsi="Garamond"/>
        </w:rPr>
        <w:t>me vlerën</w:t>
      </w:r>
      <w:r w:rsidRPr="00C22903">
        <w:rPr>
          <w:rFonts w:ascii="Garamond" w:hAnsi="Garamond"/>
          <w:b/>
          <w:bCs/>
        </w:rPr>
        <w:t xml:space="preserve"> </w:t>
      </w:r>
      <w:r w:rsidRPr="00C22903">
        <w:rPr>
          <w:rFonts w:ascii="Garamond" w:hAnsi="Garamond"/>
        </w:rPr>
        <w:t xml:space="preserve">450.000 euro, duke pasur parasysh edhe se për një pjesë punimesh gjatë ndërtimit të pallatit është angazhuar edhe shoqëria në pronësi të shtetasit </w:t>
      </w:r>
      <w:proofErr w:type="spellStart"/>
      <w:r w:rsidRPr="00C22903">
        <w:rPr>
          <w:rFonts w:ascii="Garamond" w:hAnsi="Garamond"/>
        </w:rPr>
        <w:t>Viktor</w:t>
      </w:r>
      <w:proofErr w:type="spellEnd"/>
      <w:r w:rsidRPr="00C22903">
        <w:rPr>
          <w:rFonts w:ascii="Garamond" w:hAnsi="Garamond"/>
        </w:rPr>
        <w:t xml:space="preserve"> </w:t>
      </w:r>
      <w:proofErr w:type="spellStart"/>
      <w:r w:rsidRPr="00C22903">
        <w:rPr>
          <w:rFonts w:ascii="Garamond" w:hAnsi="Garamond"/>
        </w:rPr>
        <w:t>Ndoci</w:t>
      </w:r>
      <w:proofErr w:type="spellEnd"/>
      <w:r w:rsidRPr="00C22903">
        <w:rPr>
          <w:rFonts w:ascii="Garamond" w:hAnsi="Garamond"/>
        </w:rPr>
        <w:t xml:space="preserve">, si dhe faktin se një pjesë e të ardhurave nga shitja e ambienteve nuk janë arkëtuar akoma (375.000 euro), të cilat do të realizohen dhe përfitohen nga pala e paditur, paditësit duhet t’i njihet vetëm pronësia mbi dyqanin në katin përdhe të pallatit me sipërfaqe ndërtimi 212 </w:t>
      </w:r>
      <w:r w:rsidR="006E3282">
        <w:rPr>
          <w:rFonts w:ascii="Garamond" w:hAnsi="Garamond"/>
          <w:color w:val="000000"/>
        </w:rPr>
        <w:t>m</w:t>
      </w:r>
      <w:r w:rsidR="006E3282" w:rsidRPr="00C22903">
        <w:rPr>
          <w:rFonts w:ascii="Garamond" w:hAnsi="Garamond"/>
          <w:color w:val="000000"/>
          <w:vertAlign w:val="superscript"/>
        </w:rPr>
        <w:t>2</w:t>
      </w:r>
      <w:r w:rsidRPr="00C22903">
        <w:rPr>
          <w:rFonts w:ascii="Garamond" w:hAnsi="Garamond"/>
          <w:color w:val="000000"/>
        </w:rPr>
        <w:t>. Kundër vendimit të gjykatës së shkallës së parë kanë paraqitur ankim shoqëria “</w:t>
      </w:r>
      <w:proofErr w:type="spellStart"/>
      <w:r w:rsidRPr="00C22903">
        <w:rPr>
          <w:rFonts w:ascii="Garamond" w:hAnsi="Garamond"/>
          <w:color w:val="000000"/>
        </w:rPr>
        <w:t>DEA</w:t>
      </w:r>
      <w:proofErr w:type="spellEnd"/>
      <w:r w:rsidRPr="00C22903">
        <w:rPr>
          <w:rFonts w:ascii="Garamond" w:hAnsi="Garamond"/>
          <w:color w:val="000000"/>
        </w:rPr>
        <w:t xml:space="preserve">-Z” </w:t>
      </w:r>
      <w:proofErr w:type="spellStart"/>
      <w:r w:rsidRPr="00C22903">
        <w:rPr>
          <w:rFonts w:ascii="Garamond" w:hAnsi="Garamond"/>
          <w:color w:val="000000"/>
        </w:rPr>
        <w:t>sh.p.k</w:t>
      </w:r>
      <w:proofErr w:type="spellEnd"/>
      <w:r w:rsidRPr="00C22903">
        <w:rPr>
          <w:rFonts w:ascii="Garamond" w:hAnsi="Garamond"/>
          <w:color w:val="000000"/>
        </w:rPr>
        <w:t xml:space="preserve">. dhe subjekti i interesuar </w:t>
      </w:r>
      <w:proofErr w:type="spellStart"/>
      <w:r w:rsidRPr="00C22903">
        <w:rPr>
          <w:rFonts w:ascii="Garamond" w:hAnsi="Garamond"/>
          <w:color w:val="000000"/>
        </w:rPr>
        <w:t>Viktor</w:t>
      </w:r>
      <w:proofErr w:type="spellEnd"/>
      <w:r w:rsidRPr="00C22903">
        <w:rPr>
          <w:rFonts w:ascii="Garamond" w:hAnsi="Garamond"/>
          <w:color w:val="000000"/>
        </w:rPr>
        <w:t xml:space="preserve"> </w:t>
      </w:r>
      <w:proofErr w:type="spellStart"/>
      <w:r w:rsidRPr="00C22903">
        <w:rPr>
          <w:rFonts w:ascii="Garamond" w:hAnsi="Garamond"/>
          <w:color w:val="000000"/>
        </w:rPr>
        <w:t>Ndoci</w:t>
      </w:r>
      <w:proofErr w:type="spellEnd"/>
      <w:r w:rsidRPr="00C22903">
        <w:rPr>
          <w:rFonts w:ascii="Garamond" w:hAnsi="Garamond"/>
          <w:color w:val="000000"/>
        </w:rPr>
        <w:t xml:space="preserve">. </w:t>
      </w:r>
    </w:p>
    <w:p w14:paraId="74723066" w14:textId="3AEAEB72" w:rsidR="00032A2B" w:rsidRPr="00C22903" w:rsidRDefault="00032A2B" w:rsidP="006E3282">
      <w:pPr>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lastRenderedPageBreak/>
        <w:t>7. Gjykata e Apelit Tiranë,</w:t>
      </w:r>
      <w:r w:rsidRPr="00C22903">
        <w:rPr>
          <w:rFonts w:ascii="Garamond" w:hAnsi="Garamond"/>
          <w:b/>
          <w:bCs/>
          <w:color w:val="000000"/>
        </w:rPr>
        <w:t xml:space="preserve"> </w:t>
      </w:r>
      <w:r w:rsidRPr="00C22903">
        <w:rPr>
          <w:rFonts w:ascii="Garamond" w:hAnsi="Garamond"/>
          <w:color w:val="000000"/>
        </w:rPr>
        <w:t>me vendimin nr. 665, datë 29.3.2016,</w:t>
      </w:r>
      <w:r w:rsidRPr="00C22903">
        <w:rPr>
          <w:rFonts w:ascii="Garamond" w:hAnsi="Garamond"/>
          <w:b/>
          <w:bCs/>
          <w:color w:val="000000"/>
        </w:rPr>
        <w:t xml:space="preserve"> </w:t>
      </w:r>
      <w:r w:rsidRPr="00C22903">
        <w:rPr>
          <w:rFonts w:ascii="Garamond" w:hAnsi="Garamond"/>
          <w:color w:val="000000"/>
        </w:rPr>
        <w:t>ka vendosur lënien në fuqi të vendimit nr. 2943, datë 10.4.2015</w:t>
      </w:r>
      <w:r w:rsidR="006E3282">
        <w:rPr>
          <w:rFonts w:ascii="Garamond" w:hAnsi="Garamond"/>
          <w:color w:val="000000"/>
        </w:rPr>
        <w:t>,</w:t>
      </w:r>
      <w:r w:rsidRPr="00C22903">
        <w:rPr>
          <w:rFonts w:ascii="Garamond" w:hAnsi="Garamond"/>
          <w:color w:val="000000"/>
        </w:rPr>
        <w:t xml:space="preserve"> të Gjykatës së Rrethit Gjyqësor Tiranë me këtë ndryshim: “Detyrimin e shoqërisë “</w:t>
      </w:r>
      <w:proofErr w:type="spellStart"/>
      <w:r w:rsidRPr="00C22903">
        <w:rPr>
          <w:rFonts w:ascii="Garamond" w:hAnsi="Garamond"/>
          <w:color w:val="000000"/>
        </w:rPr>
        <w:t>DEA</w:t>
      </w:r>
      <w:proofErr w:type="spellEnd"/>
      <w:r w:rsidRPr="00C22903">
        <w:rPr>
          <w:rFonts w:ascii="Garamond" w:hAnsi="Garamond"/>
          <w:color w:val="000000"/>
        </w:rPr>
        <w:t xml:space="preserve">-Z” </w:t>
      </w:r>
      <w:proofErr w:type="spellStart"/>
      <w:r w:rsidRPr="00C22903">
        <w:rPr>
          <w:rFonts w:ascii="Garamond" w:hAnsi="Garamond"/>
          <w:color w:val="000000"/>
        </w:rPr>
        <w:t>sh.p.k</w:t>
      </w:r>
      <w:proofErr w:type="spellEnd"/>
      <w:r w:rsidRPr="00C22903">
        <w:rPr>
          <w:rFonts w:ascii="Garamond" w:hAnsi="Garamond"/>
          <w:color w:val="000000"/>
        </w:rPr>
        <w:t xml:space="preserve">. për të njohur pronar shtetasin </w:t>
      </w:r>
      <w:proofErr w:type="spellStart"/>
      <w:r w:rsidRPr="00C22903">
        <w:rPr>
          <w:rFonts w:ascii="Garamond" w:hAnsi="Garamond"/>
          <w:color w:val="000000"/>
        </w:rPr>
        <w:t>Viktor</w:t>
      </w:r>
      <w:proofErr w:type="spellEnd"/>
      <w:r w:rsidRPr="00C22903">
        <w:rPr>
          <w:rFonts w:ascii="Garamond" w:hAnsi="Garamond"/>
          <w:color w:val="000000"/>
        </w:rPr>
        <w:t xml:space="preserve"> </w:t>
      </w:r>
      <w:proofErr w:type="spellStart"/>
      <w:r w:rsidRPr="00C22903">
        <w:rPr>
          <w:rFonts w:ascii="Garamond" w:hAnsi="Garamond"/>
          <w:color w:val="000000"/>
        </w:rPr>
        <w:t>Ndoci</w:t>
      </w:r>
      <w:proofErr w:type="spellEnd"/>
      <w:r w:rsidRPr="00C22903">
        <w:rPr>
          <w:rFonts w:ascii="Garamond" w:hAnsi="Garamond"/>
          <w:color w:val="000000"/>
        </w:rPr>
        <w:t xml:space="preserve"> për pronën njësi me sipërfaqe 73 </w:t>
      </w:r>
      <w:r w:rsidR="006E3282">
        <w:rPr>
          <w:rFonts w:ascii="Garamond" w:hAnsi="Garamond"/>
          <w:color w:val="000000"/>
        </w:rPr>
        <w:t>m</w:t>
      </w:r>
      <w:r w:rsidR="006E3282" w:rsidRPr="00C22903">
        <w:rPr>
          <w:rFonts w:ascii="Garamond" w:hAnsi="Garamond"/>
          <w:color w:val="000000"/>
          <w:vertAlign w:val="superscript"/>
        </w:rPr>
        <w:t>2</w:t>
      </w:r>
      <w:r w:rsidRPr="00C22903">
        <w:rPr>
          <w:rFonts w:ascii="Garamond" w:hAnsi="Garamond"/>
          <w:color w:val="202122"/>
          <w:position w:val="7"/>
        </w:rPr>
        <w:t xml:space="preserve"> </w:t>
      </w:r>
      <w:r w:rsidRPr="00C22903">
        <w:rPr>
          <w:rFonts w:ascii="Garamond" w:hAnsi="Garamond"/>
          <w:color w:val="000000"/>
        </w:rPr>
        <w:t xml:space="preserve">dhe katër </w:t>
      </w:r>
      <w:proofErr w:type="spellStart"/>
      <w:r w:rsidRPr="00C22903">
        <w:rPr>
          <w:rFonts w:ascii="Garamond" w:hAnsi="Garamond"/>
          <w:color w:val="000000"/>
        </w:rPr>
        <w:t>vendparkimet</w:t>
      </w:r>
      <w:proofErr w:type="spellEnd"/>
      <w:r w:rsidRPr="00C22903">
        <w:rPr>
          <w:rFonts w:ascii="Garamond" w:hAnsi="Garamond"/>
          <w:color w:val="000000"/>
        </w:rPr>
        <w:t xml:space="preserve"> e regjistruara në </w:t>
      </w:r>
      <w:proofErr w:type="spellStart"/>
      <w:r w:rsidRPr="00C22903">
        <w:rPr>
          <w:rFonts w:ascii="Garamond" w:hAnsi="Garamond"/>
          <w:color w:val="000000"/>
        </w:rPr>
        <w:t>ZRPP</w:t>
      </w:r>
      <w:proofErr w:type="spellEnd"/>
      <w:r w:rsidRPr="00C22903">
        <w:rPr>
          <w:rFonts w:ascii="Garamond" w:hAnsi="Garamond"/>
          <w:color w:val="000000"/>
        </w:rPr>
        <w:t xml:space="preserve"> në pronësi të shoqërisë “</w:t>
      </w:r>
      <w:proofErr w:type="spellStart"/>
      <w:r w:rsidRPr="00C22903">
        <w:rPr>
          <w:rFonts w:ascii="Garamond" w:hAnsi="Garamond"/>
          <w:color w:val="000000"/>
        </w:rPr>
        <w:t>DEA</w:t>
      </w:r>
      <w:proofErr w:type="spellEnd"/>
      <w:r w:rsidRPr="00C22903">
        <w:rPr>
          <w:rFonts w:ascii="Garamond" w:hAnsi="Garamond"/>
          <w:color w:val="000000"/>
        </w:rPr>
        <w:t xml:space="preserve">-Z” </w:t>
      </w:r>
      <w:proofErr w:type="spellStart"/>
      <w:r w:rsidRPr="00C22903">
        <w:rPr>
          <w:rFonts w:ascii="Garamond" w:hAnsi="Garamond"/>
          <w:color w:val="000000"/>
        </w:rPr>
        <w:t>sh.p.k</w:t>
      </w:r>
      <w:proofErr w:type="spellEnd"/>
      <w:r w:rsidRPr="00C22903">
        <w:rPr>
          <w:rFonts w:ascii="Garamond" w:hAnsi="Garamond"/>
          <w:color w:val="000000"/>
        </w:rPr>
        <w:t xml:space="preserve">., si edhe shlyerjen e shumës prej 304,610 eurosh dhe lëshimin e urdhrit të ekzekutimit të vendimit”. </w:t>
      </w:r>
    </w:p>
    <w:p w14:paraId="5BB7BA01" w14:textId="19ADFC0C" w:rsidR="00032A2B" w:rsidRPr="00C22903" w:rsidRDefault="00032A2B" w:rsidP="006E3282">
      <w:pPr>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8. Gjykata e apelit në vendimin e saj ka arsyetuar se gjykata e shkallës së parë nuk është bazuar në konkluzionet e grupit të ekspertëve, në të cilat është dhënë mendim ndryshe nga çfarë ka pranuar në vendim gjykata e shkallës së parë. Sipas gjykatës së apelit, në lidhje me</w:t>
      </w:r>
      <w:r w:rsidR="0082608D">
        <w:rPr>
          <w:rFonts w:ascii="Garamond" w:hAnsi="Garamond"/>
          <w:color w:val="000000"/>
        </w:rPr>
        <w:t xml:space="preserve"> </w:t>
      </w:r>
      <w:r w:rsidRPr="00C22903">
        <w:rPr>
          <w:rFonts w:ascii="Garamond" w:hAnsi="Garamond"/>
          <w:color w:val="000000"/>
        </w:rPr>
        <w:t>fitimin që duhet të marrë secila palë, ajo niset nga përcaktimet që vetë palët</w:t>
      </w:r>
      <w:r w:rsidR="0082608D">
        <w:rPr>
          <w:rFonts w:ascii="Garamond" w:hAnsi="Garamond"/>
          <w:color w:val="000000"/>
        </w:rPr>
        <w:t xml:space="preserve"> </w:t>
      </w:r>
      <w:r w:rsidRPr="00C22903">
        <w:rPr>
          <w:rFonts w:ascii="Garamond" w:hAnsi="Garamond"/>
          <w:color w:val="000000"/>
        </w:rPr>
        <w:t>kanë bërë në aktmarrëveshjen e datës 24.1.2004, të lidhur mes tyre, e cila në nenin 10 të saj parashikon se “financimi i punimeve të objektit</w:t>
      </w:r>
      <w:r w:rsidR="0082608D">
        <w:rPr>
          <w:rFonts w:ascii="Garamond" w:hAnsi="Garamond"/>
          <w:color w:val="000000"/>
        </w:rPr>
        <w:t xml:space="preserve"> </w:t>
      </w:r>
      <w:r w:rsidRPr="00C22903">
        <w:rPr>
          <w:rFonts w:ascii="Garamond" w:hAnsi="Garamond"/>
          <w:color w:val="000000"/>
        </w:rPr>
        <w:t>nga data 1.1.2004 e në vazhdim, për pjesën që mbetet pa u mbuluar nga shitjet, do të financohet nga investitori </w:t>
      </w:r>
      <w:proofErr w:type="spellStart"/>
      <w:r w:rsidRPr="00C22903">
        <w:rPr>
          <w:rFonts w:ascii="Garamond" w:hAnsi="Garamond"/>
          <w:color w:val="000000"/>
        </w:rPr>
        <w:t>Viktor</w:t>
      </w:r>
      <w:proofErr w:type="spellEnd"/>
      <w:r w:rsidRPr="00C22903">
        <w:rPr>
          <w:rFonts w:ascii="Garamond" w:hAnsi="Garamond"/>
          <w:color w:val="000000"/>
        </w:rPr>
        <w:t xml:space="preserve"> </w:t>
      </w:r>
      <w:proofErr w:type="spellStart"/>
      <w:r w:rsidRPr="00C22903">
        <w:rPr>
          <w:rFonts w:ascii="Garamond" w:hAnsi="Garamond"/>
          <w:color w:val="000000"/>
        </w:rPr>
        <w:t>Ndoci</w:t>
      </w:r>
      <w:proofErr w:type="spellEnd"/>
      <w:r w:rsidRPr="00C22903">
        <w:rPr>
          <w:rFonts w:ascii="Garamond" w:hAnsi="Garamond"/>
          <w:color w:val="000000"/>
        </w:rPr>
        <w:t xml:space="preserve"> sipas </w:t>
      </w:r>
      <w:proofErr w:type="spellStart"/>
      <w:r w:rsidRPr="00C22903">
        <w:rPr>
          <w:rFonts w:ascii="Garamond" w:hAnsi="Garamond"/>
          <w:color w:val="000000"/>
        </w:rPr>
        <w:t>situacioneve</w:t>
      </w:r>
      <w:proofErr w:type="spellEnd"/>
      <w:r w:rsidRPr="00C22903">
        <w:rPr>
          <w:rFonts w:ascii="Garamond" w:hAnsi="Garamond"/>
          <w:color w:val="000000"/>
        </w:rPr>
        <w:t>”.</w:t>
      </w:r>
      <w:r w:rsidRPr="00C22903">
        <w:rPr>
          <w:rFonts w:ascii="Garamond" w:hAnsi="Garamond"/>
          <w:i/>
          <w:iCs/>
          <w:color w:val="000000"/>
        </w:rPr>
        <w:t xml:space="preserve"> </w:t>
      </w:r>
      <w:r w:rsidRPr="00C22903">
        <w:rPr>
          <w:rFonts w:ascii="Garamond" w:hAnsi="Garamond"/>
          <w:color w:val="000000"/>
        </w:rPr>
        <w:t>Kundër këtij vendimi ka paraqitur rekurs shoqëria “</w:t>
      </w:r>
      <w:proofErr w:type="spellStart"/>
      <w:r w:rsidRPr="00C22903">
        <w:rPr>
          <w:rFonts w:ascii="Garamond" w:hAnsi="Garamond"/>
          <w:color w:val="000000"/>
        </w:rPr>
        <w:t>DEA</w:t>
      </w:r>
      <w:proofErr w:type="spellEnd"/>
      <w:r w:rsidRPr="00C22903">
        <w:rPr>
          <w:rFonts w:ascii="Garamond" w:hAnsi="Garamond"/>
          <w:color w:val="000000"/>
        </w:rPr>
        <w:t xml:space="preserve">-Z” </w:t>
      </w:r>
      <w:proofErr w:type="spellStart"/>
      <w:r w:rsidRPr="00C22903">
        <w:rPr>
          <w:rFonts w:ascii="Garamond" w:hAnsi="Garamond"/>
          <w:color w:val="000000"/>
        </w:rPr>
        <w:t>sh.p.k</w:t>
      </w:r>
      <w:proofErr w:type="spellEnd"/>
      <w:r w:rsidRPr="00C22903">
        <w:rPr>
          <w:rFonts w:ascii="Garamond" w:hAnsi="Garamond"/>
          <w:color w:val="000000"/>
        </w:rPr>
        <w:t xml:space="preserve">., e përfaqësuar kërkuesi Zaim </w:t>
      </w:r>
      <w:proofErr w:type="spellStart"/>
      <w:r w:rsidRPr="00C22903">
        <w:rPr>
          <w:rFonts w:ascii="Garamond" w:hAnsi="Garamond"/>
          <w:color w:val="000000"/>
        </w:rPr>
        <w:t>Korsi</w:t>
      </w:r>
      <w:proofErr w:type="spellEnd"/>
      <w:r w:rsidRPr="00C22903">
        <w:rPr>
          <w:rFonts w:ascii="Garamond" w:hAnsi="Garamond"/>
          <w:color w:val="000000"/>
        </w:rPr>
        <w:t>, në cilësinë e administratorit të saj, duke kërkuar prishjen e dy vendimeve të gjykatave më të ulëta dhe dërgimin e çështjes për rishqyrtim në gjykatën e shkallës së parë, me tjetër trup gjykues.</w:t>
      </w:r>
    </w:p>
    <w:p w14:paraId="3267A96E" w14:textId="7E52F7FD" w:rsidR="00032A2B" w:rsidRPr="00C22903" w:rsidRDefault="00032A2B" w:rsidP="006E3282">
      <w:pPr>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9. Fillimisht, Kolegji Civil i Gjykatës së Lartë, me vendimin nr. 283, datë 17.6.2016, ka vendosur pezullimin e ekzekutimit të vendimit nr. 665, datë 29.3.2016</w:t>
      </w:r>
      <w:r w:rsidR="006E3282">
        <w:rPr>
          <w:rFonts w:ascii="Garamond" w:hAnsi="Garamond"/>
          <w:color w:val="000000"/>
        </w:rPr>
        <w:t>,</w:t>
      </w:r>
      <w:r w:rsidRPr="00C22903">
        <w:rPr>
          <w:rFonts w:ascii="Garamond" w:hAnsi="Garamond"/>
          <w:color w:val="000000"/>
        </w:rPr>
        <w:t xml:space="preserve"> të Gjykatës së Apelit Tiranë deri në përfundimin e shqyrtimit të kësaj çështjeje nga Gjykata e Lartë. Po ashtu, Kolegji Civil i Gjykatës së Lartë, me vendimin nr. 283/1, datë 11.12.2018, ka vendosur rrëzimin e kërkesës së shtetasit </w:t>
      </w:r>
      <w:proofErr w:type="spellStart"/>
      <w:r w:rsidRPr="00C22903">
        <w:rPr>
          <w:rFonts w:ascii="Garamond" w:hAnsi="Garamond"/>
          <w:color w:val="000000"/>
        </w:rPr>
        <w:t>Viktor</w:t>
      </w:r>
      <w:proofErr w:type="spellEnd"/>
      <w:r w:rsidRPr="00C22903">
        <w:rPr>
          <w:rFonts w:ascii="Garamond" w:hAnsi="Garamond"/>
          <w:color w:val="000000"/>
        </w:rPr>
        <w:t xml:space="preserve"> </w:t>
      </w:r>
      <w:proofErr w:type="spellStart"/>
      <w:r w:rsidRPr="00C22903">
        <w:rPr>
          <w:rFonts w:ascii="Garamond" w:hAnsi="Garamond"/>
          <w:color w:val="000000"/>
        </w:rPr>
        <w:t>Ndoci</w:t>
      </w:r>
      <w:proofErr w:type="spellEnd"/>
      <w:r w:rsidRPr="00C22903">
        <w:rPr>
          <w:rFonts w:ascii="Garamond" w:hAnsi="Garamond"/>
          <w:color w:val="000000"/>
        </w:rPr>
        <w:t xml:space="preserve"> për revokimin e pezullimit. Ndërsa, për sa i përket shqyrtimit të rekursit, Kolegji Civil i Gjykatës së Lartë, me vendimin nr. 00-2023-4272, datë 25.10.2023, ka vendosur mospranimin e tij, për shkak se nuk përmbante asnjë prej rasteve të parashikuara në nenin 472 të Kodit të Procedurës Civile (</w:t>
      </w:r>
      <w:proofErr w:type="spellStart"/>
      <w:r w:rsidRPr="00C22903">
        <w:rPr>
          <w:rFonts w:ascii="Garamond" w:hAnsi="Garamond"/>
          <w:i/>
          <w:iCs/>
          <w:color w:val="000000"/>
        </w:rPr>
        <w:t>KPC</w:t>
      </w:r>
      <w:proofErr w:type="spellEnd"/>
      <w:r w:rsidRPr="00C22903">
        <w:rPr>
          <w:rFonts w:ascii="Garamond" w:hAnsi="Garamond"/>
          <w:color w:val="000000"/>
        </w:rPr>
        <w:t xml:space="preserve">). </w:t>
      </w:r>
    </w:p>
    <w:p w14:paraId="4DDBBE79" w14:textId="356C5476" w:rsidR="00032A2B" w:rsidRPr="00C22903" w:rsidRDefault="00032A2B" w:rsidP="006E3282">
      <w:pPr>
        <w:tabs>
          <w:tab w:val="left" w:pos="720"/>
          <w:tab w:val="left" w:pos="980"/>
          <w:tab w:val="left" w:pos="108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10. Në datën 30.4.2024</w:t>
      </w:r>
      <w:r w:rsidR="006E3282">
        <w:rPr>
          <w:rFonts w:ascii="Garamond" w:hAnsi="Garamond"/>
          <w:color w:val="000000"/>
        </w:rPr>
        <w:t>,</w:t>
      </w:r>
      <w:r w:rsidRPr="00C22903">
        <w:rPr>
          <w:rFonts w:ascii="Garamond" w:hAnsi="Garamond"/>
          <w:color w:val="000000"/>
        </w:rPr>
        <w:t xml:space="preserve"> shoqëria “</w:t>
      </w:r>
      <w:proofErr w:type="spellStart"/>
      <w:r w:rsidRPr="00C22903">
        <w:rPr>
          <w:rFonts w:ascii="Garamond" w:hAnsi="Garamond"/>
          <w:color w:val="000000"/>
        </w:rPr>
        <w:t>DEA</w:t>
      </w:r>
      <w:proofErr w:type="spellEnd"/>
      <w:r w:rsidRPr="00C22903">
        <w:rPr>
          <w:rFonts w:ascii="Garamond" w:hAnsi="Garamond"/>
          <w:color w:val="000000"/>
        </w:rPr>
        <w:t xml:space="preserve">-Z” </w:t>
      </w:r>
      <w:proofErr w:type="spellStart"/>
      <w:r w:rsidRPr="00C22903">
        <w:rPr>
          <w:rFonts w:ascii="Garamond" w:hAnsi="Garamond"/>
          <w:color w:val="000000"/>
        </w:rPr>
        <w:t>sh.p.k</w:t>
      </w:r>
      <w:proofErr w:type="spellEnd"/>
      <w:r w:rsidRPr="00C22903">
        <w:rPr>
          <w:rFonts w:ascii="Garamond" w:hAnsi="Garamond"/>
          <w:color w:val="000000"/>
        </w:rPr>
        <w:t xml:space="preserve">., e përfaqësuar nga shtetasi Zaim </w:t>
      </w:r>
      <w:proofErr w:type="spellStart"/>
      <w:r w:rsidRPr="00C22903">
        <w:rPr>
          <w:rFonts w:ascii="Garamond" w:hAnsi="Garamond"/>
          <w:color w:val="000000"/>
        </w:rPr>
        <w:t>Korsi</w:t>
      </w:r>
      <w:proofErr w:type="spellEnd"/>
      <w:r w:rsidRPr="00C22903">
        <w:rPr>
          <w:rFonts w:ascii="Garamond" w:hAnsi="Garamond"/>
          <w:color w:val="000000"/>
        </w:rPr>
        <w:t>, i është drejtuar Gjykatës Kushtetuese (</w:t>
      </w:r>
      <w:r w:rsidRPr="00C22903">
        <w:rPr>
          <w:rFonts w:ascii="Garamond" w:hAnsi="Garamond"/>
          <w:i/>
          <w:iCs/>
          <w:color w:val="000000"/>
        </w:rPr>
        <w:t>Gjykata</w:t>
      </w:r>
      <w:r w:rsidRPr="00C22903">
        <w:rPr>
          <w:rFonts w:ascii="Garamond" w:hAnsi="Garamond"/>
          <w:color w:val="000000"/>
        </w:rPr>
        <w:t>) me ankim kushtetues individual, sipas objektit të tij, i cili, pasi është plotësuar sipas kërkesave të ligjit nr. 8577/2000, është regjistruar në datën 13.5.2024. Kolegji i Gjykatës në datën 11.7.2024</w:t>
      </w:r>
      <w:r w:rsidR="006E3282">
        <w:rPr>
          <w:rFonts w:ascii="Garamond" w:hAnsi="Garamond"/>
          <w:color w:val="000000"/>
        </w:rPr>
        <w:t>,</w:t>
      </w:r>
      <w:r w:rsidRPr="00C22903">
        <w:rPr>
          <w:rFonts w:ascii="Garamond" w:hAnsi="Garamond"/>
          <w:color w:val="000000"/>
        </w:rPr>
        <w:t xml:space="preserve"> vendosi kalimin e çështjes për shqyrtim në seancë plenare mbi bazë të dokumenteve.</w:t>
      </w:r>
    </w:p>
    <w:p w14:paraId="2BB0D57A" w14:textId="77777777" w:rsidR="00032A2B" w:rsidRPr="00C22903" w:rsidRDefault="00032A2B" w:rsidP="006E3282">
      <w:pPr>
        <w:tabs>
          <w:tab w:val="left" w:pos="980"/>
          <w:tab w:val="left" w:pos="4500"/>
        </w:tabs>
        <w:autoSpaceDE w:val="0"/>
        <w:autoSpaceDN w:val="0"/>
        <w:adjustRightInd w:val="0"/>
        <w:spacing w:line="240" w:lineRule="auto"/>
        <w:jc w:val="both"/>
        <w:rPr>
          <w:rFonts w:ascii="Garamond" w:hAnsi="Garamond"/>
          <w:b/>
          <w:bCs/>
          <w:color w:val="000000"/>
        </w:rPr>
      </w:pPr>
    </w:p>
    <w:p w14:paraId="39FA638B" w14:textId="77777777" w:rsidR="00032A2B" w:rsidRPr="00C22903" w:rsidRDefault="00032A2B" w:rsidP="006E3282">
      <w:pPr>
        <w:tabs>
          <w:tab w:val="left" w:pos="980"/>
          <w:tab w:val="left" w:pos="4500"/>
        </w:tabs>
        <w:autoSpaceDE w:val="0"/>
        <w:autoSpaceDN w:val="0"/>
        <w:adjustRightInd w:val="0"/>
        <w:spacing w:line="240" w:lineRule="auto"/>
        <w:ind w:firstLine="284"/>
        <w:jc w:val="center"/>
        <w:rPr>
          <w:rFonts w:ascii="Garamond" w:hAnsi="Garamond"/>
          <w:color w:val="000000"/>
        </w:rPr>
      </w:pPr>
      <w:proofErr w:type="spellStart"/>
      <w:r w:rsidRPr="00C22903">
        <w:rPr>
          <w:rFonts w:ascii="Garamond" w:hAnsi="Garamond"/>
          <w:b/>
          <w:bCs/>
          <w:color w:val="000000"/>
        </w:rPr>
        <w:t>II</w:t>
      </w:r>
      <w:proofErr w:type="spellEnd"/>
    </w:p>
    <w:p w14:paraId="55C99B25" w14:textId="7E6C1749" w:rsidR="00032A2B" w:rsidRPr="00C22903" w:rsidRDefault="00032A2B" w:rsidP="006E3282">
      <w:pPr>
        <w:tabs>
          <w:tab w:val="left" w:pos="980"/>
          <w:tab w:val="left" w:pos="4860"/>
        </w:tabs>
        <w:autoSpaceDE w:val="0"/>
        <w:autoSpaceDN w:val="0"/>
        <w:adjustRightInd w:val="0"/>
        <w:spacing w:line="240" w:lineRule="auto"/>
        <w:ind w:firstLine="284"/>
        <w:jc w:val="center"/>
        <w:rPr>
          <w:rFonts w:ascii="Garamond" w:hAnsi="Garamond"/>
          <w:b/>
          <w:bCs/>
          <w:color w:val="000000"/>
        </w:rPr>
      </w:pPr>
      <w:r w:rsidRPr="00C22903">
        <w:rPr>
          <w:rFonts w:ascii="Garamond" w:hAnsi="Garamond"/>
          <w:b/>
          <w:bCs/>
          <w:color w:val="000000"/>
        </w:rPr>
        <w:t>Pretendimet në Gjykatën Kushtetuese</w:t>
      </w:r>
    </w:p>
    <w:p w14:paraId="13C63698" w14:textId="77777777" w:rsidR="007156A3" w:rsidRPr="00C22903" w:rsidRDefault="007156A3" w:rsidP="006E3282">
      <w:pPr>
        <w:tabs>
          <w:tab w:val="left" w:pos="980"/>
          <w:tab w:val="left" w:pos="4860"/>
        </w:tabs>
        <w:autoSpaceDE w:val="0"/>
        <w:autoSpaceDN w:val="0"/>
        <w:adjustRightInd w:val="0"/>
        <w:spacing w:line="240" w:lineRule="auto"/>
        <w:ind w:firstLine="284"/>
        <w:jc w:val="both"/>
        <w:rPr>
          <w:rFonts w:ascii="Garamond" w:hAnsi="Garamond"/>
          <w:color w:val="000000"/>
        </w:rPr>
      </w:pPr>
    </w:p>
    <w:p w14:paraId="3251B781" w14:textId="3FAE9D43" w:rsidR="00032A2B" w:rsidRPr="00C22903" w:rsidRDefault="00032A2B" w:rsidP="006E3282">
      <w:pPr>
        <w:tabs>
          <w:tab w:val="left" w:pos="360"/>
          <w:tab w:val="left" w:pos="980"/>
          <w:tab w:val="left" w:pos="1080"/>
          <w:tab w:val="left" w:pos="486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 xml:space="preserve">11. </w:t>
      </w:r>
      <w:r w:rsidRPr="00C22903">
        <w:rPr>
          <w:rFonts w:ascii="Garamond" w:hAnsi="Garamond"/>
          <w:b/>
          <w:bCs/>
          <w:i/>
          <w:iCs/>
          <w:color w:val="000000"/>
        </w:rPr>
        <w:t xml:space="preserve">Kërkuesit, </w:t>
      </w:r>
      <w:r w:rsidRPr="00C22903">
        <w:rPr>
          <w:rFonts w:ascii="Garamond" w:hAnsi="Garamond"/>
          <w:color w:val="000000"/>
        </w:rPr>
        <w:t>në mënyrë të përmbledhur, kanë pretenduar se u është cenuar e drejta për proces të rregullt në drejtim të:</w:t>
      </w:r>
    </w:p>
    <w:p w14:paraId="19A00AB5" w14:textId="38257494" w:rsidR="00032A2B" w:rsidRPr="00C22903" w:rsidRDefault="00032A2B" w:rsidP="006E3282">
      <w:pPr>
        <w:tabs>
          <w:tab w:val="left" w:pos="116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11.1</w:t>
      </w:r>
      <w:r w:rsidR="0082608D">
        <w:rPr>
          <w:rFonts w:ascii="Garamond" w:hAnsi="Garamond"/>
          <w:color w:val="000000"/>
        </w:rPr>
        <w:t xml:space="preserve"> </w:t>
      </w:r>
      <w:r w:rsidRPr="00C22903">
        <w:rPr>
          <w:rFonts w:ascii="Garamond" w:hAnsi="Garamond"/>
          <w:i/>
          <w:iCs/>
          <w:color w:val="000000"/>
        </w:rPr>
        <w:t xml:space="preserve">Së drejtës së </w:t>
      </w:r>
      <w:proofErr w:type="spellStart"/>
      <w:r w:rsidRPr="00C22903">
        <w:rPr>
          <w:rFonts w:ascii="Garamond" w:hAnsi="Garamond"/>
          <w:i/>
          <w:iCs/>
          <w:color w:val="000000"/>
        </w:rPr>
        <w:t>aksesit</w:t>
      </w:r>
      <w:proofErr w:type="spellEnd"/>
      <w:r w:rsidRPr="00C22903">
        <w:rPr>
          <w:rFonts w:ascii="Garamond" w:hAnsi="Garamond"/>
          <w:i/>
          <w:iCs/>
          <w:color w:val="000000"/>
        </w:rPr>
        <w:t xml:space="preserve">, </w:t>
      </w:r>
      <w:r w:rsidRPr="00C22903">
        <w:rPr>
          <w:rFonts w:ascii="Garamond" w:hAnsi="Garamond"/>
          <w:color w:val="000000"/>
        </w:rPr>
        <w:t xml:space="preserve">pasi Kolegji Civil i Gjykatës së Lartë nuk ka arsyetuar pretendimet e tyre për shkeljet procedurale të kryera nga gjykatat më të ulëta. Këto shkelje janë paraqitur në rekurs, shtesën e rekursit të datës 13.7.2021 dhe shpjegimet e datës 7.9.2023, ku janë parashtruar shkaqet ligjore që parashikohen nga neni 472 i </w:t>
      </w:r>
      <w:proofErr w:type="spellStart"/>
      <w:r w:rsidRPr="00C22903">
        <w:rPr>
          <w:rFonts w:ascii="Garamond" w:hAnsi="Garamond"/>
          <w:color w:val="000000"/>
        </w:rPr>
        <w:t>KPC</w:t>
      </w:r>
      <w:proofErr w:type="spellEnd"/>
      <w:r w:rsidRPr="00C22903">
        <w:rPr>
          <w:rFonts w:ascii="Garamond" w:hAnsi="Garamond"/>
          <w:color w:val="000000"/>
        </w:rPr>
        <w:t xml:space="preserve">-së. Referuar këtyre shkaqeve të paraqitura në Gjykatën e Lartë, kjo e fundit duhet ta kishte shqyrtuar çështjen në seancë gjyqësore për të dëgjuar edhe palët. Ndryshe nga sa parashtron subjekti i interesuar, në aktet e depozituara në Gjykatën e Lartë kërkuesit nuk kanë paraqitur vetëm pretendime që kanë të bëjnë me analizën e provave, por edhe për kryerjen e shkeljeve të rënda procedurale. Gjykata e Lartë nuk ka analizuar pretendimet për shkelje procedurale, për mosrespektimin e vendimeve </w:t>
      </w:r>
      <w:proofErr w:type="spellStart"/>
      <w:r w:rsidRPr="00C22903">
        <w:rPr>
          <w:rFonts w:ascii="Garamond" w:hAnsi="Garamond"/>
          <w:color w:val="000000"/>
        </w:rPr>
        <w:t>unifikuese</w:t>
      </w:r>
      <w:proofErr w:type="spellEnd"/>
      <w:r w:rsidRPr="00C22903">
        <w:rPr>
          <w:rFonts w:ascii="Garamond" w:hAnsi="Garamond"/>
          <w:color w:val="000000"/>
        </w:rPr>
        <w:t xml:space="preserve"> dhe për shkeljet e ligjit. </w:t>
      </w:r>
    </w:p>
    <w:p w14:paraId="2BC779BA" w14:textId="6F0B2C79" w:rsidR="00032A2B" w:rsidRPr="00C22903" w:rsidRDefault="00032A2B" w:rsidP="006E3282">
      <w:pPr>
        <w:tabs>
          <w:tab w:val="left" w:pos="116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11.2</w:t>
      </w:r>
      <w:r w:rsidR="0082608D">
        <w:rPr>
          <w:rFonts w:ascii="Garamond" w:hAnsi="Garamond"/>
          <w:color w:val="000000"/>
        </w:rPr>
        <w:t xml:space="preserve"> </w:t>
      </w:r>
      <w:r w:rsidRPr="00C22903">
        <w:rPr>
          <w:rFonts w:ascii="Garamond" w:hAnsi="Garamond"/>
          <w:i/>
          <w:iCs/>
          <w:color w:val="000000"/>
        </w:rPr>
        <w:t>Parimit të barazisë së armëve,</w:t>
      </w:r>
      <w:r w:rsidRPr="00C22903">
        <w:rPr>
          <w:rFonts w:ascii="Garamond" w:hAnsi="Garamond"/>
          <w:color w:val="000000"/>
        </w:rPr>
        <w:t xml:space="preserve"> pasi edhe pse nga kërkuesit është kërkuar që të thirreshin në gjykim personat e tretë që kishin blerë pasuritë e paluajtshme të kërkuara nga pala paditëse, gjykatat nuk e kanë pranuar këtë kërkesë, duke sjellë kështu dhe </w:t>
      </w:r>
      <w:proofErr w:type="spellStart"/>
      <w:r w:rsidRPr="00C22903">
        <w:rPr>
          <w:rFonts w:ascii="Garamond" w:hAnsi="Garamond"/>
          <w:color w:val="000000"/>
        </w:rPr>
        <w:t>mosformimin</w:t>
      </w:r>
      <w:proofErr w:type="spellEnd"/>
      <w:r w:rsidRPr="00C22903">
        <w:rPr>
          <w:rFonts w:ascii="Garamond" w:hAnsi="Garamond"/>
          <w:color w:val="000000"/>
        </w:rPr>
        <w:t xml:space="preserve"> e drejtë të </w:t>
      </w:r>
      <w:proofErr w:type="spellStart"/>
      <w:r w:rsidRPr="00C22903">
        <w:rPr>
          <w:rFonts w:ascii="Garamond" w:hAnsi="Garamond"/>
          <w:color w:val="000000"/>
        </w:rPr>
        <w:t>ndërgjyqësisë</w:t>
      </w:r>
      <w:proofErr w:type="spellEnd"/>
      <w:r w:rsidRPr="00C22903">
        <w:rPr>
          <w:rFonts w:ascii="Garamond" w:hAnsi="Garamond"/>
          <w:color w:val="000000"/>
        </w:rPr>
        <w:t xml:space="preserve">, e cila, bazuar në nenin 467 të </w:t>
      </w:r>
      <w:proofErr w:type="spellStart"/>
      <w:r w:rsidRPr="00C22903">
        <w:rPr>
          <w:rFonts w:ascii="Garamond" w:hAnsi="Garamond"/>
          <w:color w:val="000000"/>
        </w:rPr>
        <w:t>KPC</w:t>
      </w:r>
      <w:proofErr w:type="spellEnd"/>
      <w:r w:rsidRPr="00C22903">
        <w:rPr>
          <w:rFonts w:ascii="Garamond" w:hAnsi="Garamond"/>
          <w:color w:val="000000"/>
        </w:rPr>
        <w:t>-së, i bën vendimet gjyqësore të pavlefshme. Ndryshe nga sa parashtron subjekti i interesuar, kërkuesit cenohen drejtpërdrejt në të drejtat e tyre kushtetuese, si pasojë e një procesi jo të rregullt. Personat e tretë me të cilët shoqëria “</w:t>
      </w:r>
      <w:proofErr w:type="spellStart"/>
      <w:r w:rsidRPr="00C22903">
        <w:rPr>
          <w:rFonts w:ascii="Garamond" w:hAnsi="Garamond"/>
          <w:color w:val="000000"/>
        </w:rPr>
        <w:t>DEA</w:t>
      </w:r>
      <w:proofErr w:type="spellEnd"/>
      <w:r w:rsidRPr="00C22903">
        <w:rPr>
          <w:rFonts w:ascii="Garamond" w:hAnsi="Garamond"/>
          <w:color w:val="000000"/>
        </w:rPr>
        <w:t xml:space="preserve">-Z” </w:t>
      </w:r>
      <w:proofErr w:type="spellStart"/>
      <w:r w:rsidRPr="00C22903">
        <w:rPr>
          <w:rFonts w:ascii="Garamond" w:hAnsi="Garamond"/>
          <w:color w:val="000000"/>
        </w:rPr>
        <w:t>sh.p.k</w:t>
      </w:r>
      <w:proofErr w:type="spellEnd"/>
      <w:r w:rsidRPr="00C22903">
        <w:rPr>
          <w:rFonts w:ascii="Garamond" w:hAnsi="Garamond"/>
          <w:color w:val="000000"/>
        </w:rPr>
        <w:t>. ka kryer veprime mbi bazën e kontratave të sipërmarrjes, për pasuritë që gjykatat ia kanë dhënë subjektit të interesuar në kundërshtim me ligjin, kanë dhe do të ngrenë pretendime më pas ndaj shoqërisë.</w:t>
      </w:r>
    </w:p>
    <w:p w14:paraId="1E95A259" w14:textId="56990943" w:rsidR="00032A2B" w:rsidRPr="00C22903" w:rsidRDefault="00032A2B" w:rsidP="00032A2B">
      <w:pPr>
        <w:tabs>
          <w:tab w:val="left" w:pos="116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lastRenderedPageBreak/>
        <w:t>11.3</w:t>
      </w:r>
      <w:r w:rsidR="0082608D">
        <w:rPr>
          <w:rFonts w:ascii="Garamond" w:hAnsi="Garamond"/>
          <w:color w:val="000000"/>
        </w:rPr>
        <w:t xml:space="preserve"> </w:t>
      </w:r>
      <w:r w:rsidRPr="00C22903">
        <w:rPr>
          <w:rFonts w:ascii="Garamond" w:hAnsi="Garamond"/>
          <w:i/>
          <w:iCs/>
          <w:color w:val="000000"/>
        </w:rPr>
        <w:t xml:space="preserve">Së drejtës për t’u dëgjuar, </w:t>
      </w:r>
      <w:r w:rsidRPr="00C22903">
        <w:rPr>
          <w:rFonts w:ascii="Garamond" w:hAnsi="Garamond"/>
          <w:color w:val="000000"/>
        </w:rPr>
        <w:t>pasi gjykatat nuk kanë analizuar dhe vlerësuar pretendimet dhe provat shkresore të paraqitura nga kërkuesit, por i kanë anashkaluar ato. Kërkuesit, përveç ankimeve, kanë paraqitur edhe komente dhe shpjegime, por ato nuk janë shqyrtuar nga gjykatat. Ndryshe nga sa parashtron subjekti i interesuar, kërkuesit kanë ngritur pretendime se gjykatat e zakonshme nuk kanë respektuar të drejtën për t’u dëgjuar dhe të drejtën për t’u mbrojtur, duke mos analizuar pretendimet dhe provat e paraqitura nga palët.</w:t>
      </w:r>
    </w:p>
    <w:p w14:paraId="6D81F8A3" w14:textId="07B94A85" w:rsidR="00032A2B" w:rsidRPr="00C22903" w:rsidRDefault="00032A2B" w:rsidP="00032A2B">
      <w:pPr>
        <w:tabs>
          <w:tab w:val="left" w:pos="116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11.4</w:t>
      </w:r>
      <w:r w:rsidR="0082608D">
        <w:rPr>
          <w:rFonts w:ascii="Garamond" w:hAnsi="Garamond"/>
          <w:color w:val="000000"/>
        </w:rPr>
        <w:t xml:space="preserve"> </w:t>
      </w:r>
      <w:r w:rsidRPr="00C22903">
        <w:rPr>
          <w:rFonts w:ascii="Garamond" w:hAnsi="Garamond"/>
          <w:i/>
          <w:iCs/>
          <w:color w:val="000000"/>
        </w:rPr>
        <w:t>Standardit të arsyetimit të vendimit gjyqësor</w:t>
      </w:r>
      <w:r w:rsidRPr="00C22903">
        <w:rPr>
          <w:rFonts w:ascii="Garamond" w:hAnsi="Garamond"/>
          <w:color w:val="000000"/>
        </w:rPr>
        <w:t xml:space="preserve">, pasi gjykata e shkallës së parë në arsyetimin e saj pasqyron vlerat e llogaritura nga ekspertët me rezultate të ndryshme dhe u referohet vlerave të tyre pa analizuar se cilën prej tyre ka vlerësuar në marrjen e vendimit. Ajo gjykatë, edhe pse ka thirrur ekspertë të fushës për të bërë llogaritjet, nuk ka dhënë argumente logjike dhe të mjaftueshme për të mbështetur atë çfarë ka pranuar në pjesën urdhëruese të vendimit. Ndërsa gjykata e apelit nuk i ka analizuar pretendimet e paraqitura në ankim nga kërkuesit dhe nuk ka arsyetuar përse i gjen të pabazuara ato. Arsyetimi i saj është </w:t>
      </w:r>
      <w:proofErr w:type="spellStart"/>
      <w:r w:rsidRPr="00C22903">
        <w:rPr>
          <w:rFonts w:ascii="Garamond" w:hAnsi="Garamond"/>
          <w:color w:val="000000"/>
        </w:rPr>
        <w:t>jologjik</w:t>
      </w:r>
      <w:proofErr w:type="spellEnd"/>
      <w:r w:rsidRPr="00C22903">
        <w:rPr>
          <w:rFonts w:ascii="Garamond" w:hAnsi="Garamond"/>
          <w:color w:val="000000"/>
        </w:rPr>
        <w:t xml:space="preserve"> në arritjen e përfundimit për pranimin tërësisht të pretendimeve të paditësit. Pretendimi për </w:t>
      </w:r>
      <w:proofErr w:type="spellStart"/>
      <w:r w:rsidRPr="00C22903">
        <w:rPr>
          <w:rFonts w:ascii="Garamond" w:hAnsi="Garamond"/>
          <w:color w:val="000000"/>
        </w:rPr>
        <w:t>mosarsyetim</w:t>
      </w:r>
      <w:proofErr w:type="spellEnd"/>
      <w:r w:rsidRPr="00C22903">
        <w:rPr>
          <w:rFonts w:ascii="Garamond" w:hAnsi="Garamond"/>
          <w:color w:val="000000"/>
        </w:rPr>
        <w:t xml:space="preserve"> të vendimeve të gjykatave më të ulëta është ngritur edhe në rekursin drejtuar Gjykatës së Lartë, por nuk është riparuar nga kjo e fundit. Në këtë drejtim edhe në vendimin e Gjykatës së Lartë nuk janë pasqyruar dhe as analizuar shkaqet e paraqitura në shtesën e rekursit të datës 13.7.2021, të cilat tregonin shkelje të tjera nga gjykatat më të ulëta përveç atyre të paraqitura me rekursin fillestar. Pretendimet për shkeljet procedurale nga gjykatat më të ulëta janë paraqitur në Gjykatën e Lartë edhe me shpjegimet e datës 7.9.2023, para shqyrtimit të çështjes në dhomën e këshillimit.</w:t>
      </w:r>
    </w:p>
    <w:p w14:paraId="2E2C69EB" w14:textId="5D7C51C6" w:rsidR="00032A2B" w:rsidRPr="00C22903" w:rsidRDefault="00032A2B" w:rsidP="00032A2B">
      <w:pPr>
        <w:tabs>
          <w:tab w:val="left" w:pos="116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11.5</w:t>
      </w:r>
      <w:r w:rsidR="0082608D">
        <w:rPr>
          <w:rFonts w:ascii="Garamond" w:hAnsi="Garamond"/>
          <w:color w:val="000000"/>
        </w:rPr>
        <w:t xml:space="preserve"> </w:t>
      </w:r>
      <w:r w:rsidRPr="00C22903">
        <w:rPr>
          <w:rFonts w:ascii="Garamond" w:hAnsi="Garamond"/>
          <w:i/>
          <w:iCs/>
          <w:color w:val="000000"/>
        </w:rPr>
        <w:t xml:space="preserve">Parimit të barazisë përpara ligjit, </w:t>
      </w:r>
      <w:r w:rsidRPr="00C22903">
        <w:rPr>
          <w:rFonts w:ascii="Garamond" w:hAnsi="Garamond"/>
          <w:color w:val="000000"/>
        </w:rPr>
        <w:t xml:space="preserve">pasi gjykatat nuk kanë zbatuar vendimet </w:t>
      </w:r>
      <w:proofErr w:type="spellStart"/>
      <w:r w:rsidRPr="00C22903">
        <w:rPr>
          <w:rFonts w:ascii="Garamond" w:hAnsi="Garamond"/>
          <w:color w:val="000000"/>
        </w:rPr>
        <w:t>unifikuese</w:t>
      </w:r>
      <w:proofErr w:type="spellEnd"/>
      <w:r w:rsidRPr="00C22903">
        <w:rPr>
          <w:rFonts w:ascii="Garamond" w:hAnsi="Garamond"/>
          <w:color w:val="000000"/>
        </w:rPr>
        <w:t xml:space="preserve"> të Kolegjeve të Bashkuara të Gjykatës së Lartë. Ndryshe nga sa parashtron subjekti i interesuar, kërkuesit në rekurs e kanë ngritur pretendimin për cenimin e standardit të arsyetimit nga gjykatat më të ulëta. Paraqitja e shtesës së rekursit nuk ndalohet nga asnjë dispozitë ligjore në fuqi. Sipas jurisprudencës kushtetuese, Gjykata e Lartë kishte detyrimin të shqyrtonte shtesën e rekursit.</w:t>
      </w:r>
    </w:p>
    <w:p w14:paraId="78E83B01" w14:textId="68E84889" w:rsidR="00032A2B" w:rsidRPr="00C22903" w:rsidRDefault="00032A2B" w:rsidP="00032A2B">
      <w:pPr>
        <w:tabs>
          <w:tab w:val="left" w:pos="116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11.6</w:t>
      </w:r>
      <w:r w:rsidR="0082608D">
        <w:rPr>
          <w:rFonts w:ascii="Garamond" w:hAnsi="Garamond"/>
          <w:color w:val="000000"/>
        </w:rPr>
        <w:t xml:space="preserve"> </w:t>
      </w:r>
      <w:r w:rsidRPr="00C22903">
        <w:rPr>
          <w:rFonts w:ascii="Garamond" w:hAnsi="Garamond"/>
          <w:i/>
          <w:iCs/>
          <w:color w:val="000000"/>
        </w:rPr>
        <w:t xml:space="preserve">Ligjshmërisë së marrjes së provave, </w:t>
      </w:r>
      <w:r w:rsidRPr="00C22903">
        <w:rPr>
          <w:rFonts w:ascii="Garamond" w:hAnsi="Garamond"/>
          <w:color w:val="000000"/>
        </w:rPr>
        <w:t xml:space="preserve">pasi edhe pse kërkuesit kanë paraqitur dokumentacion ligjor me fuqi të plotë provuese, ai nuk është vlerësuar nga gjykatat. Edhe pse provohet se paditësi ka dhënë një vlerë minimale të investimit, gjykatat ia kanë kaluar barrën e provës palës së paditur (kërkuesve) për të paraqitur dokumente shkresore për kontributin e saj. Aktet e shkruara me dorë nuk duhet të ishin administruar nga gjykatat si prova shkresore, pasi janë thjesht shënime dhe nuk përbëjnë akt shkresor sipas neneve 246 e vijues të </w:t>
      </w:r>
      <w:proofErr w:type="spellStart"/>
      <w:r w:rsidRPr="00C22903">
        <w:rPr>
          <w:rFonts w:ascii="Garamond" w:hAnsi="Garamond"/>
          <w:color w:val="000000"/>
        </w:rPr>
        <w:t>KPC</w:t>
      </w:r>
      <w:proofErr w:type="spellEnd"/>
      <w:r w:rsidRPr="00C22903">
        <w:rPr>
          <w:rFonts w:ascii="Garamond" w:hAnsi="Garamond"/>
          <w:color w:val="000000"/>
        </w:rPr>
        <w:t xml:space="preserve">-së. As </w:t>
      </w:r>
      <w:proofErr w:type="spellStart"/>
      <w:r w:rsidRPr="00C22903">
        <w:rPr>
          <w:rFonts w:ascii="Garamond" w:hAnsi="Garamond"/>
          <w:color w:val="000000"/>
        </w:rPr>
        <w:t>noterizimi</w:t>
      </w:r>
      <w:proofErr w:type="spellEnd"/>
      <w:r w:rsidRPr="00C22903">
        <w:rPr>
          <w:rFonts w:ascii="Garamond" w:hAnsi="Garamond"/>
          <w:color w:val="000000"/>
        </w:rPr>
        <w:t xml:space="preserve"> nuk u jep atyre vlerën e provës, për shkak se nuk kanë elementet e nevojshme sipas nenit 259 të </w:t>
      </w:r>
      <w:proofErr w:type="spellStart"/>
      <w:r w:rsidRPr="00C22903">
        <w:rPr>
          <w:rFonts w:ascii="Garamond" w:hAnsi="Garamond"/>
          <w:color w:val="000000"/>
        </w:rPr>
        <w:t>KPC</w:t>
      </w:r>
      <w:proofErr w:type="spellEnd"/>
      <w:r w:rsidRPr="00C22903">
        <w:rPr>
          <w:rFonts w:ascii="Garamond" w:hAnsi="Garamond"/>
          <w:color w:val="000000"/>
        </w:rPr>
        <w:t>-së. Ndryshe nga sa parashtron subjekti interesuar, shënimet që u referohet ky i fundit janë baza ku është referuar gjykata e apelit.</w:t>
      </w:r>
    </w:p>
    <w:p w14:paraId="002C7F04" w14:textId="538C4E1D" w:rsidR="00032A2B" w:rsidRPr="00C22903" w:rsidRDefault="00032A2B" w:rsidP="00032A2B">
      <w:pPr>
        <w:tabs>
          <w:tab w:val="left" w:pos="720"/>
          <w:tab w:val="left" w:pos="980"/>
          <w:tab w:val="left" w:pos="1080"/>
          <w:tab w:val="left" w:pos="882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 xml:space="preserve">12. </w:t>
      </w:r>
      <w:r w:rsidRPr="00C22903">
        <w:rPr>
          <w:rFonts w:ascii="Garamond" w:hAnsi="Garamond"/>
          <w:b/>
          <w:bCs/>
          <w:i/>
          <w:iCs/>
          <w:color w:val="000000"/>
        </w:rPr>
        <w:t xml:space="preserve">Subjekti i interesuar, </w:t>
      </w:r>
      <w:proofErr w:type="spellStart"/>
      <w:r w:rsidRPr="00C22903">
        <w:rPr>
          <w:rFonts w:ascii="Garamond" w:hAnsi="Garamond"/>
          <w:b/>
          <w:bCs/>
          <w:i/>
          <w:iCs/>
          <w:color w:val="000000"/>
        </w:rPr>
        <w:t>Viktor</w:t>
      </w:r>
      <w:proofErr w:type="spellEnd"/>
      <w:r w:rsidRPr="00C22903">
        <w:rPr>
          <w:rFonts w:ascii="Garamond" w:hAnsi="Garamond"/>
          <w:b/>
          <w:bCs/>
          <w:i/>
          <w:iCs/>
          <w:color w:val="000000"/>
        </w:rPr>
        <w:t xml:space="preserve"> </w:t>
      </w:r>
      <w:proofErr w:type="spellStart"/>
      <w:r w:rsidRPr="00C22903">
        <w:rPr>
          <w:rFonts w:ascii="Garamond" w:hAnsi="Garamond"/>
          <w:b/>
          <w:bCs/>
          <w:i/>
          <w:iCs/>
          <w:color w:val="000000"/>
        </w:rPr>
        <w:t>Ndoci</w:t>
      </w:r>
      <w:proofErr w:type="spellEnd"/>
      <w:r w:rsidRPr="00C22903">
        <w:rPr>
          <w:rFonts w:ascii="Garamond" w:hAnsi="Garamond"/>
          <w:color w:val="000000"/>
        </w:rPr>
        <w:t>,</w:t>
      </w:r>
      <w:r w:rsidRPr="00C22903">
        <w:rPr>
          <w:rFonts w:ascii="Garamond" w:hAnsi="Garamond"/>
          <w:b/>
          <w:bCs/>
          <w:i/>
          <w:iCs/>
          <w:color w:val="000000"/>
        </w:rPr>
        <w:t xml:space="preserve"> </w:t>
      </w:r>
      <w:r w:rsidRPr="00C22903">
        <w:rPr>
          <w:rFonts w:ascii="Garamond" w:hAnsi="Garamond"/>
          <w:color w:val="000000"/>
        </w:rPr>
        <w:t>në mënyrë të përmbledhur, ka prapësuar si vijon:</w:t>
      </w:r>
    </w:p>
    <w:p w14:paraId="4611746D" w14:textId="16B219A6" w:rsidR="00032A2B" w:rsidRPr="00C22903" w:rsidRDefault="00032A2B" w:rsidP="00032A2B">
      <w:pPr>
        <w:tabs>
          <w:tab w:val="left" w:pos="720"/>
          <w:tab w:val="left" w:pos="980"/>
          <w:tab w:val="left" w:pos="126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 xml:space="preserve">12.1 Pretendimi i kërkuesve për cenimin e </w:t>
      </w:r>
      <w:r w:rsidRPr="00C22903">
        <w:rPr>
          <w:rFonts w:ascii="Garamond" w:hAnsi="Garamond"/>
          <w:i/>
          <w:iCs/>
          <w:color w:val="000000"/>
        </w:rPr>
        <w:t xml:space="preserve">së drejtës së </w:t>
      </w:r>
      <w:proofErr w:type="spellStart"/>
      <w:r w:rsidRPr="00C22903">
        <w:rPr>
          <w:rFonts w:ascii="Garamond" w:hAnsi="Garamond"/>
          <w:i/>
          <w:iCs/>
          <w:color w:val="000000"/>
        </w:rPr>
        <w:t>aksesit</w:t>
      </w:r>
      <w:proofErr w:type="spellEnd"/>
      <w:r w:rsidRPr="00C22903">
        <w:rPr>
          <w:rFonts w:ascii="Garamond" w:hAnsi="Garamond"/>
          <w:color w:val="000000"/>
        </w:rPr>
        <w:t xml:space="preserve"> është i pabazuar, pasi në rekursin e paraqitur nga kërkuesit nuk ka asnjë pretendim për shkelje procedurale që kanë ndikuar në dhënien e vendimit apo që vendimet bien ndesh me vendimet </w:t>
      </w:r>
      <w:proofErr w:type="spellStart"/>
      <w:r w:rsidRPr="00C22903">
        <w:rPr>
          <w:rFonts w:ascii="Garamond" w:hAnsi="Garamond"/>
          <w:color w:val="000000"/>
        </w:rPr>
        <w:t>unifikuese</w:t>
      </w:r>
      <w:proofErr w:type="spellEnd"/>
      <w:r w:rsidRPr="00C22903">
        <w:rPr>
          <w:rFonts w:ascii="Garamond" w:hAnsi="Garamond"/>
          <w:color w:val="000000"/>
        </w:rPr>
        <w:t xml:space="preserve">. Po ashtu, lidhur me shtesën e rekursit, nuk parashikohet në asnjë dispozitë ligjore që të bëhet shtesë rekursi pesë vjet pasi është dhënë vendimi gjyqësor. Gjithsesi, edhe në shtesën e rekursit kërkuesit nuk rezulton të kenë paraqitur asnjë argument për shkelje procedurale që kanë ndikuar në dhënien e vendimit apo që vendimet bien ndesh me vendimet </w:t>
      </w:r>
      <w:proofErr w:type="spellStart"/>
      <w:r w:rsidRPr="00C22903">
        <w:rPr>
          <w:rFonts w:ascii="Garamond" w:hAnsi="Garamond"/>
          <w:color w:val="000000"/>
        </w:rPr>
        <w:t>unifikuese</w:t>
      </w:r>
      <w:proofErr w:type="spellEnd"/>
      <w:r w:rsidRPr="00C22903">
        <w:rPr>
          <w:rFonts w:ascii="Garamond" w:hAnsi="Garamond"/>
          <w:color w:val="000000"/>
        </w:rPr>
        <w:t xml:space="preserve"> të Gjykatës së Lartë. Kërkuesit kanë marrë përgjigje nga gjykatat për të gjitha pretendimet e tyre.</w:t>
      </w:r>
    </w:p>
    <w:p w14:paraId="26AC4760" w14:textId="699A5945" w:rsidR="00032A2B" w:rsidRPr="00C22903" w:rsidRDefault="00032A2B" w:rsidP="00032A2B">
      <w:pPr>
        <w:tabs>
          <w:tab w:val="left" w:pos="720"/>
          <w:tab w:val="left" w:pos="980"/>
          <w:tab w:val="left" w:pos="126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 xml:space="preserve">12.2 Edhe pretendimi i kërkuesve për cenimin e </w:t>
      </w:r>
      <w:r w:rsidRPr="00C22903">
        <w:rPr>
          <w:rFonts w:ascii="Garamond" w:hAnsi="Garamond"/>
          <w:i/>
          <w:iCs/>
          <w:color w:val="000000"/>
        </w:rPr>
        <w:t>parimit të barazisë së armëve</w:t>
      </w:r>
      <w:r w:rsidRPr="00C22903">
        <w:rPr>
          <w:rFonts w:ascii="Garamond" w:hAnsi="Garamond"/>
          <w:color w:val="000000"/>
        </w:rPr>
        <w:t xml:space="preserve"> është i pabazuar, pasi nga kërkuesi Zaim </w:t>
      </w:r>
      <w:proofErr w:type="spellStart"/>
      <w:r w:rsidRPr="00C22903">
        <w:rPr>
          <w:rFonts w:ascii="Garamond" w:hAnsi="Garamond"/>
          <w:color w:val="000000"/>
        </w:rPr>
        <w:t>Korsi</w:t>
      </w:r>
      <w:proofErr w:type="spellEnd"/>
      <w:r w:rsidRPr="00C22903">
        <w:rPr>
          <w:rFonts w:ascii="Garamond" w:hAnsi="Garamond"/>
          <w:color w:val="000000"/>
        </w:rPr>
        <w:t xml:space="preserve"> nuk është paraqitur asnjë dokument bankar që të provojë se është paguar çmimi i njësisë me sipërfaqe 73 </w:t>
      </w:r>
      <w:r w:rsidR="006E3282">
        <w:rPr>
          <w:rFonts w:ascii="Garamond" w:hAnsi="Garamond"/>
          <w:color w:val="000000"/>
        </w:rPr>
        <w:t>m</w:t>
      </w:r>
      <w:r w:rsidR="006E3282" w:rsidRPr="00C22903">
        <w:rPr>
          <w:rFonts w:ascii="Garamond" w:hAnsi="Garamond"/>
          <w:color w:val="000000"/>
          <w:vertAlign w:val="superscript"/>
        </w:rPr>
        <w:t>2</w:t>
      </w:r>
      <w:r w:rsidRPr="00C22903">
        <w:rPr>
          <w:rFonts w:ascii="Garamond" w:hAnsi="Garamond"/>
          <w:color w:val="202122"/>
          <w:position w:val="7"/>
        </w:rPr>
        <w:t xml:space="preserve"> </w:t>
      </w:r>
      <w:r w:rsidRPr="00C22903">
        <w:rPr>
          <w:rFonts w:ascii="Garamond" w:hAnsi="Garamond"/>
          <w:color w:val="000000"/>
        </w:rPr>
        <w:t>i pretenduar se është blerë nga persona të tretë. Gjithsesi, kërkuesit nuk legjitimohen për këtë pretendim, për shkak se ata nuk mund të paraqesin pretendime për të mbrojtur interesat e personave të tretë, të cilët nëse kanë pretendime për cenimin e të drejtave të tyre mund t’i drejtohen vetë rrugës gjyqësore.</w:t>
      </w:r>
    </w:p>
    <w:p w14:paraId="3A3B0491" w14:textId="615FA17B" w:rsidR="00032A2B" w:rsidRPr="00C22903" w:rsidRDefault="00032A2B" w:rsidP="00032A2B">
      <w:pPr>
        <w:tabs>
          <w:tab w:val="left" w:pos="720"/>
          <w:tab w:val="left" w:pos="980"/>
          <w:tab w:val="left" w:pos="126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 xml:space="preserve">12.3 I pabazuar është edhe pretendimi për cenimin e </w:t>
      </w:r>
      <w:r w:rsidRPr="00C22903">
        <w:rPr>
          <w:rFonts w:ascii="Garamond" w:hAnsi="Garamond"/>
          <w:i/>
          <w:iCs/>
          <w:color w:val="000000"/>
        </w:rPr>
        <w:t>së drejtës për t’u dëgjuar</w:t>
      </w:r>
      <w:r w:rsidRPr="00C22903">
        <w:rPr>
          <w:rFonts w:ascii="Garamond" w:hAnsi="Garamond"/>
          <w:color w:val="000000"/>
        </w:rPr>
        <w:t xml:space="preserve">, pasi kërkuesi Zaim </w:t>
      </w:r>
      <w:proofErr w:type="spellStart"/>
      <w:r w:rsidRPr="00C22903">
        <w:rPr>
          <w:rFonts w:ascii="Garamond" w:hAnsi="Garamond"/>
          <w:color w:val="000000"/>
        </w:rPr>
        <w:t>Korsi</w:t>
      </w:r>
      <w:proofErr w:type="spellEnd"/>
      <w:r w:rsidRPr="00C22903">
        <w:rPr>
          <w:rFonts w:ascii="Garamond" w:hAnsi="Garamond"/>
          <w:color w:val="000000"/>
        </w:rPr>
        <w:t xml:space="preserve"> e ka ushtruar këtë të drejtë gjatë gjykimit në gjykatën e shkallës së parë dhe gjykatën e apelit, duke luajtur një rol aktiv si përfaqësues i shoqërisë “</w:t>
      </w:r>
      <w:proofErr w:type="spellStart"/>
      <w:r w:rsidRPr="00C22903">
        <w:rPr>
          <w:rFonts w:ascii="Garamond" w:hAnsi="Garamond"/>
          <w:color w:val="000000"/>
        </w:rPr>
        <w:t>DEA</w:t>
      </w:r>
      <w:proofErr w:type="spellEnd"/>
      <w:r w:rsidRPr="00C22903">
        <w:rPr>
          <w:rFonts w:ascii="Garamond" w:hAnsi="Garamond"/>
          <w:color w:val="000000"/>
        </w:rPr>
        <w:t xml:space="preserve">-Z” </w:t>
      </w:r>
      <w:proofErr w:type="spellStart"/>
      <w:r w:rsidRPr="00C22903">
        <w:rPr>
          <w:rFonts w:ascii="Garamond" w:hAnsi="Garamond"/>
          <w:color w:val="000000"/>
        </w:rPr>
        <w:t>sh.p.k</w:t>
      </w:r>
      <w:proofErr w:type="spellEnd"/>
      <w:r w:rsidRPr="00C22903">
        <w:rPr>
          <w:rFonts w:ascii="Garamond" w:hAnsi="Garamond"/>
          <w:color w:val="000000"/>
        </w:rPr>
        <w:t xml:space="preserve">. dhe si individ, duke u bërë </w:t>
      </w:r>
      <w:r w:rsidRPr="00C22903">
        <w:rPr>
          <w:rFonts w:ascii="Garamond" w:hAnsi="Garamond"/>
          <w:color w:val="000000"/>
        </w:rPr>
        <w:lastRenderedPageBreak/>
        <w:t>pyetje të vazhdueshme ekspertëve, për të cilët paraqiste kundërshtime. Kjo e drejtë e tyre është realizuar edhe nëpërmjet mbrojtësve të tyre, si edhe me rekursin e paraqitur në Gjykatën e Lartë.</w:t>
      </w:r>
    </w:p>
    <w:p w14:paraId="052B0E97" w14:textId="2CC2CE5E" w:rsidR="00032A2B" w:rsidRPr="00C22903" w:rsidRDefault="00032A2B" w:rsidP="00032A2B">
      <w:pPr>
        <w:tabs>
          <w:tab w:val="left" w:pos="720"/>
          <w:tab w:val="left" w:pos="980"/>
          <w:tab w:val="left" w:pos="126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 xml:space="preserve">12.4 Po ashtu, i pabazuar është edhe pretendimi tjetër për cenimin e </w:t>
      </w:r>
      <w:r w:rsidRPr="00C22903">
        <w:rPr>
          <w:rFonts w:ascii="Garamond" w:hAnsi="Garamond"/>
          <w:i/>
          <w:iCs/>
          <w:color w:val="000000"/>
        </w:rPr>
        <w:t>standardit të arsyetimit të vendimit gjyqësor</w:t>
      </w:r>
      <w:r w:rsidRPr="00C22903">
        <w:rPr>
          <w:rFonts w:ascii="Garamond" w:hAnsi="Garamond"/>
          <w:color w:val="000000"/>
        </w:rPr>
        <w:t xml:space="preserve">, pasi pretendimet e tij për </w:t>
      </w:r>
      <w:proofErr w:type="spellStart"/>
      <w:r w:rsidRPr="00C22903">
        <w:rPr>
          <w:rFonts w:ascii="Garamond" w:hAnsi="Garamond"/>
          <w:color w:val="000000"/>
        </w:rPr>
        <w:t>mosarsyetimin</w:t>
      </w:r>
      <w:proofErr w:type="spellEnd"/>
      <w:r w:rsidRPr="00C22903">
        <w:rPr>
          <w:rFonts w:ascii="Garamond" w:hAnsi="Garamond"/>
          <w:color w:val="000000"/>
        </w:rPr>
        <w:t xml:space="preserve"> e vendimeve të gjykatës së shkallës së parë dhe gjykatës së apelit nuk i ka ngritur më parë në rekurs. Po ashtu, pretendimet e kërkuesve për këto vendime lidhen me vlerësimin e provave të marra nga gjykatat. Gjithsesi, rezulton se gjykata e shkallës së parë në vendimin e saj ka respektuar standardet e vendosura nga jurisprudenca kushtetuese, duke parashtruar rrethanat e çështjes, provat e paraqitura nga palët, si dhe arsyet dhe dispozitat ligjore ku ka mbështetur qëndrimin e saj, duke u dhënë përgjigje edhe pretendimeve të palëve. Ajo gjykatë e ka dhënë vendimin e saj duke u bazuar në provat e dosjes gjyqësore. Edhe vendimi i gjykatës së apelit ka respektuar kriteret e përcaktuara nga jurisprudenca kushtetuese për arsyetimin e vendimit gjyqësor, duke parashtruar shkaqet e ankimit dhe duke marrë në analizë pretendimet e palëve. Ajo gjykatë në vendimin e saj u është referuar provave të paraqitura nga palët, të cilat ndodhen në dosjen gjyqësore dhe kërkuesit nuk kanë sjellë asnjë argument se cila provat nuk janë marrë në shqyrtim prej saj. Pretendimet e kërkuesve për këto vendime lidhen me vlerësimin e provave të marra nga gjykatat. Edhe Gjykata e Lartë ka respektuar kriteret kushtetuese për arsyetimin e vendimit gjyqësor. Ajo gjykatë në vendimin e saj ka parashtruar të gjitha shkaqet e rekursit të paraqitura nga kërkuesit. Kërkuesit në rekurs nuk kanë paraqitur asnjë argument konkret se cilat kanë qenë shkeljet procedurale ose cilat janë vendimet </w:t>
      </w:r>
      <w:proofErr w:type="spellStart"/>
      <w:r w:rsidRPr="00C22903">
        <w:rPr>
          <w:rFonts w:ascii="Garamond" w:hAnsi="Garamond"/>
          <w:color w:val="000000"/>
        </w:rPr>
        <w:t>unifikuese</w:t>
      </w:r>
      <w:proofErr w:type="spellEnd"/>
      <w:r w:rsidRPr="00C22903">
        <w:rPr>
          <w:rFonts w:ascii="Garamond" w:hAnsi="Garamond"/>
          <w:color w:val="000000"/>
        </w:rPr>
        <w:t xml:space="preserve"> që nuk janë respektuar. Këto argumente kërkuesit nuk i kanë paraqitur as në ankimin kushtetues individual. Në rekurs ata kanë ngritur pretendime që kanë të bëjnë vetëm me vlerësimin e provave nga gjykatat më të ulëta. Gjykata e Lartë ka paraqitur me hollësi shkaqet e rekursit. Për sa i përket pretendimit për shtesën e rekursit, sipas nenit 476 të </w:t>
      </w:r>
      <w:proofErr w:type="spellStart"/>
      <w:r w:rsidRPr="00C22903">
        <w:rPr>
          <w:rFonts w:ascii="Garamond" w:hAnsi="Garamond"/>
          <w:color w:val="000000"/>
        </w:rPr>
        <w:t>KPC</w:t>
      </w:r>
      <w:proofErr w:type="spellEnd"/>
      <w:r w:rsidRPr="00C22903">
        <w:rPr>
          <w:rFonts w:ascii="Garamond" w:hAnsi="Garamond"/>
          <w:color w:val="000000"/>
        </w:rPr>
        <w:t xml:space="preserve">-së, pala e paditur nuk ka të drejtë të paraqes rekurs tej përcaktimeve të kësaj dispozite. </w:t>
      </w:r>
    </w:p>
    <w:p w14:paraId="5FDB5726" w14:textId="4873A817" w:rsidR="00032A2B" w:rsidRPr="00C22903" w:rsidRDefault="00032A2B" w:rsidP="00032A2B">
      <w:pPr>
        <w:tabs>
          <w:tab w:val="left" w:pos="720"/>
          <w:tab w:val="left" w:pos="980"/>
          <w:tab w:val="left" w:pos="126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 xml:space="preserve">12.5 Lidhur me pretendimin për </w:t>
      </w:r>
      <w:r w:rsidRPr="00C22903">
        <w:rPr>
          <w:rFonts w:ascii="Garamond" w:hAnsi="Garamond"/>
          <w:i/>
          <w:iCs/>
          <w:color w:val="000000"/>
        </w:rPr>
        <w:t>ligjshmërinë në marrjen e provave</w:t>
      </w:r>
      <w:r w:rsidRPr="00C22903">
        <w:rPr>
          <w:rFonts w:ascii="Garamond" w:hAnsi="Garamond"/>
          <w:color w:val="000000"/>
        </w:rPr>
        <w:t>, argumentet e kërkuesve kanë të bëjnë me vlerësimin e provave që kanë qenë objekt i shqyrtimit gjyqësor në gjykatat e zakonshme. Për këtë arsye, ato nuk hyjnë në juridiksionin e Gjykatës.</w:t>
      </w:r>
    </w:p>
    <w:p w14:paraId="7CAB31A8" w14:textId="77777777" w:rsidR="00032A2B" w:rsidRPr="00C22903" w:rsidRDefault="00032A2B" w:rsidP="00032A2B">
      <w:pPr>
        <w:tabs>
          <w:tab w:val="left" w:pos="1080"/>
          <w:tab w:val="left" w:pos="1520"/>
        </w:tabs>
        <w:autoSpaceDE w:val="0"/>
        <w:autoSpaceDN w:val="0"/>
        <w:adjustRightInd w:val="0"/>
        <w:spacing w:line="240" w:lineRule="auto"/>
        <w:ind w:firstLine="284"/>
        <w:jc w:val="center"/>
        <w:rPr>
          <w:rFonts w:ascii="Garamond" w:hAnsi="Garamond"/>
          <w:b/>
          <w:bCs/>
          <w:color w:val="000000"/>
        </w:rPr>
      </w:pPr>
    </w:p>
    <w:p w14:paraId="4E9CE69A" w14:textId="77777777" w:rsidR="00032A2B" w:rsidRPr="00C22903" w:rsidRDefault="00032A2B" w:rsidP="00032A2B">
      <w:pPr>
        <w:tabs>
          <w:tab w:val="left" w:pos="1080"/>
          <w:tab w:val="left" w:pos="1520"/>
        </w:tabs>
        <w:autoSpaceDE w:val="0"/>
        <w:autoSpaceDN w:val="0"/>
        <w:adjustRightInd w:val="0"/>
        <w:spacing w:line="240" w:lineRule="auto"/>
        <w:ind w:firstLine="284"/>
        <w:jc w:val="center"/>
        <w:rPr>
          <w:rFonts w:ascii="Garamond" w:hAnsi="Garamond"/>
          <w:b/>
          <w:bCs/>
          <w:color w:val="000000"/>
        </w:rPr>
      </w:pPr>
      <w:proofErr w:type="spellStart"/>
      <w:r w:rsidRPr="00C22903">
        <w:rPr>
          <w:rFonts w:ascii="Garamond" w:hAnsi="Garamond"/>
          <w:b/>
          <w:bCs/>
          <w:color w:val="000000"/>
        </w:rPr>
        <w:t>III</w:t>
      </w:r>
      <w:proofErr w:type="spellEnd"/>
    </w:p>
    <w:p w14:paraId="7447836D" w14:textId="77777777" w:rsidR="00032A2B" w:rsidRPr="00C22903" w:rsidRDefault="00032A2B" w:rsidP="00032A2B">
      <w:pPr>
        <w:tabs>
          <w:tab w:val="left" w:pos="1080"/>
          <w:tab w:val="left" w:pos="1520"/>
        </w:tabs>
        <w:autoSpaceDE w:val="0"/>
        <w:autoSpaceDN w:val="0"/>
        <w:adjustRightInd w:val="0"/>
        <w:spacing w:line="240" w:lineRule="auto"/>
        <w:ind w:firstLine="284"/>
        <w:jc w:val="center"/>
        <w:rPr>
          <w:rFonts w:ascii="Garamond" w:hAnsi="Garamond"/>
          <w:b/>
          <w:bCs/>
          <w:color w:val="000000"/>
        </w:rPr>
      </w:pPr>
      <w:r w:rsidRPr="00C22903">
        <w:rPr>
          <w:rFonts w:ascii="Garamond" w:hAnsi="Garamond"/>
          <w:b/>
          <w:bCs/>
          <w:color w:val="000000"/>
        </w:rPr>
        <w:t>Vlerësimi i Gjykatës Kushtetuese</w:t>
      </w:r>
    </w:p>
    <w:p w14:paraId="64E6D0D4" w14:textId="77777777" w:rsidR="007156A3" w:rsidRPr="00C22903" w:rsidRDefault="007156A3" w:rsidP="00032A2B">
      <w:pPr>
        <w:tabs>
          <w:tab w:val="left" w:pos="0"/>
          <w:tab w:val="left" w:pos="980"/>
        </w:tabs>
        <w:autoSpaceDE w:val="0"/>
        <w:autoSpaceDN w:val="0"/>
        <w:adjustRightInd w:val="0"/>
        <w:spacing w:line="240" w:lineRule="auto"/>
        <w:ind w:firstLine="284"/>
        <w:jc w:val="both"/>
        <w:rPr>
          <w:rFonts w:ascii="Garamond" w:hAnsi="Garamond"/>
          <w:i/>
          <w:iCs/>
          <w:color w:val="000000"/>
        </w:rPr>
      </w:pPr>
    </w:p>
    <w:p w14:paraId="7689D27F" w14:textId="36292E6D" w:rsidR="00032A2B" w:rsidRPr="00C22903" w:rsidRDefault="00032A2B" w:rsidP="00032A2B">
      <w:pPr>
        <w:tabs>
          <w:tab w:val="left" w:pos="0"/>
          <w:tab w:val="left" w:pos="980"/>
        </w:tabs>
        <w:autoSpaceDE w:val="0"/>
        <w:autoSpaceDN w:val="0"/>
        <w:adjustRightInd w:val="0"/>
        <w:spacing w:line="240" w:lineRule="auto"/>
        <w:ind w:firstLine="284"/>
        <w:jc w:val="both"/>
        <w:rPr>
          <w:rFonts w:ascii="Garamond" w:hAnsi="Garamond"/>
          <w:i/>
          <w:iCs/>
          <w:color w:val="000000"/>
        </w:rPr>
      </w:pPr>
      <w:r w:rsidRPr="00C22903">
        <w:rPr>
          <w:rFonts w:ascii="Garamond" w:hAnsi="Garamond"/>
          <w:i/>
          <w:iCs/>
          <w:color w:val="000000"/>
        </w:rPr>
        <w:t>A. Për legjitimimin e kërkuesve</w:t>
      </w:r>
    </w:p>
    <w:p w14:paraId="205D538A" w14:textId="7AEABF24" w:rsidR="00032A2B" w:rsidRPr="00C22903" w:rsidRDefault="00032A2B" w:rsidP="00032A2B">
      <w:pPr>
        <w:tabs>
          <w:tab w:val="left" w:pos="720"/>
          <w:tab w:val="left" w:pos="108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13. Çështja e legjitimimit (</w:t>
      </w:r>
      <w:proofErr w:type="spellStart"/>
      <w:r w:rsidRPr="00C22903">
        <w:rPr>
          <w:rFonts w:ascii="Garamond" w:hAnsi="Garamond"/>
          <w:i/>
          <w:iCs/>
          <w:color w:val="000000"/>
        </w:rPr>
        <w:t>locus</w:t>
      </w:r>
      <w:proofErr w:type="spellEnd"/>
      <w:r w:rsidRPr="00C22903">
        <w:rPr>
          <w:rFonts w:ascii="Garamond" w:hAnsi="Garamond"/>
          <w:i/>
          <w:iCs/>
          <w:color w:val="000000"/>
        </w:rPr>
        <w:t xml:space="preserve"> </w:t>
      </w:r>
      <w:proofErr w:type="spellStart"/>
      <w:r w:rsidRPr="00C22903">
        <w:rPr>
          <w:rFonts w:ascii="Garamond" w:hAnsi="Garamond"/>
          <w:i/>
          <w:iCs/>
          <w:color w:val="000000"/>
        </w:rPr>
        <w:t>standi</w:t>
      </w:r>
      <w:proofErr w:type="spellEnd"/>
      <w:r w:rsidRPr="00C22903">
        <w:rPr>
          <w:rFonts w:ascii="Garamond" w:hAnsi="Garamond"/>
          <w:color w:val="000000"/>
        </w:rPr>
        <w:t>) është një ndër aspektet kryesore që lidhet me nisjen e një procesi kushtetues. Sipas neneve 131, pika 1, shkronja “f” dhe 134, pikat 1, shkronja “i” dhe 2, të Kushtetutës, si dhe nenit 71</w:t>
      </w:r>
      <w:r w:rsidR="006E3282">
        <w:rPr>
          <w:rFonts w:ascii="Garamond" w:hAnsi="Garamond"/>
          <w:color w:val="000000"/>
        </w:rPr>
        <w:t>,</w:t>
      </w:r>
      <w:r w:rsidRPr="00C22903">
        <w:rPr>
          <w:rFonts w:ascii="Garamond" w:hAnsi="Garamond"/>
          <w:color w:val="000000"/>
        </w:rPr>
        <w:t xml:space="preserve">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w:t>
      </w:r>
      <w:proofErr w:type="spellStart"/>
      <w:r w:rsidRPr="00C22903">
        <w:rPr>
          <w:rFonts w:ascii="Garamond" w:hAnsi="Garamond"/>
          <w:color w:val="000000"/>
        </w:rPr>
        <w:t>kumulative</w:t>
      </w:r>
      <w:proofErr w:type="spellEnd"/>
      <w:r w:rsidRPr="00C22903">
        <w:rPr>
          <w:rFonts w:ascii="Garamond" w:hAnsi="Garamond"/>
          <w:color w:val="000000"/>
        </w:rPr>
        <w:t xml:space="preserve"> të nenit 71/a</w:t>
      </w:r>
      <w:r w:rsidR="006E3282">
        <w:rPr>
          <w:rFonts w:ascii="Garamond" w:hAnsi="Garamond"/>
          <w:color w:val="000000"/>
        </w:rPr>
        <w:t>,</w:t>
      </w:r>
      <w:r w:rsidRPr="00C22903">
        <w:rPr>
          <w:rFonts w:ascii="Garamond" w:hAnsi="Garamond"/>
          <w:color w:val="000000"/>
        </w:rPr>
        <w:t xml:space="preserve"> të ligjit nr. 8577/2000, që lidhen me shterimin e mjeteve juridike, afatin e paraqitjes së kërkesës, pasojat negative të pësuara në mënyrë të drejtpërdrejtë e reale dhe mundësinë për rivendosjen e së drejtës së shkelur. </w:t>
      </w:r>
    </w:p>
    <w:p w14:paraId="375AA349" w14:textId="163C11B6" w:rsidR="00032A2B" w:rsidRPr="00C22903" w:rsidRDefault="00032A2B" w:rsidP="00032A2B">
      <w:pPr>
        <w:tabs>
          <w:tab w:val="left" w:pos="720"/>
          <w:tab w:val="left" w:pos="108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 xml:space="preserve">14. Në lidhje me legjitimimin </w:t>
      </w:r>
      <w:proofErr w:type="spellStart"/>
      <w:r w:rsidRPr="00C22903">
        <w:rPr>
          <w:rFonts w:ascii="Garamond" w:hAnsi="Garamond"/>
          <w:i/>
          <w:iCs/>
          <w:color w:val="000000"/>
        </w:rPr>
        <w:t>ratione</w:t>
      </w:r>
      <w:proofErr w:type="spellEnd"/>
      <w:r w:rsidRPr="00C22903">
        <w:rPr>
          <w:rFonts w:ascii="Garamond" w:hAnsi="Garamond"/>
          <w:i/>
          <w:iCs/>
          <w:color w:val="000000"/>
        </w:rPr>
        <w:t xml:space="preserve"> </w:t>
      </w:r>
      <w:proofErr w:type="spellStart"/>
      <w:r w:rsidRPr="00C22903">
        <w:rPr>
          <w:rFonts w:ascii="Garamond" w:hAnsi="Garamond"/>
          <w:i/>
          <w:iCs/>
          <w:color w:val="000000"/>
        </w:rPr>
        <w:t>personae</w:t>
      </w:r>
      <w:proofErr w:type="spellEnd"/>
      <w:r w:rsidRPr="00C22903">
        <w:rPr>
          <w:rFonts w:ascii="Garamond" w:hAnsi="Garamond"/>
          <w:i/>
          <w:iCs/>
          <w:color w:val="000000"/>
        </w:rPr>
        <w:t>,</w:t>
      </w:r>
      <w:r w:rsidRPr="00C22903">
        <w:rPr>
          <w:rFonts w:ascii="Garamond" w:hAnsi="Garamond"/>
          <w:color w:val="000000"/>
        </w:rPr>
        <w:t xml:space="preserve"> subjekti i interesuar ka prapësuar se kërkuesit nuk legjitimohen për pretendimin e tyre për cenimin e parimit të barazisë së armëve, për shkak se ata nuk mund të paraqesin pretendime për të mbrojtur interesat e personave të tretë që nuk janë palë në procesin e kundërshtuar.</w:t>
      </w:r>
    </w:p>
    <w:p w14:paraId="2B36EC4E" w14:textId="64750577" w:rsidR="00032A2B" w:rsidRPr="00C22903" w:rsidRDefault="00032A2B" w:rsidP="00032A2B">
      <w:pPr>
        <w:tabs>
          <w:tab w:val="left" w:pos="720"/>
          <w:tab w:val="left" w:pos="108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15. Ndërkohë, në ankimin kushtetues individual kërkuesit, ndër të tjera,</w:t>
      </w:r>
      <w:r w:rsidRPr="00C22903">
        <w:rPr>
          <w:rFonts w:ascii="Garamond" w:hAnsi="Garamond"/>
          <w:i/>
          <w:iCs/>
          <w:color w:val="000000"/>
        </w:rPr>
        <w:t xml:space="preserve"> </w:t>
      </w:r>
      <w:r w:rsidRPr="00C22903">
        <w:rPr>
          <w:rFonts w:ascii="Garamond" w:hAnsi="Garamond"/>
          <w:color w:val="000000"/>
        </w:rPr>
        <w:t>kanë pretenduar</w:t>
      </w:r>
      <w:r w:rsidRPr="00C22903">
        <w:rPr>
          <w:rFonts w:ascii="Garamond" w:hAnsi="Garamond"/>
          <w:i/>
          <w:iCs/>
          <w:color w:val="000000"/>
        </w:rPr>
        <w:t xml:space="preserve"> </w:t>
      </w:r>
      <w:r w:rsidRPr="00C22903">
        <w:rPr>
          <w:rFonts w:ascii="Garamond" w:hAnsi="Garamond"/>
          <w:color w:val="000000"/>
        </w:rPr>
        <w:t>se është cenuar parimi i barazisë së armëve, pasi edhe pse nga ata është kërkuar që të thirreshin në gjykim personat e tretë që kishin blerë prej shoqërisë “</w:t>
      </w:r>
      <w:proofErr w:type="spellStart"/>
      <w:r w:rsidRPr="00C22903">
        <w:rPr>
          <w:rFonts w:ascii="Garamond" w:hAnsi="Garamond"/>
          <w:color w:val="000000"/>
        </w:rPr>
        <w:t>DEA</w:t>
      </w:r>
      <w:proofErr w:type="spellEnd"/>
      <w:r w:rsidRPr="00C22903">
        <w:rPr>
          <w:rFonts w:ascii="Garamond" w:hAnsi="Garamond"/>
          <w:color w:val="000000"/>
        </w:rPr>
        <w:t xml:space="preserve">-Z” </w:t>
      </w:r>
      <w:proofErr w:type="spellStart"/>
      <w:r w:rsidRPr="00C22903">
        <w:rPr>
          <w:rFonts w:ascii="Garamond" w:hAnsi="Garamond"/>
          <w:color w:val="000000"/>
        </w:rPr>
        <w:t>sh.p.k</w:t>
      </w:r>
      <w:proofErr w:type="spellEnd"/>
      <w:r w:rsidRPr="00C22903">
        <w:rPr>
          <w:rFonts w:ascii="Garamond" w:hAnsi="Garamond"/>
          <w:color w:val="000000"/>
        </w:rPr>
        <w:t xml:space="preserve">. pronat e paluajtshme të kërkuara nga pala paditëse, gjykatat nuk e kanë pranuar këtë kërkesë, duke sjellë kështu edhe </w:t>
      </w:r>
      <w:proofErr w:type="spellStart"/>
      <w:r w:rsidRPr="00C22903">
        <w:rPr>
          <w:rFonts w:ascii="Garamond" w:hAnsi="Garamond"/>
          <w:color w:val="000000"/>
        </w:rPr>
        <w:t>mosformimin</w:t>
      </w:r>
      <w:proofErr w:type="spellEnd"/>
      <w:r w:rsidRPr="00C22903">
        <w:rPr>
          <w:rFonts w:ascii="Garamond" w:hAnsi="Garamond"/>
          <w:color w:val="000000"/>
        </w:rPr>
        <w:t xml:space="preserve"> e drejtë të </w:t>
      </w:r>
      <w:proofErr w:type="spellStart"/>
      <w:r w:rsidRPr="00C22903">
        <w:rPr>
          <w:rFonts w:ascii="Garamond" w:hAnsi="Garamond"/>
          <w:color w:val="000000"/>
        </w:rPr>
        <w:t>ndërgjyqësisë</w:t>
      </w:r>
      <w:proofErr w:type="spellEnd"/>
      <w:r w:rsidRPr="00C22903">
        <w:rPr>
          <w:rFonts w:ascii="Garamond" w:hAnsi="Garamond"/>
          <w:color w:val="000000"/>
        </w:rPr>
        <w:t xml:space="preserve">. Për këtë arsye, sipas tyre, bazuar në nenin 467 të </w:t>
      </w:r>
      <w:proofErr w:type="spellStart"/>
      <w:r w:rsidRPr="00C22903">
        <w:rPr>
          <w:rFonts w:ascii="Garamond" w:hAnsi="Garamond"/>
          <w:color w:val="000000"/>
        </w:rPr>
        <w:t>KPC</w:t>
      </w:r>
      <w:proofErr w:type="spellEnd"/>
      <w:r w:rsidRPr="00C22903">
        <w:rPr>
          <w:rFonts w:ascii="Garamond" w:hAnsi="Garamond"/>
          <w:color w:val="000000"/>
        </w:rPr>
        <w:t>-së, vendimet gjyqësore objekt i ankimit kushtetues individual janë të pavlefshme.</w:t>
      </w:r>
    </w:p>
    <w:p w14:paraId="75143C6E" w14:textId="615EDA37" w:rsidR="00032A2B" w:rsidRPr="00C22903" w:rsidRDefault="00032A2B" w:rsidP="00032A2B">
      <w:pPr>
        <w:tabs>
          <w:tab w:val="left" w:pos="720"/>
          <w:tab w:val="left" w:pos="108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 xml:space="preserve">16. Gjykata ka vlerësuar se sipas neneve 131, pika 1, shkronja “f” dhe 134, pikat 1, shkronja “i” dhe 2, të Kushtetutës, kërkuesit janë subjekte të kushtëzuara dhe mund të paraqesin ankim </w:t>
      </w:r>
      <w:r w:rsidRPr="00C22903">
        <w:rPr>
          <w:rFonts w:ascii="Garamond" w:hAnsi="Garamond"/>
          <w:color w:val="000000"/>
        </w:rPr>
        <w:lastRenderedPageBreak/>
        <w:t>kushtetues individual vetëm për çështje që lidhen me interesat e tyre të drejtpërdrejta, duke provuar se janë cenuar në të drejtat e tyre kushtetuese, pra se janë viktima të një shkeljeje dhe se pasojat nga akti i kundërshtuar janë të drejtpërdrejta dhe reale për to (</w:t>
      </w:r>
      <w:r w:rsidRPr="00C22903">
        <w:rPr>
          <w:rFonts w:ascii="Garamond" w:hAnsi="Garamond"/>
          <w:i/>
          <w:iCs/>
          <w:color w:val="000000"/>
        </w:rPr>
        <w:t>shih vendimet nr. 6, datë 15.2.2024; nr. 64, datë 30.11.2023; nr. 44, datë 26.9.2023</w:t>
      </w:r>
      <w:r w:rsidR="006E3282">
        <w:rPr>
          <w:rFonts w:ascii="Garamond" w:hAnsi="Garamond"/>
          <w:i/>
          <w:iCs/>
          <w:color w:val="000000"/>
        </w:rPr>
        <w:t>,</w:t>
      </w:r>
      <w:r w:rsidRPr="00C22903">
        <w:rPr>
          <w:rFonts w:ascii="Garamond" w:hAnsi="Garamond"/>
          <w:i/>
          <w:iCs/>
          <w:color w:val="000000"/>
        </w:rPr>
        <w:t xml:space="preserve"> të Gjykatës Kushtetuese</w:t>
      </w:r>
      <w:r w:rsidRPr="00C22903">
        <w:rPr>
          <w:rFonts w:ascii="Garamond" w:hAnsi="Garamond"/>
          <w:color w:val="000000"/>
        </w:rPr>
        <w:t>). Kjo do të thotë se kërkuesit duhet të provojnë legjitimimin e tyre si në aspektin procedural, ashtu edhe në atë substancial (</w:t>
      </w:r>
      <w:r w:rsidRPr="00C22903">
        <w:rPr>
          <w:rFonts w:ascii="Garamond" w:hAnsi="Garamond"/>
          <w:i/>
          <w:iCs/>
          <w:color w:val="000000"/>
        </w:rPr>
        <w:t>shih vendimin nr. 65, datë 30.11.2023</w:t>
      </w:r>
      <w:r w:rsidR="006E3282">
        <w:rPr>
          <w:rFonts w:ascii="Garamond" w:hAnsi="Garamond"/>
          <w:i/>
          <w:iCs/>
          <w:color w:val="000000"/>
        </w:rPr>
        <w:t>,</w:t>
      </w:r>
      <w:r w:rsidRPr="00C22903">
        <w:rPr>
          <w:rFonts w:ascii="Garamond" w:hAnsi="Garamond"/>
          <w:i/>
          <w:iCs/>
          <w:color w:val="000000"/>
        </w:rPr>
        <w:t xml:space="preserve"> të Gjykatës Kushtetuese</w:t>
      </w:r>
      <w:r w:rsidRPr="00C22903">
        <w:rPr>
          <w:rFonts w:ascii="Garamond" w:hAnsi="Garamond"/>
          <w:color w:val="000000"/>
        </w:rPr>
        <w:t xml:space="preserve">). </w:t>
      </w:r>
    </w:p>
    <w:p w14:paraId="245F4ED5" w14:textId="050F0F92" w:rsidR="00032A2B" w:rsidRPr="00C22903" w:rsidRDefault="00032A2B" w:rsidP="00032A2B">
      <w:pPr>
        <w:tabs>
          <w:tab w:val="left" w:pos="980"/>
          <w:tab w:val="left" w:pos="108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 xml:space="preserve">17. Për sa më lart, në lidhje me pretendimin e kërkuesve për cenimin e parimit të barazisë së armëve, Gjykata çmon se ata nuk provojnë interesin e tyre të drejtpërdrejtë në drejtim të së drejtës së cenuar dhe interesit të ligjshëm vetjak, për sa kohë që përmes këtij pretendimi ata synojnë mbrojtjen e të drejtave të personave të tretë që nuk janë pjesë e këtij gjykimi kushtetues. Për këtë arsye, Gjykata çmon se kërkuesit nuk legjitimohen </w:t>
      </w:r>
      <w:proofErr w:type="spellStart"/>
      <w:r w:rsidRPr="00C22903">
        <w:rPr>
          <w:rFonts w:ascii="Garamond" w:hAnsi="Garamond"/>
          <w:i/>
          <w:iCs/>
          <w:color w:val="000000"/>
        </w:rPr>
        <w:t>ratione</w:t>
      </w:r>
      <w:proofErr w:type="spellEnd"/>
      <w:r w:rsidRPr="00C22903">
        <w:rPr>
          <w:rFonts w:ascii="Garamond" w:hAnsi="Garamond"/>
          <w:i/>
          <w:iCs/>
          <w:color w:val="000000"/>
        </w:rPr>
        <w:t xml:space="preserve"> </w:t>
      </w:r>
      <w:proofErr w:type="spellStart"/>
      <w:r w:rsidRPr="00C22903">
        <w:rPr>
          <w:rFonts w:ascii="Garamond" w:hAnsi="Garamond"/>
          <w:i/>
          <w:iCs/>
          <w:color w:val="000000"/>
        </w:rPr>
        <w:t>personae</w:t>
      </w:r>
      <w:proofErr w:type="spellEnd"/>
      <w:r w:rsidRPr="00C22903">
        <w:rPr>
          <w:rFonts w:ascii="Garamond" w:hAnsi="Garamond"/>
          <w:i/>
          <w:iCs/>
          <w:color w:val="000000"/>
        </w:rPr>
        <w:t xml:space="preserve"> </w:t>
      </w:r>
      <w:r w:rsidRPr="00C22903">
        <w:rPr>
          <w:rFonts w:ascii="Garamond" w:hAnsi="Garamond"/>
          <w:color w:val="000000"/>
        </w:rPr>
        <w:t xml:space="preserve">për këtë pretendim dhe prapësimi i subjektit të interesuar është i bazuar. </w:t>
      </w:r>
    </w:p>
    <w:p w14:paraId="7760196B" w14:textId="5E54FE3B" w:rsidR="00032A2B" w:rsidRPr="00C22903" w:rsidRDefault="00032A2B" w:rsidP="00032A2B">
      <w:pPr>
        <w:tabs>
          <w:tab w:val="left" w:pos="980"/>
          <w:tab w:val="left" w:pos="108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18. Ndërsa për sa u përket pretendimeve të tjera të paraqitura në ankimin kushtetues individual, Gjykata konstaton se në procesin gjyqësor të kundërshtuar kanë qenë palë të paditura shoqëria “</w:t>
      </w:r>
      <w:proofErr w:type="spellStart"/>
      <w:r w:rsidRPr="00C22903">
        <w:rPr>
          <w:rFonts w:ascii="Garamond" w:hAnsi="Garamond"/>
          <w:color w:val="000000"/>
        </w:rPr>
        <w:t>DEA</w:t>
      </w:r>
      <w:proofErr w:type="spellEnd"/>
      <w:r w:rsidRPr="00C22903">
        <w:rPr>
          <w:rFonts w:ascii="Garamond" w:hAnsi="Garamond"/>
          <w:color w:val="000000"/>
        </w:rPr>
        <w:t xml:space="preserve">-Z” </w:t>
      </w:r>
      <w:proofErr w:type="spellStart"/>
      <w:r w:rsidRPr="00C22903">
        <w:rPr>
          <w:rFonts w:ascii="Garamond" w:hAnsi="Garamond"/>
          <w:color w:val="000000"/>
        </w:rPr>
        <w:t>sh.p.k</w:t>
      </w:r>
      <w:proofErr w:type="spellEnd"/>
      <w:r w:rsidRPr="00C22903">
        <w:rPr>
          <w:rFonts w:ascii="Garamond" w:hAnsi="Garamond"/>
          <w:color w:val="000000"/>
        </w:rPr>
        <w:t xml:space="preserve">. dhe shtetasi Zaim </w:t>
      </w:r>
      <w:proofErr w:type="spellStart"/>
      <w:r w:rsidRPr="00C22903">
        <w:rPr>
          <w:rFonts w:ascii="Garamond" w:hAnsi="Garamond"/>
          <w:color w:val="000000"/>
        </w:rPr>
        <w:t>Korsi</w:t>
      </w:r>
      <w:proofErr w:type="spellEnd"/>
      <w:r w:rsidRPr="00C22903">
        <w:rPr>
          <w:rFonts w:ascii="Garamond" w:hAnsi="Garamond"/>
          <w:color w:val="000000"/>
        </w:rPr>
        <w:t xml:space="preserve">, në cilësinë e administratorit të kësaj shoqërie. Gjithashtu, Gjykata vëren se kërkuesi Zaim </w:t>
      </w:r>
      <w:proofErr w:type="spellStart"/>
      <w:r w:rsidRPr="00C22903">
        <w:rPr>
          <w:rFonts w:ascii="Garamond" w:hAnsi="Garamond"/>
          <w:color w:val="000000"/>
        </w:rPr>
        <w:t>Korsi</w:t>
      </w:r>
      <w:proofErr w:type="spellEnd"/>
      <w:r w:rsidRPr="00C22903">
        <w:rPr>
          <w:rFonts w:ascii="Garamond" w:hAnsi="Garamond"/>
          <w:color w:val="000000"/>
        </w:rPr>
        <w:t xml:space="preserve"> i është drejtuar asaj jo vetëm si palë në procesin të kundërshtuar, por edhe si përfaqësues me prokurë të përgjithshme i kërkueses tjetër, shoqërisë “</w:t>
      </w:r>
      <w:proofErr w:type="spellStart"/>
      <w:r w:rsidRPr="00C22903">
        <w:rPr>
          <w:rFonts w:ascii="Garamond" w:hAnsi="Garamond"/>
          <w:color w:val="000000"/>
        </w:rPr>
        <w:t>DEA</w:t>
      </w:r>
      <w:proofErr w:type="spellEnd"/>
      <w:r w:rsidRPr="00C22903">
        <w:rPr>
          <w:rFonts w:ascii="Garamond" w:hAnsi="Garamond"/>
          <w:color w:val="000000"/>
        </w:rPr>
        <w:t xml:space="preserve">-Z” </w:t>
      </w:r>
      <w:proofErr w:type="spellStart"/>
      <w:r w:rsidRPr="00C22903">
        <w:rPr>
          <w:rFonts w:ascii="Garamond" w:hAnsi="Garamond"/>
          <w:color w:val="000000"/>
        </w:rPr>
        <w:t>sh.p.k</w:t>
      </w:r>
      <w:proofErr w:type="spellEnd"/>
      <w:r w:rsidRPr="00C22903">
        <w:rPr>
          <w:rFonts w:ascii="Garamond" w:hAnsi="Garamond"/>
          <w:color w:val="000000"/>
        </w:rPr>
        <w:t xml:space="preserve">. Për rrjedhojë, ata legjitimohen </w:t>
      </w:r>
      <w:proofErr w:type="spellStart"/>
      <w:r w:rsidRPr="00C22903">
        <w:rPr>
          <w:rFonts w:ascii="Garamond" w:hAnsi="Garamond"/>
          <w:i/>
          <w:iCs/>
          <w:color w:val="000000"/>
        </w:rPr>
        <w:t>ratione</w:t>
      </w:r>
      <w:proofErr w:type="spellEnd"/>
      <w:r w:rsidRPr="00C22903">
        <w:rPr>
          <w:rFonts w:ascii="Garamond" w:hAnsi="Garamond"/>
          <w:i/>
          <w:iCs/>
          <w:color w:val="000000"/>
        </w:rPr>
        <w:t xml:space="preserve"> </w:t>
      </w:r>
      <w:proofErr w:type="spellStart"/>
      <w:r w:rsidRPr="00C22903">
        <w:rPr>
          <w:rFonts w:ascii="Garamond" w:hAnsi="Garamond"/>
          <w:i/>
          <w:iCs/>
          <w:color w:val="000000"/>
        </w:rPr>
        <w:t>personae</w:t>
      </w:r>
      <w:proofErr w:type="spellEnd"/>
      <w:r w:rsidRPr="00C22903">
        <w:rPr>
          <w:rFonts w:ascii="Garamond" w:hAnsi="Garamond"/>
          <w:i/>
          <w:iCs/>
          <w:color w:val="000000"/>
        </w:rPr>
        <w:t xml:space="preserve"> </w:t>
      </w:r>
      <w:r w:rsidRPr="00C22903">
        <w:rPr>
          <w:rFonts w:ascii="Garamond" w:hAnsi="Garamond"/>
          <w:color w:val="000000"/>
        </w:rPr>
        <w:t>për t’iu drejtuar Gjykatës për pretendimet e tjera, pasi lidhen me procesin gjyqësor ku kanë qenë palë dhe provojnë interesin e drejtpërdrejtë në këtë çështje.</w:t>
      </w:r>
    </w:p>
    <w:p w14:paraId="3CBC081F" w14:textId="7DFB7907" w:rsidR="00032A2B" w:rsidRPr="00C22903" w:rsidRDefault="00032A2B" w:rsidP="00032A2B">
      <w:pPr>
        <w:tabs>
          <w:tab w:val="left" w:pos="980"/>
          <w:tab w:val="left" w:pos="108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 xml:space="preserve">19. Në lidhje me kriterin e </w:t>
      </w:r>
      <w:r w:rsidRPr="00C22903">
        <w:rPr>
          <w:rFonts w:ascii="Garamond" w:hAnsi="Garamond"/>
          <w:i/>
          <w:iCs/>
          <w:color w:val="000000"/>
        </w:rPr>
        <w:t>shterimit të mjeteve juridike efektive</w:t>
      </w:r>
      <w:r w:rsidRPr="00C22903">
        <w:rPr>
          <w:rFonts w:ascii="Garamond" w:hAnsi="Garamond"/>
          <w:color w:val="000000"/>
        </w:rPr>
        <w:t xml:space="preserve">, subjekti i interesuar ka parashtruar se pretendimin për </w:t>
      </w:r>
      <w:proofErr w:type="spellStart"/>
      <w:r w:rsidRPr="00C22903">
        <w:rPr>
          <w:rFonts w:ascii="Garamond" w:hAnsi="Garamond"/>
          <w:color w:val="000000"/>
        </w:rPr>
        <w:t>mosarsyetimin</w:t>
      </w:r>
      <w:proofErr w:type="spellEnd"/>
      <w:r w:rsidRPr="00C22903">
        <w:rPr>
          <w:rFonts w:ascii="Garamond" w:hAnsi="Garamond"/>
          <w:color w:val="000000"/>
        </w:rPr>
        <w:t xml:space="preserve"> e vendimeve gjyqësore të gjykatës së shkallës së parë dhe gjykatës së apelit, kërkuesit nuk e kanë ngritur në rekursin e paraqitur në Gjykatën e Lartë.</w:t>
      </w:r>
    </w:p>
    <w:p w14:paraId="1490569F" w14:textId="6719900B" w:rsidR="00032A2B" w:rsidRPr="00C22903" w:rsidRDefault="00032A2B" w:rsidP="00032A2B">
      <w:pPr>
        <w:tabs>
          <w:tab w:val="left" w:pos="980"/>
          <w:tab w:val="left" w:pos="108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20. Gjykata në jurisprudencën e saj ka theksuar se kriteri i shterimit të mjeteve që ajo shqyrton lidhet edhe me pretendimet e paraqitura nga individi në ankimin kushtetues individual. Sipas Gjykatës, individi të gjitha pretendimet që ngre në këtë Gjykatë duhet t’i ketë paraqitur më parë edhe në gjykatat e zakonshme, të paktën në substancë, duke respektuar kërkesat formale dhe afatet e parashikuara në ligjin procedural (</w:t>
      </w:r>
      <w:r w:rsidRPr="00C22903">
        <w:rPr>
          <w:rFonts w:ascii="Garamond" w:hAnsi="Garamond"/>
          <w:i/>
          <w:iCs/>
          <w:color w:val="000000"/>
        </w:rPr>
        <w:t>shih vendimet nr. 5, datë 9.2.2023;</w:t>
      </w:r>
      <w:r w:rsidRPr="00C22903">
        <w:rPr>
          <w:rFonts w:ascii="Garamond" w:hAnsi="Garamond"/>
          <w:color w:val="000000"/>
        </w:rPr>
        <w:t xml:space="preserve"> </w:t>
      </w:r>
      <w:r w:rsidRPr="00C22903">
        <w:rPr>
          <w:rFonts w:ascii="Garamond" w:hAnsi="Garamond"/>
          <w:i/>
          <w:iCs/>
          <w:color w:val="000000"/>
        </w:rPr>
        <w:t>nr. 12, datë 9.3.2021; nr. 8, datë 19.3.2018</w:t>
      </w:r>
      <w:r w:rsidR="006E3282">
        <w:rPr>
          <w:rFonts w:ascii="Garamond" w:hAnsi="Garamond"/>
          <w:i/>
          <w:iCs/>
          <w:color w:val="000000"/>
        </w:rPr>
        <w:t>,</w:t>
      </w:r>
      <w:r w:rsidRPr="00C22903">
        <w:rPr>
          <w:rFonts w:ascii="Garamond" w:hAnsi="Garamond"/>
          <w:i/>
          <w:iCs/>
          <w:color w:val="000000"/>
        </w:rPr>
        <w:t xml:space="preserve"> të Gjykatës Kushtetuese</w:t>
      </w:r>
      <w:r w:rsidRPr="00C22903">
        <w:rPr>
          <w:rFonts w:ascii="Garamond" w:hAnsi="Garamond"/>
          <w:color w:val="000000"/>
        </w:rPr>
        <w:t>).</w:t>
      </w:r>
    </w:p>
    <w:p w14:paraId="0057BE93" w14:textId="267AD2C2" w:rsidR="00032A2B" w:rsidRPr="00C22903" w:rsidRDefault="00032A2B" w:rsidP="00032A2B">
      <w:pPr>
        <w:tabs>
          <w:tab w:val="left" w:pos="980"/>
          <w:tab w:val="left" w:pos="108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 xml:space="preserve">21. Për sa më lart, në kuptim të nenit 131, pika 1, shkronja “f”, të Kushtetutës, Gjykata vëren se kërkuesit i janë drejtuar asaj me ankim kushtetues individual pas përfundimit të procesit gjyqësor në të tria shkallët e gjyqësorit të zakonshëm dhe pasi kanë shteruar në formë e substancë mjetet e zakonshme të ankimit ndaj vendimeve të gjykatave më të ulëta. </w:t>
      </w:r>
    </w:p>
    <w:p w14:paraId="4136B258" w14:textId="40B5770D" w:rsidR="00032A2B" w:rsidRPr="00C22903" w:rsidRDefault="00032A2B" w:rsidP="00032A2B">
      <w:pPr>
        <w:tabs>
          <w:tab w:val="left" w:pos="980"/>
          <w:tab w:val="left" w:pos="108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22. Në rastin konkret, Gjykata konstaton se edhe pse kërkuesit, në lidhje me cenimin e standardit të arsyetimit të vendimit gjyqësor nga gjykata e shkallës së parë dhe ajo e apelit, në ankimin kushtetues individual nuk kanë ngritur të njëjtat argumente që kanë ngritur në rekurs, referuar këtij të fundit, Gjykata konstaton se ata e kanë ngritur në substancë atë, përderisa kanë kundërshtuar mënyrën e zgjidhjes së çështjes nga gjykatat më të ulëta lidhur me pretendimet e ngritura për arsyetimin e këtyre të fundit. Për rrjedhojë, Gjykata çmon se ata nuk kanë mjet tjetër juridik në dispozicion për mbrojtjen e të drejtave të tyre kushtetuese përveç paraqitjes së ankimit kushtetues individual ndaj pretendimi i subjektit të interesuar në këtë drejtim nuk është i bazuar.</w:t>
      </w:r>
    </w:p>
    <w:p w14:paraId="6A64A280" w14:textId="20A74BFF" w:rsidR="00032A2B" w:rsidRPr="00C22903" w:rsidRDefault="00032A2B" w:rsidP="00032A2B">
      <w:pPr>
        <w:tabs>
          <w:tab w:val="left" w:pos="980"/>
          <w:tab w:val="left" w:pos="108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 xml:space="preserve">23. Kërkuesit legjitimohen edhe </w:t>
      </w:r>
      <w:proofErr w:type="spellStart"/>
      <w:r w:rsidRPr="00C22903">
        <w:rPr>
          <w:rFonts w:ascii="Garamond" w:hAnsi="Garamond"/>
          <w:i/>
          <w:iCs/>
          <w:color w:val="000000"/>
        </w:rPr>
        <w:t>ratione</w:t>
      </w:r>
      <w:proofErr w:type="spellEnd"/>
      <w:r w:rsidRPr="00C22903">
        <w:rPr>
          <w:rFonts w:ascii="Garamond" w:hAnsi="Garamond"/>
          <w:i/>
          <w:iCs/>
          <w:color w:val="000000"/>
        </w:rPr>
        <w:t xml:space="preserve"> </w:t>
      </w:r>
      <w:proofErr w:type="spellStart"/>
      <w:r w:rsidRPr="00C22903">
        <w:rPr>
          <w:rFonts w:ascii="Garamond" w:hAnsi="Garamond"/>
          <w:i/>
          <w:iCs/>
          <w:color w:val="000000"/>
        </w:rPr>
        <w:t>temporis</w:t>
      </w:r>
      <w:proofErr w:type="spellEnd"/>
      <w:r w:rsidRPr="00C22903">
        <w:rPr>
          <w:rFonts w:ascii="Garamond" w:hAnsi="Garamond"/>
          <w:color w:val="000000"/>
        </w:rPr>
        <w:t xml:space="preserve">, në kuptim të përmbajtjes së nenit 71/a, pika 1, shkronja “b”, të ligjit nr. 8577/2000, pasi vendimi më i fundit në kohë i kundërshtuar, ai i Kolegjit Civil të Gjykatës së Lartë, mban datën 25.10.2023, i cili, sipas shkresës nr. 1170/1 </w:t>
      </w:r>
      <w:proofErr w:type="spellStart"/>
      <w:r w:rsidRPr="00C22903">
        <w:rPr>
          <w:rFonts w:ascii="Garamond" w:hAnsi="Garamond"/>
          <w:color w:val="000000"/>
        </w:rPr>
        <w:t>prot</w:t>
      </w:r>
      <w:proofErr w:type="spellEnd"/>
      <w:r w:rsidRPr="00C22903">
        <w:rPr>
          <w:rFonts w:ascii="Garamond" w:hAnsi="Garamond"/>
          <w:color w:val="000000"/>
        </w:rPr>
        <w:t>., datë 5.3.2024</w:t>
      </w:r>
      <w:r w:rsidR="006E3282">
        <w:rPr>
          <w:rFonts w:ascii="Garamond" w:hAnsi="Garamond"/>
          <w:color w:val="000000"/>
        </w:rPr>
        <w:t>,</w:t>
      </w:r>
      <w:r w:rsidRPr="00C22903">
        <w:rPr>
          <w:rFonts w:ascii="Garamond" w:hAnsi="Garamond"/>
          <w:color w:val="000000"/>
        </w:rPr>
        <w:t xml:space="preserve"> të asaj gjykate, është dorëzuar i arsyetuar në datën 16.1.2024, ndërsa kërkesa është paraqitur në këtë Gjykatë në datën 30.4.2024, pra brenda afatit 4-mujor.</w:t>
      </w:r>
    </w:p>
    <w:p w14:paraId="31BAEA22" w14:textId="04571202" w:rsidR="00032A2B" w:rsidRPr="00C22903" w:rsidRDefault="00032A2B" w:rsidP="00032A2B">
      <w:pPr>
        <w:tabs>
          <w:tab w:val="left" w:pos="980"/>
          <w:tab w:val="left" w:pos="108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 xml:space="preserve">24. Në lidhje me legjitimimin </w:t>
      </w:r>
      <w:proofErr w:type="spellStart"/>
      <w:r w:rsidRPr="00C22903">
        <w:rPr>
          <w:rFonts w:ascii="Garamond" w:hAnsi="Garamond"/>
          <w:i/>
          <w:iCs/>
          <w:color w:val="000000"/>
        </w:rPr>
        <w:t>ratione</w:t>
      </w:r>
      <w:proofErr w:type="spellEnd"/>
      <w:r w:rsidRPr="00C22903">
        <w:rPr>
          <w:rFonts w:ascii="Garamond" w:hAnsi="Garamond"/>
          <w:i/>
          <w:iCs/>
          <w:color w:val="000000"/>
        </w:rPr>
        <w:t xml:space="preserve"> </w:t>
      </w:r>
      <w:proofErr w:type="spellStart"/>
      <w:r w:rsidRPr="00C22903">
        <w:rPr>
          <w:rFonts w:ascii="Garamond" w:hAnsi="Garamond"/>
          <w:i/>
          <w:iCs/>
          <w:color w:val="000000"/>
        </w:rPr>
        <w:t>materiae</w:t>
      </w:r>
      <w:proofErr w:type="spellEnd"/>
      <w:r w:rsidRPr="00C22903">
        <w:rPr>
          <w:rFonts w:ascii="Garamond" w:hAnsi="Garamond"/>
          <w:color w:val="000000"/>
        </w:rPr>
        <w:t>, subjekti i interesuar ka prapësuar se argumentet e kërkuesve për cenimin e standardit të arsyetimit të vendimit gjyqësor nga gjykata e shkallës së parë dhe gjykata e apelit, si edhe ato për ligjshmërinë e provave kanë të bëjnë me vlerësimin e provave që kanë qenë objekt i shqyrtimit gjyqësor në gjykatat e zakonshme, për rrjedhojë, si të tilla, ato nuk hyjnë në juridiksionin kushtetues.</w:t>
      </w:r>
    </w:p>
    <w:p w14:paraId="6AB4E7D3" w14:textId="7935D86D" w:rsidR="00032A2B" w:rsidRPr="00C22903" w:rsidRDefault="00032A2B" w:rsidP="00032A2B">
      <w:pPr>
        <w:tabs>
          <w:tab w:val="left" w:pos="980"/>
          <w:tab w:val="left" w:pos="108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 xml:space="preserve">25. Në rastin konkret, Gjykata konstaton se, në thelb, pretendimin për cenimin e standardit të arsyetimit të vendimit gjyqësor nga gjykata e shkallës së parë dhe gjykata e apelit, kërkuesit e kanë </w:t>
      </w:r>
      <w:r w:rsidRPr="00C22903">
        <w:rPr>
          <w:rFonts w:ascii="Garamond" w:hAnsi="Garamond"/>
          <w:color w:val="000000"/>
        </w:rPr>
        <w:lastRenderedPageBreak/>
        <w:t xml:space="preserve">lidhur me vlerat e paraqitura nga ekspertët që kanë marrë parasysh ato (gjykatat) në vlerësimin e tyre dhe se kur kanë vlerësuar kontributin e palëve i janë referuar shënimeve të </w:t>
      </w:r>
      <w:proofErr w:type="spellStart"/>
      <w:r w:rsidRPr="00C22903">
        <w:rPr>
          <w:rFonts w:ascii="Garamond" w:hAnsi="Garamond"/>
          <w:color w:val="000000"/>
        </w:rPr>
        <w:t>të</w:t>
      </w:r>
      <w:proofErr w:type="spellEnd"/>
      <w:r w:rsidRPr="00C22903">
        <w:rPr>
          <w:rFonts w:ascii="Garamond" w:hAnsi="Garamond"/>
          <w:color w:val="000000"/>
        </w:rPr>
        <w:t xml:space="preserve"> paditurit. Ndërsa, për cenimin e së drejtës për t’u dëgjuar ata kanë argumentuar se gjykatat nuk kanë analizuar dhe vlerësuar pretendimet dhe provat shkresore të paraqitura prej tyre, por i kanë anashkaluar ato. Gjithashtu, në ankimin kushtetues individual kërkuesit kanë ngritur pretendime për ligjshmërinë e provave, duke argumentuar se aktet e shkruara me dorë nuk duhet të ishin administruar nga gjykatat si prova shkresore, pasi janë thjesht shënime dhe nuk përbëjnë akt shkresor sipas neneve 246 e vijues të </w:t>
      </w:r>
      <w:proofErr w:type="spellStart"/>
      <w:r w:rsidRPr="00C22903">
        <w:rPr>
          <w:rFonts w:ascii="Garamond" w:hAnsi="Garamond"/>
          <w:color w:val="000000"/>
        </w:rPr>
        <w:t>KPC</w:t>
      </w:r>
      <w:proofErr w:type="spellEnd"/>
      <w:r w:rsidRPr="00C22903">
        <w:rPr>
          <w:rFonts w:ascii="Garamond" w:hAnsi="Garamond"/>
          <w:color w:val="000000"/>
        </w:rPr>
        <w:t xml:space="preserve">-së dhe se as </w:t>
      </w:r>
      <w:proofErr w:type="spellStart"/>
      <w:r w:rsidRPr="00C22903">
        <w:rPr>
          <w:rFonts w:ascii="Garamond" w:hAnsi="Garamond"/>
          <w:color w:val="000000"/>
        </w:rPr>
        <w:t>noterizimi</w:t>
      </w:r>
      <w:proofErr w:type="spellEnd"/>
      <w:r w:rsidRPr="00C22903">
        <w:rPr>
          <w:rFonts w:ascii="Garamond" w:hAnsi="Garamond"/>
          <w:color w:val="000000"/>
        </w:rPr>
        <w:t xml:space="preserve"> i tyre nuk u jep vlerën e provës, për shkak se nuk kanë elementet e nevojshme sipas nenit 259 të </w:t>
      </w:r>
      <w:proofErr w:type="spellStart"/>
      <w:r w:rsidRPr="00C22903">
        <w:rPr>
          <w:rFonts w:ascii="Garamond" w:hAnsi="Garamond"/>
          <w:color w:val="000000"/>
        </w:rPr>
        <w:t>KPC</w:t>
      </w:r>
      <w:proofErr w:type="spellEnd"/>
      <w:r w:rsidRPr="00C22903">
        <w:rPr>
          <w:rFonts w:ascii="Garamond" w:hAnsi="Garamond"/>
          <w:color w:val="000000"/>
        </w:rPr>
        <w:t xml:space="preserve">-së. Sipas kërkuesve, ata kanë paraqitur dokumentacion ligjor me fuqi të plotë provuese, që nuk është vlerësuar nga gjykatat dhe megjithëse provohet se paditësi ka dhënë një vlerë minimale, gjykatat ia kanë kaluar barrën e provës palës së paditur (kërkuesve) që të paraqesë dokumente shkresore për kontributin e saj. </w:t>
      </w:r>
    </w:p>
    <w:p w14:paraId="392E82D0" w14:textId="34CD2ECA" w:rsidR="00032A2B" w:rsidRPr="00C22903" w:rsidRDefault="00032A2B" w:rsidP="00032A2B">
      <w:pPr>
        <w:tabs>
          <w:tab w:val="left" w:pos="108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26. Në jurisprudencën e saj të vazhdueshme, Gjykata ka theksuar se vlerësimi i provave dhe problemet e interpretimit dhe zbatimit të ligjit për zgjidhjen e çështjeve konkrete nuk përfshihen në juridiksionin kushtetues, nëse nuk shoqërohen me cenimin e të drejtave kushtetuese. Mënyra se si gjykatat e zakonshme kanë përcaktuar faktet dhe kanë interpretuar ligjin e zbatueshëm në zgjidhjen e mosmarrëveshjes në shqyrtim para tyre nuk përbën lëndë kushtetuese (</w:t>
      </w:r>
      <w:r w:rsidRPr="00C22903">
        <w:rPr>
          <w:rFonts w:ascii="Garamond" w:hAnsi="Garamond"/>
          <w:i/>
          <w:iCs/>
          <w:color w:val="000000"/>
        </w:rPr>
        <w:t>shih vendimet nr. 38, datë 2.12.2021; nr. 6, datë 16.2.2021; nr. 9, datë 26.3.2018</w:t>
      </w:r>
      <w:r w:rsidR="006E3282">
        <w:rPr>
          <w:rFonts w:ascii="Garamond" w:hAnsi="Garamond"/>
          <w:i/>
          <w:iCs/>
          <w:color w:val="000000"/>
        </w:rPr>
        <w:t>,</w:t>
      </w:r>
      <w:r w:rsidRPr="00C22903">
        <w:rPr>
          <w:rFonts w:ascii="Garamond" w:hAnsi="Garamond"/>
          <w:i/>
          <w:iCs/>
          <w:color w:val="000000"/>
        </w:rPr>
        <w:t xml:space="preserve"> të Gjykatës Kushtetuese</w:t>
      </w:r>
      <w:r w:rsidRPr="00C22903">
        <w:rPr>
          <w:rFonts w:ascii="Garamond" w:hAnsi="Garamond"/>
          <w:color w:val="000000"/>
        </w:rPr>
        <w:t>).</w:t>
      </w:r>
    </w:p>
    <w:p w14:paraId="485D3463" w14:textId="2F663BC0" w:rsidR="00032A2B" w:rsidRPr="00C22903" w:rsidRDefault="00032A2B" w:rsidP="00032A2B">
      <w:pPr>
        <w:tabs>
          <w:tab w:val="left" w:pos="108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27. Në këtë kuptim, referuar argumenteve të paraqitura nga kërkuesit në mbështetje të pretendimeve të tyre për cenimin e standardit të arsyetimit të vendimit gjyqësor nga gjykata e shkallës së parë dhe gjykata e apelit, së drejtës për t’u dëgjuar, si edhe ligjshmërisë së provave, Gjykata konstaton se ato, në thelb, kanë të bëjnë me çështje të vlerësimit dhe analizës së provave, si edhe interpretimit e zbatimit të ligjit. Si të tilla, ato nuk bëjnë pjesë në juridiksionin kushtetues. Nga ana tjetër, Gjykata vëren se në lidhje me këto pretendime, kërkuesit nuk kanë arritur të provojnë se si vendimet/qëndrimet e atyre gjykatave kanë cenuar këto standarde/parime kushtetuese. Për rrjedhojë, Gjykata evidenton se këto pretendime të kërkuesve nuk janë argumentuar nga pikëpamja kushtetuese dhe nuk mund të merren në shqyrtim prej saj.</w:t>
      </w:r>
    </w:p>
    <w:p w14:paraId="3AAF971A" w14:textId="59682E4A" w:rsidR="00032A2B" w:rsidRPr="00C22903" w:rsidRDefault="00032A2B" w:rsidP="00032A2B">
      <w:pPr>
        <w:tabs>
          <w:tab w:val="left" w:pos="108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 xml:space="preserve">28. Po kështu, Gjykata vëren se kërkuesit kanë pretenduar edhe cenimin e </w:t>
      </w:r>
      <w:r w:rsidRPr="00C22903">
        <w:rPr>
          <w:rFonts w:ascii="Garamond" w:hAnsi="Garamond"/>
          <w:i/>
          <w:iCs/>
          <w:color w:val="000000"/>
        </w:rPr>
        <w:t>parimit të barazisë përpara ligjit</w:t>
      </w:r>
      <w:r w:rsidRPr="00C22903">
        <w:rPr>
          <w:rFonts w:ascii="Garamond" w:hAnsi="Garamond"/>
          <w:color w:val="000000"/>
        </w:rPr>
        <w:t xml:space="preserve">, duke argumentuar se gjykatat nuk kanë zbatuar vendimet </w:t>
      </w:r>
      <w:proofErr w:type="spellStart"/>
      <w:r w:rsidRPr="00C22903">
        <w:rPr>
          <w:rFonts w:ascii="Garamond" w:hAnsi="Garamond"/>
          <w:color w:val="000000"/>
        </w:rPr>
        <w:t>unifikuese</w:t>
      </w:r>
      <w:proofErr w:type="spellEnd"/>
      <w:r w:rsidRPr="00C22903">
        <w:rPr>
          <w:rFonts w:ascii="Garamond" w:hAnsi="Garamond"/>
          <w:color w:val="000000"/>
        </w:rPr>
        <w:t xml:space="preserve"> të Kolegjeve të Bashkuara të Gjykatës së Lartë.</w:t>
      </w:r>
    </w:p>
    <w:p w14:paraId="7D4491D0" w14:textId="22491ECE" w:rsidR="00032A2B" w:rsidRPr="00C22903" w:rsidRDefault="00032A2B" w:rsidP="00032A2B">
      <w:pPr>
        <w:tabs>
          <w:tab w:val="left" w:pos="108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 xml:space="preserve">29. Në vlerësimin e Gjykatës, sipas parimit kushtetues të barazisë përpara ligjit, të sanksionuar në nenin 18 të Kushtetutës dhe në vijim të jurisprudencës së kushtetuese, në ligj dhe përpara ligjit nuk do të thotë që të ketë zgjidhje të njëllojta për individë ose kategori personash që janë në kushte objektivisht të ndryshme. Ky parim </w:t>
      </w:r>
      <w:proofErr w:type="spellStart"/>
      <w:r w:rsidRPr="00C22903">
        <w:rPr>
          <w:rFonts w:ascii="Garamond" w:hAnsi="Garamond"/>
          <w:color w:val="000000"/>
        </w:rPr>
        <w:t>presupozon</w:t>
      </w:r>
      <w:proofErr w:type="spellEnd"/>
      <w:r w:rsidRPr="00C22903">
        <w:rPr>
          <w:rFonts w:ascii="Garamond" w:hAnsi="Garamond"/>
          <w:color w:val="000000"/>
        </w:rPr>
        <w:t xml:space="preserve"> barazinë e individëve që janë në kushte të barabarta dhe vetëm në raste </w:t>
      </w:r>
      <w:proofErr w:type="spellStart"/>
      <w:r w:rsidRPr="00C22903">
        <w:rPr>
          <w:rFonts w:ascii="Garamond" w:hAnsi="Garamond"/>
          <w:color w:val="000000"/>
        </w:rPr>
        <w:t>përjashtimore</w:t>
      </w:r>
      <w:proofErr w:type="spellEnd"/>
      <w:r w:rsidRPr="00C22903">
        <w:rPr>
          <w:rFonts w:ascii="Garamond" w:hAnsi="Garamond"/>
          <w:color w:val="000000"/>
        </w:rPr>
        <w:t xml:space="preserve"> dhe për shkaqe të arsyeshme e objektive mund të përligjet trajtimi i ndryshëm i kategorive të caktuara që përfitojnë nga kjo e drejtë </w:t>
      </w:r>
      <w:r w:rsidRPr="00C22903">
        <w:rPr>
          <w:rFonts w:ascii="Garamond" w:hAnsi="Garamond"/>
          <w:i/>
          <w:iCs/>
          <w:color w:val="000000"/>
        </w:rPr>
        <w:t>(shih vendimet nr. 5, datë 13.2.2024; nr. 70, datë 27.12.2023; nr. 71, datë 27.11.2015</w:t>
      </w:r>
      <w:r w:rsidR="006E3282">
        <w:rPr>
          <w:rFonts w:ascii="Garamond" w:hAnsi="Garamond"/>
          <w:i/>
          <w:iCs/>
          <w:color w:val="000000"/>
        </w:rPr>
        <w:t>,</w:t>
      </w:r>
      <w:r w:rsidRPr="00C22903">
        <w:rPr>
          <w:rFonts w:ascii="Garamond" w:hAnsi="Garamond"/>
          <w:i/>
          <w:iCs/>
          <w:color w:val="000000"/>
        </w:rPr>
        <w:t xml:space="preserve"> të Gjykatës Kushtetuese</w:t>
      </w:r>
      <w:r w:rsidRPr="00C22903">
        <w:rPr>
          <w:rFonts w:ascii="Garamond" w:hAnsi="Garamond"/>
          <w:color w:val="000000"/>
        </w:rPr>
        <w:t>)</w:t>
      </w:r>
    </w:p>
    <w:p w14:paraId="4A9AE2CE" w14:textId="6B1C4C83" w:rsidR="00032A2B" w:rsidRPr="00C22903" w:rsidRDefault="00032A2B" w:rsidP="00032A2B">
      <w:pPr>
        <w:tabs>
          <w:tab w:val="left" w:pos="108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 xml:space="preserve">30. Në rastin konkret, Gjykata vëren se kërkuesit nuk rezultojnë të kenë paraqitur asnjë vendim njësues të praktikës gjyqësore të cilin nuk e kanë zbatuar gjykatat në vlerësimin e çështjes së tyre, duke mos parashtruar asnjë shkak konkret për cenimin e këtij parimi nga ato gjykata. Në këtë kuptim, ky argument i tyre nuk përbën argument kushtetues për cenimin e parimit të barazisë përpara ligjit. Nga ana tjetër, Gjykata rithekson qëndrimin e saj se, kur kërkuesit kanë pretenduar cenimin e parimit të barazisë përpara ligjit në lidhje me mënyrën se si gjykatat kanë vendosur në raste të ngjashme, vlerësimi kushtetues i mënyrës së zgjidhjes së çështjeve të ngjashme nga gjykatat e zakonshme bëhet rast pas rasti, duke iu referuar edhe rastit konkret. Fakti që gjykatat e zakonshme kanë vendosur ndryshe në një rast të ngjashëm, në vetvete nuk mund të justifikojë </w:t>
      </w:r>
      <w:r w:rsidRPr="00C22903">
        <w:rPr>
          <w:rFonts w:ascii="Garamond" w:hAnsi="Garamond"/>
          <w:i/>
          <w:iCs/>
          <w:color w:val="000000"/>
        </w:rPr>
        <w:t xml:space="preserve">a </w:t>
      </w:r>
      <w:proofErr w:type="spellStart"/>
      <w:r w:rsidRPr="00C22903">
        <w:rPr>
          <w:rFonts w:ascii="Garamond" w:hAnsi="Garamond"/>
          <w:i/>
          <w:iCs/>
          <w:color w:val="000000"/>
        </w:rPr>
        <w:t>priori</w:t>
      </w:r>
      <w:proofErr w:type="spellEnd"/>
      <w:r w:rsidRPr="00C22903">
        <w:rPr>
          <w:rFonts w:ascii="Garamond" w:hAnsi="Garamond"/>
          <w:color w:val="000000"/>
        </w:rPr>
        <w:t xml:space="preserve"> pretendimet e individit, pasi mënyra e zgjidhjes së çështjes dhe e zbatimit të ligjit është e drejtë e çdo gjykate, për sa kohë çdo çështje konkrete është specifike dhe ka individualitetin e saj,</w:t>
      </w:r>
      <w:r w:rsidR="0082608D">
        <w:rPr>
          <w:rFonts w:ascii="Garamond" w:hAnsi="Garamond"/>
          <w:color w:val="000000"/>
        </w:rPr>
        <w:t xml:space="preserve"> </w:t>
      </w:r>
      <w:r w:rsidRPr="00C22903">
        <w:rPr>
          <w:rFonts w:ascii="Garamond" w:hAnsi="Garamond"/>
          <w:color w:val="000000"/>
        </w:rPr>
        <w:t>harmonizuar edhe me rrethana, faktorë, motive ose prova gjyqësore, të cilat nuk mund të jenë të njëjta (</w:t>
      </w:r>
      <w:r w:rsidRPr="00C22903">
        <w:rPr>
          <w:rFonts w:ascii="Garamond" w:hAnsi="Garamond"/>
          <w:i/>
          <w:iCs/>
          <w:color w:val="000000"/>
        </w:rPr>
        <w:t>shih vendimet nr. 47, datë 11.6.2024; nr. 19, datë 21.3.2024;</w:t>
      </w:r>
      <w:r w:rsidR="0082608D">
        <w:rPr>
          <w:rFonts w:ascii="Garamond" w:hAnsi="Garamond"/>
          <w:i/>
          <w:iCs/>
          <w:color w:val="000000"/>
        </w:rPr>
        <w:t xml:space="preserve"> </w:t>
      </w:r>
      <w:r w:rsidRPr="00C22903">
        <w:rPr>
          <w:rFonts w:ascii="Garamond" w:hAnsi="Garamond"/>
          <w:i/>
          <w:iCs/>
          <w:color w:val="000000"/>
        </w:rPr>
        <w:t>nr. 17, datë 23.3.2023</w:t>
      </w:r>
      <w:r w:rsidR="006E3282">
        <w:rPr>
          <w:rFonts w:ascii="Garamond" w:hAnsi="Garamond"/>
          <w:i/>
          <w:iCs/>
          <w:color w:val="000000"/>
        </w:rPr>
        <w:t>,</w:t>
      </w:r>
      <w:r w:rsidRPr="00C22903">
        <w:rPr>
          <w:rFonts w:ascii="Garamond" w:hAnsi="Garamond"/>
          <w:b/>
          <w:bCs/>
          <w:color w:val="000000"/>
        </w:rPr>
        <w:t xml:space="preserve"> </w:t>
      </w:r>
      <w:r w:rsidRPr="00C22903">
        <w:rPr>
          <w:rFonts w:ascii="Garamond" w:hAnsi="Garamond"/>
          <w:i/>
          <w:iCs/>
          <w:color w:val="000000"/>
        </w:rPr>
        <w:t>të Gjykatës Kushtetuese</w:t>
      </w:r>
      <w:r w:rsidRPr="00C22903">
        <w:rPr>
          <w:rFonts w:ascii="Garamond" w:hAnsi="Garamond"/>
          <w:color w:val="000000"/>
        </w:rPr>
        <w:t>).</w:t>
      </w:r>
      <w:r w:rsidRPr="00C22903">
        <w:rPr>
          <w:rFonts w:ascii="Garamond" w:hAnsi="Garamond"/>
          <w:b/>
          <w:bCs/>
          <w:color w:val="000000"/>
        </w:rPr>
        <w:t xml:space="preserve"> </w:t>
      </w:r>
      <w:r w:rsidRPr="00C22903">
        <w:rPr>
          <w:rFonts w:ascii="Garamond" w:hAnsi="Garamond"/>
          <w:color w:val="000000"/>
        </w:rPr>
        <w:t xml:space="preserve">Për rrjedhojë, Gjykata konstaton se argumentet e kërkuesve për pretendimin e cenimit të parimit të barazisë përpara ligjit nuk janë ngritur në nivel kushtetues dhe nuk mund të merren në shqyrtim prej saj. </w:t>
      </w:r>
    </w:p>
    <w:p w14:paraId="32FBD79F" w14:textId="31D4157F" w:rsidR="00032A2B" w:rsidRPr="00C22903" w:rsidRDefault="00032A2B" w:rsidP="00032A2B">
      <w:pPr>
        <w:tabs>
          <w:tab w:val="left" w:pos="108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lastRenderedPageBreak/>
        <w:t xml:space="preserve">31. Po ashtu, Gjykata vëren se në drejtim të së </w:t>
      </w:r>
      <w:r w:rsidRPr="00C22903">
        <w:rPr>
          <w:rFonts w:ascii="Garamond" w:hAnsi="Garamond"/>
          <w:i/>
          <w:iCs/>
          <w:color w:val="000000"/>
        </w:rPr>
        <w:t xml:space="preserve">drejtës së </w:t>
      </w:r>
      <w:proofErr w:type="spellStart"/>
      <w:r w:rsidRPr="00C22903">
        <w:rPr>
          <w:rFonts w:ascii="Garamond" w:hAnsi="Garamond"/>
          <w:i/>
          <w:iCs/>
          <w:color w:val="000000"/>
        </w:rPr>
        <w:t>aksesit</w:t>
      </w:r>
      <w:proofErr w:type="spellEnd"/>
      <w:r w:rsidRPr="00C22903">
        <w:rPr>
          <w:rFonts w:ascii="Garamond" w:hAnsi="Garamond"/>
          <w:color w:val="000000"/>
        </w:rPr>
        <w:t xml:space="preserve"> kërkuesit kanë argumentuar se referuar pretendimeve të paraqitura në rekurs, në shtesën e rekursit dhe në shpjegimet e datës 7.9.2023, duke pasur parasysh edhe </w:t>
      </w:r>
      <w:proofErr w:type="spellStart"/>
      <w:r w:rsidRPr="00C22903">
        <w:rPr>
          <w:rFonts w:ascii="Garamond" w:hAnsi="Garamond"/>
          <w:color w:val="000000"/>
        </w:rPr>
        <w:t>kompleksitetin</w:t>
      </w:r>
      <w:proofErr w:type="spellEnd"/>
      <w:r w:rsidRPr="00C22903">
        <w:rPr>
          <w:rFonts w:ascii="Garamond" w:hAnsi="Garamond"/>
          <w:color w:val="000000"/>
        </w:rPr>
        <w:t xml:space="preserve"> e çështjes, Gjykata e Lartë duhet ta kishte shqyrtuar çështjen në seancë gjyqësore për të dëgjuar edhe palët.</w:t>
      </w:r>
    </w:p>
    <w:p w14:paraId="028BBFFD" w14:textId="26357D06" w:rsidR="00032A2B" w:rsidRPr="00C22903" w:rsidRDefault="00032A2B" w:rsidP="00032A2B">
      <w:pPr>
        <w:tabs>
          <w:tab w:val="left" w:pos="108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32. Në lidhje me mospjesëmarrjen e palëve gjatë fazës së shqyrtimit të rekursit në dhomën e këshillimit, Gjykata ka vlerësuar se kjo nuk përbën proces të parregullt ligjor, pasi ky rregull i sanksionuar në dispozitat procedurale niset nga fakti se shqyrtimi i çështjes në dhomën e këshillimit është seleksionues dhe i kufizuar në raste nga ligji, kështu që s’ka të bëjë me shqyrtimin gjyqësor të çështjes (</w:t>
      </w:r>
      <w:r w:rsidRPr="00C22903">
        <w:rPr>
          <w:rFonts w:ascii="Garamond" w:hAnsi="Garamond"/>
          <w:i/>
          <w:iCs/>
          <w:color w:val="000000"/>
        </w:rPr>
        <w:t>shih vendimin nr. 65, datë 4.4.2002</w:t>
      </w:r>
      <w:r w:rsidR="006E3282">
        <w:rPr>
          <w:rFonts w:ascii="Garamond" w:hAnsi="Garamond"/>
          <w:i/>
          <w:iCs/>
          <w:color w:val="000000"/>
        </w:rPr>
        <w:t>,</w:t>
      </w:r>
      <w:r w:rsidRPr="00C22903">
        <w:rPr>
          <w:rFonts w:ascii="Garamond" w:hAnsi="Garamond"/>
          <w:i/>
          <w:iCs/>
          <w:color w:val="000000"/>
        </w:rPr>
        <w:t xml:space="preserve"> të Gjykatës Kushtetuese</w:t>
      </w:r>
      <w:r w:rsidRPr="00C22903">
        <w:rPr>
          <w:rFonts w:ascii="Garamond" w:hAnsi="Garamond"/>
          <w:color w:val="000000"/>
        </w:rPr>
        <w:t>). Po ashtu, Gjykata ka vlerësuar se është kompetencë e Kolegjit në dhomën e këshillimit të analizojë dhe të vlerësojë nëse shkaqet e ngritura në rekurs janë në përputhje me kërkesat e ligjit dhe nëse krijon bindjen se ato objektivisht nuk ekzistojnë në dosjen gjyqësore, është në funksionin e tij të vendosë, në pajtim me kërkesat ligjore, mospranimin e çështjes për shqyrtim në seancë gjyqësore. Nga pikëpamja kushtetuese, vetëm kur janë të pranishme pretendime që kanë të bëjnë me shkeljen e parimeve themelore të procesit gjyqësor, si dhe kur këto pretendime gjejnë pasqyrim në materialet e çështjes, atëherë vendimi i Kolegjit për mospranimin e rekursit vë në dyshim të drejtën për proces të rregullt ligjor (</w:t>
      </w:r>
      <w:r w:rsidRPr="00C22903">
        <w:rPr>
          <w:rFonts w:ascii="Garamond" w:hAnsi="Garamond"/>
          <w:i/>
          <w:iCs/>
          <w:color w:val="000000"/>
        </w:rPr>
        <w:t>shih</w:t>
      </w:r>
      <w:r w:rsidRPr="00C22903">
        <w:rPr>
          <w:rFonts w:ascii="Garamond" w:hAnsi="Garamond"/>
          <w:color w:val="000000"/>
        </w:rPr>
        <w:t xml:space="preserve"> </w:t>
      </w:r>
      <w:r w:rsidRPr="00C22903">
        <w:rPr>
          <w:rFonts w:ascii="Garamond" w:hAnsi="Garamond"/>
          <w:i/>
          <w:iCs/>
          <w:color w:val="000000"/>
        </w:rPr>
        <w:t>vendimet nr. 22, datë 6.6.2011; nr. 18, datë 18.5.2011; nr. 10, datë 2.4.2009</w:t>
      </w:r>
      <w:r w:rsidR="006E3282">
        <w:rPr>
          <w:rFonts w:ascii="Garamond" w:hAnsi="Garamond"/>
          <w:i/>
          <w:iCs/>
          <w:color w:val="000000"/>
        </w:rPr>
        <w:t>,</w:t>
      </w:r>
      <w:r w:rsidRPr="00C22903">
        <w:rPr>
          <w:rFonts w:ascii="Garamond" w:hAnsi="Garamond"/>
          <w:i/>
          <w:iCs/>
          <w:color w:val="000000"/>
        </w:rPr>
        <w:t xml:space="preserve"> të Gjykatës Kushtetuese</w:t>
      </w:r>
      <w:r w:rsidRPr="00C22903">
        <w:rPr>
          <w:rFonts w:ascii="Garamond" w:hAnsi="Garamond"/>
          <w:color w:val="000000"/>
        </w:rPr>
        <w:t xml:space="preserve">). </w:t>
      </w:r>
    </w:p>
    <w:p w14:paraId="4650FC7D" w14:textId="2A10CE19" w:rsidR="00032A2B" w:rsidRPr="00C22903" w:rsidRDefault="00032A2B" w:rsidP="00032A2B">
      <w:pPr>
        <w:tabs>
          <w:tab w:val="left" w:pos="108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 xml:space="preserve">33. Për sa më lart, në rastin konkret, Gjykata konstaton se Gjykata e Lartë ka vepruar në përputhje me parashikimet procedurale të nenit 480 të </w:t>
      </w:r>
      <w:proofErr w:type="spellStart"/>
      <w:r w:rsidRPr="00C22903">
        <w:rPr>
          <w:rFonts w:ascii="Garamond" w:hAnsi="Garamond"/>
          <w:color w:val="000000"/>
        </w:rPr>
        <w:t>KPC</w:t>
      </w:r>
      <w:proofErr w:type="spellEnd"/>
      <w:r w:rsidRPr="00C22903">
        <w:rPr>
          <w:rFonts w:ascii="Garamond" w:hAnsi="Garamond"/>
          <w:color w:val="000000"/>
        </w:rPr>
        <w:t>-së, sipas të cilave mospranimi i rekursit vendoset në dhomën e këshillimit, pra pa praninë e palëve, kur janë rastet e parashikuara nga kjo dispozitë. Po ashtu, Gjykata evidenton se kërkuesit, edhe pse kanë barrën e provës në këtë drejtim, nuk kanë arritur të provojnë në aspektin kushtetues cenimin e së drejtës për proces të rregullt për shkak të shqyrtimit të rekursit në dhomën e këshillimit. Ndaj argumentet e tyre se Gjykata e Lartë duhet ta kishte shqyrtuar çështjen në seancë gjyqësore për të dëgjuar palët janë haptazi të pabazuara.</w:t>
      </w:r>
    </w:p>
    <w:p w14:paraId="2BF32E5E" w14:textId="04746EEC" w:rsidR="00032A2B" w:rsidRPr="00C22903" w:rsidRDefault="00032A2B" w:rsidP="00032A2B">
      <w:pPr>
        <w:tabs>
          <w:tab w:val="left" w:pos="108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 xml:space="preserve">34. Për sa u përket pretendimeve të tjera të kërkuesve në drejtim të së drejtës për proces të rregullt, konkretisht ato për cenimin e së drejtës së </w:t>
      </w:r>
      <w:proofErr w:type="spellStart"/>
      <w:r w:rsidRPr="00C22903">
        <w:rPr>
          <w:rFonts w:ascii="Garamond" w:hAnsi="Garamond"/>
          <w:color w:val="000000"/>
        </w:rPr>
        <w:t>aksesit</w:t>
      </w:r>
      <w:proofErr w:type="spellEnd"/>
      <w:r w:rsidRPr="00C22903">
        <w:rPr>
          <w:rFonts w:ascii="Garamond" w:hAnsi="Garamond"/>
          <w:color w:val="000000"/>
        </w:rPr>
        <w:t xml:space="preserve"> dhe standardit të arsyetimit të vendimit gjyqësor nga Gjykata e Lartë, bazuar në natyrën dhe thelbin e tyre, Gjykata çmon t’i shqyrtojë në vijim në drejtim të së drejtës së </w:t>
      </w:r>
      <w:proofErr w:type="spellStart"/>
      <w:r w:rsidRPr="00C22903">
        <w:rPr>
          <w:rFonts w:ascii="Garamond" w:hAnsi="Garamond"/>
          <w:color w:val="000000"/>
        </w:rPr>
        <w:t>aksesit</w:t>
      </w:r>
      <w:proofErr w:type="spellEnd"/>
      <w:r w:rsidRPr="00C22903">
        <w:rPr>
          <w:rFonts w:ascii="Garamond" w:hAnsi="Garamond"/>
          <w:color w:val="000000"/>
        </w:rPr>
        <w:t xml:space="preserve"> të lidhur me standardin e arsyetimit të vendimit gjyqësor.</w:t>
      </w:r>
      <w:r w:rsidRPr="00C22903">
        <w:rPr>
          <w:rFonts w:ascii="Garamond" w:hAnsi="Garamond"/>
          <w:color w:val="FF0000"/>
        </w:rPr>
        <w:t xml:space="preserve"> </w:t>
      </w:r>
    </w:p>
    <w:p w14:paraId="4B9AC349" w14:textId="77777777" w:rsidR="00032A2B" w:rsidRPr="00C22903" w:rsidRDefault="00032A2B" w:rsidP="00032A2B">
      <w:pPr>
        <w:tabs>
          <w:tab w:val="left" w:pos="1080"/>
        </w:tabs>
        <w:autoSpaceDE w:val="0"/>
        <w:autoSpaceDN w:val="0"/>
        <w:adjustRightInd w:val="0"/>
        <w:spacing w:line="240" w:lineRule="auto"/>
        <w:ind w:firstLine="284"/>
        <w:jc w:val="both"/>
        <w:rPr>
          <w:rFonts w:ascii="Garamond" w:hAnsi="Garamond"/>
          <w:i/>
          <w:iCs/>
          <w:color w:val="000000"/>
        </w:rPr>
      </w:pPr>
      <w:r w:rsidRPr="00C22903">
        <w:rPr>
          <w:rFonts w:ascii="Garamond" w:hAnsi="Garamond"/>
          <w:i/>
          <w:iCs/>
          <w:color w:val="000000"/>
        </w:rPr>
        <w:t>B. Për themelin e pretendimeve</w:t>
      </w:r>
    </w:p>
    <w:p w14:paraId="0B42B1C5" w14:textId="77777777" w:rsidR="00032A2B" w:rsidRPr="00C22903" w:rsidRDefault="00032A2B" w:rsidP="00032A2B">
      <w:pPr>
        <w:tabs>
          <w:tab w:val="left" w:pos="720"/>
          <w:tab w:val="left" w:pos="980"/>
          <w:tab w:val="left" w:pos="1080"/>
        </w:tabs>
        <w:autoSpaceDE w:val="0"/>
        <w:autoSpaceDN w:val="0"/>
        <w:adjustRightInd w:val="0"/>
        <w:spacing w:line="240" w:lineRule="auto"/>
        <w:ind w:firstLine="284"/>
        <w:jc w:val="both"/>
        <w:rPr>
          <w:rFonts w:ascii="Garamond" w:hAnsi="Garamond"/>
          <w:i/>
          <w:iCs/>
          <w:color w:val="000000"/>
        </w:rPr>
      </w:pPr>
      <w:r w:rsidRPr="00C22903">
        <w:rPr>
          <w:rFonts w:ascii="Garamond" w:hAnsi="Garamond"/>
          <w:i/>
          <w:iCs/>
          <w:color w:val="000000"/>
        </w:rPr>
        <w:t xml:space="preserve">B.1. Për cenimin e së drejtës së </w:t>
      </w:r>
      <w:proofErr w:type="spellStart"/>
      <w:r w:rsidRPr="00C22903">
        <w:rPr>
          <w:rFonts w:ascii="Garamond" w:hAnsi="Garamond"/>
          <w:i/>
          <w:iCs/>
          <w:color w:val="000000"/>
        </w:rPr>
        <w:t>aksesit</w:t>
      </w:r>
      <w:proofErr w:type="spellEnd"/>
      <w:r w:rsidRPr="00C22903">
        <w:rPr>
          <w:rFonts w:ascii="Garamond" w:hAnsi="Garamond"/>
          <w:i/>
          <w:iCs/>
          <w:color w:val="000000"/>
        </w:rPr>
        <w:t xml:space="preserve"> të lidhur me standardin e arsyetimit të vendimit gjyqësor</w:t>
      </w:r>
    </w:p>
    <w:p w14:paraId="18AA9BC6" w14:textId="38CA4333" w:rsidR="00032A2B" w:rsidRPr="00C22903" w:rsidRDefault="00032A2B" w:rsidP="00032A2B">
      <w:pPr>
        <w:tabs>
          <w:tab w:val="left" w:pos="108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35. Kërkuesit kanë pretenduar se edhe pse në rekurs kanë ngritur pretendime për shkelje të procesit të rregullt nga gjykatat më të ulëta, Gjykata e Lartë nuk i ka riparuar ato. Sipas kërkuesve, Kolegji Civil nuk ka arsyetuar pretendimet për shkeljet procedurale të kryera nga gjykatat më të ulëta, të paraqitura në shtesën e rekursit të datës 13.7.2021, si dhe në shpjegimet e datës 7.9.2023, të cilat jo vetëm që nuk janë marrë në shqyrtim, por as nuk janë pasqyruar në vendim, në pjesën hyrëse ku parashtrohen shkaqet e rekursit. Në vlerësimin e kërkuesve ky qëndrim i Gjykatës së Lartë vjen në kundërshtim me jurisprudencën kushtetuese.</w:t>
      </w:r>
    </w:p>
    <w:p w14:paraId="6426C029" w14:textId="79392785" w:rsidR="00032A2B" w:rsidRPr="00C22903" w:rsidRDefault="00032A2B" w:rsidP="00032A2B">
      <w:pPr>
        <w:tabs>
          <w:tab w:val="left" w:pos="108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 xml:space="preserve">36. Subjekti i interesuar ka parashtruar se ky pretendim i kërkuesve është i pabazuar, pasi në rekursin e paraqitur prej tyre nuk ka asnjë pretendim për shkelje procedurale që kanë ndikuar në dhënien e vendimeve apo që vendimet bien ndesh me vendimet </w:t>
      </w:r>
      <w:proofErr w:type="spellStart"/>
      <w:r w:rsidRPr="00C22903">
        <w:rPr>
          <w:rFonts w:ascii="Garamond" w:hAnsi="Garamond"/>
          <w:color w:val="000000"/>
        </w:rPr>
        <w:t>unifikuese</w:t>
      </w:r>
      <w:proofErr w:type="spellEnd"/>
      <w:r w:rsidRPr="00C22903">
        <w:rPr>
          <w:rFonts w:ascii="Garamond" w:hAnsi="Garamond"/>
          <w:color w:val="000000"/>
        </w:rPr>
        <w:t xml:space="preserve">. Po ashtu, sipas subjektit të interesuar, në asnjë dispozitë ligjore nuk parashikohet që të bëhet shtesë rekursi pesë vjet pasi është dhënë vendimi gjyqësor. Gjithsesi, subjekti i interesuar ka prapësuar duke argumentuar se edhe në shtesën e rekursit kërkuesit nuk rezulton të kenë paraqitur asnjë argument për shkelje procedurale që kanë ndikuar në dhënien e vendimit apo që vendimet bien ndesh me vendimet </w:t>
      </w:r>
      <w:proofErr w:type="spellStart"/>
      <w:r w:rsidRPr="00C22903">
        <w:rPr>
          <w:rFonts w:ascii="Garamond" w:hAnsi="Garamond"/>
          <w:color w:val="000000"/>
        </w:rPr>
        <w:t>unifikuese</w:t>
      </w:r>
      <w:proofErr w:type="spellEnd"/>
      <w:r w:rsidRPr="00C22903">
        <w:rPr>
          <w:rFonts w:ascii="Garamond" w:hAnsi="Garamond"/>
          <w:color w:val="000000"/>
        </w:rPr>
        <w:t xml:space="preserve"> të Gjykatës së Lartë dhe se ata kanë marrë përgjigje nga gjykatat për të gjitha pretendimet e tyre.</w:t>
      </w:r>
    </w:p>
    <w:p w14:paraId="3DA6DECE" w14:textId="45BCA9B5" w:rsidR="00032A2B" w:rsidRPr="00C22903" w:rsidRDefault="00032A2B" w:rsidP="00032A2B">
      <w:pPr>
        <w:tabs>
          <w:tab w:val="left" w:pos="108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 xml:space="preserve">37. Në jurisprudencën e saj Gjykata ka theksuar se e drejta për të pasur </w:t>
      </w:r>
      <w:proofErr w:type="spellStart"/>
      <w:r w:rsidRPr="00C22903">
        <w:rPr>
          <w:rFonts w:ascii="Garamond" w:hAnsi="Garamond"/>
          <w:color w:val="000000"/>
        </w:rPr>
        <w:t>akses</w:t>
      </w:r>
      <w:proofErr w:type="spellEnd"/>
      <w:r w:rsidRPr="00C22903">
        <w:rPr>
          <w:rFonts w:ascii="Garamond" w:hAnsi="Garamond"/>
          <w:color w:val="000000"/>
        </w:rPr>
        <w:t xml:space="preserve"> në gjykatë i garanton individit të drejtën për t’iu drejtuar gjykatës dhe për të marrë një përgjigje përfundimtare prej saj, të arsyetuar, për pretendimet e ngritura (</w:t>
      </w:r>
      <w:r w:rsidRPr="00C22903">
        <w:rPr>
          <w:rFonts w:ascii="Garamond" w:hAnsi="Garamond"/>
          <w:i/>
          <w:iCs/>
          <w:color w:val="000000"/>
        </w:rPr>
        <w:t>shih vendimet nr. 11, datë 21.4.2022; nr.17, datë 24.3.2014</w:t>
      </w:r>
      <w:r w:rsidR="006E3282">
        <w:rPr>
          <w:rFonts w:ascii="Garamond" w:hAnsi="Garamond"/>
          <w:i/>
          <w:iCs/>
          <w:color w:val="000000"/>
        </w:rPr>
        <w:t>,</w:t>
      </w:r>
      <w:r w:rsidRPr="00C22903">
        <w:rPr>
          <w:rFonts w:ascii="Garamond" w:hAnsi="Garamond"/>
          <w:i/>
          <w:iCs/>
          <w:color w:val="000000"/>
        </w:rPr>
        <w:t xml:space="preserve"> të Gjykatës Kushtetuese</w:t>
      </w:r>
      <w:r w:rsidRPr="00C22903">
        <w:rPr>
          <w:rFonts w:ascii="Garamond" w:hAnsi="Garamond"/>
          <w:color w:val="000000"/>
        </w:rPr>
        <w:t xml:space="preserve">). Gjithashtu, Gjykata ka pohuar se kur në rekurs janë ngritur pretendime të natyrës kushtetuese, Gjykata e Lartë, bazuar në natyrën e gjykimit kushtetues të kërkesave individuale, si dhe në parimin e </w:t>
      </w:r>
      <w:proofErr w:type="spellStart"/>
      <w:r w:rsidRPr="00C22903">
        <w:rPr>
          <w:rFonts w:ascii="Garamond" w:hAnsi="Garamond"/>
          <w:color w:val="000000"/>
        </w:rPr>
        <w:t>subsidiaritetit</w:t>
      </w:r>
      <w:proofErr w:type="spellEnd"/>
      <w:r w:rsidRPr="00C22903">
        <w:rPr>
          <w:rFonts w:ascii="Garamond" w:hAnsi="Garamond"/>
          <w:color w:val="000000"/>
        </w:rPr>
        <w:t xml:space="preserve"> që udhëheq raportet ndërmjet juridiksionit </w:t>
      </w:r>
      <w:r w:rsidRPr="00C22903">
        <w:rPr>
          <w:rFonts w:ascii="Garamond" w:hAnsi="Garamond"/>
          <w:color w:val="000000"/>
        </w:rPr>
        <w:lastRenderedPageBreak/>
        <w:t>kushtetues dhe juridiksionit të gjykatave të zakonshme, duhet të investohet në ekzaminimin e tyre dhe të mbajë një qëndrim të shprehur lidhur me to (</w:t>
      </w:r>
      <w:r w:rsidRPr="00C22903">
        <w:rPr>
          <w:rFonts w:ascii="Garamond" w:hAnsi="Garamond"/>
          <w:i/>
          <w:iCs/>
          <w:color w:val="000000"/>
        </w:rPr>
        <w:t>shih vendimet nr. 47, datë 11.6.2024; nr. 19, datë 7.7.2022; nr. 11, datë 16.4.2018</w:t>
      </w:r>
      <w:r w:rsidR="006E3282">
        <w:rPr>
          <w:rFonts w:ascii="Garamond" w:hAnsi="Garamond"/>
          <w:i/>
          <w:iCs/>
          <w:color w:val="000000"/>
        </w:rPr>
        <w:t>,</w:t>
      </w:r>
      <w:r w:rsidRPr="00C22903">
        <w:rPr>
          <w:rFonts w:ascii="Garamond" w:hAnsi="Garamond"/>
          <w:i/>
          <w:iCs/>
          <w:color w:val="000000"/>
        </w:rPr>
        <w:t xml:space="preserve"> të Gjykatës Kushtetuese</w:t>
      </w:r>
      <w:r w:rsidRPr="00C22903">
        <w:rPr>
          <w:rFonts w:ascii="Garamond" w:hAnsi="Garamond"/>
          <w:color w:val="000000"/>
        </w:rPr>
        <w:t>). Për rrjedhojë, në rastet kur pretendimet me natyrë kushtetuese të paraqitura në rekurs nuk gjejnë pasqyrim në vendimin e Gjykatës së Lartë dhe atyre nuk u jepet përgjigje, arsyetimi i vendimit të asaj gjykate nuk ka përmbushur një ndër funksionet e tij, konkretisht të drejtën e individit për t’u dëgjuar për të gjitha pretendimet e ngritura (</w:t>
      </w:r>
      <w:r w:rsidRPr="00C22903">
        <w:rPr>
          <w:rFonts w:ascii="Garamond" w:hAnsi="Garamond"/>
          <w:i/>
          <w:iCs/>
          <w:color w:val="000000"/>
        </w:rPr>
        <w:t>shih vendimet nr. 28, datë 11.4.2024; nr. 19, datë</w:t>
      </w:r>
      <w:r w:rsidR="006E3282">
        <w:rPr>
          <w:rFonts w:ascii="Garamond" w:hAnsi="Garamond"/>
          <w:i/>
          <w:iCs/>
          <w:color w:val="000000"/>
        </w:rPr>
        <w:t xml:space="preserve"> </w:t>
      </w:r>
      <w:r w:rsidRPr="00C22903">
        <w:rPr>
          <w:rFonts w:ascii="Garamond" w:hAnsi="Garamond"/>
          <w:i/>
          <w:iCs/>
          <w:color w:val="000000"/>
        </w:rPr>
        <w:t>7.7.2022</w:t>
      </w:r>
      <w:r w:rsidR="006E3282">
        <w:rPr>
          <w:rFonts w:ascii="Garamond" w:hAnsi="Garamond"/>
          <w:i/>
          <w:iCs/>
          <w:color w:val="000000"/>
        </w:rPr>
        <w:t>,</w:t>
      </w:r>
      <w:r w:rsidRPr="00C22903">
        <w:rPr>
          <w:rFonts w:ascii="Garamond" w:hAnsi="Garamond"/>
          <w:i/>
          <w:iCs/>
          <w:color w:val="000000"/>
        </w:rPr>
        <w:t xml:space="preserve"> të Gjykatës Kushtetuese</w:t>
      </w:r>
      <w:r w:rsidRPr="00C22903">
        <w:rPr>
          <w:rFonts w:ascii="Garamond" w:hAnsi="Garamond"/>
          <w:color w:val="000000"/>
        </w:rPr>
        <w:t>).</w:t>
      </w:r>
    </w:p>
    <w:p w14:paraId="45BE4C9E" w14:textId="7E24E979" w:rsidR="00032A2B" w:rsidRPr="00C22903" w:rsidRDefault="00032A2B" w:rsidP="00032A2B">
      <w:pPr>
        <w:tabs>
          <w:tab w:val="left" w:pos="108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 xml:space="preserve">38. Në këndvështrim të standardeve të mësipërme kushtetuese, në vijim, Gjykata do të vlerësojë nëse gjatë procesit të zhvilluar në Gjykatën e Lartë, kjo e fundit i ka marrë në shqyrtim pretendimet e ngritura prej kërkuesve në rekurs apo në shtesën e rekursit, nëse ato pretendime kanë natyrë kushtetuese, si edhe nëse ato janë vlerësuar prej saj në kuadër të garancive që ofron neni 42 i Kushtetutës për proces të rregullt ligjor. Në këtë kuptim, Gjykata do të analizojë nëse Gjykata e Lartë ka marrë në shqyrtim pretendimet e kërkuesve në këndvështrim të së drejtës së </w:t>
      </w:r>
      <w:proofErr w:type="spellStart"/>
      <w:r w:rsidRPr="00C22903">
        <w:rPr>
          <w:rFonts w:ascii="Garamond" w:hAnsi="Garamond"/>
          <w:color w:val="000000"/>
        </w:rPr>
        <w:t>aksesit</w:t>
      </w:r>
      <w:proofErr w:type="spellEnd"/>
      <w:r w:rsidRPr="00C22903">
        <w:rPr>
          <w:rFonts w:ascii="Garamond" w:hAnsi="Garamond"/>
          <w:color w:val="000000"/>
        </w:rPr>
        <w:t xml:space="preserve"> të lidhur me standardin e arsyetimit të vendimit gjyqësor.</w:t>
      </w:r>
    </w:p>
    <w:p w14:paraId="308E23B0" w14:textId="4A3A6DBE" w:rsidR="00032A2B" w:rsidRPr="00C22903" w:rsidRDefault="00032A2B" w:rsidP="00032A2B">
      <w:pPr>
        <w:tabs>
          <w:tab w:val="left" w:pos="108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 xml:space="preserve">39. Në rastin konkret, rezulton se Gjykata e Lartë është vënë në lëvizje mbi bazën e rekursit të paraqitur nga kërkuesit. Po ashtu, referuar akteve të paraqitura nga kërkuesit bashkëlidhur ankimit kushtetues individual, rezulton se ata kanë paraqitur në Gjykatën e Lartë edhe dy akte të tjera, njërin të titulluar “Shtesë rekursi” (fotokopje të </w:t>
      </w:r>
      <w:proofErr w:type="spellStart"/>
      <w:r w:rsidRPr="00C22903">
        <w:rPr>
          <w:rFonts w:ascii="Garamond" w:hAnsi="Garamond"/>
          <w:color w:val="000000"/>
        </w:rPr>
        <w:t>noterizuar</w:t>
      </w:r>
      <w:proofErr w:type="spellEnd"/>
      <w:r w:rsidRPr="00C22903">
        <w:rPr>
          <w:rFonts w:ascii="Garamond" w:hAnsi="Garamond"/>
          <w:color w:val="000000"/>
        </w:rPr>
        <w:t xml:space="preserve"> të tij), në të cilin është shënuar edhe vula e Gjykatës së Lartë, me numër protokolli 2461 dhe datë depozitimi 13.7.2021, si dhe aktin e titulluar “Shpjegime”, të depozituar në Gjykatën e Lartë në datën 7.9.2023, me numër protokolli 4412 (edhe kjo fotokopje e </w:t>
      </w:r>
      <w:proofErr w:type="spellStart"/>
      <w:r w:rsidRPr="00C22903">
        <w:rPr>
          <w:rFonts w:ascii="Garamond" w:hAnsi="Garamond"/>
          <w:color w:val="000000"/>
        </w:rPr>
        <w:t>noterizuar</w:t>
      </w:r>
      <w:proofErr w:type="spellEnd"/>
      <w:r w:rsidRPr="00C22903">
        <w:rPr>
          <w:rFonts w:ascii="Garamond" w:hAnsi="Garamond"/>
          <w:color w:val="000000"/>
        </w:rPr>
        <w:t>). Ndërkohë, sipas akteve të dosjes gjyqësore të administruar për qëllime të këtij gjykimi kushtetues, Gjykata vëren se në të gjendet i administruar vetëm akti i titulluar “Shpjegime”, i datës 7.9.2023, por nuk rezulton të jetë administruar akti i titulluar “Shtesë rekursi”, i datës 13.7.2021. Po ashtu, referuar përmbajtjes së këtyre akteve, Gjykata vëren se ato ndryshojnë vetëm në emërtimin e tyre, por argumentet e parashtruara në to janë të njëjta.</w:t>
      </w:r>
    </w:p>
    <w:p w14:paraId="57FBEC0E" w14:textId="3E90FDFF" w:rsidR="00032A2B" w:rsidRPr="00C22903" w:rsidRDefault="00032A2B" w:rsidP="00032A2B">
      <w:pPr>
        <w:tabs>
          <w:tab w:val="left" w:pos="108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 xml:space="preserve">40. Në lidhje me përmbajtjen e tyre (shtesës së rekursit dhe shpjegimeve), Gjykata konstaton se kërkuesit kanë argumentuar se gjykata e apelit nuk ka pasur parasysh se objekti i mosmarrëveshjes ka qenë i paqartë; gjykatat gjatë shqyrtimit të çështjeve kanë detyrimin të vlerësojnë dhe të marrin parasysh të gjithë përmbajtjen e akteve procedurale; gjykatat nuk e kanë zgjidhur çështjen </w:t>
      </w:r>
      <w:proofErr w:type="spellStart"/>
      <w:r w:rsidRPr="00C22903">
        <w:rPr>
          <w:rFonts w:ascii="Garamond" w:hAnsi="Garamond"/>
          <w:color w:val="000000"/>
        </w:rPr>
        <w:t>konform</w:t>
      </w:r>
      <w:proofErr w:type="spellEnd"/>
      <w:r w:rsidRPr="00C22903">
        <w:rPr>
          <w:rFonts w:ascii="Garamond" w:hAnsi="Garamond"/>
          <w:color w:val="000000"/>
        </w:rPr>
        <w:t xml:space="preserve"> shkakut që ka referuar paditësi; gjykata e apelit është shprehur për pasuri të cilat nuk janë objekt i ndonjë marrëveshjeje midis palëve </w:t>
      </w:r>
      <w:proofErr w:type="spellStart"/>
      <w:r w:rsidRPr="00C22903">
        <w:rPr>
          <w:rFonts w:ascii="Garamond" w:hAnsi="Garamond"/>
          <w:color w:val="000000"/>
        </w:rPr>
        <w:t>ndërgjyqëse</w:t>
      </w:r>
      <w:proofErr w:type="spellEnd"/>
      <w:r w:rsidRPr="00C22903">
        <w:rPr>
          <w:rFonts w:ascii="Garamond" w:hAnsi="Garamond"/>
          <w:color w:val="000000"/>
        </w:rPr>
        <w:t xml:space="preserve"> dhe ka disponuar për pasuri të cilat janë në pronësi të personave të tretë, që nuk kanë qenë palë në gjykim; referimi që bën gjykata e apelit se ka akte të shkruara nga i padituri që njeh 50% të fitimit, është në shkelje të rëndë të dispozitave ligjore; këto akte nuk duhet të ishin administruar në gjykim si provë shkresore; </w:t>
      </w:r>
      <w:proofErr w:type="spellStart"/>
      <w:r w:rsidRPr="00C22903">
        <w:rPr>
          <w:rFonts w:ascii="Garamond" w:hAnsi="Garamond"/>
          <w:color w:val="000000"/>
        </w:rPr>
        <w:t>noterizimi</w:t>
      </w:r>
      <w:proofErr w:type="spellEnd"/>
      <w:r w:rsidRPr="00C22903">
        <w:rPr>
          <w:rFonts w:ascii="Garamond" w:hAnsi="Garamond"/>
          <w:color w:val="000000"/>
        </w:rPr>
        <w:t xml:space="preserve"> i shënimeve nuk u jep atyre vlerën e provës; gjykatat kanë anashkaluar analizën dhe vlerësimin e marrëdhënies </w:t>
      </w:r>
      <w:proofErr w:type="spellStart"/>
      <w:r w:rsidRPr="00C22903">
        <w:rPr>
          <w:rFonts w:ascii="Garamond" w:hAnsi="Garamond"/>
          <w:color w:val="000000"/>
        </w:rPr>
        <w:t>kontraktore</w:t>
      </w:r>
      <w:proofErr w:type="spellEnd"/>
      <w:r w:rsidRPr="00C22903">
        <w:rPr>
          <w:rFonts w:ascii="Garamond" w:hAnsi="Garamond"/>
          <w:color w:val="000000"/>
        </w:rPr>
        <w:t xml:space="preserve"> të krijuar, nëse është e tillë që konsiderohet nga ligji si kontratë kalimi pronësie; kontratat nuk janë përpiluar dhe nënshkruar përpara noterit; në kushtet kur nuk ekzistonte asnjë kontratë shitjeje e pasurive të paluajtshme, gjykatat ishin të detyruara të mos i konsideronin si kontrata për tjetërsim pasurie; paditësi nuk ka provuar me asnjë provë, siç e kërkon ligji, që gjykatat t’i njihnin pronësinë; kontrata e datës 13.11.2005, duke mos qenë me akt noterial, nuk mund të konsiderohet si veprim juridik i vlefshëm për tjetërsim pasurie; mosmarrëveshja duhej të ishte zgjidhur duke iu referuar aktmarrëveshjes të datës 25.1.2004; gjykata e apelit ka llogaritur një fitim fiktiv, duke shmangur kontratat e porosisë dhe kontratat përfundimtare të shitjes.</w:t>
      </w:r>
    </w:p>
    <w:p w14:paraId="769BBC1C" w14:textId="7F3262F9" w:rsidR="00032A2B" w:rsidRPr="00C22903" w:rsidRDefault="00032A2B" w:rsidP="00032A2B">
      <w:pPr>
        <w:tabs>
          <w:tab w:val="left" w:pos="108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 xml:space="preserve">41. Në rastin konkret, referuar vendimit të Kolegjit Civil të Gjykatës së Lartë, Gjykata konstaton se në pjesën hyrëse të tij, ku parashtrohen pretendimet e </w:t>
      </w:r>
      <w:proofErr w:type="spellStart"/>
      <w:r w:rsidRPr="00C22903">
        <w:rPr>
          <w:rFonts w:ascii="Garamond" w:hAnsi="Garamond"/>
          <w:color w:val="000000"/>
        </w:rPr>
        <w:t>rekursuesve</w:t>
      </w:r>
      <w:proofErr w:type="spellEnd"/>
      <w:r w:rsidRPr="00C22903">
        <w:rPr>
          <w:rFonts w:ascii="Garamond" w:hAnsi="Garamond"/>
          <w:color w:val="000000"/>
        </w:rPr>
        <w:t xml:space="preserve">, ai kolegj ka pasqyruar, ndër të tjera, edhe pretendimin e kërkuesve që lidhet me pronësinë e dyqanit prej 73 </w:t>
      </w:r>
      <w:r w:rsidR="006E3282">
        <w:rPr>
          <w:rFonts w:ascii="Garamond" w:hAnsi="Garamond"/>
          <w:color w:val="000000"/>
        </w:rPr>
        <w:t>m</w:t>
      </w:r>
      <w:r w:rsidR="006E3282" w:rsidRPr="00C22903">
        <w:rPr>
          <w:rFonts w:ascii="Garamond" w:hAnsi="Garamond"/>
          <w:color w:val="000000"/>
          <w:vertAlign w:val="superscript"/>
        </w:rPr>
        <w:t>2</w:t>
      </w:r>
      <w:r w:rsidRPr="00C22903">
        <w:rPr>
          <w:rFonts w:ascii="Garamond" w:hAnsi="Garamond"/>
          <w:color w:val="000000"/>
        </w:rPr>
        <w:t xml:space="preserve">, sipas të cilëve ajo u ka kaluar personave të tretë, po ashtu edhe pretendimin tjetër të tyre se gjykata e apelit në arsyetimin e saj është mbështetur në tregues fiktivë, dy pretendime këto të parashtruara edhe në aktet e sipërpërmendura (shtesa e rekursit dhe shpjegimet). Për sa i përket vlerësimit të shkaqeve të rekursit, sipas Kolegjit Civil të Gjykatës së Lartë, ato nuk bëjnë pjesë në rastet e parashikuara në nenin 472 të </w:t>
      </w:r>
      <w:proofErr w:type="spellStart"/>
      <w:r w:rsidRPr="00C22903">
        <w:rPr>
          <w:rFonts w:ascii="Garamond" w:hAnsi="Garamond"/>
          <w:color w:val="000000"/>
        </w:rPr>
        <w:t>KPC</w:t>
      </w:r>
      <w:proofErr w:type="spellEnd"/>
      <w:r w:rsidRPr="00C22903">
        <w:rPr>
          <w:rFonts w:ascii="Garamond" w:hAnsi="Garamond"/>
          <w:color w:val="000000"/>
        </w:rPr>
        <w:t xml:space="preserve">-së. Sipas Kolegjit Civil, gjykata e apelit ka respektuar ligjin material, duke e interpretuar dhe zbatuar drejt atë, ka arsyetuar në mënyrë </w:t>
      </w:r>
      <w:proofErr w:type="spellStart"/>
      <w:r w:rsidRPr="00C22903">
        <w:rPr>
          <w:rFonts w:ascii="Garamond" w:hAnsi="Garamond"/>
          <w:color w:val="000000"/>
        </w:rPr>
        <w:t>ezauruese</w:t>
      </w:r>
      <w:proofErr w:type="spellEnd"/>
      <w:r w:rsidRPr="00C22903">
        <w:rPr>
          <w:rFonts w:ascii="Garamond" w:hAnsi="Garamond"/>
          <w:color w:val="000000"/>
        </w:rPr>
        <w:t xml:space="preserve"> shkakun e vendimmarrjes dhe nuk rezulton të ketë zbatim të gabuar të ligjit procedural. Në vlerësimin e Kolegjit Civil </w:t>
      </w:r>
      <w:r w:rsidRPr="00C22903">
        <w:rPr>
          <w:rFonts w:ascii="Garamond" w:hAnsi="Garamond"/>
          <w:color w:val="000000"/>
        </w:rPr>
        <w:lastRenderedPageBreak/>
        <w:t xml:space="preserve">vendimmarrja e gjykatës së apelit nuk bie ndesh me ndonjë vendim </w:t>
      </w:r>
      <w:proofErr w:type="spellStart"/>
      <w:r w:rsidRPr="00C22903">
        <w:rPr>
          <w:rFonts w:ascii="Garamond" w:hAnsi="Garamond"/>
          <w:color w:val="000000"/>
        </w:rPr>
        <w:t>unifikues</w:t>
      </w:r>
      <w:proofErr w:type="spellEnd"/>
      <w:r w:rsidRPr="00C22903">
        <w:rPr>
          <w:rFonts w:ascii="Garamond" w:hAnsi="Garamond"/>
          <w:color w:val="000000"/>
        </w:rPr>
        <w:t xml:space="preserve"> të Gjykatës së Lartë dhe pjesa e pretendimeve në rekurs që ngre çështje të vlerësimit të provave del jashtë juridiksionit rishikues dhe ekskluzivisht ligjor të asaj gjykate (</w:t>
      </w:r>
      <w:r w:rsidRPr="00C22903">
        <w:rPr>
          <w:rFonts w:ascii="Garamond" w:hAnsi="Garamond"/>
          <w:i/>
          <w:iCs/>
          <w:color w:val="000000"/>
        </w:rPr>
        <w:t>shih paragrafët 30</w:t>
      </w:r>
      <w:r w:rsidR="006E3282">
        <w:rPr>
          <w:rFonts w:ascii="Garamond" w:hAnsi="Garamond"/>
          <w:i/>
          <w:iCs/>
          <w:color w:val="000000"/>
        </w:rPr>
        <w:t>–</w:t>
      </w:r>
      <w:r w:rsidRPr="00C22903">
        <w:rPr>
          <w:rFonts w:ascii="Garamond" w:hAnsi="Garamond"/>
          <w:i/>
          <w:iCs/>
          <w:color w:val="000000"/>
        </w:rPr>
        <w:t>31</w:t>
      </w:r>
      <w:r w:rsidR="0082608D">
        <w:rPr>
          <w:rFonts w:ascii="Garamond" w:hAnsi="Garamond"/>
          <w:i/>
          <w:iCs/>
          <w:color w:val="000000"/>
        </w:rPr>
        <w:t>,</w:t>
      </w:r>
      <w:r w:rsidRPr="00C22903">
        <w:rPr>
          <w:rFonts w:ascii="Garamond" w:hAnsi="Garamond"/>
          <w:i/>
          <w:iCs/>
          <w:color w:val="000000"/>
        </w:rPr>
        <w:t xml:space="preserve"> të vendimit të Kolegjit Civil të Gjykatës së Lartë</w:t>
      </w:r>
      <w:r w:rsidRPr="00C22903">
        <w:rPr>
          <w:rFonts w:ascii="Garamond" w:hAnsi="Garamond"/>
          <w:color w:val="000000"/>
        </w:rPr>
        <w:t>).</w:t>
      </w:r>
    </w:p>
    <w:p w14:paraId="4F8C7502" w14:textId="35EE6814" w:rsidR="00032A2B" w:rsidRPr="00C22903" w:rsidRDefault="00032A2B" w:rsidP="00032A2B">
      <w:pPr>
        <w:tabs>
          <w:tab w:val="left" w:pos="1080"/>
        </w:tabs>
        <w:autoSpaceDE w:val="0"/>
        <w:autoSpaceDN w:val="0"/>
        <w:adjustRightInd w:val="0"/>
        <w:spacing w:line="240" w:lineRule="auto"/>
        <w:ind w:firstLine="284"/>
        <w:jc w:val="both"/>
        <w:rPr>
          <w:rFonts w:ascii="Garamond" w:hAnsi="Garamond"/>
          <w:color w:val="FF0000"/>
        </w:rPr>
      </w:pPr>
      <w:r w:rsidRPr="00C22903">
        <w:rPr>
          <w:rFonts w:ascii="Garamond" w:hAnsi="Garamond"/>
          <w:color w:val="000000"/>
        </w:rPr>
        <w:t xml:space="preserve">42. Për sa më lart, Gjykata konstaton se vendimi i kundërshtuar i Gjykatës së Lartë është arsyetuar në mënyrë të kufizuar, duke u formuluar në mënyrë standarde. Një arsyetim i tillë është pranuar nga jurisprudenca kushtetuese si në përputhje me standardin e arsyetimit të vendimit gjyqësor, për sa kohë që në pjesën hyrëse pasqyrohen shkaqet e ngritura në rekurs. Po ashtu, Gjykata rithekson se ky element është i rëndësishëm në rastin e arsyetimit të kufizuar të vendimit, pasi u tregon palëve se janë dëgjuar dhe se çështja e tyre është vlerësuar nga Gjykata e Lartë. Në çështjen në shqyrtim, referuar thelbit të argumenteve të parashtruara nga kërkuesit në aktet “Shtesë rekursi” dhe Shpjegime”, Gjykata vëren se ato në thelb, kanë natyrë ligjore dhe nuk lidhen me shkelje procedurale të kryera nga gjykatat më të ulëta ose pretendime të cilat kanë të bëjnë me të drejta kushtetuese. Thënë ndryshe, pretendimet e parashtruara nga kërkuesit në aktet shtesë të paraqitura pas rekursit kanë natyrë ligjore dhe jo kushtetuese. </w:t>
      </w:r>
    </w:p>
    <w:p w14:paraId="5A71AADC" w14:textId="3B569EE3" w:rsidR="00032A2B" w:rsidRPr="00C22903" w:rsidRDefault="00032A2B" w:rsidP="00032A2B">
      <w:pPr>
        <w:tabs>
          <w:tab w:val="left" w:pos="108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43. Gjithashtu, siç edhe është konstatuar më lart në këtë vendim (</w:t>
      </w:r>
      <w:r w:rsidRPr="00C22903">
        <w:rPr>
          <w:rFonts w:ascii="Garamond" w:hAnsi="Garamond"/>
          <w:i/>
          <w:iCs/>
          <w:color w:val="000000"/>
        </w:rPr>
        <w:t>shih paragrafin 40 të vendimit</w:t>
      </w:r>
      <w:r w:rsidRPr="00C22903">
        <w:rPr>
          <w:rFonts w:ascii="Garamond" w:hAnsi="Garamond"/>
          <w:color w:val="000000"/>
        </w:rPr>
        <w:t>), Gjykata konstaton se nga aktet e dosjes gjyqësore rezulton se kërkuesit kanë depozituar edhe aktin “Shtesë rekursi”, i cili ndonëse ka të njëjtën përmbajtje me aktin “Shpjegime”, nuk gjendet në dosje, çka tregon se nuk është vlerësuar prej Kolegjit Civil të Gjykatës së Lartë. Në këtë kuptim, Gjykata rithekson se Gjykata e Lartë duhet të tregojë kujdes të shtuar dhe duhet të zbatojë dispozitat ligjore në atë mënyrë që t’i garantojë individit garancitë kushtetuese të parashikuara në nenin 42 të Kushtetutës (</w:t>
      </w:r>
      <w:r w:rsidRPr="00C22903">
        <w:rPr>
          <w:rFonts w:ascii="Garamond" w:hAnsi="Garamond"/>
          <w:i/>
          <w:iCs/>
          <w:color w:val="000000"/>
        </w:rPr>
        <w:t>shih vendimin nr. 13, datë 21.3.2023</w:t>
      </w:r>
      <w:r w:rsidR="006E3282">
        <w:rPr>
          <w:rFonts w:ascii="Garamond" w:hAnsi="Garamond"/>
          <w:i/>
          <w:iCs/>
          <w:color w:val="000000"/>
        </w:rPr>
        <w:t>,</w:t>
      </w:r>
      <w:r w:rsidRPr="00C22903">
        <w:rPr>
          <w:rFonts w:ascii="Garamond" w:hAnsi="Garamond"/>
          <w:i/>
          <w:iCs/>
          <w:color w:val="000000"/>
        </w:rPr>
        <w:t xml:space="preserve"> të Gjykatës Kushtetuese</w:t>
      </w:r>
      <w:r w:rsidRPr="00C22903">
        <w:rPr>
          <w:rFonts w:ascii="Garamond" w:hAnsi="Garamond"/>
          <w:color w:val="000000"/>
        </w:rPr>
        <w:t>), ku përfshihet edhe administrimi i të gjitha akteve të depozituara nga palët, mbi të cilat zhvillohet më pas gjykimi në atë gjykatë.</w:t>
      </w:r>
    </w:p>
    <w:p w14:paraId="55B4B1A8" w14:textId="024E5A45" w:rsidR="00032A2B" w:rsidRPr="00C22903" w:rsidRDefault="00032A2B" w:rsidP="00032A2B">
      <w:pPr>
        <w:tabs>
          <w:tab w:val="left" w:pos="108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44. Gjithsesi, në rastin konkret, Gjykata vlerëson se kjo e metë (</w:t>
      </w:r>
      <w:proofErr w:type="spellStart"/>
      <w:r w:rsidRPr="00C22903">
        <w:rPr>
          <w:rFonts w:ascii="Garamond" w:hAnsi="Garamond"/>
          <w:color w:val="000000"/>
        </w:rPr>
        <w:t>mosadministrimi</w:t>
      </w:r>
      <w:proofErr w:type="spellEnd"/>
      <w:r w:rsidRPr="00C22903">
        <w:rPr>
          <w:rFonts w:ascii="Garamond" w:hAnsi="Garamond"/>
          <w:color w:val="000000"/>
        </w:rPr>
        <w:t xml:space="preserve"> i shtesës së rekursit nga Kolegji Civil) nuk e bën procesin e zhvilluar në Gjykatën e Lartë të parregullt, në aspektin e shkeljeve të </w:t>
      </w:r>
      <w:proofErr w:type="spellStart"/>
      <w:r w:rsidRPr="00C22903">
        <w:rPr>
          <w:rFonts w:ascii="Garamond" w:hAnsi="Garamond"/>
          <w:color w:val="000000"/>
        </w:rPr>
        <w:t>të</w:t>
      </w:r>
      <w:proofErr w:type="spellEnd"/>
      <w:r w:rsidRPr="00C22903">
        <w:rPr>
          <w:rFonts w:ascii="Garamond" w:hAnsi="Garamond"/>
          <w:color w:val="000000"/>
        </w:rPr>
        <w:t xml:space="preserve"> drejtave kushtetuese, për sa kohë prej Kolegjit Civil është administruar akti “Shpjegime”, i cili ka përmbajtje të njëjtë me aktin “Shtesë rekursi” dhe për sa kohë pretendimet e ngritura në ato akte kanë natyrë ligjore dhe nuk lidhen me shkelje procedurale të kryera nga gjykatat më të ulëta ose pretendime të cilat kanë të bëjnë me të drejta kushtetuese. Në vlerësimin e Gjykatës jo çdo shkelje e rregullave procedurale e bën procesin të parregullt, në aspektin e shkeljes së të drejtave kushtetuese, dhe se ndikim të drejtpërdrejtë në një proces ligjor kanë ato shkelje thelbësore, vërtetimi i të cilave do të cenonte të drejtat dhe liritë themelore të individit (</w:t>
      </w:r>
      <w:r w:rsidRPr="00C22903">
        <w:rPr>
          <w:rFonts w:ascii="Garamond" w:hAnsi="Garamond"/>
          <w:i/>
          <w:iCs/>
          <w:color w:val="000000"/>
        </w:rPr>
        <w:t>shih vendimet nr. 30, datë 18.4.2024; nr. 38, datë 2.12.2021; nr. 30, datë 19.5.2016</w:t>
      </w:r>
      <w:r w:rsidR="006E3282">
        <w:rPr>
          <w:rFonts w:ascii="Garamond" w:hAnsi="Garamond"/>
          <w:i/>
          <w:iCs/>
          <w:color w:val="000000"/>
        </w:rPr>
        <w:t>,</w:t>
      </w:r>
      <w:r w:rsidRPr="00C22903">
        <w:rPr>
          <w:rFonts w:ascii="Garamond" w:hAnsi="Garamond"/>
          <w:i/>
          <w:iCs/>
          <w:color w:val="000000"/>
        </w:rPr>
        <w:t xml:space="preserve"> të Gjykatës Kushtetuese</w:t>
      </w:r>
      <w:r w:rsidRPr="00C22903">
        <w:rPr>
          <w:rFonts w:ascii="Garamond" w:hAnsi="Garamond"/>
          <w:color w:val="000000"/>
        </w:rPr>
        <w:t xml:space="preserve">). </w:t>
      </w:r>
    </w:p>
    <w:p w14:paraId="10105DEA" w14:textId="2EA3A38D" w:rsidR="00032A2B" w:rsidRPr="00C22903" w:rsidRDefault="00032A2B" w:rsidP="00032A2B">
      <w:pPr>
        <w:tabs>
          <w:tab w:val="left" w:pos="108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 xml:space="preserve">45. Për rrjedhojë, në rastin konkret, Gjykata çmon se gjatë procesit të zhvilluar në Gjykatën e Lartë, kjo e fundit i ka marrë në shqyrtim pretendimet e ngritura prej kërkuesve në rekurs apo në aktet e paraqitura pas rekursit (aktit “Shpjegime”), duke i vlerësuar ato në kuadër të garancive që ofron neni 42 i Kushtetutës për proces të rregullt ligjor, në drejtim të së drejtës së </w:t>
      </w:r>
      <w:proofErr w:type="spellStart"/>
      <w:r w:rsidRPr="00C22903">
        <w:rPr>
          <w:rFonts w:ascii="Garamond" w:hAnsi="Garamond"/>
          <w:color w:val="000000"/>
        </w:rPr>
        <w:t>aksesit</w:t>
      </w:r>
      <w:proofErr w:type="spellEnd"/>
      <w:r w:rsidRPr="00C22903">
        <w:rPr>
          <w:rFonts w:ascii="Garamond" w:hAnsi="Garamond"/>
          <w:color w:val="000000"/>
        </w:rPr>
        <w:t xml:space="preserve"> dhe standardit të arsyetimit të vendimit gjyqësor. Në vlerësimin e Gjykatës, </w:t>
      </w:r>
      <w:proofErr w:type="spellStart"/>
      <w:r w:rsidRPr="00C22903">
        <w:rPr>
          <w:rFonts w:ascii="Garamond" w:hAnsi="Garamond"/>
          <w:color w:val="000000"/>
        </w:rPr>
        <w:t>mosmarrja</w:t>
      </w:r>
      <w:proofErr w:type="spellEnd"/>
      <w:r w:rsidRPr="00C22903">
        <w:rPr>
          <w:rFonts w:ascii="Garamond" w:hAnsi="Garamond"/>
          <w:color w:val="000000"/>
        </w:rPr>
        <w:t xml:space="preserve"> në shqyrtim e shtesës së rekursit dhe mungesa e parashtrimit në vendimin e Gjykatës së Lartë të </w:t>
      </w:r>
      <w:proofErr w:type="spellStart"/>
      <w:r w:rsidRPr="00C22903">
        <w:rPr>
          <w:rFonts w:ascii="Garamond" w:hAnsi="Garamond"/>
          <w:color w:val="000000"/>
        </w:rPr>
        <w:t>të</w:t>
      </w:r>
      <w:proofErr w:type="spellEnd"/>
      <w:r w:rsidRPr="00C22903">
        <w:rPr>
          <w:rFonts w:ascii="Garamond" w:hAnsi="Garamond"/>
          <w:color w:val="000000"/>
        </w:rPr>
        <w:t xml:space="preserve"> gjitha pretendimeve të ngritura nga kërkuesit në aktet e depozituara pas paraqitjes së rekursit, të cilat në thelb kishin natyrë ligjore dhe jo kushtetuese, nuk vë në dyshim respektimin e së drejtës së </w:t>
      </w:r>
      <w:proofErr w:type="spellStart"/>
      <w:r w:rsidRPr="00C22903">
        <w:rPr>
          <w:rFonts w:ascii="Garamond" w:hAnsi="Garamond"/>
          <w:color w:val="000000"/>
        </w:rPr>
        <w:t>aksesit</w:t>
      </w:r>
      <w:proofErr w:type="spellEnd"/>
      <w:r w:rsidRPr="00C22903">
        <w:rPr>
          <w:rFonts w:ascii="Garamond" w:hAnsi="Garamond"/>
          <w:color w:val="000000"/>
        </w:rPr>
        <w:t xml:space="preserve"> dhe standardit të arsyetimit të vendimit gjyqësor. Për këtë arsye, Gjykata çmon se pretendimi i kërkuesve për cenimin e së drejtës së </w:t>
      </w:r>
      <w:proofErr w:type="spellStart"/>
      <w:r w:rsidRPr="00C22903">
        <w:rPr>
          <w:rFonts w:ascii="Garamond" w:hAnsi="Garamond"/>
          <w:color w:val="000000"/>
        </w:rPr>
        <w:t>aksesit</w:t>
      </w:r>
      <w:proofErr w:type="spellEnd"/>
      <w:r w:rsidRPr="00C22903">
        <w:rPr>
          <w:rFonts w:ascii="Garamond" w:hAnsi="Garamond"/>
          <w:color w:val="000000"/>
        </w:rPr>
        <w:t xml:space="preserve"> të lidhur me standardin e arsyetimit të vendimit gjyqësor është i pabazuar.</w:t>
      </w:r>
    </w:p>
    <w:p w14:paraId="5EEF925A" w14:textId="0CDBAD28" w:rsidR="00032A2B" w:rsidRPr="00C22903" w:rsidRDefault="00032A2B" w:rsidP="00032A2B">
      <w:pPr>
        <w:tabs>
          <w:tab w:val="left" w:pos="108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 xml:space="preserve">46. Në përfundim, Gjykata vlerëson se pretendimi i kërkuesve për cenimin e së drejtës së </w:t>
      </w:r>
      <w:proofErr w:type="spellStart"/>
      <w:r w:rsidRPr="00C22903">
        <w:rPr>
          <w:rFonts w:ascii="Garamond" w:hAnsi="Garamond"/>
          <w:color w:val="000000"/>
        </w:rPr>
        <w:t>aksesit</w:t>
      </w:r>
      <w:proofErr w:type="spellEnd"/>
      <w:r w:rsidRPr="00C22903">
        <w:rPr>
          <w:rFonts w:ascii="Garamond" w:hAnsi="Garamond"/>
          <w:color w:val="000000"/>
        </w:rPr>
        <w:t xml:space="preserve"> të lidhur me standardin e arsyetimit të vendimit gjyqësor është i pabazuar, sipas arsyetimit të mësipërm të këtij vendimi, ndaj kërkesa rrëzohet.</w:t>
      </w:r>
    </w:p>
    <w:p w14:paraId="27CE7750" w14:textId="77777777" w:rsidR="00032A2B" w:rsidRPr="00C22903" w:rsidRDefault="00032A2B" w:rsidP="00032A2B">
      <w:pPr>
        <w:autoSpaceDE w:val="0"/>
        <w:autoSpaceDN w:val="0"/>
        <w:adjustRightInd w:val="0"/>
        <w:spacing w:line="240" w:lineRule="auto"/>
        <w:ind w:firstLine="284"/>
        <w:jc w:val="center"/>
        <w:rPr>
          <w:rFonts w:ascii="Garamond" w:hAnsi="Garamond"/>
          <w:b/>
          <w:bCs/>
          <w:color w:val="000000"/>
        </w:rPr>
      </w:pPr>
    </w:p>
    <w:p w14:paraId="1AF83C34" w14:textId="77777777" w:rsidR="00032A2B" w:rsidRPr="00C22903" w:rsidRDefault="00032A2B" w:rsidP="00032A2B">
      <w:pPr>
        <w:autoSpaceDE w:val="0"/>
        <w:autoSpaceDN w:val="0"/>
        <w:adjustRightInd w:val="0"/>
        <w:spacing w:line="240" w:lineRule="auto"/>
        <w:ind w:firstLine="284"/>
        <w:jc w:val="center"/>
        <w:rPr>
          <w:rFonts w:ascii="Garamond" w:hAnsi="Garamond"/>
          <w:b/>
          <w:bCs/>
          <w:color w:val="000000"/>
        </w:rPr>
      </w:pPr>
    </w:p>
    <w:p w14:paraId="402A63EB" w14:textId="05E64EEE" w:rsidR="00032A2B" w:rsidRPr="00C22903" w:rsidRDefault="00032A2B" w:rsidP="00032A2B">
      <w:pPr>
        <w:autoSpaceDE w:val="0"/>
        <w:autoSpaceDN w:val="0"/>
        <w:adjustRightInd w:val="0"/>
        <w:spacing w:line="240" w:lineRule="auto"/>
        <w:ind w:firstLine="284"/>
        <w:jc w:val="center"/>
        <w:rPr>
          <w:rFonts w:ascii="Garamond" w:hAnsi="Garamond"/>
          <w:bCs/>
          <w:color w:val="000000"/>
        </w:rPr>
      </w:pPr>
      <w:r w:rsidRPr="00C22903">
        <w:rPr>
          <w:rFonts w:ascii="Garamond" w:hAnsi="Garamond"/>
          <w:bCs/>
          <w:color w:val="000000"/>
        </w:rPr>
        <w:t>PËR KËTO ARSYE,</w:t>
      </w:r>
    </w:p>
    <w:p w14:paraId="6F6EA1E0" w14:textId="77777777" w:rsidR="007156A3" w:rsidRPr="00C22903" w:rsidRDefault="007156A3" w:rsidP="00032A2B">
      <w:pPr>
        <w:autoSpaceDE w:val="0"/>
        <w:autoSpaceDN w:val="0"/>
        <w:adjustRightInd w:val="0"/>
        <w:spacing w:line="240" w:lineRule="auto"/>
        <w:ind w:firstLine="284"/>
        <w:jc w:val="center"/>
        <w:rPr>
          <w:rFonts w:ascii="Garamond" w:hAnsi="Garamond"/>
          <w:color w:val="000000"/>
        </w:rPr>
      </w:pPr>
    </w:p>
    <w:p w14:paraId="3547FDB9" w14:textId="2D62E19E" w:rsidR="00032A2B" w:rsidRPr="00C22903" w:rsidRDefault="00032A2B" w:rsidP="00032A2B">
      <w:pPr>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lastRenderedPageBreak/>
        <w:t>Gjykata Kushtetuese, në mbështetje të neneve 131, pika 1, shkronja “f” dhe 134, pika 1, shkronja “i”, të Kushtetutës, si dhe neneve 71 dhe 72 e vijues të ligjit nr. 8577, datë 10.2.2000</w:t>
      </w:r>
      <w:r w:rsidR="006E3282">
        <w:rPr>
          <w:rFonts w:ascii="Garamond" w:hAnsi="Garamond"/>
          <w:color w:val="000000"/>
        </w:rPr>
        <w:t>,</w:t>
      </w:r>
      <w:r w:rsidRPr="00C22903">
        <w:rPr>
          <w:rFonts w:ascii="Garamond" w:hAnsi="Garamond"/>
          <w:color w:val="000000"/>
        </w:rPr>
        <w:t xml:space="preserve"> “Për organizimin dhe funksionimin e Gjykatës Kushtetuese të Republikës së Shqipërisë”, të ndryshuar, njëzëri,</w:t>
      </w:r>
    </w:p>
    <w:p w14:paraId="25DD6366" w14:textId="77777777" w:rsidR="00032A2B" w:rsidRPr="00C22903" w:rsidRDefault="00032A2B" w:rsidP="00032A2B">
      <w:pPr>
        <w:autoSpaceDE w:val="0"/>
        <w:autoSpaceDN w:val="0"/>
        <w:adjustRightInd w:val="0"/>
        <w:spacing w:line="240" w:lineRule="auto"/>
        <w:ind w:firstLine="284"/>
        <w:jc w:val="both"/>
        <w:rPr>
          <w:rFonts w:ascii="Garamond" w:hAnsi="Garamond"/>
          <w:b/>
          <w:bCs/>
          <w:color w:val="000000"/>
        </w:rPr>
      </w:pPr>
    </w:p>
    <w:p w14:paraId="393AF495" w14:textId="22144901" w:rsidR="00032A2B" w:rsidRPr="00C22903" w:rsidRDefault="00032A2B" w:rsidP="00032A2B">
      <w:pPr>
        <w:autoSpaceDE w:val="0"/>
        <w:autoSpaceDN w:val="0"/>
        <w:adjustRightInd w:val="0"/>
        <w:spacing w:line="240" w:lineRule="auto"/>
        <w:ind w:firstLine="284"/>
        <w:jc w:val="center"/>
        <w:rPr>
          <w:rFonts w:ascii="Garamond" w:hAnsi="Garamond"/>
          <w:bCs/>
          <w:color w:val="000000"/>
        </w:rPr>
      </w:pPr>
      <w:r w:rsidRPr="00C22903">
        <w:rPr>
          <w:rFonts w:ascii="Garamond" w:hAnsi="Garamond"/>
          <w:bCs/>
          <w:color w:val="000000"/>
        </w:rPr>
        <w:t>VENDOSI:</w:t>
      </w:r>
    </w:p>
    <w:p w14:paraId="25C5B845" w14:textId="77777777" w:rsidR="00032A2B" w:rsidRPr="00C22903" w:rsidRDefault="00032A2B" w:rsidP="00032A2B">
      <w:pPr>
        <w:autoSpaceDE w:val="0"/>
        <w:autoSpaceDN w:val="0"/>
        <w:adjustRightInd w:val="0"/>
        <w:spacing w:line="240" w:lineRule="auto"/>
        <w:ind w:firstLine="284"/>
        <w:rPr>
          <w:rFonts w:ascii="Garamond" w:hAnsi="Garamond"/>
          <w:b/>
          <w:bCs/>
          <w:color w:val="000000"/>
        </w:rPr>
      </w:pPr>
    </w:p>
    <w:p w14:paraId="2D3AF520" w14:textId="10D3C4C6" w:rsidR="00032A2B" w:rsidRPr="00C22903" w:rsidRDefault="00032A2B" w:rsidP="00032A2B">
      <w:pPr>
        <w:tabs>
          <w:tab w:val="left" w:pos="80"/>
          <w:tab w:val="left" w:pos="72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1. Rrëzimin e kërkesës.</w:t>
      </w:r>
    </w:p>
    <w:p w14:paraId="49DAA018" w14:textId="77777777" w:rsidR="00032A2B" w:rsidRPr="00C22903" w:rsidRDefault="00032A2B" w:rsidP="00032A2B">
      <w:pPr>
        <w:tabs>
          <w:tab w:val="left" w:pos="134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Ky vendim është përfundimtar dhe hyn në fuqi ditën e botimit në Fletoren Zyrtare.</w:t>
      </w:r>
    </w:p>
    <w:p w14:paraId="633C9FE5" w14:textId="45763E05" w:rsidR="00032A2B" w:rsidRPr="00C22903" w:rsidRDefault="00032A2B" w:rsidP="00032A2B">
      <w:pPr>
        <w:autoSpaceDE w:val="0"/>
        <w:autoSpaceDN w:val="0"/>
        <w:adjustRightInd w:val="0"/>
        <w:spacing w:line="240" w:lineRule="auto"/>
        <w:ind w:firstLine="284"/>
        <w:rPr>
          <w:rFonts w:ascii="Garamond" w:hAnsi="Garamond"/>
          <w:b/>
          <w:bCs/>
          <w:color w:val="000000"/>
        </w:rPr>
      </w:pPr>
      <w:r w:rsidRPr="00C22903">
        <w:rPr>
          <w:rFonts w:ascii="Garamond" w:hAnsi="Garamond"/>
          <w:b/>
          <w:bCs/>
          <w:color w:val="000000"/>
        </w:rPr>
        <w:t>Marrë më 29.1.2025</w:t>
      </w:r>
      <w:r w:rsidR="006E3282">
        <w:rPr>
          <w:rFonts w:ascii="Garamond" w:hAnsi="Garamond"/>
          <w:b/>
          <w:bCs/>
          <w:color w:val="000000"/>
        </w:rPr>
        <w:t>.</w:t>
      </w:r>
    </w:p>
    <w:p w14:paraId="27CEF29A" w14:textId="64361490" w:rsidR="00032A2B" w:rsidRPr="00C22903" w:rsidRDefault="00032A2B" w:rsidP="00032A2B">
      <w:pPr>
        <w:autoSpaceDE w:val="0"/>
        <w:autoSpaceDN w:val="0"/>
        <w:adjustRightInd w:val="0"/>
        <w:spacing w:line="240" w:lineRule="auto"/>
        <w:ind w:firstLine="284"/>
        <w:rPr>
          <w:rFonts w:ascii="Garamond" w:hAnsi="Garamond"/>
          <w:b/>
          <w:bCs/>
          <w:color w:val="000000"/>
        </w:rPr>
      </w:pPr>
      <w:r w:rsidRPr="00C22903">
        <w:rPr>
          <w:rFonts w:ascii="Garamond" w:hAnsi="Garamond"/>
          <w:b/>
          <w:bCs/>
          <w:color w:val="000000"/>
        </w:rPr>
        <w:t>Shpallur më 26.2.2025</w:t>
      </w:r>
      <w:r w:rsidR="006E3282">
        <w:rPr>
          <w:rFonts w:ascii="Garamond" w:hAnsi="Garamond"/>
          <w:b/>
          <w:bCs/>
          <w:color w:val="000000"/>
        </w:rPr>
        <w:t>.</w:t>
      </w:r>
    </w:p>
    <w:p w14:paraId="493DD2B0" w14:textId="77777777" w:rsidR="00032A2B" w:rsidRPr="00C22903" w:rsidRDefault="00032A2B" w:rsidP="00032A2B">
      <w:pPr>
        <w:autoSpaceDE w:val="0"/>
        <w:autoSpaceDN w:val="0"/>
        <w:adjustRightInd w:val="0"/>
        <w:spacing w:line="240" w:lineRule="auto"/>
        <w:ind w:firstLine="284"/>
        <w:rPr>
          <w:rFonts w:ascii="Garamond" w:hAnsi="Garamond"/>
          <w:color w:val="000000"/>
        </w:rPr>
      </w:pPr>
    </w:p>
    <w:p w14:paraId="1C622ADD" w14:textId="03A3B675" w:rsidR="006262EA" w:rsidRPr="008F295A" w:rsidRDefault="006262EA" w:rsidP="00032A2B">
      <w:pPr>
        <w:tabs>
          <w:tab w:val="left" w:pos="1080"/>
        </w:tabs>
        <w:autoSpaceDE w:val="0"/>
        <w:autoSpaceDN w:val="0"/>
        <w:adjustRightInd w:val="0"/>
        <w:spacing w:line="240" w:lineRule="auto"/>
        <w:ind w:firstLine="284"/>
        <w:jc w:val="both"/>
        <w:rPr>
          <w:rFonts w:ascii="Garamond" w:hAnsi="Garamond"/>
          <w:bCs/>
          <w:color w:val="000000"/>
        </w:rPr>
      </w:pPr>
      <w:r w:rsidRPr="00C22903">
        <w:rPr>
          <w:rFonts w:ascii="Garamond" w:hAnsi="Garamond"/>
          <w:b/>
          <w:bCs/>
          <w:color w:val="000000"/>
        </w:rPr>
        <w:t xml:space="preserve">Kryetare: </w:t>
      </w:r>
      <w:proofErr w:type="spellStart"/>
      <w:r w:rsidRPr="008F295A">
        <w:rPr>
          <w:rFonts w:ascii="Garamond" w:hAnsi="Garamond"/>
          <w:bCs/>
          <w:color w:val="000000"/>
        </w:rPr>
        <w:t>Holta</w:t>
      </w:r>
      <w:proofErr w:type="spellEnd"/>
      <w:r w:rsidRPr="008F295A">
        <w:rPr>
          <w:rFonts w:ascii="Garamond" w:hAnsi="Garamond"/>
          <w:bCs/>
          <w:color w:val="000000"/>
        </w:rPr>
        <w:t xml:space="preserve"> </w:t>
      </w:r>
      <w:proofErr w:type="spellStart"/>
      <w:r w:rsidRPr="008F295A">
        <w:rPr>
          <w:rFonts w:ascii="Garamond" w:hAnsi="Garamond"/>
          <w:bCs/>
          <w:color w:val="000000"/>
        </w:rPr>
        <w:t>Zaçaj</w:t>
      </w:r>
      <w:proofErr w:type="spellEnd"/>
    </w:p>
    <w:p w14:paraId="281D403E" w14:textId="3B7BF9D9" w:rsidR="006262EA" w:rsidRPr="008F295A" w:rsidRDefault="006262EA" w:rsidP="006262EA">
      <w:pPr>
        <w:tabs>
          <w:tab w:val="left" w:pos="1080"/>
        </w:tabs>
        <w:autoSpaceDE w:val="0"/>
        <w:autoSpaceDN w:val="0"/>
        <w:adjustRightInd w:val="0"/>
        <w:spacing w:line="240" w:lineRule="auto"/>
        <w:ind w:firstLine="284"/>
        <w:jc w:val="both"/>
        <w:rPr>
          <w:rFonts w:ascii="Garamond" w:hAnsi="Garamond"/>
          <w:bCs/>
          <w:color w:val="000000"/>
        </w:rPr>
      </w:pPr>
      <w:r w:rsidRPr="00C22903">
        <w:rPr>
          <w:rFonts w:ascii="Garamond" w:hAnsi="Garamond"/>
          <w:b/>
          <w:bCs/>
          <w:color w:val="000000"/>
        </w:rPr>
        <w:t xml:space="preserve">Anëtarë: </w:t>
      </w:r>
      <w:proofErr w:type="spellStart"/>
      <w:r w:rsidRPr="008F295A">
        <w:rPr>
          <w:rFonts w:ascii="Garamond" w:hAnsi="Garamond"/>
          <w:bCs/>
          <w:color w:val="000000"/>
        </w:rPr>
        <w:t>Fiona</w:t>
      </w:r>
      <w:proofErr w:type="spellEnd"/>
      <w:r w:rsidRPr="008F295A">
        <w:rPr>
          <w:rFonts w:ascii="Garamond" w:hAnsi="Garamond"/>
          <w:bCs/>
          <w:color w:val="000000"/>
        </w:rPr>
        <w:t xml:space="preserve"> </w:t>
      </w:r>
      <w:proofErr w:type="spellStart"/>
      <w:r w:rsidRPr="008F295A">
        <w:rPr>
          <w:rFonts w:ascii="Garamond" w:hAnsi="Garamond"/>
          <w:bCs/>
          <w:color w:val="000000"/>
        </w:rPr>
        <w:t>Papajorgji</w:t>
      </w:r>
      <w:proofErr w:type="spellEnd"/>
      <w:r w:rsidRPr="008F295A">
        <w:rPr>
          <w:rFonts w:ascii="Garamond" w:hAnsi="Garamond"/>
          <w:bCs/>
          <w:color w:val="000000"/>
        </w:rPr>
        <w:t xml:space="preserve">, </w:t>
      </w:r>
      <w:proofErr w:type="spellStart"/>
      <w:r w:rsidR="00032A2B" w:rsidRPr="008F295A">
        <w:rPr>
          <w:rFonts w:ascii="Garamond" w:hAnsi="Garamond"/>
          <w:bCs/>
          <w:color w:val="000000"/>
        </w:rPr>
        <w:t>Marsida</w:t>
      </w:r>
      <w:proofErr w:type="spellEnd"/>
      <w:r w:rsidR="00032A2B" w:rsidRPr="008F295A">
        <w:rPr>
          <w:rFonts w:ascii="Garamond" w:hAnsi="Garamond"/>
          <w:bCs/>
          <w:color w:val="000000"/>
        </w:rPr>
        <w:t xml:space="preserve"> </w:t>
      </w:r>
      <w:proofErr w:type="spellStart"/>
      <w:r w:rsidR="00032A2B" w:rsidRPr="008F295A">
        <w:rPr>
          <w:rFonts w:ascii="Garamond" w:hAnsi="Garamond"/>
          <w:bCs/>
          <w:color w:val="000000"/>
        </w:rPr>
        <w:t>Xhaferllari</w:t>
      </w:r>
      <w:proofErr w:type="spellEnd"/>
      <w:r w:rsidRPr="008F295A">
        <w:rPr>
          <w:rFonts w:ascii="Garamond" w:hAnsi="Garamond"/>
          <w:bCs/>
          <w:color w:val="000000"/>
        </w:rPr>
        <w:t xml:space="preserve">, </w:t>
      </w:r>
      <w:r w:rsidR="00032A2B" w:rsidRPr="008F295A">
        <w:rPr>
          <w:rFonts w:ascii="Garamond" w:hAnsi="Garamond"/>
          <w:bCs/>
          <w:color w:val="000000"/>
        </w:rPr>
        <w:t>Genti Ibrahimi</w:t>
      </w:r>
      <w:r w:rsidRPr="008F295A">
        <w:rPr>
          <w:rFonts w:ascii="Garamond" w:hAnsi="Garamond"/>
          <w:bCs/>
          <w:color w:val="000000"/>
        </w:rPr>
        <w:t xml:space="preserve">, </w:t>
      </w:r>
      <w:r w:rsidR="00032A2B" w:rsidRPr="008F295A">
        <w:rPr>
          <w:rFonts w:ascii="Garamond" w:hAnsi="Garamond"/>
          <w:bCs/>
          <w:color w:val="000000"/>
        </w:rPr>
        <w:t>Ilir Toska</w:t>
      </w:r>
      <w:r w:rsidRPr="008F295A">
        <w:rPr>
          <w:rFonts w:ascii="Garamond" w:hAnsi="Garamond"/>
          <w:bCs/>
          <w:color w:val="000000"/>
        </w:rPr>
        <w:t xml:space="preserve">, </w:t>
      </w:r>
      <w:proofErr w:type="spellStart"/>
      <w:r w:rsidR="00032A2B" w:rsidRPr="008F295A">
        <w:rPr>
          <w:rFonts w:ascii="Garamond" w:hAnsi="Garamond"/>
          <w:bCs/>
          <w:color w:val="000000"/>
        </w:rPr>
        <w:t>Sandër</w:t>
      </w:r>
      <w:proofErr w:type="spellEnd"/>
      <w:r w:rsidR="00032A2B" w:rsidRPr="008F295A">
        <w:rPr>
          <w:rFonts w:ascii="Garamond" w:hAnsi="Garamond"/>
          <w:bCs/>
          <w:color w:val="000000"/>
        </w:rPr>
        <w:t xml:space="preserve"> Beci</w:t>
      </w:r>
      <w:r w:rsidRPr="008F295A">
        <w:rPr>
          <w:rFonts w:ascii="Garamond" w:hAnsi="Garamond"/>
          <w:bCs/>
          <w:color w:val="000000"/>
        </w:rPr>
        <w:t xml:space="preserve">, </w:t>
      </w:r>
    </w:p>
    <w:p w14:paraId="47EF35C4" w14:textId="10E6274A" w:rsidR="00032A2B" w:rsidRPr="008F295A" w:rsidRDefault="00032A2B" w:rsidP="00032A2B">
      <w:pPr>
        <w:tabs>
          <w:tab w:val="left" w:pos="1080"/>
        </w:tabs>
        <w:autoSpaceDE w:val="0"/>
        <w:autoSpaceDN w:val="0"/>
        <w:adjustRightInd w:val="0"/>
        <w:spacing w:line="240" w:lineRule="auto"/>
        <w:ind w:firstLine="284"/>
        <w:jc w:val="both"/>
        <w:rPr>
          <w:rFonts w:ascii="Garamond" w:hAnsi="Garamond"/>
          <w:bCs/>
          <w:color w:val="000000"/>
        </w:rPr>
      </w:pPr>
      <w:proofErr w:type="spellStart"/>
      <w:r w:rsidRPr="008F295A">
        <w:rPr>
          <w:rFonts w:ascii="Garamond" w:hAnsi="Garamond"/>
          <w:bCs/>
          <w:color w:val="000000"/>
        </w:rPr>
        <w:t>Sonila</w:t>
      </w:r>
      <w:proofErr w:type="spellEnd"/>
      <w:r w:rsidRPr="008F295A">
        <w:rPr>
          <w:rFonts w:ascii="Garamond" w:hAnsi="Garamond"/>
          <w:bCs/>
          <w:color w:val="000000"/>
        </w:rPr>
        <w:t xml:space="preserve"> Bejtja</w:t>
      </w:r>
      <w:r w:rsidR="006262EA" w:rsidRPr="008F295A">
        <w:rPr>
          <w:rFonts w:ascii="Garamond" w:hAnsi="Garamond"/>
          <w:bCs/>
          <w:color w:val="000000"/>
        </w:rPr>
        <w:t xml:space="preserve">, </w:t>
      </w:r>
      <w:proofErr w:type="spellStart"/>
      <w:r w:rsidRPr="008F295A">
        <w:rPr>
          <w:rFonts w:ascii="Garamond" w:hAnsi="Garamond"/>
          <w:bCs/>
          <w:color w:val="000000"/>
        </w:rPr>
        <w:t>Marjana</w:t>
      </w:r>
      <w:proofErr w:type="spellEnd"/>
      <w:r w:rsidRPr="008F295A">
        <w:rPr>
          <w:rFonts w:ascii="Garamond" w:hAnsi="Garamond"/>
          <w:bCs/>
          <w:color w:val="000000"/>
        </w:rPr>
        <w:t xml:space="preserve"> </w:t>
      </w:r>
      <w:proofErr w:type="spellStart"/>
      <w:r w:rsidRPr="008F295A">
        <w:rPr>
          <w:rFonts w:ascii="Garamond" w:hAnsi="Garamond"/>
          <w:bCs/>
          <w:color w:val="000000"/>
        </w:rPr>
        <w:t>Semini</w:t>
      </w:r>
      <w:proofErr w:type="spellEnd"/>
    </w:p>
    <w:p w14:paraId="3EEE84FB" w14:textId="3849B85C" w:rsidR="00032A2B" w:rsidRPr="00C22903" w:rsidRDefault="0082608D" w:rsidP="00032A2B">
      <w:pPr>
        <w:tabs>
          <w:tab w:val="left" w:pos="0"/>
        </w:tabs>
        <w:autoSpaceDE w:val="0"/>
        <w:autoSpaceDN w:val="0"/>
        <w:adjustRightInd w:val="0"/>
        <w:spacing w:line="240" w:lineRule="auto"/>
        <w:ind w:firstLine="284"/>
        <w:jc w:val="both"/>
        <w:rPr>
          <w:rFonts w:ascii="Garamond" w:hAnsi="Garamond"/>
          <w:b/>
          <w:bCs/>
          <w:color w:val="000000"/>
        </w:rPr>
      </w:pPr>
      <w:r>
        <w:rPr>
          <w:rFonts w:ascii="Garamond" w:hAnsi="Garamond"/>
          <w:b/>
          <w:bCs/>
          <w:color w:val="000000"/>
        </w:rPr>
        <w:t xml:space="preserve">  </w:t>
      </w:r>
    </w:p>
    <w:p w14:paraId="3EE69745" w14:textId="77777777" w:rsidR="00032A2B" w:rsidRPr="00C22903" w:rsidRDefault="00032A2B" w:rsidP="00032A2B">
      <w:pPr>
        <w:tabs>
          <w:tab w:val="left" w:pos="1080"/>
        </w:tabs>
        <w:autoSpaceDE w:val="0"/>
        <w:autoSpaceDN w:val="0"/>
        <w:adjustRightInd w:val="0"/>
        <w:spacing w:line="240" w:lineRule="auto"/>
        <w:ind w:firstLine="284"/>
        <w:jc w:val="center"/>
        <w:rPr>
          <w:rFonts w:ascii="Garamond" w:hAnsi="Garamond"/>
          <w:bCs/>
          <w:color w:val="000000"/>
        </w:rPr>
      </w:pPr>
      <w:r w:rsidRPr="00C22903">
        <w:rPr>
          <w:rFonts w:ascii="Garamond" w:hAnsi="Garamond"/>
          <w:bCs/>
          <w:color w:val="000000"/>
        </w:rPr>
        <w:t>MENDIM PARALEL</w:t>
      </w:r>
    </w:p>
    <w:p w14:paraId="2F460DB4" w14:textId="77777777" w:rsidR="00032A2B" w:rsidRPr="00C22903" w:rsidRDefault="00032A2B" w:rsidP="00032A2B">
      <w:pPr>
        <w:tabs>
          <w:tab w:val="left" w:pos="1080"/>
        </w:tabs>
        <w:autoSpaceDE w:val="0"/>
        <w:autoSpaceDN w:val="0"/>
        <w:adjustRightInd w:val="0"/>
        <w:spacing w:line="240" w:lineRule="auto"/>
        <w:ind w:firstLine="284"/>
        <w:jc w:val="center"/>
        <w:rPr>
          <w:rFonts w:ascii="Garamond" w:hAnsi="Garamond"/>
          <w:b/>
          <w:bCs/>
          <w:color w:val="000000"/>
        </w:rPr>
      </w:pPr>
    </w:p>
    <w:p w14:paraId="2D8891DA" w14:textId="4B0BD8E7" w:rsidR="00032A2B" w:rsidRPr="00C22903" w:rsidRDefault="00032A2B" w:rsidP="00032A2B">
      <w:pPr>
        <w:tabs>
          <w:tab w:val="left" w:pos="108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1. Në gjykimin kushtetues të çështjes nr. 14 (Sh) 2024 të Regjistrit Themeltar që u përket kërkuesve, shoqërisë “</w:t>
      </w:r>
      <w:proofErr w:type="spellStart"/>
      <w:r w:rsidRPr="00C22903">
        <w:rPr>
          <w:rFonts w:ascii="Garamond" w:hAnsi="Garamond"/>
          <w:color w:val="000000"/>
        </w:rPr>
        <w:t>DEA</w:t>
      </w:r>
      <w:proofErr w:type="spellEnd"/>
      <w:r w:rsidRPr="00C22903">
        <w:rPr>
          <w:rFonts w:ascii="Garamond" w:hAnsi="Garamond"/>
          <w:color w:val="000000"/>
        </w:rPr>
        <w:t xml:space="preserve">-Z” </w:t>
      </w:r>
      <w:proofErr w:type="spellStart"/>
      <w:r w:rsidRPr="00C22903">
        <w:rPr>
          <w:rFonts w:ascii="Garamond" w:hAnsi="Garamond"/>
          <w:color w:val="000000"/>
        </w:rPr>
        <w:t>sh.p.k</w:t>
      </w:r>
      <w:proofErr w:type="spellEnd"/>
      <w:r w:rsidRPr="00C22903">
        <w:rPr>
          <w:rFonts w:ascii="Garamond" w:hAnsi="Garamond"/>
          <w:color w:val="000000"/>
        </w:rPr>
        <w:t xml:space="preserve">. dhe Zaim </w:t>
      </w:r>
      <w:proofErr w:type="spellStart"/>
      <w:r w:rsidRPr="00C22903">
        <w:rPr>
          <w:rFonts w:ascii="Garamond" w:hAnsi="Garamond"/>
          <w:color w:val="000000"/>
        </w:rPr>
        <w:t>Korsi</w:t>
      </w:r>
      <w:proofErr w:type="spellEnd"/>
      <w:r w:rsidRPr="00C22903">
        <w:rPr>
          <w:rFonts w:ascii="Garamond" w:hAnsi="Garamond"/>
          <w:color w:val="000000"/>
        </w:rPr>
        <w:t xml:space="preserve">, me objekt: </w:t>
      </w:r>
      <w:r w:rsidRPr="00C22903">
        <w:rPr>
          <w:rFonts w:ascii="Garamond" w:hAnsi="Garamond"/>
          <w:i/>
          <w:iCs/>
          <w:color w:val="000000"/>
        </w:rPr>
        <w:t>“Shfuqizimin e vendimeve nr. 2943, datë 10.4.2015</w:t>
      </w:r>
      <w:r w:rsidR="0082608D">
        <w:rPr>
          <w:rFonts w:ascii="Garamond" w:hAnsi="Garamond"/>
          <w:i/>
          <w:iCs/>
          <w:color w:val="000000"/>
        </w:rPr>
        <w:t>,</w:t>
      </w:r>
      <w:r w:rsidRPr="00C22903">
        <w:rPr>
          <w:rFonts w:ascii="Garamond" w:hAnsi="Garamond"/>
          <w:i/>
          <w:iCs/>
          <w:color w:val="000000"/>
        </w:rPr>
        <w:t xml:space="preserve"> të Gjykatës së Rrethit Gjyqësor Tiranë; nr. 665, datë 29.3.2016</w:t>
      </w:r>
      <w:r w:rsidR="006E3282">
        <w:rPr>
          <w:rFonts w:ascii="Garamond" w:hAnsi="Garamond"/>
          <w:i/>
          <w:iCs/>
          <w:color w:val="000000"/>
        </w:rPr>
        <w:t>,</w:t>
      </w:r>
      <w:r w:rsidRPr="00C22903">
        <w:rPr>
          <w:rFonts w:ascii="Garamond" w:hAnsi="Garamond"/>
          <w:i/>
          <w:iCs/>
          <w:color w:val="000000"/>
        </w:rPr>
        <w:t xml:space="preserve"> të Gjykatës së Apelit Tiranë; nr. 00-2023-4272, datë 25.10.2023</w:t>
      </w:r>
      <w:r w:rsidR="006E3282">
        <w:rPr>
          <w:rFonts w:ascii="Garamond" w:hAnsi="Garamond"/>
          <w:i/>
          <w:iCs/>
          <w:color w:val="000000"/>
        </w:rPr>
        <w:t>,</w:t>
      </w:r>
      <w:r w:rsidRPr="00C22903">
        <w:rPr>
          <w:rFonts w:ascii="Garamond" w:hAnsi="Garamond"/>
          <w:i/>
          <w:iCs/>
          <w:color w:val="000000"/>
        </w:rPr>
        <w:t xml:space="preserve"> të Kolegjit Civil të Gjykatës së Lartë, si të papajtueshme me Kushtetutën e Republikës së Shqipërisë”, </w:t>
      </w:r>
      <w:r w:rsidRPr="00C22903">
        <w:rPr>
          <w:rFonts w:ascii="Garamond" w:hAnsi="Garamond"/>
          <w:color w:val="000000"/>
        </w:rPr>
        <w:t>edhe pse i bashkohemi shumicës në lidhje me zgjidhjen e saj, pra për rrëzimin e kërkesës, qëndrimi ynë v</w:t>
      </w:r>
      <w:bookmarkStart w:id="0" w:name="_GoBack"/>
      <w:bookmarkEnd w:id="0"/>
      <w:r w:rsidRPr="00C22903">
        <w:rPr>
          <w:rFonts w:ascii="Garamond" w:hAnsi="Garamond"/>
          <w:color w:val="000000"/>
        </w:rPr>
        <w:t xml:space="preserve">etëm për sa i përket pretendimit për cenimin e së drejtës së </w:t>
      </w:r>
      <w:proofErr w:type="spellStart"/>
      <w:r w:rsidRPr="00C22903">
        <w:rPr>
          <w:rFonts w:ascii="Garamond" w:hAnsi="Garamond"/>
          <w:color w:val="000000"/>
        </w:rPr>
        <w:t>aksesit</w:t>
      </w:r>
      <w:proofErr w:type="spellEnd"/>
      <w:r w:rsidRPr="00C22903">
        <w:rPr>
          <w:rFonts w:ascii="Garamond" w:hAnsi="Garamond"/>
          <w:color w:val="000000"/>
        </w:rPr>
        <w:t xml:space="preserve"> të lidhur me standardin e arsyetimit të vendimit gjyqësor</w:t>
      </w:r>
      <w:r w:rsidRPr="00C22903">
        <w:rPr>
          <w:rFonts w:ascii="Garamond" w:hAnsi="Garamond"/>
          <w:i/>
          <w:iCs/>
          <w:color w:val="000000"/>
        </w:rPr>
        <w:t xml:space="preserve"> </w:t>
      </w:r>
      <w:r w:rsidRPr="00C22903">
        <w:rPr>
          <w:rFonts w:ascii="Garamond" w:hAnsi="Garamond"/>
          <w:color w:val="000000"/>
        </w:rPr>
        <w:t xml:space="preserve">bazohet në një qasje të ndryshme, në koherencë me atë që kemi mbajtur më parë në çështje të ngjashme </w:t>
      </w:r>
      <w:r w:rsidRPr="00C22903">
        <w:rPr>
          <w:rFonts w:ascii="Garamond" w:hAnsi="Garamond"/>
          <w:i/>
          <w:iCs/>
          <w:color w:val="000000"/>
        </w:rPr>
        <w:t>(shih mendimin e pakicës në vendimin nr. 77, datë 5.11.2024</w:t>
      </w:r>
      <w:r w:rsidR="006E3282">
        <w:rPr>
          <w:rFonts w:ascii="Garamond" w:hAnsi="Garamond"/>
          <w:i/>
          <w:iCs/>
          <w:color w:val="000000"/>
        </w:rPr>
        <w:t>,</w:t>
      </w:r>
      <w:r w:rsidRPr="00C22903">
        <w:rPr>
          <w:rFonts w:ascii="Garamond" w:hAnsi="Garamond"/>
          <w:i/>
          <w:iCs/>
          <w:color w:val="000000"/>
        </w:rPr>
        <w:t xml:space="preserve"> të Gjykatës Kushtetuese).</w:t>
      </w:r>
      <w:r w:rsidR="0082608D">
        <w:rPr>
          <w:rFonts w:ascii="Garamond" w:hAnsi="Garamond"/>
          <w:color w:val="000000"/>
        </w:rPr>
        <w:t xml:space="preserve"> </w:t>
      </w:r>
    </w:p>
    <w:p w14:paraId="6B501B67" w14:textId="1E34F893" w:rsidR="00032A2B" w:rsidRPr="00C22903" w:rsidRDefault="00032A2B" w:rsidP="00032A2B">
      <w:pPr>
        <w:tabs>
          <w:tab w:val="left" w:pos="1080"/>
        </w:tabs>
        <w:autoSpaceDE w:val="0"/>
        <w:autoSpaceDN w:val="0"/>
        <w:adjustRightInd w:val="0"/>
        <w:spacing w:line="240" w:lineRule="auto"/>
        <w:ind w:firstLine="284"/>
        <w:jc w:val="both"/>
        <w:rPr>
          <w:rFonts w:ascii="Garamond" w:hAnsi="Garamond"/>
          <w:i/>
          <w:iCs/>
          <w:color w:val="000000"/>
        </w:rPr>
      </w:pPr>
      <w:r w:rsidRPr="00C22903">
        <w:rPr>
          <w:rFonts w:ascii="Garamond" w:hAnsi="Garamond"/>
          <w:color w:val="000000"/>
        </w:rPr>
        <w:t xml:space="preserve">2. Fillimisht çmojmë të evidentojmë faktet relevante në lidhje me pretendimin e kërkuesve për cenimin e së drejtës së </w:t>
      </w:r>
      <w:proofErr w:type="spellStart"/>
      <w:r w:rsidRPr="00C22903">
        <w:rPr>
          <w:rFonts w:ascii="Garamond" w:hAnsi="Garamond"/>
          <w:color w:val="000000"/>
        </w:rPr>
        <w:t>aksesit</w:t>
      </w:r>
      <w:proofErr w:type="spellEnd"/>
      <w:r w:rsidRPr="00C22903">
        <w:rPr>
          <w:rFonts w:ascii="Garamond" w:hAnsi="Garamond"/>
          <w:color w:val="000000"/>
        </w:rPr>
        <w:t xml:space="preserve"> të lidhur me standardin e arsyetimit të vendimit gjyqësor. Kështu, në procesin gjyqësor të vënë në lëvizje nga subjekti i interesuar </w:t>
      </w:r>
      <w:proofErr w:type="spellStart"/>
      <w:r w:rsidRPr="00C22903">
        <w:rPr>
          <w:rFonts w:ascii="Garamond" w:hAnsi="Garamond"/>
          <w:color w:val="000000"/>
        </w:rPr>
        <w:t>Viktor</w:t>
      </w:r>
      <w:proofErr w:type="spellEnd"/>
      <w:r w:rsidRPr="00C22903">
        <w:rPr>
          <w:rFonts w:ascii="Garamond" w:hAnsi="Garamond"/>
          <w:color w:val="000000"/>
        </w:rPr>
        <w:t xml:space="preserve"> </w:t>
      </w:r>
      <w:proofErr w:type="spellStart"/>
      <w:r w:rsidRPr="00C22903">
        <w:rPr>
          <w:rFonts w:ascii="Garamond" w:hAnsi="Garamond"/>
          <w:color w:val="000000"/>
        </w:rPr>
        <w:t>Ndoci</w:t>
      </w:r>
      <w:proofErr w:type="spellEnd"/>
      <w:r w:rsidRPr="00C22903">
        <w:rPr>
          <w:rFonts w:ascii="Garamond" w:hAnsi="Garamond"/>
          <w:color w:val="000000"/>
        </w:rPr>
        <w:t xml:space="preserve">, me vendimin e datës 10.4.2015, gjykata e shkallës së parë ka vendosur pranimin e pjesshëm të padisë së tij. Pas </w:t>
      </w:r>
      <w:proofErr w:type="spellStart"/>
      <w:r w:rsidRPr="00C22903">
        <w:rPr>
          <w:rFonts w:ascii="Garamond" w:hAnsi="Garamond"/>
          <w:color w:val="000000"/>
        </w:rPr>
        <w:t>ankimimit</w:t>
      </w:r>
      <w:proofErr w:type="spellEnd"/>
      <w:r w:rsidRPr="00C22903">
        <w:rPr>
          <w:rFonts w:ascii="Garamond" w:hAnsi="Garamond"/>
          <w:color w:val="000000"/>
        </w:rPr>
        <w:t xml:space="preserve"> të këtij vendimi nga të dyja palët </w:t>
      </w:r>
      <w:proofErr w:type="spellStart"/>
      <w:r w:rsidRPr="00C22903">
        <w:rPr>
          <w:rFonts w:ascii="Garamond" w:hAnsi="Garamond"/>
          <w:color w:val="000000"/>
        </w:rPr>
        <w:t>ndërgjyqëse</w:t>
      </w:r>
      <w:proofErr w:type="spellEnd"/>
      <w:r w:rsidRPr="00C22903">
        <w:rPr>
          <w:rFonts w:ascii="Garamond" w:hAnsi="Garamond"/>
          <w:color w:val="000000"/>
        </w:rPr>
        <w:t>, me vendimin e datës 29.3.2016, Gjykata e Apelit Tiranë ka ndryshuar pjesërisht vendimin e gjykatës së shkallës së parë, duke pranuar plotësisht kërkimin e padisë për njohjen pronar. Kundër vendimit të gjykatës së apelit kërkuesja, shoqëria “</w:t>
      </w:r>
      <w:proofErr w:type="spellStart"/>
      <w:r w:rsidRPr="00C22903">
        <w:rPr>
          <w:rFonts w:ascii="Garamond" w:hAnsi="Garamond"/>
          <w:color w:val="000000"/>
        </w:rPr>
        <w:t>DEA</w:t>
      </w:r>
      <w:proofErr w:type="spellEnd"/>
      <w:r w:rsidRPr="00C22903">
        <w:rPr>
          <w:rFonts w:ascii="Garamond" w:hAnsi="Garamond"/>
          <w:color w:val="000000"/>
        </w:rPr>
        <w:t xml:space="preserve">-Z” </w:t>
      </w:r>
      <w:proofErr w:type="spellStart"/>
      <w:r w:rsidRPr="00C22903">
        <w:rPr>
          <w:rFonts w:ascii="Garamond" w:hAnsi="Garamond"/>
          <w:color w:val="000000"/>
        </w:rPr>
        <w:t>sh.p.k</w:t>
      </w:r>
      <w:proofErr w:type="spellEnd"/>
      <w:r w:rsidRPr="00C22903">
        <w:rPr>
          <w:rFonts w:ascii="Garamond" w:hAnsi="Garamond"/>
          <w:color w:val="000000"/>
        </w:rPr>
        <w:t xml:space="preserve">., ka paraqitur rekurs dhe çështja është regjistruar në Gjykatën e Lartë në datën 8.7.2016. Ndërsa rekursi ka qenë në pritje për t’u shqyrtuar kjo kërkuese ka depozituar në Gjykatën e Lartë aktin “Shtesë rekursi” dhe në vijim edhe aktin “Shpjegime”. Në përfundim të shqyrtimit të rekursit Kolegji Civil i Gjykatës së Lartë ka vendosur mospranimin e tij, me arsyetimin se ai nuk përmbante shkaqe nga ato të parashikuara nga neni 472 i </w:t>
      </w:r>
      <w:proofErr w:type="spellStart"/>
      <w:r w:rsidRPr="00C22903">
        <w:rPr>
          <w:rFonts w:ascii="Garamond" w:hAnsi="Garamond"/>
          <w:color w:val="000000"/>
        </w:rPr>
        <w:t>KPC</w:t>
      </w:r>
      <w:proofErr w:type="spellEnd"/>
      <w:r w:rsidRPr="00C22903">
        <w:rPr>
          <w:rFonts w:ascii="Garamond" w:hAnsi="Garamond"/>
          <w:color w:val="000000"/>
        </w:rPr>
        <w:t>-së.</w:t>
      </w:r>
      <w:r w:rsidRPr="00C22903">
        <w:rPr>
          <w:rFonts w:ascii="Garamond" w:hAnsi="Garamond"/>
          <w:i/>
          <w:iCs/>
          <w:color w:val="000000"/>
        </w:rPr>
        <w:t xml:space="preserve"> </w:t>
      </w:r>
    </w:p>
    <w:p w14:paraId="7B383BFF" w14:textId="209314F9" w:rsidR="00032A2B" w:rsidRPr="00C22903" w:rsidRDefault="00032A2B" w:rsidP="00032A2B">
      <w:pPr>
        <w:tabs>
          <w:tab w:val="left" w:pos="108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 xml:space="preserve">3. Në analizë të fakteve të evidentuara </w:t>
      </w:r>
      <w:proofErr w:type="spellStart"/>
      <w:r w:rsidRPr="00C22903">
        <w:rPr>
          <w:rFonts w:ascii="Garamond" w:hAnsi="Garamond"/>
          <w:color w:val="000000"/>
        </w:rPr>
        <w:t>kronologjikisht</w:t>
      </w:r>
      <w:proofErr w:type="spellEnd"/>
      <w:r w:rsidRPr="00C22903">
        <w:rPr>
          <w:rFonts w:ascii="Garamond" w:hAnsi="Garamond"/>
          <w:color w:val="000000"/>
        </w:rPr>
        <w:t xml:space="preserve"> si më lart, konstatohet se vendimi i Gjykatës së Apelit Tiranë mban datën 29.3.2016 dhe shoqëria “</w:t>
      </w:r>
      <w:proofErr w:type="spellStart"/>
      <w:r w:rsidRPr="00C22903">
        <w:rPr>
          <w:rFonts w:ascii="Garamond" w:hAnsi="Garamond"/>
          <w:color w:val="000000"/>
        </w:rPr>
        <w:t>DEA</w:t>
      </w:r>
      <w:proofErr w:type="spellEnd"/>
      <w:r w:rsidRPr="00C22903">
        <w:rPr>
          <w:rFonts w:ascii="Garamond" w:hAnsi="Garamond"/>
          <w:color w:val="000000"/>
        </w:rPr>
        <w:t xml:space="preserve">-Z” </w:t>
      </w:r>
      <w:proofErr w:type="spellStart"/>
      <w:r w:rsidRPr="00C22903">
        <w:rPr>
          <w:rFonts w:ascii="Garamond" w:hAnsi="Garamond"/>
          <w:color w:val="000000"/>
        </w:rPr>
        <w:t>sh.p.k</w:t>
      </w:r>
      <w:proofErr w:type="spellEnd"/>
      <w:r w:rsidRPr="00C22903">
        <w:rPr>
          <w:rFonts w:ascii="Garamond" w:hAnsi="Garamond"/>
          <w:color w:val="000000"/>
        </w:rPr>
        <w:t xml:space="preserve">., brenda afatit ligjor 30-ditor, sipas nenit 443, paragrafi 2, të </w:t>
      </w:r>
      <w:proofErr w:type="spellStart"/>
      <w:r w:rsidRPr="00C22903">
        <w:rPr>
          <w:rFonts w:ascii="Garamond" w:hAnsi="Garamond"/>
          <w:color w:val="000000"/>
        </w:rPr>
        <w:t>KPC</w:t>
      </w:r>
      <w:proofErr w:type="spellEnd"/>
      <w:r w:rsidRPr="00C22903">
        <w:rPr>
          <w:rFonts w:ascii="Garamond" w:hAnsi="Garamond"/>
          <w:color w:val="000000"/>
        </w:rPr>
        <w:t xml:space="preserve">-së, ka ushtruar rekurs ndaj tij në datën 26.4.2016. Në vijim, në datën 13.7.2021, pra pas më shumë se 5 vjetëve nga vendimi i gjykatës së apelit kjo kërkuese ka depozituar në Gjykatën e Lartë aktin “Shtesë rekursi”, ndërsa pas më shumë se 7 vjetëve nga vendimi i gjykatës së apelit, në datën 7.9.2023, ajo ka depozituar në atë gjykatë edhe aktin “Shpjegime”. Gjykata e Lartë, në dhomën e këshillimit të datës 25.10.2023, duke iu referuar rekursit të datës 26.4.2016, pasi ka shqyrtuar kriteret e </w:t>
      </w:r>
      <w:proofErr w:type="spellStart"/>
      <w:r w:rsidRPr="00C22903">
        <w:rPr>
          <w:rFonts w:ascii="Garamond" w:hAnsi="Garamond"/>
          <w:color w:val="000000"/>
        </w:rPr>
        <w:t>pranueshmërisë</w:t>
      </w:r>
      <w:proofErr w:type="spellEnd"/>
      <w:r w:rsidRPr="00C22903">
        <w:rPr>
          <w:rFonts w:ascii="Garamond" w:hAnsi="Garamond"/>
          <w:color w:val="000000"/>
        </w:rPr>
        <w:t xml:space="preserve"> së shkaqeve të parashtruara në të ka vendosur mospranimin e tij. Në vendimin e saj ajo gjykatë nuk ka evidentuar faktin e paraqitjes nga pala </w:t>
      </w:r>
      <w:proofErr w:type="spellStart"/>
      <w:r w:rsidRPr="00C22903">
        <w:rPr>
          <w:rFonts w:ascii="Garamond" w:hAnsi="Garamond"/>
          <w:color w:val="000000"/>
        </w:rPr>
        <w:t>rekursuese</w:t>
      </w:r>
      <w:proofErr w:type="spellEnd"/>
      <w:r w:rsidRPr="00C22903">
        <w:rPr>
          <w:rFonts w:ascii="Garamond" w:hAnsi="Garamond"/>
          <w:color w:val="000000"/>
        </w:rPr>
        <w:t xml:space="preserve"> (shoqëria “</w:t>
      </w:r>
      <w:proofErr w:type="spellStart"/>
      <w:r w:rsidRPr="00C22903">
        <w:rPr>
          <w:rFonts w:ascii="Garamond" w:hAnsi="Garamond"/>
          <w:color w:val="000000"/>
        </w:rPr>
        <w:t>DEA</w:t>
      </w:r>
      <w:proofErr w:type="spellEnd"/>
      <w:r w:rsidRPr="00C22903">
        <w:rPr>
          <w:rFonts w:ascii="Garamond" w:hAnsi="Garamond"/>
          <w:color w:val="000000"/>
        </w:rPr>
        <w:t xml:space="preserve">-Z” </w:t>
      </w:r>
      <w:proofErr w:type="spellStart"/>
      <w:r w:rsidRPr="00C22903">
        <w:rPr>
          <w:rFonts w:ascii="Garamond" w:hAnsi="Garamond"/>
          <w:color w:val="000000"/>
        </w:rPr>
        <w:t>sh.p.k</w:t>
      </w:r>
      <w:proofErr w:type="spellEnd"/>
      <w:r w:rsidRPr="00C22903">
        <w:rPr>
          <w:rFonts w:ascii="Garamond" w:hAnsi="Garamond"/>
          <w:color w:val="000000"/>
        </w:rPr>
        <w:t xml:space="preserve">.) të shtesës së rekursit dhe të shpjegimeve dhe as nuk rezulton të ketë ka arsyetuar në lidhje me </w:t>
      </w:r>
      <w:proofErr w:type="spellStart"/>
      <w:r w:rsidRPr="00C22903">
        <w:rPr>
          <w:rFonts w:ascii="Garamond" w:hAnsi="Garamond"/>
          <w:color w:val="000000"/>
        </w:rPr>
        <w:t>pranueshmërinë</w:t>
      </w:r>
      <w:proofErr w:type="spellEnd"/>
      <w:r w:rsidRPr="00C22903">
        <w:rPr>
          <w:rFonts w:ascii="Garamond" w:hAnsi="Garamond"/>
          <w:color w:val="000000"/>
        </w:rPr>
        <w:t xml:space="preserve"> e tyre. </w:t>
      </w:r>
    </w:p>
    <w:p w14:paraId="37628FF6" w14:textId="423AB2EA" w:rsidR="00032A2B" w:rsidRPr="00C22903" w:rsidRDefault="00032A2B" w:rsidP="00032A2B">
      <w:pPr>
        <w:tabs>
          <w:tab w:val="left" w:pos="108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 xml:space="preserve">4. Bazuar në faktet si më sipër, vërehet se shtesa e rekursit, sikundër edhe shpjegimet që janë depozituar në Gjykatën e Lartë gjatë kohës që rekursi ishte regjistruar në atë gjykatë dhe ishte në pritje të shqyrtimit, referuar të cilave kërkuesit ngrenë pretendimin për cenimin e procesit të rregullt </w:t>
      </w:r>
      <w:r w:rsidRPr="00C22903">
        <w:rPr>
          <w:rFonts w:ascii="Garamond" w:hAnsi="Garamond"/>
          <w:color w:val="000000"/>
        </w:rPr>
        <w:lastRenderedPageBreak/>
        <w:t xml:space="preserve">në atë gjykatë, datojnë shumë vite pas mbarimit të afatit ligjor për ushtrimin e së drejtës së rekursit. Dispozitat procedurale civile në lidhje me mjetet dhe afatet e ankimit kanë parashikuar rekursin si mjetin e ankimit në Gjykatën e Lartë (neni 442 i </w:t>
      </w:r>
      <w:proofErr w:type="spellStart"/>
      <w:r w:rsidRPr="00C22903">
        <w:rPr>
          <w:rFonts w:ascii="Garamond" w:hAnsi="Garamond"/>
          <w:color w:val="000000"/>
        </w:rPr>
        <w:t>KPC</w:t>
      </w:r>
      <w:proofErr w:type="spellEnd"/>
      <w:r w:rsidRPr="00C22903">
        <w:rPr>
          <w:rFonts w:ascii="Garamond" w:hAnsi="Garamond"/>
          <w:color w:val="000000"/>
        </w:rPr>
        <w:t xml:space="preserve">-së), afati ligjor i paraqitjes së të cilit është 30 ditë (neni 443 i </w:t>
      </w:r>
      <w:proofErr w:type="spellStart"/>
      <w:r w:rsidRPr="00C22903">
        <w:rPr>
          <w:rFonts w:ascii="Garamond" w:hAnsi="Garamond"/>
          <w:color w:val="000000"/>
        </w:rPr>
        <w:t>KPC</w:t>
      </w:r>
      <w:proofErr w:type="spellEnd"/>
      <w:r w:rsidRPr="00C22903">
        <w:rPr>
          <w:rFonts w:ascii="Garamond" w:hAnsi="Garamond"/>
          <w:color w:val="000000"/>
        </w:rPr>
        <w:t xml:space="preserve">-së), afat ky që, sipas ligjit procedural të kohës (neni 444 i </w:t>
      </w:r>
      <w:proofErr w:type="spellStart"/>
      <w:r w:rsidRPr="00C22903">
        <w:rPr>
          <w:rFonts w:ascii="Garamond" w:hAnsi="Garamond"/>
          <w:color w:val="000000"/>
        </w:rPr>
        <w:t>KPC</w:t>
      </w:r>
      <w:proofErr w:type="spellEnd"/>
      <w:r w:rsidRPr="00C22903">
        <w:rPr>
          <w:rFonts w:ascii="Garamond" w:hAnsi="Garamond"/>
          <w:color w:val="000000"/>
        </w:rPr>
        <w:t xml:space="preserve">-së), fillonte nga dita e nesërme e shpalljes së vendimit përfundimtar. Po kështu, dispozitat procedurale parashikojnë se shkaqet e rekursit janë përcaktuese për kufijtë e shqyrtimit të çështjes nga ajo gjykatë (neni 473/a). Referuar këtyre rregullimeve ligjore, vlerësojmë se kohëzgjatja e procesit gjyqësor në Gjykatën e Lartë nuk nënkupton dhe as mund të shërbejë si shkak për t’i dhënë palës </w:t>
      </w:r>
      <w:proofErr w:type="spellStart"/>
      <w:r w:rsidRPr="00C22903">
        <w:rPr>
          <w:rFonts w:ascii="Garamond" w:hAnsi="Garamond"/>
          <w:color w:val="000000"/>
        </w:rPr>
        <w:t>rekursuese</w:t>
      </w:r>
      <w:proofErr w:type="spellEnd"/>
      <w:r w:rsidRPr="00C22903">
        <w:rPr>
          <w:rFonts w:ascii="Garamond" w:hAnsi="Garamond"/>
          <w:color w:val="000000"/>
        </w:rPr>
        <w:t xml:space="preserve"> të drejtën për të paraqitur në çdo kohë pretendime ose shkaqe të reja për kundërshtimin e procesit gjyqësor në gjykatat e faktit, të ndryshme ose përtej atyre të parashtruara në rekurs, si akti i vetëm procedural që vë në lëvizje atë gjykim dhe përcakton edhe kufijtë e shqyrtimit të çështjes nga ajo gjykatë, sikurse një gjë e tillë pohohet nga kërkuesit në ankimin e tyre kushtetues individual (</w:t>
      </w:r>
      <w:r w:rsidRPr="00C22903">
        <w:rPr>
          <w:rFonts w:ascii="Garamond" w:hAnsi="Garamond"/>
          <w:i/>
          <w:iCs/>
          <w:color w:val="000000"/>
        </w:rPr>
        <w:t>shih paragrafin e fundit në faqen 11 të ankimit kushtetues individual</w:t>
      </w:r>
      <w:r w:rsidRPr="00C22903">
        <w:rPr>
          <w:rFonts w:ascii="Garamond" w:hAnsi="Garamond"/>
          <w:color w:val="000000"/>
        </w:rPr>
        <w:t>), sikundër nuk mund të shërbejë as për të zgjeruar kufijtë e shqyrtimit të çështjes nga Gjykata e Lartë.</w:t>
      </w:r>
      <w:r w:rsidR="0082608D">
        <w:rPr>
          <w:rFonts w:ascii="Garamond" w:hAnsi="Garamond"/>
          <w:color w:val="000000"/>
        </w:rPr>
        <w:t xml:space="preserve"> </w:t>
      </w:r>
    </w:p>
    <w:p w14:paraId="5B39A09D" w14:textId="030A2661" w:rsidR="00032A2B" w:rsidRPr="00C22903" w:rsidRDefault="00032A2B" w:rsidP="00032A2B">
      <w:pPr>
        <w:tabs>
          <w:tab w:val="left" w:pos="108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 xml:space="preserve">5. Në jurisprudencën e saj Gjykata është shprehur se e drejta e </w:t>
      </w:r>
      <w:proofErr w:type="spellStart"/>
      <w:r w:rsidRPr="00C22903">
        <w:rPr>
          <w:rFonts w:ascii="Garamond" w:hAnsi="Garamond"/>
          <w:color w:val="000000"/>
        </w:rPr>
        <w:t>aksesit</w:t>
      </w:r>
      <w:proofErr w:type="spellEnd"/>
      <w:r w:rsidRPr="00C22903">
        <w:rPr>
          <w:rFonts w:ascii="Garamond" w:hAnsi="Garamond"/>
          <w:color w:val="000000"/>
        </w:rPr>
        <w:t xml:space="preserve"> mund të kufizohet kur bëhet fjalë për kushtet e </w:t>
      </w:r>
      <w:proofErr w:type="spellStart"/>
      <w:r w:rsidRPr="00C22903">
        <w:rPr>
          <w:rFonts w:ascii="Garamond" w:hAnsi="Garamond"/>
          <w:color w:val="000000"/>
        </w:rPr>
        <w:t>pranueshmërisë</w:t>
      </w:r>
      <w:proofErr w:type="spellEnd"/>
      <w:r w:rsidRPr="00C22903">
        <w:rPr>
          <w:rFonts w:ascii="Garamond" w:hAnsi="Garamond"/>
          <w:color w:val="000000"/>
        </w:rPr>
        <w:t xml:space="preserve"> së një ankimi, siç janë afatet e përcaktuara në Kushtetutë dhe ligje, të cilat janë në funksion të parimit të sigurisë juridike </w:t>
      </w:r>
      <w:r w:rsidRPr="00C22903">
        <w:rPr>
          <w:rFonts w:ascii="Garamond" w:hAnsi="Garamond"/>
          <w:i/>
          <w:iCs/>
          <w:color w:val="000000"/>
        </w:rPr>
        <w:t>(shih vendimet nr. 40, datë 22.12.2022; nr. 18, datë 31.3.2014; nr. 17, datë 19.6.2009</w:t>
      </w:r>
      <w:r w:rsidR="006E3282">
        <w:rPr>
          <w:rFonts w:ascii="Garamond" w:hAnsi="Garamond"/>
          <w:i/>
          <w:iCs/>
          <w:color w:val="000000"/>
        </w:rPr>
        <w:t>,</w:t>
      </w:r>
      <w:r w:rsidRPr="00C22903">
        <w:rPr>
          <w:rFonts w:ascii="Garamond" w:hAnsi="Garamond"/>
          <w:i/>
          <w:iCs/>
          <w:color w:val="000000"/>
        </w:rPr>
        <w:t xml:space="preserve"> të Gjykatës Kushtetuese). </w:t>
      </w:r>
      <w:r w:rsidRPr="00C22903">
        <w:rPr>
          <w:rFonts w:ascii="Garamond" w:hAnsi="Garamond"/>
          <w:color w:val="000000"/>
        </w:rPr>
        <w:t xml:space="preserve">Po kështu, Gjykata ka mbajtur qëndrimin se nuk është arbitrar interpretimi i ligjit procedural nga Gjykata e Lartë për papranueshmërinë e shtesës së rekursit, sipas të cilit, bazuar në nenin 473/a të </w:t>
      </w:r>
      <w:proofErr w:type="spellStart"/>
      <w:r w:rsidRPr="00C22903">
        <w:rPr>
          <w:rFonts w:ascii="Garamond" w:hAnsi="Garamond"/>
          <w:color w:val="000000"/>
        </w:rPr>
        <w:t>KPC</w:t>
      </w:r>
      <w:proofErr w:type="spellEnd"/>
      <w:r w:rsidRPr="00C22903">
        <w:rPr>
          <w:rFonts w:ascii="Garamond" w:hAnsi="Garamond"/>
          <w:color w:val="000000"/>
        </w:rPr>
        <w:t xml:space="preserve">-së, ajo e shqyrton çështjen brenda kufijve të rekursit, përveç rasteve kur ligji i jep të drejtën të investohet kryesisht, ndërkohë që në kushtet kur shqyrtimi gjyqësor kufizohet vetëm brenda shkaqeve të parashtruara në rekurs, shkaqet e reja të parashtruara në shtesën e rekursit nuk mund të merren në vlerësim, pasi për shkak të ligjit janë të papranueshme </w:t>
      </w:r>
      <w:r w:rsidRPr="00C22903">
        <w:rPr>
          <w:rFonts w:ascii="Garamond" w:hAnsi="Garamond"/>
          <w:i/>
          <w:iCs/>
          <w:color w:val="000000"/>
        </w:rPr>
        <w:t>(shih vendimin nr. 30, datë 18.4.2024</w:t>
      </w:r>
      <w:r w:rsidR="006E3282">
        <w:rPr>
          <w:rFonts w:ascii="Garamond" w:hAnsi="Garamond"/>
          <w:i/>
          <w:iCs/>
          <w:color w:val="000000"/>
        </w:rPr>
        <w:t>,</w:t>
      </w:r>
      <w:r w:rsidRPr="00C22903">
        <w:rPr>
          <w:rFonts w:ascii="Garamond" w:hAnsi="Garamond"/>
          <w:i/>
          <w:iCs/>
          <w:color w:val="000000"/>
        </w:rPr>
        <w:t xml:space="preserve"> të Gjykatës Kushtetuese). </w:t>
      </w:r>
    </w:p>
    <w:p w14:paraId="4CD3957B" w14:textId="39501758" w:rsidR="00032A2B" w:rsidRPr="00C22903" w:rsidRDefault="00032A2B" w:rsidP="00032A2B">
      <w:pPr>
        <w:tabs>
          <w:tab w:val="left" w:pos="108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 xml:space="preserve">6. Për rrjedhojë, në rastin konkret, vetëm fakti i </w:t>
      </w:r>
      <w:proofErr w:type="spellStart"/>
      <w:r w:rsidRPr="00C22903">
        <w:rPr>
          <w:rFonts w:ascii="Garamond" w:hAnsi="Garamond"/>
          <w:color w:val="000000"/>
        </w:rPr>
        <w:t>mosevidentimit</w:t>
      </w:r>
      <w:proofErr w:type="spellEnd"/>
      <w:r w:rsidRPr="00C22903">
        <w:rPr>
          <w:rFonts w:ascii="Garamond" w:hAnsi="Garamond"/>
          <w:color w:val="000000"/>
        </w:rPr>
        <w:t xml:space="preserve"> në vendimin e Gjykatës së Lartë të paraqitjes nga kërkuesja, shoqëria “</w:t>
      </w:r>
      <w:proofErr w:type="spellStart"/>
      <w:r w:rsidRPr="00C22903">
        <w:rPr>
          <w:rFonts w:ascii="Garamond" w:hAnsi="Garamond"/>
          <w:color w:val="000000"/>
        </w:rPr>
        <w:t>DEA</w:t>
      </w:r>
      <w:proofErr w:type="spellEnd"/>
      <w:r w:rsidRPr="00C22903">
        <w:rPr>
          <w:rFonts w:ascii="Garamond" w:hAnsi="Garamond"/>
          <w:color w:val="000000"/>
        </w:rPr>
        <w:t xml:space="preserve">-Z” </w:t>
      </w:r>
      <w:proofErr w:type="spellStart"/>
      <w:r w:rsidRPr="00C22903">
        <w:rPr>
          <w:rFonts w:ascii="Garamond" w:hAnsi="Garamond"/>
          <w:color w:val="000000"/>
        </w:rPr>
        <w:t>sh.p.k</w:t>
      </w:r>
      <w:proofErr w:type="spellEnd"/>
      <w:r w:rsidRPr="00C22903">
        <w:rPr>
          <w:rFonts w:ascii="Garamond" w:hAnsi="Garamond"/>
          <w:color w:val="000000"/>
        </w:rPr>
        <w:t xml:space="preserve">., të aktit “Shtesë rekursi” dhe të aktit “Shpjegime”, për rrjedhojë edhe mungesa e arsyetimit, qoftë edhe minimal, për papranueshmërinë e tyre për shkak të paraqitjes dukshëm jashtë afatit ligjor të parashikuar nga ligji procedural për ushtrimin e këtij mjeti ankimi (rekursi), pa i hyrë faktit nëse në ato akte janë parashtruar ose jo pretendime të reja, të ndryshme nga ato të parashtruara në rekurs dhe të lejuara nga ligji, në vlerësimin tonë nuk mund të përbëjë shkak për të arritur në përfundimin e cenimit nga Gjykata e Lartë të standardit të arsyetimit të vendimit gjyqësor dhe as mund të vërë në dyshim të drejtën e </w:t>
      </w:r>
      <w:proofErr w:type="spellStart"/>
      <w:r w:rsidRPr="00C22903">
        <w:rPr>
          <w:rFonts w:ascii="Garamond" w:hAnsi="Garamond"/>
          <w:color w:val="000000"/>
        </w:rPr>
        <w:t>aksesit</w:t>
      </w:r>
      <w:proofErr w:type="spellEnd"/>
      <w:r w:rsidRPr="00C22903">
        <w:rPr>
          <w:rFonts w:ascii="Garamond" w:hAnsi="Garamond"/>
          <w:color w:val="000000"/>
        </w:rPr>
        <w:t xml:space="preserve"> të kërkueses, pra për të marrë përgjigje përfundimtare për pretendimet e ngritura në atë gjykatë. Edhe duke pranuar se vendimi i Gjykatës së Lartë shfaq një mangësi në aspektin formal të tij, për sa kohë që ajo gjykatë nuk kishte asnjë pengesë që të sqaronte palën </w:t>
      </w:r>
      <w:proofErr w:type="spellStart"/>
      <w:r w:rsidRPr="00C22903">
        <w:rPr>
          <w:rFonts w:ascii="Garamond" w:hAnsi="Garamond"/>
          <w:color w:val="000000"/>
        </w:rPr>
        <w:t>rekursuese</w:t>
      </w:r>
      <w:proofErr w:type="spellEnd"/>
      <w:r w:rsidRPr="00C22903">
        <w:rPr>
          <w:rFonts w:ascii="Garamond" w:hAnsi="Garamond"/>
          <w:color w:val="000000"/>
        </w:rPr>
        <w:t xml:space="preserve"> në lidhje me shkakun për të cilin nuk ka pasqyruar në vendim, për rrjedhojë nuk ka marrë në shqyrtim shkaqet e parashtruara në aktet e tjera të paraqitura përtej rekursit, një mangësi e tillë kurrsesi nuk mund të çojë në një përfundim të ndryshëm në lidhje me pretendimin e kërkuesve për cenimin e</w:t>
      </w:r>
      <w:r w:rsidR="0082608D">
        <w:rPr>
          <w:rFonts w:ascii="Garamond" w:hAnsi="Garamond"/>
          <w:color w:val="000000"/>
        </w:rPr>
        <w:t xml:space="preserve"> </w:t>
      </w:r>
      <w:r w:rsidRPr="00C22903">
        <w:rPr>
          <w:rFonts w:ascii="Garamond" w:hAnsi="Garamond"/>
          <w:color w:val="000000"/>
        </w:rPr>
        <w:t>së drejtës kushtetuese për proces të rregullt ligjor.</w:t>
      </w:r>
    </w:p>
    <w:p w14:paraId="6C1A5F7B" w14:textId="481203D2" w:rsidR="00032A2B" w:rsidRPr="00C22903" w:rsidRDefault="00032A2B" w:rsidP="00032A2B">
      <w:pPr>
        <w:tabs>
          <w:tab w:val="left" w:pos="1080"/>
        </w:tabs>
        <w:autoSpaceDE w:val="0"/>
        <w:autoSpaceDN w:val="0"/>
        <w:adjustRightInd w:val="0"/>
        <w:spacing w:line="240" w:lineRule="auto"/>
        <w:ind w:firstLine="284"/>
        <w:jc w:val="both"/>
        <w:rPr>
          <w:rFonts w:ascii="Garamond" w:hAnsi="Garamond"/>
          <w:color w:val="000000"/>
        </w:rPr>
      </w:pPr>
      <w:r w:rsidRPr="00C22903">
        <w:rPr>
          <w:rFonts w:ascii="Garamond" w:hAnsi="Garamond"/>
          <w:color w:val="000000"/>
        </w:rPr>
        <w:t xml:space="preserve">7. Në përfundim, jemi të qëndrimit se pretendimi i kërkuesve për cenimin nga Gjykata e Lartë të së drejtës së </w:t>
      </w:r>
      <w:proofErr w:type="spellStart"/>
      <w:r w:rsidRPr="00C22903">
        <w:rPr>
          <w:rFonts w:ascii="Garamond" w:hAnsi="Garamond"/>
          <w:color w:val="000000"/>
        </w:rPr>
        <w:t>aksesit</w:t>
      </w:r>
      <w:proofErr w:type="spellEnd"/>
      <w:r w:rsidRPr="00C22903">
        <w:rPr>
          <w:rFonts w:ascii="Garamond" w:hAnsi="Garamond"/>
          <w:color w:val="000000"/>
        </w:rPr>
        <w:t xml:space="preserve"> të lidhur me standardin e arsyetimit të vendimit, si aspekte të së drejtës për proces të rregullt ligjor, të garantuar nga neni 42 i Kushtetutës, është i pabazuar sipas arsyetimit si më sipër. </w:t>
      </w:r>
    </w:p>
    <w:p w14:paraId="4ACDDCAE" w14:textId="687E0517" w:rsidR="00032A2B" w:rsidRPr="00C22903" w:rsidRDefault="00032A2B" w:rsidP="00032A2B">
      <w:pPr>
        <w:tabs>
          <w:tab w:val="left" w:pos="1080"/>
        </w:tabs>
        <w:autoSpaceDE w:val="0"/>
        <w:autoSpaceDN w:val="0"/>
        <w:adjustRightInd w:val="0"/>
        <w:spacing w:line="240" w:lineRule="auto"/>
        <w:ind w:firstLine="284"/>
        <w:jc w:val="both"/>
        <w:rPr>
          <w:rFonts w:ascii="Garamond" w:hAnsi="Garamond"/>
          <w:color w:val="000000"/>
        </w:rPr>
      </w:pPr>
    </w:p>
    <w:p w14:paraId="459640EF" w14:textId="6ADD4313" w:rsidR="006262EA" w:rsidRPr="00C22903" w:rsidRDefault="006262EA" w:rsidP="00032A2B">
      <w:pPr>
        <w:tabs>
          <w:tab w:val="left" w:pos="1080"/>
        </w:tabs>
        <w:autoSpaceDE w:val="0"/>
        <w:autoSpaceDN w:val="0"/>
        <w:adjustRightInd w:val="0"/>
        <w:spacing w:line="240" w:lineRule="auto"/>
        <w:ind w:firstLine="284"/>
        <w:jc w:val="both"/>
        <w:rPr>
          <w:rFonts w:ascii="Garamond" w:hAnsi="Garamond"/>
          <w:color w:val="000000"/>
        </w:rPr>
      </w:pPr>
      <w:r w:rsidRPr="006E3282">
        <w:rPr>
          <w:rFonts w:ascii="Garamond" w:hAnsi="Garamond"/>
          <w:b/>
          <w:color w:val="000000"/>
        </w:rPr>
        <w:t>Kryetare</w:t>
      </w:r>
      <w:r w:rsidRPr="006E3282">
        <w:rPr>
          <w:rFonts w:ascii="Garamond" w:hAnsi="Garamond"/>
          <w:color w:val="000000"/>
        </w:rPr>
        <w:t>:</w:t>
      </w:r>
      <w:r w:rsidRPr="00C22903">
        <w:rPr>
          <w:rFonts w:ascii="Garamond" w:hAnsi="Garamond"/>
          <w:b/>
          <w:color w:val="000000"/>
        </w:rPr>
        <w:t xml:space="preserve"> </w:t>
      </w:r>
      <w:proofErr w:type="spellStart"/>
      <w:r w:rsidRPr="00C22903">
        <w:rPr>
          <w:rFonts w:ascii="Garamond" w:hAnsi="Garamond"/>
          <w:color w:val="000000"/>
        </w:rPr>
        <w:t>Holta</w:t>
      </w:r>
      <w:proofErr w:type="spellEnd"/>
      <w:r w:rsidRPr="00C22903">
        <w:rPr>
          <w:rFonts w:ascii="Garamond" w:hAnsi="Garamond"/>
          <w:color w:val="000000"/>
        </w:rPr>
        <w:t xml:space="preserve"> </w:t>
      </w:r>
      <w:proofErr w:type="spellStart"/>
      <w:r w:rsidRPr="00C22903">
        <w:rPr>
          <w:rFonts w:ascii="Garamond" w:hAnsi="Garamond"/>
          <w:color w:val="000000"/>
        </w:rPr>
        <w:t>Zaçaj</w:t>
      </w:r>
      <w:proofErr w:type="spellEnd"/>
    </w:p>
    <w:p w14:paraId="5DE5A1A2" w14:textId="27B7329E" w:rsidR="00032A2B" w:rsidRPr="00C22903" w:rsidRDefault="006262EA" w:rsidP="006262EA">
      <w:pPr>
        <w:tabs>
          <w:tab w:val="left" w:pos="1080"/>
        </w:tabs>
        <w:autoSpaceDE w:val="0"/>
        <w:autoSpaceDN w:val="0"/>
        <w:adjustRightInd w:val="0"/>
        <w:spacing w:line="240" w:lineRule="auto"/>
        <w:ind w:firstLine="284"/>
        <w:jc w:val="both"/>
        <w:rPr>
          <w:rFonts w:ascii="Garamond" w:hAnsi="Garamond"/>
          <w:i/>
          <w:iCs/>
          <w:color w:val="000000"/>
        </w:rPr>
      </w:pPr>
      <w:r w:rsidRPr="006E3282">
        <w:rPr>
          <w:rFonts w:ascii="Garamond" w:hAnsi="Garamond"/>
          <w:b/>
          <w:color w:val="000000"/>
        </w:rPr>
        <w:t>Anëtarë</w:t>
      </w:r>
      <w:r w:rsidRPr="00C22903">
        <w:rPr>
          <w:rFonts w:ascii="Garamond" w:hAnsi="Garamond"/>
          <w:color w:val="000000"/>
        </w:rPr>
        <w:t>:</w:t>
      </w:r>
      <w:r w:rsidR="0082608D">
        <w:rPr>
          <w:rFonts w:ascii="Garamond" w:hAnsi="Garamond"/>
          <w:color w:val="000000"/>
        </w:rPr>
        <w:t xml:space="preserve"> </w:t>
      </w:r>
      <w:r w:rsidR="00032A2B" w:rsidRPr="00C22903">
        <w:rPr>
          <w:rFonts w:ascii="Garamond" w:hAnsi="Garamond"/>
          <w:bCs/>
          <w:color w:val="000000"/>
        </w:rPr>
        <w:t>Genti Ibrahimi</w:t>
      </w:r>
      <w:r w:rsidRPr="00C22903">
        <w:rPr>
          <w:rFonts w:ascii="Garamond" w:hAnsi="Garamond"/>
          <w:bCs/>
          <w:color w:val="000000"/>
        </w:rPr>
        <w:t xml:space="preserve">, </w:t>
      </w:r>
      <w:r w:rsidR="00032A2B" w:rsidRPr="00C22903">
        <w:rPr>
          <w:rFonts w:ascii="Garamond" w:hAnsi="Garamond"/>
          <w:bCs/>
          <w:color w:val="000000"/>
        </w:rPr>
        <w:t>Ilir Toska</w:t>
      </w:r>
    </w:p>
    <w:p w14:paraId="4D76ABB4" w14:textId="77777777" w:rsidR="00032A2B" w:rsidRPr="00C22903" w:rsidRDefault="00032A2B" w:rsidP="00032A2B">
      <w:pPr>
        <w:tabs>
          <w:tab w:val="left" w:pos="0"/>
        </w:tabs>
        <w:autoSpaceDE w:val="0"/>
        <w:autoSpaceDN w:val="0"/>
        <w:adjustRightInd w:val="0"/>
        <w:spacing w:line="240" w:lineRule="auto"/>
        <w:ind w:firstLine="284"/>
        <w:jc w:val="both"/>
        <w:rPr>
          <w:rFonts w:ascii="Garamond" w:hAnsi="Garamond"/>
          <w:i/>
          <w:iCs/>
          <w:color w:val="000000"/>
        </w:rPr>
      </w:pPr>
    </w:p>
    <w:sectPr w:rsidR="00032A2B" w:rsidRPr="00C22903" w:rsidSect="00DC6951">
      <w:headerReference w:type="first" r:id="rId13"/>
      <w:pgSz w:w="11907" w:h="16839" w:code="9"/>
      <w:pgMar w:top="900" w:right="1440" w:bottom="1440" w:left="1440" w:header="720" w:footer="720"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85A024A" w16cex:dateUtc="2025-02-23T16:30:00Z"/>
  <w16cex:commentExtensible w16cex:durableId="71CBB3C1" w16cex:dateUtc="2025-02-23T17:31:00Z"/>
  <w16cex:commentExtensible w16cex:durableId="108871CC" w16cex:dateUtc="2025-02-23T18:0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5651B1" w14:textId="77777777" w:rsidR="00C22903" w:rsidRDefault="00C22903" w:rsidP="00FD0846">
      <w:pPr>
        <w:spacing w:line="240" w:lineRule="auto"/>
      </w:pPr>
      <w:r>
        <w:separator/>
      </w:r>
    </w:p>
  </w:endnote>
  <w:endnote w:type="continuationSeparator" w:id="0">
    <w:p w14:paraId="0D4FC57B" w14:textId="77777777" w:rsidR="00C22903" w:rsidRDefault="00C22903" w:rsidP="00FD0846">
      <w:pPr>
        <w:spacing w:line="240" w:lineRule="auto"/>
      </w:pPr>
      <w:r>
        <w:continuationSeparator/>
      </w:r>
    </w:p>
  </w:endnote>
  <w:endnote w:type="continuationNotice" w:id="1">
    <w:p w14:paraId="67B4BB3D" w14:textId="77777777" w:rsidR="00C22903" w:rsidRDefault="00C2290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1F73C7" w14:textId="77777777" w:rsidR="00C22903" w:rsidRDefault="00C22903" w:rsidP="00FD0846">
      <w:pPr>
        <w:spacing w:line="240" w:lineRule="auto"/>
      </w:pPr>
      <w:r>
        <w:separator/>
      </w:r>
    </w:p>
  </w:footnote>
  <w:footnote w:type="continuationSeparator" w:id="0">
    <w:p w14:paraId="60D78CCF" w14:textId="77777777" w:rsidR="00C22903" w:rsidRDefault="00C22903" w:rsidP="00FD0846">
      <w:pPr>
        <w:spacing w:line="240" w:lineRule="auto"/>
      </w:pPr>
      <w:r>
        <w:continuationSeparator/>
      </w:r>
    </w:p>
  </w:footnote>
  <w:footnote w:type="continuationNotice" w:id="1">
    <w:p w14:paraId="21F283C8" w14:textId="77777777" w:rsidR="00C22903" w:rsidRDefault="00C22903">
      <w:pPr>
        <w:spacing w:line="240" w:lineRule="auto"/>
      </w:pPr>
    </w:p>
  </w:footnote>
  <w:footnote w:id="2">
    <w:p w14:paraId="005F8EF3" w14:textId="13E60A4D" w:rsidR="00C22903" w:rsidRPr="00B11778" w:rsidRDefault="00C22903" w:rsidP="006262EA">
      <w:pPr>
        <w:spacing w:line="240" w:lineRule="auto"/>
        <w:jc w:val="both"/>
        <w:rPr>
          <w:rFonts w:ascii="Garamond" w:hAnsi="Garamond"/>
          <w:sz w:val="20"/>
          <w:szCs w:val="20"/>
        </w:rPr>
      </w:pPr>
      <w:r w:rsidRPr="006262EA">
        <w:rPr>
          <w:rStyle w:val="FootnoteReference"/>
          <w:rFonts w:ascii="Garamond" w:hAnsi="Garamond"/>
          <w:sz w:val="20"/>
          <w:szCs w:val="20"/>
        </w:rPr>
        <w:footnoteRef/>
      </w:r>
      <w:r w:rsidRPr="006262EA">
        <w:rPr>
          <w:rFonts w:ascii="Garamond" w:hAnsi="Garamond"/>
          <w:sz w:val="20"/>
          <w:szCs w:val="20"/>
        </w:rPr>
        <w:t xml:space="preserve"> </w:t>
      </w:r>
      <w:r w:rsidRPr="00B11778">
        <w:rPr>
          <w:rFonts w:ascii="Garamond" w:hAnsi="Garamond"/>
          <w:sz w:val="20"/>
          <w:szCs w:val="20"/>
        </w:rPr>
        <w:t>Bazuar në të dhënat e ekstraktit historik të regjistrit tregtar të shoqërisë “</w:t>
      </w:r>
      <w:proofErr w:type="spellStart"/>
      <w:r w:rsidRPr="00B11778">
        <w:rPr>
          <w:rFonts w:ascii="Garamond" w:hAnsi="Garamond"/>
          <w:sz w:val="20"/>
          <w:szCs w:val="20"/>
        </w:rPr>
        <w:t>DIAMAND</w:t>
      </w:r>
      <w:proofErr w:type="spellEnd"/>
      <w:r w:rsidRPr="00B11778">
        <w:rPr>
          <w:rFonts w:ascii="Garamond" w:hAnsi="Garamond"/>
          <w:sz w:val="20"/>
          <w:szCs w:val="20"/>
        </w:rPr>
        <w:t xml:space="preserve">” </w:t>
      </w:r>
      <w:proofErr w:type="spellStart"/>
      <w:r w:rsidRPr="00B11778">
        <w:rPr>
          <w:rFonts w:ascii="Garamond" w:hAnsi="Garamond"/>
          <w:sz w:val="20"/>
          <w:szCs w:val="20"/>
        </w:rPr>
        <w:t>sh.p.k</w:t>
      </w:r>
      <w:proofErr w:type="spellEnd"/>
      <w:r w:rsidRPr="00B11778">
        <w:rPr>
          <w:rFonts w:ascii="Garamond" w:hAnsi="Garamond"/>
          <w:sz w:val="20"/>
          <w:szCs w:val="20"/>
        </w:rPr>
        <w:t>., nxjerrë nga Qendra Kombëtare e Biznesit, rezulton se ajo këtë emër e ka mbajtur deri në datën 10.11.2023, me të cilin është identifikuar si palë e paditur në procesin gjyqësor të kundërshtuar. Pas datës 10.11.2023, ajo është identifikuar me emrin shoqëria “</w:t>
      </w:r>
      <w:proofErr w:type="spellStart"/>
      <w:r w:rsidRPr="00B11778">
        <w:rPr>
          <w:rFonts w:ascii="Garamond" w:hAnsi="Garamond"/>
          <w:sz w:val="20"/>
          <w:szCs w:val="20"/>
        </w:rPr>
        <w:t>DEA</w:t>
      </w:r>
      <w:proofErr w:type="spellEnd"/>
      <w:r w:rsidRPr="00B11778">
        <w:rPr>
          <w:rFonts w:ascii="Garamond" w:hAnsi="Garamond"/>
          <w:sz w:val="20"/>
          <w:szCs w:val="20"/>
        </w:rPr>
        <w:t xml:space="preserve">-Z” </w:t>
      </w:r>
      <w:proofErr w:type="spellStart"/>
      <w:r w:rsidRPr="00B11778">
        <w:rPr>
          <w:rFonts w:ascii="Garamond" w:hAnsi="Garamond"/>
          <w:sz w:val="20"/>
          <w:szCs w:val="20"/>
        </w:rPr>
        <w:t>sh.p.k</w:t>
      </w:r>
      <w:proofErr w:type="spellEnd"/>
      <w:r w:rsidRPr="00B11778">
        <w:rPr>
          <w:rFonts w:ascii="Garamond" w:hAnsi="Garamond"/>
          <w:sz w:val="20"/>
          <w:szCs w:val="20"/>
        </w:rPr>
        <w:t xml:space="preserve">. Po ashtu, rezulton se deri në datën 2.11.2023, ajo ka pasur si ortak të vetëm dhe administrator shtetasin Zaim </w:t>
      </w:r>
      <w:proofErr w:type="spellStart"/>
      <w:r w:rsidRPr="00B11778">
        <w:rPr>
          <w:rFonts w:ascii="Garamond" w:hAnsi="Garamond"/>
          <w:sz w:val="20"/>
          <w:szCs w:val="20"/>
        </w:rPr>
        <w:t>Korsi</w:t>
      </w:r>
      <w:proofErr w:type="spellEnd"/>
      <w:r w:rsidRPr="00B11778">
        <w:rPr>
          <w:rFonts w:ascii="Garamond" w:hAnsi="Garamond"/>
          <w:sz w:val="20"/>
          <w:szCs w:val="20"/>
        </w:rPr>
        <w:t>. Pas kësaj date si ortake e vetme dhe administratore e saj figuron shtetasja E.</w:t>
      </w:r>
      <w:r>
        <w:rPr>
          <w:rFonts w:ascii="Garamond" w:hAnsi="Garamond"/>
          <w:sz w:val="20"/>
          <w:szCs w:val="20"/>
        </w:rPr>
        <w:t xml:space="preserve"> </w:t>
      </w:r>
      <w:r w:rsidRPr="00B11778">
        <w:rPr>
          <w:rFonts w:ascii="Garamond" w:hAnsi="Garamond"/>
          <w:sz w:val="20"/>
          <w:szCs w:val="20"/>
        </w:rPr>
        <w:t xml:space="preserve">M. </w:t>
      </w:r>
    </w:p>
    <w:p w14:paraId="1EBD3EA5" w14:textId="24C898CF" w:rsidR="00C22903" w:rsidRDefault="00C22903">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E2ECB0" w14:textId="77777777" w:rsidR="00C22903" w:rsidRPr="009F1E15" w:rsidRDefault="00C22903" w:rsidP="009F1E15">
    <w:pPr>
      <w:pStyle w:val="Header"/>
      <w:jc w:val="right"/>
      <w:rPr>
        <w: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0008F"/>
    <w:multiLevelType w:val="multilevel"/>
    <w:tmpl w:val="D9366A40"/>
    <w:lvl w:ilvl="0">
      <w:start w:val="9"/>
      <w:numFmt w:val="decimal"/>
      <w:lvlText w:val="%1."/>
      <w:lvlJc w:val="left"/>
      <w:pPr>
        <w:ind w:left="360" w:hanging="360"/>
      </w:pPr>
      <w:rPr>
        <w:rFonts w:hint="default"/>
        <w:i w:val="0"/>
      </w:rPr>
    </w:lvl>
    <w:lvl w:ilvl="1">
      <w:start w:val="1"/>
      <w:numFmt w:val="decimal"/>
      <w:lvlText w:val="%1.%2."/>
      <w:lvlJc w:val="left"/>
      <w:pPr>
        <w:ind w:left="3330" w:hanging="360"/>
      </w:pPr>
      <w:rPr>
        <w:rFonts w:hint="default"/>
        <w:i w:val="0"/>
      </w:rPr>
    </w:lvl>
    <w:lvl w:ilvl="2">
      <w:start w:val="1"/>
      <w:numFmt w:val="decimal"/>
      <w:lvlText w:val="%1.%2.%3."/>
      <w:lvlJc w:val="left"/>
      <w:pPr>
        <w:ind w:left="6660" w:hanging="720"/>
      </w:pPr>
      <w:rPr>
        <w:rFonts w:hint="default"/>
        <w:i w:val="0"/>
      </w:rPr>
    </w:lvl>
    <w:lvl w:ilvl="3">
      <w:start w:val="1"/>
      <w:numFmt w:val="decimal"/>
      <w:lvlText w:val="%1.%2.%3.%4."/>
      <w:lvlJc w:val="left"/>
      <w:pPr>
        <w:ind w:left="9630" w:hanging="720"/>
      </w:pPr>
      <w:rPr>
        <w:rFonts w:hint="default"/>
        <w:i/>
      </w:rPr>
    </w:lvl>
    <w:lvl w:ilvl="4">
      <w:start w:val="1"/>
      <w:numFmt w:val="decimal"/>
      <w:lvlText w:val="%1.%2.%3.%4.%5."/>
      <w:lvlJc w:val="left"/>
      <w:pPr>
        <w:ind w:left="12960" w:hanging="1080"/>
      </w:pPr>
      <w:rPr>
        <w:rFonts w:hint="default"/>
        <w:i/>
      </w:rPr>
    </w:lvl>
    <w:lvl w:ilvl="5">
      <w:start w:val="1"/>
      <w:numFmt w:val="decimal"/>
      <w:lvlText w:val="%1.%2.%3.%4.%5.%6."/>
      <w:lvlJc w:val="left"/>
      <w:pPr>
        <w:ind w:left="15930" w:hanging="1080"/>
      </w:pPr>
      <w:rPr>
        <w:rFonts w:hint="default"/>
        <w:i/>
      </w:rPr>
    </w:lvl>
    <w:lvl w:ilvl="6">
      <w:start w:val="1"/>
      <w:numFmt w:val="decimal"/>
      <w:lvlText w:val="%1.%2.%3.%4.%5.%6.%7."/>
      <w:lvlJc w:val="left"/>
      <w:pPr>
        <w:ind w:left="19260" w:hanging="1440"/>
      </w:pPr>
      <w:rPr>
        <w:rFonts w:hint="default"/>
        <w:i/>
      </w:rPr>
    </w:lvl>
    <w:lvl w:ilvl="7">
      <w:start w:val="1"/>
      <w:numFmt w:val="decimal"/>
      <w:lvlText w:val="%1.%2.%3.%4.%5.%6.%7.%8."/>
      <w:lvlJc w:val="left"/>
      <w:pPr>
        <w:ind w:left="22230" w:hanging="1440"/>
      </w:pPr>
      <w:rPr>
        <w:rFonts w:hint="default"/>
        <w:i/>
      </w:rPr>
    </w:lvl>
    <w:lvl w:ilvl="8">
      <w:start w:val="1"/>
      <w:numFmt w:val="decimal"/>
      <w:lvlText w:val="%1.%2.%3.%4.%5.%6.%7.%8.%9."/>
      <w:lvlJc w:val="left"/>
      <w:pPr>
        <w:ind w:left="25560" w:hanging="1800"/>
      </w:pPr>
      <w:rPr>
        <w:rFonts w:hint="default"/>
        <w:i/>
      </w:rPr>
    </w:lvl>
  </w:abstractNum>
  <w:abstractNum w:abstractNumId="1" w15:restartNumberingAfterBreak="0">
    <w:nsid w:val="0E49409F"/>
    <w:multiLevelType w:val="multilevel"/>
    <w:tmpl w:val="C67ADB10"/>
    <w:lvl w:ilvl="0">
      <w:start w:val="7"/>
      <w:numFmt w:val="decimal"/>
      <w:lvlText w:val="%1."/>
      <w:lvlJc w:val="left"/>
      <w:pPr>
        <w:ind w:left="360" w:hanging="360"/>
      </w:pPr>
      <w:rPr>
        <w:rFonts w:hint="default"/>
      </w:rPr>
    </w:lvl>
    <w:lvl w:ilvl="1">
      <w:start w:val="1"/>
      <w:numFmt w:val="decimal"/>
      <w:lvlText w:val="%1.%2."/>
      <w:lvlJc w:val="left"/>
      <w:pPr>
        <w:ind w:left="1530" w:hanging="36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2" w15:restartNumberingAfterBreak="0">
    <w:nsid w:val="0EDF2328"/>
    <w:multiLevelType w:val="multilevel"/>
    <w:tmpl w:val="C968349E"/>
    <w:lvl w:ilvl="0">
      <w:start w:val="8"/>
      <w:numFmt w:val="decimal"/>
      <w:lvlText w:val="%1."/>
      <w:lvlJc w:val="left"/>
      <w:pPr>
        <w:ind w:left="360" w:hanging="360"/>
      </w:pPr>
      <w:rPr>
        <w:rFonts w:hint="default"/>
      </w:rPr>
    </w:lvl>
    <w:lvl w:ilvl="1">
      <w:start w:val="1"/>
      <w:numFmt w:val="decimal"/>
      <w:lvlText w:val="%1.%2."/>
      <w:lvlJc w:val="left"/>
      <w:pPr>
        <w:ind w:left="2610" w:hanging="360"/>
      </w:pPr>
      <w:rPr>
        <w:rFonts w:hint="default"/>
      </w:rPr>
    </w:lvl>
    <w:lvl w:ilvl="2">
      <w:start w:val="1"/>
      <w:numFmt w:val="decimal"/>
      <w:lvlText w:val="%1.%2.%3."/>
      <w:lvlJc w:val="left"/>
      <w:pPr>
        <w:ind w:left="5220" w:hanging="720"/>
      </w:pPr>
      <w:rPr>
        <w:rFonts w:hint="default"/>
      </w:rPr>
    </w:lvl>
    <w:lvl w:ilvl="3">
      <w:start w:val="1"/>
      <w:numFmt w:val="decimal"/>
      <w:lvlText w:val="%1.%2.%3.%4."/>
      <w:lvlJc w:val="left"/>
      <w:pPr>
        <w:ind w:left="7470" w:hanging="720"/>
      </w:pPr>
      <w:rPr>
        <w:rFonts w:hint="default"/>
      </w:rPr>
    </w:lvl>
    <w:lvl w:ilvl="4">
      <w:start w:val="1"/>
      <w:numFmt w:val="decimal"/>
      <w:lvlText w:val="%1.%2.%3.%4.%5."/>
      <w:lvlJc w:val="left"/>
      <w:pPr>
        <w:ind w:left="10080" w:hanging="1080"/>
      </w:pPr>
      <w:rPr>
        <w:rFonts w:hint="default"/>
      </w:rPr>
    </w:lvl>
    <w:lvl w:ilvl="5">
      <w:start w:val="1"/>
      <w:numFmt w:val="decimal"/>
      <w:lvlText w:val="%1.%2.%3.%4.%5.%6."/>
      <w:lvlJc w:val="left"/>
      <w:pPr>
        <w:ind w:left="12330" w:hanging="1080"/>
      </w:pPr>
      <w:rPr>
        <w:rFonts w:hint="default"/>
      </w:rPr>
    </w:lvl>
    <w:lvl w:ilvl="6">
      <w:start w:val="1"/>
      <w:numFmt w:val="decimal"/>
      <w:lvlText w:val="%1.%2.%3.%4.%5.%6.%7."/>
      <w:lvlJc w:val="left"/>
      <w:pPr>
        <w:ind w:left="14940" w:hanging="1440"/>
      </w:pPr>
      <w:rPr>
        <w:rFonts w:hint="default"/>
      </w:rPr>
    </w:lvl>
    <w:lvl w:ilvl="7">
      <w:start w:val="1"/>
      <w:numFmt w:val="decimal"/>
      <w:lvlText w:val="%1.%2.%3.%4.%5.%6.%7.%8."/>
      <w:lvlJc w:val="left"/>
      <w:pPr>
        <w:ind w:left="17190" w:hanging="1440"/>
      </w:pPr>
      <w:rPr>
        <w:rFonts w:hint="default"/>
      </w:rPr>
    </w:lvl>
    <w:lvl w:ilvl="8">
      <w:start w:val="1"/>
      <w:numFmt w:val="decimal"/>
      <w:lvlText w:val="%1.%2.%3.%4.%5.%6.%7.%8.%9."/>
      <w:lvlJc w:val="left"/>
      <w:pPr>
        <w:ind w:left="19800" w:hanging="1800"/>
      </w:pPr>
      <w:rPr>
        <w:rFonts w:hint="default"/>
      </w:rPr>
    </w:lvl>
  </w:abstractNum>
  <w:abstractNum w:abstractNumId="3" w15:restartNumberingAfterBreak="0">
    <w:nsid w:val="116863DB"/>
    <w:multiLevelType w:val="multilevel"/>
    <w:tmpl w:val="A20E9950"/>
    <w:lvl w:ilvl="0">
      <w:start w:val="1"/>
      <w:numFmt w:val="decimal"/>
      <w:lvlText w:val="%1."/>
      <w:lvlJc w:val="left"/>
      <w:pPr>
        <w:ind w:left="720" w:hanging="360"/>
      </w:pPr>
      <w:rPr>
        <w:i w:val="0"/>
        <w:iCs w:val="0"/>
      </w:rPr>
    </w:lvl>
    <w:lvl w:ilvl="1">
      <w:start w:val="1"/>
      <w:numFmt w:val="decimal"/>
      <w:isLgl/>
      <w:lvlText w:val="%1.%2"/>
      <w:lvlJc w:val="left"/>
      <w:pPr>
        <w:ind w:left="1080" w:hanging="360"/>
      </w:pPr>
      <w:rPr>
        <w:rFonts w:ascii="Times New Roman" w:hAnsi="Times New Roman" w:hint="default"/>
        <w:i w:val="0"/>
      </w:rPr>
    </w:lvl>
    <w:lvl w:ilvl="2">
      <w:start w:val="1"/>
      <w:numFmt w:val="decimal"/>
      <w:isLgl/>
      <w:lvlText w:val="%1.%2.%3"/>
      <w:lvlJc w:val="left"/>
      <w:pPr>
        <w:ind w:left="1800" w:hanging="720"/>
      </w:pPr>
      <w:rPr>
        <w:rFonts w:ascii="Times New Roman" w:hAnsi="Times New Roman" w:hint="default"/>
      </w:rPr>
    </w:lvl>
    <w:lvl w:ilvl="3">
      <w:start w:val="1"/>
      <w:numFmt w:val="decimal"/>
      <w:isLgl/>
      <w:lvlText w:val="%1.%2.%3.%4"/>
      <w:lvlJc w:val="left"/>
      <w:pPr>
        <w:ind w:left="2160" w:hanging="720"/>
      </w:pPr>
      <w:rPr>
        <w:rFonts w:ascii="Times New Roman" w:hAnsi="Times New Roman" w:hint="default"/>
      </w:rPr>
    </w:lvl>
    <w:lvl w:ilvl="4">
      <w:start w:val="1"/>
      <w:numFmt w:val="decimal"/>
      <w:isLgl/>
      <w:lvlText w:val="%1.%2.%3.%4.%5"/>
      <w:lvlJc w:val="left"/>
      <w:pPr>
        <w:ind w:left="2880" w:hanging="1080"/>
      </w:pPr>
      <w:rPr>
        <w:rFonts w:ascii="Times New Roman" w:hAnsi="Times New Roman" w:hint="default"/>
      </w:rPr>
    </w:lvl>
    <w:lvl w:ilvl="5">
      <w:start w:val="1"/>
      <w:numFmt w:val="decimal"/>
      <w:isLgl/>
      <w:lvlText w:val="%1.%2.%3.%4.%5.%6"/>
      <w:lvlJc w:val="left"/>
      <w:pPr>
        <w:ind w:left="3240" w:hanging="1080"/>
      </w:pPr>
      <w:rPr>
        <w:rFonts w:ascii="Times New Roman" w:hAnsi="Times New Roman" w:hint="default"/>
      </w:rPr>
    </w:lvl>
    <w:lvl w:ilvl="6">
      <w:start w:val="1"/>
      <w:numFmt w:val="decimal"/>
      <w:isLgl/>
      <w:lvlText w:val="%1.%2.%3.%4.%5.%6.%7"/>
      <w:lvlJc w:val="left"/>
      <w:pPr>
        <w:ind w:left="3960" w:hanging="1440"/>
      </w:pPr>
      <w:rPr>
        <w:rFonts w:ascii="Times New Roman" w:hAnsi="Times New Roman" w:hint="default"/>
      </w:rPr>
    </w:lvl>
    <w:lvl w:ilvl="7">
      <w:start w:val="1"/>
      <w:numFmt w:val="decimal"/>
      <w:isLgl/>
      <w:lvlText w:val="%1.%2.%3.%4.%5.%6.%7.%8"/>
      <w:lvlJc w:val="left"/>
      <w:pPr>
        <w:ind w:left="4320" w:hanging="1440"/>
      </w:pPr>
      <w:rPr>
        <w:rFonts w:ascii="Times New Roman" w:hAnsi="Times New Roman" w:hint="default"/>
      </w:rPr>
    </w:lvl>
    <w:lvl w:ilvl="8">
      <w:start w:val="1"/>
      <w:numFmt w:val="decimal"/>
      <w:isLgl/>
      <w:lvlText w:val="%1.%2.%3.%4.%5.%6.%7.%8.%9"/>
      <w:lvlJc w:val="left"/>
      <w:pPr>
        <w:ind w:left="5040" w:hanging="1800"/>
      </w:pPr>
      <w:rPr>
        <w:rFonts w:ascii="Times New Roman" w:hAnsi="Times New Roman" w:hint="default"/>
      </w:rPr>
    </w:lvl>
  </w:abstractNum>
  <w:abstractNum w:abstractNumId="4" w15:restartNumberingAfterBreak="0">
    <w:nsid w:val="118E1BC2"/>
    <w:multiLevelType w:val="multilevel"/>
    <w:tmpl w:val="802211EA"/>
    <w:lvl w:ilvl="0">
      <w:start w:val="7"/>
      <w:numFmt w:val="decimal"/>
      <w:lvlText w:val="%1."/>
      <w:lvlJc w:val="left"/>
      <w:pPr>
        <w:ind w:left="360" w:hanging="360"/>
      </w:pPr>
      <w:rPr>
        <w:rFonts w:hint="default"/>
        <w:i w:val="0"/>
      </w:rPr>
    </w:lvl>
    <w:lvl w:ilvl="1">
      <w:start w:val="1"/>
      <w:numFmt w:val="decimal"/>
      <w:lvlText w:val="%1.%2."/>
      <w:lvlJc w:val="left"/>
      <w:pPr>
        <w:ind w:left="1530" w:hanging="360"/>
      </w:pPr>
      <w:rPr>
        <w:rFonts w:hint="default"/>
        <w:b w:val="0"/>
        <w:i w:val="0"/>
      </w:rPr>
    </w:lvl>
    <w:lvl w:ilvl="2">
      <w:start w:val="1"/>
      <w:numFmt w:val="decimal"/>
      <w:lvlText w:val="%1.%2.%3."/>
      <w:lvlJc w:val="left"/>
      <w:pPr>
        <w:ind w:left="3060" w:hanging="720"/>
      </w:pPr>
      <w:rPr>
        <w:rFonts w:hint="default"/>
        <w:i w:val="0"/>
      </w:rPr>
    </w:lvl>
    <w:lvl w:ilvl="3">
      <w:start w:val="1"/>
      <w:numFmt w:val="decimal"/>
      <w:lvlText w:val="%1.%2.%3.%4."/>
      <w:lvlJc w:val="left"/>
      <w:pPr>
        <w:ind w:left="4230" w:hanging="720"/>
      </w:pPr>
      <w:rPr>
        <w:rFonts w:hint="default"/>
        <w:i w:val="0"/>
      </w:rPr>
    </w:lvl>
    <w:lvl w:ilvl="4">
      <w:start w:val="1"/>
      <w:numFmt w:val="decimal"/>
      <w:lvlText w:val="%1.%2.%3.%4.%5."/>
      <w:lvlJc w:val="left"/>
      <w:pPr>
        <w:ind w:left="5760" w:hanging="1080"/>
      </w:pPr>
      <w:rPr>
        <w:rFonts w:hint="default"/>
        <w:i w:val="0"/>
      </w:rPr>
    </w:lvl>
    <w:lvl w:ilvl="5">
      <w:start w:val="1"/>
      <w:numFmt w:val="decimal"/>
      <w:lvlText w:val="%1.%2.%3.%4.%5.%6."/>
      <w:lvlJc w:val="left"/>
      <w:pPr>
        <w:ind w:left="6930" w:hanging="1080"/>
      </w:pPr>
      <w:rPr>
        <w:rFonts w:hint="default"/>
        <w:i w:val="0"/>
      </w:rPr>
    </w:lvl>
    <w:lvl w:ilvl="6">
      <w:start w:val="1"/>
      <w:numFmt w:val="decimal"/>
      <w:lvlText w:val="%1.%2.%3.%4.%5.%6.%7."/>
      <w:lvlJc w:val="left"/>
      <w:pPr>
        <w:ind w:left="8460" w:hanging="1440"/>
      </w:pPr>
      <w:rPr>
        <w:rFonts w:hint="default"/>
        <w:i w:val="0"/>
      </w:rPr>
    </w:lvl>
    <w:lvl w:ilvl="7">
      <w:start w:val="1"/>
      <w:numFmt w:val="decimal"/>
      <w:lvlText w:val="%1.%2.%3.%4.%5.%6.%7.%8."/>
      <w:lvlJc w:val="left"/>
      <w:pPr>
        <w:ind w:left="9630" w:hanging="1440"/>
      </w:pPr>
      <w:rPr>
        <w:rFonts w:hint="default"/>
        <w:i w:val="0"/>
      </w:rPr>
    </w:lvl>
    <w:lvl w:ilvl="8">
      <w:start w:val="1"/>
      <w:numFmt w:val="decimal"/>
      <w:lvlText w:val="%1.%2.%3.%4.%5.%6.%7.%8.%9."/>
      <w:lvlJc w:val="left"/>
      <w:pPr>
        <w:ind w:left="11160" w:hanging="1800"/>
      </w:pPr>
      <w:rPr>
        <w:rFonts w:hint="default"/>
        <w:i w:val="0"/>
      </w:rPr>
    </w:lvl>
  </w:abstractNum>
  <w:abstractNum w:abstractNumId="5" w15:restartNumberingAfterBreak="0">
    <w:nsid w:val="14E83642"/>
    <w:multiLevelType w:val="hybridMultilevel"/>
    <w:tmpl w:val="6F06C226"/>
    <w:lvl w:ilvl="0" w:tplc="74288CA0">
      <w:start w:val="1"/>
      <w:numFmt w:val="upperRoman"/>
      <w:lvlText w:val="%1."/>
      <w:lvlJc w:val="left"/>
      <w:pPr>
        <w:ind w:left="721" w:hanging="720"/>
      </w:pPr>
      <w:rPr>
        <w:b/>
      </w:rPr>
    </w:lvl>
    <w:lvl w:ilvl="1" w:tplc="E7D8CCA4">
      <w:start w:val="1"/>
      <w:numFmt w:val="decimal"/>
      <w:lvlText w:val="%2."/>
      <w:lvlJc w:val="left"/>
      <w:pPr>
        <w:tabs>
          <w:tab w:val="num" w:pos="8820"/>
        </w:tabs>
        <w:ind w:left="882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18BC28B7"/>
    <w:multiLevelType w:val="multilevel"/>
    <w:tmpl w:val="4F12CB02"/>
    <w:lvl w:ilvl="0">
      <w:start w:val="7"/>
      <w:numFmt w:val="decimal"/>
      <w:lvlText w:val="%1."/>
      <w:lvlJc w:val="left"/>
      <w:pPr>
        <w:ind w:left="1710" w:hanging="360"/>
      </w:pPr>
      <w:rPr>
        <w:rFonts w:hint="default"/>
      </w:rPr>
    </w:lvl>
    <w:lvl w:ilvl="1">
      <w:start w:val="1"/>
      <w:numFmt w:val="decimal"/>
      <w:lvlText w:val="%1.%2."/>
      <w:lvlJc w:val="left"/>
      <w:pPr>
        <w:ind w:left="2610" w:hanging="360"/>
      </w:pPr>
      <w:rPr>
        <w:rFonts w:hint="default"/>
      </w:rPr>
    </w:lvl>
    <w:lvl w:ilvl="2">
      <w:start w:val="1"/>
      <w:numFmt w:val="decimal"/>
      <w:lvlText w:val="%1.%2.%3."/>
      <w:lvlJc w:val="left"/>
      <w:pPr>
        <w:ind w:left="5220" w:hanging="720"/>
      </w:pPr>
      <w:rPr>
        <w:rFonts w:hint="default"/>
      </w:rPr>
    </w:lvl>
    <w:lvl w:ilvl="3">
      <w:start w:val="1"/>
      <w:numFmt w:val="decimal"/>
      <w:lvlText w:val="%1.%2.%3.%4."/>
      <w:lvlJc w:val="left"/>
      <w:pPr>
        <w:ind w:left="7470" w:hanging="720"/>
      </w:pPr>
      <w:rPr>
        <w:rFonts w:hint="default"/>
      </w:rPr>
    </w:lvl>
    <w:lvl w:ilvl="4">
      <w:start w:val="1"/>
      <w:numFmt w:val="decimal"/>
      <w:lvlText w:val="%1.%2.%3.%4.%5."/>
      <w:lvlJc w:val="left"/>
      <w:pPr>
        <w:ind w:left="10080" w:hanging="1080"/>
      </w:pPr>
      <w:rPr>
        <w:rFonts w:hint="default"/>
      </w:rPr>
    </w:lvl>
    <w:lvl w:ilvl="5">
      <w:start w:val="1"/>
      <w:numFmt w:val="decimal"/>
      <w:lvlText w:val="%1.%2.%3.%4.%5.%6."/>
      <w:lvlJc w:val="left"/>
      <w:pPr>
        <w:ind w:left="12330" w:hanging="1080"/>
      </w:pPr>
      <w:rPr>
        <w:rFonts w:hint="default"/>
      </w:rPr>
    </w:lvl>
    <w:lvl w:ilvl="6">
      <w:start w:val="1"/>
      <w:numFmt w:val="decimal"/>
      <w:lvlText w:val="%1.%2.%3.%4.%5.%6.%7."/>
      <w:lvlJc w:val="left"/>
      <w:pPr>
        <w:ind w:left="14940" w:hanging="1440"/>
      </w:pPr>
      <w:rPr>
        <w:rFonts w:hint="default"/>
      </w:rPr>
    </w:lvl>
    <w:lvl w:ilvl="7">
      <w:start w:val="1"/>
      <w:numFmt w:val="decimal"/>
      <w:lvlText w:val="%1.%2.%3.%4.%5.%6.%7.%8."/>
      <w:lvlJc w:val="left"/>
      <w:pPr>
        <w:ind w:left="17190" w:hanging="1440"/>
      </w:pPr>
      <w:rPr>
        <w:rFonts w:hint="default"/>
      </w:rPr>
    </w:lvl>
    <w:lvl w:ilvl="8">
      <w:start w:val="1"/>
      <w:numFmt w:val="decimal"/>
      <w:lvlText w:val="%1.%2.%3.%4.%5.%6.%7.%8.%9."/>
      <w:lvlJc w:val="left"/>
      <w:pPr>
        <w:ind w:left="19800" w:hanging="1800"/>
      </w:pPr>
      <w:rPr>
        <w:rFonts w:hint="default"/>
      </w:rPr>
    </w:lvl>
  </w:abstractNum>
  <w:abstractNum w:abstractNumId="7" w15:restartNumberingAfterBreak="0">
    <w:nsid w:val="1A893FF8"/>
    <w:multiLevelType w:val="multilevel"/>
    <w:tmpl w:val="36AE0E3C"/>
    <w:lvl w:ilvl="0">
      <w:start w:val="7"/>
      <w:numFmt w:val="decimal"/>
      <w:lvlText w:val="%1."/>
      <w:lvlJc w:val="left"/>
      <w:pPr>
        <w:ind w:left="360" w:hanging="360"/>
      </w:pPr>
      <w:rPr>
        <w:rFonts w:eastAsia="Times New Roman"/>
        <w:i/>
      </w:rPr>
    </w:lvl>
    <w:lvl w:ilvl="1">
      <w:start w:val="1"/>
      <w:numFmt w:val="decimal"/>
      <w:lvlText w:val="%1.%2."/>
      <w:lvlJc w:val="left"/>
      <w:pPr>
        <w:ind w:left="990" w:hanging="360"/>
      </w:pPr>
      <w:rPr>
        <w:rFonts w:eastAsia="Times New Roman"/>
        <w:i w:val="0"/>
      </w:rPr>
    </w:lvl>
    <w:lvl w:ilvl="2">
      <w:start w:val="1"/>
      <w:numFmt w:val="decimal"/>
      <w:lvlText w:val="%1.%2.%3."/>
      <w:lvlJc w:val="left"/>
      <w:pPr>
        <w:ind w:left="1980" w:hanging="720"/>
      </w:pPr>
      <w:rPr>
        <w:rFonts w:eastAsia="Times New Roman"/>
        <w:i/>
      </w:rPr>
    </w:lvl>
    <w:lvl w:ilvl="3">
      <w:start w:val="1"/>
      <w:numFmt w:val="decimal"/>
      <w:lvlText w:val="%1.%2.%3.%4."/>
      <w:lvlJc w:val="left"/>
      <w:pPr>
        <w:ind w:left="2610" w:hanging="720"/>
      </w:pPr>
      <w:rPr>
        <w:rFonts w:eastAsia="Times New Roman"/>
        <w:i/>
      </w:rPr>
    </w:lvl>
    <w:lvl w:ilvl="4">
      <w:start w:val="1"/>
      <w:numFmt w:val="decimal"/>
      <w:lvlText w:val="%1.%2.%3.%4.%5."/>
      <w:lvlJc w:val="left"/>
      <w:pPr>
        <w:ind w:left="3600" w:hanging="1080"/>
      </w:pPr>
      <w:rPr>
        <w:rFonts w:eastAsia="Times New Roman"/>
        <w:i/>
      </w:rPr>
    </w:lvl>
    <w:lvl w:ilvl="5">
      <w:start w:val="1"/>
      <w:numFmt w:val="decimal"/>
      <w:lvlText w:val="%1.%2.%3.%4.%5.%6."/>
      <w:lvlJc w:val="left"/>
      <w:pPr>
        <w:ind w:left="4230" w:hanging="1080"/>
      </w:pPr>
      <w:rPr>
        <w:rFonts w:eastAsia="Times New Roman"/>
        <w:i/>
      </w:rPr>
    </w:lvl>
    <w:lvl w:ilvl="6">
      <w:start w:val="1"/>
      <w:numFmt w:val="decimal"/>
      <w:lvlText w:val="%1.%2.%3.%4.%5.%6.%7."/>
      <w:lvlJc w:val="left"/>
      <w:pPr>
        <w:ind w:left="5220" w:hanging="1440"/>
      </w:pPr>
      <w:rPr>
        <w:rFonts w:eastAsia="Times New Roman"/>
        <w:i/>
      </w:rPr>
    </w:lvl>
    <w:lvl w:ilvl="7">
      <w:start w:val="1"/>
      <w:numFmt w:val="decimal"/>
      <w:lvlText w:val="%1.%2.%3.%4.%5.%6.%7.%8."/>
      <w:lvlJc w:val="left"/>
      <w:pPr>
        <w:ind w:left="5850" w:hanging="1440"/>
      </w:pPr>
      <w:rPr>
        <w:rFonts w:eastAsia="Times New Roman"/>
        <w:i/>
      </w:rPr>
    </w:lvl>
    <w:lvl w:ilvl="8">
      <w:start w:val="1"/>
      <w:numFmt w:val="decimal"/>
      <w:lvlText w:val="%1.%2.%3.%4.%5.%6.%7.%8.%9."/>
      <w:lvlJc w:val="left"/>
      <w:pPr>
        <w:ind w:left="6840" w:hanging="1800"/>
      </w:pPr>
      <w:rPr>
        <w:rFonts w:eastAsia="Times New Roman"/>
        <w:i/>
      </w:rPr>
    </w:lvl>
  </w:abstractNum>
  <w:abstractNum w:abstractNumId="8" w15:restartNumberingAfterBreak="0">
    <w:nsid w:val="1D0F7177"/>
    <w:multiLevelType w:val="multilevel"/>
    <w:tmpl w:val="58D6A44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E21BA9"/>
    <w:multiLevelType w:val="multilevel"/>
    <w:tmpl w:val="D3480802"/>
    <w:lvl w:ilvl="0">
      <w:start w:val="7"/>
      <w:numFmt w:val="decimal"/>
      <w:lvlText w:val="%1."/>
      <w:lvlJc w:val="left"/>
      <w:pPr>
        <w:ind w:left="3330" w:hanging="360"/>
      </w:pPr>
      <w:rPr>
        <w:rFonts w:eastAsia="Times New Roman" w:hint="default"/>
        <w:i w:val="0"/>
      </w:rPr>
    </w:lvl>
    <w:lvl w:ilvl="1">
      <w:start w:val="1"/>
      <w:numFmt w:val="decimal"/>
      <w:lvlText w:val="%1.%2."/>
      <w:lvlJc w:val="left"/>
      <w:pPr>
        <w:ind w:left="990" w:hanging="360"/>
      </w:pPr>
      <w:rPr>
        <w:rFonts w:eastAsia="Times New Roman" w:hint="default"/>
        <w:i w:val="0"/>
      </w:rPr>
    </w:lvl>
    <w:lvl w:ilvl="2">
      <w:start w:val="1"/>
      <w:numFmt w:val="decimal"/>
      <w:lvlText w:val="%1.%2.%3."/>
      <w:lvlJc w:val="left"/>
      <w:pPr>
        <w:ind w:left="1980" w:hanging="720"/>
      </w:pPr>
      <w:rPr>
        <w:rFonts w:eastAsia="Times New Roman" w:hint="default"/>
        <w:i/>
      </w:rPr>
    </w:lvl>
    <w:lvl w:ilvl="3">
      <w:start w:val="1"/>
      <w:numFmt w:val="decimal"/>
      <w:lvlText w:val="%1.%2.%3.%4."/>
      <w:lvlJc w:val="left"/>
      <w:pPr>
        <w:ind w:left="2610" w:hanging="720"/>
      </w:pPr>
      <w:rPr>
        <w:rFonts w:eastAsia="Times New Roman" w:hint="default"/>
        <w:i/>
      </w:rPr>
    </w:lvl>
    <w:lvl w:ilvl="4">
      <w:start w:val="1"/>
      <w:numFmt w:val="decimal"/>
      <w:lvlText w:val="%1.%2.%3.%4.%5."/>
      <w:lvlJc w:val="left"/>
      <w:pPr>
        <w:ind w:left="3600" w:hanging="1080"/>
      </w:pPr>
      <w:rPr>
        <w:rFonts w:eastAsia="Times New Roman" w:hint="default"/>
        <w:i/>
      </w:rPr>
    </w:lvl>
    <w:lvl w:ilvl="5">
      <w:start w:val="1"/>
      <w:numFmt w:val="decimal"/>
      <w:lvlText w:val="%1.%2.%3.%4.%5.%6."/>
      <w:lvlJc w:val="left"/>
      <w:pPr>
        <w:ind w:left="4230" w:hanging="1080"/>
      </w:pPr>
      <w:rPr>
        <w:rFonts w:eastAsia="Times New Roman" w:hint="default"/>
        <w:i/>
      </w:rPr>
    </w:lvl>
    <w:lvl w:ilvl="6">
      <w:start w:val="1"/>
      <w:numFmt w:val="decimal"/>
      <w:lvlText w:val="%1.%2.%3.%4.%5.%6.%7."/>
      <w:lvlJc w:val="left"/>
      <w:pPr>
        <w:ind w:left="5220" w:hanging="1440"/>
      </w:pPr>
      <w:rPr>
        <w:rFonts w:eastAsia="Times New Roman" w:hint="default"/>
        <w:i/>
      </w:rPr>
    </w:lvl>
    <w:lvl w:ilvl="7">
      <w:start w:val="1"/>
      <w:numFmt w:val="decimal"/>
      <w:lvlText w:val="%1.%2.%3.%4.%5.%6.%7.%8."/>
      <w:lvlJc w:val="left"/>
      <w:pPr>
        <w:ind w:left="5850" w:hanging="1440"/>
      </w:pPr>
      <w:rPr>
        <w:rFonts w:eastAsia="Times New Roman" w:hint="default"/>
        <w:i/>
      </w:rPr>
    </w:lvl>
    <w:lvl w:ilvl="8">
      <w:start w:val="1"/>
      <w:numFmt w:val="decimal"/>
      <w:lvlText w:val="%1.%2.%3.%4.%5.%6.%7.%8.%9."/>
      <w:lvlJc w:val="left"/>
      <w:pPr>
        <w:ind w:left="6840" w:hanging="1800"/>
      </w:pPr>
      <w:rPr>
        <w:rFonts w:eastAsia="Times New Roman" w:hint="default"/>
        <w:i/>
      </w:rPr>
    </w:lvl>
  </w:abstractNum>
  <w:abstractNum w:abstractNumId="10" w15:restartNumberingAfterBreak="0">
    <w:nsid w:val="1E944F24"/>
    <w:multiLevelType w:val="multilevel"/>
    <w:tmpl w:val="70D65E0C"/>
    <w:lvl w:ilvl="0">
      <w:start w:val="10"/>
      <w:numFmt w:val="decimal"/>
      <w:lvlText w:val="%1."/>
      <w:lvlJc w:val="left"/>
      <w:pPr>
        <w:ind w:left="2460" w:hanging="480"/>
      </w:pPr>
      <w:rPr>
        <w:rFonts w:hint="default"/>
        <w:color w:val="auto"/>
      </w:rPr>
    </w:lvl>
    <w:lvl w:ilvl="1">
      <w:start w:val="1"/>
      <w:numFmt w:val="decimal"/>
      <w:lvlText w:val="%1.%2."/>
      <w:lvlJc w:val="left"/>
      <w:pPr>
        <w:ind w:left="-330" w:hanging="480"/>
      </w:pPr>
      <w:rPr>
        <w:rFonts w:hint="default"/>
      </w:rPr>
    </w:lvl>
    <w:lvl w:ilvl="2">
      <w:start w:val="1"/>
      <w:numFmt w:val="decimal"/>
      <w:lvlText w:val="%1.%2.%3."/>
      <w:lvlJc w:val="left"/>
      <w:pPr>
        <w:ind w:left="-90" w:hanging="720"/>
      </w:pPr>
      <w:rPr>
        <w:rFonts w:hint="default"/>
      </w:rPr>
    </w:lvl>
    <w:lvl w:ilvl="3">
      <w:start w:val="1"/>
      <w:numFmt w:val="decimal"/>
      <w:lvlText w:val="%1.%2.%3.%4."/>
      <w:lvlJc w:val="left"/>
      <w:pPr>
        <w:ind w:left="-90" w:hanging="720"/>
      </w:pPr>
      <w:rPr>
        <w:rFonts w:hint="default"/>
      </w:rPr>
    </w:lvl>
    <w:lvl w:ilvl="4">
      <w:start w:val="1"/>
      <w:numFmt w:val="decimal"/>
      <w:lvlText w:val="%1.%2.%3.%4.%5."/>
      <w:lvlJc w:val="left"/>
      <w:pPr>
        <w:ind w:left="270" w:hanging="1080"/>
      </w:pPr>
      <w:rPr>
        <w:rFonts w:hint="default"/>
      </w:rPr>
    </w:lvl>
    <w:lvl w:ilvl="5">
      <w:start w:val="1"/>
      <w:numFmt w:val="decimal"/>
      <w:lvlText w:val="%1.%2.%3.%4.%5.%6."/>
      <w:lvlJc w:val="left"/>
      <w:pPr>
        <w:ind w:left="270" w:hanging="1080"/>
      </w:pPr>
      <w:rPr>
        <w:rFonts w:hint="default"/>
      </w:rPr>
    </w:lvl>
    <w:lvl w:ilvl="6">
      <w:start w:val="1"/>
      <w:numFmt w:val="decimal"/>
      <w:lvlText w:val="%1.%2.%3.%4.%5.%6.%7."/>
      <w:lvlJc w:val="left"/>
      <w:pPr>
        <w:ind w:left="630" w:hanging="1440"/>
      </w:pPr>
      <w:rPr>
        <w:rFonts w:hint="default"/>
      </w:rPr>
    </w:lvl>
    <w:lvl w:ilvl="7">
      <w:start w:val="1"/>
      <w:numFmt w:val="decimal"/>
      <w:lvlText w:val="%1.%2.%3.%4.%5.%6.%7.%8."/>
      <w:lvlJc w:val="left"/>
      <w:pPr>
        <w:ind w:left="630" w:hanging="1440"/>
      </w:pPr>
      <w:rPr>
        <w:rFonts w:hint="default"/>
      </w:rPr>
    </w:lvl>
    <w:lvl w:ilvl="8">
      <w:start w:val="1"/>
      <w:numFmt w:val="decimal"/>
      <w:lvlText w:val="%1.%2.%3.%4.%5.%6.%7.%8.%9."/>
      <w:lvlJc w:val="left"/>
      <w:pPr>
        <w:ind w:left="990" w:hanging="1800"/>
      </w:pPr>
      <w:rPr>
        <w:rFonts w:hint="default"/>
      </w:rPr>
    </w:lvl>
  </w:abstractNum>
  <w:abstractNum w:abstractNumId="11" w15:restartNumberingAfterBreak="0">
    <w:nsid w:val="245F013E"/>
    <w:multiLevelType w:val="hybridMultilevel"/>
    <w:tmpl w:val="8440F87C"/>
    <w:lvl w:ilvl="0" w:tplc="8E5CDE2A">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293299"/>
    <w:multiLevelType w:val="hybridMultilevel"/>
    <w:tmpl w:val="A48AED40"/>
    <w:lvl w:ilvl="0" w:tplc="A2BA44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A251617"/>
    <w:multiLevelType w:val="multilevel"/>
    <w:tmpl w:val="C12A0D84"/>
    <w:lvl w:ilvl="0">
      <w:start w:val="6"/>
      <w:numFmt w:val="decimal"/>
      <w:lvlText w:val="%1."/>
      <w:lvlJc w:val="left"/>
      <w:pPr>
        <w:ind w:left="360" w:hanging="360"/>
      </w:pPr>
      <w:rPr>
        <w:rFonts w:eastAsia="MS Mincho" w:hint="default"/>
        <w:i/>
      </w:rPr>
    </w:lvl>
    <w:lvl w:ilvl="1">
      <w:start w:val="1"/>
      <w:numFmt w:val="decimal"/>
      <w:lvlText w:val="%1.%2."/>
      <w:lvlJc w:val="left"/>
      <w:pPr>
        <w:ind w:left="720" w:hanging="360"/>
      </w:pPr>
      <w:rPr>
        <w:rFonts w:eastAsia="MS Mincho" w:hint="default"/>
        <w:i w:val="0"/>
      </w:rPr>
    </w:lvl>
    <w:lvl w:ilvl="2">
      <w:start w:val="1"/>
      <w:numFmt w:val="decimal"/>
      <w:lvlText w:val="%1.%2.%3."/>
      <w:lvlJc w:val="left"/>
      <w:pPr>
        <w:ind w:left="1440" w:hanging="720"/>
      </w:pPr>
      <w:rPr>
        <w:rFonts w:eastAsia="MS Mincho" w:hint="default"/>
        <w:i/>
      </w:rPr>
    </w:lvl>
    <w:lvl w:ilvl="3">
      <w:start w:val="1"/>
      <w:numFmt w:val="decimal"/>
      <w:lvlText w:val="%1.%2.%3.%4."/>
      <w:lvlJc w:val="left"/>
      <w:pPr>
        <w:ind w:left="1800" w:hanging="720"/>
      </w:pPr>
      <w:rPr>
        <w:rFonts w:eastAsia="MS Mincho" w:hint="default"/>
        <w:i/>
      </w:rPr>
    </w:lvl>
    <w:lvl w:ilvl="4">
      <w:start w:val="1"/>
      <w:numFmt w:val="decimal"/>
      <w:lvlText w:val="%1.%2.%3.%4.%5."/>
      <w:lvlJc w:val="left"/>
      <w:pPr>
        <w:ind w:left="2520" w:hanging="1080"/>
      </w:pPr>
      <w:rPr>
        <w:rFonts w:eastAsia="MS Mincho" w:hint="default"/>
        <w:i/>
      </w:rPr>
    </w:lvl>
    <w:lvl w:ilvl="5">
      <w:start w:val="1"/>
      <w:numFmt w:val="decimal"/>
      <w:lvlText w:val="%1.%2.%3.%4.%5.%6."/>
      <w:lvlJc w:val="left"/>
      <w:pPr>
        <w:ind w:left="2880" w:hanging="1080"/>
      </w:pPr>
      <w:rPr>
        <w:rFonts w:eastAsia="MS Mincho" w:hint="default"/>
        <w:i/>
      </w:rPr>
    </w:lvl>
    <w:lvl w:ilvl="6">
      <w:start w:val="1"/>
      <w:numFmt w:val="decimal"/>
      <w:lvlText w:val="%1.%2.%3.%4.%5.%6.%7."/>
      <w:lvlJc w:val="left"/>
      <w:pPr>
        <w:ind w:left="3600" w:hanging="1440"/>
      </w:pPr>
      <w:rPr>
        <w:rFonts w:eastAsia="MS Mincho" w:hint="default"/>
        <w:i/>
      </w:rPr>
    </w:lvl>
    <w:lvl w:ilvl="7">
      <w:start w:val="1"/>
      <w:numFmt w:val="decimal"/>
      <w:lvlText w:val="%1.%2.%3.%4.%5.%6.%7.%8."/>
      <w:lvlJc w:val="left"/>
      <w:pPr>
        <w:ind w:left="3960" w:hanging="1440"/>
      </w:pPr>
      <w:rPr>
        <w:rFonts w:eastAsia="MS Mincho" w:hint="default"/>
        <w:i/>
      </w:rPr>
    </w:lvl>
    <w:lvl w:ilvl="8">
      <w:start w:val="1"/>
      <w:numFmt w:val="decimal"/>
      <w:lvlText w:val="%1.%2.%3.%4.%5.%6.%7.%8.%9."/>
      <w:lvlJc w:val="left"/>
      <w:pPr>
        <w:ind w:left="4680" w:hanging="1800"/>
      </w:pPr>
      <w:rPr>
        <w:rFonts w:eastAsia="MS Mincho" w:hint="default"/>
        <w:i/>
      </w:rPr>
    </w:lvl>
  </w:abstractNum>
  <w:abstractNum w:abstractNumId="14" w15:restartNumberingAfterBreak="0">
    <w:nsid w:val="2B325F9B"/>
    <w:multiLevelType w:val="multilevel"/>
    <w:tmpl w:val="3AB0E2F4"/>
    <w:lvl w:ilvl="0">
      <w:start w:val="9"/>
      <w:numFmt w:val="decimal"/>
      <w:lvlText w:val="%1."/>
      <w:lvlJc w:val="left"/>
      <w:pPr>
        <w:ind w:left="1620" w:hanging="360"/>
      </w:pPr>
      <w:rPr>
        <w:rFonts w:hint="default"/>
        <w:color w:val="auto"/>
      </w:rPr>
    </w:lvl>
    <w:lvl w:ilvl="1">
      <w:start w:val="1"/>
      <w:numFmt w:val="decimal"/>
      <w:lvlText w:val="%1.%2."/>
      <w:lvlJc w:val="left"/>
      <w:pPr>
        <w:ind w:left="1530" w:hanging="36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15" w15:restartNumberingAfterBreak="0">
    <w:nsid w:val="37B67921"/>
    <w:multiLevelType w:val="multilevel"/>
    <w:tmpl w:val="858CBAE2"/>
    <w:lvl w:ilvl="0">
      <w:start w:val="20"/>
      <w:numFmt w:val="decimal"/>
      <w:lvlText w:val="%1."/>
      <w:lvlJc w:val="left"/>
      <w:pPr>
        <w:ind w:left="480" w:hanging="480"/>
      </w:pPr>
      <w:rPr>
        <w:rFonts w:ascii="Times New Roman" w:hAnsi="Times New Roman" w:cs="Times New Roman" w:hint="default"/>
        <w:i w:val="0"/>
        <w:color w:val="auto"/>
        <w:sz w:val="24"/>
        <w:szCs w:val="24"/>
      </w:rPr>
    </w:lvl>
    <w:lvl w:ilvl="1">
      <w:start w:val="1"/>
      <w:numFmt w:val="decimal"/>
      <w:lvlText w:val="%1.%2."/>
      <w:lvlJc w:val="left"/>
      <w:pPr>
        <w:ind w:left="840" w:hanging="480"/>
      </w:pPr>
      <w:rPr>
        <w:rFonts w:hint="default"/>
        <w:i w:val="0"/>
      </w:rPr>
    </w:lvl>
    <w:lvl w:ilvl="2">
      <w:start w:val="1"/>
      <w:numFmt w:val="decimal"/>
      <w:lvlText w:val="%1.%2.%3."/>
      <w:lvlJc w:val="left"/>
      <w:pPr>
        <w:ind w:left="1440" w:hanging="720"/>
      </w:pPr>
      <w:rPr>
        <w:rFonts w:hint="default"/>
        <w:i w:val="0"/>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i/>
      </w:rPr>
    </w:lvl>
    <w:lvl w:ilvl="5">
      <w:start w:val="1"/>
      <w:numFmt w:val="decimal"/>
      <w:lvlText w:val="%1.%2.%3.%4.%5.%6."/>
      <w:lvlJc w:val="left"/>
      <w:pPr>
        <w:ind w:left="2880" w:hanging="1080"/>
      </w:pPr>
      <w:rPr>
        <w:rFonts w:hint="default"/>
        <w:i/>
      </w:rPr>
    </w:lvl>
    <w:lvl w:ilvl="6">
      <w:start w:val="1"/>
      <w:numFmt w:val="decimal"/>
      <w:lvlText w:val="%1.%2.%3.%4.%5.%6.%7."/>
      <w:lvlJc w:val="left"/>
      <w:pPr>
        <w:ind w:left="3600" w:hanging="1440"/>
      </w:pPr>
      <w:rPr>
        <w:rFonts w:hint="default"/>
        <w:i/>
      </w:rPr>
    </w:lvl>
    <w:lvl w:ilvl="7">
      <w:start w:val="1"/>
      <w:numFmt w:val="decimal"/>
      <w:lvlText w:val="%1.%2.%3.%4.%5.%6.%7.%8."/>
      <w:lvlJc w:val="left"/>
      <w:pPr>
        <w:ind w:left="3960" w:hanging="1440"/>
      </w:pPr>
      <w:rPr>
        <w:rFonts w:hint="default"/>
        <w:i/>
      </w:rPr>
    </w:lvl>
    <w:lvl w:ilvl="8">
      <w:start w:val="1"/>
      <w:numFmt w:val="decimal"/>
      <w:lvlText w:val="%1.%2.%3.%4.%5.%6.%7.%8.%9."/>
      <w:lvlJc w:val="left"/>
      <w:pPr>
        <w:ind w:left="4680" w:hanging="1800"/>
      </w:pPr>
      <w:rPr>
        <w:rFonts w:hint="default"/>
        <w:i/>
      </w:rPr>
    </w:lvl>
  </w:abstractNum>
  <w:abstractNum w:abstractNumId="16" w15:restartNumberingAfterBreak="0">
    <w:nsid w:val="387F2066"/>
    <w:multiLevelType w:val="multilevel"/>
    <w:tmpl w:val="576653D8"/>
    <w:lvl w:ilvl="0">
      <w:start w:val="1"/>
      <w:numFmt w:val="decimal"/>
      <w:lvlText w:val="%1."/>
      <w:lvlJc w:val="left"/>
      <w:pPr>
        <w:ind w:left="3780" w:hanging="360"/>
      </w:pPr>
      <w:rPr>
        <w:rFonts w:ascii="Times New Roman" w:eastAsia="Times New Roman" w:hAnsi="Times New Roman" w:cs="Times New Roman" w:hint="default"/>
        <w:b w:val="0"/>
        <w:i w:val="0"/>
        <w:color w:val="auto"/>
      </w:rPr>
    </w:lvl>
    <w:lvl w:ilvl="1">
      <w:start w:val="1"/>
      <w:numFmt w:val="decimal"/>
      <w:isLgl/>
      <w:lvlText w:val="%1.%2."/>
      <w:lvlJc w:val="left"/>
      <w:pPr>
        <w:ind w:left="1440" w:hanging="720"/>
      </w:pPr>
      <w:rPr>
        <w:rFonts w:hint="default"/>
        <w:b w:val="0"/>
        <w:i w:val="0"/>
        <w:color w:val="auto"/>
        <w:sz w:val="24"/>
      </w:rPr>
    </w:lvl>
    <w:lvl w:ilvl="2">
      <w:start w:val="1"/>
      <w:numFmt w:val="decimal"/>
      <w:isLgl/>
      <w:lvlText w:val="%1.%2.%3."/>
      <w:lvlJc w:val="left"/>
      <w:pPr>
        <w:ind w:left="720" w:hanging="720"/>
      </w:pPr>
      <w:rPr>
        <w:rFonts w:hint="default"/>
        <w:b/>
        <w:color w:val="auto"/>
        <w:sz w:val="24"/>
      </w:rPr>
    </w:lvl>
    <w:lvl w:ilvl="3">
      <w:start w:val="1"/>
      <w:numFmt w:val="decimal"/>
      <w:isLgl/>
      <w:lvlText w:val="%1.%2.%3.%4."/>
      <w:lvlJc w:val="left"/>
      <w:pPr>
        <w:ind w:left="1080" w:hanging="1080"/>
      </w:pPr>
      <w:rPr>
        <w:rFonts w:hint="default"/>
        <w:b/>
        <w:color w:val="auto"/>
        <w:sz w:val="24"/>
      </w:rPr>
    </w:lvl>
    <w:lvl w:ilvl="4">
      <w:start w:val="1"/>
      <w:numFmt w:val="decimal"/>
      <w:isLgl/>
      <w:lvlText w:val="%1.%2.%3.%4.%5."/>
      <w:lvlJc w:val="left"/>
      <w:pPr>
        <w:ind w:left="1080" w:hanging="1080"/>
      </w:pPr>
      <w:rPr>
        <w:rFonts w:hint="default"/>
        <w:b/>
        <w:color w:val="auto"/>
        <w:sz w:val="24"/>
      </w:rPr>
    </w:lvl>
    <w:lvl w:ilvl="5">
      <w:start w:val="1"/>
      <w:numFmt w:val="decimal"/>
      <w:isLgl/>
      <w:lvlText w:val="%1.%2.%3.%4.%5.%6."/>
      <w:lvlJc w:val="left"/>
      <w:pPr>
        <w:ind w:left="1440" w:hanging="1440"/>
      </w:pPr>
      <w:rPr>
        <w:rFonts w:hint="default"/>
        <w:b/>
        <w:color w:val="auto"/>
        <w:sz w:val="24"/>
      </w:rPr>
    </w:lvl>
    <w:lvl w:ilvl="6">
      <w:start w:val="1"/>
      <w:numFmt w:val="decimal"/>
      <w:isLgl/>
      <w:lvlText w:val="%1.%2.%3.%4.%5.%6.%7."/>
      <w:lvlJc w:val="left"/>
      <w:pPr>
        <w:ind w:left="1440" w:hanging="1440"/>
      </w:pPr>
      <w:rPr>
        <w:rFonts w:hint="default"/>
        <w:b/>
        <w:color w:val="auto"/>
        <w:sz w:val="24"/>
      </w:rPr>
    </w:lvl>
    <w:lvl w:ilvl="7">
      <w:start w:val="1"/>
      <w:numFmt w:val="decimal"/>
      <w:isLgl/>
      <w:lvlText w:val="%1.%2.%3.%4.%5.%6.%7.%8."/>
      <w:lvlJc w:val="left"/>
      <w:pPr>
        <w:ind w:left="1800" w:hanging="1800"/>
      </w:pPr>
      <w:rPr>
        <w:rFonts w:hint="default"/>
        <w:b/>
        <w:color w:val="auto"/>
        <w:sz w:val="24"/>
      </w:rPr>
    </w:lvl>
    <w:lvl w:ilvl="8">
      <w:start w:val="1"/>
      <w:numFmt w:val="decimal"/>
      <w:isLgl/>
      <w:lvlText w:val="%1.%2.%3.%4.%5.%6.%7.%8.%9."/>
      <w:lvlJc w:val="left"/>
      <w:pPr>
        <w:ind w:left="2160" w:hanging="2160"/>
      </w:pPr>
      <w:rPr>
        <w:rFonts w:hint="default"/>
        <w:b/>
        <w:color w:val="auto"/>
        <w:sz w:val="24"/>
      </w:rPr>
    </w:lvl>
  </w:abstractNum>
  <w:abstractNum w:abstractNumId="17" w15:restartNumberingAfterBreak="0">
    <w:nsid w:val="38875A10"/>
    <w:multiLevelType w:val="hybridMultilevel"/>
    <w:tmpl w:val="9482A732"/>
    <w:lvl w:ilvl="0" w:tplc="18FCD47E">
      <w:start w:val="1"/>
      <w:numFmt w:val="decimal"/>
      <w:lvlText w:val="%1."/>
      <w:lvlJc w:val="left"/>
      <w:pPr>
        <w:ind w:left="1080" w:hanging="360"/>
      </w:pPr>
      <w:rPr>
        <w:rFonts w:eastAsia="MS Mincho"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CED0712"/>
    <w:multiLevelType w:val="multilevel"/>
    <w:tmpl w:val="7F461304"/>
    <w:lvl w:ilvl="0">
      <w:start w:val="11"/>
      <w:numFmt w:val="decimal"/>
      <w:lvlText w:val="%1."/>
      <w:lvlJc w:val="left"/>
      <w:pPr>
        <w:ind w:left="5160" w:hanging="480"/>
      </w:pPr>
      <w:rPr>
        <w:rFonts w:hint="default"/>
        <w:i w:val="0"/>
        <w:color w:val="auto"/>
      </w:rPr>
    </w:lvl>
    <w:lvl w:ilvl="1">
      <w:start w:val="1"/>
      <w:numFmt w:val="decimal"/>
      <w:lvlText w:val="%1.%2."/>
      <w:lvlJc w:val="left"/>
      <w:pPr>
        <w:ind w:left="2190" w:hanging="480"/>
      </w:pPr>
      <w:rPr>
        <w:rFonts w:hint="default"/>
        <w:b w:val="0"/>
      </w:rPr>
    </w:lvl>
    <w:lvl w:ilvl="2">
      <w:start w:val="1"/>
      <w:numFmt w:val="decimal"/>
      <w:lvlText w:val="%1.%2.%3."/>
      <w:lvlJc w:val="left"/>
      <w:pPr>
        <w:ind w:left="4140" w:hanging="720"/>
      </w:pPr>
      <w:rPr>
        <w:rFonts w:hint="default"/>
      </w:rPr>
    </w:lvl>
    <w:lvl w:ilvl="3">
      <w:start w:val="1"/>
      <w:numFmt w:val="decimal"/>
      <w:lvlText w:val="%1.%2.%3.%4."/>
      <w:lvlJc w:val="left"/>
      <w:pPr>
        <w:ind w:left="5850" w:hanging="720"/>
      </w:pPr>
      <w:rPr>
        <w:rFonts w:hint="default"/>
      </w:rPr>
    </w:lvl>
    <w:lvl w:ilvl="4">
      <w:start w:val="1"/>
      <w:numFmt w:val="decimal"/>
      <w:lvlText w:val="%1.%2.%3.%4.%5."/>
      <w:lvlJc w:val="left"/>
      <w:pPr>
        <w:ind w:left="7920" w:hanging="1080"/>
      </w:pPr>
      <w:rPr>
        <w:rFonts w:hint="default"/>
      </w:rPr>
    </w:lvl>
    <w:lvl w:ilvl="5">
      <w:start w:val="1"/>
      <w:numFmt w:val="decimal"/>
      <w:lvlText w:val="%1.%2.%3.%4.%5.%6."/>
      <w:lvlJc w:val="left"/>
      <w:pPr>
        <w:ind w:left="9630" w:hanging="1080"/>
      </w:pPr>
      <w:rPr>
        <w:rFonts w:hint="default"/>
      </w:rPr>
    </w:lvl>
    <w:lvl w:ilvl="6">
      <w:start w:val="1"/>
      <w:numFmt w:val="decimal"/>
      <w:lvlText w:val="%1.%2.%3.%4.%5.%6.%7."/>
      <w:lvlJc w:val="left"/>
      <w:pPr>
        <w:ind w:left="11700" w:hanging="1440"/>
      </w:pPr>
      <w:rPr>
        <w:rFonts w:hint="default"/>
      </w:rPr>
    </w:lvl>
    <w:lvl w:ilvl="7">
      <w:start w:val="1"/>
      <w:numFmt w:val="decimal"/>
      <w:lvlText w:val="%1.%2.%3.%4.%5.%6.%7.%8."/>
      <w:lvlJc w:val="left"/>
      <w:pPr>
        <w:ind w:left="13410" w:hanging="1440"/>
      </w:pPr>
      <w:rPr>
        <w:rFonts w:hint="default"/>
      </w:rPr>
    </w:lvl>
    <w:lvl w:ilvl="8">
      <w:start w:val="1"/>
      <w:numFmt w:val="decimal"/>
      <w:lvlText w:val="%1.%2.%3.%4.%5.%6.%7.%8.%9."/>
      <w:lvlJc w:val="left"/>
      <w:pPr>
        <w:ind w:left="15480" w:hanging="1800"/>
      </w:pPr>
      <w:rPr>
        <w:rFonts w:hint="default"/>
      </w:rPr>
    </w:lvl>
  </w:abstractNum>
  <w:abstractNum w:abstractNumId="19" w15:restartNumberingAfterBreak="0">
    <w:nsid w:val="3E8C484C"/>
    <w:multiLevelType w:val="hybridMultilevel"/>
    <w:tmpl w:val="1876C588"/>
    <w:lvl w:ilvl="0" w:tplc="5F70C334">
      <w:start w:val="1"/>
      <w:numFmt w:val="lowerRoman"/>
      <w:lvlText w:val="%1)"/>
      <w:lvlJc w:val="left"/>
      <w:pPr>
        <w:ind w:left="1890" w:hanging="720"/>
      </w:pPr>
      <w:rPr>
        <w:rFonts w:hint="default"/>
      </w:r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0" w15:restartNumberingAfterBreak="0">
    <w:nsid w:val="3FFB42A7"/>
    <w:multiLevelType w:val="hybridMultilevel"/>
    <w:tmpl w:val="548C0DDE"/>
    <w:lvl w:ilvl="0" w:tplc="B1300302">
      <w:start w:val="1"/>
      <w:numFmt w:val="decimal"/>
      <w:lvlText w:val="%1."/>
      <w:lvlJc w:val="left"/>
      <w:pPr>
        <w:ind w:left="1080" w:hanging="360"/>
      </w:pPr>
      <w:rPr>
        <w:rFonts w:hint="default"/>
        <w:i w:val="0"/>
      </w:rPr>
    </w:lvl>
    <w:lvl w:ilvl="1" w:tplc="D2CEC676">
      <w:start w:val="1"/>
      <w:numFmt w:val="decimal"/>
      <w:lvlText w:val="11.%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0AE188E"/>
    <w:multiLevelType w:val="hybridMultilevel"/>
    <w:tmpl w:val="E260184A"/>
    <w:lvl w:ilvl="0" w:tplc="1AD6FFFA">
      <w:start w:val="2"/>
      <w:numFmt w:val="lowerLetter"/>
      <w:lvlText w:val="%1."/>
      <w:lvlJc w:val="left"/>
      <w:pPr>
        <w:ind w:left="1260" w:hanging="360"/>
      </w:pPr>
      <w:rPr>
        <w:rFonts w:hint="default"/>
        <w:b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2" w15:restartNumberingAfterBreak="0">
    <w:nsid w:val="43554F6A"/>
    <w:multiLevelType w:val="multilevel"/>
    <w:tmpl w:val="2C40F26C"/>
    <w:lvl w:ilvl="0">
      <w:start w:val="1"/>
      <w:numFmt w:val="decimal"/>
      <w:lvlText w:val="%1."/>
      <w:lvlJc w:val="left"/>
      <w:pPr>
        <w:ind w:left="630" w:hanging="360"/>
      </w:pPr>
      <w:rPr>
        <w:rFonts w:ascii="Times New Roman" w:hAnsi="Times New Roman" w:cs="Times New Roman" w:hint="default"/>
        <w:i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595399E"/>
    <w:multiLevelType w:val="multilevel"/>
    <w:tmpl w:val="773E1BCA"/>
    <w:lvl w:ilvl="0">
      <w:start w:val="6"/>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C477A20"/>
    <w:multiLevelType w:val="hybridMultilevel"/>
    <w:tmpl w:val="898A0790"/>
    <w:lvl w:ilvl="0" w:tplc="8BF8384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760884"/>
    <w:multiLevelType w:val="hybridMultilevel"/>
    <w:tmpl w:val="0E4CF40E"/>
    <w:lvl w:ilvl="0" w:tplc="EFD2CF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493358"/>
    <w:multiLevelType w:val="multilevel"/>
    <w:tmpl w:val="AAA04D94"/>
    <w:lvl w:ilvl="0">
      <w:start w:val="8"/>
      <w:numFmt w:val="decimal"/>
      <w:lvlText w:val="%1."/>
      <w:lvlJc w:val="left"/>
      <w:pPr>
        <w:ind w:left="360" w:hanging="360"/>
      </w:pPr>
      <w:rPr>
        <w:rFonts w:hint="default"/>
      </w:rPr>
    </w:lvl>
    <w:lvl w:ilvl="1">
      <w:start w:val="1"/>
      <w:numFmt w:val="decimal"/>
      <w:lvlText w:val="%1.%2."/>
      <w:lvlJc w:val="left"/>
      <w:pPr>
        <w:ind w:left="3330" w:hanging="360"/>
      </w:pPr>
      <w:rPr>
        <w:rFonts w:hint="default"/>
        <w:i w:val="0"/>
      </w:rPr>
    </w:lvl>
    <w:lvl w:ilvl="2">
      <w:start w:val="1"/>
      <w:numFmt w:val="decimal"/>
      <w:lvlText w:val="%1.%2.%3."/>
      <w:lvlJc w:val="left"/>
      <w:pPr>
        <w:ind w:left="6660" w:hanging="720"/>
      </w:pPr>
      <w:rPr>
        <w:rFonts w:hint="default"/>
        <w:i w:val="0"/>
      </w:rPr>
    </w:lvl>
    <w:lvl w:ilvl="3">
      <w:start w:val="1"/>
      <w:numFmt w:val="decimal"/>
      <w:lvlText w:val="%1.%2.%3.%4."/>
      <w:lvlJc w:val="left"/>
      <w:pPr>
        <w:ind w:left="9630" w:hanging="720"/>
      </w:pPr>
      <w:rPr>
        <w:rFonts w:hint="default"/>
      </w:rPr>
    </w:lvl>
    <w:lvl w:ilvl="4">
      <w:start w:val="1"/>
      <w:numFmt w:val="decimal"/>
      <w:lvlText w:val="%1.%2.%3.%4.%5."/>
      <w:lvlJc w:val="left"/>
      <w:pPr>
        <w:ind w:left="12960" w:hanging="1080"/>
      </w:pPr>
      <w:rPr>
        <w:rFonts w:hint="default"/>
      </w:rPr>
    </w:lvl>
    <w:lvl w:ilvl="5">
      <w:start w:val="1"/>
      <w:numFmt w:val="decimal"/>
      <w:lvlText w:val="%1.%2.%3.%4.%5.%6."/>
      <w:lvlJc w:val="left"/>
      <w:pPr>
        <w:ind w:left="15930" w:hanging="1080"/>
      </w:pPr>
      <w:rPr>
        <w:rFonts w:hint="default"/>
      </w:rPr>
    </w:lvl>
    <w:lvl w:ilvl="6">
      <w:start w:val="1"/>
      <w:numFmt w:val="decimal"/>
      <w:lvlText w:val="%1.%2.%3.%4.%5.%6.%7."/>
      <w:lvlJc w:val="left"/>
      <w:pPr>
        <w:ind w:left="19260" w:hanging="1440"/>
      </w:pPr>
      <w:rPr>
        <w:rFonts w:hint="default"/>
      </w:rPr>
    </w:lvl>
    <w:lvl w:ilvl="7">
      <w:start w:val="1"/>
      <w:numFmt w:val="decimal"/>
      <w:lvlText w:val="%1.%2.%3.%4.%5.%6.%7.%8."/>
      <w:lvlJc w:val="left"/>
      <w:pPr>
        <w:ind w:left="22230" w:hanging="1440"/>
      </w:pPr>
      <w:rPr>
        <w:rFonts w:hint="default"/>
      </w:rPr>
    </w:lvl>
    <w:lvl w:ilvl="8">
      <w:start w:val="1"/>
      <w:numFmt w:val="decimal"/>
      <w:lvlText w:val="%1.%2.%3.%4.%5.%6.%7.%8.%9."/>
      <w:lvlJc w:val="left"/>
      <w:pPr>
        <w:ind w:left="25560" w:hanging="1800"/>
      </w:pPr>
      <w:rPr>
        <w:rFonts w:hint="default"/>
      </w:rPr>
    </w:lvl>
  </w:abstractNum>
  <w:abstractNum w:abstractNumId="27" w15:restartNumberingAfterBreak="0">
    <w:nsid w:val="50FB695A"/>
    <w:multiLevelType w:val="multilevel"/>
    <w:tmpl w:val="DFEE3F40"/>
    <w:lvl w:ilvl="0">
      <w:start w:val="8"/>
      <w:numFmt w:val="decimal"/>
      <w:lvlText w:val="%1."/>
      <w:lvlJc w:val="left"/>
      <w:pPr>
        <w:ind w:left="360" w:hanging="360"/>
      </w:pPr>
      <w:rPr>
        <w:rFonts w:eastAsia="MS Mincho" w:hint="default"/>
      </w:rPr>
    </w:lvl>
    <w:lvl w:ilvl="1">
      <w:start w:val="1"/>
      <w:numFmt w:val="decimal"/>
      <w:lvlText w:val="%1.%2."/>
      <w:lvlJc w:val="left"/>
      <w:pPr>
        <w:ind w:left="1530" w:hanging="360"/>
      </w:pPr>
      <w:rPr>
        <w:rFonts w:eastAsia="MS Mincho" w:hint="default"/>
      </w:rPr>
    </w:lvl>
    <w:lvl w:ilvl="2">
      <w:start w:val="1"/>
      <w:numFmt w:val="decimal"/>
      <w:lvlText w:val="%1.%2.%3."/>
      <w:lvlJc w:val="left"/>
      <w:pPr>
        <w:ind w:left="3060" w:hanging="720"/>
      </w:pPr>
      <w:rPr>
        <w:rFonts w:eastAsia="MS Mincho" w:hint="default"/>
      </w:rPr>
    </w:lvl>
    <w:lvl w:ilvl="3">
      <w:start w:val="1"/>
      <w:numFmt w:val="decimal"/>
      <w:lvlText w:val="%1.%2.%3.%4."/>
      <w:lvlJc w:val="left"/>
      <w:pPr>
        <w:ind w:left="4230" w:hanging="720"/>
      </w:pPr>
      <w:rPr>
        <w:rFonts w:eastAsia="MS Mincho" w:hint="default"/>
      </w:rPr>
    </w:lvl>
    <w:lvl w:ilvl="4">
      <w:start w:val="1"/>
      <w:numFmt w:val="decimal"/>
      <w:lvlText w:val="%1.%2.%3.%4.%5."/>
      <w:lvlJc w:val="left"/>
      <w:pPr>
        <w:ind w:left="5760" w:hanging="1080"/>
      </w:pPr>
      <w:rPr>
        <w:rFonts w:eastAsia="MS Mincho" w:hint="default"/>
      </w:rPr>
    </w:lvl>
    <w:lvl w:ilvl="5">
      <w:start w:val="1"/>
      <w:numFmt w:val="decimal"/>
      <w:lvlText w:val="%1.%2.%3.%4.%5.%6."/>
      <w:lvlJc w:val="left"/>
      <w:pPr>
        <w:ind w:left="6930" w:hanging="1080"/>
      </w:pPr>
      <w:rPr>
        <w:rFonts w:eastAsia="MS Mincho" w:hint="default"/>
      </w:rPr>
    </w:lvl>
    <w:lvl w:ilvl="6">
      <w:start w:val="1"/>
      <w:numFmt w:val="decimal"/>
      <w:lvlText w:val="%1.%2.%3.%4.%5.%6.%7."/>
      <w:lvlJc w:val="left"/>
      <w:pPr>
        <w:ind w:left="8460" w:hanging="1440"/>
      </w:pPr>
      <w:rPr>
        <w:rFonts w:eastAsia="MS Mincho" w:hint="default"/>
      </w:rPr>
    </w:lvl>
    <w:lvl w:ilvl="7">
      <w:start w:val="1"/>
      <w:numFmt w:val="decimal"/>
      <w:lvlText w:val="%1.%2.%3.%4.%5.%6.%7.%8."/>
      <w:lvlJc w:val="left"/>
      <w:pPr>
        <w:ind w:left="9630" w:hanging="1440"/>
      </w:pPr>
      <w:rPr>
        <w:rFonts w:eastAsia="MS Mincho" w:hint="default"/>
      </w:rPr>
    </w:lvl>
    <w:lvl w:ilvl="8">
      <w:start w:val="1"/>
      <w:numFmt w:val="decimal"/>
      <w:lvlText w:val="%1.%2.%3.%4.%5.%6.%7.%8.%9."/>
      <w:lvlJc w:val="left"/>
      <w:pPr>
        <w:ind w:left="11160" w:hanging="1800"/>
      </w:pPr>
      <w:rPr>
        <w:rFonts w:eastAsia="MS Mincho" w:hint="default"/>
      </w:rPr>
    </w:lvl>
  </w:abstractNum>
  <w:abstractNum w:abstractNumId="28" w15:restartNumberingAfterBreak="0">
    <w:nsid w:val="52096A8E"/>
    <w:multiLevelType w:val="hybridMultilevel"/>
    <w:tmpl w:val="84702E58"/>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34B1B49"/>
    <w:multiLevelType w:val="multilevel"/>
    <w:tmpl w:val="F6305A52"/>
    <w:lvl w:ilvl="0">
      <w:start w:val="11"/>
      <w:numFmt w:val="decimal"/>
      <w:lvlText w:val="%1."/>
      <w:lvlJc w:val="left"/>
      <w:pPr>
        <w:ind w:left="480" w:hanging="480"/>
      </w:pPr>
      <w:rPr>
        <w:rFonts w:hint="default"/>
        <w:i/>
      </w:rPr>
    </w:lvl>
    <w:lvl w:ilvl="1">
      <w:start w:val="1"/>
      <w:numFmt w:val="decimal"/>
      <w:lvlText w:val="%1.%2."/>
      <w:lvlJc w:val="left"/>
      <w:pPr>
        <w:ind w:left="6420" w:hanging="480"/>
      </w:pPr>
      <w:rPr>
        <w:rFonts w:hint="default"/>
        <w:i w:val="0"/>
      </w:rPr>
    </w:lvl>
    <w:lvl w:ilvl="2">
      <w:start w:val="1"/>
      <w:numFmt w:val="decimal"/>
      <w:lvlText w:val="%1.%2.%3."/>
      <w:lvlJc w:val="left"/>
      <w:pPr>
        <w:ind w:left="12600" w:hanging="720"/>
      </w:pPr>
      <w:rPr>
        <w:rFonts w:hint="default"/>
        <w:i/>
      </w:rPr>
    </w:lvl>
    <w:lvl w:ilvl="3">
      <w:start w:val="1"/>
      <w:numFmt w:val="decimal"/>
      <w:lvlText w:val="%1.%2.%3.%4."/>
      <w:lvlJc w:val="left"/>
      <w:pPr>
        <w:ind w:left="18540" w:hanging="720"/>
      </w:pPr>
      <w:rPr>
        <w:rFonts w:hint="default"/>
        <w:i/>
      </w:rPr>
    </w:lvl>
    <w:lvl w:ilvl="4">
      <w:start w:val="1"/>
      <w:numFmt w:val="decimal"/>
      <w:lvlText w:val="%1.%2.%3.%4.%5."/>
      <w:lvlJc w:val="left"/>
      <w:pPr>
        <w:ind w:left="24840" w:hanging="1080"/>
      </w:pPr>
      <w:rPr>
        <w:rFonts w:hint="default"/>
        <w:i/>
      </w:rPr>
    </w:lvl>
    <w:lvl w:ilvl="5">
      <w:start w:val="1"/>
      <w:numFmt w:val="decimal"/>
      <w:lvlText w:val="%1.%2.%3.%4.%5.%6."/>
      <w:lvlJc w:val="left"/>
      <w:pPr>
        <w:ind w:left="30780" w:hanging="1080"/>
      </w:pPr>
      <w:rPr>
        <w:rFonts w:hint="default"/>
        <w:i/>
      </w:rPr>
    </w:lvl>
    <w:lvl w:ilvl="6">
      <w:start w:val="1"/>
      <w:numFmt w:val="decimal"/>
      <w:lvlText w:val="%1.%2.%3.%4.%5.%6.%7."/>
      <w:lvlJc w:val="left"/>
      <w:pPr>
        <w:ind w:left="-28456" w:hanging="1440"/>
      </w:pPr>
      <w:rPr>
        <w:rFonts w:hint="default"/>
        <w:i/>
      </w:rPr>
    </w:lvl>
    <w:lvl w:ilvl="7">
      <w:start w:val="1"/>
      <w:numFmt w:val="decimal"/>
      <w:lvlText w:val="%1.%2.%3.%4.%5.%6.%7.%8."/>
      <w:lvlJc w:val="left"/>
      <w:pPr>
        <w:ind w:left="-22516" w:hanging="1440"/>
      </w:pPr>
      <w:rPr>
        <w:rFonts w:hint="default"/>
        <w:i/>
      </w:rPr>
    </w:lvl>
    <w:lvl w:ilvl="8">
      <w:start w:val="1"/>
      <w:numFmt w:val="decimal"/>
      <w:lvlText w:val="%1.%2.%3.%4.%5.%6.%7.%8.%9."/>
      <w:lvlJc w:val="left"/>
      <w:pPr>
        <w:ind w:left="-16216" w:hanging="1800"/>
      </w:pPr>
      <w:rPr>
        <w:rFonts w:hint="default"/>
        <w:i/>
      </w:rPr>
    </w:lvl>
  </w:abstractNum>
  <w:abstractNum w:abstractNumId="30" w15:restartNumberingAfterBreak="0">
    <w:nsid w:val="541A420D"/>
    <w:multiLevelType w:val="hybridMultilevel"/>
    <w:tmpl w:val="383E18C0"/>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44117E0"/>
    <w:multiLevelType w:val="hybridMultilevel"/>
    <w:tmpl w:val="EE5E256E"/>
    <w:lvl w:ilvl="0" w:tplc="C60C49A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7453E9B"/>
    <w:multiLevelType w:val="multilevel"/>
    <w:tmpl w:val="FCE20B96"/>
    <w:lvl w:ilvl="0">
      <w:start w:val="7"/>
      <w:numFmt w:val="decimal"/>
      <w:lvlText w:val="%1."/>
      <w:lvlJc w:val="left"/>
      <w:pPr>
        <w:ind w:left="360" w:hanging="360"/>
      </w:pPr>
      <w:rPr>
        <w:rFonts w:eastAsia="MS Mincho" w:hint="default"/>
      </w:rPr>
    </w:lvl>
    <w:lvl w:ilvl="1">
      <w:start w:val="1"/>
      <w:numFmt w:val="decimal"/>
      <w:lvlText w:val="%1.%2."/>
      <w:lvlJc w:val="left"/>
      <w:pPr>
        <w:ind w:left="720" w:hanging="360"/>
      </w:pPr>
      <w:rPr>
        <w:rFonts w:eastAsia="MS Mincho" w:hint="default"/>
      </w:rPr>
    </w:lvl>
    <w:lvl w:ilvl="2">
      <w:start w:val="1"/>
      <w:numFmt w:val="decimal"/>
      <w:lvlText w:val="%1.%2.%3."/>
      <w:lvlJc w:val="left"/>
      <w:pPr>
        <w:ind w:left="1440" w:hanging="720"/>
      </w:pPr>
      <w:rPr>
        <w:rFonts w:eastAsia="MS Mincho" w:hint="default"/>
      </w:rPr>
    </w:lvl>
    <w:lvl w:ilvl="3">
      <w:start w:val="1"/>
      <w:numFmt w:val="decimal"/>
      <w:lvlText w:val="%1.%2.%3.%4."/>
      <w:lvlJc w:val="left"/>
      <w:pPr>
        <w:ind w:left="1800" w:hanging="720"/>
      </w:pPr>
      <w:rPr>
        <w:rFonts w:eastAsia="MS Mincho" w:hint="default"/>
      </w:rPr>
    </w:lvl>
    <w:lvl w:ilvl="4">
      <w:start w:val="1"/>
      <w:numFmt w:val="decimal"/>
      <w:lvlText w:val="%1.%2.%3.%4.%5."/>
      <w:lvlJc w:val="left"/>
      <w:pPr>
        <w:ind w:left="2520" w:hanging="1080"/>
      </w:pPr>
      <w:rPr>
        <w:rFonts w:eastAsia="MS Mincho" w:hint="default"/>
      </w:rPr>
    </w:lvl>
    <w:lvl w:ilvl="5">
      <w:start w:val="1"/>
      <w:numFmt w:val="decimal"/>
      <w:lvlText w:val="%1.%2.%3.%4.%5.%6."/>
      <w:lvlJc w:val="left"/>
      <w:pPr>
        <w:ind w:left="2880" w:hanging="1080"/>
      </w:pPr>
      <w:rPr>
        <w:rFonts w:eastAsia="MS Mincho" w:hint="default"/>
      </w:rPr>
    </w:lvl>
    <w:lvl w:ilvl="6">
      <w:start w:val="1"/>
      <w:numFmt w:val="decimal"/>
      <w:lvlText w:val="%1.%2.%3.%4.%5.%6.%7."/>
      <w:lvlJc w:val="left"/>
      <w:pPr>
        <w:ind w:left="3600" w:hanging="1440"/>
      </w:pPr>
      <w:rPr>
        <w:rFonts w:eastAsia="MS Mincho" w:hint="default"/>
      </w:rPr>
    </w:lvl>
    <w:lvl w:ilvl="7">
      <w:start w:val="1"/>
      <w:numFmt w:val="decimal"/>
      <w:lvlText w:val="%1.%2.%3.%4.%5.%6.%7.%8."/>
      <w:lvlJc w:val="left"/>
      <w:pPr>
        <w:ind w:left="3960" w:hanging="1440"/>
      </w:pPr>
      <w:rPr>
        <w:rFonts w:eastAsia="MS Mincho" w:hint="default"/>
      </w:rPr>
    </w:lvl>
    <w:lvl w:ilvl="8">
      <w:start w:val="1"/>
      <w:numFmt w:val="decimal"/>
      <w:lvlText w:val="%1.%2.%3.%4.%5.%6.%7.%8.%9."/>
      <w:lvlJc w:val="left"/>
      <w:pPr>
        <w:ind w:left="4680" w:hanging="1800"/>
      </w:pPr>
      <w:rPr>
        <w:rFonts w:eastAsia="MS Mincho" w:hint="default"/>
      </w:rPr>
    </w:lvl>
  </w:abstractNum>
  <w:abstractNum w:abstractNumId="33" w15:restartNumberingAfterBreak="0">
    <w:nsid w:val="58EC1AE5"/>
    <w:multiLevelType w:val="multilevel"/>
    <w:tmpl w:val="4F12CB02"/>
    <w:lvl w:ilvl="0">
      <w:start w:val="7"/>
      <w:numFmt w:val="decimal"/>
      <w:lvlText w:val="%1."/>
      <w:lvlJc w:val="left"/>
      <w:pPr>
        <w:ind w:left="2700" w:hanging="360"/>
      </w:pPr>
      <w:rPr>
        <w:rFonts w:hint="default"/>
      </w:rPr>
    </w:lvl>
    <w:lvl w:ilvl="1">
      <w:start w:val="1"/>
      <w:numFmt w:val="decimal"/>
      <w:lvlText w:val="%1.%2."/>
      <w:lvlJc w:val="left"/>
      <w:pPr>
        <w:ind w:left="2610" w:hanging="360"/>
      </w:pPr>
      <w:rPr>
        <w:rFonts w:hint="default"/>
      </w:rPr>
    </w:lvl>
    <w:lvl w:ilvl="2">
      <w:start w:val="1"/>
      <w:numFmt w:val="decimal"/>
      <w:lvlText w:val="%1.%2.%3."/>
      <w:lvlJc w:val="left"/>
      <w:pPr>
        <w:ind w:left="5220" w:hanging="720"/>
      </w:pPr>
      <w:rPr>
        <w:rFonts w:hint="default"/>
      </w:rPr>
    </w:lvl>
    <w:lvl w:ilvl="3">
      <w:start w:val="1"/>
      <w:numFmt w:val="decimal"/>
      <w:lvlText w:val="%1.%2.%3.%4."/>
      <w:lvlJc w:val="left"/>
      <w:pPr>
        <w:ind w:left="7470" w:hanging="720"/>
      </w:pPr>
      <w:rPr>
        <w:rFonts w:hint="default"/>
      </w:rPr>
    </w:lvl>
    <w:lvl w:ilvl="4">
      <w:start w:val="1"/>
      <w:numFmt w:val="decimal"/>
      <w:lvlText w:val="%1.%2.%3.%4.%5."/>
      <w:lvlJc w:val="left"/>
      <w:pPr>
        <w:ind w:left="10080" w:hanging="1080"/>
      </w:pPr>
      <w:rPr>
        <w:rFonts w:hint="default"/>
      </w:rPr>
    </w:lvl>
    <w:lvl w:ilvl="5">
      <w:start w:val="1"/>
      <w:numFmt w:val="decimal"/>
      <w:lvlText w:val="%1.%2.%3.%4.%5.%6."/>
      <w:lvlJc w:val="left"/>
      <w:pPr>
        <w:ind w:left="12330" w:hanging="1080"/>
      </w:pPr>
      <w:rPr>
        <w:rFonts w:hint="default"/>
      </w:rPr>
    </w:lvl>
    <w:lvl w:ilvl="6">
      <w:start w:val="1"/>
      <w:numFmt w:val="decimal"/>
      <w:lvlText w:val="%1.%2.%3.%4.%5.%6.%7."/>
      <w:lvlJc w:val="left"/>
      <w:pPr>
        <w:ind w:left="14940" w:hanging="1440"/>
      </w:pPr>
      <w:rPr>
        <w:rFonts w:hint="default"/>
      </w:rPr>
    </w:lvl>
    <w:lvl w:ilvl="7">
      <w:start w:val="1"/>
      <w:numFmt w:val="decimal"/>
      <w:lvlText w:val="%1.%2.%3.%4.%5.%6.%7.%8."/>
      <w:lvlJc w:val="left"/>
      <w:pPr>
        <w:ind w:left="17190" w:hanging="1440"/>
      </w:pPr>
      <w:rPr>
        <w:rFonts w:hint="default"/>
      </w:rPr>
    </w:lvl>
    <w:lvl w:ilvl="8">
      <w:start w:val="1"/>
      <w:numFmt w:val="decimal"/>
      <w:lvlText w:val="%1.%2.%3.%4.%5.%6.%7.%8.%9."/>
      <w:lvlJc w:val="left"/>
      <w:pPr>
        <w:ind w:left="19800" w:hanging="1800"/>
      </w:pPr>
      <w:rPr>
        <w:rFonts w:hint="default"/>
      </w:rPr>
    </w:lvl>
  </w:abstractNum>
  <w:abstractNum w:abstractNumId="34" w15:restartNumberingAfterBreak="0">
    <w:nsid w:val="5AF82FA7"/>
    <w:multiLevelType w:val="hybridMultilevel"/>
    <w:tmpl w:val="537ADC5C"/>
    <w:lvl w:ilvl="0" w:tplc="D74E62C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5C9206DA"/>
    <w:multiLevelType w:val="multilevel"/>
    <w:tmpl w:val="4692BE6A"/>
    <w:lvl w:ilvl="0">
      <w:start w:val="1"/>
      <w:numFmt w:val="decimal"/>
      <w:lvlText w:val="%1."/>
      <w:lvlJc w:val="left"/>
      <w:pPr>
        <w:ind w:left="990" w:hanging="360"/>
      </w:pPr>
      <w:rPr>
        <w:rFonts w:ascii="Times New Roman" w:eastAsia="Calibri" w:hAnsi="Times New Roman" w:cs="Times New Roman" w:hint="default"/>
        <w:b w:val="0"/>
        <w:i w:val="0"/>
        <w:strike w:val="0"/>
        <w:color w:val="auto"/>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6" w15:restartNumberingAfterBreak="0">
    <w:nsid w:val="603C309F"/>
    <w:multiLevelType w:val="multilevel"/>
    <w:tmpl w:val="123030E0"/>
    <w:lvl w:ilvl="0">
      <w:start w:val="7"/>
      <w:numFmt w:val="decimal"/>
      <w:lvlText w:val="%1"/>
      <w:lvlJc w:val="left"/>
      <w:pPr>
        <w:ind w:left="360" w:hanging="360"/>
      </w:pPr>
      <w:rPr>
        <w:rFonts w:eastAsia="Times New Roman" w:hint="default"/>
        <w:i/>
      </w:rPr>
    </w:lvl>
    <w:lvl w:ilvl="1">
      <w:start w:val="1"/>
      <w:numFmt w:val="decimal"/>
      <w:lvlText w:val="%1.%2"/>
      <w:lvlJc w:val="left"/>
      <w:pPr>
        <w:ind w:left="720" w:hanging="360"/>
      </w:pPr>
      <w:rPr>
        <w:rFonts w:eastAsia="Times New Roman" w:hint="default"/>
        <w:i w:val="0"/>
      </w:rPr>
    </w:lvl>
    <w:lvl w:ilvl="2">
      <w:start w:val="1"/>
      <w:numFmt w:val="decimal"/>
      <w:lvlText w:val="%1.%2.%3"/>
      <w:lvlJc w:val="left"/>
      <w:pPr>
        <w:ind w:left="1440" w:hanging="720"/>
      </w:pPr>
      <w:rPr>
        <w:rFonts w:eastAsia="Times New Roman" w:hint="default"/>
        <w:i/>
      </w:rPr>
    </w:lvl>
    <w:lvl w:ilvl="3">
      <w:start w:val="1"/>
      <w:numFmt w:val="decimal"/>
      <w:lvlText w:val="%1.%2.%3.%4"/>
      <w:lvlJc w:val="left"/>
      <w:pPr>
        <w:ind w:left="1800" w:hanging="720"/>
      </w:pPr>
      <w:rPr>
        <w:rFonts w:eastAsia="Times New Roman" w:hint="default"/>
        <w:i/>
      </w:rPr>
    </w:lvl>
    <w:lvl w:ilvl="4">
      <w:start w:val="1"/>
      <w:numFmt w:val="decimal"/>
      <w:lvlText w:val="%1.%2.%3.%4.%5"/>
      <w:lvlJc w:val="left"/>
      <w:pPr>
        <w:ind w:left="2520" w:hanging="1080"/>
      </w:pPr>
      <w:rPr>
        <w:rFonts w:eastAsia="Times New Roman" w:hint="default"/>
        <w:i/>
      </w:rPr>
    </w:lvl>
    <w:lvl w:ilvl="5">
      <w:start w:val="1"/>
      <w:numFmt w:val="decimal"/>
      <w:lvlText w:val="%1.%2.%3.%4.%5.%6"/>
      <w:lvlJc w:val="left"/>
      <w:pPr>
        <w:ind w:left="2880" w:hanging="1080"/>
      </w:pPr>
      <w:rPr>
        <w:rFonts w:eastAsia="Times New Roman" w:hint="default"/>
        <w:i/>
      </w:rPr>
    </w:lvl>
    <w:lvl w:ilvl="6">
      <w:start w:val="1"/>
      <w:numFmt w:val="decimal"/>
      <w:lvlText w:val="%1.%2.%3.%4.%5.%6.%7"/>
      <w:lvlJc w:val="left"/>
      <w:pPr>
        <w:ind w:left="3600" w:hanging="1440"/>
      </w:pPr>
      <w:rPr>
        <w:rFonts w:eastAsia="Times New Roman" w:hint="default"/>
        <w:i/>
      </w:rPr>
    </w:lvl>
    <w:lvl w:ilvl="7">
      <w:start w:val="1"/>
      <w:numFmt w:val="decimal"/>
      <w:lvlText w:val="%1.%2.%3.%4.%5.%6.%7.%8"/>
      <w:lvlJc w:val="left"/>
      <w:pPr>
        <w:ind w:left="3960" w:hanging="1440"/>
      </w:pPr>
      <w:rPr>
        <w:rFonts w:eastAsia="Times New Roman" w:hint="default"/>
        <w:i/>
      </w:rPr>
    </w:lvl>
    <w:lvl w:ilvl="8">
      <w:start w:val="1"/>
      <w:numFmt w:val="decimal"/>
      <w:lvlText w:val="%1.%2.%3.%4.%5.%6.%7.%8.%9"/>
      <w:lvlJc w:val="left"/>
      <w:pPr>
        <w:ind w:left="4680" w:hanging="1800"/>
      </w:pPr>
      <w:rPr>
        <w:rFonts w:eastAsia="Times New Roman" w:hint="default"/>
        <w:i/>
      </w:rPr>
    </w:lvl>
  </w:abstractNum>
  <w:abstractNum w:abstractNumId="37" w15:restartNumberingAfterBreak="0">
    <w:nsid w:val="624E06DC"/>
    <w:multiLevelType w:val="multilevel"/>
    <w:tmpl w:val="C1AC9646"/>
    <w:lvl w:ilvl="0">
      <w:start w:val="10"/>
      <w:numFmt w:val="decimal"/>
      <w:lvlText w:val="%1."/>
      <w:lvlJc w:val="left"/>
      <w:pPr>
        <w:ind w:left="480" w:hanging="480"/>
      </w:pPr>
      <w:rPr>
        <w:rFonts w:hint="default"/>
      </w:rPr>
    </w:lvl>
    <w:lvl w:ilvl="1">
      <w:start w:val="1"/>
      <w:numFmt w:val="decimal"/>
      <w:lvlText w:val="%1.%2."/>
      <w:lvlJc w:val="left"/>
      <w:pPr>
        <w:ind w:left="2190" w:hanging="480"/>
      </w:pPr>
      <w:rPr>
        <w:rFonts w:hint="default"/>
      </w:rPr>
    </w:lvl>
    <w:lvl w:ilvl="2">
      <w:start w:val="1"/>
      <w:numFmt w:val="decimal"/>
      <w:lvlText w:val="%1.%2.%3."/>
      <w:lvlJc w:val="left"/>
      <w:pPr>
        <w:ind w:left="4140" w:hanging="720"/>
      </w:pPr>
      <w:rPr>
        <w:rFonts w:hint="default"/>
      </w:rPr>
    </w:lvl>
    <w:lvl w:ilvl="3">
      <w:start w:val="1"/>
      <w:numFmt w:val="decimal"/>
      <w:lvlText w:val="%1.%2.%3.%4."/>
      <w:lvlJc w:val="left"/>
      <w:pPr>
        <w:ind w:left="5850" w:hanging="720"/>
      </w:pPr>
      <w:rPr>
        <w:rFonts w:hint="default"/>
      </w:rPr>
    </w:lvl>
    <w:lvl w:ilvl="4">
      <w:start w:val="1"/>
      <w:numFmt w:val="decimal"/>
      <w:lvlText w:val="%1.%2.%3.%4.%5."/>
      <w:lvlJc w:val="left"/>
      <w:pPr>
        <w:ind w:left="7920" w:hanging="1080"/>
      </w:pPr>
      <w:rPr>
        <w:rFonts w:hint="default"/>
      </w:rPr>
    </w:lvl>
    <w:lvl w:ilvl="5">
      <w:start w:val="1"/>
      <w:numFmt w:val="decimal"/>
      <w:lvlText w:val="%1.%2.%3.%4.%5.%6."/>
      <w:lvlJc w:val="left"/>
      <w:pPr>
        <w:ind w:left="9630" w:hanging="1080"/>
      </w:pPr>
      <w:rPr>
        <w:rFonts w:hint="default"/>
      </w:rPr>
    </w:lvl>
    <w:lvl w:ilvl="6">
      <w:start w:val="1"/>
      <w:numFmt w:val="decimal"/>
      <w:lvlText w:val="%1.%2.%3.%4.%5.%6.%7."/>
      <w:lvlJc w:val="left"/>
      <w:pPr>
        <w:ind w:left="11700" w:hanging="1440"/>
      </w:pPr>
      <w:rPr>
        <w:rFonts w:hint="default"/>
      </w:rPr>
    </w:lvl>
    <w:lvl w:ilvl="7">
      <w:start w:val="1"/>
      <w:numFmt w:val="decimal"/>
      <w:lvlText w:val="%1.%2.%3.%4.%5.%6.%7.%8."/>
      <w:lvlJc w:val="left"/>
      <w:pPr>
        <w:ind w:left="13410" w:hanging="1440"/>
      </w:pPr>
      <w:rPr>
        <w:rFonts w:hint="default"/>
      </w:rPr>
    </w:lvl>
    <w:lvl w:ilvl="8">
      <w:start w:val="1"/>
      <w:numFmt w:val="decimal"/>
      <w:lvlText w:val="%1.%2.%3.%4.%5.%6.%7.%8.%9."/>
      <w:lvlJc w:val="left"/>
      <w:pPr>
        <w:ind w:left="15480" w:hanging="1800"/>
      </w:pPr>
      <w:rPr>
        <w:rFonts w:hint="default"/>
      </w:rPr>
    </w:lvl>
  </w:abstractNum>
  <w:abstractNum w:abstractNumId="38" w15:restartNumberingAfterBreak="0">
    <w:nsid w:val="644C7AA4"/>
    <w:multiLevelType w:val="multilevel"/>
    <w:tmpl w:val="E6A4C304"/>
    <w:lvl w:ilvl="0">
      <w:start w:val="7"/>
      <w:numFmt w:val="decimal"/>
      <w:lvlText w:val="%1."/>
      <w:lvlJc w:val="left"/>
      <w:pPr>
        <w:ind w:left="360" w:hanging="360"/>
      </w:pPr>
      <w:rPr>
        <w:rFonts w:eastAsia="MS Mincho" w:hint="default"/>
        <w:i/>
      </w:rPr>
    </w:lvl>
    <w:lvl w:ilvl="1">
      <w:start w:val="1"/>
      <w:numFmt w:val="lowerRoman"/>
      <w:lvlText w:val="%2)"/>
      <w:lvlJc w:val="left"/>
      <w:pPr>
        <w:ind w:left="720" w:hanging="360"/>
      </w:pPr>
      <w:rPr>
        <w:rFonts w:ascii="Times New Roman" w:eastAsia="Calibri" w:hAnsi="Times New Roman" w:cs="Times New Roman"/>
        <w:i/>
      </w:rPr>
    </w:lvl>
    <w:lvl w:ilvl="2">
      <w:start w:val="1"/>
      <w:numFmt w:val="decimal"/>
      <w:lvlText w:val="%1.%2.%3."/>
      <w:lvlJc w:val="left"/>
      <w:pPr>
        <w:ind w:left="1440" w:hanging="720"/>
      </w:pPr>
      <w:rPr>
        <w:rFonts w:eastAsia="MS Mincho" w:hint="default"/>
        <w:i/>
      </w:rPr>
    </w:lvl>
    <w:lvl w:ilvl="3">
      <w:start w:val="1"/>
      <w:numFmt w:val="decimal"/>
      <w:lvlText w:val="%1.%2.%3.%4."/>
      <w:lvlJc w:val="left"/>
      <w:pPr>
        <w:ind w:left="1800" w:hanging="720"/>
      </w:pPr>
      <w:rPr>
        <w:rFonts w:eastAsia="MS Mincho" w:hint="default"/>
        <w:i/>
      </w:rPr>
    </w:lvl>
    <w:lvl w:ilvl="4">
      <w:start w:val="1"/>
      <w:numFmt w:val="decimal"/>
      <w:lvlText w:val="%1.%2.%3.%4.%5."/>
      <w:lvlJc w:val="left"/>
      <w:pPr>
        <w:ind w:left="2520" w:hanging="1080"/>
      </w:pPr>
      <w:rPr>
        <w:rFonts w:eastAsia="MS Mincho" w:hint="default"/>
        <w:i/>
      </w:rPr>
    </w:lvl>
    <w:lvl w:ilvl="5">
      <w:start w:val="1"/>
      <w:numFmt w:val="decimal"/>
      <w:lvlText w:val="%1.%2.%3.%4.%5.%6."/>
      <w:lvlJc w:val="left"/>
      <w:pPr>
        <w:ind w:left="2880" w:hanging="1080"/>
      </w:pPr>
      <w:rPr>
        <w:rFonts w:eastAsia="MS Mincho" w:hint="default"/>
        <w:i/>
      </w:rPr>
    </w:lvl>
    <w:lvl w:ilvl="6">
      <w:start w:val="1"/>
      <w:numFmt w:val="decimal"/>
      <w:lvlText w:val="%1.%2.%3.%4.%5.%6.%7."/>
      <w:lvlJc w:val="left"/>
      <w:pPr>
        <w:ind w:left="3600" w:hanging="1440"/>
      </w:pPr>
      <w:rPr>
        <w:rFonts w:eastAsia="MS Mincho" w:hint="default"/>
        <w:i/>
      </w:rPr>
    </w:lvl>
    <w:lvl w:ilvl="7">
      <w:start w:val="1"/>
      <w:numFmt w:val="decimal"/>
      <w:lvlText w:val="%1.%2.%3.%4.%5.%6.%7.%8."/>
      <w:lvlJc w:val="left"/>
      <w:pPr>
        <w:ind w:left="3960" w:hanging="1440"/>
      </w:pPr>
      <w:rPr>
        <w:rFonts w:eastAsia="MS Mincho" w:hint="default"/>
        <w:i/>
      </w:rPr>
    </w:lvl>
    <w:lvl w:ilvl="8">
      <w:start w:val="1"/>
      <w:numFmt w:val="decimal"/>
      <w:lvlText w:val="%1.%2.%3.%4.%5.%6.%7.%8.%9."/>
      <w:lvlJc w:val="left"/>
      <w:pPr>
        <w:ind w:left="4680" w:hanging="1800"/>
      </w:pPr>
      <w:rPr>
        <w:rFonts w:eastAsia="MS Mincho" w:hint="default"/>
        <w:i/>
      </w:rPr>
    </w:lvl>
  </w:abstractNum>
  <w:abstractNum w:abstractNumId="39" w15:restartNumberingAfterBreak="0">
    <w:nsid w:val="675E4D85"/>
    <w:multiLevelType w:val="multilevel"/>
    <w:tmpl w:val="B51EE1B6"/>
    <w:lvl w:ilvl="0">
      <w:start w:val="12"/>
      <w:numFmt w:val="decimal"/>
      <w:lvlText w:val="%1."/>
      <w:lvlJc w:val="left"/>
      <w:pPr>
        <w:ind w:left="5970" w:hanging="480"/>
      </w:pPr>
      <w:rPr>
        <w:rFonts w:hint="default"/>
        <w:color w:val="auto"/>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B0B438B"/>
    <w:multiLevelType w:val="multilevel"/>
    <w:tmpl w:val="CD4C9988"/>
    <w:lvl w:ilvl="0">
      <w:start w:val="8"/>
      <w:numFmt w:val="decimal"/>
      <w:lvlText w:val="%1."/>
      <w:lvlJc w:val="left"/>
      <w:pPr>
        <w:ind w:left="360" w:hanging="360"/>
      </w:pPr>
      <w:rPr>
        <w:rFonts w:hint="default"/>
        <w:i w:val="0"/>
      </w:rPr>
    </w:lvl>
    <w:lvl w:ilvl="1">
      <w:start w:val="1"/>
      <w:numFmt w:val="decimal"/>
      <w:lvlText w:val="%1.%2."/>
      <w:lvlJc w:val="left"/>
      <w:pPr>
        <w:ind w:left="990" w:hanging="360"/>
      </w:pPr>
      <w:rPr>
        <w:rFonts w:hint="default"/>
        <w:i w:val="0"/>
      </w:rPr>
    </w:lvl>
    <w:lvl w:ilvl="2">
      <w:start w:val="1"/>
      <w:numFmt w:val="decimal"/>
      <w:lvlText w:val="%1.%2.%3."/>
      <w:lvlJc w:val="left"/>
      <w:pPr>
        <w:ind w:left="1980" w:hanging="720"/>
      </w:pPr>
      <w:rPr>
        <w:rFonts w:hint="default"/>
        <w:i/>
      </w:rPr>
    </w:lvl>
    <w:lvl w:ilvl="3">
      <w:start w:val="1"/>
      <w:numFmt w:val="decimal"/>
      <w:lvlText w:val="%1.%2.%3.%4."/>
      <w:lvlJc w:val="left"/>
      <w:pPr>
        <w:ind w:left="2610" w:hanging="720"/>
      </w:pPr>
      <w:rPr>
        <w:rFonts w:hint="default"/>
        <w:i/>
      </w:rPr>
    </w:lvl>
    <w:lvl w:ilvl="4">
      <w:start w:val="1"/>
      <w:numFmt w:val="decimal"/>
      <w:lvlText w:val="%1.%2.%3.%4.%5."/>
      <w:lvlJc w:val="left"/>
      <w:pPr>
        <w:ind w:left="3600" w:hanging="1080"/>
      </w:pPr>
      <w:rPr>
        <w:rFonts w:hint="default"/>
        <w:i/>
      </w:rPr>
    </w:lvl>
    <w:lvl w:ilvl="5">
      <w:start w:val="1"/>
      <w:numFmt w:val="decimal"/>
      <w:lvlText w:val="%1.%2.%3.%4.%5.%6."/>
      <w:lvlJc w:val="left"/>
      <w:pPr>
        <w:ind w:left="4230" w:hanging="1080"/>
      </w:pPr>
      <w:rPr>
        <w:rFonts w:hint="default"/>
        <w:i/>
      </w:rPr>
    </w:lvl>
    <w:lvl w:ilvl="6">
      <w:start w:val="1"/>
      <w:numFmt w:val="decimal"/>
      <w:lvlText w:val="%1.%2.%3.%4.%5.%6.%7."/>
      <w:lvlJc w:val="left"/>
      <w:pPr>
        <w:ind w:left="5220" w:hanging="1440"/>
      </w:pPr>
      <w:rPr>
        <w:rFonts w:hint="default"/>
        <w:i/>
      </w:rPr>
    </w:lvl>
    <w:lvl w:ilvl="7">
      <w:start w:val="1"/>
      <w:numFmt w:val="decimal"/>
      <w:lvlText w:val="%1.%2.%3.%4.%5.%6.%7.%8."/>
      <w:lvlJc w:val="left"/>
      <w:pPr>
        <w:ind w:left="5850" w:hanging="1440"/>
      </w:pPr>
      <w:rPr>
        <w:rFonts w:hint="default"/>
        <w:i/>
      </w:rPr>
    </w:lvl>
    <w:lvl w:ilvl="8">
      <w:start w:val="1"/>
      <w:numFmt w:val="decimal"/>
      <w:lvlText w:val="%1.%2.%3.%4.%5.%6.%7.%8.%9."/>
      <w:lvlJc w:val="left"/>
      <w:pPr>
        <w:ind w:left="6840" w:hanging="1800"/>
      </w:pPr>
      <w:rPr>
        <w:rFonts w:hint="default"/>
        <w:i/>
      </w:rPr>
    </w:lvl>
  </w:abstractNum>
  <w:abstractNum w:abstractNumId="41" w15:restartNumberingAfterBreak="0">
    <w:nsid w:val="71940F44"/>
    <w:multiLevelType w:val="multilevel"/>
    <w:tmpl w:val="F998FC1A"/>
    <w:lvl w:ilvl="0">
      <w:start w:val="11"/>
      <w:numFmt w:val="decimal"/>
      <w:lvlText w:val="%1."/>
      <w:lvlJc w:val="left"/>
      <w:pPr>
        <w:ind w:left="1560" w:hanging="480"/>
      </w:pPr>
      <w:rPr>
        <w:rFonts w:hint="default"/>
        <w:i w:val="0"/>
      </w:rPr>
    </w:lvl>
    <w:lvl w:ilvl="1">
      <w:start w:val="1"/>
      <w:numFmt w:val="decimal"/>
      <w:lvlText w:val="%1.%2."/>
      <w:lvlJc w:val="left"/>
      <w:pPr>
        <w:ind w:left="480" w:hanging="480"/>
      </w:pPr>
      <w:rPr>
        <w:rFonts w:hint="default"/>
        <w:b w:val="0"/>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42" w15:restartNumberingAfterBreak="0">
    <w:nsid w:val="730975C1"/>
    <w:multiLevelType w:val="multilevel"/>
    <w:tmpl w:val="CE7059C6"/>
    <w:lvl w:ilvl="0">
      <w:start w:val="11"/>
      <w:numFmt w:val="decimal"/>
      <w:lvlText w:val="%1."/>
      <w:lvlJc w:val="left"/>
      <w:pPr>
        <w:ind w:left="1560" w:hanging="660"/>
      </w:pPr>
      <w:rPr>
        <w:rFonts w:hint="default"/>
        <w:i w:val="0"/>
      </w:rPr>
    </w:lvl>
    <w:lvl w:ilvl="1">
      <w:start w:val="2"/>
      <w:numFmt w:val="decimal"/>
      <w:lvlText w:val="%1.%2."/>
      <w:lvlJc w:val="left"/>
      <w:pPr>
        <w:ind w:left="1395" w:hanging="720"/>
      </w:pPr>
      <w:rPr>
        <w:rFonts w:hint="default"/>
        <w:i w:val="0"/>
      </w:rPr>
    </w:lvl>
    <w:lvl w:ilvl="2">
      <w:start w:val="1"/>
      <w:numFmt w:val="decimal"/>
      <w:lvlText w:val="%1.%2.%3."/>
      <w:lvlJc w:val="left"/>
      <w:pPr>
        <w:ind w:left="2070" w:hanging="720"/>
      </w:pPr>
      <w:rPr>
        <w:rFonts w:hint="default"/>
      </w:rPr>
    </w:lvl>
    <w:lvl w:ilvl="3">
      <w:start w:val="1"/>
      <w:numFmt w:val="decimal"/>
      <w:lvlText w:val="%1.%2.%3.%4."/>
      <w:lvlJc w:val="left"/>
      <w:pPr>
        <w:ind w:left="3105" w:hanging="108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815" w:hanging="1440"/>
      </w:pPr>
      <w:rPr>
        <w:rFonts w:hint="default"/>
      </w:rPr>
    </w:lvl>
    <w:lvl w:ilvl="6">
      <w:start w:val="1"/>
      <w:numFmt w:val="decimal"/>
      <w:lvlText w:val="%1.%2.%3.%4.%5.%6.%7."/>
      <w:lvlJc w:val="left"/>
      <w:pPr>
        <w:ind w:left="5490" w:hanging="1440"/>
      </w:pPr>
      <w:rPr>
        <w:rFonts w:hint="default"/>
      </w:rPr>
    </w:lvl>
    <w:lvl w:ilvl="7">
      <w:start w:val="1"/>
      <w:numFmt w:val="decimal"/>
      <w:lvlText w:val="%1.%2.%3.%4.%5.%6.%7.%8."/>
      <w:lvlJc w:val="left"/>
      <w:pPr>
        <w:ind w:left="6525" w:hanging="1800"/>
      </w:pPr>
      <w:rPr>
        <w:rFonts w:hint="default"/>
      </w:rPr>
    </w:lvl>
    <w:lvl w:ilvl="8">
      <w:start w:val="1"/>
      <w:numFmt w:val="decimal"/>
      <w:lvlText w:val="%1.%2.%3.%4.%5.%6.%7.%8.%9."/>
      <w:lvlJc w:val="left"/>
      <w:pPr>
        <w:ind w:left="7200" w:hanging="1800"/>
      </w:pPr>
      <w:rPr>
        <w:rFonts w:hint="default"/>
      </w:rPr>
    </w:lvl>
  </w:abstractNum>
  <w:abstractNum w:abstractNumId="43" w15:restartNumberingAfterBreak="0">
    <w:nsid w:val="75B43FD5"/>
    <w:multiLevelType w:val="hybridMultilevel"/>
    <w:tmpl w:val="332C86B6"/>
    <w:lvl w:ilvl="0" w:tplc="7C4038E0">
      <w:start w:val="1"/>
      <w:numFmt w:val="decimal"/>
      <w:lvlText w:val="%1."/>
      <w:lvlJc w:val="left"/>
      <w:pPr>
        <w:ind w:left="3690" w:hanging="360"/>
      </w:pPr>
      <w:rPr>
        <w:rFonts w:ascii="Times New Roman" w:hAnsi="Times New Roman" w:cs="Times New Roman" w:hint="default"/>
        <w:i w:val="0"/>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4" w15:restartNumberingAfterBreak="0">
    <w:nsid w:val="7C4000D7"/>
    <w:multiLevelType w:val="multilevel"/>
    <w:tmpl w:val="54162336"/>
    <w:lvl w:ilvl="0">
      <w:start w:val="9"/>
      <w:numFmt w:val="decimal"/>
      <w:lvlText w:val="%1."/>
      <w:lvlJc w:val="left"/>
      <w:pPr>
        <w:ind w:left="360" w:hanging="360"/>
      </w:pPr>
      <w:rPr>
        <w:rFonts w:hint="default"/>
        <w:b w:val="0"/>
        <w:i w:val="0"/>
      </w:rPr>
    </w:lvl>
    <w:lvl w:ilvl="1">
      <w:start w:val="1"/>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5" w15:restartNumberingAfterBreak="0">
    <w:nsid w:val="7D9052A8"/>
    <w:multiLevelType w:val="multilevel"/>
    <w:tmpl w:val="9C0E33A2"/>
    <w:lvl w:ilvl="0">
      <w:start w:val="9"/>
      <w:numFmt w:val="decimal"/>
      <w:lvlText w:val="%1."/>
      <w:lvlJc w:val="left"/>
      <w:pPr>
        <w:ind w:left="360" w:hanging="360"/>
      </w:pPr>
      <w:rPr>
        <w:rFonts w:hint="default"/>
      </w:rPr>
    </w:lvl>
    <w:lvl w:ilvl="1">
      <w:start w:val="1"/>
      <w:numFmt w:val="decimal"/>
      <w:lvlText w:val="%1.%2."/>
      <w:lvlJc w:val="left"/>
      <w:pPr>
        <w:ind w:left="6300" w:hanging="360"/>
      </w:pPr>
      <w:rPr>
        <w:rFonts w:hint="default"/>
        <w:i w:val="0"/>
      </w:rPr>
    </w:lvl>
    <w:lvl w:ilvl="2">
      <w:start w:val="1"/>
      <w:numFmt w:val="decimal"/>
      <w:lvlText w:val="%1.%2.%3."/>
      <w:lvlJc w:val="left"/>
      <w:pPr>
        <w:ind w:left="12600" w:hanging="720"/>
      </w:pPr>
      <w:rPr>
        <w:rFonts w:hint="default"/>
      </w:rPr>
    </w:lvl>
    <w:lvl w:ilvl="3">
      <w:start w:val="1"/>
      <w:numFmt w:val="decimal"/>
      <w:lvlText w:val="%1.%2.%3.%4."/>
      <w:lvlJc w:val="left"/>
      <w:pPr>
        <w:ind w:left="18540" w:hanging="720"/>
      </w:pPr>
      <w:rPr>
        <w:rFonts w:hint="default"/>
      </w:rPr>
    </w:lvl>
    <w:lvl w:ilvl="4">
      <w:start w:val="1"/>
      <w:numFmt w:val="decimal"/>
      <w:lvlText w:val="%1.%2.%3.%4.%5."/>
      <w:lvlJc w:val="left"/>
      <w:pPr>
        <w:ind w:left="24840" w:hanging="1080"/>
      </w:pPr>
      <w:rPr>
        <w:rFonts w:hint="default"/>
      </w:rPr>
    </w:lvl>
    <w:lvl w:ilvl="5">
      <w:start w:val="1"/>
      <w:numFmt w:val="decimal"/>
      <w:lvlText w:val="%1.%2.%3.%4.%5.%6."/>
      <w:lvlJc w:val="left"/>
      <w:pPr>
        <w:ind w:left="30780" w:hanging="1080"/>
      </w:pPr>
      <w:rPr>
        <w:rFonts w:hint="default"/>
      </w:rPr>
    </w:lvl>
    <w:lvl w:ilvl="6">
      <w:start w:val="1"/>
      <w:numFmt w:val="decimal"/>
      <w:lvlText w:val="%1.%2.%3.%4.%5.%6.%7."/>
      <w:lvlJc w:val="left"/>
      <w:pPr>
        <w:ind w:left="-28456" w:hanging="1440"/>
      </w:pPr>
      <w:rPr>
        <w:rFonts w:hint="default"/>
      </w:rPr>
    </w:lvl>
    <w:lvl w:ilvl="7">
      <w:start w:val="1"/>
      <w:numFmt w:val="decimal"/>
      <w:lvlText w:val="%1.%2.%3.%4.%5.%6.%7.%8."/>
      <w:lvlJc w:val="left"/>
      <w:pPr>
        <w:ind w:left="-22516" w:hanging="1440"/>
      </w:pPr>
      <w:rPr>
        <w:rFonts w:hint="default"/>
      </w:rPr>
    </w:lvl>
    <w:lvl w:ilvl="8">
      <w:start w:val="1"/>
      <w:numFmt w:val="decimal"/>
      <w:lvlText w:val="%1.%2.%3.%4.%5.%6.%7.%8.%9."/>
      <w:lvlJc w:val="left"/>
      <w:pPr>
        <w:ind w:left="-16216" w:hanging="1800"/>
      </w:pPr>
      <w:rPr>
        <w:rFonts w:hint="default"/>
      </w:rPr>
    </w:lvl>
  </w:abstractNum>
  <w:abstractNum w:abstractNumId="46" w15:restartNumberingAfterBreak="0">
    <w:nsid w:val="7FF8254B"/>
    <w:multiLevelType w:val="hybridMultilevel"/>
    <w:tmpl w:val="39CA65B6"/>
    <w:lvl w:ilvl="0" w:tplc="83DC21AC">
      <w:start w:val="1"/>
      <w:numFmt w:val="upperLetter"/>
      <w:lvlText w:val="%1."/>
      <w:lvlJc w:val="left"/>
      <w:pPr>
        <w:ind w:left="1260" w:hanging="360"/>
      </w:pPr>
      <w:rPr>
        <w:rFonts w:hint="default"/>
        <w:i/>
      </w:rPr>
    </w:lvl>
    <w:lvl w:ilvl="1" w:tplc="041C0019">
      <w:start w:val="1"/>
      <w:numFmt w:val="lowerLetter"/>
      <w:lvlText w:val="%2."/>
      <w:lvlJc w:val="left"/>
      <w:pPr>
        <w:ind w:left="1980" w:hanging="360"/>
      </w:pPr>
    </w:lvl>
    <w:lvl w:ilvl="2" w:tplc="041C001B" w:tentative="1">
      <w:start w:val="1"/>
      <w:numFmt w:val="lowerRoman"/>
      <w:lvlText w:val="%3."/>
      <w:lvlJc w:val="right"/>
      <w:pPr>
        <w:ind w:left="2700" w:hanging="180"/>
      </w:pPr>
    </w:lvl>
    <w:lvl w:ilvl="3" w:tplc="041C000F" w:tentative="1">
      <w:start w:val="1"/>
      <w:numFmt w:val="decimal"/>
      <w:lvlText w:val="%4."/>
      <w:lvlJc w:val="left"/>
      <w:pPr>
        <w:ind w:left="3420" w:hanging="360"/>
      </w:pPr>
    </w:lvl>
    <w:lvl w:ilvl="4" w:tplc="041C0019" w:tentative="1">
      <w:start w:val="1"/>
      <w:numFmt w:val="lowerLetter"/>
      <w:lvlText w:val="%5."/>
      <w:lvlJc w:val="left"/>
      <w:pPr>
        <w:ind w:left="4140" w:hanging="360"/>
      </w:pPr>
    </w:lvl>
    <w:lvl w:ilvl="5" w:tplc="041C001B" w:tentative="1">
      <w:start w:val="1"/>
      <w:numFmt w:val="lowerRoman"/>
      <w:lvlText w:val="%6."/>
      <w:lvlJc w:val="right"/>
      <w:pPr>
        <w:ind w:left="4860" w:hanging="180"/>
      </w:pPr>
    </w:lvl>
    <w:lvl w:ilvl="6" w:tplc="041C000F" w:tentative="1">
      <w:start w:val="1"/>
      <w:numFmt w:val="decimal"/>
      <w:lvlText w:val="%7."/>
      <w:lvlJc w:val="left"/>
      <w:pPr>
        <w:ind w:left="5580" w:hanging="360"/>
      </w:pPr>
    </w:lvl>
    <w:lvl w:ilvl="7" w:tplc="041C0019" w:tentative="1">
      <w:start w:val="1"/>
      <w:numFmt w:val="lowerLetter"/>
      <w:lvlText w:val="%8."/>
      <w:lvlJc w:val="left"/>
      <w:pPr>
        <w:ind w:left="6300" w:hanging="360"/>
      </w:pPr>
    </w:lvl>
    <w:lvl w:ilvl="8" w:tplc="041C001B" w:tentative="1">
      <w:start w:val="1"/>
      <w:numFmt w:val="lowerRoman"/>
      <w:lvlText w:val="%9."/>
      <w:lvlJc w:val="right"/>
      <w:pPr>
        <w:ind w:left="7020" w:hanging="180"/>
      </w:pPr>
    </w:lvl>
  </w:abstractNum>
  <w:num w:numId="1">
    <w:abstractNumId w:val="30"/>
  </w:num>
  <w:num w:numId="2">
    <w:abstractNumId w:val="28"/>
  </w:num>
  <w:num w:numId="3">
    <w:abstractNumId w:val="36"/>
  </w:num>
  <w:num w:numId="4">
    <w:abstractNumId w:val="12"/>
  </w:num>
  <w:num w:numId="5">
    <w:abstractNumId w:val="5"/>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8"/>
  </w:num>
  <w:num w:numId="8">
    <w:abstractNumId w:val="19"/>
  </w:num>
  <w:num w:numId="9">
    <w:abstractNumId w:val="13"/>
  </w:num>
  <w:num w:numId="10">
    <w:abstractNumId w:val="6"/>
  </w:num>
  <w:num w:numId="11">
    <w:abstractNumId w:val="23"/>
  </w:num>
  <w:num w:numId="1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3"/>
  </w:num>
  <w:num w:numId="14">
    <w:abstractNumId w:val="40"/>
  </w:num>
  <w:num w:numId="15">
    <w:abstractNumId w:val="9"/>
  </w:num>
  <w:num w:numId="16">
    <w:abstractNumId w:val="37"/>
  </w:num>
  <w:num w:numId="17">
    <w:abstractNumId w:val="32"/>
  </w:num>
  <w:num w:numId="18">
    <w:abstractNumId w:val="2"/>
  </w:num>
  <w:num w:numId="19">
    <w:abstractNumId w:val="44"/>
  </w:num>
  <w:num w:numId="20">
    <w:abstractNumId w:val="27"/>
  </w:num>
  <w:num w:numId="21">
    <w:abstractNumId w:val="14"/>
  </w:num>
  <w:num w:numId="22">
    <w:abstractNumId w:val="31"/>
  </w:num>
  <w:num w:numId="23">
    <w:abstractNumId w:val="25"/>
  </w:num>
  <w:num w:numId="24">
    <w:abstractNumId w:val="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41"/>
  </w:num>
  <w:num w:numId="27">
    <w:abstractNumId w:val="16"/>
  </w:num>
  <w:num w:numId="28">
    <w:abstractNumId w:val="1"/>
  </w:num>
  <w:num w:numId="29">
    <w:abstractNumId w:val="8"/>
  </w:num>
  <w:num w:numId="30">
    <w:abstractNumId w:val="18"/>
  </w:num>
  <w:num w:numId="31">
    <w:abstractNumId w:val="26"/>
  </w:num>
  <w:num w:numId="32">
    <w:abstractNumId w:val="45"/>
  </w:num>
  <w:num w:numId="33">
    <w:abstractNumId w:val="10"/>
  </w:num>
  <w:num w:numId="34">
    <w:abstractNumId w:val="34"/>
  </w:num>
  <w:num w:numId="35">
    <w:abstractNumId w:val="46"/>
  </w:num>
  <w:num w:numId="36">
    <w:abstractNumId w:val="24"/>
  </w:num>
  <w:num w:numId="37">
    <w:abstractNumId w:val="4"/>
  </w:num>
  <w:num w:numId="38">
    <w:abstractNumId w:val="11"/>
  </w:num>
  <w:num w:numId="39">
    <w:abstractNumId w:val="3"/>
  </w:num>
  <w:num w:numId="40">
    <w:abstractNumId w:val="0"/>
  </w:num>
  <w:num w:numId="41">
    <w:abstractNumId w:val="29"/>
  </w:num>
  <w:num w:numId="42">
    <w:abstractNumId w:val="39"/>
  </w:num>
  <w:num w:numId="43">
    <w:abstractNumId w:val="21"/>
  </w:num>
  <w:num w:numId="44">
    <w:abstractNumId w:val="22"/>
  </w:num>
  <w:num w:numId="45">
    <w:abstractNumId w:val="42"/>
  </w:num>
  <w:num w:numId="46">
    <w:abstractNumId w:val="15"/>
  </w:num>
  <w:num w:numId="47">
    <w:abstractNumId w:val="17"/>
  </w:num>
  <w:num w:numId="48">
    <w:abstractNumId w:val="4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023"/>
    <w:rsid w:val="0000045F"/>
    <w:rsid w:val="00000F83"/>
    <w:rsid w:val="00001183"/>
    <w:rsid w:val="00001D01"/>
    <w:rsid w:val="00002387"/>
    <w:rsid w:val="000038E0"/>
    <w:rsid w:val="000040C4"/>
    <w:rsid w:val="000046FE"/>
    <w:rsid w:val="0001008B"/>
    <w:rsid w:val="00010A00"/>
    <w:rsid w:val="0001130B"/>
    <w:rsid w:val="000116DF"/>
    <w:rsid w:val="00011E9F"/>
    <w:rsid w:val="00011F60"/>
    <w:rsid w:val="000140AE"/>
    <w:rsid w:val="00014227"/>
    <w:rsid w:val="00017E3F"/>
    <w:rsid w:val="00020042"/>
    <w:rsid w:val="00020148"/>
    <w:rsid w:val="0002101D"/>
    <w:rsid w:val="000221CD"/>
    <w:rsid w:val="0002244C"/>
    <w:rsid w:val="000229A9"/>
    <w:rsid w:val="0002468E"/>
    <w:rsid w:val="000246ED"/>
    <w:rsid w:val="00026385"/>
    <w:rsid w:val="00026533"/>
    <w:rsid w:val="00026694"/>
    <w:rsid w:val="00026B9C"/>
    <w:rsid w:val="00027444"/>
    <w:rsid w:val="00027694"/>
    <w:rsid w:val="00027908"/>
    <w:rsid w:val="00030BAF"/>
    <w:rsid w:val="00032A2B"/>
    <w:rsid w:val="00033000"/>
    <w:rsid w:val="00033843"/>
    <w:rsid w:val="000338C3"/>
    <w:rsid w:val="000347DD"/>
    <w:rsid w:val="00034848"/>
    <w:rsid w:val="00034E70"/>
    <w:rsid w:val="00034F27"/>
    <w:rsid w:val="00035AB5"/>
    <w:rsid w:val="00035B77"/>
    <w:rsid w:val="00035EB4"/>
    <w:rsid w:val="000360DF"/>
    <w:rsid w:val="00036104"/>
    <w:rsid w:val="00037AB1"/>
    <w:rsid w:val="00037AF0"/>
    <w:rsid w:val="00040AB6"/>
    <w:rsid w:val="00041051"/>
    <w:rsid w:val="00042356"/>
    <w:rsid w:val="000425CC"/>
    <w:rsid w:val="0004278E"/>
    <w:rsid w:val="00042DB5"/>
    <w:rsid w:val="00043358"/>
    <w:rsid w:val="000441F1"/>
    <w:rsid w:val="00044EB1"/>
    <w:rsid w:val="0004537F"/>
    <w:rsid w:val="00045447"/>
    <w:rsid w:val="00045F65"/>
    <w:rsid w:val="00047B84"/>
    <w:rsid w:val="000503A4"/>
    <w:rsid w:val="000505AE"/>
    <w:rsid w:val="00051406"/>
    <w:rsid w:val="000517C0"/>
    <w:rsid w:val="00052552"/>
    <w:rsid w:val="00052909"/>
    <w:rsid w:val="00052CB9"/>
    <w:rsid w:val="00053C80"/>
    <w:rsid w:val="000546B7"/>
    <w:rsid w:val="000546C1"/>
    <w:rsid w:val="0005549F"/>
    <w:rsid w:val="00056CC1"/>
    <w:rsid w:val="00056CE2"/>
    <w:rsid w:val="00057806"/>
    <w:rsid w:val="00057831"/>
    <w:rsid w:val="0006017A"/>
    <w:rsid w:val="00060746"/>
    <w:rsid w:val="00060D80"/>
    <w:rsid w:val="00064EAD"/>
    <w:rsid w:val="00066442"/>
    <w:rsid w:val="00066FDB"/>
    <w:rsid w:val="000678B1"/>
    <w:rsid w:val="00070092"/>
    <w:rsid w:val="000709A0"/>
    <w:rsid w:val="00070E75"/>
    <w:rsid w:val="00071850"/>
    <w:rsid w:val="00071E25"/>
    <w:rsid w:val="00072916"/>
    <w:rsid w:val="00074737"/>
    <w:rsid w:val="0007544A"/>
    <w:rsid w:val="00075DBC"/>
    <w:rsid w:val="00076DCB"/>
    <w:rsid w:val="000809A6"/>
    <w:rsid w:val="00080CC1"/>
    <w:rsid w:val="0008131C"/>
    <w:rsid w:val="000821C0"/>
    <w:rsid w:val="00084889"/>
    <w:rsid w:val="00084D6A"/>
    <w:rsid w:val="000858D7"/>
    <w:rsid w:val="00086437"/>
    <w:rsid w:val="000878B9"/>
    <w:rsid w:val="00087FBD"/>
    <w:rsid w:val="00091024"/>
    <w:rsid w:val="00091599"/>
    <w:rsid w:val="00091E17"/>
    <w:rsid w:val="00092ABC"/>
    <w:rsid w:val="000939C8"/>
    <w:rsid w:val="000939FF"/>
    <w:rsid w:val="00094743"/>
    <w:rsid w:val="000955E1"/>
    <w:rsid w:val="00095B9F"/>
    <w:rsid w:val="00095DDB"/>
    <w:rsid w:val="0009672A"/>
    <w:rsid w:val="00096EAF"/>
    <w:rsid w:val="00097058"/>
    <w:rsid w:val="00097B93"/>
    <w:rsid w:val="00097EF1"/>
    <w:rsid w:val="000A1147"/>
    <w:rsid w:val="000A1721"/>
    <w:rsid w:val="000A24C3"/>
    <w:rsid w:val="000A4EDE"/>
    <w:rsid w:val="000A6537"/>
    <w:rsid w:val="000A7491"/>
    <w:rsid w:val="000A7F07"/>
    <w:rsid w:val="000B09E9"/>
    <w:rsid w:val="000B0BC6"/>
    <w:rsid w:val="000B2222"/>
    <w:rsid w:val="000B41DD"/>
    <w:rsid w:val="000B497E"/>
    <w:rsid w:val="000B5658"/>
    <w:rsid w:val="000B5EBC"/>
    <w:rsid w:val="000B76DB"/>
    <w:rsid w:val="000C0ACE"/>
    <w:rsid w:val="000C0D57"/>
    <w:rsid w:val="000C0DA5"/>
    <w:rsid w:val="000C1476"/>
    <w:rsid w:val="000C2F14"/>
    <w:rsid w:val="000C38A7"/>
    <w:rsid w:val="000C3FF1"/>
    <w:rsid w:val="000C4230"/>
    <w:rsid w:val="000C4C2B"/>
    <w:rsid w:val="000C4E66"/>
    <w:rsid w:val="000C56F9"/>
    <w:rsid w:val="000C6966"/>
    <w:rsid w:val="000C7883"/>
    <w:rsid w:val="000D1050"/>
    <w:rsid w:val="000D1381"/>
    <w:rsid w:val="000D17C1"/>
    <w:rsid w:val="000D489A"/>
    <w:rsid w:val="000D58E6"/>
    <w:rsid w:val="000D63CD"/>
    <w:rsid w:val="000D69AB"/>
    <w:rsid w:val="000D7836"/>
    <w:rsid w:val="000D7EE4"/>
    <w:rsid w:val="000E06AB"/>
    <w:rsid w:val="000E13AE"/>
    <w:rsid w:val="000E1A0D"/>
    <w:rsid w:val="000E1ABB"/>
    <w:rsid w:val="000E2B91"/>
    <w:rsid w:val="000E3EF9"/>
    <w:rsid w:val="000E40C0"/>
    <w:rsid w:val="000E449D"/>
    <w:rsid w:val="000E461E"/>
    <w:rsid w:val="000E4914"/>
    <w:rsid w:val="000E51D3"/>
    <w:rsid w:val="000E5415"/>
    <w:rsid w:val="000E5599"/>
    <w:rsid w:val="000E57F0"/>
    <w:rsid w:val="000E5BF0"/>
    <w:rsid w:val="000E617E"/>
    <w:rsid w:val="000F07C9"/>
    <w:rsid w:val="000F2A1C"/>
    <w:rsid w:val="000F2BFB"/>
    <w:rsid w:val="000F354E"/>
    <w:rsid w:val="000F75D9"/>
    <w:rsid w:val="000F77F3"/>
    <w:rsid w:val="000F794D"/>
    <w:rsid w:val="001010FF"/>
    <w:rsid w:val="001014ED"/>
    <w:rsid w:val="00102021"/>
    <w:rsid w:val="00103775"/>
    <w:rsid w:val="0010558E"/>
    <w:rsid w:val="0010570E"/>
    <w:rsid w:val="001061AA"/>
    <w:rsid w:val="00106434"/>
    <w:rsid w:val="001075AC"/>
    <w:rsid w:val="00107848"/>
    <w:rsid w:val="00107D3A"/>
    <w:rsid w:val="00107EFA"/>
    <w:rsid w:val="00107F17"/>
    <w:rsid w:val="001108E5"/>
    <w:rsid w:val="00111E52"/>
    <w:rsid w:val="00111F15"/>
    <w:rsid w:val="00112B17"/>
    <w:rsid w:val="0011584C"/>
    <w:rsid w:val="00115D9D"/>
    <w:rsid w:val="001165A8"/>
    <w:rsid w:val="0011762F"/>
    <w:rsid w:val="00121428"/>
    <w:rsid w:val="0012403B"/>
    <w:rsid w:val="001246D2"/>
    <w:rsid w:val="00124843"/>
    <w:rsid w:val="0012563B"/>
    <w:rsid w:val="00125774"/>
    <w:rsid w:val="00125C20"/>
    <w:rsid w:val="0012655E"/>
    <w:rsid w:val="00126DE9"/>
    <w:rsid w:val="0012782C"/>
    <w:rsid w:val="00130162"/>
    <w:rsid w:val="001302CD"/>
    <w:rsid w:val="00130795"/>
    <w:rsid w:val="00131E82"/>
    <w:rsid w:val="00131ED8"/>
    <w:rsid w:val="00134C20"/>
    <w:rsid w:val="00134ECE"/>
    <w:rsid w:val="0013574D"/>
    <w:rsid w:val="001366B9"/>
    <w:rsid w:val="00137061"/>
    <w:rsid w:val="0014044C"/>
    <w:rsid w:val="001429A8"/>
    <w:rsid w:val="00142D32"/>
    <w:rsid w:val="00142F79"/>
    <w:rsid w:val="0014494D"/>
    <w:rsid w:val="00144F2A"/>
    <w:rsid w:val="0014578F"/>
    <w:rsid w:val="00145CEA"/>
    <w:rsid w:val="00145DCF"/>
    <w:rsid w:val="00146F97"/>
    <w:rsid w:val="00147CE3"/>
    <w:rsid w:val="001507D5"/>
    <w:rsid w:val="001528E5"/>
    <w:rsid w:val="00152ED8"/>
    <w:rsid w:val="00152FE1"/>
    <w:rsid w:val="00153634"/>
    <w:rsid w:val="00153B34"/>
    <w:rsid w:val="00154EC5"/>
    <w:rsid w:val="001551C8"/>
    <w:rsid w:val="0015563B"/>
    <w:rsid w:val="001559AC"/>
    <w:rsid w:val="00156A42"/>
    <w:rsid w:val="0015714D"/>
    <w:rsid w:val="00160B75"/>
    <w:rsid w:val="001611ED"/>
    <w:rsid w:val="00161DB7"/>
    <w:rsid w:val="001629E6"/>
    <w:rsid w:val="00162DC3"/>
    <w:rsid w:val="001638A3"/>
    <w:rsid w:val="00164085"/>
    <w:rsid w:val="00164384"/>
    <w:rsid w:val="00164D55"/>
    <w:rsid w:val="001651E8"/>
    <w:rsid w:val="001661A5"/>
    <w:rsid w:val="00166438"/>
    <w:rsid w:val="00167CA4"/>
    <w:rsid w:val="00170793"/>
    <w:rsid w:val="00170DD8"/>
    <w:rsid w:val="00173775"/>
    <w:rsid w:val="00173FDE"/>
    <w:rsid w:val="001751F5"/>
    <w:rsid w:val="00175419"/>
    <w:rsid w:val="00175AA3"/>
    <w:rsid w:val="00175AB1"/>
    <w:rsid w:val="00176ADA"/>
    <w:rsid w:val="0017748E"/>
    <w:rsid w:val="001775E9"/>
    <w:rsid w:val="00180D5A"/>
    <w:rsid w:val="00180E88"/>
    <w:rsid w:val="00181BFE"/>
    <w:rsid w:val="0018235C"/>
    <w:rsid w:val="001826AE"/>
    <w:rsid w:val="00182BF5"/>
    <w:rsid w:val="00182DF7"/>
    <w:rsid w:val="0018322B"/>
    <w:rsid w:val="00183A95"/>
    <w:rsid w:val="001844A1"/>
    <w:rsid w:val="001846A4"/>
    <w:rsid w:val="00184ACD"/>
    <w:rsid w:val="00185395"/>
    <w:rsid w:val="001853B9"/>
    <w:rsid w:val="0018611B"/>
    <w:rsid w:val="001862ED"/>
    <w:rsid w:val="0018675E"/>
    <w:rsid w:val="00190CB7"/>
    <w:rsid w:val="0019268F"/>
    <w:rsid w:val="00193764"/>
    <w:rsid w:val="00195E8C"/>
    <w:rsid w:val="00196EDF"/>
    <w:rsid w:val="001974A8"/>
    <w:rsid w:val="001977F3"/>
    <w:rsid w:val="001A0C14"/>
    <w:rsid w:val="001A0DB9"/>
    <w:rsid w:val="001A1426"/>
    <w:rsid w:val="001A340E"/>
    <w:rsid w:val="001A43F7"/>
    <w:rsid w:val="001A576C"/>
    <w:rsid w:val="001A5A4F"/>
    <w:rsid w:val="001A6DB6"/>
    <w:rsid w:val="001A742D"/>
    <w:rsid w:val="001A75FE"/>
    <w:rsid w:val="001A7CBC"/>
    <w:rsid w:val="001B0C34"/>
    <w:rsid w:val="001B0DA5"/>
    <w:rsid w:val="001B0ECC"/>
    <w:rsid w:val="001B1EE7"/>
    <w:rsid w:val="001B1FBF"/>
    <w:rsid w:val="001B2D01"/>
    <w:rsid w:val="001B30B5"/>
    <w:rsid w:val="001B3584"/>
    <w:rsid w:val="001B3F99"/>
    <w:rsid w:val="001B44C9"/>
    <w:rsid w:val="001B515A"/>
    <w:rsid w:val="001B5336"/>
    <w:rsid w:val="001B654A"/>
    <w:rsid w:val="001B7563"/>
    <w:rsid w:val="001C0CB2"/>
    <w:rsid w:val="001C0EFE"/>
    <w:rsid w:val="001C10AB"/>
    <w:rsid w:val="001C2435"/>
    <w:rsid w:val="001C3B27"/>
    <w:rsid w:val="001C5D67"/>
    <w:rsid w:val="001C7B97"/>
    <w:rsid w:val="001C7E68"/>
    <w:rsid w:val="001D022D"/>
    <w:rsid w:val="001D08FE"/>
    <w:rsid w:val="001D0D93"/>
    <w:rsid w:val="001D1337"/>
    <w:rsid w:val="001D1C89"/>
    <w:rsid w:val="001D2202"/>
    <w:rsid w:val="001D2402"/>
    <w:rsid w:val="001D36FF"/>
    <w:rsid w:val="001D46D4"/>
    <w:rsid w:val="001D4FDD"/>
    <w:rsid w:val="001D5469"/>
    <w:rsid w:val="001D5C53"/>
    <w:rsid w:val="001D7DF8"/>
    <w:rsid w:val="001E094A"/>
    <w:rsid w:val="001E0D2C"/>
    <w:rsid w:val="001E2D5A"/>
    <w:rsid w:val="001E3790"/>
    <w:rsid w:val="001E4486"/>
    <w:rsid w:val="001E48DD"/>
    <w:rsid w:val="001E4A6F"/>
    <w:rsid w:val="001E4DB4"/>
    <w:rsid w:val="001E4DB8"/>
    <w:rsid w:val="001E4EBC"/>
    <w:rsid w:val="001E52B3"/>
    <w:rsid w:val="001E56F7"/>
    <w:rsid w:val="001E67C0"/>
    <w:rsid w:val="001F03EC"/>
    <w:rsid w:val="001F359B"/>
    <w:rsid w:val="001F38D4"/>
    <w:rsid w:val="001F4927"/>
    <w:rsid w:val="001F59E0"/>
    <w:rsid w:val="001F60D0"/>
    <w:rsid w:val="001F68C3"/>
    <w:rsid w:val="001F6FD2"/>
    <w:rsid w:val="001F7321"/>
    <w:rsid w:val="001F7664"/>
    <w:rsid w:val="002004EA"/>
    <w:rsid w:val="00200656"/>
    <w:rsid w:val="00201A56"/>
    <w:rsid w:val="00201CE9"/>
    <w:rsid w:val="002027DC"/>
    <w:rsid w:val="002038E2"/>
    <w:rsid w:val="00204411"/>
    <w:rsid w:val="002057FA"/>
    <w:rsid w:val="00205B82"/>
    <w:rsid w:val="00206244"/>
    <w:rsid w:val="00206670"/>
    <w:rsid w:val="0020698B"/>
    <w:rsid w:val="00206DE7"/>
    <w:rsid w:val="0020709B"/>
    <w:rsid w:val="002072BF"/>
    <w:rsid w:val="002074E0"/>
    <w:rsid w:val="002103AA"/>
    <w:rsid w:val="002109E6"/>
    <w:rsid w:val="00210CC9"/>
    <w:rsid w:val="00211B9B"/>
    <w:rsid w:val="00212AC0"/>
    <w:rsid w:val="00214661"/>
    <w:rsid w:val="00215241"/>
    <w:rsid w:val="0021540D"/>
    <w:rsid w:val="00215EDC"/>
    <w:rsid w:val="00216780"/>
    <w:rsid w:val="0022035E"/>
    <w:rsid w:val="002208DF"/>
    <w:rsid w:val="00220F63"/>
    <w:rsid w:val="0022124E"/>
    <w:rsid w:val="00222DE8"/>
    <w:rsid w:val="00223703"/>
    <w:rsid w:val="00224254"/>
    <w:rsid w:val="00224C06"/>
    <w:rsid w:val="0022595B"/>
    <w:rsid w:val="00226595"/>
    <w:rsid w:val="00226A54"/>
    <w:rsid w:val="002271ED"/>
    <w:rsid w:val="002273F9"/>
    <w:rsid w:val="0022799B"/>
    <w:rsid w:val="00227FD9"/>
    <w:rsid w:val="0023004D"/>
    <w:rsid w:val="002302D4"/>
    <w:rsid w:val="002306D5"/>
    <w:rsid w:val="002307F3"/>
    <w:rsid w:val="00231123"/>
    <w:rsid w:val="002315A2"/>
    <w:rsid w:val="002323E4"/>
    <w:rsid w:val="00232CF7"/>
    <w:rsid w:val="002332CD"/>
    <w:rsid w:val="00233B1A"/>
    <w:rsid w:val="00233CC9"/>
    <w:rsid w:val="00234AE0"/>
    <w:rsid w:val="00235467"/>
    <w:rsid w:val="002363AB"/>
    <w:rsid w:val="00236A9F"/>
    <w:rsid w:val="00237321"/>
    <w:rsid w:val="00237861"/>
    <w:rsid w:val="00240203"/>
    <w:rsid w:val="00240769"/>
    <w:rsid w:val="002407A3"/>
    <w:rsid w:val="00240F29"/>
    <w:rsid w:val="00241737"/>
    <w:rsid w:val="0024182D"/>
    <w:rsid w:val="00242D09"/>
    <w:rsid w:val="00243C24"/>
    <w:rsid w:val="00243E40"/>
    <w:rsid w:val="00244545"/>
    <w:rsid w:val="00246E3A"/>
    <w:rsid w:val="00250B72"/>
    <w:rsid w:val="00251646"/>
    <w:rsid w:val="0025270B"/>
    <w:rsid w:val="00252FF2"/>
    <w:rsid w:val="0025329E"/>
    <w:rsid w:val="00254017"/>
    <w:rsid w:val="0025464C"/>
    <w:rsid w:val="00254BE6"/>
    <w:rsid w:val="0025528B"/>
    <w:rsid w:val="002571C7"/>
    <w:rsid w:val="00257AAE"/>
    <w:rsid w:val="00257B63"/>
    <w:rsid w:val="00257D28"/>
    <w:rsid w:val="00260176"/>
    <w:rsid w:val="00260426"/>
    <w:rsid w:val="002611B0"/>
    <w:rsid w:val="00261A56"/>
    <w:rsid w:val="002621D1"/>
    <w:rsid w:val="0026272E"/>
    <w:rsid w:val="00264179"/>
    <w:rsid w:val="00265339"/>
    <w:rsid w:val="00270318"/>
    <w:rsid w:val="00270333"/>
    <w:rsid w:val="002703C2"/>
    <w:rsid w:val="00270C56"/>
    <w:rsid w:val="00272464"/>
    <w:rsid w:val="00272821"/>
    <w:rsid w:val="00272E99"/>
    <w:rsid w:val="00273789"/>
    <w:rsid w:val="002737BA"/>
    <w:rsid w:val="002760E5"/>
    <w:rsid w:val="00276E90"/>
    <w:rsid w:val="0027714A"/>
    <w:rsid w:val="002774F1"/>
    <w:rsid w:val="00277B61"/>
    <w:rsid w:val="00280355"/>
    <w:rsid w:val="0028180F"/>
    <w:rsid w:val="0028202F"/>
    <w:rsid w:val="00282A83"/>
    <w:rsid w:val="00282D44"/>
    <w:rsid w:val="0028392B"/>
    <w:rsid w:val="0028562F"/>
    <w:rsid w:val="00285E19"/>
    <w:rsid w:val="0028651A"/>
    <w:rsid w:val="00286A27"/>
    <w:rsid w:val="00286F4D"/>
    <w:rsid w:val="00287E4A"/>
    <w:rsid w:val="00290426"/>
    <w:rsid w:val="00290E4D"/>
    <w:rsid w:val="00290EAB"/>
    <w:rsid w:val="002917AD"/>
    <w:rsid w:val="002919CC"/>
    <w:rsid w:val="00292C14"/>
    <w:rsid w:val="00292D18"/>
    <w:rsid w:val="002932C9"/>
    <w:rsid w:val="00293356"/>
    <w:rsid w:val="00293EA5"/>
    <w:rsid w:val="00295723"/>
    <w:rsid w:val="00295736"/>
    <w:rsid w:val="00296D2D"/>
    <w:rsid w:val="0029791D"/>
    <w:rsid w:val="00297E11"/>
    <w:rsid w:val="002A163C"/>
    <w:rsid w:val="002A1F83"/>
    <w:rsid w:val="002A376A"/>
    <w:rsid w:val="002A3BDD"/>
    <w:rsid w:val="002A44A4"/>
    <w:rsid w:val="002A472B"/>
    <w:rsid w:val="002A4B61"/>
    <w:rsid w:val="002A6604"/>
    <w:rsid w:val="002A7023"/>
    <w:rsid w:val="002A759D"/>
    <w:rsid w:val="002B0B19"/>
    <w:rsid w:val="002B0B42"/>
    <w:rsid w:val="002B44E0"/>
    <w:rsid w:val="002B4A2B"/>
    <w:rsid w:val="002B55DB"/>
    <w:rsid w:val="002B6088"/>
    <w:rsid w:val="002B657D"/>
    <w:rsid w:val="002B7584"/>
    <w:rsid w:val="002B7B58"/>
    <w:rsid w:val="002C008C"/>
    <w:rsid w:val="002C1654"/>
    <w:rsid w:val="002C1783"/>
    <w:rsid w:val="002C2EAC"/>
    <w:rsid w:val="002C3CB3"/>
    <w:rsid w:val="002C659B"/>
    <w:rsid w:val="002C76D4"/>
    <w:rsid w:val="002C7998"/>
    <w:rsid w:val="002D0763"/>
    <w:rsid w:val="002D15C6"/>
    <w:rsid w:val="002D1D4A"/>
    <w:rsid w:val="002D1E83"/>
    <w:rsid w:val="002D22F3"/>
    <w:rsid w:val="002D28F0"/>
    <w:rsid w:val="002D2DEC"/>
    <w:rsid w:val="002D3D12"/>
    <w:rsid w:val="002D4B84"/>
    <w:rsid w:val="002D4FEE"/>
    <w:rsid w:val="002D5580"/>
    <w:rsid w:val="002D559A"/>
    <w:rsid w:val="002D564C"/>
    <w:rsid w:val="002E0018"/>
    <w:rsid w:val="002E01D4"/>
    <w:rsid w:val="002E057F"/>
    <w:rsid w:val="002E1545"/>
    <w:rsid w:val="002E1983"/>
    <w:rsid w:val="002E225E"/>
    <w:rsid w:val="002E27A4"/>
    <w:rsid w:val="002E27FE"/>
    <w:rsid w:val="002E2F4D"/>
    <w:rsid w:val="002E3FD1"/>
    <w:rsid w:val="002E4D2D"/>
    <w:rsid w:val="002E5173"/>
    <w:rsid w:val="002E5E5F"/>
    <w:rsid w:val="002E63B8"/>
    <w:rsid w:val="002E6497"/>
    <w:rsid w:val="002E6589"/>
    <w:rsid w:val="002E6D03"/>
    <w:rsid w:val="002E6E11"/>
    <w:rsid w:val="002E7072"/>
    <w:rsid w:val="002E79B7"/>
    <w:rsid w:val="002F09B6"/>
    <w:rsid w:val="002F12D8"/>
    <w:rsid w:val="002F16E3"/>
    <w:rsid w:val="002F1A78"/>
    <w:rsid w:val="002F2087"/>
    <w:rsid w:val="002F2546"/>
    <w:rsid w:val="002F27AE"/>
    <w:rsid w:val="002F3DFF"/>
    <w:rsid w:val="002F4290"/>
    <w:rsid w:val="002F4C0E"/>
    <w:rsid w:val="002F65B0"/>
    <w:rsid w:val="002F6848"/>
    <w:rsid w:val="002F7317"/>
    <w:rsid w:val="0030005A"/>
    <w:rsid w:val="0030042A"/>
    <w:rsid w:val="00300837"/>
    <w:rsid w:val="0030097E"/>
    <w:rsid w:val="0030180C"/>
    <w:rsid w:val="00302057"/>
    <w:rsid w:val="0030208D"/>
    <w:rsid w:val="003023EC"/>
    <w:rsid w:val="00302682"/>
    <w:rsid w:val="00302834"/>
    <w:rsid w:val="003028CC"/>
    <w:rsid w:val="00303457"/>
    <w:rsid w:val="00303767"/>
    <w:rsid w:val="00303BA3"/>
    <w:rsid w:val="00304154"/>
    <w:rsid w:val="003041A1"/>
    <w:rsid w:val="003041DD"/>
    <w:rsid w:val="003052C9"/>
    <w:rsid w:val="00306390"/>
    <w:rsid w:val="00306BED"/>
    <w:rsid w:val="00307291"/>
    <w:rsid w:val="003075AA"/>
    <w:rsid w:val="003078C7"/>
    <w:rsid w:val="00307EFA"/>
    <w:rsid w:val="00312AF3"/>
    <w:rsid w:val="0031334B"/>
    <w:rsid w:val="00314211"/>
    <w:rsid w:val="0031484C"/>
    <w:rsid w:val="0031504D"/>
    <w:rsid w:val="00315604"/>
    <w:rsid w:val="00315D55"/>
    <w:rsid w:val="00316602"/>
    <w:rsid w:val="00316A25"/>
    <w:rsid w:val="003171A7"/>
    <w:rsid w:val="00317D82"/>
    <w:rsid w:val="00317DD1"/>
    <w:rsid w:val="0032323B"/>
    <w:rsid w:val="00323D1A"/>
    <w:rsid w:val="003243C8"/>
    <w:rsid w:val="00324908"/>
    <w:rsid w:val="00324924"/>
    <w:rsid w:val="003256A1"/>
    <w:rsid w:val="00325DD2"/>
    <w:rsid w:val="003263C6"/>
    <w:rsid w:val="003267EC"/>
    <w:rsid w:val="003268EF"/>
    <w:rsid w:val="0032709C"/>
    <w:rsid w:val="00327DF4"/>
    <w:rsid w:val="003314D9"/>
    <w:rsid w:val="00332863"/>
    <w:rsid w:val="00333C03"/>
    <w:rsid w:val="0033419D"/>
    <w:rsid w:val="003347B4"/>
    <w:rsid w:val="0033554F"/>
    <w:rsid w:val="00335678"/>
    <w:rsid w:val="0033582E"/>
    <w:rsid w:val="00335917"/>
    <w:rsid w:val="00336FEC"/>
    <w:rsid w:val="00342A4D"/>
    <w:rsid w:val="00342BC0"/>
    <w:rsid w:val="00343A6C"/>
    <w:rsid w:val="00343FD2"/>
    <w:rsid w:val="00344507"/>
    <w:rsid w:val="0034452A"/>
    <w:rsid w:val="0034495D"/>
    <w:rsid w:val="00344F79"/>
    <w:rsid w:val="003468E2"/>
    <w:rsid w:val="003469FE"/>
    <w:rsid w:val="00346B9B"/>
    <w:rsid w:val="00346BB9"/>
    <w:rsid w:val="00347465"/>
    <w:rsid w:val="00347B4A"/>
    <w:rsid w:val="00347CC3"/>
    <w:rsid w:val="0035124B"/>
    <w:rsid w:val="00351601"/>
    <w:rsid w:val="00352312"/>
    <w:rsid w:val="00352694"/>
    <w:rsid w:val="0035299A"/>
    <w:rsid w:val="00353024"/>
    <w:rsid w:val="00353E34"/>
    <w:rsid w:val="0035423A"/>
    <w:rsid w:val="003543FE"/>
    <w:rsid w:val="0035665E"/>
    <w:rsid w:val="0035685D"/>
    <w:rsid w:val="00357039"/>
    <w:rsid w:val="00357797"/>
    <w:rsid w:val="00357FF1"/>
    <w:rsid w:val="00360227"/>
    <w:rsid w:val="00362B04"/>
    <w:rsid w:val="003636D0"/>
    <w:rsid w:val="003651E1"/>
    <w:rsid w:val="00365BEE"/>
    <w:rsid w:val="00365D36"/>
    <w:rsid w:val="0036666F"/>
    <w:rsid w:val="00367C9F"/>
    <w:rsid w:val="00370B11"/>
    <w:rsid w:val="003711BD"/>
    <w:rsid w:val="00371311"/>
    <w:rsid w:val="00371990"/>
    <w:rsid w:val="00372217"/>
    <w:rsid w:val="00373130"/>
    <w:rsid w:val="0037332C"/>
    <w:rsid w:val="00374292"/>
    <w:rsid w:val="00376C66"/>
    <w:rsid w:val="00377260"/>
    <w:rsid w:val="00377CD6"/>
    <w:rsid w:val="00380F7E"/>
    <w:rsid w:val="00381296"/>
    <w:rsid w:val="00381323"/>
    <w:rsid w:val="00381A9A"/>
    <w:rsid w:val="00381B62"/>
    <w:rsid w:val="00382FA0"/>
    <w:rsid w:val="00385A30"/>
    <w:rsid w:val="00386182"/>
    <w:rsid w:val="0038637D"/>
    <w:rsid w:val="00386C2F"/>
    <w:rsid w:val="003904F4"/>
    <w:rsid w:val="003906E6"/>
    <w:rsid w:val="003910CE"/>
    <w:rsid w:val="00391652"/>
    <w:rsid w:val="003927DD"/>
    <w:rsid w:val="003935E8"/>
    <w:rsid w:val="00393614"/>
    <w:rsid w:val="00394E66"/>
    <w:rsid w:val="0039675F"/>
    <w:rsid w:val="00397840"/>
    <w:rsid w:val="003979F7"/>
    <w:rsid w:val="003A0673"/>
    <w:rsid w:val="003A107C"/>
    <w:rsid w:val="003A1682"/>
    <w:rsid w:val="003A2B82"/>
    <w:rsid w:val="003A30BD"/>
    <w:rsid w:val="003A4FAC"/>
    <w:rsid w:val="003A66D8"/>
    <w:rsid w:val="003A6B85"/>
    <w:rsid w:val="003A7B3F"/>
    <w:rsid w:val="003A7EF5"/>
    <w:rsid w:val="003B052E"/>
    <w:rsid w:val="003B14DD"/>
    <w:rsid w:val="003B25B2"/>
    <w:rsid w:val="003B3BF9"/>
    <w:rsid w:val="003B3FD3"/>
    <w:rsid w:val="003B4118"/>
    <w:rsid w:val="003B467C"/>
    <w:rsid w:val="003B4D9B"/>
    <w:rsid w:val="003B5801"/>
    <w:rsid w:val="003B659C"/>
    <w:rsid w:val="003B69B6"/>
    <w:rsid w:val="003B6D50"/>
    <w:rsid w:val="003B774F"/>
    <w:rsid w:val="003C149F"/>
    <w:rsid w:val="003C1DA7"/>
    <w:rsid w:val="003C259B"/>
    <w:rsid w:val="003C28E5"/>
    <w:rsid w:val="003C2990"/>
    <w:rsid w:val="003C2C00"/>
    <w:rsid w:val="003C2EA6"/>
    <w:rsid w:val="003C36CB"/>
    <w:rsid w:val="003C39FF"/>
    <w:rsid w:val="003C4783"/>
    <w:rsid w:val="003C5985"/>
    <w:rsid w:val="003C5B77"/>
    <w:rsid w:val="003C62D8"/>
    <w:rsid w:val="003C72E0"/>
    <w:rsid w:val="003C79C8"/>
    <w:rsid w:val="003D15EA"/>
    <w:rsid w:val="003D3153"/>
    <w:rsid w:val="003D381F"/>
    <w:rsid w:val="003D3ACC"/>
    <w:rsid w:val="003D4D15"/>
    <w:rsid w:val="003D6451"/>
    <w:rsid w:val="003D6578"/>
    <w:rsid w:val="003D773E"/>
    <w:rsid w:val="003E0ADC"/>
    <w:rsid w:val="003E0CF9"/>
    <w:rsid w:val="003E0DAD"/>
    <w:rsid w:val="003E132E"/>
    <w:rsid w:val="003E1897"/>
    <w:rsid w:val="003E1D17"/>
    <w:rsid w:val="003E2462"/>
    <w:rsid w:val="003E25CD"/>
    <w:rsid w:val="003E29C7"/>
    <w:rsid w:val="003E2F66"/>
    <w:rsid w:val="003E3342"/>
    <w:rsid w:val="003E43C6"/>
    <w:rsid w:val="003E65FF"/>
    <w:rsid w:val="003F0775"/>
    <w:rsid w:val="003F36B9"/>
    <w:rsid w:val="003F4C27"/>
    <w:rsid w:val="003F4FE6"/>
    <w:rsid w:val="003F5357"/>
    <w:rsid w:val="003F5650"/>
    <w:rsid w:val="003F59AE"/>
    <w:rsid w:val="003F5F01"/>
    <w:rsid w:val="003F6D01"/>
    <w:rsid w:val="003F6D2E"/>
    <w:rsid w:val="003F78FD"/>
    <w:rsid w:val="00400E28"/>
    <w:rsid w:val="00401BBC"/>
    <w:rsid w:val="00401E68"/>
    <w:rsid w:val="00402051"/>
    <w:rsid w:val="0040292B"/>
    <w:rsid w:val="004038AB"/>
    <w:rsid w:val="00403B2F"/>
    <w:rsid w:val="00403CB8"/>
    <w:rsid w:val="00403FEB"/>
    <w:rsid w:val="00404F10"/>
    <w:rsid w:val="00404FA4"/>
    <w:rsid w:val="004051A7"/>
    <w:rsid w:val="004052CF"/>
    <w:rsid w:val="00405B0B"/>
    <w:rsid w:val="00406A6C"/>
    <w:rsid w:val="00406DF8"/>
    <w:rsid w:val="00407DA2"/>
    <w:rsid w:val="004113CD"/>
    <w:rsid w:val="00411FCA"/>
    <w:rsid w:val="00412A37"/>
    <w:rsid w:val="00412B49"/>
    <w:rsid w:val="0041363C"/>
    <w:rsid w:val="00414162"/>
    <w:rsid w:val="00414642"/>
    <w:rsid w:val="004160DE"/>
    <w:rsid w:val="004160EF"/>
    <w:rsid w:val="0042021E"/>
    <w:rsid w:val="00421835"/>
    <w:rsid w:val="00424131"/>
    <w:rsid w:val="004241DA"/>
    <w:rsid w:val="00426B06"/>
    <w:rsid w:val="00426E31"/>
    <w:rsid w:val="0042737D"/>
    <w:rsid w:val="004309B1"/>
    <w:rsid w:val="004318C4"/>
    <w:rsid w:val="00431FB4"/>
    <w:rsid w:val="00432A0D"/>
    <w:rsid w:val="00432C94"/>
    <w:rsid w:val="004336AB"/>
    <w:rsid w:val="00433AA4"/>
    <w:rsid w:val="00433AC1"/>
    <w:rsid w:val="00433BCD"/>
    <w:rsid w:val="00434495"/>
    <w:rsid w:val="00435792"/>
    <w:rsid w:val="00440126"/>
    <w:rsid w:val="004414D0"/>
    <w:rsid w:val="004431DC"/>
    <w:rsid w:val="0044389F"/>
    <w:rsid w:val="00443D2F"/>
    <w:rsid w:val="0044415D"/>
    <w:rsid w:val="00444C90"/>
    <w:rsid w:val="0044589E"/>
    <w:rsid w:val="00445D96"/>
    <w:rsid w:val="00446A34"/>
    <w:rsid w:val="00446C2B"/>
    <w:rsid w:val="00447963"/>
    <w:rsid w:val="00447F0D"/>
    <w:rsid w:val="00450715"/>
    <w:rsid w:val="004517B9"/>
    <w:rsid w:val="00451E40"/>
    <w:rsid w:val="004522DF"/>
    <w:rsid w:val="0045270B"/>
    <w:rsid w:val="0045377F"/>
    <w:rsid w:val="00453A9F"/>
    <w:rsid w:val="004540CC"/>
    <w:rsid w:val="004565C0"/>
    <w:rsid w:val="00460AED"/>
    <w:rsid w:val="00460E73"/>
    <w:rsid w:val="00461B91"/>
    <w:rsid w:val="00461EF7"/>
    <w:rsid w:val="004621CA"/>
    <w:rsid w:val="004631EB"/>
    <w:rsid w:val="00463A32"/>
    <w:rsid w:val="00464454"/>
    <w:rsid w:val="00464622"/>
    <w:rsid w:val="004662EC"/>
    <w:rsid w:val="004707FC"/>
    <w:rsid w:val="00470A9C"/>
    <w:rsid w:val="00470E91"/>
    <w:rsid w:val="00470F6F"/>
    <w:rsid w:val="004718CF"/>
    <w:rsid w:val="0047229E"/>
    <w:rsid w:val="0047268F"/>
    <w:rsid w:val="00472AE3"/>
    <w:rsid w:val="004730FD"/>
    <w:rsid w:val="0047363E"/>
    <w:rsid w:val="00473853"/>
    <w:rsid w:val="00473893"/>
    <w:rsid w:val="0047389F"/>
    <w:rsid w:val="00473F7F"/>
    <w:rsid w:val="00474DD6"/>
    <w:rsid w:val="00475FAB"/>
    <w:rsid w:val="00476490"/>
    <w:rsid w:val="00476AC7"/>
    <w:rsid w:val="00477257"/>
    <w:rsid w:val="004776C3"/>
    <w:rsid w:val="0048078A"/>
    <w:rsid w:val="00481497"/>
    <w:rsid w:val="00481864"/>
    <w:rsid w:val="00481936"/>
    <w:rsid w:val="004821B3"/>
    <w:rsid w:val="004824F8"/>
    <w:rsid w:val="00482BEA"/>
    <w:rsid w:val="00484D5A"/>
    <w:rsid w:val="00485039"/>
    <w:rsid w:val="00486488"/>
    <w:rsid w:val="0048669D"/>
    <w:rsid w:val="00486965"/>
    <w:rsid w:val="00486AC6"/>
    <w:rsid w:val="00487854"/>
    <w:rsid w:val="00490A86"/>
    <w:rsid w:val="00491062"/>
    <w:rsid w:val="00491073"/>
    <w:rsid w:val="0049109B"/>
    <w:rsid w:val="0049115B"/>
    <w:rsid w:val="00491298"/>
    <w:rsid w:val="00492BF4"/>
    <w:rsid w:val="004939BE"/>
    <w:rsid w:val="0049432C"/>
    <w:rsid w:val="00494394"/>
    <w:rsid w:val="004948F2"/>
    <w:rsid w:val="00494C24"/>
    <w:rsid w:val="00494C85"/>
    <w:rsid w:val="00494E57"/>
    <w:rsid w:val="0049544A"/>
    <w:rsid w:val="004954FE"/>
    <w:rsid w:val="00495C64"/>
    <w:rsid w:val="004970D2"/>
    <w:rsid w:val="004A08BD"/>
    <w:rsid w:val="004A0C06"/>
    <w:rsid w:val="004A0ED9"/>
    <w:rsid w:val="004A11E6"/>
    <w:rsid w:val="004A18C0"/>
    <w:rsid w:val="004A1C5F"/>
    <w:rsid w:val="004A1EBC"/>
    <w:rsid w:val="004A1F7A"/>
    <w:rsid w:val="004A21DC"/>
    <w:rsid w:val="004A3623"/>
    <w:rsid w:val="004A39C6"/>
    <w:rsid w:val="004A4613"/>
    <w:rsid w:val="004A51E0"/>
    <w:rsid w:val="004A55BA"/>
    <w:rsid w:val="004A7220"/>
    <w:rsid w:val="004A78A7"/>
    <w:rsid w:val="004A7D9E"/>
    <w:rsid w:val="004B0737"/>
    <w:rsid w:val="004B09FC"/>
    <w:rsid w:val="004B0E1C"/>
    <w:rsid w:val="004B15FF"/>
    <w:rsid w:val="004B2CA3"/>
    <w:rsid w:val="004B3267"/>
    <w:rsid w:val="004B4035"/>
    <w:rsid w:val="004B4944"/>
    <w:rsid w:val="004B4C33"/>
    <w:rsid w:val="004B54D0"/>
    <w:rsid w:val="004B7397"/>
    <w:rsid w:val="004C04B8"/>
    <w:rsid w:val="004C0A2F"/>
    <w:rsid w:val="004C0E19"/>
    <w:rsid w:val="004C117F"/>
    <w:rsid w:val="004C160E"/>
    <w:rsid w:val="004C20D2"/>
    <w:rsid w:val="004C22DB"/>
    <w:rsid w:val="004C3313"/>
    <w:rsid w:val="004C5A5A"/>
    <w:rsid w:val="004C6365"/>
    <w:rsid w:val="004C7532"/>
    <w:rsid w:val="004C7FC4"/>
    <w:rsid w:val="004D173B"/>
    <w:rsid w:val="004D1B52"/>
    <w:rsid w:val="004D2068"/>
    <w:rsid w:val="004D2603"/>
    <w:rsid w:val="004D2BD3"/>
    <w:rsid w:val="004D389B"/>
    <w:rsid w:val="004D6016"/>
    <w:rsid w:val="004D6897"/>
    <w:rsid w:val="004D6B2B"/>
    <w:rsid w:val="004D74CC"/>
    <w:rsid w:val="004D783F"/>
    <w:rsid w:val="004E1E39"/>
    <w:rsid w:val="004E2481"/>
    <w:rsid w:val="004E2C6E"/>
    <w:rsid w:val="004E504E"/>
    <w:rsid w:val="004E6D28"/>
    <w:rsid w:val="004E6E7C"/>
    <w:rsid w:val="004F0C2F"/>
    <w:rsid w:val="004F0CCE"/>
    <w:rsid w:val="004F0E2E"/>
    <w:rsid w:val="004F188A"/>
    <w:rsid w:val="004F1B5B"/>
    <w:rsid w:val="004F267F"/>
    <w:rsid w:val="004F2BCA"/>
    <w:rsid w:val="004F3E1E"/>
    <w:rsid w:val="004F4091"/>
    <w:rsid w:val="004F4749"/>
    <w:rsid w:val="004F4EE2"/>
    <w:rsid w:val="004F57B0"/>
    <w:rsid w:val="004F683B"/>
    <w:rsid w:val="004F72EC"/>
    <w:rsid w:val="005001EC"/>
    <w:rsid w:val="00500446"/>
    <w:rsid w:val="005017F5"/>
    <w:rsid w:val="005023CB"/>
    <w:rsid w:val="00502404"/>
    <w:rsid w:val="00502419"/>
    <w:rsid w:val="005027B6"/>
    <w:rsid w:val="005029C2"/>
    <w:rsid w:val="005043E9"/>
    <w:rsid w:val="00504608"/>
    <w:rsid w:val="00505821"/>
    <w:rsid w:val="005069C0"/>
    <w:rsid w:val="00507A0D"/>
    <w:rsid w:val="005111A6"/>
    <w:rsid w:val="005112E6"/>
    <w:rsid w:val="00511EA5"/>
    <w:rsid w:val="005136D8"/>
    <w:rsid w:val="00514263"/>
    <w:rsid w:val="00516CC0"/>
    <w:rsid w:val="005174CF"/>
    <w:rsid w:val="00517630"/>
    <w:rsid w:val="0051782F"/>
    <w:rsid w:val="00520D46"/>
    <w:rsid w:val="00521646"/>
    <w:rsid w:val="0052207E"/>
    <w:rsid w:val="005221D5"/>
    <w:rsid w:val="005223CE"/>
    <w:rsid w:val="005228C5"/>
    <w:rsid w:val="00522B88"/>
    <w:rsid w:val="0052302F"/>
    <w:rsid w:val="00523DF0"/>
    <w:rsid w:val="00524908"/>
    <w:rsid w:val="00524FBF"/>
    <w:rsid w:val="005250C5"/>
    <w:rsid w:val="00527407"/>
    <w:rsid w:val="00527A3B"/>
    <w:rsid w:val="0053002C"/>
    <w:rsid w:val="00530132"/>
    <w:rsid w:val="005302CB"/>
    <w:rsid w:val="00530C97"/>
    <w:rsid w:val="00531E3F"/>
    <w:rsid w:val="00531E52"/>
    <w:rsid w:val="005327B2"/>
    <w:rsid w:val="00533826"/>
    <w:rsid w:val="00533E3B"/>
    <w:rsid w:val="00534AD1"/>
    <w:rsid w:val="00534B59"/>
    <w:rsid w:val="00535105"/>
    <w:rsid w:val="00535FF9"/>
    <w:rsid w:val="00536374"/>
    <w:rsid w:val="005371D1"/>
    <w:rsid w:val="0053762E"/>
    <w:rsid w:val="00537DE9"/>
    <w:rsid w:val="00537F94"/>
    <w:rsid w:val="00540682"/>
    <w:rsid w:val="00540C96"/>
    <w:rsid w:val="005416FB"/>
    <w:rsid w:val="00542C90"/>
    <w:rsid w:val="00543D74"/>
    <w:rsid w:val="00545452"/>
    <w:rsid w:val="005454EA"/>
    <w:rsid w:val="00545582"/>
    <w:rsid w:val="0054605B"/>
    <w:rsid w:val="00546167"/>
    <w:rsid w:val="00546BB5"/>
    <w:rsid w:val="00547474"/>
    <w:rsid w:val="00550E4D"/>
    <w:rsid w:val="005511A0"/>
    <w:rsid w:val="00551298"/>
    <w:rsid w:val="005518C2"/>
    <w:rsid w:val="00551B49"/>
    <w:rsid w:val="00551E18"/>
    <w:rsid w:val="005521B6"/>
    <w:rsid w:val="00552A66"/>
    <w:rsid w:val="00554C01"/>
    <w:rsid w:val="00554F31"/>
    <w:rsid w:val="00554FD3"/>
    <w:rsid w:val="00555061"/>
    <w:rsid w:val="00555567"/>
    <w:rsid w:val="0055575F"/>
    <w:rsid w:val="0055691D"/>
    <w:rsid w:val="00560ED0"/>
    <w:rsid w:val="0056206A"/>
    <w:rsid w:val="00562894"/>
    <w:rsid w:val="00563EB1"/>
    <w:rsid w:val="0056597F"/>
    <w:rsid w:val="005709FD"/>
    <w:rsid w:val="00570D10"/>
    <w:rsid w:val="00571046"/>
    <w:rsid w:val="005736E1"/>
    <w:rsid w:val="0057419D"/>
    <w:rsid w:val="0057582C"/>
    <w:rsid w:val="005774E8"/>
    <w:rsid w:val="00577536"/>
    <w:rsid w:val="0057793E"/>
    <w:rsid w:val="00577FA3"/>
    <w:rsid w:val="00577FFC"/>
    <w:rsid w:val="00580582"/>
    <w:rsid w:val="00580624"/>
    <w:rsid w:val="005809C5"/>
    <w:rsid w:val="005814D7"/>
    <w:rsid w:val="0058155A"/>
    <w:rsid w:val="00582508"/>
    <w:rsid w:val="005850EF"/>
    <w:rsid w:val="00585F6A"/>
    <w:rsid w:val="0058602A"/>
    <w:rsid w:val="00586F6F"/>
    <w:rsid w:val="005877EC"/>
    <w:rsid w:val="00587FE9"/>
    <w:rsid w:val="005904DB"/>
    <w:rsid w:val="00590B56"/>
    <w:rsid w:val="00590CE2"/>
    <w:rsid w:val="00590D86"/>
    <w:rsid w:val="00591606"/>
    <w:rsid w:val="00591710"/>
    <w:rsid w:val="00591C24"/>
    <w:rsid w:val="00592D18"/>
    <w:rsid w:val="00593282"/>
    <w:rsid w:val="00593434"/>
    <w:rsid w:val="00593DDB"/>
    <w:rsid w:val="0059445B"/>
    <w:rsid w:val="005948B5"/>
    <w:rsid w:val="00594E26"/>
    <w:rsid w:val="0059501B"/>
    <w:rsid w:val="005954D8"/>
    <w:rsid w:val="005965FE"/>
    <w:rsid w:val="005969CA"/>
    <w:rsid w:val="005977C8"/>
    <w:rsid w:val="005A10FB"/>
    <w:rsid w:val="005A117A"/>
    <w:rsid w:val="005A1B12"/>
    <w:rsid w:val="005A1D06"/>
    <w:rsid w:val="005A2EFC"/>
    <w:rsid w:val="005A3300"/>
    <w:rsid w:val="005A4EC4"/>
    <w:rsid w:val="005A521F"/>
    <w:rsid w:val="005A5C7C"/>
    <w:rsid w:val="005A666B"/>
    <w:rsid w:val="005A7FD3"/>
    <w:rsid w:val="005B0714"/>
    <w:rsid w:val="005B0FC3"/>
    <w:rsid w:val="005B2020"/>
    <w:rsid w:val="005B4EFB"/>
    <w:rsid w:val="005B5117"/>
    <w:rsid w:val="005B68F7"/>
    <w:rsid w:val="005B7AB7"/>
    <w:rsid w:val="005B7EDB"/>
    <w:rsid w:val="005C0215"/>
    <w:rsid w:val="005C0789"/>
    <w:rsid w:val="005C270A"/>
    <w:rsid w:val="005C2E1B"/>
    <w:rsid w:val="005C3C2E"/>
    <w:rsid w:val="005C47CD"/>
    <w:rsid w:val="005C574F"/>
    <w:rsid w:val="005C62A1"/>
    <w:rsid w:val="005C6AB3"/>
    <w:rsid w:val="005C78C5"/>
    <w:rsid w:val="005C7906"/>
    <w:rsid w:val="005C791F"/>
    <w:rsid w:val="005D0B69"/>
    <w:rsid w:val="005D143F"/>
    <w:rsid w:val="005D1E2C"/>
    <w:rsid w:val="005D35CD"/>
    <w:rsid w:val="005D3FF4"/>
    <w:rsid w:val="005D4CAF"/>
    <w:rsid w:val="005D5011"/>
    <w:rsid w:val="005D5203"/>
    <w:rsid w:val="005D6219"/>
    <w:rsid w:val="005D6348"/>
    <w:rsid w:val="005D669C"/>
    <w:rsid w:val="005D72A1"/>
    <w:rsid w:val="005D7466"/>
    <w:rsid w:val="005D7B8A"/>
    <w:rsid w:val="005E0305"/>
    <w:rsid w:val="005E060F"/>
    <w:rsid w:val="005E0E2A"/>
    <w:rsid w:val="005E230C"/>
    <w:rsid w:val="005E23E0"/>
    <w:rsid w:val="005E2444"/>
    <w:rsid w:val="005E2DFD"/>
    <w:rsid w:val="005E3AA8"/>
    <w:rsid w:val="005E5D25"/>
    <w:rsid w:val="005E6D24"/>
    <w:rsid w:val="005E7087"/>
    <w:rsid w:val="005F03CC"/>
    <w:rsid w:val="005F1D5A"/>
    <w:rsid w:val="005F1E07"/>
    <w:rsid w:val="005F210E"/>
    <w:rsid w:val="005F2827"/>
    <w:rsid w:val="005F2F01"/>
    <w:rsid w:val="005F4348"/>
    <w:rsid w:val="005F4FA7"/>
    <w:rsid w:val="005F7752"/>
    <w:rsid w:val="005F7A16"/>
    <w:rsid w:val="005F7B65"/>
    <w:rsid w:val="005F7D7F"/>
    <w:rsid w:val="005F7F12"/>
    <w:rsid w:val="00600157"/>
    <w:rsid w:val="00600D91"/>
    <w:rsid w:val="00601429"/>
    <w:rsid w:val="006016AA"/>
    <w:rsid w:val="006017A3"/>
    <w:rsid w:val="00601AA6"/>
    <w:rsid w:val="00601D2E"/>
    <w:rsid w:val="00602610"/>
    <w:rsid w:val="00604014"/>
    <w:rsid w:val="006049FD"/>
    <w:rsid w:val="00605CED"/>
    <w:rsid w:val="00605F96"/>
    <w:rsid w:val="00606717"/>
    <w:rsid w:val="00606F9B"/>
    <w:rsid w:val="00607CF6"/>
    <w:rsid w:val="006101CA"/>
    <w:rsid w:val="00610CFB"/>
    <w:rsid w:val="006110D2"/>
    <w:rsid w:val="00611A51"/>
    <w:rsid w:val="00611C7A"/>
    <w:rsid w:val="00612E7A"/>
    <w:rsid w:val="00612F92"/>
    <w:rsid w:val="006133D7"/>
    <w:rsid w:val="006133E8"/>
    <w:rsid w:val="00615D05"/>
    <w:rsid w:val="0062074B"/>
    <w:rsid w:val="006208E8"/>
    <w:rsid w:val="00621125"/>
    <w:rsid w:val="00622FCC"/>
    <w:rsid w:val="00624427"/>
    <w:rsid w:val="006253C2"/>
    <w:rsid w:val="0062554B"/>
    <w:rsid w:val="0062601A"/>
    <w:rsid w:val="006262EA"/>
    <w:rsid w:val="00626D65"/>
    <w:rsid w:val="00627868"/>
    <w:rsid w:val="00631194"/>
    <w:rsid w:val="006315C1"/>
    <w:rsid w:val="00631CB4"/>
    <w:rsid w:val="00633080"/>
    <w:rsid w:val="00633202"/>
    <w:rsid w:val="00633888"/>
    <w:rsid w:val="00633B49"/>
    <w:rsid w:val="00633F04"/>
    <w:rsid w:val="0063606F"/>
    <w:rsid w:val="00636614"/>
    <w:rsid w:val="00637711"/>
    <w:rsid w:val="006379F3"/>
    <w:rsid w:val="00637F67"/>
    <w:rsid w:val="00640902"/>
    <w:rsid w:val="00641B43"/>
    <w:rsid w:val="006421EC"/>
    <w:rsid w:val="006423AA"/>
    <w:rsid w:val="00642492"/>
    <w:rsid w:val="0064275C"/>
    <w:rsid w:val="0064316C"/>
    <w:rsid w:val="00643844"/>
    <w:rsid w:val="00643F56"/>
    <w:rsid w:val="0064419A"/>
    <w:rsid w:val="00647469"/>
    <w:rsid w:val="006513F1"/>
    <w:rsid w:val="00651677"/>
    <w:rsid w:val="006526CD"/>
    <w:rsid w:val="006532BD"/>
    <w:rsid w:val="00655855"/>
    <w:rsid w:val="00655B4F"/>
    <w:rsid w:val="00657778"/>
    <w:rsid w:val="00657C8F"/>
    <w:rsid w:val="00660639"/>
    <w:rsid w:val="00660B95"/>
    <w:rsid w:val="0066107C"/>
    <w:rsid w:val="006618ED"/>
    <w:rsid w:val="006624B4"/>
    <w:rsid w:val="0066312D"/>
    <w:rsid w:val="00663210"/>
    <w:rsid w:val="00663411"/>
    <w:rsid w:val="00663514"/>
    <w:rsid w:val="0066388A"/>
    <w:rsid w:val="00663A2B"/>
    <w:rsid w:val="00663A9B"/>
    <w:rsid w:val="00664EB2"/>
    <w:rsid w:val="00665DCB"/>
    <w:rsid w:val="00665E13"/>
    <w:rsid w:val="00666334"/>
    <w:rsid w:val="00666BED"/>
    <w:rsid w:val="00666C8D"/>
    <w:rsid w:val="00666D27"/>
    <w:rsid w:val="00666D76"/>
    <w:rsid w:val="006727BA"/>
    <w:rsid w:val="00672B1A"/>
    <w:rsid w:val="00673536"/>
    <w:rsid w:val="0067401B"/>
    <w:rsid w:val="00674A46"/>
    <w:rsid w:val="0067514C"/>
    <w:rsid w:val="0067515C"/>
    <w:rsid w:val="00676A6B"/>
    <w:rsid w:val="0067753C"/>
    <w:rsid w:val="00677A08"/>
    <w:rsid w:val="00680A92"/>
    <w:rsid w:val="0068143B"/>
    <w:rsid w:val="00683D52"/>
    <w:rsid w:val="00683EAB"/>
    <w:rsid w:val="006848C7"/>
    <w:rsid w:val="00684B0D"/>
    <w:rsid w:val="0068539D"/>
    <w:rsid w:val="006857E9"/>
    <w:rsid w:val="006862C0"/>
    <w:rsid w:val="00686468"/>
    <w:rsid w:val="00686D23"/>
    <w:rsid w:val="00686FC9"/>
    <w:rsid w:val="00687F26"/>
    <w:rsid w:val="0069058C"/>
    <w:rsid w:val="006906F1"/>
    <w:rsid w:val="00690E9E"/>
    <w:rsid w:val="00691CD0"/>
    <w:rsid w:val="00692686"/>
    <w:rsid w:val="0069330D"/>
    <w:rsid w:val="0069438A"/>
    <w:rsid w:val="00694695"/>
    <w:rsid w:val="006954AD"/>
    <w:rsid w:val="006956C9"/>
    <w:rsid w:val="00696725"/>
    <w:rsid w:val="006A0347"/>
    <w:rsid w:val="006A03D5"/>
    <w:rsid w:val="006A0470"/>
    <w:rsid w:val="006A0FB1"/>
    <w:rsid w:val="006A2192"/>
    <w:rsid w:val="006A24AD"/>
    <w:rsid w:val="006A519A"/>
    <w:rsid w:val="006A58A5"/>
    <w:rsid w:val="006A6E2A"/>
    <w:rsid w:val="006A703C"/>
    <w:rsid w:val="006A736B"/>
    <w:rsid w:val="006B02D7"/>
    <w:rsid w:val="006B0560"/>
    <w:rsid w:val="006B0AF1"/>
    <w:rsid w:val="006B0DB8"/>
    <w:rsid w:val="006B1C1F"/>
    <w:rsid w:val="006B2E54"/>
    <w:rsid w:val="006B3500"/>
    <w:rsid w:val="006B407A"/>
    <w:rsid w:val="006B586A"/>
    <w:rsid w:val="006B5C19"/>
    <w:rsid w:val="006B649D"/>
    <w:rsid w:val="006B6955"/>
    <w:rsid w:val="006B7080"/>
    <w:rsid w:val="006B7630"/>
    <w:rsid w:val="006B798F"/>
    <w:rsid w:val="006B7CD0"/>
    <w:rsid w:val="006B7DC9"/>
    <w:rsid w:val="006C1563"/>
    <w:rsid w:val="006C1D3A"/>
    <w:rsid w:val="006C1F06"/>
    <w:rsid w:val="006C2C52"/>
    <w:rsid w:val="006C36DA"/>
    <w:rsid w:val="006C372A"/>
    <w:rsid w:val="006C4158"/>
    <w:rsid w:val="006C59BC"/>
    <w:rsid w:val="006C5CF4"/>
    <w:rsid w:val="006C5D2F"/>
    <w:rsid w:val="006C657B"/>
    <w:rsid w:val="006C7387"/>
    <w:rsid w:val="006C787A"/>
    <w:rsid w:val="006C7A01"/>
    <w:rsid w:val="006D04B6"/>
    <w:rsid w:val="006D0558"/>
    <w:rsid w:val="006D0942"/>
    <w:rsid w:val="006D178F"/>
    <w:rsid w:val="006D1E96"/>
    <w:rsid w:val="006D2631"/>
    <w:rsid w:val="006D2BDE"/>
    <w:rsid w:val="006D488A"/>
    <w:rsid w:val="006D58E2"/>
    <w:rsid w:val="006D5EF6"/>
    <w:rsid w:val="006D612D"/>
    <w:rsid w:val="006D70A7"/>
    <w:rsid w:val="006D7209"/>
    <w:rsid w:val="006D7489"/>
    <w:rsid w:val="006E00FF"/>
    <w:rsid w:val="006E0BC8"/>
    <w:rsid w:val="006E18A7"/>
    <w:rsid w:val="006E21D5"/>
    <w:rsid w:val="006E222C"/>
    <w:rsid w:val="006E3282"/>
    <w:rsid w:val="006E339E"/>
    <w:rsid w:val="006E34F1"/>
    <w:rsid w:val="006E3695"/>
    <w:rsid w:val="006E38EE"/>
    <w:rsid w:val="006E3D34"/>
    <w:rsid w:val="006E3E89"/>
    <w:rsid w:val="006E454F"/>
    <w:rsid w:val="006E4D69"/>
    <w:rsid w:val="006E52B9"/>
    <w:rsid w:val="006E5CC3"/>
    <w:rsid w:val="006E6674"/>
    <w:rsid w:val="006E67F9"/>
    <w:rsid w:val="006E6A28"/>
    <w:rsid w:val="006E7573"/>
    <w:rsid w:val="006E796F"/>
    <w:rsid w:val="006F04EB"/>
    <w:rsid w:val="006F11F0"/>
    <w:rsid w:val="006F1A50"/>
    <w:rsid w:val="006F1DC9"/>
    <w:rsid w:val="006F2286"/>
    <w:rsid w:val="006F2B78"/>
    <w:rsid w:val="006F339D"/>
    <w:rsid w:val="006F3DFD"/>
    <w:rsid w:val="006F4412"/>
    <w:rsid w:val="006F44BB"/>
    <w:rsid w:val="006F53B5"/>
    <w:rsid w:val="006F5A2A"/>
    <w:rsid w:val="006F7871"/>
    <w:rsid w:val="00700269"/>
    <w:rsid w:val="0070042E"/>
    <w:rsid w:val="007012F8"/>
    <w:rsid w:val="0070187A"/>
    <w:rsid w:val="00702520"/>
    <w:rsid w:val="0070280F"/>
    <w:rsid w:val="00702F05"/>
    <w:rsid w:val="00703364"/>
    <w:rsid w:val="00704087"/>
    <w:rsid w:val="00704743"/>
    <w:rsid w:val="007074B2"/>
    <w:rsid w:val="0071219A"/>
    <w:rsid w:val="00712326"/>
    <w:rsid w:val="007130DE"/>
    <w:rsid w:val="007131B4"/>
    <w:rsid w:val="00714530"/>
    <w:rsid w:val="00714710"/>
    <w:rsid w:val="007147D5"/>
    <w:rsid w:val="007156A3"/>
    <w:rsid w:val="007159D7"/>
    <w:rsid w:val="00715C30"/>
    <w:rsid w:val="00716FD5"/>
    <w:rsid w:val="00717329"/>
    <w:rsid w:val="00717D11"/>
    <w:rsid w:val="007212AC"/>
    <w:rsid w:val="007217EB"/>
    <w:rsid w:val="00721996"/>
    <w:rsid w:val="00723825"/>
    <w:rsid w:val="007250B9"/>
    <w:rsid w:val="007259BF"/>
    <w:rsid w:val="00725C79"/>
    <w:rsid w:val="0072622C"/>
    <w:rsid w:val="00727A19"/>
    <w:rsid w:val="0073038B"/>
    <w:rsid w:val="007303E6"/>
    <w:rsid w:val="00730D6C"/>
    <w:rsid w:val="0073157C"/>
    <w:rsid w:val="00732EDC"/>
    <w:rsid w:val="00733552"/>
    <w:rsid w:val="0073525C"/>
    <w:rsid w:val="0073597E"/>
    <w:rsid w:val="00735AF1"/>
    <w:rsid w:val="007370BC"/>
    <w:rsid w:val="00737417"/>
    <w:rsid w:val="0073798C"/>
    <w:rsid w:val="00737C4A"/>
    <w:rsid w:val="00740E73"/>
    <w:rsid w:val="00740FD0"/>
    <w:rsid w:val="00743015"/>
    <w:rsid w:val="0074390F"/>
    <w:rsid w:val="00743B1F"/>
    <w:rsid w:val="00743C40"/>
    <w:rsid w:val="007445AD"/>
    <w:rsid w:val="00745067"/>
    <w:rsid w:val="007451BF"/>
    <w:rsid w:val="0074583B"/>
    <w:rsid w:val="00746567"/>
    <w:rsid w:val="00746F6D"/>
    <w:rsid w:val="00747094"/>
    <w:rsid w:val="00747C43"/>
    <w:rsid w:val="00750656"/>
    <w:rsid w:val="007509BB"/>
    <w:rsid w:val="007509E5"/>
    <w:rsid w:val="007512E2"/>
    <w:rsid w:val="007519EE"/>
    <w:rsid w:val="00751DAB"/>
    <w:rsid w:val="00752DE0"/>
    <w:rsid w:val="0075323B"/>
    <w:rsid w:val="007535CB"/>
    <w:rsid w:val="0075377F"/>
    <w:rsid w:val="007539A5"/>
    <w:rsid w:val="0075402A"/>
    <w:rsid w:val="007542DA"/>
    <w:rsid w:val="00754387"/>
    <w:rsid w:val="007552CD"/>
    <w:rsid w:val="0075704C"/>
    <w:rsid w:val="00757068"/>
    <w:rsid w:val="007570CD"/>
    <w:rsid w:val="00757D8B"/>
    <w:rsid w:val="00761010"/>
    <w:rsid w:val="007634C8"/>
    <w:rsid w:val="00763B41"/>
    <w:rsid w:val="00763E7C"/>
    <w:rsid w:val="00764AFD"/>
    <w:rsid w:val="00764F7F"/>
    <w:rsid w:val="00765EE8"/>
    <w:rsid w:val="007660BD"/>
    <w:rsid w:val="00767203"/>
    <w:rsid w:val="00767B6A"/>
    <w:rsid w:val="0077111E"/>
    <w:rsid w:val="00771E85"/>
    <w:rsid w:val="00772119"/>
    <w:rsid w:val="00772323"/>
    <w:rsid w:val="007725D2"/>
    <w:rsid w:val="00772E09"/>
    <w:rsid w:val="0077310F"/>
    <w:rsid w:val="007745B7"/>
    <w:rsid w:val="00774EC4"/>
    <w:rsid w:val="00775361"/>
    <w:rsid w:val="00775376"/>
    <w:rsid w:val="00775DEE"/>
    <w:rsid w:val="00776262"/>
    <w:rsid w:val="00776BFB"/>
    <w:rsid w:val="00776C24"/>
    <w:rsid w:val="00777375"/>
    <w:rsid w:val="007802C6"/>
    <w:rsid w:val="007812A1"/>
    <w:rsid w:val="007827BB"/>
    <w:rsid w:val="007840DD"/>
    <w:rsid w:val="00784BC3"/>
    <w:rsid w:val="00785565"/>
    <w:rsid w:val="00786641"/>
    <w:rsid w:val="00791075"/>
    <w:rsid w:val="0079110D"/>
    <w:rsid w:val="0079183F"/>
    <w:rsid w:val="0079204E"/>
    <w:rsid w:val="0079342D"/>
    <w:rsid w:val="00793AC5"/>
    <w:rsid w:val="00794DDF"/>
    <w:rsid w:val="00794E81"/>
    <w:rsid w:val="00795D80"/>
    <w:rsid w:val="00797037"/>
    <w:rsid w:val="00797242"/>
    <w:rsid w:val="007A1F1C"/>
    <w:rsid w:val="007A27A4"/>
    <w:rsid w:val="007A4692"/>
    <w:rsid w:val="007B0079"/>
    <w:rsid w:val="007B06C4"/>
    <w:rsid w:val="007B0FD2"/>
    <w:rsid w:val="007B2DC9"/>
    <w:rsid w:val="007B318D"/>
    <w:rsid w:val="007B510D"/>
    <w:rsid w:val="007B58DA"/>
    <w:rsid w:val="007B5978"/>
    <w:rsid w:val="007B68A5"/>
    <w:rsid w:val="007B7878"/>
    <w:rsid w:val="007B78F5"/>
    <w:rsid w:val="007C1683"/>
    <w:rsid w:val="007C1DD4"/>
    <w:rsid w:val="007C1E71"/>
    <w:rsid w:val="007C2EEA"/>
    <w:rsid w:val="007C31BB"/>
    <w:rsid w:val="007C36CB"/>
    <w:rsid w:val="007C4649"/>
    <w:rsid w:val="007C46DF"/>
    <w:rsid w:val="007C472E"/>
    <w:rsid w:val="007C4B33"/>
    <w:rsid w:val="007C529D"/>
    <w:rsid w:val="007C66F7"/>
    <w:rsid w:val="007C7267"/>
    <w:rsid w:val="007C7ECB"/>
    <w:rsid w:val="007D03A3"/>
    <w:rsid w:val="007D08A6"/>
    <w:rsid w:val="007D242C"/>
    <w:rsid w:val="007D2C5E"/>
    <w:rsid w:val="007D33A4"/>
    <w:rsid w:val="007D429B"/>
    <w:rsid w:val="007D4768"/>
    <w:rsid w:val="007D595C"/>
    <w:rsid w:val="007D6341"/>
    <w:rsid w:val="007D66A7"/>
    <w:rsid w:val="007D67DC"/>
    <w:rsid w:val="007D6911"/>
    <w:rsid w:val="007D69A8"/>
    <w:rsid w:val="007D7502"/>
    <w:rsid w:val="007E071A"/>
    <w:rsid w:val="007E2537"/>
    <w:rsid w:val="007E2B48"/>
    <w:rsid w:val="007E2B86"/>
    <w:rsid w:val="007E45BC"/>
    <w:rsid w:val="007E4914"/>
    <w:rsid w:val="007E4EF9"/>
    <w:rsid w:val="007E69CB"/>
    <w:rsid w:val="007E71DE"/>
    <w:rsid w:val="007E79CB"/>
    <w:rsid w:val="007F07E3"/>
    <w:rsid w:val="007F0C7B"/>
    <w:rsid w:val="007F1301"/>
    <w:rsid w:val="007F2039"/>
    <w:rsid w:val="007F501A"/>
    <w:rsid w:val="007F584A"/>
    <w:rsid w:val="007F6EDC"/>
    <w:rsid w:val="007F7027"/>
    <w:rsid w:val="008000F9"/>
    <w:rsid w:val="00800D85"/>
    <w:rsid w:val="008032DB"/>
    <w:rsid w:val="0080356D"/>
    <w:rsid w:val="00803C9A"/>
    <w:rsid w:val="00803CCB"/>
    <w:rsid w:val="0080454D"/>
    <w:rsid w:val="00805025"/>
    <w:rsid w:val="008052C9"/>
    <w:rsid w:val="00806B61"/>
    <w:rsid w:val="00807A9A"/>
    <w:rsid w:val="008104B9"/>
    <w:rsid w:val="00810DC3"/>
    <w:rsid w:val="0081113A"/>
    <w:rsid w:val="00811B9F"/>
    <w:rsid w:val="00812ABA"/>
    <w:rsid w:val="00812E99"/>
    <w:rsid w:val="0081443A"/>
    <w:rsid w:val="00814E05"/>
    <w:rsid w:val="00815FD4"/>
    <w:rsid w:val="0081743C"/>
    <w:rsid w:val="008200AB"/>
    <w:rsid w:val="0082013D"/>
    <w:rsid w:val="0082047C"/>
    <w:rsid w:val="00821349"/>
    <w:rsid w:val="008216B1"/>
    <w:rsid w:val="0082196E"/>
    <w:rsid w:val="00821E8B"/>
    <w:rsid w:val="00821ED6"/>
    <w:rsid w:val="00822F1F"/>
    <w:rsid w:val="008241DD"/>
    <w:rsid w:val="00824316"/>
    <w:rsid w:val="0082494C"/>
    <w:rsid w:val="00824BBB"/>
    <w:rsid w:val="00824F0E"/>
    <w:rsid w:val="0082524B"/>
    <w:rsid w:val="00825A15"/>
    <w:rsid w:val="0082608D"/>
    <w:rsid w:val="008273F0"/>
    <w:rsid w:val="0082785C"/>
    <w:rsid w:val="00830489"/>
    <w:rsid w:val="00830650"/>
    <w:rsid w:val="008317FB"/>
    <w:rsid w:val="008324EA"/>
    <w:rsid w:val="00832658"/>
    <w:rsid w:val="00833E24"/>
    <w:rsid w:val="0083464A"/>
    <w:rsid w:val="00835CBF"/>
    <w:rsid w:val="0083725A"/>
    <w:rsid w:val="008374FA"/>
    <w:rsid w:val="00837C2F"/>
    <w:rsid w:val="0084040C"/>
    <w:rsid w:val="008411D3"/>
    <w:rsid w:val="00841D83"/>
    <w:rsid w:val="00843675"/>
    <w:rsid w:val="00843703"/>
    <w:rsid w:val="00843A3D"/>
    <w:rsid w:val="00843C23"/>
    <w:rsid w:val="00843EAA"/>
    <w:rsid w:val="00844F50"/>
    <w:rsid w:val="008452F3"/>
    <w:rsid w:val="00845499"/>
    <w:rsid w:val="00847DED"/>
    <w:rsid w:val="008501E6"/>
    <w:rsid w:val="00850409"/>
    <w:rsid w:val="00851D64"/>
    <w:rsid w:val="00853249"/>
    <w:rsid w:val="008535B9"/>
    <w:rsid w:val="008537E7"/>
    <w:rsid w:val="00853C82"/>
    <w:rsid w:val="0085555B"/>
    <w:rsid w:val="008555DB"/>
    <w:rsid w:val="0085582E"/>
    <w:rsid w:val="00855DF7"/>
    <w:rsid w:val="008562A7"/>
    <w:rsid w:val="008563A3"/>
    <w:rsid w:val="00856524"/>
    <w:rsid w:val="008570AC"/>
    <w:rsid w:val="00857941"/>
    <w:rsid w:val="00860305"/>
    <w:rsid w:val="008603D6"/>
    <w:rsid w:val="0086083F"/>
    <w:rsid w:val="0086198B"/>
    <w:rsid w:val="00861C60"/>
    <w:rsid w:val="00861F24"/>
    <w:rsid w:val="00861F3E"/>
    <w:rsid w:val="008639CB"/>
    <w:rsid w:val="00863AA9"/>
    <w:rsid w:val="00863EAD"/>
    <w:rsid w:val="00863F23"/>
    <w:rsid w:val="00864A4A"/>
    <w:rsid w:val="00864D75"/>
    <w:rsid w:val="0086584E"/>
    <w:rsid w:val="00865981"/>
    <w:rsid w:val="008668B9"/>
    <w:rsid w:val="00867424"/>
    <w:rsid w:val="008700CC"/>
    <w:rsid w:val="00870509"/>
    <w:rsid w:val="0087191F"/>
    <w:rsid w:val="00871D4E"/>
    <w:rsid w:val="00872433"/>
    <w:rsid w:val="00872BFF"/>
    <w:rsid w:val="00873558"/>
    <w:rsid w:val="00873B52"/>
    <w:rsid w:val="008748CC"/>
    <w:rsid w:val="00874EB6"/>
    <w:rsid w:val="00874F03"/>
    <w:rsid w:val="00876A56"/>
    <w:rsid w:val="00876FA4"/>
    <w:rsid w:val="00882926"/>
    <w:rsid w:val="00882BA6"/>
    <w:rsid w:val="00883943"/>
    <w:rsid w:val="00884DBE"/>
    <w:rsid w:val="00890CC9"/>
    <w:rsid w:val="008934D3"/>
    <w:rsid w:val="008940A0"/>
    <w:rsid w:val="00894183"/>
    <w:rsid w:val="008949C5"/>
    <w:rsid w:val="00895123"/>
    <w:rsid w:val="00895668"/>
    <w:rsid w:val="0089593F"/>
    <w:rsid w:val="00895D9F"/>
    <w:rsid w:val="008966F5"/>
    <w:rsid w:val="008969CE"/>
    <w:rsid w:val="00896A1F"/>
    <w:rsid w:val="00897429"/>
    <w:rsid w:val="00897DE1"/>
    <w:rsid w:val="00897F17"/>
    <w:rsid w:val="008A145E"/>
    <w:rsid w:val="008A17DD"/>
    <w:rsid w:val="008A22AF"/>
    <w:rsid w:val="008A22E0"/>
    <w:rsid w:val="008A239F"/>
    <w:rsid w:val="008A2E82"/>
    <w:rsid w:val="008A3435"/>
    <w:rsid w:val="008A3E5B"/>
    <w:rsid w:val="008A51AA"/>
    <w:rsid w:val="008A633C"/>
    <w:rsid w:val="008A75B9"/>
    <w:rsid w:val="008B261E"/>
    <w:rsid w:val="008B2F84"/>
    <w:rsid w:val="008B416E"/>
    <w:rsid w:val="008B52D1"/>
    <w:rsid w:val="008B6E1A"/>
    <w:rsid w:val="008B7FAE"/>
    <w:rsid w:val="008C0022"/>
    <w:rsid w:val="008C0C47"/>
    <w:rsid w:val="008C10CD"/>
    <w:rsid w:val="008C118B"/>
    <w:rsid w:val="008C13C2"/>
    <w:rsid w:val="008C1890"/>
    <w:rsid w:val="008C1943"/>
    <w:rsid w:val="008C1BF2"/>
    <w:rsid w:val="008C1DC0"/>
    <w:rsid w:val="008C3E57"/>
    <w:rsid w:val="008C42AF"/>
    <w:rsid w:val="008C44D2"/>
    <w:rsid w:val="008C5814"/>
    <w:rsid w:val="008C63A7"/>
    <w:rsid w:val="008C6CBA"/>
    <w:rsid w:val="008C7291"/>
    <w:rsid w:val="008C7995"/>
    <w:rsid w:val="008C7A55"/>
    <w:rsid w:val="008C7EA4"/>
    <w:rsid w:val="008D0CB0"/>
    <w:rsid w:val="008D0E7B"/>
    <w:rsid w:val="008D0F7E"/>
    <w:rsid w:val="008D0FC6"/>
    <w:rsid w:val="008D1ACA"/>
    <w:rsid w:val="008D1CEA"/>
    <w:rsid w:val="008D20C2"/>
    <w:rsid w:val="008D2DA2"/>
    <w:rsid w:val="008D34B9"/>
    <w:rsid w:val="008D3F9D"/>
    <w:rsid w:val="008D41FC"/>
    <w:rsid w:val="008D4A00"/>
    <w:rsid w:val="008D5599"/>
    <w:rsid w:val="008D5E3C"/>
    <w:rsid w:val="008D60E3"/>
    <w:rsid w:val="008D636D"/>
    <w:rsid w:val="008D73BC"/>
    <w:rsid w:val="008D74E5"/>
    <w:rsid w:val="008D77C7"/>
    <w:rsid w:val="008E1728"/>
    <w:rsid w:val="008E18F1"/>
    <w:rsid w:val="008E209E"/>
    <w:rsid w:val="008E24DA"/>
    <w:rsid w:val="008E34FB"/>
    <w:rsid w:val="008E362C"/>
    <w:rsid w:val="008E5175"/>
    <w:rsid w:val="008E5A5A"/>
    <w:rsid w:val="008E5E4E"/>
    <w:rsid w:val="008E65C9"/>
    <w:rsid w:val="008E74C7"/>
    <w:rsid w:val="008E7CD8"/>
    <w:rsid w:val="008F1A2B"/>
    <w:rsid w:val="008F295A"/>
    <w:rsid w:val="008F3520"/>
    <w:rsid w:val="008F4745"/>
    <w:rsid w:val="008F5413"/>
    <w:rsid w:val="008F61A4"/>
    <w:rsid w:val="008F6AF7"/>
    <w:rsid w:val="008F7383"/>
    <w:rsid w:val="008F7628"/>
    <w:rsid w:val="008F7C18"/>
    <w:rsid w:val="00900E58"/>
    <w:rsid w:val="0090145A"/>
    <w:rsid w:val="00901B61"/>
    <w:rsid w:val="00902532"/>
    <w:rsid w:val="0090293E"/>
    <w:rsid w:val="009031FC"/>
    <w:rsid w:val="0090329D"/>
    <w:rsid w:val="009036F0"/>
    <w:rsid w:val="009047DD"/>
    <w:rsid w:val="00905D21"/>
    <w:rsid w:val="009066E1"/>
    <w:rsid w:val="009101A9"/>
    <w:rsid w:val="009106C1"/>
    <w:rsid w:val="00910F4F"/>
    <w:rsid w:val="00911E6C"/>
    <w:rsid w:val="00912F2D"/>
    <w:rsid w:val="0091354B"/>
    <w:rsid w:val="009137D8"/>
    <w:rsid w:val="00913D1A"/>
    <w:rsid w:val="00913F36"/>
    <w:rsid w:val="009149DF"/>
    <w:rsid w:val="009156AD"/>
    <w:rsid w:val="00915A69"/>
    <w:rsid w:val="00915B6B"/>
    <w:rsid w:val="009204D7"/>
    <w:rsid w:val="009218D7"/>
    <w:rsid w:val="00922D90"/>
    <w:rsid w:val="00924249"/>
    <w:rsid w:val="00924369"/>
    <w:rsid w:val="0092476B"/>
    <w:rsid w:val="00924D74"/>
    <w:rsid w:val="00925C06"/>
    <w:rsid w:val="009278EC"/>
    <w:rsid w:val="00927B1D"/>
    <w:rsid w:val="00931312"/>
    <w:rsid w:val="009318C2"/>
    <w:rsid w:val="00931E1D"/>
    <w:rsid w:val="00932E67"/>
    <w:rsid w:val="00933E2A"/>
    <w:rsid w:val="009342FA"/>
    <w:rsid w:val="0093461E"/>
    <w:rsid w:val="00934668"/>
    <w:rsid w:val="00935002"/>
    <w:rsid w:val="00935017"/>
    <w:rsid w:val="00936077"/>
    <w:rsid w:val="009362B0"/>
    <w:rsid w:val="009370E0"/>
    <w:rsid w:val="009371BC"/>
    <w:rsid w:val="00937A95"/>
    <w:rsid w:val="00940843"/>
    <w:rsid w:val="00940A75"/>
    <w:rsid w:val="009411E5"/>
    <w:rsid w:val="00942B24"/>
    <w:rsid w:val="00943BD9"/>
    <w:rsid w:val="00944F0E"/>
    <w:rsid w:val="0094509B"/>
    <w:rsid w:val="0094570D"/>
    <w:rsid w:val="00946F9F"/>
    <w:rsid w:val="00947540"/>
    <w:rsid w:val="009476E1"/>
    <w:rsid w:val="009479C4"/>
    <w:rsid w:val="009479ED"/>
    <w:rsid w:val="009504BF"/>
    <w:rsid w:val="00950A4D"/>
    <w:rsid w:val="00951277"/>
    <w:rsid w:val="009515E6"/>
    <w:rsid w:val="00951C03"/>
    <w:rsid w:val="00952DC2"/>
    <w:rsid w:val="00952EFC"/>
    <w:rsid w:val="009531C0"/>
    <w:rsid w:val="00953612"/>
    <w:rsid w:val="009540EE"/>
    <w:rsid w:val="00955DDC"/>
    <w:rsid w:val="00957B71"/>
    <w:rsid w:val="00957FC2"/>
    <w:rsid w:val="00960A6F"/>
    <w:rsid w:val="0096177C"/>
    <w:rsid w:val="00961C93"/>
    <w:rsid w:val="00963533"/>
    <w:rsid w:val="00963DDA"/>
    <w:rsid w:val="0096498E"/>
    <w:rsid w:val="009660B0"/>
    <w:rsid w:val="0096628D"/>
    <w:rsid w:val="00966746"/>
    <w:rsid w:val="0096728D"/>
    <w:rsid w:val="0096772D"/>
    <w:rsid w:val="009702A6"/>
    <w:rsid w:val="009702D6"/>
    <w:rsid w:val="00972B18"/>
    <w:rsid w:val="00973FA7"/>
    <w:rsid w:val="009741D3"/>
    <w:rsid w:val="00975801"/>
    <w:rsid w:val="00975CEB"/>
    <w:rsid w:val="00975E45"/>
    <w:rsid w:val="009771CB"/>
    <w:rsid w:val="0097725D"/>
    <w:rsid w:val="0098019B"/>
    <w:rsid w:val="00980247"/>
    <w:rsid w:val="0098063D"/>
    <w:rsid w:val="00981003"/>
    <w:rsid w:val="00981F13"/>
    <w:rsid w:val="00983039"/>
    <w:rsid w:val="0098330F"/>
    <w:rsid w:val="00983E33"/>
    <w:rsid w:val="00984A5B"/>
    <w:rsid w:val="0098517E"/>
    <w:rsid w:val="0098538E"/>
    <w:rsid w:val="00985AD3"/>
    <w:rsid w:val="00985E6D"/>
    <w:rsid w:val="00986082"/>
    <w:rsid w:val="009865E2"/>
    <w:rsid w:val="0098719C"/>
    <w:rsid w:val="00987615"/>
    <w:rsid w:val="009877F2"/>
    <w:rsid w:val="00987CBF"/>
    <w:rsid w:val="009901DF"/>
    <w:rsid w:val="00990DCA"/>
    <w:rsid w:val="00991FA4"/>
    <w:rsid w:val="0099299B"/>
    <w:rsid w:val="00992B09"/>
    <w:rsid w:val="00993B36"/>
    <w:rsid w:val="009956A5"/>
    <w:rsid w:val="00995CFC"/>
    <w:rsid w:val="009965F2"/>
    <w:rsid w:val="009A038A"/>
    <w:rsid w:val="009A0793"/>
    <w:rsid w:val="009A09DB"/>
    <w:rsid w:val="009A15C7"/>
    <w:rsid w:val="009A2B73"/>
    <w:rsid w:val="009A3A82"/>
    <w:rsid w:val="009A436B"/>
    <w:rsid w:val="009A4703"/>
    <w:rsid w:val="009A495C"/>
    <w:rsid w:val="009A687E"/>
    <w:rsid w:val="009A7595"/>
    <w:rsid w:val="009A7A7E"/>
    <w:rsid w:val="009A7F1E"/>
    <w:rsid w:val="009B0921"/>
    <w:rsid w:val="009B13C8"/>
    <w:rsid w:val="009B18A4"/>
    <w:rsid w:val="009B1F86"/>
    <w:rsid w:val="009B2BFF"/>
    <w:rsid w:val="009B3280"/>
    <w:rsid w:val="009B36E4"/>
    <w:rsid w:val="009B3AF2"/>
    <w:rsid w:val="009B3B7D"/>
    <w:rsid w:val="009B40AA"/>
    <w:rsid w:val="009B427E"/>
    <w:rsid w:val="009B4820"/>
    <w:rsid w:val="009B49CA"/>
    <w:rsid w:val="009B5597"/>
    <w:rsid w:val="009B55F8"/>
    <w:rsid w:val="009B5E5A"/>
    <w:rsid w:val="009B65BC"/>
    <w:rsid w:val="009B6672"/>
    <w:rsid w:val="009B6A1C"/>
    <w:rsid w:val="009B6C2D"/>
    <w:rsid w:val="009B6CD9"/>
    <w:rsid w:val="009B78CF"/>
    <w:rsid w:val="009B7C52"/>
    <w:rsid w:val="009C0584"/>
    <w:rsid w:val="009C32C1"/>
    <w:rsid w:val="009C34DB"/>
    <w:rsid w:val="009C40CB"/>
    <w:rsid w:val="009C4634"/>
    <w:rsid w:val="009C4D5F"/>
    <w:rsid w:val="009C4F48"/>
    <w:rsid w:val="009C5473"/>
    <w:rsid w:val="009C5AD9"/>
    <w:rsid w:val="009C5D81"/>
    <w:rsid w:val="009C6602"/>
    <w:rsid w:val="009C69B0"/>
    <w:rsid w:val="009C6AE0"/>
    <w:rsid w:val="009C72DE"/>
    <w:rsid w:val="009D038F"/>
    <w:rsid w:val="009D0676"/>
    <w:rsid w:val="009D0C79"/>
    <w:rsid w:val="009D0E86"/>
    <w:rsid w:val="009D0FAE"/>
    <w:rsid w:val="009D177D"/>
    <w:rsid w:val="009D20BC"/>
    <w:rsid w:val="009D241A"/>
    <w:rsid w:val="009D279B"/>
    <w:rsid w:val="009D2973"/>
    <w:rsid w:val="009D2FD8"/>
    <w:rsid w:val="009D3A8C"/>
    <w:rsid w:val="009D3E78"/>
    <w:rsid w:val="009D3FCA"/>
    <w:rsid w:val="009D44A0"/>
    <w:rsid w:val="009D564D"/>
    <w:rsid w:val="009D6743"/>
    <w:rsid w:val="009D67C0"/>
    <w:rsid w:val="009D7294"/>
    <w:rsid w:val="009D7FC1"/>
    <w:rsid w:val="009E0C59"/>
    <w:rsid w:val="009E131C"/>
    <w:rsid w:val="009E1B43"/>
    <w:rsid w:val="009E1C91"/>
    <w:rsid w:val="009E24A2"/>
    <w:rsid w:val="009E2DC4"/>
    <w:rsid w:val="009E4B6D"/>
    <w:rsid w:val="009E6160"/>
    <w:rsid w:val="009E62CA"/>
    <w:rsid w:val="009E7646"/>
    <w:rsid w:val="009E7A20"/>
    <w:rsid w:val="009F021E"/>
    <w:rsid w:val="009F0936"/>
    <w:rsid w:val="009F1C15"/>
    <w:rsid w:val="009F1E15"/>
    <w:rsid w:val="009F312E"/>
    <w:rsid w:val="009F3611"/>
    <w:rsid w:val="009F45DB"/>
    <w:rsid w:val="009F4C64"/>
    <w:rsid w:val="009F4E34"/>
    <w:rsid w:val="009F4FCC"/>
    <w:rsid w:val="009F58F2"/>
    <w:rsid w:val="009F61F6"/>
    <w:rsid w:val="009F666D"/>
    <w:rsid w:val="009F6B74"/>
    <w:rsid w:val="009F7543"/>
    <w:rsid w:val="009F76AD"/>
    <w:rsid w:val="00A005A5"/>
    <w:rsid w:val="00A0148A"/>
    <w:rsid w:val="00A01FCB"/>
    <w:rsid w:val="00A047CE"/>
    <w:rsid w:val="00A04EF6"/>
    <w:rsid w:val="00A063DA"/>
    <w:rsid w:val="00A0644D"/>
    <w:rsid w:val="00A06531"/>
    <w:rsid w:val="00A06E08"/>
    <w:rsid w:val="00A07150"/>
    <w:rsid w:val="00A1030D"/>
    <w:rsid w:val="00A11CF4"/>
    <w:rsid w:val="00A12688"/>
    <w:rsid w:val="00A1272B"/>
    <w:rsid w:val="00A1340D"/>
    <w:rsid w:val="00A138B9"/>
    <w:rsid w:val="00A1396E"/>
    <w:rsid w:val="00A13FD5"/>
    <w:rsid w:val="00A1446E"/>
    <w:rsid w:val="00A151CC"/>
    <w:rsid w:val="00A15E5A"/>
    <w:rsid w:val="00A20C0B"/>
    <w:rsid w:val="00A20EF7"/>
    <w:rsid w:val="00A216AE"/>
    <w:rsid w:val="00A21C2F"/>
    <w:rsid w:val="00A227B1"/>
    <w:rsid w:val="00A23548"/>
    <w:rsid w:val="00A2433F"/>
    <w:rsid w:val="00A24E53"/>
    <w:rsid w:val="00A2547C"/>
    <w:rsid w:val="00A254F8"/>
    <w:rsid w:val="00A258BF"/>
    <w:rsid w:val="00A268FB"/>
    <w:rsid w:val="00A26BF7"/>
    <w:rsid w:val="00A26DDC"/>
    <w:rsid w:val="00A278CD"/>
    <w:rsid w:val="00A27D1A"/>
    <w:rsid w:val="00A30328"/>
    <w:rsid w:val="00A30353"/>
    <w:rsid w:val="00A30BC9"/>
    <w:rsid w:val="00A31556"/>
    <w:rsid w:val="00A31DAE"/>
    <w:rsid w:val="00A32B97"/>
    <w:rsid w:val="00A32EA1"/>
    <w:rsid w:val="00A33259"/>
    <w:rsid w:val="00A334CF"/>
    <w:rsid w:val="00A3381A"/>
    <w:rsid w:val="00A3524D"/>
    <w:rsid w:val="00A35662"/>
    <w:rsid w:val="00A3584E"/>
    <w:rsid w:val="00A36098"/>
    <w:rsid w:val="00A36896"/>
    <w:rsid w:val="00A36FE6"/>
    <w:rsid w:val="00A40AD5"/>
    <w:rsid w:val="00A41BFD"/>
    <w:rsid w:val="00A42AC6"/>
    <w:rsid w:val="00A433EA"/>
    <w:rsid w:val="00A4687C"/>
    <w:rsid w:val="00A468F6"/>
    <w:rsid w:val="00A469A8"/>
    <w:rsid w:val="00A47B9F"/>
    <w:rsid w:val="00A47FD1"/>
    <w:rsid w:val="00A504DC"/>
    <w:rsid w:val="00A50796"/>
    <w:rsid w:val="00A50D57"/>
    <w:rsid w:val="00A52165"/>
    <w:rsid w:val="00A533FB"/>
    <w:rsid w:val="00A537AE"/>
    <w:rsid w:val="00A53BC6"/>
    <w:rsid w:val="00A53DD5"/>
    <w:rsid w:val="00A54BE6"/>
    <w:rsid w:val="00A553B5"/>
    <w:rsid w:val="00A56155"/>
    <w:rsid w:val="00A574B9"/>
    <w:rsid w:val="00A61007"/>
    <w:rsid w:val="00A612F0"/>
    <w:rsid w:val="00A61C9C"/>
    <w:rsid w:val="00A624F1"/>
    <w:rsid w:val="00A62C1D"/>
    <w:rsid w:val="00A63B12"/>
    <w:rsid w:val="00A676FA"/>
    <w:rsid w:val="00A67AEA"/>
    <w:rsid w:val="00A7055E"/>
    <w:rsid w:val="00A718FE"/>
    <w:rsid w:val="00A71B50"/>
    <w:rsid w:val="00A7273E"/>
    <w:rsid w:val="00A72792"/>
    <w:rsid w:val="00A73286"/>
    <w:rsid w:val="00A77257"/>
    <w:rsid w:val="00A778AB"/>
    <w:rsid w:val="00A80A6E"/>
    <w:rsid w:val="00A824D4"/>
    <w:rsid w:val="00A82BA2"/>
    <w:rsid w:val="00A82E9C"/>
    <w:rsid w:val="00A83303"/>
    <w:rsid w:val="00A8412C"/>
    <w:rsid w:val="00A84CFB"/>
    <w:rsid w:val="00A85514"/>
    <w:rsid w:val="00A8569D"/>
    <w:rsid w:val="00A874A6"/>
    <w:rsid w:val="00A90EA7"/>
    <w:rsid w:val="00A91266"/>
    <w:rsid w:val="00A9148B"/>
    <w:rsid w:val="00A914D2"/>
    <w:rsid w:val="00A915AB"/>
    <w:rsid w:val="00A9383C"/>
    <w:rsid w:val="00A94189"/>
    <w:rsid w:val="00A94565"/>
    <w:rsid w:val="00A9643E"/>
    <w:rsid w:val="00A9693B"/>
    <w:rsid w:val="00A96BC9"/>
    <w:rsid w:val="00A96E17"/>
    <w:rsid w:val="00A97035"/>
    <w:rsid w:val="00A97079"/>
    <w:rsid w:val="00A97138"/>
    <w:rsid w:val="00AA077D"/>
    <w:rsid w:val="00AA261A"/>
    <w:rsid w:val="00AA2B65"/>
    <w:rsid w:val="00AA301B"/>
    <w:rsid w:val="00AA3524"/>
    <w:rsid w:val="00AA4C06"/>
    <w:rsid w:val="00AA5892"/>
    <w:rsid w:val="00AA64AF"/>
    <w:rsid w:val="00AA6BDE"/>
    <w:rsid w:val="00AA6E8C"/>
    <w:rsid w:val="00AB08D8"/>
    <w:rsid w:val="00AB091F"/>
    <w:rsid w:val="00AB15E3"/>
    <w:rsid w:val="00AB1814"/>
    <w:rsid w:val="00AB19D5"/>
    <w:rsid w:val="00AB2237"/>
    <w:rsid w:val="00AB26F1"/>
    <w:rsid w:val="00AB2B62"/>
    <w:rsid w:val="00AB32EE"/>
    <w:rsid w:val="00AB40F4"/>
    <w:rsid w:val="00AB4363"/>
    <w:rsid w:val="00AB58D6"/>
    <w:rsid w:val="00AB5A66"/>
    <w:rsid w:val="00AB5E2C"/>
    <w:rsid w:val="00AC0FE2"/>
    <w:rsid w:val="00AC15C2"/>
    <w:rsid w:val="00AC2E9B"/>
    <w:rsid w:val="00AC3095"/>
    <w:rsid w:val="00AC3D6D"/>
    <w:rsid w:val="00AC3D87"/>
    <w:rsid w:val="00AC407F"/>
    <w:rsid w:val="00AC4982"/>
    <w:rsid w:val="00AC4A8A"/>
    <w:rsid w:val="00AC4BDE"/>
    <w:rsid w:val="00AC567F"/>
    <w:rsid w:val="00AC5AE1"/>
    <w:rsid w:val="00AC65F6"/>
    <w:rsid w:val="00AC69A1"/>
    <w:rsid w:val="00AC7697"/>
    <w:rsid w:val="00AC7D75"/>
    <w:rsid w:val="00AD0177"/>
    <w:rsid w:val="00AD0807"/>
    <w:rsid w:val="00AD1022"/>
    <w:rsid w:val="00AD11D9"/>
    <w:rsid w:val="00AD1292"/>
    <w:rsid w:val="00AD1DB8"/>
    <w:rsid w:val="00AD2B5B"/>
    <w:rsid w:val="00AD325B"/>
    <w:rsid w:val="00AD5716"/>
    <w:rsid w:val="00AD583B"/>
    <w:rsid w:val="00AD5A39"/>
    <w:rsid w:val="00AD5ABF"/>
    <w:rsid w:val="00AD5AE9"/>
    <w:rsid w:val="00AD641F"/>
    <w:rsid w:val="00AD72A6"/>
    <w:rsid w:val="00AD7A49"/>
    <w:rsid w:val="00AD7A58"/>
    <w:rsid w:val="00AE0CE6"/>
    <w:rsid w:val="00AE13FC"/>
    <w:rsid w:val="00AE16A5"/>
    <w:rsid w:val="00AE16C7"/>
    <w:rsid w:val="00AE3301"/>
    <w:rsid w:val="00AE5162"/>
    <w:rsid w:val="00AE594A"/>
    <w:rsid w:val="00AE5D78"/>
    <w:rsid w:val="00AE64E0"/>
    <w:rsid w:val="00AE681B"/>
    <w:rsid w:val="00AE79C6"/>
    <w:rsid w:val="00AE7EB6"/>
    <w:rsid w:val="00AF0025"/>
    <w:rsid w:val="00AF1614"/>
    <w:rsid w:val="00AF1761"/>
    <w:rsid w:val="00AF1B6C"/>
    <w:rsid w:val="00AF1B7E"/>
    <w:rsid w:val="00AF1C40"/>
    <w:rsid w:val="00AF2345"/>
    <w:rsid w:val="00AF243D"/>
    <w:rsid w:val="00AF2794"/>
    <w:rsid w:val="00AF2A4C"/>
    <w:rsid w:val="00AF2C1B"/>
    <w:rsid w:val="00AF3BC8"/>
    <w:rsid w:val="00AF3DE5"/>
    <w:rsid w:val="00AF51CC"/>
    <w:rsid w:val="00AF7954"/>
    <w:rsid w:val="00AF7DE5"/>
    <w:rsid w:val="00B021C4"/>
    <w:rsid w:val="00B05120"/>
    <w:rsid w:val="00B05916"/>
    <w:rsid w:val="00B05B3E"/>
    <w:rsid w:val="00B0775B"/>
    <w:rsid w:val="00B077E9"/>
    <w:rsid w:val="00B078BD"/>
    <w:rsid w:val="00B100F1"/>
    <w:rsid w:val="00B10CF8"/>
    <w:rsid w:val="00B1134E"/>
    <w:rsid w:val="00B12114"/>
    <w:rsid w:val="00B12DB3"/>
    <w:rsid w:val="00B138B2"/>
    <w:rsid w:val="00B140F9"/>
    <w:rsid w:val="00B141E5"/>
    <w:rsid w:val="00B14222"/>
    <w:rsid w:val="00B1462B"/>
    <w:rsid w:val="00B15872"/>
    <w:rsid w:val="00B15E15"/>
    <w:rsid w:val="00B16882"/>
    <w:rsid w:val="00B16B73"/>
    <w:rsid w:val="00B16EA4"/>
    <w:rsid w:val="00B204FB"/>
    <w:rsid w:val="00B20D26"/>
    <w:rsid w:val="00B21339"/>
    <w:rsid w:val="00B2151A"/>
    <w:rsid w:val="00B219AB"/>
    <w:rsid w:val="00B22516"/>
    <w:rsid w:val="00B22DED"/>
    <w:rsid w:val="00B23D74"/>
    <w:rsid w:val="00B248DC"/>
    <w:rsid w:val="00B2492F"/>
    <w:rsid w:val="00B253CC"/>
    <w:rsid w:val="00B25AD7"/>
    <w:rsid w:val="00B25DEF"/>
    <w:rsid w:val="00B26341"/>
    <w:rsid w:val="00B26630"/>
    <w:rsid w:val="00B2674C"/>
    <w:rsid w:val="00B27BAD"/>
    <w:rsid w:val="00B30106"/>
    <w:rsid w:val="00B31FA4"/>
    <w:rsid w:val="00B32956"/>
    <w:rsid w:val="00B3295E"/>
    <w:rsid w:val="00B32CA8"/>
    <w:rsid w:val="00B347BC"/>
    <w:rsid w:val="00B358F3"/>
    <w:rsid w:val="00B3698A"/>
    <w:rsid w:val="00B407F0"/>
    <w:rsid w:val="00B413ED"/>
    <w:rsid w:val="00B4160E"/>
    <w:rsid w:val="00B4246E"/>
    <w:rsid w:val="00B43860"/>
    <w:rsid w:val="00B4516E"/>
    <w:rsid w:val="00B46F61"/>
    <w:rsid w:val="00B52436"/>
    <w:rsid w:val="00B530E6"/>
    <w:rsid w:val="00B5355B"/>
    <w:rsid w:val="00B55C52"/>
    <w:rsid w:val="00B55E99"/>
    <w:rsid w:val="00B563A0"/>
    <w:rsid w:val="00B56408"/>
    <w:rsid w:val="00B57E9B"/>
    <w:rsid w:val="00B619DA"/>
    <w:rsid w:val="00B62196"/>
    <w:rsid w:val="00B6385C"/>
    <w:rsid w:val="00B63973"/>
    <w:rsid w:val="00B65ADE"/>
    <w:rsid w:val="00B667A5"/>
    <w:rsid w:val="00B71366"/>
    <w:rsid w:val="00B71415"/>
    <w:rsid w:val="00B723BA"/>
    <w:rsid w:val="00B72412"/>
    <w:rsid w:val="00B72D3C"/>
    <w:rsid w:val="00B73904"/>
    <w:rsid w:val="00B73D70"/>
    <w:rsid w:val="00B73ECB"/>
    <w:rsid w:val="00B73F78"/>
    <w:rsid w:val="00B74573"/>
    <w:rsid w:val="00B758DF"/>
    <w:rsid w:val="00B75C78"/>
    <w:rsid w:val="00B8014E"/>
    <w:rsid w:val="00B80D4B"/>
    <w:rsid w:val="00B827D6"/>
    <w:rsid w:val="00B83A73"/>
    <w:rsid w:val="00B83F31"/>
    <w:rsid w:val="00B85C3D"/>
    <w:rsid w:val="00B86649"/>
    <w:rsid w:val="00B91930"/>
    <w:rsid w:val="00B91A23"/>
    <w:rsid w:val="00B91B20"/>
    <w:rsid w:val="00B9224A"/>
    <w:rsid w:val="00B92658"/>
    <w:rsid w:val="00B93EE5"/>
    <w:rsid w:val="00B94010"/>
    <w:rsid w:val="00B95672"/>
    <w:rsid w:val="00B95B3E"/>
    <w:rsid w:val="00B95DE2"/>
    <w:rsid w:val="00B9622A"/>
    <w:rsid w:val="00B969B3"/>
    <w:rsid w:val="00B96CD4"/>
    <w:rsid w:val="00B96D49"/>
    <w:rsid w:val="00B973B1"/>
    <w:rsid w:val="00BA043A"/>
    <w:rsid w:val="00BA1A8E"/>
    <w:rsid w:val="00BA240F"/>
    <w:rsid w:val="00BA3CE5"/>
    <w:rsid w:val="00BA3D1A"/>
    <w:rsid w:val="00BA3E31"/>
    <w:rsid w:val="00BA4D33"/>
    <w:rsid w:val="00BA4D70"/>
    <w:rsid w:val="00BA4EF9"/>
    <w:rsid w:val="00BA4FD9"/>
    <w:rsid w:val="00BA597C"/>
    <w:rsid w:val="00BA5C34"/>
    <w:rsid w:val="00BA65D7"/>
    <w:rsid w:val="00BA75D9"/>
    <w:rsid w:val="00BB12CC"/>
    <w:rsid w:val="00BB1E0B"/>
    <w:rsid w:val="00BB2586"/>
    <w:rsid w:val="00BB2B80"/>
    <w:rsid w:val="00BB3404"/>
    <w:rsid w:val="00BB3EEB"/>
    <w:rsid w:val="00BB7970"/>
    <w:rsid w:val="00BC16C9"/>
    <w:rsid w:val="00BC1CAB"/>
    <w:rsid w:val="00BC1DB4"/>
    <w:rsid w:val="00BC252C"/>
    <w:rsid w:val="00BC2653"/>
    <w:rsid w:val="00BC282A"/>
    <w:rsid w:val="00BC29AC"/>
    <w:rsid w:val="00BC3210"/>
    <w:rsid w:val="00BC38BD"/>
    <w:rsid w:val="00BC4A2D"/>
    <w:rsid w:val="00BC4D8D"/>
    <w:rsid w:val="00BD0F73"/>
    <w:rsid w:val="00BD1B7B"/>
    <w:rsid w:val="00BD385D"/>
    <w:rsid w:val="00BD3A8D"/>
    <w:rsid w:val="00BD509E"/>
    <w:rsid w:val="00BD5D5D"/>
    <w:rsid w:val="00BD61E1"/>
    <w:rsid w:val="00BD6559"/>
    <w:rsid w:val="00BD6625"/>
    <w:rsid w:val="00BD6B35"/>
    <w:rsid w:val="00BD6D14"/>
    <w:rsid w:val="00BD7C55"/>
    <w:rsid w:val="00BD7C7A"/>
    <w:rsid w:val="00BE10E8"/>
    <w:rsid w:val="00BE146B"/>
    <w:rsid w:val="00BE1946"/>
    <w:rsid w:val="00BE2108"/>
    <w:rsid w:val="00BE229B"/>
    <w:rsid w:val="00BE35D0"/>
    <w:rsid w:val="00BE605C"/>
    <w:rsid w:val="00BE6CCB"/>
    <w:rsid w:val="00BE73E7"/>
    <w:rsid w:val="00BF0043"/>
    <w:rsid w:val="00BF0D99"/>
    <w:rsid w:val="00BF2916"/>
    <w:rsid w:val="00BF2DDD"/>
    <w:rsid w:val="00BF339B"/>
    <w:rsid w:val="00BF3B85"/>
    <w:rsid w:val="00BF3CE8"/>
    <w:rsid w:val="00BF3DF3"/>
    <w:rsid w:val="00BF40BF"/>
    <w:rsid w:val="00BF4871"/>
    <w:rsid w:val="00BF4D68"/>
    <w:rsid w:val="00BF4F21"/>
    <w:rsid w:val="00BF67BD"/>
    <w:rsid w:val="00BF74A6"/>
    <w:rsid w:val="00BF74B4"/>
    <w:rsid w:val="00BF7A7A"/>
    <w:rsid w:val="00C00DB1"/>
    <w:rsid w:val="00C01991"/>
    <w:rsid w:val="00C01D9C"/>
    <w:rsid w:val="00C01DEA"/>
    <w:rsid w:val="00C0343F"/>
    <w:rsid w:val="00C03ADD"/>
    <w:rsid w:val="00C04B6D"/>
    <w:rsid w:val="00C04E62"/>
    <w:rsid w:val="00C068AC"/>
    <w:rsid w:val="00C06D8C"/>
    <w:rsid w:val="00C10513"/>
    <w:rsid w:val="00C107C7"/>
    <w:rsid w:val="00C10E7C"/>
    <w:rsid w:val="00C1175A"/>
    <w:rsid w:val="00C11E09"/>
    <w:rsid w:val="00C129CB"/>
    <w:rsid w:val="00C14F0D"/>
    <w:rsid w:val="00C14FFA"/>
    <w:rsid w:val="00C16441"/>
    <w:rsid w:val="00C16676"/>
    <w:rsid w:val="00C16A3F"/>
    <w:rsid w:val="00C17468"/>
    <w:rsid w:val="00C204B6"/>
    <w:rsid w:val="00C20918"/>
    <w:rsid w:val="00C21352"/>
    <w:rsid w:val="00C21712"/>
    <w:rsid w:val="00C21BD1"/>
    <w:rsid w:val="00C22599"/>
    <w:rsid w:val="00C22903"/>
    <w:rsid w:val="00C22A46"/>
    <w:rsid w:val="00C22EA9"/>
    <w:rsid w:val="00C23EBB"/>
    <w:rsid w:val="00C24592"/>
    <w:rsid w:val="00C24A40"/>
    <w:rsid w:val="00C24AB9"/>
    <w:rsid w:val="00C24E63"/>
    <w:rsid w:val="00C268B7"/>
    <w:rsid w:val="00C26E60"/>
    <w:rsid w:val="00C273FB"/>
    <w:rsid w:val="00C27FF0"/>
    <w:rsid w:val="00C31906"/>
    <w:rsid w:val="00C319D8"/>
    <w:rsid w:val="00C32049"/>
    <w:rsid w:val="00C33145"/>
    <w:rsid w:val="00C33B74"/>
    <w:rsid w:val="00C34527"/>
    <w:rsid w:val="00C359F6"/>
    <w:rsid w:val="00C35EA8"/>
    <w:rsid w:val="00C37209"/>
    <w:rsid w:val="00C3794A"/>
    <w:rsid w:val="00C405A3"/>
    <w:rsid w:val="00C40B1C"/>
    <w:rsid w:val="00C40BFA"/>
    <w:rsid w:val="00C41274"/>
    <w:rsid w:val="00C419CF"/>
    <w:rsid w:val="00C41C98"/>
    <w:rsid w:val="00C433D4"/>
    <w:rsid w:val="00C43663"/>
    <w:rsid w:val="00C43950"/>
    <w:rsid w:val="00C43DCC"/>
    <w:rsid w:val="00C43E1C"/>
    <w:rsid w:val="00C44B9F"/>
    <w:rsid w:val="00C450F3"/>
    <w:rsid w:val="00C45200"/>
    <w:rsid w:val="00C47607"/>
    <w:rsid w:val="00C47D05"/>
    <w:rsid w:val="00C5033B"/>
    <w:rsid w:val="00C50652"/>
    <w:rsid w:val="00C50AA9"/>
    <w:rsid w:val="00C50AEF"/>
    <w:rsid w:val="00C53287"/>
    <w:rsid w:val="00C534FC"/>
    <w:rsid w:val="00C539CC"/>
    <w:rsid w:val="00C5430C"/>
    <w:rsid w:val="00C5451D"/>
    <w:rsid w:val="00C54640"/>
    <w:rsid w:val="00C54BFC"/>
    <w:rsid w:val="00C55DAA"/>
    <w:rsid w:val="00C56AF9"/>
    <w:rsid w:val="00C57493"/>
    <w:rsid w:val="00C60C0B"/>
    <w:rsid w:val="00C6196F"/>
    <w:rsid w:val="00C62907"/>
    <w:rsid w:val="00C62D3F"/>
    <w:rsid w:val="00C63ADB"/>
    <w:rsid w:val="00C64DD1"/>
    <w:rsid w:val="00C65592"/>
    <w:rsid w:val="00C6565F"/>
    <w:rsid w:val="00C70D55"/>
    <w:rsid w:val="00C70FB1"/>
    <w:rsid w:val="00C71463"/>
    <w:rsid w:val="00C718F5"/>
    <w:rsid w:val="00C72045"/>
    <w:rsid w:val="00C72809"/>
    <w:rsid w:val="00C72F30"/>
    <w:rsid w:val="00C7524C"/>
    <w:rsid w:val="00C752D1"/>
    <w:rsid w:val="00C75BD8"/>
    <w:rsid w:val="00C76415"/>
    <w:rsid w:val="00C76C6F"/>
    <w:rsid w:val="00C76E3A"/>
    <w:rsid w:val="00C76EF4"/>
    <w:rsid w:val="00C777A5"/>
    <w:rsid w:val="00C8114B"/>
    <w:rsid w:val="00C81C37"/>
    <w:rsid w:val="00C82412"/>
    <w:rsid w:val="00C82F3A"/>
    <w:rsid w:val="00C83215"/>
    <w:rsid w:val="00C836FB"/>
    <w:rsid w:val="00C83C6C"/>
    <w:rsid w:val="00C84D3E"/>
    <w:rsid w:val="00C8502E"/>
    <w:rsid w:val="00C85730"/>
    <w:rsid w:val="00C8597A"/>
    <w:rsid w:val="00C8708F"/>
    <w:rsid w:val="00C87946"/>
    <w:rsid w:val="00C87CE1"/>
    <w:rsid w:val="00C90BA0"/>
    <w:rsid w:val="00C911E3"/>
    <w:rsid w:val="00C9239A"/>
    <w:rsid w:val="00C926A0"/>
    <w:rsid w:val="00C92D5C"/>
    <w:rsid w:val="00C92E68"/>
    <w:rsid w:val="00C9305C"/>
    <w:rsid w:val="00C93245"/>
    <w:rsid w:val="00C939F7"/>
    <w:rsid w:val="00C94862"/>
    <w:rsid w:val="00C96E58"/>
    <w:rsid w:val="00C97EA6"/>
    <w:rsid w:val="00CA00C7"/>
    <w:rsid w:val="00CA16E2"/>
    <w:rsid w:val="00CA225E"/>
    <w:rsid w:val="00CA2C0A"/>
    <w:rsid w:val="00CA2ED7"/>
    <w:rsid w:val="00CA41EB"/>
    <w:rsid w:val="00CA41F2"/>
    <w:rsid w:val="00CA46F1"/>
    <w:rsid w:val="00CA48DC"/>
    <w:rsid w:val="00CA5279"/>
    <w:rsid w:val="00CA52BD"/>
    <w:rsid w:val="00CA6754"/>
    <w:rsid w:val="00CB0D13"/>
    <w:rsid w:val="00CB2D47"/>
    <w:rsid w:val="00CB39D4"/>
    <w:rsid w:val="00CB50ED"/>
    <w:rsid w:val="00CB5459"/>
    <w:rsid w:val="00CB6731"/>
    <w:rsid w:val="00CB6C2D"/>
    <w:rsid w:val="00CB7097"/>
    <w:rsid w:val="00CC095C"/>
    <w:rsid w:val="00CC0F7C"/>
    <w:rsid w:val="00CC11FD"/>
    <w:rsid w:val="00CC16C4"/>
    <w:rsid w:val="00CC1FA7"/>
    <w:rsid w:val="00CC2B5A"/>
    <w:rsid w:val="00CC2C78"/>
    <w:rsid w:val="00CC2F75"/>
    <w:rsid w:val="00CC4E45"/>
    <w:rsid w:val="00CC534B"/>
    <w:rsid w:val="00CC5A39"/>
    <w:rsid w:val="00CC66D1"/>
    <w:rsid w:val="00CC6942"/>
    <w:rsid w:val="00CC714C"/>
    <w:rsid w:val="00CC74DD"/>
    <w:rsid w:val="00CC74DF"/>
    <w:rsid w:val="00CC7826"/>
    <w:rsid w:val="00CC786C"/>
    <w:rsid w:val="00CC7ECD"/>
    <w:rsid w:val="00CD0377"/>
    <w:rsid w:val="00CD15A7"/>
    <w:rsid w:val="00CD15B8"/>
    <w:rsid w:val="00CD1C99"/>
    <w:rsid w:val="00CD23C3"/>
    <w:rsid w:val="00CD57DB"/>
    <w:rsid w:val="00CD5AF4"/>
    <w:rsid w:val="00CD70C7"/>
    <w:rsid w:val="00CD7642"/>
    <w:rsid w:val="00CE03E4"/>
    <w:rsid w:val="00CE094E"/>
    <w:rsid w:val="00CE0A47"/>
    <w:rsid w:val="00CE0B72"/>
    <w:rsid w:val="00CE1151"/>
    <w:rsid w:val="00CE2EF7"/>
    <w:rsid w:val="00CE3368"/>
    <w:rsid w:val="00CE346E"/>
    <w:rsid w:val="00CE3D4A"/>
    <w:rsid w:val="00CE407C"/>
    <w:rsid w:val="00CE50D6"/>
    <w:rsid w:val="00CE57BF"/>
    <w:rsid w:val="00CE6042"/>
    <w:rsid w:val="00CE711F"/>
    <w:rsid w:val="00CE74CD"/>
    <w:rsid w:val="00CF2517"/>
    <w:rsid w:val="00CF44FE"/>
    <w:rsid w:val="00CF5D1F"/>
    <w:rsid w:val="00CF6DB5"/>
    <w:rsid w:val="00D0015B"/>
    <w:rsid w:val="00D00C34"/>
    <w:rsid w:val="00D020F3"/>
    <w:rsid w:val="00D02909"/>
    <w:rsid w:val="00D02D83"/>
    <w:rsid w:val="00D02FCA"/>
    <w:rsid w:val="00D03BAD"/>
    <w:rsid w:val="00D04626"/>
    <w:rsid w:val="00D0492B"/>
    <w:rsid w:val="00D04A84"/>
    <w:rsid w:val="00D05546"/>
    <w:rsid w:val="00D05FB8"/>
    <w:rsid w:val="00D06902"/>
    <w:rsid w:val="00D10D5A"/>
    <w:rsid w:val="00D11E4F"/>
    <w:rsid w:val="00D123E3"/>
    <w:rsid w:val="00D12515"/>
    <w:rsid w:val="00D12CAE"/>
    <w:rsid w:val="00D12CBB"/>
    <w:rsid w:val="00D13528"/>
    <w:rsid w:val="00D135A1"/>
    <w:rsid w:val="00D14E42"/>
    <w:rsid w:val="00D15BCD"/>
    <w:rsid w:val="00D16C03"/>
    <w:rsid w:val="00D17A8A"/>
    <w:rsid w:val="00D20308"/>
    <w:rsid w:val="00D207A1"/>
    <w:rsid w:val="00D21079"/>
    <w:rsid w:val="00D22273"/>
    <w:rsid w:val="00D22F04"/>
    <w:rsid w:val="00D24F40"/>
    <w:rsid w:val="00D253C4"/>
    <w:rsid w:val="00D2598D"/>
    <w:rsid w:val="00D2745C"/>
    <w:rsid w:val="00D279E7"/>
    <w:rsid w:val="00D31B01"/>
    <w:rsid w:val="00D31C9D"/>
    <w:rsid w:val="00D31F6B"/>
    <w:rsid w:val="00D320DF"/>
    <w:rsid w:val="00D322E6"/>
    <w:rsid w:val="00D3237D"/>
    <w:rsid w:val="00D324AF"/>
    <w:rsid w:val="00D32DD8"/>
    <w:rsid w:val="00D333F1"/>
    <w:rsid w:val="00D34909"/>
    <w:rsid w:val="00D36FE2"/>
    <w:rsid w:val="00D37485"/>
    <w:rsid w:val="00D3776D"/>
    <w:rsid w:val="00D37D91"/>
    <w:rsid w:val="00D37E15"/>
    <w:rsid w:val="00D41B08"/>
    <w:rsid w:val="00D42697"/>
    <w:rsid w:val="00D42A83"/>
    <w:rsid w:val="00D43095"/>
    <w:rsid w:val="00D44661"/>
    <w:rsid w:val="00D44668"/>
    <w:rsid w:val="00D458D6"/>
    <w:rsid w:val="00D46DFD"/>
    <w:rsid w:val="00D46E79"/>
    <w:rsid w:val="00D47962"/>
    <w:rsid w:val="00D47D3F"/>
    <w:rsid w:val="00D5133D"/>
    <w:rsid w:val="00D52050"/>
    <w:rsid w:val="00D52D70"/>
    <w:rsid w:val="00D52E7D"/>
    <w:rsid w:val="00D54B58"/>
    <w:rsid w:val="00D56717"/>
    <w:rsid w:val="00D622F8"/>
    <w:rsid w:val="00D62DA7"/>
    <w:rsid w:val="00D63882"/>
    <w:rsid w:val="00D63A47"/>
    <w:rsid w:val="00D63B86"/>
    <w:rsid w:val="00D6536A"/>
    <w:rsid w:val="00D658BF"/>
    <w:rsid w:val="00D664CD"/>
    <w:rsid w:val="00D6713D"/>
    <w:rsid w:val="00D67A53"/>
    <w:rsid w:val="00D703E3"/>
    <w:rsid w:val="00D7202F"/>
    <w:rsid w:val="00D7210C"/>
    <w:rsid w:val="00D731B5"/>
    <w:rsid w:val="00D7353A"/>
    <w:rsid w:val="00D73895"/>
    <w:rsid w:val="00D73B3F"/>
    <w:rsid w:val="00D73F78"/>
    <w:rsid w:val="00D74B87"/>
    <w:rsid w:val="00D7513F"/>
    <w:rsid w:val="00D76A34"/>
    <w:rsid w:val="00D77AA6"/>
    <w:rsid w:val="00D80DA9"/>
    <w:rsid w:val="00D8194A"/>
    <w:rsid w:val="00D825CB"/>
    <w:rsid w:val="00D82FB0"/>
    <w:rsid w:val="00D830F7"/>
    <w:rsid w:val="00D83D7B"/>
    <w:rsid w:val="00D85333"/>
    <w:rsid w:val="00D85833"/>
    <w:rsid w:val="00D85874"/>
    <w:rsid w:val="00D8628E"/>
    <w:rsid w:val="00D864F1"/>
    <w:rsid w:val="00D9109D"/>
    <w:rsid w:val="00D9167E"/>
    <w:rsid w:val="00D927A1"/>
    <w:rsid w:val="00D934F1"/>
    <w:rsid w:val="00D93D76"/>
    <w:rsid w:val="00D949BF"/>
    <w:rsid w:val="00D94D27"/>
    <w:rsid w:val="00D9676A"/>
    <w:rsid w:val="00D9739F"/>
    <w:rsid w:val="00D97AFA"/>
    <w:rsid w:val="00DA22AD"/>
    <w:rsid w:val="00DA2455"/>
    <w:rsid w:val="00DA2812"/>
    <w:rsid w:val="00DA2AE1"/>
    <w:rsid w:val="00DA3044"/>
    <w:rsid w:val="00DA3667"/>
    <w:rsid w:val="00DA377C"/>
    <w:rsid w:val="00DA52FA"/>
    <w:rsid w:val="00DA5662"/>
    <w:rsid w:val="00DA6DE8"/>
    <w:rsid w:val="00DA7299"/>
    <w:rsid w:val="00DB0CEA"/>
    <w:rsid w:val="00DB2E83"/>
    <w:rsid w:val="00DB2EE0"/>
    <w:rsid w:val="00DB3E6D"/>
    <w:rsid w:val="00DB41CE"/>
    <w:rsid w:val="00DB4ABF"/>
    <w:rsid w:val="00DB5FB8"/>
    <w:rsid w:val="00DB6643"/>
    <w:rsid w:val="00DB6BE2"/>
    <w:rsid w:val="00DB6D4A"/>
    <w:rsid w:val="00DB6D58"/>
    <w:rsid w:val="00DB7E59"/>
    <w:rsid w:val="00DC0772"/>
    <w:rsid w:val="00DC12D8"/>
    <w:rsid w:val="00DC3CAB"/>
    <w:rsid w:val="00DC4961"/>
    <w:rsid w:val="00DC5117"/>
    <w:rsid w:val="00DC61BA"/>
    <w:rsid w:val="00DC6951"/>
    <w:rsid w:val="00DC76D6"/>
    <w:rsid w:val="00DC7B0F"/>
    <w:rsid w:val="00DD087E"/>
    <w:rsid w:val="00DD0C1C"/>
    <w:rsid w:val="00DD0E02"/>
    <w:rsid w:val="00DD12B5"/>
    <w:rsid w:val="00DD1FBF"/>
    <w:rsid w:val="00DD2431"/>
    <w:rsid w:val="00DD32C3"/>
    <w:rsid w:val="00DD3641"/>
    <w:rsid w:val="00DD3AE0"/>
    <w:rsid w:val="00DD4A47"/>
    <w:rsid w:val="00DD5E25"/>
    <w:rsid w:val="00DE0862"/>
    <w:rsid w:val="00DE2D84"/>
    <w:rsid w:val="00DE39DF"/>
    <w:rsid w:val="00DE3B0F"/>
    <w:rsid w:val="00DE3EC3"/>
    <w:rsid w:val="00DE4DD9"/>
    <w:rsid w:val="00DE5216"/>
    <w:rsid w:val="00DE593F"/>
    <w:rsid w:val="00DE6023"/>
    <w:rsid w:val="00DE6572"/>
    <w:rsid w:val="00DE69E7"/>
    <w:rsid w:val="00DE759E"/>
    <w:rsid w:val="00DE7B8A"/>
    <w:rsid w:val="00DF08EE"/>
    <w:rsid w:val="00DF0F08"/>
    <w:rsid w:val="00DF39AD"/>
    <w:rsid w:val="00DF4287"/>
    <w:rsid w:val="00DF44CA"/>
    <w:rsid w:val="00DF4760"/>
    <w:rsid w:val="00DF4DE5"/>
    <w:rsid w:val="00DF565E"/>
    <w:rsid w:val="00DF595A"/>
    <w:rsid w:val="00DF6094"/>
    <w:rsid w:val="00DF6720"/>
    <w:rsid w:val="00E003BC"/>
    <w:rsid w:val="00E00454"/>
    <w:rsid w:val="00E013C3"/>
    <w:rsid w:val="00E030E3"/>
    <w:rsid w:val="00E0480B"/>
    <w:rsid w:val="00E0626E"/>
    <w:rsid w:val="00E064FB"/>
    <w:rsid w:val="00E07BDE"/>
    <w:rsid w:val="00E07FEB"/>
    <w:rsid w:val="00E108DF"/>
    <w:rsid w:val="00E10BDD"/>
    <w:rsid w:val="00E10CFD"/>
    <w:rsid w:val="00E11C2E"/>
    <w:rsid w:val="00E12675"/>
    <w:rsid w:val="00E13875"/>
    <w:rsid w:val="00E15799"/>
    <w:rsid w:val="00E158CF"/>
    <w:rsid w:val="00E1671B"/>
    <w:rsid w:val="00E167B5"/>
    <w:rsid w:val="00E16985"/>
    <w:rsid w:val="00E1756B"/>
    <w:rsid w:val="00E206D8"/>
    <w:rsid w:val="00E20B68"/>
    <w:rsid w:val="00E21065"/>
    <w:rsid w:val="00E211EA"/>
    <w:rsid w:val="00E2262D"/>
    <w:rsid w:val="00E23A14"/>
    <w:rsid w:val="00E2558F"/>
    <w:rsid w:val="00E2592D"/>
    <w:rsid w:val="00E262D3"/>
    <w:rsid w:val="00E26544"/>
    <w:rsid w:val="00E26B74"/>
    <w:rsid w:val="00E26D59"/>
    <w:rsid w:val="00E27067"/>
    <w:rsid w:val="00E302EB"/>
    <w:rsid w:val="00E30E9F"/>
    <w:rsid w:val="00E31427"/>
    <w:rsid w:val="00E31532"/>
    <w:rsid w:val="00E31985"/>
    <w:rsid w:val="00E31B06"/>
    <w:rsid w:val="00E32689"/>
    <w:rsid w:val="00E3515B"/>
    <w:rsid w:val="00E35AF3"/>
    <w:rsid w:val="00E37228"/>
    <w:rsid w:val="00E376CC"/>
    <w:rsid w:val="00E41417"/>
    <w:rsid w:val="00E42F3C"/>
    <w:rsid w:val="00E4323C"/>
    <w:rsid w:val="00E444B8"/>
    <w:rsid w:val="00E4575B"/>
    <w:rsid w:val="00E46718"/>
    <w:rsid w:val="00E47C6E"/>
    <w:rsid w:val="00E5033D"/>
    <w:rsid w:val="00E50701"/>
    <w:rsid w:val="00E50FED"/>
    <w:rsid w:val="00E5232B"/>
    <w:rsid w:val="00E526AA"/>
    <w:rsid w:val="00E52939"/>
    <w:rsid w:val="00E52D1E"/>
    <w:rsid w:val="00E54C74"/>
    <w:rsid w:val="00E569E7"/>
    <w:rsid w:val="00E56A8A"/>
    <w:rsid w:val="00E57157"/>
    <w:rsid w:val="00E57215"/>
    <w:rsid w:val="00E60570"/>
    <w:rsid w:val="00E61C0B"/>
    <w:rsid w:val="00E622EB"/>
    <w:rsid w:val="00E62316"/>
    <w:rsid w:val="00E62C7C"/>
    <w:rsid w:val="00E62D9F"/>
    <w:rsid w:val="00E641F9"/>
    <w:rsid w:val="00E64249"/>
    <w:rsid w:val="00E6462B"/>
    <w:rsid w:val="00E65207"/>
    <w:rsid w:val="00E66567"/>
    <w:rsid w:val="00E672C4"/>
    <w:rsid w:val="00E674B9"/>
    <w:rsid w:val="00E70FE3"/>
    <w:rsid w:val="00E71D01"/>
    <w:rsid w:val="00E72C5A"/>
    <w:rsid w:val="00E72ED5"/>
    <w:rsid w:val="00E72FC6"/>
    <w:rsid w:val="00E72FF1"/>
    <w:rsid w:val="00E73EC4"/>
    <w:rsid w:val="00E74CEF"/>
    <w:rsid w:val="00E751F1"/>
    <w:rsid w:val="00E75884"/>
    <w:rsid w:val="00E75A84"/>
    <w:rsid w:val="00E75F25"/>
    <w:rsid w:val="00E7666B"/>
    <w:rsid w:val="00E77FD3"/>
    <w:rsid w:val="00E80605"/>
    <w:rsid w:val="00E808B6"/>
    <w:rsid w:val="00E80E21"/>
    <w:rsid w:val="00E81D9E"/>
    <w:rsid w:val="00E825D8"/>
    <w:rsid w:val="00E827E8"/>
    <w:rsid w:val="00E82D99"/>
    <w:rsid w:val="00E83409"/>
    <w:rsid w:val="00E850A0"/>
    <w:rsid w:val="00E85F11"/>
    <w:rsid w:val="00E86797"/>
    <w:rsid w:val="00E8698D"/>
    <w:rsid w:val="00E908B0"/>
    <w:rsid w:val="00E92109"/>
    <w:rsid w:val="00E92170"/>
    <w:rsid w:val="00E92B0E"/>
    <w:rsid w:val="00E94572"/>
    <w:rsid w:val="00E949E9"/>
    <w:rsid w:val="00E94AB3"/>
    <w:rsid w:val="00E950CA"/>
    <w:rsid w:val="00E967E8"/>
    <w:rsid w:val="00E97014"/>
    <w:rsid w:val="00E973E9"/>
    <w:rsid w:val="00E9790B"/>
    <w:rsid w:val="00E979AF"/>
    <w:rsid w:val="00EA0257"/>
    <w:rsid w:val="00EA0C0C"/>
    <w:rsid w:val="00EA1A77"/>
    <w:rsid w:val="00EA1B69"/>
    <w:rsid w:val="00EA3CED"/>
    <w:rsid w:val="00EA474D"/>
    <w:rsid w:val="00EA5DED"/>
    <w:rsid w:val="00EA5F17"/>
    <w:rsid w:val="00EA6056"/>
    <w:rsid w:val="00EA6633"/>
    <w:rsid w:val="00EB002E"/>
    <w:rsid w:val="00EB2CF5"/>
    <w:rsid w:val="00EB2D29"/>
    <w:rsid w:val="00EB32B1"/>
    <w:rsid w:val="00EB347E"/>
    <w:rsid w:val="00EB352C"/>
    <w:rsid w:val="00EB460C"/>
    <w:rsid w:val="00EB4821"/>
    <w:rsid w:val="00EB50C9"/>
    <w:rsid w:val="00EB5ABE"/>
    <w:rsid w:val="00EB6BA1"/>
    <w:rsid w:val="00EB7399"/>
    <w:rsid w:val="00EB7770"/>
    <w:rsid w:val="00EC2440"/>
    <w:rsid w:val="00EC253C"/>
    <w:rsid w:val="00EC2A95"/>
    <w:rsid w:val="00EC309B"/>
    <w:rsid w:val="00EC3617"/>
    <w:rsid w:val="00EC453F"/>
    <w:rsid w:val="00EC4635"/>
    <w:rsid w:val="00EC4987"/>
    <w:rsid w:val="00EC4E6A"/>
    <w:rsid w:val="00EC6DAF"/>
    <w:rsid w:val="00EC6F40"/>
    <w:rsid w:val="00EC7475"/>
    <w:rsid w:val="00ED0595"/>
    <w:rsid w:val="00ED0D3C"/>
    <w:rsid w:val="00ED15C9"/>
    <w:rsid w:val="00ED2500"/>
    <w:rsid w:val="00ED2943"/>
    <w:rsid w:val="00ED2ED1"/>
    <w:rsid w:val="00ED30E0"/>
    <w:rsid w:val="00ED325F"/>
    <w:rsid w:val="00ED3EDF"/>
    <w:rsid w:val="00ED41C1"/>
    <w:rsid w:val="00ED583D"/>
    <w:rsid w:val="00ED5B29"/>
    <w:rsid w:val="00ED5DE5"/>
    <w:rsid w:val="00ED6220"/>
    <w:rsid w:val="00ED66DC"/>
    <w:rsid w:val="00ED6770"/>
    <w:rsid w:val="00ED6771"/>
    <w:rsid w:val="00ED6FEA"/>
    <w:rsid w:val="00ED7277"/>
    <w:rsid w:val="00ED7883"/>
    <w:rsid w:val="00ED7D50"/>
    <w:rsid w:val="00EE01E1"/>
    <w:rsid w:val="00EE0B69"/>
    <w:rsid w:val="00EE1675"/>
    <w:rsid w:val="00EE1774"/>
    <w:rsid w:val="00EE2C94"/>
    <w:rsid w:val="00EE365A"/>
    <w:rsid w:val="00EE3C6B"/>
    <w:rsid w:val="00EE4593"/>
    <w:rsid w:val="00EE46D8"/>
    <w:rsid w:val="00EE5F8D"/>
    <w:rsid w:val="00EE70EE"/>
    <w:rsid w:val="00EE76F3"/>
    <w:rsid w:val="00EF0FA9"/>
    <w:rsid w:val="00EF1023"/>
    <w:rsid w:val="00EF1183"/>
    <w:rsid w:val="00EF118D"/>
    <w:rsid w:val="00EF21B8"/>
    <w:rsid w:val="00EF222A"/>
    <w:rsid w:val="00EF2321"/>
    <w:rsid w:val="00EF48A6"/>
    <w:rsid w:val="00EF4AEC"/>
    <w:rsid w:val="00EF4D82"/>
    <w:rsid w:val="00EF4F22"/>
    <w:rsid w:val="00EF5724"/>
    <w:rsid w:val="00EF579C"/>
    <w:rsid w:val="00EF641A"/>
    <w:rsid w:val="00EF662C"/>
    <w:rsid w:val="00EF7ADD"/>
    <w:rsid w:val="00EF7EBC"/>
    <w:rsid w:val="00F00A76"/>
    <w:rsid w:val="00F0427D"/>
    <w:rsid w:val="00F05C0E"/>
    <w:rsid w:val="00F10DB9"/>
    <w:rsid w:val="00F12160"/>
    <w:rsid w:val="00F13B4C"/>
    <w:rsid w:val="00F141CD"/>
    <w:rsid w:val="00F147AD"/>
    <w:rsid w:val="00F16D13"/>
    <w:rsid w:val="00F16E10"/>
    <w:rsid w:val="00F16F02"/>
    <w:rsid w:val="00F170CA"/>
    <w:rsid w:val="00F170F7"/>
    <w:rsid w:val="00F17E64"/>
    <w:rsid w:val="00F2065B"/>
    <w:rsid w:val="00F20F01"/>
    <w:rsid w:val="00F225F2"/>
    <w:rsid w:val="00F22BAC"/>
    <w:rsid w:val="00F231EB"/>
    <w:rsid w:val="00F236D7"/>
    <w:rsid w:val="00F2382F"/>
    <w:rsid w:val="00F242ED"/>
    <w:rsid w:val="00F24405"/>
    <w:rsid w:val="00F24575"/>
    <w:rsid w:val="00F24907"/>
    <w:rsid w:val="00F254DC"/>
    <w:rsid w:val="00F25666"/>
    <w:rsid w:val="00F25968"/>
    <w:rsid w:val="00F25BD7"/>
    <w:rsid w:val="00F26979"/>
    <w:rsid w:val="00F26EFC"/>
    <w:rsid w:val="00F273C4"/>
    <w:rsid w:val="00F2777A"/>
    <w:rsid w:val="00F31743"/>
    <w:rsid w:val="00F34A6B"/>
    <w:rsid w:val="00F34CBA"/>
    <w:rsid w:val="00F36417"/>
    <w:rsid w:val="00F365B5"/>
    <w:rsid w:val="00F36A98"/>
    <w:rsid w:val="00F37039"/>
    <w:rsid w:val="00F37B31"/>
    <w:rsid w:val="00F40112"/>
    <w:rsid w:val="00F40D66"/>
    <w:rsid w:val="00F40F36"/>
    <w:rsid w:val="00F41094"/>
    <w:rsid w:val="00F41CB9"/>
    <w:rsid w:val="00F422F4"/>
    <w:rsid w:val="00F43061"/>
    <w:rsid w:val="00F434FA"/>
    <w:rsid w:val="00F43789"/>
    <w:rsid w:val="00F448DE"/>
    <w:rsid w:val="00F44FA4"/>
    <w:rsid w:val="00F451D7"/>
    <w:rsid w:val="00F46E2D"/>
    <w:rsid w:val="00F47CE0"/>
    <w:rsid w:val="00F47D0B"/>
    <w:rsid w:val="00F47EBE"/>
    <w:rsid w:val="00F506DE"/>
    <w:rsid w:val="00F52EE6"/>
    <w:rsid w:val="00F541CC"/>
    <w:rsid w:val="00F54AD4"/>
    <w:rsid w:val="00F54D93"/>
    <w:rsid w:val="00F56ABD"/>
    <w:rsid w:val="00F600BC"/>
    <w:rsid w:val="00F60273"/>
    <w:rsid w:val="00F60BDC"/>
    <w:rsid w:val="00F61968"/>
    <w:rsid w:val="00F620E9"/>
    <w:rsid w:val="00F6465D"/>
    <w:rsid w:val="00F649ED"/>
    <w:rsid w:val="00F65533"/>
    <w:rsid w:val="00F65D47"/>
    <w:rsid w:val="00F65E96"/>
    <w:rsid w:val="00F67893"/>
    <w:rsid w:val="00F70AE7"/>
    <w:rsid w:val="00F70EB2"/>
    <w:rsid w:val="00F71490"/>
    <w:rsid w:val="00F71B48"/>
    <w:rsid w:val="00F72A66"/>
    <w:rsid w:val="00F72DB6"/>
    <w:rsid w:val="00F7582D"/>
    <w:rsid w:val="00F76A28"/>
    <w:rsid w:val="00F7701C"/>
    <w:rsid w:val="00F77EA0"/>
    <w:rsid w:val="00F80537"/>
    <w:rsid w:val="00F828CF"/>
    <w:rsid w:val="00F831B2"/>
    <w:rsid w:val="00F857D0"/>
    <w:rsid w:val="00F857DB"/>
    <w:rsid w:val="00F86D8E"/>
    <w:rsid w:val="00F874C4"/>
    <w:rsid w:val="00F90142"/>
    <w:rsid w:val="00F90393"/>
    <w:rsid w:val="00F904BA"/>
    <w:rsid w:val="00F90681"/>
    <w:rsid w:val="00F91362"/>
    <w:rsid w:val="00F920D6"/>
    <w:rsid w:val="00F921AD"/>
    <w:rsid w:val="00F92340"/>
    <w:rsid w:val="00F9236A"/>
    <w:rsid w:val="00F93844"/>
    <w:rsid w:val="00F93FF7"/>
    <w:rsid w:val="00F9497F"/>
    <w:rsid w:val="00F949D5"/>
    <w:rsid w:val="00F94B8E"/>
    <w:rsid w:val="00F94E05"/>
    <w:rsid w:val="00F95FA2"/>
    <w:rsid w:val="00F96556"/>
    <w:rsid w:val="00F967A7"/>
    <w:rsid w:val="00F970A1"/>
    <w:rsid w:val="00FA0AA2"/>
    <w:rsid w:val="00FA212B"/>
    <w:rsid w:val="00FA256A"/>
    <w:rsid w:val="00FA43A9"/>
    <w:rsid w:val="00FA5BA8"/>
    <w:rsid w:val="00FA5C9A"/>
    <w:rsid w:val="00FA5ED6"/>
    <w:rsid w:val="00FA6327"/>
    <w:rsid w:val="00FA7274"/>
    <w:rsid w:val="00FA7D48"/>
    <w:rsid w:val="00FB2BDD"/>
    <w:rsid w:val="00FB3AD0"/>
    <w:rsid w:val="00FB58DA"/>
    <w:rsid w:val="00FB5C1B"/>
    <w:rsid w:val="00FB5FCE"/>
    <w:rsid w:val="00FB60EC"/>
    <w:rsid w:val="00FB6377"/>
    <w:rsid w:val="00FB6A93"/>
    <w:rsid w:val="00FB6F08"/>
    <w:rsid w:val="00FB78AF"/>
    <w:rsid w:val="00FB7953"/>
    <w:rsid w:val="00FB7DF7"/>
    <w:rsid w:val="00FC009E"/>
    <w:rsid w:val="00FC0C58"/>
    <w:rsid w:val="00FC0F48"/>
    <w:rsid w:val="00FC2ED6"/>
    <w:rsid w:val="00FC4953"/>
    <w:rsid w:val="00FC5643"/>
    <w:rsid w:val="00FC5827"/>
    <w:rsid w:val="00FC6711"/>
    <w:rsid w:val="00FC6997"/>
    <w:rsid w:val="00FC6FF4"/>
    <w:rsid w:val="00FD0846"/>
    <w:rsid w:val="00FD15D3"/>
    <w:rsid w:val="00FD161E"/>
    <w:rsid w:val="00FD16DD"/>
    <w:rsid w:val="00FD42F6"/>
    <w:rsid w:val="00FD4532"/>
    <w:rsid w:val="00FD4568"/>
    <w:rsid w:val="00FD4752"/>
    <w:rsid w:val="00FD5171"/>
    <w:rsid w:val="00FD6DF4"/>
    <w:rsid w:val="00FD6F4A"/>
    <w:rsid w:val="00FD7A14"/>
    <w:rsid w:val="00FD7C57"/>
    <w:rsid w:val="00FE10D7"/>
    <w:rsid w:val="00FE13DB"/>
    <w:rsid w:val="00FE1EFA"/>
    <w:rsid w:val="00FE2572"/>
    <w:rsid w:val="00FE31EC"/>
    <w:rsid w:val="00FE32B6"/>
    <w:rsid w:val="00FE6291"/>
    <w:rsid w:val="00FF0032"/>
    <w:rsid w:val="00FF0C11"/>
    <w:rsid w:val="00FF0C3B"/>
    <w:rsid w:val="00FF1434"/>
    <w:rsid w:val="00FF1E43"/>
    <w:rsid w:val="00FF2051"/>
    <w:rsid w:val="00FF28CD"/>
    <w:rsid w:val="00FF3FAB"/>
    <w:rsid w:val="00FF42C2"/>
    <w:rsid w:val="00FF4789"/>
    <w:rsid w:val="00FF49F6"/>
    <w:rsid w:val="00FF4C20"/>
    <w:rsid w:val="00FF5114"/>
    <w:rsid w:val="00FF53B0"/>
    <w:rsid w:val="00FF5AC6"/>
    <w:rsid w:val="00FF5BA6"/>
    <w:rsid w:val="00FF685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3E2EC09"/>
  <w15:docId w15:val="{71D4A872-E965-4B13-B4FD-81952DDED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06AB"/>
    <w:pPr>
      <w:spacing w:after="0" w:line="360" w:lineRule="auto"/>
    </w:pPr>
    <w:rPr>
      <w:rFonts w:ascii="Times New Roman" w:hAnsi="Times New Roman" w:cs="Times New Roman"/>
      <w:sz w:val="24"/>
      <w:szCs w:val="24"/>
      <w:lang w:val="sq-AL"/>
    </w:rPr>
  </w:style>
  <w:style w:type="paragraph" w:styleId="Heading1">
    <w:name w:val="heading 1"/>
    <w:aliases w:val="Kreu 1"/>
    <w:basedOn w:val="Normal"/>
    <w:next w:val="Normal"/>
    <w:link w:val="Heading1Char"/>
    <w:qFormat/>
    <w:rsid w:val="0001130B"/>
    <w:pPr>
      <w:keepNext/>
      <w:spacing w:before="240" w:after="60" w:line="240" w:lineRule="auto"/>
      <w:outlineLvl w:val="0"/>
    </w:pPr>
    <w:rPr>
      <w:rFonts w:ascii="Cambria" w:eastAsia="Times New Roman" w:hAnsi="Cambria"/>
      <w:b/>
      <w:bCs/>
      <w:kern w:val="32"/>
      <w:sz w:val="32"/>
      <w:szCs w:val="3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F1023"/>
    <w:pPr>
      <w:tabs>
        <w:tab w:val="center" w:pos="4680"/>
        <w:tab w:val="right" w:pos="9360"/>
      </w:tabs>
      <w:spacing w:line="240" w:lineRule="auto"/>
    </w:pPr>
  </w:style>
  <w:style w:type="character" w:customStyle="1" w:styleId="FooterChar">
    <w:name w:val="Footer Char"/>
    <w:basedOn w:val="DefaultParagraphFont"/>
    <w:link w:val="Footer"/>
    <w:uiPriority w:val="99"/>
    <w:rsid w:val="00EF1023"/>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EF1023"/>
    <w:pPr>
      <w:ind w:left="720"/>
      <w:contextualSpacing/>
    </w:pPr>
  </w:style>
  <w:style w:type="paragraph" w:styleId="Header">
    <w:name w:val="header"/>
    <w:basedOn w:val="Normal"/>
    <w:link w:val="HeaderChar"/>
    <w:uiPriority w:val="99"/>
    <w:unhideWhenUsed/>
    <w:rsid w:val="00FD0846"/>
    <w:pPr>
      <w:tabs>
        <w:tab w:val="center" w:pos="4680"/>
        <w:tab w:val="right" w:pos="9360"/>
      </w:tabs>
      <w:spacing w:line="240" w:lineRule="auto"/>
    </w:pPr>
  </w:style>
  <w:style w:type="character" w:customStyle="1" w:styleId="HeaderChar">
    <w:name w:val="Header Char"/>
    <w:basedOn w:val="DefaultParagraphFont"/>
    <w:link w:val="Header"/>
    <w:uiPriority w:val="99"/>
    <w:rsid w:val="00FD0846"/>
  </w:style>
  <w:style w:type="paragraph" w:styleId="BodyText">
    <w:name w:val="Body Text"/>
    <w:basedOn w:val="Normal"/>
    <w:link w:val="BodyTextChar"/>
    <w:rsid w:val="00461B91"/>
    <w:pPr>
      <w:spacing w:line="288" w:lineRule="auto"/>
      <w:jc w:val="both"/>
    </w:pPr>
    <w:rPr>
      <w:rFonts w:eastAsia="Times New Roman"/>
      <w:sz w:val="21"/>
    </w:rPr>
  </w:style>
  <w:style w:type="character" w:customStyle="1" w:styleId="BodyTextChar">
    <w:name w:val="Body Text Char"/>
    <w:basedOn w:val="DefaultParagraphFont"/>
    <w:link w:val="BodyText"/>
    <w:rsid w:val="00461B91"/>
    <w:rPr>
      <w:rFonts w:ascii="Times New Roman" w:eastAsia="Times New Roman" w:hAnsi="Times New Roman" w:cs="Times New Roman"/>
      <w:sz w:val="21"/>
      <w:szCs w:val="24"/>
    </w:rPr>
  </w:style>
  <w:style w:type="paragraph" w:styleId="NormalWeb">
    <w:name w:val="Normal (Web)"/>
    <w:basedOn w:val="Normal"/>
    <w:rsid w:val="00470A9C"/>
    <w:pPr>
      <w:spacing w:before="100" w:beforeAutospacing="1" w:after="100" w:afterAutospacing="1" w:line="240" w:lineRule="auto"/>
    </w:pPr>
    <w:rPr>
      <w:rFonts w:eastAsia="Calibri"/>
    </w:rPr>
  </w:style>
  <w:style w:type="paragraph" w:styleId="BalloonText">
    <w:name w:val="Balloon Text"/>
    <w:basedOn w:val="Normal"/>
    <w:link w:val="BalloonTextChar"/>
    <w:uiPriority w:val="99"/>
    <w:semiHidden/>
    <w:unhideWhenUsed/>
    <w:rsid w:val="001C0CB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0CB2"/>
    <w:rPr>
      <w:rFonts w:ascii="Tahoma" w:hAnsi="Tahoma" w:cs="Tahoma"/>
      <w:sz w:val="16"/>
      <w:szCs w:val="16"/>
    </w:rPr>
  </w:style>
  <w:style w:type="character" w:styleId="CommentReference">
    <w:name w:val="annotation reference"/>
    <w:basedOn w:val="DefaultParagraphFont"/>
    <w:uiPriority w:val="99"/>
    <w:semiHidden/>
    <w:unhideWhenUsed/>
    <w:rsid w:val="006D7209"/>
    <w:rPr>
      <w:sz w:val="16"/>
      <w:szCs w:val="16"/>
    </w:rPr>
  </w:style>
  <w:style w:type="paragraph" w:styleId="CommentText">
    <w:name w:val="annotation text"/>
    <w:basedOn w:val="Normal"/>
    <w:link w:val="CommentTextChar"/>
    <w:uiPriority w:val="99"/>
    <w:unhideWhenUsed/>
    <w:rsid w:val="006D7209"/>
    <w:pPr>
      <w:spacing w:line="240" w:lineRule="auto"/>
    </w:pPr>
    <w:rPr>
      <w:sz w:val="20"/>
      <w:szCs w:val="20"/>
    </w:rPr>
  </w:style>
  <w:style w:type="character" w:customStyle="1" w:styleId="CommentTextChar">
    <w:name w:val="Comment Text Char"/>
    <w:basedOn w:val="DefaultParagraphFont"/>
    <w:link w:val="CommentText"/>
    <w:uiPriority w:val="99"/>
    <w:rsid w:val="006D7209"/>
    <w:rPr>
      <w:sz w:val="20"/>
      <w:szCs w:val="20"/>
    </w:rPr>
  </w:style>
  <w:style w:type="paragraph" w:styleId="CommentSubject">
    <w:name w:val="annotation subject"/>
    <w:basedOn w:val="CommentText"/>
    <w:next w:val="CommentText"/>
    <w:link w:val="CommentSubjectChar"/>
    <w:uiPriority w:val="99"/>
    <w:semiHidden/>
    <w:unhideWhenUsed/>
    <w:rsid w:val="006D7209"/>
    <w:rPr>
      <w:b/>
      <w:bCs/>
    </w:rPr>
  </w:style>
  <w:style w:type="character" w:customStyle="1" w:styleId="CommentSubjectChar">
    <w:name w:val="Comment Subject Char"/>
    <w:basedOn w:val="CommentTextChar"/>
    <w:link w:val="CommentSubject"/>
    <w:uiPriority w:val="99"/>
    <w:semiHidden/>
    <w:rsid w:val="006D7209"/>
    <w:rPr>
      <w:b/>
      <w:bCs/>
      <w:sz w:val="20"/>
      <w:szCs w:val="20"/>
    </w:rPr>
  </w:style>
  <w:style w:type="character" w:customStyle="1" w:styleId="TitleChar">
    <w:name w:val="Title Char"/>
    <w:aliases w:val="Char Char, Char Char"/>
    <w:link w:val="Title"/>
    <w:locked/>
    <w:rsid w:val="00C129CB"/>
    <w:rPr>
      <w:b/>
      <w:bCs/>
      <w:sz w:val="24"/>
      <w:szCs w:val="24"/>
    </w:rPr>
  </w:style>
  <w:style w:type="paragraph" w:styleId="Title">
    <w:name w:val="Title"/>
    <w:aliases w:val="Char, Char"/>
    <w:basedOn w:val="Normal"/>
    <w:link w:val="TitleChar"/>
    <w:qFormat/>
    <w:rsid w:val="00C129CB"/>
    <w:pPr>
      <w:spacing w:line="240" w:lineRule="auto"/>
      <w:jc w:val="center"/>
    </w:pPr>
    <w:rPr>
      <w:b/>
      <w:bCs/>
    </w:rPr>
  </w:style>
  <w:style w:type="character" w:customStyle="1" w:styleId="TitleChar1">
    <w:name w:val="Title Char1"/>
    <w:basedOn w:val="DefaultParagraphFont"/>
    <w:uiPriority w:val="10"/>
    <w:rsid w:val="00C129CB"/>
    <w:rPr>
      <w:rFonts w:asciiTheme="majorHAnsi" w:eastAsiaTheme="majorEastAsia" w:hAnsiTheme="majorHAnsi" w:cstheme="majorBidi"/>
      <w:color w:val="323E4F" w:themeColor="text2" w:themeShade="BF"/>
      <w:spacing w:val="5"/>
      <w:kern w:val="28"/>
      <w:sz w:val="52"/>
      <w:szCs w:val="52"/>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2B55DB"/>
  </w:style>
  <w:style w:type="paragraph" w:styleId="BodyTextIndent">
    <w:name w:val="Body Text Indent"/>
    <w:basedOn w:val="Normal"/>
    <w:link w:val="BodyTextIndentChar"/>
    <w:uiPriority w:val="99"/>
    <w:unhideWhenUsed/>
    <w:rsid w:val="00DD2431"/>
    <w:pPr>
      <w:spacing w:after="120"/>
      <w:ind w:left="360"/>
      <w:jc w:val="both"/>
    </w:pPr>
    <w:rPr>
      <w:rFonts w:ascii="Calibri" w:eastAsia="Calibri" w:hAnsi="Calibri"/>
    </w:rPr>
  </w:style>
  <w:style w:type="character" w:customStyle="1" w:styleId="BodyTextIndentChar">
    <w:name w:val="Body Text Indent Char"/>
    <w:basedOn w:val="DefaultParagraphFont"/>
    <w:link w:val="BodyTextIndent"/>
    <w:uiPriority w:val="99"/>
    <w:rsid w:val="00DD2431"/>
    <w:rPr>
      <w:rFonts w:ascii="Calibri" w:eastAsia="Calibri" w:hAnsi="Calibri" w:cs="Times New Roman"/>
      <w:lang w:val="sq-AL"/>
    </w:rPr>
  </w:style>
  <w:style w:type="character" w:customStyle="1" w:styleId="Heading1Char">
    <w:name w:val="Heading 1 Char"/>
    <w:aliases w:val="Kreu 1 Char"/>
    <w:basedOn w:val="DefaultParagraphFont"/>
    <w:link w:val="Heading1"/>
    <w:rsid w:val="0001130B"/>
    <w:rPr>
      <w:rFonts w:ascii="Cambria" w:eastAsia="Times New Roman" w:hAnsi="Cambria" w:cs="Times New Roman"/>
      <w:b/>
      <w:bCs/>
      <w:kern w:val="32"/>
      <w:sz w:val="32"/>
      <w:szCs w:val="32"/>
      <w:lang w:val="sq-AL" w:bidi="en-US"/>
    </w:rPr>
  </w:style>
  <w:style w:type="paragraph" w:styleId="NoSpacing">
    <w:name w:val="No Spacing"/>
    <w:link w:val="NoSpacingChar"/>
    <w:uiPriority w:val="99"/>
    <w:qFormat/>
    <w:rsid w:val="000821C0"/>
    <w:pPr>
      <w:spacing w:after="0" w:line="240" w:lineRule="auto"/>
    </w:pPr>
    <w:rPr>
      <w:rFonts w:ascii="Calibri" w:eastAsia="Calibri" w:hAnsi="Calibri" w:cs="Times New Roman"/>
      <w:lang w:val="sq-AL"/>
    </w:rPr>
  </w:style>
  <w:style w:type="character" w:customStyle="1" w:styleId="hps">
    <w:name w:val="hps"/>
    <w:basedOn w:val="DefaultParagraphFont"/>
    <w:rsid w:val="00F541CC"/>
  </w:style>
  <w:style w:type="character" w:customStyle="1" w:styleId="NoSpacingChar">
    <w:name w:val="No Spacing Char"/>
    <w:link w:val="NoSpacing"/>
    <w:uiPriority w:val="1"/>
    <w:qFormat/>
    <w:locked/>
    <w:rsid w:val="000E06AB"/>
    <w:rPr>
      <w:rFonts w:ascii="Calibri" w:eastAsia="Calibri" w:hAnsi="Calibri" w:cs="Times New Roman"/>
      <w:lang w:val="sq-AL"/>
    </w:rPr>
  </w:style>
  <w:style w:type="character" w:customStyle="1" w:styleId="Bodytext2">
    <w:name w:val="Body text (2)_"/>
    <w:link w:val="Bodytext21"/>
    <w:uiPriority w:val="99"/>
    <w:locked/>
    <w:rsid w:val="000E06AB"/>
    <w:rPr>
      <w:rFonts w:ascii="Arial" w:hAnsi="Arial" w:cs="Arial"/>
      <w:sz w:val="15"/>
      <w:szCs w:val="15"/>
      <w:shd w:val="clear" w:color="auto" w:fill="FFFFFF"/>
    </w:rPr>
  </w:style>
  <w:style w:type="paragraph" w:customStyle="1" w:styleId="Bodytext21">
    <w:name w:val="Body text (2)1"/>
    <w:basedOn w:val="Normal"/>
    <w:link w:val="Bodytext2"/>
    <w:uiPriority w:val="99"/>
    <w:rsid w:val="000E06AB"/>
    <w:pPr>
      <w:widowControl w:val="0"/>
      <w:shd w:val="clear" w:color="auto" w:fill="FFFFFF"/>
      <w:spacing w:after="120" w:line="195" w:lineRule="exact"/>
      <w:ind w:hanging="280"/>
    </w:pPr>
    <w:rPr>
      <w:rFonts w:ascii="Arial" w:hAnsi="Arial" w:cs="Arial"/>
      <w:sz w:val="15"/>
      <w:szCs w:val="15"/>
      <w:lang w:val="en-US"/>
    </w:rPr>
  </w:style>
  <w:style w:type="character" w:customStyle="1" w:styleId="Bodytext20">
    <w:name w:val="Body text (20)_"/>
    <w:link w:val="Bodytext200"/>
    <w:uiPriority w:val="99"/>
    <w:locked/>
    <w:rsid w:val="000E06AB"/>
    <w:rPr>
      <w:i/>
      <w:iCs/>
      <w:sz w:val="17"/>
      <w:szCs w:val="17"/>
      <w:shd w:val="clear" w:color="auto" w:fill="FFFFFF"/>
    </w:rPr>
  </w:style>
  <w:style w:type="paragraph" w:customStyle="1" w:styleId="Bodytext200">
    <w:name w:val="Body text (20)"/>
    <w:basedOn w:val="Normal"/>
    <w:link w:val="Bodytext20"/>
    <w:uiPriority w:val="99"/>
    <w:rsid w:val="000E06AB"/>
    <w:pPr>
      <w:widowControl w:val="0"/>
      <w:shd w:val="clear" w:color="auto" w:fill="FFFFFF"/>
      <w:spacing w:before="120" w:after="120" w:line="211" w:lineRule="exact"/>
      <w:ind w:firstLine="580"/>
      <w:jc w:val="both"/>
    </w:pPr>
    <w:rPr>
      <w:rFonts w:asciiTheme="minorHAnsi" w:hAnsiTheme="minorHAnsi" w:cstheme="minorBidi"/>
      <w:i/>
      <w:iCs/>
      <w:sz w:val="17"/>
      <w:szCs w:val="17"/>
      <w:lang w:val="en-US"/>
    </w:rPr>
  </w:style>
  <w:style w:type="character" w:customStyle="1" w:styleId="Bodytext208pt2">
    <w:name w:val="Body text (20) + 8 pt2"/>
    <w:basedOn w:val="Bodytext20"/>
    <w:uiPriority w:val="99"/>
    <w:rsid w:val="000E06AB"/>
    <w:rPr>
      <w:i/>
      <w:iCs/>
      <w:sz w:val="16"/>
      <w:szCs w:val="16"/>
      <w:shd w:val="clear" w:color="auto" w:fill="FFFFFF"/>
    </w:rPr>
  </w:style>
  <w:style w:type="character" w:customStyle="1" w:styleId="Bodytext2Constantia1">
    <w:name w:val="Body text (2) + Constantia1"/>
    <w:basedOn w:val="Bodytext2"/>
    <w:uiPriority w:val="99"/>
    <w:rsid w:val="000E06AB"/>
    <w:rPr>
      <w:rFonts w:ascii="Constantia" w:hAnsi="Constantia" w:cs="Constantia"/>
      <w:b/>
      <w:bCs/>
      <w:sz w:val="16"/>
      <w:szCs w:val="16"/>
      <w:u w:val="none"/>
      <w:shd w:val="clear" w:color="auto" w:fill="FFFFFF"/>
    </w:rPr>
  </w:style>
  <w:style w:type="character" w:customStyle="1" w:styleId="Bodytext208pt">
    <w:name w:val="Body text (20) + 8 pt"/>
    <w:aliases w:val="Not Italic62"/>
    <w:uiPriority w:val="99"/>
    <w:rsid w:val="000E06AB"/>
    <w:rPr>
      <w:i/>
      <w:iCs/>
      <w:sz w:val="16"/>
      <w:szCs w:val="16"/>
      <w:shd w:val="clear" w:color="auto" w:fill="FFFFFF"/>
    </w:rPr>
  </w:style>
  <w:style w:type="character" w:customStyle="1" w:styleId="Bodytext20ArialNarrow">
    <w:name w:val="Body text (20) + Arial Narrow"/>
    <w:aliases w:val="6.5 pt8"/>
    <w:basedOn w:val="Bodytext20"/>
    <w:uiPriority w:val="99"/>
    <w:rsid w:val="000E06AB"/>
    <w:rPr>
      <w:rFonts w:ascii="Arial Narrow" w:hAnsi="Arial Narrow" w:cs="Arial Narrow"/>
      <w:i/>
      <w:iCs/>
      <w:w w:val="100"/>
      <w:sz w:val="13"/>
      <w:szCs w:val="13"/>
      <w:shd w:val="clear" w:color="auto" w:fill="FFFFFF"/>
    </w:rPr>
  </w:style>
  <w:style w:type="paragraph" w:customStyle="1" w:styleId="Normal0">
    <w:name w:val="[Normal]"/>
    <w:rsid w:val="00B57E9B"/>
    <w:pPr>
      <w:autoSpaceDE w:val="0"/>
      <w:autoSpaceDN w:val="0"/>
      <w:adjustRightInd w:val="0"/>
      <w:spacing w:after="0" w:line="240" w:lineRule="auto"/>
    </w:pPr>
    <w:rPr>
      <w:rFonts w:ascii="Arial" w:eastAsia="Times New Roman" w:hAnsi="Arial" w:cs="Times New Roman"/>
      <w:sz w:val="24"/>
      <w:szCs w:val="20"/>
    </w:rPr>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Footnote Te"/>
    <w:basedOn w:val="Normal"/>
    <w:link w:val="FootnoteTextChar"/>
    <w:unhideWhenUsed/>
    <w:qFormat/>
    <w:rsid w:val="00B20D26"/>
    <w:pPr>
      <w:spacing w:line="240" w:lineRule="auto"/>
    </w:pPr>
    <w:rPr>
      <w:rFonts w:asciiTheme="minorHAnsi" w:hAnsiTheme="minorHAnsi" w:cstheme="minorBidi"/>
      <w:sz w:val="20"/>
      <w:szCs w:val="20"/>
      <w:lang w:val="en-US"/>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rsid w:val="00B20D26"/>
    <w:rPr>
      <w:sz w:val="20"/>
      <w:szCs w:val="20"/>
    </w:rPr>
  </w:style>
  <w:style w:type="paragraph" w:styleId="BodyTextIndent2">
    <w:name w:val="Body Text Indent 2"/>
    <w:basedOn w:val="Normal"/>
    <w:link w:val="BodyTextIndent2Char"/>
    <w:uiPriority w:val="99"/>
    <w:unhideWhenUsed/>
    <w:rsid w:val="00C37209"/>
    <w:pPr>
      <w:spacing w:after="120" w:line="480" w:lineRule="auto"/>
      <w:ind w:left="360"/>
    </w:pPr>
  </w:style>
  <w:style w:type="character" w:customStyle="1" w:styleId="BodyTextIndent2Char">
    <w:name w:val="Body Text Indent 2 Char"/>
    <w:basedOn w:val="DefaultParagraphFont"/>
    <w:link w:val="BodyTextIndent2"/>
    <w:uiPriority w:val="99"/>
    <w:rsid w:val="00C37209"/>
    <w:rPr>
      <w:rFonts w:ascii="Times New Roman" w:hAnsi="Times New Roman" w:cs="Times New Roman"/>
      <w:sz w:val="24"/>
      <w:szCs w:val="24"/>
      <w:lang w:val="sq-AL"/>
    </w:rPr>
  </w:style>
  <w:style w:type="paragraph" w:styleId="Revision">
    <w:name w:val="Revision"/>
    <w:hidden/>
    <w:uiPriority w:val="99"/>
    <w:semiHidden/>
    <w:rsid w:val="00E81D9E"/>
    <w:pPr>
      <w:spacing w:after="0" w:line="240" w:lineRule="auto"/>
    </w:pPr>
    <w:rPr>
      <w:rFonts w:ascii="Times New Roman" w:hAnsi="Times New Roman" w:cs="Times New Roman"/>
      <w:sz w:val="24"/>
      <w:szCs w:val="24"/>
      <w:lang w:val="sq-AL"/>
    </w:rPr>
  </w:style>
  <w:style w:type="paragraph" w:customStyle="1" w:styleId="Default">
    <w:name w:val="Default"/>
    <w:rsid w:val="00A778AB"/>
    <w:pPr>
      <w:autoSpaceDE w:val="0"/>
      <w:autoSpaceDN w:val="0"/>
      <w:adjustRightInd w:val="0"/>
      <w:spacing w:after="0" w:line="240" w:lineRule="auto"/>
    </w:pPr>
    <w:rPr>
      <w:rFonts w:ascii="Times New Roman" w:hAnsi="Times New Roman" w:cs="Times New Roman"/>
      <w:color w:val="000000"/>
      <w:sz w:val="24"/>
      <w:szCs w:val="24"/>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link w:val="BVIfnr"/>
    <w:uiPriority w:val="99"/>
    <w:unhideWhenUsed/>
    <w:qFormat/>
    <w:rsid w:val="007C2EEA"/>
    <w:rPr>
      <w:vertAlign w:val="superscript"/>
    </w:rPr>
  </w:style>
  <w:style w:type="paragraph" w:customStyle="1" w:styleId="Normal1">
    <w:name w:val="Normal1"/>
    <w:basedOn w:val="Normal"/>
    <w:rsid w:val="002208DF"/>
    <w:pPr>
      <w:spacing w:before="100" w:beforeAutospacing="1" w:after="100" w:afterAutospacing="1" w:line="240" w:lineRule="auto"/>
    </w:pPr>
    <w:rPr>
      <w:rFonts w:eastAsia="Times New Roman"/>
      <w:lang w:val="en-US"/>
    </w:rPr>
  </w:style>
  <w:style w:type="character" w:customStyle="1" w:styleId="rynqvb">
    <w:name w:val="rynqvb"/>
    <w:basedOn w:val="DefaultParagraphFont"/>
    <w:rsid w:val="00582508"/>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3A30BD"/>
    <w:pPr>
      <w:spacing w:after="160" w:line="240" w:lineRule="exact"/>
    </w:pPr>
    <w:rPr>
      <w:rFonts w:asciiTheme="minorHAnsi" w:hAnsiTheme="minorHAnsi" w:cstheme="minorBidi"/>
      <w:sz w:val="22"/>
      <w:szCs w:val="22"/>
      <w:vertAlign w:val="superscript"/>
      <w:lang w:val="en-US"/>
    </w:rPr>
  </w:style>
  <w:style w:type="character" w:customStyle="1" w:styleId="sb8d990e2">
    <w:name w:val="sb8d990e2"/>
    <w:basedOn w:val="DefaultParagraphFont"/>
    <w:rsid w:val="001B5336"/>
  </w:style>
  <w:style w:type="character" w:customStyle="1" w:styleId="contentpasted0">
    <w:name w:val="contentpasted0"/>
    <w:rsid w:val="009D7FC1"/>
  </w:style>
  <w:style w:type="character" w:customStyle="1" w:styleId="jlqj4b">
    <w:name w:val="jlqj4b"/>
    <w:basedOn w:val="DefaultParagraphFont"/>
    <w:rsid w:val="00201A56"/>
  </w:style>
  <w:style w:type="character" w:customStyle="1" w:styleId="Bodytext3">
    <w:name w:val="Body text (3)_"/>
    <w:link w:val="Bodytext31"/>
    <w:uiPriority w:val="99"/>
    <w:rsid w:val="00AF3BC8"/>
    <w:rPr>
      <w:i/>
      <w:iCs/>
      <w:sz w:val="16"/>
      <w:szCs w:val="16"/>
      <w:shd w:val="clear" w:color="auto" w:fill="FFFFFF"/>
    </w:rPr>
  </w:style>
  <w:style w:type="paragraph" w:customStyle="1" w:styleId="Bodytext31">
    <w:name w:val="Body text (3)1"/>
    <w:basedOn w:val="Normal"/>
    <w:link w:val="Bodytext3"/>
    <w:uiPriority w:val="99"/>
    <w:rsid w:val="00AF3BC8"/>
    <w:pPr>
      <w:widowControl w:val="0"/>
      <w:shd w:val="clear" w:color="auto" w:fill="FFFFFF"/>
      <w:spacing w:before="180" w:line="202" w:lineRule="exact"/>
      <w:ind w:hanging="480"/>
      <w:jc w:val="both"/>
    </w:pPr>
    <w:rPr>
      <w:rFonts w:asciiTheme="minorHAnsi" w:hAnsiTheme="minorHAnsi" w:cstheme="minorBidi"/>
      <w:i/>
      <w:iCs/>
      <w:sz w:val="16"/>
      <w:szCs w:val="16"/>
      <w:lang w:val="en-US"/>
    </w:rPr>
  </w:style>
  <w:style w:type="table" w:styleId="TableGrid">
    <w:name w:val="Table Grid"/>
    <w:basedOn w:val="TableNormal"/>
    <w:uiPriority w:val="39"/>
    <w:rsid w:val="00032A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389947">
      <w:bodyDiv w:val="1"/>
      <w:marLeft w:val="0"/>
      <w:marRight w:val="0"/>
      <w:marTop w:val="0"/>
      <w:marBottom w:val="0"/>
      <w:divBdr>
        <w:top w:val="none" w:sz="0" w:space="0" w:color="auto"/>
        <w:left w:val="none" w:sz="0" w:space="0" w:color="auto"/>
        <w:bottom w:val="none" w:sz="0" w:space="0" w:color="auto"/>
        <w:right w:val="none" w:sz="0" w:space="0" w:color="auto"/>
      </w:divBdr>
    </w:div>
    <w:div w:id="116724671">
      <w:bodyDiv w:val="1"/>
      <w:marLeft w:val="0"/>
      <w:marRight w:val="0"/>
      <w:marTop w:val="0"/>
      <w:marBottom w:val="0"/>
      <w:divBdr>
        <w:top w:val="none" w:sz="0" w:space="0" w:color="auto"/>
        <w:left w:val="none" w:sz="0" w:space="0" w:color="auto"/>
        <w:bottom w:val="none" w:sz="0" w:space="0" w:color="auto"/>
        <w:right w:val="none" w:sz="0" w:space="0" w:color="auto"/>
      </w:divBdr>
    </w:div>
    <w:div w:id="436221842">
      <w:bodyDiv w:val="1"/>
      <w:marLeft w:val="0"/>
      <w:marRight w:val="0"/>
      <w:marTop w:val="0"/>
      <w:marBottom w:val="0"/>
      <w:divBdr>
        <w:top w:val="none" w:sz="0" w:space="0" w:color="auto"/>
        <w:left w:val="none" w:sz="0" w:space="0" w:color="auto"/>
        <w:bottom w:val="none" w:sz="0" w:space="0" w:color="auto"/>
        <w:right w:val="none" w:sz="0" w:space="0" w:color="auto"/>
      </w:divBdr>
    </w:div>
    <w:div w:id="452213943">
      <w:bodyDiv w:val="1"/>
      <w:marLeft w:val="0"/>
      <w:marRight w:val="0"/>
      <w:marTop w:val="0"/>
      <w:marBottom w:val="0"/>
      <w:divBdr>
        <w:top w:val="none" w:sz="0" w:space="0" w:color="auto"/>
        <w:left w:val="none" w:sz="0" w:space="0" w:color="auto"/>
        <w:bottom w:val="none" w:sz="0" w:space="0" w:color="auto"/>
        <w:right w:val="none" w:sz="0" w:space="0" w:color="auto"/>
      </w:divBdr>
    </w:div>
    <w:div w:id="607005651">
      <w:bodyDiv w:val="1"/>
      <w:marLeft w:val="0"/>
      <w:marRight w:val="0"/>
      <w:marTop w:val="0"/>
      <w:marBottom w:val="0"/>
      <w:divBdr>
        <w:top w:val="none" w:sz="0" w:space="0" w:color="auto"/>
        <w:left w:val="none" w:sz="0" w:space="0" w:color="auto"/>
        <w:bottom w:val="none" w:sz="0" w:space="0" w:color="auto"/>
        <w:right w:val="none" w:sz="0" w:space="0" w:color="auto"/>
      </w:divBdr>
    </w:div>
    <w:div w:id="619457734">
      <w:bodyDiv w:val="1"/>
      <w:marLeft w:val="0"/>
      <w:marRight w:val="0"/>
      <w:marTop w:val="0"/>
      <w:marBottom w:val="0"/>
      <w:divBdr>
        <w:top w:val="none" w:sz="0" w:space="0" w:color="auto"/>
        <w:left w:val="none" w:sz="0" w:space="0" w:color="auto"/>
        <w:bottom w:val="none" w:sz="0" w:space="0" w:color="auto"/>
        <w:right w:val="none" w:sz="0" w:space="0" w:color="auto"/>
      </w:divBdr>
    </w:div>
    <w:div w:id="747730118">
      <w:bodyDiv w:val="1"/>
      <w:marLeft w:val="0"/>
      <w:marRight w:val="0"/>
      <w:marTop w:val="0"/>
      <w:marBottom w:val="0"/>
      <w:divBdr>
        <w:top w:val="none" w:sz="0" w:space="0" w:color="auto"/>
        <w:left w:val="none" w:sz="0" w:space="0" w:color="auto"/>
        <w:bottom w:val="none" w:sz="0" w:space="0" w:color="auto"/>
        <w:right w:val="none" w:sz="0" w:space="0" w:color="auto"/>
      </w:divBdr>
    </w:div>
    <w:div w:id="772214317">
      <w:bodyDiv w:val="1"/>
      <w:marLeft w:val="0"/>
      <w:marRight w:val="0"/>
      <w:marTop w:val="0"/>
      <w:marBottom w:val="0"/>
      <w:divBdr>
        <w:top w:val="none" w:sz="0" w:space="0" w:color="auto"/>
        <w:left w:val="none" w:sz="0" w:space="0" w:color="auto"/>
        <w:bottom w:val="none" w:sz="0" w:space="0" w:color="auto"/>
        <w:right w:val="none" w:sz="0" w:space="0" w:color="auto"/>
      </w:divBdr>
    </w:div>
    <w:div w:id="1034113172">
      <w:bodyDiv w:val="1"/>
      <w:marLeft w:val="0"/>
      <w:marRight w:val="0"/>
      <w:marTop w:val="0"/>
      <w:marBottom w:val="0"/>
      <w:divBdr>
        <w:top w:val="none" w:sz="0" w:space="0" w:color="auto"/>
        <w:left w:val="none" w:sz="0" w:space="0" w:color="auto"/>
        <w:bottom w:val="none" w:sz="0" w:space="0" w:color="auto"/>
        <w:right w:val="none" w:sz="0" w:space="0" w:color="auto"/>
      </w:divBdr>
    </w:div>
    <w:div w:id="1098057721">
      <w:bodyDiv w:val="1"/>
      <w:marLeft w:val="0"/>
      <w:marRight w:val="0"/>
      <w:marTop w:val="0"/>
      <w:marBottom w:val="0"/>
      <w:divBdr>
        <w:top w:val="none" w:sz="0" w:space="0" w:color="auto"/>
        <w:left w:val="none" w:sz="0" w:space="0" w:color="auto"/>
        <w:bottom w:val="none" w:sz="0" w:space="0" w:color="auto"/>
        <w:right w:val="none" w:sz="0" w:space="0" w:color="auto"/>
      </w:divBdr>
    </w:div>
    <w:div w:id="1098253004">
      <w:bodyDiv w:val="1"/>
      <w:marLeft w:val="0"/>
      <w:marRight w:val="0"/>
      <w:marTop w:val="0"/>
      <w:marBottom w:val="0"/>
      <w:divBdr>
        <w:top w:val="none" w:sz="0" w:space="0" w:color="auto"/>
        <w:left w:val="none" w:sz="0" w:space="0" w:color="auto"/>
        <w:bottom w:val="none" w:sz="0" w:space="0" w:color="auto"/>
        <w:right w:val="none" w:sz="0" w:space="0" w:color="auto"/>
      </w:divBdr>
      <w:divsChild>
        <w:div w:id="1605725131">
          <w:marLeft w:val="0"/>
          <w:marRight w:val="0"/>
          <w:marTop w:val="0"/>
          <w:marBottom w:val="0"/>
          <w:divBdr>
            <w:top w:val="none" w:sz="0" w:space="0" w:color="auto"/>
            <w:left w:val="none" w:sz="0" w:space="0" w:color="auto"/>
            <w:bottom w:val="none" w:sz="0" w:space="0" w:color="auto"/>
            <w:right w:val="none" w:sz="0" w:space="0" w:color="auto"/>
          </w:divBdr>
        </w:div>
        <w:div w:id="2093770399">
          <w:marLeft w:val="0"/>
          <w:marRight w:val="0"/>
          <w:marTop w:val="0"/>
          <w:marBottom w:val="0"/>
          <w:divBdr>
            <w:top w:val="none" w:sz="0" w:space="0" w:color="auto"/>
            <w:left w:val="none" w:sz="0" w:space="0" w:color="auto"/>
            <w:bottom w:val="none" w:sz="0" w:space="0" w:color="auto"/>
            <w:right w:val="none" w:sz="0" w:space="0" w:color="auto"/>
          </w:divBdr>
        </w:div>
        <w:div w:id="128090062">
          <w:marLeft w:val="0"/>
          <w:marRight w:val="0"/>
          <w:marTop w:val="0"/>
          <w:marBottom w:val="0"/>
          <w:divBdr>
            <w:top w:val="none" w:sz="0" w:space="0" w:color="auto"/>
            <w:left w:val="none" w:sz="0" w:space="0" w:color="auto"/>
            <w:bottom w:val="none" w:sz="0" w:space="0" w:color="auto"/>
            <w:right w:val="none" w:sz="0" w:space="0" w:color="auto"/>
          </w:divBdr>
        </w:div>
        <w:div w:id="970745935">
          <w:marLeft w:val="0"/>
          <w:marRight w:val="0"/>
          <w:marTop w:val="0"/>
          <w:marBottom w:val="0"/>
          <w:divBdr>
            <w:top w:val="none" w:sz="0" w:space="0" w:color="auto"/>
            <w:left w:val="none" w:sz="0" w:space="0" w:color="auto"/>
            <w:bottom w:val="none" w:sz="0" w:space="0" w:color="auto"/>
            <w:right w:val="none" w:sz="0" w:space="0" w:color="auto"/>
          </w:divBdr>
        </w:div>
      </w:divsChild>
    </w:div>
    <w:div w:id="1131746321">
      <w:bodyDiv w:val="1"/>
      <w:marLeft w:val="0"/>
      <w:marRight w:val="0"/>
      <w:marTop w:val="0"/>
      <w:marBottom w:val="0"/>
      <w:divBdr>
        <w:top w:val="none" w:sz="0" w:space="0" w:color="auto"/>
        <w:left w:val="none" w:sz="0" w:space="0" w:color="auto"/>
        <w:bottom w:val="none" w:sz="0" w:space="0" w:color="auto"/>
        <w:right w:val="none" w:sz="0" w:space="0" w:color="auto"/>
      </w:divBdr>
    </w:div>
    <w:div w:id="1163592564">
      <w:bodyDiv w:val="1"/>
      <w:marLeft w:val="0"/>
      <w:marRight w:val="0"/>
      <w:marTop w:val="0"/>
      <w:marBottom w:val="0"/>
      <w:divBdr>
        <w:top w:val="none" w:sz="0" w:space="0" w:color="auto"/>
        <w:left w:val="none" w:sz="0" w:space="0" w:color="auto"/>
        <w:bottom w:val="none" w:sz="0" w:space="0" w:color="auto"/>
        <w:right w:val="none" w:sz="0" w:space="0" w:color="auto"/>
      </w:divBdr>
    </w:div>
    <w:div w:id="1314531371">
      <w:bodyDiv w:val="1"/>
      <w:marLeft w:val="0"/>
      <w:marRight w:val="0"/>
      <w:marTop w:val="0"/>
      <w:marBottom w:val="0"/>
      <w:divBdr>
        <w:top w:val="none" w:sz="0" w:space="0" w:color="auto"/>
        <w:left w:val="none" w:sz="0" w:space="0" w:color="auto"/>
        <w:bottom w:val="none" w:sz="0" w:space="0" w:color="auto"/>
        <w:right w:val="none" w:sz="0" w:space="0" w:color="auto"/>
      </w:divBdr>
    </w:div>
    <w:div w:id="1343555810">
      <w:bodyDiv w:val="1"/>
      <w:marLeft w:val="0"/>
      <w:marRight w:val="0"/>
      <w:marTop w:val="0"/>
      <w:marBottom w:val="0"/>
      <w:divBdr>
        <w:top w:val="none" w:sz="0" w:space="0" w:color="auto"/>
        <w:left w:val="none" w:sz="0" w:space="0" w:color="auto"/>
        <w:bottom w:val="none" w:sz="0" w:space="0" w:color="auto"/>
        <w:right w:val="none" w:sz="0" w:space="0" w:color="auto"/>
      </w:divBdr>
    </w:div>
    <w:div w:id="1434741341">
      <w:bodyDiv w:val="1"/>
      <w:marLeft w:val="0"/>
      <w:marRight w:val="0"/>
      <w:marTop w:val="0"/>
      <w:marBottom w:val="0"/>
      <w:divBdr>
        <w:top w:val="none" w:sz="0" w:space="0" w:color="auto"/>
        <w:left w:val="none" w:sz="0" w:space="0" w:color="auto"/>
        <w:bottom w:val="none" w:sz="0" w:space="0" w:color="auto"/>
        <w:right w:val="none" w:sz="0" w:space="0" w:color="auto"/>
      </w:divBdr>
    </w:div>
    <w:div w:id="1715085064">
      <w:bodyDiv w:val="1"/>
      <w:marLeft w:val="0"/>
      <w:marRight w:val="0"/>
      <w:marTop w:val="0"/>
      <w:marBottom w:val="0"/>
      <w:divBdr>
        <w:top w:val="none" w:sz="0" w:space="0" w:color="auto"/>
        <w:left w:val="none" w:sz="0" w:space="0" w:color="auto"/>
        <w:bottom w:val="none" w:sz="0" w:space="0" w:color="auto"/>
        <w:right w:val="none" w:sz="0" w:space="0" w:color="auto"/>
      </w:divBdr>
    </w:div>
    <w:div w:id="1872759454">
      <w:bodyDiv w:val="1"/>
      <w:marLeft w:val="0"/>
      <w:marRight w:val="0"/>
      <w:marTop w:val="0"/>
      <w:marBottom w:val="0"/>
      <w:divBdr>
        <w:top w:val="none" w:sz="0" w:space="0" w:color="auto"/>
        <w:left w:val="none" w:sz="0" w:space="0" w:color="auto"/>
        <w:bottom w:val="none" w:sz="0" w:space="0" w:color="auto"/>
        <w:right w:val="none" w:sz="0" w:space="0" w:color="auto"/>
      </w:divBdr>
    </w:div>
    <w:div w:id="2041347200">
      <w:bodyDiv w:val="1"/>
      <w:marLeft w:val="0"/>
      <w:marRight w:val="0"/>
      <w:marTop w:val="0"/>
      <w:marBottom w:val="0"/>
      <w:divBdr>
        <w:top w:val="none" w:sz="0" w:space="0" w:color="auto"/>
        <w:left w:val="none" w:sz="0" w:space="0" w:color="auto"/>
        <w:bottom w:val="none" w:sz="0" w:space="0" w:color="auto"/>
        <w:right w:val="none" w:sz="0" w:space="0" w:color="auto"/>
      </w:divBdr>
    </w:div>
    <w:div w:id="2050568877">
      <w:bodyDiv w:val="1"/>
      <w:marLeft w:val="0"/>
      <w:marRight w:val="0"/>
      <w:marTop w:val="0"/>
      <w:marBottom w:val="0"/>
      <w:divBdr>
        <w:top w:val="none" w:sz="0" w:space="0" w:color="auto"/>
        <w:left w:val="none" w:sz="0" w:space="0" w:color="auto"/>
        <w:bottom w:val="none" w:sz="0" w:space="0" w:color="auto"/>
        <w:right w:val="none" w:sz="0" w:space="0" w:color="auto"/>
      </w:divBdr>
    </w:div>
    <w:div w:id="2130277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Nr_x002e__x0020_akti>
    <Data_x0020_e_x0020_Krijimit xmlns="0e656187-b300-4fb0-8bf4-3a50f872073c">2025-03-03T09:31:23Z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2025-02-28T00:00:00Z</Date_x0020_protokolli>
    <Titulli xmlns="0e656187-b300-4fb0-8bf4-3a50f872073c">Me objekt shfuqizimin e vendimeve nr. 2943, datë 10.04.2015 të Gjykatës së Rrethit Gjyqësor Tiranë; nr. 665, datë 29.03.2016 të Gjykatës së Apelit Tiranë; nr. 00-2023-4272, datë 25.10.2023 të Kolegjit Civil të Gjykatës së Lartë, si të papajtueshme me Kushtetutën e Republikës së Shqipërisë</Titulli>
    <Modifikuesi xmlns="0e656187-b300-4fb0-8bf4-3a50f872073c">Suada.Daci</Modifikuesi>
    <Nr_x002e__x0020_prot_x0020_QBZ xmlns="0e656187-b300-4fb0-8bf4-3a50f872073c">408/1</Nr_x002e__x0020_prot_x0020_QBZ>
    <Data_x0020_e_x0020_Modifikimit xmlns="0e656187-b300-4fb0-8bf4-3a50f872073c">2025-03-03T10:24:26Z</Data_x0020_e_x0020_Modifikimit>
    <Dekretuar xmlns="0e656187-b300-4fb0-8bf4-3a50f872073c">false</Dekretuar>
    <Data xmlns="0e656187-b300-4fb0-8bf4-3a50f872073c">2025-01-29T00:00:00Z</Data>
    <Nr_x002e__x0020_protokolli_x0020_i_x0020_aktit xmlns="0e656187-b300-4fb0-8bf4-3a50f872073c">14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4A96821DF554087B9F20A28CCC53CF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24A96821DF554087B9F20A28CCC53CF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764596-06DA-447D-AF13-447C1D68044B}">
  <ds:schemaRefs>
    <ds:schemaRef ds:uri="http://purl.org/dc/dcmitype/"/>
    <ds:schemaRef ds:uri="http://schemas.microsoft.com/office/2006/metadata/properties"/>
    <ds:schemaRef ds:uri="http://schemas.microsoft.com/office/2006/documentManagement/types"/>
    <ds:schemaRef ds:uri="http://schemas.openxmlformats.org/package/2006/metadata/core-properties"/>
    <ds:schemaRef ds:uri="0e656187-b300-4fb0-8bf4-3a50f872073c"/>
    <ds:schemaRef ds:uri="http://www.w3.org/XML/1998/namespace"/>
    <ds:schemaRef ds:uri="http://purl.org/dc/terms/"/>
    <ds:schemaRef ds:uri="http://purl.org/dc/elements/1.1/"/>
  </ds:schemaRefs>
</ds:datastoreItem>
</file>

<file path=customXml/itemProps2.xml><?xml version="1.0" encoding="utf-8"?>
<ds:datastoreItem xmlns:ds="http://schemas.openxmlformats.org/officeDocument/2006/customXml" ds:itemID="{04D13AB4-9969-4033-B135-45356A08909A}">
  <ds:schemaRefs>
    <ds:schemaRef ds:uri="http://schemas.microsoft.com/sharepoint/v3/contenttype/forms"/>
  </ds:schemaRefs>
</ds:datastoreItem>
</file>

<file path=customXml/itemProps3.xml><?xml version="1.0" encoding="utf-8"?>
<ds:datastoreItem xmlns:ds="http://schemas.openxmlformats.org/officeDocument/2006/customXml" ds:itemID="{DC1C3151-973D-4476-8907-039554C876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B2762BD-2B8B-4164-8EBC-40E70FDAE0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ECA4CDAF-2F14-48CB-B1D3-A71CD9223E0B}">
  <ds:schemaRefs>
    <ds:schemaRef ds:uri="http://schemas.microsoft.com/sharepoint/v3/contenttype/forms"/>
  </ds:schemaRefs>
</ds:datastoreItem>
</file>

<file path=customXml/itemProps6.xml><?xml version="1.0" encoding="utf-8"?>
<ds:datastoreItem xmlns:ds="http://schemas.openxmlformats.org/officeDocument/2006/customXml" ds:itemID="{4F55B607-E52F-4F44-A7E6-9439B80D0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12</Pages>
  <Words>7957</Words>
  <Characters>45360</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Me objekt shfuqizimin e vendimeve nr. 2943, datë 10.04.2015 të Gjykatës së Rrethit Gjyqësor Tiranë; nr. 665, datë 29.03.2016 të Gjykatës së Apelit Tiranë; nr. 00-2023-4272, datë 25.10.2023 të Kolegjit Civil të Gjykatës së Lartë, si të papajtueshme me Kush</vt:lpstr>
    </vt:vector>
  </TitlesOfParts>
  <Company/>
  <LinksUpToDate>false</LinksUpToDate>
  <CharactersWithSpaces>53211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2943, datë 10.04.2015 të Gjykatës së Rrethit Gjyqësor Tiranë; nr. 665, datë 29.03.2016 të Gjykatës së Apelit Tiranë; nr. 00-2023-4272, datë 25.10.2023 të Kolegjit Civil të Gjykatës së Lartë, si të papajtueshme me Kushtetutën e Republikës së Shqipërisë</dc:title>
  <dc:creator>Ermal Tauzi</dc:creator>
  <cp:lastModifiedBy>Fjora Cahani</cp:lastModifiedBy>
  <cp:revision>15</cp:revision>
  <cp:lastPrinted>2025-02-25T11:45:00Z</cp:lastPrinted>
  <dcterms:created xsi:type="dcterms:W3CDTF">2025-03-03T08:34:00Z</dcterms:created>
  <dcterms:modified xsi:type="dcterms:W3CDTF">2025-03-03T10:07:00Z</dcterms:modified>
</cp:coreProperties>
</file>