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C0B19" w14:textId="77777777" w:rsidR="00412C76" w:rsidRPr="00B80EAA" w:rsidRDefault="00412C76" w:rsidP="00412C76">
      <w:pPr>
        <w:spacing w:line="240" w:lineRule="auto"/>
        <w:ind w:firstLine="284"/>
        <w:jc w:val="center"/>
        <w:rPr>
          <w:rFonts w:ascii="Garamond" w:hAnsi="Garamond"/>
          <w:b/>
          <w:bCs/>
        </w:rPr>
      </w:pPr>
      <w:r w:rsidRPr="00B80EAA">
        <w:rPr>
          <w:rFonts w:ascii="Garamond" w:hAnsi="Garamond"/>
          <w:b/>
          <w:bCs/>
        </w:rPr>
        <w:t>VENDIM</w:t>
      </w:r>
    </w:p>
    <w:p w14:paraId="5CD2851D" w14:textId="0668C3FE" w:rsidR="00412C76" w:rsidRPr="00B80EAA" w:rsidRDefault="00412C76" w:rsidP="00412C76">
      <w:pPr>
        <w:spacing w:line="240" w:lineRule="auto"/>
        <w:ind w:firstLine="284"/>
        <w:jc w:val="center"/>
        <w:rPr>
          <w:rFonts w:ascii="Garamond" w:hAnsi="Garamond"/>
          <w:b/>
          <w:bCs/>
        </w:rPr>
      </w:pPr>
      <w:r w:rsidRPr="00B80EAA">
        <w:rPr>
          <w:rFonts w:ascii="Garamond" w:hAnsi="Garamond"/>
          <w:b/>
          <w:bCs/>
        </w:rPr>
        <w:t>Nr. 10, datë 13.3.2025</w:t>
      </w:r>
    </w:p>
    <w:p w14:paraId="7C33A28A" w14:textId="77777777" w:rsidR="00412C76" w:rsidRPr="00B80EAA" w:rsidRDefault="00412C76" w:rsidP="00412C76">
      <w:pPr>
        <w:spacing w:line="240" w:lineRule="auto"/>
        <w:ind w:firstLine="284"/>
        <w:jc w:val="center"/>
        <w:rPr>
          <w:rFonts w:ascii="Garamond" w:hAnsi="Garamond"/>
          <w:b/>
          <w:bCs/>
        </w:rPr>
      </w:pPr>
    </w:p>
    <w:p w14:paraId="13498ADF" w14:textId="50172639" w:rsidR="00412C76" w:rsidRPr="00B80EAA" w:rsidRDefault="00412C76" w:rsidP="00412C76">
      <w:pPr>
        <w:spacing w:line="240" w:lineRule="auto"/>
        <w:ind w:firstLine="284"/>
        <w:jc w:val="center"/>
        <w:rPr>
          <w:rFonts w:ascii="Garamond" w:hAnsi="Garamond"/>
          <w:b/>
          <w:bCs/>
        </w:rPr>
      </w:pPr>
      <w:r w:rsidRPr="00B80EAA">
        <w:rPr>
          <w:rFonts w:ascii="Garamond" w:hAnsi="Garamond"/>
          <w:b/>
          <w:bCs/>
        </w:rPr>
        <w:t>NË EMËR TË REPUBLIKËS SË SHQIPËRISË</w:t>
      </w:r>
    </w:p>
    <w:p w14:paraId="07613E9E" w14:textId="77777777" w:rsidR="00412C76" w:rsidRPr="00B80EAA" w:rsidRDefault="00412C76" w:rsidP="00412C76">
      <w:pPr>
        <w:spacing w:line="240" w:lineRule="auto"/>
        <w:ind w:firstLine="284"/>
        <w:jc w:val="both"/>
        <w:rPr>
          <w:rFonts w:ascii="Garamond" w:hAnsi="Garamond"/>
        </w:rPr>
      </w:pPr>
    </w:p>
    <w:p w14:paraId="38ABF051" w14:textId="77777777" w:rsidR="00412C76" w:rsidRPr="00B80EAA" w:rsidRDefault="00412C76" w:rsidP="00412C76">
      <w:pPr>
        <w:spacing w:line="240" w:lineRule="auto"/>
        <w:ind w:firstLine="284"/>
        <w:jc w:val="both"/>
        <w:rPr>
          <w:rFonts w:ascii="Garamond" w:hAnsi="Garamond"/>
        </w:rPr>
      </w:pPr>
      <w:r w:rsidRPr="00B80EAA">
        <w:rPr>
          <w:rFonts w:ascii="Garamond" w:hAnsi="Garamond"/>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843"/>
      </w:tblGrid>
      <w:tr w:rsidR="00412C76" w:rsidRPr="00B80EAA" w14:paraId="53AF50A7" w14:textId="77777777" w:rsidTr="00412C76">
        <w:tc>
          <w:tcPr>
            <w:tcW w:w="2405" w:type="dxa"/>
          </w:tcPr>
          <w:p w14:paraId="4F6CEE06" w14:textId="4C69D737" w:rsidR="00412C76" w:rsidRPr="00B80EAA" w:rsidRDefault="00412C76" w:rsidP="00412C76">
            <w:pPr>
              <w:spacing w:line="240" w:lineRule="auto"/>
              <w:jc w:val="both"/>
              <w:rPr>
                <w:rFonts w:ascii="Garamond" w:hAnsi="Garamond"/>
              </w:rPr>
            </w:pPr>
            <w:proofErr w:type="spellStart"/>
            <w:r w:rsidRPr="00B80EAA">
              <w:rPr>
                <w:rFonts w:ascii="Garamond" w:hAnsi="Garamond"/>
              </w:rPr>
              <w:t>Holta</w:t>
            </w:r>
            <w:proofErr w:type="spellEnd"/>
            <w:r w:rsidRPr="00B80EAA">
              <w:rPr>
                <w:rFonts w:ascii="Garamond" w:hAnsi="Garamond"/>
              </w:rPr>
              <w:t xml:space="preserve"> </w:t>
            </w:r>
            <w:proofErr w:type="spellStart"/>
            <w:r w:rsidRPr="00B80EAA">
              <w:rPr>
                <w:rFonts w:ascii="Garamond" w:hAnsi="Garamond"/>
              </w:rPr>
              <w:t>Zaçaj</w:t>
            </w:r>
            <w:proofErr w:type="spellEnd"/>
            <w:r w:rsidRPr="00B80EAA">
              <w:rPr>
                <w:rFonts w:ascii="Garamond" w:hAnsi="Garamond"/>
              </w:rPr>
              <w:t>,</w:t>
            </w:r>
          </w:p>
        </w:tc>
        <w:tc>
          <w:tcPr>
            <w:tcW w:w="1843" w:type="dxa"/>
          </w:tcPr>
          <w:p w14:paraId="20F43559" w14:textId="55BD7CCF" w:rsidR="00412C76" w:rsidRPr="00B80EAA" w:rsidRDefault="00B80EAA" w:rsidP="00412C76">
            <w:pPr>
              <w:spacing w:line="240" w:lineRule="auto"/>
              <w:jc w:val="both"/>
              <w:rPr>
                <w:rFonts w:ascii="Garamond" w:hAnsi="Garamond"/>
              </w:rPr>
            </w:pPr>
            <w:r w:rsidRPr="00B80EAA">
              <w:rPr>
                <w:rFonts w:ascii="Garamond" w:hAnsi="Garamond"/>
              </w:rPr>
              <w:t>kryetare</w:t>
            </w:r>
            <w:r>
              <w:rPr>
                <w:rFonts w:ascii="Garamond" w:hAnsi="Garamond"/>
              </w:rPr>
              <w:t>;</w:t>
            </w:r>
          </w:p>
        </w:tc>
      </w:tr>
      <w:tr w:rsidR="00412C76" w:rsidRPr="00B80EAA" w14:paraId="48E8D975" w14:textId="77777777" w:rsidTr="00412C76">
        <w:tc>
          <w:tcPr>
            <w:tcW w:w="2405" w:type="dxa"/>
          </w:tcPr>
          <w:p w14:paraId="07B5EECA" w14:textId="50208892" w:rsidR="00412C76" w:rsidRPr="00B80EAA" w:rsidRDefault="00412C76" w:rsidP="00412C76">
            <w:pPr>
              <w:spacing w:line="240" w:lineRule="auto"/>
              <w:jc w:val="both"/>
              <w:rPr>
                <w:rFonts w:ascii="Garamond" w:hAnsi="Garamond"/>
              </w:rPr>
            </w:pPr>
            <w:proofErr w:type="spellStart"/>
            <w:r w:rsidRPr="00B80EAA">
              <w:rPr>
                <w:rFonts w:ascii="Garamond" w:hAnsi="Garamond"/>
              </w:rPr>
              <w:t>Fiona</w:t>
            </w:r>
            <w:proofErr w:type="spellEnd"/>
            <w:r w:rsidRPr="00B80EAA">
              <w:rPr>
                <w:rFonts w:ascii="Garamond" w:hAnsi="Garamond"/>
              </w:rPr>
              <w:t xml:space="preserve"> </w:t>
            </w:r>
            <w:proofErr w:type="spellStart"/>
            <w:r w:rsidRPr="00B80EAA">
              <w:rPr>
                <w:rFonts w:ascii="Garamond" w:hAnsi="Garamond"/>
              </w:rPr>
              <w:t>Papajorgji</w:t>
            </w:r>
            <w:proofErr w:type="spellEnd"/>
            <w:r w:rsidRPr="00B80EAA">
              <w:rPr>
                <w:rFonts w:ascii="Garamond" w:hAnsi="Garamond"/>
              </w:rPr>
              <w:t>,</w:t>
            </w:r>
          </w:p>
        </w:tc>
        <w:tc>
          <w:tcPr>
            <w:tcW w:w="1843" w:type="dxa"/>
          </w:tcPr>
          <w:p w14:paraId="69965FDF" w14:textId="58982C63" w:rsidR="00412C76" w:rsidRPr="00B80EAA" w:rsidRDefault="00B80EAA" w:rsidP="00412C76">
            <w:pPr>
              <w:spacing w:line="240" w:lineRule="auto"/>
              <w:jc w:val="both"/>
              <w:rPr>
                <w:rFonts w:ascii="Garamond" w:hAnsi="Garamond"/>
              </w:rPr>
            </w:pPr>
            <w:r w:rsidRPr="00B80EAA">
              <w:rPr>
                <w:rFonts w:ascii="Garamond" w:hAnsi="Garamond"/>
              </w:rPr>
              <w:t>anëtare</w:t>
            </w:r>
            <w:r>
              <w:rPr>
                <w:rFonts w:ascii="Garamond" w:hAnsi="Garamond"/>
              </w:rPr>
              <w:t>;</w:t>
            </w:r>
            <w:r w:rsidRPr="00B80EAA">
              <w:rPr>
                <w:rFonts w:ascii="Garamond" w:hAnsi="Garamond"/>
              </w:rPr>
              <w:t xml:space="preserve"> </w:t>
            </w:r>
          </w:p>
        </w:tc>
      </w:tr>
      <w:tr w:rsidR="00412C76" w:rsidRPr="00B80EAA" w14:paraId="16971283" w14:textId="77777777" w:rsidTr="00412C76">
        <w:tc>
          <w:tcPr>
            <w:tcW w:w="2405" w:type="dxa"/>
          </w:tcPr>
          <w:p w14:paraId="27EB497A" w14:textId="08562008" w:rsidR="00412C76" w:rsidRPr="00B80EAA" w:rsidRDefault="00412C76" w:rsidP="00412C76">
            <w:pPr>
              <w:spacing w:line="240" w:lineRule="auto"/>
              <w:jc w:val="both"/>
              <w:rPr>
                <w:rFonts w:ascii="Garamond" w:hAnsi="Garamond"/>
              </w:rPr>
            </w:pPr>
            <w:proofErr w:type="spellStart"/>
            <w:r w:rsidRPr="00B80EAA">
              <w:rPr>
                <w:rFonts w:ascii="Garamond" w:hAnsi="Garamond"/>
              </w:rPr>
              <w:t>Sonila</w:t>
            </w:r>
            <w:proofErr w:type="spellEnd"/>
            <w:r w:rsidRPr="00B80EAA">
              <w:rPr>
                <w:rFonts w:ascii="Garamond" w:hAnsi="Garamond"/>
              </w:rPr>
              <w:t xml:space="preserve"> Bejtja,</w:t>
            </w:r>
          </w:p>
        </w:tc>
        <w:tc>
          <w:tcPr>
            <w:tcW w:w="1843" w:type="dxa"/>
          </w:tcPr>
          <w:p w14:paraId="086E9D59" w14:textId="74812FC0" w:rsidR="00412C76" w:rsidRPr="00B80EAA" w:rsidRDefault="00B80EAA" w:rsidP="00412C76">
            <w:pPr>
              <w:spacing w:line="240" w:lineRule="auto"/>
              <w:jc w:val="both"/>
              <w:rPr>
                <w:rFonts w:ascii="Garamond" w:hAnsi="Garamond"/>
              </w:rPr>
            </w:pPr>
            <w:r w:rsidRPr="00B80EAA">
              <w:rPr>
                <w:rFonts w:ascii="Garamond" w:hAnsi="Garamond"/>
              </w:rPr>
              <w:t>anëtare</w:t>
            </w:r>
            <w:r>
              <w:rPr>
                <w:rFonts w:ascii="Garamond" w:hAnsi="Garamond"/>
              </w:rPr>
              <w:t>;</w:t>
            </w:r>
            <w:r w:rsidR="004E0AB7">
              <w:rPr>
                <w:rFonts w:ascii="Garamond" w:hAnsi="Garamond"/>
              </w:rPr>
              <w:t xml:space="preserve"> </w:t>
            </w:r>
          </w:p>
        </w:tc>
      </w:tr>
      <w:tr w:rsidR="00412C76" w:rsidRPr="00B80EAA" w14:paraId="753E10D4" w14:textId="77777777" w:rsidTr="00412C76">
        <w:tc>
          <w:tcPr>
            <w:tcW w:w="2405" w:type="dxa"/>
          </w:tcPr>
          <w:p w14:paraId="3CADE164" w14:textId="0F822E23" w:rsidR="00412C76" w:rsidRPr="00B80EAA" w:rsidRDefault="00412C76" w:rsidP="00412C76">
            <w:pPr>
              <w:spacing w:line="240" w:lineRule="auto"/>
              <w:jc w:val="both"/>
              <w:rPr>
                <w:rFonts w:ascii="Garamond" w:hAnsi="Garamond"/>
              </w:rPr>
            </w:pPr>
            <w:proofErr w:type="spellStart"/>
            <w:r w:rsidRPr="00B80EAA">
              <w:rPr>
                <w:rFonts w:ascii="Garamond" w:hAnsi="Garamond"/>
              </w:rPr>
              <w:t>Sandër</w:t>
            </w:r>
            <w:proofErr w:type="spellEnd"/>
            <w:r w:rsidRPr="00B80EAA">
              <w:rPr>
                <w:rFonts w:ascii="Garamond" w:hAnsi="Garamond"/>
              </w:rPr>
              <w:t xml:space="preserve"> Beci,</w:t>
            </w:r>
          </w:p>
        </w:tc>
        <w:tc>
          <w:tcPr>
            <w:tcW w:w="1843" w:type="dxa"/>
          </w:tcPr>
          <w:p w14:paraId="75AC7CD6" w14:textId="4E2A787D" w:rsidR="00412C76" w:rsidRPr="00B80EAA" w:rsidRDefault="00B80EAA" w:rsidP="00412C76">
            <w:pPr>
              <w:spacing w:line="240" w:lineRule="auto"/>
              <w:jc w:val="both"/>
              <w:rPr>
                <w:rFonts w:ascii="Garamond" w:hAnsi="Garamond"/>
              </w:rPr>
            </w:pPr>
            <w:r w:rsidRPr="00B80EAA">
              <w:rPr>
                <w:rFonts w:ascii="Garamond" w:hAnsi="Garamond"/>
              </w:rPr>
              <w:t>anëtar</w:t>
            </w:r>
            <w:r>
              <w:rPr>
                <w:rFonts w:ascii="Garamond" w:hAnsi="Garamond"/>
              </w:rPr>
              <w:t>;</w:t>
            </w:r>
          </w:p>
        </w:tc>
      </w:tr>
      <w:tr w:rsidR="00412C76" w:rsidRPr="00B80EAA" w14:paraId="6D16EDB6" w14:textId="77777777" w:rsidTr="00412C76">
        <w:tc>
          <w:tcPr>
            <w:tcW w:w="2405" w:type="dxa"/>
          </w:tcPr>
          <w:p w14:paraId="69189537" w14:textId="5B9E0E7D" w:rsidR="00412C76" w:rsidRPr="00B80EAA" w:rsidRDefault="00412C76" w:rsidP="00412C76">
            <w:pPr>
              <w:spacing w:line="240" w:lineRule="auto"/>
              <w:jc w:val="both"/>
              <w:rPr>
                <w:rFonts w:ascii="Garamond" w:hAnsi="Garamond"/>
              </w:rPr>
            </w:pPr>
            <w:r w:rsidRPr="00B80EAA">
              <w:rPr>
                <w:rFonts w:ascii="Garamond" w:hAnsi="Garamond"/>
              </w:rPr>
              <w:t>Ilir Toska,</w:t>
            </w:r>
          </w:p>
        </w:tc>
        <w:tc>
          <w:tcPr>
            <w:tcW w:w="1843" w:type="dxa"/>
          </w:tcPr>
          <w:p w14:paraId="6F215717" w14:textId="4E5D2827" w:rsidR="00412C76" w:rsidRPr="00B80EAA" w:rsidRDefault="00B80EAA" w:rsidP="00412C76">
            <w:pPr>
              <w:spacing w:line="240" w:lineRule="auto"/>
              <w:jc w:val="both"/>
              <w:rPr>
                <w:rFonts w:ascii="Garamond" w:hAnsi="Garamond"/>
              </w:rPr>
            </w:pPr>
            <w:r w:rsidRPr="00B80EAA">
              <w:rPr>
                <w:rFonts w:ascii="Garamond" w:hAnsi="Garamond"/>
              </w:rPr>
              <w:t>anëtar</w:t>
            </w:r>
            <w:r>
              <w:rPr>
                <w:rFonts w:ascii="Garamond" w:hAnsi="Garamond"/>
              </w:rPr>
              <w:t>;</w:t>
            </w:r>
          </w:p>
        </w:tc>
      </w:tr>
      <w:tr w:rsidR="00412C76" w:rsidRPr="00B80EAA" w14:paraId="3631B63D" w14:textId="77777777" w:rsidTr="00412C76">
        <w:tc>
          <w:tcPr>
            <w:tcW w:w="2405" w:type="dxa"/>
          </w:tcPr>
          <w:p w14:paraId="7AB802B9" w14:textId="39B68A70" w:rsidR="00412C76" w:rsidRPr="00B80EAA" w:rsidRDefault="00412C76" w:rsidP="00412C76">
            <w:pPr>
              <w:spacing w:line="240" w:lineRule="auto"/>
              <w:jc w:val="both"/>
              <w:rPr>
                <w:rFonts w:ascii="Garamond" w:hAnsi="Garamond"/>
              </w:rPr>
            </w:pPr>
            <w:r w:rsidRPr="00B80EAA">
              <w:rPr>
                <w:rFonts w:ascii="Garamond" w:hAnsi="Garamond"/>
              </w:rPr>
              <w:t>Genti Ibrahimi</w:t>
            </w:r>
          </w:p>
        </w:tc>
        <w:tc>
          <w:tcPr>
            <w:tcW w:w="1843" w:type="dxa"/>
          </w:tcPr>
          <w:p w14:paraId="004D7297" w14:textId="66DA4AB7" w:rsidR="00412C76" w:rsidRPr="00B80EAA" w:rsidRDefault="00B80EAA" w:rsidP="00412C76">
            <w:pPr>
              <w:spacing w:line="240" w:lineRule="auto"/>
              <w:jc w:val="both"/>
              <w:rPr>
                <w:rFonts w:ascii="Garamond" w:hAnsi="Garamond"/>
              </w:rPr>
            </w:pPr>
            <w:r w:rsidRPr="00B80EAA">
              <w:rPr>
                <w:rFonts w:ascii="Garamond" w:hAnsi="Garamond"/>
              </w:rPr>
              <w:t>anëtar</w:t>
            </w:r>
            <w:r>
              <w:rPr>
                <w:rFonts w:ascii="Garamond" w:hAnsi="Garamond"/>
              </w:rPr>
              <w:t>;</w:t>
            </w:r>
          </w:p>
        </w:tc>
      </w:tr>
      <w:tr w:rsidR="00412C76" w:rsidRPr="00B80EAA" w14:paraId="720D82BB" w14:textId="77777777" w:rsidTr="00412C76">
        <w:tc>
          <w:tcPr>
            <w:tcW w:w="2405" w:type="dxa"/>
          </w:tcPr>
          <w:p w14:paraId="3BDD6C88" w14:textId="490361E9" w:rsidR="00412C76" w:rsidRPr="00B80EAA" w:rsidRDefault="00412C76" w:rsidP="00412C76">
            <w:pPr>
              <w:spacing w:line="240" w:lineRule="auto"/>
              <w:jc w:val="both"/>
              <w:rPr>
                <w:rFonts w:ascii="Garamond" w:hAnsi="Garamond"/>
              </w:rPr>
            </w:pPr>
            <w:proofErr w:type="spellStart"/>
            <w:r w:rsidRPr="00B80EAA">
              <w:rPr>
                <w:rFonts w:ascii="Garamond" w:hAnsi="Garamond"/>
              </w:rPr>
              <w:t>Marjana</w:t>
            </w:r>
            <w:proofErr w:type="spellEnd"/>
            <w:r w:rsidRPr="00B80EAA">
              <w:rPr>
                <w:rFonts w:ascii="Garamond" w:hAnsi="Garamond"/>
              </w:rPr>
              <w:t xml:space="preserve"> </w:t>
            </w:r>
            <w:proofErr w:type="spellStart"/>
            <w:r w:rsidRPr="00B80EAA">
              <w:rPr>
                <w:rFonts w:ascii="Garamond" w:hAnsi="Garamond"/>
              </w:rPr>
              <w:t>Semini</w:t>
            </w:r>
            <w:proofErr w:type="spellEnd"/>
            <w:r w:rsidRPr="00B80EAA">
              <w:rPr>
                <w:rFonts w:ascii="Garamond" w:hAnsi="Garamond"/>
              </w:rPr>
              <w:t>,</w:t>
            </w:r>
          </w:p>
        </w:tc>
        <w:tc>
          <w:tcPr>
            <w:tcW w:w="1843" w:type="dxa"/>
          </w:tcPr>
          <w:p w14:paraId="38997440" w14:textId="5F71338F" w:rsidR="00412C76" w:rsidRPr="00B80EAA" w:rsidRDefault="00B80EAA" w:rsidP="00412C76">
            <w:pPr>
              <w:spacing w:line="240" w:lineRule="auto"/>
              <w:jc w:val="both"/>
              <w:rPr>
                <w:rFonts w:ascii="Garamond" w:hAnsi="Garamond"/>
              </w:rPr>
            </w:pPr>
            <w:r w:rsidRPr="00B80EAA">
              <w:rPr>
                <w:rFonts w:ascii="Garamond" w:hAnsi="Garamond"/>
              </w:rPr>
              <w:t>anëtare</w:t>
            </w:r>
            <w:r>
              <w:rPr>
                <w:rFonts w:ascii="Garamond" w:hAnsi="Garamond"/>
              </w:rPr>
              <w:t>;</w:t>
            </w:r>
          </w:p>
        </w:tc>
      </w:tr>
      <w:tr w:rsidR="00412C76" w:rsidRPr="00B80EAA" w14:paraId="32B8DD52" w14:textId="77777777" w:rsidTr="00412C76">
        <w:tc>
          <w:tcPr>
            <w:tcW w:w="2405" w:type="dxa"/>
          </w:tcPr>
          <w:p w14:paraId="63A6B063" w14:textId="6C761F58" w:rsidR="00412C76" w:rsidRPr="00B80EAA" w:rsidRDefault="00412C76" w:rsidP="00412C76">
            <w:pPr>
              <w:spacing w:line="240" w:lineRule="auto"/>
              <w:jc w:val="both"/>
              <w:rPr>
                <w:rFonts w:ascii="Garamond" w:hAnsi="Garamond"/>
              </w:rPr>
            </w:pPr>
            <w:proofErr w:type="spellStart"/>
            <w:r w:rsidRPr="00B80EAA">
              <w:rPr>
                <w:rFonts w:ascii="Garamond" w:hAnsi="Garamond"/>
              </w:rPr>
              <w:t>Marsida</w:t>
            </w:r>
            <w:proofErr w:type="spellEnd"/>
            <w:r w:rsidRPr="00B80EAA">
              <w:rPr>
                <w:rFonts w:ascii="Garamond" w:hAnsi="Garamond"/>
              </w:rPr>
              <w:t xml:space="preserve"> </w:t>
            </w:r>
            <w:proofErr w:type="spellStart"/>
            <w:r w:rsidRPr="00B80EAA">
              <w:rPr>
                <w:rFonts w:ascii="Garamond" w:hAnsi="Garamond"/>
              </w:rPr>
              <w:t>Xhaferllari</w:t>
            </w:r>
            <w:proofErr w:type="spellEnd"/>
            <w:r w:rsidRPr="00B80EAA">
              <w:rPr>
                <w:rFonts w:ascii="Garamond" w:hAnsi="Garamond"/>
              </w:rPr>
              <w:t>,</w:t>
            </w:r>
            <w:r w:rsidR="007305BC" w:rsidRPr="00B80EAA">
              <w:rPr>
                <w:rFonts w:ascii="Garamond" w:hAnsi="Garamond"/>
              </w:rPr>
              <w:t xml:space="preserve"> </w:t>
            </w:r>
          </w:p>
        </w:tc>
        <w:tc>
          <w:tcPr>
            <w:tcW w:w="1843" w:type="dxa"/>
          </w:tcPr>
          <w:p w14:paraId="0CC9BF34" w14:textId="17411471" w:rsidR="00412C76" w:rsidRPr="00B80EAA" w:rsidRDefault="00B80EAA" w:rsidP="00412C76">
            <w:pPr>
              <w:spacing w:line="240" w:lineRule="auto"/>
              <w:jc w:val="both"/>
              <w:rPr>
                <w:rFonts w:ascii="Garamond" w:hAnsi="Garamond"/>
              </w:rPr>
            </w:pPr>
            <w:r w:rsidRPr="00B80EAA">
              <w:rPr>
                <w:rFonts w:ascii="Garamond" w:hAnsi="Garamond"/>
              </w:rPr>
              <w:t>anëtare</w:t>
            </w:r>
            <w:r>
              <w:rPr>
                <w:rFonts w:ascii="Garamond" w:hAnsi="Garamond"/>
              </w:rPr>
              <w:t>,</w:t>
            </w:r>
            <w:r w:rsidR="004E0AB7">
              <w:rPr>
                <w:rFonts w:ascii="Garamond" w:hAnsi="Garamond"/>
              </w:rPr>
              <w:t xml:space="preserve"> </w:t>
            </w:r>
          </w:p>
        </w:tc>
      </w:tr>
    </w:tbl>
    <w:p w14:paraId="29742699" w14:textId="1D30139E" w:rsidR="00412C76" w:rsidRPr="00B80EAA" w:rsidRDefault="00412C76" w:rsidP="00412C76">
      <w:pPr>
        <w:spacing w:line="240" w:lineRule="auto"/>
        <w:ind w:firstLine="284"/>
        <w:jc w:val="both"/>
        <w:rPr>
          <w:rFonts w:ascii="Garamond" w:hAnsi="Garamond"/>
        </w:rPr>
      </w:pPr>
      <w:r w:rsidRPr="00B80EAA">
        <w:rPr>
          <w:rFonts w:ascii="Garamond" w:hAnsi="Garamond"/>
        </w:rPr>
        <w:t xml:space="preserve">me sekretare </w:t>
      </w:r>
      <w:proofErr w:type="spellStart"/>
      <w:r w:rsidRPr="00B80EAA">
        <w:rPr>
          <w:rFonts w:ascii="Garamond" w:hAnsi="Garamond"/>
        </w:rPr>
        <w:t>Belma</w:t>
      </w:r>
      <w:proofErr w:type="spellEnd"/>
      <w:r w:rsidRPr="00B80EAA">
        <w:rPr>
          <w:rFonts w:ascii="Garamond" w:hAnsi="Garamond"/>
        </w:rPr>
        <w:t xml:space="preserve"> Lleshi, në datën 13.3.2025</w:t>
      </w:r>
      <w:r w:rsidR="00B80EAA">
        <w:rPr>
          <w:rFonts w:ascii="Garamond" w:hAnsi="Garamond"/>
        </w:rPr>
        <w:t>,</w:t>
      </w:r>
      <w:r w:rsidRPr="00B80EAA">
        <w:rPr>
          <w:rFonts w:ascii="Garamond" w:hAnsi="Garamond"/>
        </w:rPr>
        <w:t xml:space="preserve"> mori në shqyrtim në seancë plenare mbi bazë të dokumenteve çështjen nr. 7 (Dh) 2024 të Regjistrit Themeltar, që u përket:</w:t>
      </w:r>
    </w:p>
    <w:p w14:paraId="699EC7AB" w14:textId="7B0DDBF5" w:rsidR="00412C76" w:rsidRPr="00B80EAA" w:rsidRDefault="00412C76" w:rsidP="00412C76">
      <w:pPr>
        <w:tabs>
          <w:tab w:val="left" w:pos="720"/>
          <w:tab w:val="left" w:pos="1080"/>
          <w:tab w:val="left" w:pos="2880"/>
        </w:tabs>
        <w:spacing w:line="240" w:lineRule="auto"/>
        <w:ind w:firstLine="284"/>
        <w:jc w:val="both"/>
        <w:rPr>
          <w:rFonts w:ascii="Garamond" w:hAnsi="Garamond"/>
        </w:rPr>
      </w:pPr>
      <w:r w:rsidRPr="00B80EAA">
        <w:rPr>
          <w:rFonts w:ascii="Garamond" w:hAnsi="Garamond"/>
          <w:bCs/>
        </w:rPr>
        <w:t>KËRKUESE:</w:t>
      </w:r>
      <w:r w:rsidR="007305BC" w:rsidRPr="00B80EAA">
        <w:rPr>
          <w:rFonts w:ascii="Garamond" w:hAnsi="Garamond"/>
          <w:bCs/>
        </w:rPr>
        <w:t xml:space="preserve"> </w:t>
      </w:r>
      <w:r w:rsidR="00B80EAA" w:rsidRPr="00B80EAA">
        <w:rPr>
          <w:rFonts w:ascii="Garamond" w:hAnsi="Garamond"/>
          <w:bCs/>
        </w:rPr>
        <w:t xml:space="preserve">Dhurata Boçi, </w:t>
      </w:r>
      <w:proofErr w:type="spellStart"/>
      <w:r w:rsidR="00B80EAA" w:rsidRPr="00B80EAA">
        <w:rPr>
          <w:rFonts w:ascii="Garamond" w:hAnsi="Garamond"/>
          <w:bCs/>
        </w:rPr>
        <w:t>Elvisa</w:t>
      </w:r>
      <w:proofErr w:type="spellEnd"/>
      <w:r w:rsidR="00B80EAA" w:rsidRPr="00B80EAA">
        <w:rPr>
          <w:rFonts w:ascii="Garamond" w:hAnsi="Garamond"/>
          <w:bCs/>
        </w:rPr>
        <w:t xml:space="preserve"> Boçi, </w:t>
      </w:r>
      <w:proofErr w:type="spellStart"/>
      <w:r w:rsidR="00B80EAA" w:rsidRPr="00B80EAA">
        <w:rPr>
          <w:rFonts w:ascii="Garamond" w:hAnsi="Garamond"/>
          <w:bCs/>
        </w:rPr>
        <w:t>Rosela</w:t>
      </w:r>
      <w:proofErr w:type="spellEnd"/>
      <w:r w:rsidR="00B80EAA" w:rsidRPr="00B80EAA">
        <w:rPr>
          <w:rFonts w:ascii="Garamond" w:hAnsi="Garamond"/>
          <w:bCs/>
        </w:rPr>
        <w:t xml:space="preserve"> Boçi</w:t>
      </w:r>
      <w:r w:rsidRPr="00B80EAA">
        <w:rPr>
          <w:rFonts w:ascii="Garamond" w:hAnsi="Garamond"/>
          <w:bCs/>
        </w:rPr>
        <w:t>,</w:t>
      </w:r>
      <w:r w:rsidR="004E0AB7">
        <w:rPr>
          <w:rFonts w:ascii="Garamond" w:hAnsi="Garamond"/>
          <w:bCs/>
        </w:rPr>
        <w:t xml:space="preserve"> </w:t>
      </w:r>
      <w:r w:rsidRPr="00B80EAA">
        <w:rPr>
          <w:rFonts w:ascii="Garamond" w:hAnsi="Garamond"/>
        </w:rPr>
        <w:t xml:space="preserve">përfaqësuar nga avokatët </w:t>
      </w:r>
      <w:proofErr w:type="spellStart"/>
      <w:r w:rsidRPr="00B80EAA">
        <w:rPr>
          <w:rFonts w:ascii="Garamond" w:hAnsi="Garamond"/>
        </w:rPr>
        <w:t>Oliana</w:t>
      </w:r>
      <w:proofErr w:type="spellEnd"/>
      <w:r w:rsidRPr="00B80EAA">
        <w:rPr>
          <w:rFonts w:ascii="Garamond" w:hAnsi="Garamond"/>
        </w:rPr>
        <w:t xml:space="preserve"> </w:t>
      </w:r>
      <w:proofErr w:type="spellStart"/>
      <w:r w:rsidRPr="00B80EAA">
        <w:rPr>
          <w:rFonts w:ascii="Garamond" w:hAnsi="Garamond"/>
        </w:rPr>
        <w:t>Andoni</w:t>
      </w:r>
      <w:proofErr w:type="spellEnd"/>
      <w:r w:rsidRPr="00B80EAA">
        <w:rPr>
          <w:rFonts w:ascii="Garamond" w:hAnsi="Garamond"/>
        </w:rPr>
        <w:t xml:space="preserve"> dhe Adriatik </w:t>
      </w:r>
      <w:proofErr w:type="spellStart"/>
      <w:r w:rsidRPr="00B80EAA">
        <w:rPr>
          <w:rFonts w:ascii="Garamond" w:hAnsi="Garamond"/>
        </w:rPr>
        <w:t>Lapaj</w:t>
      </w:r>
      <w:proofErr w:type="spellEnd"/>
      <w:r w:rsidRPr="00B80EAA">
        <w:rPr>
          <w:rFonts w:ascii="Garamond" w:hAnsi="Garamond"/>
        </w:rPr>
        <w:t>, me prokurë.</w:t>
      </w:r>
      <w:r w:rsidR="004E0AB7">
        <w:rPr>
          <w:rFonts w:ascii="Garamond" w:hAnsi="Garamond"/>
        </w:rPr>
        <w:t xml:space="preserve"> </w:t>
      </w:r>
    </w:p>
    <w:p w14:paraId="6240181F" w14:textId="272DD58B" w:rsidR="00412C76" w:rsidRPr="00B80EAA" w:rsidRDefault="00412C76" w:rsidP="00B80EAA">
      <w:pPr>
        <w:spacing w:line="240" w:lineRule="auto"/>
        <w:ind w:firstLine="284"/>
        <w:jc w:val="both"/>
        <w:rPr>
          <w:rFonts w:ascii="Garamond" w:hAnsi="Garamond"/>
          <w:bCs/>
        </w:rPr>
      </w:pPr>
      <w:r w:rsidRPr="00B80EAA">
        <w:rPr>
          <w:rFonts w:ascii="Garamond" w:hAnsi="Garamond"/>
          <w:bCs/>
        </w:rPr>
        <w:t xml:space="preserve">SUBJEKTE TË INTERESUARA: </w:t>
      </w:r>
      <w:r w:rsidR="00B80EAA" w:rsidRPr="00B80EAA">
        <w:rPr>
          <w:rFonts w:ascii="Garamond" w:hAnsi="Garamond"/>
          <w:bCs/>
        </w:rPr>
        <w:t>Bashkia Divjakë</w:t>
      </w:r>
      <w:r w:rsidRPr="00B80EAA">
        <w:rPr>
          <w:rFonts w:ascii="Garamond" w:hAnsi="Garamond"/>
          <w:bCs/>
        </w:rPr>
        <w:t xml:space="preserve">, </w:t>
      </w:r>
      <w:r w:rsidRPr="00B80EAA">
        <w:rPr>
          <w:rFonts w:ascii="Garamond" w:hAnsi="Garamond"/>
        </w:rPr>
        <w:t xml:space="preserve">përfaqësuar nga nënkryetari Eris </w:t>
      </w:r>
      <w:proofErr w:type="spellStart"/>
      <w:r w:rsidRPr="00B80EAA">
        <w:rPr>
          <w:rFonts w:ascii="Garamond" w:hAnsi="Garamond"/>
        </w:rPr>
        <w:t>Stambolliu</w:t>
      </w:r>
      <w:proofErr w:type="spellEnd"/>
      <w:r w:rsidRPr="00B80EAA">
        <w:rPr>
          <w:rFonts w:ascii="Garamond" w:hAnsi="Garamond"/>
        </w:rPr>
        <w:t xml:space="preserve">. </w:t>
      </w:r>
    </w:p>
    <w:p w14:paraId="4FEA494F" w14:textId="3514FDEC" w:rsidR="00412C76" w:rsidRPr="00B80EAA" w:rsidRDefault="00B80EAA" w:rsidP="00412C76">
      <w:pPr>
        <w:spacing w:line="240" w:lineRule="auto"/>
        <w:ind w:firstLine="284"/>
        <w:jc w:val="both"/>
        <w:rPr>
          <w:rFonts w:ascii="Garamond" w:hAnsi="Garamond"/>
        </w:rPr>
      </w:pPr>
      <w:r w:rsidRPr="00B80EAA">
        <w:rPr>
          <w:rFonts w:ascii="Garamond" w:hAnsi="Garamond"/>
          <w:bCs/>
        </w:rPr>
        <w:t xml:space="preserve">Drejtoria </w:t>
      </w:r>
      <w:r>
        <w:rPr>
          <w:rFonts w:ascii="Garamond" w:hAnsi="Garamond"/>
          <w:bCs/>
        </w:rPr>
        <w:t>e</w:t>
      </w:r>
      <w:r w:rsidRPr="00B80EAA">
        <w:rPr>
          <w:rFonts w:ascii="Garamond" w:hAnsi="Garamond"/>
          <w:bCs/>
        </w:rPr>
        <w:t xml:space="preserve"> Përgjithshme Detare</w:t>
      </w:r>
      <w:r w:rsidR="00412C76" w:rsidRPr="00B80EAA">
        <w:rPr>
          <w:rFonts w:ascii="Garamond" w:hAnsi="Garamond"/>
          <w:bCs/>
        </w:rPr>
        <w:t xml:space="preserve">, </w:t>
      </w:r>
      <w:r w:rsidR="00412C76" w:rsidRPr="00B80EAA">
        <w:rPr>
          <w:rFonts w:ascii="Garamond" w:hAnsi="Garamond"/>
        </w:rPr>
        <w:t xml:space="preserve">e përfaqësuar nga zëvendësdrejtori i përgjithshëm Tomor </w:t>
      </w:r>
      <w:proofErr w:type="spellStart"/>
      <w:r w:rsidR="00412C76" w:rsidRPr="00B80EAA">
        <w:rPr>
          <w:rFonts w:ascii="Garamond" w:hAnsi="Garamond"/>
        </w:rPr>
        <w:t>Harizi</w:t>
      </w:r>
      <w:proofErr w:type="spellEnd"/>
      <w:r w:rsidR="00412C76" w:rsidRPr="00B80EAA">
        <w:rPr>
          <w:rFonts w:ascii="Garamond" w:hAnsi="Garamond"/>
        </w:rPr>
        <w:t>.</w:t>
      </w:r>
    </w:p>
    <w:p w14:paraId="6A0B32B0" w14:textId="50FE479C" w:rsidR="00412C76" w:rsidRPr="00B80EAA" w:rsidRDefault="00B80EAA" w:rsidP="00412C76">
      <w:pPr>
        <w:spacing w:line="240" w:lineRule="auto"/>
        <w:ind w:firstLine="284"/>
        <w:jc w:val="both"/>
        <w:rPr>
          <w:rFonts w:ascii="Garamond" w:hAnsi="Garamond"/>
        </w:rPr>
      </w:pPr>
      <w:r w:rsidRPr="00B80EAA">
        <w:rPr>
          <w:rFonts w:ascii="Garamond" w:hAnsi="Garamond"/>
          <w:bCs/>
        </w:rPr>
        <w:t xml:space="preserve">Drejtoria e Përgjithshme e Policisë </w:t>
      </w:r>
      <w:r>
        <w:rPr>
          <w:rFonts w:ascii="Garamond" w:hAnsi="Garamond"/>
          <w:bCs/>
        </w:rPr>
        <w:t>s</w:t>
      </w:r>
      <w:r w:rsidRPr="00B80EAA">
        <w:rPr>
          <w:rFonts w:ascii="Garamond" w:hAnsi="Garamond"/>
          <w:bCs/>
        </w:rPr>
        <w:t>ë Shtetit</w:t>
      </w:r>
      <w:r w:rsidR="00412C76" w:rsidRPr="00B80EAA">
        <w:rPr>
          <w:rFonts w:ascii="Garamond" w:hAnsi="Garamond"/>
          <w:bCs/>
        </w:rPr>
        <w:t xml:space="preserve">, </w:t>
      </w:r>
      <w:r w:rsidR="00412C76" w:rsidRPr="00B80EAA">
        <w:rPr>
          <w:rFonts w:ascii="Garamond" w:hAnsi="Garamond"/>
        </w:rPr>
        <w:t xml:space="preserve">përfaqësuar nga drejtori Ilir </w:t>
      </w:r>
      <w:proofErr w:type="spellStart"/>
      <w:r w:rsidR="00412C76" w:rsidRPr="00B80EAA">
        <w:rPr>
          <w:rFonts w:ascii="Garamond" w:hAnsi="Garamond"/>
        </w:rPr>
        <w:t>Proda</w:t>
      </w:r>
      <w:proofErr w:type="spellEnd"/>
      <w:r w:rsidR="00412C76" w:rsidRPr="00B80EAA">
        <w:rPr>
          <w:rFonts w:ascii="Garamond" w:hAnsi="Garamond"/>
        </w:rPr>
        <w:t>.</w:t>
      </w:r>
    </w:p>
    <w:p w14:paraId="4AA485B8" w14:textId="6FA59B29" w:rsidR="00412C76" w:rsidRPr="00B80EAA" w:rsidRDefault="00B80EAA" w:rsidP="00412C76">
      <w:pPr>
        <w:spacing w:line="240" w:lineRule="auto"/>
        <w:ind w:firstLine="284"/>
        <w:jc w:val="both"/>
        <w:rPr>
          <w:rFonts w:ascii="Garamond" w:hAnsi="Garamond"/>
        </w:rPr>
      </w:pPr>
      <w:r w:rsidRPr="00B80EAA">
        <w:rPr>
          <w:rFonts w:ascii="Garamond" w:hAnsi="Garamond"/>
          <w:bCs/>
        </w:rPr>
        <w:t>Ministria e Turizmit dhe Mjedisit</w:t>
      </w:r>
      <w:r w:rsidR="00412C76" w:rsidRPr="00B80EAA">
        <w:rPr>
          <w:rFonts w:ascii="Garamond" w:hAnsi="Garamond"/>
        </w:rPr>
        <w:t xml:space="preserve">, përfaqësuar nga sekretarja e përgjithshme </w:t>
      </w:r>
      <w:proofErr w:type="spellStart"/>
      <w:r w:rsidR="00412C76" w:rsidRPr="00B80EAA">
        <w:rPr>
          <w:rFonts w:ascii="Garamond" w:hAnsi="Garamond"/>
        </w:rPr>
        <w:t>Ledina</w:t>
      </w:r>
      <w:proofErr w:type="spellEnd"/>
      <w:r w:rsidR="00412C76" w:rsidRPr="00B80EAA">
        <w:rPr>
          <w:rFonts w:ascii="Garamond" w:hAnsi="Garamond"/>
        </w:rPr>
        <w:t xml:space="preserve"> </w:t>
      </w:r>
      <w:proofErr w:type="spellStart"/>
      <w:r w:rsidR="00412C76" w:rsidRPr="00B80EAA">
        <w:rPr>
          <w:rFonts w:ascii="Garamond" w:hAnsi="Garamond"/>
        </w:rPr>
        <w:t>Beqiraj</w:t>
      </w:r>
      <w:proofErr w:type="spellEnd"/>
      <w:r w:rsidR="00412C76" w:rsidRPr="00B80EAA">
        <w:rPr>
          <w:rFonts w:ascii="Garamond" w:hAnsi="Garamond"/>
        </w:rPr>
        <w:t xml:space="preserve"> </w:t>
      </w:r>
      <w:proofErr w:type="spellStart"/>
      <w:r w:rsidR="00412C76" w:rsidRPr="00B80EAA">
        <w:rPr>
          <w:rFonts w:ascii="Garamond" w:hAnsi="Garamond"/>
        </w:rPr>
        <w:t>Agalliu</w:t>
      </w:r>
      <w:proofErr w:type="spellEnd"/>
      <w:r w:rsidR="00412C76" w:rsidRPr="00B80EAA">
        <w:rPr>
          <w:rFonts w:ascii="Garamond" w:hAnsi="Garamond"/>
        </w:rPr>
        <w:t>.</w:t>
      </w:r>
    </w:p>
    <w:p w14:paraId="24AAC062" w14:textId="54B29086" w:rsidR="00412C76" w:rsidRPr="00B80EAA" w:rsidRDefault="00B80EAA" w:rsidP="00412C76">
      <w:pPr>
        <w:spacing w:line="240" w:lineRule="auto"/>
        <w:ind w:firstLine="284"/>
        <w:jc w:val="both"/>
        <w:rPr>
          <w:rFonts w:ascii="Garamond" w:hAnsi="Garamond"/>
        </w:rPr>
      </w:pPr>
      <w:r w:rsidRPr="00B80EAA">
        <w:rPr>
          <w:rFonts w:ascii="Garamond" w:hAnsi="Garamond"/>
          <w:bCs/>
        </w:rPr>
        <w:t>Agjencia Kombëtare e Bregdetit</w:t>
      </w:r>
      <w:r w:rsidR="00412C76" w:rsidRPr="00B80EAA">
        <w:rPr>
          <w:rFonts w:ascii="Garamond" w:hAnsi="Garamond"/>
          <w:bCs/>
        </w:rPr>
        <w:t xml:space="preserve">, </w:t>
      </w:r>
      <w:r w:rsidR="00412C76" w:rsidRPr="00B80EAA">
        <w:rPr>
          <w:rFonts w:ascii="Garamond" w:hAnsi="Garamond"/>
        </w:rPr>
        <w:t xml:space="preserve">përfaqësuar nga drejtori i përgjithshëm Ledion Lako. </w:t>
      </w:r>
    </w:p>
    <w:p w14:paraId="45A32F97" w14:textId="317D6DFF" w:rsidR="00412C76" w:rsidRPr="00B80EAA" w:rsidRDefault="00B80EAA" w:rsidP="00412C76">
      <w:pPr>
        <w:spacing w:line="240" w:lineRule="auto"/>
        <w:ind w:firstLine="284"/>
        <w:jc w:val="both"/>
        <w:rPr>
          <w:rFonts w:ascii="Garamond" w:hAnsi="Garamond"/>
        </w:rPr>
      </w:pPr>
      <w:r w:rsidRPr="00B80EAA">
        <w:rPr>
          <w:rFonts w:ascii="Garamond" w:hAnsi="Garamond"/>
          <w:bCs/>
        </w:rPr>
        <w:t>Avokatura e Shtetit</w:t>
      </w:r>
      <w:r w:rsidR="00412C76" w:rsidRPr="00B80EAA">
        <w:rPr>
          <w:rFonts w:ascii="Garamond" w:hAnsi="Garamond"/>
          <w:bCs/>
        </w:rPr>
        <w:t xml:space="preserve">, </w:t>
      </w:r>
      <w:r w:rsidR="00412C76" w:rsidRPr="00B80EAA">
        <w:rPr>
          <w:rFonts w:ascii="Garamond" w:hAnsi="Garamond"/>
        </w:rPr>
        <w:t xml:space="preserve">përfaqësuar nga avokatet e shtetit Valbona </w:t>
      </w:r>
      <w:proofErr w:type="spellStart"/>
      <w:r w:rsidR="00412C76" w:rsidRPr="00B80EAA">
        <w:rPr>
          <w:rFonts w:ascii="Garamond" w:hAnsi="Garamond"/>
        </w:rPr>
        <w:t>Legisi</w:t>
      </w:r>
      <w:proofErr w:type="spellEnd"/>
      <w:r w:rsidR="00412C76" w:rsidRPr="00B80EAA">
        <w:rPr>
          <w:rFonts w:ascii="Garamond" w:hAnsi="Garamond"/>
        </w:rPr>
        <w:t xml:space="preserve"> dhe Irma Qosja.</w:t>
      </w:r>
    </w:p>
    <w:p w14:paraId="73ABEF51" w14:textId="4C567141" w:rsidR="00412C76" w:rsidRPr="00B80EAA" w:rsidRDefault="00412C76" w:rsidP="00412C76">
      <w:pPr>
        <w:tabs>
          <w:tab w:val="left" w:pos="720"/>
          <w:tab w:val="left" w:pos="1080"/>
          <w:tab w:val="left" w:pos="2880"/>
        </w:tabs>
        <w:spacing w:line="240" w:lineRule="auto"/>
        <w:ind w:firstLine="284"/>
        <w:jc w:val="both"/>
        <w:rPr>
          <w:rFonts w:ascii="Garamond" w:hAnsi="Garamond"/>
          <w:bCs/>
        </w:rPr>
      </w:pPr>
      <w:r w:rsidRPr="00B80EAA">
        <w:rPr>
          <w:rFonts w:ascii="Garamond" w:hAnsi="Garamond"/>
          <w:bCs/>
        </w:rPr>
        <w:t>OBJEKTI:</w:t>
      </w:r>
      <w:r w:rsidR="007305BC" w:rsidRPr="00B80EAA">
        <w:rPr>
          <w:rFonts w:ascii="Garamond" w:hAnsi="Garamond"/>
          <w:bCs/>
        </w:rPr>
        <w:t xml:space="preserve"> </w:t>
      </w:r>
      <w:r w:rsidRPr="00B80EAA">
        <w:rPr>
          <w:rFonts w:ascii="Garamond" w:hAnsi="Garamond"/>
          <w:bCs/>
        </w:rPr>
        <w:t>Shfuqizimi i vendimit nr. 00-2024-1447, datë 8.4.2024</w:t>
      </w:r>
      <w:r w:rsidR="00B80EAA">
        <w:rPr>
          <w:rFonts w:ascii="Garamond" w:hAnsi="Garamond"/>
          <w:bCs/>
        </w:rPr>
        <w:t>,</w:t>
      </w:r>
      <w:r w:rsidRPr="00B80EAA">
        <w:rPr>
          <w:rFonts w:ascii="Garamond" w:hAnsi="Garamond"/>
          <w:bCs/>
        </w:rPr>
        <w:t xml:space="preserve"> të Kolegjit Administrativ të Gjykatës së Lartë, si i papajtueshëm me Kushtetutën e Republikës së Shqipërisë.</w:t>
      </w:r>
    </w:p>
    <w:p w14:paraId="2608DCDB" w14:textId="249E0BD3" w:rsidR="00412C76" w:rsidRPr="00B80EAA" w:rsidRDefault="00412C76" w:rsidP="00412C76">
      <w:pPr>
        <w:tabs>
          <w:tab w:val="left" w:pos="720"/>
          <w:tab w:val="left" w:pos="1080"/>
          <w:tab w:val="left" w:pos="2880"/>
        </w:tabs>
        <w:spacing w:line="240" w:lineRule="auto"/>
        <w:ind w:firstLine="284"/>
        <w:jc w:val="both"/>
        <w:rPr>
          <w:rFonts w:ascii="Garamond" w:hAnsi="Garamond"/>
          <w:bCs/>
        </w:rPr>
      </w:pPr>
      <w:r w:rsidRPr="00B80EAA">
        <w:rPr>
          <w:rFonts w:ascii="Garamond" w:hAnsi="Garamond"/>
          <w:bCs/>
        </w:rPr>
        <w:t>Dërgimi i çështjes për rishqyrtim në Gjykatën e Lartë.</w:t>
      </w:r>
    </w:p>
    <w:p w14:paraId="4976A3C4" w14:textId="1A40180B" w:rsidR="00412C76" w:rsidRPr="00B80EAA" w:rsidRDefault="00412C76" w:rsidP="00412C76">
      <w:pPr>
        <w:tabs>
          <w:tab w:val="left" w:pos="720"/>
          <w:tab w:val="left" w:pos="2880"/>
        </w:tabs>
        <w:spacing w:line="240" w:lineRule="auto"/>
        <w:ind w:firstLine="284"/>
        <w:jc w:val="both"/>
        <w:rPr>
          <w:rFonts w:ascii="Garamond" w:hAnsi="Garamond"/>
          <w:bCs/>
        </w:rPr>
      </w:pPr>
      <w:r w:rsidRPr="00B80EAA">
        <w:rPr>
          <w:rFonts w:ascii="Garamond" w:hAnsi="Garamond"/>
          <w:bCs/>
        </w:rPr>
        <w:t>BAZA LIGJORE:</w:t>
      </w:r>
      <w:r w:rsidR="007305BC" w:rsidRPr="00B80EAA">
        <w:rPr>
          <w:rFonts w:ascii="Garamond" w:hAnsi="Garamond"/>
          <w:bCs/>
        </w:rPr>
        <w:t xml:space="preserve"> </w:t>
      </w:r>
      <w:r w:rsidRPr="00B80EAA">
        <w:rPr>
          <w:rFonts w:ascii="Garamond" w:hAnsi="Garamond"/>
          <w:bCs/>
        </w:rPr>
        <w:t>Nenet 15, 21, 42, 131, pika 1, shkronja “f”, pika 1 dhe 134, pika 1, shkronja “i”, të Kushtetutës së Republikës së Shqipërisë (</w:t>
      </w:r>
      <w:r w:rsidRPr="00B80EAA">
        <w:rPr>
          <w:rFonts w:ascii="Garamond" w:hAnsi="Garamond"/>
          <w:bCs/>
          <w:i/>
          <w:iCs/>
        </w:rPr>
        <w:t>Kushtetuta</w:t>
      </w:r>
      <w:r w:rsidRPr="00B80EAA">
        <w:rPr>
          <w:rFonts w:ascii="Garamond" w:hAnsi="Garamond"/>
          <w:bCs/>
        </w:rPr>
        <w:t>); nenet 2 dhe 6</w:t>
      </w:r>
      <w:r w:rsidR="00B80EAA">
        <w:rPr>
          <w:rFonts w:ascii="Garamond" w:hAnsi="Garamond"/>
          <w:bCs/>
        </w:rPr>
        <w:t>,</w:t>
      </w:r>
      <w:r w:rsidRPr="00B80EAA">
        <w:rPr>
          <w:rFonts w:ascii="Garamond" w:hAnsi="Garamond"/>
          <w:bCs/>
        </w:rPr>
        <w:t xml:space="preserve"> të Konventës Evropiane për të Drejtat e Njeriut (</w:t>
      </w:r>
      <w:proofErr w:type="spellStart"/>
      <w:r w:rsidRPr="00B80EAA">
        <w:rPr>
          <w:rFonts w:ascii="Garamond" w:hAnsi="Garamond"/>
          <w:bCs/>
          <w:i/>
          <w:iCs/>
        </w:rPr>
        <w:t>KEDNJ</w:t>
      </w:r>
      <w:proofErr w:type="spellEnd"/>
      <w:r w:rsidRPr="00B80EAA">
        <w:rPr>
          <w:rFonts w:ascii="Garamond" w:hAnsi="Garamond"/>
          <w:bCs/>
        </w:rPr>
        <w:t>); nenet</w:t>
      </w:r>
      <w:r w:rsidR="004E0AB7">
        <w:rPr>
          <w:rFonts w:ascii="Garamond" w:hAnsi="Garamond"/>
          <w:bCs/>
        </w:rPr>
        <w:t xml:space="preserve"> </w:t>
      </w:r>
      <w:r w:rsidRPr="00B80EAA">
        <w:rPr>
          <w:rFonts w:ascii="Garamond" w:hAnsi="Garamond"/>
          <w:bCs/>
        </w:rPr>
        <w:t>27, 50, pika 4, 71 e 71/a, të ligjit nr. 8577, datë 10.2.2000</w:t>
      </w:r>
      <w:r w:rsidR="00B80EAA">
        <w:rPr>
          <w:rFonts w:ascii="Garamond" w:hAnsi="Garamond"/>
          <w:bCs/>
        </w:rPr>
        <w:t>,</w:t>
      </w:r>
      <w:r w:rsidRPr="00B80EAA">
        <w:rPr>
          <w:rFonts w:ascii="Garamond" w:hAnsi="Garamond"/>
          <w:bCs/>
        </w:rPr>
        <w:t xml:space="preserve"> “Për organizimin dhe funksionimin e Gjykatës Kushtetuese të Republikës së Shqipërisë”, të ndryshuar (</w:t>
      </w:r>
      <w:r w:rsidRPr="00B80EAA">
        <w:rPr>
          <w:rFonts w:ascii="Garamond" w:hAnsi="Garamond"/>
          <w:bCs/>
          <w:i/>
          <w:iCs/>
        </w:rPr>
        <w:t>ligji nr. 8577/2000</w:t>
      </w:r>
      <w:r w:rsidRPr="00B80EAA">
        <w:rPr>
          <w:rFonts w:ascii="Garamond" w:hAnsi="Garamond"/>
          <w:bCs/>
        </w:rPr>
        <w:t xml:space="preserve">). </w:t>
      </w:r>
    </w:p>
    <w:p w14:paraId="677578E2" w14:textId="77777777" w:rsidR="00412C76" w:rsidRPr="00B80EAA" w:rsidRDefault="00412C76" w:rsidP="00412C76">
      <w:pPr>
        <w:spacing w:line="240" w:lineRule="auto"/>
        <w:ind w:firstLine="284"/>
        <w:jc w:val="both"/>
        <w:rPr>
          <w:rFonts w:ascii="Garamond" w:hAnsi="Garamond"/>
        </w:rPr>
      </w:pPr>
    </w:p>
    <w:p w14:paraId="20AB5869" w14:textId="356A042C" w:rsidR="00412C76" w:rsidRPr="00B80EAA" w:rsidRDefault="00412C76" w:rsidP="00412C76">
      <w:pPr>
        <w:spacing w:line="240" w:lineRule="auto"/>
        <w:ind w:firstLine="284"/>
        <w:jc w:val="center"/>
        <w:rPr>
          <w:rFonts w:ascii="Garamond" w:hAnsi="Garamond"/>
        </w:rPr>
      </w:pPr>
      <w:r w:rsidRPr="00B80EAA">
        <w:rPr>
          <w:rFonts w:ascii="Garamond" w:hAnsi="Garamond"/>
          <w:bCs/>
        </w:rPr>
        <w:t>GJYKATA KUSHTETUESE</w:t>
      </w:r>
      <w:r w:rsidRPr="00B80EAA">
        <w:rPr>
          <w:rFonts w:ascii="Garamond" w:hAnsi="Garamond"/>
        </w:rPr>
        <w:t>,</w:t>
      </w:r>
    </w:p>
    <w:p w14:paraId="3F2EE72C" w14:textId="77777777" w:rsidR="007305BC" w:rsidRPr="00B80EAA" w:rsidRDefault="007305BC" w:rsidP="00412C76">
      <w:pPr>
        <w:spacing w:line="240" w:lineRule="auto"/>
        <w:ind w:firstLine="284"/>
        <w:jc w:val="center"/>
        <w:rPr>
          <w:rFonts w:ascii="Garamond" w:hAnsi="Garamond"/>
        </w:rPr>
      </w:pPr>
    </w:p>
    <w:p w14:paraId="686B739B" w14:textId="07458038" w:rsidR="00412C76" w:rsidRPr="00B80EAA" w:rsidRDefault="00412C76" w:rsidP="00412C76">
      <w:pPr>
        <w:spacing w:line="240" w:lineRule="auto"/>
        <w:ind w:firstLine="284"/>
        <w:jc w:val="both"/>
        <w:rPr>
          <w:rFonts w:ascii="Garamond" w:hAnsi="Garamond"/>
        </w:rPr>
      </w:pPr>
      <w:r w:rsidRPr="00B80EAA">
        <w:rPr>
          <w:rFonts w:ascii="Garamond" w:hAnsi="Garamond"/>
        </w:rPr>
        <w:t xml:space="preserve">pasi dëgjoi </w:t>
      </w:r>
      <w:proofErr w:type="spellStart"/>
      <w:r w:rsidRPr="00B80EAA">
        <w:rPr>
          <w:rFonts w:ascii="Garamond" w:hAnsi="Garamond"/>
        </w:rPr>
        <w:t>relatoren</w:t>
      </w:r>
      <w:proofErr w:type="spellEnd"/>
      <w:r w:rsidRPr="00B80EAA">
        <w:rPr>
          <w:rFonts w:ascii="Garamond" w:hAnsi="Garamond"/>
        </w:rPr>
        <w:t xml:space="preserve"> e çështjes </w:t>
      </w:r>
      <w:proofErr w:type="spellStart"/>
      <w:r w:rsidRPr="00B80EAA">
        <w:rPr>
          <w:rFonts w:ascii="Garamond" w:hAnsi="Garamond"/>
        </w:rPr>
        <w:t>Marsida</w:t>
      </w:r>
      <w:proofErr w:type="spellEnd"/>
      <w:r w:rsidRPr="00B80EAA">
        <w:rPr>
          <w:rFonts w:ascii="Garamond" w:hAnsi="Garamond"/>
        </w:rPr>
        <w:t xml:space="preserve"> </w:t>
      </w:r>
      <w:proofErr w:type="spellStart"/>
      <w:r w:rsidRPr="00B80EAA">
        <w:rPr>
          <w:rFonts w:ascii="Garamond" w:hAnsi="Garamond"/>
        </w:rPr>
        <w:t>Xhaferllari</w:t>
      </w:r>
      <w:proofErr w:type="spellEnd"/>
      <w:r w:rsidRPr="00B80EAA">
        <w:rPr>
          <w:rFonts w:ascii="Garamond" w:hAnsi="Garamond"/>
        </w:rPr>
        <w:t>, mori</w:t>
      </w:r>
      <w:r w:rsidR="004E0AB7">
        <w:rPr>
          <w:rFonts w:ascii="Garamond" w:hAnsi="Garamond"/>
        </w:rPr>
        <w:t xml:space="preserve"> </w:t>
      </w:r>
      <w:r w:rsidRPr="00B80EAA">
        <w:rPr>
          <w:rFonts w:ascii="Garamond" w:hAnsi="Garamond"/>
        </w:rPr>
        <w:t xml:space="preserve">në shqyrtim pretendimet e kërkueseve, Dhurata Boçi, </w:t>
      </w:r>
      <w:proofErr w:type="spellStart"/>
      <w:r w:rsidRPr="00B80EAA">
        <w:rPr>
          <w:rFonts w:ascii="Garamond" w:hAnsi="Garamond"/>
        </w:rPr>
        <w:t>Elvisa</w:t>
      </w:r>
      <w:proofErr w:type="spellEnd"/>
      <w:r w:rsidRPr="00B80EAA">
        <w:rPr>
          <w:rFonts w:ascii="Garamond" w:hAnsi="Garamond"/>
        </w:rPr>
        <w:t xml:space="preserve"> Boçi dhe </w:t>
      </w:r>
      <w:proofErr w:type="spellStart"/>
      <w:r w:rsidRPr="00B80EAA">
        <w:rPr>
          <w:rFonts w:ascii="Garamond" w:hAnsi="Garamond"/>
        </w:rPr>
        <w:t>Rosela</w:t>
      </w:r>
      <w:proofErr w:type="spellEnd"/>
      <w:r w:rsidRPr="00B80EAA">
        <w:rPr>
          <w:rFonts w:ascii="Garamond" w:hAnsi="Garamond"/>
        </w:rPr>
        <w:t xml:space="preserve"> Boçi, të cilat kërkuan pranimin e kërkesës, parashtrimet e subjekteve të interesuara, Bashkia Divjakë, Drejtoria e Përgjithshme e Policisë së Shtetit (</w:t>
      </w:r>
      <w:r w:rsidRPr="00B80EAA">
        <w:rPr>
          <w:rFonts w:ascii="Garamond" w:hAnsi="Garamond"/>
          <w:i/>
          <w:iCs/>
        </w:rPr>
        <w:t>Policia e Shtetit</w:t>
      </w:r>
      <w:r w:rsidRPr="00B80EAA">
        <w:rPr>
          <w:rFonts w:ascii="Garamond" w:hAnsi="Garamond"/>
        </w:rPr>
        <w:t>),</w:t>
      </w:r>
      <w:r w:rsidR="004E0AB7">
        <w:rPr>
          <w:rFonts w:ascii="Garamond" w:hAnsi="Garamond"/>
        </w:rPr>
        <w:t xml:space="preserve"> </w:t>
      </w:r>
      <w:r w:rsidRPr="00B80EAA">
        <w:rPr>
          <w:rFonts w:ascii="Garamond" w:hAnsi="Garamond"/>
        </w:rPr>
        <w:t>Ministria e Turizmit dhe Mjedisit (</w:t>
      </w:r>
      <w:proofErr w:type="spellStart"/>
      <w:r w:rsidRPr="00B80EAA">
        <w:rPr>
          <w:rFonts w:ascii="Garamond" w:hAnsi="Garamond"/>
          <w:i/>
          <w:iCs/>
        </w:rPr>
        <w:t>MTM</w:t>
      </w:r>
      <w:proofErr w:type="spellEnd"/>
      <w:r w:rsidRPr="00B80EAA">
        <w:rPr>
          <w:rFonts w:ascii="Garamond" w:hAnsi="Garamond"/>
        </w:rPr>
        <w:t>), Agjencia Kombëtare e Bregdetit (</w:t>
      </w:r>
      <w:proofErr w:type="spellStart"/>
      <w:r w:rsidRPr="00B80EAA">
        <w:rPr>
          <w:rFonts w:ascii="Garamond" w:hAnsi="Garamond"/>
          <w:i/>
          <w:iCs/>
        </w:rPr>
        <w:t>AKB</w:t>
      </w:r>
      <w:proofErr w:type="spellEnd"/>
      <w:r w:rsidRPr="00B80EAA">
        <w:rPr>
          <w:rFonts w:ascii="Garamond" w:hAnsi="Garamond"/>
        </w:rPr>
        <w:t>), Drejtoria e Përgjithshme Detare (</w:t>
      </w:r>
      <w:proofErr w:type="spellStart"/>
      <w:r w:rsidRPr="00B80EAA">
        <w:rPr>
          <w:rFonts w:ascii="Garamond" w:hAnsi="Garamond"/>
          <w:i/>
          <w:iCs/>
        </w:rPr>
        <w:t>DPD</w:t>
      </w:r>
      <w:proofErr w:type="spellEnd"/>
      <w:r w:rsidRPr="00B80EAA">
        <w:rPr>
          <w:rFonts w:ascii="Garamond" w:hAnsi="Garamond"/>
          <w:i/>
          <w:iCs/>
        </w:rPr>
        <w:t>)</w:t>
      </w:r>
      <w:r w:rsidRPr="00B80EAA">
        <w:rPr>
          <w:rFonts w:ascii="Garamond" w:hAnsi="Garamond"/>
        </w:rPr>
        <w:t>) dhe Avokatura e Shtetit, të cilat kërkuan rrëzimin e kërkesës, si dhe diskutoi çështjen në tërësi,</w:t>
      </w:r>
    </w:p>
    <w:p w14:paraId="7D3EFBBD" w14:textId="77777777" w:rsidR="00412C76" w:rsidRPr="00B80EAA" w:rsidRDefault="00412C76" w:rsidP="00412C76">
      <w:pPr>
        <w:spacing w:line="240" w:lineRule="auto"/>
        <w:ind w:firstLine="284"/>
        <w:jc w:val="center"/>
        <w:rPr>
          <w:rFonts w:ascii="Garamond" w:hAnsi="Garamond"/>
          <w:b/>
          <w:bCs/>
        </w:rPr>
      </w:pPr>
    </w:p>
    <w:p w14:paraId="744C7A38" w14:textId="7744F999" w:rsidR="00412C76" w:rsidRPr="00B80EAA" w:rsidRDefault="00412C76" w:rsidP="00412C76">
      <w:pPr>
        <w:spacing w:line="240" w:lineRule="auto"/>
        <w:ind w:firstLine="284"/>
        <w:jc w:val="center"/>
        <w:rPr>
          <w:rFonts w:ascii="Garamond" w:hAnsi="Garamond"/>
          <w:bCs/>
        </w:rPr>
      </w:pPr>
      <w:r w:rsidRPr="00B80EAA">
        <w:rPr>
          <w:rFonts w:ascii="Garamond" w:hAnsi="Garamond"/>
          <w:bCs/>
        </w:rPr>
        <w:t>VËREN:</w:t>
      </w:r>
    </w:p>
    <w:p w14:paraId="34F99A39" w14:textId="77777777" w:rsidR="00412C76" w:rsidRPr="00B80EAA" w:rsidRDefault="00412C76" w:rsidP="00412C76">
      <w:pPr>
        <w:spacing w:line="240" w:lineRule="auto"/>
        <w:ind w:firstLine="284"/>
        <w:jc w:val="center"/>
        <w:rPr>
          <w:rFonts w:ascii="Garamond" w:hAnsi="Garamond"/>
          <w:b/>
          <w:bCs/>
        </w:rPr>
      </w:pPr>
      <w:r w:rsidRPr="00B80EAA">
        <w:rPr>
          <w:rFonts w:ascii="Garamond" w:hAnsi="Garamond"/>
          <w:b/>
          <w:bCs/>
        </w:rPr>
        <w:t>I</w:t>
      </w:r>
    </w:p>
    <w:p w14:paraId="669E5B7D" w14:textId="2C2861A9" w:rsidR="00412C76" w:rsidRPr="00B80EAA" w:rsidRDefault="00412C76" w:rsidP="00412C76">
      <w:pPr>
        <w:spacing w:line="240" w:lineRule="auto"/>
        <w:ind w:firstLine="284"/>
        <w:jc w:val="center"/>
        <w:rPr>
          <w:rFonts w:ascii="Garamond" w:hAnsi="Garamond"/>
          <w:b/>
          <w:bCs/>
        </w:rPr>
      </w:pPr>
      <w:r w:rsidRPr="00B80EAA">
        <w:rPr>
          <w:rFonts w:ascii="Garamond" w:hAnsi="Garamond"/>
          <w:b/>
          <w:bCs/>
        </w:rPr>
        <w:t>Rrethanat e çështjes</w:t>
      </w:r>
    </w:p>
    <w:p w14:paraId="24376CA2" w14:textId="77777777" w:rsidR="007305BC" w:rsidRPr="00B80EAA" w:rsidRDefault="007305BC" w:rsidP="00412C76">
      <w:pPr>
        <w:spacing w:line="240" w:lineRule="auto"/>
        <w:ind w:firstLine="284"/>
        <w:jc w:val="center"/>
        <w:rPr>
          <w:rFonts w:ascii="Garamond" w:hAnsi="Garamond"/>
          <w:b/>
          <w:bCs/>
        </w:rPr>
      </w:pPr>
    </w:p>
    <w:p w14:paraId="6428C1FE" w14:textId="45EFB944" w:rsidR="00412C76" w:rsidRPr="00B80EAA" w:rsidRDefault="00412C76" w:rsidP="00412C76">
      <w:pPr>
        <w:tabs>
          <w:tab w:val="left" w:pos="700"/>
          <w:tab w:val="left" w:pos="980"/>
        </w:tabs>
        <w:spacing w:line="240" w:lineRule="auto"/>
        <w:ind w:firstLine="284"/>
        <w:jc w:val="both"/>
        <w:rPr>
          <w:rFonts w:ascii="Garamond" w:hAnsi="Garamond"/>
        </w:rPr>
      </w:pPr>
      <w:r w:rsidRPr="00B80EAA">
        <w:rPr>
          <w:rFonts w:ascii="Garamond" w:hAnsi="Garamond"/>
        </w:rPr>
        <w:t>1.</w:t>
      </w:r>
      <w:r w:rsidR="007305BC" w:rsidRPr="00B80EAA">
        <w:rPr>
          <w:rFonts w:ascii="Garamond" w:hAnsi="Garamond"/>
        </w:rPr>
        <w:t xml:space="preserve"> </w:t>
      </w:r>
      <w:r w:rsidRPr="00B80EAA">
        <w:rPr>
          <w:rFonts w:ascii="Garamond" w:hAnsi="Garamond"/>
        </w:rPr>
        <w:t xml:space="preserve">Kërkuesja Dhurata Boçi (kërkuesja e parë) është nëna e kërkueseve </w:t>
      </w:r>
      <w:proofErr w:type="spellStart"/>
      <w:r w:rsidRPr="00B80EAA">
        <w:rPr>
          <w:rFonts w:ascii="Garamond" w:hAnsi="Garamond"/>
        </w:rPr>
        <w:t>Elvisa</w:t>
      </w:r>
      <w:proofErr w:type="spellEnd"/>
      <w:r w:rsidRPr="00B80EAA">
        <w:rPr>
          <w:rFonts w:ascii="Garamond" w:hAnsi="Garamond"/>
        </w:rPr>
        <w:t xml:space="preserve"> Boçi (kërkuesja e dytë) dhe </w:t>
      </w:r>
      <w:proofErr w:type="spellStart"/>
      <w:r w:rsidRPr="00B80EAA">
        <w:rPr>
          <w:rFonts w:ascii="Garamond" w:hAnsi="Garamond"/>
        </w:rPr>
        <w:t>Rosela</w:t>
      </w:r>
      <w:proofErr w:type="spellEnd"/>
      <w:r w:rsidRPr="00B80EAA">
        <w:rPr>
          <w:rFonts w:ascii="Garamond" w:hAnsi="Garamond"/>
        </w:rPr>
        <w:t xml:space="preserve"> Boçi (kërkuesja e tretë). Në datën 9.7.2017</w:t>
      </w:r>
      <w:r w:rsidR="004E0AB7">
        <w:rPr>
          <w:rFonts w:ascii="Garamond" w:hAnsi="Garamond"/>
        </w:rPr>
        <w:t>,</w:t>
      </w:r>
      <w:r w:rsidRPr="00B80EAA">
        <w:rPr>
          <w:rFonts w:ascii="Garamond" w:hAnsi="Garamond"/>
        </w:rPr>
        <w:t xml:space="preserve"> kërkuesja e parë dhe bashkëshorti i saj, </w:t>
      </w:r>
      <w:r w:rsidRPr="00B80EAA">
        <w:rPr>
          <w:rFonts w:ascii="Garamond" w:hAnsi="Garamond"/>
        </w:rPr>
        <w:lastRenderedPageBreak/>
        <w:t xml:space="preserve">njëherazi babai i dy kërkueseve të tjera, kanë shkuar në plazhin e Divjakës së bashku me kërkuesen e tretë, në atë kohë e mitur në moshën 11 vjeç. Bashkëshorti dhe kërkuesja e tretë kanë shkuar të shohin një ishull të krijuar në det, ndërsa kërkuesja e parë ka ndenjur në çadër. Pas rreth gjysmë ore kërkuesja e parë ka dëgjuar njerëzit pranë që flisnin për një person të mbytur në det dhe ka parë një autoambulancë. Kur është afruar ka parë kërkuesen e tretë që ishte e </w:t>
      </w:r>
      <w:proofErr w:type="spellStart"/>
      <w:r w:rsidRPr="00B80EAA">
        <w:rPr>
          <w:rFonts w:ascii="Garamond" w:hAnsi="Garamond"/>
        </w:rPr>
        <w:t>shokuar</w:t>
      </w:r>
      <w:proofErr w:type="spellEnd"/>
      <w:r w:rsidRPr="00B80EAA">
        <w:rPr>
          <w:rFonts w:ascii="Garamond" w:hAnsi="Garamond"/>
        </w:rPr>
        <w:t xml:space="preserve"> dhe bashkëshortin e pajetë. </w:t>
      </w:r>
    </w:p>
    <w:p w14:paraId="0AA72995" w14:textId="1B2E23FC" w:rsidR="00412C76" w:rsidRPr="00B80EAA" w:rsidRDefault="00412C76" w:rsidP="00412C76">
      <w:pPr>
        <w:tabs>
          <w:tab w:val="left" w:pos="700"/>
          <w:tab w:val="left" w:pos="980"/>
        </w:tabs>
        <w:spacing w:line="240" w:lineRule="auto"/>
        <w:ind w:firstLine="284"/>
        <w:jc w:val="both"/>
        <w:rPr>
          <w:rFonts w:ascii="Garamond" w:hAnsi="Garamond"/>
        </w:rPr>
      </w:pPr>
      <w:r w:rsidRPr="00B80EAA">
        <w:rPr>
          <w:rFonts w:ascii="Garamond" w:hAnsi="Garamond"/>
        </w:rPr>
        <w:t>2.</w:t>
      </w:r>
      <w:r w:rsidR="007305BC" w:rsidRPr="00B80EAA">
        <w:rPr>
          <w:rFonts w:ascii="Garamond" w:hAnsi="Garamond"/>
        </w:rPr>
        <w:t xml:space="preserve"> </w:t>
      </w:r>
      <w:r w:rsidRPr="00B80EAA">
        <w:rPr>
          <w:rFonts w:ascii="Garamond" w:hAnsi="Garamond"/>
        </w:rPr>
        <w:t>Me marrjen e njoftimit për ngjarjen është krijuar grupi hetimor i Policisë Gjyqësore, që ka kryer disa veprime procedurale, si këqyrjen e kufomës, ekspertimin mjekoligjor të saj dhe marrjen e deklarimeve nga të pranishmit. Nga ekspertimi mjekoligjor i kufomës është konstatuar se kufoma kishte përmbajtje shkume në rrugët e jashtme të frymëmarrjes, dëmtime të shkaktuara nga një mjet i fortë mprehës, por shkaku i vdekjes nuk mund të përcaktohej, pasi nuk ishte kryer autopsia mjekoligjore. Në vijim, Prokuroria pranë Gjykatës së Rrethit Gjyqësor Lushnjë (</w:t>
      </w:r>
      <w:r w:rsidRPr="00B80EAA">
        <w:rPr>
          <w:rFonts w:ascii="Garamond" w:hAnsi="Garamond"/>
          <w:i/>
          <w:iCs/>
        </w:rPr>
        <w:t>Prokuroria Lushnjë</w:t>
      </w:r>
      <w:r w:rsidRPr="00B80EAA">
        <w:rPr>
          <w:rFonts w:ascii="Garamond" w:hAnsi="Garamond"/>
        </w:rPr>
        <w:t>) në datën 24.7.2017, bazuar në nenet 290, pika 1, shkronja “ç” dhe 291</w:t>
      </w:r>
      <w:r w:rsidR="004E0AB7">
        <w:rPr>
          <w:rFonts w:ascii="Garamond" w:hAnsi="Garamond"/>
        </w:rPr>
        <w:t>,</w:t>
      </w:r>
      <w:r w:rsidRPr="00B80EAA">
        <w:rPr>
          <w:rFonts w:ascii="Garamond" w:hAnsi="Garamond"/>
        </w:rPr>
        <w:t xml:space="preserve"> të Kodit të Procedurës Penale (</w:t>
      </w:r>
      <w:proofErr w:type="spellStart"/>
      <w:r w:rsidRPr="00B80EAA">
        <w:rPr>
          <w:rFonts w:ascii="Garamond" w:hAnsi="Garamond"/>
          <w:i/>
          <w:iCs/>
        </w:rPr>
        <w:t>KPP</w:t>
      </w:r>
      <w:proofErr w:type="spellEnd"/>
      <w:r w:rsidRPr="00B80EAA">
        <w:rPr>
          <w:rFonts w:ascii="Garamond" w:hAnsi="Garamond"/>
        </w:rPr>
        <w:t xml:space="preserve">), ka vendosur </w:t>
      </w:r>
      <w:proofErr w:type="spellStart"/>
      <w:r w:rsidRPr="00B80EAA">
        <w:rPr>
          <w:rFonts w:ascii="Garamond" w:hAnsi="Garamond"/>
        </w:rPr>
        <w:t>mosfillimin</w:t>
      </w:r>
      <w:proofErr w:type="spellEnd"/>
      <w:r w:rsidRPr="00B80EAA">
        <w:rPr>
          <w:rFonts w:ascii="Garamond" w:hAnsi="Garamond"/>
        </w:rPr>
        <w:t xml:space="preserve"> e procedimit penal, me arsyetimin se fakti nuk përbënte vepër penale. Sipas Prokurorisë Lushnjë, pavarësisht se ekspertimi mjekoligjor nuk përcaktonte shkencërisht shkakun e vdekjes, duke u bazuar pjesërisht tek ekspertimi dhe deklarimet e personave të pyetur, nxirrej përfundimi se vdekja ishte aksidentale si rezultat i asfiksisë mekanike nga mbytja në det.</w:t>
      </w:r>
      <w:r w:rsidR="004E0AB7">
        <w:rPr>
          <w:rFonts w:ascii="Garamond" w:hAnsi="Garamond"/>
        </w:rPr>
        <w:t xml:space="preserve"> </w:t>
      </w:r>
    </w:p>
    <w:p w14:paraId="49F2F9B8" w14:textId="11020FB8" w:rsidR="00412C76" w:rsidRPr="00B80EAA" w:rsidRDefault="00412C76" w:rsidP="00412C76">
      <w:pPr>
        <w:tabs>
          <w:tab w:val="left" w:pos="700"/>
          <w:tab w:val="left" w:pos="980"/>
        </w:tabs>
        <w:spacing w:line="240" w:lineRule="auto"/>
        <w:ind w:firstLine="284"/>
        <w:jc w:val="both"/>
        <w:rPr>
          <w:rFonts w:ascii="Garamond" w:hAnsi="Garamond"/>
        </w:rPr>
      </w:pPr>
      <w:r w:rsidRPr="00B80EAA">
        <w:rPr>
          <w:rFonts w:ascii="Garamond" w:hAnsi="Garamond"/>
        </w:rPr>
        <w:t>3.</w:t>
      </w:r>
      <w:r w:rsidR="007305BC" w:rsidRPr="00B80EAA">
        <w:rPr>
          <w:rFonts w:ascii="Garamond" w:hAnsi="Garamond"/>
        </w:rPr>
        <w:t xml:space="preserve"> </w:t>
      </w:r>
      <w:r w:rsidRPr="00B80EAA">
        <w:rPr>
          <w:rFonts w:ascii="Garamond" w:hAnsi="Garamond"/>
        </w:rPr>
        <w:t>Në datën 28.5.2018</w:t>
      </w:r>
      <w:r w:rsidR="00B80EAA">
        <w:rPr>
          <w:rFonts w:ascii="Garamond" w:hAnsi="Garamond"/>
        </w:rPr>
        <w:t>,</w:t>
      </w:r>
      <w:r w:rsidRPr="00B80EAA">
        <w:rPr>
          <w:rFonts w:ascii="Garamond" w:hAnsi="Garamond"/>
        </w:rPr>
        <w:t xml:space="preserve"> kërkueset kanë ngritur padi në gjykatë me objekt detyrimin e Bashkisë Divjakë, </w:t>
      </w:r>
      <w:proofErr w:type="spellStart"/>
      <w:r w:rsidRPr="00B80EAA">
        <w:rPr>
          <w:rFonts w:ascii="Garamond" w:hAnsi="Garamond"/>
        </w:rPr>
        <w:t>DPD</w:t>
      </w:r>
      <w:proofErr w:type="spellEnd"/>
      <w:r w:rsidRPr="00B80EAA">
        <w:rPr>
          <w:rFonts w:ascii="Garamond" w:hAnsi="Garamond"/>
        </w:rPr>
        <w:t xml:space="preserve">-së, Policisë së Shtetit, </w:t>
      </w:r>
      <w:proofErr w:type="spellStart"/>
      <w:r w:rsidRPr="00B80EAA">
        <w:rPr>
          <w:rFonts w:ascii="Garamond" w:hAnsi="Garamond"/>
        </w:rPr>
        <w:t>MTM</w:t>
      </w:r>
      <w:proofErr w:type="spellEnd"/>
      <w:r w:rsidRPr="00B80EAA">
        <w:rPr>
          <w:rFonts w:ascii="Garamond" w:hAnsi="Garamond"/>
        </w:rPr>
        <w:t xml:space="preserve">-së dhe </w:t>
      </w:r>
      <w:proofErr w:type="spellStart"/>
      <w:r w:rsidRPr="00B80EAA">
        <w:rPr>
          <w:rFonts w:ascii="Garamond" w:hAnsi="Garamond"/>
        </w:rPr>
        <w:t>AKB</w:t>
      </w:r>
      <w:proofErr w:type="spellEnd"/>
      <w:r w:rsidRPr="00B80EAA">
        <w:rPr>
          <w:rFonts w:ascii="Garamond" w:hAnsi="Garamond"/>
        </w:rPr>
        <w:t xml:space="preserve">-së për shpërblimin e dëmit për shkak të humbjes së jetës së bashkëshortit/babait të tyre. Gjykata Administrative e Shkallës së Parë Vlorë, me vendimin nr. 325, datë 13.3.2019, ka vendosur rrëzimin e padisë, me arsyetimin, ndër të tjera, se nga interpretimi i kuadrit ligjor në fuqi, institucionet shtetërore, të thirrura si palë të paditura, nuk legjitimoheshin pasivisht, pasi nuk kishin kryer ndonjë veprim të paligjshëm që të kishte ndikuar në humbjen e jetës së viktimës. Më konkretisht, sipas asaj gjykate, Bashkia Divjakë nuk kishte pajisur asnjë subjekt me leje përdorimi në plazhin e Divjakës; </w:t>
      </w:r>
      <w:proofErr w:type="spellStart"/>
      <w:r w:rsidRPr="00B80EAA">
        <w:rPr>
          <w:rFonts w:ascii="Garamond" w:hAnsi="Garamond"/>
        </w:rPr>
        <w:t>DPD</w:t>
      </w:r>
      <w:proofErr w:type="spellEnd"/>
      <w:r w:rsidRPr="00B80EAA">
        <w:rPr>
          <w:rFonts w:ascii="Garamond" w:hAnsi="Garamond"/>
        </w:rPr>
        <w:t xml:space="preserve">-ja përgjigjet sipas ligjit vetëm për mjetet lundruese dhe ngjarja nuk kishte pasur lidhje me mjetet lundruese; Policia e Shtetit ishte angazhuar plotësisht nëpërmjet planeve të punës për mbarëvajtjen e sezonit turistik, ndaj nuk kishte përgjegjësi për ngjarjen; ndërsa </w:t>
      </w:r>
      <w:proofErr w:type="spellStart"/>
      <w:r w:rsidRPr="00B80EAA">
        <w:rPr>
          <w:rFonts w:ascii="Garamond" w:hAnsi="Garamond"/>
        </w:rPr>
        <w:t>AKB</w:t>
      </w:r>
      <w:proofErr w:type="spellEnd"/>
      <w:r w:rsidRPr="00B80EAA">
        <w:rPr>
          <w:rFonts w:ascii="Garamond" w:hAnsi="Garamond"/>
        </w:rPr>
        <w:t xml:space="preserve">-së ligji nuk i jepte kompetenca për të caktuar roje bregdetare ose marrjen e masave të tjera. Në nxjerrjen e këtij konkluzioni gjykata e shkallës së parë i është referuar edhe vendimit të prokurorit për </w:t>
      </w:r>
      <w:proofErr w:type="spellStart"/>
      <w:r w:rsidRPr="00B80EAA">
        <w:rPr>
          <w:rFonts w:ascii="Garamond" w:hAnsi="Garamond"/>
        </w:rPr>
        <w:t>mosfillimin</w:t>
      </w:r>
      <w:proofErr w:type="spellEnd"/>
      <w:r w:rsidRPr="00B80EAA">
        <w:rPr>
          <w:rFonts w:ascii="Garamond" w:hAnsi="Garamond"/>
        </w:rPr>
        <w:t xml:space="preserve"> e procedimit penal, duke arsyetuar se ngjarja nuk përbënte vepër penale.</w:t>
      </w:r>
    </w:p>
    <w:p w14:paraId="0962D15A" w14:textId="1721C22A" w:rsidR="00412C76" w:rsidRPr="00B80EAA" w:rsidRDefault="00412C76" w:rsidP="00412C76">
      <w:pPr>
        <w:tabs>
          <w:tab w:val="left" w:pos="700"/>
          <w:tab w:val="left" w:pos="980"/>
        </w:tabs>
        <w:spacing w:line="240" w:lineRule="auto"/>
        <w:ind w:firstLine="284"/>
        <w:jc w:val="both"/>
        <w:rPr>
          <w:rFonts w:ascii="Garamond" w:hAnsi="Garamond"/>
        </w:rPr>
      </w:pPr>
      <w:r w:rsidRPr="00B80EAA">
        <w:rPr>
          <w:rFonts w:ascii="Garamond" w:hAnsi="Garamond"/>
        </w:rPr>
        <w:t>4.</w:t>
      </w:r>
      <w:r w:rsidR="007305BC" w:rsidRPr="00B80EAA">
        <w:rPr>
          <w:rFonts w:ascii="Garamond" w:hAnsi="Garamond"/>
        </w:rPr>
        <w:t xml:space="preserve"> </w:t>
      </w:r>
      <w:r w:rsidRPr="00B80EAA">
        <w:rPr>
          <w:rFonts w:ascii="Garamond" w:hAnsi="Garamond"/>
        </w:rPr>
        <w:t xml:space="preserve">Ndonëse kërkueset kanë paraqitur apel, Gjykata Administrative e Apelit, me vendimin nr. 629 (86-2023-903), datë 21.9.2023, ka vendosur lënien në fuqi të vendimit të gjykatës së shkallës së parë, me të njëjtën linjë arsyetimi, por duke shtuar se organet shtetërore nuk mund të përgjigjen për dëmin </w:t>
      </w:r>
      <w:proofErr w:type="spellStart"/>
      <w:r w:rsidRPr="00B80EAA">
        <w:rPr>
          <w:rFonts w:ascii="Garamond" w:hAnsi="Garamond"/>
        </w:rPr>
        <w:t>jashtëkontraktor</w:t>
      </w:r>
      <w:proofErr w:type="spellEnd"/>
      <w:r w:rsidRPr="00B80EAA">
        <w:rPr>
          <w:rFonts w:ascii="Garamond" w:hAnsi="Garamond"/>
        </w:rPr>
        <w:t>, në kushtet kur shkaku i vdekjes së viktimës nuk është përcaktuar nga akti i ekspertimit (</w:t>
      </w:r>
      <w:r w:rsidRPr="00B80EAA">
        <w:rPr>
          <w:rFonts w:ascii="Garamond" w:hAnsi="Garamond"/>
          <w:i/>
          <w:iCs/>
        </w:rPr>
        <w:t>shih paragrafin 2 të vendimit</w:t>
      </w:r>
      <w:r w:rsidRPr="00B80EAA">
        <w:rPr>
          <w:rFonts w:ascii="Garamond" w:hAnsi="Garamond"/>
        </w:rPr>
        <w:t xml:space="preserve">). </w:t>
      </w:r>
    </w:p>
    <w:p w14:paraId="2F062471" w14:textId="7CA91E97" w:rsidR="00412C76" w:rsidRPr="00B80EAA" w:rsidRDefault="00412C76" w:rsidP="00412C76">
      <w:pPr>
        <w:tabs>
          <w:tab w:val="left" w:pos="700"/>
          <w:tab w:val="left" w:pos="980"/>
        </w:tabs>
        <w:spacing w:line="240" w:lineRule="auto"/>
        <w:ind w:firstLine="284"/>
        <w:jc w:val="both"/>
        <w:rPr>
          <w:rFonts w:ascii="Garamond" w:hAnsi="Garamond"/>
        </w:rPr>
      </w:pPr>
      <w:r w:rsidRPr="00B80EAA">
        <w:rPr>
          <w:rFonts w:ascii="Garamond" w:hAnsi="Garamond"/>
        </w:rPr>
        <w:t>5.</w:t>
      </w:r>
      <w:r w:rsidR="007305BC" w:rsidRPr="00B80EAA">
        <w:rPr>
          <w:rFonts w:ascii="Garamond" w:hAnsi="Garamond"/>
        </w:rPr>
        <w:t xml:space="preserve"> </w:t>
      </w:r>
      <w:r w:rsidRPr="00B80EAA">
        <w:rPr>
          <w:rFonts w:ascii="Garamond" w:hAnsi="Garamond"/>
        </w:rPr>
        <w:t>Kërkueset kanë paraqitur rekurs, duke parashtruar, ndër të tjera, se qëndrimi i gjykatës së apelit është në kundërshtim me kuadrin ligjor që rregullon kompetencat dhe detyrimet e institucioneve për sigurinë në det e në plazhe dhe se përgjegjësia e tyre nuk buron nga fakti nëse kanë dhënë ose jo leje përdorimi te</w:t>
      </w:r>
      <w:r w:rsidR="00B80EAA">
        <w:rPr>
          <w:rFonts w:ascii="Garamond" w:hAnsi="Garamond"/>
        </w:rPr>
        <w:t>k</w:t>
      </w:r>
      <w:r w:rsidRPr="00B80EAA">
        <w:rPr>
          <w:rFonts w:ascii="Garamond" w:hAnsi="Garamond"/>
        </w:rPr>
        <w:t xml:space="preserve"> subjektet private, por nga detyrimi ligjor për të marrë të gjitha masat e nevojshme që jeta dhe shëndeti i çdo qytetari të jenë të siguruar në plazhe, ndaj ato janë përgjegjëse për humbjen e jetës së familjarit të tyre. Gjykata e Lartë, me vendimin nr. 00-2024-1447, datë 8.4.2024, ka vendosur mospranimin e rekursit, me arsyetimin se shkaqet e tij haptazi nuk mbështeten në asnjë nga rastet e parashikuara nga neni 58</w:t>
      </w:r>
      <w:r w:rsidR="00B80EAA">
        <w:rPr>
          <w:rFonts w:ascii="Garamond" w:hAnsi="Garamond"/>
        </w:rPr>
        <w:t>,</w:t>
      </w:r>
      <w:r w:rsidRPr="00B80EAA">
        <w:rPr>
          <w:rFonts w:ascii="Garamond" w:hAnsi="Garamond"/>
        </w:rPr>
        <w:t xml:space="preserve"> i ligjit nr. 49/2012</w:t>
      </w:r>
      <w:r w:rsidR="00B80EAA">
        <w:rPr>
          <w:rFonts w:ascii="Garamond" w:hAnsi="Garamond"/>
        </w:rPr>
        <w:t>,</w:t>
      </w:r>
      <w:r w:rsidRPr="00B80EAA">
        <w:rPr>
          <w:rFonts w:ascii="Garamond" w:hAnsi="Garamond"/>
        </w:rPr>
        <w:t xml:space="preserve"> </w:t>
      </w:r>
      <w:r w:rsidRPr="00B80EAA">
        <w:rPr>
          <w:rFonts w:ascii="Garamond" w:hAnsi="Garamond"/>
          <w:color w:val="222222"/>
        </w:rPr>
        <w:t>“Për gjykatat administrative dhe gjykimin e mosmarrëveshjeve administrative”, i ndryshuar (</w:t>
      </w:r>
      <w:r w:rsidRPr="00B80EAA">
        <w:rPr>
          <w:rFonts w:ascii="Garamond" w:hAnsi="Garamond"/>
          <w:i/>
          <w:iCs/>
          <w:color w:val="222222"/>
        </w:rPr>
        <w:t>ligji nr. 49/2012</w:t>
      </w:r>
      <w:r w:rsidRPr="00B80EAA">
        <w:rPr>
          <w:rFonts w:ascii="Garamond" w:hAnsi="Garamond"/>
          <w:color w:val="222222"/>
        </w:rPr>
        <w:t>).</w:t>
      </w:r>
    </w:p>
    <w:p w14:paraId="19B0C61D" w14:textId="04F16D24" w:rsidR="00412C76" w:rsidRPr="00B80EAA" w:rsidRDefault="00412C76" w:rsidP="00412C76">
      <w:pPr>
        <w:tabs>
          <w:tab w:val="left" w:pos="700"/>
          <w:tab w:val="left" w:pos="980"/>
        </w:tabs>
        <w:spacing w:line="240" w:lineRule="auto"/>
        <w:ind w:firstLine="284"/>
        <w:jc w:val="both"/>
        <w:rPr>
          <w:rFonts w:ascii="Garamond" w:hAnsi="Garamond"/>
        </w:rPr>
      </w:pPr>
      <w:r w:rsidRPr="00B80EAA">
        <w:rPr>
          <w:rFonts w:ascii="Garamond" w:hAnsi="Garamond"/>
        </w:rPr>
        <w:t>6.</w:t>
      </w:r>
      <w:r w:rsidR="007305BC" w:rsidRPr="00B80EAA">
        <w:rPr>
          <w:rFonts w:ascii="Garamond" w:hAnsi="Garamond"/>
        </w:rPr>
        <w:t xml:space="preserve"> </w:t>
      </w:r>
      <w:r w:rsidRPr="00B80EAA">
        <w:rPr>
          <w:rFonts w:ascii="Garamond" w:hAnsi="Garamond"/>
        </w:rPr>
        <w:t>Në datën 1.8.2024</w:t>
      </w:r>
      <w:r w:rsidR="00B80EAA">
        <w:rPr>
          <w:rFonts w:ascii="Garamond" w:hAnsi="Garamond"/>
        </w:rPr>
        <w:t>,</w:t>
      </w:r>
      <w:r w:rsidRPr="00B80EAA">
        <w:rPr>
          <w:rFonts w:ascii="Garamond" w:hAnsi="Garamond"/>
        </w:rPr>
        <w:t xml:space="preserve"> kërkueset i janë drejtuar Gjykatës Kushtetuese (</w:t>
      </w:r>
      <w:r w:rsidRPr="00B80EAA">
        <w:rPr>
          <w:rFonts w:ascii="Garamond" w:hAnsi="Garamond"/>
          <w:i/>
          <w:iCs/>
        </w:rPr>
        <w:t>Gjykata</w:t>
      </w:r>
      <w:r w:rsidRPr="00B80EAA">
        <w:rPr>
          <w:rFonts w:ascii="Garamond" w:hAnsi="Garamond"/>
        </w:rPr>
        <w:t>) me ankim kushtetues individual, sipas objektit. Në datën 16.10.2024</w:t>
      </w:r>
      <w:r w:rsidR="00B80EAA">
        <w:rPr>
          <w:rFonts w:ascii="Garamond" w:hAnsi="Garamond"/>
        </w:rPr>
        <w:t>,</w:t>
      </w:r>
      <w:r w:rsidRPr="00B80EAA">
        <w:rPr>
          <w:rFonts w:ascii="Garamond" w:hAnsi="Garamond"/>
        </w:rPr>
        <w:t xml:space="preserve"> Kolegji vendosi kalimin në seancë plenare mbi bazë të dokumenteve. </w:t>
      </w:r>
    </w:p>
    <w:p w14:paraId="2DAD0FD1" w14:textId="77777777" w:rsidR="00412C76" w:rsidRPr="00B80EAA" w:rsidRDefault="00412C76" w:rsidP="00412C76">
      <w:pPr>
        <w:pStyle w:val="ListParagraph"/>
        <w:spacing w:line="240" w:lineRule="auto"/>
        <w:ind w:left="0" w:firstLine="284"/>
        <w:jc w:val="center"/>
        <w:rPr>
          <w:rFonts w:ascii="Garamond" w:hAnsi="Garamond"/>
          <w:b/>
          <w:bCs/>
        </w:rPr>
      </w:pPr>
    </w:p>
    <w:p w14:paraId="63449120" w14:textId="77777777" w:rsidR="00412C76" w:rsidRPr="00B80EAA" w:rsidRDefault="00412C76" w:rsidP="00412C76">
      <w:pPr>
        <w:pStyle w:val="ListParagraph"/>
        <w:spacing w:line="240" w:lineRule="auto"/>
        <w:ind w:left="0" w:firstLine="284"/>
        <w:jc w:val="center"/>
        <w:rPr>
          <w:rFonts w:ascii="Garamond" w:hAnsi="Garamond"/>
          <w:b/>
          <w:bCs/>
        </w:rPr>
      </w:pPr>
      <w:proofErr w:type="spellStart"/>
      <w:r w:rsidRPr="00B80EAA">
        <w:rPr>
          <w:rFonts w:ascii="Garamond" w:hAnsi="Garamond"/>
          <w:b/>
          <w:bCs/>
        </w:rPr>
        <w:lastRenderedPageBreak/>
        <w:t>II</w:t>
      </w:r>
      <w:proofErr w:type="spellEnd"/>
    </w:p>
    <w:p w14:paraId="58806E69" w14:textId="7D4F4D54" w:rsidR="00412C76" w:rsidRPr="00B80EAA" w:rsidRDefault="00412C76" w:rsidP="00412C76">
      <w:pPr>
        <w:pStyle w:val="ListParagraph"/>
        <w:spacing w:line="240" w:lineRule="auto"/>
        <w:ind w:left="0" w:firstLine="284"/>
        <w:jc w:val="center"/>
        <w:rPr>
          <w:rFonts w:ascii="Garamond" w:hAnsi="Garamond"/>
          <w:b/>
          <w:bCs/>
        </w:rPr>
      </w:pPr>
      <w:r w:rsidRPr="00B80EAA">
        <w:rPr>
          <w:rFonts w:ascii="Garamond" w:hAnsi="Garamond"/>
          <w:b/>
          <w:bCs/>
        </w:rPr>
        <w:t>Pretendimet në Gjykatën Kushtetuese</w:t>
      </w:r>
    </w:p>
    <w:p w14:paraId="66567E7B" w14:textId="77777777" w:rsidR="007305BC" w:rsidRPr="00B80EAA" w:rsidRDefault="007305BC" w:rsidP="00412C76">
      <w:pPr>
        <w:pStyle w:val="ListParagraph"/>
        <w:spacing w:line="240" w:lineRule="auto"/>
        <w:ind w:left="0" w:firstLine="284"/>
        <w:jc w:val="center"/>
        <w:rPr>
          <w:rFonts w:ascii="Garamond" w:hAnsi="Garamond"/>
          <w:b/>
          <w:bCs/>
        </w:rPr>
      </w:pPr>
    </w:p>
    <w:p w14:paraId="5218A0AA" w14:textId="56487839" w:rsidR="00412C76" w:rsidRPr="00B80EAA" w:rsidRDefault="00412C76" w:rsidP="00412C76">
      <w:pPr>
        <w:tabs>
          <w:tab w:val="left" w:pos="980"/>
        </w:tabs>
        <w:spacing w:line="240" w:lineRule="auto"/>
        <w:ind w:firstLine="284"/>
        <w:jc w:val="both"/>
        <w:rPr>
          <w:rFonts w:ascii="Garamond" w:hAnsi="Garamond"/>
          <w:color w:val="222222"/>
        </w:rPr>
      </w:pPr>
      <w:r w:rsidRPr="00B80EAA">
        <w:rPr>
          <w:rFonts w:ascii="Garamond" w:hAnsi="Garamond"/>
        </w:rPr>
        <w:t>7.</w:t>
      </w:r>
      <w:r w:rsidR="007305BC" w:rsidRPr="00B80EAA">
        <w:rPr>
          <w:rFonts w:ascii="Garamond" w:hAnsi="Garamond"/>
        </w:rPr>
        <w:t xml:space="preserve"> </w:t>
      </w:r>
      <w:r w:rsidRPr="00B80EAA">
        <w:rPr>
          <w:rFonts w:ascii="Garamond" w:hAnsi="Garamond"/>
          <w:b/>
          <w:bCs/>
          <w:i/>
          <w:iCs/>
        </w:rPr>
        <w:t xml:space="preserve">Kërkueset, </w:t>
      </w:r>
      <w:r w:rsidRPr="00B80EAA">
        <w:rPr>
          <w:rFonts w:ascii="Garamond" w:hAnsi="Garamond"/>
        </w:rPr>
        <w:t>në mënyrë të përmbledhur, kanë pretenduar se nga vendimi i Gjykatës së Lartë u janë cenuar:</w:t>
      </w:r>
    </w:p>
    <w:p w14:paraId="15D87087" w14:textId="77777777" w:rsidR="00412C76" w:rsidRPr="00B80EAA" w:rsidRDefault="00412C76" w:rsidP="00412C76">
      <w:pPr>
        <w:pStyle w:val="ListParagraph"/>
        <w:spacing w:line="240" w:lineRule="auto"/>
        <w:ind w:left="0" w:firstLine="284"/>
        <w:jc w:val="both"/>
        <w:rPr>
          <w:rFonts w:ascii="Garamond" w:hAnsi="Garamond"/>
          <w:color w:val="222222"/>
        </w:rPr>
      </w:pPr>
      <w:r w:rsidRPr="00B80EAA">
        <w:rPr>
          <w:rFonts w:ascii="Garamond" w:hAnsi="Garamond"/>
          <w:i/>
          <w:iCs/>
        </w:rPr>
        <w:t xml:space="preserve">7.1. E drejta </w:t>
      </w:r>
      <w:r w:rsidRPr="00B80EAA">
        <w:rPr>
          <w:rFonts w:ascii="Garamond" w:hAnsi="Garamond"/>
          <w:i/>
          <w:iCs/>
          <w:color w:val="222222"/>
        </w:rPr>
        <w:t xml:space="preserve">për proces të rregullt ligjor, </w:t>
      </w:r>
      <w:r w:rsidRPr="00B80EAA">
        <w:rPr>
          <w:rFonts w:ascii="Garamond" w:hAnsi="Garamond"/>
          <w:color w:val="222222"/>
        </w:rPr>
        <w:t>e garantuar nga neni 42 i Kushtetutës, në aspektet e mëposhtme:</w:t>
      </w:r>
    </w:p>
    <w:p w14:paraId="2B61AB8F" w14:textId="680943D6" w:rsidR="00412C76" w:rsidRPr="00B80EAA" w:rsidRDefault="00412C76" w:rsidP="00412C76">
      <w:pPr>
        <w:pStyle w:val="ListParagraph"/>
        <w:tabs>
          <w:tab w:val="left" w:pos="1880"/>
        </w:tabs>
        <w:spacing w:line="240" w:lineRule="auto"/>
        <w:ind w:left="0" w:firstLine="284"/>
        <w:jc w:val="both"/>
        <w:rPr>
          <w:rFonts w:ascii="Garamond" w:hAnsi="Garamond"/>
          <w:color w:val="222222"/>
        </w:rPr>
      </w:pPr>
      <w:r w:rsidRPr="00B80EAA">
        <w:rPr>
          <w:rFonts w:ascii="Garamond" w:hAnsi="Garamond"/>
          <w:i/>
          <w:iCs/>
        </w:rPr>
        <w:t>7.1.1.</w:t>
      </w:r>
      <w:r w:rsidR="007305BC" w:rsidRPr="00B80EAA">
        <w:rPr>
          <w:rFonts w:ascii="Garamond" w:hAnsi="Garamond"/>
          <w:i/>
          <w:iCs/>
        </w:rPr>
        <w:t xml:space="preserve"> </w:t>
      </w:r>
      <w:r w:rsidRPr="00B80EAA">
        <w:rPr>
          <w:rFonts w:ascii="Garamond" w:hAnsi="Garamond"/>
          <w:i/>
          <w:iCs/>
        </w:rPr>
        <w:t>E drejta</w:t>
      </w:r>
      <w:r w:rsidRPr="00B80EAA">
        <w:rPr>
          <w:rFonts w:ascii="Garamond" w:hAnsi="Garamond"/>
          <w:i/>
          <w:iCs/>
          <w:color w:val="222222"/>
        </w:rPr>
        <w:t xml:space="preserve"> e </w:t>
      </w:r>
      <w:proofErr w:type="spellStart"/>
      <w:r w:rsidRPr="00B80EAA">
        <w:rPr>
          <w:rFonts w:ascii="Garamond" w:hAnsi="Garamond"/>
          <w:i/>
          <w:iCs/>
          <w:color w:val="222222"/>
        </w:rPr>
        <w:t>aksesit</w:t>
      </w:r>
      <w:proofErr w:type="spellEnd"/>
      <w:r w:rsidRPr="00B80EAA">
        <w:rPr>
          <w:rFonts w:ascii="Garamond" w:hAnsi="Garamond"/>
          <w:color w:val="222222"/>
        </w:rPr>
        <w:t>, pasi Gjykata e Lartë duke vendosur mospranimin e rekursit nuk ka shqyrtuar dhe nuk është shprehur për pretendimet lidhur me shkeljet e rënda të ligjit material dhe procedural nga gjykata e apelit. Ndonëse kërkueset kanë identifikuar përgjegjësitë ligjore të autoriteteve shtetërore për sigurinë në plazhe, Gjykata e Lartë ka legjitimuar vendimin e gjykatës së apelit, e cila ka vlerësuar se autoritetet shtetërore nuk kishin legjitimitet pasiv, duke mos respektuar nenin 15 të Kushtetutës.</w:t>
      </w:r>
    </w:p>
    <w:p w14:paraId="5CFF4F7C" w14:textId="3CF4C1D0" w:rsidR="00412C76" w:rsidRPr="00B80EAA" w:rsidRDefault="00412C76" w:rsidP="00412C76">
      <w:pPr>
        <w:pStyle w:val="ListParagraph"/>
        <w:tabs>
          <w:tab w:val="left" w:pos="1880"/>
        </w:tabs>
        <w:spacing w:line="240" w:lineRule="auto"/>
        <w:ind w:left="0" w:firstLine="284"/>
        <w:jc w:val="both"/>
        <w:rPr>
          <w:rFonts w:ascii="Garamond" w:hAnsi="Garamond"/>
        </w:rPr>
      </w:pPr>
      <w:r w:rsidRPr="00B80EAA">
        <w:rPr>
          <w:rFonts w:ascii="Garamond" w:hAnsi="Garamond"/>
          <w:i/>
          <w:iCs/>
        </w:rPr>
        <w:t>7.1.2.</w:t>
      </w:r>
      <w:r w:rsidR="007305BC" w:rsidRPr="00B80EAA">
        <w:rPr>
          <w:rFonts w:ascii="Garamond" w:hAnsi="Garamond"/>
          <w:i/>
          <w:iCs/>
        </w:rPr>
        <w:t xml:space="preserve"> </w:t>
      </w:r>
      <w:r w:rsidRPr="00B80EAA">
        <w:rPr>
          <w:rFonts w:ascii="Garamond" w:hAnsi="Garamond"/>
          <w:i/>
          <w:iCs/>
        </w:rPr>
        <w:t>Standardi i arsyetimit të vendimit gjyqësor</w:t>
      </w:r>
      <w:r w:rsidRPr="00B80EAA">
        <w:rPr>
          <w:rFonts w:ascii="Garamond" w:hAnsi="Garamond"/>
        </w:rPr>
        <w:t>, pasi Gjykata e Lartë nuk ka arsyetuar përse rekursi nuk përmban shkaqe nga ato të parashikuara në nenin 58</w:t>
      </w:r>
      <w:r w:rsidR="00B80EAA">
        <w:rPr>
          <w:rFonts w:ascii="Garamond" w:hAnsi="Garamond"/>
        </w:rPr>
        <w:t>,</w:t>
      </w:r>
      <w:r w:rsidRPr="00B80EAA">
        <w:rPr>
          <w:rFonts w:ascii="Garamond" w:hAnsi="Garamond"/>
        </w:rPr>
        <w:t xml:space="preserve"> të ligjit 49/2012. Pretendimet e kërkueseve kishin natyrë kushtetuese, ndaj Gjykata e Lartë duhet të mbante qëndrim të shprehur për to. </w:t>
      </w:r>
      <w:r w:rsidRPr="00B80EAA">
        <w:rPr>
          <w:rFonts w:ascii="Garamond" w:hAnsi="Garamond"/>
          <w:color w:val="222222"/>
        </w:rPr>
        <w:t xml:space="preserve">Vendimit të gjykatës së apelit i mungon arsyetimi ligjor, duke përsëritur pa asnjë argument vendimin e shkallës së parë. Gjykata e Lartë duhet të kishte shqyrtuar çështjen në seancë e të prishte vendimin e apelit duke e rikthyer për rishqyrtim në po atë gjykatë. </w:t>
      </w:r>
    </w:p>
    <w:p w14:paraId="49992D46" w14:textId="0A94994D" w:rsidR="00412C76" w:rsidRPr="00B80EAA" w:rsidRDefault="00412C76" w:rsidP="00412C76">
      <w:pPr>
        <w:pStyle w:val="ListParagraph"/>
        <w:tabs>
          <w:tab w:val="left" w:pos="1340"/>
        </w:tabs>
        <w:spacing w:line="240" w:lineRule="auto"/>
        <w:ind w:left="0" w:firstLine="284"/>
        <w:jc w:val="both"/>
        <w:rPr>
          <w:rFonts w:ascii="Garamond" w:hAnsi="Garamond"/>
          <w:color w:val="222222"/>
        </w:rPr>
      </w:pPr>
      <w:r w:rsidRPr="00B80EAA">
        <w:rPr>
          <w:rFonts w:ascii="Garamond" w:hAnsi="Garamond"/>
          <w:i/>
          <w:iCs/>
        </w:rPr>
        <w:t>7.2.</w:t>
      </w:r>
      <w:r w:rsidR="007305BC" w:rsidRPr="00B80EAA">
        <w:rPr>
          <w:rFonts w:ascii="Garamond" w:hAnsi="Garamond"/>
          <w:i/>
          <w:iCs/>
        </w:rPr>
        <w:t xml:space="preserve"> </w:t>
      </w:r>
      <w:r w:rsidRPr="00B80EAA">
        <w:rPr>
          <w:rFonts w:ascii="Garamond" w:hAnsi="Garamond"/>
          <w:i/>
          <w:iCs/>
          <w:color w:val="222222"/>
        </w:rPr>
        <w:t xml:space="preserve">E drejta e jetës dhe e drejta për zhdëmtim në përputhje me ligjin, </w:t>
      </w:r>
      <w:r w:rsidRPr="00B80EAA">
        <w:rPr>
          <w:rFonts w:ascii="Garamond" w:hAnsi="Garamond"/>
          <w:color w:val="222222"/>
        </w:rPr>
        <w:t>të garantuara nga nenet 21 dhe 44 të Kushtetutës, sepse organet shtetërore nuk kanë marrë masat e duhura për sigurinë në plazhin e Divjakës dhe si rezultat bashkëshorti/babai i kërkueseve ka humbur jetën, ndërsa gjykatat e zakonshme nuk i kanë njohur të drejtën e shpërblimit të dëmit kërkueseve.</w:t>
      </w:r>
    </w:p>
    <w:p w14:paraId="146ABF7B" w14:textId="69582CA9" w:rsidR="00412C76" w:rsidRPr="00B80EAA" w:rsidRDefault="00412C76" w:rsidP="00412C76">
      <w:pPr>
        <w:tabs>
          <w:tab w:val="left" w:pos="1260"/>
          <w:tab w:val="left" w:pos="1440"/>
        </w:tabs>
        <w:spacing w:line="240" w:lineRule="auto"/>
        <w:ind w:firstLine="284"/>
        <w:jc w:val="both"/>
        <w:rPr>
          <w:rFonts w:ascii="Garamond" w:hAnsi="Garamond"/>
          <w:color w:val="222222"/>
        </w:rPr>
      </w:pPr>
      <w:r w:rsidRPr="00B80EAA">
        <w:rPr>
          <w:rFonts w:ascii="Garamond" w:hAnsi="Garamond"/>
        </w:rPr>
        <w:t>8.</w:t>
      </w:r>
      <w:r w:rsidR="007305BC" w:rsidRPr="00B80EAA">
        <w:rPr>
          <w:rFonts w:ascii="Garamond" w:hAnsi="Garamond"/>
        </w:rPr>
        <w:t xml:space="preserve"> </w:t>
      </w:r>
      <w:r w:rsidRPr="00B80EAA">
        <w:rPr>
          <w:rFonts w:ascii="Garamond" w:hAnsi="Garamond"/>
          <w:b/>
          <w:bCs/>
          <w:i/>
          <w:iCs/>
        </w:rPr>
        <w:t xml:space="preserve">Subjekti i interesuar, Bashkia Divjakë, </w:t>
      </w:r>
      <w:r w:rsidRPr="00B80EAA">
        <w:rPr>
          <w:rFonts w:ascii="Garamond" w:hAnsi="Garamond"/>
        </w:rPr>
        <w:t>në mënyrë të përmbledhur, ka prapësuar se pretendimet e kërkueseve nuk qëndrojnë, pasi dëmi nuk është shkaktuar në mënyrë të drejtpërdrejtë prej saj, por për pakujdesi të viktimës, që për të kaluar në pjesën tjetër të ishullit ka shmangur urën me dru dhe se nga mjekësia ligjore nuk është kryer autopsia për të vërtetuar shkakun e vdekjes.</w:t>
      </w:r>
    </w:p>
    <w:p w14:paraId="5E409E7C" w14:textId="478EFAFE" w:rsidR="00412C76" w:rsidRPr="00B80EAA" w:rsidRDefault="00412C76" w:rsidP="00412C76">
      <w:pPr>
        <w:tabs>
          <w:tab w:val="left" w:pos="1260"/>
          <w:tab w:val="left" w:pos="1440"/>
        </w:tabs>
        <w:spacing w:line="240" w:lineRule="auto"/>
        <w:ind w:firstLine="284"/>
        <w:jc w:val="both"/>
        <w:rPr>
          <w:rFonts w:ascii="Garamond" w:hAnsi="Garamond"/>
          <w:color w:val="222222"/>
        </w:rPr>
      </w:pPr>
      <w:r w:rsidRPr="00B80EAA">
        <w:rPr>
          <w:rFonts w:ascii="Garamond" w:hAnsi="Garamond"/>
        </w:rPr>
        <w:t>9.</w:t>
      </w:r>
      <w:r w:rsidR="007305BC" w:rsidRPr="00B80EAA">
        <w:rPr>
          <w:rFonts w:ascii="Garamond" w:hAnsi="Garamond"/>
        </w:rPr>
        <w:t xml:space="preserve"> </w:t>
      </w:r>
      <w:r w:rsidRPr="00B80EAA">
        <w:rPr>
          <w:rFonts w:ascii="Garamond" w:hAnsi="Garamond"/>
          <w:b/>
          <w:bCs/>
          <w:i/>
          <w:iCs/>
        </w:rPr>
        <w:t xml:space="preserve">Subjekti i interesuar, </w:t>
      </w:r>
      <w:proofErr w:type="spellStart"/>
      <w:r w:rsidRPr="00B80EAA">
        <w:rPr>
          <w:rFonts w:ascii="Garamond" w:hAnsi="Garamond"/>
          <w:b/>
          <w:bCs/>
          <w:i/>
          <w:iCs/>
        </w:rPr>
        <w:t>DPD</w:t>
      </w:r>
      <w:proofErr w:type="spellEnd"/>
      <w:r w:rsidRPr="00B80EAA">
        <w:rPr>
          <w:rFonts w:ascii="Garamond" w:hAnsi="Garamond"/>
          <w:b/>
          <w:bCs/>
          <w:i/>
          <w:iCs/>
        </w:rPr>
        <w:t xml:space="preserve">-ja, </w:t>
      </w:r>
      <w:r w:rsidRPr="00B80EAA">
        <w:rPr>
          <w:rFonts w:ascii="Garamond" w:hAnsi="Garamond"/>
        </w:rPr>
        <w:t xml:space="preserve">në mënyrë të përmbledhur, ka prapësuar se ajo nuk ka përgjegjësi në shkaktimin e tragjedisë, pasi ligji e ngarkon me përgjegjësi vetëm për mjetet lundruese dhe detare. Ajo nuk ka detyrë të patrullojë në zonat e plazheve për qëllime pushimi ose mjediset </w:t>
      </w:r>
      <w:proofErr w:type="spellStart"/>
      <w:r w:rsidRPr="00B80EAA">
        <w:rPr>
          <w:rFonts w:ascii="Garamond" w:hAnsi="Garamond"/>
        </w:rPr>
        <w:t>relaksuese</w:t>
      </w:r>
      <w:proofErr w:type="spellEnd"/>
      <w:r w:rsidRPr="00B80EAA">
        <w:rPr>
          <w:rFonts w:ascii="Garamond" w:hAnsi="Garamond"/>
        </w:rPr>
        <w:t xml:space="preserve">. Humbja e jetës së viktimës nuk ka ardhur si rezultat i ndonjë incidenti me mjet lundrues dhe zona ku ka ndodhur ngjarja nuk ka aktivitete </w:t>
      </w:r>
      <w:proofErr w:type="spellStart"/>
      <w:r w:rsidRPr="00B80EAA">
        <w:rPr>
          <w:rFonts w:ascii="Garamond" w:hAnsi="Garamond"/>
        </w:rPr>
        <w:t>lundrimore</w:t>
      </w:r>
      <w:proofErr w:type="spellEnd"/>
      <w:r w:rsidRPr="00B80EAA">
        <w:rPr>
          <w:rFonts w:ascii="Garamond" w:hAnsi="Garamond"/>
        </w:rPr>
        <w:t>. Vendimi i Gjykatës së Lartë ka përmbushur standardin kushtetues të arsyetimit, pasi është i qartë, i kuptueshëm dhe nuk ka përplasje mes fakteve.</w:t>
      </w:r>
    </w:p>
    <w:p w14:paraId="700CDBDA" w14:textId="4E238196" w:rsidR="00412C76" w:rsidRPr="00B80EAA" w:rsidRDefault="00412C76" w:rsidP="00412C76">
      <w:pPr>
        <w:tabs>
          <w:tab w:val="left" w:pos="700"/>
          <w:tab w:val="left" w:pos="1260"/>
          <w:tab w:val="left" w:pos="1440"/>
        </w:tabs>
        <w:spacing w:line="240" w:lineRule="auto"/>
        <w:ind w:firstLine="284"/>
        <w:jc w:val="both"/>
        <w:rPr>
          <w:rFonts w:ascii="Garamond" w:hAnsi="Garamond"/>
          <w:color w:val="222222"/>
        </w:rPr>
      </w:pPr>
      <w:r w:rsidRPr="00B80EAA">
        <w:rPr>
          <w:rFonts w:ascii="Garamond" w:hAnsi="Garamond"/>
        </w:rPr>
        <w:t>10.</w:t>
      </w:r>
      <w:r w:rsidR="007305BC" w:rsidRPr="00B80EAA">
        <w:rPr>
          <w:rFonts w:ascii="Garamond" w:hAnsi="Garamond"/>
        </w:rPr>
        <w:t xml:space="preserve"> </w:t>
      </w:r>
      <w:r w:rsidRPr="00B80EAA">
        <w:rPr>
          <w:rFonts w:ascii="Garamond" w:hAnsi="Garamond"/>
          <w:b/>
          <w:bCs/>
          <w:i/>
          <w:iCs/>
        </w:rPr>
        <w:t xml:space="preserve">Subjekti i interesuar, Policia e Shtetit, </w:t>
      </w:r>
      <w:r w:rsidRPr="00B80EAA">
        <w:rPr>
          <w:rFonts w:ascii="Garamond" w:hAnsi="Garamond"/>
        </w:rPr>
        <w:t xml:space="preserve">në mënyrë të përmbledhur, ka prapësuar se pretendimi për cenimin e </w:t>
      </w:r>
      <w:r w:rsidRPr="00B80EAA">
        <w:rPr>
          <w:rFonts w:ascii="Garamond" w:hAnsi="Garamond"/>
          <w:i/>
          <w:iCs/>
        </w:rPr>
        <w:t>së drejtës për proces të rregullt ligjor</w:t>
      </w:r>
      <w:r w:rsidRPr="00B80EAA">
        <w:rPr>
          <w:rFonts w:ascii="Garamond" w:hAnsi="Garamond"/>
        </w:rPr>
        <w:t xml:space="preserve"> është i pabazuar. Gjykata e Lartë ka respektuar të drejtat e kërkueseve për </w:t>
      </w:r>
      <w:proofErr w:type="spellStart"/>
      <w:r w:rsidRPr="00B80EAA">
        <w:rPr>
          <w:rFonts w:ascii="Garamond" w:hAnsi="Garamond"/>
        </w:rPr>
        <w:t>akses</w:t>
      </w:r>
      <w:proofErr w:type="spellEnd"/>
      <w:r w:rsidRPr="00B80EAA">
        <w:rPr>
          <w:rFonts w:ascii="Garamond" w:hAnsi="Garamond"/>
        </w:rPr>
        <w:t xml:space="preserve">, për t’u dëgjuar dhe mbrojtur. Vendimi i Gjykatës së Lartë, për shkak të natyrës së tij, ka respektuar standardin kushtetues të arsyetimit. Argumentet e dhëna janë të mjaftueshme për të mbështetur mospranimin e rekursit. Vendimi nuk përmban mangësi ose kundërthënie, si dhe nuk rezulton alogjik. </w:t>
      </w:r>
    </w:p>
    <w:p w14:paraId="385B2E1C" w14:textId="070DFE54" w:rsidR="00412C76" w:rsidRPr="00B80EAA" w:rsidRDefault="00412C76" w:rsidP="00412C76">
      <w:pPr>
        <w:tabs>
          <w:tab w:val="left" w:pos="700"/>
          <w:tab w:val="left" w:pos="1260"/>
          <w:tab w:val="left" w:pos="1440"/>
        </w:tabs>
        <w:spacing w:line="240" w:lineRule="auto"/>
        <w:ind w:firstLine="284"/>
        <w:jc w:val="both"/>
        <w:rPr>
          <w:rFonts w:ascii="Garamond" w:hAnsi="Garamond"/>
        </w:rPr>
      </w:pPr>
      <w:r w:rsidRPr="00B80EAA">
        <w:rPr>
          <w:rFonts w:ascii="Garamond" w:hAnsi="Garamond"/>
        </w:rPr>
        <w:t>11.</w:t>
      </w:r>
      <w:r w:rsidR="007305BC" w:rsidRPr="00B80EAA">
        <w:rPr>
          <w:rFonts w:ascii="Garamond" w:hAnsi="Garamond"/>
        </w:rPr>
        <w:t xml:space="preserve"> </w:t>
      </w:r>
      <w:r w:rsidRPr="00B80EAA">
        <w:rPr>
          <w:rFonts w:ascii="Garamond" w:hAnsi="Garamond"/>
          <w:b/>
          <w:bCs/>
          <w:i/>
          <w:iCs/>
        </w:rPr>
        <w:t xml:space="preserve">Subjekti i interesuar, </w:t>
      </w:r>
      <w:proofErr w:type="spellStart"/>
      <w:r w:rsidRPr="00B80EAA">
        <w:rPr>
          <w:rFonts w:ascii="Garamond" w:hAnsi="Garamond"/>
          <w:b/>
          <w:bCs/>
          <w:i/>
          <w:iCs/>
        </w:rPr>
        <w:t>MTM</w:t>
      </w:r>
      <w:proofErr w:type="spellEnd"/>
      <w:r w:rsidRPr="00B80EAA">
        <w:rPr>
          <w:rFonts w:ascii="Garamond" w:hAnsi="Garamond"/>
          <w:b/>
          <w:bCs/>
          <w:i/>
          <w:iCs/>
        </w:rPr>
        <w:t>-ja,</w:t>
      </w:r>
      <w:r w:rsidRPr="00B80EAA">
        <w:rPr>
          <w:rFonts w:ascii="Garamond" w:hAnsi="Garamond"/>
        </w:rPr>
        <w:t xml:space="preserve"> në mënyrë të përmbledhur, ka prapësuar se pretendimi për cenimin e procesit të rregullt ligjor është i pabazuar, pasi Gjykata e Lartë ka dhënë një vendim të drejtë, i cili shpreh në thelb shkaqet e mospranimit të rekursit, nuk paraqet mangësi të cilat ndikojnë negativisht në drejtim të garantimit të së drejtës, nuk rezulton të jetë </w:t>
      </w:r>
      <w:proofErr w:type="spellStart"/>
      <w:r w:rsidRPr="00B80EAA">
        <w:rPr>
          <w:rFonts w:ascii="Garamond" w:hAnsi="Garamond"/>
        </w:rPr>
        <w:t>jologjik</w:t>
      </w:r>
      <w:proofErr w:type="spellEnd"/>
      <w:r w:rsidRPr="00B80EAA">
        <w:rPr>
          <w:rFonts w:ascii="Garamond" w:hAnsi="Garamond"/>
        </w:rPr>
        <w:t xml:space="preserve">, të ketë kundërthënie ose të mos ketë referencë në ligjin e zbatueshëm. Pretendimet nuk kanë natyrë kushtetuese, ndaj i përkasin juridiksionit gjyqësor të gjykatave të zakonshme. </w:t>
      </w:r>
      <w:proofErr w:type="spellStart"/>
      <w:r w:rsidRPr="00B80EAA">
        <w:rPr>
          <w:rFonts w:ascii="Garamond" w:hAnsi="Garamond"/>
        </w:rPr>
        <w:t>MTM</w:t>
      </w:r>
      <w:proofErr w:type="spellEnd"/>
      <w:r w:rsidRPr="00B80EAA">
        <w:rPr>
          <w:rFonts w:ascii="Garamond" w:hAnsi="Garamond"/>
        </w:rPr>
        <w:t xml:space="preserve">-ja ka funksione </w:t>
      </w:r>
      <w:proofErr w:type="spellStart"/>
      <w:r w:rsidRPr="00B80EAA">
        <w:rPr>
          <w:rFonts w:ascii="Garamond" w:hAnsi="Garamond"/>
        </w:rPr>
        <w:t>politikëbërëse</w:t>
      </w:r>
      <w:proofErr w:type="spellEnd"/>
      <w:r w:rsidRPr="00B80EAA">
        <w:rPr>
          <w:rFonts w:ascii="Garamond" w:hAnsi="Garamond"/>
        </w:rPr>
        <w:t>, të cilat i ka realizuar plotësisht, ndaj nuk ka përgjegjësi për humbjen e jetës së viktimës. Gjykatat e zakonshme duhet të sqaronin faktin nëse ngjarja ka ndodhur në plazh publik ose privat.</w:t>
      </w:r>
    </w:p>
    <w:p w14:paraId="1D04C203" w14:textId="13116817" w:rsidR="00412C76" w:rsidRPr="00B80EAA" w:rsidRDefault="00412C76" w:rsidP="00412C76">
      <w:pPr>
        <w:tabs>
          <w:tab w:val="left" w:pos="700"/>
          <w:tab w:val="left" w:pos="1260"/>
          <w:tab w:val="left" w:pos="1440"/>
        </w:tabs>
        <w:spacing w:line="240" w:lineRule="auto"/>
        <w:ind w:firstLine="284"/>
        <w:jc w:val="both"/>
        <w:rPr>
          <w:rFonts w:ascii="Garamond" w:hAnsi="Garamond"/>
        </w:rPr>
      </w:pPr>
      <w:r w:rsidRPr="00B80EAA">
        <w:rPr>
          <w:rFonts w:ascii="Garamond" w:hAnsi="Garamond"/>
        </w:rPr>
        <w:t>12.</w:t>
      </w:r>
      <w:r w:rsidR="007305BC" w:rsidRPr="00B80EAA">
        <w:rPr>
          <w:rFonts w:ascii="Garamond" w:hAnsi="Garamond"/>
        </w:rPr>
        <w:t xml:space="preserve"> </w:t>
      </w:r>
      <w:r w:rsidRPr="00B80EAA">
        <w:rPr>
          <w:rFonts w:ascii="Garamond" w:hAnsi="Garamond"/>
          <w:b/>
          <w:bCs/>
          <w:i/>
          <w:iCs/>
        </w:rPr>
        <w:t xml:space="preserve">Subjekti i interesuar, </w:t>
      </w:r>
      <w:proofErr w:type="spellStart"/>
      <w:r w:rsidRPr="00B80EAA">
        <w:rPr>
          <w:rFonts w:ascii="Garamond" w:hAnsi="Garamond"/>
          <w:b/>
          <w:bCs/>
          <w:i/>
          <w:iCs/>
        </w:rPr>
        <w:t>AKB</w:t>
      </w:r>
      <w:proofErr w:type="spellEnd"/>
      <w:r w:rsidRPr="00B80EAA">
        <w:rPr>
          <w:rFonts w:ascii="Garamond" w:hAnsi="Garamond"/>
          <w:b/>
          <w:bCs/>
          <w:i/>
          <w:iCs/>
        </w:rPr>
        <w:t xml:space="preserve">-ja, </w:t>
      </w:r>
      <w:r w:rsidRPr="00B80EAA">
        <w:rPr>
          <w:rFonts w:ascii="Garamond" w:hAnsi="Garamond"/>
        </w:rPr>
        <w:t xml:space="preserve">në mënyrë të përmbledhur, ka prapësuar se u qëndron parashtrimeve të dhëna gjatë gjykimit në gjykatat e zakonshme. Institucioni është krijuar në vitin 2014 </w:t>
      </w:r>
      <w:r w:rsidRPr="00B80EAA">
        <w:rPr>
          <w:rFonts w:ascii="Garamond" w:hAnsi="Garamond"/>
        </w:rPr>
        <w:lastRenderedPageBreak/>
        <w:t xml:space="preserve">dhe nuk ka pasur kompetenca administrimi në vijën bregdetare, në plazhet publike dhe në ato private, të dhëna me qira subjekteve nga njësitë e qeverisjes vendore. Në kohën e ngjarjes vepronin disa vendime të Këshillit të Ministrave për sigurinë në plazhe, që nuk përcaktonin përgjegjësi të </w:t>
      </w:r>
      <w:proofErr w:type="spellStart"/>
      <w:r w:rsidRPr="00B80EAA">
        <w:rPr>
          <w:rFonts w:ascii="Garamond" w:hAnsi="Garamond"/>
        </w:rPr>
        <w:t>AKB</w:t>
      </w:r>
      <w:proofErr w:type="spellEnd"/>
      <w:r w:rsidRPr="00B80EAA">
        <w:rPr>
          <w:rFonts w:ascii="Garamond" w:hAnsi="Garamond"/>
        </w:rPr>
        <w:t xml:space="preserve">-së, ndaj ky institucion nuk duhet të jetë palë në gjykim. Gjykatat e zakonshme duhet të sqaronin nëse personi i mbytur gjendej në plazh publik ose privat. Megjithatë, </w:t>
      </w:r>
      <w:proofErr w:type="spellStart"/>
      <w:r w:rsidRPr="00B80EAA">
        <w:rPr>
          <w:rFonts w:ascii="Garamond" w:hAnsi="Garamond"/>
        </w:rPr>
        <w:t>AKB</w:t>
      </w:r>
      <w:proofErr w:type="spellEnd"/>
      <w:r w:rsidRPr="00B80EAA">
        <w:rPr>
          <w:rFonts w:ascii="Garamond" w:hAnsi="Garamond"/>
        </w:rPr>
        <w:t>-ja ka njoftuar institucionet kompetente për rëndësinë e shërbimit të sigurisë (</w:t>
      </w:r>
      <w:proofErr w:type="spellStart"/>
      <w:r w:rsidRPr="00B80EAA">
        <w:rPr>
          <w:rFonts w:ascii="Garamond" w:hAnsi="Garamond"/>
          <w:i/>
          <w:iCs/>
        </w:rPr>
        <w:t>lifeguard</w:t>
      </w:r>
      <w:proofErr w:type="spellEnd"/>
      <w:r w:rsidRPr="00B80EAA">
        <w:rPr>
          <w:rFonts w:ascii="Garamond" w:hAnsi="Garamond"/>
        </w:rPr>
        <w:t>).</w:t>
      </w:r>
    </w:p>
    <w:p w14:paraId="5A93BEC3" w14:textId="3F541D8D" w:rsidR="00412C76" w:rsidRPr="00B80EAA" w:rsidRDefault="00412C76" w:rsidP="00412C76">
      <w:pPr>
        <w:tabs>
          <w:tab w:val="left" w:pos="1260"/>
          <w:tab w:val="left" w:pos="1440"/>
        </w:tabs>
        <w:spacing w:line="240" w:lineRule="auto"/>
        <w:ind w:firstLine="284"/>
        <w:jc w:val="both"/>
        <w:rPr>
          <w:rFonts w:ascii="Garamond" w:hAnsi="Garamond"/>
        </w:rPr>
      </w:pPr>
      <w:r w:rsidRPr="00B80EAA">
        <w:rPr>
          <w:rFonts w:ascii="Garamond" w:hAnsi="Garamond"/>
        </w:rPr>
        <w:t>13.</w:t>
      </w:r>
      <w:r w:rsidR="007305BC" w:rsidRPr="00B80EAA">
        <w:rPr>
          <w:rFonts w:ascii="Garamond" w:hAnsi="Garamond"/>
        </w:rPr>
        <w:t xml:space="preserve"> </w:t>
      </w:r>
      <w:r w:rsidRPr="00B80EAA">
        <w:rPr>
          <w:rFonts w:ascii="Garamond" w:hAnsi="Garamond"/>
          <w:b/>
          <w:bCs/>
          <w:i/>
          <w:iCs/>
        </w:rPr>
        <w:t xml:space="preserve">Subjekti i interesuar, Avokatura e Shtetit, </w:t>
      </w:r>
      <w:r w:rsidRPr="00B80EAA">
        <w:rPr>
          <w:rFonts w:ascii="Garamond" w:hAnsi="Garamond"/>
        </w:rPr>
        <w:t>në mënyrë të përmbledhur, ka prapësuar se:</w:t>
      </w:r>
    </w:p>
    <w:p w14:paraId="710A183A" w14:textId="77777777" w:rsidR="00412C76" w:rsidRPr="00B80EAA" w:rsidRDefault="00412C76" w:rsidP="00412C76">
      <w:pPr>
        <w:tabs>
          <w:tab w:val="left" w:pos="700"/>
          <w:tab w:val="left" w:pos="1080"/>
        </w:tabs>
        <w:spacing w:line="240" w:lineRule="auto"/>
        <w:ind w:firstLine="284"/>
        <w:jc w:val="both"/>
        <w:rPr>
          <w:rFonts w:ascii="Garamond" w:hAnsi="Garamond"/>
        </w:rPr>
      </w:pPr>
      <w:r w:rsidRPr="00B80EAA">
        <w:rPr>
          <w:rFonts w:ascii="Garamond" w:hAnsi="Garamond"/>
        </w:rPr>
        <w:t xml:space="preserve">13.1. Pretendimi për cenimin e </w:t>
      </w:r>
      <w:r w:rsidRPr="00B80EAA">
        <w:rPr>
          <w:rFonts w:ascii="Garamond" w:hAnsi="Garamond"/>
          <w:i/>
          <w:iCs/>
        </w:rPr>
        <w:t>së drejtës për proces të rregullt ligjor</w:t>
      </w:r>
      <w:r w:rsidRPr="00B80EAA">
        <w:rPr>
          <w:rFonts w:ascii="Garamond" w:hAnsi="Garamond"/>
        </w:rPr>
        <w:t xml:space="preserve"> është i pabazuar, pasi:</w:t>
      </w:r>
    </w:p>
    <w:p w14:paraId="2B505DA9" w14:textId="01C9C531" w:rsidR="00412C76" w:rsidRPr="00B80EAA" w:rsidRDefault="00412C76" w:rsidP="00412C76">
      <w:pPr>
        <w:tabs>
          <w:tab w:val="left" w:pos="700"/>
          <w:tab w:val="left" w:pos="1080"/>
        </w:tabs>
        <w:spacing w:line="240" w:lineRule="auto"/>
        <w:ind w:firstLine="284"/>
        <w:jc w:val="both"/>
        <w:rPr>
          <w:rFonts w:ascii="Garamond" w:hAnsi="Garamond"/>
        </w:rPr>
      </w:pPr>
      <w:r w:rsidRPr="00B80EAA">
        <w:rPr>
          <w:rFonts w:ascii="Garamond" w:hAnsi="Garamond"/>
        </w:rPr>
        <w:t xml:space="preserve">13.1.1. Gjykata e Lartë nuk ka cenuar </w:t>
      </w:r>
      <w:r w:rsidRPr="00B80EAA">
        <w:rPr>
          <w:rFonts w:ascii="Garamond" w:hAnsi="Garamond"/>
          <w:i/>
          <w:iCs/>
        </w:rPr>
        <w:t xml:space="preserve">të drejtën e </w:t>
      </w:r>
      <w:proofErr w:type="spellStart"/>
      <w:r w:rsidRPr="00B80EAA">
        <w:rPr>
          <w:rFonts w:ascii="Garamond" w:hAnsi="Garamond"/>
          <w:i/>
          <w:iCs/>
        </w:rPr>
        <w:t>aksesit</w:t>
      </w:r>
      <w:proofErr w:type="spellEnd"/>
      <w:r w:rsidRPr="00B80EAA">
        <w:rPr>
          <w:rFonts w:ascii="Garamond" w:hAnsi="Garamond"/>
        </w:rPr>
        <w:t xml:space="preserve"> të kërkueseve. Ajo ka kryer veprimtarinë seleksionuese dhe ka konstatuar se rekursi nuk ngrinte shkaqet e parashikuara nga neni 58</w:t>
      </w:r>
      <w:r w:rsidR="004E0AB7">
        <w:rPr>
          <w:rFonts w:ascii="Garamond" w:hAnsi="Garamond"/>
        </w:rPr>
        <w:t>,</w:t>
      </w:r>
      <w:bookmarkStart w:id="0" w:name="_GoBack"/>
      <w:bookmarkEnd w:id="0"/>
      <w:r w:rsidRPr="00B80EAA">
        <w:rPr>
          <w:rFonts w:ascii="Garamond" w:hAnsi="Garamond"/>
        </w:rPr>
        <w:t xml:space="preserve"> i ligjit nr. 49/2012, duke vendosur mospranimin e tij. Lidhur me themelin e çështjes, kërkueset kanë marrë përgjigje shteruese nga gjykata e apelit, ndaj pretendimet e tyre nuk ngrenë problematikë kushtetuese.</w:t>
      </w:r>
    </w:p>
    <w:p w14:paraId="4525E826" w14:textId="14BC2A32" w:rsidR="00412C76" w:rsidRPr="00B80EAA" w:rsidRDefault="00412C76" w:rsidP="00412C76">
      <w:pPr>
        <w:tabs>
          <w:tab w:val="left" w:pos="700"/>
          <w:tab w:val="left" w:pos="1080"/>
        </w:tabs>
        <w:spacing w:line="240" w:lineRule="auto"/>
        <w:ind w:firstLine="284"/>
        <w:jc w:val="both"/>
        <w:rPr>
          <w:rFonts w:ascii="Garamond" w:hAnsi="Garamond"/>
        </w:rPr>
      </w:pPr>
      <w:r w:rsidRPr="00B80EAA">
        <w:rPr>
          <w:rFonts w:ascii="Garamond" w:hAnsi="Garamond"/>
        </w:rPr>
        <w:t xml:space="preserve">13.1.2. Vendimi i Gjykatës së Lartë për mospranimin e rekursit respekton </w:t>
      </w:r>
      <w:r w:rsidRPr="00B80EAA">
        <w:rPr>
          <w:rFonts w:ascii="Garamond" w:hAnsi="Garamond"/>
          <w:i/>
          <w:iCs/>
        </w:rPr>
        <w:t>standardin e arsyetimit të vendimit</w:t>
      </w:r>
      <w:r w:rsidRPr="00B80EAA">
        <w:rPr>
          <w:rFonts w:ascii="Garamond" w:hAnsi="Garamond"/>
        </w:rPr>
        <w:t>, duke mbajtur parasysh natyrën e tij. Ai përmban të dhënat e palëve, vendimmarrjen e gjykatave më të ulëta, pretendimet e ngritura në ankim/rekurs, ligjin e zbatueshëm, si dhe pjesën arsyetuese, në të cilën i është dhënë përgjigje pretendimeve të ngritura në ankim/rekurs.</w:t>
      </w:r>
    </w:p>
    <w:p w14:paraId="5A47C5C8" w14:textId="77777777" w:rsidR="00412C76" w:rsidRPr="00B80EAA" w:rsidRDefault="00412C76" w:rsidP="00412C76">
      <w:pPr>
        <w:tabs>
          <w:tab w:val="left" w:pos="700"/>
          <w:tab w:val="left" w:pos="1080"/>
        </w:tabs>
        <w:spacing w:line="240" w:lineRule="auto"/>
        <w:ind w:firstLine="284"/>
        <w:jc w:val="both"/>
        <w:rPr>
          <w:rFonts w:ascii="Garamond" w:hAnsi="Garamond"/>
          <w:color w:val="222222"/>
        </w:rPr>
      </w:pPr>
      <w:r w:rsidRPr="00B80EAA">
        <w:rPr>
          <w:rFonts w:ascii="Garamond" w:hAnsi="Garamond"/>
          <w:color w:val="222222"/>
        </w:rPr>
        <w:t xml:space="preserve">13.2. Pretendimi për cenimin e </w:t>
      </w:r>
      <w:r w:rsidRPr="00B80EAA">
        <w:rPr>
          <w:rFonts w:ascii="Garamond" w:hAnsi="Garamond"/>
          <w:i/>
          <w:iCs/>
          <w:color w:val="222222"/>
        </w:rPr>
        <w:t>së drejtës së jetës</w:t>
      </w:r>
      <w:r w:rsidRPr="00B80EAA">
        <w:rPr>
          <w:rFonts w:ascii="Garamond" w:hAnsi="Garamond"/>
          <w:color w:val="222222"/>
        </w:rPr>
        <w:t xml:space="preserve"> nuk duhet të merret në shqyrtim, pasi kërkueset </w:t>
      </w:r>
      <w:r w:rsidRPr="00B80EAA">
        <w:rPr>
          <w:rFonts w:ascii="Garamond" w:hAnsi="Garamond"/>
          <w:i/>
          <w:iCs/>
          <w:color w:val="222222"/>
        </w:rPr>
        <w:t>nuk kanë shteruar mjetet juridike në dispozicion</w:t>
      </w:r>
      <w:r w:rsidRPr="00B80EAA">
        <w:rPr>
          <w:rFonts w:ascii="Garamond" w:hAnsi="Garamond"/>
          <w:color w:val="222222"/>
        </w:rPr>
        <w:t xml:space="preserve"> në kushtet kur ky pretendim nuk është ngritur në rekurs. Për më tepër, këtij pretendimi i është dhënë përgjigje shteruese nga gjykatat e faktit, të cilat kanë vlerësuar se institucionet shtetërore nuk kanë kryer </w:t>
      </w:r>
      <w:r w:rsidRPr="00B80EAA">
        <w:rPr>
          <w:rFonts w:ascii="Garamond" w:hAnsi="Garamond"/>
        </w:rPr>
        <w:t>veprime të paligjshme, si pasojë e të cilave të jetë shkaktuar vdekja e viktimës.</w:t>
      </w:r>
    </w:p>
    <w:p w14:paraId="0E7B6A8B" w14:textId="77777777" w:rsidR="00412C76" w:rsidRPr="00B80EAA" w:rsidRDefault="00412C76" w:rsidP="00412C76">
      <w:pPr>
        <w:pStyle w:val="BodyText"/>
        <w:tabs>
          <w:tab w:val="left" w:pos="1260"/>
          <w:tab w:val="left" w:pos="1440"/>
        </w:tabs>
        <w:spacing w:line="240" w:lineRule="auto"/>
        <w:ind w:firstLine="284"/>
        <w:rPr>
          <w:rFonts w:ascii="Garamond" w:hAnsi="Garamond"/>
          <w:sz w:val="24"/>
        </w:rPr>
      </w:pPr>
    </w:p>
    <w:p w14:paraId="2FB304A7" w14:textId="77777777" w:rsidR="00412C76" w:rsidRPr="00B80EAA" w:rsidRDefault="00412C76" w:rsidP="00412C76">
      <w:pPr>
        <w:tabs>
          <w:tab w:val="left" w:pos="1700"/>
        </w:tabs>
        <w:spacing w:line="240" w:lineRule="auto"/>
        <w:ind w:firstLine="284"/>
        <w:jc w:val="center"/>
        <w:rPr>
          <w:rFonts w:ascii="Garamond" w:hAnsi="Garamond"/>
          <w:b/>
          <w:bCs/>
        </w:rPr>
      </w:pPr>
      <w:proofErr w:type="spellStart"/>
      <w:r w:rsidRPr="00B80EAA">
        <w:rPr>
          <w:rFonts w:ascii="Garamond" w:hAnsi="Garamond"/>
          <w:b/>
          <w:bCs/>
        </w:rPr>
        <w:t>III</w:t>
      </w:r>
      <w:proofErr w:type="spellEnd"/>
      <w:r w:rsidRPr="00B80EAA">
        <w:rPr>
          <w:rFonts w:ascii="Garamond" w:hAnsi="Garamond"/>
          <w:b/>
          <w:bCs/>
        </w:rPr>
        <w:t xml:space="preserve"> </w:t>
      </w:r>
    </w:p>
    <w:p w14:paraId="01C65051" w14:textId="1F3F3556" w:rsidR="00412C76" w:rsidRPr="00B80EAA" w:rsidRDefault="00412C76" w:rsidP="00412C76">
      <w:pPr>
        <w:spacing w:line="240" w:lineRule="auto"/>
        <w:ind w:firstLine="284"/>
        <w:jc w:val="center"/>
        <w:rPr>
          <w:rFonts w:ascii="Garamond" w:hAnsi="Garamond"/>
          <w:b/>
          <w:bCs/>
        </w:rPr>
      </w:pPr>
      <w:r w:rsidRPr="00B80EAA">
        <w:rPr>
          <w:rFonts w:ascii="Garamond" w:hAnsi="Garamond"/>
          <w:b/>
          <w:bCs/>
        </w:rPr>
        <w:t>Vlerësimi i Gjykatës Kushtetuese</w:t>
      </w:r>
    </w:p>
    <w:p w14:paraId="56EDF95C" w14:textId="77777777" w:rsidR="007305BC" w:rsidRPr="00B80EAA" w:rsidRDefault="007305BC" w:rsidP="00412C76">
      <w:pPr>
        <w:spacing w:line="240" w:lineRule="auto"/>
        <w:ind w:firstLine="284"/>
        <w:jc w:val="center"/>
        <w:rPr>
          <w:rFonts w:ascii="Garamond" w:hAnsi="Garamond"/>
          <w:b/>
          <w:bCs/>
        </w:rPr>
      </w:pPr>
    </w:p>
    <w:p w14:paraId="3003D824" w14:textId="785F1CFF" w:rsidR="00412C76" w:rsidRPr="00B80EAA" w:rsidRDefault="00412C76" w:rsidP="00412C76">
      <w:pPr>
        <w:pStyle w:val="ListParagraph"/>
        <w:tabs>
          <w:tab w:val="left" w:pos="1080"/>
        </w:tabs>
        <w:spacing w:line="240" w:lineRule="auto"/>
        <w:ind w:left="0" w:firstLine="284"/>
        <w:jc w:val="both"/>
        <w:rPr>
          <w:rFonts w:ascii="Garamond" w:hAnsi="Garamond"/>
        </w:rPr>
      </w:pPr>
      <w:r w:rsidRPr="00B80EAA">
        <w:rPr>
          <w:rFonts w:ascii="Garamond" w:hAnsi="Garamond"/>
          <w:i/>
          <w:iCs/>
        </w:rPr>
        <w:t>A.</w:t>
      </w:r>
      <w:r w:rsidR="007305BC" w:rsidRPr="00B80EAA">
        <w:rPr>
          <w:rFonts w:ascii="Garamond" w:hAnsi="Garamond"/>
          <w:i/>
          <w:iCs/>
        </w:rPr>
        <w:t xml:space="preserve"> </w:t>
      </w:r>
      <w:r w:rsidRPr="00B80EAA">
        <w:rPr>
          <w:rFonts w:ascii="Garamond" w:hAnsi="Garamond"/>
          <w:i/>
          <w:iCs/>
        </w:rPr>
        <w:t xml:space="preserve">Për legjitimimin e kërkueseve </w:t>
      </w:r>
    </w:p>
    <w:p w14:paraId="1E87B712" w14:textId="7D659F5F" w:rsidR="00412C76" w:rsidRPr="00B80EAA" w:rsidRDefault="00412C76" w:rsidP="00412C76">
      <w:pPr>
        <w:tabs>
          <w:tab w:val="left" w:pos="980"/>
          <w:tab w:val="left" w:pos="1080"/>
        </w:tabs>
        <w:spacing w:line="240" w:lineRule="auto"/>
        <w:ind w:firstLine="284"/>
        <w:jc w:val="both"/>
        <w:rPr>
          <w:rFonts w:ascii="Garamond" w:hAnsi="Garamond"/>
        </w:rPr>
      </w:pPr>
      <w:r w:rsidRPr="00B80EAA">
        <w:rPr>
          <w:rFonts w:ascii="Garamond" w:hAnsi="Garamond"/>
        </w:rPr>
        <w:t>14.</w:t>
      </w:r>
      <w:r w:rsidR="007305BC" w:rsidRPr="00B80EAA">
        <w:rPr>
          <w:rFonts w:ascii="Garamond" w:hAnsi="Garamond"/>
        </w:rPr>
        <w:t xml:space="preserve"> </w:t>
      </w:r>
      <w:r w:rsidRPr="00B80EAA">
        <w:rPr>
          <w:rFonts w:ascii="Garamond" w:hAnsi="Garamond"/>
        </w:rPr>
        <w:t>Çështja e legjitimimit (</w:t>
      </w:r>
      <w:proofErr w:type="spellStart"/>
      <w:r w:rsidRPr="00B80EAA">
        <w:rPr>
          <w:rFonts w:ascii="Garamond" w:hAnsi="Garamond"/>
          <w:i/>
          <w:iCs/>
        </w:rPr>
        <w:t>locus</w:t>
      </w:r>
      <w:proofErr w:type="spellEnd"/>
      <w:r w:rsidRPr="00B80EAA">
        <w:rPr>
          <w:rFonts w:ascii="Garamond" w:hAnsi="Garamond"/>
          <w:i/>
          <w:iCs/>
        </w:rPr>
        <w:t xml:space="preserve"> </w:t>
      </w:r>
      <w:proofErr w:type="spellStart"/>
      <w:r w:rsidRPr="00B80EAA">
        <w:rPr>
          <w:rFonts w:ascii="Garamond" w:hAnsi="Garamond"/>
          <w:i/>
          <w:iCs/>
        </w:rPr>
        <w:t>standi</w:t>
      </w:r>
      <w:proofErr w:type="spellEnd"/>
      <w:r w:rsidRPr="00B80EAA">
        <w:rPr>
          <w:rFonts w:ascii="Garamond" w:hAnsi="Garamond"/>
        </w:rPr>
        <w:t>) është një ndër aspektet kryesore që lidhet me nisjen e një procesi kushtetues. Sipas neneve 131, pika 1, shkronja “f” dhe 134, pikat 1, shkronja “i” dhe 2, të Kushtetutës, si dhe nenit 71</w:t>
      </w:r>
      <w:r w:rsidR="00B80EAA">
        <w:rPr>
          <w:rFonts w:ascii="Garamond" w:hAnsi="Garamond"/>
        </w:rPr>
        <w:t>,</w:t>
      </w:r>
      <w:r w:rsidRPr="00B80EAA">
        <w:rPr>
          <w:rFonts w:ascii="Garamond" w:hAnsi="Garamond"/>
        </w:rPr>
        <w:t xml:space="preserve"> të ligjit nr. 8577/2000, çdo individ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w:t>
      </w:r>
      <w:proofErr w:type="spellStart"/>
      <w:r w:rsidRPr="00B80EAA">
        <w:rPr>
          <w:rFonts w:ascii="Garamond" w:hAnsi="Garamond"/>
        </w:rPr>
        <w:t>kumulative</w:t>
      </w:r>
      <w:proofErr w:type="spellEnd"/>
      <w:r w:rsidRPr="00B80EAA">
        <w:rPr>
          <w:rFonts w:ascii="Garamond" w:hAnsi="Garamond"/>
        </w:rPr>
        <w:t xml:space="preserve"> të nenit 71/a</w:t>
      </w:r>
      <w:r w:rsidR="00B80EAA">
        <w:rPr>
          <w:rFonts w:ascii="Garamond" w:hAnsi="Garamond"/>
        </w:rPr>
        <w:t>,</w:t>
      </w:r>
      <w:r w:rsidRPr="00B80EAA">
        <w:rPr>
          <w:rFonts w:ascii="Garamond" w:hAnsi="Garamond"/>
        </w:rPr>
        <w:t xml:space="preserve"> të ligjit nr. 8577/2000, që lidhen me shterimin e mjeteve juridike, afatin e paraqitjes së kërkesës, pasojat negative të pësuara në mënyrë të drejtpërdrejtë e reale dhe mundësinë për rivendosjen e së drejtës së shkelur.</w:t>
      </w:r>
    </w:p>
    <w:p w14:paraId="5786FDC9" w14:textId="57DE8719" w:rsidR="00412C76" w:rsidRPr="00B80EAA" w:rsidRDefault="00412C76" w:rsidP="00412C76">
      <w:pPr>
        <w:tabs>
          <w:tab w:val="left" w:pos="980"/>
          <w:tab w:val="left" w:pos="1080"/>
        </w:tabs>
        <w:spacing w:line="240" w:lineRule="auto"/>
        <w:ind w:firstLine="284"/>
        <w:jc w:val="both"/>
        <w:rPr>
          <w:rFonts w:ascii="Garamond" w:hAnsi="Garamond"/>
        </w:rPr>
      </w:pPr>
      <w:r w:rsidRPr="00B80EAA">
        <w:rPr>
          <w:rFonts w:ascii="Garamond" w:hAnsi="Garamond"/>
        </w:rPr>
        <w:t>15.</w:t>
      </w:r>
      <w:r w:rsidR="007305BC" w:rsidRPr="00B80EAA">
        <w:rPr>
          <w:rFonts w:ascii="Garamond" w:hAnsi="Garamond"/>
        </w:rPr>
        <w:t xml:space="preserve"> </w:t>
      </w:r>
      <w:r w:rsidRPr="00B80EAA">
        <w:rPr>
          <w:rFonts w:ascii="Garamond" w:hAnsi="Garamond"/>
        </w:rPr>
        <w:t xml:space="preserve">Në lidhje me legjitimimin </w:t>
      </w:r>
      <w:proofErr w:type="spellStart"/>
      <w:r w:rsidRPr="00B80EAA">
        <w:rPr>
          <w:rFonts w:ascii="Garamond" w:hAnsi="Garamond"/>
          <w:i/>
          <w:iCs/>
        </w:rPr>
        <w:t>ratione</w:t>
      </w:r>
      <w:proofErr w:type="spellEnd"/>
      <w:r w:rsidRPr="00B80EAA">
        <w:rPr>
          <w:rFonts w:ascii="Garamond" w:hAnsi="Garamond"/>
          <w:i/>
          <w:iCs/>
        </w:rPr>
        <w:t xml:space="preserve"> </w:t>
      </w:r>
      <w:proofErr w:type="spellStart"/>
      <w:r w:rsidRPr="00B80EAA">
        <w:rPr>
          <w:rFonts w:ascii="Garamond" w:hAnsi="Garamond"/>
          <w:i/>
          <w:iCs/>
        </w:rPr>
        <w:t>personae</w:t>
      </w:r>
      <w:proofErr w:type="spellEnd"/>
      <w:r w:rsidRPr="00B80EAA">
        <w:rPr>
          <w:rFonts w:ascii="Garamond" w:hAnsi="Garamond"/>
        </w:rPr>
        <w:t>, Gjykata vëren se kërkueset, në cilësinë e familjarëve të afërt të viktimës (bashkëshortja dhe dy fëmijët), kanë ngritur padi në gjykatat e zakonshme për të kërkuar shpërblimin e dëmit nga humbja e jetës së tij, proces i cili ka përfunduar me mospranimin e rekursit të tyre nga Gjykata e Lartë. Në kushtet kur ato kundërshtojnë vendimin e Gjykatës së Lartë, kërkueset justifikojnë interesin në çështjen kushtetuese të parashtruar në kuptim të nenit 131, pika 1, shkronja “f” dhe 134, pika 1, shkronja “i”, të Kushtetutës.</w:t>
      </w:r>
    </w:p>
    <w:p w14:paraId="70C2F676" w14:textId="0217245F" w:rsidR="00412C76" w:rsidRPr="00B80EAA" w:rsidRDefault="00412C76" w:rsidP="00412C76">
      <w:pPr>
        <w:pStyle w:val="ListParagraph"/>
        <w:tabs>
          <w:tab w:val="left" w:pos="980"/>
          <w:tab w:val="left" w:pos="1080"/>
        </w:tabs>
        <w:spacing w:line="240" w:lineRule="auto"/>
        <w:ind w:left="0" w:firstLine="284"/>
        <w:jc w:val="both"/>
        <w:rPr>
          <w:rFonts w:ascii="Garamond" w:hAnsi="Garamond"/>
        </w:rPr>
      </w:pPr>
      <w:r w:rsidRPr="00B80EAA">
        <w:rPr>
          <w:rFonts w:ascii="Garamond" w:hAnsi="Garamond"/>
        </w:rPr>
        <w:t>16.</w:t>
      </w:r>
      <w:r w:rsidR="007305BC" w:rsidRPr="00B80EAA">
        <w:rPr>
          <w:rFonts w:ascii="Garamond" w:hAnsi="Garamond"/>
        </w:rPr>
        <w:t xml:space="preserve"> </w:t>
      </w:r>
      <w:r w:rsidRPr="00B80EAA">
        <w:rPr>
          <w:rFonts w:ascii="Garamond" w:hAnsi="Garamond"/>
        </w:rPr>
        <w:t xml:space="preserve">Një kriter tjetër ka të bëjë me </w:t>
      </w:r>
      <w:r w:rsidRPr="00B80EAA">
        <w:rPr>
          <w:rFonts w:ascii="Garamond" w:hAnsi="Garamond"/>
          <w:i/>
          <w:iCs/>
        </w:rPr>
        <w:t>shterimin e mjeteve juridike efektive</w:t>
      </w:r>
      <w:r w:rsidRPr="00B80EAA">
        <w:rPr>
          <w:rFonts w:ascii="Garamond" w:hAnsi="Garamond"/>
        </w:rPr>
        <w:t>, të parashikuar nga nenet 131, pika 1, shkronja “f” dhe 134, pika 1, shkronja “i”, të Kushtetutës, sipas të cilit individi mund t’i drejtohet Gjykatës me ankim individual kushtetues, vetëm pasi të ketë shteruar të gjitha mjetet juridike për mbrojtjen e të drejtave kushtetuese që ai pretendon se i janë cenuar.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B80EAA">
        <w:rPr>
          <w:rFonts w:ascii="Garamond" w:hAnsi="Garamond"/>
          <w:i/>
          <w:iCs/>
        </w:rPr>
        <w:t>shih vendimet nr. 31, datë 3.11.2022; nr. 15, datë 7.5.2018</w:t>
      </w:r>
      <w:r w:rsidR="00B80EAA">
        <w:rPr>
          <w:rFonts w:ascii="Garamond" w:hAnsi="Garamond"/>
          <w:i/>
          <w:iCs/>
        </w:rPr>
        <w:t>,</w:t>
      </w:r>
      <w:r w:rsidRPr="00B80EAA">
        <w:rPr>
          <w:rFonts w:ascii="Garamond" w:hAnsi="Garamond"/>
          <w:i/>
          <w:iCs/>
        </w:rPr>
        <w:t xml:space="preserve"> të Gjykatës Kushtetuese</w:t>
      </w:r>
      <w:r w:rsidRPr="00B80EAA">
        <w:rPr>
          <w:rFonts w:ascii="Garamond" w:hAnsi="Garamond"/>
        </w:rPr>
        <w:t xml:space="preserve">). </w:t>
      </w:r>
    </w:p>
    <w:p w14:paraId="02760308" w14:textId="3D22C8CC" w:rsidR="00412C76" w:rsidRPr="00B80EAA" w:rsidRDefault="00412C76" w:rsidP="00412C76">
      <w:pPr>
        <w:pStyle w:val="ListParagraph"/>
        <w:tabs>
          <w:tab w:val="left" w:pos="980"/>
        </w:tabs>
        <w:spacing w:line="240" w:lineRule="auto"/>
        <w:ind w:left="0" w:firstLine="284"/>
        <w:jc w:val="both"/>
        <w:rPr>
          <w:rFonts w:ascii="Garamond" w:hAnsi="Garamond"/>
        </w:rPr>
      </w:pPr>
      <w:r w:rsidRPr="00B80EAA">
        <w:rPr>
          <w:rFonts w:ascii="Garamond" w:hAnsi="Garamond"/>
        </w:rPr>
        <w:lastRenderedPageBreak/>
        <w:t>17.</w:t>
      </w:r>
      <w:r w:rsidR="007305BC" w:rsidRPr="00B80EAA">
        <w:rPr>
          <w:rFonts w:ascii="Garamond" w:hAnsi="Garamond"/>
        </w:rPr>
        <w:t xml:space="preserve"> </w:t>
      </w:r>
      <w:r w:rsidRPr="00B80EAA">
        <w:rPr>
          <w:rFonts w:ascii="Garamond" w:hAnsi="Garamond"/>
        </w:rPr>
        <w:t>Gjykata vëren se kërkueset i janë drejtuar asaj me ankim kushtetues individual pas përfundimit të procesit gjyqësor në të tria shkallët e gjyqësorit të zakonshëm të vënë në lëvizje prej tyre nëpërmjet padisë, ankimit dhe rekursit, duke i shteruar mjetet juridike në dispozicion nga ana formale. Për sa i takon substancës së pretendimeve, kërkueset ankohen për procesin gjyqësor të zhvilluar nga Gjykata e Lartë, për të cilin i vetmi mjet juridik në dispozicion është ankimi kushtetues. Ndërsa në lidhje me të drejtën e jetës, duke mbajtur në konsideratë se objekti i gjykimit të zakonshëm ka të bëjë me shpërblimin e dëmit për shkak të humbjes së jetës së familjarit të tyre, Gjykata çmon se ato e kanë ngritur në substancë edhe këtë pretendim, ndaj nuk qëndron prapësimi i subjekteve të interesuara, Policisë së Shtetit dhe Avokaturës së Shtetit, se kërkueset nuk i kanë shteruar mjetet juridike.</w:t>
      </w:r>
    </w:p>
    <w:p w14:paraId="045F0E9F" w14:textId="70EBCD04" w:rsidR="00412C76" w:rsidRPr="00B80EAA" w:rsidRDefault="00412C76" w:rsidP="00412C76">
      <w:pPr>
        <w:pStyle w:val="ListParagraph"/>
        <w:tabs>
          <w:tab w:val="left" w:pos="980"/>
          <w:tab w:val="left" w:pos="1080"/>
        </w:tabs>
        <w:spacing w:line="240" w:lineRule="auto"/>
        <w:ind w:left="0" w:firstLine="284"/>
        <w:jc w:val="both"/>
        <w:rPr>
          <w:rFonts w:ascii="Garamond" w:hAnsi="Garamond"/>
          <w:i/>
          <w:iCs/>
        </w:rPr>
      </w:pPr>
      <w:r w:rsidRPr="00B80EAA">
        <w:rPr>
          <w:rFonts w:ascii="Garamond" w:hAnsi="Garamond"/>
        </w:rPr>
        <w:t>18.</w:t>
      </w:r>
      <w:r w:rsidR="007305BC" w:rsidRPr="00B80EAA">
        <w:rPr>
          <w:rFonts w:ascii="Garamond" w:hAnsi="Garamond"/>
        </w:rPr>
        <w:t xml:space="preserve"> </w:t>
      </w:r>
      <w:r w:rsidRPr="00B80EAA">
        <w:rPr>
          <w:rFonts w:ascii="Garamond" w:hAnsi="Garamond"/>
        </w:rPr>
        <w:t xml:space="preserve">Kërkueset legjitimohen edhe </w:t>
      </w:r>
      <w:proofErr w:type="spellStart"/>
      <w:r w:rsidRPr="00B80EAA">
        <w:rPr>
          <w:rFonts w:ascii="Garamond" w:hAnsi="Garamond"/>
          <w:i/>
          <w:iCs/>
        </w:rPr>
        <w:t>ratione</w:t>
      </w:r>
      <w:proofErr w:type="spellEnd"/>
      <w:r w:rsidRPr="00B80EAA">
        <w:rPr>
          <w:rFonts w:ascii="Garamond" w:hAnsi="Garamond"/>
          <w:i/>
          <w:iCs/>
        </w:rPr>
        <w:t xml:space="preserve"> </w:t>
      </w:r>
      <w:proofErr w:type="spellStart"/>
      <w:r w:rsidRPr="00B80EAA">
        <w:rPr>
          <w:rFonts w:ascii="Garamond" w:hAnsi="Garamond"/>
          <w:i/>
          <w:iCs/>
        </w:rPr>
        <w:t>temporis</w:t>
      </w:r>
      <w:proofErr w:type="spellEnd"/>
      <w:r w:rsidRPr="00B80EAA">
        <w:rPr>
          <w:rFonts w:ascii="Garamond" w:hAnsi="Garamond"/>
        </w:rPr>
        <w:t>, në kuptim të nenit 71/a, pika 1, shkronja “b”, të ligjit nr. 8577/2000, pasi vendimi i Gjykatës së Lartë mban datën 8.4.2024, ndërsa ankimi kushtetues është paraqitur në datën 1.8.2024, pra brenda afatit ligjor 4-mujor.</w:t>
      </w:r>
    </w:p>
    <w:p w14:paraId="4DC08C88" w14:textId="2CC209AB" w:rsidR="00412C76" w:rsidRPr="00B80EAA" w:rsidRDefault="00412C76" w:rsidP="00412C76">
      <w:pPr>
        <w:tabs>
          <w:tab w:val="left" w:pos="980"/>
          <w:tab w:val="left" w:pos="1080"/>
        </w:tabs>
        <w:spacing w:line="240" w:lineRule="auto"/>
        <w:ind w:firstLine="284"/>
        <w:jc w:val="both"/>
        <w:rPr>
          <w:rFonts w:ascii="Garamond" w:hAnsi="Garamond"/>
        </w:rPr>
      </w:pPr>
      <w:r w:rsidRPr="00B80EAA">
        <w:rPr>
          <w:rFonts w:ascii="Garamond" w:hAnsi="Garamond"/>
        </w:rPr>
        <w:t>19.</w:t>
      </w:r>
      <w:r w:rsidR="007305BC" w:rsidRPr="00B80EAA">
        <w:rPr>
          <w:rFonts w:ascii="Garamond" w:hAnsi="Garamond"/>
        </w:rPr>
        <w:t xml:space="preserve"> </w:t>
      </w:r>
      <w:r w:rsidRPr="00B80EAA">
        <w:rPr>
          <w:rFonts w:ascii="Garamond" w:hAnsi="Garamond"/>
        </w:rPr>
        <w:t xml:space="preserve">Në drejtim të legjitimimit </w:t>
      </w:r>
      <w:proofErr w:type="spellStart"/>
      <w:r w:rsidRPr="00B80EAA">
        <w:rPr>
          <w:rFonts w:ascii="Garamond" w:hAnsi="Garamond"/>
          <w:i/>
          <w:iCs/>
        </w:rPr>
        <w:t>ratione</w:t>
      </w:r>
      <w:proofErr w:type="spellEnd"/>
      <w:r w:rsidRPr="00B80EAA">
        <w:rPr>
          <w:rFonts w:ascii="Garamond" w:hAnsi="Garamond"/>
          <w:i/>
          <w:iCs/>
        </w:rPr>
        <w:t xml:space="preserve"> </w:t>
      </w:r>
      <w:proofErr w:type="spellStart"/>
      <w:r w:rsidRPr="00B80EAA">
        <w:rPr>
          <w:rFonts w:ascii="Garamond" w:hAnsi="Garamond"/>
          <w:i/>
          <w:iCs/>
        </w:rPr>
        <w:t>materiae</w:t>
      </w:r>
      <w:proofErr w:type="spellEnd"/>
      <w:r w:rsidRPr="00B80EAA">
        <w:rPr>
          <w:rFonts w:ascii="Garamond" w:hAnsi="Garamond"/>
        </w:rPr>
        <w:t>, kërkueset kanë pretenduar cenimin e procesit të rregullt ligjor, duke parashtruar se vendimi i mospranimit të rekursit nga Gjykata e Lartë nuk i ka dhënë përgjigje pretendimit për cenimin e së drejtës së jetës së bashkëshortit/babait të tyre nga mungesa e masave të sigurisë nga institucionet publike në plazhin e Divjakës. Sipas tyre, vendimi i Gjykatës së Lartë i ka dhënë fund një procesi gjyqësor, në të cilin nuk ka marrë përgjigje pyetja se cili institucion shtetëror ishte përgjegjës për të zbatuar rregullat ligjore të sigurisë së jetës dhe shëndetit në plazh, pasi të gjitha institucionet janë vlerësuar se nuk kishin ndonjë detyrim.</w:t>
      </w:r>
    </w:p>
    <w:p w14:paraId="6EDC12AA" w14:textId="4A02F655" w:rsidR="00412C76" w:rsidRPr="00B80EAA" w:rsidRDefault="00412C76" w:rsidP="00412C76">
      <w:pPr>
        <w:tabs>
          <w:tab w:val="left" w:pos="980"/>
        </w:tabs>
        <w:spacing w:line="240" w:lineRule="auto"/>
        <w:ind w:firstLine="284"/>
        <w:jc w:val="both"/>
        <w:rPr>
          <w:rFonts w:ascii="Garamond" w:hAnsi="Garamond"/>
        </w:rPr>
      </w:pPr>
      <w:r w:rsidRPr="00B80EAA">
        <w:rPr>
          <w:rFonts w:ascii="Garamond" w:hAnsi="Garamond"/>
        </w:rPr>
        <w:t>20.</w:t>
      </w:r>
      <w:r w:rsidR="007305BC" w:rsidRPr="00B80EAA">
        <w:rPr>
          <w:rFonts w:ascii="Garamond" w:hAnsi="Garamond"/>
        </w:rPr>
        <w:t xml:space="preserve"> </w:t>
      </w:r>
      <w:r w:rsidRPr="00B80EAA">
        <w:rPr>
          <w:rFonts w:ascii="Garamond" w:hAnsi="Garamond"/>
        </w:rPr>
        <w:t>Lidhur me të drejtën e jetës, e cila ka qenë objekti i gjykimit në gjykatat e zakonshme, Gjykata evidenton se neni 21 i Kushtetutës parashikon se jeta e personit mbrohet me ligj, duke vendosur në këtë mënyrë detyrime pozitive në radhë të parë për ligjvënësin që të parashikojë rregulla ligjore për mbrojtjen e jetës së individit dhe më pas për gjykatat e zakonshme, të cilat kanë përgjegjësinë e verifikimit nëse detyrimet ligjore për mbrojtjen e jetës janë përmbushur nga institucionet shtetërore të ngarkuara nga ligji</w:t>
      </w:r>
      <w:r w:rsidRPr="00B80EAA">
        <w:rPr>
          <w:rFonts w:ascii="Garamond" w:hAnsi="Garamond"/>
          <w:i/>
          <w:iCs/>
        </w:rPr>
        <w:t>.</w:t>
      </w:r>
      <w:r w:rsidRPr="00B80EAA">
        <w:rPr>
          <w:rFonts w:ascii="Garamond" w:hAnsi="Garamond"/>
        </w:rPr>
        <w:t xml:space="preserve"> Gjykata, duke mbajtur në konsideratë se argumentet e kërkueseve lidhen me procesin gjyqësor të zhvilluar nga Gjykata e Lartë, çmon se pretendimet në thelb kanë të bëjnë me </w:t>
      </w:r>
      <w:proofErr w:type="spellStart"/>
      <w:r w:rsidRPr="00B80EAA">
        <w:rPr>
          <w:rFonts w:ascii="Garamond" w:hAnsi="Garamond"/>
        </w:rPr>
        <w:t>aksesin</w:t>
      </w:r>
      <w:proofErr w:type="spellEnd"/>
      <w:r w:rsidRPr="00B80EAA">
        <w:rPr>
          <w:rFonts w:ascii="Garamond" w:hAnsi="Garamond"/>
        </w:rPr>
        <w:t xml:space="preserve"> në gjykatë dhe arsyetimin e vendimit gjyqësor, si aspekte të procesit të rregullt ligjor, të garantuar nga neni 42 i Kushtetutës. Ky i fundit parashikon se të drejtat e njohura me Kushtetutë (ku përfshihet edhe e drejta e jetës), nuk mund të cenohen pa një proces të rregullt ligjor dhe se kushdo, për mbrojtjen e së drejtave kushtetuese, ka të drejtën e një gjykimi të drejtë. </w:t>
      </w:r>
    </w:p>
    <w:p w14:paraId="0BC4E970" w14:textId="16050461" w:rsidR="00412C76" w:rsidRPr="00B80EAA" w:rsidRDefault="00412C76" w:rsidP="00412C76">
      <w:pPr>
        <w:tabs>
          <w:tab w:val="left" w:pos="980"/>
          <w:tab w:val="left" w:pos="1080"/>
        </w:tabs>
        <w:spacing w:line="240" w:lineRule="auto"/>
        <w:ind w:firstLine="284"/>
        <w:jc w:val="both"/>
        <w:rPr>
          <w:rFonts w:ascii="Garamond" w:hAnsi="Garamond"/>
        </w:rPr>
      </w:pPr>
      <w:r w:rsidRPr="00B80EAA">
        <w:rPr>
          <w:rFonts w:ascii="Garamond" w:hAnsi="Garamond"/>
        </w:rPr>
        <w:t>21.</w:t>
      </w:r>
      <w:r w:rsidR="007305BC" w:rsidRPr="00B80EAA">
        <w:rPr>
          <w:rFonts w:ascii="Garamond" w:hAnsi="Garamond"/>
        </w:rPr>
        <w:t xml:space="preserve"> </w:t>
      </w:r>
      <w:r w:rsidRPr="00B80EAA">
        <w:rPr>
          <w:rFonts w:ascii="Garamond" w:hAnsi="Garamond"/>
        </w:rPr>
        <w:t xml:space="preserve">Për sa më lart, Gjykata do të analizojë çështjen e paraqitur në këndvështrim të së drejtës së </w:t>
      </w:r>
      <w:proofErr w:type="spellStart"/>
      <w:r w:rsidRPr="00B80EAA">
        <w:rPr>
          <w:rFonts w:ascii="Garamond" w:hAnsi="Garamond"/>
        </w:rPr>
        <w:t>aksesit</w:t>
      </w:r>
      <w:proofErr w:type="spellEnd"/>
      <w:r w:rsidRPr="00B80EAA">
        <w:rPr>
          <w:rFonts w:ascii="Garamond" w:hAnsi="Garamond"/>
        </w:rPr>
        <w:t xml:space="preserve"> në gjykatë të lidhur me standardin e arsyetimit të vendimit, të cilat hyjnë në juridiksionin kushtetues.</w:t>
      </w:r>
    </w:p>
    <w:p w14:paraId="4C9FB999" w14:textId="7C09896C" w:rsidR="00412C76" w:rsidRPr="00B80EAA" w:rsidRDefault="00412C76" w:rsidP="00412C76">
      <w:pPr>
        <w:pStyle w:val="ListParagraph"/>
        <w:tabs>
          <w:tab w:val="left" w:pos="1120"/>
        </w:tabs>
        <w:spacing w:line="240" w:lineRule="auto"/>
        <w:ind w:left="0" w:firstLine="284"/>
        <w:jc w:val="both"/>
        <w:rPr>
          <w:rFonts w:ascii="Garamond" w:hAnsi="Garamond"/>
          <w:i/>
          <w:iCs/>
        </w:rPr>
      </w:pPr>
      <w:r w:rsidRPr="00B80EAA">
        <w:rPr>
          <w:rFonts w:ascii="Garamond" w:hAnsi="Garamond"/>
          <w:i/>
          <w:iCs/>
        </w:rPr>
        <w:t>B.</w:t>
      </w:r>
      <w:r w:rsidR="007305BC" w:rsidRPr="00B80EAA">
        <w:rPr>
          <w:rFonts w:ascii="Garamond" w:hAnsi="Garamond"/>
          <w:i/>
          <w:iCs/>
        </w:rPr>
        <w:t xml:space="preserve"> </w:t>
      </w:r>
      <w:r w:rsidRPr="00B80EAA">
        <w:rPr>
          <w:rFonts w:ascii="Garamond" w:hAnsi="Garamond"/>
          <w:i/>
          <w:iCs/>
        </w:rPr>
        <w:t>Për themelin e pretendimeve</w:t>
      </w:r>
    </w:p>
    <w:p w14:paraId="26A00185" w14:textId="41C77986" w:rsidR="00412C76" w:rsidRPr="00B80EAA" w:rsidRDefault="00412C76" w:rsidP="00412C76">
      <w:pPr>
        <w:tabs>
          <w:tab w:val="left" w:pos="1120"/>
        </w:tabs>
        <w:spacing w:line="240" w:lineRule="auto"/>
        <w:ind w:firstLine="284"/>
        <w:jc w:val="both"/>
        <w:rPr>
          <w:rFonts w:ascii="Garamond" w:hAnsi="Garamond"/>
          <w:i/>
          <w:iCs/>
        </w:rPr>
      </w:pPr>
      <w:r w:rsidRPr="00B80EAA">
        <w:rPr>
          <w:rFonts w:ascii="Garamond" w:hAnsi="Garamond"/>
          <w:i/>
          <w:iCs/>
        </w:rPr>
        <w:t>B.1.</w:t>
      </w:r>
      <w:r w:rsidR="004E0AB7">
        <w:rPr>
          <w:rFonts w:ascii="Garamond" w:hAnsi="Garamond"/>
          <w:i/>
          <w:iCs/>
        </w:rPr>
        <w:t xml:space="preserve"> </w:t>
      </w:r>
      <w:r w:rsidRPr="00B80EAA">
        <w:rPr>
          <w:rFonts w:ascii="Garamond" w:hAnsi="Garamond"/>
          <w:i/>
          <w:iCs/>
        </w:rPr>
        <w:t xml:space="preserve">Për cenimin e së drejtës së </w:t>
      </w:r>
      <w:proofErr w:type="spellStart"/>
      <w:r w:rsidRPr="00B80EAA">
        <w:rPr>
          <w:rFonts w:ascii="Garamond" w:hAnsi="Garamond"/>
          <w:i/>
          <w:iCs/>
        </w:rPr>
        <w:t>aksesit</w:t>
      </w:r>
      <w:proofErr w:type="spellEnd"/>
      <w:r w:rsidRPr="00B80EAA">
        <w:rPr>
          <w:rFonts w:ascii="Garamond" w:hAnsi="Garamond"/>
          <w:i/>
          <w:iCs/>
        </w:rPr>
        <w:t xml:space="preserve"> të lidhur me standardin e arsyetimit të vendimit gjyqësor</w:t>
      </w:r>
    </w:p>
    <w:p w14:paraId="6367041C" w14:textId="3F0195BE" w:rsidR="00412C76" w:rsidRPr="00B80EAA" w:rsidRDefault="00412C76" w:rsidP="00412C76">
      <w:pPr>
        <w:tabs>
          <w:tab w:val="left" w:pos="980"/>
          <w:tab w:val="left" w:pos="1080"/>
        </w:tabs>
        <w:spacing w:line="240" w:lineRule="auto"/>
        <w:ind w:firstLine="284"/>
        <w:jc w:val="both"/>
        <w:rPr>
          <w:rFonts w:ascii="Garamond" w:hAnsi="Garamond"/>
        </w:rPr>
      </w:pPr>
      <w:r w:rsidRPr="00B80EAA">
        <w:rPr>
          <w:rFonts w:ascii="Garamond" w:hAnsi="Garamond"/>
        </w:rPr>
        <w:t>22.</w:t>
      </w:r>
      <w:r w:rsidR="007305BC" w:rsidRPr="00B80EAA">
        <w:rPr>
          <w:rFonts w:ascii="Garamond" w:hAnsi="Garamond"/>
        </w:rPr>
        <w:t xml:space="preserve"> </w:t>
      </w:r>
      <w:r w:rsidRPr="00B80EAA">
        <w:rPr>
          <w:rFonts w:ascii="Garamond" w:hAnsi="Garamond"/>
        </w:rPr>
        <w:t>Kërkueset kanë parashtruar se Gjykata e Lartë ka vendosur mospranimin e rekursit, ndonëse pretendimet e tyre kishin të bënin me shkelje të rënda të ligjit material dhe procedural nga gjykatat e faktit, të cilat kishin rrëzuar padinë e tyre për shpërblimin e dëmit nga humbja e jetës së familjarit të tyre, me arsyetimin se autoritetet shtetërore nuk kishin asnjë përgjegjësi për të zbatuar masat për sigurinë e jetës në plazhin e Divjakës. Sipas tyre ky qëndrim bie ndesh me parimin e nenit 15 të Kushtetutës, sipas të cilit organet e pushtetit publik, në përmbushje të detyrave të tyre, duhet të respektojnë të drejtat dhe liritë themelore të njeriut, si dhe të kontribuojnë në realizimin e tyre. Në këtë mënyrë, sipas kërkueseve, ato nuk kanë marrë përgjigje nga Gjykata e Lartë për pretendimet e ngritura në rekurs, të cilat kishin natyrë kushtetuese, ndërsa arsyetimi i vendimit të Gjykatës së Lartë nuk shpjegon përse ato pretendime nuk përbënin shkaqe ligjore për rekurs.</w:t>
      </w:r>
    </w:p>
    <w:p w14:paraId="02159A3D" w14:textId="69F7B2D1" w:rsidR="00412C76" w:rsidRPr="00B80EAA" w:rsidRDefault="00412C76" w:rsidP="00412C76">
      <w:pPr>
        <w:tabs>
          <w:tab w:val="left" w:pos="980"/>
          <w:tab w:val="left" w:pos="1080"/>
        </w:tabs>
        <w:spacing w:line="240" w:lineRule="auto"/>
        <w:ind w:firstLine="284"/>
        <w:jc w:val="both"/>
        <w:rPr>
          <w:rFonts w:ascii="Garamond" w:hAnsi="Garamond"/>
        </w:rPr>
      </w:pPr>
      <w:r w:rsidRPr="00B80EAA">
        <w:rPr>
          <w:rFonts w:ascii="Garamond" w:hAnsi="Garamond"/>
        </w:rPr>
        <w:t>23.</w:t>
      </w:r>
      <w:r w:rsidR="007305BC" w:rsidRPr="00B80EAA">
        <w:rPr>
          <w:rFonts w:ascii="Garamond" w:hAnsi="Garamond"/>
        </w:rPr>
        <w:t xml:space="preserve"> </w:t>
      </w:r>
      <w:r w:rsidRPr="00B80EAA">
        <w:rPr>
          <w:rFonts w:ascii="Garamond" w:hAnsi="Garamond"/>
        </w:rPr>
        <w:t xml:space="preserve">Subjektet e interesuara kanë prapësuar se pretendimet e kërkueseve janë të pabazuara, pasi Gjykata e Lartë, sipas ligjit, ka kryer veprimtarinë seleksionuese dhe ka vlerësuar se shkaqet e ngritura në rekurs nuk parashikoheshin nga ligji. Sipas subjekteve të interesuara, kërkueset kanë marrë përgjigje </w:t>
      </w:r>
      <w:r w:rsidRPr="00B80EAA">
        <w:rPr>
          <w:rFonts w:ascii="Garamond" w:hAnsi="Garamond"/>
        </w:rPr>
        <w:lastRenderedPageBreak/>
        <w:t xml:space="preserve">shteruese për pretendimet e tyre nga gjykatat e faktit, ndaj e drejta e </w:t>
      </w:r>
      <w:proofErr w:type="spellStart"/>
      <w:r w:rsidRPr="00B80EAA">
        <w:rPr>
          <w:rFonts w:ascii="Garamond" w:hAnsi="Garamond"/>
        </w:rPr>
        <w:t>aksesit</w:t>
      </w:r>
      <w:proofErr w:type="spellEnd"/>
      <w:r w:rsidRPr="00B80EAA">
        <w:rPr>
          <w:rFonts w:ascii="Garamond" w:hAnsi="Garamond"/>
        </w:rPr>
        <w:t xml:space="preserve"> në gjykatë nuk është cenuar. Po ashtu, sipas tyre, vendimi i Gjykatës së Lartë, për shkak të natyrës së tij – vendim i mospranimit të rekursit, është në përputhje me standardet kushtetuese të arsyetimit, pasi tregon pretendimet e ngritura në rekurs dhe vlerësimin me arsyetim të kufizuar që ato nuk parashikohen nga ligji si shkak për rekurs.</w:t>
      </w:r>
    </w:p>
    <w:p w14:paraId="11CAD780" w14:textId="020EEC26" w:rsidR="00412C76" w:rsidRPr="00B80EAA" w:rsidRDefault="00412C76" w:rsidP="00412C76">
      <w:pPr>
        <w:tabs>
          <w:tab w:val="left" w:pos="700"/>
          <w:tab w:val="left" w:pos="1080"/>
        </w:tabs>
        <w:spacing w:line="240" w:lineRule="auto"/>
        <w:ind w:firstLine="284"/>
        <w:jc w:val="both"/>
        <w:rPr>
          <w:rFonts w:ascii="Garamond" w:hAnsi="Garamond"/>
        </w:rPr>
      </w:pPr>
      <w:r w:rsidRPr="00B80EAA">
        <w:rPr>
          <w:rFonts w:ascii="Garamond" w:hAnsi="Garamond"/>
        </w:rPr>
        <w:t>24.</w:t>
      </w:r>
      <w:r w:rsidR="007305BC" w:rsidRPr="00B80EAA">
        <w:rPr>
          <w:rFonts w:ascii="Garamond" w:hAnsi="Garamond"/>
        </w:rPr>
        <w:t xml:space="preserve"> </w:t>
      </w:r>
      <w:r w:rsidRPr="00B80EAA">
        <w:rPr>
          <w:rFonts w:ascii="Garamond" w:hAnsi="Garamond"/>
        </w:rPr>
        <w:t xml:space="preserve">Gjykata ka pohuar se e drejta e </w:t>
      </w:r>
      <w:proofErr w:type="spellStart"/>
      <w:r w:rsidRPr="00B80EAA">
        <w:rPr>
          <w:rFonts w:ascii="Garamond" w:hAnsi="Garamond"/>
        </w:rPr>
        <w:t>aksesit</w:t>
      </w:r>
      <w:proofErr w:type="spellEnd"/>
      <w:r w:rsidRPr="00B80EAA">
        <w:rPr>
          <w:rFonts w:ascii="Garamond" w:hAnsi="Garamond"/>
        </w:rPr>
        <w:t xml:space="preserve"> ka për qëllim të garantojë shtetasit nga çdo veprim që u shkakton cenim të </w:t>
      </w:r>
      <w:proofErr w:type="spellStart"/>
      <w:r w:rsidRPr="00B80EAA">
        <w:rPr>
          <w:rFonts w:ascii="Garamond" w:hAnsi="Garamond"/>
        </w:rPr>
        <w:t>të</w:t>
      </w:r>
      <w:proofErr w:type="spellEnd"/>
      <w:r w:rsidRPr="00B80EAA">
        <w:rPr>
          <w:rFonts w:ascii="Garamond" w:hAnsi="Garamond"/>
        </w:rPr>
        <w:t xml:space="preserve"> drejtave të tyre, pa përjashtuar rastet kur cenimi vjen nga ndonjë akt i administratës shtetërore. Shteti i së drejtës </w:t>
      </w:r>
      <w:proofErr w:type="spellStart"/>
      <w:r w:rsidRPr="00B80EAA">
        <w:rPr>
          <w:rFonts w:ascii="Garamond" w:hAnsi="Garamond"/>
        </w:rPr>
        <w:t>presupozon</w:t>
      </w:r>
      <w:proofErr w:type="spellEnd"/>
      <w:r w:rsidRPr="00B80EAA">
        <w:rPr>
          <w:rFonts w:ascii="Garamond" w:hAnsi="Garamond"/>
        </w:rPr>
        <w:t xml:space="preserve"> që çdo ndërhyrje e autoriteteve ekzekutive në të drejtat e individit ose të personave juridikë, duhet të jetë objekt i një kontrolli efektiv nga një organ që ofron garantimin e pavarësisë dhe paanësisë gjatë procesit të shqyrtimit të procesit (</w:t>
      </w:r>
      <w:r w:rsidRPr="00B80EAA">
        <w:rPr>
          <w:rFonts w:ascii="Garamond" w:hAnsi="Garamond"/>
          <w:i/>
          <w:iCs/>
        </w:rPr>
        <w:t>shih vendimet nr. 70, datë 24.11.2016; nr. 10, datë 4.4.2007</w:t>
      </w:r>
      <w:r w:rsidR="00B80EAA">
        <w:rPr>
          <w:rFonts w:ascii="Garamond" w:hAnsi="Garamond"/>
          <w:i/>
          <w:iCs/>
        </w:rPr>
        <w:t>,</w:t>
      </w:r>
      <w:r w:rsidRPr="00B80EAA">
        <w:rPr>
          <w:rFonts w:ascii="Garamond" w:hAnsi="Garamond"/>
          <w:i/>
          <w:iCs/>
        </w:rPr>
        <w:t xml:space="preserve"> të Gjykatës Kushtetuese</w:t>
      </w:r>
      <w:r w:rsidRPr="00B80EAA">
        <w:rPr>
          <w:rFonts w:ascii="Garamond" w:hAnsi="Garamond"/>
        </w:rPr>
        <w:t>).</w:t>
      </w:r>
    </w:p>
    <w:p w14:paraId="2DBA0BF7" w14:textId="47B3D183" w:rsidR="00412C76" w:rsidRPr="00B80EAA" w:rsidRDefault="00412C76" w:rsidP="00412C76">
      <w:pPr>
        <w:tabs>
          <w:tab w:val="left" w:pos="700"/>
          <w:tab w:val="left" w:pos="1080"/>
        </w:tabs>
        <w:spacing w:line="240" w:lineRule="auto"/>
        <w:ind w:firstLine="284"/>
        <w:jc w:val="both"/>
        <w:rPr>
          <w:rFonts w:ascii="Garamond" w:hAnsi="Garamond"/>
        </w:rPr>
      </w:pPr>
      <w:r w:rsidRPr="00B80EAA">
        <w:rPr>
          <w:rFonts w:ascii="Garamond" w:hAnsi="Garamond"/>
        </w:rPr>
        <w:t>25.</w:t>
      </w:r>
      <w:r w:rsidR="007305BC" w:rsidRPr="00B80EAA">
        <w:rPr>
          <w:rFonts w:ascii="Garamond" w:hAnsi="Garamond"/>
        </w:rPr>
        <w:t xml:space="preserve"> </w:t>
      </w:r>
      <w:r w:rsidRPr="00B80EAA">
        <w:rPr>
          <w:rFonts w:ascii="Garamond" w:hAnsi="Garamond"/>
        </w:rPr>
        <w:t xml:space="preserve">Gjykata ka theksuar se e drejta e </w:t>
      </w:r>
      <w:proofErr w:type="spellStart"/>
      <w:r w:rsidRPr="00B80EAA">
        <w:rPr>
          <w:rFonts w:ascii="Garamond" w:hAnsi="Garamond"/>
        </w:rPr>
        <w:t>aksesit</w:t>
      </w:r>
      <w:proofErr w:type="spellEnd"/>
      <w:r w:rsidRPr="00B80EAA">
        <w:rPr>
          <w:rFonts w:ascii="Garamond" w:hAnsi="Garamond"/>
        </w:rPr>
        <w:t xml:space="preserve"> nuk përfshin vetëm të drejtën për të filluar një proces, por edhe të drejtën për të pasur, nga ana e gjykatës, një zgjidhje përfundimtare për mosmarrëveshjen objekt gjykimi, pasi </w:t>
      </w:r>
      <w:proofErr w:type="spellStart"/>
      <w:r w:rsidRPr="00B80EAA">
        <w:rPr>
          <w:rFonts w:ascii="Garamond" w:hAnsi="Garamond"/>
        </w:rPr>
        <w:t>aksesi</w:t>
      </w:r>
      <w:proofErr w:type="spellEnd"/>
      <w:r w:rsidRPr="00B80EAA">
        <w:rPr>
          <w:rFonts w:ascii="Garamond" w:hAnsi="Garamond"/>
        </w:rPr>
        <w:t xml:space="preserve"> në gjykatë duhet të jetë substantiv dhe jo thjesht formal (</w:t>
      </w:r>
      <w:r w:rsidRPr="00B80EAA">
        <w:rPr>
          <w:rFonts w:ascii="Garamond" w:hAnsi="Garamond"/>
          <w:i/>
          <w:iCs/>
        </w:rPr>
        <w:t>shih vendimet</w:t>
      </w:r>
      <w:r w:rsidRPr="00B80EAA">
        <w:rPr>
          <w:rFonts w:ascii="Garamond" w:hAnsi="Garamond"/>
          <w:b/>
          <w:bCs/>
        </w:rPr>
        <w:t xml:space="preserve"> </w:t>
      </w:r>
      <w:r w:rsidRPr="00B80EAA">
        <w:rPr>
          <w:rFonts w:ascii="Garamond" w:hAnsi="Garamond"/>
          <w:i/>
          <w:iCs/>
        </w:rPr>
        <w:t>nr. 32, datë 3.11.2022; nr. 5, datë 22.2.2022; nr. 22, datë 29.4.2021</w:t>
      </w:r>
      <w:r w:rsidR="00B80EAA">
        <w:rPr>
          <w:rFonts w:ascii="Garamond" w:hAnsi="Garamond"/>
          <w:i/>
          <w:iCs/>
        </w:rPr>
        <w:t>,</w:t>
      </w:r>
      <w:r w:rsidRPr="00B80EAA">
        <w:rPr>
          <w:rFonts w:ascii="Garamond" w:hAnsi="Garamond"/>
          <w:i/>
          <w:iCs/>
        </w:rPr>
        <w:t xml:space="preserve"> të Gjykatës Kushtetuese</w:t>
      </w:r>
      <w:r w:rsidRPr="00B80EAA">
        <w:rPr>
          <w:rFonts w:ascii="Garamond" w:hAnsi="Garamond"/>
        </w:rPr>
        <w:t xml:space="preserve">). Sipas Gjykatës, kontrolli i respektimit të standardeve kushtetuese të procesit të rregullt ligjor është funksion edhe i gjykatave të zakonshme, për më tepër i Gjykatës së Lartë </w:t>
      </w:r>
      <w:r w:rsidRPr="00B80EAA">
        <w:rPr>
          <w:rFonts w:ascii="Garamond" w:hAnsi="Garamond"/>
          <w:i/>
          <w:iCs/>
        </w:rPr>
        <w:t>(shih vendimin nr. 6, datë 16.2.2021</w:t>
      </w:r>
      <w:r w:rsidR="00B80EAA">
        <w:rPr>
          <w:rFonts w:ascii="Garamond" w:hAnsi="Garamond"/>
          <w:i/>
          <w:iCs/>
        </w:rPr>
        <w:t>,</w:t>
      </w:r>
      <w:r w:rsidRPr="00B80EAA">
        <w:rPr>
          <w:rFonts w:ascii="Garamond" w:hAnsi="Garamond"/>
          <w:i/>
          <w:iCs/>
        </w:rPr>
        <w:t xml:space="preserve"> të Gjykatës Kushtetuese)</w:t>
      </w:r>
      <w:r w:rsidRPr="00B80EAA">
        <w:rPr>
          <w:rFonts w:ascii="Garamond" w:hAnsi="Garamond"/>
        </w:rPr>
        <w:t xml:space="preserve">. Kur në rekurs janë ngritur pretendime të natyrës kushtetuese, Gjykata e Lartë, bazuar në natyrën e gjykimit kushtetues të kërkesave individuale, si dhe në parimin e </w:t>
      </w:r>
      <w:proofErr w:type="spellStart"/>
      <w:r w:rsidRPr="00B80EAA">
        <w:rPr>
          <w:rFonts w:ascii="Garamond" w:hAnsi="Garamond"/>
          <w:i/>
          <w:iCs/>
        </w:rPr>
        <w:t>subsidiaritetit</w:t>
      </w:r>
      <w:proofErr w:type="spellEnd"/>
      <w:r w:rsidRPr="00B80EAA">
        <w:rPr>
          <w:rFonts w:ascii="Garamond" w:hAnsi="Garamond"/>
        </w:rPr>
        <w:t xml:space="preserve"> që udhëheq raportet ndërmjet juridiksionit kushtetues dhe juridiksionit të gjykatave të zakonshme, duhet të investohet në ekzaminimin e tyre dhe të mbajë një qëndrim të shprehur për to </w:t>
      </w:r>
      <w:r w:rsidRPr="00B80EAA">
        <w:rPr>
          <w:rFonts w:ascii="Garamond" w:hAnsi="Garamond"/>
          <w:i/>
          <w:iCs/>
        </w:rPr>
        <w:t>(shih vendimin nr. 11, datë 16.4.2018</w:t>
      </w:r>
      <w:r w:rsidR="00B80EAA">
        <w:rPr>
          <w:rFonts w:ascii="Garamond" w:hAnsi="Garamond"/>
          <w:i/>
          <w:iCs/>
        </w:rPr>
        <w:t>,</w:t>
      </w:r>
      <w:r w:rsidRPr="00B80EAA">
        <w:rPr>
          <w:rFonts w:ascii="Garamond" w:hAnsi="Garamond"/>
          <w:i/>
          <w:iCs/>
        </w:rPr>
        <w:t xml:space="preserve"> të Gjykatës Kushtetuese)</w:t>
      </w:r>
      <w:r w:rsidRPr="00B80EAA">
        <w:rPr>
          <w:rFonts w:ascii="Garamond" w:hAnsi="Garamond"/>
        </w:rPr>
        <w:t xml:space="preserve">. </w:t>
      </w:r>
    </w:p>
    <w:p w14:paraId="5569D1A1" w14:textId="5B509973" w:rsidR="00412C76" w:rsidRPr="00B80EAA" w:rsidRDefault="00412C76" w:rsidP="00412C76">
      <w:pPr>
        <w:tabs>
          <w:tab w:val="left" w:pos="700"/>
          <w:tab w:val="left" w:pos="1080"/>
        </w:tabs>
        <w:spacing w:line="240" w:lineRule="auto"/>
        <w:ind w:firstLine="284"/>
        <w:jc w:val="both"/>
        <w:rPr>
          <w:rFonts w:ascii="Garamond" w:hAnsi="Garamond"/>
        </w:rPr>
      </w:pPr>
      <w:r w:rsidRPr="00B80EAA">
        <w:rPr>
          <w:rFonts w:ascii="Garamond" w:hAnsi="Garamond"/>
        </w:rPr>
        <w:t>26.</w:t>
      </w:r>
      <w:r w:rsidR="007305BC" w:rsidRPr="00B80EAA">
        <w:rPr>
          <w:rFonts w:ascii="Garamond" w:hAnsi="Garamond"/>
        </w:rPr>
        <w:t xml:space="preserve"> </w:t>
      </w:r>
      <w:r w:rsidRPr="00B80EAA">
        <w:rPr>
          <w:rFonts w:ascii="Garamond" w:hAnsi="Garamond"/>
        </w:rPr>
        <w:t>Në jurisprudencën e saj të vazhdueshme Gjykata ka theksuar se e drejta për proces të rregullt ligjor përfshin edhe të drejtën për të pasur një vendim gjyqësor të arsyetuar, që i garantohet individit nga nenet 42 dhe 142, pika 1, të Kushtetutës. Funksioni i një vendimi të arsyetuar është t’u tregojë palëve që ato janë dëgjuar, si dhe u jep mundësinë atyre ta kundërshtojnë atë (</w:t>
      </w:r>
      <w:r w:rsidRPr="00B80EAA">
        <w:rPr>
          <w:rFonts w:ascii="Garamond" w:hAnsi="Garamond"/>
          <w:i/>
          <w:iCs/>
        </w:rPr>
        <w:t>shih vendimet nr. 33, datë 30.5.2023; nr. 11, datë 10.3.2023</w:t>
      </w:r>
      <w:r w:rsidR="00B80EAA">
        <w:rPr>
          <w:rFonts w:ascii="Garamond" w:hAnsi="Garamond"/>
          <w:i/>
          <w:iCs/>
        </w:rPr>
        <w:t>,</w:t>
      </w:r>
      <w:r w:rsidRPr="00B80EAA">
        <w:rPr>
          <w:rFonts w:ascii="Garamond" w:hAnsi="Garamond"/>
          <w:i/>
          <w:iCs/>
        </w:rPr>
        <w:t xml:space="preserve"> të Gjykatës Kushtetuese</w:t>
      </w:r>
      <w:r w:rsidRPr="00B80EAA">
        <w:rPr>
          <w:rFonts w:ascii="Garamond" w:hAnsi="Garamond"/>
        </w:rPr>
        <w:t xml:space="preserve">). Gjykata ka pohuar se standardi i arsyetimit është i lidhur edhe me respektimin e të drejtave të tjera kushtetuese, siç është e drejta e </w:t>
      </w:r>
      <w:proofErr w:type="spellStart"/>
      <w:r w:rsidRPr="00B80EAA">
        <w:rPr>
          <w:rFonts w:ascii="Garamond" w:hAnsi="Garamond"/>
        </w:rPr>
        <w:t>aksesit</w:t>
      </w:r>
      <w:proofErr w:type="spellEnd"/>
      <w:r w:rsidRPr="00B80EAA">
        <w:rPr>
          <w:rFonts w:ascii="Garamond" w:hAnsi="Garamond"/>
        </w:rPr>
        <w:t xml:space="preserve"> në gjykim dhe e drejta e ankimit efektiv (</w:t>
      </w:r>
      <w:r w:rsidRPr="00B80EAA">
        <w:rPr>
          <w:rFonts w:ascii="Garamond" w:hAnsi="Garamond"/>
          <w:i/>
          <w:iCs/>
        </w:rPr>
        <w:t>shih vendimin nr. 16, datë 16</w:t>
      </w:r>
      <w:r w:rsidR="00B80EAA">
        <w:rPr>
          <w:rFonts w:ascii="Garamond" w:hAnsi="Garamond"/>
          <w:i/>
          <w:iCs/>
        </w:rPr>
        <w:t>.</w:t>
      </w:r>
      <w:r w:rsidRPr="00B80EAA">
        <w:rPr>
          <w:rFonts w:ascii="Garamond" w:hAnsi="Garamond"/>
          <w:i/>
          <w:iCs/>
        </w:rPr>
        <w:t>3.2021; nr. 45, datë 3.7.2017</w:t>
      </w:r>
      <w:r w:rsidR="00B80EAA">
        <w:rPr>
          <w:rFonts w:ascii="Garamond" w:hAnsi="Garamond"/>
          <w:i/>
          <w:iCs/>
        </w:rPr>
        <w:t>,</w:t>
      </w:r>
      <w:r w:rsidRPr="00B80EAA">
        <w:rPr>
          <w:rFonts w:ascii="Garamond" w:hAnsi="Garamond"/>
          <w:i/>
          <w:iCs/>
        </w:rPr>
        <w:t xml:space="preserve"> të Gjykatës Kushtetuese). </w:t>
      </w:r>
    </w:p>
    <w:p w14:paraId="579BF197" w14:textId="269892AD" w:rsidR="00412C76" w:rsidRPr="00B80EAA" w:rsidRDefault="00412C76" w:rsidP="00412C76">
      <w:pPr>
        <w:tabs>
          <w:tab w:val="left" w:pos="700"/>
          <w:tab w:val="left" w:pos="1080"/>
        </w:tabs>
        <w:spacing w:line="240" w:lineRule="auto"/>
        <w:ind w:firstLine="284"/>
        <w:jc w:val="both"/>
        <w:rPr>
          <w:rFonts w:ascii="Garamond" w:hAnsi="Garamond"/>
        </w:rPr>
      </w:pPr>
      <w:r w:rsidRPr="00B80EAA">
        <w:rPr>
          <w:rFonts w:ascii="Garamond" w:hAnsi="Garamond"/>
        </w:rPr>
        <w:t>27.</w:t>
      </w:r>
      <w:r w:rsidR="007305BC" w:rsidRPr="00B80EAA">
        <w:rPr>
          <w:rFonts w:ascii="Garamond" w:hAnsi="Garamond"/>
        </w:rPr>
        <w:t xml:space="preserve"> </w:t>
      </w:r>
      <w:r w:rsidRPr="00B80EAA">
        <w:rPr>
          <w:rFonts w:ascii="Garamond" w:hAnsi="Garamond"/>
        </w:rPr>
        <w:t>Sipas Gjykatës, vendimet e mospranimit të rekursit të Gjykatës së Lartë mund të arsyetohen në mënyrë të kufizuar, me kusht që në pjesën hyrëse të listohen shkaqet e rekursit. Arsyetimi i kufizuar nuk cenon standardin e arsyetimit të vendimit gjyqësor, përderisa në thelb shpreh shkaqet e mospranimit të rekursit nga ana e kolegjeve të saj gjatë shqyrtimit paraprak të tij në dhomën e këshillimit (</w:t>
      </w:r>
      <w:r w:rsidRPr="00B80EAA">
        <w:rPr>
          <w:rFonts w:ascii="Garamond" w:hAnsi="Garamond"/>
          <w:i/>
          <w:iCs/>
        </w:rPr>
        <w:t>shih vendimet nr. 10, datë</w:t>
      </w:r>
      <w:r w:rsidR="00B80EAA">
        <w:rPr>
          <w:rFonts w:ascii="Garamond" w:hAnsi="Garamond"/>
          <w:i/>
          <w:iCs/>
        </w:rPr>
        <w:t xml:space="preserve"> </w:t>
      </w:r>
      <w:r w:rsidRPr="00B80EAA">
        <w:rPr>
          <w:rFonts w:ascii="Garamond" w:hAnsi="Garamond"/>
          <w:i/>
          <w:iCs/>
        </w:rPr>
        <w:t>7.3.2023; nr. 21, datë 16.4.2015; nr. 37, datë 19.9.2011</w:t>
      </w:r>
      <w:r w:rsidR="00B80EAA">
        <w:rPr>
          <w:rFonts w:ascii="Garamond" w:hAnsi="Garamond"/>
          <w:i/>
          <w:iCs/>
        </w:rPr>
        <w:t>,</w:t>
      </w:r>
      <w:r w:rsidRPr="00B80EAA">
        <w:rPr>
          <w:rFonts w:ascii="Garamond" w:hAnsi="Garamond"/>
          <w:i/>
          <w:iCs/>
        </w:rPr>
        <w:t xml:space="preserve"> të Gjykatës Kushtetuese</w:t>
      </w:r>
      <w:r w:rsidRPr="00B80EAA">
        <w:rPr>
          <w:rFonts w:ascii="Garamond" w:hAnsi="Garamond"/>
        </w:rPr>
        <w:t xml:space="preserve">). </w:t>
      </w:r>
    </w:p>
    <w:p w14:paraId="14902179" w14:textId="6CB3C13B" w:rsidR="00412C76" w:rsidRPr="00B80EAA" w:rsidRDefault="00412C76" w:rsidP="00412C76">
      <w:pPr>
        <w:tabs>
          <w:tab w:val="left" w:pos="700"/>
          <w:tab w:val="left" w:pos="1080"/>
        </w:tabs>
        <w:spacing w:line="240" w:lineRule="auto"/>
        <w:ind w:firstLine="284"/>
        <w:jc w:val="both"/>
        <w:rPr>
          <w:rFonts w:ascii="Garamond" w:hAnsi="Garamond"/>
        </w:rPr>
      </w:pPr>
      <w:r w:rsidRPr="00B80EAA">
        <w:rPr>
          <w:rFonts w:ascii="Garamond" w:hAnsi="Garamond"/>
        </w:rPr>
        <w:t>28.</w:t>
      </w:r>
      <w:r w:rsidR="007305BC" w:rsidRPr="00B80EAA">
        <w:rPr>
          <w:rFonts w:ascii="Garamond" w:hAnsi="Garamond"/>
        </w:rPr>
        <w:t xml:space="preserve"> </w:t>
      </w:r>
      <w:r w:rsidRPr="00B80EAA">
        <w:rPr>
          <w:rFonts w:ascii="Garamond" w:hAnsi="Garamond"/>
        </w:rPr>
        <w:t xml:space="preserve">Gjykata ripohon se është detyrë e gjykatave të juridiksionit të zakonshëm të vlerësojnë faktet dhe provat e administruara, si dhe të interpretojnë ligjin për qëllim të procesit gjyqësor që ato zhvillojnë, ndërsa detyra e kësaj Gjykate është të shqyrtojë dhe vlerësojë nëse gjatë procesit gjyqësor ka pasur shkelje të </w:t>
      </w:r>
      <w:proofErr w:type="spellStart"/>
      <w:r w:rsidRPr="00B80EAA">
        <w:rPr>
          <w:rFonts w:ascii="Garamond" w:hAnsi="Garamond"/>
        </w:rPr>
        <w:t>të</w:t>
      </w:r>
      <w:proofErr w:type="spellEnd"/>
      <w:r w:rsidRPr="00B80EAA">
        <w:rPr>
          <w:rFonts w:ascii="Garamond" w:hAnsi="Garamond"/>
        </w:rPr>
        <w:t xml:space="preserve"> drejtave kushtetuese, si dhe nëse zbatimi i ligjit ka qenë eventualisht arbitrar, në kuptimin që të bjerë ndesh haptazi me konceptin e gjykimit të drejtë të përcaktuar në nenin 42 të Kushtetutës (</w:t>
      </w:r>
      <w:r w:rsidRPr="00B80EAA">
        <w:rPr>
          <w:rFonts w:ascii="Garamond" w:hAnsi="Garamond"/>
          <w:i/>
          <w:iCs/>
        </w:rPr>
        <w:t>shih vendimin nr. 14, datë 14.11.2022</w:t>
      </w:r>
      <w:r w:rsidR="00B80EAA">
        <w:rPr>
          <w:rFonts w:ascii="Garamond" w:hAnsi="Garamond"/>
          <w:i/>
          <w:iCs/>
        </w:rPr>
        <w:t>,</w:t>
      </w:r>
      <w:r w:rsidRPr="00B80EAA">
        <w:rPr>
          <w:rFonts w:ascii="Garamond" w:hAnsi="Garamond"/>
          <w:i/>
          <w:iCs/>
        </w:rPr>
        <w:t xml:space="preserve"> të Gjykatës Kushtetuese</w:t>
      </w:r>
      <w:r w:rsidRPr="00B80EAA">
        <w:rPr>
          <w:rFonts w:ascii="Garamond" w:hAnsi="Garamond"/>
        </w:rPr>
        <w:t xml:space="preserve">). Gjykata nuk vepron si shkallë e katërt gjykimi, por ajo ndërhyn atëherë kur gabimi ligjor ose faktik nga gjykatat e juridiksionit të zakonshëm është aq i dukshëm, sa një gjykatë e arsyeshme nuk mund ta kishte bërë ndonjëherë ose është i tillë që gjykimin e bën të padrejtë </w:t>
      </w:r>
      <w:r w:rsidRPr="00B80EAA">
        <w:rPr>
          <w:rFonts w:ascii="Garamond" w:hAnsi="Garamond"/>
          <w:i/>
          <w:iCs/>
        </w:rPr>
        <w:t>(shih vendimet nr. 3, datë 21.1.2025; nr. 59, datë 14.11.2023; nr. 29, datë 1.11.2022</w:t>
      </w:r>
      <w:r w:rsidR="00B80EAA">
        <w:rPr>
          <w:rFonts w:ascii="Garamond" w:hAnsi="Garamond"/>
          <w:i/>
          <w:iCs/>
        </w:rPr>
        <w:t>,</w:t>
      </w:r>
      <w:r w:rsidRPr="00B80EAA">
        <w:rPr>
          <w:rFonts w:ascii="Garamond" w:hAnsi="Garamond"/>
          <w:i/>
          <w:iCs/>
        </w:rPr>
        <w:t xml:space="preserve"> të Gjykatës Kushtetuese</w:t>
      </w:r>
      <w:r w:rsidRPr="00B80EAA">
        <w:rPr>
          <w:rFonts w:ascii="Garamond" w:hAnsi="Garamond"/>
        </w:rPr>
        <w:t>).</w:t>
      </w:r>
    </w:p>
    <w:p w14:paraId="7860DCD8" w14:textId="0510FDF3" w:rsidR="00412C76" w:rsidRPr="00B80EAA" w:rsidRDefault="00412C76" w:rsidP="00412C76">
      <w:pPr>
        <w:tabs>
          <w:tab w:val="left" w:pos="700"/>
          <w:tab w:val="left" w:pos="1080"/>
        </w:tabs>
        <w:spacing w:line="240" w:lineRule="auto"/>
        <w:ind w:firstLine="284"/>
        <w:jc w:val="both"/>
        <w:rPr>
          <w:rFonts w:ascii="Garamond" w:hAnsi="Garamond"/>
        </w:rPr>
      </w:pPr>
      <w:r w:rsidRPr="00B80EAA">
        <w:rPr>
          <w:rFonts w:ascii="Garamond" w:hAnsi="Garamond"/>
        </w:rPr>
        <w:t>29.</w:t>
      </w:r>
      <w:r w:rsidR="007305BC" w:rsidRPr="00B80EAA">
        <w:rPr>
          <w:rFonts w:ascii="Garamond" w:hAnsi="Garamond"/>
        </w:rPr>
        <w:t xml:space="preserve"> </w:t>
      </w:r>
      <w:r w:rsidRPr="00B80EAA">
        <w:rPr>
          <w:rFonts w:ascii="Garamond" w:hAnsi="Garamond"/>
        </w:rPr>
        <w:t xml:space="preserve">Mbi bazën e standardeve të mësipërme, Gjykata do të verifikojë nëse kërkueset kanë marrë përgjigje përfundimtare për pretendimin lidhur me dëmin e shkaktuar nga humbja e jetës së familjarit të tyre, për shkak të mungesës së masave të sigurisë në plazh, duke shqyrtuar nëse vendimi i </w:t>
      </w:r>
      <w:r w:rsidRPr="00B80EAA">
        <w:rPr>
          <w:rFonts w:ascii="Garamond" w:hAnsi="Garamond"/>
        </w:rPr>
        <w:lastRenderedPageBreak/>
        <w:t>mospranimit të rekursit të Gjykatës së Lartë është në përputhje me standardet kushtetuese të arsyetimit.</w:t>
      </w:r>
    </w:p>
    <w:p w14:paraId="37054C05" w14:textId="07E2F393" w:rsidR="00412C76" w:rsidRPr="00B80EAA" w:rsidRDefault="00412C76" w:rsidP="00412C76">
      <w:pPr>
        <w:tabs>
          <w:tab w:val="left" w:pos="700"/>
          <w:tab w:val="left" w:pos="1080"/>
        </w:tabs>
        <w:spacing w:line="240" w:lineRule="auto"/>
        <w:ind w:firstLine="284"/>
        <w:jc w:val="both"/>
        <w:rPr>
          <w:rFonts w:ascii="Garamond" w:hAnsi="Garamond"/>
        </w:rPr>
      </w:pPr>
      <w:r w:rsidRPr="00B80EAA">
        <w:rPr>
          <w:rFonts w:ascii="Garamond" w:hAnsi="Garamond"/>
        </w:rPr>
        <w:t>30.</w:t>
      </w:r>
      <w:r w:rsidR="007305BC" w:rsidRPr="00B80EAA">
        <w:rPr>
          <w:rFonts w:ascii="Garamond" w:hAnsi="Garamond"/>
        </w:rPr>
        <w:t xml:space="preserve"> </w:t>
      </w:r>
      <w:r w:rsidRPr="00B80EAA">
        <w:rPr>
          <w:rFonts w:ascii="Garamond" w:hAnsi="Garamond"/>
        </w:rPr>
        <w:t xml:space="preserve">Fillimisht, Gjykata vëren se në kohën e humbjes së jetës së familjarit të kërkueseve, rregullat e sigurisë në plazhe parashikoheshin nga </w:t>
      </w:r>
      <w:proofErr w:type="spellStart"/>
      <w:r w:rsidRPr="00B80EAA">
        <w:rPr>
          <w:rFonts w:ascii="Garamond" w:hAnsi="Garamond"/>
        </w:rPr>
        <w:t>VKM</w:t>
      </w:r>
      <w:proofErr w:type="spellEnd"/>
      <w:r w:rsidRPr="00B80EAA">
        <w:rPr>
          <w:rFonts w:ascii="Garamond" w:hAnsi="Garamond"/>
        </w:rPr>
        <w:t>-ja nr. 321, datë 28.5.2014</w:t>
      </w:r>
      <w:r w:rsidR="00B80EAA">
        <w:rPr>
          <w:rFonts w:ascii="Garamond" w:hAnsi="Garamond"/>
        </w:rPr>
        <w:t>,</w:t>
      </w:r>
      <w:r w:rsidRPr="00B80EAA">
        <w:rPr>
          <w:rFonts w:ascii="Garamond" w:hAnsi="Garamond"/>
        </w:rPr>
        <w:t xml:space="preserve"> “Për sigurinë në det, plazhe, ujërat e brendshme në thellësi të territorit dhe gjatë ushtrimit të sporteve ujore”, e ndryshuar (</w:t>
      </w:r>
      <w:proofErr w:type="spellStart"/>
      <w:r w:rsidRPr="00B80EAA">
        <w:rPr>
          <w:rFonts w:ascii="Garamond" w:hAnsi="Garamond"/>
          <w:i/>
          <w:iCs/>
        </w:rPr>
        <w:t>VKM</w:t>
      </w:r>
      <w:proofErr w:type="spellEnd"/>
      <w:r w:rsidRPr="00B80EAA">
        <w:rPr>
          <w:rFonts w:ascii="Garamond" w:hAnsi="Garamond"/>
          <w:i/>
          <w:iCs/>
        </w:rPr>
        <w:t>-ja nr. 321/2014</w:t>
      </w:r>
      <w:r w:rsidRPr="00B80EAA">
        <w:rPr>
          <w:rFonts w:ascii="Garamond" w:hAnsi="Garamond"/>
        </w:rPr>
        <w:t xml:space="preserve">). Kjo </w:t>
      </w:r>
      <w:proofErr w:type="spellStart"/>
      <w:r w:rsidRPr="00B80EAA">
        <w:rPr>
          <w:rFonts w:ascii="Garamond" w:hAnsi="Garamond"/>
        </w:rPr>
        <w:t>VKM</w:t>
      </w:r>
      <w:proofErr w:type="spellEnd"/>
      <w:r w:rsidRPr="00B80EAA">
        <w:rPr>
          <w:rFonts w:ascii="Garamond" w:hAnsi="Garamond"/>
        </w:rPr>
        <w:t>, e miratuar në bazë të disa ligjeve që lidhen me kufirin shtetëror, detar, mjetet lundruese, qeverisjen vendore, mjedisin dhe turizmin, përcakton rregullat minimale dhe të detajuara, të zbatueshme gjatë periudhës së sezonit turistik 15 maj</w:t>
      </w:r>
      <w:r w:rsidR="00C31E6B">
        <w:rPr>
          <w:rFonts w:ascii="Garamond" w:hAnsi="Garamond"/>
        </w:rPr>
        <w:t>–</w:t>
      </w:r>
      <w:r w:rsidRPr="00B80EAA">
        <w:rPr>
          <w:rFonts w:ascii="Garamond" w:hAnsi="Garamond"/>
        </w:rPr>
        <w:t>15 tetor, edhe për sa i përket sigurisë në plazhe, përfshirë edhe</w:t>
      </w:r>
      <w:r w:rsidR="004E0AB7">
        <w:rPr>
          <w:rFonts w:ascii="Garamond" w:hAnsi="Garamond"/>
        </w:rPr>
        <w:t xml:space="preserve"> </w:t>
      </w:r>
      <w:r w:rsidRPr="00B80EAA">
        <w:rPr>
          <w:rFonts w:ascii="Garamond" w:hAnsi="Garamond"/>
        </w:rPr>
        <w:t xml:space="preserve">bregdetin, duke i ndarë zonat në plazhe publike (zona të hapura për përdorim publik dhe që ofrojnë mjete minimale për përdorim me kushtet e sigurisë dhe higjienës) dhe stacione plazhi, këto të fundit si struktura veprimtarie private nga personat fizikë ose juridikë. Pavarësisht ndarjes së zonave të plazhit, në publike dhe private, </w:t>
      </w:r>
      <w:proofErr w:type="spellStart"/>
      <w:r w:rsidRPr="00B80EAA">
        <w:rPr>
          <w:rFonts w:ascii="Garamond" w:hAnsi="Garamond"/>
        </w:rPr>
        <w:t>VKM</w:t>
      </w:r>
      <w:proofErr w:type="spellEnd"/>
      <w:r w:rsidRPr="00B80EAA">
        <w:rPr>
          <w:rFonts w:ascii="Garamond" w:hAnsi="Garamond"/>
        </w:rPr>
        <w:t>-ja nr. 321/2014 përcakton se në çdo zonë ka një minimum masash sigurie, që lidhen me kufizimin e shënjuar të distancave të lejuara nga bregu, shenjat për lejimin ose jo të notimit, shenjat për plazhet e autorizuara ose jo, përfshirë ato për pasigurinë në notim në plazhet e pa</w:t>
      </w:r>
      <w:r w:rsidR="00B80EAA">
        <w:rPr>
          <w:rFonts w:ascii="Garamond" w:hAnsi="Garamond"/>
        </w:rPr>
        <w:t>a</w:t>
      </w:r>
      <w:r w:rsidRPr="00B80EAA">
        <w:rPr>
          <w:rFonts w:ascii="Garamond" w:hAnsi="Garamond"/>
        </w:rPr>
        <w:t xml:space="preserve">utorizuara, ofrimin e shërbimit nga vrojtuesit e trajnuar dhe pajisjen e tyre me materialet përkatëse, krahas vendosjes së kullave të vrojtimit. </w:t>
      </w:r>
    </w:p>
    <w:p w14:paraId="614237E7" w14:textId="1B7D3FE1" w:rsidR="00412C76" w:rsidRPr="00B80EAA" w:rsidRDefault="00412C76" w:rsidP="00412C76">
      <w:pPr>
        <w:tabs>
          <w:tab w:val="left" w:pos="700"/>
          <w:tab w:val="left" w:pos="1080"/>
        </w:tabs>
        <w:spacing w:line="240" w:lineRule="auto"/>
        <w:ind w:firstLine="284"/>
        <w:jc w:val="both"/>
        <w:rPr>
          <w:rFonts w:ascii="Garamond" w:hAnsi="Garamond"/>
        </w:rPr>
      </w:pPr>
      <w:r w:rsidRPr="00B80EAA">
        <w:rPr>
          <w:rFonts w:ascii="Garamond" w:hAnsi="Garamond"/>
        </w:rPr>
        <w:t>31.</w:t>
      </w:r>
      <w:r w:rsidR="007305BC" w:rsidRPr="00B80EAA">
        <w:rPr>
          <w:rFonts w:ascii="Garamond" w:hAnsi="Garamond"/>
        </w:rPr>
        <w:t xml:space="preserve"> </w:t>
      </w:r>
      <w:r w:rsidRPr="00B80EAA">
        <w:rPr>
          <w:rFonts w:ascii="Garamond" w:hAnsi="Garamond"/>
        </w:rPr>
        <w:t xml:space="preserve">Gjithashtu, në këtë </w:t>
      </w:r>
      <w:proofErr w:type="spellStart"/>
      <w:r w:rsidRPr="00B80EAA">
        <w:rPr>
          <w:rFonts w:ascii="Garamond" w:hAnsi="Garamond"/>
        </w:rPr>
        <w:t>VKM</w:t>
      </w:r>
      <w:proofErr w:type="spellEnd"/>
      <w:r w:rsidRPr="00B80EAA">
        <w:rPr>
          <w:rFonts w:ascii="Garamond" w:hAnsi="Garamond"/>
        </w:rPr>
        <w:t xml:space="preserve"> janë detajuar edhe përgjegjësitë e organeve shtetërore (subjekteve të interesuara), sipas hapësirës së kompetencave ligjore të tyre, me qëllim garantimin e kushteve të sigurisë në plazhe, në zonat çlodhëse edhe në bregdet. Këto përgjegjësi përfshijnë identifikimin e zonave të përshtatshme si zona çlodhëse, të konsideruara të sigurta dhe të shëndetshme për njerëzit, menaxhimin dhe administrimin e tyre, si dhe kontrollin dhe verifikimin e zbatimit të kushteve të sigurisë. Me fjalë të tjera, përgjegjësitë kanë të bëjnë me marrjen e masave dhe vendosjen e pajisjeve që synojnë uljen e rrezikut ndaj jetës së personave, të cilët ushtrojnë aktivitete çlodhëse në zona bregdetare të autorizuara. </w:t>
      </w:r>
    </w:p>
    <w:p w14:paraId="44677BD3" w14:textId="6E6811BC" w:rsidR="00412C76" w:rsidRPr="00B80EAA" w:rsidRDefault="00412C76" w:rsidP="00412C76">
      <w:pPr>
        <w:tabs>
          <w:tab w:val="left" w:pos="700"/>
          <w:tab w:val="left" w:pos="1080"/>
        </w:tabs>
        <w:spacing w:line="240" w:lineRule="auto"/>
        <w:ind w:firstLine="284"/>
        <w:jc w:val="both"/>
        <w:rPr>
          <w:rFonts w:ascii="Garamond" w:hAnsi="Garamond"/>
        </w:rPr>
      </w:pPr>
      <w:r w:rsidRPr="00B80EAA">
        <w:rPr>
          <w:rFonts w:ascii="Garamond" w:hAnsi="Garamond"/>
        </w:rPr>
        <w:t>32.</w:t>
      </w:r>
      <w:r w:rsidR="007305BC" w:rsidRPr="00B80EAA">
        <w:rPr>
          <w:rFonts w:ascii="Garamond" w:hAnsi="Garamond"/>
        </w:rPr>
        <w:t xml:space="preserve"> </w:t>
      </w:r>
      <w:r w:rsidRPr="00B80EAA">
        <w:rPr>
          <w:rFonts w:ascii="Garamond" w:hAnsi="Garamond"/>
        </w:rPr>
        <w:t xml:space="preserve">Duke iu kthyer çështjes konkrete, Gjykata vëren se familjari i kërkueseve ka humbur jetën ndërsa ishte duke notuar në plazhin e Divjakës, ngjarje për të cilën Prokuroria Lushnjë ka arritur në përfundimin se ishte aksidentale, e shkaktuar nga asfiksia mekanike si rezultat i mbytjes në det. Mbi bazën e vendimit të prokurorit për </w:t>
      </w:r>
      <w:proofErr w:type="spellStart"/>
      <w:r w:rsidRPr="00B80EAA">
        <w:rPr>
          <w:rFonts w:ascii="Garamond" w:hAnsi="Garamond"/>
        </w:rPr>
        <w:t>mosfillimin</w:t>
      </w:r>
      <w:proofErr w:type="spellEnd"/>
      <w:r w:rsidRPr="00B80EAA">
        <w:rPr>
          <w:rFonts w:ascii="Garamond" w:hAnsi="Garamond"/>
        </w:rPr>
        <w:t xml:space="preserve"> e procedimit penal, në të cilin përcaktohej se shkaku i humbjes së jetës së viktimës ishte mbytja në det, kërkueset kanë ngritur padi në gjykatat administrative, duke kërkuar shpërblimin e dëmit, me pretendimin se organet shtetërore nuk kishin marrë masat për sigurinë e jetës në plazhin e Divjakës, të parashikuara nga </w:t>
      </w:r>
      <w:proofErr w:type="spellStart"/>
      <w:r w:rsidRPr="00B80EAA">
        <w:rPr>
          <w:rFonts w:ascii="Garamond" w:hAnsi="Garamond"/>
        </w:rPr>
        <w:t>VKM</w:t>
      </w:r>
      <w:proofErr w:type="spellEnd"/>
      <w:r w:rsidRPr="00B80EAA">
        <w:rPr>
          <w:rFonts w:ascii="Garamond" w:hAnsi="Garamond"/>
        </w:rPr>
        <w:t xml:space="preserve">-ja nr. 321/2014. </w:t>
      </w:r>
    </w:p>
    <w:p w14:paraId="51061E80" w14:textId="42906B01" w:rsidR="00412C76" w:rsidRPr="00B80EAA" w:rsidRDefault="00412C76" w:rsidP="00412C76">
      <w:pPr>
        <w:tabs>
          <w:tab w:val="left" w:pos="700"/>
          <w:tab w:val="left" w:pos="1080"/>
        </w:tabs>
        <w:spacing w:line="240" w:lineRule="auto"/>
        <w:ind w:firstLine="284"/>
        <w:jc w:val="both"/>
        <w:rPr>
          <w:rFonts w:ascii="Garamond" w:hAnsi="Garamond"/>
        </w:rPr>
      </w:pPr>
      <w:r w:rsidRPr="00B80EAA">
        <w:rPr>
          <w:rFonts w:ascii="Garamond" w:hAnsi="Garamond"/>
        </w:rPr>
        <w:t>33.</w:t>
      </w:r>
      <w:r w:rsidR="007305BC" w:rsidRPr="00B80EAA">
        <w:rPr>
          <w:rFonts w:ascii="Garamond" w:hAnsi="Garamond"/>
        </w:rPr>
        <w:t xml:space="preserve"> </w:t>
      </w:r>
      <w:r w:rsidRPr="00B80EAA">
        <w:rPr>
          <w:rFonts w:ascii="Garamond" w:hAnsi="Garamond"/>
        </w:rPr>
        <w:t xml:space="preserve">Nën dritën e standardeve kushtetuese dhe në kontekstin e rrethanave specifike të rastit konkret, Gjykata konstaton se kërkueset i janë drejtuar gjykatave të zakonshme duke paraqitur pretendimin për shpërblimin e dëmit që lidhej me humbjen e jetës së familjarit të tyre, si rezultat i mosveprimit të paligjshëm të organeve shtetërore për të garantuar sigurinë e jetës dhe të shëndetit në plazh, sipas tyre në një zonë plazhi publik, pretendim i cili është me natyrë kushtetuese, sepse lidhet me të drejtën e jetës të garantuar nga neni 21 i Kushtetutës dhe neni 2 i </w:t>
      </w:r>
      <w:proofErr w:type="spellStart"/>
      <w:r w:rsidRPr="00B80EAA">
        <w:rPr>
          <w:rFonts w:ascii="Garamond" w:hAnsi="Garamond"/>
          <w:i/>
          <w:iCs/>
        </w:rPr>
        <w:t>KEDNJ</w:t>
      </w:r>
      <w:proofErr w:type="spellEnd"/>
      <w:r w:rsidRPr="00B80EAA">
        <w:rPr>
          <w:rFonts w:ascii="Garamond" w:hAnsi="Garamond"/>
        </w:rPr>
        <w:t>-së. Konkretisht, pretendimi i kërkueseve lidhet me detyrimin pozitiv të shtetit për të marrë masat e nevojshme për të përcaktuar faktet dhe përgjegjësinë e personave përgjegjës, si dhe për t’i ofruar dëmshpërblimin e duhur viktimës në rastin kur vdekja ose dëmtimi i rëndë i shëndetit ka ardhur si rezultat i neglizhencës së shtetit (</w:t>
      </w:r>
      <w:r w:rsidRPr="00B80EAA">
        <w:rPr>
          <w:rFonts w:ascii="Garamond" w:hAnsi="Garamond"/>
          <w:i/>
          <w:iCs/>
        </w:rPr>
        <w:t xml:space="preserve">shih </w:t>
      </w:r>
      <w:proofErr w:type="spellStart"/>
      <w:r w:rsidRPr="00B80EAA">
        <w:rPr>
          <w:rFonts w:ascii="Garamond" w:hAnsi="Garamond"/>
          <w:i/>
          <w:iCs/>
        </w:rPr>
        <w:t>Sinim</w:t>
      </w:r>
      <w:proofErr w:type="spellEnd"/>
      <w:r w:rsidRPr="00B80EAA">
        <w:rPr>
          <w:rFonts w:ascii="Garamond" w:hAnsi="Garamond"/>
          <w:i/>
          <w:iCs/>
        </w:rPr>
        <w:t xml:space="preserve"> kundër Turqisë, datë 6.6.2017, § 59</w:t>
      </w:r>
      <w:r w:rsidRPr="00B80EAA">
        <w:rPr>
          <w:rFonts w:ascii="Garamond" w:hAnsi="Garamond"/>
        </w:rPr>
        <w:t>). Për më tepër, detyrimi pozitiv i shtetit jo vetëm duhet të ekzistojë në teori, por duhet të zbatohet edhe në praktikë (</w:t>
      </w:r>
      <w:r w:rsidRPr="00B80EAA">
        <w:rPr>
          <w:rFonts w:ascii="Garamond" w:hAnsi="Garamond"/>
          <w:i/>
          <w:iCs/>
        </w:rPr>
        <w:t xml:space="preserve">shih </w:t>
      </w:r>
      <w:proofErr w:type="spellStart"/>
      <w:r w:rsidRPr="00B80EAA">
        <w:rPr>
          <w:rFonts w:ascii="Garamond" w:hAnsi="Garamond"/>
          <w:i/>
          <w:iCs/>
        </w:rPr>
        <w:t>Sarishvili-Bolkvadze</w:t>
      </w:r>
      <w:proofErr w:type="spellEnd"/>
      <w:r w:rsidRPr="00B80EAA">
        <w:rPr>
          <w:rFonts w:ascii="Garamond" w:hAnsi="Garamond"/>
          <w:i/>
          <w:iCs/>
        </w:rPr>
        <w:t xml:space="preserve"> kundër Gjeorgjisë, datë 19.7.2018, § 90)</w:t>
      </w:r>
      <w:r w:rsidRPr="00B80EAA">
        <w:rPr>
          <w:rFonts w:ascii="Garamond" w:hAnsi="Garamond"/>
        </w:rPr>
        <w:t>.</w:t>
      </w:r>
    </w:p>
    <w:p w14:paraId="72CCEDF6" w14:textId="3965DA2F" w:rsidR="00412C76" w:rsidRPr="00B80EAA" w:rsidRDefault="00412C76" w:rsidP="00412C76">
      <w:pPr>
        <w:tabs>
          <w:tab w:val="left" w:pos="700"/>
          <w:tab w:val="left" w:pos="1080"/>
        </w:tabs>
        <w:spacing w:line="240" w:lineRule="auto"/>
        <w:ind w:firstLine="284"/>
        <w:jc w:val="both"/>
        <w:rPr>
          <w:rFonts w:ascii="Garamond" w:hAnsi="Garamond"/>
          <w:b/>
          <w:bCs/>
        </w:rPr>
      </w:pPr>
      <w:r w:rsidRPr="00B80EAA">
        <w:rPr>
          <w:rFonts w:ascii="Garamond" w:hAnsi="Garamond"/>
        </w:rPr>
        <w:t>34.</w:t>
      </w:r>
      <w:r w:rsidR="007305BC" w:rsidRPr="00B80EAA">
        <w:rPr>
          <w:rFonts w:ascii="Garamond" w:hAnsi="Garamond"/>
        </w:rPr>
        <w:t xml:space="preserve"> </w:t>
      </w:r>
      <w:r w:rsidRPr="00B80EAA">
        <w:rPr>
          <w:rFonts w:ascii="Garamond" w:hAnsi="Garamond"/>
        </w:rPr>
        <w:t xml:space="preserve">Në vijim, Gjykata vëren se gjykatat e faktit nuk e kanë marrë në shqyrtim themelin e pretendimit të kërkueseve, duke arsyetuar se asnjë prej organeve publike të thirrura në gjykim nuk kishte përgjegjësi ligjore për ruajtjen e sigurisë së jetës në plazhin publik të Divjakës. Ato nuk rezulton të kenë verifikuar dhe përcaktuar fillimisht faktet që qëndronin në themel të mosmarrëveshjes, lidhur me zonën ku ka humbur jetën familjari i kërkueseve dhe shkakun e vdekjes së tij, për të shqyrtuar në vijim, mbi këtë </w:t>
      </w:r>
      <w:r w:rsidRPr="00B80EAA">
        <w:rPr>
          <w:rFonts w:ascii="Garamond" w:hAnsi="Garamond"/>
        </w:rPr>
        <w:lastRenderedPageBreak/>
        <w:t xml:space="preserve">bazë faktesh, nëse ishin të zbatueshme detyrimet ligjore për masat e sigurisë dhe shëndetit në plazh, si dhe nëse ndonjë organ shtetëror kishte përgjegjësinë për zbatimin dhe për kontrollin e zbatimit të tyre nën dritën e kuadrit ligjor që rregullon masat e sigurisë në plazhe. Pavarësisht se, nga njëra anë, prokurori në vendimin për </w:t>
      </w:r>
      <w:proofErr w:type="spellStart"/>
      <w:r w:rsidRPr="00B80EAA">
        <w:rPr>
          <w:rFonts w:ascii="Garamond" w:hAnsi="Garamond"/>
        </w:rPr>
        <w:t>mosfillimin</w:t>
      </w:r>
      <w:proofErr w:type="spellEnd"/>
      <w:r w:rsidRPr="00B80EAA">
        <w:rPr>
          <w:rFonts w:ascii="Garamond" w:hAnsi="Garamond"/>
        </w:rPr>
        <w:t xml:space="preserve"> e procedimit penal tërthorazi ka pranuar se vdekja e familjarit të kërkueseve ka ndodhur në një zonë plazhi dhe, nga ana tjetër, neni 36</w:t>
      </w:r>
      <w:r w:rsidR="00B80EAA">
        <w:rPr>
          <w:rFonts w:ascii="Garamond" w:hAnsi="Garamond"/>
        </w:rPr>
        <w:t>,</w:t>
      </w:r>
      <w:r w:rsidRPr="00B80EAA">
        <w:rPr>
          <w:rFonts w:ascii="Garamond" w:hAnsi="Garamond"/>
        </w:rPr>
        <w:t xml:space="preserve"> i ligjit nr. 49/2012, kur kundërshtohet mosveprimi administrativ, ia kalon barrën e provës organit publik, gjykatat e faktit kanë arsyetuar në mënyrë standarde se barra e provës i përket kërkueseve, në cilësinë e paditëseve. Për rrjedhojë, ato kanë interpretuar në mënyrë formale dhe </w:t>
      </w:r>
      <w:proofErr w:type="spellStart"/>
      <w:r w:rsidRPr="00B80EAA">
        <w:rPr>
          <w:rFonts w:ascii="Garamond" w:hAnsi="Garamond"/>
          <w:i/>
          <w:iCs/>
        </w:rPr>
        <w:t>strictu</w:t>
      </w:r>
      <w:proofErr w:type="spellEnd"/>
      <w:r w:rsidRPr="00B80EAA">
        <w:rPr>
          <w:rFonts w:ascii="Garamond" w:hAnsi="Garamond"/>
          <w:i/>
          <w:iCs/>
        </w:rPr>
        <w:t xml:space="preserve"> </w:t>
      </w:r>
      <w:proofErr w:type="spellStart"/>
      <w:r w:rsidRPr="00B80EAA">
        <w:rPr>
          <w:rFonts w:ascii="Garamond" w:hAnsi="Garamond"/>
          <w:i/>
          <w:iCs/>
        </w:rPr>
        <w:t>sensu</w:t>
      </w:r>
      <w:proofErr w:type="spellEnd"/>
      <w:r w:rsidRPr="00B80EAA">
        <w:rPr>
          <w:rFonts w:ascii="Garamond" w:hAnsi="Garamond"/>
        </w:rPr>
        <w:t xml:space="preserve"> kuadrin ligjor, interpretim që nuk ka marrë në konsideratë qëllimin e ligjit dhe, si pasojë, gjykatat kanë nxjerrë përfundimin se rregullat e sigurisë së jetës janë të zbatueshme vetëm në strukturat private të plazhit dhe se organet shtetërore në këto raste janë të përjashtuara </w:t>
      </w:r>
      <w:r w:rsidRPr="00B80EAA">
        <w:rPr>
          <w:rFonts w:ascii="Garamond" w:hAnsi="Garamond"/>
          <w:i/>
          <w:iCs/>
        </w:rPr>
        <w:t>apriori</w:t>
      </w:r>
      <w:r w:rsidRPr="00B80EAA">
        <w:rPr>
          <w:rFonts w:ascii="Garamond" w:hAnsi="Garamond"/>
        </w:rPr>
        <w:t xml:space="preserve"> nga përgjegjësia.</w:t>
      </w:r>
      <w:r w:rsidRPr="00B80EAA">
        <w:rPr>
          <w:rFonts w:ascii="Garamond" w:hAnsi="Garamond"/>
          <w:b/>
          <w:bCs/>
        </w:rPr>
        <w:t xml:space="preserve"> </w:t>
      </w:r>
      <w:r w:rsidRPr="00B80EAA">
        <w:rPr>
          <w:rFonts w:ascii="Garamond" w:hAnsi="Garamond"/>
        </w:rPr>
        <w:t xml:space="preserve">Ky interpretim i ngushtë i ligjit nga gjykatat e faktit duket se ka cenuar thelbin e së drejtës së jetës dhe kjo shkelje nuk rezulton të jetë korrigjuar nga Gjykata e Lartë, e cila ndonëse gjendej përpara një pretendimi me natyrë kushtetuese, ka vlerësuar se rekursi nuk përmbante shkaqe të parashikuara nga ligji. Në këtë mënyrë, arsyetimi i Gjykatës së Lartë nuk ka respektuar të drejtat e </w:t>
      </w:r>
      <w:proofErr w:type="spellStart"/>
      <w:r w:rsidRPr="00B80EAA">
        <w:rPr>
          <w:rFonts w:ascii="Garamond" w:hAnsi="Garamond"/>
        </w:rPr>
        <w:t>aksesit</w:t>
      </w:r>
      <w:proofErr w:type="spellEnd"/>
      <w:r w:rsidRPr="00B80EAA">
        <w:rPr>
          <w:rFonts w:ascii="Garamond" w:hAnsi="Garamond"/>
        </w:rPr>
        <w:t xml:space="preserve"> në gjykim dhe të ankimit efektiv të kërkueseve.</w:t>
      </w:r>
    </w:p>
    <w:p w14:paraId="3AD1F1ED" w14:textId="0033DFAD" w:rsidR="00412C76" w:rsidRPr="00B80EAA" w:rsidRDefault="00412C76" w:rsidP="00412C76">
      <w:pPr>
        <w:tabs>
          <w:tab w:val="left" w:pos="700"/>
          <w:tab w:val="left" w:pos="1080"/>
        </w:tabs>
        <w:spacing w:line="240" w:lineRule="auto"/>
        <w:ind w:firstLine="284"/>
        <w:jc w:val="both"/>
        <w:rPr>
          <w:rFonts w:ascii="Garamond" w:hAnsi="Garamond"/>
          <w:b/>
          <w:bCs/>
        </w:rPr>
      </w:pPr>
      <w:r w:rsidRPr="00B80EAA">
        <w:rPr>
          <w:rFonts w:ascii="Garamond" w:hAnsi="Garamond"/>
        </w:rPr>
        <w:t>35.</w:t>
      </w:r>
      <w:r w:rsidR="007305BC" w:rsidRPr="00B80EAA">
        <w:rPr>
          <w:rFonts w:ascii="Garamond" w:hAnsi="Garamond"/>
        </w:rPr>
        <w:t xml:space="preserve"> </w:t>
      </w:r>
      <w:r w:rsidRPr="00B80EAA">
        <w:rPr>
          <w:rFonts w:ascii="Garamond" w:hAnsi="Garamond"/>
        </w:rPr>
        <w:t xml:space="preserve">Në këtë pikë, Gjykata rithekson se raporti ndërmjet juridiksionit kushtetues dhe juridiksionit të gjykatave të zakonshme udhëhiqet nga parimi i </w:t>
      </w:r>
      <w:proofErr w:type="spellStart"/>
      <w:r w:rsidRPr="00B80EAA">
        <w:rPr>
          <w:rFonts w:ascii="Garamond" w:hAnsi="Garamond"/>
          <w:i/>
          <w:iCs/>
        </w:rPr>
        <w:t>subsidiaritetit</w:t>
      </w:r>
      <w:proofErr w:type="spellEnd"/>
      <w:r w:rsidRPr="00B80EAA">
        <w:rPr>
          <w:rFonts w:ascii="Garamond" w:hAnsi="Garamond"/>
        </w:rPr>
        <w:t xml:space="preserve">. Respektimi i të drejtave kushtetuese është funksion edhe i gjykatave të zakonshme, për më tepër i Gjykatës së Lartë. Roli i kësaj gjykate, si gjykatë e ligjit, është i një natyre të pazëvendësueshme. Ajo i ka të gjitha mjetet dhe kompetencat për ta bërë vetë këtë rol aktiv, i cili shkon përtej ligjit dhe synon të drejtën, duke ndikuar </w:t>
      </w:r>
      <w:proofErr w:type="spellStart"/>
      <w:r w:rsidRPr="00B80EAA">
        <w:rPr>
          <w:rFonts w:ascii="Garamond" w:hAnsi="Garamond"/>
        </w:rPr>
        <w:t>efektivisht</w:t>
      </w:r>
      <w:proofErr w:type="spellEnd"/>
      <w:r w:rsidRPr="00B80EAA">
        <w:rPr>
          <w:rFonts w:ascii="Garamond" w:hAnsi="Garamond"/>
        </w:rPr>
        <w:t xml:space="preserve"> edhe në vendimmarrjen e gjykatave të shkallëve më të ulëta (</w:t>
      </w:r>
      <w:r w:rsidRPr="00B80EAA">
        <w:rPr>
          <w:rFonts w:ascii="Garamond" w:hAnsi="Garamond"/>
          <w:i/>
          <w:iCs/>
        </w:rPr>
        <w:t>shih vendimet nr. 10, datë 4</w:t>
      </w:r>
      <w:r w:rsidR="00B80EAA">
        <w:rPr>
          <w:rFonts w:ascii="Garamond" w:hAnsi="Garamond"/>
          <w:i/>
          <w:iCs/>
        </w:rPr>
        <w:t>.</w:t>
      </w:r>
      <w:r w:rsidRPr="00B80EAA">
        <w:rPr>
          <w:rFonts w:ascii="Garamond" w:hAnsi="Garamond"/>
          <w:i/>
          <w:iCs/>
        </w:rPr>
        <w:t>3.2021; nr. 3, datë 23.2.2016</w:t>
      </w:r>
      <w:r w:rsidR="00B80EAA">
        <w:rPr>
          <w:rFonts w:ascii="Garamond" w:hAnsi="Garamond"/>
          <w:i/>
          <w:iCs/>
        </w:rPr>
        <w:t>,</w:t>
      </w:r>
      <w:r w:rsidRPr="00B80EAA">
        <w:rPr>
          <w:rFonts w:ascii="Garamond" w:hAnsi="Garamond"/>
          <w:i/>
          <w:iCs/>
        </w:rPr>
        <w:t xml:space="preserve"> të Gjykatës Kushtetuese</w:t>
      </w:r>
      <w:r w:rsidRPr="00B80EAA">
        <w:rPr>
          <w:rFonts w:ascii="Garamond" w:hAnsi="Garamond"/>
        </w:rPr>
        <w:t>).</w:t>
      </w:r>
    </w:p>
    <w:p w14:paraId="233AD8CE" w14:textId="6587EEE6" w:rsidR="00412C76" w:rsidRPr="00B80EAA" w:rsidRDefault="00412C76" w:rsidP="00412C76">
      <w:pPr>
        <w:tabs>
          <w:tab w:val="left" w:pos="700"/>
          <w:tab w:val="left" w:pos="1080"/>
        </w:tabs>
        <w:spacing w:line="240" w:lineRule="auto"/>
        <w:ind w:firstLine="284"/>
        <w:jc w:val="both"/>
        <w:rPr>
          <w:rFonts w:ascii="Garamond" w:hAnsi="Garamond"/>
          <w:b/>
          <w:bCs/>
        </w:rPr>
      </w:pPr>
      <w:r w:rsidRPr="00B80EAA">
        <w:rPr>
          <w:rFonts w:ascii="Garamond" w:hAnsi="Garamond"/>
        </w:rPr>
        <w:t>36.</w:t>
      </w:r>
      <w:r w:rsidR="007305BC" w:rsidRPr="00B80EAA">
        <w:rPr>
          <w:rFonts w:ascii="Garamond" w:hAnsi="Garamond"/>
        </w:rPr>
        <w:t xml:space="preserve"> </w:t>
      </w:r>
      <w:r w:rsidRPr="00B80EAA">
        <w:rPr>
          <w:rFonts w:ascii="Garamond" w:hAnsi="Garamond"/>
        </w:rPr>
        <w:t xml:space="preserve">Nga sa më lart, Gjykata vlerëson se Gjykata e Lartë, në ushtrim të funksionit të saj, duhej të kishte mbajtur një qëndrim të shprehur në drejtim të pretendimit të kërkueseve që interpretimi i kuadrit ligjor nga gjykatat e faktit mohonte thelbin e së drejtës së jetës, për sa u takon detyrimeve pozitive të shtetit. Mospranimi i rekursit të kërkueseve nga Gjykata e Lartë, duke u mjaftuar vetëm me shqyrtimin </w:t>
      </w:r>
      <w:r w:rsidRPr="00B80EAA">
        <w:rPr>
          <w:rFonts w:ascii="Garamond" w:hAnsi="Garamond"/>
          <w:i/>
          <w:iCs/>
        </w:rPr>
        <w:t>de plano</w:t>
      </w:r>
      <w:r w:rsidRPr="00B80EAA">
        <w:rPr>
          <w:rFonts w:ascii="Garamond" w:hAnsi="Garamond"/>
        </w:rPr>
        <w:t xml:space="preserve"> të çështjes dhe me arsyetimin e kufizuar se shkaqet e rekursit nuk janë nga ato të parashikuara nga ligji, pa i dhënë përgjigje të arsyetuar pretendimit me natyrë kushtetuese, ka vënë në dyshim respektimin dhe mbrojtjen e të drejtave themelore kushtetuese të kërkueseve.</w:t>
      </w:r>
    </w:p>
    <w:p w14:paraId="239C2A29" w14:textId="28705863" w:rsidR="00412C76" w:rsidRPr="00B80EAA" w:rsidRDefault="00412C76" w:rsidP="00412C76">
      <w:pPr>
        <w:tabs>
          <w:tab w:val="left" w:pos="700"/>
          <w:tab w:val="left" w:pos="1080"/>
        </w:tabs>
        <w:spacing w:line="240" w:lineRule="auto"/>
        <w:ind w:firstLine="284"/>
        <w:jc w:val="both"/>
        <w:rPr>
          <w:rFonts w:ascii="Garamond" w:hAnsi="Garamond"/>
          <w:b/>
          <w:bCs/>
        </w:rPr>
      </w:pPr>
      <w:r w:rsidRPr="00B80EAA">
        <w:rPr>
          <w:rFonts w:ascii="Garamond" w:hAnsi="Garamond"/>
        </w:rPr>
        <w:t>37.</w:t>
      </w:r>
      <w:r w:rsidR="007305BC" w:rsidRPr="00B80EAA">
        <w:rPr>
          <w:rFonts w:ascii="Garamond" w:hAnsi="Garamond"/>
        </w:rPr>
        <w:t xml:space="preserve"> </w:t>
      </w:r>
      <w:r w:rsidRPr="00B80EAA">
        <w:rPr>
          <w:rFonts w:ascii="Garamond" w:hAnsi="Garamond"/>
        </w:rPr>
        <w:t>Në përmbledhje të argumenteve të mësipërme, Gjykata arrin në përfundimin</w:t>
      </w:r>
      <w:r w:rsidR="004E0AB7">
        <w:rPr>
          <w:rFonts w:ascii="Garamond" w:hAnsi="Garamond"/>
        </w:rPr>
        <w:t xml:space="preserve"> </w:t>
      </w:r>
      <w:r w:rsidRPr="00B80EAA">
        <w:rPr>
          <w:rFonts w:ascii="Garamond" w:hAnsi="Garamond"/>
        </w:rPr>
        <w:t xml:space="preserve">se në rastin konkret është cenuar e drejta për proces të rregullt ligjor, e garantuar nga neni 42 i Kushtetutës, në drejtim të së drejtës së </w:t>
      </w:r>
      <w:proofErr w:type="spellStart"/>
      <w:r w:rsidRPr="00B80EAA">
        <w:rPr>
          <w:rFonts w:ascii="Garamond" w:hAnsi="Garamond"/>
        </w:rPr>
        <w:t>aksesit</w:t>
      </w:r>
      <w:proofErr w:type="spellEnd"/>
      <w:r w:rsidRPr="00B80EAA">
        <w:rPr>
          <w:rFonts w:ascii="Garamond" w:hAnsi="Garamond"/>
        </w:rPr>
        <w:t xml:space="preserve"> substancial dhe standardit të arsyetimit të vendimit gjyqësor.</w:t>
      </w:r>
    </w:p>
    <w:p w14:paraId="390A19C6" w14:textId="530B65C0" w:rsidR="00412C76" w:rsidRPr="00B80EAA" w:rsidRDefault="00412C76" w:rsidP="00412C76">
      <w:pPr>
        <w:tabs>
          <w:tab w:val="left" w:pos="700"/>
          <w:tab w:val="left" w:pos="1080"/>
        </w:tabs>
        <w:spacing w:line="240" w:lineRule="auto"/>
        <w:ind w:firstLine="284"/>
        <w:jc w:val="both"/>
        <w:rPr>
          <w:rFonts w:ascii="Garamond" w:hAnsi="Garamond"/>
          <w:b/>
          <w:bCs/>
        </w:rPr>
      </w:pPr>
      <w:r w:rsidRPr="00B80EAA">
        <w:rPr>
          <w:rFonts w:ascii="Garamond" w:hAnsi="Garamond"/>
        </w:rPr>
        <w:t>38.</w:t>
      </w:r>
      <w:r w:rsidR="007305BC" w:rsidRPr="00B80EAA">
        <w:rPr>
          <w:rFonts w:ascii="Garamond" w:hAnsi="Garamond"/>
        </w:rPr>
        <w:t xml:space="preserve"> </w:t>
      </w:r>
      <w:r w:rsidRPr="00B80EAA">
        <w:rPr>
          <w:rFonts w:ascii="Garamond" w:hAnsi="Garamond"/>
        </w:rPr>
        <w:t>Në përfundim, Gjykata çmon se kërkesa e kërkueseve duhet të pranohet pjesërisht, sipas arsyetimit të mësipërm të këtij vendimi.</w:t>
      </w:r>
    </w:p>
    <w:p w14:paraId="538B8138" w14:textId="77777777" w:rsidR="00412C76" w:rsidRPr="00B80EAA" w:rsidRDefault="00412C76" w:rsidP="00412C76">
      <w:pPr>
        <w:spacing w:line="240" w:lineRule="auto"/>
        <w:ind w:firstLine="284"/>
        <w:rPr>
          <w:rFonts w:ascii="Garamond" w:hAnsi="Garamond"/>
          <w:bCs/>
        </w:rPr>
      </w:pPr>
    </w:p>
    <w:p w14:paraId="29E91557" w14:textId="02842574" w:rsidR="00412C76" w:rsidRPr="00B80EAA" w:rsidRDefault="00412C76" w:rsidP="00412C76">
      <w:pPr>
        <w:spacing w:line="240" w:lineRule="auto"/>
        <w:ind w:firstLine="284"/>
        <w:jc w:val="center"/>
        <w:rPr>
          <w:rFonts w:ascii="Garamond" w:hAnsi="Garamond"/>
          <w:bCs/>
        </w:rPr>
      </w:pPr>
      <w:r w:rsidRPr="00B80EAA">
        <w:rPr>
          <w:rFonts w:ascii="Garamond" w:hAnsi="Garamond"/>
          <w:bCs/>
        </w:rPr>
        <w:t>PËR KËTO ARSYE,</w:t>
      </w:r>
    </w:p>
    <w:p w14:paraId="229D7D41" w14:textId="77777777" w:rsidR="007305BC" w:rsidRPr="00B80EAA" w:rsidRDefault="007305BC" w:rsidP="00412C76">
      <w:pPr>
        <w:spacing w:line="240" w:lineRule="auto"/>
        <w:ind w:firstLine="284"/>
        <w:jc w:val="center"/>
        <w:rPr>
          <w:rFonts w:ascii="Garamond" w:hAnsi="Garamond"/>
        </w:rPr>
      </w:pPr>
    </w:p>
    <w:p w14:paraId="6DE475D5" w14:textId="18FCB800" w:rsidR="00412C76" w:rsidRPr="00B80EAA" w:rsidRDefault="00412C76" w:rsidP="00412C76">
      <w:pPr>
        <w:spacing w:line="240" w:lineRule="auto"/>
        <w:ind w:firstLine="284"/>
        <w:jc w:val="both"/>
        <w:rPr>
          <w:rFonts w:ascii="Garamond" w:hAnsi="Garamond"/>
        </w:rPr>
      </w:pPr>
      <w:r w:rsidRPr="00B80EAA">
        <w:rPr>
          <w:rFonts w:ascii="Garamond" w:hAnsi="Garamond"/>
        </w:rPr>
        <w:t>Gjykata Kushtetuese, në mbështetje të neneve 131, pika 1, shkronja “f” dhe 134, pika 1, shkronja “i”, të Kushtetutës, si dhe neneve 71 dhe 72</w:t>
      </w:r>
      <w:r w:rsidR="00B80EAA">
        <w:rPr>
          <w:rFonts w:ascii="Garamond" w:hAnsi="Garamond"/>
        </w:rPr>
        <w:t>,</w:t>
      </w:r>
      <w:r w:rsidRPr="00B80EAA">
        <w:rPr>
          <w:rFonts w:ascii="Garamond" w:hAnsi="Garamond"/>
        </w:rPr>
        <w:t xml:space="preserve"> të ligjit nr. 8577, datë 10.2.2000</w:t>
      </w:r>
      <w:r w:rsidR="00B80EAA">
        <w:rPr>
          <w:rFonts w:ascii="Garamond" w:hAnsi="Garamond"/>
        </w:rPr>
        <w:t>,</w:t>
      </w:r>
      <w:r w:rsidRPr="00B80EAA">
        <w:rPr>
          <w:rFonts w:ascii="Garamond" w:hAnsi="Garamond"/>
        </w:rPr>
        <w:t xml:space="preserve"> “Për organizimin dhe funksionimin e Gjykatës Kushtetuese të Republikës së Shqipërisë”, të ndryshuar, njëzëri, </w:t>
      </w:r>
    </w:p>
    <w:p w14:paraId="7089544D" w14:textId="77777777" w:rsidR="00412C76" w:rsidRPr="00B80EAA" w:rsidRDefault="00412C76" w:rsidP="00412C76">
      <w:pPr>
        <w:spacing w:line="240" w:lineRule="auto"/>
        <w:ind w:firstLine="284"/>
        <w:jc w:val="both"/>
        <w:rPr>
          <w:rFonts w:ascii="Garamond" w:hAnsi="Garamond"/>
        </w:rPr>
      </w:pPr>
    </w:p>
    <w:p w14:paraId="5F740BC7" w14:textId="4D67A738" w:rsidR="00412C76" w:rsidRPr="00B80EAA" w:rsidRDefault="00412C76" w:rsidP="00412C76">
      <w:pPr>
        <w:spacing w:line="240" w:lineRule="auto"/>
        <w:ind w:firstLine="284"/>
        <w:jc w:val="center"/>
        <w:rPr>
          <w:rFonts w:ascii="Garamond" w:hAnsi="Garamond"/>
          <w:bCs/>
        </w:rPr>
      </w:pPr>
      <w:r w:rsidRPr="00B80EAA">
        <w:rPr>
          <w:rFonts w:ascii="Garamond" w:hAnsi="Garamond"/>
          <w:bCs/>
        </w:rPr>
        <w:t>VENDOSI:</w:t>
      </w:r>
    </w:p>
    <w:p w14:paraId="7D664798" w14:textId="77777777" w:rsidR="007305BC" w:rsidRPr="00B80EAA" w:rsidRDefault="007305BC" w:rsidP="00412C76">
      <w:pPr>
        <w:spacing w:line="240" w:lineRule="auto"/>
        <w:ind w:firstLine="284"/>
        <w:jc w:val="center"/>
        <w:rPr>
          <w:rFonts w:ascii="Garamond" w:hAnsi="Garamond"/>
          <w:b/>
          <w:bCs/>
        </w:rPr>
      </w:pPr>
    </w:p>
    <w:p w14:paraId="01F4AA3D" w14:textId="2333B66E" w:rsidR="00412C76" w:rsidRPr="00B80EAA" w:rsidRDefault="00412C76" w:rsidP="00412C76">
      <w:pPr>
        <w:pStyle w:val="FootnoteText"/>
        <w:tabs>
          <w:tab w:val="left" w:pos="1080"/>
        </w:tabs>
        <w:ind w:firstLine="284"/>
        <w:jc w:val="both"/>
        <w:rPr>
          <w:rFonts w:ascii="Garamond" w:hAnsi="Garamond"/>
          <w:sz w:val="24"/>
          <w:szCs w:val="24"/>
          <w:lang w:val="sq-AL"/>
        </w:rPr>
      </w:pPr>
      <w:r w:rsidRPr="00B80EAA">
        <w:rPr>
          <w:rFonts w:ascii="Garamond" w:hAnsi="Garamond"/>
          <w:sz w:val="24"/>
          <w:szCs w:val="24"/>
          <w:lang w:val="sq-AL"/>
        </w:rPr>
        <w:t>1.</w:t>
      </w:r>
      <w:r w:rsidR="007305BC" w:rsidRPr="00B80EAA">
        <w:rPr>
          <w:rFonts w:ascii="Garamond" w:hAnsi="Garamond"/>
          <w:sz w:val="24"/>
          <w:szCs w:val="24"/>
          <w:lang w:val="sq-AL"/>
        </w:rPr>
        <w:t xml:space="preserve"> </w:t>
      </w:r>
      <w:r w:rsidRPr="00B80EAA">
        <w:rPr>
          <w:rFonts w:ascii="Garamond" w:hAnsi="Garamond"/>
          <w:sz w:val="24"/>
          <w:szCs w:val="24"/>
          <w:lang w:val="sq-AL"/>
        </w:rPr>
        <w:t>Pranimin pjesërisht të kërkesës.</w:t>
      </w:r>
    </w:p>
    <w:p w14:paraId="22338A94" w14:textId="3C7CC36D" w:rsidR="00412C76" w:rsidRPr="00B80EAA" w:rsidRDefault="00412C76" w:rsidP="00412C76">
      <w:pPr>
        <w:pStyle w:val="FootnoteText"/>
        <w:tabs>
          <w:tab w:val="left" w:pos="1080"/>
        </w:tabs>
        <w:ind w:firstLine="284"/>
        <w:jc w:val="both"/>
        <w:rPr>
          <w:rFonts w:ascii="Garamond" w:hAnsi="Garamond"/>
          <w:sz w:val="24"/>
          <w:szCs w:val="24"/>
          <w:lang w:val="sq-AL"/>
        </w:rPr>
      </w:pPr>
      <w:r w:rsidRPr="00B80EAA">
        <w:rPr>
          <w:rFonts w:ascii="Garamond" w:hAnsi="Garamond"/>
          <w:sz w:val="24"/>
          <w:szCs w:val="24"/>
          <w:lang w:val="sq-AL"/>
        </w:rPr>
        <w:t>2.</w:t>
      </w:r>
      <w:r w:rsidR="007305BC" w:rsidRPr="00B80EAA">
        <w:rPr>
          <w:rFonts w:ascii="Garamond" w:hAnsi="Garamond"/>
          <w:sz w:val="24"/>
          <w:szCs w:val="24"/>
          <w:lang w:val="sq-AL"/>
        </w:rPr>
        <w:t xml:space="preserve"> </w:t>
      </w:r>
      <w:r w:rsidRPr="00B80EAA">
        <w:rPr>
          <w:rFonts w:ascii="Garamond" w:hAnsi="Garamond"/>
          <w:sz w:val="24"/>
          <w:szCs w:val="24"/>
          <w:lang w:val="sq-AL"/>
        </w:rPr>
        <w:t>Shfuqizimin e vendimit nr. 00-2024-1447, datë 8.4.2024</w:t>
      </w:r>
      <w:r w:rsidR="00B80EAA">
        <w:rPr>
          <w:rFonts w:ascii="Garamond" w:hAnsi="Garamond"/>
          <w:sz w:val="24"/>
          <w:szCs w:val="24"/>
          <w:lang w:val="sq-AL"/>
        </w:rPr>
        <w:t>,</w:t>
      </w:r>
      <w:r w:rsidRPr="00B80EAA">
        <w:rPr>
          <w:rFonts w:ascii="Garamond" w:hAnsi="Garamond"/>
          <w:sz w:val="24"/>
          <w:szCs w:val="24"/>
          <w:lang w:val="sq-AL"/>
        </w:rPr>
        <w:t xml:space="preserve"> të Kolegjit Administrativ të Gjykatës së Lartë.</w:t>
      </w:r>
    </w:p>
    <w:p w14:paraId="2E580DE3" w14:textId="2E69E419" w:rsidR="00412C76" w:rsidRPr="00B80EAA" w:rsidRDefault="00412C76" w:rsidP="00412C76">
      <w:pPr>
        <w:pStyle w:val="FootnoteText"/>
        <w:tabs>
          <w:tab w:val="left" w:pos="1080"/>
        </w:tabs>
        <w:ind w:firstLine="284"/>
        <w:jc w:val="both"/>
        <w:rPr>
          <w:rFonts w:ascii="Garamond" w:hAnsi="Garamond"/>
          <w:sz w:val="24"/>
          <w:szCs w:val="24"/>
          <w:lang w:val="sq-AL"/>
        </w:rPr>
      </w:pPr>
      <w:r w:rsidRPr="00B80EAA">
        <w:rPr>
          <w:rFonts w:ascii="Garamond" w:hAnsi="Garamond"/>
          <w:sz w:val="24"/>
          <w:szCs w:val="24"/>
          <w:lang w:val="sq-AL"/>
        </w:rPr>
        <w:t>3.</w:t>
      </w:r>
      <w:r w:rsidR="007305BC" w:rsidRPr="00B80EAA">
        <w:rPr>
          <w:rFonts w:ascii="Garamond" w:hAnsi="Garamond"/>
          <w:sz w:val="24"/>
          <w:szCs w:val="24"/>
          <w:lang w:val="sq-AL"/>
        </w:rPr>
        <w:t xml:space="preserve"> </w:t>
      </w:r>
      <w:r w:rsidRPr="00B80EAA">
        <w:rPr>
          <w:rFonts w:ascii="Garamond" w:hAnsi="Garamond"/>
          <w:sz w:val="24"/>
          <w:szCs w:val="24"/>
          <w:lang w:val="sq-AL"/>
        </w:rPr>
        <w:t xml:space="preserve">Dërgimin e çështjes për rishqyrtim në Gjykatën e Lartë. </w:t>
      </w:r>
    </w:p>
    <w:p w14:paraId="031977D7" w14:textId="68EB80CF" w:rsidR="00412C76" w:rsidRPr="00B80EAA" w:rsidRDefault="007305BC" w:rsidP="00412C76">
      <w:pPr>
        <w:pStyle w:val="FootnoteText"/>
        <w:tabs>
          <w:tab w:val="left" w:pos="720"/>
        </w:tabs>
        <w:ind w:firstLine="284"/>
        <w:jc w:val="both"/>
        <w:rPr>
          <w:rFonts w:ascii="Garamond" w:hAnsi="Garamond"/>
          <w:sz w:val="24"/>
          <w:szCs w:val="24"/>
          <w:lang w:val="sq-AL"/>
        </w:rPr>
      </w:pPr>
      <w:r w:rsidRPr="00B80EAA">
        <w:rPr>
          <w:rFonts w:ascii="Garamond" w:hAnsi="Garamond"/>
          <w:sz w:val="24"/>
          <w:szCs w:val="24"/>
          <w:lang w:val="sq-AL"/>
        </w:rPr>
        <w:t xml:space="preserve"> </w:t>
      </w:r>
      <w:r w:rsidR="00412C76" w:rsidRPr="00B80EAA">
        <w:rPr>
          <w:rFonts w:ascii="Garamond" w:hAnsi="Garamond"/>
          <w:sz w:val="24"/>
          <w:szCs w:val="24"/>
          <w:lang w:val="sq-AL"/>
        </w:rPr>
        <w:t>Ky vendim është përfundimtar dhe hyn në fuqi ditën e botimit në Fletoren Zyrtare.</w:t>
      </w:r>
      <w:r w:rsidR="004E0AB7">
        <w:rPr>
          <w:rFonts w:ascii="Garamond" w:hAnsi="Garamond"/>
          <w:sz w:val="24"/>
          <w:szCs w:val="24"/>
          <w:lang w:val="sq-AL"/>
        </w:rPr>
        <w:t xml:space="preserve"> </w:t>
      </w:r>
    </w:p>
    <w:p w14:paraId="03171354" w14:textId="19620697" w:rsidR="00412C76" w:rsidRPr="00B80EAA" w:rsidRDefault="00412C76" w:rsidP="00412C76">
      <w:pPr>
        <w:tabs>
          <w:tab w:val="left" w:pos="0"/>
        </w:tabs>
        <w:spacing w:line="240" w:lineRule="auto"/>
        <w:ind w:firstLine="284"/>
        <w:rPr>
          <w:rFonts w:ascii="Garamond" w:hAnsi="Garamond"/>
          <w:b/>
          <w:bCs/>
        </w:rPr>
      </w:pPr>
      <w:r w:rsidRPr="00B80EAA">
        <w:rPr>
          <w:rFonts w:ascii="Garamond" w:hAnsi="Garamond"/>
          <w:b/>
          <w:bCs/>
        </w:rPr>
        <w:lastRenderedPageBreak/>
        <w:t>Marrë më 13.3.2025</w:t>
      </w:r>
      <w:r w:rsidR="00B80EAA">
        <w:rPr>
          <w:rFonts w:ascii="Garamond" w:hAnsi="Garamond"/>
          <w:b/>
          <w:bCs/>
        </w:rPr>
        <w:t>.</w:t>
      </w:r>
    </w:p>
    <w:p w14:paraId="274D350B" w14:textId="60A38819" w:rsidR="00412C76" w:rsidRPr="00B80EAA" w:rsidRDefault="00412C76" w:rsidP="00412C76">
      <w:pPr>
        <w:spacing w:line="240" w:lineRule="auto"/>
        <w:ind w:firstLine="284"/>
        <w:rPr>
          <w:rFonts w:ascii="Garamond" w:hAnsi="Garamond"/>
          <w:b/>
          <w:bCs/>
        </w:rPr>
      </w:pPr>
      <w:r w:rsidRPr="00B80EAA">
        <w:rPr>
          <w:rFonts w:ascii="Garamond" w:hAnsi="Garamond"/>
          <w:b/>
          <w:bCs/>
        </w:rPr>
        <w:t>Shpallur më 10.4.2025</w:t>
      </w:r>
      <w:r w:rsidR="00B80EAA">
        <w:rPr>
          <w:rFonts w:ascii="Garamond" w:hAnsi="Garamond"/>
          <w:b/>
          <w:bCs/>
        </w:rPr>
        <w:t>.</w:t>
      </w:r>
    </w:p>
    <w:p w14:paraId="57F8A1F5" w14:textId="1C86ED9B" w:rsidR="00412C76" w:rsidRPr="00B80EAA" w:rsidRDefault="00412C76" w:rsidP="00412C76">
      <w:pPr>
        <w:spacing w:line="240" w:lineRule="auto"/>
        <w:ind w:firstLine="284"/>
        <w:rPr>
          <w:rFonts w:ascii="Garamond" w:hAnsi="Garamond"/>
        </w:rPr>
      </w:pPr>
    </w:p>
    <w:p w14:paraId="1AA07DA8" w14:textId="7124382B" w:rsidR="00BB7602" w:rsidRPr="00B80EAA" w:rsidRDefault="00BB7602" w:rsidP="00412C76">
      <w:pPr>
        <w:spacing w:line="240" w:lineRule="auto"/>
        <w:ind w:firstLine="284"/>
        <w:rPr>
          <w:rFonts w:ascii="Garamond" w:hAnsi="Garamond"/>
        </w:rPr>
      </w:pPr>
      <w:r w:rsidRPr="00B80EAA">
        <w:rPr>
          <w:rFonts w:ascii="Garamond" w:hAnsi="Garamond"/>
          <w:b/>
        </w:rPr>
        <w:t>Kryetare</w:t>
      </w:r>
      <w:r w:rsidRPr="00B80EAA">
        <w:rPr>
          <w:rFonts w:ascii="Garamond" w:hAnsi="Garamond"/>
        </w:rPr>
        <w:t xml:space="preserve">: </w:t>
      </w:r>
      <w:proofErr w:type="spellStart"/>
      <w:r w:rsidRPr="00B80EAA">
        <w:rPr>
          <w:rFonts w:ascii="Garamond" w:hAnsi="Garamond"/>
        </w:rPr>
        <w:t>Holta</w:t>
      </w:r>
      <w:proofErr w:type="spellEnd"/>
      <w:r w:rsidRPr="00B80EAA">
        <w:rPr>
          <w:rFonts w:ascii="Garamond" w:hAnsi="Garamond"/>
        </w:rPr>
        <w:t xml:space="preserve"> </w:t>
      </w:r>
      <w:proofErr w:type="spellStart"/>
      <w:r w:rsidRPr="00B80EAA">
        <w:rPr>
          <w:rFonts w:ascii="Garamond" w:hAnsi="Garamond"/>
        </w:rPr>
        <w:t>Zaçaj</w:t>
      </w:r>
      <w:proofErr w:type="spellEnd"/>
    </w:p>
    <w:p w14:paraId="223BB332" w14:textId="3DC47A2E" w:rsidR="00412C76" w:rsidRPr="00B80EAA" w:rsidRDefault="00BB7602" w:rsidP="00BB7602">
      <w:pPr>
        <w:tabs>
          <w:tab w:val="left" w:pos="0"/>
        </w:tabs>
        <w:spacing w:line="240" w:lineRule="auto"/>
        <w:ind w:firstLine="284"/>
        <w:rPr>
          <w:rFonts w:ascii="Garamond" w:hAnsi="Garamond"/>
          <w:bCs/>
        </w:rPr>
      </w:pPr>
      <w:r w:rsidRPr="00B80EAA">
        <w:rPr>
          <w:rFonts w:ascii="Garamond" w:hAnsi="Garamond"/>
          <w:b/>
          <w:bCs/>
        </w:rPr>
        <w:t>Anëtare</w:t>
      </w:r>
      <w:r w:rsidRPr="00B80EAA">
        <w:rPr>
          <w:rFonts w:ascii="Garamond" w:hAnsi="Garamond"/>
          <w:bCs/>
        </w:rPr>
        <w:t>:</w:t>
      </w:r>
      <w:r w:rsidR="004E0AB7">
        <w:rPr>
          <w:rFonts w:ascii="Garamond" w:hAnsi="Garamond"/>
          <w:bCs/>
        </w:rPr>
        <w:t xml:space="preserve"> </w:t>
      </w:r>
      <w:proofErr w:type="spellStart"/>
      <w:r w:rsidR="00412C76" w:rsidRPr="00B80EAA">
        <w:rPr>
          <w:rFonts w:ascii="Garamond" w:hAnsi="Garamond"/>
          <w:bCs/>
        </w:rPr>
        <w:t>Sonila</w:t>
      </w:r>
      <w:proofErr w:type="spellEnd"/>
      <w:r w:rsidR="00412C76" w:rsidRPr="00B80EAA">
        <w:rPr>
          <w:rFonts w:ascii="Garamond" w:hAnsi="Garamond"/>
          <w:bCs/>
        </w:rPr>
        <w:t xml:space="preserve"> Bejtja</w:t>
      </w:r>
      <w:r w:rsidRPr="00B80EAA">
        <w:rPr>
          <w:rFonts w:ascii="Garamond" w:hAnsi="Garamond"/>
          <w:bCs/>
        </w:rPr>
        <w:t xml:space="preserve">. </w:t>
      </w:r>
      <w:proofErr w:type="spellStart"/>
      <w:r w:rsidR="00412C76" w:rsidRPr="00B80EAA">
        <w:rPr>
          <w:rFonts w:ascii="Garamond" w:hAnsi="Garamond"/>
          <w:bCs/>
        </w:rPr>
        <w:t>Fiona</w:t>
      </w:r>
      <w:proofErr w:type="spellEnd"/>
      <w:r w:rsidR="00412C76" w:rsidRPr="00B80EAA">
        <w:rPr>
          <w:rFonts w:ascii="Garamond" w:hAnsi="Garamond"/>
          <w:bCs/>
        </w:rPr>
        <w:t xml:space="preserve"> </w:t>
      </w:r>
      <w:proofErr w:type="spellStart"/>
      <w:r w:rsidR="00412C76" w:rsidRPr="00B80EAA">
        <w:rPr>
          <w:rFonts w:ascii="Garamond" w:hAnsi="Garamond"/>
          <w:bCs/>
        </w:rPr>
        <w:t>Papajorgji</w:t>
      </w:r>
      <w:proofErr w:type="spellEnd"/>
      <w:r w:rsidRPr="00B80EAA">
        <w:rPr>
          <w:rFonts w:ascii="Garamond" w:hAnsi="Garamond"/>
          <w:bCs/>
        </w:rPr>
        <w:t xml:space="preserve">, </w:t>
      </w:r>
      <w:r w:rsidR="00412C76" w:rsidRPr="00B80EAA">
        <w:rPr>
          <w:rFonts w:ascii="Garamond" w:hAnsi="Garamond"/>
          <w:bCs/>
        </w:rPr>
        <w:t>Genti Ibrahimi</w:t>
      </w:r>
      <w:r w:rsidRPr="00B80EAA">
        <w:rPr>
          <w:rFonts w:ascii="Garamond" w:hAnsi="Garamond"/>
          <w:bCs/>
        </w:rPr>
        <w:t xml:space="preserve">, </w:t>
      </w:r>
      <w:r w:rsidR="00412C76" w:rsidRPr="00B80EAA">
        <w:rPr>
          <w:rFonts w:ascii="Garamond" w:hAnsi="Garamond"/>
          <w:bCs/>
        </w:rPr>
        <w:t>Ilir Toska</w:t>
      </w:r>
      <w:r w:rsidRPr="00B80EAA">
        <w:rPr>
          <w:rFonts w:ascii="Garamond" w:hAnsi="Garamond"/>
          <w:bCs/>
        </w:rPr>
        <w:t xml:space="preserve">, </w:t>
      </w:r>
      <w:proofErr w:type="spellStart"/>
      <w:r w:rsidR="00412C76" w:rsidRPr="00B80EAA">
        <w:rPr>
          <w:rFonts w:ascii="Garamond" w:hAnsi="Garamond"/>
          <w:bCs/>
        </w:rPr>
        <w:t>Sandër</w:t>
      </w:r>
      <w:proofErr w:type="spellEnd"/>
      <w:r w:rsidR="00412C76" w:rsidRPr="00B80EAA">
        <w:rPr>
          <w:rFonts w:ascii="Garamond" w:hAnsi="Garamond"/>
          <w:bCs/>
        </w:rPr>
        <w:t xml:space="preserve"> Beci</w:t>
      </w:r>
      <w:r w:rsidRPr="00B80EAA">
        <w:rPr>
          <w:rFonts w:ascii="Garamond" w:hAnsi="Garamond"/>
          <w:bCs/>
        </w:rPr>
        <w:t xml:space="preserve">, </w:t>
      </w:r>
      <w:proofErr w:type="spellStart"/>
      <w:r w:rsidR="00412C76" w:rsidRPr="00B80EAA">
        <w:rPr>
          <w:rFonts w:ascii="Garamond" w:hAnsi="Garamond"/>
          <w:bCs/>
        </w:rPr>
        <w:t>Marsida</w:t>
      </w:r>
      <w:proofErr w:type="spellEnd"/>
      <w:r w:rsidR="00412C76" w:rsidRPr="00B80EAA">
        <w:rPr>
          <w:rFonts w:ascii="Garamond" w:hAnsi="Garamond"/>
          <w:bCs/>
        </w:rPr>
        <w:t xml:space="preserve"> </w:t>
      </w:r>
      <w:proofErr w:type="spellStart"/>
      <w:r w:rsidR="00412C76" w:rsidRPr="00B80EAA">
        <w:rPr>
          <w:rFonts w:ascii="Garamond" w:hAnsi="Garamond"/>
          <w:bCs/>
        </w:rPr>
        <w:t>Xhaferllari</w:t>
      </w:r>
      <w:proofErr w:type="spellEnd"/>
      <w:r w:rsidRPr="00B80EAA">
        <w:rPr>
          <w:rFonts w:ascii="Garamond" w:hAnsi="Garamond"/>
          <w:bCs/>
        </w:rPr>
        <w:t xml:space="preserve">, </w:t>
      </w:r>
      <w:proofErr w:type="spellStart"/>
      <w:r w:rsidR="00412C76" w:rsidRPr="00B80EAA">
        <w:rPr>
          <w:rFonts w:ascii="Garamond" w:hAnsi="Garamond"/>
          <w:bCs/>
        </w:rPr>
        <w:t>Marjana</w:t>
      </w:r>
      <w:proofErr w:type="spellEnd"/>
      <w:r w:rsidR="00412C76" w:rsidRPr="00B80EAA">
        <w:rPr>
          <w:rFonts w:ascii="Garamond" w:hAnsi="Garamond"/>
          <w:bCs/>
        </w:rPr>
        <w:t xml:space="preserve"> </w:t>
      </w:r>
      <w:proofErr w:type="spellStart"/>
      <w:r w:rsidR="00412C76" w:rsidRPr="00B80EAA">
        <w:rPr>
          <w:rFonts w:ascii="Garamond" w:hAnsi="Garamond"/>
          <w:bCs/>
        </w:rPr>
        <w:t>Semini</w:t>
      </w:r>
      <w:proofErr w:type="spellEnd"/>
      <w:r w:rsidR="007305BC" w:rsidRPr="00B80EAA">
        <w:rPr>
          <w:rFonts w:ascii="Garamond" w:hAnsi="Garamond"/>
          <w:bCs/>
        </w:rPr>
        <w:t xml:space="preserve"> </w:t>
      </w:r>
    </w:p>
    <w:p w14:paraId="675649DF" w14:textId="77777777" w:rsidR="00412C76" w:rsidRPr="00B80EAA" w:rsidRDefault="00412C76" w:rsidP="00412C76">
      <w:pPr>
        <w:tabs>
          <w:tab w:val="left" w:pos="0"/>
        </w:tabs>
        <w:spacing w:line="240" w:lineRule="auto"/>
        <w:ind w:firstLine="284"/>
        <w:rPr>
          <w:rFonts w:ascii="Garamond" w:hAnsi="Garamond"/>
        </w:rPr>
      </w:pPr>
    </w:p>
    <w:p w14:paraId="745CDF81" w14:textId="77777777" w:rsidR="00412C76" w:rsidRPr="00B80EAA" w:rsidRDefault="00412C76" w:rsidP="00412C76">
      <w:pPr>
        <w:tabs>
          <w:tab w:val="left" w:pos="0"/>
        </w:tabs>
        <w:spacing w:line="240" w:lineRule="auto"/>
        <w:ind w:firstLine="284"/>
        <w:rPr>
          <w:rFonts w:ascii="Garamond" w:hAnsi="Garamond"/>
        </w:rPr>
      </w:pPr>
    </w:p>
    <w:p w14:paraId="06694760" w14:textId="77777777" w:rsidR="005038C5" w:rsidRPr="00B80EAA" w:rsidRDefault="005038C5" w:rsidP="00412C76">
      <w:pPr>
        <w:spacing w:line="240" w:lineRule="auto"/>
        <w:ind w:firstLine="284"/>
        <w:rPr>
          <w:rFonts w:ascii="Garamond" w:hAnsi="Garamond"/>
        </w:rPr>
      </w:pPr>
    </w:p>
    <w:sectPr w:rsidR="005038C5" w:rsidRPr="00B80EAA" w:rsidSect="00B80EAA">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76950E" w16cex:dateUtc="2025-04-08T19:54:00Z"/>
  <w16cex:commentExtensible w16cex:durableId="0A4FA984" w16cex:dateUtc="2025-04-08T19:58:00Z"/>
  <w16cex:commentExtensible w16cex:durableId="555119CC" w16cex:dateUtc="2025-04-08T19:58:00Z"/>
  <w16cex:commentExtensible w16cex:durableId="44069252" w16cex:dateUtc="2025-04-08T20:13:00Z"/>
  <w16cex:commentExtensible w16cex:durableId="45D0B8F4" w16cex:dateUtc="2025-04-08T20:1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B34836" w14:textId="77777777" w:rsidR="00B80EAA" w:rsidRDefault="00B80EAA" w:rsidP="00F858EA">
      <w:pPr>
        <w:spacing w:line="240" w:lineRule="auto"/>
      </w:pPr>
      <w:r>
        <w:separator/>
      </w:r>
    </w:p>
  </w:endnote>
  <w:endnote w:type="continuationSeparator" w:id="0">
    <w:p w14:paraId="697C0BF9" w14:textId="77777777" w:rsidR="00B80EAA" w:rsidRDefault="00B80EAA" w:rsidP="00F858EA">
      <w:pPr>
        <w:spacing w:line="240" w:lineRule="auto"/>
      </w:pPr>
      <w:r>
        <w:continuationSeparator/>
      </w:r>
    </w:p>
  </w:endnote>
  <w:endnote w:type="continuationNotice" w:id="1">
    <w:p w14:paraId="0B89A958" w14:textId="77777777" w:rsidR="00B80EAA" w:rsidRDefault="00B80EA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0D189B" w14:textId="77777777" w:rsidR="00B80EAA" w:rsidRDefault="00B80EAA" w:rsidP="00F858EA">
      <w:pPr>
        <w:spacing w:line="240" w:lineRule="auto"/>
      </w:pPr>
      <w:r>
        <w:separator/>
      </w:r>
    </w:p>
  </w:footnote>
  <w:footnote w:type="continuationSeparator" w:id="0">
    <w:p w14:paraId="2FA8EC20" w14:textId="77777777" w:rsidR="00B80EAA" w:rsidRDefault="00B80EAA" w:rsidP="00F858EA">
      <w:pPr>
        <w:spacing w:line="240" w:lineRule="auto"/>
      </w:pPr>
      <w:r>
        <w:continuationSeparator/>
      </w:r>
    </w:p>
  </w:footnote>
  <w:footnote w:type="continuationNotice" w:id="1">
    <w:p w14:paraId="40C2836E" w14:textId="77777777" w:rsidR="00B80EAA" w:rsidRDefault="00B80EA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2196CF46"/>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1D877F2"/>
    <w:multiLevelType w:val="multilevel"/>
    <w:tmpl w:val="F0662054"/>
    <w:lvl w:ilvl="0">
      <w:start w:val="5"/>
      <w:numFmt w:val="decimal"/>
      <w:lvlText w:val="%1."/>
      <w:lvlJc w:val="left"/>
      <w:pPr>
        <w:ind w:left="360" w:hanging="360"/>
      </w:pPr>
      <w:rPr>
        <w:rFonts w:hint="default"/>
        <w:b w:val="0"/>
        <w:i w:val="0"/>
        <w:color w:val="auto"/>
      </w:rPr>
    </w:lvl>
    <w:lvl w:ilvl="1">
      <w:start w:val="1"/>
      <w:numFmt w:val="decimal"/>
      <w:lvlText w:val="%1.%2."/>
      <w:lvlJc w:val="left"/>
      <w:pPr>
        <w:ind w:left="1494" w:hanging="360"/>
      </w:pPr>
      <w:rPr>
        <w:rFonts w:hint="default"/>
        <w:i w:val="0"/>
        <w:color w:val="auto"/>
      </w:rPr>
    </w:lvl>
    <w:lvl w:ilvl="2">
      <w:start w:val="1"/>
      <w:numFmt w:val="decimal"/>
      <w:lvlText w:val="%1.%2.%3."/>
      <w:lvlJc w:val="left"/>
      <w:pPr>
        <w:ind w:left="2988" w:hanging="720"/>
      </w:pPr>
      <w:rPr>
        <w:rFonts w:hint="default"/>
        <w:i/>
        <w:color w:val="auto"/>
      </w:rPr>
    </w:lvl>
    <w:lvl w:ilvl="3">
      <w:start w:val="1"/>
      <w:numFmt w:val="decimal"/>
      <w:lvlText w:val="%1.%2.%3.%4."/>
      <w:lvlJc w:val="left"/>
      <w:pPr>
        <w:ind w:left="4122" w:hanging="720"/>
      </w:pPr>
      <w:rPr>
        <w:rFonts w:hint="default"/>
        <w:i/>
        <w:color w:val="auto"/>
      </w:rPr>
    </w:lvl>
    <w:lvl w:ilvl="4">
      <w:start w:val="1"/>
      <w:numFmt w:val="decimal"/>
      <w:lvlText w:val="%1.%2.%3.%4.%5."/>
      <w:lvlJc w:val="left"/>
      <w:pPr>
        <w:ind w:left="5616" w:hanging="1080"/>
      </w:pPr>
      <w:rPr>
        <w:rFonts w:hint="default"/>
        <w:i/>
        <w:color w:val="auto"/>
      </w:rPr>
    </w:lvl>
    <w:lvl w:ilvl="5">
      <w:start w:val="1"/>
      <w:numFmt w:val="decimal"/>
      <w:lvlText w:val="%1.%2.%3.%4.%5.%6."/>
      <w:lvlJc w:val="left"/>
      <w:pPr>
        <w:ind w:left="6750" w:hanging="1080"/>
      </w:pPr>
      <w:rPr>
        <w:rFonts w:hint="default"/>
        <w:i/>
        <w:color w:val="auto"/>
      </w:rPr>
    </w:lvl>
    <w:lvl w:ilvl="6">
      <w:start w:val="1"/>
      <w:numFmt w:val="decimal"/>
      <w:lvlText w:val="%1.%2.%3.%4.%5.%6.%7."/>
      <w:lvlJc w:val="left"/>
      <w:pPr>
        <w:ind w:left="8244" w:hanging="1440"/>
      </w:pPr>
      <w:rPr>
        <w:rFonts w:hint="default"/>
        <w:i/>
        <w:color w:val="auto"/>
      </w:rPr>
    </w:lvl>
    <w:lvl w:ilvl="7">
      <w:start w:val="1"/>
      <w:numFmt w:val="decimal"/>
      <w:lvlText w:val="%1.%2.%3.%4.%5.%6.%7.%8."/>
      <w:lvlJc w:val="left"/>
      <w:pPr>
        <w:ind w:left="9378" w:hanging="1440"/>
      </w:pPr>
      <w:rPr>
        <w:rFonts w:hint="default"/>
        <w:i/>
        <w:color w:val="auto"/>
      </w:rPr>
    </w:lvl>
    <w:lvl w:ilvl="8">
      <w:start w:val="1"/>
      <w:numFmt w:val="decimal"/>
      <w:lvlText w:val="%1.%2.%3.%4.%5.%6.%7.%8.%9."/>
      <w:lvlJc w:val="left"/>
      <w:pPr>
        <w:ind w:left="10872" w:hanging="1800"/>
      </w:pPr>
      <w:rPr>
        <w:rFonts w:hint="default"/>
        <w:i/>
        <w:color w:val="auto"/>
      </w:rPr>
    </w:lvl>
  </w:abstractNum>
  <w:abstractNum w:abstractNumId="2" w15:restartNumberingAfterBreak="0">
    <w:nsid w:val="02534E64"/>
    <w:multiLevelType w:val="multilevel"/>
    <w:tmpl w:val="C5002278"/>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sz w:val="24"/>
        <w:szCs w:val="24"/>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 w15:restartNumberingAfterBreak="0">
    <w:nsid w:val="048F2261"/>
    <w:multiLevelType w:val="multilevel"/>
    <w:tmpl w:val="C8FE6436"/>
    <w:numStyleLink w:val="ECHRA1StyleList"/>
  </w:abstractNum>
  <w:abstractNum w:abstractNumId="4" w15:restartNumberingAfterBreak="0">
    <w:nsid w:val="07AE3EDB"/>
    <w:multiLevelType w:val="hybridMultilevel"/>
    <w:tmpl w:val="C9405668"/>
    <w:lvl w:ilvl="0" w:tplc="3FB08E6A">
      <w:start w:val="1"/>
      <w:numFmt w:val="decimal"/>
      <w:lvlText w:val="%1."/>
      <w:lvlJc w:val="left"/>
      <w:pPr>
        <w:ind w:left="108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590209"/>
    <w:multiLevelType w:val="multilevel"/>
    <w:tmpl w:val="37E242C8"/>
    <w:lvl w:ilvl="0">
      <w:start w:val="9"/>
      <w:numFmt w:val="decimal"/>
      <w:lvlText w:val="%1."/>
      <w:lvlJc w:val="left"/>
      <w:pPr>
        <w:ind w:left="495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6" w15:restartNumberingAfterBreak="0">
    <w:nsid w:val="1284112F"/>
    <w:multiLevelType w:val="multilevel"/>
    <w:tmpl w:val="2FBC9D36"/>
    <w:lvl w:ilvl="0">
      <w:start w:val="5"/>
      <w:numFmt w:val="decimal"/>
      <w:lvlText w:val="%1."/>
      <w:lvlJc w:val="left"/>
      <w:pPr>
        <w:ind w:left="360" w:hanging="360"/>
      </w:pPr>
      <w:rPr>
        <w:rFonts w:hint="default"/>
        <w:b w:val="0"/>
        <w:i w:val="0"/>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19370784"/>
    <w:multiLevelType w:val="multilevel"/>
    <w:tmpl w:val="266088B4"/>
    <w:lvl w:ilvl="0">
      <w:start w:val="6"/>
      <w:numFmt w:val="decimal"/>
      <w:lvlText w:val="%1."/>
      <w:lvlJc w:val="left"/>
      <w:pPr>
        <w:ind w:left="5039" w:hanging="360"/>
      </w:pPr>
      <w:rPr>
        <w:rFonts w:hint="default"/>
        <w:b w:val="0"/>
        <w:i w:val="0"/>
        <w:color w:val="auto"/>
      </w:rPr>
    </w:lvl>
    <w:lvl w:ilvl="1">
      <w:start w:val="1"/>
      <w:numFmt w:val="decimal"/>
      <w:lvlText w:val="%1.%2."/>
      <w:lvlJc w:val="left"/>
      <w:pPr>
        <w:ind w:left="1080" w:hanging="360"/>
      </w:pPr>
      <w:rPr>
        <w:rFonts w:hint="default"/>
        <w:b w:val="0"/>
        <w:i w:val="0"/>
        <w:color w:val="auto"/>
      </w:rPr>
    </w:lvl>
    <w:lvl w:ilvl="2">
      <w:start w:val="1"/>
      <w:numFmt w:val="decimal"/>
      <w:lvlText w:val="%1.%2.%3."/>
      <w:lvlJc w:val="left"/>
      <w:pPr>
        <w:ind w:left="2160" w:hanging="720"/>
      </w:pPr>
      <w:rPr>
        <w:rFonts w:hint="default"/>
        <w:b w:val="0"/>
        <w:i w:val="0"/>
        <w:color w:val="auto"/>
      </w:rPr>
    </w:lvl>
    <w:lvl w:ilvl="3">
      <w:start w:val="1"/>
      <w:numFmt w:val="decimal"/>
      <w:lvlText w:val="%1.%2.%3.%4."/>
      <w:lvlJc w:val="left"/>
      <w:pPr>
        <w:ind w:left="2880" w:hanging="720"/>
      </w:pPr>
      <w:rPr>
        <w:rFonts w:hint="default"/>
        <w:b/>
        <w:i/>
        <w:color w:val="auto"/>
      </w:rPr>
    </w:lvl>
    <w:lvl w:ilvl="4">
      <w:start w:val="1"/>
      <w:numFmt w:val="decimal"/>
      <w:lvlText w:val="%1.%2.%3.%4.%5."/>
      <w:lvlJc w:val="left"/>
      <w:pPr>
        <w:ind w:left="3960" w:hanging="1080"/>
      </w:pPr>
      <w:rPr>
        <w:rFonts w:hint="default"/>
        <w:b/>
        <w:i/>
        <w:color w:val="auto"/>
      </w:rPr>
    </w:lvl>
    <w:lvl w:ilvl="5">
      <w:start w:val="1"/>
      <w:numFmt w:val="decimal"/>
      <w:lvlText w:val="%1.%2.%3.%4.%5.%6."/>
      <w:lvlJc w:val="left"/>
      <w:pPr>
        <w:ind w:left="4680" w:hanging="1080"/>
      </w:pPr>
      <w:rPr>
        <w:rFonts w:hint="default"/>
        <w:b/>
        <w:i/>
        <w:color w:val="auto"/>
      </w:rPr>
    </w:lvl>
    <w:lvl w:ilvl="6">
      <w:start w:val="1"/>
      <w:numFmt w:val="decimal"/>
      <w:lvlText w:val="%1.%2.%3.%4.%5.%6.%7."/>
      <w:lvlJc w:val="left"/>
      <w:pPr>
        <w:ind w:left="5760" w:hanging="1440"/>
      </w:pPr>
      <w:rPr>
        <w:rFonts w:hint="default"/>
        <w:b/>
        <w:i/>
        <w:color w:val="auto"/>
      </w:rPr>
    </w:lvl>
    <w:lvl w:ilvl="7">
      <w:start w:val="1"/>
      <w:numFmt w:val="decimal"/>
      <w:lvlText w:val="%1.%2.%3.%4.%5.%6.%7.%8."/>
      <w:lvlJc w:val="left"/>
      <w:pPr>
        <w:ind w:left="6480" w:hanging="1440"/>
      </w:pPr>
      <w:rPr>
        <w:rFonts w:hint="default"/>
        <w:b/>
        <w:i/>
        <w:color w:val="auto"/>
      </w:rPr>
    </w:lvl>
    <w:lvl w:ilvl="8">
      <w:start w:val="1"/>
      <w:numFmt w:val="decimal"/>
      <w:lvlText w:val="%1.%2.%3.%4.%5.%6.%7.%8.%9."/>
      <w:lvlJc w:val="left"/>
      <w:pPr>
        <w:ind w:left="7560" w:hanging="1800"/>
      </w:pPr>
      <w:rPr>
        <w:rFonts w:hint="default"/>
        <w:b/>
        <w:i/>
        <w:color w:val="auto"/>
      </w:rPr>
    </w:lvl>
  </w:abstractNum>
  <w:abstractNum w:abstractNumId="8" w15:restartNumberingAfterBreak="0">
    <w:nsid w:val="1ABA18B7"/>
    <w:multiLevelType w:val="hybridMultilevel"/>
    <w:tmpl w:val="3DBA7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6C4D7F"/>
    <w:multiLevelType w:val="multilevel"/>
    <w:tmpl w:val="2FE02A3C"/>
    <w:lvl w:ilvl="0">
      <w:start w:val="6"/>
      <w:numFmt w:val="decimal"/>
      <w:lvlText w:val="%1."/>
      <w:lvlJc w:val="left"/>
      <w:pPr>
        <w:ind w:left="54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0" w15:restartNumberingAfterBreak="0">
    <w:nsid w:val="20104AFD"/>
    <w:multiLevelType w:val="multilevel"/>
    <w:tmpl w:val="6F322CE4"/>
    <w:lvl w:ilvl="0">
      <w:start w:val="8"/>
      <w:numFmt w:val="decimal"/>
      <w:lvlText w:val="%1."/>
      <w:lvlJc w:val="left"/>
      <w:pPr>
        <w:ind w:left="360" w:hanging="360"/>
      </w:pPr>
      <w:rPr>
        <w:rFonts w:eastAsia="MS Mincho" w:hint="default"/>
        <w:b/>
        <w:i/>
        <w:color w:val="auto"/>
      </w:rPr>
    </w:lvl>
    <w:lvl w:ilvl="1">
      <w:start w:val="1"/>
      <w:numFmt w:val="decimal"/>
      <w:lvlText w:val="%1.%2."/>
      <w:lvlJc w:val="left"/>
      <w:pPr>
        <w:ind w:left="927" w:hanging="360"/>
      </w:pPr>
      <w:rPr>
        <w:rFonts w:eastAsia="MS Mincho" w:hint="default"/>
        <w:b w:val="0"/>
        <w:i w:val="0"/>
        <w:color w:val="auto"/>
      </w:rPr>
    </w:lvl>
    <w:lvl w:ilvl="2">
      <w:start w:val="1"/>
      <w:numFmt w:val="decimal"/>
      <w:lvlText w:val="%1.%2.%3."/>
      <w:lvlJc w:val="left"/>
      <w:pPr>
        <w:ind w:left="1854" w:hanging="720"/>
      </w:pPr>
      <w:rPr>
        <w:rFonts w:eastAsia="MS Mincho" w:hint="default"/>
        <w:b w:val="0"/>
        <w:i w:val="0"/>
        <w:color w:val="auto"/>
      </w:rPr>
    </w:lvl>
    <w:lvl w:ilvl="3">
      <w:start w:val="1"/>
      <w:numFmt w:val="decimal"/>
      <w:lvlText w:val="%1.%2.%3.%4."/>
      <w:lvlJc w:val="left"/>
      <w:pPr>
        <w:ind w:left="2421" w:hanging="720"/>
      </w:pPr>
      <w:rPr>
        <w:rFonts w:eastAsia="MS Mincho" w:hint="default"/>
        <w:b/>
        <w:i/>
        <w:color w:val="auto"/>
      </w:rPr>
    </w:lvl>
    <w:lvl w:ilvl="4">
      <w:start w:val="1"/>
      <w:numFmt w:val="decimal"/>
      <w:lvlText w:val="%1.%2.%3.%4.%5."/>
      <w:lvlJc w:val="left"/>
      <w:pPr>
        <w:ind w:left="3348" w:hanging="1080"/>
      </w:pPr>
      <w:rPr>
        <w:rFonts w:eastAsia="MS Mincho" w:hint="default"/>
        <w:b/>
        <w:i/>
        <w:color w:val="auto"/>
      </w:rPr>
    </w:lvl>
    <w:lvl w:ilvl="5">
      <w:start w:val="1"/>
      <w:numFmt w:val="decimal"/>
      <w:lvlText w:val="%1.%2.%3.%4.%5.%6."/>
      <w:lvlJc w:val="left"/>
      <w:pPr>
        <w:ind w:left="3915" w:hanging="1080"/>
      </w:pPr>
      <w:rPr>
        <w:rFonts w:eastAsia="MS Mincho" w:hint="default"/>
        <w:b/>
        <w:i/>
        <w:color w:val="auto"/>
      </w:rPr>
    </w:lvl>
    <w:lvl w:ilvl="6">
      <w:start w:val="1"/>
      <w:numFmt w:val="decimal"/>
      <w:lvlText w:val="%1.%2.%3.%4.%5.%6.%7."/>
      <w:lvlJc w:val="left"/>
      <w:pPr>
        <w:ind w:left="4842" w:hanging="1440"/>
      </w:pPr>
      <w:rPr>
        <w:rFonts w:eastAsia="MS Mincho" w:hint="default"/>
        <w:b/>
        <w:i/>
        <w:color w:val="auto"/>
      </w:rPr>
    </w:lvl>
    <w:lvl w:ilvl="7">
      <w:start w:val="1"/>
      <w:numFmt w:val="decimal"/>
      <w:lvlText w:val="%1.%2.%3.%4.%5.%6.%7.%8."/>
      <w:lvlJc w:val="left"/>
      <w:pPr>
        <w:ind w:left="5409" w:hanging="1440"/>
      </w:pPr>
      <w:rPr>
        <w:rFonts w:eastAsia="MS Mincho" w:hint="default"/>
        <w:b/>
        <w:i/>
        <w:color w:val="auto"/>
      </w:rPr>
    </w:lvl>
    <w:lvl w:ilvl="8">
      <w:start w:val="1"/>
      <w:numFmt w:val="decimal"/>
      <w:lvlText w:val="%1.%2.%3.%4.%5.%6.%7.%8.%9."/>
      <w:lvlJc w:val="left"/>
      <w:pPr>
        <w:ind w:left="6336" w:hanging="1800"/>
      </w:pPr>
      <w:rPr>
        <w:rFonts w:eastAsia="MS Mincho" w:hint="default"/>
        <w:b/>
        <w:i/>
        <w:color w:val="auto"/>
      </w:rPr>
    </w:lvl>
  </w:abstractNum>
  <w:abstractNum w:abstractNumId="11" w15:restartNumberingAfterBreak="0">
    <w:nsid w:val="2083012F"/>
    <w:multiLevelType w:val="hybridMultilevel"/>
    <w:tmpl w:val="DF90572C"/>
    <w:lvl w:ilvl="0" w:tplc="9B66419A">
      <w:start w:val="1"/>
      <w:numFmt w:val="upperLetter"/>
      <w:lvlText w:val="%1."/>
      <w:lvlJc w:val="left"/>
      <w:pPr>
        <w:ind w:left="900" w:hanging="360"/>
      </w:pPr>
      <w:rPr>
        <w:rFonts w:hint="default"/>
        <w:i/>
      </w:rPr>
    </w:lvl>
    <w:lvl w:ilvl="1" w:tplc="AC7200E0">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4E06498"/>
    <w:multiLevelType w:val="multilevel"/>
    <w:tmpl w:val="B6661B44"/>
    <w:lvl w:ilvl="0">
      <w:start w:val="1"/>
      <w:numFmt w:val="decimal"/>
      <w:lvlText w:val="%1."/>
      <w:lvlJc w:val="left"/>
      <w:pPr>
        <w:ind w:left="2035" w:hanging="360"/>
      </w:pPr>
      <w:rPr>
        <w:rFonts w:hint="default"/>
        <w:b w:val="0"/>
        <w:i w:val="0"/>
        <w:iCs/>
      </w:rPr>
    </w:lvl>
    <w:lvl w:ilvl="1">
      <w:start w:val="1"/>
      <w:numFmt w:val="decimal"/>
      <w:isLgl/>
      <w:lvlText w:val="%1.%2"/>
      <w:lvlJc w:val="left"/>
      <w:pPr>
        <w:ind w:left="2035" w:hanging="360"/>
      </w:pPr>
      <w:rPr>
        <w:rFonts w:eastAsia="MS Mincho" w:hint="default"/>
        <w:i/>
        <w:color w:val="auto"/>
      </w:rPr>
    </w:lvl>
    <w:lvl w:ilvl="2">
      <w:start w:val="1"/>
      <w:numFmt w:val="decimal"/>
      <w:isLgl/>
      <w:lvlText w:val="%1.%2.%3"/>
      <w:lvlJc w:val="left"/>
      <w:pPr>
        <w:ind w:left="2395" w:hanging="720"/>
      </w:pPr>
      <w:rPr>
        <w:rFonts w:eastAsia="MS Mincho" w:hint="default"/>
        <w:i w:val="0"/>
        <w:color w:val="auto"/>
      </w:rPr>
    </w:lvl>
    <w:lvl w:ilvl="3">
      <w:start w:val="1"/>
      <w:numFmt w:val="decimal"/>
      <w:isLgl/>
      <w:lvlText w:val="%1.%2.%3.%4"/>
      <w:lvlJc w:val="left"/>
      <w:pPr>
        <w:ind w:left="2395" w:hanging="720"/>
      </w:pPr>
      <w:rPr>
        <w:rFonts w:eastAsia="MS Mincho" w:hint="default"/>
        <w:i/>
        <w:color w:val="auto"/>
      </w:rPr>
    </w:lvl>
    <w:lvl w:ilvl="4">
      <w:start w:val="1"/>
      <w:numFmt w:val="decimal"/>
      <w:isLgl/>
      <w:lvlText w:val="%1.%2.%3.%4.%5"/>
      <w:lvlJc w:val="left"/>
      <w:pPr>
        <w:ind w:left="2755" w:hanging="1080"/>
      </w:pPr>
      <w:rPr>
        <w:rFonts w:eastAsia="MS Mincho" w:hint="default"/>
        <w:i/>
        <w:color w:val="auto"/>
      </w:rPr>
    </w:lvl>
    <w:lvl w:ilvl="5">
      <w:start w:val="1"/>
      <w:numFmt w:val="decimal"/>
      <w:isLgl/>
      <w:lvlText w:val="%1.%2.%3.%4.%5.%6"/>
      <w:lvlJc w:val="left"/>
      <w:pPr>
        <w:ind w:left="2755" w:hanging="1080"/>
      </w:pPr>
      <w:rPr>
        <w:rFonts w:eastAsia="MS Mincho" w:hint="default"/>
        <w:i/>
        <w:color w:val="auto"/>
      </w:rPr>
    </w:lvl>
    <w:lvl w:ilvl="6">
      <w:start w:val="1"/>
      <w:numFmt w:val="decimal"/>
      <w:isLgl/>
      <w:lvlText w:val="%1.%2.%3.%4.%5.%6.%7"/>
      <w:lvlJc w:val="left"/>
      <w:pPr>
        <w:ind w:left="3115" w:hanging="1440"/>
      </w:pPr>
      <w:rPr>
        <w:rFonts w:eastAsia="MS Mincho" w:hint="default"/>
        <w:i/>
        <w:color w:val="auto"/>
      </w:rPr>
    </w:lvl>
    <w:lvl w:ilvl="7">
      <w:start w:val="1"/>
      <w:numFmt w:val="decimal"/>
      <w:isLgl/>
      <w:lvlText w:val="%1.%2.%3.%4.%5.%6.%7.%8"/>
      <w:lvlJc w:val="left"/>
      <w:pPr>
        <w:ind w:left="3115" w:hanging="1440"/>
      </w:pPr>
      <w:rPr>
        <w:rFonts w:eastAsia="MS Mincho" w:hint="default"/>
        <w:i/>
        <w:color w:val="auto"/>
      </w:rPr>
    </w:lvl>
    <w:lvl w:ilvl="8">
      <w:start w:val="1"/>
      <w:numFmt w:val="decimal"/>
      <w:isLgl/>
      <w:lvlText w:val="%1.%2.%3.%4.%5.%6.%7.%8.%9"/>
      <w:lvlJc w:val="left"/>
      <w:pPr>
        <w:ind w:left="3475" w:hanging="1800"/>
      </w:pPr>
      <w:rPr>
        <w:rFonts w:eastAsia="MS Mincho" w:hint="default"/>
        <w:i/>
        <w:color w:val="auto"/>
      </w:r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D11207E"/>
    <w:multiLevelType w:val="multilevel"/>
    <w:tmpl w:val="AE28B9B0"/>
    <w:lvl w:ilvl="0">
      <w:start w:val="7"/>
      <w:numFmt w:val="decimal"/>
      <w:lvlText w:val="%1."/>
      <w:lvlJc w:val="left"/>
      <w:pPr>
        <w:ind w:left="540" w:hanging="540"/>
      </w:pPr>
      <w:rPr>
        <w:rFonts w:eastAsia="MS Mincho" w:hint="default"/>
        <w:b w:val="0"/>
        <w:i w:val="0"/>
        <w:color w:val="auto"/>
      </w:rPr>
    </w:lvl>
    <w:lvl w:ilvl="1">
      <w:start w:val="1"/>
      <w:numFmt w:val="decimal"/>
      <w:lvlText w:val="%1.%2."/>
      <w:lvlJc w:val="left"/>
      <w:pPr>
        <w:ind w:left="1440" w:hanging="540"/>
      </w:pPr>
      <w:rPr>
        <w:rFonts w:eastAsia="MS Mincho" w:hint="default"/>
        <w:i/>
        <w:color w:val="auto"/>
      </w:rPr>
    </w:lvl>
    <w:lvl w:ilvl="2">
      <w:start w:val="1"/>
      <w:numFmt w:val="decimal"/>
      <w:lvlText w:val="%1.%2.%3."/>
      <w:lvlJc w:val="left"/>
      <w:pPr>
        <w:ind w:left="2520" w:hanging="720"/>
      </w:pPr>
      <w:rPr>
        <w:rFonts w:eastAsia="MS Mincho" w:hint="default"/>
        <w:i/>
        <w:color w:val="auto"/>
      </w:rPr>
    </w:lvl>
    <w:lvl w:ilvl="3">
      <w:start w:val="1"/>
      <w:numFmt w:val="decimal"/>
      <w:lvlText w:val="%1.%2.%3.%4."/>
      <w:lvlJc w:val="left"/>
      <w:pPr>
        <w:ind w:left="3420" w:hanging="720"/>
      </w:pPr>
      <w:rPr>
        <w:rFonts w:eastAsia="MS Mincho" w:hint="default"/>
        <w:i/>
        <w:color w:val="auto"/>
      </w:rPr>
    </w:lvl>
    <w:lvl w:ilvl="4">
      <w:start w:val="1"/>
      <w:numFmt w:val="decimal"/>
      <w:lvlText w:val="%1.%2.%3.%4.%5."/>
      <w:lvlJc w:val="left"/>
      <w:pPr>
        <w:ind w:left="4680" w:hanging="1080"/>
      </w:pPr>
      <w:rPr>
        <w:rFonts w:eastAsia="MS Mincho" w:hint="default"/>
        <w:i/>
        <w:color w:val="auto"/>
      </w:rPr>
    </w:lvl>
    <w:lvl w:ilvl="5">
      <w:start w:val="1"/>
      <w:numFmt w:val="decimal"/>
      <w:lvlText w:val="%1.%2.%3.%4.%5.%6."/>
      <w:lvlJc w:val="left"/>
      <w:pPr>
        <w:ind w:left="5580" w:hanging="1080"/>
      </w:pPr>
      <w:rPr>
        <w:rFonts w:eastAsia="MS Mincho" w:hint="default"/>
        <w:i/>
        <w:color w:val="auto"/>
      </w:rPr>
    </w:lvl>
    <w:lvl w:ilvl="6">
      <w:start w:val="1"/>
      <w:numFmt w:val="decimal"/>
      <w:lvlText w:val="%1.%2.%3.%4.%5.%6.%7."/>
      <w:lvlJc w:val="left"/>
      <w:pPr>
        <w:ind w:left="6840" w:hanging="1440"/>
      </w:pPr>
      <w:rPr>
        <w:rFonts w:eastAsia="MS Mincho" w:hint="default"/>
        <w:i/>
        <w:color w:val="auto"/>
      </w:rPr>
    </w:lvl>
    <w:lvl w:ilvl="7">
      <w:start w:val="1"/>
      <w:numFmt w:val="decimal"/>
      <w:lvlText w:val="%1.%2.%3.%4.%5.%6.%7.%8."/>
      <w:lvlJc w:val="left"/>
      <w:pPr>
        <w:ind w:left="7740" w:hanging="1440"/>
      </w:pPr>
      <w:rPr>
        <w:rFonts w:eastAsia="MS Mincho" w:hint="default"/>
        <w:i/>
        <w:color w:val="auto"/>
      </w:rPr>
    </w:lvl>
    <w:lvl w:ilvl="8">
      <w:start w:val="1"/>
      <w:numFmt w:val="decimal"/>
      <w:lvlText w:val="%1.%2.%3.%4.%5.%6.%7.%8.%9."/>
      <w:lvlJc w:val="left"/>
      <w:pPr>
        <w:ind w:left="9000" w:hanging="1800"/>
      </w:pPr>
      <w:rPr>
        <w:rFonts w:eastAsia="MS Mincho" w:hint="default"/>
        <w:i/>
        <w:color w:val="auto"/>
      </w:rPr>
    </w:lvl>
  </w:abstractNum>
  <w:abstractNum w:abstractNumId="15" w15:restartNumberingAfterBreak="0">
    <w:nsid w:val="363C6887"/>
    <w:multiLevelType w:val="multilevel"/>
    <w:tmpl w:val="46662868"/>
    <w:lvl w:ilvl="0">
      <w:start w:val="1"/>
      <w:numFmt w:val="decimal"/>
      <w:lvlText w:val="%1."/>
      <w:lvlJc w:val="left"/>
      <w:pPr>
        <w:ind w:left="2035" w:hanging="360"/>
      </w:pPr>
      <w:rPr>
        <w:rFonts w:hint="default"/>
        <w:b w:val="0"/>
        <w:i w:val="0"/>
        <w:iCs/>
      </w:rPr>
    </w:lvl>
    <w:lvl w:ilvl="1">
      <w:start w:val="1"/>
      <w:numFmt w:val="decimal"/>
      <w:isLgl/>
      <w:lvlText w:val="%1.%2"/>
      <w:lvlJc w:val="left"/>
      <w:pPr>
        <w:ind w:left="2035" w:hanging="360"/>
      </w:pPr>
      <w:rPr>
        <w:rFonts w:eastAsia="MS Mincho" w:hint="default"/>
        <w:i/>
        <w:color w:val="auto"/>
      </w:rPr>
    </w:lvl>
    <w:lvl w:ilvl="2">
      <w:start w:val="1"/>
      <w:numFmt w:val="decimal"/>
      <w:isLgl/>
      <w:lvlText w:val="%1.%2.%3"/>
      <w:lvlJc w:val="left"/>
      <w:pPr>
        <w:ind w:left="2395" w:hanging="720"/>
      </w:pPr>
      <w:rPr>
        <w:rFonts w:eastAsia="MS Mincho" w:hint="default"/>
        <w:i/>
        <w:color w:val="auto"/>
      </w:rPr>
    </w:lvl>
    <w:lvl w:ilvl="3">
      <w:start w:val="1"/>
      <w:numFmt w:val="decimal"/>
      <w:isLgl/>
      <w:lvlText w:val="%1.%2.%3.%4"/>
      <w:lvlJc w:val="left"/>
      <w:pPr>
        <w:ind w:left="2395" w:hanging="720"/>
      </w:pPr>
      <w:rPr>
        <w:rFonts w:eastAsia="MS Mincho" w:hint="default"/>
        <w:i/>
        <w:color w:val="auto"/>
      </w:rPr>
    </w:lvl>
    <w:lvl w:ilvl="4">
      <w:start w:val="1"/>
      <w:numFmt w:val="decimal"/>
      <w:isLgl/>
      <w:lvlText w:val="%1.%2.%3.%4.%5"/>
      <w:lvlJc w:val="left"/>
      <w:pPr>
        <w:ind w:left="2755" w:hanging="1080"/>
      </w:pPr>
      <w:rPr>
        <w:rFonts w:eastAsia="MS Mincho" w:hint="default"/>
        <w:i/>
        <w:color w:val="auto"/>
      </w:rPr>
    </w:lvl>
    <w:lvl w:ilvl="5">
      <w:start w:val="1"/>
      <w:numFmt w:val="decimal"/>
      <w:isLgl/>
      <w:lvlText w:val="%1.%2.%3.%4.%5.%6"/>
      <w:lvlJc w:val="left"/>
      <w:pPr>
        <w:ind w:left="2755" w:hanging="1080"/>
      </w:pPr>
      <w:rPr>
        <w:rFonts w:eastAsia="MS Mincho" w:hint="default"/>
        <w:i/>
        <w:color w:val="auto"/>
      </w:rPr>
    </w:lvl>
    <w:lvl w:ilvl="6">
      <w:start w:val="1"/>
      <w:numFmt w:val="decimal"/>
      <w:isLgl/>
      <w:lvlText w:val="%1.%2.%3.%4.%5.%6.%7"/>
      <w:lvlJc w:val="left"/>
      <w:pPr>
        <w:ind w:left="3115" w:hanging="1440"/>
      </w:pPr>
      <w:rPr>
        <w:rFonts w:eastAsia="MS Mincho" w:hint="default"/>
        <w:i/>
        <w:color w:val="auto"/>
      </w:rPr>
    </w:lvl>
    <w:lvl w:ilvl="7">
      <w:start w:val="1"/>
      <w:numFmt w:val="decimal"/>
      <w:isLgl/>
      <w:lvlText w:val="%1.%2.%3.%4.%5.%6.%7.%8"/>
      <w:lvlJc w:val="left"/>
      <w:pPr>
        <w:ind w:left="3115" w:hanging="1440"/>
      </w:pPr>
      <w:rPr>
        <w:rFonts w:eastAsia="MS Mincho" w:hint="default"/>
        <w:i/>
        <w:color w:val="auto"/>
      </w:rPr>
    </w:lvl>
    <w:lvl w:ilvl="8">
      <w:start w:val="1"/>
      <w:numFmt w:val="decimal"/>
      <w:isLgl/>
      <w:lvlText w:val="%1.%2.%3.%4.%5.%6.%7.%8.%9"/>
      <w:lvlJc w:val="left"/>
      <w:pPr>
        <w:ind w:left="3475" w:hanging="1800"/>
      </w:pPr>
      <w:rPr>
        <w:rFonts w:eastAsia="MS Mincho" w:hint="default"/>
        <w:i/>
        <w:color w:val="auto"/>
      </w:rPr>
    </w:lvl>
  </w:abstractNum>
  <w:abstractNum w:abstractNumId="16" w15:restartNumberingAfterBreak="0">
    <w:nsid w:val="38F71CFF"/>
    <w:multiLevelType w:val="multilevel"/>
    <w:tmpl w:val="2FE02A3C"/>
    <w:lvl w:ilvl="0">
      <w:start w:val="6"/>
      <w:numFmt w:val="decimal"/>
      <w:lvlText w:val="%1."/>
      <w:lvlJc w:val="left"/>
      <w:pPr>
        <w:ind w:left="153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7" w15:restartNumberingAfterBreak="0">
    <w:nsid w:val="3DE07F5A"/>
    <w:multiLevelType w:val="hybridMultilevel"/>
    <w:tmpl w:val="F0769EE2"/>
    <w:lvl w:ilvl="0" w:tplc="220EC6BE">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3887F92"/>
    <w:multiLevelType w:val="multilevel"/>
    <w:tmpl w:val="850A3688"/>
    <w:lvl w:ilvl="0">
      <w:start w:val="7"/>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9"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0" w15:restartNumberingAfterBreak="0">
    <w:nsid w:val="4427548F"/>
    <w:multiLevelType w:val="multilevel"/>
    <w:tmpl w:val="46662868"/>
    <w:lvl w:ilvl="0">
      <w:start w:val="1"/>
      <w:numFmt w:val="decimal"/>
      <w:lvlText w:val="%1."/>
      <w:lvlJc w:val="left"/>
      <w:pPr>
        <w:ind w:left="2035" w:hanging="360"/>
      </w:pPr>
      <w:rPr>
        <w:rFonts w:hint="default"/>
        <w:b w:val="0"/>
        <w:i w:val="0"/>
        <w:iCs/>
      </w:rPr>
    </w:lvl>
    <w:lvl w:ilvl="1">
      <w:start w:val="1"/>
      <w:numFmt w:val="decimal"/>
      <w:isLgl/>
      <w:lvlText w:val="%1.%2"/>
      <w:lvlJc w:val="left"/>
      <w:pPr>
        <w:ind w:left="2035" w:hanging="360"/>
      </w:pPr>
      <w:rPr>
        <w:rFonts w:eastAsia="MS Mincho" w:hint="default"/>
        <w:i/>
        <w:color w:val="auto"/>
      </w:rPr>
    </w:lvl>
    <w:lvl w:ilvl="2">
      <w:start w:val="1"/>
      <w:numFmt w:val="decimal"/>
      <w:isLgl/>
      <w:lvlText w:val="%1.%2.%3"/>
      <w:lvlJc w:val="left"/>
      <w:pPr>
        <w:ind w:left="2395" w:hanging="720"/>
      </w:pPr>
      <w:rPr>
        <w:rFonts w:eastAsia="MS Mincho" w:hint="default"/>
        <w:i/>
        <w:color w:val="auto"/>
      </w:rPr>
    </w:lvl>
    <w:lvl w:ilvl="3">
      <w:start w:val="1"/>
      <w:numFmt w:val="decimal"/>
      <w:isLgl/>
      <w:lvlText w:val="%1.%2.%3.%4"/>
      <w:lvlJc w:val="left"/>
      <w:pPr>
        <w:ind w:left="2395" w:hanging="720"/>
      </w:pPr>
      <w:rPr>
        <w:rFonts w:eastAsia="MS Mincho" w:hint="default"/>
        <w:i/>
        <w:color w:val="auto"/>
      </w:rPr>
    </w:lvl>
    <w:lvl w:ilvl="4">
      <w:start w:val="1"/>
      <w:numFmt w:val="decimal"/>
      <w:isLgl/>
      <w:lvlText w:val="%1.%2.%3.%4.%5"/>
      <w:lvlJc w:val="left"/>
      <w:pPr>
        <w:ind w:left="2755" w:hanging="1080"/>
      </w:pPr>
      <w:rPr>
        <w:rFonts w:eastAsia="MS Mincho" w:hint="default"/>
        <w:i/>
        <w:color w:val="auto"/>
      </w:rPr>
    </w:lvl>
    <w:lvl w:ilvl="5">
      <w:start w:val="1"/>
      <w:numFmt w:val="decimal"/>
      <w:isLgl/>
      <w:lvlText w:val="%1.%2.%3.%4.%5.%6"/>
      <w:lvlJc w:val="left"/>
      <w:pPr>
        <w:ind w:left="2755" w:hanging="1080"/>
      </w:pPr>
      <w:rPr>
        <w:rFonts w:eastAsia="MS Mincho" w:hint="default"/>
        <w:i/>
        <w:color w:val="auto"/>
      </w:rPr>
    </w:lvl>
    <w:lvl w:ilvl="6">
      <w:start w:val="1"/>
      <w:numFmt w:val="decimal"/>
      <w:isLgl/>
      <w:lvlText w:val="%1.%2.%3.%4.%5.%6.%7"/>
      <w:lvlJc w:val="left"/>
      <w:pPr>
        <w:ind w:left="3115" w:hanging="1440"/>
      </w:pPr>
      <w:rPr>
        <w:rFonts w:eastAsia="MS Mincho" w:hint="default"/>
        <w:i/>
        <w:color w:val="auto"/>
      </w:rPr>
    </w:lvl>
    <w:lvl w:ilvl="7">
      <w:start w:val="1"/>
      <w:numFmt w:val="decimal"/>
      <w:isLgl/>
      <w:lvlText w:val="%1.%2.%3.%4.%5.%6.%7.%8"/>
      <w:lvlJc w:val="left"/>
      <w:pPr>
        <w:ind w:left="3115" w:hanging="1440"/>
      </w:pPr>
      <w:rPr>
        <w:rFonts w:eastAsia="MS Mincho" w:hint="default"/>
        <w:i/>
        <w:color w:val="auto"/>
      </w:rPr>
    </w:lvl>
    <w:lvl w:ilvl="8">
      <w:start w:val="1"/>
      <w:numFmt w:val="decimal"/>
      <w:isLgl/>
      <w:lvlText w:val="%1.%2.%3.%4.%5.%6.%7.%8.%9"/>
      <w:lvlJc w:val="left"/>
      <w:pPr>
        <w:ind w:left="3475" w:hanging="1800"/>
      </w:pPr>
      <w:rPr>
        <w:rFonts w:eastAsia="MS Mincho" w:hint="default"/>
        <w:i/>
        <w:color w:val="auto"/>
      </w:rPr>
    </w:lvl>
  </w:abstractNum>
  <w:abstractNum w:abstractNumId="21" w15:restartNumberingAfterBreak="0">
    <w:nsid w:val="46C419BD"/>
    <w:multiLevelType w:val="hybridMultilevel"/>
    <w:tmpl w:val="D228F82E"/>
    <w:lvl w:ilvl="0" w:tplc="7E5062F8">
      <w:start w:val="1"/>
      <w:numFmt w:val="upperLetter"/>
      <w:lvlText w:val="%1."/>
      <w:lvlJc w:val="left"/>
      <w:pPr>
        <w:ind w:left="720" w:hanging="360"/>
      </w:pPr>
      <w:rPr>
        <w:b w:val="0"/>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A8765FD"/>
    <w:multiLevelType w:val="multilevel"/>
    <w:tmpl w:val="60D070C0"/>
    <w:lvl w:ilvl="0">
      <w:start w:val="13"/>
      <w:numFmt w:val="decimal"/>
      <w:lvlText w:val="%1."/>
      <w:lvlJc w:val="left"/>
      <w:pPr>
        <w:ind w:left="48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23" w15:restartNumberingAfterBreak="0">
    <w:nsid w:val="4B9C5FDB"/>
    <w:multiLevelType w:val="hybridMultilevel"/>
    <w:tmpl w:val="087C025E"/>
    <w:lvl w:ilvl="0" w:tplc="2892E374">
      <w:start w:val="1"/>
      <w:numFmt w:val="decimal"/>
      <w:lvlText w:val="%1."/>
      <w:lvlJc w:val="left"/>
      <w:pPr>
        <w:ind w:left="1353" w:hanging="360"/>
      </w:pPr>
      <w:rPr>
        <w:b w:val="0"/>
        <w:i w:val="0"/>
      </w:rPr>
    </w:lvl>
    <w:lvl w:ilvl="1" w:tplc="04090019">
      <w:start w:val="1"/>
      <w:numFmt w:val="lowerLetter"/>
      <w:lvlText w:val="%2."/>
      <w:lvlJc w:val="left"/>
      <w:pPr>
        <w:ind w:left="1440" w:hanging="360"/>
      </w:pPr>
    </w:lvl>
    <w:lvl w:ilvl="2" w:tplc="7522F48C">
      <w:start w:val="4"/>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26" w15:restartNumberingAfterBreak="0">
    <w:nsid w:val="5C9206DA"/>
    <w:multiLevelType w:val="multilevel"/>
    <w:tmpl w:val="C86A0410"/>
    <w:lvl w:ilvl="0">
      <w:start w:val="1"/>
      <w:numFmt w:val="decimal"/>
      <w:lvlText w:val="%1."/>
      <w:lvlJc w:val="left"/>
      <w:pPr>
        <w:ind w:left="162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5EF81008"/>
    <w:multiLevelType w:val="hybridMultilevel"/>
    <w:tmpl w:val="55F893E2"/>
    <w:lvl w:ilvl="0" w:tplc="041C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8" w15:restartNumberingAfterBreak="0">
    <w:nsid w:val="64B24EA1"/>
    <w:multiLevelType w:val="multilevel"/>
    <w:tmpl w:val="5BF2C3F8"/>
    <w:lvl w:ilvl="0">
      <w:start w:val="13"/>
      <w:numFmt w:val="decimal"/>
      <w:lvlText w:val="%1."/>
      <w:lvlJc w:val="left"/>
      <w:pPr>
        <w:ind w:left="156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29" w15:restartNumberingAfterBreak="0">
    <w:nsid w:val="6C59738B"/>
    <w:multiLevelType w:val="multilevel"/>
    <w:tmpl w:val="2FE02A3C"/>
    <w:lvl w:ilvl="0">
      <w:start w:val="6"/>
      <w:numFmt w:val="decimal"/>
      <w:lvlText w:val="%1."/>
      <w:lvlJc w:val="left"/>
      <w:pPr>
        <w:ind w:left="153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0" w15:restartNumberingAfterBreak="0">
    <w:nsid w:val="75842464"/>
    <w:multiLevelType w:val="multilevel"/>
    <w:tmpl w:val="4864A47A"/>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1" w15:restartNumberingAfterBreak="0">
    <w:nsid w:val="761E32C6"/>
    <w:multiLevelType w:val="multilevel"/>
    <w:tmpl w:val="2FE02A3C"/>
    <w:lvl w:ilvl="0">
      <w:start w:val="6"/>
      <w:numFmt w:val="decimal"/>
      <w:lvlText w:val="%1."/>
      <w:lvlJc w:val="left"/>
      <w:pPr>
        <w:ind w:left="54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2" w15:restartNumberingAfterBreak="0">
    <w:nsid w:val="7AC82C3F"/>
    <w:multiLevelType w:val="multilevel"/>
    <w:tmpl w:val="266088B4"/>
    <w:lvl w:ilvl="0">
      <w:start w:val="6"/>
      <w:numFmt w:val="decimal"/>
      <w:lvlText w:val="%1."/>
      <w:lvlJc w:val="left"/>
      <w:pPr>
        <w:ind w:left="5039" w:hanging="360"/>
      </w:pPr>
      <w:rPr>
        <w:rFonts w:hint="default"/>
        <w:b w:val="0"/>
        <w:i w:val="0"/>
        <w:color w:val="auto"/>
      </w:rPr>
    </w:lvl>
    <w:lvl w:ilvl="1">
      <w:start w:val="1"/>
      <w:numFmt w:val="decimal"/>
      <w:lvlText w:val="%1.%2."/>
      <w:lvlJc w:val="left"/>
      <w:pPr>
        <w:ind w:left="1080" w:hanging="360"/>
      </w:pPr>
      <w:rPr>
        <w:rFonts w:hint="default"/>
        <w:b w:val="0"/>
        <w:i w:val="0"/>
        <w:color w:val="auto"/>
      </w:rPr>
    </w:lvl>
    <w:lvl w:ilvl="2">
      <w:start w:val="1"/>
      <w:numFmt w:val="decimal"/>
      <w:lvlText w:val="%1.%2.%3."/>
      <w:lvlJc w:val="left"/>
      <w:pPr>
        <w:ind w:left="2160" w:hanging="720"/>
      </w:pPr>
      <w:rPr>
        <w:rFonts w:hint="default"/>
        <w:b w:val="0"/>
        <w:i w:val="0"/>
        <w:color w:val="auto"/>
      </w:rPr>
    </w:lvl>
    <w:lvl w:ilvl="3">
      <w:start w:val="1"/>
      <w:numFmt w:val="decimal"/>
      <w:lvlText w:val="%1.%2.%3.%4."/>
      <w:lvlJc w:val="left"/>
      <w:pPr>
        <w:ind w:left="2880" w:hanging="720"/>
      </w:pPr>
      <w:rPr>
        <w:rFonts w:hint="default"/>
        <w:b/>
        <w:i/>
        <w:color w:val="auto"/>
      </w:rPr>
    </w:lvl>
    <w:lvl w:ilvl="4">
      <w:start w:val="1"/>
      <w:numFmt w:val="decimal"/>
      <w:lvlText w:val="%1.%2.%3.%4.%5."/>
      <w:lvlJc w:val="left"/>
      <w:pPr>
        <w:ind w:left="3960" w:hanging="1080"/>
      </w:pPr>
      <w:rPr>
        <w:rFonts w:hint="default"/>
        <w:b/>
        <w:i/>
        <w:color w:val="auto"/>
      </w:rPr>
    </w:lvl>
    <w:lvl w:ilvl="5">
      <w:start w:val="1"/>
      <w:numFmt w:val="decimal"/>
      <w:lvlText w:val="%1.%2.%3.%4.%5.%6."/>
      <w:lvlJc w:val="left"/>
      <w:pPr>
        <w:ind w:left="4680" w:hanging="1080"/>
      </w:pPr>
      <w:rPr>
        <w:rFonts w:hint="default"/>
        <w:b/>
        <w:i/>
        <w:color w:val="auto"/>
      </w:rPr>
    </w:lvl>
    <w:lvl w:ilvl="6">
      <w:start w:val="1"/>
      <w:numFmt w:val="decimal"/>
      <w:lvlText w:val="%1.%2.%3.%4.%5.%6.%7."/>
      <w:lvlJc w:val="left"/>
      <w:pPr>
        <w:ind w:left="5760" w:hanging="1440"/>
      </w:pPr>
      <w:rPr>
        <w:rFonts w:hint="default"/>
        <w:b/>
        <w:i/>
        <w:color w:val="auto"/>
      </w:rPr>
    </w:lvl>
    <w:lvl w:ilvl="7">
      <w:start w:val="1"/>
      <w:numFmt w:val="decimal"/>
      <w:lvlText w:val="%1.%2.%3.%4.%5.%6.%7.%8."/>
      <w:lvlJc w:val="left"/>
      <w:pPr>
        <w:ind w:left="6480" w:hanging="1440"/>
      </w:pPr>
      <w:rPr>
        <w:rFonts w:hint="default"/>
        <w:b/>
        <w:i/>
        <w:color w:val="auto"/>
      </w:rPr>
    </w:lvl>
    <w:lvl w:ilvl="8">
      <w:start w:val="1"/>
      <w:numFmt w:val="decimal"/>
      <w:lvlText w:val="%1.%2.%3.%4.%5.%6.%7.%8.%9."/>
      <w:lvlJc w:val="left"/>
      <w:pPr>
        <w:ind w:left="7560" w:hanging="1800"/>
      </w:pPr>
      <w:rPr>
        <w:rFonts w:hint="default"/>
        <w:b/>
        <w:i/>
        <w:color w:val="auto"/>
      </w:rPr>
    </w:lvl>
  </w:abstractNum>
  <w:num w:numId="1">
    <w:abstractNumId w:val="26"/>
  </w:num>
  <w:num w:numId="2">
    <w:abstractNumId w:val="13"/>
  </w:num>
  <w:num w:numId="3">
    <w:abstractNumId w:val="3"/>
  </w:num>
  <w:num w:numId="4">
    <w:abstractNumId w:val="24"/>
  </w:num>
  <w:num w:numId="5">
    <w:abstractNumId w:val="11"/>
  </w:num>
  <w:num w:numId="6">
    <w:abstractNumId w:val="22"/>
  </w:num>
  <w:num w:numId="7">
    <w:abstractNumId w:val="4"/>
  </w:num>
  <w:num w:numId="8">
    <w:abstractNumId w:val="16"/>
  </w:num>
  <w:num w:numId="9">
    <w:abstractNumId w:val="23"/>
  </w:num>
  <w:num w:numId="10">
    <w:abstractNumId w:val="18"/>
  </w:num>
  <w:num w:numId="11">
    <w:abstractNumId w:val="2"/>
  </w:num>
  <w:num w:numId="12">
    <w:abstractNumId w:val="28"/>
  </w:num>
  <w:num w:numId="13">
    <w:abstractNumId w:val="27"/>
  </w:num>
  <w:num w:numId="14">
    <w:abstractNumId w:val="0"/>
  </w:num>
  <w:num w:numId="15">
    <w:abstractNumId w:val="9"/>
  </w:num>
  <w:num w:numId="16">
    <w:abstractNumId w:val="31"/>
  </w:num>
  <w:num w:numId="17">
    <w:abstractNumId w:val="29"/>
  </w:num>
  <w:num w:numId="18">
    <w:abstractNumId w:val="5"/>
  </w:num>
  <w:num w:numId="19">
    <w:abstractNumId w:val="12"/>
  </w:num>
  <w:num w:numId="20">
    <w:abstractNumId w:val="7"/>
  </w:num>
  <w:num w:numId="21">
    <w:abstractNumId w:val="32"/>
  </w:num>
  <w:num w:numId="22">
    <w:abstractNumId w:val="8"/>
  </w:num>
  <w:num w:numId="23">
    <w:abstractNumId w:val="10"/>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num>
  <w:num w:numId="26">
    <w:abstractNumId w:val="15"/>
  </w:num>
  <w:num w:numId="27">
    <w:abstractNumId w:val="20"/>
  </w:num>
  <w:num w:numId="28">
    <w:abstractNumId w:val="19"/>
  </w:num>
  <w:num w:numId="29">
    <w:abstractNumId w:val="25"/>
  </w:num>
  <w:num w:numId="30">
    <w:abstractNumId w:val="17"/>
  </w:num>
  <w:num w:numId="31">
    <w:abstractNumId w:val="6"/>
  </w:num>
  <w:num w:numId="32">
    <w:abstractNumId w:val="1"/>
  </w:num>
  <w:num w:numId="33">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8EA"/>
    <w:rsid w:val="0000417D"/>
    <w:rsid w:val="00005205"/>
    <w:rsid w:val="000116B4"/>
    <w:rsid w:val="0001229E"/>
    <w:rsid w:val="0002170F"/>
    <w:rsid w:val="000332B0"/>
    <w:rsid w:val="00044F6A"/>
    <w:rsid w:val="00052AE2"/>
    <w:rsid w:val="0005670B"/>
    <w:rsid w:val="00061106"/>
    <w:rsid w:val="000660DF"/>
    <w:rsid w:val="0007039C"/>
    <w:rsid w:val="00073484"/>
    <w:rsid w:val="00073897"/>
    <w:rsid w:val="00073ACC"/>
    <w:rsid w:val="00086BEB"/>
    <w:rsid w:val="000A0A33"/>
    <w:rsid w:val="000A0CA4"/>
    <w:rsid w:val="000A2E62"/>
    <w:rsid w:val="000A31D1"/>
    <w:rsid w:val="000B10ED"/>
    <w:rsid w:val="000B18BC"/>
    <w:rsid w:val="000B6C96"/>
    <w:rsid w:val="000C5FEF"/>
    <w:rsid w:val="000C637B"/>
    <w:rsid w:val="000D57C8"/>
    <w:rsid w:val="000D732E"/>
    <w:rsid w:val="000E5088"/>
    <w:rsid w:val="0010609E"/>
    <w:rsid w:val="00112A79"/>
    <w:rsid w:val="00114BF7"/>
    <w:rsid w:val="00120F85"/>
    <w:rsid w:val="00147D8B"/>
    <w:rsid w:val="00151BD2"/>
    <w:rsid w:val="001565A8"/>
    <w:rsid w:val="0016271B"/>
    <w:rsid w:val="001630BE"/>
    <w:rsid w:val="001653FE"/>
    <w:rsid w:val="00174B0B"/>
    <w:rsid w:val="001802F8"/>
    <w:rsid w:val="00194852"/>
    <w:rsid w:val="001A0100"/>
    <w:rsid w:val="001A0928"/>
    <w:rsid w:val="001C3DD9"/>
    <w:rsid w:val="001C5C03"/>
    <w:rsid w:val="001D190F"/>
    <w:rsid w:val="001D7593"/>
    <w:rsid w:val="001E6852"/>
    <w:rsid w:val="001F004A"/>
    <w:rsid w:val="001F0308"/>
    <w:rsid w:val="001F1C2A"/>
    <w:rsid w:val="001F30D9"/>
    <w:rsid w:val="001F618E"/>
    <w:rsid w:val="001F7F8A"/>
    <w:rsid w:val="00207711"/>
    <w:rsid w:val="00210110"/>
    <w:rsid w:val="00215C6F"/>
    <w:rsid w:val="002260D4"/>
    <w:rsid w:val="0023732C"/>
    <w:rsid w:val="002431E5"/>
    <w:rsid w:val="00246960"/>
    <w:rsid w:val="002546BA"/>
    <w:rsid w:val="0025473C"/>
    <w:rsid w:val="002632DD"/>
    <w:rsid w:val="002668CB"/>
    <w:rsid w:val="00266D4A"/>
    <w:rsid w:val="00273531"/>
    <w:rsid w:val="00274D57"/>
    <w:rsid w:val="002A468B"/>
    <w:rsid w:val="002A7701"/>
    <w:rsid w:val="002B247F"/>
    <w:rsid w:val="002B2F9D"/>
    <w:rsid w:val="002B47B9"/>
    <w:rsid w:val="002D5F0F"/>
    <w:rsid w:val="002E3973"/>
    <w:rsid w:val="002E6105"/>
    <w:rsid w:val="002E6A37"/>
    <w:rsid w:val="00303F1F"/>
    <w:rsid w:val="003136B0"/>
    <w:rsid w:val="00321F93"/>
    <w:rsid w:val="0033508F"/>
    <w:rsid w:val="00336A38"/>
    <w:rsid w:val="00344BFC"/>
    <w:rsid w:val="003626EE"/>
    <w:rsid w:val="00364A16"/>
    <w:rsid w:val="0036771C"/>
    <w:rsid w:val="003705C6"/>
    <w:rsid w:val="00384347"/>
    <w:rsid w:val="003A1DE0"/>
    <w:rsid w:val="003B2E60"/>
    <w:rsid w:val="003B5AE5"/>
    <w:rsid w:val="003C2AE4"/>
    <w:rsid w:val="003C77D0"/>
    <w:rsid w:val="003C7F67"/>
    <w:rsid w:val="003F2846"/>
    <w:rsid w:val="003F435C"/>
    <w:rsid w:val="00401823"/>
    <w:rsid w:val="00402273"/>
    <w:rsid w:val="004027DC"/>
    <w:rsid w:val="00404E27"/>
    <w:rsid w:val="00405E63"/>
    <w:rsid w:val="00407F9D"/>
    <w:rsid w:val="00410E8A"/>
    <w:rsid w:val="004115FF"/>
    <w:rsid w:val="004124C2"/>
    <w:rsid w:val="00412C76"/>
    <w:rsid w:val="004179E7"/>
    <w:rsid w:val="0042305C"/>
    <w:rsid w:val="0043001D"/>
    <w:rsid w:val="00433129"/>
    <w:rsid w:val="00442116"/>
    <w:rsid w:val="00451225"/>
    <w:rsid w:val="00455B1D"/>
    <w:rsid w:val="004561B0"/>
    <w:rsid w:val="00463E8D"/>
    <w:rsid w:val="004677AD"/>
    <w:rsid w:val="00474917"/>
    <w:rsid w:val="004752FF"/>
    <w:rsid w:val="00477F13"/>
    <w:rsid w:val="00487F53"/>
    <w:rsid w:val="00496F60"/>
    <w:rsid w:val="004B256D"/>
    <w:rsid w:val="004B2BF0"/>
    <w:rsid w:val="004B4C20"/>
    <w:rsid w:val="004B5CED"/>
    <w:rsid w:val="004C3181"/>
    <w:rsid w:val="004C64E5"/>
    <w:rsid w:val="004D6DF9"/>
    <w:rsid w:val="004D7AEB"/>
    <w:rsid w:val="004E0AB7"/>
    <w:rsid w:val="004E1CA2"/>
    <w:rsid w:val="004E669C"/>
    <w:rsid w:val="004F0DCA"/>
    <w:rsid w:val="005020AC"/>
    <w:rsid w:val="005038C5"/>
    <w:rsid w:val="00504268"/>
    <w:rsid w:val="0051066A"/>
    <w:rsid w:val="00511544"/>
    <w:rsid w:val="00514B08"/>
    <w:rsid w:val="00516B6F"/>
    <w:rsid w:val="005243A5"/>
    <w:rsid w:val="005400FD"/>
    <w:rsid w:val="00550775"/>
    <w:rsid w:val="005524DB"/>
    <w:rsid w:val="00554364"/>
    <w:rsid w:val="00564FF3"/>
    <w:rsid w:val="0056779B"/>
    <w:rsid w:val="00572FE4"/>
    <w:rsid w:val="005838A7"/>
    <w:rsid w:val="00585722"/>
    <w:rsid w:val="00587D35"/>
    <w:rsid w:val="00594CA9"/>
    <w:rsid w:val="005A2160"/>
    <w:rsid w:val="005A6C5D"/>
    <w:rsid w:val="005A7899"/>
    <w:rsid w:val="005B0484"/>
    <w:rsid w:val="005C29F1"/>
    <w:rsid w:val="005C7AB7"/>
    <w:rsid w:val="005D0B39"/>
    <w:rsid w:val="005D5775"/>
    <w:rsid w:val="005E09F5"/>
    <w:rsid w:val="005E1310"/>
    <w:rsid w:val="005E30D2"/>
    <w:rsid w:val="005E5B8E"/>
    <w:rsid w:val="005F0B53"/>
    <w:rsid w:val="005F41AB"/>
    <w:rsid w:val="0060027A"/>
    <w:rsid w:val="00601488"/>
    <w:rsid w:val="00604495"/>
    <w:rsid w:val="00606C32"/>
    <w:rsid w:val="00607B16"/>
    <w:rsid w:val="00620B8B"/>
    <w:rsid w:val="00623137"/>
    <w:rsid w:val="00632D15"/>
    <w:rsid w:val="00637233"/>
    <w:rsid w:val="00650094"/>
    <w:rsid w:val="006537F8"/>
    <w:rsid w:val="006606DE"/>
    <w:rsid w:val="00667C72"/>
    <w:rsid w:val="00677042"/>
    <w:rsid w:val="00682CCA"/>
    <w:rsid w:val="0068518D"/>
    <w:rsid w:val="006864C8"/>
    <w:rsid w:val="0069037B"/>
    <w:rsid w:val="00696185"/>
    <w:rsid w:val="00696D67"/>
    <w:rsid w:val="00696FD1"/>
    <w:rsid w:val="00697A4F"/>
    <w:rsid w:val="006A3890"/>
    <w:rsid w:val="006A54FD"/>
    <w:rsid w:val="006B18E4"/>
    <w:rsid w:val="006B227E"/>
    <w:rsid w:val="006B6A4E"/>
    <w:rsid w:val="006D10B2"/>
    <w:rsid w:val="00701745"/>
    <w:rsid w:val="00706D86"/>
    <w:rsid w:val="00711B79"/>
    <w:rsid w:val="00712410"/>
    <w:rsid w:val="00723127"/>
    <w:rsid w:val="007263B5"/>
    <w:rsid w:val="007305BC"/>
    <w:rsid w:val="00731BED"/>
    <w:rsid w:val="00732559"/>
    <w:rsid w:val="00737773"/>
    <w:rsid w:val="00741662"/>
    <w:rsid w:val="00754F3F"/>
    <w:rsid w:val="00756721"/>
    <w:rsid w:val="007567E1"/>
    <w:rsid w:val="0075707D"/>
    <w:rsid w:val="0078220E"/>
    <w:rsid w:val="007834F5"/>
    <w:rsid w:val="00785420"/>
    <w:rsid w:val="00787060"/>
    <w:rsid w:val="00791F55"/>
    <w:rsid w:val="00796A98"/>
    <w:rsid w:val="007A0A99"/>
    <w:rsid w:val="007A3D62"/>
    <w:rsid w:val="007A7EA7"/>
    <w:rsid w:val="007B380D"/>
    <w:rsid w:val="007B3CC0"/>
    <w:rsid w:val="007B753D"/>
    <w:rsid w:val="007B7A30"/>
    <w:rsid w:val="007C0283"/>
    <w:rsid w:val="007C381B"/>
    <w:rsid w:val="007C5DE9"/>
    <w:rsid w:val="007D5624"/>
    <w:rsid w:val="007D6F56"/>
    <w:rsid w:val="007E1A35"/>
    <w:rsid w:val="007E36C6"/>
    <w:rsid w:val="007E3CDE"/>
    <w:rsid w:val="007E7963"/>
    <w:rsid w:val="007F798E"/>
    <w:rsid w:val="00802079"/>
    <w:rsid w:val="00804AF0"/>
    <w:rsid w:val="008115C4"/>
    <w:rsid w:val="00813C3D"/>
    <w:rsid w:val="00822269"/>
    <w:rsid w:val="008226A4"/>
    <w:rsid w:val="0082661F"/>
    <w:rsid w:val="00826D17"/>
    <w:rsid w:val="00835F87"/>
    <w:rsid w:val="00836D06"/>
    <w:rsid w:val="00841BBF"/>
    <w:rsid w:val="008459A0"/>
    <w:rsid w:val="00856B28"/>
    <w:rsid w:val="00872E25"/>
    <w:rsid w:val="00877172"/>
    <w:rsid w:val="00884ADE"/>
    <w:rsid w:val="00884E60"/>
    <w:rsid w:val="008A3B09"/>
    <w:rsid w:val="008A5C72"/>
    <w:rsid w:val="008C1686"/>
    <w:rsid w:val="008C4DD1"/>
    <w:rsid w:val="008E1F3C"/>
    <w:rsid w:val="008F2704"/>
    <w:rsid w:val="008F5752"/>
    <w:rsid w:val="008F7724"/>
    <w:rsid w:val="00907CBD"/>
    <w:rsid w:val="00911945"/>
    <w:rsid w:val="009249AC"/>
    <w:rsid w:val="00925544"/>
    <w:rsid w:val="00926123"/>
    <w:rsid w:val="0092757B"/>
    <w:rsid w:val="009345CA"/>
    <w:rsid w:val="00935EFA"/>
    <w:rsid w:val="009425F4"/>
    <w:rsid w:val="00947DE9"/>
    <w:rsid w:val="009548D8"/>
    <w:rsid w:val="00956023"/>
    <w:rsid w:val="0095643A"/>
    <w:rsid w:val="009616D2"/>
    <w:rsid w:val="009670B7"/>
    <w:rsid w:val="00967744"/>
    <w:rsid w:val="00967E70"/>
    <w:rsid w:val="00972C6D"/>
    <w:rsid w:val="009822CC"/>
    <w:rsid w:val="00984BF2"/>
    <w:rsid w:val="00986088"/>
    <w:rsid w:val="00996B7A"/>
    <w:rsid w:val="009A310E"/>
    <w:rsid w:val="009B0615"/>
    <w:rsid w:val="009B28BA"/>
    <w:rsid w:val="009C0BAF"/>
    <w:rsid w:val="009C4422"/>
    <w:rsid w:val="009D791B"/>
    <w:rsid w:val="009E306A"/>
    <w:rsid w:val="009E32F9"/>
    <w:rsid w:val="009E66C0"/>
    <w:rsid w:val="009F2587"/>
    <w:rsid w:val="009F7545"/>
    <w:rsid w:val="00A00D34"/>
    <w:rsid w:val="00A03E56"/>
    <w:rsid w:val="00A10381"/>
    <w:rsid w:val="00A13EFE"/>
    <w:rsid w:val="00A14E8E"/>
    <w:rsid w:val="00A16010"/>
    <w:rsid w:val="00A17611"/>
    <w:rsid w:val="00A202C0"/>
    <w:rsid w:val="00A24830"/>
    <w:rsid w:val="00A46166"/>
    <w:rsid w:val="00A519D8"/>
    <w:rsid w:val="00A545C9"/>
    <w:rsid w:val="00A55495"/>
    <w:rsid w:val="00A5714E"/>
    <w:rsid w:val="00A73759"/>
    <w:rsid w:val="00A7537D"/>
    <w:rsid w:val="00A81263"/>
    <w:rsid w:val="00A87340"/>
    <w:rsid w:val="00A8783C"/>
    <w:rsid w:val="00AA3031"/>
    <w:rsid w:val="00AB42D1"/>
    <w:rsid w:val="00AC1553"/>
    <w:rsid w:val="00AD25A1"/>
    <w:rsid w:val="00AD34B8"/>
    <w:rsid w:val="00AE1B04"/>
    <w:rsid w:val="00AE71A4"/>
    <w:rsid w:val="00AF26B3"/>
    <w:rsid w:val="00AF3D30"/>
    <w:rsid w:val="00AF4052"/>
    <w:rsid w:val="00B1695B"/>
    <w:rsid w:val="00B251E2"/>
    <w:rsid w:val="00B26B6D"/>
    <w:rsid w:val="00B27E5F"/>
    <w:rsid w:val="00B358E6"/>
    <w:rsid w:val="00B41050"/>
    <w:rsid w:val="00B43BD1"/>
    <w:rsid w:val="00B46BD8"/>
    <w:rsid w:val="00B573D6"/>
    <w:rsid w:val="00B5790F"/>
    <w:rsid w:val="00B63C7C"/>
    <w:rsid w:val="00B64475"/>
    <w:rsid w:val="00B72CEA"/>
    <w:rsid w:val="00B73DED"/>
    <w:rsid w:val="00B80EAA"/>
    <w:rsid w:val="00B827BC"/>
    <w:rsid w:val="00B82BCE"/>
    <w:rsid w:val="00B83AB4"/>
    <w:rsid w:val="00B8619A"/>
    <w:rsid w:val="00BB7602"/>
    <w:rsid w:val="00BC7AEC"/>
    <w:rsid w:val="00BE0DCF"/>
    <w:rsid w:val="00BE2711"/>
    <w:rsid w:val="00BF2D79"/>
    <w:rsid w:val="00BF690E"/>
    <w:rsid w:val="00C03BAC"/>
    <w:rsid w:val="00C04C4B"/>
    <w:rsid w:val="00C13DC5"/>
    <w:rsid w:val="00C23FB2"/>
    <w:rsid w:val="00C31E6B"/>
    <w:rsid w:val="00C51F35"/>
    <w:rsid w:val="00C62916"/>
    <w:rsid w:val="00C73B03"/>
    <w:rsid w:val="00C82748"/>
    <w:rsid w:val="00C835AC"/>
    <w:rsid w:val="00C85915"/>
    <w:rsid w:val="00CA0C21"/>
    <w:rsid w:val="00CA12A4"/>
    <w:rsid w:val="00CA20B5"/>
    <w:rsid w:val="00CA5866"/>
    <w:rsid w:val="00CA7CA0"/>
    <w:rsid w:val="00CC7CEE"/>
    <w:rsid w:val="00CD12FA"/>
    <w:rsid w:val="00CD6C4E"/>
    <w:rsid w:val="00CE296E"/>
    <w:rsid w:val="00CE3C8F"/>
    <w:rsid w:val="00CE7EB8"/>
    <w:rsid w:val="00CF7554"/>
    <w:rsid w:val="00D0645A"/>
    <w:rsid w:val="00D069BE"/>
    <w:rsid w:val="00D077F4"/>
    <w:rsid w:val="00D32821"/>
    <w:rsid w:val="00D3529D"/>
    <w:rsid w:val="00D57AAC"/>
    <w:rsid w:val="00D66B5E"/>
    <w:rsid w:val="00D71A3C"/>
    <w:rsid w:val="00D71C83"/>
    <w:rsid w:val="00D73CB9"/>
    <w:rsid w:val="00D76FB3"/>
    <w:rsid w:val="00D80CE8"/>
    <w:rsid w:val="00D85F12"/>
    <w:rsid w:val="00D90AE5"/>
    <w:rsid w:val="00DA2940"/>
    <w:rsid w:val="00DA6877"/>
    <w:rsid w:val="00DB0013"/>
    <w:rsid w:val="00DB31B3"/>
    <w:rsid w:val="00DB594E"/>
    <w:rsid w:val="00DC4ECE"/>
    <w:rsid w:val="00DC6476"/>
    <w:rsid w:val="00DD208E"/>
    <w:rsid w:val="00DD47DC"/>
    <w:rsid w:val="00DD5365"/>
    <w:rsid w:val="00DD72D0"/>
    <w:rsid w:val="00DF26A6"/>
    <w:rsid w:val="00DF450C"/>
    <w:rsid w:val="00DF4570"/>
    <w:rsid w:val="00DF5A5A"/>
    <w:rsid w:val="00E01A3F"/>
    <w:rsid w:val="00E04D8B"/>
    <w:rsid w:val="00E06B0A"/>
    <w:rsid w:val="00E072B2"/>
    <w:rsid w:val="00E11ED9"/>
    <w:rsid w:val="00E1354A"/>
    <w:rsid w:val="00E137EC"/>
    <w:rsid w:val="00E142C3"/>
    <w:rsid w:val="00E160C5"/>
    <w:rsid w:val="00E22A6A"/>
    <w:rsid w:val="00E23847"/>
    <w:rsid w:val="00E24E8C"/>
    <w:rsid w:val="00E30F49"/>
    <w:rsid w:val="00E32683"/>
    <w:rsid w:val="00E4244C"/>
    <w:rsid w:val="00E51B5F"/>
    <w:rsid w:val="00E5728A"/>
    <w:rsid w:val="00E65B09"/>
    <w:rsid w:val="00E70F0D"/>
    <w:rsid w:val="00E76240"/>
    <w:rsid w:val="00E830A2"/>
    <w:rsid w:val="00E86537"/>
    <w:rsid w:val="00E93737"/>
    <w:rsid w:val="00EA1A91"/>
    <w:rsid w:val="00EA7AA3"/>
    <w:rsid w:val="00EB04F2"/>
    <w:rsid w:val="00EB7D00"/>
    <w:rsid w:val="00EC1989"/>
    <w:rsid w:val="00EC37C7"/>
    <w:rsid w:val="00EC4E96"/>
    <w:rsid w:val="00EE03F5"/>
    <w:rsid w:val="00EE21FD"/>
    <w:rsid w:val="00EE4A35"/>
    <w:rsid w:val="00EF1D72"/>
    <w:rsid w:val="00EF2C65"/>
    <w:rsid w:val="00EF634C"/>
    <w:rsid w:val="00F0043A"/>
    <w:rsid w:val="00F047A7"/>
    <w:rsid w:val="00F14DF4"/>
    <w:rsid w:val="00F15797"/>
    <w:rsid w:val="00F164B3"/>
    <w:rsid w:val="00F25763"/>
    <w:rsid w:val="00F26D8A"/>
    <w:rsid w:val="00F4559D"/>
    <w:rsid w:val="00F551FE"/>
    <w:rsid w:val="00F656DF"/>
    <w:rsid w:val="00F71D53"/>
    <w:rsid w:val="00F726DA"/>
    <w:rsid w:val="00F7418A"/>
    <w:rsid w:val="00F833AC"/>
    <w:rsid w:val="00F84B47"/>
    <w:rsid w:val="00F858EA"/>
    <w:rsid w:val="00F87F6F"/>
    <w:rsid w:val="00FA0876"/>
    <w:rsid w:val="00FA1F6F"/>
    <w:rsid w:val="00FA331A"/>
    <w:rsid w:val="00FA7144"/>
    <w:rsid w:val="00FB361D"/>
    <w:rsid w:val="00FC4239"/>
    <w:rsid w:val="00FC7175"/>
    <w:rsid w:val="00FE18A9"/>
    <w:rsid w:val="00FF0345"/>
    <w:rsid w:val="00FF0720"/>
    <w:rsid w:val="00FF28D7"/>
    <w:rsid w:val="00FF6A31"/>
    <w:rsid w:val="00FF75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66946E7"/>
  <w15:chartTrackingRefBased/>
  <w15:docId w15:val="{A8E4DC46-70A5-46CC-A3ED-51546CE56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58EA"/>
    <w:pPr>
      <w:spacing w:after="0" w:line="360" w:lineRule="auto"/>
    </w:pPr>
    <w:rPr>
      <w:rFonts w:ascii="Times New Roman" w:eastAsia="MS Mincho" w:hAnsi="Times New Roman" w:cs="Times New Roman"/>
      <w:sz w:val="24"/>
      <w:szCs w:val="24"/>
    </w:rPr>
  </w:style>
  <w:style w:type="paragraph" w:styleId="Heading1">
    <w:name w:val="heading 1"/>
    <w:aliases w:val="Kreu 1"/>
    <w:basedOn w:val="Normal"/>
    <w:next w:val="Normal"/>
    <w:link w:val="Heading1Char"/>
    <w:uiPriority w:val="9"/>
    <w:qFormat/>
    <w:rsid w:val="00F858EA"/>
    <w:pPr>
      <w:keepNext/>
      <w:spacing w:before="240" w:after="60" w:line="240" w:lineRule="auto"/>
      <w:outlineLvl w:val="0"/>
    </w:pPr>
    <w:rPr>
      <w:rFonts w:ascii="Cambria" w:eastAsia="Times New Roman" w:hAnsi="Cambria"/>
      <w:b/>
      <w:bCs/>
      <w:kern w:val="32"/>
      <w:sz w:val="32"/>
      <w:szCs w:val="32"/>
      <w:lang w:bidi="en-US"/>
    </w:rPr>
  </w:style>
  <w:style w:type="paragraph" w:styleId="Heading2">
    <w:name w:val="heading 2"/>
    <w:basedOn w:val="Normal"/>
    <w:next w:val="Normal"/>
    <w:link w:val="Heading2Char"/>
    <w:uiPriority w:val="9"/>
    <w:semiHidden/>
    <w:unhideWhenUsed/>
    <w:qFormat/>
    <w:rsid w:val="007B753D"/>
    <w:pPr>
      <w:keepNext/>
      <w:keepLines/>
      <w:spacing w:before="40" w:line="27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B753D"/>
    <w:pPr>
      <w:spacing w:before="100" w:beforeAutospacing="1" w:after="100" w:afterAutospacing="1" w:line="240" w:lineRule="auto"/>
      <w:outlineLvl w:val="2"/>
    </w:pPr>
    <w:rPr>
      <w:rFonts w:eastAsia="Times New Roman"/>
      <w:b/>
      <w:bCs/>
      <w:sz w:val="27"/>
      <w:szCs w:val="27"/>
    </w:rPr>
  </w:style>
  <w:style w:type="paragraph" w:styleId="Heading9">
    <w:name w:val="heading 9"/>
    <w:basedOn w:val="Normal"/>
    <w:next w:val="Normal"/>
    <w:link w:val="Heading9Char"/>
    <w:uiPriority w:val="9"/>
    <w:semiHidden/>
    <w:unhideWhenUsed/>
    <w:qFormat/>
    <w:rsid w:val="007B753D"/>
    <w:pPr>
      <w:keepNext/>
      <w:keepLines/>
      <w:spacing w:before="40" w:line="27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F858EA"/>
    <w:rPr>
      <w:rFonts w:ascii="Cambria" w:eastAsia="Times New Roman" w:hAnsi="Cambria" w:cs="Times New Roman"/>
      <w:b/>
      <w:bCs/>
      <w:kern w:val="32"/>
      <w:sz w:val="32"/>
      <w:szCs w:val="32"/>
      <w:lang w:bidi="en-US"/>
    </w:rPr>
  </w:style>
  <w:style w:type="paragraph" w:styleId="Footer">
    <w:name w:val="footer"/>
    <w:basedOn w:val="Normal"/>
    <w:link w:val="FooterChar"/>
    <w:uiPriority w:val="99"/>
    <w:unhideWhenUsed/>
    <w:rsid w:val="00F858EA"/>
    <w:pPr>
      <w:tabs>
        <w:tab w:val="center" w:pos="4680"/>
        <w:tab w:val="right" w:pos="9360"/>
      </w:tabs>
      <w:spacing w:line="240" w:lineRule="auto"/>
    </w:pPr>
  </w:style>
  <w:style w:type="character" w:customStyle="1" w:styleId="FooterChar">
    <w:name w:val="Footer Char"/>
    <w:basedOn w:val="DefaultParagraphFont"/>
    <w:link w:val="Footer"/>
    <w:uiPriority w:val="99"/>
    <w:rsid w:val="00F858EA"/>
    <w:rPr>
      <w:rFonts w:ascii="Times New Roman" w:eastAsia="MS Mincho" w:hAnsi="Times New Roman" w:cs="Times New Roman"/>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F858EA"/>
    <w:pPr>
      <w:ind w:left="720"/>
      <w:contextualSpacing/>
    </w:pPr>
  </w:style>
  <w:style w:type="paragraph" w:styleId="Header">
    <w:name w:val="header"/>
    <w:basedOn w:val="Normal"/>
    <w:link w:val="HeaderChar"/>
    <w:uiPriority w:val="99"/>
    <w:unhideWhenUsed/>
    <w:rsid w:val="00F858EA"/>
    <w:pPr>
      <w:tabs>
        <w:tab w:val="center" w:pos="4680"/>
        <w:tab w:val="right" w:pos="9360"/>
      </w:tabs>
      <w:spacing w:line="240" w:lineRule="auto"/>
    </w:pPr>
  </w:style>
  <w:style w:type="character" w:customStyle="1" w:styleId="HeaderChar">
    <w:name w:val="Header Char"/>
    <w:basedOn w:val="DefaultParagraphFont"/>
    <w:link w:val="Header"/>
    <w:uiPriority w:val="99"/>
    <w:rsid w:val="00F858EA"/>
    <w:rPr>
      <w:rFonts w:ascii="Times New Roman" w:eastAsia="MS Mincho" w:hAnsi="Times New Roman" w:cs="Times New Roman"/>
      <w:sz w:val="24"/>
      <w:szCs w:val="24"/>
    </w:rPr>
  </w:style>
  <w:style w:type="paragraph" w:styleId="BodyText">
    <w:name w:val="Body Text"/>
    <w:basedOn w:val="Normal"/>
    <w:link w:val="BodyTextChar"/>
    <w:rsid w:val="00F858EA"/>
    <w:pPr>
      <w:spacing w:line="288" w:lineRule="auto"/>
      <w:jc w:val="both"/>
    </w:pPr>
    <w:rPr>
      <w:rFonts w:eastAsia="Times New Roman"/>
      <w:sz w:val="21"/>
    </w:rPr>
  </w:style>
  <w:style w:type="character" w:customStyle="1" w:styleId="BodyTextChar">
    <w:name w:val="Body Text Char"/>
    <w:basedOn w:val="DefaultParagraphFont"/>
    <w:link w:val="BodyText"/>
    <w:rsid w:val="00F858EA"/>
    <w:rPr>
      <w:rFonts w:ascii="Times New Roman" w:eastAsia="Times New Roman" w:hAnsi="Times New Roman" w:cs="Times New Roman"/>
      <w:sz w:val="21"/>
      <w:szCs w:val="24"/>
    </w:rPr>
  </w:style>
  <w:style w:type="paragraph" w:styleId="NormalWeb">
    <w:name w:val="Normal (Web)"/>
    <w:basedOn w:val="Normal"/>
    <w:uiPriority w:val="99"/>
    <w:rsid w:val="00F858EA"/>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F858E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58EA"/>
    <w:rPr>
      <w:rFonts w:ascii="Tahoma" w:eastAsia="MS Mincho" w:hAnsi="Tahoma" w:cs="Tahoma"/>
      <w:sz w:val="16"/>
      <w:szCs w:val="16"/>
    </w:rPr>
  </w:style>
  <w:style w:type="character" w:styleId="CommentReference">
    <w:name w:val="annotation reference"/>
    <w:basedOn w:val="DefaultParagraphFont"/>
    <w:uiPriority w:val="99"/>
    <w:unhideWhenUsed/>
    <w:rsid w:val="00F858EA"/>
    <w:rPr>
      <w:sz w:val="16"/>
      <w:szCs w:val="16"/>
    </w:rPr>
  </w:style>
  <w:style w:type="paragraph" w:styleId="CommentText">
    <w:name w:val="annotation text"/>
    <w:basedOn w:val="Normal"/>
    <w:link w:val="CommentTextChar"/>
    <w:uiPriority w:val="99"/>
    <w:unhideWhenUsed/>
    <w:rsid w:val="00F858EA"/>
    <w:pPr>
      <w:spacing w:line="240" w:lineRule="auto"/>
    </w:pPr>
    <w:rPr>
      <w:sz w:val="20"/>
      <w:szCs w:val="20"/>
    </w:rPr>
  </w:style>
  <w:style w:type="character" w:customStyle="1" w:styleId="CommentTextChar">
    <w:name w:val="Comment Text Char"/>
    <w:basedOn w:val="DefaultParagraphFont"/>
    <w:link w:val="CommentText"/>
    <w:uiPriority w:val="99"/>
    <w:rsid w:val="00F858EA"/>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58EA"/>
    <w:rPr>
      <w:b/>
      <w:bCs/>
    </w:rPr>
  </w:style>
  <w:style w:type="character" w:customStyle="1" w:styleId="CommentSubjectChar">
    <w:name w:val="Comment Subject Char"/>
    <w:basedOn w:val="CommentTextChar"/>
    <w:link w:val="CommentSubject"/>
    <w:uiPriority w:val="99"/>
    <w:semiHidden/>
    <w:rsid w:val="00F858EA"/>
    <w:rPr>
      <w:rFonts w:ascii="Times New Roman" w:eastAsia="MS Mincho" w:hAnsi="Times New Roman" w:cs="Times New Roman"/>
      <w:b/>
      <w:bCs/>
      <w:sz w:val="20"/>
      <w:szCs w:val="20"/>
    </w:rPr>
  </w:style>
  <w:style w:type="character" w:customStyle="1" w:styleId="TitleChar">
    <w:name w:val="Title Char"/>
    <w:aliases w:val="Char Char, Char Char"/>
    <w:link w:val="Title"/>
    <w:locked/>
    <w:rsid w:val="00F858EA"/>
    <w:rPr>
      <w:b/>
      <w:bCs/>
      <w:sz w:val="24"/>
      <w:szCs w:val="24"/>
    </w:rPr>
  </w:style>
  <w:style w:type="paragraph" w:styleId="Title">
    <w:name w:val="Title"/>
    <w:aliases w:val="Char, Char"/>
    <w:basedOn w:val="Normal"/>
    <w:link w:val="TitleChar"/>
    <w:qFormat/>
    <w:rsid w:val="00F858EA"/>
    <w:pPr>
      <w:spacing w:line="240" w:lineRule="auto"/>
      <w:jc w:val="center"/>
    </w:pPr>
    <w:rPr>
      <w:rFonts w:asciiTheme="minorHAnsi" w:eastAsiaTheme="minorHAnsi" w:hAnsiTheme="minorHAnsi" w:cstheme="minorBidi"/>
      <w:b/>
      <w:bCs/>
    </w:rPr>
  </w:style>
  <w:style w:type="character" w:customStyle="1" w:styleId="TitleChar1">
    <w:name w:val="Title Char1"/>
    <w:basedOn w:val="DefaultParagraphFont"/>
    <w:uiPriority w:val="10"/>
    <w:rsid w:val="00F858EA"/>
    <w:rPr>
      <w:rFonts w:asciiTheme="majorHAnsi" w:eastAsiaTheme="majorEastAsia" w:hAnsiTheme="majorHAnsi" w:cstheme="majorBidi"/>
      <w:spacing w:val="-10"/>
      <w:kern w:val="28"/>
      <w:sz w:val="56"/>
      <w:szCs w:val="56"/>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F858EA"/>
    <w:rPr>
      <w:rFonts w:ascii="Times New Roman" w:eastAsia="MS Mincho" w:hAnsi="Times New Roman" w:cs="Times New Roman"/>
      <w:sz w:val="24"/>
      <w:szCs w:val="24"/>
    </w:rPr>
  </w:style>
  <w:style w:type="paragraph" w:styleId="BodyTextIndent">
    <w:name w:val="Body Text Indent"/>
    <w:basedOn w:val="Normal"/>
    <w:link w:val="BodyTextIndentChar"/>
    <w:uiPriority w:val="99"/>
    <w:unhideWhenUsed/>
    <w:rsid w:val="00F858EA"/>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F858EA"/>
    <w:rPr>
      <w:rFonts w:ascii="Calibri" w:eastAsia="Calibri" w:hAnsi="Calibri" w:cs="Times New Roman"/>
      <w:sz w:val="24"/>
      <w:szCs w:val="24"/>
    </w:rPr>
  </w:style>
  <w:style w:type="paragraph" w:styleId="NoSpacing">
    <w:name w:val="No Spacing"/>
    <w:link w:val="NoSpacingChar"/>
    <w:uiPriority w:val="1"/>
    <w:qFormat/>
    <w:rsid w:val="00F858EA"/>
    <w:pPr>
      <w:spacing w:after="0" w:line="240" w:lineRule="auto"/>
    </w:pPr>
    <w:rPr>
      <w:rFonts w:ascii="Calibri" w:eastAsia="Calibri" w:hAnsi="Calibri" w:cs="Times New Roman"/>
    </w:rPr>
  </w:style>
  <w:style w:type="character" w:customStyle="1" w:styleId="hps">
    <w:name w:val="hps"/>
    <w:basedOn w:val="DefaultParagraphFont"/>
    <w:rsid w:val="00F858EA"/>
  </w:style>
  <w:style w:type="character" w:customStyle="1" w:styleId="NoSpacingChar">
    <w:name w:val="No Spacing Char"/>
    <w:link w:val="NoSpacing"/>
    <w:uiPriority w:val="99"/>
    <w:locked/>
    <w:rsid w:val="00F858EA"/>
    <w:rPr>
      <w:rFonts w:ascii="Calibri" w:eastAsia="Calibri" w:hAnsi="Calibri" w:cs="Times New Roman"/>
    </w:rPr>
  </w:style>
  <w:style w:type="character" w:customStyle="1" w:styleId="Bodytext2">
    <w:name w:val="Body text (2)_"/>
    <w:link w:val="Bodytext21"/>
    <w:uiPriority w:val="99"/>
    <w:locked/>
    <w:rsid w:val="00F858EA"/>
    <w:rPr>
      <w:rFonts w:ascii="Arial" w:hAnsi="Arial" w:cs="Arial"/>
      <w:sz w:val="15"/>
      <w:szCs w:val="15"/>
      <w:shd w:val="clear" w:color="auto" w:fill="FFFFFF"/>
    </w:rPr>
  </w:style>
  <w:style w:type="paragraph" w:customStyle="1" w:styleId="Bodytext21">
    <w:name w:val="Body text (2)1"/>
    <w:basedOn w:val="Normal"/>
    <w:link w:val="Bodytext2"/>
    <w:uiPriority w:val="99"/>
    <w:rsid w:val="00F858EA"/>
    <w:pPr>
      <w:widowControl w:val="0"/>
      <w:shd w:val="clear" w:color="auto" w:fill="FFFFFF"/>
      <w:spacing w:after="120" w:line="195" w:lineRule="exact"/>
      <w:ind w:hanging="280"/>
    </w:pPr>
    <w:rPr>
      <w:rFonts w:ascii="Arial" w:eastAsiaTheme="minorHAnsi" w:hAnsi="Arial" w:cs="Arial"/>
      <w:sz w:val="15"/>
      <w:szCs w:val="15"/>
    </w:rPr>
  </w:style>
  <w:style w:type="character" w:customStyle="1" w:styleId="Bodytext20">
    <w:name w:val="Body text (20)_"/>
    <w:link w:val="Bodytext200"/>
    <w:uiPriority w:val="99"/>
    <w:locked/>
    <w:rsid w:val="00F858EA"/>
    <w:rPr>
      <w:i/>
      <w:iCs/>
      <w:sz w:val="17"/>
      <w:szCs w:val="17"/>
      <w:shd w:val="clear" w:color="auto" w:fill="FFFFFF"/>
    </w:rPr>
  </w:style>
  <w:style w:type="paragraph" w:customStyle="1" w:styleId="Bodytext200">
    <w:name w:val="Body text (20)"/>
    <w:basedOn w:val="Normal"/>
    <w:link w:val="Bodytext20"/>
    <w:uiPriority w:val="99"/>
    <w:rsid w:val="00F858EA"/>
    <w:pPr>
      <w:widowControl w:val="0"/>
      <w:shd w:val="clear" w:color="auto" w:fill="FFFFFF"/>
      <w:spacing w:before="120" w:after="120" w:line="211" w:lineRule="exact"/>
      <w:ind w:firstLine="580"/>
      <w:jc w:val="both"/>
    </w:pPr>
    <w:rPr>
      <w:rFonts w:asciiTheme="minorHAnsi" w:eastAsiaTheme="minorHAnsi" w:hAnsiTheme="minorHAnsi" w:cstheme="minorBidi"/>
      <w:i/>
      <w:iCs/>
      <w:sz w:val="17"/>
      <w:szCs w:val="17"/>
    </w:rPr>
  </w:style>
  <w:style w:type="character" w:customStyle="1" w:styleId="Bodytext208pt2">
    <w:name w:val="Body text (20) + 8 pt2"/>
    <w:basedOn w:val="Bodytext20"/>
    <w:uiPriority w:val="99"/>
    <w:rsid w:val="00F858EA"/>
    <w:rPr>
      <w:i/>
      <w:iCs/>
      <w:sz w:val="16"/>
      <w:szCs w:val="16"/>
      <w:shd w:val="clear" w:color="auto" w:fill="FFFFFF"/>
    </w:rPr>
  </w:style>
  <w:style w:type="character" w:customStyle="1" w:styleId="Bodytext2Constantia1">
    <w:name w:val="Body text (2) + Constantia1"/>
    <w:basedOn w:val="Bodytext2"/>
    <w:uiPriority w:val="99"/>
    <w:rsid w:val="00F858EA"/>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F858EA"/>
    <w:rPr>
      <w:i/>
      <w:iCs/>
      <w:sz w:val="16"/>
      <w:szCs w:val="16"/>
      <w:shd w:val="clear" w:color="auto" w:fill="FFFFFF"/>
    </w:rPr>
  </w:style>
  <w:style w:type="character" w:customStyle="1" w:styleId="Bodytext20ArialNarrow">
    <w:name w:val="Body text (20) + Arial Narrow"/>
    <w:aliases w:val="6.5 pt8"/>
    <w:basedOn w:val="Bodytext20"/>
    <w:uiPriority w:val="99"/>
    <w:rsid w:val="00F858EA"/>
    <w:rPr>
      <w:rFonts w:ascii="Arial Narrow" w:hAnsi="Arial Narrow" w:cs="Arial Narrow"/>
      <w:i/>
      <w:iCs/>
      <w:w w:val="100"/>
      <w:sz w:val="13"/>
      <w:szCs w:val="13"/>
      <w:shd w:val="clear" w:color="auto" w:fill="FFFFFF"/>
    </w:rPr>
  </w:style>
  <w:style w:type="paragraph" w:customStyle="1" w:styleId="Normal0">
    <w:name w:val="[Normal]"/>
    <w:rsid w:val="00F858EA"/>
    <w:pPr>
      <w:autoSpaceDE w:val="0"/>
      <w:autoSpaceDN w:val="0"/>
      <w:adjustRightInd w:val="0"/>
      <w:spacing w:after="0" w:line="240" w:lineRule="auto"/>
    </w:pPr>
    <w:rPr>
      <w:rFonts w:ascii="Arial" w:eastAsia="Times New Roman" w:hAnsi="Arial" w:cs="Times New Roman"/>
      <w:sz w:val="24"/>
      <w:szCs w:val="20"/>
      <w:lang w:val="en-US"/>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xt Char1"/>
    <w:basedOn w:val="Normal"/>
    <w:link w:val="FootnoteTextChar"/>
    <w:unhideWhenUsed/>
    <w:qFormat/>
    <w:rsid w:val="00F858EA"/>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F858EA"/>
    <w:rPr>
      <w:rFonts w:eastAsia="MS Mincho"/>
      <w:sz w:val="20"/>
      <w:szCs w:val="20"/>
      <w:lang w:val="en-US"/>
    </w:rPr>
  </w:style>
  <w:style w:type="paragraph" w:styleId="BodyTextIndent2">
    <w:name w:val="Body Text Indent 2"/>
    <w:basedOn w:val="Normal"/>
    <w:link w:val="BodyTextIndent2Char"/>
    <w:uiPriority w:val="99"/>
    <w:unhideWhenUsed/>
    <w:rsid w:val="00F858EA"/>
    <w:pPr>
      <w:spacing w:after="120" w:line="480" w:lineRule="auto"/>
      <w:ind w:left="360"/>
    </w:pPr>
  </w:style>
  <w:style w:type="character" w:customStyle="1" w:styleId="BodyTextIndent2Char">
    <w:name w:val="Body Text Indent 2 Char"/>
    <w:basedOn w:val="DefaultParagraphFont"/>
    <w:link w:val="BodyTextIndent2"/>
    <w:uiPriority w:val="99"/>
    <w:rsid w:val="00F858EA"/>
    <w:rPr>
      <w:rFonts w:ascii="Times New Roman" w:eastAsia="MS Mincho" w:hAnsi="Times New Roman" w:cs="Times New Roman"/>
      <w:sz w:val="24"/>
      <w:szCs w:val="24"/>
    </w:rPr>
  </w:style>
  <w:style w:type="paragraph" w:styleId="Revision">
    <w:name w:val="Revision"/>
    <w:hidden/>
    <w:uiPriority w:val="99"/>
    <w:semiHidden/>
    <w:rsid w:val="00F858EA"/>
    <w:pPr>
      <w:spacing w:after="0" w:line="240" w:lineRule="auto"/>
    </w:pPr>
    <w:rPr>
      <w:rFonts w:ascii="Times New Roman" w:eastAsia="MS Mincho" w:hAnsi="Times New Roman" w:cs="Times New Roman"/>
      <w:sz w:val="24"/>
      <w:szCs w:val="24"/>
    </w:rPr>
  </w:style>
  <w:style w:type="paragraph" w:customStyle="1" w:styleId="Default">
    <w:name w:val="Default"/>
    <w:rsid w:val="00F858EA"/>
    <w:pPr>
      <w:autoSpaceDE w:val="0"/>
      <w:autoSpaceDN w:val="0"/>
      <w:adjustRightInd w:val="0"/>
      <w:spacing w:after="0" w:line="240" w:lineRule="auto"/>
    </w:pPr>
    <w:rPr>
      <w:rFonts w:ascii="Times New Roman" w:eastAsia="MS Mincho" w:hAnsi="Times New Roman" w:cs="Times New Roman"/>
      <w:color w:val="000000"/>
      <w:sz w:val="24"/>
      <w:szCs w:val="24"/>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F858EA"/>
    <w:rPr>
      <w:vertAlign w:val="superscript"/>
    </w:rPr>
  </w:style>
  <w:style w:type="paragraph" w:customStyle="1" w:styleId="Normal1">
    <w:name w:val="Normal1"/>
    <w:basedOn w:val="Normal"/>
    <w:rsid w:val="00F858EA"/>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F858EA"/>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F858EA"/>
    <w:pPr>
      <w:spacing w:after="160" w:line="240" w:lineRule="exact"/>
    </w:pPr>
    <w:rPr>
      <w:rFonts w:asciiTheme="minorHAnsi" w:eastAsiaTheme="minorHAnsi" w:hAnsiTheme="minorHAnsi" w:cstheme="minorBidi"/>
      <w:sz w:val="22"/>
      <w:szCs w:val="22"/>
      <w:vertAlign w:val="superscript"/>
    </w:rPr>
  </w:style>
  <w:style w:type="character" w:customStyle="1" w:styleId="sb8d990e2">
    <w:name w:val="sb8d990e2"/>
    <w:basedOn w:val="DefaultParagraphFont"/>
    <w:rsid w:val="00F858EA"/>
  </w:style>
  <w:style w:type="character" w:styleId="Hyperlink">
    <w:name w:val="Hyperlink"/>
    <w:basedOn w:val="DefaultParagraphFont"/>
    <w:uiPriority w:val="99"/>
    <w:unhideWhenUsed/>
    <w:rsid w:val="00F858EA"/>
    <w:rPr>
      <w:color w:val="0563C1" w:themeColor="hyperlink"/>
      <w:u w:val="single"/>
    </w:rPr>
  </w:style>
  <w:style w:type="character" w:customStyle="1" w:styleId="UnresolvedMention1">
    <w:name w:val="Unresolved Mention1"/>
    <w:basedOn w:val="DefaultParagraphFont"/>
    <w:uiPriority w:val="99"/>
    <w:semiHidden/>
    <w:unhideWhenUsed/>
    <w:rsid w:val="00F858EA"/>
    <w:rPr>
      <w:color w:val="605E5C"/>
      <w:shd w:val="clear" w:color="auto" w:fill="E1DFDD"/>
    </w:rPr>
  </w:style>
  <w:style w:type="character" w:styleId="Strong">
    <w:name w:val="Strong"/>
    <w:basedOn w:val="DefaultParagraphFont"/>
    <w:uiPriority w:val="22"/>
    <w:qFormat/>
    <w:rsid w:val="00F858EA"/>
    <w:rPr>
      <w:b/>
      <w:bCs/>
    </w:rPr>
  </w:style>
  <w:style w:type="character" w:customStyle="1" w:styleId="hwtze">
    <w:name w:val="hwtze"/>
    <w:basedOn w:val="DefaultParagraphFont"/>
    <w:rsid w:val="00F858EA"/>
  </w:style>
  <w:style w:type="paragraph" w:styleId="HTMLPreformatted">
    <w:name w:val="HTML Preformatted"/>
    <w:basedOn w:val="Normal"/>
    <w:link w:val="HTMLPreformattedChar"/>
    <w:uiPriority w:val="99"/>
    <w:semiHidden/>
    <w:unhideWhenUsed/>
    <w:rsid w:val="00F85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F858EA"/>
    <w:rPr>
      <w:rFonts w:ascii="Courier New" w:eastAsia="Times New Roman" w:hAnsi="Courier New" w:cs="Courier New"/>
      <w:sz w:val="20"/>
      <w:szCs w:val="20"/>
      <w:lang w:val="en-US"/>
    </w:rPr>
  </w:style>
  <w:style w:type="character" w:customStyle="1" w:styleId="y2iqfc">
    <w:name w:val="y2iqfc"/>
    <w:basedOn w:val="DefaultParagraphFont"/>
    <w:rsid w:val="00F858EA"/>
  </w:style>
  <w:style w:type="character" w:customStyle="1" w:styleId="Heading2Char">
    <w:name w:val="Heading 2 Char"/>
    <w:basedOn w:val="DefaultParagraphFont"/>
    <w:link w:val="Heading2"/>
    <w:uiPriority w:val="9"/>
    <w:semiHidden/>
    <w:rsid w:val="007B753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B753D"/>
    <w:rPr>
      <w:rFonts w:ascii="Times New Roman" w:eastAsia="Times New Roman" w:hAnsi="Times New Roman" w:cs="Times New Roman"/>
      <w:b/>
      <w:bCs/>
      <w:sz w:val="27"/>
      <w:szCs w:val="27"/>
    </w:rPr>
  </w:style>
  <w:style w:type="character" w:customStyle="1" w:styleId="Heading9Char">
    <w:name w:val="Heading 9 Char"/>
    <w:basedOn w:val="DefaultParagraphFont"/>
    <w:link w:val="Heading9"/>
    <w:uiPriority w:val="9"/>
    <w:semiHidden/>
    <w:rsid w:val="007B753D"/>
    <w:rPr>
      <w:rFonts w:asciiTheme="majorHAnsi" w:eastAsiaTheme="majorEastAsia" w:hAnsiTheme="majorHAnsi" w:cstheme="majorBidi"/>
      <w:i/>
      <w:iCs/>
      <w:color w:val="272727" w:themeColor="text1" w:themeTint="D8"/>
      <w:sz w:val="21"/>
      <w:szCs w:val="21"/>
    </w:rPr>
  </w:style>
  <w:style w:type="paragraph" w:customStyle="1" w:styleId="jupara">
    <w:name w:val="jupara"/>
    <w:basedOn w:val="Normal"/>
    <w:rsid w:val="007B753D"/>
    <w:pPr>
      <w:spacing w:before="100" w:beforeAutospacing="1" w:after="100" w:afterAutospacing="1" w:line="240" w:lineRule="auto"/>
    </w:pPr>
    <w:rPr>
      <w:rFonts w:eastAsia="Calibri"/>
      <w:lang w:eastAsia="sq-AL"/>
    </w:rPr>
  </w:style>
  <w:style w:type="paragraph" w:customStyle="1" w:styleId="paragrafi">
    <w:name w:val="paragrafi"/>
    <w:basedOn w:val="Normal"/>
    <w:rsid w:val="007B753D"/>
    <w:pPr>
      <w:spacing w:before="100" w:beforeAutospacing="1" w:after="100" w:afterAutospacing="1" w:line="240" w:lineRule="auto"/>
    </w:pPr>
    <w:rPr>
      <w:rFonts w:eastAsia="Times New Roman"/>
      <w:lang w:val="en-GB" w:eastAsia="en-GB"/>
    </w:rPr>
  </w:style>
  <w:style w:type="paragraph" w:styleId="EndnoteText">
    <w:name w:val="endnote text"/>
    <w:basedOn w:val="Normal"/>
    <w:link w:val="EndnoteTextChar"/>
    <w:uiPriority w:val="99"/>
    <w:semiHidden/>
    <w:unhideWhenUsed/>
    <w:rsid w:val="007B753D"/>
    <w:pPr>
      <w:spacing w:after="200" w:line="276" w:lineRule="auto"/>
    </w:pPr>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7B753D"/>
    <w:rPr>
      <w:rFonts w:ascii="Calibri" w:eastAsia="Calibri" w:hAnsi="Calibri" w:cs="Times New Roman"/>
      <w:sz w:val="20"/>
      <w:szCs w:val="20"/>
    </w:rPr>
  </w:style>
  <w:style w:type="character" w:styleId="EndnoteReference">
    <w:name w:val="endnote reference"/>
    <w:uiPriority w:val="99"/>
    <w:semiHidden/>
    <w:unhideWhenUsed/>
    <w:rsid w:val="007B753D"/>
    <w:rPr>
      <w:vertAlign w:val="superscript"/>
    </w:rPr>
  </w:style>
  <w:style w:type="paragraph" w:customStyle="1" w:styleId="JuPara0">
    <w:name w:val="Ju_Para"/>
    <w:aliases w:val="Left,First line:  0 cm,_Para,ECHR_Para,Para"/>
    <w:basedOn w:val="Normal"/>
    <w:link w:val="JuParaChar"/>
    <w:uiPriority w:val="12"/>
    <w:qFormat/>
    <w:rsid w:val="007B753D"/>
    <w:pPr>
      <w:suppressAutoHyphens/>
      <w:spacing w:line="240" w:lineRule="auto"/>
      <w:ind w:firstLine="284"/>
      <w:jc w:val="both"/>
    </w:pPr>
    <w:rPr>
      <w:rFonts w:eastAsia="Times New Roman"/>
      <w:szCs w:val="20"/>
      <w:lang w:val="en-GB" w:eastAsia="fr-FR"/>
    </w:rPr>
  </w:style>
  <w:style w:type="paragraph" w:customStyle="1" w:styleId="JuH1">
    <w:name w:val="Ju_H_1."/>
    <w:basedOn w:val="Normal"/>
    <w:next w:val="JuPara0"/>
    <w:rsid w:val="007B753D"/>
    <w:pPr>
      <w:keepNext/>
      <w:keepLines/>
      <w:tabs>
        <w:tab w:val="left" w:pos="731"/>
      </w:tabs>
      <w:suppressAutoHyphens/>
      <w:spacing w:before="240" w:after="120" w:line="240" w:lineRule="auto"/>
      <w:ind w:left="732" w:hanging="301"/>
      <w:jc w:val="both"/>
    </w:pPr>
    <w:rPr>
      <w:rFonts w:eastAsia="Times New Roman"/>
      <w:i/>
      <w:szCs w:val="20"/>
      <w:lang w:val="en-GB" w:eastAsia="fr-FR"/>
    </w:rPr>
  </w:style>
  <w:style w:type="character" w:customStyle="1" w:styleId="JuParaChar">
    <w:name w:val="Ju_Para Char"/>
    <w:aliases w:val="_Para Char,ECHR_Para Char"/>
    <w:link w:val="JuPara0"/>
    <w:uiPriority w:val="12"/>
    <w:rsid w:val="007B753D"/>
    <w:rPr>
      <w:rFonts w:ascii="Times New Roman" w:eastAsia="Times New Roman" w:hAnsi="Times New Roman" w:cs="Times New Roman"/>
      <w:sz w:val="24"/>
      <w:szCs w:val="20"/>
      <w:lang w:val="en-GB" w:eastAsia="fr-FR"/>
    </w:rPr>
  </w:style>
  <w:style w:type="character" w:customStyle="1" w:styleId="ju-005fpara-002cleft-002cfirst-0020line-003a-0020-00200-0020cm--char">
    <w:name w:val="ju-005fpara-002cleft-002cfirst-0020line-003a-0020-00200-0020cm--char"/>
    <w:rsid w:val="007B753D"/>
  </w:style>
  <w:style w:type="character" w:customStyle="1" w:styleId="Bodytext8">
    <w:name w:val="Body text (8)_"/>
    <w:link w:val="Bodytext81"/>
    <w:uiPriority w:val="99"/>
    <w:locked/>
    <w:rsid w:val="007B753D"/>
    <w:rPr>
      <w:b/>
      <w:bCs/>
      <w:sz w:val="15"/>
      <w:szCs w:val="15"/>
      <w:shd w:val="clear" w:color="auto" w:fill="FFFFFF"/>
    </w:rPr>
  </w:style>
  <w:style w:type="paragraph" w:customStyle="1" w:styleId="Bodytext81">
    <w:name w:val="Body text (8)1"/>
    <w:basedOn w:val="Normal"/>
    <w:link w:val="Bodytext8"/>
    <w:uiPriority w:val="99"/>
    <w:rsid w:val="007B753D"/>
    <w:pPr>
      <w:widowControl w:val="0"/>
      <w:shd w:val="clear" w:color="auto" w:fill="FFFFFF"/>
      <w:spacing w:line="200" w:lineRule="exact"/>
      <w:ind w:hanging="260"/>
    </w:pPr>
    <w:rPr>
      <w:rFonts w:asciiTheme="minorHAnsi" w:eastAsiaTheme="minorHAnsi" w:hAnsiTheme="minorHAnsi" w:cstheme="minorBidi"/>
      <w:b/>
      <w:bCs/>
      <w:sz w:val="15"/>
      <w:szCs w:val="15"/>
    </w:rPr>
  </w:style>
  <w:style w:type="character" w:customStyle="1" w:styleId="Bodytext28pt">
    <w:name w:val="Body text (2) + 8 pt"/>
    <w:aliases w:val="Italic15"/>
    <w:uiPriority w:val="99"/>
    <w:rsid w:val="007B753D"/>
    <w:rPr>
      <w:rFonts w:ascii="Times New Roman" w:hAnsi="Times New Roman" w:cs="Times New Roman"/>
      <w:i/>
      <w:iCs/>
      <w:sz w:val="16"/>
      <w:szCs w:val="16"/>
      <w:u w:val="none"/>
      <w:shd w:val="clear" w:color="auto" w:fill="FFFFFF"/>
    </w:rPr>
  </w:style>
  <w:style w:type="character" w:customStyle="1" w:styleId="Bodytext275pt">
    <w:name w:val="Body text (2) + 7.5 pt"/>
    <w:uiPriority w:val="99"/>
    <w:rsid w:val="007B753D"/>
    <w:rPr>
      <w:rFonts w:ascii="Times New Roman" w:hAnsi="Times New Roman" w:cs="Times New Roman"/>
      <w:sz w:val="15"/>
      <w:szCs w:val="15"/>
      <w:u w:val="none"/>
      <w:shd w:val="clear" w:color="auto" w:fill="FFFFFF"/>
    </w:rPr>
  </w:style>
  <w:style w:type="character" w:customStyle="1" w:styleId="Bodytext3">
    <w:name w:val="Body text (3)_"/>
    <w:link w:val="Bodytext31"/>
    <w:uiPriority w:val="99"/>
    <w:rsid w:val="007B753D"/>
    <w:rPr>
      <w:i/>
      <w:iCs/>
      <w:sz w:val="16"/>
      <w:szCs w:val="16"/>
      <w:shd w:val="clear" w:color="auto" w:fill="FFFFFF"/>
    </w:rPr>
  </w:style>
  <w:style w:type="paragraph" w:customStyle="1" w:styleId="Bodytext31">
    <w:name w:val="Body text (3)1"/>
    <w:basedOn w:val="Normal"/>
    <w:link w:val="Bodytext3"/>
    <w:uiPriority w:val="99"/>
    <w:rsid w:val="007B753D"/>
    <w:pPr>
      <w:widowControl w:val="0"/>
      <w:shd w:val="clear" w:color="auto" w:fill="FFFFFF"/>
      <w:spacing w:before="180" w:line="202" w:lineRule="exact"/>
      <w:ind w:hanging="480"/>
      <w:jc w:val="both"/>
    </w:pPr>
    <w:rPr>
      <w:rFonts w:asciiTheme="minorHAnsi" w:eastAsiaTheme="minorHAnsi" w:hAnsiTheme="minorHAnsi" w:cstheme="minorBidi"/>
      <w:i/>
      <w:iCs/>
      <w:sz w:val="16"/>
      <w:szCs w:val="16"/>
    </w:rPr>
  </w:style>
  <w:style w:type="paragraph" w:customStyle="1" w:styleId="StyleBoldJustified">
    <w:name w:val="Style Bold Justified"/>
    <w:basedOn w:val="Normal"/>
    <w:autoRedefine/>
    <w:rsid w:val="007B753D"/>
    <w:pPr>
      <w:spacing w:line="240" w:lineRule="auto"/>
      <w:jc w:val="both"/>
    </w:pPr>
    <w:rPr>
      <w:rFonts w:eastAsia="Times New Roman"/>
      <w:b/>
      <w:bCs/>
      <w:szCs w:val="20"/>
      <w:lang w:val="en-GB"/>
    </w:rPr>
  </w:style>
  <w:style w:type="paragraph" w:customStyle="1" w:styleId="StyleBoldCenteredAfter4pt">
    <w:name w:val="Style Bold Centered After:  4 pt"/>
    <w:basedOn w:val="Normal"/>
    <w:autoRedefine/>
    <w:rsid w:val="007B753D"/>
    <w:pPr>
      <w:spacing w:after="80" w:line="240" w:lineRule="auto"/>
      <w:jc w:val="center"/>
    </w:pPr>
    <w:rPr>
      <w:rFonts w:eastAsia="Times New Roman"/>
      <w:b/>
      <w:bCs/>
      <w:szCs w:val="20"/>
      <w:lang w:val="en-GB"/>
    </w:rPr>
  </w:style>
  <w:style w:type="paragraph" w:customStyle="1" w:styleId="StyleJustifiedLeft15Hanging15">
    <w:name w:val="Style Justified Left:  1.5&quot; Hanging:  1.5&quot;"/>
    <w:basedOn w:val="Normal"/>
    <w:autoRedefine/>
    <w:rsid w:val="007B753D"/>
    <w:pPr>
      <w:spacing w:line="240" w:lineRule="auto"/>
      <w:ind w:left="4320" w:hanging="2160"/>
      <w:jc w:val="both"/>
    </w:pPr>
    <w:rPr>
      <w:rFonts w:eastAsia="Times New Roman"/>
      <w:szCs w:val="20"/>
      <w:lang w:val="en-GB"/>
    </w:rPr>
  </w:style>
  <w:style w:type="character" w:customStyle="1" w:styleId="s68f5eaef">
    <w:name w:val="s68f5eaef"/>
    <w:rsid w:val="007B753D"/>
  </w:style>
  <w:style w:type="character" w:styleId="FollowedHyperlink">
    <w:name w:val="FollowedHyperlink"/>
    <w:uiPriority w:val="99"/>
    <w:semiHidden/>
    <w:unhideWhenUsed/>
    <w:rsid w:val="007B753D"/>
    <w:rPr>
      <w:color w:val="954F72"/>
      <w:u w:val="single"/>
    </w:rPr>
  </w:style>
  <w:style w:type="character" w:customStyle="1" w:styleId="JuParaCar">
    <w:name w:val="Ju_Para Car"/>
    <w:locked/>
    <w:rsid w:val="007B753D"/>
    <w:rPr>
      <w:rFonts w:ascii="Times New Roman" w:eastAsia="Times New Roman" w:hAnsi="Times New Roman"/>
      <w:szCs w:val="24"/>
      <w:lang w:val="en-GB" w:eastAsia="fr-FR"/>
    </w:rPr>
  </w:style>
  <w:style w:type="paragraph" w:styleId="PlainText">
    <w:name w:val="Plain Text"/>
    <w:basedOn w:val="Normal"/>
    <w:link w:val="PlainTextChar"/>
    <w:uiPriority w:val="99"/>
    <w:semiHidden/>
    <w:unhideWhenUsed/>
    <w:rsid w:val="007B753D"/>
    <w:pPr>
      <w:spacing w:line="240" w:lineRule="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7B753D"/>
    <w:rPr>
      <w:rFonts w:ascii="Calibri" w:hAnsi="Calibri"/>
      <w:szCs w:val="21"/>
    </w:rPr>
  </w:style>
  <w:style w:type="numbering" w:customStyle="1" w:styleId="ECHRA1StyleList">
    <w:name w:val="ECHR_A1_Style_List"/>
    <w:basedOn w:val="NoList"/>
    <w:uiPriority w:val="99"/>
    <w:rsid w:val="007B753D"/>
    <w:pPr>
      <w:numPr>
        <w:numId w:val="2"/>
      </w:numPr>
    </w:pPr>
  </w:style>
  <w:style w:type="paragraph" w:customStyle="1" w:styleId="JuList">
    <w:name w:val="Ju_List"/>
    <w:aliases w:val="_List_1"/>
    <w:basedOn w:val="Normal"/>
    <w:qFormat/>
    <w:rsid w:val="007B753D"/>
    <w:pPr>
      <w:numPr>
        <w:numId w:val="3"/>
      </w:numPr>
      <w:tabs>
        <w:tab w:val="clear" w:pos="340"/>
      </w:tabs>
      <w:spacing w:before="280" w:after="60" w:line="240" w:lineRule="auto"/>
      <w:ind w:left="0" w:firstLine="0"/>
      <w:jc w:val="both"/>
    </w:pPr>
  </w:style>
  <w:style w:type="paragraph" w:customStyle="1" w:styleId="JuLista">
    <w:name w:val="Ju_List_a"/>
    <w:aliases w:val="_List_2"/>
    <w:basedOn w:val="Normal"/>
    <w:uiPriority w:val="23"/>
    <w:rsid w:val="007B753D"/>
    <w:pPr>
      <w:numPr>
        <w:ilvl w:val="1"/>
        <w:numId w:val="3"/>
      </w:numPr>
      <w:tabs>
        <w:tab w:val="clear" w:pos="680"/>
      </w:tabs>
      <w:spacing w:line="240" w:lineRule="auto"/>
      <w:ind w:left="357" w:hanging="357"/>
      <w:jc w:val="both"/>
    </w:pPr>
  </w:style>
  <w:style w:type="paragraph" w:customStyle="1" w:styleId="JuListi">
    <w:name w:val="Ju_List_i"/>
    <w:aliases w:val="_List_3"/>
    <w:basedOn w:val="Normal"/>
    <w:uiPriority w:val="23"/>
    <w:rsid w:val="007B753D"/>
    <w:pPr>
      <w:numPr>
        <w:ilvl w:val="2"/>
        <w:numId w:val="3"/>
      </w:numPr>
      <w:spacing w:line="240" w:lineRule="auto"/>
      <w:ind w:left="584" w:hanging="352"/>
      <w:jc w:val="both"/>
    </w:pPr>
  </w:style>
  <w:style w:type="character" w:customStyle="1" w:styleId="ju-005fquot--char">
    <w:name w:val="ju-005fquot--char"/>
    <w:rsid w:val="007B753D"/>
    <w:rPr>
      <w:rFonts w:cs="Times New Roman"/>
    </w:rPr>
  </w:style>
  <w:style w:type="character" w:customStyle="1" w:styleId="jlqj4b">
    <w:name w:val="jlqj4b"/>
    <w:basedOn w:val="DefaultParagraphFont"/>
    <w:rsid w:val="007B753D"/>
  </w:style>
  <w:style w:type="character" w:customStyle="1" w:styleId="a">
    <w:name w:val="_"/>
    <w:basedOn w:val="DefaultParagraphFont"/>
    <w:rsid w:val="007B753D"/>
  </w:style>
  <w:style w:type="character" w:customStyle="1" w:styleId="ff3">
    <w:name w:val="ff3"/>
    <w:basedOn w:val="DefaultParagraphFont"/>
    <w:rsid w:val="007B753D"/>
  </w:style>
  <w:style w:type="character" w:customStyle="1" w:styleId="ff2">
    <w:name w:val="ff2"/>
    <w:basedOn w:val="DefaultParagraphFont"/>
    <w:rsid w:val="007B753D"/>
  </w:style>
  <w:style w:type="character" w:customStyle="1" w:styleId="s7d2086b4">
    <w:name w:val="s7d2086b4"/>
    <w:basedOn w:val="DefaultParagraphFont"/>
    <w:rsid w:val="007B753D"/>
  </w:style>
  <w:style w:type="character" w:styleId="PageNumber">
    <w:name w:val="page number"/>
    <w:basedOn w:val="DefaultParagraphFont"/>
    <w:rsid w:val="007B753D"/>
  </w:style>
  <w:style w:type="character" w:styleId="Emphasis">
    <w:name w:val="Emphasis"/>
    <w:basedOn w:val="DefaultParagraphFont"/>
    <w:uiPriority w:val="20"/>
    <w:qFormat/>
    <w:rsid w:val="007B753D"/>
    <w:rPr>
      <w:i/>
      <w:iCs/>
    </w:rPr>
  </w:style>
  <w:style w:type="character" w:styleId="PlaceholderText">
    <w:name w:val="Placeholder Text"/>
    <w:basedOn w:val="DefaultParagraphFont"/>
    <w:uiPriority w:val="99"/>
    <w:semiHidden/>
    <w:rsid w:val="007B753D"/>
    <w:rPr>
      <w:color w:val="808080"/>
    </w:rPr>
  </w:style>
  <w:style w:type="paragraph" w:customStyle="1" w:styleId="Level1">
    <w:name w:val="_Level 1"/>
    <w:basedOn w:val="Normal"/>
    <w:qFormat/>
    <w:rsid w:val="007B753D"/>
    <w:pPr>
      <w:keepNext/>
      <w:keepLines/>
      <w:numPr>
        <w:numId w:val="4"/>
      </w:numPr>
      <w:suppressAutoHyphens/>
      <w:spacing w:before="100" w:beforeAutospacing="1" w:after="100" w:afterAutospacing="1"/>
      <w:jc w:val="both"/>
      <w:outlineLvl w:val="0"/>
    </w:pPr>
    <w:rPr>
      <w:rFonts w:ascii="Book Antiqua" w:eastAsia="Times New Roman" w:hAnsi="Book Antiqua" w:cs="Tahoma"/>
      <w:b/>
      <w:lang w:val="en-GB" w:eastAsia="fr-FR"/>
    </w:rPr>
  </w:style>
  <w:style w:type="character" w:customStyle="1" w:styleId="xcontentpasted0">
    <w:name w:val="x_contentpasted0"/>
    <w:basedOn w:val="DefaultParagraphFont"/>
    <w:rsid w:val="007B753D"/>
  </w:style>
  <w:style w:type="character" w:customStyle="1" w:styleId="markedcontent">
    <w:name w:val="markedcontent"/>
    <w:rsid w:val="007B753D"/>
  </w:style>
  <w:style w:type="character" w:customStyle="1" w:styleId="highlight">
    <w:name w:val="highlight"/>
    <w:basedOn w:val="DefaultParagraphFont"/>
    <w:rsid w:val="007B753D"/>
  </w:style>
  <w:style w:type="paragraph" w:customStyle="1" w:styleId="Paragrafi0">
    <w:name w:val="Paragrafi"/>
    <w:link w:val="ParagrafiChar"/>
    <w:qFormat/>
    <w:rsid w:val="007B753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0"/>
    <w:locked/>
    <w:rsid w:val="007B753D"/>
    <w:rPr>
      <w:rFonts w:ascii="Garamond" w:eastAsia="MS Mincho" w:hAnsi="Garamond" w:cs="CG Times"/>
      <w:sz w:val="24"/>
      <w:lang w:val="en-US"/>
    </w:rPr>
  </w:style>
  <w:style w:type="character" w:customStyle="1" w:styleId="sa36b60a1">
    <w:name w:val="sa36b60a1"/>
    <w:basedOn w:val="DefaultParagraphFont"/>
    <w:rsid w:val="00712410"/>
  </w:style>
  <w:style w:type="character" w:customStyle="1" w:styleId="sbb9ee52a">
    <w:name w:val="sbb9ee52a"/>
    <w:basedOn w:val="DefaultParagraphFont"/>
    <w:rsid w:val="002B47B9"/>
  </w:style>
  <w:style w:type="table" w:styleId="TableGrid">
    <w:name w:val="Table Grid"/>
    <w:basedOn w:val="TableNormal"/>
    <w:uiPriority w:val="39"/>
    <w:rsid w:val="00412C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459894">
      <w:bodyDiv w:val="1"/>
      <w:marLeft w:val="0"/>
      <w:marRight w:val="0"/>
      <w:marTop w:val="0"/>
      <w:marBottom w:val="0"/>
      <w:divBdr>
        <w:top w:val="none" w:sz="0" w:space="0" w:color="auto"/>
        <w:left w:val="none" w:sz="0" w:space="0" w:color="auto"/>
        <w:bottom w:val="none" w:sz="0" w:space="0" w:color="auto"/>
        <w:right w:val="none" w:sz="0" w:space="0" w:color="auto"/>
      </w:divBdr>
    </w:div>
    <w:div w:id="229855508">
      <w:bodyDiv w:val="1"/>
      <w:marLeft w:val="0"/>
      <w:marRight w:val="0"/>
      <w:marTop w:val="0"/>
      <w:marBottom w:val="0"/>
      <w:divBdr>
        <w:top w:val="none" w:sz="0" w:space="0" w:color="auto"/>
        <w:left w:val="none" w:sz="0" w:space="0" w:color="auto"/>
        <w:bottom w:val="none" w:sz="0" w:space="0" w:color="auto"/>
        <w:right w:val="none" w:sz="0" w:space="0" w:color="auto"/>
      </w:divBdr>
    </w:div>
    <w:div w:id="272908784">
      <w:bodyDiv w:val="1"/>
      <w:marLeft w:val="0"/>
      <w:marRight w:val="0"/>
      <w:marTop w:val="0"/>
      <w:marBottom w:val="0"/>
      <w:divBdr>
        <w:top w:val="none" w:sz="0" w:space="0" w:color="auto"/>
        <w:left w:val="none" w:sz="0" w:space="0" w:color="auto"/>
        <w:bottom w:val="none" w:sz="0" w:space="0" w:color="auto"/>
        <w:right w:val="none" w:sz="0" w:space="0" w:color="auto"/>
      </w:divBdr>
    </w:div>
    <w:div w:id="477115013">
      <w:bodyDiv w:val="1"/>
      <w:marLeft w:val="0"/>
      <w:marRight w:val="0"/>
      <w:marTop w:val="0"/>
      <w:marBottom w:val="0"/>
      <w:divBdr>
        <w:top w:val="none" w:sz="0" w:space="0" w:color="auto"/>
        <w:left w:val="none" w:sz="0" w:space="0" w:color="auto"/>
        <w:bottom w:val="none" w:sz="0" w:space="0" w:color="auto"/>
        <w:right w:val="none" w:sz="0" w:space="0" w:color="auto"/>
      </w:divBdr>
    </w:div>
    <w:div w:id="508368189">
      <w:bodyDiv w:val="1"/>
      <w:marLeft w:val="0"/>
      <w:marRight w:val="0"/>
      <w:marTop w:val="0"/>
      <w:marBottom w:val="0"/>
      <w:divBdr>
        <w:top w:val="none" w:sz="0" w:space="0" w:color="auto"/>
        <w:left w:val="none" w:sz="0" w:space="0" w:color="auto"/>
        <w:bottom w:val="none" w:sz="0" w:space="0" w:color="auto"/>
        <w:right w:val="none" w:sz="0" w:space="0" w:color="auto"/>
      </w:divBdr>
    </w:div>
    <w:div w:id="785808245">
      <w:bodyDiv w:val="1"/>
      <w:marLeft w:val="0"/>
      <w:marRight w:val="0"/>
      <w:marTop w:val="0"/>
      <w:marBottom w:val="0"/>
      <w:divBdr>
        <w:top w:val="none" w:sz="0" w:space="0" w:color="auto"/>
        <w:left w:val="none" w:sz="0" w:space="0" w:color="auto"/>
        <w:bottom w:val="none" w:sz="0" w:space="0" w:color="auto"/>
        <w:right w:val="none" w:sz="0" w:space="0" w:color="auto"/>
      </w:divBdr>
      <w:divsChild>
        <w:div w:id="1261181286">
          <w:marLeft w:val="0"/>
          <w:marRight w:val="0"/>
          <w:marTop w:val="0"/>
          <w:marBottom w:val="0"/>
          <w:divBdr>
            <w:top w:val="none" w:sz="0" w:space="0" w:color="auto"/>
            <w:left w:val="none" w:sz="0" w:space="0" w:color="auto"/>
            <w:bottom w:val="none" w:sz="0" w:space="0" w:color="auto"/>
            <w:right w:val="none" w:sz="0" w:space="0" w:color="auto"/>
          </w:divBdr>
        </w:div>
        <w:div w:id="1595212820">
          <w:marLeft w:val="0"/>
          <w:marRight w:val="0"/>
          <w:marTop w:val="0"/>
          <w:marBottom w:val="0"/>
          <w:divBdr>
            <w:top w:val="none" w:sz="0" w:space="0" w:color="auto"/>
            <w:left w:val="none" w:sz="0" w:space="0" w:color="auto"/>
            <w:bottom w:val="none" w:sz="0" w:space="0" w:color="auto"/>
            <w:right w:val="none" w:sz="0" w:space="0" w:color="auto"/>
          </w:divBdr>
        </w:div>
        <w:div w:id="28654374">
          <w:marLeft w:val="0"/>
          <w:marRight w:val="0"/>
          <w:marTop w:val="0"/>
          <w:marBottom w:val="0"/>
          <w:divBdr>
            <w:top w:val="none" w:sz="0" w:space="0" w:color="auto"/>
            <w:left w:val="none" w:sz="0" w:space="0" w:color="auto"/>
            <w:bottom w:val="none" w:sz="0" w:space="0" w:color="auto"/>
            <w:right w:val="none" w:sz="0" w:space="0" w:color="auto"/>
          </w:divBdr>
        </w:div>
      </w:divsChild>
    </w:div>
    <w:div w:id="1016153876">
      <w:bodyDiv w:val="1"/>
      <w:marLeft w:val="0"/>
      <w:marRight w:val="0"/>
      <w:marTop w:val="0"/>
      <w:marBottom w:val="0"/>
      <w:divBdr>
        <w:top w:val="none" w:sz="0" w:space="0" w:color="auto"/>
        <w:left w:val="none" w:sz="0" w:space="0" w:color="auto"/>
        <w:bottom w:val="none" w:sz="0" w:space="0" w:color="auto"/>
        <w:right w:val="none" w:sz="0" w:space="0" w:color="auto"/>
      </w:divBdr>
    </w:div>
    <w:div w:id="1144857426">
      <w:bodyDiv w:val="1"/>
      <w:marLeft w:val="0"/>
      <w:marRight w:val="0"/>
      <w:marTop w:val="0"/>
      <w:marBottom w:val="0"/>
      <w:divBdr>
        <w:top w:val="none" w:sz="0" w:space="0" w:color="auto"/>
        <w:left w:val="none" w:sz="0" w:space="0" w:color="auto"/>
        <w:bottom w:val="none" w:sz="0" w:space="0" w:color="auto"/>
        <w:right w:val="none" w:sz="0" w:space="0" w:color="auto"/>
      </w:divBdr>
    </w:div>
    <w:div w:id="1162700833">
      <w:bodyDiv w:val="1"/>
      <w:marLeft w:val="0"/>
      <w:marRight w:val="0"/>
      <w:marTop w:val="0"/>
      <w:marBottom w:val="0"/>
      <w:divBdr>
        <w:top w:val="none" w:sz="0" w:space="0" w:color="auto"/>
        <w:left w:val="none" w:sz="0" w:space="0" w:color="auto"/>
        <w:bottom w:val="none" w:sz="0" w:space="0" w:color="auto"/>
        <w:right w:val="none" w:sz="0" w:space="0" w:color="auto"/>
      </w:divBdr>
      <w:divsChild>
        <w:div w:id="1898083468">
          <w:marLeft w:val="0"/>
          <w:marRight w:val="0"/>
          <w:marTop w:val="0"/>
          <w:marBottom w:val="0"/>
          <w:divBdr>
            <w:top w:val="none" w:sz="0" w:space="0" w:color="auto"/>
            <w:left w:val="none" w:sz="0" w:space="0" w:color="auto"/>
            <w:bottom w:val="none" w:sz="0" w:space="0" w:color="auto"/>
            <w:right w:val="none" w:sz="0" w:space="0" w:color="auto"/>
          </w:divBdr>
        </w:div>
        <w:div w:id="1086346572">
          <w:marLeft w:val="0"/>
          <w:marRight w:val="0"/>
          <w:marTop w:val="0"/>
          <w:marBottom w:val="0"/>
          <w:divBdr>
            <w:top w:val="none" w:sz="0" w:space="0" w:color="auto"/>
            <w:left w:val="none" w:sz="0" w:space="0" w:color="auto"/>
            <w:bottom w:val="none" w:sz="0" w:space="0" w:color="auto"/>
            <w:right w:val="none" w:sz="0" w:space="0" w:color="auto"/>
          </w:divBdr>
        </w:div>
        <w:div w:id="1948191809">
          <w:marLeft w:val="0"/>
          <w:marRight w:val="0"/>
          <w:marTop w:val="0"/>
          <w:marBottom w:val="0"/>
          <w:divBdr>
            <w:top w:val="none" w:sz="0" w:space="0" w:color="auto"/>
            <w:left w:val="none" w:sz="0" w:space="0" w:color="auto"/>
            <w:bottom w:val="none" w:sz="0" w:space="0" w:color="auto"/>
            <w:right w:val="none" w:sz="0" w:space="0" w:color="auto"/>
          </w:divBdr>
        </w:div>
        <w:div w:id="675959202">
          <w:marLeft w:val="0"/>
          <w:marRight w:val="0"/>
          <w:marTop w:val="0"/>
          <w:marBottom w:val="0"/>
          <w:divBdr>
            <w:top w:val="none" w:sz="0" w:space="0" w:color="auto"/>
            <w:left w:val="none" w:sz="0" w:space="0" w:color="auto"/>
            <w:bottom w:val="none" w:sz="0" w:space="0" w:color="auto"/>
            <w:right w:val="none" w:sz="0" w:space="0" w:color="auto"/>
          </w:divBdr>
        </w:div>
      </w:divsChild>
    </w:div>
    <w:div w:id="194472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Nr_x002e__x0020_akti>
    <Data_x0020_e_x0020_Krijimit xmlns="0e656187-b300-4fb0-8bf4-3a50f872073c">2025-04-14T13:10:48Z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2025-04-14T00:00:00Z</Date_x0020_protokolli>
    <Titulli xmlns="0e656187-b300-4fb0-8bf4-3a50f872073c">Me objekt shfuqizimin e vendimit nr. 00-2024-1447, datë 8.4.2024 të Kolegjit Administrativ të Gjykatës së Lartë, si i papajtueshëm me Kushtetutën e Republikës së Shqipërisë. Dërgimi i çështjes për rishqyrtim në Gjykatën e Lartë.</Titulli>
    <Modifikuesi xmlns="0e656187-b300-4fb0-8bf4-3a50f872073c">Suada.Daci</Modifikuesi>
    <Nr_x002e__x0020_prot_x0020_QBZ xmlns="0e656187-b300-4fb0-8bf4-3a50f872073c">634/1</Nr_x002e__x0020_prot_x0020_QBZ>
    <Data_x0020_e_x0020_Modifikimit xmlns="0e656187-b300-4fb0-8bf4-3a50f872073c">2025-04-14T13:28:23Z</Data_x0020_e_x0020_Modifikimit>
    <Dekretuar xmlns="0e656187-b300-4fb0-8bf4-3a50f872073c">false</Dekretuar>
    <Data xmlns="0e656187-b300-4fb0-8bf4-3a50f872073c">2025-03-13T00:00:00Z</Data>
    <Nr_x002e__x0020_protokolli_x0020_i_x0020_aktit xmlns="0e656187-b300-4fb0-8bf4-3a50f872073c">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3C79F4886F6455C9E9DABEE61015F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3C79F4886F6455C9E9DABEE61015F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01EB7-073E-4CA0-9C38-CA5E2D797D27}">
  <ds:schemaRefs>
    <ds:schemaRef ds:uri="http://schemas.microsoft.com/office/2006/metadata/properties"/>
    <ds:schemaRef ds:uri="http://www.w3.org/XML/1998/namespace"/>
    <ds:schemaRef ds:uri="0e656187-b300-4fb0-8bf4-3a50f872073c"/>
    <ds:schemaRef ds:uri="http://purl.org/dc/elements/1.1/"/>
    <ds:schemaRef ds:uri="http://schemas.microsoft.com/office/2006/documentManagement/types"/>
    <ds:schemaRef ds:uri="http://purl.org/dc/dcmityp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3DF39343-D008-421B-B9DB-5F891A856F2E}">
  <ds:schemaRefs>
    <ds:schemaRef ds:uri="http://schemas.microsoft.com/sharepoint/v3/contenttype/forms"/>
  </ds:schemaRefs>
</ds:datastoreItem>
</file>

<file path=customXml/itemProps3.xml><?xml version="1.0" encoding="utf-8"?>
<ds:datastoreItem xmlns:ds="http://schemas.openxmlformats.org/officeDocument/2006/customXml" ds:itemID="{0C7A75B8-BD0B-42A1-BE72-DA38CFF20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C3F8C88-B613-422A-B2BC-D71920DEA528}">
  <ds:schemaRefs>
    <ds:schemaRef ds:uri="http://schemas.microsoft.com/sharepoint/v3/contenttype/forms"/>
  </ds:schemaRefs>
</ds:datastoreItem>
</file>

<file path=customXml/itemProps5.xml><?xml version="1.0" encoding="utf-8"?>
<ds:datastoreItem xmlns:ds="http://schemas.openxmlformats.org/officeDocument/2006/customXml" ds:itemID="{09B8260C-B70A-4F55-A01C-91EE36B86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CB715E6-2BBE-4912-92CE-6669B9818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4959</Words>
  <Characters>28269</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Me objekt shfuqizimin e vendimit nr. 00-2024-1447, datë 8.4.2024 të Kolegjit Administrativ të Gjykatës së Lartë, si i papajtueshëm me Kushtetutën e Republikës së Shqipërisë. Dërgimi i çështjes për rishqyrtim në Gjykatën e Lartë.</vt:lpstr>
    </vt:vector>
  </TitlesOfParts>
  <Company/>
  <LinksUpToDate>false</LinksUpToDate>
  <CharactersWithSpaces>33162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00-2024-1447, datë 8.4.2024 të Kolegjit Administrativ të Gjykatës së Lartë, si i papajtueshëm me Kushtetutën e Republikës së Shqipërisë. Dërgimi i çështjes për rishqyrtim në Gjykatën e Lartë.</dc:title>
  <dc:creator>gj k</dc:creator>
  <cp:lastModifiedBy>Fjora Cahani</cp:lastModifiedBy>
  <cp:revision>13</cp:revision>
  <cp:lastPrinted>2025-04-04T08:13:00Z</cp:lastPrinted>
  <dcterms:created xsi:type="dcterms:W3CDTF">2025-04-14T12:16:00Z</dcterms:created>
  <dcterms:modified xsi:type="dcterms:W3CDTF">2025-04-14T12:51:00Z</dcterms:modified>
</cp:coreProperties>
</file>