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15CF" w:rsidRPr="006B4A99" w:rsidRDefault="00DA15CF" w:rsidP="00DA15CF">
      <w:pPr>
        <w:autoSpaceDE w:val="0"/>
        <w:autoSpaceDN w:val="0"/>
        <w:adjustRightInd w:val="0"/>
        <w:spacing w:line="240" w:lineRule="auto"/>
        <w:ind w:firstLine="284"/>
        <w:jc w:val="center"/>
        <w:rPr>
          <w:rFonts w:ascii="Garamond" w:hAnsi="Garamond"/>
          <w:b/>
          <w:bCs/>
          <w:color w:val="000000"/>
        </w:rPr>
      </w:pPr>
      <w:r w:rsidRPr="006B4A99">
        <w:rPr>
          <w:rFonts w:ascii="Garamond" w:hAnsi="Garamond"/>
          <w:b/>
          <w:bCs/>
          <w:color w:val="000000"/>
        </w:rPr>
        <w:t>VENDIM</w:t>
      </w:r>
    </w:p>
    <w:p w:rsidR="00DA15CF" w:rsidRPr="006B4A99" w:rsidRDefault="00DA15CF" w:rsidP="00DA15CF">
      <w:pPr>
        <w:autoSpaceDE w:val="0"/>
        <w:autoSpaceDN w:val="0"/>
        <w:adjustRightInd w:val="0"/>
        <w:spacing w:line="240" w:lineRule="auto"/>
        <w:ind w:firstLine="284"/>
        <w:jc w:val="center"/>
        <w:rPr>
          <w:rFonts w:ascii="Garamond" w:hAnsi="Garamond"/>
          <w:b/>
          <w:bCs/>
          <w:color w:val="000000"/>
        </w:rPr>
      </w:pPr>
      <w:r w:rsidRPr="006B4A99">
        <w:rPr>
          <w:rFonts w:ascii="Garamond" w:hAnsi="Garamond"/>
          <w:b/>
          <w:bCs/>
          <w:color w:val="000000"/>
        </w:rPr>
        <w:t>Nr. 27, datë 29.4.2025</w:t>
      </w:r>
    </w:p>
    <w:p w:rsidR="00DA15CF" w:rsidRPr="006B4A99" w:rsidRDefault="00DA15CF" w:rsidP="00DA15CF">
      <w:pPr>
        <w:autoSpaceDE w:val="0"/>
        <w:autoSpaceDN w:val="0"/>
        <w:adjustRightInd w:val="0"/>
        <w:spacing w:line="240" w:lineRule="auto"/>
        <w:ind w:firstLine="284"/>
        <w:jc w:val="center"/>
        <w:rPr>
          <w:rFonts w:ascii="Garamond" w:hAnsi="Garamond"/>
          <w:b/>
          <w:bCs/>
          <w:color w:val="000000"/>
        </w:rPr>
      </w:pPr>
    </w:p>
    <w:p w:rsidR="00DA15CF" w:rsidRPr="006B4A99" w:rsidRDefault="00DA15CF" w:rsidP="00DA15CF">
      <w:pPr>
        <w:autoSpaceDE w:val="0"/>
        <w:autoSpaceDN w:val="0"/>
        <w:adjustRightInd w:val="0"/>
        <w:spacing w:line="240" w:lineRule="auto"/>
        <w:ind w:firstLine="284"/>
        <w:jc w:val="center"/>
        <w:rPr>
          <w:rFonts w:ascii="Garamond" w:hAnsi="Garamond"/>
          <w:b/>
          <w:bCs/>
          <w:color w:val="000000"/>
        </w:rPr>
      </w:pPr>
      <w:r w:rsidRPr="006B4A99">
        <w:rPr>
          <w:rFonts w:ascii="Garamond" w:hAnsi="Garamond"/>
          <w:b/>
          <w:bCs/>
          <w:color w:val="000000"/>
        </w:rPr>
        <w:t>NË EMËR TË REPUBLIKËS SË SHQIPËRISË</w:t>
      </w:r>
    </w:p>
    <w:p w:rsidR="00DA15CF" w:rsidRPr="006B4A99" w:rsidRDefault="00DA15CF" w:rsidP="00DA15CF">
      <w:pPr>
        <w:autoSpaceDE w:val="0"/>
        <w:autoSpaceDN w:val="0"/>
        <w:adjustRightInd w:val="0"/>
        <w:spacing w:line="240" w:lineRule="auto"/>
        <w:ind w:firstLine="284"/>
        <w:jc w:val="both"/>
        <w:rPr>
          <w:rFonts w:ascii="Garamond" w:hAnsi="Garamond"/>
          <w:color w:val="000000"/>
        </w:rPr>
      </w:pPr>
    </w:p>
    <w:p w:rsidR="00DA15CF" w:rsidRPr="006B4A99" w:rsidRDefault="00DA15CF" w:rsidP="00DA15CF">
      <w:pPr>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60"/>
      </w:tblGrid>
      <w:tr w:rsidR="00DA15CF" w:rsidRPr="006B4A99" w:rsidTr="00825C0D">
        <w:tc>
          <w:tcPr>
            <w:tcW w:w="2263" w:type="dxa"/>
          </w:tcPr>
          <w:p w:rsidR="00DA15CF" w:rsidRPr="006B4A99" w:rsidRDefault="00DA15CF" w:rsidP="00DA15CF">
            <w:pPr>
              <w:autoSpaceDE w:val="0"/>
              <w:autoSpaceDN w:val="0"/>
              <w:adjustRightInd w:val="0"/>
              <w:spacing w:line="240" w:lineRule="auto"/>
              <w:jc w:val="both"/>
              <w:rPr>
                <w:rFonts w:ascii="Garamond" w:hAnsi="Garamond"/>
                <w:color w:val="000000"/>
              </w:rPr>
            </w:pPr>
            <w:proofErr w:type="spellStart"/>
            <w:r w:rsidRPr="006B4A99">
              <w:rPr>
                <w:rFonts w:ascii="Garamond" w:hAnsi="Garamond"/>
                <w:color w:val="000000"/>
              </w:rPr>
              <w:t>Holta</w:t>
            </w:r>
            <w:proofErr w:type="spellEnd"/>
            <w:r w:rsidRPr="006B4A99">
              <w:rPr>
                <w:rFonts w:ascii="Garamond" w:hAnsi="Garamond"/>
                <w:color w:val="000000"/>
              </w:rPr>
              <w:t xml:space="preserve"> </w:t>
            </w:r>
            <w:proofErr w:type="spellStart"/>
            <w:r w:rsidRPr="006B4A99">
              <w:rPr>
                <w:rFonts w:ascii="Garamond" w:hAnsi="Garamond"/>
                <w:color w:val="000000"/>
              </w:rPr>
              <w:t>Zaçaj</w:t>
            </w:r>
            <w:proofErr w:type="spellEnd"/>
          </w:p>
        </w:tc>
        <w:tc>
          <w:tcPr>
            <w:tcW w:w="1560" w:type="dxa"/>
          </w:tcPr>
          <w:p w:rsidR="00DA15CF" w:rsidRPr="006B4A99" w:rsidRDefault="00932882" w:rsidP="00DA15CF">
            <w:pPr>
              <w:autoSpaceDE w:val="0"/>
              <w:autoSpaceDN w:val="0"/>
              <w:adjustRightInd w:val="0"/>
              <w:spacing w:line="240" w:lineRule="auto"/>
              <w:jc w:val="both"/>
              <w:rPr>
                <w:rFonts w:ascii="Garamond" w:hAnsi="Garamond"/>
                <w:color w:val="000000"/>
              </w:rPr>
            </w:pPr>
            <w:r w:rsidRPr="006B4A99">
              <w:rPr>
                <w:rFonts w:ascii="Garamond" w:hAnsi="Garamond"/>
                <w:color w:val="000000"/>
              </w:rPr>
              <w:t>kryetare;</w:t>
            </w:r>
          </w:p>
        </w:tc>
      </w:tr>
      <w:tr w:rsidR="00DA15CF" w:rsidRPr="006B4A99" w:rsidTr="00825C0D">
        <w:tc>
          <w:tcPr>
            <w:tcW w:w="2263" w:type="dxa"/>
          </w:tcPr>
          <w:p w:rsidR="00DA15CF" w:rsidRPr="006B4A99" w:rsidRDefault="00DA15CF" w:rsidP="00DA15CF">
            <w:pPr>
              <w:autoSpaceDE w:val="0"/>
              <w:autoSpaceDN w:val="0"/>
              <w:adjustRightInd w:val="0"/>
              <w:spacing w:line="240" w:lineRule="auto"/>
              <w:jc w:val="both"/>
              <w:rPr>
                <w:rFonts w:ascii="Garamond" w:hAnsi="Garamond"/>
                <w:color w:val="000000"/>
              </w:rPr>
            </w:pPr>
            <w:proofErr w:type="spellStart"/>
            <w:r w:rsidRPr="006B4A99">
              <w:rPr>
                <w:rFonts w:ascii="Garamond" w:hAnsi="Garamond"/>
                <w:color w:val="000000"/>
              </w:rPr>
              <w:t>Marsida</w:t>
            </w:r>
            <w:proofErr w:type="spellEnd"/>
            <w:r w:rsidRPr="006B4A99">
              <w:rPr>
                <w:rFonts w:ascii="Garamond" w:hAnsi="Garamond"/>
                <w:color w:val="000000"/>
              </w:rPr>
              <w:t xml:space="preserve"> </w:t>
            </w:r>
            <w:proofErr w:type="spellStart"/>
            <w:r w:rsidRPr="006B4A99">
              <w:rPr>
                <w:rFonts w:ascii="Garamond" w:hAnsi="Garamond"/>
                <w:color w:val="000000"/>
              </w:rPr>
              <w:t>Xhaferllari</w:t>
            </w:r>
            <w:proofErr w:type="spellEnd"/>
          </w:p>
        </w:tc>
        <w:tc>
          <w:tcPr>
            <w:tcW w:w="1560" w:type="dxa"/>
          </w:tcPr>
          <w:p w:rsidR="00DA15CF" w:rsidRPr="006B4A99" w:rsidRDefault="00932882" w:rsidP="00DA15CF">
            <w:pPr>
              <w:autoSpaceDE w:val="0"/>
              <w:autoSpaceDN w:val="0"/>
              <w:adjustRightInd w:val="0"/>
              <w:spacing w:line="240" w:lineRule="auto"/>
              <w:jc w:val="both"/>
              <w:rPr>
                <w:rFonts w:ascii="Garamond" w:hAnsi="Garamond"/>
                <w:color w:val="000000"/>
              </w:rPr>
            </w:pPr>
            <w:r w:rsidRPr="006B4A99">
              <w:rPr>
                <w:rFonts w:ascii="Garamond" w:hAnsi="Garamond"/>
                <w:color w:val="000000"/>
              </w:rPr>
              <w:t>anëtare;</w:t>
            </w:r>
          </w:p>
        </w:tc>
      </w:tr>
      <w:tr w:rsidR="00DA15CF" w:rsidRPr="006B4A99" w:rsidTr="00825C0D">
        <w:tc>
          <w:tcPr>
            <w:tcW w:w="2263" w:type="dxa"/>
          </w:tcPr>
          <w:p w:rsidR="00DA15CF" w:rsidRPr="006B4A99" w:rsidRDefault="00DA15CF" w:rsidP="00DA15CF">
            <w:pPr>
              <w:autoSpaceDE w:val="0"/>
              <w:autoSpaceDN w:val="0"/>
              <w:adjustRightInd w:val="0"/>
              <w:spacing w:line="240" w:lineRule="auto"/>
              <w:jc w:val="both"/>
              <w:rPr>
                <w:rFonts w:ascii="Garamond" w:hAnsi="Garamond"/>
                <w:color w:val="000000"/>
              </w:rPr>
            </w:pPr>
            <w:proofErr w:type="spellStart"/>
            <w:r w:rsidRPr="006B4A99">
              <w:rPr>
                <w:rFonts w:ascii="Garamond" w:hAnsi="Garamond"/>
                <w:color w:val="000000"/>
              </w:rPr>
              <w:t>Fiona</w:t>
            </w:r>
            <w:proofErr w:type="spellEnd"/>
            <w:r w:rsidRPr="006B4A99">
              <w:rPr>
                <w:rFonts w:ascii="Garamond" w:hAnsi="Garamond"/>
                <w:color w:val="000000"/>
              </w:rPr>
              <w:t xml:space="preserve"> </w:t>
            </w:r>
            <w:proofErr w:type="spellStart"/>
            <w:r w:rsidRPr="006B4A99">
              <w:rPr>
                <w:rFonts w:ascii="Garamond" w:hAnsi="Garamond"/>
                <w:color w:val="000000"/>
              </w:rPr>
              <w:t>Papajorgji</w:t>
            </w:r>
            <w:proofErr w:type="spellEnd"/>
          </w:p>
        </w:tc>
        <w:tc>
          <w:tcPr>
            <w:tcW w:w="1560" w:type="dxa"/>
          </w:tcPr>
          <w:p w:rsidR="00DA15CF" w:rsidRPr="006B4A99" w:rsidRDefault="00932882" w:rsidP="00DA15CF">
            <w:pPr>
              <w:autoSpaceDE w:val="0"/>
              <w:autoSpaceDN w:val="0"/>
              <w:adjustRightInd w:val="0"/>
              <w:spacing w:line="240" w:lineRule="auto"/>
              <w:jc w:val="both"/>
              <w:rPr>
                <w:rFonts w:ascii="Garamond" w:hAnsi="Garamond"/>
                <w:color w:val="000000"/>
              </w:rPr>
            </w:pPr>
            <w:r w:rsidRPr="006B4A99">
              <w:rPr>
                <w:rFonts w:ascii="Garamond" w:hAnsi="Garamond"/>
                <w:color w:val="000000"/>
              </w:rPr>
              <w:t xml:space="preserve">anëtare; </w:t>
            </w:r>
          </w:p>
        </w:tc>
      </w:tr>
      <w:tr w:rsidR="00DA15CF" w:rsidRPr="006B4A99" w:rsidTr="00825C0D">
        <w:tc>
          <w:tcPr>
            <w:tcW w:w="2263" w:type="dxa"/>
          </w:tcPr>
          <w:p w:rsidR="00DA15CF" w:rsidRPr="006B4A99" w:rsidRDefault="00DA15CF" w:rsidP="00DA15CF">
            <w:pPr>
              <w:autoSpaceDE w:val="0"/>
              <w:autoSpaceDN w:val="0"/>
              <w:adjustRightInd w:val="0"/>
              <w:spacing w:line="240" w:lineRule="auto"/>
              <w:jc w:val="both"/>
              <w:rPr>
                <w:rFonts w:ascii="Garamond" w:hAnsi="Garamond"/>
                <w:color w:val="000000"/>
              </w:rPr>
            </w:pPr>
            <w:proofErr w:type="spellStart"/>
            <w:r w:rsidRPr="006B4A99">
              <w:rPr>
                <w:rFonts w:ascii="Garamond" w:hAnsi="Garamond"/>
                <w:color w:val="000000"/>
              </w:rPr>
              <w:t>Sandër</w:t>
            </w:r>
            <w:proofErr w:type="spellEnd"/>
            <w:r w:rsidRPr="006B4A99">
              <w:rPr>
                <w:rFonts w:ascii="Garamond" w:hAnsi="Garamond"/>
                <w:color w:val="000000"/>
              </w:rPr>
              <w:t xml:space="preserve"> Beci</w:t>
            </w:r>
          </w:p>
        </w:tc>
        <w:tc>
          <w:tcPr>
            <w:tcW w:w="1560" w:type="dxa"/>
          </w:tcPr>
          <w:p w:rsidR="00DA15CF" w:rsidRPr="006B4A99" w:rsidRDefault="00932882" w:rsidP="00DA15CF">
            <w:pPr>
              <w:autoSpaceDE w:val="0"/>
              <w:autoSpaceDN w:val="0"/>
              <w:adjustRightInd w:val="0"/>
              <w:spacing w:line="240" w:lineRule="auto"/>
              <w:jc w:val="both"/>
              <w:rPr>
                <w:rFonts w:ascii="Garamond" w:hAnsi="Garamond"/>
                <w:color w:val="000000"/>
              </w:rPr>
            </w:pPr>
            <w:r w:rsidRPr="006B4A99">
              <w:rPr>
                <w:rFonts w:ascii="Garamond" w:hAnsi="Garamond"/>
                <w:color w:val="000000"/>
              </w:rPr>
              <w:t xml:space="preserve">anëtar; </w:t>
            </w:r>
          </w:p>
        </w:tc>
      </w:tr>
      <w:tr w:rsidR="00DA15CF" w:rsidRPr="006B4A99" w:rsidTr="00825C0D">
        <w:tc>
          <w:tcPr>
            <w:tcW w:w="2263" w:type="dxa"/>
          </w:tcPr>
          <w:p w:rsidR="00DA15CF" w:rsidRPr="006B4A99" w:rsidRDefault="00DA15CF" w:rsidP="00DA15CF">
            <w:pPr>
              <w:autoSpaceDE w:val="0"/>
              <w:autoSpaceDN w:val="0"/>
              <w:adjustRightInd w:val="0"/>
              <w:spacing w:line="240" w:lineRule="auto"/>
              <w:jc w:val="both"/>
              <w:rPr>
                <w:rFonts w:ascii="Garamond" w:hAnsi="Garamond"/>
                <w:color w:val="000000"/>
              </w:rPr>
            </w:pPr>
            <w:r w:rsidRPr="006B4A99">
              <w:rPr>
                <w:rFonts w:ascii="Garamond" w:hAnsi="Garamond"/>
                <w:color w:val="000000"/>
              </w:rPr>
              <w:t xml:space="preserve">Ilir Toska </w:t>
            </w:r>
          </w:p>
        </w:tc>
        <w:tc>
          <w:tcPr>
            <w:tcW w:w="1560" w:type="dxa"/>
          </w:tcPr>
          <w:p w:rsidR="00DA15CF" w:rsidRPr="006B4A99" w:rsidRDefault="00932882" w:rsidP="00DA15CF">
            <w:pPr>
              <w:autoSpaceDE w:val="0"/>
              <w:autoSpaceDN w:val="0"/>
              <w:adjustRightInd w:val="0"/>
              <w:spacing w:line="240" w:lineRule="auto"/>
              <w:jc w:val="both"/>
              <w:rPr>
                <w:rFonts w:ascii="Garamond" w:hAnsi="Garamond"/>
                <w:color w:val="000000"/>
              </w:rPr>
            </w:pPr>
            <w:r w:rsidRPr="006B4A99">
              <w:rPr>
                <w:rFonts w:ascii="Garamond" w:hAnsi="Garamond"/>
                <w:color w:val="000000"/>
              </w:rPr>
              <w:t>anëtar;</w:t>
            </w:r>
          </w:p>
        </w:tc>
      </w:tr>
      <w:tr w:rsidR="00DA15CF" w:rsidRPr="006B4A99" w:rsidTr="00825C0D">
        <w:tc>
          <w:tcPr>
            <w:tcW w:w="2263" w:type="dxa"/>
          </w:tcPr>
          <w:p w:rsidR="00DA15CF" w:rsidRPr="006B4A99" w:rsidRDefault="00DA15CF" w:rsidP="00DA15CF">
            <w:pPr>
              <w:autoSpaceDE w:val="0"/>
              <w:autoSpaceDN w:val="0"/>
              <w:adjustRightInd w:val="0"/>
              <w:spacing w:line="240" w:lineRule="auto"/>
              <w:jc w:val="both"/>
              <w:rPr>
                <w:rFonts w:ascii="Garamond" w:hAnsi="Garamond"/>
                <w:color w:val="000000"/>
              </w:rPr>
            </w:pPr>
            <w:proofErr w:type="spellStart"/>
            <w:r w:rsidRPr="006B4A99">
              <w:rPr>
                <w:rFonts w:ascii="Garamond" w:hAnsi="Garamond"/>
                <w:color w:val="000000"/>
              </w:rPr>
              <w:t>Marjana</w:t>
            </w:r>
            <w:proofErr w:type="spellEnd"/>
            <w:r w:rsidRPr="006B4A99">
              <w:rPr>
                <w:rFonts w:ascii="Garamond" w:hAnsi="Garamond"/>
                <w:color w:val="000000"/>
              </w:rPr>
              <w:t xml:space="preserve"> </w:t>
            </w:r>
            <w:proofErr w:type="spellStart"/>
            <w:r w:rsidRPr="006B4A99">
              <w:rPr>
                <w:rFonts w:ascii="Garamond" w:hAnsi="Garamond"/>
                <w:color w:val="000000"/>
              </w:rPr>
              <w:t>Semini</w:t>
            </w:r>
            <w:proofErr w:type="spellEnd"/>
          </w:p>
        </w:tc>
        <w:tc>
          <w:tcPr>
            <w:tcW w:w="1560" w:type="dxa"/>
          </w:tcPr>
          <w:p w:rsidR="00DA15CF" w:rsidRPr="006B4A99" w:rsidRDefault="00932882" w:rsidP="00DA15CF">
            <w:pPr>
              <w:autoSpaceDE w:val="0"/>
              <w:autoSpaceDN w:val="0"/>
              <w:adjustRightInd w:val="0"/>
              <w:spacing w:line="240" w:lineRule="auto"/>
              <w:jc w:val="both"/>
              <w:rPr>
                <w:rFonts w:ascii="Garamond" w:hAnsi="Garamond"/>
                <w:color w:val="000000"/>
              </w:rPr>
            </w:pPr>
            <w:r w:rsidRPr="006B4A99">
              <w:rPr>
                <w:rFonts w:ascii="Garamond" w:hAnsi="Garamond"/>
                <w:color w:val="000000"/>
              </w:rPr>
              <w:t>anëtare;</w:t>
            </w:r>
          </w:p>
        </w:tc>
      </w:tr>
      <w:tr w:rsidR="00DA15CF" w:rsidRPr="006B4A99" w:rsidTr="00825C0D">
        <w:tc>
          <w:tcPr>
            <w:tcW w:w="2263" w:type="dxa"/>
          </w:tcPr>
          <w:p w:rsidR="00DA15CF" w:rsidRPr="006B4A99" w:rsidRDefault="00DA15CF" w:rsidP="00DA15CF">
            <w:pPr>
              <w:autoSpaceDE w:val="0"/>
              <w:autoSpaceDN w:val="0"/>
              <w:adjustRightInd w:val="0"/>
              <w:spacing w:line="240" w:lineRule="auto"/>
              <w:jc w:val="both"/>
              <w:rPr>
                <w:rFonts w:ascii="Garamond" w:hAnsi="Garamond"/>
                <w:color w:val="000000"/>
              </w:rPr>
            </w:pPr>
            <w:r w:rsidRPr="006B4A99">
              <w:rPr>
                <w:rFonts w:ascii="Garamond" w:hAnsi="Garamond"/>
                <w:color w:val="000000"/>
              </w:rPr>
              <w:t>Genti Ibrahimi</w:t>
            </w:r>
          </w:p>
        </w:tc>
        <w:tc>
          <w:tcPr>
            <w:tcW w:w="1560" w:type="dxa"/>
          </w:tcPr>
          <w:p w:rsidR="00DA15CF" w:rsidRPr="006B4A99" w:rsidRDefault="00932882" w:rsidP="00DA15CF">
            <w:pPr>
              <w:autoSpaceDE w:val="0"/>
              <w:autoSpaceDN w:val="0"/>
              <w:adjustRightInd w:val="0"/>
              <w:spacing w:line="240" w:lineRule="auto"/>
              <w:jc w:val="both"/>
              <w:rPr>
                <w:rFonts w:ascii="Garamond" w:hAnsi="Garamond"/>
                <w:color w:val="000000"/>
              </w:rPr>
            </w:pPr>
            <w:r w:rsidRPr="006B4A99">
              <w:rPr>
                <w:rFonts w:ascii="Garamond" w:hAnsi="Garamond"/>
                <w:color w:val="000000"/>
              </w:rPr>
              <w:t>anëtar;</w:t>
            </w:r>
          </w:p>
        </w:tc>
      </w:tr>
      <w:tr w:rsidR="00DA15CF" w:rsidRPr="006B4A99" w:rsidTr="00825C0D">
        <w:tc>
          <w:tcPr>
            <w:tcW w:w="2263" w:type="dxa"/>
          </w:tcPr>
          <w:p w:rsidR="00DA15CF" w:rsidRPr="006B4A99" w:rsidRDefault="00DA15CF" w:rsidP="00DA15CF">
            <w:pPr>
              <w:autoSpaceDE w:val="0"/>
              <w:autoSpaceDN w:val="0"/>
              <w:adjustRightInd w:val="0"/>
              <w:spacing w:line="240" w:lineRule="auto"/>
              <w:jc w:val="both"/>
              <w:rPr>
                <w:rFonts w:ascii="Garamond" w:hAnsi="Garamond"/>
                <w:color w:val="000000"/>
              </w:rPr>
            </w:pPr>
            <w:proofErr w:type="spellStart"/>
            <w:r w:rsidRPr="006B4A99">
              <w:rPr>
                <w:rFonts w:ascii="Garamond" w:hAnsi="Garamond"/>
                <w:color w:val="000000"/>
              </w:rPr>
              <w:t>Sonila</w:t>
            </w:r>
            <w:proofErr w:type="spellEnd"/>
            <w:r w:rsidRPr="006B4A99">
              <w:rPr>
                <w:rFonts w:ascii="Garamond" w:hAnsi="Garamond"/>
                <w:color w:val="000000"/>
              </w:rPr>
              <w:t xml:space="preserve"> Bejtja</w:t>
            </w:r>
          </w:p>
        </w:tc>
        <w:tc>
          <w:tcPr>
            <w:tcW w:w="1560" w:type="dxa"/>
          </w:tcPr>
          <w:p w:rsidR="00DA15CF" w:rsidRPr="006B4A99" w:rsidRDefault="00932882" w:rsidP="00DA15CF">
            <w:pPr>
              <w:autoSpaceDE w:val="0"/>
              <w:autoSpaceDN w:val="0"/>
              <w:adjustRightInd w:val="0"/>
              <w:spacing w:line="240" w:lineRule="auto"/>
              <w:jc w:val="both"/>
              <w:rPr>
                <w:rFonts w:ascii="Garamond" w:hAnsi="Garamond"/>
                <w:color w:val="000000"/>
              </w:rPr>
            </w:pPr>
            <w:r w:rsidRPr="006B4A99">
              <w:rPr>
                <w:rFonts w:ascii="Garamond" w:hAnsi="Garamond"/>
                <w:color w:val="000000"/>
              </w:rPr>
              <w:t>anëtare,</w:t>
            </w:r>
          </w:p>
        </w:tc>
      </w:tr>
    </w:tbl>
    <w:p w:rsidR="00DA15CF" w:rsidRPr="006B4A99" w:rsidRDefault="00DA15CF" w:rsidP="00DA15CF">
      <w:pPr>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me sekretare </w:t>
      </w:r>
      <w:proofErr w:type="spellStart"/>
      <w:r w:rsidRPr="006B4A99">
        <w:rPr>
          <w:rFonts w:ascii="Garamond" w:hAnsi="Garamond"/>
          <w:color w:val="000000"/>
        </w:rPr>
        <w:t>Belma</w:t>
      </w:r>
      <w:proofErr w:type="spellEnd"/>
      <w:r w:rsidRPr="006B4A99">
        <w:rPr>
          <w:rFonts w:ascii="Garamond" w:hAnsi="Garamond"/>
          <w:color w:val="000000"/>
        </w:rPr>
        <w:t xml:space="preserve"> Lleshi, </w:t>
      </w:r>
      <w:r w:rsidR="00932882" w:rsidRPr="006B4A99">
        <w:rPr>
          <w:rFonts w:ascii="Garamond" w:hAnsi="Garamond"/>
          <w:color w:val="000000"/>
        </w:rPr>
        <w:t>m</w:t>
      </w:r>
      <w:r w:rsidRPr="006B4A99">
        <w:rPr>
          <w:rFonts w:ascii="Garamond" w:hAnsi="Garamond"/>
          <w:color w:val="000000"/>
        </w:rPr>
        <w:t>ë datë 29.4.2025 mori në shqyrtim në seancë plenare mbi bazë të dokumenteve çështjen nr. 28 (E) 2024 të Regjistrit Themeltar, që u përket:</w:t>
      </w:r>
    </w:p>
    <w:p w:rsidR="00DA15CF" w:rsidRPr="006B4A99" w:rsidRDefault="00DA15CF" w:rsidP="00DA15CF">
      <w:pPr>
        <w:autoSpaceDE w:val="0"/>
        <w:autoSpaceDN w:val="0"/>
        <w:adjustRightInd w:val="0"/>
        <w:spacing w:line="240" w:lineRule="auto"/>
        <w:ind w:firstLine="284"/>
        <w:jc w:val="both"/>
        <w:rPr>
          <w:rFonts w:ascii="Garamond" w:hAnsi="Garamond"/>
          <w:color w:val="000000"/>
        </w:rPr>
      </w:pPr>
      <w:r w:rsidRPr="006B4A99">
        <w:rPr>
          <w:rFonts w:ascii="Garamond" w:hAnsi="Garamond"/>
          <w:bCs/>
          <w:color w:val="000000"/>
        </w:rPr>
        <w:t xml:space="preserve">KËRKUES: </w:t>
      </w:r>
      <w:proofErr w:type="spellStart"/>
      <w:r w:rsidRPr="006B4A99">
        <w:rPr>
          <w:rFonts w:ascii="Garamond" w:hAnsi="Garamond"/>
          <w:bCs/>
          <w:color w:val="000000"/>
        </w:rPr>
        <w:t>EDMOND</w:t>
      </w:r>
      <w:proofErr w:type="spellEnd"/>
      <w:r w:rsidRPr="006B4A99">
        <w:rPr>
          <w:rFonts w:ascii="Garamond" w:hAnsi="Garamond"/>
          <w:bCs/>
          <w:color w:val="000000"/>
        </w:rPr>
        <w:t xml:space="preserve"> </w:t>
      </w:r>
      <w:proofErr w:type="spellStart"/>
      <w:r w:rsidRPr="006B4A99">
        <w:rPr>
          <w:rFonts w:ascii="Garamond" w:hAnsi="Garamond"/>
          <w:bCs/>
          <w:color w:val="000000"/>
        </w:rPr>
        <w:t>MAMUSHI</w:t>
      </w:r>
      <w:proofErr w:type="spellEnd"/>
    </w:p>
    <w:p w:rsidR="00DA15CF" w:rsidRPr="006B4A99" w:rsidRDefault="00DA15CF" w:rsidP="00DA15CF">
      <w:pPr>
        <w:autoSpaceDE w:val="0"/>
        <w:autoSpaceDN w:val="0"/>
        <w:adjustRightInd w:val="0"/>
        <w:spacing w:line="240" w:lineRule="auto"/>
        <w:ind w:firstLine="284"/>
        <w:jc w:val="both"/>
        <w:rPr>
          <w:rFonts w:ascii="Garamond" w:hAnsi="Garamond"/>
          <w:bCs/>
          <w:color w:val="000000"/>
        </w:rPr>
      </w:pPr>
      <w:r w:rsidRPr="006B4A99">
        <w:rPr>
          <w:rFonts w:ascii="Garamond" w:hAnsi="Garamond"/>
          <w:bCs/>
          <w:color w:val="000000"/>
        </w:rPr>
        <w:t>SUBJEKT I INTERESUAR:</w:t>
      </w:r>
    </w:p>
    <w:p w:rsidR="00DA15CF" w:rsidRPr="006B4A99" w:rsidRDefault="00DA15CF" w:rsidP="00DA15CF">
      <w:pPr>
        <w:autoSpaceDE w:val="0"/>
        <w:autoSpaceDN w:val="0"/>
        <w:adjustRightInd w:val="0"/>
        <w:spacing w:line="240" w:lineRule="auto"/>
        <w:ind w:firstLine="284"/>
        <w:jc w:val="both"/>
        <w:rPr>
          <w:rFonts w:ascii="Garamond" w:hAnsi="Garamond"/>
          <w:bCs/>
          <w:color w:val="000000"/>
        </w:rPr>
      </w:pPr>
      <w:r w:rsidRPr="006B4A99">
        <w:rPr>
          <w:rFonts w:ascii="Garamond" w:hAnsi="Garamond"/>
          <w:bCs/>
          <w:color w:val="000000"/>
        </w:rPr>
        <w:t xml:space="preserve">PROKURORIA E PËRGJITHSHME, </w:t>
      </w:r>
      <w:r w:rsidRPr="006B4A99">
        <w:rPr>
          <w:rFonts w:ascii="Garamond" w:hAnsi="Garamond"/>
          <w:color w:val="000000"/>
        </w:rPr>
        <w:t xml:space="preserve">përfaqësuar nga prokuror </w:t>
      </w:r>
      <w:proofErr w:type="spellStart"/>
      <w:r w:rsidRPr="006B4A99">
        <w:rPr>
          <w:rFonts w:ascii="Garamond" w:hAnsi="Garamond"/>
          <w:color w:val="000000"/>
        </w:rPr>
        <w:t>Arqile</w:t>
      </w:r>
      <w:proofErr w:type="spellEnd"/>
      <w:r w:rsidRPr="006B4A99">
        <w:rPr>
          <w:rFonts w:ascii="Garamond" w:hAnsi="Garamond"/>
          <w:color w:val="000000"/>
        </w:rPr>
        <w:t xml:space="preserve"> Koca, me autorizim.</w:t>
      </w:r>
    </w:p>
    <w:p w:rsidR="00DA15CF" w:rsidRPr="006B4A99" w:rsidRDefault="00DA15CF" w:rsidP="00DA15CF">
      <w:pPr>
        <w:autoSpaceDE w:val="0"/>
        <w:autoSpaceDN w:val="0"/>
        <w:adjustRightInd w:val="0"/>
        <w:spacing w:line="240" w:lineRule="auto"/>
        <w:ind w:firstLine="284"/>
        <w:jc w:val="both"/>
        <w:rPr>
          <w:rFonts w:ascii="Garamond" w:hAnsi="Garamond"/>
          <w:bCs/>
          <w:color w:val="000000"/>
        </w:rPr>
      </w:pPr>
      <w:r w:rsidRPr="006B4A99">
        <w:rPr>
          <w:rFonts w:ascii="Garamond" w:hAnsi="Garamond"/>
          <w:bCs/>
          <w:color w:val="000000"/>
        </w:rPr>
        <w:t>OBJEKTI:  Shfuqizimi i vendimeve nr. 22/22-2018-127, datë 17.4.2018</w:t>
      </w:r>
      <w:r w:rsidR="00A26748" w:rsidRPr="006B4A99">
        <w:rPr>
          <w:rFonts w:ascii="Garamond" w:hAnsi="Garamond"/>
          <w:bCs/>
          <w:color w:val="000000"/>
        </w:rPr>
        <w:t>,</w:t>
      </w:r>
      <w:r w:rsidRPr="006B4A99">
        <w:rPr>
          <w:rFonts w:ascii="Garamond" w:hAnsi="Garamond"/>
          <w:bCs/>
          <w:color w:val="000000"/>
        </w:rPr>
        <w:t xml:space="preserve"> të Gjykatës së Rrethit Gjyqësor Tiranë; nr. 20-2018-830/104, datë 17.10.2018 të Gjykatës së Apelit Gjirokastër; nr. 00-2024-1285, datë 11.7.2024</w:t>
      </w:r>
      <w:r w:rsidR="00A26748" w:rsidRPr="006B4A99">
        <w:rPr>
          <w:rFonts w:ascii="Garamond" w:hAnsi="Garamond"/>
          <w:bCs/>
          <w:color w:val="000000"/>
        </w:rPr>
        <w:t>,</w:t>
      </w:r>
      <w:r w:rsidRPr="006B4A99">
        <w:rPr>
          <w:rFonts w:ascii="Garamond" w:hAnsi="Garamond"/>
          <w:bCs/>
          <w:color w:val="000000"/>
        </w:rPr>
        <w:t xml:space="preserve"> të Kolegjit Penal të Gjykatës së Lartë, si të papajtueshme me Kushtetutën e Republikës së Shqipërisë.</w:t>
      </w:r>
    </w:p>
    <w:p w:rsidR="00DA15CF" w:rsidRPr="006B4A99" w:rsidRDefault="00DA15CF" w:rsidP="00DA15CF">
      <w:pPr>
        <w:autoSpaceDE w:val="0"/>
        <w:autoSpaceDN w:val="0"/>
        <w:adjustRightInd w:val="0"/>
        <w:spacing w:line="240" w:lineRule="auto"/>
        <w:ind w:firstLine="284"/>
        <w:jc w:val="both"/>
        <w:rPr>
          <w:rFonts w:ascii="Garamond" w:hAnsi="Garamond"/>
          <w:color w:val="000000"/>
        </w:rPr>
      </w:pPr>
      <w:r w:rsidRPr="006B4A99">
        <w:rPr>
          <w:rFonts w:ascii="Garamond" w:hAnsi="Garamond"/>
          <w:bCs/>
          <w:color w:val="000000"/>
        </w:rPr>
        <w:t>BAZA LIGJORE:  Nenet 4, 42, 131, pika 1, shkronja “f”, 134, pikat 1, shkronja “i” dhe 2 dhe 142 të Kushtetutës së Republikës së Shqipërisë (</w:t>
      </w:r>
      <w:r w:rsidRPr="006B4A99">
        <w:rPr>
          <w:rFonts w:ascii="Garamond" w:hAnsi="Garamond"/>
          <w:bCs/>
          <w:i/>
          <w:iCs/>
          <w:color w:val="000000"/>
        </w:rPr>
        <w:t>Kushtetuta</w:t>
      </w:r>
      <w:r w:rsidRPr="006B4A99">
        <w:rPr>
          <w:rFonts w:ascii="Garamond" w:hAnsi="Garamond"/>
          <w:bCs/>
          <w:color w:val="000000"/>
        </w:rPr>
        <w:t>); neni 6 i Konventës Evropiane për të Drejtat e Njeriut (</w:t>
      </w:r>
      <w:proofErr w:type="spellStart"/>
      <w:r w:rsidRPr="006B4A99">
        <w:rPr>
          <w:rFonts w:ascii="Garamond" w:hAnsi="Garamond"/>
          <w:bCs/>
          <w:i/>
          <w:iCs/>
          <w:color w:val="000000"/>
        </w:rPr>
        <w:t>KEDNJ</w:t>
      </w:r>
      <w:proofErr w:type="spellEnd"/>
      <w:r w:rsidRPr="006B4A99">
        <w:rPr>
          <w:rFonts w:ascii="Garamond" w:hAnsi="Garamond"/>
          <w:bCs/>
          <w:color w:val="000000"/>
        </w:rPr>
        <w:t>); nenet 27, 31, 31/a, 71 dhe 71/a të ligjit nr. 8577, datë 10.2.2000</w:t>
      </w:r>
      <w:r w:rsidR="00A26748" w:rsidRPr="006B4A99">
        <w:rPr>
          <w:rFonts w:ascii="Garamond" w:hAnsi="Garamond"/>
          <w:bCs/>
          <w:color w:val="000000"/>
        </w:rPr>
        <w:t>,</w:t>
      </w:r>
      <w:r w:rsidRPr="006B4A99">
        <w:rPr>
          <w:rFonts w:ascii="Garamond" w:hAnsi="Garamond"/>
          <w:bCs/>
          <w:color w:val="000000"/>
        </w:rPr>
        <w:t xml:space="preserve"> “Për organizimin dhe funksionimin e Gjykatës Kushtetuese të Republikës së Shqipërisë”, të ndryshuar (</w:t>
      </w:r>
      <w:r w:rsidRPr="006B4A99">
        <w:rPr>
          <w:rFonts w:ascii="Garamond" w:hAnsi="Garamond"/>
          <w:bCs/>
          <w:i/>
          <w:iCs/>
          <w:color w:val="000000"/>
        </w:rPr>
        <w:t>ligji nr. 8577/2000</w:t>
      </w:r>
      <w:r w:rsidRPr="006B4A99">
        <w:rPr>
          <w:rFonts w:ascii="Garamond" w:hAnsi="Garamond"/>
          <w:bCs/>
          <w:color w:val="000000"/>
        </w:rPr>
        <w:t>).</w:t>
      </w:r>
    </w:p>
    <w:p w:rsidR="00DA15CF" w:rsidRPr="006B4A99" w:rsidRDefault="00DA15CF" w:rsidP="00DA15CF">
      <w:pPr>
        <w:autoSpaceDE w:val="0"/>
        <w:autoSpaceDN w:val="0"/>
        <w:adjustRightInd w:val="0"/>
        <w:spacing w:line="240" w:lineRule="auto"/>
        <w:ind w:firstLine="284"/>
        <w:jc w:val="both"/>
        <w:rPr>
          <w:rFonts w:ascii="Garamond" w:hAnsi="Garamond"/>
          <w:color w:val="000000"/>
        </w:rPr>
      </w:pPr>
    </w:p>
    <w:p w:rsidR="00DA15CF" w:rsidRPr="006B4A99" w:rsidRDefault="00DA15CF" w:rsidP="00DA15CF">
      <w:pPr>
        <w:autoSpaceDE w:val="0"/>
        <w:autoSpaceDN w:val="0"/>
        <w:adjustRightInd w:val="0"/>
        <w:spacing w:line="240" w:lineRule="auto"/>
        <w:ind w:firstLine="284"/>
        <w:jc w:val="center"/>
        <w:rPr>
          <w:rFonts w:ascii="Garamond" w:hAnsi="Garamond"/>
          <w:color w:val="000000"/>
        </w:rPr>
      </w:pPr>
      <w:r w:rsidRPr="006B4A99">
        <w:rPr>
          <w:rFonts w:ascii="Garamond" w:hAnsi="Garamond"/>
          <w:bCs/>
          <w:color w:val="000000"/>
        </w:rPr>
        <w:t>GJYKATA KUSHTETUESE</w:t>
      </w:r>
      <w:r w:rsidRPr="006B4A99">
        <w:rPr>
          <w:rFonts w:ascii="Garamond" w:hAnsi="Garamond"/>
          <w:color w:val="000000"/>
        </w:rPr>
        <w:t>,</w:t>
      </w:r>
    </w:p>
    <w:p w:rsidR="00DA15CF" w:rsidRPr="006B4A99" w:rsidRDefault="00DA15CF" w:rsidP="00DA15CF">
      <w:pPr>
        <w:autoSpaceDE w:val="0"/>
        <w:autoSpaceDN w:val="0"/>
        <w:adjustRightInd w:val="0"/>
        <w:spacing w:line="240" w:lineRule="auto"/>
        <w:ind w:firstLine="284"/>
        <w:jc w:val="center"/>
        <w:rPr>
          <w:rFonts w:ascii="Garamond" w:hAnsi="Garamond"/>
          <w:color w:val="000000"/>
        </w:rPr>
      </w:pPr>
    </w:p>
    <w:p w:rsidR="00DA15CF" w:rsidRPr="006B4A99" w:rsidRDefault="00DA15CF" w:rsidP="00DA15CF">
      <w:pPr>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pasi dëgjoi </w:t>
      </w:r>
      <w:proofErr w:type="spellStart"/>
      <w:r w:rsidRPr="006B4A99">
        <w:rPr>
          <w:rFonts w:ascii="Garamond" w:hAnsi="Garamond"/>
          <w:color w:val="000000"/>
        </w:rPr>
        <w:t>relatoren</w:t>
      </w:r>
      <w:proofErr w:type="spellEnd"/>
      <w:r w:rsidRPr="006B4A99">
        <w:rPr>
          <w:rFonts w:ascii="Garamond" w:hAnsi="Garamond"/>
          <w:color w:val="000000"/>
        </w:rPr>
        <w:t xml:space="preserve"> e çështjes </w:t>
      </w:r>
      <w:proofErr w:type="spellStart"/>
      <w:r w:rsidRPr="006B4A99">
        <w:rPr>
          <w:rFonts w:ascii="Garamond" w:hAnsi="Garamond"/>
          <w:color w:val="000000"/>
        </w:rPr>
        <w:t>Sonila</w:t>
      </w:r>
      <w:proofErr w:type="spellEnd"/>
      <w:r w:rsidRPr="006B4A99">
        <w:rPr>
          <w:rFonts w:ascii="Garamond" w:hAnsi="Garamond"/>
          <w:color w:val="000000"/>
        </w:rPr>
        <w:t xml:space="preserve"> Bejtja, mori në shqyrtim pretendimet me shkrim të kërkuesit </w:t>
      </w:r>
      <w:proofErr w:type="spellStart"/>
      <w:r w:rsidRPr="006B4A99">
        <w:rPr>
          <w:rFonts w:ascii="Garamond" w:hAnsi="Garamond"/>
          <w:color w:val="000000"/>
        </w:rPr>
        <w:t>Edmond</w:t>
      </w:r>
      <w:proofErr w:type="spellEnd"/>
      <w:r w:rsidRPr="006B4A99">
        <w:rPr>
          <w:rFonts w:ascii="Garamond" w:hAnsi="Garamond"/>
          <w:color w:val="000000"/>
        </w:rPr>
        <w:t xml:space="preserve"> </w:t>
      </w:r>
      <w:proofErr w:type="spellStart"/>
      <w:r w:rsidRPr="006B4A99">
        <w:rPr>
          <w:rFonts w:ascii="Garamond" w:hAnsi="Garamond"/>
          <w:color w:val="000000"/>
        </w:rPr>
        <w:t>Mamushi</w:t>
      </w:r>
      <w:proofErr w:type="spellEnd"/>
      <w:r w:rsidRPr="006B4A99">
        <w:rPr>
          <w:rFonts w:ascii="Garamond" w:hAnsi="Garamond"/>
          <w:color w:val="000000"/>
        </w:rPr>
        <w:t xml:space="preserve"> (</w:t>
      </w:r>
      <w:r w:rsidRPr="006B4A99">
        <w:rPr>
          <w:rFonts w:ascii="Garamond" w:hAnsi="Garamond"/>
          <w:i/>
          <w:iCs/>
          <w:color w:val="000000"/>
        </w:rPr>
        <w:t>kërkuesi</w:t>
      </w:r>
      <w:r w:rsidRPr="006B4A99">
        <w:rPr>
          <w:rFonts w:ascii="Garamond" w:hAnsi="Garamond"/>
          <w:color w:val="000000"/>
        </w:rPr>
        <w:t>), i cili ka kërkuar pranimin e kërkesës, prapësimet me shkrim të subjektit të interesuar, Prokurorisë së Përgjithshme, që ka kërkuar pranimin pjesërisht të kërkesës, si dhe diskutoi çështjen në tërësi,</w:t>
      </w:r>
    </w:p>
    <w:p w:rsidR="00DA15CF" w:rsidRPr="006B4A99" w:rsidRDefault="00DA15CF" w:rsidP="00DA15CF">
      <w:pPr>
        <w:autoSpaceDE w:val="0"/>
        <w:autoSpaceDN w:val="0"/>
        <w:adjustRightInd w:val="0"/>
        <w:spacing w:line="240" w:lineRule="auto"/>
        <w:ind w:firstLine="284"/>
        <w:jc w:val="center"/>
        <w:rPr>
          <w:rFonts w:ascii="Garamond" w:hAnsi="Garamond"/>
          <w:b/>
          <w:bCs/>
          <w:color w:val="000000"/>
        </w:rPr>
      </w:pPr>
    </w:p>
    <w:p w:rsidR="00DA15CF" w:rsidRPr="006B4A99" w:rsidRDefault="00DA15CF" w:rsidP="00DA15CF">
      <w:pPr>
        <w:autoSpaceDE w:val="0"/>
        <w:autoSpaceDN w:val="0"/>
        <w:adjustRightInd w:val="0"/>
        <w:spacing w:line="240" w:lineRule="auto"/>
        <w:ind w:firstLine="284"/>
        <w:jc w:val="center"/>
        <w:rPr>
          <w:rFonts w:ascii="Garamond" w:hAnsi="Garamond"/>
          <w:bCs/>
          <w:color w:val="000000"/>
        </w:rPr>
      </w:pPr>
      <w:r w:rsidRPr="006B4A99">
        <w:rPr>
          <w:rFonts w:ascii="Garamond" w:hAnsi="Garamond"/>
          <w:bCs/>
          <w:color w:val="000000"/>
        </w:rPr>
        <w:t>VËREN:</w:t>
      </w:r>
    </w:p>
    <w:p w:rsidR="00BE5406" w:rsidRPr="006B4A99" w:rsidRDefault="00BE5406" w:rsidP="00DA15CF">
      <w:pPr>
        <w:autoSpaceDE w:val="0"/>
        <w:autoSpaceDN w:val="0"/>
        <w:adjustRightInd w:val="0"/>
        <w:spacing w:line="240" w:lineRule="auto"/>
        <w:ind w:firstLine="284"/>
        <w:jc w:val="center"/>
        <w:rPr>
          <w:rFonts w:ascii="Garamond" w:hAnsi="Garamond"/>
          <w:bCs/>
          <w:color w:val="000000"/>
        </w:rPr>
      </w:pPr>
    </w:p>
    <w:p w:rsidR="00DA15CF" w:rsidRPr="006B4A99" w:rsidRDefault="00DA15CF" w:rsidP="00DA15CF">
      <w:pPr>
        <w:autoSpaceDE w:val="0"/>
        <w:autoSpaceDN w:val="0"/>
        <w:adjustRightInd w:val="0"/>
        <w:spacing w:line="240" w:lineRule="auto"/>
        <w:ind w:firstLine="284"/>
        <w:jc w:val="center"/>
        <w:rPr>
          <w:rFonts w:ascii="Garamond" w:hAnsi="Garamond"/>
          <w:bCs/>
          <w:color w:val="000000"/>
        </w:rPr>
      </w:pPr>
      <w:r w:rsidRPr="006B4A99">
        <w:rPr>
          <w:rFonts w:ascii="Garamond" w:hAnsi="Garamond"/>
          <w:bCs/>
          <w:color w:val="000000"/>
        </w:rPr>
        <w:t>I</w:t>
      </w:r>
    </w:p>
    <w:p w:rsidR="00DA15CF" w:rsidRPr="006B4A99" w:rsidRDefault="00DA15CF" w:rsidP="00DA15CF">
      <w:pPr>
        <w:autoSpaceDE w:val="0"/>
        <w:autoSpaceDN w:val="0"/>
        <w:adjustRightInd w:val="0"/>
        <w:spacing w:line="240" w:lineRule="auto"/>
        <w:ind w:firstLine="284"/>
        <w:jc w:val="center"/>
        <w:rPr>
          <w:rFonts w:ascii="Garamond" w:hAnsi="Garamond"/>
          <w:b/>
          <w:bCs/>
          <w:color w:val="000000"/>
        </w:rPr>
      </w:pPr>
      <w:r w:rsidRPr="006B4A99">
        <w:rPr>
          <w:rFonts w:ascii="Garamond" w:hAnsi="Garamond"/>
          <w:b/>
          <w:bCs/>
          <w:color w:val="000000"/>
        </w:rPr>
        <w:t>Rrethanat e çështjes</w:t>
      </w:r>
    </w:p>
    <w:p w:rsidR="00DA15CF" w:rsidRPr="006B4A99" w:rsidRDefault="00DA15CF" w:rsidP="00DA15CF">
      <w:pPr>
        <w:autoSpaceDE w:val="0"/>
        <w:autoSpaceDN w:val="0"/>
        <w:adjustRightInd w:val="0"/>
        <w:spacing w:line="240" w:lineRule="auto"/>
        <w:ind w:firstLine="284"/>
        <w:jc w:val="center"/>
        <w:rPr>
          <w:rFonts w:ascii="Garamond" w:hAnsi="Garamond"/>
          <w:b/>
          <w:bCs/>
          <w:color w:val="000000"/>
        </w:rPr>
      </w:pPr>
    </w:p>
    <w:p w:rsidR="00DA15CF" w:rsidRPr="006B4A99" w:rsidRDefault="00DA15CF" w:rsidP="00DA15CF">
      <w:pPr>
        <w:tabs>
          <w:tab w:val="left" w:pos="720"/>
          <w:tab w:val="left" w:pos="980"/>
          <w:tab w:val="left" w:pos="4320"/>
          <w:tab w:val="left" w:pos="486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1.  Kërkuesi është akuzuar nga Prokuroria pranë Gjykatës së Rrethit Gjyqësor Përmet për kryerjen e veprave penale “Vrasja me paramendim”, të mbetur në tentativë dhe “Prodhimi dhe mbajtja pa leje e armëve luftarake dhe e municionit”, të parashikuara nga nenet 78, paragrafi i dytë dhe 22, si dhe 278, paragrafi i dytë, të Kodit Penal (</w:t>
      </w:r>
      <w:proofErr w:type="spellStart"/>
      <w:r w:rsidRPr="006B4A99">
        <w:rPr>
          <w:rFonts w:ascii="Garamond" w:hAnsi="Garamond"/>
          <w:i/>
          <w:iCs/>
          <w:color w:val="000000"/>
        </w:rPr>
        <w:t>KP</w:t>
      </w:r>
      <w:proofErr w:type="spellEnd"/>
      <w:r w:rsidRPr="006B4A99">
        <w:rPr>
          <w:rFonts w:ascii="Garamond" w:hAnsi="Garamond"/>
          <w:color w:val="000000"/>
        </w:rPr>
        <w:t>).</w:t>
      </w:r>
    </w:p>
    <w:p w:rsidR="00DA15CF" w:rsidRPr="006B4A99" w:rsidRDefault="00DA15CF" w:rsidP="00DA15CF">
      <w:pPr>
        <w:tabs>
          <w:tab w:val="left" w:pos="720"/>
          <w:tab w:val="left" w:pos="980"/>
          <w:tab w:val="left" w:pos="4320"/>
          <w:tab w:val="left" w:pos="486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2. Gjykata e Rrethit Gjyqësor Përmet, me vendimin nr. 22/22-2018-127, datë 17.4.2018, ndër të tjera, ka vendosur ndryshimin e cilësimit juridik të veprës penale në ngarkim të kërkuesit, nga “Vrasja me paramendim”, të mbetur në tentativë, të parashikuar nga nenet 78, paragrafi i dytë dhe 22 të </w:t>
      </w:r>
      <w:proofErr w:type="spellStart"/>
      <w:r w:rsidRPr="006B4A99">
        <w:rPr>
          <w:rFonts w:ascii="Garamond" w:hAnsi="Garamond"/>
          <w:color w:val="000000"/>
        </w:rPr>
        <w:t>KP</w:t>
      </w:r>
      <w:proofErr w:type="spellEnd"/>
      <w:r w:rsidRPr="006B4A99">
        <w:rPr>
          <w:rFonts w:ascii="Garamond" w:hAnsi="Garamond"/>
          <w:color w:val="000000"/>
        </w:rPr>
        <w:t xml:space="preserve">-së, në “Vrasja me paramendim”, të mbetur në tentativë, të parashikuar nga nenet 78, paragrafi i parë dhe 22 të </w:t>
      </w:r>
      <w:proofErr w:type="spellStart"/>
      <w:r w:rsidRPr="006B4A99">
        <w:rPr>
          <w:rFonts w:ascii="Garamond" w:hAnsi="Garamond"/>
          <w:color w:val="000000"/>
        </w:rPr>
        <w:t>KP</w:t>
      </w:r>
      <w:proofErr w:type="spellEnd"/>
      <w:r w:rsidRPr="006B4A99">
        <w:rPr>
          <w:rFonts w:ascii="Garamond" w:hAnsi="Garamond"/>
          <w:color w:val="000000"/>
        </w:rPr>
        <w:t xml:space="preserve">-së, duke e deklaruar atë fajtor për kryerjen e kësaj vepre, si dhe duke e dënuar me 15 (pesëmbëdhjetë) vjet burgim. Po kështu, ajo gjykatë ka vendosur edhe ndryshimin e cilësimit juridik të veprës tjetër penale në ngarkim të kërkuesit, nga “Mbajtja pa leje dhe prodhimi i armëve, armëve shpërthyese dhe i municionit”, të parashikuar nga neni 278, paragrafi i dytë, i </w:t>
      </w:r>
      <w:proofErr w:type="spellStart"/>
      <w:r w:rsidRPr="006B4A99">
        <w:rPr>
          <w:rFonts w:ascii="Garamond" w:hAnsi="Garamond"/>
          <w:color w:val="000000"/>
        </w:rPr>
        <w:t>KP</w:t>
      </w:r>
      <w:proofErr w:type="spellEnd"/>
      <w:r w:rsidRPr="006B4A99">
        <w:rPr>
          <w:rFonts w:ascii="Garamond" w:hAnsi="Garamond"/>
          <w:color w:val="000000"/>
        </w:rPr>
        <w:t xml:space="preserve">-së, në veprën penale “Mbajtja pa leje dhe prodhimi i armëve, armëve shpërthyese dhe i municionit”, të parashikuar nga neni 278, paragrafi i parë, i </w:t>
      </w:r>
      <w:proofErr w:type="spellStart"/>
      <w:r w:rsidRPr="006B4A99">
        <w:rPr>
          <w:rFonts w:ascii="Garamond" w:hAnsi="Garamond"/>
          <w:color w:val="000000"/>
        </w:rPr>
        <w:t>KP</w:t>
      </w:r>
      <w:proofErr w:type="spellEnd"/>
      <w:r w:rsidRPr="006B4A99">
        <w:rPr>
          <w:rFonts w:ascii="Garamond" w:hAnsi="Garamond"/>
          <w:color w:val="000000"/>
        </w:rPr>
        <w:t xml:space="preserve">-së, duke e deklaruar atë fajtor për këtë vepër, duke e dënuar me 3 (tre) vjet burgim. Në aplikim të neneve 55 dhe 56 të </w:t>
      </w:r>
      <w:proofErr w:type="spellStart"/>
      <w:r w:rsidRPr="006B4A99">
        <w:rPr>
          <w:rFonts w:ascii="Garamond" w:hAnsi="Garamond"/>
          <w:color w:val="000000"/>
        </w:rPr>
        <w:t>KP</w:t>
      </w:r>
      <w:proofErr w:type="spellEnd"/>
      <w:r w:rsidRPr="006B4A99">
        <w:rPr>
          <w:rFonts w:ascii="Garamond" w:hAnsi="Garamond"/>
          <w:color w:val="000000"/>
        </w:rPr>
        <w:t xml:space="preserve">-së, në bashkim të </w:t>
      </w:r>
      <w:r w:rsidRPr="006B4A99">
        <w:rPr>
          <w:rFonts w:ascii="Garamond" w:hAnsi="Garamond"/>
          <w:color w:val="000000"/>
        </w:rPr>
        <w:lastRenderedPageBreak/>
        <w:t>dënimeve, Gjykata e Rrethit Gjyqësor Përmet e ka dënuar kërkuesin përfundimisht me 15 (pesëmbëdhjetë) vjet burgim. Ndaj këtij vendimi ka bërë ankim kërkuesi.</w:t>
      </w:r>
    </w:p>
    <w:p w:rsidR="00DA15CF" w:rsidRPr="006B4A99" w:rsidRDefault="00DA15CF" w:rsidP="00DA15CF">
      <w:pPr>
        <w:tabs>
          <w:tab w:val="left" w:pos="720"/>
          <w:tab w:val="left" w:pos="980"/>
          <w:tab w:val="left" w:pos="4320"/>
          <w:tab w:val="left" w:pos="486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3. Gjykata e Apelit Gjirokastër, me vendimin nr. 20-2018-830/104, datë 17.10.2018, ka vendosur lënien në fuqi të vendimit nr. 22/22-2018-127, datë 17.4.2018 të Gjykatës së Rrethit Gjyqësor Përmet. Ndaj këtij vendimi, </w:t>
      </w:r>
      <w:r w:rsidR="00B04651" w:rsidRPr="006B4A99">
        <w:rPr>
          <w:rFonts w:ascii="Garamond" w:hAnsi="Garamond"/>
          <w:color w:val="000000"/>
        </w:rPr>
        <w:t>m</w:t>
      </w:r>
      <w:r w:rsidRPr="006B4A99">
        <w:rPr>
          <w:rFonts w:ascii="Garamond" w:hAnsi="Garamond"/>
          <w:color w:val="000000"/>
        </w:rPr>
        <w:t xml:space="preserve">ë datë 18.11.2018, ka paraqitur rekurs kërkuesi. Gjithashtu, rezulton se në datat 6.3.2023 dhe 5.7.2024 kërkuesi ka paraqitur edhe dy akte të tjera në Gjykatën e Lartë, nëpërmjet të cilave ka parashtruar pretendimet e tij për kundërshtimin e vendimit të gjykatës së apelit. </w:t>
      </w:r>
    </w:p>
    <w:p w:rsidR="00DA15CF" w:rsidRPr="006B4A99" w:rsidRDefault="00DA15CF" w:rsidP="00DA15CF">
      <w:pPr>
        <w:tabs>
          <w:tab w:val="left" w:pos="720"/>
          <w:tab w:val="left" w:pos="980"/>
          <w:tab w:val="left" w:pos="4320"/>
          <w:tab w:val="left" w:pos="486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4. Kolegji Penal i Gjykatës së Lartë, me vendimin nr. 00-2024-1285, datë 11.7.2024, ka vendosur mospranimin e rekursit, </w:t>
      </w:r>
      <w:r w:rsidRPr="006B4A99">
        <w:rPr>
          <w:rFonts w:ascii="Garamond" w:hAnsi="Garamond"/>
          <w:color w:val="000000"/>
          <w:spacing w:val="-15"/>
        </w:rPr>
        <w:t>për shkak se nuk përmbante asnjë prej shkaqeve të parashikuara në nenin 432, pika 1, të Kodit të Procedurës Penale (</w:t>
      </w:r>
      <w:proofErr w:type="spellStart"/>
      <w:r w:rsidRPr="006B4A99">
        <w:rPr>
          <w:rFonts w:ascii="Garamond" w:hAnsi="Garamond"/>
          <w:i/>
          <w:iCs/>
          <w:color w:val="000000"/>
          <w:spacing w:val="-15"/>
        </w:rPr>
        <w:t>KPP</w:t>
      </w:r>
      <w:proofErr w:type="spellEnd"/>
      <w:r w:rsidRPr="006B4A99">
        <w:rPr>
          <w:rFonts w:ascii="Garamond" w:hAnsi="Garamond"/>
          <w:color w:val="000000"/>
          <w:spacing w:val="-15"/>
        </w:rPr>
        <w:t xml:space="preserve">). Në vlerësimin e Kolegjit Penal të Gjykatës së Lartë, </w:t>
      </w:r>
      <w:r w:rsidRPr="006B4A99">
        <w:rPr>
          <w:rFonts w:ascii="Garamond" w:hAnsi="Garamond"/>
          <w:color w:val="000000"/>
        </w:rPr>
        <w:t xml:space="preserve">Gjykata e Apelit Gjirokastër, e cila ka lënë në fuqi vendimin e gjykatës së shkallës së parë, ka bërë një analizë të hollësishme të dinamikës së fakteve dhe provave të marra e të administruara në këtë gjykim dhe se pretendimet e kërkuesit për moskryerjen e ekspertimit teknik të armës, eksperimentit hetimor për këtë armë dhe fishekëve të saj nuk e cenojnë vendimmarrjen e gjykatave të faktit, të cilat, bazuar në nenin 152 të </w:t>
      </w:r>
      <w:proofErr w:type="spellStart"/>
      <w:r w:rsidRPr="006B4A99">
        <w:rPr>
          <w:rFonts w:ascii="Garamond" w:hAnsi="Garamond"/>
          <w:color w:val="000000"/>
        </w:rPr>
        <w:t>KPP</w:t>
      </w:r>
      <w:proofErr w:type="spellEnd"/>
      <w:r w:rsidRPr="006B4A99">
        <w:rPr>
          <w:rFonts w:ascii="Garamond" w:hAnsi="Garamond"/>
          <w:color w:val="000000"/>
        </w:rPr>
        <w:t xml:space="preserve">-së, i kanë çmuar provat në tërësi në përputhje me njëra-tjetrën, duke mos mbivlerësuar asnjërën nga ato. Po sipas Kolegjit Penal, nuk konstatohet që gjykatat e faktit nuk kanë respektuar parimin e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ose që ndaj kërkuesit të jetë zhvilluar një proces jo i rregullt ligjor, referuar nenit 42 të Kushtetutës dhe nenit 6 të </w:t>
      </w:r>
      <w:proofErr w:type="spellStart"/>
      <w:r w:rsidRPr="006B4A99">
        <w:rPr>
          <w:rFonts w:ascii="Garamond" w:hAnsi="Garamond"/>
          <w:color w:val="000000"/>
        </w:rPr>
        <w:t>KEDNJ</w:t>
      </w:r>
      <w:proofErr w:type="spellEnd"/>
      <w:r w:rsidRPr="006B4A99">
        <w:rPr>
          <w:rFonts w:ascii="Garamond" w:hAnsi="Garamond"/>
          <w:color w:val="000000"/>
        </w:rPr>
        <w:t>-së.</w:t>
      </w:r>
    </w:p>
    <w:p w:rsidR="00DA15CF" w:rsidRPr="006B4A99" w:rsidRDefault="00DA15CF" w:rsidP="00DA15CF">
      <w:pPr>
        <w:tabs>
          <w:tab w:val="left" w:pos="720"/>
          <w:tab w:val="left" w:pos="980"/>
          <w:tab w:val="left" w:pos="4320"/>
          <w:tab w:val="left" w:pos="486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5. </w:t>
      </w:r>
      <w:r w:rsidR="00B04651" w:rsidRPr="006B4A99">
        <w:rPr>
          <w:rFonts w:ascii="Garamond" w:hAnsi="Garamond"/>
          <w:color w:val="000000"/>
        </w:rPr>
        <w:t>M</w:t>
      </w:r>
      <w:r w:rsidRPr="006B4A99">
        <w:rPr>
          <w:rFonts w:ascii="Garamond" w:hAnsi="Garamond"/>
          <w:color w:val="000000"/>
        </w:rPr>
        <w:t>ë datë 30.10.2024</w:t>
      </w:r>
      <w:r w:rsidR="00B04651" w:rsidRPr="006B4A99">
        <w:rPr>
          <w:rFonts w:ascii="Garamond" w:hAnsi="Garamond"/>
          <w:color w:val="000000"/>
        </w:rPr>
        <w:t>,</w:t>
      </w:r>
      <w:r w:rsidRPr="006B4A99">
        <w:rPr>
          <w:rFonts w:ascii="Garamond" w:hAnsi="Garamond"/>
          <w:color w:val="000000"/>
        </w:rPr>
        <w:t xml:space="preserve"> kërkuesi i është drejtuar Gjykatës Kushtetuese (</w:t>
      </w:r>
      <w:r w:rsidRPr="006B4A99">
        <w:rPr>
          <w:rFonts w:ascii="Garamond" w:hAnsi="Garamond"/>
          <w:i/>
          <w:iCs/>
          <w:color w:val="000000"/>
        </w:rPr>
        <w:t>Gjykata</w:t>
      </w:r>
      <w:r w:rsidRPr="006B4A99">
        <w:rPr>
          <w:rFonts w:ascii="Garamond" w:hAnsi="Garamond"/>
          <w:color w:val="000000"/>
        </w:rPr>
        <w:t>), me ankim kushtetues individual, sipas objektit të tij, i cili është regjistruar në të njëjtën datë.</w:t>
      </w:r>
    </w:p>
    <w:p w:rsidR="00DA15CF" w:rsidRPr="006B4A99" w:rsidRDefault="00DA15CF" w:rsidP="00DA15CF">
      <w:pPr>
        <w:tabs>
          <w:tab w:val="left" w:pos="900"/>
        </w:tabs>
        <w:autoSpaceDE w:val="0"/>
        <w:autoSpaceDN w:val="0"/>
        <w:adjustRightInd w:val="0"/>
        <w:spacing w:line="240" w:lineRule="auto"/>
        <w:ind w:firstLine="284"/>
        <w:jc w:val="both"/>
        <w:rPr>
          <w:rFonts w:ascii="Garamond" w:hAnsi="Garamond"/>
          <w:b/>
          <w:bCs/>
          <w:color w:val="000000"/>
        </w:rPr>
      </w:pPr>
    </w:p>
    <w:p w:rsidR="00DA15CF" w:rsidRPr="006B4A99" w:rsidRDefault="00DA15CF" w:rsidP="00DA15CF">
      <w:pPr>
        <w:tabs>
          <w:tab w:val="left" w:pos="980"/>
          <w:tab w:val="left" w:pos="4500"/>
        </w:tabs>
        <w:autoSpaceDE w:val="0"/>
        <w:autoSpaceDN w:val="0"/>
        <w:adjustRightInd w:val="0"/>
        <w:spacing w:line="240" w:lineRule="auto"/>
        <w:ind w:firstLine="284"/>
        <w:jc w:val="center"/>
        <w:rPr>
          <w:rFonts w:ascii="Garamond" w:hAnsi="Garamond"/>
          <w:color w:val="000000"/>
        </w:rPr>
      </w:pPr>
      <w:proofErr w:type="spellStart"/>
      <w:r w:rsidRPr="006B4A99">
        <w:rPr>
          <w:rFonts w:ascii="Garamond" w:hAnsi="Garamond"/>
          <w:b/>
          <w:bCs/>
          <w:color w:val="000000"/>
        </w:rPr>
        <w:t>II</w:t>
      </w:r>
      <w:proofErr w:type="spellEnd"/>
    </w:p>
    <w:p w:rsidR="00DA15CF" w:rsidRPr="006B4A99" w:rsidRDefault="00DA15CF" w:rsidP="00DA15CF">
      <w:pPr>
        <w:tabs>
          <w:tab w:val="left" w:pos="980"/>
          <w:tab w:val="left" w:pos="4860"/>
        </w:tabs>
        <w:autoSpaceDE w:val="0"/>
        <w:autoSpaceDN w:val="0"/>
        <w:adjustRightInd w:val="0"/>
        <w:spacing w:line="240" w:lineRule="auto"/>
        <w:ind w:firstLine="284"/>
        <w:jc w:val="center"/>
        <w:rPr>
          <w:rFonts w:ascii="Garamond" w:hAnsi="Garamond"/>
          <w:color w:val="000000"/>
        </w:rPr>
      </w:pPr>
      <w:r w:rsidRPr="006B4A99">
        <w:rPr>
          <w:rFonts w:ascii="Garamond" w:hAnsi="Garamond"/>
          <w:b/>
          <w:bCs/>
          <w:color w:val="000000"/>
        </w:rPr>
        <w:t>Pretendimet në Gjykatën Kushtetuese</w:t>
      </w:r>
    </w:p>
    <w:p w:rsidR="00DA15CF" w:rsidRPr="006B4A99" w:rsidRDefault="00DA15CF" w:rsidP="00DA15CF">
      <w:pPr>
        <w:tabs>
          <w:tab w:val="left" w:pos="360"/>
          <w:tab w:val="left" w:pos="980"/>
          <w:tab w:val="left" w:pos="1080"/>
          <w:tab w:val="left" w:pos="4860"/>
        </w:tabs>
        <w:autoSpaceDE w:val="0"/>
        <w:autoSpaceDN w:val="0"/>
        <w:adjustRightInd w:val="0"/>
        <w:spacing w:line="240" w:lineRule="auto"/>
        <w:ind w:firstLine="284"/>
        <w:jc w:val="both"/>
        <w:rPr>
          <w:rFonts w:ascii="Garamond" w:hAnsi="Garamond"/>
          <w:color w:val="000000"/>
        </w:rPr>
      </w:pPr>
    </w:p>
    <w:p w:rsidR="00DA15CF" w:rsidRPr="006B4A99" w:rsidRDefault="00DA15CF" w:rsidP="00DA15CF">
      <w:pPr>
        <w:tabs>
          <w:tab w:val="left" w:pos="360"/>
          <w:tab w:val="left" w:pos="980"/>
          <w:tab w:val="left" w:pos="1080"/>
          <w:tab w:val="left" w:pos="486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6. </w:t>
      </w:r>
      <w:r w:rsidRPr="006B4A99">
        <w:rPr>
          <w:rFonts w:ascii="Garamond" w:hAnsi="Garamond"/>
          <w:b/>
          <w:bCs/>
          <w:i/>
          <w:iCs/>
          <w:color w:val="000000"/>
        </w:rPr>
        <w:t xml:space="preserve">Kërkuesi, </w:t>
      </w:r>
      <w:r w:rsidRPr="006B4A99">
        <w:rPr>
          <w:rFonts w:ascii="Garamond" w:hAnsi="Garamond"/>
          <w:color w:val="000000"/>
        </w:rPr>
        <w:t xml:space="preserve">në mënyrë të përmbledhur, ka pretenduar se i është cenuar e drejta për proces të rregullt në drejtim të: </w:t>
      </w:r>
    </w:p>
    <w:p w:rsidR="00DA15CF" w:rsidRPr="006B4A99" w:rsidRDefault="00DA15CF" w:rsidP="00DA15CF">
      <w:pPr>
        <w:tabs>
          <w:tab w:val="left" w:pos="1160"/>
        </w:tabs>
        <w:autoSpaceDE w:val="0"/>
        <w:autoSpaceDN w:val="0"/>
        <w:adjustRightInd w:val="0"/>
        <w:spacing w:line="240" w:lineRule="auto"/>
        <w:ind w:firstLine="284"/>
        <w:jc w:val="both"/>
        <w:rPr>
          <w:rFonts w:ascii="Garamond" w:hAnsi="Garamond"/>
          <w:color w:val="FF0000"/>
        </w:rPr>
      </w:pPr>
      <w:r w:rsidRPr="006B4A99">
        <w:rPr>
          <w:rFonts w:ascii="Garamond" w:hAnsi="Garamond"/>
          <w:color w:val="000000"/>
        </w:rPr>
        <w:t>6.1</w:t>
      </w:r>
      <w:r w:rsidRPr="006B4A99">
        <w:rPr>
          <w:rFonts w:ascii="Garamond" w:hAnsi="Garamond"/>
          <w:i/>
          <w:iCs/>
          <w:color w:val="000000"/>
        </w:rPr>
        <w:t xml:space="preserve"> Së drejtës së </w:t>
      </w:r>
      <w:proofErr w:type="spellStart"/>
      <w:r w:rsidRPr="006B4A99">
        <w:rPr>
          <w:rFonts w:ascii="Garamond" w:hAnsi="Garamond"/>
          <w:i/>
          <w:iCs/>
          <w:color w:val="000000"/>
        </w:rPr>
        <w:t>aksesit</w:t>
      </w:r>
      <w:proofErr w:type="spellEnd"/>
      <w:r w:rsidRPr="006B4A99">
        <w:rPr>
          <w:rFonts w:ascii="Garamond" w:hAnsi="Garamond"/>
          <w:i/>
          <w:iCs/>
          <w:color w:val="000000"/>
        </w:rPr>
        <w:t xml:space="preserve"> substancial të lidhur me standardin e arsyetimit të vendimit gjyqësor, </w:t>
      </w:r>
      <w:r w:rsidRPr="006B4A99">
        <w:rPr>
          <w:rFonts w:ascii="Garamond" w:hAnsi="Garamond"/>
          <w:color w:val="000000"/>
        </w:rPr>
        <w:t xml:space="preserve">pasi gjykata e apelit nuk ka marrë në shqyrtim dhe nuk ka arsyetuar pretendimet me natyrë kushtetuese të ngritura në ankim nga kërkuesi, të cilat lidheshin me cenimin e parimeve të barazisë së armëve dhe </w:t>
      </w:r>
      <w:proofErr w:type="spellStart"/>
      <w:r w:rsidRPr="006B4A99">
        <w:rPr>
          <w:rFonts w:ascii="Garamond" w:hAnsi="Garamond"/>
          <w:color w:val="000000"/>
        </w:rPr>
        <w:t>kontradiktoritetit</w:t>
      </w:r>
      <w:proofErr w:type="spellEnd"/>
      <w:r w:rsidRPr="006B4A99">
        <w:rPr>
          <w:rFonts w:ascii="Garamond" w:hAnsi="Garamond"/>
          <w:color w:val="000000"/>
        </w:rPr>
        <w:t xml:space="preserve">,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dhe standardit të arsyetimit të vendimit gjyqësor. Gjithashtu, rezulton se edhe Kolegji Penal i Gjykatës së Lartë nuk i ka marrë në shqyrtim, nuk ka arsyetuar dhe nuk u ka dhënë përgjigje pretendimeve me natyrë kushtetuese të ngritura në rekurs, si dhe aktet e tjera të paraqitura nga ai, që kishin të bënin me cenimin e parimit të barazisë së armëve dhe </w:t>
      </w:r>
      <w:proofErr w:type="spellStart"/>
      <w:r w:rsidRPr="006B4A99">
        <w:rPr>
          <w:rFonts w:ascii="Garamond" w:hAnsi="Garamond"/>
          <w:color w:val="000000"/>
        </w:rPr>
        <w:t>kontradiktoritetit</w:t>
      </w:r>
      <w:proofErr w:type="spellEnd"/>
      <w:r w:rsidRPr="006B4A99">
        <w:rPr>
          <w:rFonts w:ascii="Garamond" w:hAnsi="Garamond"/>
          <w:color w:val="000000"/>
        </w:rPr>
        <w:t xml:space="preserve">,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dhe të standardit të arsyetimit të vendimit gjyqësor. Kolegji Penal i Gjykatës së Lartë, jo vetëm që nuk i ka shqyrtuar dhe arsyetuar pretendimet me natyrë kushtetuese të ngritura në aktet e tjera të paraqitura nga kërkuesi, por as nuk i ka pasqyruar ato në pjesën e vendimit ku parashtrohen pretendimet e </w:t>
      </w:r>
      <w:proofErr w:type="spellStart"/>
      <w:r w:rsidRPr="006B4A99">
        <w:rPr>
          <w:rFonts w:ascii="Garamond" w:hAnsi="Garamond"/>
          <w:color w:val="000000"/>
        </w:rPr>
        <w:t>rekursuesit</w:t>
      </w:r>
      <w:proofErr w:type="spellEnd"/>
      <w:r w:rsidRPr="006B4A99">
        <w:rPr>
          <w:rFonts w:ascii="Garamond" w:hAnsi="Garamond"/>
          <w:color w:val="000000"/>
        </w:rPr>
        <w:t xml:space="preserve">, në kundërshtim me jurisprudencën e Gjykatës, konkretisht me vendimin nr. 19, datë 7.7.2022. </w:t>
      </w:r>
    </w:p>
    <w:p w:rsidR="00DA15CF" w:rsidRPr="006B4A99" w:rsidRDefault="00DA15CF" w:rsidP="00DA15CF">
      <w:pPr>
        <w:tabs>
          <w:tab w:val="left" w:pos="116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6.2 </w:t>
      </w:r>
      <w:r w:rsidRPr="006B4A99">
        <w:rPr>
          <w:rFonts w:ascii="Garamond" w:hAnsi="Garamond"/>
          <w:i/>
          <w:iCs/>
          <w:color w:val="000000"/>
        </w:rPr>
        <w:t xml:space="preserve">Parimit të barazisë së armëve dhe të </w:t>
      </w:r>
      <w:proofErr w:type="spellStart"/>
      <w:r w:rsidRPr="006B4A99">
        <w:rPr>
          <w:rFonts w:ascii="Garamond" w:hAnsi="Garamond"/>
          <w:i/>
          <w:iCs/>
          <w:color w:val="000000"/>
        </w:rPr>
        <w:t>kontradiktoritetit</w:t>
      </w:r>
      <w:proofErr w:type="spellEnd"/>
      <w:r w:rsidRPr="006B4A99">
        <w:rPr>
          <w:rFonts w:ascii="Garamond" w:hAnsi="Garamond"/>
          <w:i/>
          <w:iCs/>
          <w:color w:val="000000"/>
        </w:rPr>
        <w:t xml:space="preserve">, </w:t>
      </w:r>
      <w:r w:rsidRPr="006B4A99">
        <w:rPr>
          <w:rFonts w:ascii="Garamond" w:hAnsi="Garamond"/>
          <w:color w:val="000000"/>
        </w:rPr>
        <w:t xml:space="preserve">pasi gjykata e shkallës së parë dhe gjykata e apelit, në vlerësimin e tyre, u janë referuar vetëm dëshmive dhe provave të paraqitura nga organi i akuzës dhe në asnjë moment nuk u janë referuar dëshmitarëve ose provave të paraqitura nga kërkuesi. Dëshmitë e marra në shqyrtim nga gjykatat nuk janë të mjaftueshme për të formuar bindjen e tyre për fajësinë e kërkuesit dhe ato nuk kanë administruar asnjë provë për të mbështetur vendimmarrjen e tyre. Mënyra sesi kanë vepruar ato gjykata, vë në dyshim respektimin e së drejtës për proces të rregullt ligjor në drejtim të garantimit të parimit të barazisë së armëve dhe </w:t>
      </w:r>
      <w:proofErr w:type="spellStart"/>
      <w:r w:rsidRPr="006B4A99">
        <w:rPr>
          <w:rFonts w:ascii="Garamond" w:hAnsi="Garamond"/>
          <w:color w:val="000000"/>
        </w:rPr>
        <w:t>kontradiktoritetit</w:t>
      </w:r>
      <w:proofErr w:type="spellEnd"/>
      <w:r w:rsidRPr="006B4A99">
        <w:rPr>
          <w:rFonts w:ascii="Garamond" w:hAnsi="Garamond"/>
          <w:color w:val="000000"/>
        </w:rPr>
        <w:t>, si dhe së drejtës së mbrojtjes.</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b/>
          <w:bCs/>
          <w:color w:val="000000"/>
        </w:rPr>
        <w:t xml:space="preserve">7. </w:t>
      </w:r>
      <w:r w:rsidRPr="006B4A99">
        <w:rPr>
          <w:rFonts w:ascii="Garamond" w:hAnsi="Garamond"/>
          <w:b/>
          <w:bCs/>
          <w:i/>
          <w:iCs/>
          <w:color w:val="000000"/>
        </w:rPr>
        <w:t>Subjekti i interesuar, Prokuroria e Përgjithshme</w:t>
      </w:r>
      <w:r w:rsidRPr="006B4A99">
        <w:rPr>
          <w:rFonts w:ascii="Garamond" w:hAnsi="Garamond"/>
          <w:color w:val="000000"/>
        </w:rPr>
        <w:t>,</w:t>
      </w:r>
      <w:r w:rsidRPr="006B4A99">
        <w:rPr>
          <w:rFonts w:ascii="Garamond" w:hAnsi="Garamond"/>
          <w:b/>
          <w:bCs/>
          <w:i/>
          <w:iCs/>
          <w:color w:val="000000"/>
        </w:rPr>
        <w:t xml:space="preserve"> </w:t>
      </w:r>
      <w:r w:rsidRPr="006B4A99">
        <w:rPr>
          <w:rFonts w:ascii="Garamond" w:hAnsi="Garamond"/>
          <w:color w:val="000000"/>
        </w:rPr>
        <w:t>në mënyrë të përmbledhur, ka prapësuar si vijon:</w:t>
      </w:r>
    </w:p>
    <w:p w:rsidR="00DA15CF" w:rsidRPr="006B4A99" w:rsidRDefault="00DA15CF" w:rsidP="00DA15CF">
      <w:pPr>
        <w:tabs>
          <w:tab w:val="left" w:pos="720"/>
          <w:tab w:val="left" w:pos="980"/>
          <w:tab w:val="left" w:pos="126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7.1 Pretendimi i kërkuesit për cenimin e </w:t>
      </w:r>
      <w:r w:rsidRPr="006B4A99">
        <w:rPr>
          <w:rFonts w:ascii="Garamond" w:hAnsi="Garamond"/>
          <w:i/>
          <w:iCs/>
          <w:color w:val="000000"/>
        </w:rPr>
        <w:t xml:space="preserve">së drejtës së </w:t>
      </w:r>
      <w:proofErr w:type="spellStart"/>
      <w:r w:rsidRPr="006B4A99">
        <w:rPr>
          <w:rFonts w:ascii="Garamond" w:hAnsi="Garamond"/>
          <w:i/>
          <w:iCs/>
          <w:color w:val="000000"/>
        </w:rPr>
        <w:t>aksesit</w:t>
      </w:r>
      <w:proofErr w:type="spellEnd"/>
      <w:r w:rsidRPr="006B4A99">
        <w:rPr>
          <w:rFonts w:ascii="Garamond" w:hAnsi="Garamond"/>
          <w:i/>
          <w:iCs/>
          <w:color w:val="000000"/>
        </w:rPr>
        <w:t xml:space="preserve"> të lidhur me standardin e arsyetimit të vendimit gjyqësor </w:t>
      </w:r>
      <w:r w:rsidRPr="006B4A99">
        <w:rPr>
          <w:rFonts w:ascii="Garamond" w:hAnsi="Garamond"/>
          <w:color w:val="000000"/>
        </w:rPr>
        <w:t xml:space="preserve">është i pabazuar, pasi bazuar në nenin 415, pika 2, të </w:t>
      </w:r>
      <w:proofErr w:type="spellStart"/>
      <w:r w:rsidRPr="006B4A99">
        <w:rPr>
          <w:rFonts w:ascii="Garamond" w:hAnsi="Garamond"/>
          <w:color w:val="000000"/>
        </w:rPr>
        <w:t>KPP</w:t>
      </w:r>
      <w:proofErr w:type="spellEnd"/>
      <w:r w:rsidRPr="006B4A99">
        <w:rPr>
          <w:rFonts w:ascii="Garamond" w:hAnsi="Garamond"/>
          <w:color w:val="000000"/>
        </w:rPr>
        <w:t>-së, ai që ka bërë ankim ka të drejtë të paraqesë në sekretarinë e gjykatës që do të shqyrtojë çështjen, parashtrime me shkrim për shkaqet e ngritura në ankim, ndërkohë, në rastin konkret, kërkuesi nuk ka paraqitur parashtrime, por ka paraqitur shtesë rekursi. Gjithashtu, parashtrimet e ngritura nga kërkuesi në rekurs kanë të bëjnë me çështje provash dhe nuk paraqitet asnjë argument, fakt ose provë e re që është kërkuar apo pretenduar nga kërkuesi, e cila nuk është shqyrtuar ose analizuar nga gjykatat më të ulëta.</w:t>
      </w:r>
    </w:p>
    <w:p w:rsidR="00DA15CF" w:rsidRPr="006B4A99" w:rsidRDefault="00DA15CF" w:rsidP="00DA15CF">
      <w:pPr>
        <w:tabs>
          <w:tab w:val="left" w:pos="720"/>
          <w:tab w:val="left" w:pos="980"/>
          <w:tab w:val="left" w:pos="126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lastRenderedPageBreak/>
        <w:t xml:space="preserve">7.2 I pabazuar është edhe pretendimi tjetër i kërkuesit për cenimin e </w:t>
      </w:r>
      <w:r w:rsidRPr="006B4A99">
        <w:rPr>
          <w:rFonts w:ascii="Garamond" w:hAnsi="Garamond"/>
          <w:i/>
          <w:iCs/>
          <w:color w:val="000000"/>
        </w:rPr>
        <w:t xml:space="preserve">parimit të barazisë së armëve dhe </w:t>
      </w:r>
      <w:proofErr w:type="spellStart"/>
      <w:r w:rsidRPr="006B4A99">
        <w:rPr>
          <w:rFonts w:ascii="Garamond" w:hAnsi="Garamond"/>
          <w:i/>
          <w:iCs/>
          <w:color w:val="000000"/>
        </w:rPr>
        <w:t>kontradiktoritetit</w:t>
      </w:r>
      <w:proofErr w:type="spellEnd"/>
      <w:r w:rsidRPr="006B4A99">
        <w:rPr>
          <w:rFonts w:ascii="Garamond" w:hAnsi="Garamond"/>
          <w:color w:val="000000"/>
        </w:rPr>
        <w:t>, pasi referuar vendimmarrjes së gjykatës së shkallës së parë është pasqyruar marrja e dëshmive të një sërë dëshmitarësh, dëshmitë e të cilëve ishin në harmoni më ngjarjen e pasqyruar. Gjithashtu, është shqyrtuar pretendimi i kërkuesit se ishte i pafajshëm dhe se ai nuk kishte kryer veprën penale, duke analizuar harmonizimin e të gjitha provave. Madje gjykata e shkallës së parë, në përfundim, ka bërë një rikualifikim të veprës penale në ngarkim të kërkuesit në favor të tij. Vendimi i gjykatës së shkallës së parë është lënë në fuqi nga gjykata e apelit, duke marrë kjo e fundit në analizë të gjitha provat e gjykimit, të cilat, të vlerësuara në harmoni me njëra-tjetrën, vërtetonin tej çdo dyshimi të arsyeshëm se kërkuesi ka kryer veprën penale.</w:t>
      </w:r>
    </w:p>
    <w:p w:rsidR="00DA15CF" w:rsidRPr="006B4A99" w:rsidRDefault="00DA15CF" w:rsidP="00DA15CF">
      <w:pPr>
        <w:tabs>
          <w:tab w:val="left" w:pos="1080"/>
          <w:tab w:val="left" w:pos="1520"/>
        </w:tabs>
        <w:autoSpaceDE w:val="0"/>
        <w:autoSpaceDN w:val="0"/>
        <w:adjustRightInd w:val="0"/>
        <w:spacing w:line="240" w:lineRule="auto"/>
        <w:ind w:firstLine="284"/>
        <w:jc w:val="center"/>
        <w:rPr>
          <w:rFonts w:ascii="Garamond" w:hAnsi="Garamond"/>
          <w:b/>
          <w:bCs/>
          <w:color w:val="000000"/>
        </w:rPr>
      </w:pPr>
    </w:p>
    <w:p w:rsidR="00DA15CF" w:rsidRPr="006B4A99" w:rsidRDefault="00DA15CF" w:rsidP="00DA15CF">
      <w:pPr>
        <w:tabs>
          <w:tab w:val="left" w:pos="1080"/>
          <w:tab w:val="left" w:pos="1520"/>
        </w:tabs>
        <w:autoSpaceDE w:val="0"/>
        <w:autoSpaceDN w:val="0"/>
        <w:adjustRightInd w:val="0"/>
        <w:spacing w:line="240" w:lineRule="auto"/>
        <w:ind w:firstLine="284"/>
        <w:jc w:val="center"/>
        <w:rPr>
          <w:rFonts w:ascii="Garamond" w:hAnsi="Garamond"/>
          <w:b/>
          <w:bCs/>
          <w:color w:val="000000"/>
        </w:rPr>
      </w:pPr>
      <w:proofErr w:type="spellStart"/>
      <w:r w:rsidRPr="006B4A99">
        <w:rPr>
          <w:rFonts w:ascii="Garamond" w:hAnsi="Garamond"/>
          <w:b/>
          <w:bCs/>
          <w:color w:val="000000"/>
        </w:rPr>
        <w:t>III</w:t>
      </w:r>
      <w:proofErr w:type="spellEnd"/>
    </w:p>
    <w:p w:rsidR="00DA15CF" w:rsidRPr="006B4A99" w:rsidRDefault="00DA15CF" w:rsidP="00DA15CF">
      <w:pPr>
        <w:tabs>
          <w:tab w:val="left" w:pos="1080"/>
          <w:tab w:val="left" w:pos="1520"/>
        </w:tabs>
        <w:autoSpaceDE w:val="0"/>
        <w:autoSpaceDN w:val="0"/>
        <w:adjustRightInd w:val="0"/>
        <w:spacing w:line="240" w:lineRule="auto"/>
        <w:ind w:firstLine="284"/>
        <w:jc w:val="center"/>
        <w:rPr>
          <w:rFonts w:ascii="Garamond" w:hAnsi="Garamond"/>
          <w:b/>
          <w:bCs/>
          <w:color w:val="000000"/>
        </w:rPr>
      </w:pPr>
      <w:r w:rsidRPr="006B4A99">
        <w:rPr>
          <w:rFonts w:ascii="Garamond" w:hAnsi="Garamond"/>
          <w:b/>
          <w:bCs/>
          <w:color w:val="000000"/>
        </w:rPr>
        <w:t>Vlerësimi i Gjykatës Kushtetuese</w:t>
      </w:r>
    </w:p>
    <w:p w:rsidR="00DA15CF" w:rsidRPr="006B4A99" w:rsidRDefault="00DA15CF" w:rsidP="00DA15CF">
      <w:pPr>
        <w:tabs>
          <w:tab w:val="left" w:pos="1080"/>
          <w:tab w:val="left" w:pos="1520"/>
        </w:tabs>
        <w:autoSpaceDE w:val="0"/>
        <w:autoSpaceDN w:val="0"/>
        <w:adjustRightInd w:val="0"/>
        <w:spacing w:line="240" w:lineRule="auto"/>
        <w:ind w:firstLine="284"/>
        <w:jc w:val="center"/>
        <w:rPr>
          <w:rFonts w:ascii="Garamond" w:hAnsi="Garamond"/>
          <w:b/>
          <w:bCs/>
          <w:color w:val="000000"/>
        </w:rPr>
      </w:pPr>
    </w:p>
    <w:p w:rsidR="00DA15CF" w:rsidRPr="006B4A99" w:rsidRDefault="00DA15CF" w:rsidP="00DA15CF">
      <w:pPr>
        <w:tabs>
          <w:tab w:val="left" w:pos="720"/>
          <w:tab w:val="left" w:pos="1080"/>
          <w:tab w:val="left" w:pos="1160"/>
        </w:tabs>
        <w:autoSpaceDE w:val="0"/>
        <w:autoSpaceDN w:val="0"/>
        <w:adjustRightInd w:val="0"/>
        <w:spacing w:line="240" w:lineRule="auto"/>
        <w:ind w:firstLine="284"/>
        <w:jc w:val="both"/>
        <w:rPr>
          <w:rFonts w:ascii="Garamond" w:hAnsi="Garamond"/>
          <w:i/>
          <w:iCs/>
          <w:color w:val="000000"/>
        </w:rPr>
      </w:pPr>
      <w:r w:rsidRPr="006B4A99">
        <w:rPr>
          <w:rFonts w:ascii="Garamond" w:hAnsi="Garamond"/>
          <w:i/>
          <w:iCs/>
          <w:color w:val="000000"/>
        </w:rPr>
        <w:t>A. Për legjitimimin e kërkuesit</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8. Çështja e legjitimimit (</w:t>
      </w:r>
      <w:proofErr w:type="spellStart"/>
      <w:r w:rsidRPr="006B4A99">
        <w:rPr>
          <w:rFonts w:ascii="Garamond" w:hAnsi="Garamond"/>
          <w:i/>
          <w:iCs/>
          <w:color w:val="000000"/>
        </w:rPr>
        <w:t>locus</w:t>
      </w:r>
      <w:proofErr w:type="spellEnd"/>
      <w:r w:rsidRPr="006B4A99">
        <w:rPr>
          <w:rFonts w:ascii="Garamond" w:hAnsi="Garamond"/>
          <w:i/>
          <w:iCs/>
          <w:color w:val="000000"/>
        </w:rPr>
        <w:t xml:space="preserve"> </w:t>
      </w:r>
      <w:proofErr w:type="spellStart"/>
      <w:r w:rsidRPr="006B4A99">
        <w:rPr>
          <w:rFonts w:ascii="Garamond" w:hAnsi="Garamond"/>
          <w:i/>
          <w:iCs/>
          <w:color w:val="000000"/>
        </w:rPr>
        <w:t>standi</w:t>
      </w:r>
      <w:proofErr w:type="spellEnd"/>
      <w:r w:rsidRPr="006B4A99">
        <w:rPr>
          <w:rFonts w:ascii="Garamond" w:hAnsi="Garamond"/>
          <w:color w:val="000000"/>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6B4A99">
        <w:rPr>
          <w:rFonts w:ascii="Garamond" w:hAnsi="Garamond"/>
          <w:color w:val="000000"/>
        </w:rPr>
        <w:t>kumulative</w:t>
      </w:r>
      <w:proofErr w:type="spellEnd"/>
      <w:r w:rsidRPr="006B4A99">
        <w:rPr>
          <w:rFonts w:ascii="Garamond" w:hAnsi="Garamond"/>
          <w:color w:val="000000"/>
        </w:rPr>
        <w:t xml:space="preserve"> të nenit 71/a të ligjit nr. 8577/2000, që lidhen me shterimin e mjeteve juridike, afatin e paraqitjes së kërkesës, pasojat negative të pësuara në mënyrë të drejtpërdrejtë e reale dhe mundësinë për rivendosjen e së drejtës së shkelur.</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9. Në këtë këndvështrim, kërkuesi, si individ, legjitimohet </w:t>
      </w:r>
      <w:proofErr w:type="spellStart"/>
      <w:r w:rsidRPr="006B4A99">
        <w:rPr>
          <w:rFonts w:ascii="Garamond" w:hAnsi="Garamond"/>
          <w:i/>
          <w:iCs/>
          <w:color w:val="000000"/>
        </w:rPr>
        <w:t>ratione</w:t>
      </w:r>
      <w:proofErr w:type="spellEnd"/>
      <w:r w:rsidRPr="006B4A99">
        <w:rPr>
          <w:rFonts w:ascii="Garamond" w:hAnsi="Garamond"/>
          <w:i/>
          <w:iCs/>
          <w:color w:val="000000"/>
        </w:rPr>
        <w:t xml:space="preserve"> </w:t>
      </w:r>
      <w:proofErr w:type="spellStart"/>
      <w:r w:rsidRPr="006B4A99">
        <w:rPr>
          <w:rFonts w:ascii="Garamond" w:hAnsi="Garamond"/>
          <w:i/>
          <w:iCs/>
          <w:color w:val="000000"/>
        </w:rPr>
        <w:t>personae</w:t>
      </w:r>
      <w:proofErr w:type="spellEnd"/>
      <w:r w:rsidRPr="006B4A99">
        <w:rPr>
          <w:rFonts w:ascii="Garamond" w:hAnsi="Garamond"/>
          <w:color w:val="000000"/>
        </w:rPr>
        <w:t>, në kuptim të shkronjës “f” të pikës 1 të nenit 131 dhe shkronjës “i” të pikës 1 të nenit 134 të Kushtetutës, pasi është palë në çështjen objekt të ankimit kushtetues individual, për rrjedhojë ka interes të drejtpërdrejtë për vënien në lëvizje të këtij gjykimi.</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10. Në lidhje me kriterin e </w:t>
      </w:r>
      <w:r w:rsidRPr="006B4A99">
        <w:rPr>
          <w:rFonts w:ascii="Garamond" w:hAnsi="Garamond"/>
          <w:i/>
          <w:iCs/>
          <w:color w:val="000000"/>
        </w:rPr>
        <w:t>shterimit të mjeteve juridike efektive</w:t>
      </w:r>
      <w:r w:rsidRPr="006B4A99">
        <w:rPr>
          <w:rFonts w:ascii="Garamond" w:hAnsi="Garamond"/>
          <w:color w:val="000000"/>
        </w:rPr>
        <w:t>, në kuptim të nenit 131, pika 1, shkronja “f”, të Kushtetutës, Gjykata vëren se kërkuesi i është drejtuar asaj me ankim kushtetues individual pas përfundimit të procesit gjyqësor në të tria shkallët e gjyqësorit të zakonshëm dhe pasi ka shteruar në formë e substancë mjetet e zakonshme të ankimit ndaj vendimeve të gjykatave më të ulëta. Për rrjedhojë, ai nuk ka mjet tjetër juridik në dispozicion për mbrojtjen e të drejtave të tij kushtetuese përveç paraqitjes së ankimit kushtetues individual.</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11. Kërkuesi legjitimohet edhe </w:t>
      </w:r>
      <w:proofErr w:type="spellStart"/>
      <w:r w:rsidRPr="006B4A99">
        <w:rPr>
          <w:rFonts w:ascii="Garamond" w:hAnsi="Garamond"/>
          <w:i/>
          <w:iCs/>
          <w:color w:val="000000"/>
        </w:rPr>
        <w:t>ratione</w:t>
      </w:r>
      <w:proofErr w:type="spellEnd"/>
      <w:r w:rsidRPr="006B4A99">
        <w:rPr>
          <w:rFonts w:ascii="Garamond" w:hAnsi="Garamond"/>
          <w:i/>
          <w:iCs/>
          <w:color w:val="000000"/>
        </w:rPr>
        <w:t xml:space="preserve"> </w:t>
      </w:r>
      <w:proofErr w:type="spellStart"/>
      <w:r w:rsidRPr="006B4A99">
        <w:rPr>
          <w:rFonts w:ascii="Garamond" w:hAnsi="Garamond"/>
          <w:i/>
          <w:iCs/>
          <w:color w:val="000000"/>
        </w:rPr>
        <w:t>temporis</w:t>
      </w:r>
      <w:proofErr w:type="spellEnd"/>
      <w:r w:rsidRPr="006B4A99">
        <w:rPr>
          <w:rFonts w:ascii="Garamond" w:hAnsi="Garamond"/>
          <w:color w:val="000000"/>
        </w:rPr>
        <w:t xml:space="preserve">, në kuptim të përmbajtjes së nenit 71/a, pika 1, shkronja “b”, të ligjit nr. 8577/2000, pasi vendimi më i fundit në kohë i kundërshtuar, ai i Kolegjit Penal të Gjykatës së Lartë, mban datën 11.7.2024, ndërsa kërkesa është paraqitur në këtë Gjykatë </w:t>
      </w:r>
      <w:r w:rsidR="00B04651" w:rsidRPr="006B4A99">
        <w:rPr>
          <w:rFonts w:ascii="Garamond" w:hAnsi="Garamond"/>
          <w:color w:val="000000"/>
        </w:rPr>
        <w:t>m</w:t>
      </w:r>
      <w:r w:rsidRPr="006B4A99">
        <w:rPr>
          <w:rFonts w:ascii="Garamond" w:hAnsi="Garamond"/>
          <w:color w:val="000000"/>
        </w:rPr>
        <w:t>ë datë 30.10.2024, pra brenda afatit ligjor 4-mujor.</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12. Në lidhje me legjitimimin </w:t>
      </w:r>
      <w:proofErr w:type="spellStart"/>
      <w:r w:rsidRPr="006B4A99">
        <w:rPr>
          <w:rFonts w:ascii="Garamond" w:hAnsi="Garamond"/>
          <w:i/>
          <w:iCs/>
          <w:color w:val="000000"/>
        </w:rPr>
        <w:t>ratione</w:t>
      </w:r>
      <w:proofErr w:type="spellEnd"/>
      <w:r w:rsidRPr="006B4A99">
        <w:rPr>
          <w:rFonts w:ascii="Garamond" w:hAnsi="Garamond"/>
          <w:i/>
          <w:iCs/>
          <w:color w:val="000000"/>
        </w:rPr>
        <w:t xml:space="preserve"> </w:t>
      </w:r>
      <w:proofErr w:type="spellStart"/>
      <w:r w:rsidRPr="006B4A99">
        <w:rPr>
          <w:rFonts w:ascii="Garamond" w:hAnsi="Garamond"/>
          <w:i/>
          <w:iCs/>
          <w:color w:val="000000"/>
        </w:rPr>
        <w:t>materiae</w:t>
      </w:r>
      <w:proofErr w:type="spellEnd"/>
      <w:r w:rsidRPr="006B4A99">
        <w:rPr>
          <w:rFonts w:ascii="Garamond" w:hAnsi="Garamond"/>
          <w:color w:val="000000"/>
        </w:rPr>
        <w:t xml:space="preserve">, Gjykata vëren se pretendimet e kërkuesit lidhen me cenimin e së drejtës së </w:t>
      </w:r>
      <w:proofErr w:type="spellStart"/>
      <w:r w:rsidRPr="006B4A99">
        <w:rPr>
          <w:rFonts w:ascii="Garamond" w:hAnsi="Garamond"/>
          <w:color w:val="000000"/>
        </w:rPr>
        <w:t>aksesit</w:t>
      </w:r>
      <w:proofErr w:type="spellEnd"/>
      <w:r w:rsidRPr="006B4A99">
        <w:rPr>
          <w:rFonts w:ascii="Garamond" w:hAnsi="Garamond"/>
          <w:color w:val="000000"/>
        </w:rPr>
        <w:t xml:space="preserve"> substancial të lidhur me standardin e arsyetimit të vendimit gjyqësor, si dhe me cenimin e parimit të barazisë së armëve dhe </w:t>
      </w:r>
      <w:proofErr w:type="spellStart"/>
      <w:r w:rsidRPr="006B4A99">
        <w:rPr>
          <w:rFonts w:ascii="Garamond" w:hAnsi="Garamond"/>
          <w:color w:val="000000"/>
        </w:rPr>
        <w:t>kontradiktoritetit</w:t>
      </w:r>
      <w:proofErr w:type="spellEnd"/>
      <w:r w:rsidRPr="006B4A99">
        <w:rPr>
          <w:rFonts w:ascii="Garamond" w:hAnsi="Garamond"/>
          <w:color w:val="000000"/>
        </w:rPr>
        <w:t>, si elemente të procesit të rregullt ligjor.</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13. Për sa i përket pretendimit për cenimin e </w:t>
      </w:r>
      <w:r w:rsidRPr="006B4A99">
        <w:rPr>
          <w:rFonts w:ascii="Garamond" w:hAnsi="Garamond"/>
          <w:i/>
          <w:iCs/>
          <w:color w:val="000000"/>
        </w:rPr>
        <w:t xml:space="preserve">parimit të barazisë së armëve dhe </w:t>
      </w:r>
      <w:proofErr w:type="spellStart"/>
      <w:r w:rsidRPr="006B4A99">
        <w:rPr>
          <w:rFonts w:ascii="Garamond" w:hAnsi="Garamond"/>
          <w:i/>
          <w:iCs/>
          <w:color w:val="000000"/>
        </w:rPr>
        <w:t>kontradiktoritetit</w:t>
      </w:r>
      <w:proofErr w:type="spellEnd"/>
      <w:r w:rsidRPr="006B4A99">
        <w:rPr>
          <w:rFonts w:ascii="Garamond" w:hAnsi="Garamond"/>
          <w:color w:val="000000"/>
        </w:rPr>
        <w:t>, kërkuesi ka argumentuar se gjykata e shkallës së parë dhe gjykata e apelit, në vlerësimin e tyre, u janë referuar vetëm dëshmive dhe provave të paraqitura nga organi i akuzës dhe në asnjë moment nuk u janë referuar dëshmitarëve ose provave të paraqitura nga ai. Sipas kërkuesit, dëshmitë e marra në shqyrtim nga ato gjykata nuk janë të mjaftueshme për të formuar bindjen e tyre për fajësinë e tij dhe ato nuk kanë administruar asnjë provë për të mbështetur vendimmarrjen e tyre. Po kështu, kërkuesi ka pretenduar se nuk rezulton që nga gjykatat të jetë hetuar se kujt i përkiste arma, e cila është përdorur në krim.</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14. Gjykata në jurisprudencën e saj ka theksuar se në procesin penal mbrojtja e të pandehurit lidhet ngushtë me parimin e barazisë së armëve dhe </w:t>
      </w:r>
      <w:proofErr w:type="spellStart"/>
      <w:r w:rsidRPr="006B4A99">
        <w:rPr>
          <w:rFonts w:ascii="Garamond" w:hAnsi="Garamond"/>
          <w:color w:val="000000"/>
        </w:rPr>
        <w:t>kontradiktoritetit</w:t>
      </w:r>
      <w:proofErr w:type="spellEnd"/>
      <w:r w:rsidRPr="006B4A99">
        <w:rPr>
          <w:rFonts w:ascii="Garamond" w:hAnsi="Garamond"/>
          <w:color w:val="000000"/>
        </w:rPr>
        <w:t xml:space="preserve">, të cilat së bashku përbëjnë në vetvete elementet më të qenësishme e thelbësore të procesit të rregullt ligjor në kuptimin kushtetues. Prandaj, për respektimin e tyre, gjykata duhet të përmbushë me rigorozitet një sërë detyrimesh, me synimin kryesor realizimin e një debati real ndërmjet akuzës dhe mbrojtjes, gjë që ndikon pozitivisht dhe në mënyrë të drejtpërdrejtë në zbulimin e së vërtetës dhe dhënien e drejtësisë nga gjykata me objektivitet e paanësi. Këto kërkesa kushtetuese e ligjore janë në funksion të </w:t>
      </w:r>
      <w:r w:rsidRPr="006B4A99">
        <w:rPr>
          <w:rFonts w:ascii="Garamond" w:hAnsi="Garamond"/>
          <w:color w:val="000000"/>
        </w:rPr>
        <w:lastRenderedPageBreak/>
        <w:t xml:space="preserve">mbrojtjes sa më efektive të </w:t>
      </w:r>
      <w:proofErr w:type="spellStart"/>
      <w:r w:rsidRPr="006B4A99">
        <w:rPr>
          <w:rFonts w:ascii="Garamond" w:hAnsi="Garamond"/>
          <w:color w:val="000000"/>
        </w:rPr>
        <w:t>të</w:t>
      </w:r>
      <w:proofErr w:type="spellEnd"/>
      <w:r w:rsidRPr="006B4A99">
        <w:rPr>
          <w:rFonts w:ascii="Garamond" w:hAnsi="Garamond"/>
          <w:color w:val="000000"/>
        </w:rPr>
        <w:t xml:space="preserve"> pandehurit, pasi përballë tij qëndron vetë shteti i përfaqësuar në procesin penal nga prokurori që paraqet dhe mbron akuzën kundër tij (</w:t>
      </w:r>
      <w:r w:rsidRPr="006B4A99">
        <w:rPr>
          <w:rFonts w:ascii="Garamond" w:hAnsi="Garamond"/>
          <w:i/>
          <w:iCs/>
          <w:color w:val="000000"/>
        </w:rPr>
        <w:t>shih vendimet nr. 34, datë 17.11.2022; nr. 71, datë 30.11.2016 të Gjykatës Kushtetuese</w:t>
      </w:r>
      <w:r w:rsidRPr="006B4A99">
        <w:rPr>
          <w:rFonts w:ascii="Garamond" w:hAnsi="Garamond"/>
          <w:color w:val="000000"/>
        </w:rPr>
        <w:t xml:space="preserve">). Parimi i barazisë së armëve dhe </w:t>
      </w:r>
      <w:proofErr w:type="spellStart"/>
      <w:r w:rsidRPr="006B4A99">
        <w:rPr>
          <w:rFonts w:ascii="Garamond" w:hAnsi="Garamond"/>
          <w:color w:val="000000"/>
        </w:rPr>
        <w:t>kontradiktoritetit</w:t>
      </w:r>
      <w:proofErr w:type="spellEnd"/>
      <w:r w:rsidRPr="006B4A99">
        <w:rPr>
          <w:rFonts w:ascii="Garamond" w:hAnsi="Garamond"/>
          <w:color w:val="000000"/>
        </w:rPr>
        <w:t xml:space="preserve"> në gjykimin penal, i garantuar nga neni 31 i Kushtetutës dhe neni 6 i </w:t>
      </w:r>
      <w:proofErr w:type="spellStart"/>
      <w:r w:rsidRPr="006B4A99">
        <w:rPr>
          <w:rFonts w:ascii="Garamond" w:hAnsi="Garamond"/>
          <w:color w:val="000000"/>
        </w:rPr>
        <w:t>KEDNJ</w:t>
      </w:r>
      <w:proofErr w:type="spellEnd"/>
      <w:r w:rsidRPr="006B4A99">
        <w:rPr>
          <w:rFonts w:ascii="Garamond" w:hAnsi="Garamond"/>
          <w:color w:val="000000"/>
        </w:rPr>
        <w:t xml:space="preserve">-së, kërkon që argumentet e mbrojtjes të paraqiten dhe të dëgjohen njëlloj si ato të prokurorit. Ky parim </w:t>
      </w:r>
      <w:proofErr w:type="spellStart"/>
      <w:r w:rsidRPr="006B4A99">
        <w:rPr>
          <w:rFonts w:ascii="Garamond" w:hAnsi="Garamond"/>
          <w:color w:val="000000"/>
        </w:rPr>
        <w:t>prezupozon</w:t>
      </w:r>
      <w:proofErr w:type="spellEnd"/>
      <w:r w:rsidRPr="006B4A99">
        <w:rPr>
          <w:rFonts w:ascii="Garamond" w:hAnsi="Garamond"/>
          <w:color w:val="000000"/>
        </w:rPr>
        <w:t xml:space="preserve"> që secilës palë duhet t’u ofrohen mundësi të arsyeshme për të paraqitur pretendimet për çështjen, në kushte të tilla që të mos e vënë në </w:t>
      </w:r>
      <w:proofErr w:type="spellStart"/>
      <w:r w:rsidRPr="006B4A99">
        <w:rPr>
          <w:rFonts w:ascii="Garamond" w:hAnsi="Garamond"/>
          <w:color w:val="000000"/>
        </w:rPr>
        <w:t>disavantazh</w:t>
      </w:r>
      <w:proofErr w:type="spellEnd"/>
      <w:r w:rsidRPr="006B4A99">
        <w:rPr>
          <w:rFonts w:ascii="Garamond" w:hAnsi="Garamond"/>
          <w:color w:val="000000"/>
        </w:rPr>
        <w:t xml:space="preserve"> me palën tjetër</w:t>
      </w:r>
      <w:r w:rsidRPr="006B4A99">
        <w:rPr>
          <w:rFonts w:ascii="Garamond" w:hAnsi="Garamond"/>
          <w:i/>
          <w:iCs/>
          <w:color w:val="000000"/>
        </w:rPr>
        <w:t xml:space="preserve"> </w:t>
      </w:r>
      <w:r w:rsidRPr="006B4A99">
        <w:rPr>
          <w:rFonts w:ascii="Garamond" w:hAnsi="Garamond"/>
          <w:color w:val="000000"/>
        </w:rPr>
        <w:t>(</w:t>
      </w:r>
      <w:r w:rsidRPr="006B4A99">
        <w:rPr>
          <w:rFonts w:ascii="Garamond" w:hAnsi="Garamond"/>
          <w:i/>
          <w:iCs/>
          <w:color w:val="000000"/>
        </w:rPr>
        <w:t>shih vendimet</w:t>
      </w:r>
      <w:r w:rsidRPr="006B4A99">
        <w:rPr>
          <w:rFonts w:ascii="Garamond" w:hAnsi="Garamond"/>
          <w:color w:val="000000"/>
        </w:rPr>
        <w:t xml:space="preserve"> </w:t>
      </w:r>
      <w:r w:rsidRPr="006B4A99">
        <w:rPr>
          <w:rFonts w:ascii="Garamond" w:hAnsi="Garamond"/>
          <w:i/>
          <w:iCs/>
          <w:color w:val="000000"/>
        </w:rPr>
        <w:t>nr. 13, datë 24.4.2018; nr. 16, datë 27.3.2012; nr. 5, datë 17.2.2003 të Gjykatës Kushtetuese</w:t>
      </w:r>
      <w:r w:rsidRPr="006B4A99">
        <w:rPr>
          <w:rFonts w:ascii="Garamond" w:hAnsi="Garamond"/>
          <w:color w:val="000000"/>
        </w:rPr>
        <w:t>)</w:t>
      </w:r>
      <w:r w:rsidRPr="006B4A99">
        <w:rPr>
          <w:rFonts w:ascii="Garamond" w:hAnsi="Garamond"/>
          <w:i/>
          <w:iCs/>
          <w:color w:val="000000"/>
        </w:rPr>
        <w:t>.</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15. Në këndvështrim të standardeve të mësipërme kushtetuese, për sa u përket pretendimeve të kërkuesit për cenimin e parimit të barazisë së armëve dhe </w:t>
      </w:r>
      <w:proofErr w:type="spellStart"/>
      <w:r w:rsidRPr="006B4A99">
        <w:rPr>
          <w:rFonts w:ascii="Garamond" w:hAnsi="Garamond"/>
          <w:color w:val="000000"/>
        </w:rPr>
        <w:t>kontradiktoritetit</w:t>
      </w:r>
      <w:proofErr w:type="spellEnd"/>
      <w:r w:rsidRPr="006B4A99">
        <w:rPr>
          <w:rFonts w:ascii="Garamond" w:hAnsi="Garamond"/>
          <w:color w:val="000000"/>
        </w:rPr>
        <w:t xml:space="preserve">, Gjykata vëren se kërkuesi nuk ka argumentuar se cilave provave ose dëshmitarëve nuk u janë referuar gjykatat, të cilat ishin në favor të tij. Gjithashtu, bazuar në arsyetimin e gjykatave të shkallës së parë dhe asaj të apelit, Gjykata konstaton se nuk rezulton që kërkuesi të jetë vënë në pozita të pabarabarta me organin e akuzës. Atij i është dhënë mundësia që gjatë procesit të zhvilluar në gjykatën e shkallës së parë dhe gjykatën e apelit të kundërshtojë akuzat e ngritura ndaj tij, provat mbi të cilat janë ngritur këto akuza, të debatojë për to, si dhe të paraqesë argumente dhe prova në mbështetje të pretendimeve të tij. Për këto arsye, Gjykata çmon se pretendimi i kërkuesit për cenimin e </w:t>
      </w:r>
      <w:r w:rsidRPr="006B4A99">
        <w:rPr>
          <w:rFonts w:ascii="Garamond" w:hAnsi="Garamond"/>
          <w:i/>
          <w:iCs/>
          <w:color w:val="000000"/>
        </w:rPr>
        <w:t xml:space="preserve">parimit të barazisë së armëve dhe </w:t>
      </w:r>
      <w:proofErr w:type="spellStart"/>
      <w:r w:rsidRPr="006B4A99">
        <w:rPr>
          <w:rFonts w:ascii="Garamond" w:hAnsi="Garamond"/>
          <w:i/>
          <w:iCs/>
          <w:color w:val="000000"/>
        </w:rPr>
        <w:t>kontradiktoritetit</w:t>
      </w:r>
      <w:proofErr w:type="spellEnd"/>
      <w:r w:rsidRPr="006B4A99">
        <w:rPr>
          <w:rFonts w:ascii="Garamond" w:hAnsi="Garamond"/>
          <w:color w:val="000000"/>
        </w:rPr>
        <w:t xml:space="preserve"> është haptazi i pabazuar. </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16. Për sa i përket pretendimit tjetër të parashtruar në ankimin kushtetues individual për cenimin e </w:t>
      </w:r>
      <w:r w:rsidRPr="006B4A99">
        <w:rPr>
          <w:rFonts w:ascii="Garamond" w:hAnsi="Garamond"/>
          <w:i/>
          <w:iCs/>
          <w:color w:val="000000"/>
        </w:rPr>
        <w:t xml:space="preserve">së drejtës së </w:t>
      </w:r>
      <w:proofErr w:type="spellStart"/>
      <w:r w:rsidRPr="006B4A99">
        <w:rPr>
          <w:rFonts w:ascii="Garamond" w:hAnsi="Garamond"/>
          <w:i/>
          <w:iCs/>
          <w:color w:val="000000"/>
        </w:rPr>
        <w:t>aksesit</w:t>
      </w:r>
      <w:proofErr w:type="spellEnd"/>
      <w:r w:rsidRPr="006B4A99">
        <w:rPr>
          <w:rFonts w:ascii="Garamond" w:hAnsi="Garamond"/>
          <w:i/>
          <w:iCs/>
          <w:color w:val="000000"/>
        </w:rPr>
        <w:t xml:space="preserve"> substancial të lidhur me standardin e arsyetimit të vendimit gjyqësor</w:t>
      </w:r>
      <w:r w:rsidRPr="006B4A99">
        <w:rPr>
          <w:rFonts w:ascii="Garamond" w:hAnsi="Garamond"/>
          <w:color w:val="000000"/>
        </w:rPr>
        <w:t xml:space="preserve">, Gjykata vëren se argumentet e kërkuesit kanë të bëjnë me qëndrimin që kanë mbajtur Gjykata e Apelit Gjirokastër dhe Gjykata e Lartë për pretendimet e tij me natyrë kushtetuese, të parashtruara përpara atyre gjykatave, të cilat kanë të bëjnë me parimet e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dhe të barazisë së armëve dhe </w:t>
      </w:r>
      <w:proofErr w:type="spellStart"/>
      <w:r w:rsidRPr="006B4A99">
        <w:rPr>
          <w:rFonts w:ascii="Garamond" w:hAnsi="Garamond"/>
          <w:color w:val="000000"/>
        </w:rPr>
        <w:t>kontradiktoritetit</w:t>
      </w:r>
      <w:proofErr w:type="spellEnd"/>
      <w:r w:rsidRPr="006B4A99">
        <w:rPr>
          <w:rFonts w:ascii="Garamond" w:hAnsi="Garamond"/>
          <w:color w:val="000000"/>
        </w:rPr>
        <w:t xml:space="preserve">, si dhe me standardin e arsyetimit të vendimit gjyqësor. Edhe pse kërkuesi i ka ngritur këto pretendime edhe në këndvështrim të vendimmarrjes së gjykatës së apelit, duke pasur parasysh jo vetëm natyrën e tyre, por edhe pozicionin e Gjykatës së Lartë në drejtim të verifikimit të respektimit dhe të standardeve kushtetuese, për shkak të natyrës </w:t>
      </w:r>
      <w:proofErr w:type="spellStart"/>
      <w:r w:rsidRPr="006B4A99">
        <w:rPr>
          <w:rFonts w:ascii="Garamond" w:hAnsi="Garamond"/>
          <w:color w:val="000000"/>
        </w:rPr>
        <w:t>subsidiare</w:t>
      </w:r>
      <w:proofErr w:type="spellEnd"/>
      <w:r w:rsidRPr="006B4A99">
        <w:rPr>
          <w:rFonts w:ascii="Garamond" w:hAnsi="Garamond"/>
          <w:color w:val="000000"/>
        </w:rPr>
        <w:t xml:space="preserve"> të kontrollit kushtetues, si dhe referuar akteve të paraqitura nga kërkuesi në Gjykatën e Lartë (rekurs dhe aktet e tjera), ku në thelb ai ka pretenduar cenimin e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Gjykata çmon të shqyrtojë në vijim, në themel, nëse Gjykata e Lartë ka marrë në shqyrtim pretendimet e kërkuesit dhe nëse, në këndvështrim të së drejtës së </w:t>
      </w:r>
      <w:proofErr w:type="spellStart"/>
      <w:r w:rsidRPr="006B4A99">
        <w:rPr>
          <w:rFonts w:ascii="Garamond" w:hAnsi="Garamond"/>
          <w:color w:val="000000"/>
        </w:rPr>
        <w:t>aksesit</w:t>
      </w:r>
      <w:proofErr w:type="spellEnd"/>
      <w:r w:rsidRPr="006B4A99">
        <w:rPr>
          <w:rFonts w:ascii="Garamond" w:hAnsi="Garamond"/>
          <w:color w:val="000000"/>
        </w:rPr>
        <w:t xml:space="preserve"> dhe të standardit të arsyetimit, i ka dhënë përgjigje përfundimtare të arsyetuar pretendimit për cenimin e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w:t>
      </w:r>
    </w:p>
    <w:p w:rsidR="00DA15CF" w:rsidRPr="006B4A99" w:rsidRDefault="00DA15CF" w:rsidP="00DA15CF">
      <w:pPr>
        <w:autoSpaceDE w:val="0"/>
        <w:autoSpaceDN w:val="0"/>
        <w:adjustRightInd w:val="0"/>
        <w:spacing w:line="240" w:lineRule="auto"/>
        <w:ind w:firstLine="284"/>
        <w:rPr>
          <w:rFonts w:ascii="Garamond" w:hAnsi="Garamond"/>
          <w:color w:val="000000"/>
        </w:rPr>
      </w:pPr>
      <w:r w:rsidRPr="006B4A99">
        <w:rPr>
          <w:rFonts w:ascii="Garamond" w:hAnsi="Garamond"/>
          <w:i/>
          <w:iCs/>
          <w:color w:val="000000"/>
        </w:rPr>
        <w:t xml:space="preserve">B. Për themelin e pretendimeve </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i/>
          <w:iCs/>
          <w:color w:val="000000"/>
        </w:rPr>
      </w:pPr>
      <w:proofErr w:type="spellStart"/>
      <w:r w:rsidRPr="006B4A99">
        <w:rPr>
          <w:rFonts w:ascii="Garamond" w:hAnsi="Garamond"/>
          <w:i/>
          <w:iCs/>
          <w:color w:val="000000"/>
        </w:rPr>
        <w:t>B.1</w:t>
      </w:r>
      <w:proofErr w:type="spellEnd"/>
      <w:r w:rsidRPr="006B4A99">
        <w:rPr>
          <w:rFonts w:ascii="Garamond" w:hAnsi="Garamond"/>
          <w:i/>
          <w:iCs/>
          <w:color w:val="000000"/>
        </w:rPr>
        <w:t xml:space="preserve"> Për cenimin e së drejtës së </w:t>
      </w:r>
      <w:proofErr w:type="spellStart"/>
      <w:r w:rsidRPr="006B4A99">
        <w:rPr>
          <w:rFonts w:ascii="Garamond" w:hAnsi="Garamond"/>
          <w:i/>
          <w:iCs/>
          <w:color w:val="000000"/>
        </w:rPr>
        <w:t>aksesit</w:t>
      </w:r>
      <w:proofErr w:type="spellEnd"/>
      <w:r w:rsidRPr="006B4A99">
        <w:rPr>
          <w:rFonts w:ascii="Garamond" w:hAnsi="Garamond"/>
          <w:i/>
          <w:iCs/>
          <w:color w:val="000000"/>
        </w:rPr>
        <w:t xml:space="preserve"> të lidhur me standardin e arsyetimit të vendimit gjyqësor, në drejtim të parimit të </w:t>
      </w:r>
      <w:proofErr w:type="spellStart"/>
      <w:r w:rsidRPr="006B4A99">
        <w:rPr>
          <w:rFonts w:ascii="Garamond" w:hAnsi="Garamond"/>
          <w:i/>
          <w:iCs/>
          <w:color w:val="000000"/>
        </w:rPr>
        <w:t>prezumimit</w:t>
      </w:r>
      <w:proofErr w:type="spellEnd"/>
      <w:r w:rsidRPr="006B4A99">
        <w:rPr>
          <w:rFonts w:ascii="Garamond" w:hAnsi="Garamond"/>
          <w:i/>
          <w:iCs/>
          <w:color w:val="000000"/>
        </w:rPr>
        <w:t xml:space="preserve"> të pafajësisë </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17. Kërkuesi ka pretenduar se Kolegji Penal i Gjykatës së Lartë nuk i ka marrë në shqyrtim, nuk i ka dhënë përgjigje dhe nuk ka arsyetuar për pretendimet me natyrë kushtetuese të ngritura në rekurs dhe në aktet e tjera të paraqitura prej tij. Po kështu, kërkuesi ka pretenduar se Kolegji Penal i Gjykatës së Lartë, jo vetëm që nuk i ka shqyrtuar dhe arsyetuar pretendimet me natyrë kushtetuese të ngritura në aktet e tjera të paraqitura nga ai, por as nuk i ka pasqyruar ato në pjesën e vendimit ku parashtrohen pretendimet e </w:t>
      </w:r>
      <w:proofErr w:type="spellStart"/>
      <w:r w:rsidRPr="006B4A99">
        <w:rPr>
          <w:rFonts w:ascii="Garamond" w:hAnsi="Garamond"/>
          <w:color w:val="000000"/>
        </w:rPr>
        <w:t>rekursuesit</w:t>
      </w:r>
      <w:proofErr w:type="spellEnd"/>
      <w:r w:rsidRPr="006B4A99">
        <w:rPr>
          <w:rFonts w:ascii="Garamond" w:hAnsi="Garamond"/>
          <w:color w:val="000000"/>
        </w:rPr>
        <w:t xml:space="preserve">, në kundërshtim me jurisprudencën e Gjykatës, konkretisht me vendimin nr. 19, datë 7.7.2022. </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18. Subjekti i interesuar, Prokuroria e Përgjithshme, ka prapësuar, duke argumentuar se ky pretendim i kërkuesit është i pabazuar, pasi, bazuar në nenin 415, pika 2, të </w:t>
      </w:r>
      <w:proofErr w:type="spellStart"/>
      <w:r w:rsidRPr="006B4A99">
        <w:rPr>
          <w:rFonts w:ascii="Garamond" w:hAnsi="Garamond"/>
          <w:color w:val="000000"/>
        </w:rPr>
        <w:t>KPP</w:t>
      </w:r>
      <w:proofErr w:type="spellEnd"/>
      <w:r w:rsidRPr="006B4A99">
        <w:rPr>
          <w:rFonts w:ascii="Garamond" w:hAnsi="Garamond"/>
          <w:color w:val="000000"/>
        </w:rPr>
        <w:t>-së, ai që ka bërë ankim ka të drejtë të paraqesë në sekretarinë e gjykatës që do të shqyrtojë çështjen parashtrime me shkrim për shkaqet e ngritura në ankim, ndërkohë, në rastin konkret, kërkuesi nuk ka paraqitur parashtrime, por ka paraqitur shtesë rekursi. Gjithashtu, sipas Prokurorisë së Përgjithshme, parashtrimet e ngritura nga kërkuesi në rekurs kanë të bëjnë me çështje provash dhe nuk paraqitet asnjë argument, fakt ose provë e re që është kërkuar ose pretenduar nga kërkuesi dhe nuk është shqyrtuar ose analizuar nga gjykatat më të ulëta.</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FF0000"/>
        </w:rPr>
      </w:pPr>
      <w:r w:rsidRPr="006B4A99">
        <w:rPr>
          <w:rFonts w:ascii="Garamond" w:hAnsi="Garamond"/>
          <w:color w:val="000000"/>
        </w:rPr>
        <w:t xml:space="preserve">19. Në jurisprudencën e saj Gjykata ka theksuar se e drejta për të pasur </w:t>
      </w:r>
      <w:proofErr w:type="spellStart"/>
      <w:r w:rsidRPr="006B4A99">
        <w:rPr>
          <w:rFonts w:ascii="Garamond" w:hAnsi="Garamond"/>
          <w:color w:val="000000"/>
        </w:rPr>
        <w:t>akses</w:t>
      </w:r>
      <w:proofErr w:type="spellEnd"/>
      <w:r w:rsidRPr="006B4A99">
        <w:rPr>
          <w:rFonts w:ascii="Garamond" w:hAnsi="Garamond"/>
          <w:color w:val="000000"/>
        </w:rPr>
        <w:t xml:space="preserve"> në gjykatë i garanton individit të drejtën për t’iu drejtuar gjykatës dhe për të marrë një përgjigje përfundimtare prej saj, të arsyetuar, për pretendimet e ngritura (</w:t>
      </w:r>
      <w:r w:rsidRPr="006B4A99">
        <w:rPr>
          <w:rFonts w:ascii="Garamond" w:hAnsi="Garamond"/>
          <w:i/>
          <w:iCs/>
          <w:color w:val="000000"/>
        </w:rPr>
        <w:t xml:space="preserve">shih vendimet nr. 5, datë 29.1.2025; nr. 11, datë 21.4.2022; </w:t>
      </w:r>
      <w:proofErr w:type="spellStart"/>
      <w:r w:rsidRPr="006B4A99">
        <w:rPr>
          <w:rFonts w:ascii="Garamond" w:hAnsi="Garamond"/>
          <w:i/>
          <w:iCs/>
          <w:color w:val="000000"/>
        </w:rPr>
        <w:t>nr.17</w:t>
      </w:r>
      <w:proofErr w:type="spellEnd"/>
      <w:r w:rsidRPr="006B4A99">
        <w:rPr>
          <w:rFonts w:ascii="Garamond" w:hAnsi="Garamond"/>
          <w:i/>
          <w:iCs/>
          <w:color w:val="000000"/>
        </w:rPr>
        <w:t>, datë 24.3.2014 të Gjykatës Kushtetuese</w:t>
      </w:r>
      <w:r w:rsidRPr="006B4A99">
        <w:rPr>
          <w:rFonts w:ascii="Garamond" w:hAnsi="Garamond"/>
          <w:color w:val="000000"/>
        </w:rPr>
        <w:t xml:space="preserve">). Gjithashtu, Gjykata ka pohuar se kur në rekurs janë ngritur pretendime të natyrës kushtetuese, Gjykata e Lartë, bazuar në natyrën e gjykimit kushtetues të kërkesave individuale, si dhe në parimin e </w:t>
      </w:r>
      <w:proofErr w:type="spellStart"/>
      <w:r w:rsidRPr="006B4A99">
        <w:rPr>
          <w:rFonts w:ascii="Garamond" w:hAnsi="Garamond"/>
          <w:color w:val="000000"/>
        </w:rPr>
        <w:t>subsidiaritetit</w:t>
      </w:r>
      <w:proofErr w:type="spellEnd"/>
      <w:r w:rsidRPr="006B4A99">
        <w:rPr>
          <w:rFonts w:ascii="Garamond" w:hAnsi="Garamond"/>
          <w:color w:val="000000"/>
        </w:rPr>
        <w:t xml:space="preserve"> që udhëheq raportet ndërmjet </w:t>
      </w:r>
      <w:r w:rsidRPr="006B4A99">
        <w:rPr>
          <w:rFonts w:ascii="Garamond" w:hAnsi="Garamond"/>
          <w:color w:val="000000"/>
        </w:rPr>
        <w:lastRenderedPageBreak/>
        <w:t>juridiksionit kushtetues dhe juridiksionit të gjykatave të zakonshme, duhet të investohet në ekzaminimin e tyre dhe të mbajë një qëndrim të shprehur për to (</w:t>
      </w:r>
      <w:r w:rsidRPr="006B4A99">
        <w:rPr>
          <w:rFonts w:ascii="Garamond" w:hAnsi="Garamond"/>
          <w:i/>
          <w:iCs/>
          <w:color w:val="000000"/>
        </w:rPr>
        <w:t>shih vendimet nr. 5, datë 29.1.2025; nr. 47, datë 11.6.2024; nr. 11, datë 16.4.2018 të Gjykatës Kushtetuese</w:t>
      </w:r>
      <w:r w:rsidRPr="006B4A99">
        <w:rPr>
          <w:rFonts w:ascii="Garamond" w:hAnsi="Garamond"/>
          <w:color w:val="000000"/>
        </w:rPr>
        <w:t>). Për rrjedhojë, në rastet kur pretendimet me natyrë kushtetuese të paraqitura në rekurs nuk gjejnë pasqyrim në vendimin e Gjykatës së Lartë dhe atyre nuk u jepet përgjigje, arsyetimi i vendimit të asaj gjykate nuk ka përmbushur një ndër funksionet e tij, konkretisht të drejtën e individit për t’u dëgjuar për të gjitha pretendimet e ngritura (</w:t>
      </w:r>
      <w:r w:rsidRPr="006B4A99">
        <w:rPr>
          <w:rFonts w:ascii="Garamond" w:hAnsi="Garamond"/>
          <w:i/>
          <w:iCs/>
          <w:color w:val="000000"/>
        </w:rPr>
        <w:t>shih vendimet nr. 5, datë 29.1.2025; nr. 28, datë 11.4.2024; nr. 19, datë 7.7.2022 të Gjykatës Kushtetuese</w:t>
      </w:r>
      <w:r w:rsidRPr="006B4A99">
        <w:rPr>
          <w:rFonts w:ascii="Garamond" w:hAnsi="Garamond"/>
          <w:color w:val="000000"/>
        </w:rPr>
        <w:t xml:space="preserve">). </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FF0000"/>
        </w:rPr>
      </w:pPr>
      <w:r w:rsidRPr="006B4A99">
        <w:rPr>
          <w:rFonts w:ascii="Garamond" w:hAnsi="Garamond"/>
          <w:color w:val="000000"/>
        </w:rPr>
        <w:t xml:space="preserve">20. Po kështu, Gjykata ka theksuar se parimi i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kërkon që deklarimi i fajësisë të </w:t>
      </w:r>
      <w:proofErr w:type="spellStart"/>
      <w:r w:rsidRPr="006B4A99">
        <w:rPr>
          <w:rFonts w:ascii="Garamond" w:hAnsi="Garamond"/>
          <w:color w:val="000000"/>
        </w:rPr>
        <w:t>të</w:t>
      </w:r>
      <w:proofErr w:type="spellEnd"/>
      <w:r w:rsidRPr="006B4A99">
        <w:rPr>
          <w:rFonts w:ascii="Garamond" w:hAnsi="Garamond"/>
          <w:color w:val="000000"/>
        </w:rPr>
        <w:t xml:space="preserve"> pandehurit të bëhet nga gjykata vetëm pas një shqyrtimi të plotë të çështjes. Sipas këtij parimi, asnjë masë që barazohet me dënimin nuk mund të jepet ndaj një të pandehuri pa u provuar fajësia e tij përtej çdo dyshimi të arsyeshëm (</w:t>
      </w:r>
      <w:r w:rsidRPr="006B4A99">
        <w:rPr>
          <w:rFonts w:ascii="Garamond" w:hAnsi="Garamond"/>
          <w:i/>
          <w:iCs/>
          <w:color w:val="000000"/>
        </w:rPr>
        <w:t>shih vendimet nr. 20, datë 3.4.2024; nr. 4, datë 21.2.2022; nr. 68, datë 14.11.2016 të Gjykatës Kushtetuese</w:t>
      </w:r>
      <w:r w:rsidRPr="006B4A99">
        <w:rPr>
          <w:rFonts w:ascii="Garamond" w:hAnsi="Garamond"/>
          <w:color w:val="000000"/>
        </w:rPr>
        <w:t>).</w:t>
      </w:r>
      <w:r w:rsidRPr="006B4A99">
        <w:rPr>
          <w:rFonts w:ascii="Garamond" w:hAnsi="Garamond"/>
          <w:i/>
          <w:iCs/>
          <w:color w:val="000000"/>
        </w:rPr>
        <w:t xml:space="preserve"> </w:t>
      </w:r>
      <w:r w:rsidRPr="006B4A99">
        <w:rPr>
          <w:rFonts w:ascii="Garamond" w:hAnsi="Garamond"/>
          <w:color w:val="000000"/>
        </w:rPr>
        <w:t xml:space="preserve">Garancitë kushtetuese të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janë konkretizuar në rregullat e </w:t>
      </w:r>
      <w:proofErr w:type="spellStart"/>
      <w:r w:rsidRPr="006B4A99">
        <w:rPr>
          <w:rFonts w:ascii="Garamond" w:hAnsi="Garamond"/>
          <w:color w:val="000000"/>
        </w:rPr>
        <w:t>KPP</w:t>
      </w:r>
      <w:proofErr w:type="spellEnd"/>
      <w:r w:rsidRPr="006B4A99">
        <w:rPr>
          <w:rFonts w:ascii="Garamond" w:hAnsi="Garamond"/>
          <w:color w:val="000000"/>
        </w:rPr>
        <w:t xml:space="preserve">-së, duke i krijuar në këtë mënyrë të gjitha mundësitë organit që procedon me ndjekjen penale (prokurorisë dhe gjykatave) për të përmbushur detyrën kushtetuese të respektimit të këtij parimi. Kështu, parimi i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parashikohet në nenin 4 të këtij kodi, sipas të cilit i pandehuri </w:t>
      </w:r>
      <w:proofErr w:type="spellStart"/>
      <w:r w:rsidRPr="006B4A99">
        <w:rPr>
          <w:rFonts w:ascii="Garamond" w:hAnsi="Garamond"/>
          <w:color w:val="000000"/>
        </w:rPr>
        <w:t>prezumohet</w:t>
      </w:r>
      <w:proofErr w:type="spellEnd"/>
      <w:r w:rsidRPr="006B4A99">
        <w:rPr>
          <w:rFonts w:ascii="Garamond" w:hAnsi="Garamond"/>
          <w:color w:val="000000"/>
        </w:rPr>
        <w:t xml:space="preserve"> i pafajshëm gjersa nuk vërtetohet fajësia e tij me vendim gjyqësor të formës së prerë dhe se çdo dyshim për akuzën çmohet në favor të tij (</w:t>
      </w:r>
      <w:r w:rsidRPr="006B4A99">
        <w:rPr>
          <w:rFonts w:ascii="Garamond" w:hAnsi="Garamond"/>
          <w:i/>
          <w:iCs/>
          <w:color w:val="000000"/>
        </w:rPr>
        <w:t>shih vendimet nr. 20, datë 3.4.2024; nr. 63, datë 20.11.2023 të Gjykatës Kushtetuese</w:t>
      </w:r>
      <w:r w:rsidRPr="006B4A99">
        <w:rPr>
          <w:rFonts w:ascii="Garamond" w:hAnsi="Garamond"/>
          <w:color w:val="000000"/>
        </w:rPr>
        <w:t>).</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FF0000"/>
        </w:rPr>
      </w:pPr>
      <w:r w:rsidRPr="006B4A99">
        <w:rPr>
          <w:rFonts w:ascii="Garamond" w:hAnsi="Garamond"/>
          <w:color w:val="000000"/>
        </w:rPr>
        <w:t xml:space="preserve">21. Në kuptim të sa më sipër, në këndvështrim të këtyre standardeve kushtetuese, Gjykata do të verifikojë, në vijim nëse Gjykata e Lartë ka pasqyruar në vendimin e saj pretendimet e ngritura nga kërkuesi në rekurs dhe në aktet e tjera të paraqitura përpara asaj gjykate, të cilat kanë të bëjnë me parimin e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dhe, më tej, do të vlerësojë nëse ajo gjykatë, në këndvështrim të së drejtës së </w:t>
      </w:r>
      <w:proofErr w:type="spellStart"/>
      <w:r w:rsidRPr="006B4A99">
        <w:rPr>
          <w:rFonts w:ascii="Garamond" w:hAnsi="Garamond"/>
          <w:color w:val="000000"/>
        </w:rPr>
        <w:t>aksesit</w:t>
      </w:r>
      <w:proofErr w:type="spellEnd"/>
      <w:r w:rsidRPr="006B4A99">
        <w:rPr>
          <w:rFonts w:ascii="Garamond" w:hAnsi="Garamond"/>
          <w:color w:val="000000"/>
        </w:rPr>
        <w:t xml:space="preserve"> dhe të standardit të arsyetimit, i ka marrë në shqyrtim këto pretendime dhe nëse u ka dhënë atyre përgjigje përfundimtare të arsyetuar.</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FF0000"/>
        </w:rPr>
      </w:pPr>
      <w:r w:rsidRPr="006B4A99">
        <w:rPr>
          <w:rFonts w:ascii="Garamond" w:hAnsi="Garamond"/>
          <w:color w:val="000000"/>
        </w:rPr>
        <w:t xml:space="preserve">22. Në rastin konkret, në vendimet e tyre gjykatat e faktit pranojnë se kërkuesi ka përdorur në vendin e ngjarjes një armë zjarri, me qëllim për të vrarë shtetasin </w:t>
      </w:r>
      <w:proofErr w:type="spellStart"/>
      <w:r w:rsidRPr="006B4A99">
        <w:rPr>
          <w:rFonts w:ascii="Garamond" w:hAnsi="Garamond"/>
          <w:color w:val="000000"/>
        </w:rPr>
        <w:t>J.H</w:t>
      </w:r>
      <w:proofErr w:type="spellEnd"/>
      <w:r w:rsidRPr="006B4A99">
        <w:rPr>
          <w:rFonts w:ascii="Garamond" w:hAnsi="Garamond"/>
          <w:color w:val="000000"/>
        </w:rPr>
        <w:t xml:space="preserve">., por arma nuk ka realizuar qitje. Sipas tyre, arma e krimit nuk është gjetur as në vendin e ngjarjes dhe as i është sekuestruar kërkuesit. Nga ana tjetër, pranohet se arma e krimit është dorëzuar në ambientet e Komisariatit të Policisë Përmet, bashkë me disa fishekë, pas ndodhjes së ngjarjes, nga viktima e veprës penale </w:t>
      </w:r>
      <w:proofErr w:type="spellStart"/>
      <w:r w:rsidRPr="006B4A99">
        <w:rPr>
          <w:rFonts w:ascii="Garamond" w:hAnsi="Garamond"/>
          <w:color w:val="000000"/>
        </w:rPr>
        <w:t>J.H</w:t>
      </w:r>
      <w:proofErr w:type="spellEnd"/>
      <w:r w:rsidRPr="006B4A99">
        <w:rPr>
          <w:rFonts w:ascii="Garamond" w:hAnsi="Garamond"/>
          <w:color w:val="000000"/>
        </w:rPr>
        <w:t xml:space="preserve">. dhe shtetasi </w:t>
      </w:r>
      <w:proofErr w:type="spellStart"/>
      <w:r w:rsidRPr="006B4A99">
        <w:rPr>
          <w:rFonts w:ascii="Garamond" w:hAnsi="Garamond"/>
          <w:color w:val="000000"/>
        </w:rPr>
        <w:t>E.Ç</w:t>
      </w:r>
      <w:proofErr w:type="spellEnd"/>
      <w:r w:rsidRPr="006B4A99">
        <w:rPr>
          <w:rFonts w:ascii="Garamond" w:hAnsi="Garamond"/>
          <w:color w:val="000000"/>
        </w:rPr>
        <w:t xml:space="preserve">., i cili ka qenë në shoqërinë e të parit në vendin e ngjarjes. Te kjo armë nuk janë gjetur gjurmë papilare të kërkuesit. Arma dhe fishekët e dorëzuar në këto rrethana i janë nënshtruar ekspertimit teknik nga Instituti i Policisë Shkencore Tiranë duke u përpiluar akti nr. 12080, datë 7.11.2016, i cili, në vijim, është përdorur si prova e vetme shkencore për fajësinë e kërkuesit. Po ashtu, për veprimin e lëvizjes nga vendi i ngjarjes të armës së krimit, prokuroria ka ushtruar ndjekjen penale të shtetasit </w:t>
      </w:r>
      <w:proofErr w:type="spellStart"/>
      <w:r w:rsidRPr="006B4A99">
        <w:rPr>
          <w:rFonts w:ascii="Garamond" w:hAnsi="Garamond"/>
          <w:color w:val="000000"/>
        </w:rPr>
        <w:t>E.Ç</w:t>
      </w:r>
      <w:proofErr w:type="spellEnd"/>
      <w:r w:rsidRPr="006B4A99">
        <w:rPr>
          <w:rFonts w:ascii="Garamond" w:hAnsi="Garamond"/>
          <w:color w:val="000000"/>
        </w:rPr>
        <w:t xml:space="preserve">. për veprën penale “Veprime që pengojnë zbulimin e të vërtetës”, të parashikuar nga neni 301 i </w:t>
      </w:r>
      <w:proofErr w:type="spellStart"/>
      <w:r w:rsidRPr="006B4A99">
        <w:rPr>
          <w:rFonts w:ascii="Garamond" w:hAnsi="Garamond"/>
          <w:color w:val="000000"/>
        </w:rPr>
        <w:t>KP</w:t>
      </w:r>
      <w:proofErr w:type="spellEnd"/>
      <w:r w:rsidRPr="006B4A99">
        <w:rPr>
          <w:rFonts w:ascii="Garamond" w:hAnsi="Garamond"/>
          <w:color w:val="000000"/>
        </w:rPr>
        <w:t xml:space="preserve">-së, por që më pas hetimet për këtë shtetas janë pushuar me argumentin se veprimi i tij nuk ka pasur për qëllim të ndihmojë të pandehurin/kërkuesin për t’iu shmangur përgjegjësisë penale ose për të penguar zbulimin e së vërtetës, por për shkak se ka pasur frikë se arma mund të përdorej nga persona të tjerë kundër të pandehurit. Ndërkohë, kërkuesi gjatë gjithë procesit penal ka mohuar kryerjen e veprave penale për të cilat akuzohej dhe, në veçanti, faktin e mbajtjes dhe përdorimit të armës të dorëzuar nga viktima e veprës penale </w:t>
      </w:r>
      <w:proofErr w:type="spellStart"/>
      <w:r w:rsidRPr="006B4A99">
        <w:rPr>
          <w:rFonts w:ascii="Garamond" w:hAnsi="Garamond"/>
          <w:color w:val="000000"/>
        </w:rPr>
        <w:t>J.H</w:t>
      </w:r>
      <w:proofErr w:type="spellEnd"/>
      <w:r w:rsidRPr="006B4A99">
        <w:rPr>
          <w:rFonts w:ascii="Garamond" w:hAnsi="Garamond"/>
          <w:color w:val="000000"/>
        </w:rPr>
        <w:t xml:space="preserve">. dhe shtetasi </w:t>
      </w:r>
      <w:proofErr w:type="spellStart"/>
      <w:r w:rsidRPr="006B4A99">
        <w:rPr>
          <w:rFonts w:ascii="Garamond" w:hAnsi="Garamond"/>
          <w:color w:val="000000"/>
        </w:rPr>
        <w:t>E.Ç</w:t>
      </w:r>
      <w:proofErr w:type="spellEnd"/>
      <w:r w:rsidRPr="006B4A99">
        <w:rPr>
          <w:rFonts w:ascii="Garamond" w:hAnsi="Garamond"/>
          <w:color w:val="000000"/>
        </w:rPr>
        <w:t xml:space="preserve">.   </w:t>
      </w:r>
    </w:p>
    <w:p w:rsidR="00DA15CF" w:rsidRPr="006B4A99" w:rsidRDefault="00DA15CF" w:rsidP="00DA15CF">
      <w:pPr>
        <w:tabs>
          <w:tab w:val="left" w:pos="720"/>
          <w:tab w:val="left" w:pos="980"/>
          <w:tab w:val="left" w:pos="1080"/>
        </w:tabs>
        <w:autoSpaceDE w:val="0"/>
        <w:autoSpaceDN w:val="0"/>
        <w:adjustRightInd w:val="0"/>
        <w:spacing w:line="240" w:lineRule="auto"/>
        <w:ind w:firstLine="284"/>
        <w:jc w:val="both"/>
        <w:rPr>
          <w:rFonts w:ascii="Garamond" w:hAnsi="Garamond"/>
          <w:color w:val="FF0000"/>
        </w:rPr>
      </w:pPr>
      <w:r w:rsidRPr="006B4A99">
        <w:rPr>
          <w:rFonts w:ascii="Garamond" w:hAnsi="Garamond"/>
          <w:color w:val="000000"/>
        </w:rPr>
        <w:t xml:space="preserve">23. Referuar këtyre fakteve si dhe akteve të dosjes gjyqësore të administruar për qëllime të këtij gjykimi kushtetues, Gjykata konstaton se Gjykata e Lartë është vënë në lëvizje mbi bazën e rekursit të paraqitur nga kërkuesi, i cili, në vijim, ka paraqitur në Gjykatën e Lartë edhe dy akte të tjera, në të cilat ka parashtruar pretendimet e tij ndaj vendimit të gjykatës së apelit. Ato janë depozituar në Gjykatën e Lartë në datat 6.3.2023 dhe 5.7.2024. Referuar përmbajtjes së rekursit, rezulton se kërkuesi ka parashtruar si shkaqe se vendimi i gjykatës së apelit është rrjedhojë e një procesi të parregullt ligjor, në shkelje të neneve 42 e vijues të Kushtetutës dhe nenit 6 të </w:t>
      </w:r>
      <w:proofErr w:type="spellStart"/>
      <w:r w:rsidRPr="006B4A99">
        <w:rPr>
          <w:rFonts w:ascii="Garamond" w:hAnsi="Garamond"/>
          <w:color w:val="000000"/>
        </w:rPr>
        <w:t>KEDNJ</w:t>
      </w:r>
      <w:proofErr w:type="spellEnd"/>
      <w:r w:rsidRPr="006B4A99">
        <w:rPr>
          <w:rFonts w:ascii="Garamond" w:hAnsi="Garamond"/>
          <w:color w:val="000000"/>
        </w:rPr>
        <w:t xml:space="preserve">-së, duke dënuar një person të pafajshëm, si dhe duke e </w:t>
      </w:r>
      <w:proofErr w:type="spellStart"/>
      <w:r w:rsidRPr="006B4A99">
        <w:rPr>
          <w:rFonts w:ascii="Garamond" w:hAnsi="Garamond"/>
          <w:color w:val="000000"/>
        </w:rPr>
        <w:t>prezumuar</w:t>
      </w:r>
      <w:proofErr w:type="spellEnd"/>
      <w:r w:rsidRPr="006B4A99">
        <w:rPr>
          <w:rFonts w:ascii="Garamond" w:hAnsi="Garamond"/>
          <w:color w:val="000000"/>
        </w:rPr>
        <w:t xml:space="preserve"> atë të fajshëm, në një kohë që pafajësia e tij është provuar në të dyja shkallët e gjykimit. Po në mbështetje të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kërkuesi ka argumentuar në rekurs se gjykimi ndaj tij ka nxjerrë në pah faktin se organi i akuzës dhe gjykatat e kanë deformuar këtë parim dhe kanë deformuar edhe përgjegjësinë dhe përgjegjshmërinë e organit prokurorisë për të provuar fajësinë e tij. Sipas kërkuesit, ky parim është cenuar prej gjykatave për shkak se arma me të cilën pretendohet se është kryer vepra penale nuk ka </w:t>
      </w:r>
      <w:r w:rsidRPr="006B4A99">
        <w:rPr>
          <w:rFonts w:ascii="Garamond" w:hAnsi="Garamond"/>
          <w:color w:val="000000"/>
        </w:rPr>
        <w:lastRenderedPageBreak/>
        <w:t xml:space="preserve">qenë e tij, por e viktimës. Gjykata konstaton se në aktin e datës 5.7.2024 drejtuar Gjykatës së Lartë, kërkuesi, ndër të tjera, ka ngritur pretendime për mënyrën e marrjes së provave, duke argumentuar se prokuroria ka sekuestruar një armë tip pistoletë me tre fishekë, të dorëzuar nga shtetasi </w:t>
      </w:r>
      <w:proofErr w:type="spellStart"/>
      <w:r w:rsidRPr="006B4A99">
        <w:rPr>
          <w:rFonts w:ascii="Garamond" w:hAnsi="Garamond"/>
          <w:color w:val="000000"/>
        </w:rPr>
        <w:t>J.H</w:t>
      </w:r>
      <w:proofErr w:type="spellEnd"/>
      <w:r w:rsidRPr="006B4A99">
        <w:rPr>
          <w:rFonts w:ascii="Garamond" w:hAnsi="Garamond"/>
          <w:color w:val="000000"/>
        </w:rPr>
        <w:t xml:space="preserve">., viktima e veprës penale dhe shtetasi </w:t>
      </w:r>
      <w:proofErr w:type="spellStart"/>
      <w:r w:rsidRPr="006B4A99">
        <w:rPr>
          <w:rFonts w:ascii="Garamond" w:hAnsi="Garamond"/>
          <w:color w:val="000000"/>
        </w:rPr>
        <w:t>E.Ç</w:t>
      </w:r>
      <w:proofErr w:type="spellEnd"/>
      <w:r w:rsidRPr="006B4A99">
        <w:rPr>
          <w:rFonts w:ascii="Garamond" w:hAnsi="Garamond"/>
          <w:color w:val="000000"/>
        </w:rPr>
        <w:t xml:space="preserve">. dhe fishekët kanë dalë nga xhepi i këtyre të fundit. Këto shkaqe në thelbin e tyre lidhen gjithashtu me parimin e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w:t>
      </w:r>
    </w:p>
    <w:p w:rsidR="00DA15CF" w:rsidRPr="006B4A99" w:rsidRDefault="00DA15CF" w:rsidP="00BE5406">
      <w:pPr>
        <w:tabs>
          <w:tab w:val="left" w:pos="720"/>
          <w:tab w:val="left" w:pos="980"/>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24. Referuar përmbajtjes së vendimit të Kolegjit Penal të Gjykatës së Lartë, Gjykata konstaton se në pjesën hyrëse të tij, ku parashtrohen pretendimet e </w:t>
      </w:r>
      <w:proofErr w:type="spellStart"/>
      <w:r w:rsidRPr="006B4A99">
        <w:rPr>
          <w:rFonts w:ascii="Garamond" w:hAnsi="Garamond"/>
          <w:color w:val="000000"/>
        </w:rPr>
        <w:t>rekursuesit</w:t>
      </w:r>
      <w:proofErr w:type="spellEnd"/>
      <w:r w:rsidRPr="006B4A99">
        <w:rPr>
          <w:rFonts w:ascii="Garamond" w:hAnsi="Garamond"/>
          <w:color w:val="000000"/>
        </w:rPr>
        <w:t xml:space="preserve">, ai kolegj ka pasqyruar si pretendimet e parashtruara në rekurs, ashtu edhe ato të parashtruara në aktin e datës 6.3.2023. Ndërkohë, nuk rezulton që të jenë pasqyruar në vendim pretendimet e kërkuesit të paraqitura në aktin e datës 5.7.2024. Në këtë drejtim, Gjykata konstaton, fillimisht, se pretendimet e kërkuesit të paraqitura në Gjykatën e Lartë me aktin e datës 5.7.2024 nuk rezulton të jenë pretendime të reja, por janë argumente në mbështetje të pretendimeve të ngritura më parë prej tij në rekurs, në drejtim të pretendimit për cenimin e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Në këtë kuptim, Gjykata vlerëson se </w:t>
      </w:r>
      <w:proofErr w:type="spellStart"/>
      <w:r w:rsidRPr="006B4A99">
        <w:rPr>
          <w:rFonts w:ascii="Garamond" w:hAnsi="Garamond"/>
          <w:color w:val="000000"/>
        </w:rPr>
        <w:t>mospasqyrimi</w:t>
      </w:r>
      <w:proofErr w:type="spellEnd"/>
      <w:r w:rsidRPr="006B4A99">
        <w:rPr>
          <w:rFonts w:ascii="Garamond" w:hAnsi="Garamond"/>
          <w:color w:val="000000"/>
        </w:rPr>
        <w:t xml:space="preserve"> i tyre në vendimin e Gjykatës së Lartë nuk përbën shkelje të natyrës kushtetuese</w:t>
      </w:r>
      <w:r w:rsidRPr="006B4A99">
        <w:rPr>
          <w:rStyle w:val="FootnoteReference"/>
          <w:rFonts w:ascii="Garamond" w:hAnsi="Garamond"/>
          <w:color w:val="000000"/>
        </w:rPr>
        <w:footnoteReference w:id="1"/>
      </w:r>
      <w:r w:rsidRPr="006B4A99">
        <w:rPr>
          <w:rFonts w:ascii="Garamond" w:hAnsi="Garamond"/>
          <w:color w:val="000000"/>
        </w:rPr>
        <w:t>.</w:t>
      </w:r>
    </w:p>
    <w:p w:rsidR="00DA15CF" w:rsidRPr="006B4A99" w:rsidRDefault="00DA15CF" w:rsidP="00BE5406">
      <w:pPr>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25. Për sa i përket përmbajtjes dhe thelbit të pretendimeve të parashtruara në rekurs dhe në aktet e tjera të paraqitura përpara Gjykatës së Lartë, kërkuesi ka pretenduar cenimin e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në drejtim të provueshmërisë së fajësisë të tij tej çdo dyshimi të arsyeshëm, për sa i përket mbajtjes dhe përdorimit nga ai të armës e cila, sipas kërkuesit, i përkiste viktimës së veprës penale dhe është dorëzuar prej këtij të fundit </w:t>
      </w:r>
      <w:r w:rsidRPr="006B4A99">
        <w:rPr>
          <w:rFonts w:ascii="Garamond" w:hAnsi="Garamond"/>
          <w:i/>
          <w:iCs/>
          <w:color w:val="000000"/>
        </w:rPr>
        <w:t>(shih paragrafin 23 më sipër).</w:t>
      </w:r>
      <w:r w:rsidRPr="006B4A99">
        <w:rPr>
          <w:rFonts w:ascii="Garamond" w:hAnsi="Garamond"/>
          <w:color w:val="000000"/>
        </w:rPr>
        <w:t xml:space="preserve"> Kolegji Penal i Gjykatës së Lartë, pasi ka marrë në shqyrtim shkaqet e parashtruara nga kërkuesi, për pretendimin për cenimin e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ka vlerësuar se nuk konstatohet që gjykatat e faktit të mos e kenë respektuar atë ose që ndaj kërkuesit të jetë zhvilluar një proces jo i rregullt dhe  nuk evidentohet zbatimi i gabuar i ligjit penal material i lidhur me kualifikimin ligjor të veprës penale dhe caktimin e dënimit ndaj të gjykuarit (neni 47 i </w:t>
      </w:r>
      <w:proofErr w:type="spellStart"/>
      <w:r w:rsidRPr="006B4A99">
        <w:rPr>
          <w:rFonts w:ascii="Garamond" w:hAnsi="Garamond"/>
          <w:color w:val="000000"/>
        </w:rPr>
        <w:t>KP</w:t>
      </w:r>
      <w:proofErr w:type="spellEnd"/>
      <w:r w:rsidRPr="006B4A99">
        <w:rPr>
          <w:rFonts w:ascii="Garamond" w:hAnsi="Garamond"/>
          <w:color w:val="000000"/>
        </w:rPr>
        <w:t xml:space="preserve">-së), si dhe i ligjit procedural penal për çmuarjen dhe vlerësimin e provave, sipas nenit 152 të </w:t>
      </w:r>
      <w:proofErr w:type="spellStart"/>
      <w:r w:rsidRPr="006B4A99">
        <w:rPr>
          <w:rFonts w:ascii="Garamond" w:hAnsi="Garamond"/>
          <w:color w:val="000000"/>
        </w:rPr>
        <w:t>KPP</w:t>
      </w:r>
      <w:proofErr w:type="spellEnd"/>
      <w:r w:rsidRPr="006B4A99">
        <w:rPr>
          <w:rFonts w:ascii="Garamond" w:hAnsi="Garamond"/>
          <w:color w:val="000000"/>
        </w:rPr>
        <w:t>-së. Sipas Kolegjit Penal, Gjykata e Apelit Gjirokastër ka bërë një analizë të hollësishme të dinamikës së fakteve dhe provave të marra e të administruara në këtë gjykim dhe pretendimet e kërkuesit për moskryerjen e ekspertimit teknik të armës dhe eksperimentit hetimor për këtë armë dhe fishekëve të saj nuk e cenojnë vendimmarrjen e gjykatave të faktit, të cilat i kanë çmuar provat në tërësi, në përputhje me njëra-tjetrën, duke mos mbivlerësuar asnjërën prej tyre (</w:t>
      </w:r>
      <w:r w:rsidRPr="006B4A99">
        <w:rPr>
          <w:rFonts w:ascii="Garamond" w:hAnsi="Garamond"/>
          <w:i/>
          <w:iCs/>
          <w:color w:val="000000"/>
        </w:rPr>
        <w:t>shih paragrafët 23</w:t>
      </w:r>
      <w:r w:rsidR="00BE5406" w:rsidRPr="006B4A99">
        <w:rPr>
          <w:rFonts w:ascii="Garamond" w:hAnsi="Garamond"/>
          <w:i/>
          <w:iCs/>
          <w:color w:val="000000"/>
        </w:rPr>
        <w:t>–</w:t>
      </w:r>
      <w:r w:rsidRPr="006B4A99">
        <w:rPr>
          <w:rFonts w:ascii="Garamond" w:hAnsi="Garamond"/>
          <w:i/>
          <w:iCs/>
          <w:color w:val="000000"/>
        </w:rPr>
        <w:t>25 të vendimit të Kolegjit Penal të Gjykatës së Lartë</w:t>
      </w:r>
      <w:r w:rsidRPr="006B4A99">
        <w:rPr>
          <w:rFonts w:ascii="Garamond" w:hAnsi="Garamond"/>
          <w:color w:val="000000"/>
        </w:rPr>
        <w:t>).</w:t>
      </w:r>
    </w:p>
    <w:p w:rsidR="00DA15CF" w:rsidRPr="006B4A99" w:rsidRDefault="00DA15CF" w:rsidP="00BE5406">
      <w:pPr>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26. Duke iu referuar natyrës së këtij pretendimi, në këndvështrim të standardeve të mësipërme kushtetuese, të cilat janë të zbatueshme edhe gjatë gjykimit në Gjykatën e Lartë, duke pasur parasysh rolin dhe funksionin e asaj gjykate për kontrollin edhe të kushtetutshmërisë së procesit gjyqësor dhe parimin e </w:t>
      </w:r>
      <w:proofErr w:type="spellStart"/>
      <w:r w:rsidRPr="006B4A99">
        <w:rPr>
          <w:rFonts w:ascii="Garamond" w:hAnsi="Garamond"/>
          <w:color w:val="000000"/>
        </w:rPr>
        <w:t>subsidiaritetit</w:t>
      </w:r>
      <w:proofErr w:type="spellEnd"/>
      <w:r w:rsidRPr="006B4A99">
        <w:rPr>
          <w:rFonts w:ascii="Garamond" w:hAnsi="Garamond"/>
          <w:color w:val="000000"/>
        </w:rPr>
        <w:t xml:space="preserve">, Gjykata vlerëson se Gjykata e Lartë duhej të ishte ndalur në vlerësimin e këtij pretendimi, duke mbajtur një qëndrim të shprehur për të dhe duke dhënë arsyetim për </w:t>
      </w:r>
      <w:proofErr w:type="spellStart"/>
      <w:r w:rsidRPr="006B4A99">
        <w:rPr>
          <w:rFonts w:ascii="Garamond" w:hAnsi="Garamond"/>
          <w:color w:val="000000"/>
        </w:rPr>
        <w:t>bazueshmërinë</w:t>
      </w:r>
      <w:proofErr w:type="spellEnd"/>
      <w:r w:rsidRPr="006B4A99">
        <w:rPr>
          <w:rFonts w:ascii="Garamond" w:hAnsi="Garamond"/>
          <w:color w:val="000000"/>
        </w:rPr>
        <w:t xml:space="preserve"> e tij. Me fjalë të tjera, Gjykata e Lartë duhej t’i kishte dhënë përgjigje pretendimit të kërkuesit për zbatimin e gabuar të ligjit procedural sa i takon çmuarjes së provave nga ana e gjykatave të faktit në lidhje me mbajtjen dhe përdorimin nga ai në vendin e ngjarjes të armës të dorëzuar, në një distancë kohore pas ngjarjes, nga viktima e veprës penale dhe personi që shoqërohej me të, në raport me përfundimin e arritur nga ato për të provuarin tej çdo dyshimi të arsyeshëm të kryerjes nga ai të veprave penale për të cilat është gjetur fajtor. </w:t>
      </w:r>
    </w:p>
    <w:p w:rsidR="00DA15CF" w:rsidRPr="006B4A99" w:rsidRDefault="00DA15CF" w:rsidP="00BE5406">
      <w:pPr>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27. Duke mbajtur një qasje formale në drejtim të vlerësimit të shkaqeve të rekursit në tërësinë e tyre, pa u ndalur në aspekte të veçanta të procesit gjyqësor që mbartin natyrë kushtetuese, për shkak të natyrës së pretendimeve, Gjykata vlerëson se Kolegji Penal i Gjykatës së Lartë nuk ka arsyetuar për pretendimin e kërkuesit për cenimin e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dhe arsyetimi i kufizuar i atij kolegji, </w:t>
      </w:r>
      <w:r w:rsidRPr="006B4A99">
        <w:rPr>
          <w:rFonts w:ascii="Garamond" w:hAnsi="Garamond"/>
          <w:color w:val="1F1F1F"/>
        </w:rPr>
        <w:t xml:space="preserve">në këtë rast konkret, nuk </w:t>
      </w:r>
      <w:r w:rsidRPr="006B4A99">
        <w:rPr>
          <w:rFonts w:ascii="Garamond" w:hAnsi="Garamond"/>
          <w:color w:val="000000"/>
        </w:rPr>
        <w:t xml:space="preserve">përmbush detyrimin kushtetues për arsyetimin e vendimit gjyqësor, si element i së drejtës për proces të rregullt ligjor. Edhe pse pretendimi i ngritur nga kërkuesi, për sa i përket armës me të cilën është kryer vepra penale, përbën një nga aspektet më të rëndësishme të </w:t>
      </w:r>
      <w:proofErr w:type="spellStart"/>
      <w:r w:rsidRPr="006B4A99">
        <w:rPr>
          <w:rFonts w:ascii="Garamond" w:hAnsi="Garamond"/>
          <w:color w:val="000000"/>
        </w:rPr>
        <w:t>të</w:t>
      </w:r>
      <w:proofErr w:type="spellEnd"/>
      <w:r w:rsidRPr="006B4A99">
        <w:rPr>
          <w:rFonts w:ascii="Garamond" w:hAnsi="Garamond"/>
          <w:color w:val="000000"/>
        </w:rPr>
        <w:t xml:space="preserve"> provuarit të fajësisë së tij përtej çdo dyshimi të arsyeshëm, ky pretendim nuk ka marrë përgjigje përfundimtare të arsyetuar. Për rrjedhojë, Gjykata çmon se arsyetimi i Kolegjit </w:t>
      </w:r>
      <w:r w:rsidRPr="006B4A99">
        <w:rPr>
          <w:rFonts w:ascii="Garamond" w:hAnsi="Garamond"/>
          <w:color w:val="000000"/>
        </w:rPr>
        <w:lastRenderedPageBreak/>
        <w:t>Penal të Gjykatës së Lartë është haptazi i paarsyeshëm dhe i pamjaftueshëm në këndvështrimin kushtetues.</w:t>
      </w:r>
    </w:p>
    <w:p w:rsidR="00DA15CF" w:rsidRPr="006B4A99" w:rsidRDefault="00DA15CF" w:rsidP="00BE5406">
      <w:pPr>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28. Nën këtë optikë, Gjykata çmon se Gjykata e Lartë, duke mos i dhënë përgjigje të arsyetuar kërkuesit për pretendimin e tij për cenimin e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ka vënë në dyshim respektimin e së drejtës së tij për të marrë përgjigje të arsyetuar për të gjitha pretendimet e ngritura përpara asaj gjykate, në këndvështrim të së drejtës së </w:t>
      </w:r>
      <w:proofErr w:type="spellStart"/>
      <w:r w:rsidRPr="006B4A99">
        <w:rPr>
          <w:rFonts w:ascii="Garamond" w:hAnsi="Garamond"/>
          <w:color w:val="000000"/>
        </w:rPr>
        <w:t>aksesit</w:t>
      </w:r>
      <w:proofErr w:type="spellEnd"/>
      <w:r w:rsidRPr="006B4A99">
        <w:rPr>
          <w:rFonts w:ascii="Garamond" w:hAnsi="Garamond"/>
          <w:color w:val="000000"/>
        </w:rPr>
        <w:t xml:space="preserve"> substancial në gjykatë dhe standardit të arsyetimit të vendimeve gjyqësore. Për këtë arsye, Gjykata çmon se pretendimet e kërkuesit në drejtim të së drejtës së </w:t>
      </w:r>
      <w:proofErr w:type="spellStart"/>
      <w:r w:rsidRPr="006B4A99">
        <w:rPr>
          <w:rFonts w:ascii="Garamond" w:hAnsi="Garamond"/>
          <w:color w:val="000000"/>
        </w:rPr>
        <w:t>aksesit</w:t>
      </w:r>
      <w:proofErr w:type="spellEnd"/>
      <w:r w:rsidRPr="006B4A99">
        <w:rPr>
          <w:rFonts w:ascii="Garamond" w:hAnsi="Garamond"/>
          <w:color w:val="000000"/>
        </w:rPr>
        <w:t xml:space="preserve"> të lidhur me standardin e arsyetimit të vendimit gjyqësor, në drejtim të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janë të bazuara.</w:t>
      </w:r>
    </w:p>
    <w:p w:rsidR="00DA15CF" w:rsidRPr="006B4A99" w:rsidRDefault="00DA15CF" w:rsidP="00BE5406">
      <w:pPr>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29. Në përfundim, Gjykata çmon se pretendimi i kërkuesit për cenimin e së drejtës së </w:t>
      </w:r>
      <w:proofErr w:type="spellStart"/>
      <w:r w:rsidRPr="006B4A99">
        <w:rPr>
          <w:rFonts w:ascii="Garamond" w:hAnsi="Garamond"/>
          <w:color w:val="000000"/>
        </w:rPr>
        <w:t>aksesit</w:t>
      </w:r>
      <w:proofErr w:type="spellEnd"/>
      <w:r w:rsidRPr="006B4A99">
        <w:rPr>
          <w:rFonts w:ascii="Garamond" w:hAnsi="Garamond"/>
          <w:color w:val="000000"/>
        </w:rPr>
        <w:t xml:space="preserve"> i lidhur me standardin e arsyetimit të vendimit gjyqësor është i bazuar, sipas arsyetimit të mësipërm të këtij vendimi, ndaj kërkesa pranohet.</w:t>
      </w:r>
    </w:p>
    <w:p w:rsidR="00DA15CF" w:rsidRPr="006B4A99" w:rsidRDefault="00DA15CF" w:rsidP="00BE5406">
      <w:pPr>
        <w:autoSpaceDE w:val="0"/>
        <w:autoSpaceDN w:val="0"/>
        <w:adjustRightInd w:val="0"/>
        <w:spacing w:line="240" w:lineRule="auto"/>
        <w:ind w:firstLine="284"/>
        <w:jc w:val="both"/>
        <w:rPr>
          <w:rFonts w:ascii="Garamond" w:hAnsi="Garamond"/>
          <w:b/>
          <w:bCs/>
          <w:color w:val="000000"/>
        </w:rPr>
      </w:pPr>
    </w:p>
    <w:p w:rsidR="00DA15CF" w:rsidRPr="006B4A99" w:rsidRDefault="00DA15CF" w:rsidP="00BE5406">
      <w:pPr>
        <w:tabs>
          <w:tab w:val="left" w:pos="880"/>
          <w:tab w:val="center" w:pos="4540"/>
        </w:tabs>
        <w:autoSpaceDE w:val="0"/>
        <w:autoSpaceDN w:val="0"/>
        <w:adjustRightInd w:val="0"/>
        <w:spacing w:line="240" w:lineRule="auto"/>
        <w:ind w:firstLine="284"/>
        <w:jc w:val="center"/>
        <w:rPr>
          <w:rFonts w:ascii="Garamond" w:hAnsi="Garamond"/>
          <w:bCs/>
          <w:color w:val="000000"/>
        </w:rPr>
      </w:pPr>
      <w:r w:rsidRPr="006B4A99">
        <w:rPr>
          <w:rFonts w:ascii="Garamond" w:hAnsi="Garamond"/>
          <w:bCs/>
          <w:color w:val="000000"/>
        </w:rPr>
        <w:t>PËR KËTO ARSYE,</w:t>
      </w:r>
    </w:p>
    <w:p w:rsidR="00DA15CF" w:rsidRPr="006B4A99" w:rsidRDefault="00DA15CF" w:rsidP="00BE5406">
      <w:pPr>
        <w:tabs>
          <w:tab w:val="left" w:pos="880"/>
          <w:tab w:val="center" w:pos="4540"/>
        </w:tabs>
        <w:autoSpaceDE w:val="0"/>
        <w:autoSpaceDN w:val="0"/>
        <w:adjustRightInd w:val="0"/>
        <w:spacing w:line="240" w:lineRule="auto"/>
        <w:ind w:firstLine="284"/>
        <w:jc w:val="both"/>
        <w:rPr>
          <w:rFonts w:ascii="Garamond" w:hAnsi="Garamond"/>
          <w:color w:val="000000"/>
        </w:rPr>
      </w:pPr>
    </w:p>
    <w:p w:rsidR="00DA15CF" w:rsidRPr="006B4A99" w:rsidRDefault="00DA15CF" w:rsidP="00BE5406">
      <w:pPr>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Gjykata Kushtetuese, në mbështetje të neneve 131, pika 1, shkronja “f” dhe 134, pika 1, shkronja “i”, të Kushtetutës, si dhe neneve 71 dhe 72 e vijues të ligjit nr. 8577, datë 10.2.2000</w:t>
      </w:r>
      <w:r w:rsidR="00BE5406" w:rsidRPr="006B4A99">
        <w:rPr>
          <w:rFonts w:ascii="Garamond" w:hAnsi="Garamond"/>
          <w:color w:val="000000"/>
        </w:rPr>
        <w:t>,</w:t>
      </w:r>
      <w:r w:rsidRPr="006B4A99">
        <w:rPr>
          <w:rFonts w:ascii="Garamond" w:hAnsi="Garamond"/>
          <w:color w:val="000000"/>
        </w:rPr>
        <w:t xml:space="preserve"> “Për organizimin dhe funksionimin e Gjykatës Kushtetuese të Republikës së Shqipërisë”, të ndryshuar, shumicë votash,</w:t>
      </w:r>
    </w:p>
    <w:p w:rsidR="00DA15CF" w:rsidRPr="006B4A99" w:rsidRDefault="00DA15CF" w:rsidP="00BE5406">
      <w:pPr>
        <w:autoSpaceDE w:val="0"/>
        <w:autoSpaceDN w:val="0"/>
        <w:adjustRightInd w:val="0"/>
        <w:spacing w:line="240" w:lineRule="auto"/>
        <w:ind w:firstLine="284"/>
        <w:jc w:val="both"/>
        <w:rPr>
          <w:rFonts w:ascii="Garamond" w:hAnsi="Garamond"/>
          <w:b/>
          <w:bCs/>
          <w:color w:val="000000"/>
        </w:rPr>
      </w:pPr>
    </w:p>
    <w:p w:rsidR="00DA15CF" w:rsidRPr="006B4A99" w:rsidRDefault="00DA15CF" w:rsidP="00DA15CF">
      <w:pPr>
        <w:autoSpaceDE w:val="0"/>
        <w:autoSpaceDN w:val="0"/>
        <w:adjustRightInd w:val="0"/>
        <w:spacing w:line="240" w:lineRule="auto"/>
        <w:ind w:firstLine="284"/>
        <w:jc w:val="both"/>
        <w:rPr>
          <w:rFonts w:ascii="Garamond" w:hAnsi="Garamond"/>
          <w:b/>
          <w:bCs/>
          <w:color w:val="000000"/>
        </w:rPr>
      </w:pPr>
    </w:p>
    <w:p w:rsidR="00DA15CF" w:rsidRPr="006B4A99" w:rsidRDefault="00DA15CF" w:rsidP="00DA15CF">
      <w:pPr>
        <w:autoSpaceDE w:val="0"/>
        <w:autoSpaceDN w:val="0"/>
        <w:adjustRightInd w:val="0"/>
        <w:spacing w:line="240" w:lineRule="auto"/>
        <w:ind w:firstLine="284"/>
        <w:jc w:val="center"/>
        <w:rPr>
          <w:rFonts w:ascii="Garamond" w:hAnsi="Garamond"/>
          <w:bCs/>
          <w:color w:val="000000"/>
        </w:rPr>
      </w:pPr>
      <w:r w:rsidRPr="006B4A99">
        <w:rPr>
          <w:rFonts w:ascii="Garamond" w:hAnsi="Garamond"/>
          <w:bCs/>
          <w:color w:val="000000"/>
        </w:rPr>
        <w:t>VENDOSI:</w:t>
      </w:r>
    </w:p>
    <w:p w:rsidR="00DA15CF" w:rsidRPr="006B4A99" w:rsidRDefault="00DA15CF" w:rsidP="00DA15CF">
      <w:pPr>
        <w:autoSpaceDE w:val="0"/>
        <w:autoSpaceDN w:val="0"/>
        <w:adjustRightInd w:val="0"/>
        <w:spacing w:line="240" w:lineRule="auto"/>
        <w:ind w:firstLine="284"/>
        <w:jc w:val="center"/>
        <w:rPr>
          <w:rFonts w:ascii="Garamond" w:hAnsi="Garamond"/>
          <w:b/>
          <w:bCs/>
          <w:color w:val="000000"/>
        </w:rPr>
      </w:pPr>
    </w:p>
    <w:p w:rsidR="00DA15CF" w:rsidRPr="006B4A99" w:rsidRDefault="00DA15CF" w:rsidP="00DA15CF">
      <w:pPr>
        <w:tabs>
          <w:tab w:val="left" w:pos="80"/>
          <w:tab w:val="left" w:pos="72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1. Pranimin pjesërisht të kërkesës.</w:t>
      </w:r>
    </w:p>
    <w:p w:rsidR="00DA15CF" w:rsidRPr="006B4A99" w:rsidRDefault="00DA15CF" w:rsidP="00DA15CF">
      <w:pPr>
        <w:tabs>
          <w:tab w:val="left" w:pos="80"/>
          <w:tab w:val="left" w:pos="72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2. Shfuqizimin e vendimit nr. 00-2024-1285, datë 11.7.2024</w:t>
      </w:r>
      <w:r w:rsidR="00BE5406" w:rsidRPr="006B4A99">
        <w:rPr>
          <w:rFonts w:ascii="Garamond" w:hAnsi="Garamond"/>
          <w:color w:val="000000"/>
        </w:rPr>
        <w:t>,</w:t>
      </w:r>
      <w:r w:rsidRPr="006B4A99">
        <w:rPr>
          <w:rFonts w:ascii="Garamond" w:hAnsi="Garamond"/>
          <w:color w:val="000000"/>
        </w:rPr>
        <w:t xml:space="preserve"> të Kolegjit Penal të Gjykatës së Lartë, si të papajtueshëm me Kushtetutën.</w:t>
      </w:r>
    </w:p>
    <w:p w:rsidR="00DA15CF" w:rsidRPr="006B4A99" w:rsidRDefault="00DA15CF" w:rsidP="00DA15CF">
      <w:pPr>
        <w:tabs>
          <w:tab w:val="left" w:pos="80"/>
          <w:tab w:val="left" w:pos="72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3. Dërgimin e çështjes për shqyrtim në Gjykatën e Lartë.</w:t>
      </w:r>
    </w:p>
    <w:p w:rsidR="00DA15CF" w:rsidRPr="006B4A99" w:rsidRDefault="00DA15CF" w:rsidP="00DA15CF">
      <w:pPr>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Ky vendim është përfundimtar dhe hyn në fuqi ditën e botimit në Fletoren Zyrtare.</w:t>
      </w:r>
    </w:p>
    <w:p w:rsidR="00BE5406" w:rsidRPr="006B4A99" w:rsidRDefault="00BE5406" w:rsidP="00DA15CF">
      <w:pPr>
        <w:autoSpaceDE w:val="0"/>
        <w:autoSpaceDN w:val="0"/>
        <w:adjustRightInd w:val="0"/>
        <w:spacing w:line="240" w:lineRule="auto"/>
        <w:ind w:firstLine="284"/>
        <w:rPr>
          <w:rFonts w:ascii="Garamond" w:hAnsi="Garamond"/>
          <w:b/>
          <w:bCs/>
          <w:color w:val="000000"/>
        </w:rPr>
      </w:pPr>
    </w:p>
    <w:p w:rsidR="00DA15CF" w:rsidRPr="006B4A99" w:rsidRDefault="00DA15CF" w:rsidP="00DA15CF">
      <w:pPr>
        <w:autoSpaceDE w:val="0"/>
        <w:autoSpaceDN w:val="0"/>
        <w:adjustRightInd w:val="0"/>
        <w:spacing w:line="240" w:lineRule="auto"/>
        <w:ind w:firstLine="284"/>
        <w:rPr>
          <w:rFonts w:ascii="Garamond" w:hAnsi="Garamond"/>
          <w:b/>
          <w:bCs/>
          <w:color w:val="000000"/>
        </w:rPr>
      </w:pPr>
      <w:r w:rsidRPr="006B4A99">
        <w:rPr>
          <w:rFonts w:ascii="Garamond" w:hAnsi="Garamond"/>
          <w:b/>
          <w:bCs/>
          <w:color w:val="000000"/>
        </w:rPr>
        <w:t>Marrë</w:t>
      </w:r>
      <w:r w:rsidR="00BE5406" w:rsidRPr="006B4A99">
        <w:rPr>
          <w:rFonts w:ascii="Garamond" w:hAnsi="Garamond"/>
          <w:b/>
          <w:bCs/>
          <w:color w:val="000000"/>
        </w:rPr>
        <w:t>,</w:t>
      </w:r>
      <w:r w:rsidRPr="006B4A99">
        <w:rPr>
          <w:rFonts w:ascii="Garamond" w:hAnsi="Garamond"/>
          <w:b/>
          <w:bCs/>
          <w:color w:val="000000"/>
        </w:rPr>
        <w:t xml:space="preserve"> më 29.4.2025</w:t>
      </w:r>
      <w:r w:rsidR="00BE5406" w:rsidRPr="006B4A99">
        <w:rPr>
          <w:rFonts w:ascii="Garamond" w:hAnsi="Garamond"/>
          <w:b/>
          <w:bCs/>
          <w:color w:val="000000"/>
        </w:rPr>
        <w:t>.</w:t>
      </w:r>
    </w:p>
    <w:p w:rsidR="00DA15CF" w:rsidRPr="006B4A99" w:rsidRDefault="00DA15CF" w:rsidP="00DA15CF">
      <w:pPr>
        <w:autoSpaceDE w:val="0"/>
        <w:autoSpaceDN w:val="0"/>
        <w:adjustRightInd w:val="0"/>
        <w:spacing w:line="240" w:lineRule="auto"/>
        <w:ind w:firstLine="284"/>
        <w:rPr>
          <w:rFonts w:ascii="Garamond" w:hAnsi="Garamond"/>
          <w:b/>
          <w:bCs/>
          <w:color w:val="000000"/>
        </w:rPr>
      </w:pPr>
      <w:r w:rsidRPr="006B4A99">
        <w:rPr>
          <w:rFonts w:ascii="Garamond" w:hAnsi="Garamond"/>
          <w:b/>
          <w:bCs/>
          <w:color w:val="000000"/>
        </w:rPr>
        <w:t>Shpallur</w:t>
      </w:r>
      <w:r w:rsidR="00BE5406" w:rsidRPr="006B4A99">
        <w:rPr>
          <w:rFonts w:ascii="Garamond" w:hAnsi="Garamond"/>
          <w:b/>
          <w:bCs/>
          <w:color w:val="000000"/>
        </w:rPr>
        <w:t>,</w:t>
      </w:r>
      <w:r w:rsidRPr="006B4A99">
        <w:rPr>
          <w:rFonts w:ascii="Garamond" w:hAnsi="Garamond"/>
          <w:b/>
          <w:bCs/>
          <w:color w:val="000000"/>
        </w:rPr>
        <w:t xml:space="preserve"> më 28.5.2025</w:t>
      </w:r>
      <w:r w:rsidR="00BE5406" w:rsidRPr="006B4A99">
        <w:rPr>
          <w:rFonts w:ascii="Garamond" w:hAnsi="Garamond"/>
          <w:b/>
          <w:bCs/>
          <w:color w:val="000000"/>
        </w:rPr>
        <w:t>.</w:t>
      </w:r>
    </w:p>
    <w:p w:rsidR="00DA15CF" w:rsidRPr="006B4A99" w:rsidRDefault="00DA15CF" w:rsidP="00DA15CF">
      <w:pPr>
        <w:autoSpaceDE w:val="0"/>
        <w:autoSpaceDN w:val="0"/>
        <w:adjustRightInd w:val="0"/>
        <w:spacing w:line="240" w:lineRule="auto"/>
        <w:ind w:firstLine="284"/>
        <w:rPr>
          <w:rFonts w:ascii="Garamond" w:hAnsi="Garamond"/>
          <w:color w:val="000000"/>
        </w:rPr>
      </w:pPr>
    </w:p>
    <w:p w:rsidR="00DA15CF" w:rsidRPr="006B4A99" w:rsidRDefault="008E6B80" w:rsidP="00DA15CF">
      <w:pPr>
        <w:tabs>
          <w:tab w:val="left" w:pos="1080"/>
        </w:tabs>
        <w:autoSpaceDE w:val="0"/>
        <w:autoSpaceDN w:val="0"/>
        <w:adjustRightInd w:val="0"/>
        <w:spacing w:line="240" w:lineRule="auto"/>
        <w:ind w:firstLine="284"/>
        <w:jc w:val="both"/>
        <w:rPr>
          <w:rFonts w:ascii="Garamond" w:hAnsi="Garamond"/>
          <w:bCs/>
          <w:color w:val="000000"/>
        </w:rPr>
      </w:pPr>
      <w:r w:rsidRPr="008E6B80">
        <w:rPr>
          <w:rFonts w:ascii="Garamond" w:hAnsi="Garamond"/>
          <w:b/>
          <w:bCs/>
          <w:color w:val="000000"/>
        </w:rPr>
        <w:t>Kryetare</w:t>
      </w:r>
      <w:r w:rsidR="005E0B5F" w:rsidRPr="006B4A99">
        <w:rPr>
          <w:rFonts w:ascii="Garamond" w:hAnsi="Garamond"/>
          <w:bCs/>
          <w:color w:val="000000"/>
        </w:rPr>
        <w:t xml:space="preserve">: </w:t>
      </w:r>
      <w:proofErr w:type="spellStart"/>
      <w:r w:rsidR="00787803" w:rsidRPr="006B4A99">
        <w:rPr>
          <w:rFonts w:ascii="Garamond" w:hAnsi="Garamond"/>
          <w:bCs/>
          <w:color w:val="000000"/>
        </w:rPr>
        <w:t>Holta</w:t>
      </w:r>
      <w:proofErr w:type="spellEnd"/>
      <w:r w:rsidR="00787803" w:rsidRPr="006B4A99">
        <w:rPr>
          <w:rFonts w:ascii="Garamond" w:hAnsi="Garamond"/>
          <w:bCs/>
          <w:color w:val="000000"/>
        </w:rPr>
        <w:t xml:space="preserve"> </w:t>
      </w:r>
      <w:proofErr w:type="spellStart"/>
      <w:r w:rsidR="00787803" w:rsidRPr="006B4A99">
        <w:rPr>
          <w:rFonts w:ascii="Garamond" w:hAnsi="Garamond"/>
          <w:bCs/>
          <w:color w:val="000000"/>
        </w:rPr>
        <w:t>Zaçaj</w:t>
      </w:r>
      <w:proofErr w:type="spellEnd"/>
    </w:p>
    <w:p w:rsidR="00DA15CF" w:rsidRPr="006B4A99" w:rsidRDefault="008E6B80" w:rsidP="005E0B5F">
      <w:pPr>
        <w:tabs>
          <w:tab w:val="left" w:pos="1080"/>
        </w:tabs>
        <w:autoSpaceDE w:val="0"/>
        <w:autoSpaceDN w:val="0"/>
        <w:adjustRightInd w:val="0"/>
        <w:spacing w:line="240" w:lineRule="auto"/>
        <w:ind w:firstLine="284"/>
        <w:jc w:val="both"/>
        <w:rPr>
          <w:rFonts w:ascii="Garamond" w:hAnsi="Garamond"/>
          <w:bCs/>
          <w:color w:val="000000"/>
        </w:rPr>
      </w:pPr>
      <w:r w:rsidRPr="008E6B80">
        <w:rPr>
          <w:rFonts w:ascii="Garamond" w:hAnsi="Garamond"/>
          <w:b/>
          <w:bCs/>
          <w:color w:val="000000"/>
        </w:rPr>
        <w:t>Anëtarë</w:t>
      </w:r>
      <w:r w:rsidR="005E0B5F" w:rsidRPr="006B4A99">
        <w:rPr>
          <w:rFonts w:ascii="Garamond" w:hAnsi="Garamond"/>
          <w:bCs/>
          <w:color w:val="000000"/>
        </w:rPr>
        <w:t>:</w:t>
      </w:r>
      <w:r w:rsidR="00787803" w:rsidRPr="006B4A99">
        <w:rPr>
          <w:rFonts w:ascii="Garamond" w:hAnsi="Garamond"/>
          <w:bCs/>
          <w:color w:val="000000"/>
        </w:rPr>
        <w:t xml:space="preserve"> </w:t>
      </w:r>
      <w:proofErr w:type="spellStart"/>
      <w:r w:rsidR="00DA15CF" w:rsidRPr="006B4A99">
        <w:rPr>
          <w:rFonts w:ascii="Garamond" w:hAnsi="Garamond"/>
          <w:bCs/>
          <w:color w:val="000000"/>
        </w:rPr>
        <w:t>Fiona</w:t>
      </w:r>
      <w:proofErr w:type="spellEnd"/>
      <w:r w:rsidR="00DA15CF" w:rsidRPr="006B4A99">
        <w:rPr>
          <w:rFonts w:ascii="Garamond" w:hAnsi="Garamond"/>
          <w:bCs/>
          <w:color w:val="000000"/>
        </w:rPr>
        <w:t xml:space="preserve"> </w:t>
      </w:r>
      <w:proofErr w:type="spellStart"/>
      <w:r w:rsidR="00DA15CF" w:rsidRPr="006B4A99">
        <w:rPr>
          <w:rFonts w:ascii="Garamond" w:hAnsi="Garamond"/>
          <w:bCs/>
          <w:color w:val="000000"/>
        </w:rPr>
        <w:t>Papajorgji</w:t>
      </w:r>
      <w:proofErr w:type="spellEnd"/>
      <w:r w:rsidR="00787803" w:rsidRPr="006B4A99">
        <w:rPr>
          <w:rFonts w:ascii="Garamond" w:hAnsi="Garamond"/>
          <w:bCs/>
          <w:color w:val="000000"/>
        </w:rPr>
        <w:t xml:space="preserve">, </w:t>
      </w:r>
      <w:r w:rsidR="00DA15CF" w:rsidRPr="006B4A99">
        <w:rPr>
          <w:rFonts w:ascii="Garamond" w:hAnsi="Garamond"/>
          <w:bCs/>
          <w:color w:val="000000"/>
        </w:rPr>
        <w:t>Ilir Toska</w:t>
      </w:r>
      <w:r w:rsidR="005E0B5F" w:rsidRPr="006B4A99">
        <w:rPr>
          <w:rFonts w:ascii="Garamond" w:hAnsi="Garamond"/>
          <w:bCs/>
          <w:color w:val="000000"/>
        </w:rPr>
        <w:t xml:space="preserve">, </w:t>
      </w:r>
      <w:proofErr w:type="spellStart"/>
      <w:r w:rsidR="00DA15CF" w:rsidRPr="006B4A99">
        <w:rPr>
          <w:rFonts w:ascii="Garamond" w:hAnsi="Garamond"/>
          <w:bCs/>
          <w:color w:val="000000"/>
        </w:rPr>
        <w:t>Sandër</w:t>
      </w:r>
      <w:proofErr w:type="spellEnd"/>
      <w:r w:rsidR="00DA15CF" w:rsidRPr="006B4A99">
        <w:rPr>
          <w:rFonts w:ascii="Garamond" w:hAnsi="Garamond"/>
          <w:bCs/>
          <w:color w:val="000000"/>
        </w:rPr>
        <w:t xml:space="preserve"> Beci</w:t>
      </w:r>
      <w:r w:rsidR="005E0B5F" w:rsidRPr="006B4A99">
        <w:rPr>
          <w:rFonts w:ascii="Garamond" w:hAnsi="Garamond"/>
          <w:bCs/>
          <w:color w:val="000000"/>
        </w:rPr>
        <w:t xml:space="preserve">, </w:t>
      </w:r>
      <w:proofErr w:type="spellStart"/>
      <w:r w:rsidR="00DA15CF" w:rsidRPr="006B4A99">
        <w:rPr>
          <w:rFonts w:ascii="Garamond" w:hAnsi="Garamond"/>
          <w:bCs/>
          <w:color w:val="000000"/>
        </w:rPr>
        <w:t>Sonila</w:t>
      </w:r>
      <w:proofErr w:type="spellEnd"/>
      <w:r w:rsidR="00DA15CF" w:rsidRPr="006B4A99">
        <w:rPr>
          <w:rFonts w:ascii="Garamond" w:hAnsi="Garamond"/>
          <w:bCs/>
          <w:color w:val="000000"/>
        </w:rPr>
        <w:t xml:space="preserve"> Bejtja</w:t>
      </w:r>
    </w:p>
    <w:p w:rsidR="00DA15CF" w:rsidRPr="006B4A99" w:rsidRDefault="008E6B80" w:rsidP="00DA15CF">
      <w:pPr>
        <w:tabs>
          <w:tab w:val="left" w:pos="1080"/>
        </w:tabs>
        <w:autoSpaceDE w:val="0"/>
        <w:autoSpaceDN w:val="0"/>
        <w:adjustRightInd w:val="0"/>
        <w:spacing w:line="240" w:lineRule="auto"/>
        <w:ind w:firstLine="284"/>
        <w:jc w:val="both"/>
        <w:rPr>
          <w:rFonts w:ascii="Garamond" w:hAnsi="Garamond"/>
          <w:bCs/>
          <w:color w:val="000000"/>
        </w:rPr>
      </w:pPr>
      <w:bookmarkStart w:id="0" w:name="_GoBack"/>
      <w:r w:rsidRPr="008E6B80">
        <w:rPr>
          <w:rFonts w:ascii="Garamond" w:hAnsi="Garamond"/>
          <w:b/>
          <w:bCs/>
          <w:color w:val="000000"/>
        </w:rPr>
        <w:t>Anëtarë kundër</w:t>
      </w:r>
      <w:bookmarkEnd w:id="0"/>
      <w:r w:rsidR="00787803" w:rsidRPr="006B4A99">
        <w:rPr>
          <w:rFonts w:ascii="Garamond" w:hAnsi="Garamond"/>
          <w:bCs/>
          <w:color w:val="000000"/>
        </w:rPr>
        <w:t xml:space="preserve">: </w:t>
      </w:r>
      <w:proofErr w:type="spellStart"/>
      <w:r w:rsidR="00787803" w:rsidRPr="006B4A99">
        <w:rPr>
          <w:rFonts w:ascii="Garamond" w:hAnsi="Garamond"/>
          <w:bCs/>
          <w:color w:val="000000"/>
        </w:rPr>
        <w:t>Marsida</w:t>
      </w:r>
      <w:proofErr w:type="spellEnd"/>
      <w:r w:rsidR="00787803" w:rsidRPr="006B4A99">
        <w:rPr>
          <w:rFonts w:ascii="Garamond" w:hAnsi="Garamond"/>
          <w:bCs/>
          <w:color w:val="000000"/>
        </w:rPr>
        <w:t xml:space="preserve"> </w:t>
      </w:r>
      <w:proofErr w:type="spellStart"/>
      <w:r w:rsidR="00787803" w:rsidRPr="006B4A99">
        <w:rPr>
          <w:rFonts w:ascii="Garamond" w:hAnsi="Garamond"/>
          <w:bCs/>
          <w:color w:val="000000"/>
        </w:rPr>
        <w:t>Xhaferllari</w:t>
      </w:r>
      <w:proofErr w:type="spellEnd"/>
      <w:r w:rsidR="00787803" w:rsidRPr="006B4A99">
        <w:rPr>
          <w:rFonts w:ascii="Garamond" w:hAnsi="Garamond"/>
          <w:bCs/>
          <w:color w:val="000000"/>
        </w:rPr>
        <w:t xml:space="preserve">, </w:t>
      </w:r>
      <w:proofErr w:type="spellStart"/>
      <w:r w:rsidR="00787803" w:rsidRPr="006B4A99">
        <w:rPr>
          <w:rFonts w:ascii="Garamond" w:hAnsi="Garamond"/>
          <w:bCs/>
          <w:color w:val="000000"/>
        </w:rPr>
        <w:t>Marjana</w:t>
      </w:r>
      <w:proofErr w:type="spellEnd"/>
      <w:r w:rsidR="00787803" w:rsidRPr="006B4A99">
        <w:rPr>
          <w:rFonts w:ascii="Garamond" w:hAnsi="Garamond"/>
          <w:bCs/>
          <w:color w:val="000000"/>
        </w:rPr>
        <w:t xml:space="preserve"> </w:t>
      </w:r>
      <w:proofErr w:type="spellStart"/>
      <w:r w:rsidR="00787803" w:rsidRPr="006B4A99">
        <w:rPr>
          <w:rFonts w:ascii="Garamond" w:hAnsi="Garamond"/>
          <w:bCs/>
          <w:color w:val="000000"/>
        </w:rPr>
        <w:t>Semini</w:t>
      </w:r>
      <w:proofErr w:type="spellEnd"/>
      <w:r w:rsidR="00787803" w:rsidRPr="006B4A99">
        <w:rPr>
          <w:rFonts w:ascii="Garamond" w:hAnsi="Garamond"/>
          <w:bCs/>
          <w:color w:val="000000"/>
        </w:rPr>
        <w:t>, Genti Ibrahimi</w:t>
      </w:r>
    </w:p>
    <w:p w:rsidR="00787803" w:rsidRPr="006B4A99" w:rsidRDefault="00787803" w:rsidP="00DA15CF">
      <w:pPr>
        <w:autoSpaceDE w:val="0"/>
        <w:autoSpaceDN w:val="0"/>
        <w:adjustRightInd w:val="0"/>
        <w:spacing w:line="240" w:lineRule="auto"/>
        <w:ind w:firstLine="284"/>
        <w:jc w:val="center"/>
        <w:rPr>
          <w:rFonts w:ascii="Garamond" w:hAnsi="Garamond"/>
          <w:bCs/>
          <w:color w:val="000000"/>
        </w:rPr>
      </w:pPr>
    </w:p>
    <w:p w:rsidR="00DA15CF" w:rsidRPr="006B4A99" w:rsidRDefault="00DA15CF" w:rsidP="00DA15CF">
      <w:pPr>
        <w:autoSpaceDE w:val="0"/>
        <w:autoSpaceDN w:val="0"/>
        <w:adjustRightInd w:val="0"/>
        <w:spacing w:line="240" w:lineRule="auto"/>
        <w:ind w:firstLine="284"/>
        <w:jc w:val="center"/>
        <w:rPr>
          <w:rFonts w:ascii="Garamond" w:hAnsi="Garamond"/>
          <w:bCs/>
          <w:color w:val="000000"/>
        </w:rPr>
      </w:pPr>
      <w:r w:rsidRPr="006B4A99">
        <w:rPr>
          <w:rFonts w:ascii="Garamond" w:hAnsi="Garamond"/>
          <w:bCs/>
          <w:color w:val="000000"/>
        </w:rPr>
        <w:t>MENDIM PAKICE</w:t>
      </w:r>
    </w:p>
    <w:p w:rsidR="00DA15CF" w:rsidRPr="006B4A99" w:rsidRDefault="00DA15CF" w:rsidP="00DA15CF">
      <w:pPr>
        <w:autoSpaceDE w:val="0"/>
        <w:autoSpaceDN w:val="0"/>
        <w:adjustRightInd w:val="0"/>
        <w:spacing w:line="240" w:lineRule="auto"/>
        <w:ind w:firstLine="284"/>
        <w:jc w:val="center"/>
        <w:rPr>
          <w:rFonts w:ascii="Garamond" w:hAnsi="Garamond"/>
          <w:bCs/>
          <w:color w:val="000000"/>
        </w:rPr>
      </w:pPr>
    </w:p>
    <w:p w:rsidR="00DA15CF" w:rsidRPr="006B4A99" w:rsidRDefault="00DA15CF" w:rsidP="00DA15CF">
      <w:pPr>
        <w:tabs>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1. Në gjykimin kushtetues të çështjes që i përket kërkuesit </w:t>
      </w:r>
      <w:proofErr w:type="spellStart"/>
      <w:r w:rsidRPr="006B4A99">
        <w:rPr>
          <w:rFonts w:ascii="Garamond" w:hAnsi="Garamond"/>
          <w:color w:val="000000"/>
        </w:rPr>
        <w:t>Edmond</w:t>
      </w:r>
      <w:proofErr w:type="spellEnd"/>
      <w:r w:rsidRPr="006B4A99">
        <w:rPr>
          <w:rFonts w:ascii="Garamond" w:hAnsi="Garamond"/>
          <w:color w:val="000000"/>
        </w:rPr>
        <w:t xml:space="preserve"> </w:t>
      </w:r>
      <w:proofErr w:type="spellStart"/>
      <w:r w:rsidRPr="006B4A99">
        <w:rPr>
          <w:rFonts w:ascii="Garamond" w:hAnsi="Garamond"/>
          <w:color w:val="000000"/>
        </w:rPr>
        <w:t>Mamushi</w:t>
      </w:r>
      <w:proofErr w:type="spellEnd"/>
      <w:r w:rsidRPr="006B4A99">
        <w:rPr>
          <w:rFonts w:ascii="Garamond" w:hAnsi="Garamond"/>
          <w:color w:val="000000"/>
        </w:rPr>
        <w:t>, me objekt: “</w:t>
      </w:r>
      <w:r w:rsidRPr="006B4A99">
        <w:rPr>
          <w:rFonts w:ascii="Garamond" w:hAnsi="Garamond"/>
          <w:i/>
          <w:iCs/>
          <w:color w:val="000000"/>
        </w:rPr>
        <w:t>Shfuqizimi i vendimeve nr. 22/22-2018-127, datë 17.4.2018 të Gjykatës së Rrethit Gjyqësor Tiranë; nr. 20-2018-830/104, datë 17.10.2018 të Gjykatës së Apelit Gjirokastër; nr. 00-2024-1285, datë 11.7.2024 të Kolegjit Penal të Gjykatës së Lartë, si të papajtueshme me Kushtetutën e Republikës së Shqipërisë</w:t>
      </w:r>
      <w:r w:rsidRPr="006B4A99">
        <w:rPr>
          <w:rFonts w:ascii="Garamond" w:hAnsi="Garamond"/>
          <w:color w:val="000000"/>
        </w:rPr>
        <w:t>”, jemi kundër qëndrimit të shumicës për pranimin pjesërisht të kërkesës, pasi vlerësojmë se kërkesa duhej të ishte rrëzuar në tërësinë e saj. Në mbështetje të nenit 132, pika 3, të Kushtetutës dhe nenit 72, pika 8, të ligjit nr. 8577/2000, që parashikojnë publikimin e mendimit të pakicës së bashku me vendimin përfundimtar të Gjykatës, parashtrojmë, në vijim, argumentet që mbështesin qëndrimin tonë kundër.</w:t>
      </w:r>
    </w:p>
    <w:p w:rsidR="00DA15CF" w:rsidRPr="006B4A99" w:rsidRDefault="00DA15CF" w:rsidP="00DA15CF">
      <w:pPr>
        <w:tabs>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2. Në mënyrë të përmbledhur, rezulton se kërkuesi është dënuar me 15 vjet burgim nga Gjykata e Rrethit Gjyqësor Përmet për veprat penale të vrasjes me paramendim në tentativë dhe të mbajtjes pa leje të armëve luftarake. Ndonëse, ai ka paraqitur ankim, vendimi është lënë në fuqi nga Gjykata e Apelit Gjirokastër, ndërsa Gjykata e Lartë ka vendosur mospranimin e rekursit të kërkuesit. </w:t>
      </w:r>
    </w:p>
    <w:p w:rsidR="00DA15CF" w:rsidRPr="006B4A99" w:rsidRDefault="00DA15CF" w:rsidP="00DA15CF">
      <w:pPr>
        <w:tabs>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3. Kërkuesi ka paraqitur ankim kushtetues individual, duke pretenduar se Gjykata e Lartë ka cenuar të drejtën për proces të rregullt ligjor në aspekt të së drejtës së </w:t>
      </w:r>
      <w:proofErr w:type="spellStart"/>
      <w:r w:rsidRPr="006B4A99">
        <w:rPr>
          <w:rFonts w:ascii="Garamond" w:hAnsi="Garamond"/>
          <w:color w:val="000000"/>
        </w:rPr>
        <w:t>aksesit</w:t>
      </w:r>
      <w:proofErr w:type="spellEnd"/>
      <w:r w:rsidRPr="006B4A99">
        <w:rPr>
          <w:rFonts w:ascii="Garamond" w:hAnsi="Garamond"/>
          <w:color w:val="000000"/>
        </w:rPr>
        <w:t xml:space="preserve"> të lidhur me standardin e arsyetimit të vendimit gjyqësor, si dhe parimit të barazisë së armëve dhe </w:t>
      </w:r>
      <w:proofErr w:type="spellStart"/>
      <w:r w:rsidRPr="006B4A99">
        <w:rPr>
          <w:rFonts w:ascii="Garamond" w:hAnsi="Garamond"/>
          <w:color w:val="000000"/>
        </w:rPr>
        <w:t>kontradiktoritetit</w:t>
      </w:r>
      <w:proofErr w:type="spellEnd"/>
      <w:r w:rsidRPr="006B4A99">
        <w:rPr>
          <w:rFonts w:ascii="Garamond" w:hAnsi="Garamond"/>
          <w:color w:val="000000"/>
        </w:rPr>
        <w:t>, të garantuara nga nenet 42 dhe 142, pika 1, të Kushtetutës.</w:t>
      </w:r>
    </w:p>
    <w:p w:rsidR="00DA15CF" w:rsidRPr="006B4A99" w:rsidRDefault="00DA15CF" w:rsidP="00DA15CF">
      <w:pPr>
        <w:tabs>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lastRenderedPageBreak/>
        <w:t xml:space="preserve">4. Shumica i ka vlerësuar pretendimet e kërkuesit në këndvështrim të së drejtës së </w:t>
      </w:r>
      <w:proofErr w:type="spellStart"/>
      <w:r w:rsidRPr="006B4A99">
        <w:rPr>
          <w:rFonts w:ascii="Garamond" w:hAnsi="Garamond"/>
          <w:color w:val="000000"/>
        </w:rPr>
        <w:t>aksesit</w:t>
      </w:r>
      <w:proofErr w:type="spellEnd"/>
      <w:r w:rsidRPr="006B4A99">
        <w:rPr>
          <w:rFonts w:ascii="Garamond" w:hAnsi="Garamond"/>
          <w:color w:val="000000"/>
        </w:rPr>
        <w:t xml:space="preserve"> të lidhur me standardin e arsyetimit të vendimit gjyqësor në drejtim të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w:t>
      </w:r>
      <w:r w:rsidRPr="006B4A99">
        <w:rPr>
          <w:rFonts w:ascii="Garamond" w:hAnsi="Garamond"/>
          <w:i/>
          <w:iCs/>
          <w:color w:val="000000"/>
        </w:rPr>
        <w:t>shih paragrafin 16 të vendimit</w:t>
      </w:r>
      <w:r w:rsidRPr="006B4A99">
        <w:rPr>
          <w:rFonts w:ascii="Garamond" w:hAnsi="Garamond"/>
          <w:color w:val="000000"/>
        </w:rPr>
        <w:t xml:space="preserve">). Ajo ka arritur në përfundimin se vendimi i Gjykatës së Lartë duhet shfuqizuar, pasi Gjykata e Lartë ka mbajtur qasje formale në drejtim të vlerësimit të shkaqeve të rekursit në tërësinë e tyre, pa u ndalur në aspekte të veçanta të procesit gjyqësor që mbartin natyrë kushtetuese për shkak të natyrës së pretendimeve, duke dhënë një arsyetim të kufizuar për rastin, i cili bie ndesh me standardin kushtetues. Sipas shumicës, edhe pse pretendimi i ngritur nga kërkuesi që lidhej me armën luftarake, me të cilën është kryer vepra penale, përbën një nga aspektet më të rëndësishme të </w:t>
      </w:r>
      <w:proofErr w:type="spellStart"/>
      <w:r w:rsidRPr="006B4A99">
        <w:rPr>
          <w:rFonts w:ascii="Garamond" w:hAnsi="Garamond"/>
          <w:color w:val="000000"/>
        </w:rPr>
        <w:t>të</w:t>
      </w:r>
      <w:proofErr w:type="spellEnd"/>
      <w:r w:rsidRPr="006B4A99">
        <w:rPr>
          <w:rFonts w:ascii="Garamond" w:hAnsi="Garamond"/>
          <w:color w:val="000000"/>
        </w:rPr>
        <w:t xml:space="preserve"> provuarit të fajësisë së tij përtej çdo dyshimi të arsyeshëm, ky pretendim nuk ka marrë përgjigje përfundimtare të arsyetuar, ndaj arsyetimi i Gjykatës së Lartë është haptazi i paarsyeshëm dhe i pamjaftueshëm në këndvështrimin kushtetues (</w:t>
      </w:r>
      <w:r w:rsidRPr="006B4A99">
        <w:rPr>
          <w:rFonts w:ascii="Garamond" w:hAnsi="Garamond"/>
          <w:i/>
          <w:iCs/>
          <w:color w:val="000000"/>
        </w:rPr>
        <w:t>shih paragrafin 25 të vendimit</w:t>
      </w:r>
      <w:r w:rsidRPr="006B4A99">
        <w:rPr>
          <w:rFonts w:ascii="Garamond" w:hAnsi="Garamond"/>
          <w:color w:val="000000"/>
        </w:rPr>
        <w:t>).</w:t>
      </w:r>
    </w:p>
    <w:p w:rsidR="00DA15CF" w:rsidRPr="006B4A99" w:rsidRDefault="00DA15CF" w:rsidP="00DA15CF">
      <w:pPr>
        <w:tabs>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5. Nuk pajtohemi me këtë vlerësim të shumicës, pasi çmojmë se vendimi i Gjykatës së Lartë përmbush standardin kushtetues të arsyetimit, duke i treguar kërkuesit që është dëgjuar, duke i dhënë mundësinë atij ta kundërshtojë atë (</w:t>
      </w:r>
      <w:r w:rsidRPr="006B4A99">
        <w:rPr>
          <w:rFonts w:ascii="Garamond" w:hAnsi="Garamond"/>
          <w:i/>
          <w:iCs/>
          <w:color w:val="000000"/>
        </w:rPr>
        <w:t>shih vendimet nr. 2, datë 11.2.2021; nr. 10, datë 4.3.2021 të Gjykatës Kushtetuese</w:t>
      </w:r>
      <w:r w:rsidRPr="006B4A99">
        <w:rPr>
          <w:rFonts w:ascii="Garamond" w:hAnsi="Garamond"/>
          <w:color w:val="000000"/>
        </w:rPr>
        <w:t>). Arsyetimi i kufizuar i vendimit të marrë nga Gjykata e Lartë në dhomën e këshillimit nuk e ka cenuar procesin e rregullt ligjor, pasi ai është tregues i faktit se kërkuesi nuk ka ngritur asnjë nga argumentet ligjore të përcaktuara në dispozitën përkatëse të legjislacionit të brendshëm, që është kusht për pranimin e kërkesës (</w:t>
      </w:r>
      <w:r w:rsidRPr="006B4A99">
        <w:rPr>
          <w:rFonts w:ascii="Garamond" w:hAnsi="Garamond"/>
          <w:i/>
          <w:iCs/>
          <w:color w:val="000000"/>
        </w:rPr>
        <w:t>shih vendimet nr. 29, datë 1.11.2022; nr. 14, datë 21.6.2022 të Gjykatës Kushtetuese</w:t>
      </w:r>
      <w:r w:rsidRPr="006B4A99">
        <w:rPr>
          <w:rFonts w:ascii="Garamond" w:hAnsi="Garamond"/>
          <w:color w:val="000000"/>
        </w:rPr>
        <w:t>)</w:t>
      </w:r>
      <w:r w:rsidRPr="006B4A99">
        <w:rPr>
          <w:rFonts w:ascii="Garamond" w:hAnsi="Garamond"/>
          <w:i/>
          <w:iCs/>
          <w:color w:val="000000"/>
        </w:rPr>
        <w:t>.</w:t>
      </w:r>
      <w:r w:rsidRPr="006B4A99">
        <w:rPr>
          <w:rFonts w:ascii="Garamond" w:hAnsi="Garamond"/>
          <w:color w:val="000000"/>
        </w:rPr>
        <w:t xml:space="preserve"> </w:t>
      </w:r>
    </w:p>
    <w:p w:rsidR="00DA15CF" w:rsidRPr="006B4A99" w:rsidRDefault="00DA15CF" w:rsidP="00DA15CF">
      <w:pPr>
        <w:tabs>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6. Çështja themelore që na ndan me shumicën lidhet me faktin nëse arsyetimi i kufizuar i Gjykatës së Lartë konsiderohet përgjigje për pretendimin e kërkuesit lidhur me parimin e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Ashtu siç ka pohuar shumica, parimi i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kërkon që deklarimi i fajësisë të </w:t>
      </w:r>
      <w:proofErr w:type="spellStart"/>
      <w:r w:rsidRPr="006B4A99">
        <w:rPr>
          <w:rFonts w:ascii="Garamond" w:hAnsi="Garamond"/>
          <w:color w:val="000000"/>
        </w:rPr>
        <w:t>të</w:t>
      </w:r>
      <w:proofErr w:type="spellEnd"/>
      <w:r w:rsidRPr="006B4A99">
        <w:rPr>
          <w:rFonts w:ascii="Garamond" w:hAnsi="Garamond"/>
          <w:color w:val="000000"/>
        </w:rPr>
        <w:t xml:space="preserve"> pandehurit të bëhet nga gjykata vetëm pas një shqyrtimi të plotë të çështjes dhe se, sipas këtij parimi, asnjë masë që barazohet me dënimin nuk mund të jepet ndaj një të pandehuri pa u provuar fajësia e tij përtej çdo dyshimi të arsyeshëm (</w:t>
      </w:r>
      <w:r w:rsidRPr="006B4A99">
        <w:rPr>
          <w:rFonts w:ascii="Garamond" w:hAnsi="Garamond"/>
          <w:i/>
          <w:iCs/>
          <w:color w:val="000000"/>
        </w:rPr>
        <w:t>shih vendimet nr. 20, datë 3.4.2024; nr. 4, datë 21.2.2022; nr. 68, datë 14.11.2016 të Gjykatës Kushtetuese</w:t>
      </w:r>
      <w:r w:rsidRPr="006B4A99">
        <w:rPr>
          <w:rFonts w:ascii="Garamond" w:hAnsi="Garamond"/>
          <w:color w:val="000000"/>
        </w:rPr>
        <w:t>).</w:t>
      </w:r>
      <w:r w:rsidRPr="006B4A99">
        <w:rPr>
          <w:rFonts w:ascii="Garamond" w:hAnsi="Garamond"/>
          <w:i/>
          <w:iCs/>
          <w:color w:val="000000"/>
        </w:rPr>
        <w:t xml:space="preserve"> </w:t>
      </w:r>
      <w:r w:rsidRPr="006B4A99">
        <w:rPr>
          <w:rFonts w:ascii="Garamond" w:hAnsi="Garamond"/>
          <w:color w:val="000000"/>
        </w:rPr>
        <w:t xml:space="preserve">Duke mbajtur në konsideratë se garancitë kushtetuese të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konkretizohen në rregullat e </w:t>
      </w:r>
      <w:proofErr w:type="spellStart"/>
      <w:r w:rsidRPr="006B4A99">
        <w:rPr>
          <w:rFonts w:ascii="Garamond" w:hAnsi="Garamond"/>
          <w:color w:val="000000"/>
        </w:rPr>
        <w:t>KPP</w:t>
      </w:r>
      <w:proofErr w:type="spellEnd"/>
      <w:r w:rsidRPr="006B4A99">
        <w:rPr>
          <w:rFonts w:ascii="Garamond" w:hAnsi="Garamond"/>
          <w:color w:val="000000"/>
        </w:rPr>
        <w:t>-së, duke i krijuar në këtë mënyrë të gjitha mundësitë organit procedues për të përmbushur detyrën kushtetuese të respektimit të këtij parimi (</w:t>
      </w:r>
      <w:r w:rsidRPr="006B4A99">
        <w:rPr>
          <w:rFonts w:ascii="Garamond" w:hAnsi="Garamond"/>
          <w:i/>
          <w:iCs/>
          <w:color w:val="000000"/>
        </w:rPr>
        <w:t>shih vendimin nr. 63, datë 20.11.2023 të Gjykatës Kushtetuese</w:t>
      </w:r>
      <w:r w:rsidRPr="006B4A99">
        <w:rPr>
          <w:rFonts w:ascii="Garamond" w:hAnsi="Garamond"/>
          <w:color w:val="000000"/>
        </w:rPr>
        <w:t xml:space="preserve">), theksojmë se parimi i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në thelb është garanci procedurale në procesin penal, që lidhet, ndër të tjera, me barrën e provës, </w:t>
      </w:r>
      <w:proofErr w:type="spellStart"/>
      <w:r w:rsidRPr="006B4A99">
        <w:rPr>
          <w:rFonts w:ascii="Garamond" w:hAnsi="Garamond"/>
          <w:color w:val="000000"/>
        </w:rPr>
        <w:t>prezumimet</w:t>
      </w:r>
      <w:proofErr w:type="spellEnd"/>
      <w:r w:rsidRPr="006B4A99">
        <w:rPr>
          <w:rFonts w:ascii="Garamond" w:hAnsi="Garamond"/>
          <w:color w:val="000000"/>
        </w:rPr>
        <w:t xml:space="preserve"> ligjore dhe të faktit, të drejtën e individit për të mos dëshmuar kundër vetes, si dhe shprehjet paragjykuese nga gjykata ose zyrtarë të tjerë publikë rreth fajësisë së tij.</w:t>
      </w:r>
    </w:p>
    <w:p w:rsidR="00DA15CF" w:rsidRPr="006B4A99" w:rsidRDefault="00DA15CF" w:rsidP="00DA15CF">
      <w:pPr>
        <w:tabs>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7. Nën këtë optikë, ne, gjyqtarët në pakicë, </w:t>
      </w:r>
      <w:r w:rsidRPr="006B4A99">
        <w:rPr>
          <w:rFonts w:ascii="Garamond" w:hAnsi="Garamond"/>
          <w:i/>
          <w:iCs/>
          <w:color w:val="000000"/>
        </w:rPr>
        <w:t>së pari,</w:t>
      </w:r>
      <w:r w:rsidRPr="006B4A99">
        <w:rPr>
          <w:rFonts w:ascii="Garamond" w:hAnsi="Garamond"/>
          <w:color w:val="000000"/>
        </w:rPr>
        <w:t xml:space="preserve"> evidentojmë se gjykatat e faktit kanë përcaktuar faktet dhe ligjin e zbatueshëm që e kanë çuar në vendimmarrjen e tyre. Në ndryshim nga sa pretendon kërkuesi, se për fajësinë e tij nuk ekzistonte asnjë provë, gjykatat e faktit kanë arritur në përfundimin e fajësisë, duke shqyrtuar dhe vlerësuar një sërë provash, siç janë pyetja e rreth tetë dëshmitarëve, një pjesë e të cilëve kanë qenë të pranishëm në vendngjarje, akti i ekspertimit, rezultatet e përgjimit të kërkuesit me një shtetas të tretë. Lidhur me sekuestrimin e armës luftarake të dorëzuar nga viktima në organet e policisë dhe jo në vendngjarje, gjykatat kanë arsyetuar se ky fakt provohet jo vetëm nga dëshmitë e viktimës dhe të </w:t>
      </w:r>
      <w:proofErr w:type="spellStart"/>
      <w:r w:rsidRPr="006B4A99">
        <w:rPr>
          <w:rFonts w:ascii="Garamond" w:hAnsi="Garamond"/>
          <w:color w:val="000000"/>
        </w:rPr>
        <w:t>të</w:t>
      </w:r>
      <w:proofErr w:type="spellEnd"/>
      <w:r w:rsidRPr="006B4A99">
        <w:rPr>
          <w:rFonts w:ascii="Garamond" w:hAnsi="Garamond"/>
          <w:color w:val="000000"/>
        </w:rPr>
        <w:t xml:space="preserve"> pranishmëve në vendngjarje, por edhe nga procesverbali i Policisë Gjyqësore, sikundër kanë vënë në dukje se alibia e ngritur nga kërkuesi nuk mbështetej në prova, duke dhënë arsyet përse. Këto prova janë analizuar prej gjykatave, duke treguar përmbajtjen e tyre, pa i dhënë ndonjë prove fuqi provuese të paracaktuar dhe në harmoni me njëra-tjetrën, duke respektuar në këtë mënyrë rregullat për barrën e provës dhe </w:t>
      </w:r>
      <w:proofErr w:type="spellStart"/>
      <w:r w:rsidRPr="006B4A99">
        <w:rPr>
          <w:rFonts w:ascii="Garamond" w:hAnsi="Garamond"/>
          <w:color w:val="000000"/>
        </w:rPr>
        <w:t>prezumimet</w:t>
      </w:r>
      <w:proofErr w:type="spellEnd"/>
      <w:r w:rsidRPr="006B4A99">
        <w:rPr>
          <w:rFonts w:ascii="Garamond" w:hAnsi="Garamond"/>
          <w:color w:val="000000"/>
        </w:rPr>
        <w:t xml:space="preserve"> e faktit, për rrjedhojë edhe parimin e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Në këtë mënyrë, vlerësimi i shumicës se arma nuk është sekuestruar në vendngjarje, por është dorëzuar nga viktima dhe shtetas të tjerë, në thelb nuk është gjë tjetër veçse vlerësim i fuqisë provuese të provave, që nuk i nënshtrohet juridiksionit kushtetues. </w:t>
      </w:r>
    </w:p>
    <w:p w:rsidR="00DA15CF" w:rsidRPr="006B4A99" w:rsidRDefault="00DA15CF" w:rsidP="00DA15CF">
      <w:pPr>
        <w:tabs>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i/>
          <w:iCs/>
          <w:color w:val="000000"/>
        </w:rPr>
        <w:t>8. Së dyti</w:t>
      </w:r>
      <w:r w:rsidRPr="006B4A99">
        <w:rPr>
          <w:rFonts w:ascii="Garamond" w:hAnsi="Garamond"/>
          <w:color w:val="000000"/>
        </w:rPr>
        <w:t xml:space="preserve">, evidentojmë se Gjykata e Lartë ka arsyetuar në mënyrë të mjaftueshme se vendimmarrja e gjykatave të faktit nuk është e cenueshme, për sa kohë që rekursi i paraqitur nga i gjykuari nuk përmban shkaqet e parashikuara nga neni 432, pika 1, i </w:t>
      </w:r>
      <w:proofErr w:type="spellStart"/>
      <w:r w:rsidRPr="006B4A99">
        <w:rPr>
          <w:rFonts w:ascii="Garamond" w:hAnsi="Garamond"/>
          <w:color w:val="000000"/>
        </w:rPr>
        <w:t>KPP</w:t>
      </w:r>
      <w:proofErr w:type="spellEnd"/>
      <w:r w:rsidRPr="006B4A99">
        <w:rPr>
          <w:rFonts w:ascii="Garamond" w:hAnsi="Garamond"/>
          <w:color w:val="000000"/>
        </w:rPr>
        <w:t xml:space="preserve">-së dhe se gjykatat e shkallëve më të ulëta, në </w:t>
      </w:r>
      <w:proofErr w:type="spellStart"/>
      <w:r w:rsidRPr="006B4A99">
        <w:rPr>
          <w:rFonts w:ascii="Garamond" w:hAnsi="Garamond"/>
          <w:color w:val="000000"/>
        </w:rPr>
        <w:t>unison</w:t>
      </w:r>
      <w:proofErr w:type="spellEnd"/>
      <w:r w:rsidRPr="006B4A99">
        <w:rPr>
          <w:rFonts w:ascii="Garamond" w:hAnsi="Garamond"/>
          <w:color w:val="000000"/>
        </w:rPr>
        <w:t xml:space="preserve"> kanë disponuar për fajësinë e tij, ku gjykata e apelit ka bërë një analizë të hollësishme të dinamikës së fakteve dhe të provave të marra e të administruara në këtë gjykim. Po kështu, Gjykata e Lartë ka marrë në shqyrtim edhe pretendimin e kërkuesit për cenimin e parimit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duke arsyetuar shprehimisht se gjykatat e faktit i kanë çmuar provat në </w:t>
      </w:r>
      <w:r w:rsidRPr="006B4A99">
        <w:rPr>
          <w:rFonts w:ascii="Garamond" w:hAnsi="Garamond"/>
          <w:color w:val="000000"/>
        </w:rPr>
        <w:lastRenderedPageBreak/>
        <w:t xml:space="preserve">tërësi, në përputhje me njëra-tjetrën, duke mos mbivlerësuar asnjërën prej tyre, ndaj nuk konstatohet që ato gjykata të mos kenë respektuar parimin e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ose që ndaj kërkuesit të jetë zhvilluar një proces jo i rregullt ligjor, referuar nenit 42 të Kushtetutës dhe nenit 6 të </w:t>
      </w:r>
      <w:proofErr w:type="spellStart"/>
      <w:r w:rsidRPr="006B4A99">
        <w:rPr>
          <w:rFonts w:ascii="Garamond" w:hAnsi="Garamond"/>
          <w:color w:val="000000"/>
        </w:rPr>
        <w:t>KEDNJ</w:t>
      </w:r>
      <w:proofErr w:type="spellEnd"/>
      <w:r w:rsidRPr="006B4A99">
        <w:rPr>
          <w:rFonts w:ascii="Garamond" w:hAnsi="Garamond"/>
          <w:color w:val="000000"/>
        </w:rPr>
        <w:t xml:space="preserve">-së. Në këtë mënyrë, kërkuesi ka marrë përgjigje të arsyetuar, ndërsa Gjykata e Lartë ka ushtruar plotësisht dhe në mënyrë korrekte funksionin e saj si gjykatë e ligjit, sikundër edhe funksionin për kontrollin edhe të kushtetutshmërisë së procesit gjyqësor, bazuar në rolin e saj </w:t>
      </w:r>
      <w:proofErr w:type="spellStart"/>
      <w:r w:rsidRPr="006B4A99">
        <w:rPr>
          <w:rFonts w:ascii="Garamond" w:hAnsi="Garamond"/>
          <w:color w:val="000000"/>
        </w:rPr>
        <w:t>subsidiar</w:t>
      </w:r>
      <w:proofErr w:type="spellEnd"/>
      <w:r w:rsidRPr="006B4A99">
        <w:rPr>
          <w:rFonts w:ascii="Garamond" w:hAnsi="Garamond"/>
          <w:color w:val="000000"/>
        </w:rPr>
        <w:t>.</w:t>
      </w:r>
    </w:p>
    <w:p w:rsidR="00DA15CF" w:rsidRPr="006B4A99" w:rsidRDefault="00DA15CF" w:rsidP="00DA15CF">
      <w:pPr>
        <w:tabs>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9. Nga ana tjetër, ne, gjyqtarët në pakicë, vlerësojmë se nuk është detyrë e Gjykatës të analizojë provat dhe faktet ku janë bazuar gjykatat e juridiksionit të zakonshëm për zgjidhjen në themel të çështjes së kërkuesit, pasi kjo mbetet detyrë funksionale e atyre gjykatave. Në aspektin e kontrollit kushtetues, Gjykata verifikon në drejtim të së drejtës së </w:t>
      </w:r>
      <w:proofErr w:type="spellStart"/>
      <w:r w:rsidRPr="006B4A99">
        <w:rPr>
          <w:rFonts w:ascii="Garamond" w:hAnsi="Garamond"/>
          <w:color w:val="000000"/>
        </w:rPr>
        <w:t>aksesit</w:t>
      </w:r>
      <w:proofErr w:type="spellEnd"/>
      <w:r w:rsidRPr="006B4A99">
        <w:rPr>
          <w:rFonts w:ascii="Garamond" w:hAnsi="Garamond"/>
          <w:color w:val="000000"/>
        </w:rPr>
        <w:t xml:space="preserve"> nëse gjykatat u kanë dhënë përgjigje të arsyetuar pretendimeve të parashtruara përpara tyre dhe nëse arsyetimi i vendimit gjyqësor i ka plotësuar ose jo kriteret kushtetuese, të cilat garantojnë të drejtën për të pasur një vendim gjyqësor të arsyetuar, gjë që, në rastin konkret, rezulton të jetë përmbushur si nga gjykata e apelit, ashtu edhe nga Gjykata e Lartë. Në këtë drejtim, ritheksojmë se vlerësimi kushtetues i Gjykatës nuk mund të zëvendësojë prerogativat/rolin/funksionin e gjykatave të juridiksionit të zakonshëm për zgjidhjen e mosmarrëveshjeve, duke e kthyer atë në një shkallë të katër gjykimi.</w:t>
      </w:r>
    </w:p>
    <w:p w:rsidR="00DA15CF" w:rsidRPr="006B4A99" w:rsidRDefault="00DA15CF" w:rsidP="00DA15CF">
      <w:pPr>
        <w:tabs>
          <w:tab w:val="left" w:pos="1080"/>
        </w:tabs>
        <w:autoSpaceDE w:val="0"/>
        <w:autoSpaceDN w:val="0"/>
        <w:adjustRightInd w:val="0"/>
        <w:spacing w:line="240" w:lineRule="auto"/>
        <w:ind w:firstLine="284"/>
        <w:jc w:val="both"/>
        <w:rPr>
          <w:rFonts w:ascii="Garamond" w:hAnsi="Garamond"/>
          <w:color w:val="000000"/>
        </w:rPr>
      </w:pPr>
      <w:r w:rsidRPr="006B4A99">
        <w:rPr>
          <w:rFonts w:ascii="Garamond" w:hAnsi="Garamond"/>
          <w:color w:val="000000"/>
        </w:rPr>
        <w:t xml:space="preserve">10. Në përfundim, ne, gjyqtarët në pakicë, çmojmë se pretendimi i kërkuesit për cenimin e së drejtës së </w:t>
      </w:r>
      <w:proofErr w:type="spellStart"/>
      <w:r w:rsidRPr="006B4A99">
        <w:rPr>
          <w:rFonts w:ascii="Garamond" w:hAnsi="Garamond"/>
          <w:color w:val="000000"/>
        </w:rPr>
        <w:t>aksesit</w:t>
      </w:r>
      <w:proofErr w:type="spellEnd"/>
      <w:r w:rsidRPr="006B4A99">
        <w:rPr>
          <w:rFonts w:ascii="Garamond" w:hAnsi="Garamond"/>
          <w:color w:val="000000"/>
        </w:rPr>
        <w:t xml:space="preserve"> të lidhur me standardin e arsyetimit të vendimit gjyqësor në drejtim të </w:t>
      </w:r>
      <w:proofErr w:type="spellStart"/>
      <w:r w:rsidRPr="006B4A99">
        <w:rPr>
          <w:rFonts w:ascii="Garamond" w:hAnsi="Garamond"/>
          <w:color w:val="000000"/>
        </w:rPr>
        <w:t>prezumimit</w:t>
      </w:r>
      <w:proofErr w:type="spellEnd"/>
      <w:r w:rsidRPr="006B4A99">
        <w:rPr>
          <w:rFonts w:ascii="Garamond" w:hAnsi="Garamond"/>
          <w:color w:val="000000"/>
        </w:rPr>
        <w:t xml:space="preserve"> të pafajësisë, është i pabazuar, prandaj duhej të ishte vendosur rrëzimi i kërkesës. </w:t>
      </w:r>
    </w:p>
    <w:p w:rsidR="00DA15CF" w:rsidRPr="006B4A99" w:rsidRDefault="00DA15CF" w:rsidP="00DA15CF">
      <w:pPr>
        <w:tabs>
          <w:tab w:val="left" w:pos="1080"/>
        </w:tabs>
        <w:autoSpaceDE w:val="0"/>
        <w:autoSpaceDN w:val="0"/>
        <w:adjustRightInd w:val="0"/>
        <w:spacing w:line="240" w:lineRule="auto"/>
        <w:ind w:firstLine="284"/>
        <w:jc w:val="both"/>
        <w:rPr>
          <w:rFonts w:ascii="Garamond" w:hAnsi="Garamond"/>
          <w:color w:val="000000"/>
        </w:rPr>
      </w:pPr>
    </w:p>
    <w:p w:rsidR="00DA15CF" w:rsidRPr="000034B3" w:rsidRDefault="00BE5406" w:rsidP="00DA15CF">
      <w:pPr>
        <w:autoSpaceDE w:val="0"/>
        <w:autoSpaceDN w:val="0"/>
        <w:adjustRightInd w:val="0"/>
        <w:spacing w:line="240" w:lineRule="auto"/>
        <w:ind w:firstLine="284"/>
        <w:jc w:val="both"/>
        <w:rPr>
          <w:rFonts w:ascii="Garamond" w:hAnsi="Garamond"/>
          <w:bCs/>
          <w:color w:val="000000"/>
        </w:rPr>
      </w:pPr>
      <w:r w:rsidRPr="006B4A99">
        <w:rPr>
          <w:rFonts w:ascii="Garamond" w:hAnsi="Garamond"/>
          <w:b/>
          <w:bCs/>
          <w:color w:val="000000"/>
        </w:rPr>
        <w:t>Anëtarë</w:t>
      </w:r>
      <w:r w:rsidR="00DA15CF" w:rsidRPr="006B4A99">
        <w:rPr>
          <w:rFonts w:ascii="Garamond" w:hAnsi="Garamond"/>
          <w:bCs/>
          <w:color w:val="000000"/>
        </w:rPr>
        <w:t xml:space="preserve">: </w:t>
      </w:r>
      <w:proofErr w:type="spellStart"/>
      <w:r w:rsidR="00DA15CF" w:rsidRPr="006B4A99">
        <w:rPr>
          <w:rFonts w:ascii="Garamond" w:hAnsi="Garamond"/>
          <w:bCs/>
          <w:color w:val="000000"/>
        </w:rPr>
        <w:t>Marsida</w:t>
      </w:r>
      <w:proofErr w:type="spellEnd"/>
      <w:r w:rsidR="00DA15CF" w:rsidRPr="006B4A99">
        <w:rPr>
          <w:rFonts w:ascii="Garamond" w:hAnsi="Garamond"/>
          <w:bCs/>
          <w:color w:val="000000"/>
        </w:rPr>
        <w:t xml:space="preserve"> </w:t>
      </w:r>
      <w:proofErr w:type="spellStart"/>
      <w:r w:rsidR="00DA15CF" w:rsidRPr="006B4A99">
        <w:rPr>
          <w:rFonts w:ascii="Garamond" w:hAnsi="Garamond"/>
          <w:bCs/>
          <w:color w:val="000000"/>
        </w:rPr>
        <w:t>Xhaferllari</w:t>
      </w:r>
      <w:proofErr w:type="spellEnd"/>
      <w:r w:rsidR="00DA15CF" w:rsidRPr="006B4A99">
        <w:rPr>
          <w:rFonts w:ascii="Garamond" w:hAnsi="Garamond"/>
          <w:bCs/>
          <w:color w:val="000000"/>
        </w:rPr>
        <w:t xml:space="preserve">, Genti Ibrahimi, </w:t>
      </w:r>
      <w:proofErr w:type="spellStart"/>
      <w:r w:rsidR="00DA15CF" w:rsidRPr="006B4A99">
        <w:rPr>
          <w:rFonts w:ascii="Garamond" w:hAnsi="Garamond"/>
          <w:bCs/>
          <w:color w:val="000000"/>
        </w:rPr>
        <w:t>Marjana</w:t>
      </w:r>
      <w:proofErr w:type="spellEnd"/>
      <w:r w:rsidR="00DA15CF" w:rsidRPr="006B4A99">
        <w:rPr>
          <w:rFonts w:ascii="Garamond" w:hAnsi="Garamond"/>
          <w:bCs/>
          <w:color w:val="000000"/>
        </w:rPr>
        <w:t xml:space="preserve"> </w:t>
      </w:r>
      <w:proofErr w:type="spellStart"/>
      <w:r w:rsidR="00DA15CF" w:rsidRPr="006B4A99">
        <w:rPr>
          <w:rFonts w:ascii="Garamond" w:hAnsi="Garamond"/>
          <w:bCs/>
          <w:color w:val="000000"/>
        </w:rPr>
        <w:t>Semini</w:t>
      </w:r>
      <w:proofErr w:type="spellEnd"/>
    </w:p>
    <w:sectPr w:rsidR="00DA15CF" w:rsidRPr="000034B3" w:rsidSect="00B93270">
      <w:headerReference w:type="first" r:id="rId11"/>
      <w:pgSz w:w="11907" w:h="16839" w:code="9"/>
      <w:pgMar w:top="1080" w:right="1377" w:bottom="450" w:left="1440" w:header="720" w:footer="6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AD3A191" w16cex:dateUtc="2023-10-25T18:40:00Z"/>
  <w16cex:commentExtensible w16cex:durableId="2749E3CC" w16cex:dateUtc="2023-10-25T18:46:00Z"/>
  <w16cex:commentExtensible w16cex:durableId="77C752CE" w16cex:dateUtc="2023-10-25T18:57:00Z"/>
  <w16cex:commentExtensible w16cex:durableId="74162E53" w16cex:dateUtc="2023-10-25T18:57:00Z"/>
  <w16cex:commentExtensible w16cex:durableId="6E7C2C11" w16cex:dateUtc="2023-10-25T19:00:00Z"/>
  <w16cex:commentExtensible w16cex:durableId="727CE06A" w16cex:dateUtc="2023-10-25T19: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4A6B" w:rsidRDefault="002B4A6B" w:rsidP="00FD0846">
      <w:pPr>
        <w:spacing w:line="240" w:lineRule="auto"/>
      </w:pPr>
      <w:r>
        <w:separator/>
      </w:r>
    </w:p>
  </w:endnote>
  <w:endnote w:type="continuationSeparator" w:id="0">
    <w:p w:rsidR="002B4A6B" w:rsidRDefault="002B4A6B" w:rsidP="00FD08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4A6B" w:rsidRDefault="002B4A6B" w:rsidP="00FD0846">
      <w:pPr>
        <w:spacing w:line="240" w:lineRule="auto"/>
      </w:pPr>
      <w:r>
        <w:separator/>
      </w:r>
    </w:p>
  </w:footnote>
  <w:footnote w:type="continuationSeparator" w:id="0">
    <w:p w:rsidR="002B4A6B" w:rsidRDefault="002B4A6B" w:rsidP="00FD0846">
      <w:pPr>
        <w:spacing w:line="240" w:lineRule="auto"/>
      </w:pPr>
      <w:r>
        <w:continuationSeparator/>
      </w:r>
    </w:p>
  </w:footnote>
  <w:footnote w:id="1">
    <w:p w:rsidR="00DA15CF" w:rsidRDefault="00DA15CF" w:rsidP="00BE5406">
      <w:pPr>
        <w:spacing w:line="240" w:lineRule="auto"/>
        <w:jc w:val="both"/>
      </w:pPr>
      <w:r w:rsidRPr="002B7EEB">
        <w:rPr>
          <w:rStyle w:val="FootnoteReference"/>
          <w:rFonts w:ascii="Garamond" w:hAnsi="Garamond"/>
          <w:sz w:val="20"/>
          <w:szCs w:val="20"/>
        </w:rPr>
        <w:footnoteRef/>
      </w:r>
      <w:r w:rsidRPr="002B7EEB">
        <w:rPr>
          <w:rFonts w:ascii="Garamond" w:hAnsi="Garamond"/>
          <w:sz w:val="20"/>
          <w:szCs w:val="20"/>
        </w:rPr>
        <w:t xml:space="preserve"> </w:t>
      </w:r>
      <w:r w:rsidR="002B7EEB" w:rsidRPr="00580981">
        <w:rPr>
          <w:rFonts w:ascii="Garamond" w:hAnsi="Garamond"/>
          <w:sz w:val="20"/>
          <w:szCs w:val="20"/>
        </w:rPr>
        <w:t xml:space="preserve">Gjyqtarët </w:t>
      </w:r>
      <w:proofErr w:type="spellStart"/>
      <w:r w:rsidR="002B7EEB" w:rsidRPr="00580981">
        <w:rPr>
          <w:rFonts w:ascii="Garamond" w:hAnsi="Garamond"/>
          <w:sz w:val="20"/>
          <w:szCs w:val="20"/>
        </w:rPr>
        <w:t>Fiona</w:t>
      </w:r>
      <w:proofErr w:type="spellEnd"/>
      <w:r w:rsidR="002B7EEB" w:rsidRPr="00580981">
        <w:rPr>
          <w:rFonts w:ascii="Garamond" w:hAnsi="Garamond"/>
          <w:sz w:val="20"/>
          <w:szCs w:val="20"/>
        </w:rPr>
        <w:t xml:space="preserve"> </w:t>
      </w:r>
      <w:proofErr w:type="spellStart"/>
      <w:r w:rsidR="002B7EEB" w:rsidRPr="00580981">
        <w:rPr>
          <w:rFonts w:ascii="Garamond" w:hAnsi="Garamond"/>
          <w:sz w:val="20"/>
          <w:szCs w:val="20"/>
        </w:rPr>
        <w:t>Papajorgji</w:t>
      </w:r>
      <w:proofErr w:type="spellEnd"/>
      <w:r w:rsidR="002B7EEB" w:rsidRPr="00580981">
        <w:rPr>
          <w:rFonts w:ascii="Garamond" w:hAnsi="Garamond"/>
          <w:sz w:val="20"/>
          <w:szCs w:val="20"/>
        </w:rPr>
        <w:t xml:space="preserve">, </w:t>
      </w:r>
      <w:proofErr w:type="spellStart"/>
      <w:r w:rsidR="002B7EEB" w:rsidRPr="00580981">
        <w:rPr>
          <w:rFonts w:ascii="Garamond" w:hAnsi="Garamond"/>
          <w:sz w:val="20"/>
          <w:szCs w:val="20"/>
        </w:rPr>
        <w:t>Sonila</w:t>
      </w:r>
      <w:proofErr w:type="spellEnd"/>
      <w:r w:rsidR="002B7EEB" w:rsidRPr="00580981">
        <w:rPr>
          <w:rFonts w:ascii="Garamond" w:hAnsi="Garamond"/>
          <w:sz w:val="20"/>
          <w:szCs w:val="20"/>
        </w:rPr>
        <w:t xml:space="preserve"> Bejtja dhe </w:t>
      </w:r>
      <w:proofErr w:type="spellStart"/>
      <w:r w:rsidR="002B7EEB" w:rsidRPr="00580981">
        <w:rPr>
          <w:rFonts w:ascii="Garamond" w:hAnsi="Garamond"/>
          <w:sz w:val="20"/>
          <w:szCs w:val="20"/>
        </w:rPr>
        <w:t>Sandër</w:t>
      </w:r>
      <w:proofErr w:type="spellEnd"/>
      <w:r w:rsidR="002B7EEB" w:rsidRPr="00580981">
        <w:rPr>
          <w:rFonts w:ascii="Garamond" w:hAnsi="Garamond"/>
          <w:sz w:val="20"/>
          <w:szCs w:val="20"/>
        </w:rPr>
        <w:t xml:space="preserve"> Beci, bazuar edhe në jurisprudencën kushtetuese sipas së cilës </w:t>
      </w:r>
      <w:proofErr w:type="spellStart"/>
      <w:r w:rsidR="002B7EEB" w:rsidRPr="00580981">
        <w:rPr>
          <w:rFonts w:ascii="Garamond" w:hAnsi="Garamond"/>
          <w:sz w:val="20"/>
          <w:szCs w:val="20"/>
        </w:rPr>
        <w:t>mospasqyrimi</w:t>
      </w:r>
      <w:proofErr w:type="spellEnd"/>
      <w:r w:rsidR="002B7EEB" w:rsidRPr="00580981">
        <w:rPr>
          <w:rFonts w:ascii="Garamond" w:hAnsi="Garamond"/>
          <w:sz w:val="20"/>
          <w:szCs w:val="20"/>
        </w:rPr>
        <w:t xml:space="preserve"> në pjesën hyrëse të vendimit të Gjykatës së Lartë i shkaqeve të parashtruara në shtesën e rekursit përbën cenim të standardit të arsyetimit të vendimit gjyqësor (</w:t>
      </w:r>
      <w:r w:rsidR="002B7EEB" w:rsidRPr="00580981">
        <w:rPr>
          <w:rFonts w:ascii="Garamond" w:hAnsi="Garamond"/>
          <w:i/>
          <w:iCs/>
          <w:sz w:val="20"/>
          <w:szCs w:val="20"/>
        </w:rPr>
        <w:t>shih</w:t>
      </w:r>
      <w:r w:rsidR="002B7EEB" w:rsidRPr="00580981">
        <w:rPr>
          <w:rFonts w:ascii="Garamond" w:hAnsi="Garamond"/>
          <w:sz w:val="20"/>
          <w:szCs w:val="20"/>
        </w:rPr>
        <w:t xml:space="preserve"> </w:t>
      </w:r>
      <w:r w:rsidR="002B7EEB" w:rsidRPr="00580981">
        <w:rPr>
          <w:rFonts w:ascii="Garamond" w:hAnsi="Garamond"/>
          <w:i/>
          <w:iCs/>
          <w:sz w:val="20"/>
          <w:szCs w:val="20"/>
        </w:rPr>
        <w:t>vendimet nr. 77, datë 5.11.2024; nr. 19, datë 7.7.2022 të Gjykatës Kushtetuese</w:t>
      </w:r>
      <w:r w:rsidR="002B7EEB" w:rsidRPr="00580981">
        <w:rPr>
          <w:rFonts w:ascii="Garamond" w:hAnsi="Garamond"/>
          <w:sz w:val="20"/>
          <w:szCs w:val="20"/>
        </w:rPr>
        <w:t xml:space="preserve">), mbajtën qëndrimin se Kolegji Penal i Gjykatës së Lartë duhet të pasqyronte në pjesën hyrëse të vendimit të tij edhe pretendimet e parashtruara nga kërkuesi në aktet e paraqitura përpara Gjykatës së Lartë </w:t>
      </w:r>
      <w:r w:rsidR="00B04651">
        <w:rPr>
          <w:rFonts w:ascii="Garamond" w:hAnsi="Garamond"/>
          <w:sz w:val="20"/>
          <w:szCs w:val="20"/>
        </w:rPr>
        <w:t>m</w:t>
      </w:r>
      <w:r w:rsidR="002B7EEB" w:rsidRPr="00580981">
        <w:rPr>
          <w:rFonts w:ascii="Garamond" w:hAnsi="Garamond"/>
          <w:sz w:val="20"/>
          <w:szCs w:val="20"/>
        </w:rPr>
        <w:t>ë datë 5.7.2024 për kundërshtimin e vendimeve të gjykatave më të ulëta.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6823" w:rsidRPr="009F1E15" w:rsidRDefault="00FC6823" w:rsidP="009F1E15">
    <w:pPr>
      <w:pStyle w:val="Header"/>
      <w:jc w:val="right"/>
      <w:rPr>
        <w: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D19D8"/>
    <w:multiLevelType w:val="multilevel"/>
    <w:tmpl w:val="AE14B3D4"/>
    <w:lvl w:ilvl="0">
      <w:start w:val="1"/>
      <w:numFmt w:val="decimal"/>
      <w:lvlText w:val="%1."/>
      <w:lvlJc w:val="left"/>
      <w:pPr>
        <w:ind w:left="1800" w:hanging="360"/>
      </w:pPr>
    </w:lvl>
    <w:lvl w:ilvl="1">
      <w:start w:val="1"/>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2" w15:restartNumberingAfterBreak="0">
    <w:nsid w:val="0FE5690A"/>
    <w:multiLevelType w:val="multilevel"/>
    <w:tmpl w:val="3170018A"/>
    <w:lvl w:ilvl="0">
      <w:start w:val="14"/>
      <w:numFmt w:val="decimal"/>
      <w:lvlText w:val="%1."/>
      <w:lvlJc w:val="left"/>
      <w:pPr>
        <w:ind w:left="480" w:hanging="480"/>
      </w:pPr>
      <w:rPr>
        <w:rFonts w:hint="default"/>
      </w:rPr>
    </w:lvl>
    <w:lvl w:ilvl="1">
      <w:start w:val="1"/>
      <w:numFmt w:val="decimal"/>
      <w:lvlText w:val="%1.%2."/>
      <w:lvlJc w:val="left"/>
      <w:pPr>
        <w:ind w:left="8940" w:hanging="480"/>
      </w:pPr>
      <w:rPr>
        <w:rFonts w:hint="default"/>
        <w:i w:val="0"/>
      </w:rPr>
    </w:lvl>
    <w:lvl w:ilvl="2">
      <w:start w:val="1"/>
      <w:numFmt w:val="decimal"/>
      <w:lvlText w:val="%1.%2.%3."/>
      <w:lvlJc w:val="left"/>
      <w:pPr>
        <w:ind w:left="17640" w:hanging="720"/>
      </w:pPr>
      <w:rPr>
        <w:rFonts w:hint="default"/>
      </w:rPr>
    </w:lvl>
    <w:lvl w:ilvl="3">
      <w:start w:val="1"/>
      <w:numFmt w:val="decimal"/>
      <w:lvlText w:val="%1.%2.%3.%4."/>
      <w:lvlJc w:val="left"/>
      <w:pPr>
        <w:ind w:left="26100" w:hanging="720"/>
      </w:pPr>
      <w:rPr>
        <w:rFonts w:hint="default"/>
      </w:rPr>
    </w:lvl>
    <w:lvl w:ilvl="4">
      <w:start w:val="1"/>
      <w:numFmt w:val="decimal"/>
      <w:lvlText w:val="%1.%2.%3.%4.%5."/>
      <w:lvlJc w:val="left"/>
      <w:pPr>
        <w:ind w:left="-30616" w:hanging="1080"/>
      </w:pPr>
      <w:rPr>
        <w:rFonts w:hint="default"/>
      </w:rPr>
    </w:lvl>
    <w:lvl w:ilvl="5">
      <w:start w:val="1"/>
      <w:numFmt w:val="decimal"/>
      <w:lvlText w:val="%1.%2.%3.%4.%5.%6."/>
      <w:lvlJc w:val="left"/>
      <w:pPr>
        <w:ind w:left="-22156" w:hanging="1080"/>
      </w:pPr>
      <w:rPr>
        <w:rFonts w:hint="default"/>
      </w:rPr>
    </w:lvl>
    <w:lvl w:ilvl="6">
      <w:start w:val="1"/>
      <w:numFmt w:val="decimal"/>
      <w:lvlText w:val="%1.%2.%3.%4.%5.%6.%7."/>
      <w:lvlJc w:val="left"/>
      <w:pPr>
        <w:ind w:left="-13336" w:hanging="1440"/>
      </w:pPr>
      <w:rPr>
        <w:rFonts w:hint="default"/>
      </w:rPr>
    </w:lvl>
    <w:lvl w:ilvl="7">
      <w:start w:val="1"/>
      <w:numFmt w:val="decimal"/>
      <w:lvlText w:val="%1.%2.%3.%4.%5.%6.%7.%8."/>
      <w:lvlJc w:val="left"/>
      <w:pPr>
        <w:ind w:left="-4876" w:hanging="1440"/>
      </w:pPr>
      <w:rPr>
        <w:rFonts w:hint="default"/>
      </w:rPr>
    </w:lvl>
    <w:lvl w:ilvl="8">
      <w:start w:val="1"/>
      <w:numFmt w:val="decimal"/>
      <w:lvlText w:val="%1.%2.%3.%4.%5.%6.%7.%8.%9."/>
      <w:lvlJc w:val="left"/>
      <w:pPr>
        <w:ind w:left="3944" w:hanging="1800"/>
      </w:pPr>
      <w:rPr>
        <w:rFonts w:hint="default"/>
      </w:rPr>
    </w:lvl>
  </w:abstractNum>
  <w:abstractNum w:abstractNumId="3" w15:restartNumberingAfterBreak="0">
    <w:nsid w:val="11F465EA"/>
    <w:multiLevelType w:val="multilevel"/>
    <w:tmpl w:val="296A21E6"/>
    <w:lvl w:ilvl="0">
      <w:start w:val="9"/>
      <w:numFmt w:val="decimal"/>
      <w:lvlText w:val="%1."/>
      <w:lvlJc w:val="left"/>
      <w:pPr>
        <w:ind w:left="360" w:hanging="360"/>
      </w:pPr>
      <w:rPr>
        <w:rFonts w:eastAsia="Calibri" w:hint="default"/>
        <w:i w:val="0"/>
        <w:color w:val="auto"/>
      </w:rPr>
    </w:lvl>
    <w:lvl w:ilvl="1">
      <w:start w:val="1"/>
      <w:numFmt w:val="decimal"/>
      <w:lvlText w:val="%1.%2."/>
      <w:lvlJc w:val="left"/>
      <w:pPr>
        <w:ind w:left="1080" w:hanging="360"/>
      </w:pPr>
      <w:rPr>
        <w:rFonts w:eastAsia="Calibri" w:hint="default"/>
        <w:i w:val="0"/>
      </w:rPr>
    </w:lvl>
    <w:lvl w:ilvl="2">
      <w:start w:val="1"/>
      <w:numFmt w:val="decimal"/>
      <w:lvlText w:val="%1.%2.%3."/>
      <w:lvlJc w:val="left"/>
      <w:pPr>
        <w:ind w:left="2160" w:hanging="720"/>
      </w:pPr>
      <w:rPr>
        <w:rFonts w:eastAsia="Calibri" w:hint="default"/>
        <w:i w:val="0"/>
      </w:rPr>
    </w:lvl>
    <w:lvl w:ilvl="3">
      <w:start w:val="1"/>
      <w:numFmt w:val="decimal"/>
      <w:lvlText w:val="%1.%2.%3.%4."/>
      <w:lvlJc w:val="left"/>
      <w:pPr>
        <w:ind w:left="2880" w:hanging="720"/>
      </w:pPr>
      <w:rPr>
        <w:rFonts w:eastAsia="Calibri" w:hint="default"/>
        <w:i/>
      </w:rPr>
    </w:lvl>
    <w:lvl w:ilvl="4">
      <w:start w:val="1"/>
      <w:numFmt w:val="decimal"/>
      <w:lvlText w:val="%1.%2.%3.%4.%5."/>
      <w:lvlJc w:val="left"/>
      <w:pPr>
        <w:ind w:left="3960" w:hanging="1080"/>
      </w:pPr>
      <w:rPr>
        <w:rFonts w:eastAsia="Calibri" w:hint="default"/>
        <w:i/>
      </w:rPr>
    </w:lvl>
    <w:lvl w:ilvl="5">
      <w:start w:val="1"/>
      <w:numFmt w:val="decimal"/>
      <w:lvlText w:val="%1.%2.%3.%4.%5.%6."/>
      <w:lvlJc w:val="left"/>
      <w:pPr>
        <w:ind w:left="4680" w:hanging="1080"/>
      </w:pPr>
      <w:rPr>
        <w:rFonts w:eastAsia="Calibri" w:hint="default"/>
        <w:i/>
      </w:rPr>
    </w:lvl>
    <w:lvl w:ilvl="6">
      <w:start w:val="1"/>
      <w:numFmt w:val="decimal"/>
      <w:lvlText w:val="%1.%2.%3.%4.%5.%6.%7."/>
      <w:lvlJc w:val="left"/>
      <w:pPr>
        <w:ind w:left="5760" w:hanging="1440"/>
      </w:pPr>
      <w:rPr>
        <w:rFonts w:eastAsia="Calibri" w:hint="default"/>
        <w:i/>
      </w:rPr>
    </w:lvl>
    <w:lvl w:ilvl="7">
      <w:start w:val="1"/>
      <w:numFmt w:val="decimal"/>
      <w:lvlText w:val="%1.%2.%3.%4.%5.%6.%7.%8."/>
      <w:lvlJc w:val="left"/>
      <w:pPr>
        <w:ind w:left="6480" w:hanging="1440"/>
      </w:pPr>
      <w:rPr>
        <w:rFonts w:eastAsia="Calibri" w:hint="default"/>
        <w:i/>
      </w:rPr>
    </w:lvl>
    <w:lvl w:ilvl="8">
      <w:start w:val="1"/>
      <w:numFmt w:val="decimal"/>
      <w:lvlText w:val="%1.%2.%3.%4.%5.%6.%7.%8.%9."/>
      <w:lvlJc w:val="left"/>
      <w:pPr>
        <w:ind w:left="7560" w:hanging="1800"/>
      </w:pPr>
      <w:rPr>
        <w:rFonts w:eastAsia="Calibri" w:hint="default"/>
        <w:i/>
      </w:rPr>
    </w:lvl>
  </w:abstractNum>
  <w:abstractNum w:abstractNumId="4"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2160"/>
        </w:tabs>
        <w:ind w:left="216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5E657CD"/>
    <w:multiLevelType w:val="hybridMultilevel"/>
    <w:tmpl w:val="D66A2C80"/>
    <w:lvl w:ilvl="0" w:tplc="5428D9AE">
      <w:start w:val="1"/>
      <w:numFmt w:val="decimal"/>
      <w:lvlText w:val="%1."/>
      <w:lvlJc w:val="left"/>
      <w:pPr>
        <w:ind w:left="720" w:hanging="360"/>
      </w:pPr>
      <w:rPr>
        <w:rFonts w:ascii="Times New Roman" w:eastAsiaTheme="minorHAnsi" w:hAnsi="Times New Roman" w:cstheme="minorBidi"/>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95820"/>
    <w:multiLevelType w:val="multilevel"/>
    <w:tmpl w:val="7158A120"/>
    <w:lvl w:ilvl="0">
      <w:start w:val="10"/>
      <w:numFmt w:val="decimal"/>
      <w:lvlText w:val="%1."/>
      <w:lvlJc w:val="left"/>
      <w:pPr>
        <w:ind w:left="4980" w:hanging="480"/>
      </w:pPr>
      <w:rPr>
        <w:rFonts w:hint="default"/>
        <w:i w:val="0"/>
        <w:color w:val="auto"/>
      </w:rPr>
    </w:lvl>
    <w:lvl w:ilvl="1">
      <w:start w:val="1"/>
      <w:numFmt w:val="decimal"/>
      <w:lvlText w:val="%1.%2."/>
      <w:lvlJc w:val="left"/>
      <w:pPr>
        <w:ind w:left="3090" w:hanging="48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6750" w:hanging="720"/>
      </w:pPr>
      <w:rPr>
        <w:rFonts w:hint="default"/>
      </w:rPr>
    </w:lvl>
    <w:lvl w:ilvl="4">
      <w:start w:val="1"/>
      <w:numFmt w:val="decimal"/>
      <w:lvlText w:val="%1.%2.%3.%4.%5."/>
      <w:lvlJc w:val="left"/>
      <w:pPr>
        <w:ind w:left="8820" w:hanging="1080"/>
      </w:pPr>
      <w:rPr>
        <w:rFonts w:hint="default"/>
      </w:rPr>
    </w:lvl>
    <w:lvl w:ilvl="5">
      <w:start w:val="1"/>
      <w:numFmt w:val="decimal"/>
      <w:lvlText w:val="%1.%2.%3.%4.%5.%6."/>
      <w:lvlJc w:val="left"/>
      <w:pPr>
        <w:ind w:left="10530" w:hanging="1080"/>
      </w:pPr>
      <w:rPr>
        <w:rFonts w:hint="default"/>
      </w:rPr>
    </w:lvl>
    <w:lvl w:ilvl="6">
      <w:start w:val="1"/>
      <w:numFmt w:val="decimal"/>
      <w:lvlText w:val="%1.%2.%3.%4.%5.%6.%7."/>
      <w:lvlJc w:val="left"/>
      <w:pPr>
        <w:ind w:left="12600" w:hanging="1440"/>
      </w:pPr>
      <w:rPr>
        <w:rFonts w:hint="default"/>
      </w:rPr>
    </w:lvl>
    <w:lvl w:ilvl="7">
      <w:start w:val="1"/>
      <w:numFmt w:val="decimal"/>
      <w:lvlText w:val="%1.%2.%3.%4.%5.%6.%7.%8."/>
      <w:lvlJc w:val="left"/>
      <w:pPr>
        <w:ind w:left="14310" w:hanging="1440"/>
      </w:pPr>
      <w:rPr>
        <w:rFonts w:hint="default"/>
      </w:rPr>
    </w:lvl>
    <w:lvl w:ilvl="8">
      <w:start w:val="1"/>
      <w:numFmt w:val="decimal"/>
      <w:lvlText w:val="%1.%2.%3.%4.%5.%6.%7.%8.%9."/>
      <w:lvlJc w:val="left"/>
      <w:pPr>
        <w:ind w:left="16380" w:hanging="1800"/>
      </w:pPr>
      <w:rPr>
        <w:rFonts w:hint="default"/>
      </w:rPr>
    </w:lvl>
  </w:abstractNum>
  <w:abstractNum w:abstractNumId="7" w15:restartNumberingAfterBreak="0">
    <w:nsid w:val="1E2070A5"/>
    <w:multiLevelType w:val="multilevel"/>
    <w:tmpl w:val="81AAEB24"/>
    <w:lvl w:ilvl="0">
      <w:start w:val="14"/>
      <w:numFmt w:val="decimal"/>
      <w:lvlText w:val="%1."/>
      <w:lvlJc w:val="left"/>
      <w:pPr>
        <w:ind w:left="282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FD215E8"/>
    <w:multiLevelType w:val="multilevel"/>
    <w:tmpl w:val="1B60B99E"/>
    <w:lvl w:ilvl="0">
      <w:start w:val="13"/>
      <w:numFmt w:val="decimal"/>
      <w:lvlText w:val="%1."/>
      <w:lvlJc w:val="left"/>
      <w:pPr>
        <w:ind w:left="480" w:hanging="480"/>
      </w:pPr>
      <w:rPr>
        <w:rFonts w:hint="default"/>
        <w:i w:val="0"/>
      </w:rPr>
    </w:lvl>
    <w:lvl w:ilvl="1">
      <w:start w:val="1"/>
      <w:numFmt w:val="decimal"/>
      <w:lvlText w:val="%1.%2."/>
      <w:lvlJc w:val="left"/>
      <w:pPr>
        <w:ind w:left="1110" w:hanging="48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9" w15:restartNumberingAfterBreak="0">
    <w:nsid w:val="49700C7C"/>
    <w:multiLevelType w:val="multilevel"/>
    <w:tmpl w:val="CDB8CA78"/>
    <w:lvl w:ilvl="0">
      <w:start w:val="9"/>
      <w:numFmt w:val="decimal"/>
      <w:lvlText w:val="%1."/>
      <w:lvlJc w:val="left"/>
      <w:pPr>
        <w:ind w:left="36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10" w15:restartNumberingAfterBreak="0">
    <w:nsid w:val="52096A8E"/>
    <w:multiLevelType w:val="hybridMultilevel"/>
    <w:tmpl w:val="84702E5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6524B4F"/>
    <w:multiLevelType w:val="multilevel"/>
    <w:tmpl w:val="60423872"/>
    <w:lvl w:ilvl="0">
      <w:start w:val="1"/>
      <w:numFmt w:val="decimal"/>
      <w:lvlText w:val="%1."/>
      <w:lvlJc w:val="left"/>
      <w:pPr>
        <w:ind w:left="360" w:hanging="360"/>
      </w:pPr>
      <w:rPr>
        <w:b w:val="0"/>
        <w:i w:val="0"/>
      </w:rPr>
    </w:lvl>
    <w:lvl w:ilvl="1">
      <w:start w:val="1"/>
      <w:numFmt w:val="upperLetter"/>
      <w:lvlText w:val="%2)"/>
      <w:lvlJc w:val="left"/>
      <w:pPr>
        <w:ind w:left="792" w:hanging="432"/>
      </w:pPr>
      <w:rPr>
        <w:rFonts w:ascii="Times New Roman" w:eastAsia="MS Mincho" w:hAnsi="Times New Roman" w:cs="Times New Roman"/>
        <w: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03C309F"/>
    <w:multiLevelType w:val="multilevel"/>
    <w:tmpl w:val="123030E0"/>
    <w:lvl w:ilvl="0">
      <w:start w:val="7"/>
      <w:numFmt w:val="decimal"/>
      <w:lvlText w:val="%1"/>
      <w:lvlJc w:val="left"/>
      <w:pPr>
        <w:ind w:left="4590" w:hanging="360"/>
      </w:pPr>
      <w:rPr>
        <w:rFonts w:eastAsia="Times New Roman" w:hint="default"/>
        <w:i/>
      </w:rPr>
    </w:lvl>
    <w:lvl w:ilvl="1">
      <w:start w:val="1"/>
      <w:numFmt w:val="decimal"/>
      <w:lvlText w:val="%1.%2"/>
      <w:lvlJc w:val="left"/>
      <w:pPr>
        <w:ind w:left="4950" w:hanging="360"/>
      </w:pPr>
      <w:rPr>
        <w:rFonts w:eastAsia="Times New Roman" w:hint="default"/>
        <w:i w:val="0"/>
      </w:rPr>
    </w:lvl>
    <w:lvl w:ilvl="2">
      <w:start w:val="1"/>
      <w:numFmt w:val="decimal"/>
      <w:lvlText w:val="%1.%2.%3"/>
      <w:lvlJc w:val="left"/>
      <w:pPr>
        <w:ind w:left="5670" w:hanging="720"/>
      </w:pPr>
      <w:rPr>
        <w:rFonts w:eastAsia="Times New Roman" w:hint="default"/>
        <w:i/>
      </w:rPr>
    </w:lvl>
    <w:lvl w:ilvl="3">
      <w:start w:val="1"/>
      <w:numFmt w:val="decimal"/>
      <w:lvlText w:val="%1.%2.%3.%4"/>
      <w:lvlJc w:val="left"/>
      <w:pPr>
        <w:ind w:left="6030" w:hanging="720"/>
      </w:pPr>
      <w:rPr>
        <w:rFonts w:eastAsia="Times New Roman" w:hint="default"/>
        <w:i/>
      </w:rPr>
    </w:lvl>
    <w:lvl w:ilvl="4">
      <w:start w:val="1"/>
      <w:numFmt w:val="decimal"/>
      <w:lvlText w:val="%1.%2.%3.%4.%5"/>
      <w:lvlJc w:val="left"/>
      <w:pPr>
        <w:ind w:left="6750" w:hanging="1080"/>
      </w:pPr>
      <w:rPr>
        <w:rFonts w:eastAsia="Times New Roman" w:hint="default"/>
        <w:i/>
      </w:rPr>
    </w:lvl>
    <w:lvl w:ilvl="5">
      <w:start w:val="1"/>
      <w:numFmt w:val="decimal"/>
      <w:lvlText w:val="%1.%2.%3.%4.%5.%6"/>
      <w:lvlJc w:val="left"/>
      <w:pPr>
        <w:ind w:left="7110" w:hanging="1080"/>
      </w:pPr>
      <w:rPr>
        <w:rFonts w:eastAsia="Times New Roman" w:hint="default"/>
        <w:i/>
      </w:rPr>
    </w:lvl>
    <w:lvl w:ilvl="6">
      <w:start w:val="1"/>
      <w:numFmt w:val="decimal"/>
      <w:lvlText w:val="%1.%2.%3.%4.%5.%6.%7"/>
      <w:lvlJc w:val="left"/>
      <w:pPr>
        <w:ind w:left="7830" w:hanging="1440"/>
      </w:pPr>
      <w:rPr>
        <w:rFonts w:eastAsia="Times New Roman" w:hint="default"/>
        <w:i/>
      </w:rPr>
    </w:lvl>
    <w:lvl w:ilvl="7">
      <w:start w:val="1"/>
      <w:numFmt w:val="decimal"/>
      <w:lvlText w:val="%1.%2.%3.%4.%5.%6.%7.%8"/>
      <w:lvlJc w:val="left"/>
      <w:pPr>
        <w:ind w:left="8190" w:hanging="1440"/>
      </w:pPr>
      <w:rPr>
        <w:rFonts w:eastAsia="Times New Roman" w:hint="default"/>
        <w:i/>
      </w:rPr>
    </w:lvl>
    <w:lvl w:ilvl="8">
      <w:start w:val="1"/>
      <w:numFmt w:val="decimal"/>
      <w:lvlText w:val="%1.%2.%3.%4.%5.%6.%7.%8.%9"/>
      <w:lvlJc w:val="left"/>
      <w:pPr>
        <w:ind w:left="8910" w:hanging="1800"/>
      </w:pPr>
      <w:rPr>
        <w:rFonts w:eastAsia="Times New Roman" w:hint="default"/>
        <w:i/>
      </w:rPr>
    </w:lvl>
  </w:abstractNum>
  <w:abstractNum w:abstractNumId="14" w15:restartNumberingAfterBreak="0">
    <w:nsid w:val="66CB537F"/>
    <w:multiLevelType w:val="multilevel"/>
    <w:tmpl w:val="31665D72"/>
    <w:lvl w:ilvl="0">
      <w:start w:val="6"/>
      <w:numFmt w:val="decimal"/>
      <w:lvlText w:val="%1."/>
      <w:lvlJc w:val="left"/>
      <w:pPr>
        <w:ind w:left="6300" w:hanging="360"/>
      </w:pPr>
      <w:rPr>
        <w:rFonts w:hint="default"/>
        <w:i w:val="0"/>
        <w:color w:val="auto"/>
      </w:rPr>
    </w:lvl>
    <w:lvl w:ilvl="1">
      <w:start w:val="1"/>
      <w:numFmt w:val="decimal"/>
      <w:lvlText w:val="%1.%2."/>
      <w:lvlJc w:val="left"/>
      <w:pPr>
        <w:ind w:left="6300" w:hanging="360"/>
      </w:pPr>
      <w:rPr>
        <w:rFonts w:hint="default"/>
        <w:i w:val="0"/>
        <w:color w:val="auto"/>
      </w:rPr>
    </w:lvl>
    <w:lvl w:ilvl="2">
      <w:start w:val="1"/>
      <w:numFmt w:val="decimal"/>
      <w:lvlText w:val="%1.%2.%3."/>
      <w:lvlJc w:val="left"/>
      <w:pPr>
        <w:ind w:left="12600" w:hanging="720"/>
      </w:pPr>
      <w:rPr>
        <w:rFonts w:hint="default"/>
        <w:i/>
      </w:rPr>
    </w:lvl>
    <w:lvl w:ilvl="3">
      <w:start w:val="1"/>
      <w:numFmt w:val="decimal"/>
      <w:lvlText w:val="%1.%2.%3.%4."/>
      <w:lvlJc w:val="left"/>
      <w:pPr>
        <w:ind w:left="18540" w:hanging="720"/>
      </w:pPr>
      <w:rPr>
        <w:rFonts w:hint="default"/>
        <w:i/>
      </w:rPr>
    </w:lvl>
    <w:lvl w:ilvl="4">
      <w:start w:val="1"/>
      <w:numFmt w:val="decimal"/>
      <w:lvlText w:val="%1.%2.%3.%4.%5."/>
      <w:lvlJc w:val="left"/>
      <w:pPr>
        <w:ind w:left="24840" w:hanging="1080"/>
      </w:pPr>
      <w:rPr>
        <w:rFonts w:hint="default"/>
        <w:i/>
      </w:rPr>
    </w:lvl>
    <w:lvl w:ilvl="5">
      <w:start w:val="1"/>
      <w:numFmt w:val="decimal"/>
      <w:lvlText w:val="%1.%2.%3.%4.%5.%6."/>
      <w:lvlJc w:val="left"/>
      <w:pPr>
        <w:ind w:left="30780" w:hanging="1080"/>
      </w:pPr>
      <w:rPr>
        <w:rFonts w:hint="default"/>
        <w:i/>
      </w:rPr>
    </w:lvl>
    <w:lvl w:ilvl="6">
      <w:start w:val="1"/>
      <w:numFmt w:val="decimal"/>
      <w:lvlText w:val="%1.%2.%3.%4.%5.%6.%7."/>
      <w:lvlJc w:val="left"/>
      <w:pPr>
        <w:ind w:left="-28456" w:hanging="1440"/>
      </w:pPr>
      <w:rPr>
        <w:rFonts w:hint="default"/>
        <w:i/>
      </w:rPr>
    </w:lvl>
    <w:lvl w:ilvl="7">
      <w:start w:val="1"/>
      <w:numFmt w:val="decimal"/>
      <w:lvlText w:val="%1.%2.%3.%4.%5.%6.%7.%8."/>
      <w:lvlJc w:val="left"/>
      <w:pPr>
        <w:ind w:left="-22516" w:hanging="1440"/>
      </w:pPr>
      <w:rPr>
        <w:rFonts w:hint="default"/>
        <w:i/>
      </w:rPr>
    </w:lvl>
    <w:lvl w:ilvl="8">
      <w:start w:val="1"/>
      <w:numFmt w:val="decimal"/>
      <w:lvlText w:val="%1.%2.%3.%4.%5.%6.%7.%8.%9."/>
      <w:lvlJc w:val="left"/>
      <w:pPr>
        <w:ind w:left="-16216" w:hanging="1800"/>
      </w:pPr>
      <w:rPr>
        <w:rFonts w:hint="default"/>
        <w:i/>
      </w:rPr>
    </w:lvl>
  </w:abstractNum>
  <w:abstractNum w:abstractNumId="15" w15:restartNumberingAfterBreak="0">
    <w:nsid w:val="673B17AB"/>
    <w:multiLevelType w:val="multilevel"/>
    <w:tmpl w:val="5DB0ABF2"/>
    <w:lvl w:ilvl="0">
      <w:start w:val="7"/>
      <w:numFmt w:val="decimal"/>
      <w:lvlText w:val="%1."/>
      <w:lvlJc w:val="left"/>
      <w:pPr>
        <w:ind w:left="5940" w:hanging="360"/>
      </w:pPr>
      <w:rPr>
        <w:rFonts w:hint="default"/>
        <w:b w:val="0"/>
        <w:i w:val="0"/>
      </w:rPr>
    </w:lvl>
    <w:lvl w:ilvl="1">
      <w:start w:val="1"/>
      <w:numFmt w:val="decimal"/>
      <w:lvlText w:val="%1.%2."/>
      <w:lvlJc w:val="left"/>
      <w:pPr>
        <w:ind w:left="4860" w:hanging="360"/>
      </w:pPr>
      <w:rPr>
        <w:rFonts w:hint="default"/>
      </w:rPr>
    </w:lvl>
    <w:lvl w:ilvl="2">
      <w:start w:val="1"/>
      <w:numFmt w:val="decimal"/>
      <w:lvlText w:val="%1.%2.%3."/>
      <w:lvlJc w:val="left"/>
      <w:pPr>
        <w:ind w:left="585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7470" w:hanging="1080"/>
      </w:pPr>
      <w:rPr>
        <w:rFonts w:hint="default"/>
      </w:rPr>
    </w:lvl>
    <w:lvl w:ilvl="5">
      <w:start w:val="1"/>
      <w:numFmt w:val="decimal"/>
      <w:lvlText w:val="%1.%2.%3.%4.%5.%6."/>
      <w:lvlJc w:val="left"/>
      <w:pPr>
        <w:ind w:left="8100"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9720" w:hanging="1440"/>
      </w:pPr>
      <w:rPr>
        <w:rFonts w:hint="default"/>
      </w:rPr>
    </w:lvl>
    <w:lvl w:ilvl="8">
      <w:start w:val="1"/>
      <w:numFmt w:val="decimal"/>
      <w:lvlText w:val="%1.%2.%3.%4.%5.%6.%7.%8.%9."/>
      <w:lvlJc w:val="left"/>
      <w:pPr>
        <w:ind w:left="10710" w:hanging="1800"/>
      </w:pPr>
      <w:rPr>
        <w:rFonts w:hint="default"/>
      </w:rPr>
    </w:lvl>
  </w:abstractNum>
  <w:abstractNum w:abstractNumId="16" w15:restartNumberingAfterBreak="0">
    <w:nsid w:val="675E4D85"/>
    <w:multiLevelType w:val="multilevel"/>
    <w:tmpl w:val="B51EE1B6"/>
    <w:lvl w:ilvl="0">
      <w:start w:val="12"/>
      <w:numFmt w:val="decimal"/>
      <w:lvlText w:val="%1."/>
      <w:lvlJc w:val="left"/>
      <w:pPr>
        <w:ind w:left="597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CCF1025"/>
    <w:multiLevelType w:val="multilevel"/>
    <w:tmpl w:val="81AAEB24"/>
    <w:lvl w:ilvl="0">
      <w:start w:val="14"/>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FF8254B"/>
    <w:multiLevelType w:val="hybridMultilevel"/>
    <w:tmpl w:val="9632675E"/>
    <w:lvl w:ilvl="0" w:tplc="EDA6BFEE">
      <w:start w:val="1"/>
      <w:numFmt w:val="upperLetter"/>
      <w:lvlText w:val="%1."/>
      <w:lvlJc w:val="left"/>
      <w:pPr>
        <w:ind w:left="1260" w:hanging="360"/>
      </w:pPr>
      <w:rPr>
        <w:rFonts w:hint="default"/>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11"/>
  </w:num>
  <w:num w:numId="2">
    <w:abstractNumId w:val="10"/>
  </w:num>
  <w:num w:numId="3">
    <w:abstractNumId w:val="13"/>
  </w:num>
  <w:num w:numId="4">
    <w:abstractNumId w:val="4"/>
  </w:num>
  <w:num w:numId="5">
    <w:abstractNumId w:val="2"/>
  </w:num>
  <w:num w:numId="6">
    <w:abstractNumId w:val="7"/>
  </w:num>
  <w:num w:numId="7">
    <w:abstractNumId w:val="15"/>
  </w:num>
  <w:num w:numId="8">
    <w:abstractNumId w:val="0"/>
  </w:num>
  <w:num w:numId="9">
    <w:abstractNumId w:val="1"/>
  </w:num>
  <w:num w:numId="10">
    <w:abstractNumId w:val="8"/>
  </w:num>
  <w:num w:numId="11">
    <w:abstractNumId w:val="18"/>
  </w:num>
  <w:num w:numId="12">
    <w:abstractNumId w:val="9"/>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7"/>
  </w:num>
  <w:num w:numId="16">
    <w:abstractNumId w:val="16"/>
  </w:num>
  <w:num w:numId="17">
    <w:abstractNumId w:val="3"/>
  </w:num>
  <w:num w:numId="18">
    <w:abstractNumId w:val="12"/>
  </w:num>
  <w:num w:numId="19">
    <w:abstractNumId w:val="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045F"/>
    <w:rsid w:val="00000F83"/>
    <w:rsid w:val="000010E1"/>
    <w:rsid w:val="00001183"/>
    <w:rsid w:val="00001D01"/>
    <w:rsid w:val="00002387"/>
    <w:rsid w:val="000034B3"/>
    <w:rsid w:val="000038E0"/>
    <w:rsid w:val="000040C4"/>
    <w:rsid w:val="00004646"/>
    <w:rsid w:val="000046FE"/>
    <w:rsid w:val="0000523B"/>
    <w:rsid w:val="00006943"/>
    <w:rsid w:val="00006BDF"/>
    <w:rsid w:val="00006FCC"/>
    <w:rsid w:val="00010A00"/>
    <w:rsid w:val="0001130B"/>
    <w:rsid w:val="000116DF"/>
    <w:rsid w:val="00011F60"/>
    <w:rsid w:val="00014227"/>
    <w:rsid w:val="00017E3F"/>
    <w:rsid w:val="00020042"/>
    <w:rsid w:val="00020148"/>
    <w:rsid w:val="000221CD"/>
    <w:rsid w:val="0002244C"/>
    <w:rsid w:val="000229A9"/>
    <w:rsid w:val="00023DE1"/>
    <w:rsid w:val="0002468E"/>
    <w:rsid w:val="000246ED"/>
    <w:rsid w:val="00026385"/>
    <w:rsid w:val="00026533"/>
    <w:rsid w:val="00026694"/>
    <w:rsid w:val="00026B9C"/>
    <w:rsid w:val="00027444"/>
    <w:rsid w:val="00027694"/>
    <w:rsid w:val="00027908"/>
    <w:rsid w:val="00030576"/>
    <w:rsid w:val="00030BAF"/>
    <w:rsid w:val="00031240"/>
    <w:rsid w:val="00032A6E"/>
    <w:rsid w:val="00033000"/>
    <w:rsid w:val="00033843"/>
    <w:rsid w:val="000338C3"/>
    <w:rsid w:val="000347DD"/>
    <w:rsid w:val="00034848"/>
    <w:rsid w:val="00034E70"/>
    <w:rsid w:val="00034ECC"/>
    <w:rsid w:val="00034F27"/>
    <w:rsid w:val="00035AB5"/>
    <w:rsid w:val="00035B77"/>
    <w:rsid w:val="00035EB4"/>
    <w:rsid w:val="000360DF"/>
    <w:rsid w:val="0003758C"/>
    <w:rsid w:val="00037AB1"/>
    <w:rsid w:val="00037AF0"/>
    <w:rsid w:val="00040AB6"/>
    <w:rsid w:val="00041051"/>
    <w:rsid w:val="00042356"/>
    <w:rsid w:val="000425CC"/>
    <w:rsid w:val="0004278E"/>
    <w:rsid w:val="00042DB5"/>
    <w:rsid w:val="00043358"/>
    <w:rsid w:val="0004537F"/>
    <w:rsid w:val="00045447"/>
    <w:rsid w:val="00045F65"/>
    <w:rsid w:val="00047B84"/>
    <w:rsid w:val="000503A4"/>
    <w:rsid w:val="000505AE"/>
    <w:rsid w:val="00051406"/>
    <w:rsid w:val="000517C0"/>
    <w:rsid w:val="00052552"/>
    <w:rsid w:val="00052909"/>
    <w:rsid w:val="00052CB9"/>
    <w:rsid w:val="00053C80"/>
    <w:rsid w:val="000546B7"/>
    <w:rsid w:val="0005549F"/>
    <w:rsid w:val="000556DF"/>
    <w:rsid w:val="00056CC1"/>
    <w:rsid w:val="00056CE2"/>
    <w:rsid w:val="00057831"/>
    <w:rsid w:val="00060746"/>
    <w:rsid w:val="00060D80"/>
    <w:rsid w:val="00063959"/>
    <w:rsid w:val="00064EAD"/>
    <w:rsid w:val="00066442"/>
    <w:rsid w:val="00066FDB"/>
    <w:rsid w:val="00070092"/>
    <w:rsid w:val="000709A0"/>
    <w:rsid w:val="00070E75"/>
    <w:rsid w:val="00071850"/>
    <w:rsid w:val="00071E25"/>
    <w:rsid w:val="00074737"/>
    <w:rsid w:val="00074E4F"/>
    <w:rsid w:val="0007544A"/>
    <w:rsid w:val="00075DBC"/>
    <w:rsid w:val="00076DCB"/>
    <w:rsid w:val="00076FD4"/>
    <w:rsid w:val="000809A6"/>
    <w:rsid w:val="00080CC1"/>
    <w:rsid w:val="0008131C"/>
    <w:rsid w:val="000821C0"/>
    <w:rsid w:val="0008419B"/>
    <w:rsid w:val="00084889"/>
    <w:rsid w:val="00084D6A"/>
    <w:rsid w:val="000858D7"/>
    <w:rsid w:val="000878B9"/>
    <w:rsid w:val="00087FBD"/>
    <w:rsid w:val="00091024"/>
    <w:rsid w:val="00091599"/>
    <w:rsid w:val="00091E17"/>
    <w:rsid w:val="000928C2"/>
    <w:rsid w:val="00092ABC"/>
    <w:rsid w:val="000937E1"/>
    <w:rsid w:val="000939C8"/>
    <w:rsid w:val="000939FF"/>
    <w:rsid w:val="00094743"/>
    <w:rsid w:val="000955E1"/>
    <w:rsid w:val="00095B9F"/>
    <w:rsid w:val="00095DDB"/>
    <w:rsid w:val="0009672A"/>
    <w:rsid w:val="00096EAF"/>
    <w:rsid w:val="00097058"/>
    <w:rsid w:val="00097B93"/>
    <w:rsid w:val="00097EF1"/>
    <w:rsid w:val="000A1147"/>
    <w:rsid w:val="000A1721"/>
    <w:rsid w:val="000A24C3"/>
    <w:rsid w:val="000A4EDE"/>
    <w:rsid w:val="000A513F"/>
    <w:rsid w:val="000A6537"/>
    <w:rsid w:val="000A7491"/>
    <w:rsid w:val="000A7F07"/>
    <w:rsid w:val="000B09E9"/>
    <w:rsid w:val="000B0BC6"/>
    <w:rsid w:val="000B1843"/>
    <w:rsid w:val="000B1D44"/>
    <w:rsid w:val="000B2222"/>
    <w:rsid w:val="000B4115"/>
    <w:rsid w:val="000B41DD"/>
    <w:rsid w:val="000B5658"/>
    <w:rsid w:val="000B76DB"/>
    <w:rsid w:val="000C0ACE"/>
    <w:rsid w:val="000C0D57"/>
    <w:rsid w:val="000C1476"/>
    <w:rsid w:val="000C2E53"/>
    <w:rsid w:val="000C2F14"/>
    <w:rsid w:val="000C38A7"/>
    <w:rsid w:val="000C3B64"/>
    <w:rsid w:val="000C3FF1"/>
    <w:rsid w:val="000C4230"/>
    <w:rsid w:val="000C4C2B"/>
    <w:rsid w:val="000C4E66"/>
    <w:rsid w:val="000C56F9"/>
    <w:rsid w:val="000C5AF0"/>
    <w:rsid w:val="000C6966"/>
    <w:rsid w:val="000C7883"/>
    <w:rsid w:val="000D04AC"/>
    <w:rsid w:val="000D1050"/>
    <w:rsid w:val="000D1381"/>
    <w:rsid w:val="000D17C1"/>
    <w:rsid w:val="000D489A"/>
    <w:rsid w:val="000D58E6"/>
    <w:rsid w:val="000D69AB"/>
    <w:rsid w:val="000E06AB"/>
    <w:rsid w:val="000E13AE"/>
    <w:rsid w:val="000E141A"/>
    <w:rsid w:val="000E1A0D"/>
    <w:rsid w:val="000E1ABB"/>
    <w:rsid w:val="000E2B91"/>
    <w:rsid w:val="000E449D"/>
    <w:rsid w:val="000E4914"/>
    <w:rsid w:val="000E51D3"/>
    <w:rsid w:val="000E5415"/>
    <w:rsid w:val="000E57F0"/>
    <w:rsid w:val="000E5BF0"/>
    <w:rsid w:val="000E617E"/>
    <w:rsid w:val="000F07C9"/>
    <w:rsid w:val="000F2A1C"/>
    <w:rsid w:val="000F2BFB"/>
    <w:rsid w:val="000F354E"/>
    <w:rsid w:val="000F74B0"/>
    <w:rsid w:val="000F75D9"/>
    <w:rsid w:val="000F794D"/>
    <w:rsid w:val="001010FF"/>
    <w:rsid w:val="001014ED"/>
    <w:rsid w:val="00102021"/>
    <w:rsid w:val="00103775"/>
    <w:rsid w:val="0010558E"/>
    <w:rsid w:val="0010570E"/>
    <w:rsid w:val="001061AA"/>
    <w:rsid w:val="00106434"/>
    <w:rsid w:val="001075AC"/>
    <w:rsid w:val="00107848"/>
    <w:rsid w:val="00107D3A"/>
    <w:rsid w:val="00107EFA"/>
    <w:rsid w:val="00107F17"/>
    <w:rsid w:val="00111E52"/>
    <w:rsid w:val="00111F15"/>
    <w:rsid w:val="00115806"/>
    <w:rsid w:val="0011584C"/>
    <w:rsid w:val="00115D9D"/>
    <w:rsid w:val="0011762F"/>
    <w:rsid w:val="00121428"/>
    <w:rsid w:val="0012403B"/>
    <w:rsid w:val="001246D2"/>
    <w:rsid w:val="0012563B"/>
    <w:rsid w:val="00125774"/>
    <w:rsid w:val="00125C20"/>
    <w:rsid w:val="0012655E"/>
    <w:rsid w:val="00126DE9"/>
    <w:rsid w:val="001271EE"/>
    <w:rsid w:val="0012782C"/>
    <w:rsid w:val="00130162"/>
    <w:rsid w:val="001308D6"/>
    <w:rsid w:val="00131ED8"/>
    <w:rsid w:val="00134C20"/>
    <w:rsid w:val="00134ECE"/>
    <w:rsid w:val="0013574D"/>
    <w:rsid w:val="001366B9"/>
    <w:rsid w:val="00137061"/>
    <w:rsid w:val="0013725B"/>
    <w:rsid w:val="001411DD"/>
    <w:rsid w:val="001420F7"/>
    <w:rsid w:val="001429A8"/>
    <w:rsid w:val="00142D32"/>
    <w:rsid w:val="001431C3"/>
    <w:rsid w:val="0014494D"/>
    <w:rsid w:val="00144F2A"/>
    <w:rsid w:val="0014578F"/>
    <w:rsid w:val="00145CEA"/>
    <w:rsid w:val="00145DCF"/>
    <w:rsid w:val="00146F97"/>
    <w:rsid w:val="00147CE3"/>
    <w:rsid w:val="001528E5"/>
    <w:rsid w:val="00152ED8"/>
    <w:rsid w:val="00152FE1"/>
    <w:rsid w:val="00153634"/>
    <w:rsid w:val="00153B34"/>
    <w:rsid w:val="0015563B"/>
    <w:rsid w:val="00156A42"/>
    <w:rsid w:val="0015714D"/>
    <w:rsid w:val="00160B75"/>
    <w:rsid w:val="001611ED"/>
    <w:rsid w:val="00161DB7"/>
    <w:rsid w:val="001629E6"/>
    <w:rsid w:val="001638A3"/>
    <w:rsid w:val="00164085"/>
    <w:rsid w:val="00164384"/>
    <w:rsid w:val="00166438"/>
    <w:rsid w:val="00167CA4"/>
    <w:rsid w:val="00170793"/>
    <w:rsid w:val="00170DB7"/>
    <w:rsid w:val="00170DD8"/>
    <w:rsid w:val="00173FDE"/>
    <w:rsid w:val="00175419"/>
    <w:rsid w:val="00175AB1"/>
    <w:rsid w:val="00176ADA"/>
    <w:rsid w:val="00176FC5"/>
    <w:rsid w:val="0017748E"/>
    <w:rsid w:val="001775E9"/>
    <w:rsid w:val="00180D5A"/>
    <w:rsid w:val="00181BFE"/>
    <w:rsid w:val="0018235C"/>
    <w:rsid w:val="001826AE"/>
    <w:rsid w:val="00182DF7"/>
    <w:rsid w:val="0018322B"/>
    <w:rsid w:val="00183A95"/>
    <w:rsid w:val="001844A1"/>
    <w:rsid w:val="00184600"/>
    <w:rsid w:val="001846A4"/>
    <w:rsid w:val="00184ACD"/>
    <w:rsid w:val="00184FDE"/>
    <w:rsid w:val="00185395"/>
    <w:rsid w:val="001853B9"/>
    <w:rsid w:val="0018611B"/>
    <w:rsid w:val="001862ED"/>
    <w:rsid w:val="0018675E"/>
    <w:rsid w:val="0019268F"/>
    <w:rsid w:val="00193764"/>
    <w:rsid w:val="0019541E"/>
    <w:rsid w:val="00195E8C"/>
    <w:rsid w:val="00195FC7"/>
    <w:rsid w:val="00196EDF"/>
    <w:rsid w:val="001974A8"/>
    <w:rsid w:val="00197720"/>
    <w:rsid w:val="001977F3"/>
    <w:rsid w:val="001A0887"/>
    <w:rsid w:val="001A0C14"/>
    <w:rsid w:val="001A0DB9"/>
    <w:rsid w:val="001A1426"/>
    <w:rsid w:val="001A340E"/>
    <w:rsid w:val="001A43F7"/>
    <w:rsid w:val="001A5A4F"/>
    <w:rsid w:val="001A6DB6"/>
    <w:rsid w:val="001A742D"/>
    <w:rsid w:val="001A75FE"/>
    <w:rsid w:val="001A76AD"/>
    <w:rsid w:val="001A7CBC"/>
    <w:rsid w:val="001B0120"/>
    <w:rsid w:val="001B0A7C"/>
    <w:rsid w:val="001B0DA5"/>
    <w:rsid w:val="001B0ECC"/>
    <w:rsid w:val="001B1EE7"/>
    <w:rsid w:val="001B1FBF"/>
    <w:rsid w:val="001B2789"/>
    <w:rsid w:val="001B2D01"/>
    <w:rsid w:val="001B30B5"/>
    <w:rsid w:val="001B3584"/>
    <w:rsid w:val="001B3F99"/>
    <w:rsid w:val="001B44C9"/>
    <w:rsid w:val="001B4B08"/>
    <w:rsid w:val="001B515A"/>
    <w:rsid w:val="001B5336"/>
    <w:rsid w:val="001B7563"/>
    <w:rsid w:val="001C0CB2"/>
    <w:rsid w:val="001C0EFE"/>
    <w:rsid w:val="001C10AB"/>
    <w:rsid w:val="001C2435"/>
    <w:rsid w:val="001C5D67"/>
    <w:rsid w:val="001C6E2A"/>
    <w:rsid w:val="001C7E68"/>
    <w:rsid w:val="001D08FE"/>
    <w:rsid w:val="001D0D93"/>
    <w:rsid w:val="001D1337"/>
    <w:rsid w:val="001D1883"/>
    <w:rsid w:val="001D1C89"/>
    <w:rsid w:val="001D2202"/>
    <w:rsid w:val="001D36FF"/>
    <w:rsid w:val="001D46D4"/>
    <w:rsid w:val="001D5469"/>
    <w:rsid w:val="001D5C53"/>
    <w:rsid w:val="001D7DF8"/>
    <w:rsid w:val="001E094A"/>
    <w:rsid w:val="001E0D2C"/>
    <w:rsid w:val="001E1359"/>
    <w:rsid w:val="001E1EF3"/>
    <w:rsid w:val="001E2D5A"/>
    <w:rsid w:val="001E3790"/>
    <w:rsid w:val="001E4486"/>
    <w:rsid w:val="001E48DD"/>
    <w:rsid w:val="001E4A6F"/>
    <w:rsid w:val="001E4DB4"/>
    <w:rsid w:val="001E4DB8"/>
    <w:rsid w:val="001E4EBC"/>
    <w:rsid w:val="001E52B3"/>
    <w:rsid w:val="001E6569"/>
    <w:rsid w:val="001E67C0"/>
    <w:rsid w:val="001F03EC"/>
    <w:rsid w:val="001F359B"/>
    <w:rsid w:val="001F38D4"/>
    <w:rsid w:val="001F4927"/>
    <w:rsid w:val="001F59E0"/>
    <w:rsid w:val="001F60D0"/>
    <w:rsid w:val="001F68C3"/>
    <w:rsid w:val="001F7321"/>
    <w:rsid w:val="001F7664"/>
    <w:rsid w:val="001F7B99"/>
    <w:rsid w:val="00200656"/>
    <w:rsid w:val="00200E6F"/>
    <w:rsid w:val="00201A56"/>
    <w:rsid w:val="00201CE9"/>
    <w:rsid w:val="002027DC"/>
    <w:rsid w:val="00203CDD"/>
    <w:rsid w:val="00205040"/>
    <w:rsid w:val="002057FA"/>
    <w:rsid w:val="00205B82"/>
    <w:rsid w:val="00206244"/>
    <w:rsid w:val="00206670"/>
    <w:rsid w:val="0020709B"/>
    <w:rsid w:val="002072BF"/>
    <w:rsid w:val="002103AA"/>
    <w:rsid w:val="002105CB"/>
    <w:rsid w:val="002109E6"/>
    <w:rsid w:val="00210CC9"/>
    <w:rsid w:val="00211B9B"/>
    <w:rsid w:val="00212AC0"/>
    <w:rsid w:val="00212F49"/>
    <w:rsid w:val="00214AF7"/>
    <w:rsid w:val="00215241"/>
    <w:rsid w:val="0021540D"/>
    <w:rsid w:val="00215EDC"/>
    <w:rsid w:val="00216780"/>
    <w:rsid w:val="0022035E"/>
    <w:rsid w:val="002208DF"/>
    <w:rsid w:val="00220B26"/>
    <w:rsid w:val="00220F63"/>
    <w:rsid w:val="0022124E"/>
    <w:rsid w:val="00222B37"/>
    <w:rsid w:val="00222DE8"/>
    <w:rsid w:val="00223703"/>
    <w:rsid w:val="00224254"/>
    <w:rsid w:val="0022482F"/>
    <w:rsid w:val="00224C06"/>
    <w:rsid w:val="0022595B"/>
    <w:rsid w:val="00226595"/>
    <w:rsid w:val="00226A54"/>
    <w:rsid w:val="002271ED"/>
    <w:rsid w:val="0022799B"/>
    <w:rsid w:val="00227FD9"/>
    <w:rsid w:val="0023004D"/>
    <w:rsid w:val="002302D4"/>
    <w:rsid w:val="002306D5"/>
    <w:rsid w:val="00231123"/>
    <w:rsid w:val="002315A2"/>
    <w:rsid w:val="00232CF7"/>
    <w:rsid w:val="002332CD"/>
    <w:rsid w:val="00233B1A"/>
    <w:rsid w:val="00233CC9"/>
    <w:rsid w:val="00234AE0"/>
    <w:rsid w:val="00235467"/>
    <w:rsid w:val="002363AB"/>
    <w:rsid w:val="00237321"/>
    <w:rsid w:val="00237861"/>
    <w:rsid w:val="00240203"/>
    <w:rsid w:val="00240769"/>
    <w:rsid w:val="002407A3"/>
    <w:rsid w:val="00241737"/>
    <w:rsid w:val="0024182D"/>
    <w:rsid w:val="002419C0"/>
    <w:rsid w:val="00242D09"/>
    <w:rsid w:val="00243C24"/>
    <w:rsid w:val="00243E40"/>
    <w:rsid w:val="00244545"/>
    <w:rsid w:val="0024661D"/>
    <w:rsid w:val="00246E3A"/>
    <w:rsid w:val="00251646"/>
    <w:rsid w:val="0025270B"/>
    <w:rsid w:val="002529BF"/>
    <w:rsid w:val="00252FF2"/>
    <w:rsid w:val="0025329E"/>
    <w:rsid w:val="00254017"/>
    <w:rsid w:val="0025464C"/>
    <w:rsid w:val="00254BE6"/>
    <w:rsid w:val="0025528B"/>
    <w:rsid w:val="002571C7"/>
    <w:rsid w:val="00257AAE"/>
    <w:rsid w:val="00257B63"/>
    <w:rsid w:val="00257D28"/>
    <w:rsid w:val="00260176"/>
    <w:rsid w:val="00260426"/>
    <w:rsid w:val="002611B0"/>
    <w:rsid w:val="00261A56"/>
    <w:rsid w:val="0026272E"/>
    <w:rsid w:val="00264179"/>
    <w:rsid w:val="00265339"/>
    <w:rsid w:val="00270318"/>
    <w:rsid w:val="00270333"/>
    <w:rsid w:val="002703C2"/>
    <w:rsid w:val="00270C56"/>
    <w:rsid w:val="00272821"/>
    <w:rsid w:val="00272E99"/>
    <w:rsid w:val="00273789"/>
    <w:rsid w:val="002737BA"/>
    <w:rsid w:val="002760E5"/>
    <w:rsid w:val="00276E90"/>
    <w:rsid w:val="0027714A"/>
    <w:rsid w:val="002774F1"/>
    <w:rsid w:val="00277B61"/>
    <w:rsid w:val="00277D0F"/>
    <w:rsid w:val="00280355"/>
    <w:rsid w:val="0028180F"/>
    <w:rsid w:val="0028202F"/>
    <w:rsid w:val="00282D44"/>
    <w:rsid w:val="0028362D"/>
    <w:rsid w:val="0028392B"/>
    <w:rsid w:val="0028397F"/>
    <w:rsid w:val="00284FF2"/>
    <w:rsid w:val="0028562F"/>
    <w:rsid w:val="00285E19"/>
    <w:rsid w:val="0028651A"/>
    <w:rsid w:val="00286A27"/>
    <w:rsid w:val="00286F4D"/>
    <w:rsid w:val="00287057"/>
    <w:rsid w:val="002876B7"/>
    <w:rsid w:val="002877EB"/>
    <w:rsid w:val="00287E4A"/>
    <w:rsid w:val="00290426"/>
    <w:rsid w:val="00290E4D"/>
    <w:rsid w:val="002917AD"/>
    <w:rsid w:val="002919CC"/>
    <w:rsid w:val="00292C14"/>
    <w:rsid w:val="00292D18"/>
    <w:rsid w:val="00293356"/>
    <w:rsid w:val="00293BC4"/>
    <w:rsid w:val="00293EA5"/>
    <w:rsid w:val="00295723"/>
    <w:rsid w:val="00295736"/>
    <w:rsid w:val="00296D2D"/>
    <w:rsid w:val="0029755D"/>
    <w:rsid w:val="0029791D"/>
    <w:rsid w:val="00297E11"/>
    <w:rsid w:val="002A0BF8"/>
    <w:rsid w:val="002A163C"/>
    <w:rsid w:val="002A376A"/>
    <w:rsid w:val="002A3BDD"/>
    <w:rsid w:val="002A44A4"/>
    <w:rsid w:val="002A44F4"/>
    <w:rsid w:val="002A472B"/>
    <w:rsid w:val="002A4B61"/>
    <w:rsid w:val="002A6604"/>
    <w:rsid w:val="002A7023"/>
    <w:rsid w:val="002A759D"/>
    <w:rsid w:val="002B0B19"/>
    <w:rsid w:val="002B0B42"/>
    <w:rsid w:val="002B44E0"/>
    <w:rsid w:val="002B473A"/>
    <w:rsid w:val="002B4A2B"/>
    <w:rsid w:val="002B4A6B"/>
    <w:rsid w:val="002B55DB"/>
    <w:rsid w:val="002B6088"/>
    <w:rsid w:val="002B657D"/>
    <w:rsid w:val="002B7584"/>
    <w:rsid w:val="002B7EEB"/>
    <w:rsid w:val="002C008C"/>
    <w:rsid w:val="002C1654"/>
    <w:rsid w:val="002C1783"/>
    <w:rsid w:val="002C1C59"/>
    <w:rsid w:val="002C2A18"/>
    <w:rsid w:val="002C2EAC"/>
    <w:rsid w:val="002C3CB3"/>
    <w:rsid w:val="002C3E4F"/>
    <w:rsid w:val="002C659B"/>
    <w:rsid w:val="002C69BB"/>
    <w:rsid w:val="002C76D4"/>
    <w:rsid w:val="002C77D5"/>
    <w:rsid w:val="002C7998"/>
    <w:rsid w:val="002D0763"/>
    <w:rsid w:val="002D15C6"/>
    <w:rsid w:val="002D1D4A"/>
    <w:rsid w:val="002D1E83"/>
    <w:rsid w:val="002D22F3"/>
    <w:rsid w:val="002D2DEC"/>
    <w:rsid w:val="002D3575"/>
    <w:rsid w:val="002D39E8"/>
    <w:rsid w:val="002D3D12"/>
    <w:rsid w:val="002D4B84"/>
    <w:rsid w:val="002D4FEE"/>
    <w:rsid w:val="002D5580"/>
    <w:rsid w:val="002D559A"/>
    <w:rsid w:val="002D564C"/>
    <w:rsid w:val="002E0018"/>
    <w:rsid w:val="002E01D4"/>
    <w:rsid w:val="002E057F"/>
    <w:rsid w:val="002E1545"/>
    <w:rsid w:val="002E1983"/>
    <w:rsid w:val="002E27A4"/>
    <w:rsid w:val="002E27FE"/>
    <w:rsid w:val="002E2F4D"/>
    <w:rsid w:val="002E3FD1"/>
    <w:rsid w:val="002E4D2D"/>
    <w:rsid w:val="002E5E5F"/>
    <w:rsid w:val="002E63B8"/>
    <w:rsid w:val="002E6589"/>
    <w:rsid w:val="002E6D03"/>
    <w:rsid w:val="002E79B7"/>
    <w:rsid w:val="002F09B6"/>
    <w:rsid w:val="002F0F1F"/>
    <w:rsid w:val="002F16E3"/>
    <w:rsid w:val="002F1A78"/>
    <w:rsid w:val="002F2087"/>
    <w:rsid w:val="002F2546"/>
    <w:rsid w:val="002F27AE"/>
    <w:rsid w:val="002F29A8"/>
    <w:rsid w:val="002F4290"/>
    <w:rsid w:val="002F4C0E"/>
    <w:rsid w:val="002F65B0"/>
    <w:rsid w:val="002F6848"/>
    <w:rsid w:val="002F6D46"/>
    <w:rsid w:val="002F7317"/>
    <w:rsid w:val="002F7610"/>
    <w:rsid w:val="0030005A"/>
    <w:rsid w:val="00300837"/>
    <w:rsid w:val="0030180C"/>
    <w:rsid w:val="0030208D"/>
    <w:rsid w:val="003023EC"/>
    <w:rsid w:val="00302834"/>
    <w:rsid w:val="003028CC"/>
    <w:rsid w:val="00303457"/>
    <w:rsid w:val="00303767"/>
    <w:rsid w:val="00303BA3"/>
    <w:rsid w:val="00304154"/>
    <w:rsid w:val="003041A1"/>
    <w:rsid w:val="003041DD"/>
    <w:rsid w:val="003052C9"/>
    <w:rsid w:val="00306390"/>
    <w:rsid w:val="00306BED"/>
    <w:rsid w:val="00307291"/>
    <w:rsid w:val="003075AA"/>
    <w:rsid w:val="003078C7"/>
    <w:rsid w:val="00307EFA"/>
    <w:rsid w:val="00312AF3"/>
    <w:rsid w:val="0031334B"/>
    <w:rsid w:val="00314211"/>
    <w:rsid w:val="0031504D"/>
    <w:rsid w:val="00315604"/>
    <w:rsid w:val="00315AF2"/>
    <w:rsid w:val="00315D55"/>
    <w:rsid w:val="003160AA"/>
    <w:rsid w:val="00316602"/>
    <w:rsid w:val="00316A25"/>
    <w:rsid w:val="003171A7"/>
    <w:rsid w:val="00317D82"/>
    <w:rsid w:val="0032323B"/>
    <w:rsid w:val="00323D1A"/>
    <w:rsid w:val="003243C8"/>
    <w:rsid w:val="00324908"/>
    <w:rsid w:val="00324924"/>
    <w:rsid w:val="003256A1"/>
    <w:rsid w:val="00325DD2"/>
    <w:rsid w:val="003263C6"/>
    <w:rsid w:val="003267EC"/>
    <w:rsid w:val="003268EF"/>
    <w:rsid w:val="0032709C"/>
    <w:rsid w:val="003272F7"/>
    <w:rsid w:val="00327DF4"/>
    <w:rsid w:val="003314D9"/>
    <w:rsid w:val="00332863"/>
    <w:rsid w:val="00332DD4"/>
    <w:rsid w:val="00333C03"/>
    <w:rsid w:val="0033419D"/>
    <w:rsid w:val="003347B4"/>
    <w:rsid w:val="0033554F"/>
    <w:rsid w:val="00335678"/>
    <w:rsid w:val="0033582E"/>
    <w:rsid w:val="00336FEC"/>
    <w:rsid w:val="0034096D"/>
    <w:rsid w:val="00342BC0"/>
    <w:rsid w:val="00343FD2"/>
    <w:rsid w:val="00344507"/>
    <w:rsid w:val="003468E2"/>
    <w:rsid w:val="003469FE"/>
    <w:rsid w:val="00346B9B"/>
    <w:rsid w:val="00346BB9"/>
    <w:rsid w:val="00347465"/>
    <w:rsid w:val="00347B4A"/>
    <w:rsid w:val="0035124B"/>
    <w:rsid w:val="00351601"/>
    <w:rsid w:val="003519AB"/>
    <w:rsid w:val="00352312"/>
    <w:rsid w:val="00352694"/>
    <w:rsid w:val="0035299A"/>
    <w:rsid w:val="00353E34"/>
    <w:rsid w:val="0035423A"/>
    <w:rsid w:val="0035665E"/>
    <w:rsid w:val="0035685D"/>
    <w:rsid w:val="00357039"/>
    <w:rsid w:val="00357797"/>
    <w:rsid w:val="00357FF1"/>
    <w:rsid w:val="00360227"/>
    <w:rsid w:val="00360279"/>
    <w:rsid w:val="00362B04"/>
    <w:rsid w:val="003636D0"/>
    <w:rsid w:val="003651E1"/>
    <w:rsid w:val="00365BEE"/>
    <w:rsid w:val="0036666F"/>
    <w:rsid w:val="00367C9F"/>
    <w:rsid w:val="003711BD"/>
    <w:rsid w:val="00371311"/>
    <w:rsid w:val="00371990"/>
    <w:rsid w:val="00372217"/>
    <w:rsid w:val="00372D9C"/>
    <w:rsid w:val="00373130"/>
    <w:rsid w:val="0037332C"/>
    <w:rsid w:val="00375AB7"/>
    <w:rsid w:val="00376C66"/>
    <w:rsid w:val="00377CD6"/>
    <w:rsid w:val="00381296"/>
    <w:rsid w:val="00381323"/>
    <w:rsid w:val="00381A9A"/>
    <w:rsid w:val="0038231E"/>
    <w:rsid w:val="00382FA0"/>
    <w:rsid w:val="00385074"/>
    <w:rsid w:val="00385A30"/>
    <w:rsid w:val="00386182"/>
    <w:rsid w:val="0038637D"/>
    <w:rsid w:val="00386C2F"/>
    <w:rsid w:val="00386F2F"/>
    <w:rsid w:val="003904F4"/>
    <w:rsid w:val="003906E6"/>
    <w:rsid w:val="003910CE"/>
    <w:rsid w:val="00391652"/>
    <w:rsid w:val="003927DD"/>
    <w:rsid w:val="003935E8"/>
    <w:rsid w:val="00393614"/>
    <w:rsid w:val="00394E66"/>
    <w:rsid w:val="00396384"/>
    <w:rsid w:val="0039675F"/>
    <w:rsid w:val="00397840"/>
    <w:rsid w:val="003979F7"/>
    <w:rsid w:val="003A107C"/>
    <w:rsid w:val="003A1682"/>
    <w:rsid w:val="003A2B82"/>
    <w:rsid w:val="003A30BD"/>
    <w:rsid w:val="003A4FAC"/>
    <w:rsid w:val="003A66D8"/>
    <w:rsid w:val="003A688F"/>
    <w:rsid w:val="003A6B85"/>
    <w:rsid w:val="003A7B3F"/>
    <w:rsid w:val="003A7EF5"/>
    <w:rsid w:val="003A7F29"/>
    <w:rsid w:val="003B052E"/>
    <w:rsid w:val="003B14DD"/>
    <w:rsid w:val="003B25B2"/>
    <w:rsid w:val="003B3BF9"/>
    <w:rsid w:val="003B3FD3"/>
    <w:rsid w:val="003B4118"/>
    <w:rsid w:val="003B4662"/>
    <w:rsid w:val="003B467C"/>
    <w:rsid w:val="003B4D9B"/>
    <w:rsid w:val="003B5801"/>
    <w:rsid w:val="003B659C"/>
    <w:rsid w:val="003B69B6"/>
    <w:rsid w:val="003B6D50"/>
    <w:rsid w:val="003B774F"/>
    <w:rsid w:val="003B7CA6"/>
    <w:rsid w:val="003C1850"/>
    <w:rsid w:val="003C1DA7"/>
    <w:rsid w:val="003C259B"/>
    <w:rsid w:val="003C28E5"/>
    <w:rsid w:val="003C2990"/>
    <w:rsid w:val="003C2C00"/>
    <w:rsid w:val="003C2EA6"/>
    <w:rsid w:val="003C36CB"/>
    <w:rsid w:val="003C39FF"/>
    <w:rsid w:val="003C4783"/>
    <w:rsid w:val="003C5985"/>
    <w:rsid w:val="003C5B77"/>
    <w:rsid w:val="003C62D8"/>
    <w:rsid w:val="003C72E0"/>
    <w:rsid w:val="003C7919"/>
    <w:rsid w:val="003C79C8"/>
    <w:rsid w:val="003D3153"/>
    <w:rsid w:val="003D4D15"/>
    <w:rsid w:val="003D6451"/>
    <w:rsid w:val="003D6578"/>
    <w:rsid w:val="003D69E6"/>
    <w:rsid w:val="003D773E"/>
    <w:rsid w:val="003E0ADC"/>
    <w:rsid w:val="003E0CF9"/>
    <w:rsid w:val="003E0DAD"/>
    <w:rsid w:val="003E1897"/>
    <w:rsid w:val="003E2462"/>
    <w:rsid w:val="003E25CD"/>
    <w:rsid w:val="003E29C7"/>
    <w:rsid w:val="003E2F66"/>
    <w:rsid w:val="003E43C6"/>
    <w:rsid w:val="003E65FF"/>
    <w:rsid w:val="003F0775"/>
    <w:rsid w:val="003F36B9"/>
    <w:rsid w:val="003F4C27"/>
    <w:rsid w:val="003F4FE6"/>
    <w:rsid w:val="003F52E3"/>
    <w:rsid w:val="003F5357"/>
    <w:rsid w:val="003F55CD"/>
    <w:rsid w:val="003F5650"/>
    <w:rsid w:val="003F59AE"/>
    <w:rsid w:val="003F5F01"/>
    <w:rsid w:val="003F6909"/>
    <w:rsid w:val="003F6D01"/>
    <w:rsid w:val="003F6D2E"/>
    <w:rsid w:val="003F78FD"/>
    <w:rsid w:val="00400E28"/>
    <w:rsid w:val="00401831"/>
    <w:rsid w:val="00401BBC"/>
    <w:rsid w:val="00401E68"/>
    <w:rsid w:val="00402051"/>
    <w:rsid w:val="0040292B"/>
    <w:rsid w:val="00402FF7"/>
    <w:rsid w:val="004038AB"/>
    <w:rsid w:val="00403B2F"/>
    <w:rsid w:val="00403FEB"/>
    <w:rsid w:val="00404F10"/>
    <w:rsid w:val="00404FA4"/>
    <w:rsid w:val="004051A7"/>
    <w:rsid w:val="004052CF"/>
    <w:rsid w:val="00405B0B"/>
    <w:rsid w:val="0040627C"/>
    <w:rsid w:val="00406A6C"/>
    <w:rsid w:val="00406DF8"/>
    <w:rsid w:val="00407DA2"/>
    <w:rsid w:val="004105ED"/>
    <w:rsid w:val="004113CD"/>
    <w:rsid w:val="00411FCA"/>
    <w:rsid w:val="00412A37"/>
    <w:rsid w:val="00412B49"/>
    <w:rsid w:val="0041363C"/>
    <w:rsid w:val="00414642"/>
    <w:rsid w:val="004160DE"/>
    <w:rsid w:val="004160EF"/>
    <w:rsid w:val="00421835"/>
    <w:rsid w:val="00424131"/>
    <w:rsid w:val="004241DA"/>
    <w:rsid w:val="0042505E"/>
    <w:rsid w:val="00426E31"/>
    <w:rsid w:val="0042737D"/>
    <w:rsid w:val="00427625"/>
    <w:rsid w:val="004309B1"/>
    <w:rsid w:val="004318C4"/>
    <w:rsid w:val="00431990"/>
    <w:rsid w:val="00431FB4"/>
    <w:rsid w:val="004329DA"/>
    <w:rsid w:val="00432A0D"/>
    <w:rsid w:val="00432C94"/>
    <w:rsid w:val="0043321D"/>
    <w:rsid w:val="004336AB"/>
    <w:rsid w:val="00433BCD"/>
    <w:rsid w:val="00435792"/>
    <w:rsid w:val="00435C75"/>
    <w:rsid w:val="00440F03"/>
    <w:rsid w:val="00442C02"/>
    <w:rsid w:val="0044389F"/>
    <w:rsid w:val="00443D2F"/>
    <w:rsid w:val="0044415D"/>
    <w:rsid w:val="0044589E"/>
    <w:rsid w:val="00446A34"/>
    <w:rsid w:val="00447963"/>
    <w:rsid w:val="00447F0D"/>
    <w:rsid w:val="00450715"/>
    <w:rsid w:val="004517B9"/>
    <w:rsid w:val="00451E40"/>
    <w:rsid w:val="004522DF"/>
    <w:rsid w:val="0045270B"/>
    <w:rsid w:val="00452AAB"/>
    <w:rsid w:val="00453A9F"/>
    <w:rsid w:val="004540CC"/>
    <w:rsid w:val="004565C0"/>
    <w:rsid w:val="00460AED"/>
    <w:rsid w:val="00460E73"/>
    <w:rsid w:val="00461B91"/>
    <w:rsid w:val="00461EF7"/>
    <w:rsid w:val="004631EB"/>
    <w:rsid w:val="00463A32"/>
    <w:rsid w:val="00464454"/>
    <w:rsid w:val="00464622"/>
    <w:rsid w:val="00465BC1"/>
    <w:rsid w:val="004662EC"/>
    <w:rsid w:val="00467F39"/>
    <w:rsid w:val="004707FC"/>
    <w:rsid w:val="00470A9C"/>
    <w:rsid w:val="00470E91"/>
    <w:rsid w:val="00470F6F"/>
    <w:rsid w:val="004718CF"/>
    <w:rsid w:val="0047229E"/>
    <w:rsid w:val="0047268F"/>
    <w:rsid w:val="00472AE3"/>
    <w:rsid w:val="004730FD"/>
    <w:rsid w:val="0047363E"/>
    <w:rsid w:val="00473893"/>
    <w:rsid w:val="00473F7F"/>
    <w:rsid w:val="00476490"/>
    <w:rsid w:val="00476AC7"/>
    <w:rsid w:val="00477257"/>
    <w:rsid w:val="004776C3"/>
    <w:rsid w:val="0048051E"/>
    <w:rsid w:val="0048078A"/>
    <w:rsid w:val="00481864"/>
    <w:rsid w:val="00481936"/>
    <w:rsid w:val="004821B3"/>
    <w:rsid w:val="004824F8"/>
    <w:rsid w:val="00482BEA"/>
    <w:rsid w:val="004848C2"/>
    <w:rsid w:val="00484D5A"/>
    <w:rsid w:val="00485039"/>
    <w:rsid w:val="00486488"/>
    <w:rsid w:val="0048669D"/>
    <w:rsid w:val="00486AC6"/>
    <w:rsid w:val="00490A86"/>
    <w:rsid w:val="00490B0F"/>
    <w:rsid w:val="00491062"/>
    <w:rsid w:val="00491073"/>
    <w:rsid w:val="0049109B"/>
    <w:rsid w:val="0049115B"/>
    <w:rsid w:val="00491298"/>
    <w:rsid w:val="00492BF4"/>
    <w:rsid w:val="004939BE"/>
    <w:rsid w:val="00494394"/>
    <w:rsid w:val="004948F2"/>
    <w:rsid w:val="00494C24"/>
    <w:rsid w:val="00494C85"/>
    <w:rsid w:val="00494E57"/>
    <w:rsid w:val="00495C64"/>
    <w:rsid w:val="004970D2"/>
    <w:rsid w:val="004A08BD"/>
    <w:rsid w:val="004A0C06"/>
    <w:rsid w:val="004A0ED9"/>
    <w:rsid w:val="004A11E6"/>
    <w:rsid w:val="004A18C0"/>
    <w:rsid w:val="004A1C5F"/>
    <w:rsid w:val="004A1F7A"/>
    <w:rsid w:val="004A3623"/>
    <w:rsid w:val="004A39C6"/>
    <w:rsid w:val="004A41B2"/>
    <w:rsid w:val="004A51E0"/>
    <w:rsid w:val="004A55BA"/>
    <w:rsid w:val="004A7220"/>
    <w:rsid w:val="004A78A7"/>
    <w:rsid w:val="004A7D9E"/>
    <w:rsid w:val="004B0737"/>
    <w:rsid w:val="004B09FC"/>
    <w:rsid w:val="004B0E1C"/>
    <w:rsid w:val="004B15FF"/>
    <w:rsid w:val="004B2CA3"/>
    <w:rsid w:val="004B4944"/>
    <w:rsid w:val="004B4C33"/>
    <w:rsid w:val="004B54D0"/>
    <w:rsid w:val="004C04B8"/>
    <w:rsid w:val="004C0E19"/>
    <w:rsid w:val="004C117F"/>
    <w:rsid w:val="004C160E"/>
    <w:rsid w:val="004C20D2"/>
    <w:rsid w:val="004C22DB"/>
    <w:rsid w:val="004C3313"/>
    <w:rsid w:val="004C4143"/>
    <w:rsid w:val="004C5A5A"/>
    <w:rsid w:val="004C6365"/>
    <w:rsid w:val="004C6BE8"/>
    <w:rsid w:val="004C7532"/>
    <w:rsid w:val="004C7FC4"/>
    <w:rsid w:val="004D173B"/>
    <w:rsid w:val="004D1B52"/>
    <w:rsid w:val="004D2068"/>
    <w:rsid w:val="004D2603"/>
    <w:rsid w:val="004D2BD3"/>
    <w:rsid w:val="004D389B"/>
    <w:rsid w:val="004D6016"/>
    <w:rsid w:val="004D6897"/>
    <w:rsid w:val="004D69A1"/>
    <w:rsid w:val="004D6B2B"/>
    <w:rsid w:val="004D74CC"/>
    <w:rsid w:val="004E1E39"/>
    <w:rsid w:val="004E2481"/>
    <w:rsid w:val="004E2C6E"/>
    <w:rsid w:val="004E5492"/>
    <w:rsid w:val="004E6D28"/>
    <w:rsid w:val="004E6E7C"/>
    <w:rsid w:val="004F0C2F"/>
    <w:rsid w:val="004F0CCE"/>
    <w:rsid w:val="004F0E2E"/>
    <w:rsid w:val="004F267F"/>
    <w:rsid w:val="004F2BCA"/>
    <w:rsid w:val="004F3E1E"/>
    <w:rsid w:val="004F4091"/>
    <w:rsid w:val="004F4749"/>
    <w:rsid w:val="004F4EE2"/>
    <w:rsid w:val="004F57B0"/>
    <w:rsid w:val="004F683B"/>
    <w:rsid w:val="004F691C"/>
    <w:rsid w:val="004F72EC"/>
    <w:rsid w:val="005001EC"/>
    <w:rsid w:val="00500436"/>
    <w:rsid w:val="00500446"/>
    <w:rsid w:val="00501071"/>
    <w:rsid w:val="005017F5"/>
    <w:rsid w:val="005023CB"/>
    <w:rsid w:val="00502404"/>
    <w:rsid w:val="00502419"/>
    <w:rsid w:val="005027B6"/>
    <w:rsid w:val="005029C2"/>
    <w:rsid w:val="005043E9"/>
    <w:rsid w:val="00504608"/>
    <w:rsid w:val="00504AD6"/>
    <w:rsid w:val="00504AD9"/>
    <w:rsid w:val="00505821"/>
    <w:rsid w:val="005069C0"/>
    <w:rsid w:val="00507A0D"/>
    <w:rsid w:val="005111A6"/>
    <w:rsid w:val="005112E6"/>
    <w:rsid w:val="00511EA5"/>
    <w:rsid w:val="005136D8"/>
    <w:rsid w:val="00514263"/>
    <w:rsid w:val="0051427B"/>
    <w:rsid w:val="00516CC0"/>
    <w:rsid w:val="005174CF"/>
    <w:rsid w:val="00517630"/>
    <w:rsid w:val="0051782F"/>
    <w:rsid w:val="00521646"/>
    <w:rsid w:val="0052207E"/>
    <w:rsid w:val="005221D5"/>
    <w:rsid w:val="005223CE"/>
    <w:rsid w:val="005228C5"/>
    <w:rsid w:val="00522B88"/>
    <w:rsid w:val="00522E1D"/>
    <w:rsid w:val="0052302F"/>
    <w:rsid w:val="00523DF0"/>
    <w:rsid w:val="00524908"/>
    <w:rsid w:val="00524FBF"/>
    <w:rsid w:val="005250C5"/>
    <w:rsid w:val="00527407"/>
    <w:rsid w:val="005275C1"/>
    <w:rsid w:val="005279D8"/>
    <w:rsid w:val="00527A3B"/>
    <w:rsid w:val="00530132"/>
    <w:rsid w:val="005302CB"/>
    <w:rsid w:val="00530C97"/>
    <w:rsid w:val="00531E3F"/>
    <w:rsid w:val="00531E52"/>
    <w:rsid w:val="005327B2"/>
    <w:rsid w:val="00533826"/>
    <w:rsid w:val="00533E3B"/>
    <w:rsid w:val="00534AD1"/>
    <w:rsid w:val="00534B59"/>
    <w:rsid w:val="00535105"/>
    <w:rsid w:val="00535FF9"/>
    <w:rsid w:val="00536374"/>
    <w:rsid w:val="0053762E"/>
    <w:rsid w:val="00537DE9"/>
    <w:rsid w:val="00537F94"/>
    <w:rsid w:val="00540682"/>
    <w:rsid w:val="00540C96"/>
    <w:rsid w:val="00541193"/>
    <w:rsid w:val="005416FB"/>
    <w:rsid w:val="00542C90"/>
    <w:rsid w:val="00543D74"/>
    <w:rsid w:val="00545452"/>
    <w:rsid w:val="005454EA"/>
    <w:rsid w:val="00545582"/>
    <w:rsid w:val="0054605B"/>
    <w:rsid w:val="00546167"/>
    <w:rsid w:val="00546BB5"/>
    <w:rsid w:val="00547474"/>
    <w:rsid w:val="00550E4D"/>
    <w:rsid w:val="005511A0"/>
    <w:rsid w:val="00551298"/>
    <w:rsid w:val="0055166E"/>
    <w:rsid w:val="005518C2"/>
    <w:rsid w:val="00551B49"/>
    <w:rsid w:val="00551E18"/>
    <w:rsid w:val="005521B6"/>
    <w:rsid w:val="00552A66"/>
    <w:rsid w:val="00554C01"/>
    <w:rsid w:val="00554F31"/>
    <w:rsid w:val="00554FD3"/>
    <w:rsid w:val="00555567"/>
    <w:rsid w:val="0055575F"/>
    <w:rsid w:val="0055691D"/>
    <w:rsid w:val="00560ED0"/>
    <w:rsid w:val="0056206A"/>
    <w:rsid w:val="00563EB1"/>
    <w:rsid w:val="00565588"/>
    <w:rsid w:val="0056597F"/>
    <w:rsid w:val="0057084C"/>
    <w:rsid w:val="005709FD"/>
    <w:rsid w:val="00570D10"/>
    <w:rsid w:val="005736E1"/>
    <w:rsid w:val="0057419D"/>
    <w:rsid w:val="0057582C"/>
    <w:rsid w:val="005774E8"/>
    <w:rsid w:val="00577FA3"/>
    <w:rsid w:val="00577FFC"/>
    <w:rsid w:val="00580624"/>
    <w:rsid w:val="005809C5"/>
    <w:rsid w:val="005814D7"/>
    <w:rsid w:val="0058155A"/>
    <w:rsid w:val="00582508"/>
    <w:rsid w:val="00582E6D"/>
    <w:rsid w:val="00585F6A"/>
    <w:rsid w:val="0058602A"/>
    <w:rsid w:val="00586F6F"/>
    <w:rsid w:val="005877EC"/>
    <w:rsid w:val="005904DB"/>
    <w:rsid w:val="00590B56"/>
    <w:rsid w:val="00590CE2"/>
    <w:rsid w:val="00591606"/>
    <w:rsid w:val="00591710"/>
    <w:rsid w:val="00591C24"/>
    <w:rsid w:val="00592D18"/>
    <w:rsid w:val="00593282"/>
    <w:rsid w:val="0059445B"/>
    <w:rsid w:val="005948B5"/>
    <w:rsid w:val="00594E26"/>
    <w:rsid w:val="005954D8"/>
    <w:rsid w:val="005965FE"/>
    <w:rsid w:val="005969CA"/>
    <w:rsid w:val="005A10FB"/>
    <w:rsid w:val="005A117A"/>
    <w:rsid w:val="005A1B12"/>
    <w:rsid w:val="005A1D06"/>
    <w:rsid w:val="005A2EFC"/>
    <w:rsid w:val="005A33BE"/>
    <w:rsid w:val="005A4EC4"/>
    <w:rsid w:val="005A521F"/>
    <w:rsid w:val="005A666B"/>
    <w:rsid w:val="005B0714"/>
    <w:rsid w:val="005B0FC3"/>
    <w:rsid w:val="005B2020"/>
    <w:rsid w:val="005B2616"/>
    <w:rsid w:val="005B5092"/>
    <w:rsid w:val="005B5117"/>
    <w:rsid w:val="005B52CF"/>
    <w:rsid w:val="005B66EF"/>
    <w:rsid w:val="005B7EDB"/>
    <w:rsid w:val="005C0215"/>
    <w:rsid w:val="005C0789"/>
    <w:rsid w:val="005C270A"/>
    <w:rsid w:val="005C2E1B"/>
    <w:rsid w:val="005C3C2E"/>
    <w:rsid w:val="005C460D"/>
    <w:rsid w:val="005C47CD"/>
    <w:rsid w:val="005C62A1"/>
    <w:rsid w:val="005C6AB3"/>
    <w:rsid w:val="005C78C5"/>
    <w:rsid w:val="005C7906"/>
    <w:rsid w:val="005C791F"/>
    <w:rsid w:val="005D143F"/>
    <w:rsid w:val="005D1E2C"/>
    <w:rsid w:val="005D35CD"/>
    <w:rsid w:val="005D3FF4"/>
    <w:rsid w:val="005D4CAF"/>
    <w:rsid w:val="005D5011"/>
    <w:rsid w:val="005D5203"/>
    <w:rsid w:val="005D6219"/>
    <w:rsid w:val="005D669C"/>
    <w:rsid w:val="005D72A1"/>
    <w:rsid w:val="005D7466"/>
    <w:rsid w:val="005D7B8A"/>
    <w:rsid w:val="005D7CEA"/>
    <w:rsid w:val="005E0305"/>
    <w:rsid w:val="005E060F"/>
    <w:rsid w:val="005E0B5F"/>
    <w:rsid w:val="005E0E2A"/>
    <w:rsid w:val="005E230C"/>
    <w:rsid w:val="005E2444"/>
    <w:rsid w:val="005E2DFD"/>
    <w:rsid w:val="005E3AA8"/>
    <w:rsid w:val="005E5D25"/>
    <w:rsid w:val="005E5D97"/>
    <w:rsid w:val="005E6D24"/>
    <w:rsid w:val="005E7087"/>
    <w:rsid w:val="005F0060"/>
    <w:rsid w:val="005F007A"/>
    <w:rsid w:val="005F03CC"/>
    <w:rsid w:val="005F1939"/>
    <w:rsid w:val="005F1D5A"/>
    <w:rsid w:val="005F1E07"/>
    <w:rsid w:val="005F210E"/>
    <w:rsid w:val="005F2827"/>
    <w:rsid w:val="005F2F01"/>
    <w:rsid w:val="005F340B"/>
    <w:rsid w:val="005F3D15"/>
    <w:rsid w:val="005F4FA7"/>
    <w:rsid w:val="005F7752"/>
    <w:rsid w:val="005F7A16"/>
    <w:rsid w:val="005F7B65"/>
    <w:rsid w:val="005F7D7F"/>
    <w:rsid w:val="005F7F12"/>
    <w:rsid w:val="00600157"/>
    <w:rsid w:val="00600381"/>
    <w:rsid w:val="00600D91"/>
    <w:rsid w:val="00601429"/>
    <w:rsid w:val="006016AA"/>
    <w:rsid w:val="00601D2E"/>
    <w:rsid w:val="00602610"/>
    <w:rsid w:val="00604014"/>
    <w:rsid w:val="006049FD"/>
    <w:rsid w:val="00605CED"/>
    <w:rsid w:val="00605F96"/>
    <w:rsid w:val="006066E5"/>
    <w:rsid w:val="00606717"/>
    <w:rsid w:val="00606F9B"/>
    <w:rsid w:val="00607CF6"/>
    <w:rsid w:val="006101CA"/>
    <w:rsid w:val="00610CFB"/>
    <w:rsid w:val="006110D2"/>
    <w:rsid w:val="00611423"/>
    <w:rsid w:val="00611A51"/>
    <w:rsid w:val="00611C7A"/>
    <w:rsid w:val="00612E7A"/>
    <w:rsid w:val="006133D7"/>
    <w:rsid w:val="006133E8"/>
    <w:rsid w:val="00615D05"/>
    <w:rsid w:val="006165E5"/>
    <w:rsid w:val="006166E3"/>
    <w:rsid w:val="0062074B"/>
    <w:rsid w:val="006208E8"/>
    <w:rsid w:val="00620E19"/>
    <w:rsid w:val="00621125"/>
    <w:rsid w:val="00622FCC"/>
    <w:rsid w:val="006232FF"/>
    <w:rsid w:val="00624427"/>
    <w:rsid w:val="006253C2"/>
    <w:rsid w:val="0062554B"/>
    <w:rsid w:val="00626D65"/>
    <w:rsid w:val="00627868"/>
    <w:rsid w:val="00631194"/>
    <w:rsid w:val="00631CB4"/>
    <w:rsid w:val="00631F99"/>
    <w:rsid w:val="00632930"/>
    <w:rsid w:val="00633080"/>
    <w:rsid w:val="00633888"/>
    <w:rsid w:val="00633B49"/>
    <w:rsid w:val="00633D30"/>
    <w:rsid w:val="00633E29"/>
    <w:rsid w:val="00633F04"/>
    <w:rsid w:val="00635FE0"/>
    <w:rsid w:val="0063606F"/>
    <w:rsid w:val="00636614"/>
    <w:rsid w:val="006379F3"/>
    <w:rsid w:val="00637F67"/>
    <w:rsid w:val="00640902"/>
    <w:rsid w:val="006411FB"/>
    <w:rsid w:val="00641B43"/>
    <w:rsid w:val="006421EC"/>
    <w:rsid w:val="006423AA"/>
    <w:rsid w:val="00642492"/>
    <w:rsid w:val="0064275C"/>
    <w:rsid w:val="0064316C"/>
    <w:rsid w:val="00643844"/>
    <w:rsid w:val="00643F56"/>
    <w:rsid w:val="0064419A"/>
    <w:rsid w:val="0064442C"/>
    <w:rsid w:val="00646B3A"/>
    <w:rsid w:val="00647469"/>
    <w:rsid w:val="006513F1"/>
    <w:rsid w:val="00651677"/>
    <w:rsid w:val="006526CD"/>
    <w:rsid w:val="006532BD"/>
    <w:rsid w:val="00655855"/>
    <w:rsid w:val="00655B4F"/>
    <w:rsid w:val="0065648F"/>
    <w:rsid w:val="00657778"/>
    <w:rsid w:val="0065778A"/>
    <w:rsid w:val="00660639"/>
    <w:rsid w:val="00660B95"/>
    <w:rsid w:val="0066107C"/>
    <w:rsid w:val="006618ED"/>
    <w:rsid w:val="0066247E"/>
    <w:rsid w:val="006624B4"/>
    <w:rsid w:val="0066312D"/>
    <w:rsid w:val="00663210"/>
    <w:rsid w:val="00663411"/>
    <w:rsid w:val="00663514"/>
    <w:rsid w:val="0066388A"/>
    <w:rsid w:val="00663A2B"/>
    <w:rsid w:val="00665DCB"/>
    <w:rsid w:val="00665E13"/>
    <w:rsid w:val="00666334"/>
    <w:rsid w:val="00666BED"/>
    <w:rsid w:val="00666C8D"/>
    <w:rsid w:val="00666D76"/>
    <w:rsid w:val="006725E8"/>
    <w:rsid w:val="006727BA"/>
    <w:rsid w:val="00672B1A"/>
    <w:rsid w:val="00673536"/>
    <w:rsid w:val="00674A46"/>
    <w:rsid w:val="0067514C"/>
    <w:rsid w:val="0067515C"/>
    <w:rsid w:val="00676A6B"/>
    <w:rsid w:val="0067753C"/>
    <w:rsid w:val="006804E5"/>
    <w:rsid w:val="006809CD"/>
    <w:rsid w:val="00680A92"/>
    <w:rsid w:val="0068143B"/>
    <w:rsid w:val="00683775"/>
    <w:rsid w:val="00683D52"/>
    <w:rsid w:val="00683EAB"/>
    <w:rsid w:val="006848C7"/>
    <w:rsid w:val="00684B0D"/>
    <w:rsid w:val="0068539D"/>
    <w:rsid w:val="006857E9"/>
    <w:rsid w:val="006862C0"/>
    <w:rsid w:val="00686468"/>
    <w:rsid w:val="00686D23"/>
    <w:rsid w:val="00686FC9"/>
    <w:rsid w:val="00687F26"/>
    <w:rsid w:val="0069058C"/>
    <w:rsid w:val="006906F1"/>
    <w:rsid w:val="00690E9E"/>
    <w:rsid w:val="00691CD0"/>
    <w:rsid w:val="00692686"/>
    <w:rsid w:val="0069330D"/>
    <w:rsid w:val="00693AE5"/>
    <w:rsid w:val="0069438A"/>
    <w:rsid w:val="00694695"/>
    <w:rsid w:val="006954AD"/>
    <w:rsid w:val="006956C9"/>
    <w:rsid w:val="00696725"/>
    <w:rsid w:val="00696C27"/>
    <w:rsid w:val="006A0347"/>
    <w:rsid w:val="006A03D5"/>
    <w:rsid w:val="006A0470"/>
    <w:rsid w:val="006A0FB1"/>
    <w:rsid w:val="006A2192"/>
    <w:rsid w:val="006A24AD"/>
    <w:rsid w:val="006A2920"/>
    <w:rsid w:val="006A4F95"/>
    <w:rsid w:val="006A519A"/>
    <w:rsid w:val="006A58A5"/>
    <w:rsid w:val="006A6E2A"/>
    <w:rsid w:val="006A703C"/>
    <w:rsid w:val="006A736B"/>
    <w:rsid w:val="006A7F66"/>
    <w:rsid w:val="006B02D7"/>
    <w:rsid w:val="006B0560"/>
    <w:rsid w:val="006B0AF1"/>
    <w:rsid w:val="006B0DB5"/>
    <w:rsid w:val="006B0DB8"/>
    <w:rsid w:val="006B1C1F"/>
    <w:rsid w:val="006B2E76"/>
    <w:rsid w:val="006B3500"/>
    <w:rsid w:val="006B4A99"/>
    <w:rsid w:val="006B586A"/>
    <w:rsid w:val="006B649D"/>
    <w:rsid w:val="006B6955"/>
    <w:rsid w:val="006B7080"/>
    <w:rsid w:val="006B7630"/>
    <w:rsid w:val="006B798F"/>
    <w:rsid w:val="006B7CD0"/>
    <w:rsid w:val="006B7DC9"/>
    <w:rsid w:val="006C1B65"/>
    <w:rsid w:val="006C1D3A"/>
    <w:rsid w:val="006C1F06"/>
    <w:rsid w:val="006C2C52"/>
    <w:rsid w:val="006C36DA"/>
    <w:rsid w:val="006C391E"/>
    <w:rsid w:val="006C4158"/>
    <w:rsid w:val="006C4A31"/>
    <w:rsid w:val="006C59BC"/>
    <w:rsid w:val="006C5CF4"/>
    <w:rsid w:val="006C5D2F"/>
    <w:rsid w:val="006C7387"/>
    <w:rsid w:val="006C7A01"/>
    <w:rsid w:val="006D04B6"/>
    <w:rsid w:val="006D0558"/>
    <w:rsid w:val="006D178F"/>
    <w:rsid w:val="006D1C19"/>
    <w:rsid w:val="006D1E96"/>
    <w:rsid w:val="006D2BDE"/>
    <w:rsid w:val="006D4453"/>
    <w:rsid w:val="006D488A"/>
    <w:rsid w:val="006D58E2"/>
    <w:rsid w:val="006D5EF6"/>
    <w:rsid w:val="006D612D"/>
    <w:rsid w:val="006D70A7"/>
    <w:rsid w:val="006D7209"/>
    <w:rsid w:val="006D7489"/>
    <w:rsid w:val="006E00FF"/>
    <w:rsid w:val="006E0BC8"/>
    <w:rsid w:val="006E18A7"/>
    <w:rsid w:val="006E21D5"/>
    <w:rsid w:val="006E222C"/>
    <w:rsid w:val="006E339E"/>
    <w:rsid w:val="006E34F1"/>
    <w:rsid w:val="006E3686"/>
    <w:rsid w:val="006E3695"/>
    <w:rsid w:val="006E3D34"/>
    <w:rsid w:val="006E3E89"/>
    <w:rsid w:val="006E454F"/>
    <w:rsid w:val="006E4D69"/>
    <w:rsid w:val="006E52B9"/>
    <w:rsid w:val="006E5CC3"/>
    <w:rsid w:val="006E6674"/>
    <w:rsid w:val="006E67F9"/>
    <w:rsid w:val="006E7573"/>
    <w:rsid w:val="006E796F"/>
    <w:rsid w:val="006F04EB"/>
    <w:rsid w:val="006F11F0"/>
    <w:rsid w:val="006F1A50"/>
    <w:rsid w:val="006F1DC9"/>
    <w:rsid w:val="006F2286"/>
    <w:rsid w:val="006F2B78"/>
    <w:rsid w:val="006F339D"/>
    <w:rsid w:val="006F3DFD"/>
    <w:rsid w:val="006F44BB"/>
    <w:rsid w:val="006F5A2A"/>
    <w:rsid w:val="006F72C7"/>
    <w:rsid w:val="006F7871"/>
    <w:rsid w:val="0070042E"/>
    <w:rsid w:val="00700BEE"/>
    <w:rsid w:val="007012F8"/>
    <w:rsid w:val="0070187A"/>
    <w:rsid w:val="00702520"/>
    <w:rsid w:val="0070280F"/>
    <w:rsid w:val="00703364"/>
    <w:rsid w:val="007040D7"/>
    <w:rsid w:val="00704743"/>
    <w:rsid w:val="007074B2"/>
    <w:rsid w:val="00710DDB"/>
    <w:rsid w:val="0071219A"/>
    <w:rsid w:val="00712326"/>
    <w:rsid w:val="007130DE"/>
    <w:rsid w:val="007131B4"/>
    <w:rsid w:val="00714530"/>
    <w:rsid w:val="00714710"/>
    <w:rsid w:val="007147D5"/>
    <w:rsid w:val="007159D7"/>
    <w:rsid w:val="00715C30"/>
    <w:rsid w:val="00716787"/>
    <w:rsid w:val="00716FD5"/>
    <w:rsid w:val="00717329"/>
    <w:rsid w:val="00717D11"/>
    <w:rsid w:val="007212AC"/>
    <w:rsid w:val="00721996"/>
    <w:rsid w:val="00723825"/>
    <w:rsid w:val="007239CC"/>
    <w:rsid w:val="007250B9"/>
    <w:rsid w:val="0072525A"/>
    <w:rsid w:val="007259BF"/>
    <w:rsid w:val="00725C79"/>
    <w:rsid w:val="0072622C"/>
    <w:rsid w:val="00727A19"/>
    <w:rsid w:val="0073038B"/>
    <w:rsid w:val="007303E6"/>
    <w:rsid w:val="00730ABD"/>
    <w:rsid w:val="00730D6C"/>
    <w:rsid w:val="0073157C"/>
    <w:rsid w:val="00732EDC"/>
    <w:rsid w:val="00733552"/>
    <w:rsid w:val="0073525C"/>
    <w:rsid w:val="0073597E"/>
    <w:rsid w:val="00735AF1"/>
    <w:rsid w:val="00737417"/>
    <w:rsid w:val="0073798C"/>
    <w:rsid w:val="00737C4A"/>
    <w:rsid w:val="00740E73"/>
    <w:rsid w:val="00740FD0"/>
    <w:rsid w:val="00742981"/>
    <w:rsid w:val="00743015"/>
    <w:rsid w:val="00743B1F"/>
    <w:rsid w:val="00743C40"/>
    <w:rsid w:val="007445AD"/>
    <w:rsid w:val="00745067"/>
    <w:rsid w:val="007451BF"/>
    <w:rsid w:val="0074583B"/>
    <w:rsid w:val="00746567"/>
    <w:rsid w:val="00746F6D"/>
    <w:rsid w:val="00747094"/>
    <w:rsid w:val="00747C43"/>
    <w:rsid w:val="00750656"/>
    <w:rsid w:val="007509BB"/>
    <w:rsid w:val="007509E5"/>
    <w:rsid w:val="007512E2"/>
    <w:rsid w:val="00751673"/>
    <w:rsid w:val="007519EE"/>
    <w:rsid w:val="00751DAB"/>
    <w:rsid w:val="00752DE0"/>
    <w:rsid w:val="0075323B"/>
    <w:rsid w:val="007535CB"/>
    <w:rsid w:val="007539A5"/>
    <w:rsid w:val="0075402A"/>
    <w:rsid w:val="007542DA"/>
    <w:rsid w:val="00754387"/>
    <w:rsid w:val="007547FF"/>
    <w:rsid w:val="007552CD"/>
    <w:rsid w:val="00755CF7"/>
    <w:rsid w:val="00756383"/>
    <w:rsid w:val="0075704C"/>
    <w:rsid w:val="00757068"/>
    <w:rsid w:val="007570CD"/>
    <w:rsid w:val="00757D8B"/>
    <w:rsid w:val="00761010"/>
    <w:rsid w:val="007634C8"/>
    <w:rsid w:val="00763750"/>
    <w:rsid w:val="00763B41"/>
    <w:rsid w:val="00763E7C"/>
    <w:rsid w:val="007645B7"/>
    <w:rsid w:val="00764AFD"/>
    <w:rsid w:val="00765604"/>
    <w:rsid w:val="00765EE8"/>
    <w:rsid w:val="007660BD"/>
    <w:rsid w:val="00767B6A"/>
    <w:rsid w:val="0077111E"/>
    <w:rsid w:val="00772119"/>
    <w:rsid w:val="00772323"/>
    <w:rsid w:val="007725D2"/>
    <w:rsid w:val="00772E09"/>
    <w:rsid w:val="0077310F"/>
    <w:rsid w:val="007745B7"/>
    <w:rsid w:val="00774BE3"/>
    <w:rsid w:val="00774F94"/>
    <w:rsid w:val="00775361"/>
    <w:rsid w:val="00775D0E"/>
    <w:rsid w:val="00775DEE"/>
    <w:rsid w:val="00776262"/>
    <w:rsid w:val="00776C24"/>
    <w:rsid w:val="00777201"/>
    <w:rsid w:val="00777375"/>
    <w:rsid w:val="00777523"/>
    <w:rsid w:val="007802C6"/>
    <w:rsid w:val="007812A1"/>
    <w:rsid w:val="007827BB"/>
    <w:rsid w:val="007828AB"/>
    <w:rsid w:val="007840DD"/>
    <w:rsid w:val="00784BC3"/>
    <w:rsid w:val="00785565"/>
    <w:rsid w:val="00786641"/>
    <w:rsid w:val="00786A50"/>
    <w:rsid w:val="00786C04"/>
    <w:rsid w:val="00787803"/>
    <w:rsid w:val="00791075"/>
    <w:rsid w:val="0079110D"/>
    <w:rsid w:val="0079183F"/>
    <w:rsid w:val="0079204E"/>
    <w:rsid w:val="0079342D"/>
    <w:rsid w:val="00793AC5"/>
    <w:rsid w:val="00794DDF"/>
    <w:rsid w:val="00795C8C"/>
    <w:rsid w:val="00797037"/>
    <w:rsid w:val="00797242"/>
    <w:rsid w:val="007A1F1C"/>
    <w:rsid w:val="007A27A4"/>
    <w:rsid w:val="007A316E"/>
    <w:rsid w:val="007A4692"/>
    <w:rsid w:val="007B0079"/>
    <w:rsid w:val="007B06C4"/>
    <w:rsid w:val="007B0FD2"/>
    <w:rsid w:val="007B2DC9"/>
    <w:rsid w:val="007B318D"/>
    <w:rsid w:val="007B510D"/>
    <w:rsid w:val="007B5861"/>
    <w:rsid w:val="007B58DA"/>
    <w:rsid w:val="007B5978"/>
    <w:rsid w:val="007B68A5"/>
    <w:rsid w:val="007B7878"/>
    <w:rsid w:val="007B78F5"/>
    <w:rsid w:val="007C0B0C"/>
    <w:rsid w:val="007C1126"/>
    <w:rsid w:val="007C1683"/>
    <w:rsid w:val="007C1DD4"/>
    <w:rsid w:val="007C1E71"/>
    <w:rsid w:val="007C2EEA"/>
    <w:rsid w:val="007C31BB"/>
    <w:rsid w:val="007C36CB"/>
    <w:rsid w:val="007C472E"/>
    <w:rsid w:val="007C4B33"/>
    <w:rsid w:val="007C529D"/>
    <w:rsid w:val="007C66F7"/>
    <w:rsid w:val="007C7ECB"/>
    <w:rsid w:val="007D03A3"/>
    <w:rsid w:val="007D08A6"/>
    <w:rsid w:val="007D2C5E"/>
    <w:rsid w:val="007D33A4"/>
    <w:rsid w:val="007D33E2"/>
    <w:rsid w:val="007D3B25"/>
    <w:rsid w:val="007D429B"/>
    <w:rsid w:val="007D5920"/>
    <w:rsid w:val="007D595C"/>
    <w:rsid w:val="007D6341"/>
    <w:rsid w:val="007D66A7"/>
    <w:rsid w:val="007D67DC"/>
    <w:rsid w:val="007D6911"/>
    <w:rsid w:val="007D69A8"/>
    <w:rsid w:val="007D7502"/>
    <w:rsid w:val="007E071A"/>
    <w:rsid w:val="007E2537"/>
    <w:rsid w:val="007E2A24"/>
    <w:rsid w:val="007E2B48"/>
    <w:rsid w:val="007E2B86"/>
    <w:rsid w:val="007E31C7"/>
    <w:rsid w:val="007E45BC"/>
    <w:rsid w:val="007E4914"/>
    <w:rsid w:val="007E4EF9"/>
    <w:rsid w:val="007E58DB"/>
    <w:rsid w:val="007E69CB"/>
    <w:rsid w:val="007E71DE"/>
    <w:rsid w:val="007E7450"/>
    <w:rsid w:val="007E79CB"/>
    <w:rsid w:val="007F07E3"/>
    <w:rsid w:val="007F0C7B"/>
    <w:rsid w:val="007F108D"/>
    <w:rsid w:val="007F1301"/>
    <w:rsid w:val="007F47E9"/>
    <w:rsid w:val="007F6EDC"/>
    <w:rsid w:val="00800D85"/>
    <w:rsid w:val="008032DB"/>
    <w:rsid w:val="0080356D"/>
    <w:rsid w:val="00803C9A"/>
    <w:rsid w:val="00803CCB"/>
    <w:rsid w:val="0080454D"/>
    <w:rsid w:val="00804FA4"/>
    <w:rsid w:val="00805025"/>
    <w:rsid w:val="008052C9"/>
    <w:rsid w:val="00805CEF"/>
    <w:rsid w:val="00806B61"/>
    <w:rsid w:val="00807A9A"/>
    <w:rsid w:val="008104B9"/>
    <w:rsid w:val="00810DC3"/>
    <w:rsid w:val="0081113A"/>
    <w:rsid w:val="00811B9F"/>
    <w:rsid w:val="00812ABA"/>
    <w:rsid w:val="00812E99"/>
    <w:rsid w:val="008139E0"/>
    <w:rsid w:val="0081443A"/>
    <w:rsid w:val="00814E05"/>
    <w:rsid w:val="00815FD4"/>
    <w:rsid w:val="0081743C"/>
    <w:rsid w:val="008200AB"/>
    <w:rsid w:val="0082013D"/>
    <w:rsid w:val="0082047C"/>
    <w:rsid w:val="00821349"/>
    <w:rsid w:val="008216B1"/>
    <w:rsid w:val="0082196E"/>
    <w:rsid w:val="00821E8B"/>
    <w:rsid w:val="00821ED6"/>
    <w:rsid w:val="00822F1F"/>
    <w:rsid w:val="008241DD"/>
    <w:rsid w:val="00824316"/>
    <w:rsid w:val="0082494C"/>
    <w:rsid w:val="00824BBB"/>
    <w:rsid w:val="0082524B"/>
    <w:rsid w:val="00825A15"/>
    <w:rsid w:val="00825C0D"/>
    <w:rsid w:val="008273F0"/>
    <w:rsid w:val="00827513"/>
    <w:rsid w:val="0082785C"/>
    <w:rsid w:val="008302EE"/>
    <w:rsid w:val="00830489"/>
    <w:rsid w:val="00830650"/>
    <w:rsid w:val="008324EA"/>
    <w:rsid w:val="00832658"/>
    <w:rsid w:val="00833E24"/>
    <w:rsid w:val="0083464A"/>
    <w:rsid w:val="00835CBF"/>
    <w:rsid w:val="008374FA"/>
    <w:rsid w:val="00837C2F"/>
    <w:rsid w:val="00840027"/>
    <w:rsid w:val="0084040C"/>
    <w:rsid w:val="00840F79"/>
    <w:rsid w:val="00841D83"/>
    <w:rsid w:val="00843703"/>
    <w:rsid w:val="00843A3D"/>
    <w:rsid w:val="00843F68"/>
    <w:rsid w:val="00844F50"/>
    <w:rsid w:val="008452F3"/>
    <w:rsid w:val="00846FDA"/>
    <w:rsid w:val="00847DED"/>
    <w:rsid w:val="008501E6"/>
    <w:rsid w:val="00850409"/>
    <w:rsid w:val="00851D64"/>
    <w:rsid w:val="00853249"/>
    <w:rsid w:val="008535B9"/>
    <w:rsid w:val="008539F6"/>
    <w:rsid w:val="00853C82"/>
    <w:rsid w:val="0085555B"/>
    <w:rsid w:val="008555DB"/>
    <w:rsid w:val="0085582E"/>
    <w:rsid w:val="008562A7"/>
    <w:rsid w:val="008563A3"/>
    <w:rsid w:val="00856524"/>
    <w:rsid w:val="00856CA6"/>
    <w:rsid w:val="008570AC"/>
    <w:rsid w:val="00857941"/>
    <w:rsid w:val="00857ACC"/>
    <w:rsid w:val="00860305"/>
    <w:rsid w:val="008603D6"/>
    <w:rsid w:val="0086083F"/>
    <w:rsid w:val="0086198B"/>
    <w:rsid w:val="00861C60"/>
    <w:rsid w:val="00861F24"/>
    <w:rsid w:val="00861F3E"/>
    <w:rsid w:val="008639CB"/>
    <w:rsid w:val="00863EAD"/>
    <w:rsid w:val="00864A4A"/>
    <w:rsid w:val="00864C7E"/>
    <w:rsid w:val="00864D75"/>
    <w:rsid w:val="00865369"/>
    <w:rsid w:val="008653FB"/>
    <w:rsid w:val="0086584E"/>
    <w:rsid w:val="00865981"/>
    <w:rsid w:val="008668B9"/>
    <w:rsid w:val="00867424"/>
    <w:rsid w:val="008702C0"/>
    <w:rsid w:val="00870509"/>
    <w:rsid w:val="0087191F"/>
    <w:rsid w:val="00871D4E"/>
    <w:rsid w:val="00872433"/>
    <w:rsid w:val="00872BFF"/>
    <w:rsid w:val="00873558"/>
    <w:rsid w:val="00873B52"/>
    <w:rsid w:val="008748CC"/>
    <w:rsid w:val="00874EB6"/>
    <w:rsid w:val="00874F03"/>
    <w:rsid w:val="00875CAA"/>
    <w:rsid w:val="00876A56"/>
    <w:rsid w:val="00876FA4"/>
    <w:rsid w:val="00882926"/>
    <w:rsid w:val="00882BA6"/>
    <w:rsid w:val="00883227"/>
    <w:rsid w:val="00883943"/>
    <w:rsid w:val="00884DBE"/>
    <w:rsid w:val="00890CC9"/>
    <w:rsid w:val="008934D3"/>
    <w:rsid w:val="008940A0"/>
    <w:rsid w:val="00894183"/>
    <w:rsid w:val="008949C5"/>
    <w:rsid w:val="00895123"/>
    <w:rsid w:val="00895668"/>
    <w:rsid w:val="0089593F"/>
    <w:rsid w:val="00895D9F"/>
    <w:rsid w:val="008966F5"/>
    <w:rsid w:val="008969CE"/>
    <w:rsid w:val="00896A1F"/>
    <w:rsid w:val="00897429"/>
    <w:rsid w:val="00897DE1"/>
    <w:rsid w:val="00897F17"/>
    <w:rsid w:val="008A107F"/>
    <w:rsid w:val="008A145E"/>
    <w:rsid w:val="008A17DD"/>
    <w:rsid w:val="008A22AF"/>
    <w:rsid w:val="008A22E0"/>
    <w:rsid w:val="008A239F"/>
    <w:rsid w:val="008A2E82"/>
    <w:rsid w:val="008A3E5B"/>
    <w:rsid w:val="008A496D"/>
    <w:rsid w:val="008A51AA"/>
    <w:rsid w:val="008A633C"/>
    <w:rsid w:val="008A75B9"/>
    <w:rsid w:val="008A7EAD"/>
    <w:rsid w:val="008B261E"/>
    <w:rsid w:val="008B2F84"/>
    <w:rsid w:val="008B3F05"/>
    <w:rsid w:val="008B416E"/>
    <w:rsid w:val="008B52D1"/>
    <w:rsid w:val="008B6DCF"/>
    <w:rsid w:val="008B6E1A"/>
    <w:rsid w:val="008B783F"/>
    <w:rsid w:val="008B7FAE"/>
    <w:rsid w:val="008C0022"/>
    <w:rsid w:val="008C0C47"/>
    <w:rsid w:val="008C10CD"/>
    <w:rsid w:val="008C118B"/>
    <w:rsid w:val="008C13C2"/>
    <w:rsid w:val="008C1890"/>
    <w:rsid w:val="008C1943"/>
    <w:rsid w:val="008C1BF2"/>
    <w:rsid w:val="008C1DC0"/>
    <w:rsid w:val="008C3D0C"/>
    <w:rsid w:val="008C3E57"/>
    <w:rsid w:val="008C42AF"/>
    <w:rsid w:val="008C44D2"/>
    <w:rsid w:val="008C5814"/>
    <w:rsid w:val="008C63A7"/>
    <w:rsid w:val="008C6CBA"/>
    <w:rsid w:val="008C7161"/>
    <w:rsid w:val="008C7291"/>
    <w:rsid w:val="008C7995"/>
    <w:rsid w:val="008C7A55"/>
    <w:rsid w:val="008C7EA4"/>
    <w:rsid w:val="008D0F7E"/>
    <w:rsid w:val="008D0FC6"/>
    <w:rsid w:val="008D1ACA"/>
    <w:rsid w:val="008D20C2"/>
    <w:rsid w:val="008D2DA2"/>
    <w:rsid w:val="008D3F9D"/>
    <w:rsid w:val="008D41FC"/>
    <w:rsid w:val="008D5E3C"/>
    <w:rsid w:val="008D60E3"/>
    <w:rsid w:val="008D636D"/>
    <w:rsid w:val="008D70EB"/>
    <w:rsid w:val="008D73BC"/>
    <w:rsid w:val="008D77C7"/>
    <w:rsid w:val="008E209E"/>
    <w:rsid w:val="008E24DA"/>
    <w:rsid w:val="008E362C"/>
    <w:rsid w:val="008E511E"/>
    <w:rsid w:val="008E5175"/>
    <w:rsid w:val="008E5A5A"/>
    <w:rsid w:val="008E5E4E"/>
    <w:rsid w:val="008E633F"/>
    <w:rsid w:val="008E65C9"/>
    <w:rsid w:val="008E6B80"/>
    <w:rsid w:val="008E74C7"/>
    <w:rsid w:val="008E7CD8"/>
    <w:rsid w:val="008F0BD9"/>
    <w:rsid w:val="008F1A2B"/>
    <w:rsid w:val="008F1FDE"/>
    <w:rsid w:val="008F3520"/>
    <w:rsid w:val="008F4745"/>
    <w:rsid w:val="008F596E"/>
    <w:rsid w:val="008F61A4"/>
    <w:rsid w:val="008F6AF7"/>
    <w:rsid w:val="008F7383"/>
    <w:rsid w:val="008F7628"/>
    <w:rsid w:val="008F7C18"/>
    <w:rsid w:val="00900CCE"/>
    <w:rsid w:val="00900E58"/>
    <w:rsid w:val="00901443"/>
    <w:rsid w:val="0090145A"/>
    <w:rsid w:val="0090149E"/>
    <w:rsid w:val="00901B61"/>
    <w:rsid w:val="00902532"/>
    <w:rsid w:val="0090293E"/>
    <w:rsid w:val="009031FC"/>
    <w:rsid w:val="009036F0"/>
    <w:rsid w:val="009047DD"/>
    <w:rsid w:val="00905D21"/>
    <w:rsid w:val="009066E1"/>
    <w:rsid w:val="009073B3"/>
    <w:rsid w:val="009106C1"/>
    <w:rsid w:val="00910CCE"/>
    <w:rsid w:val="00910F4F"/>
    <w:rsid w:val="00911E6C"/>
    <w:rsid w:val="009122A2"/>
    <w:rsid w:val="00912F2D"/>
    <w:rsid w:val="009137D8"/>
    <w:rsid w:val="00913F36"/>
    <w:rsid w:val="00914F48"/>
    <w:rsid w:val="009156AD"/>
    <w:rsid w:val="00915A69"/>
    <w:rsid w:val="00915B6B"/>
    <w:rsid w:val="009204D7"/>
    <w:rsid w:val="009218D7"/>
    <w:rsid w:val="00921982"/>
    <w:rsid w:val="00922D90"/>
    <w:rsid w:val="00924249"/>
    <w:rsid w:val="00924369"/>
    <w:rsid w:val="0092476B"/>
    <w:rsid w:val="00924D74"/>
    <w:rsid w:val="009258D9"/>
    <w:rsid w:val="00925C06"/>
    <w:rsid w:val="009278EC"/>
    <w:rsid w:val="00927B1D"/>
    <w:rsid w:val="00931312"/>
    <w:rsid w:val="009318C2"/>
    <w:rsid w:val="00931CAE"/>
    <w:rsid w:val="00932882"/>
    <w:rsid w:val="00932E67"/>
    <w:rsid w:val="00933E2A"/>
    <w:rsid w:val="009342FA"/>
    <w:rsid w:val="0093461E"/>
    <w:rsid w:val="00935017"/>
    <w:rsid w:val="00935544"/>
    <w:rsid w:val="00936077"/>
    <w:rsid w:val="009370E0"/>
    <w:rsid w:val="009371BC"/>
    <w:rsid w:val="00937A95"/>
    <w:rsid w:val="00940522"/>
    <w:rsid w:val="00940843"/>
    <w:rsid w:val="00940A75"/>
    <w:rsid w:val="009411E5"/>
    <w:rsid w:val="009415C6"/>
    <w:rsid w:val="00942B24"/>
    <w:rsid w:val="00943BD9"/>
    <w:rsid w:val="009445D3"/>
    <w:rsid w:val="00944F0E"/>
    <w:rsid w:val="0094509B"/>
    <w:rsid w:val="0094570D"/>
    <w:rsid w:val="0094692B"/>
    <w:rsid w:val="00946F9F"/>
    <w:rsid w:val="00947540"/>
    <w:rsid w:val="009476E1"/>
    <w:rsid w:val="009479ED"/>
    <w:rsid w:val="009504BF"/>
    <w:rsid w:val="00950A4D"/>
    <w:rsid w:val="00951277"/>
    <w:rsid w:val="009515E6"/>
    <w:rsid w:val="00951C03"/>
    <w:rsid w:val="00952DC2"/>
    <w:rsid w:val="00952EFC"/>
    <w:rsid w:val="009531C0"/>
    <w:rsid w:val="009540EE"/>
    <w:rsid w:val="00955DDC"/>
    <w:rsid w:val="00957B71"/>
    <w:rsid w:val="00957FC2"/>
    <w:rsid w:val="00960A6F"/>
    <w:rsid w:val="00963533"/>
    <w:rsid w:val="00963DDA"/>
    <w:rsid w:val="0096498E"/>
    <w:rsid w:val="009660B0"/>
    <w:rsid w:val="00966746"/>
    <w:rsid w:val="0096728D"/>
    <w:rsid w:val="0096772D"/>
    <w:rsid w:val="009702D6"/>
    <w:rsid w:val="00972B18"/>
    <w:rsid w:val="009741D3"/>
    <w:rsid w:val="00975801"/>
    <w:rsid w:val="00975CEB"/>
    <w:rsid w:val="00975E45"/>
    <w:rsid w:val="009771CB"/>
    <w:rsid w:val="0097725D"/>
    <w:rsid w:val="00977B10"/>
    <w:rsid w:val="0098019B"/>
    <w:rsid w:val="00980247"/>
    <w:rsid w:val="0098063D"/>
    <w:rsid w:val="00981003"/>
    <w:rsid w:val="00981149"/>
    <w:rsid w:val="00981F13"/>
    <w:rsid w:val="00983039"/>
    <w:rsid w:val="00983E33"/>
    <w:rsid w:val="00984A5B"/>
    <w:rsid w:val="0098517E"/>
    <w:rsid w:val="0098538E"/>
    <w:rsid w:val="00985AD3"/>
    <w:rsid w:val="00986082"/>
    <w:rsid w:val="009865E2"/>
    <w:rsid w:val="0098719C"/>
    <w:rsid w:val="00987615"/>
    <w:rsid w:val="009877F2"/>
    <w:rsid w:val="00987CBF"/>
    <w:rsid w:val="009901DF"/>
    <w:rsid w:val="00990DCA"/>
    <w:rsid w:val="0099299B"/>
    <w:rsid w:val="00992B09"/>
    <w:rsid w:val="00993B36"/>
    <w:rsid w:val="009943A3"/>
    <w:rsid w:val="009956A5"/>
    <w:rsid w:val="00995CFC"/>
    <w:rsid w:val="009965F2"/>
    <w:rsid w:val="00997AFE"/>
    <w:rsid w:val="009A038A"/>
    <w:rsid w:val="009A0793"/>
    <w:rsid w:val="009A09DB"/>
    <w:rsid w:val="009A15C7"/>
    <w:rsid w:val="009A2B73"/>
    <w:rsid w:val="009A3A82"/>
    <w:rsid w:val="009A436B"/>
    <w:rsid w:val="009A4703"/>
    <w:rsid w:val="009A495C"/>
    <w:rsid w:val="009A687E"/>
    <w:rsid w:val="009A7595"/>
    <w:rsid w:val="009A7A7E"/>
    <w:rsid w:val="009A7F1E"/>
    <w:rsid w:val="009B0921"/>
    <w:rsid w:val="009B13C8"/>
    <w:rsid w:val="009B1F86"/>
    <w:rsid w:val="009B2BFF"/>
    <w:rsid w:val="009B3280"/>
    <w:rsid w:val="009B36E4"/>
    <w:rsid w:val="009B3AF2"/>
    <w:rsid w:val="009B3B7D"/>
    <w:rsid w:val="009B40AA"/>
    <w:rsid w:val="009B427E"/>
    <w:rsid w:val="009B4820"/>
    <w:rsid w:val="009B49CA"/>
    <w:rsid w:val="009B524E"/>
    <w:rsid w:val="009B5597"/>
    <w:rsid w:val="009B55F8"/>
    <w:rsid w:val="009B5E5A"/>
    <w:rsid w:val="009B5FD1"/>
    <w:rsid w:val="009B65BC"/>
    <w:rsid w:val="009B6672"/>
    <w:rsid w:val="009B6A1C"/>
    <w:rsid w:val="009B6C2D"/>
    <w:rsid w:val="009B6CD9"/>
    <w:rsid w:val="009B78CF"/>
    <w:rsid w:val="009B7C52"/>
    <w:rsid w:val="009C0233"/>
    <w:rsid w:val="009C18B0"/>
    <w:rsid w:val="009C19BC"/>
    <w:rsid w:val="009C32C1"/>
    <w:rsid w:val="009C34DB"/>
    <w:rsid w:val="009C40CB"/>
    <w:rsid w:val="009C4634"/>
    <w:rsid w:val="009C4D5F"/>
    <w:rsid w:val="009C4F48"/>
    <w:rsid w:val="009C5D81"/>
    <w:rsid w:val="009C6602"/>
    <w:rsid w:val="009C69B0"/>
    <w:rsid w:val="009C6D68"/>
    <w:rsid w:val="009C72DE"/>
    <w:rsid w:val="009D038F"/>
    <w:rsid w:val="009D0676"/>
    <w:rsid w:val="009D0C79"/>
    <w:rsid w:val="009D0E86"/>
    <w:rsid w:val="009D0FAE"/>
    <w:rsid w:val="009D241A"/>
    <w:rsid w:val="009D2FD8"/>
    <w:rsid w:val="009D3A8C"/>
    <w:rsid w:val="009D3E78"/>
    <w:rsid w:val="009D3FCA"/>
    <w:rsid w:val="009D44A0"/>
    <w:rsid w:val="009D564D"/>
    <w:rsid w:val="009D6743"/>
    <w:rsid w:val="009D67C0"/>
    <w:rsid w:val="009D7FC1"/>
    <w:rsid w:val="009E131C"/>
    <w:rsid w:val="009E16AE"/>
    <w:rsid w:val="009E1B43"/>
    <w:rsid w:val="009E24A2"/>
    <w:rsid w:val="009E2DC4"/>
    <w:rsid w:val="009E6160"/>
    <w:rsid w:val="009E62CA"/>
    <w:rsid w:val="009E75F4"/>
    <w:rsid w:val="009E7646"/>
    <w:rsid w:val="009E7A20"/>
    <w:rsid w:val="009F0936"/>
    <w:rsid w:val="009F1C15"/>
    <w:rsid w:val="009F1E15"/>
    <w:rsid w:val="009F2CCC"/>
    <w:rsid w:val="009F312E"/>
    <w:rsid w:val="009F3611"/>
    <w:rsid w:val="009F45DB"/>
    <w:rsid w:val="009F4C64"/>
    <w:rsid w:val="009F4E34"/>
    <w:rsid w:val="009F4FCC"/>
    <w:rsid w:val="009F58F2"/>
    <w:rsid w:val="009F61F6"/>
    <w:rsid w:val="009F666D"/>
    <w:rsid w:val="009F6B74"/>
    <w:rsid w:val="009F7543"/>
    <w:rsid w:val="009F76AD"/>
    <w:rsid w:val="00A005A5"/>
    <w:rsid w:val="00A0148A"/>
    <w:rsid w:val="00A01997"/>
    <w:rsid w:val="00A047CE"/>
    <w:rsid w:val="00A04EF6"/>
    <w:rsid w:val="00A0519F"/>
    <w:rsid w:val="00A0644D"/>
    <w:rsid w:val="00A06531"/>
    <w:rsid w:val="00A06E08"/>
    <w:rsid w:val="00A07150"/>
    <w:rsid w:val="00A10126"/>
    <w:rsid w:val="00A1030D"/>
    <w:rsid w:val="00A10963"/>
    <w:rsid w:val="00A11CF4"/>
    <w:rsid w:val="00A12688"/>
    <w:rsid w:val="00A1272B"/>
    <w:rsid w:val="00A1340D"/>
    <w:rsid w:val="00A1396E"/>
    <w:rsid w:val="00A13FD5"/>
    <w:rsid w:val="00A14579"/>
    <w:rsid w:val="00A151CC"/>
    <w:rsid w:val="00A15E5A"/>
    <w:rsid w:val="00A17574"/>
    <w:rsid w:val="00A20C0B"/>
    <w:rsid w:val="00A216AE"/>
    <w:rsid w:val="00A21C2F"/>
    <w:rsid w:val="00A227B1"/>
    <w:rsid w:val="00A23548"/>
    <w:rsid w:val="00A23E86"/>
    <w:rsid w:val="00A2433F"/>
    <w:rsid w:val="00A24E53"/>
    <w:rsid w:val="00A2547C"/>
    <w:rsid w:val="00A254F8"/>
    <w:rsid w:val="00A258BF"/>
    <w:rsid w:val="00A26748"/>
    <w:rsid w:val="00A268FB"/>
    <w:rsid w:val="00A26A8F"/>
    <w:rsid w:val="00A26BF7"/>
    <w:rsid w:val="00A27018"/>
    <w:rsid w:val="00A278CD"/>
    <w:rsid w:val="00A27D1A"/>
    <w:rsid w:val="00A30328"/>
    <w:rsid w:val="00A30353"/>
    <w:rsid w:val="00A30BC9"/>
    <w:rsid w:val="00A31556"/>
    <w:rsid w:val="00A31DAE"/>
    <w:rsid w:val="00A31FE9"/>
    <w:rsid w:val="00A32B97"/>
    <w:rsid w:val="00A32EA1"/>
    <w:rsid w:val="00A33259"/>
    <w:rsid w:val="00A334CF"/>
    <w:rsid w:val="00A3381A"/>
    <w:rsid w:val="00A3524D"/>
    <w:rsid w:val="00A35662"/>
    <w:rsid w:val="00A36098"/>
    <w:rsid w:val="00A36896"/>
    <w:rsid w:val="00A36FE6"/>
    <w:rsid w:val="00A379DD"/>
    <w:rsid w:val="00A40AD5"/>
    <w:rsid w:val="00A41BFD"/>
    <w:rsid w:val="00A433EA"/>
    <w:rsid w:val="00A457AE"/>
    <w:rsid w:val="00A4687C"/>
    <w:rsid w:val="00A468F6"/>
    <w:rsid w:val="00A469A8"/>
    <w:rsid w:val="00A46D2C"/>
    <w:rsid w:val="00A47B9F"/>
    <w:rsid w:val="00A47FD1"/>
    <w:rsid w:val="00A50796"/>
    <w:rsid w:val="00A50D57"/>
    <w:rsid w:val="00A52165"/>
    <w:rsid w:val="00A533FB"/>
    <w:rsid w:val="00A537AE"/>
    <w:rsid w:val="00A53BC6"/>
    <w:rsid w:val="00A53DD5"/>
    <w:rsid w:val="00A54BE6"/>
    <w:rsid w:val="00A56155"/>
    <w:rsid w:val="00A574B9"/>
    <w:rsid w:val="00A61007"/>
    <w:rsid w:val="00A612F0"/>
    <w:rsid w:val="00A61C9C"/>
    <w:rsid w:val="00A61D65"/>
    <w:rsid w:val="00A624F1"/>
    <w:rsid w:val="00A627FB"/>
    <w:rsid w:val="00A62C1D"/>
    <w:rsid w:val="00A676FA"/>
    <w:rsid w:val="00A67AEA"/>
    <w:rsid w:val="00A7055E"/>
    <w:rsid w:val="00A718FE"/>
    <w:rsid w:val="00A71B50"/>
    <w:rsid w:val="00A71E99"/>
    <w:rsid w:val="00A7273E"/>
    <w:rsid w:val="00A72792"/>
    <w:rsid w:val="00A72E30"/>
    <w:rsid w:val="00A73286"/>
    <w:rsid w:val="00A77257"/>
    <w:rsid w:val="00A778AB"/>
    <w:rsid w:val="00A80A6E"/>
    <w:rsid w:val="00A824D4"/>
    <w:rsid w:val="00A82BA2"/>
    <w:rsid w:val="00A82E9C"/>
    <w:rsid w:val="00A83303"/>
    <w:rsid w:val="00A83C9D"/>
    <w:rsid w:val="00A8412C"/>
    <w:rsid w:val="00A84CFB"/>
    <w:rsid w:val="00A85514"/>
    <w:rsid w:val="00A8569D"/>
    <w:rsid w:val="00A874A6"/>
    <w:rsid w:val="00A91266"/>
    <w:rsid w:val="00A9148B"/>
    <w:rsid w:val="00A914D2"/>
    <w:rsid w:val="00A915AB"/>
    <w:rsid w:val="00A9383C"/>
    <w:rsid w:val="00A94189"/>
    <w:rsid w:val="00A94249"/>
    <w:rsid w:val="00A94565"/>
    <w:rsid w:val="00A9693B"/>
    <w:rsid w:val="00A96BC9"/>
    <w:rsid w:val="00A96E17"/>
    <w:rsid w:val="00A97035"/>
    <w:rsid w:val="00A97079"/>
    <w:rsid w:val="00A97138"/>
    <w:rsid w:val="00AA077D"/>
    <w:rsid w:val="00AA261A"/>
    <w:rsid w:val="00AA2B65"/>
    <w:rsid w:val="00AA301B"/>
    <w:rsid w:val="00AA3524"/>
    <w:rsid w:val="00AA4C06"/>
    <w:rsid w:val="00AA4E7C"/>
    <w:rsid w:val="00AA5892"/>
    <w:rsid w:val="00AA64AF"/>
    <w:rsid w:val="00AA6BDE"/>
    <w:rsid w:val="00AA6E8C"/>
    <w:rsid w:val="00AB08D8"/>
    <w:rsid w:val="00AB091F"/>
    <w:rsid w:val="00AB15E3"/>
    <w:rsid w:val="00AB1814"/>
    <w:rsid w:val="00AB19D5"/>
    <w:rsid w:val="00AB2237"/>
    <w:rsid w:val="00AB26F1"/>
    <w:rsid w:val="00AB29F1"/>
    <w:rsid w:val="00AB2B62"/>
    <w:rsid w:val="00AB40F4"/>
    <w:rsid w:val="00AB58D6"/>
    <w:rsid w:val="00AB5A66"/>
    <w:rsid w:val="00AB5E2C"/>
    <w:rsid w:val="00AC2E9B"/>
    <w:rsid w:val="00AC3095"/>
    <w:rsid w:val="00AC3B6A"/>
    <w:rsid w:val="00AC3D6D"/>
    <w:rsid w:val="00AC4982"/>
    <w:rsid w:val="00AC4A8A"/>
    <w:rsid w:val="00AC567F"/>
    <w:rsid w:val="00AC65F6"/>
    <w:rsid w:val="00AC69A1"/>
    <w:rsid w:val="00AC7853"/>
    <w:rsid w:val="00AC7D75"/>
    <w:rsid w:val="00AD0177"/>
    <w:rsid w:val="00AD0807"/>
    <w:rsid w:val="00AD1022"/>
    <w:rsid w:val="00AD1292"/>
    <w:rsid w:val="00AD1DB8"/>
    <w:rsid w:val="00AD2B5B"/>
    <w:rsid w:val="00AD325B"/>
    <w:rsid w:val="00AD48B6"/>
    <w:rsid w:val="00AD5716"/>
    <w:rsid w:val="00AD5A39"/>
    <w:rsid w:val="00AD5ABF"/>
    <w:rsid w:val="00AD5AE9"/>
    <w:rsid w:val="00AD641F"/>
    <w:rsid w:val="00AD6D4F"/>
    <w:rsid w:val="00AD7A58"/>
    <w:rsid w:val="00AE13FC"/>
    <w:rsid w:val="00AE16C7"/>
    <w:rsid w:val="00AE17D2"/>
    <w:rsid w:val="00AE3301"/>
    <w:rsid w:val="00AE36D8"/>
    <w:rsid w:val="00AE4574"/>
    <w:rsid w:val="00AE5162"/>
    <w:rsid w:val="00AE594A"/>
    <w:rsid w:val="00AE5D78"/>
    <w:rsid w:val="00AE64E0"/>
    <w:rsid w:val="00AE681B"/>
    <w:rsid w:val="00AE79C6"/>
    <w:rsid w:val="00AE7EB6"/>
    <w:rsid w:val="00AF1761"/>
    <w:rsid w:val="00AF1B6C"/>
    <w:rsid w:val="00AF1C40"/>
    <w:rsid w:val="00AF2345"/>
    <w:rsid w:val="00AF243D"/>
    <w:rsid w:val="00AF245F"/>
    <w:rsid w:val="00AF2794"/>
    <w:rsid w:val="00AF2A4C"/>
    <w:rsid w:val="00AF2C1B"/>
    <w:rsid w:val="00AF3BC8"/>
    <w:rsid w:val="00AF3DE5"/>
    <w:rsid w:val="00AF51CC"/>
    <w:rsid w:val="00AF7954"/>
    <w:rsid w:val="00AF7DE5"/>
    <w:rsid w:val="00B01648"/>
    <w:rsid w:val="00B01B68"/>
    <w:rsid w:val="00B021C4"/>
    <w:rsid w:val="00B04651"/>
    <w:rsid w:val="00B05120"/>
    <w:rsid w:val="00B05916"/>
    <w:rsid w:val="00B05B3E"/>
    <w:rsid w:val="00B0775B"/>
    <w:rsid w:val="00B078BD"/>
    <w:rsid w:val="00B100AE"/>
    <w:rsid w:val="00B100F1"/>
    <w:rsid w:val="00B10CF8"/>
    <w:rsid w:val="00B1134E"/>
    <w:rsid w:val="00B11965"/>
    <w:rsid w:val="00B12114"/>
    <w:rsid w:val="00B12DB3"/>
    <w:rsid w:val="00B140F9"/>
    <w:rsid w:val="00B141E5"/>
    <w:rsid w:val="00B14222"/>
    <w:rsid w:val="00B1462B"/>
    <w:rsid w:val="00B15736"/>
    <w:rsid w:val="00B15872"/>
    <w:rsid w:val="00B15E15"/>
    <w:rsid w:val="00B16B73"/>
    <w:rsid w:val="00B16EA4"/>
    <w:rsid w:val="00B204FB"/>
    <w:rsid w:val="00B20D26"/>
    <w:rsid w:val="00B21339"/>
    <w:rsid w:val="00B2151A"/>
    <w:rsid w:val="00B219AB"/>
    <w:rsid w:val="00B22516"/>
    <w:rsid w:val="00B22DED"/>
    <w:rsid w:val="00B23D74"/>
    <w:rsid w:val="00B248DC"/>
    <w:rsid w:val="00B2492F"/>
    <w:rsid w:val="00B25DEF"/>
    <w:rsid w:val="00B25EF6"/>
    <w:rsid w:val="00B26341"/>
    <w:rsid w:val="00B2674C"/>
    <w:rsid w:val="00B30106"/>
    <w:rsid w:val="00B31FA4"/>
    <w:rsid w:val="00B32956"/>
    <w:rsid w:val="00B3295E"/>
    <w:rsid w:val="00B32CA8"/>
    <w:rsid w:val="00B33B6A"/>
    <w:rsid w:val="00B347BC"/>
    <w:rsid w:val="00B358F3"/>
    <w:rsid w:val="00B3593A"/>
    <w:rsid w:val="00B3698A"/>
    <w:rsid w:val="00B4160E"/>
    <w:rsid w:val="00B4246E"/>
    <w:rsid w:val="00B42D5C"/>
    <w:rsid w:val="00B43860"/>
    <w:rsid w:val="00B43AC2"/>
    <w:rsid w:val="00B4516E"/>
    <w:rsid w:val="00B46F4D"/>
    <w:rsid w:val="00B514E5"/>
    <w:rsid w:val="00B52436"/>
    <w:rsid w:val="00B530E6"/>
    <w:rsid w:val="00B5355B"/>
    <w:rsid w:val="00B53591"/>
    <w:rsid w:val="00B55C52"/>
    <w:rsid w:val="00B55E99"/>
    <w:rsid w:val="00B563A0"/>
    <w:rsid w:val="00B56408"/>
    <w:rsid w:val="00B57E9B"/>
    <w:rsid w:val="00B619DA"/>
    <w:rsid w:val="00B6385C"/>
    <w:rsid w:val="00B63973"/>
    <w:rsid w:val="00B65ADE"/>
    <w:rsid w:val="00B67441"/>
    <w:rsid w:val="00B71366"/>
    <w:rsid w:val="00B71415"/>
    <w:rsid w:val="00B723BA"/>
    <w:rsid w:val="00B72412"/>
    <w:rsid w:val="00B72D3C"/>
    <w:rsid w:val="00B73448"/>
    <w:rsid w:val="00B73904"/>
    <w:rsid w:val="00B73ECB"/>
    <w:rsid w:val="00B73F78"/>
    <w:rsid w:val="00B73FEF"/>
    <w:rsid w:val="00B74573"/>
    <w:rsid w:val="00B758DF"/>
    <w:rsid w:val="00B75C78"/>
    <w:rsid w:val="00B77845"/>
    <w:rsid w:val="00B8014E"/>
    <w:rsid w:val="00B83A73"/>
    <w:rsid w:val="00B83F31"/>
    <w:rsid w:val="00B84564"/>
    <w:rsid w:val="00B85C3D"/>
    <w:rsid w:val="00B86649"/>
    <w:rsid w:val="00B91A23"/>
    <w:rsid w:val="00B9224A"/>
    <w:rsid w:val="00B92658"/>
    <w:rsid w:val="00B93270"/>
    <w:rsid w:val="00B93EE5"/>
    <w:rsid w:val="00B94010"/>
    <w:rsid w:val="00B95672"/>
    <w:rsid w:val="00B95B3E"/>
    <w:rsid w:val="00B969B3"/>
    <w:rsid w:val="00B96CD4"/>
    <w:rsid w:val="00B96D49"/>
    <w:rsid w:val="00B973B1"/>
    <w:rsid w:val="00BA0107"/>
    <w:rsid w:val="00BA043A"/>
    <w:rsid w:val="00BA240F"/>
    <w:rsid w:val="00BA3CE5"/>
    <w:rsid w:val="00BA3D1A"/>
    <w:rsid w:val="00BA3E31"/>
    <w:rsid w:val="00BA42F7"/>
    <w:rsid w:val="00BA4D33"/>
    <w:rsid w:val="00BA4D70"/>
    <w:rsid w:val="00BA4EF9"/>
    <w:rsid w:val="00BA4FD9"/>
    <w:rsid w:val="00BA50E6"/>
    <w:rsid w:val="00BA597C"/>
    <w:rsid w:val="00BA5C34"/>
    <w:rsid w:val="00BA75D9"/>
    <w:rsid w:val="00BB12CC"/>
    <w:rsid w:val="00BB2586"/>
    <w:rsid w:val="00BB3404"/>
    <w:rsid w:val="00BB4561"/>
    <w:rsid w:val="00BB55CD"/>
    <w:rsid w:val="00BB6A7D"/>
    <w:rsid w:val="00BB7970"/>
    <w:rsid w:val="00BC16C9"/>
    <w:rsid w:val="00BC1CAB"/>
    <w:rsid w:val="00BC1DB4"/>
    <w:rsid w:val="00BC252C"/>
    <w:rsid w:val="00BC2653"/>
    <w:rsid w:val="00BC282A"/>
    <w:rsid w:val="00BC29AC"/>
    <w:rsid w:val="00BC3210"/>
    <w:rsid w:val="00BC38BD"/>
    <w:rsid w:val="00BC4A2D"/>
    <w:rsid w:val="00BC4D8D"/>
    <w:rsid w:val="00BC5E09"/>
    <w:rsid w:val="00BC62C6"/>
    <w:rsid w:val="00BD0F73"/>
    <w:rsid w:val="00BD1B7B"/>
    <w:rsid w:val="00BD3A8D"/>
    <w:rsid w:val="00BD5D5D"/>
    <w:rsid w:val="00BD6559"/>
    <w:rsid w:val="00BD6625"/>
    <w:rsid w:val="00BD6D14"/>
    <w:rsid w:val="00BD7C55"/>
    <w:rsid w:val="00BD7C7A"/>
    <w:rsid w:val="00BE10E8"/>
    <w:rsid w:val="00BE146B"/>
    <w:rsid w:val="00BE1946"/>
    <w:rsid w:val="00BE1FEC"/>
    <w:rsid w:val="00BE2108"/>
    <w:rsid w:val="00BE2288"/>
    <w:rsid w:val="00BE229B"/>
    <w:rsid w:val="00BE3B87"/>
    <w:rsid w:val="00BE3F27"/>
    <w:rsid w:val="00BE5406"/>
    <w:rsid w:val="00BE5719"/>
    <w:rsid w:val="00BE6CCB"/>
    <w:rsid w:val="00BE73E7"/>
    <w:rsid w:val="00BE7B1E"/>
    <w:rsid w:val="00BF0043"/>
    <w:rsid w:val="00BF2DDD"/>
    <w:rsid w:val="00BF339B"/>
    <w:rsid w:val="00BF3B85"/>
    <w:rsid w:val="00BF3CE8"/>
    <w:rsid w:val="00BF3DF3"/>
    <w:rsid w:val="00BF40BF"/>
    <w:rsid w:val="00BF4871"/>
    <w:rsid w:val="00BF4D68"/>
    <w:rsid w:val="00BF67BD"/>
    <w:rsid w:val="00BF74B4"/>
    <w:rsid w:val="00BF7A7A"/>
    <w:rsid w:val="00C00DB1"/>
    <w:rsid w:val="00C01991"/>
    <w:rsid w:val="00C01D9C"/>
    <w:rsid w:val="00C01DEA"/>
    <w:rsid w:val="00C0343F"/>
    <w:rsid w:val="00C03ADD"/>
    <w:rsid w:val="00C04A5F"/>
    <w:rsid w:val="00C04B6D"/>
    <w:rsid w:val="00C04E62"/>
    <w:rsid w:val="00C068AC"/>
    <w:rsid w:val="00C06D8C"/>
    <w:rsid w:val="00C1012E"/>
    <w:rsid w:val="00C10513"/>
    <w:rsid w:val="00C10595"/>
    <w:rsid w:val="00C107C7"/>
    <w:rsid w:val="00C1175A"/>
    <w:rsid w:val="00C11E09"/>
    <w:rsid w:val="00C129CB"/>
    <w:rsid w:val="00C14F0D"/>
    <w:rsid w:val="00C14FFA"/>
    <w:rsid w:val="00C15332"/>
    <w:rsid w:val="00C16441"/>
    <w:rsid w:val="00C16676"/>
    <w:rsid w:val="00C16A3F"/>
    <w:rsid w:val="00C17468"/>
    <w:rsid w:val="00C2002B"/>
    <w:rsid w:val="00C204B6"/>
    <w:rsid w:val="00C20918"/>
    <w:rsid w:val="00C2115E"/>
    <w:rsid w:val="00C21352"/>
    <w:rsid w:val="00C21712"/>
    <w:rsid w:val="00C21F25"/>
    <w:rsid w:val="00C22599"/>
    <w:rsid w:val="00C22A46"/>
    <w:rsid w:val="00C22EA9"/>
    <w:rsid w:val="00C24592"/>
    <w:rsid w:val="00C24A40"/>
    <w:rsid w:val="00C24AB9"/>
    <w:rsid w:val="00C24E63"/>
    <w:rsid w:val="00C268B7"/>
    <w:rsid w:val="00C26E60"/>
    <w:rsid w:val="00C273FB"/>
    <w:rsid w:val="00C27815"/>
    <w:rsid w:val="00C27FF0"/>
    <w:rsid w:val="00C31906"/>
    <w:rsid w:val="00C319D8"/>
    <w:rsid w:val="00C32049"/>
    <w:rsid w:val="00C32918"/>
    <w:rsid w:val="00C33145"/>
    <w:rsid w:val="00C337DD"/>
    <w:rsid w:val="00C33B74"/>
    <w:rsid w:val="00C34527"/>
    <w:rsid w:val="00C35EA8"/>
    <w:rsid w:val="00C37209"/>
    <w:rsid w:val="00C3794A"/>
    <w:rsid w:val="00C37A6F"/>
    <w:rsid w:val="00C405A3"/>
    <w:rsid w:val="00C40B1C"/>
    <w:rsid w:val="00C40BFA"/>
    <w:rsid w:val="00C41274"/>
    <w:rsid w:val="00C41C98"/>
    <w:rsid w:val="00C4338C"/>
    <w:rsid w:val="00C433D4"/>
    <w:rsid w:val="00C435CC"/>
    <w:rsid w:val="00C43663"/>
    <w:rsid w:val="00C43950"/>
    <w:rsid w:val="00C43E1C"/>
    <w:rsid w:val="00C44ADE"/>
    <w:rsid w:val="00C44B9F"/>
    <w:rsid w:val="00C450F3"/>
    <w:rsid w:val="00C45200"/>
    <w:rsid w:val="00C47607"/>
    <w:rsid w:val="00C47D05"/>
    <w:rsid w:val="00C5033B"/>
    <w:rsid w:val="00C50652"/>
    <w:rsid w:val="00C50AEF"/>
    <w:rsid w:val="00C526FE"/>
    <w:rsid w:val="00C53287"/>
    <w:rsid w:val="00C534FC"/>
    <w:rsid w:val="00C539CC"/>
    <w:rsid w:val="00C5451D"/>
    <w:rsid w:val="00C54640"/>
    <w:rsid w:val="00C54BFC"/>
    <w:rsid w:val="00C55DAA"/>
    <w:rsid w:val="00C57493"/>
    <w:rsid w:val="00C60C0B"/>
    <w:rsid w:val="00C6196F"/>
    <w:rsid w:val="00C62027"/>
    <w:rsid w:val="00C62907"/>
    <w:rsid w:val="00C62D3F"/>
    <w:rsid w:val="00C63ADB"/>
    <w:rsid w:val="00C647C2"/>
    <w:rsid w:val="00C64DD1"/>
    <w:rsid w:val="00C65592"/>
    <w:rsid w:val="00C6565F"/>
    <w:rsid w:val="00C70D55"/>
    <w:rsid w:val="00C70FB1"/>
    <w:rsid w:val="00C718F5"/>
    <w:rsid w:val="00C72045"/>
    <w:rsid w:val="00C72809"/>
    <w:rsid w:val="00C728C0"/>
    <w:rsid w:val="00C72EA9"/>
    <w:rsid w:val="00C72ED0"/>
    <w:rsid w:val="00C72F30"/>
    <w:rsid w:val="00C74909"/>
    <w:rsid w:val="00C7524C"/>
    <w:rsid w:val="00C752D1"/>
    <w:rsid w:val="00C75BD8"/>
    <w:rsid w:val="00C76415"/>
    <w:rsid w:val="00C76C6F"/>
    <w:rsid w:val="00C76E3A"/>
    <w:rsid w:val="00C76EF4"/>
    <w:rsid w:val="00C777A5"/>
    <w:rsid w:val="00C8114B"/>
    <w:rsid w:val="00C814B3"/>
    <w:rsid w:val="00C817EF"/>
    <w:rsid w:val="00C81C37"/>
    <w:rsid w:val="00C82412"/>
    <w:rsid w:val="00C82EF7"/>
    <w:rsid w:val="00C82F3A"/>
    <w:rsid w:val="00C836FB"/>
    <w:rsid w:val="00C83C6C"/>
    <w:rsid w:val="00C84C38"/>
    <w:rsid w:val="00C84D3E"/>
    <w:rsid w:val="00C8502E"/>
    <w:rsid w:val="00C85730"/>
    <w:rsid w:val="00C8597A"/>
    <w:rsid w:val="00C86C63"/>
    <w:rsid w:val="00C8708F"/>
    <w:rsid w:val="00C87946"/>
    <w:rsid w:val="00C87CE1"/>
    <w:rsid w:val="00C90BA0"/>
    <w:rsid w:val="00C911E3"/>
    <w:rsid w:val="00C926A0"/>
    <w:rsid w:val="00C92D5C"/>
    <w:rsid w:val="00C92E68"/>
    <w:rsid w:val="00C9305C"/>
    <w:rsid w:val="00C93245"/>
    <w:rsid w:val="00C94862"/>
    <w:rsid w:val="00C97EA6"/>
    <w:rsid w:val="00C97F40"/>
    <w:rsid w:val="00CA00C7"/>
    <w:rsid w:val="00CA225E"/>
    <w:rsid w:val="00CA2C0A"/>
    <w:rsid w:val="00CA2ED7"/>
    <w:rsid w:val="00CA41EB"/>
    <w:rsid w:val="00CA41F2"/>
    <w:rsid w:val="00CA46F1"/>
    <w:rsid w:val="00CA48DC"/>
    <w:rsid w:val="00CA5279"/>
    <w:rsid w:val="00CA52BD"/>
    <w:rsid w:val="00CA6754"/>
    <w:rsid w:val="00CB0D13"/>
    <w:rsid w:val="00CB39D4"/>
    <w:rsid w:val="00CB50ED"/>
    <w:rsid w:val="00CB5459"/>
    <w:rsid w:val="00CB5900"/>
    <w:rsid w:val="00CB7097"/>
    <w:rsid w:val="00CC095C"/>
    <w:rsid w:val="00CC0F7C"/>
    <w:rsid w:val="00CC16C4"/>
    <w:rsid w:val="00CC1FA7"/>
    <w:rsid w:val="00CC2BCA"/>
    <w:rsid w:val="00CC2C78"/>
    <w:rsid w:val="00CC4E45"/>
    <w:rsid w:val="00CC66D1"/>
    <w:rsid w:val="00CC714C"/>
    <w:rsid w:val="00CC74DD"/>
    <w:rsid w:val="00CC74DF"/>
    <w:rsid w:val="00CC786C"/>
    <w:rsid w:val="00CC7D6D"/>
    <w:rsid w:val="00CC7ECD"/>
    <w:rsid w:val="00CD0377"/>
    <w:rsid w:val="00CD15A7"/>
    <w:rsid w:val="00CD15B8"/>
    <w:rsid w:val="00CD1C99"/>
    <w:rsid w:val="00CD5AF4"/>
    <w:rsid w:val="00CD70C7"/>
    <w:rsid w:val="00CE03E4"/>
    <w:rsid w:val="00CE094E"/>
    <w:rsid w:val="00CE0A47"/>
    <w:rsid w:val="00CE0B72"/>
    <w:rsid w:val="00CE1151"/>
    <w:rsid w:val="00CE1688"/>
    <w:rsid w:val="00CE2EF7"/>
    <w:rsid w:val="00CE346E"/>
    <w:rsid w:val="00CE3D4A"/>
    <w:rsid w:val="00CE407C"/>
    <w:rsid w:val="00CE50D6"/>
    <w:rsid w:val="00CE57BF"/>
    <w:rsid w:val="00CE5C2D"/>
    <w:rsid w:val="00CE6042"/>
    <w:rsid w:val="00CE711F"/>
    <w:rsid w:val="00CE74CD"/>
    <w:rsid w:val="00CF2517"/>
    <w:rsid w:val="00CF44FE"/>
    <w:rsid w:val="00CF466C"/>
    <w:rsid w:val="00CF5D0A"/>
    <w:rsid w:val="00CF5D1F"/>
    <w:rsid w:val="00D00C34"/>
    <w:rsid w:val="00D01A0A"/>
    <w:rsid w:val="00D020F3"/>
    <w:rsid w:val="00D02D83"/>
    <w:rsid w:val="00D03BAD"/>
    <w:rsid w:val="00D04626"/>
    <w:rsid w:val="00D0492B"/>
    <w:rsid w:val="00D04A84"/>
    <w:rsid w:val="00D05475"/>
    <w:rsid w:val="00D05546"/>
    <w:rsid w:val="00D05FB8"/>
    <w:rsid w:val="00D06902"/>
    <w:rsid w:val="00D10D5A"/>
    <w:rsid w:val="00D11062"/>
    <w:rsid w:val="00D11E4F"/>
    <w:rsid w:val="00D123E3"/>
    <w:rsid w:val="00D12515"/>
    <w:rsid w:val="00D12CAE"/>
    <w:rsid w:val="00D12CBB"/>
    <w:rsid w:val="00D13528"/>
    <w:rsid w:val="00D135A1"/>
    <w:rsid w:val="00D14E42"/>
    <w:rsid w:val="00D16C03"/>
    <w:rsid w:val="00D17A8A"/>
    <w:rsid w:val="00D207A1"/>
    <w:rsid w:val="00D20B6E"/>
    <w:rsid w:val="00D22C68"/>
    <w:rsid w:val="00D22F04"/>
    <w:rsid w:val="00D23430"/>
    <w:rsid w:val="00D24F40"/>
    <w:rsid w:val="00D253C4"/>
    <w:rsid w:val="00D2598D"/>
    <w:rsid w:val="00D2745C"/>
    <w:rsid w:val="00D279E7"/>
    <w:rsid w:val="00D31B01"/>
    <w:rsid w:val="00D31C9D"/>
    <w:rsid w:val="00D31F6B"/>
    <w:rsid w:val="00D320DF"/>
    <w:rsid w:val="00D3237D"/>
    <w:rsid w:val="00D324AF"/>
    <w:rsid w:val="00D32609"/>
    <w:rsid w:val="00D32DD8"/>
    <w:rsid w:val="00D333F1"/>
    <w:rsid w:val="00D34909"/>
    <w:rsid w:val="00D36FE2"/>
    <w:rsid w:val="00D37485"/>
    <w:rsid w:val="00D3776D"/>
    <w:rsid w:val="00D37D91"/>
    <w:rsid w:val="00D37E15"/>
    <w:rsid w:val="00D417FB"/>
    <w:rsid w:val="00D41B08"/>
    <w:rsid w:val="00D42697"/>
    <w:rsid w:val="00D42A83"/>
    <w:rsid w:val="00D43095"/>
    <w:rsid w:val="00D44661"/>
    <w:rsid w:val="00D44668"/>
    <w:rsid w:val="00D458D6"/>
    <w:rsid w:val="00D46DFD"/>
    <w:rsid w:val="00D46E79"/>
    <w:rsid w:val="00D47962"/>
    <w:rsid w:val="00D47D3F"/>
    <w:rsid w:val="00D5133D"/>
    <w:rsid w:val="00D52050"/>
    <w:rsid w:val="00D52D70"/>
    <w:rsid w:val="00D52E7D"/>
    <w:rsid w:val="00D56717"/>
    <w:rsid w:val="00D57D76"/>
    <w:rsid w:val="00D622F8"/>
    <w:rsid w:val="00D62DA7"/>
    <w:rsid w:val="00D63A47"/>
    <w:rsid w:val="00D63B86"/>
    <w:rsid w:val="00D658BF"/>
    <w:rsid w:val="00D6713D"/>
    <w:rsid w:val="00D67A53"/>
    <w:rsid w:val="00D703E3"/>
    <w:rsid w:val="00D7202F"/>
    <w:rsid w:val="00D7210C"/>
    <w:rsid w:val="00D728B5"/>
    <w:rsid w:val="00D731B5"/>
    <w:rsid w:val="00D7353A"/>
    <w:rsid w:val="00D73895"/>
    <w:rsid w:val="00D73B3F"/>
    <w:rsid w:val="00D73F78"/>
    <w:rsid w:val="00D74B87"/>
    <w:rsid w:val="00D7513F"/>
    <w:rsid w:val="00D76A34"/>
    <w:rsid w:val="00D77AA6"/>
    <w:rsid w:val="00D801E5"/>
    <w:rsid w:val="00D80DA9"/>
    <w:rsid w:val="00D825CB"/>
    <w:rsid w:val="00D82FB0"/>
    <w:rsid w:val="00D830F7"/>
    <w:rsid w:val="00D83D7B"/>
    <w:rsid w:val="00D85333"/>
    <w:rsid w:val="00D85833"/>
    <w:rsid w:val="00D85874"/>
    <w:rsid w:val="00D8628E"/>
    <w:rsid w:val="00D864F1"/>
    <w:rsid w:val="00D9109D"/>
    <w:rsid w:val="00D9167E"/>
    <w:rsid w:val="00D920C7"/>
    <w:rsid w:val="00D927A1"/>
    <w:rsid w:val="00D934F1"/>
    <w:rsid w:val="00D93D76"/>
    <w:rsid w:val="00D94D27"/>
    <w:rsid w:val="00D9676A"/>
    <w:rsid w:val="00D9739F"/>
    <w:rsid w:val="00D97647"/>
    <w:rsid w:val="00D97AFA"/>
    <w:rsid w:val="00DA15CF"/>
    <w:rsid w:val="00DA22AD"/>
    <w:rsid w:val="00DA2455"/>
    <w:rsid w:val="00DA2812"/>
    <w:rsid w:val="00DA2AE1"/>
    <w:rsid w:val="00DA3044"/>
    <w:rsid w:val="00DA3667"/>
    <w:rsid w:val="00DA40EF"/>
    <w:rsid w:val="00DA52FA"/>
    <w:rsid w:val="00DA5662"/>
    <w:rsid w:val="00DA7299"/>
    <w:rsid w:val="00DB0CEA"/>
    <w:rsid w:val="00DB3E6D"/>
    <w:rsid w:val="00DB4ABF"/>
    <w:rsid w:val="00DB6643"/>
    <w:rsid w:val="00DB6BE2"/>
    <w:rsid w:val="00DB6D4A"/>
    <w:rsid w:val="00DB6D58"/>
    <w:rsid w:val="00DB7E59"/>
    <w:rsid w:val="00DC02B0"/>
    <w:rsid w:val="00DC0772"/>
    <w:rsid w:val="00DC12D8"/>
    <w:rsid w:val="00DC3CAB"/>
    <w:rsid w:val="00DC4961"/>
    <w:rsid w:val="00DC5117"/>
    <w:rsid w:val="00DC61BA"/>
    <w:rsid w:val="00DC6E60"/>
    <w:rsid w:val="00DC7676"/>
    <w:rsid w:val="00DC7ACB"/>
    <w:rsid w:val="00DC7B0F"/>
    <w:rsid w:val="00DD087E"/>
    <w:rsid w:val="00DD0B29"/>
    <w:rsid w:val="00DD0C1C"/>
    <w:rsid w:val="00DD0E02"/>
    <w:rsid w:val="00DD1DA6"/>
    <w:rsid w:val="00DD1FBF"/>
    <w:rsid w:val="00DD2431"/>
    <w:rsid w:val="00DD32C3"/>
    <w:rsid w:val="00DD3641"/>
    <w:rsid w:val="00DD3AE0"/>
    <w:rsid w:val="00DD4A47"/>
    <w:rsid w:val="00DD4C6B"/>
    <w:rsid w:val="00DD5E25"/>
    <w:rsid w:val="00DD6020"/>
    <w:rsid w:val="00DE2D84"/>
    <w:rsid w:val="00DE39DF"/>
    <w:rsid w:val="00DE3B0F"/>
    <w:rsid w:val="00DE3EC3"/>
    <w:rsid w:val="00DE427C"/>
    <w:rsid w:val="00DE4DD9"/>
    <w:rsid w:val="00DE5216"/>
    <w:rsid w:val="00DE593F"/>
    <w:rsid w:val="00DE6572"/>
    <w:rsid w:val="00DE69E7"/>
    <w:rsid w:val="00DE759E"/>
    <w:rsid w:val="00DE7B8A"/>
    <w:rsid w:val="00DF08EE"/>
    <w:rsid w:val="00DF0F08"/>
    <w:rsid w:val="00DF39AD"/>
    <w:rsid w:val="00DF3AE3"/>
    <w:rsid w:val="00DF4287"/>
    <w:rsid w:val="00DF4760"/>
    <w:rsid w:val="00DF4DE5"/>
    <w:rsid w:val="00DF565E"/>
    <w:rsid w:val="00DF595A"/>
    <w:rsid w:val="00DF6094"/>
    <w:rsid w:val="00DF6720"/>
    <w:rsid w:val="00E003BC"/>
    <w:rsid w:val="00E00454"/>
    <w:rsid w:val="00E013C3"/>
    <w:rsid w:val="00E01610"/>
    <w:rsid w:val="00E030E3"/>
    <w:rsid w:val="00E03FFE"/>
    <w:rsid w:val="00E064FB"/>
    <w:rsid w:val="00E07BDE"/>
    <w:rsid w:val="00E07FEB"/>
    <w:rsid w:val="00E108DF"/>
    <w:rsid w:val="00E10BDD"/>
    <w:rsid w:val="00E10CFD"/>
    <w:rsid w:val="00E11C2E"/>
    <w:rsid w:val="00E12675"/>
    <w:rsid w:val="00E15580"/>
    <w:rsid w:val="00E15799"/>
    <w:rsid w:val="00E158CF"/>
    <w:rsid w:val="00E1671B"/>
    <w:rsid w:val="00E167B5"/>
    <w:rsid w:val="00E16985"/>
    <w:rsid w:val="00E1756B"/>
    <w:rsid w:val="00E206D8"/>
    <w:rsid w:val="00E20B68"/>
    <w:rsid w:val="00E21065"/>
    <w:rsid w:val="00E211EA"/>
    <w:rsid w:val="00E2262D"/>
    <w:rsid w:val="00E23A14"/>
    <w:rsid w:val="00E2558F"/>
    <w:rsid w:val="00E256C3"/>
    <w:rsid w:val="00E262D3"/>
    <w:rsid w:val="00E26544"/>
    <w:rsid w:val="00E26B74"/>
    <w:rsid w:val="00E26D59"/>
    <w:rsid w:val="00E27067"/>
    <w:rsid w:val="00E302EB"/>
    <w:rsid w:val="00E30E9F"/>
    <w:rsid w:val="00E31427"/>
    <w:rsid w:val="00E31985"/>
    <w:rsid w:val="00E31B06"/>
    <w:rsid w:val="00E32689"/>
    <w:rsid w:val="00E35AF3"/>
    <w:rsid w:val="00E36817"/>
    <w:rsid w:val="00E37228"/>
    <w:rsid w:val="00E376CC"/>
    <w:rsid w:val="00E41417"/>
    <w:rsid w:val="00E42E82"/>
    <w:rsid w:val="00E4323C"/>
    <w:rsid w:val="00E444B8"/>
    <w:rsid w:val="00E45682"/>
    <w:rsid w:val="00E46718"/>
    <w:rsid w:val="00E47C6E"/>
    <w:rsid w:val="00E5033D"/>
    <w:rsid w:val="00E50701"/>
    <w:rsid w:val="00E50FED"/>
    <w:rsid w:val="00E5209F"/>
    <w:rsid w:val="00E5232B"/>
    <w:rsid w:val="00E526AA"/>
    <w:rsid w:val="00E52939"/>
    <w:rsid w:val="00E52D1E"/>
    <w:rsid w:val="00E54AF0"/>
    <w:rsid w:val="00E56A8A"/>
    <w:rsid w:val="00E57157"/>
    <w:rsid w:val="00E57215"/>
    <w:rsid w:val="00E60570"/>
    <w:rsid w:val="00E616D4"/>
    <w:rsid w:val="00E619E5"/>
    <w:rsid w:val="00E622EB"/>
    <w:rsid w:val="00E62316"/>
    <w:rsid w:val="00E6269A"/>
    <w:rsid w:val="00E641F9"/>
    <w:rsid w:val="00E64249"/>
    <w:rsid w:val="00E6462B"/>
    <w:rsid w:val="00E65207"/>
    <w:rsid w:val="00E652F4"/>
    <w:rsid w:val="00E672C4"/>
    <w:rsid w:val="00E674B9"/>
    <w:rsid w:val="00E67A57"/>
    <w:rsid w:val="00E700DC"/>
    <w:rsid w:val="00E70FE3"/>
    <w:rsid w:val="00E71D01"/>
    <w:rsid w:val="00E72C5A"/>
    <w:rsid w:val="00E72ED5"/>
    <w:rsid w:val="00E72FC6"/>
    <w:rsid w:val="00E72FF1"/>
    <w:rsid w:val="00E73EC4"/>
    <w:rsid w:val="00E74CEF"/>
    <w:rsid w:val="00E751F1"/>
    <w:rsid w:val="00E75A84"/>
    <w:rsid w:val="00E75F25"/>
    <w:rsid w:val="00E77FD3"/>
    <w:rsid w:val="00E808B6"/>
    <w:rsid w:val="00E80E21"/>
    <w:rsid w:val="00E81D9E"/>
    <w:rsid w:val="00E825D8"/>
    <w:rsid w:val="00E827E8"/>
    <w:rsid w:val="00E83409"/>
    <w:rsid w:val="00E8377C"/>
    <w:rsid w:val="00E850A0"/>
    <w:rsid w:val="00E85F11"/>
    <w:rsid w:val="00E86797"/>
    <w:rsid w:val="00E8698D"/>
    <w:rsid w:val="00E869C0"/>
    <w:rsid w:val="00E869DE"/>
    <w:rsid w:val="00E908B0"/>
    <w:rsid w:val="00E92109"/>
    <w:rsid w:val="00E92170"/>
    <w:rsid w:val="00E932F8"/>
    <w:rsid w:val="00E94AB3"/>
    <w:rsid w:val="00E950CA"/>
    <w:rsid w:val="00E97014"/>
    <w:rsid w:val="00E973E9"/>
    <w:rsid w:val="00E9790B"/>
    <w:rsid w:val="00E979AF"/>
    <w:rsid w:val="00EA0257"/>
    <w:rsid w:val="00EA0343"/>
    <w:rsid w:val="00EA0C0C"/>
    <w:rsid w:val="00EA1A77"/>
    <w:rsid w:val="00EA3CED"/>
    <w:rsid w:val="00EA474D"/>
    <w:rsid w:val="00EA5DED"/>
    <w:rsid w:val="00EA5F17"/>
    <w:rsid w:val="00EA6056"/>
    <w:rsid w:val="00EA6633"/>
    <w:rsid w:val="00EB002E"/>
    <w:rsid w:val="00EB2CF5"/>
    <w:rsid w:val="00EB2D29"/>
    <w:rsid w:val="00EB347E"/>
    <w:rsid w:val="00EB352C"/>
    <w:rsid w:val="00EB460C"/>
    <w:rsid w:val="00EB4821"/>
    <w:rsid w:val="00EB50C9"/>
    <w:rsid w:val="00EB5ABE"/>
    <w:rsid w:val="00EB6BA1"/>
    <w:rsid w:val="00EB7399"/>
    <w:rsid w:val="00EB7770"/>
    <w:rsid w:val="00EC2440"/>
    <w:rsid w:val="00EC253C"/>
    <w:rsid w:val="00EC2A95"/>
    <w:rsid w:val="00EC3617"/>
    <w:rsid w:val="00EC41C1"/>
    <w:rsid w:val="00EC453F"/>
    <w:rsid w:val="00EC4635"/>
    <w:rsid w:val="00EC4987"/>
    <w:rsid w:val="00EC4E6A"/>
    <w:rsid w:val="00EC66AF"/>
    <w:rsid w:val="00EC6DAF"/>
    <w:rsid w:val="00EC6F40"/>
    <w:rsid w:val="00EC7475"/>
    <w:rsid w:val="00ED0595"/>
    <w:rsid w:val="00ED2500"/>
    <w:rsid w:val="00ED2943"/>
    <w:rsid w:val="00ED2ED1"/>
    <w:rsid w:val="00ED325F"/>
    <w:rsid w:val="00ED41C1"/>
    <w:rsid w:val="00ED583D"/>
    <w:rsid w:val="00ED5B29"/>
    <w:rsid w:val="00ED5C88"/>
    <w:rsid w:val="00ED5DE4"/>
    <w:rsid w:val="00ED5DE5"/>
    <w:rsid w:val="00ED6220"/>
    <w:rsid w:val="00ED6770"/>
    <w:rsid w:val="00ED6771"/>
    <w:rsid w:val="00ED6FEA"/>
    <w:rsid w:val="00ED7277"/>
    <w:rsid w:val="00ED7883"/>
    <w:rsid w:val="00ED7D50"/>
    <w:rsid w:val="00EE01E1"/>
    <w:rsid w:val="00EE0B69"/>
    <w:rsid w:val="00EE1574"/>
    <w:rsid w:val="00EE1675"/>
    <w:rsid w:val="00EE2052"/>
    <w:rsid w:val="00EE2C94"/>
    <w:rsid w:val="00EE365A"/>
    <w:rsid w:val="00EE3C6B"/>
    <w:rsid w:val="00EE42B2"/>
    <w:rsid w:val="00EE46D8"/>
    <w:rsid w:val="00EE490F"/>
    <w:rsid w:val="00EE5F8D"/>
    <w:rsid w:val="00EE70EE"/>
    <w:rsid w:val="00EE76F3"/>
    <w:rsid w:val="00EF0FA9"/>
    <w:rsid w:val="00EF1023"/>
    <w:rsid w:val="00EF1183"/>
    <w:rsid w:val="00EF118D"/>
    <w:rsid w:val="00EF21B8"/>
    <w:rsid w:val="00EF222A"/>
    <w:rsid w:val="00EF2321"/>
    <w:rsid w:val="00EF3F7E"/>
    <w:rsid w:val="00EF48A6"/>
    <w:rsid w:val="00EF4AEC"/>
    <w:rsid w:val="00EF4D82"/>
    <w:rsid w:val="00EF5724"/>
    <w:rsid w:val="00EF579C"/>
    <w:rsid w:val="00EF641A"/>
    <w:rsid w:val="00EF662C"/>
    <w:rsid w:val="00EF7ADD"/>
    <w:rsid w:val="00EF7EBC"/>
    <w:rsid w:val="00F00A76"/>
    <w:rsid w:val="00F0427D"/>
    <w:rsid w:val="00F05C0E"/>
    <w:rsid w:val="00F10028"/>
    <w:rsid w:val="00F10DB9"/>
    <w:rsid w:val="00F12160"/>
    <w:rsid w:val="00F14CA2"/>
    <w:rsid w:val="00F16D13"/>
    <w:rsid w:val="00F16E10"/>
    <w:rsid w:val="00F16E70"/>
    <w:rsid w:val="00F16F02"/>
    <w:rsid w:val="00F170CA"/>
    <w:rsid w:val="00F170F7"/>
    <w:rsid w:val="00F17AA0"/>
    <w:rsid w:val="00F17E64"/>
    <w:rsid w:val="00F20F01"/>
    <w:rsid w:val="00F225F2"/>
    <w:rsid w:val="00F22BAC"/>
    <w:rsid w:val="00F231EB"/>
    <w:rsid w:val="00F236D7"/>
    <w:rsid w:val="00F2382F"/>
    <w:rsid w:val="00F242ED"/>
    <w:rsid w:val="00F24405"/>
    <w:rsid w:val="00F24575"/>
    <w:rsid w:val="00F24907"/>
    <w:rsid w:val="00F254DC"/>
    <w:rsid w:val="00F25666"/>
    <w:rsid w:val="00F25968"/>
    <w:rsid w:val="00F25BD7"/>
    <w:rsid w:val="00F26979"/>
    <w:rsid w:val="00F26EFC"/>
    <w:rsid w:val="00F273C4"/>
    <w:rsid w:val="00F2777A"/>
    <w:rsid w:val="00F30E5C"/>
    <w:rsid w:val="00F322DD"/>
    <w:rsid w:val="00F34CBA"/>
    <w:rsid w:val="00F36417"/>
    <w:rsid w:val="00F365B5"/>
    <w:rsid w:val="00F36655"/>
    <w:rsid w:val="00F36A98"/>
    <w:rsid w:val="00F37039"/>
    <w:rsid w:val="00F37B31"/>
    <w:rsid w:val="00F40112"/>
    <w:rsid w:val="00F40F36"/>
    <w:rsid w:val="00F41094"/>
    <w:rsid w:val="00F41CB9"/>
    <w:rsid w:val="00F422F4"/>
    <w:rsid w:val="00F43061"/>
    <w:rsid w:val="00F434FA"/>
    <w:rsid w:val="00F43789"/>
    <w:rsid w:val="00F448DE"/>
    <w:rsid w:val="00F451D7"/>
    <w:rsid w:val="00F46E2D"/>
    <w:rsid w:val="00F47CE0"/>
    <w:rsid w:val="00F47D0B"/>
    <w:rsid w:val="00F47EBE"/>
    <w:rsid w:val="00F506DE"/>
    <w:rsid w:val="00F52EE6"/>
    <w:rsid w:val="00F53991"/>
    <w:rsid w:val="00F541CC"/>
    <w:rsid w:val="00F54AD4"/>
    <w:rsid w:val="00F54D93"/>
    <w:rsid w:val="00F5606E"/>
    <w:rsid w:val="00F56ABD"/>
    <w:rsid w:val="00F600BC"/>
    <w:rsid w:val="00F60BDC"/>
    <w:rsid w:val="00F610FF"/>
    <w:rsid w:val="00F61968"/>
    <w:rsid w:val="00F620E9"/>
    <w:rsid w:val="00F6465D"/>
    <w:rsid w:val="00F649ED"/>
    <w:rsid w:val="00F65533"/>
    <w:rsid w:val="00F65D47"/>
    <w:rsid w:val="00F65E96"/>
    <w:rsid w:val="00F67893"/>
    <w:rsid w:val="00F70EB2"/>
    <w:rsid w:val="00F71490"/>
    <w:rsid w:val="00F71B48"/>
    <w:rsid w:val="00F72A66"/>
    <w:rsid w:val="00F72DB6"/>
    <w:rsid w:val="00F76B0E"/>
    <w:rsid w:val="00F7701C"/>
    <w:rsid w:val="00F77EA0"/>
    <w:rsid w:val="00F80537"/>
    <w:rsid w:val="00F828CF"/>
    <w:rsid w:val="00F831B2"/>
    <w:rsid w:val="00F845F4"/>
    <w:rsid w:val="00F857DB"/>
    <w:rsid w:val="00F86D8E"/>
    <w:rsid w:val="00F874C4"/>
    <w:rsid w:val="00F90142"/>
    <w:rsid w:val="00F90393"/>
    <w:rsid w:val="00F904BA"/>
    <w:rsid w:val="00F90681"/>
    <w:rsid w:val="00F91362"/>
    <w:rsid w:val="00F920D6"/>
    <w:rsid w:val="00F921AD"/>
    <w:rsid w:val="00F92340"/>
    <w:rsid w:val="00F9236A"/>
    <w:rsid w:val="00F92EED"/>
    <w:rsid w:val="00F93844"/>
    <w:rsid w:val="00F93FF7"/>
    <w:rsid w:val="00F9497F"/>
    <w:rsid w:val="00F949D5"/>
    <w:rsid w:val="00F94B8E"/>
    <w:rsid w:val="00F94E05"/>
    <w:rsid w:val="00F95C28"/>
    <w:rsid w:val="00F96556"/>
    <w:rsid w:val="00F967A7"/>
    <w:rsid w:val="00FA0AA2"/>
    <w:rsid w:val="00FA15FF"/>
    <w:rsid w:val="00FA20C0"/>
    <w:rsid w:val="00FA212B"/>
    <w:rsid w:val="00FA256A"/>
    <w:rsid w:val="00FA43A9"/>
    <w:rsid w:val="00FA5BA8"/>
    <w:rsid w:val="00FA5C9A"/>
    <w:rsid w:val="00FA6327"/>
    <w:rsid w:val="00FA6FE9"/>
    <w:rsid w:val="00FA7274"/>
    <w:rsid w:val="00FA7D48"/>
    <w:rsid w:val="00FB2B96"/>
    <w:rsid w:val="00FB2BDD"/>
    <w:rsid w:val="00FB3AD0"/>
    <w:rsid w:val="00FB58DA"/>
    <w:rsid w:val="00FB5C1B"/>
    <w:rsid w:val="00FB5FCE"/>
    <w:rsid w:val="00FB6377"/>
    <w:rsid w:val="00FB6A93"/>
    <w:rsid w:val="00FB6F08"/>
    <w:rsid w:val="00FB77A1"/>
    <w:rsid w:val="00FB78AF"/>
    <w:rsid w:val="00FB7953"/>
    <w:rsid w:val="00FB7DF7"/>
    <w:rsid w:val="00FC009E"/>
    <w:rsid w:val="00FC024A"/>
    <w:rsid w:val="00FC0C58"/>
    <w:rsid w:val="00FC0F48"/>
    <w:rsid w:val="00FC2ED6"/>
    <w:rsid w:val="00FC38E4"/>
    <w:rsid w:val="00FC43FA"/>
    <w:rsid w:val="00FC4953"/>
    <w:rsid w:val="00FC4E90"/>
    <w:rsid w:val="00FC5827"/>
    <w:rsid w:val="00FC5C96"/>
    <w:rsid w:val="00FC6711"/>
    <w:rsid w:val="00FC6823"/>
    <w:rsid w:val="00FC6997"/>
    <w:rsid w:val="00FD0846"/>
    <w:rsid w:val="00FD0E16"/>
    <w:rsid w:val="00FD15D3"/>
    <w:rsid w:val="00FD161E"/>
    <w:rsid w:val="00FD16DD"/>
    <w:rsid w:val="00FD1D05"/>
    <w:rsid w:val="00FD2930"/>
    <w:rsid w:val="00FD3575"/>
    <w:rsid w:val="00FD42F6"/>
    <w:rsid w:val="00FD4523"/>
    <w:rsid w:val="00FD4532"/>
    <w:rsid w:val="00FD4568"/>
    <w:rsid w:val="00FD4752"/>
    <w:rsid w:val="00FD5171"/>
    <w:rsid w:val="00FD6DF4"/>
    <w:rsid w:val="00FD6F4A"/>
    <w:rsid w:val="00FD7A14"/>
    <w:rsid w:val="00FD7C57"/>
    <w:rsid w:val="00FD7D6C"/>
    <w:rsid w:val="00FE10D7"/>
    <w:rsid w:val="00FE2572"/>
    <w:rsid w:val="00FE31EC"/>
    <w:rsid w:val="00FE32B6"/>
    <w:rsid w:val="00FE6291"/>
    <w:rsid w:val="00FF0032"/>
    <w:rsid w:val="00FF0C11"/>
    <w:rsid w:val="00FF0C3B"/>
    <w:rsid w:val="00FF124A"/>
    <w:rsid w:val="00FF13D1"/>
    <w:rsid w:val="00FF1434"/>
    <w:rsid w:val="00FF18E1"/>
    <w:rsid w:val="00FF1E43"/>
    <w:rsid w:val="00FF2051"/>
    <w:rsid w:val="00FF28CD"/>
    <w:rsid w:val="00FF3FAB"/>
    <w:rsid w:val="00FF42C2"/>
    <w:rsid w:val="00FF4789"/>
    <w:rsid w:val="00FF49F6"/>
    <w:rsid w:val="00FF4C20"/>
    <w:rsid w:val="00FF5114"/>
    <w:rsid w:val="00FF53B0"/>
    <w:rsid w:val="00FF5AC6"/>
    <w:rsid w:val="00FF5BA6"/>
    <w:rsid w:val="00FF5F61"/>
    <w:rsid w:val="00FF70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C5ABF63"/>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uiPriority w:val="9"/>
    <w:qFormat/>
    <w:rsid w:val="0001130B"/>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6B0DB5"/>
    <w:pPr>
      <w:keepNext/>
      <w:spacing w:before="240" w:after="60" w:line="240" w:lineRule="auto"/>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01130B"/>
    <w:rPr>
      <w:rFonts w:ascii="Cambria" w:eastAsia="Times New Roman" w:hAnsi="Cambria" w:cs="Times New Roman"/>
      <w:b/>
      <w:bCs/>
      <w:kern w:val="32"/>
      <w:sz w:val="32"/>
      <w:szCs w:val="32"/>
      <w:lang w:val="sq-AL" w:bidi="en-US"/>
    </w:rPr>
  </w:style>
  <w:style w:type="character" w:customStyle="1" w:styleId="Heading4Char">
    <w:name w:val="Heading 4 Char"/>
    <w:basedOn w:val="DefaultParagraphFont"/>
    <w:link w:val="Heading4"/>
    <w:rsid w:val="006B0DB5"/>
    <w:rPr>
      <w:rFonts w:ascii="Times New Roman" w:eastAsia="Times New Roman" w:hAnsi="Times New Roman" w:cs="Times New Roman"/>
      <w:b/>
      <w:bCs/>
      <w:sz w:val="28"/>
      <w:szCs w:val="28"/>
      <w:lang w:val="x-none" w:eastAsia="x-none"/>
    </w:rPr>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F1023"/>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aliases w:val=" Char Char2"/>
    <w:basedOn w:val="DefaultParagraphFont"/>
    <w:rsid w:val="00C129CB"/>
    <w:rPr>
      <w:rFonts w:asciiTheme="majorHAnsi" w:eastAsiaTheme="majorEastAsia" w:hAnsiTheme="majorHAnsi" w:cstheme="majorBidi"/>
      <w:color w:val="323E4F" w:themeColor="text2" w:themeShade="BF"/>
      <w:spacing w:val="5"/>
      <w:kern w:val="28"/>
      <w:sz w:val="52"/>
      <w:szCs w:val="52"/>
    </w:rPr>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paragraph" w:styleId="NoSpacing">
    <w:name w:val="No Spacing"/>
    <w:link w:val="NoSpacingChar"/>
    <w:uiPriority w:val="99"/>
    <w:qFormat/>
    <w:rsid w:val="000821C0"/>
    <w:pPr>
      <w:spacing w:after="0" w:line="240" w:lineRule="auto"/>
    </w:pPr>
    <w:rPr>
      <w:rFonts w:ascii="Calibri" w:eastAsia="Calibri" w:hAnsi="Calibri" w:cs="Times New Roman"/>
      <w:lang w:val="sq-AL"/>
    </w:rPr>
  </w:style>
  <w:style w:type="character" w:customStyle="1" w:styleId="NoSpacingChar">
    <w:name w:val="No Spacing Char"/>
    <w:link w:val="NoSpacing"/>
    <w:uiPriority w:val="1"/>
    <w:qFormat/>
    <w:locked/>
    <w:rsid w:val="000E06AB"/>
    <w:rPr>
      <w:rFonts w:ascii="Calibri" w:eastAsia="Calibri" w:hAnsi="Calibri" w:cs="Times New Roman"/>
      <w:lang w:val="sq-AL"/>
    </w:rPr>
  </w:style>
  <w:style w:type="character" w:customStyle="1" w:styleId="hps">
    <w:name w:val="hps"/>
    <w:basedOn w:val="DefaultParagraphFont"/>
    <w:rsid w:val="00F541CC"/>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
    <w:basedOn w:val="Normal"/>
    <w:link w:val="FootnoteTextChar"/>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uiPriority w:val="99"/>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7C2EEA"/>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3A30BD"/>
    <w:pPr>
      <w:spacing w:after="160" w:line="240" w:lineRule="exact"/>
    </w:pPr>
    <w:rPr>
      <w:rFonts w:asciiTheme="minorHAnsi" w:hAnsiTheme="minorHAnsi" w:cstheme="minorBidi"/>
      <w:sz w:val="22"/>
      <w:szCs w:val="22"/>
      <w:vertAlign w:val="superscript"/>
      <w:lang w:val="en-US"/>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character" w:customStyle="1" w:styleId="sb8d990e2">
    <w:name w:val="sb8d990e2"/>
    <w:basedOn w:val="DefaultParagraphFont"/>
    <w:rsid w:val="001B5336"/>
  </w:style>
  <w:style w:type="character" w:customStyle="1" w:styleId="contentpasted0">
    <w:name w:val="contentpasted0"/>
    <w:rsid w:val="009D7FC1"/>
  </w:style>
  <w:style w:type="character" w:customStyle="1" w:styleId="jlqj4b">
    <w:name w:val="jlqj4b"/>
    <w:basedOn w:val="DefaultParagraphFont"/>
    <w:rsid w:val="00201A56"/>
  </w:style>
  <w:style w:type="character" w:customStyle="1" w:styleId="Bodytext3">
    <w:name w:val="Body text (3)_"/>
    <w:link w:val="Bodytext31"/>
    <w:uiPriority w:val="99"/>
    <w:rsid w:val="00AF3BC8"/>
    <w:rPr>
      <w:i/>
      <w:iCs/>
      <w:sz w:val="16"/>
      <w:szCs w:val="16"/>
      <w:shd w:val="clear" w:color="auto" w:fill="FFFFFF"/>
    </w:rPr>
  </w:style>
  <w:style w:type="paragraph" w:customStyle="1" w:styleId="Bodytext31">
    <w:name w:val="Body text (3)1"/>
    <w:basedOn w:val="Normal"/>
    <w:link w:val="Bodytext3"/>
    <w:uiPriority w:val="99"/>
    <w:rsid w:val="00AF3BC8"/>
    <w:pPr>
      <w:widowControl w:val="0"/>
      <w:shd w:val="clear" w:color="auto" w:fill="FFFFFF"/>
      <w:spacing w:before="180" w:line="202" w:lineRule="exact"/>
      <w:ind w:hanging="480"/>
      <w:jc w:val="both"/>
    </w:pPr>
    <w:rPr>
      <w:rFonts w:asciiTheme="minorHAnsi" w:hAnsiTheme="minorHAnsi" w:cstheme="minorBidi"/>
      <w:i/>
      <w:iCs/>
      <w:sz w:val="16"/>
      <w:szCs w:val="16"/>
      <w:lang w:val="en-US"/>
    </w:rPr>
  </w:style>
  <w:style w:type="character" w:customStyle="1" w:styleId="EndnoteTextChar">
    <w:name w:val="Endnote Text Char"/>
    <w:basedOn w:val="DefaultParagraphFont"/>
    <w:link w:val="EndnoteText"/>
    <w:uiPriority w:val="99"/>
    <w:semiHidden/>
    <w:rsid w:val="006B0DB5"/>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6B0DB5"/>
    <w:pPr>
      <w:spacing w:after="200" w:line="276" w:lineRule="auto"/>
    </w:pPr>
    <w:rPr>
      <w:rFonts w:ascii="Calibri" w:eastAsia="Times New Roman" w:hAnsi="Calibri"/>
      <w:sz w:val="20"/>
      <w:szCs w:val="20"/>
      <w:lang w:val="x-none" w:eastAsia="x-none"/>
    </w:rPr>
  </w:style>
  <w:style w:type="character" w:styleId="Hyperlink">
    <w:name w:val="Hyperlink"/>
    <w:unhideWhenUsed/>
    <w:rsid w:val="006B0DB5"/>
    <w:rPr>
      <w:color w:val="0000FF"/>
      <w:u w:val="single"/>
    </w:rPr>
  </w:style>
  <w:style w:type="paragraph" w:styleId="ListBullet">
    <w:name w:val="List Bullet"/>
    <w:basedOn w:val="Normal"/>
    <w:uiPriority w:val="99"/>
    <w:unhideWhenUsed/>
    <w:rsid w:val="006B0DB5"/>
    <w:pPr>
      <w:numPr>
        <w:numId w:val="8"/>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6B0DB5"/>
    <w:rPr>
      <w:b/>
      <w:bCs/>
    </w:rPr>
  </w:style>
  <w:style w:type="character" w:customStyle="1" w:styleId="Heading112">
    <w:name w:val="Heading #11 (2)_"/>
    <w:link w:val="Heading1120"/>
    <w:uiPriority w:val="99"/>
    <w:locked/>
    <w:rsid w:val="006B0DB5"/>
    <w:rPr>
      <w:sz w:val="18"/>
      <w:szCs w:val="18"/>
      <w:shd w:val="clear" w:color="auto" w:fill="FFFFFF"/>
    </w:rPr>
  </w:style>
  <w:style w:type="paragraph" w:customStyle="1" w:styleId="Heading1120">
    <w:name w:val="Heading #11 (2)"/>
    <w:basedOn w:val="Normal"/>
    <w:link w:val="Heading112"/>
    <w:uiPriority w:val="99"/>
    <w:rsid w:val="006B0DB5"/>
    <w:pPr>
      <w:widowControl w:val="0"/>
      <w:shd w:val="clear" w:color="auto" w:fill="FFFFFF"/>
      <w:spacing w:after="60" w:line="255" w:lineRule="exact"/>
      <w:jc w:val="both"/>
    </w:pPr>
    <w:rPr>
      <w:rFonts w:asciiTheme="minorHAnsi" w:hAnsiTheme="minorHAnsi" w:cstheme="minorBidi"/>
      <w:sz w:val="18"/>
      <w:szCs w:val="18"/>
      <w:lang w:val="en-US"/>
    </w:rPr>
  </w:style>
  <w:style w:type="character" w:customStyle="1" w:styleId="Bodytext465pt">
    <w:name w:val="Body text (4) + 6.5 pt"/>
    <w:aliases w:val="Bold17,Italic10,Spacing 0 pt17"/>
    <w:uiPriority w:val="99"/>
    <w:rsid w:val="006B0DB5"/>
    <w:rPr>
      <w:b/>
      <w:bCs/>
      <w:i/>
      <w:iCs/>
      <w:spacing w:val="10"/>
      <w:sz w:val="13"/>
      <w:szCs w:val="13"/>
      <w:shd w:val="clear" w:color="auto" w:fill="FFFFFF"/>
    </w:rPr>
  </w:style>
  <w:style w:type="paragraph" w:customStyle="1" w:styleId="Bodytext22">
    <w:name w:val="Body text (2)"/>
    <w:basedOn w:val="Normal"/>
    <w:uiPriority w:val="99"/>
    <w:rsid w:val="006B0DB5"/>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6B0DB5"/>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6B0DB5"/>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3F55CD"/>
  </w:style>
  <w:style w:type="character" w:customStyle="1" w:styleId="y2iqfc">
    <w:name w:val="y2iqfc"/>
    <w:basedOn w:val="DefaultParagraphFont"/>
    <w:rsid w:val="00205040"/>
  </w:style>
  <w:style w:type="table" w:styleId="TableGrid">
    <w:name w:val="Table Grid"/>
    <w:basedOn w:val="TableNormal"/>
    <w:uiPriority w:val="39"/>
    <w:rsid w:val="00DA15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89947">
      <w:bodyDiv w:val="1"/>
      <w:marLeft w:val="0"/>
      <w:marRight w:val="0"/>
      <w:marTop w:val="0"/>
      <w:marBottom w:val="0"/>
      <w:divBdr>
        <w:top w:val="none" w:sz="0" w:space="0" w:color="auto"/>
        <w:left w:val="none" w:sz="0" w:space="0" w:color="auto"/>
        <w:bottom w:val="none" w:sz="0" w:space="0" w:color="auto"/>
        <w:right w:val="none" w:sz="0" w:space="0" w:color="auto"/>
      </w:divBdr>
    </w:div>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290400467">
      <w:bodyDiv w:val="1"/>
      <w:marLeft w:val="0"/>
      <w:marRight w:val="0"/>
      <w:marTop w:val="0"/>
      <w:marBottom w:val="0"/>
      <w:divBdr>
        <w:top w:val="none" w:sz="0" w:space="0" w:color="auto"/>
        <w:left w:val="none" w:sz="0" w:space="0" w:color="auto"/>
        <w:bottom w:val="none" w:sz="0" w:space="0" w:color="auto"/>
        <w:right w:val="none" w:sz="0" w:space="0" w:color="auto"/>
      </w:divBdr>
    </w:div>
    <w:div w:id="436221842">
      <w:bodyDiv w:val="1"/>
      <w:marLeft w:val="0"/>
      <w:marRight w:val="0"/>
      <w:marTop w:val="0"/>
      <w:marBottom w:val="0"/>
      <w:divBdr>
        <w:top w:val="none" w:sz="0" w:space="0" w:color="auto"/>
        <w:left w:val="none" w:sz="0" w:space="0" w:color="auto"/>
        <w:bottom w:val="none" w:sz="0" w:space="0" w:color="auto"/>
        <w:right w:val="none" w:sz="0" w:space="0" w:color="auto"/>
      </w:divBdr>
    </w:div>
    <w:div w:id="452213943">
      <w:bodyDiv w:val="1"/>
      <w:marLeft w:val="0"/>
      <w:marRight w:val="0"/>
      <w:marTop w:val="0"/>
      <w:marBottom w:val="0"/>
      <w:divBdr>
        <w:top w:val="none" w:sz="0" w:space="0" w:color="auto"/>
        <w:left w:val="none" w:sz="0" w:space="0" w:color="auto"/>
        <w:bottom w:val="none" w:sz="0" w:space="0" w:color="auto"/>
        <w:right w:val="none" w:sz="0" w:space="0" w:color="auto"/>
      </w:divBdr>
    </w:div>
    <w:div w:id="607005651">
      <w:bodyDiv w:val="1"/>
      <w:marLeft w:val="0"/>
      <w:marRight w:val="0"/>
      <w:marTop w:val="0"/>
      <w:marBottom w:val="0"/>
      <w:divBdr>
        <w:top w:val="none" w:sz="0" w:space="0" w:color="auto"/>
        <w:left w:val="none" w:sz="0" w:space="0" w:color="auto"/>
        <w:bottom w:val="none" w:sz="0" w:space="0" w:color="auto"/>
        <w:right w:val="none" w:sz="0" w:space="0" w:color="auto"/>
      </w:divBdr>
    </w:div>
    <w:div w:id="619457734">
      <w:bodyDiv w:val="1"/>
      <w:marLeft w:val="0"/>
      <w:marRight w:val="0"/>
      <w:marTop w:val="0"/>
      <w:marBottom w:val="0"/>
      <w:divBdr>
        <w:top w:val="none" w:sz="0" w:space="0" w:color="auto"/>
        <w:left w:val="none" w:sz="0" w:space="0" w:color="auto"/>
        <w:bottom w:val="none" w:sz="0" w:space="0" w:color="auto"/>
        <w:right w:val="none" w:sz="0" w:space="0" w:color="auto"/>
      </w:divBdr>
    </w:div>
    <w:div w:id="772214317">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163592564">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343555810">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 w:id="1715085064">
      <w:bodyDiv w:val="1"/>
      <w:marLeft w:val="0"/>
      <w:marRight w:val="0"/>
      <w:marTop w:val="0"/>
      <w:marBottom w:val="0"/>
      <w:divBdr>
        <w:top w:val="none" w:sz="0" w:space="0" w:color="auto"/>
        <w:left w:val="none" w:sz="0" w:space="0" w:color="auto"/>
        <w:bottom w:val="none" w:sz="0" w:space="0" w:color="auto"/>
        <w:right w:val="none" w:sz="0" w:space="0" w:color="auto"/>
      </w:divBdr>
    </w:div>
    <w:div w:id="1872759454">
      <w:bodyDiv w:val="1"/>
      <w:marLeft w:val="0"/>
      <w:marRight w:val="0"/>
      <w:marTop w:val="0"/>
      <w:marBottom w:val="0"/>
      <w:divBdr>
        <w:top w:val="none" w:sz="0" w:space="0" w:color="auto"/>
        <w:left w:val="none" w:sz="0" w:space="0" w:color="auto"/>
        <w:bottom w:val="none" w:sz="0" w:space="0" w:color="auto"/>
        <w:right w:val="none" w:sz="0" w:space="0" w:color="auto"/>
      </w:divBdr>
    </w:div>
    <w:div w:id="2041347200">
      <w:bodyDiv w:val="1"/>
      <w:marLeft w:val="0"/>
      <w:marRight w:val="0"/>
      <w:marTop w:val="0"/>
      <w:marBottom w:val="0"/>
      <w:divBdr>
        <w:top w:val="none" w:sz="0" w:space="0" w:color="auto"/>
        <w:left w:val="none" w:sz="0" w:space="0" w:color="auto"/>
        <w:bottom w:val="none" w:sz="0" w:space="0" w:color="auto"/>
        <w:right w:val="none" w:sz="0" w:space="0" w:color="auto"/>
      </w:divBdr>
    </w:div>
    <w:div w:id="2050568877">
      <w:bodyDiv w:val="1"/>
      <w:marLeft w:val="0"/>
      <w:marRight w:val="0"/>
      <w:marTop w:val="0"/>
      <w:marBottom w:val="0"/>
      <w:divBdr>
        <w:top w:val="none" w:sz="0" w:space="0" w:color="auto"/>
        <w:left w:val="none" w:sz="0" w:space="0" w:color="auto"/>
        <w:bottom w:val="none" w:sz="0" w:space="0" w:color="auto"/>
        <w:right w:val="none" w:sz="0" w:space="0" w:color="auto"/>
      </w:divBdr>
    </w:div>
    <w:div w:id="213027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3A96760437B4C7CA4DA1C4BF6F8B98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Nr_x002e__x0020_akti>
    <Data_x0020_e_x0020_Krijimit xmlns="0e656187-b300-4fb0-8bf4-3a50f872073c">2025-06-05T08:43:05Z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2025-06-04T00:00:00Z</Date_x0020_protokolli>
    <Titulli xmlns="0e656187-b300-4fb0-8bf4-3a50f872073c">Me objekt shfuqizimin e vendimeve nr. 22/22-2018-127, datë 17.04.2018  të Gjykatës së Rrethit Gjyqësor Tiranë; nr. 20-2018-830/104,  datë 17.10.2018 të Gjykatës së Apelit Gjirokastër; nr. 00- 2024-1285, datë 11.07.2024 të Kolegjit Penal të Gjykatës së  Lartë, si të papajtueshme me Kushtetutën e Republikës së  Shqipërisë.</Titulli>
    <Modifikuesi xmlns="0e656187-b300-4fb0-8bf4-3a50f872073c">jorina.kryeziu</Modifikuesi>
    <Nr_x002e__x0020_prot_x0020_QBZ xmlns="0e656187-b300-4fb0-8bf4-3a50f872073c">879/1</Nr_x002e__x0020_prot_x0020_QBZ>
    <Data_x0020_e_x0020_Modifikimit xmlns="0e656187-b300-4fb0-8bf4-3a50f872073c">2025-06-05T13:03:35Z</Data_x0020_e_x0020_Modifikimit>
    <Dekretuar xmlns="0e656187-b300-4fb0-8bf4-3a50f872073c">false</Dekretuar>
    <Data xmlns="0e656187-b300-4fb0-8bf4-3a50f872073c">2025-04-29T00:00:00Z</Data>
    <Nr_x002e__x0020_protokolli_x0020_i_x0020_aktit xmlns="0e656187-b300-4fb0-8bf4-3a50f872073c">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5E2B7-B266-4212-A6C1-769415B07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EA02EC3-551C-4AF6-A83D-5528DD60D0B8}">
  <ds:schemaRefs>
    <ds:schemaRef ds:uri="http://schemas.microsoft.com/office/2006/documentManagement/types"/>
    <ds:schemaRef ds:uri="http://purl.org/dc/elements/1.1/"/>
    <ds:schemaRef ds:uri="0e656187-b300-4fb0-8bf4-3a50f872073c"/>
    <ds:schemaRef ds:uri="http://purl.org/dc/term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CC33F715-2A37-4560-A7C1-AFDCA198F846}">
  <ds:schemaRefs>
    <ds:schemaRef ds:uri="http://schemas.microsoft.com/sharepoint/v3/contenttype/forms"/>
  </ds:schemaRefs>
</ds:datastoreItem>
</file>

<file path=customXml/itemProps4.xml><?xml version="1.0" encoding="utf-8"?>
<ds:datastoreItem xmlns:ds="http://schemas.openxmlformats.org/officeDocument/2006/customXml" ds:itemID="{8FB4492E-1998-4B8E-92A5-FA1A81510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9</Pages>
  <Words>5787</Words>
  <Characters>32989</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Me objekt shfuqizimin e vendimeve nr. 22/22-2018-127, datë 17.04.2018 të Gjykatës së Rrethit Gjyqësor Tiranë; nr. 20-2018-830/104, datë 17.10.2018 të Gjykatës së Apelit Gjirokastër; nr. 00- 2024-1285, datë 11.07.2024 të Kolegjit Penal të Gjykatës së Lartë</vt:lpstr>
    </vt:vector>
  </TitlesOfParts>
  <Company/>
  <LinksUpToDate>false</LinksUpToDate>
  <CharactersWithSpaces>38699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22/22-2018-127, datë 17.04.2018 të Gjykatës së Rrethit Gjyqësor Tiranë; nr. 20-2018-830/104, datë 17.10.2018 të Gjykatës së Apelit Gjirokastër; nr. 00- 2024-1285, datë 11.07.2024 të Kolegjit Penal të Gjykatës së Lartë, si të papajtueshme me Kushtetutën e Republikës së Shqipërisë.</dc:title>
  <dc:creator>Ermal Tauzi</dc:creator>
  <cp:lastModifiedBy>Jorina Kryeziu</cp:lastModifiedBy>
  <cp:revision>18</cp:revision>
  <cp:lastPrinted>2025-05-28T14:41:00Z</cp:lastPrinted>
  <dcterms:created xsi:type="dcterms:W3CDTF">2025-05-28T09:28:00Z</dcterms:created>
  <dcterms:modified xsi:type="dcterms:W3CDTF">2025-06-05T12:25:00Z</dcterms:modified>
</cp:coreProperties>
</file>