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CFD48D" w14:textId="0CDA0046" w:rsidR="008446DF" w:rsidRPr="004079B3" w:rsidRDefault="008446DF" w:rsidP="008446DF">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4079B3">
        <w:rPr>
          <w:rFonts w:ascii="Garamond" w:eastAsia="Times New Roman" w:hAnsi="Garamond" w:cs="Times New Roman"/>
          <w:b/>
          <w:bCs/>
          <w:sz w:val="24"/>
          <w:szCs w:val="24"/>
        </w:rPr>
        <w:t>VENDIM</w:t>
      </w:r>
    </w:p>
    <w:p w14:paraId="22493D7F" w14:textId="3799D690" w:rsidR="008446DF" w:rsidRPr="004079B3" w:rsidRDefault="008446DF" w:rsidP="008446DF">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4079B3">
        <w:rPr>
          <w:rFonts w:ascii="Garamond" w:eastAsia="Times New Roman" w:hAnsi="Garamond" w:cs="Times New Roman"/>
          <w:b/>
          <w:bCs/>
          <w:sz w:val="24"/>
          <w:szCs w:val="24"/>
        </w:rPr>
        <w:t>Nr.</w:t>
      </w:r>
      <w:r w:rsidR="004079B3">
        <w:rPr>
          <w:rFonts w:ascii="Garamond" w:eastAsia="Times New Roman" w:hAnsi="Garamond" w:cs="Times New Roman"/>
          <w:b/>
          <w:bCs/>
          <w:sz w:val="24"/>
          <w:szCs w:val="24"/>
        </w:rPr>
        <w:t xml:space="preserve"> </w:t>
      </w:r>
      <w:r w:rsidRPr="004079B3">
        <w:rPr>
          <w:rFonts w:ascii="Garamond" w:eastAsia="Times New Roman" w:hAnsi="Garamond" w:cs="Times New Roman"/>
          <w:b/>
          <w:bCs/>
          <w:sz w:val="24"/>
          <w:szCs w:val="24"/>
        </w:rPr>
        <w:t>41, datë 24.6.2025</w:t>
      </w:r>
    </w:p>
    <w:p w14:paraId="0CB8D289" w14:textId="77777777" w:rsidR="008446DF" w:rsidRPr="004079B3" w:rsidRDefault="008446DF" w:rsidP="008446DF">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p>
    <w:p w14:paraId="7719D83F" w14:textId="7947D379" w:rsidR="008446DF" w:rsidRPr="004079B3" w:rsidRDefault="008446DF" w:rsidP="008446DF">
      <w:pPr>
        <w:keepNext/>
        <w:shd w:val="clear" w:color="auto" w:fill="FFFFFF"/>
        <w:autoSpaceDE w:val="0"/>
        <w:autoSpaceDN w:val="0"/>
        <w:spacing w:after="0" w:line="240" w:lineRule="auto"/>
        <w:ind w:firstLine="284"/>
        <w:contextualSpacing/>
        <w:jc w:val="center"/>
        <w:outlineLvl w:val="0"/>
        <w:rPr>
          <w:rFonts w:ascii="Garamond" w:eastAsia="Times New Roman" w:hAnsi="Garamond" w:cs="Times New Roman"/>
          <w:b/>
          <w:bCs/>
          <w:sz w:val="24"/>
          <w:szCs w:val="24"/>
        </w:rPr>
      </w:pPr>
      <w:r w:rsidRPr="004079B3">
        <w:rPr>
          <w:rFonts w:ascii="Garamond" w:eastAsia="Times New Roman" w:hAnsi="Garamond" w:cs="Times New Roman"/>
          <w:b/>
          <w:bCs/>
          <w:sz w:val="24"/>
          <w:szCs w:val="24"/>
        </w:rPr>
        <w:t>NË EMËR TË REPUBLIKËS SË SHQIPËRISË</w:t>
      </w:r>
    </w:p>
    <w:p w14:paraId="3589DD7A" w14:textId="77777777" w:rsidR="008446DF" w:rsidRPr="004079B3" w:rsidRDefault="008446DF" w:rsidP="008446DF">
      <w:pPr>
        <w:tabs>
          <w:tab w:val="left" w:pos="1080"/>
        </w:tabs>
        <w:spacing w:after="0" w:line="240" w:lineRule="auto"/>
        <w:ind w:firstLine="284"/>
        <w:contextualSpacing/>
        <w:jc w:val="both"/>
        <w:rPr>
          <w:rFonts w:ascii="Garamond" w:hAnsi="Garamond" w:cs="Times New Roman"/>
          <w:b/>
          <w:bCs/>
          <w:sz w:val="24"/>
          <w:szCs w:val="24"/>
          <w:u w:val="single"/>
        </w:rPr>
      </w:pPr>
    </w:p>
    <w:p w14:paraId="05025D14" w14:textId="77777777" w:rsidR="008446DF" w:rsidRPr="004079B3" w:rsidRDefault="008446DF" w:rsidP="008446DF">
      <w:pPr>
        <w:spacing w:after="0" w:line="240" w:lineRule="auto"/>
        <w:ind w:firstLine="284"/>
        <w:jc w:val="both"/>
        <w:rPr>
          <w:rFonts w:ascii="Garamond" w:hAnsi="Garamond" w:cs="Times New Roman"/>
          <w:sz w:val="24"/>
          <w:szCs w:val="24"/>
        </w:rPr>
      </w:pPr>
      <w:r w:rsidRPr="004079B3">
        <w:rPr>
          <w:rFonts w:ascii="Garamond" w:hAnsi="Garamond" w:cs="Times New Roman"/>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661"/>
      </w:tblGrid>
      <w:tr w:rsidR="008446DF" w:rsidRPr="004079B3" w14:paraId="209AFBE3" w14:textId="77777777" w:rsidTr="004079B3">
        <w:tc>
          <w:tcPr>
            <w:tcW w:w="2689" w:type="dxa"/>
          </w:tcPr>
          <w:p w14:paraId="46B96DE1" w14:textId="77777777" w:rsidR="008446DF" w:rsidRPr="004079B3" w:rsidRDefault="008446DF" w:rsidP="004079B3">
            <w:pPr>
              <w:ind w:firstLine="284"/>
              <w:jc w:val="both"/>
              <w:rPr>
                <w:rFonts w:ascii="Garamond" w:hAnsi="Garamond" w:cs="Times New Roman"/>
                <w:bCs/>
                <w:sz w:val="24"/>
                <w:szCs w:val="24"/>
              </w:rPr>
            </w:pPr>
            <w:proofErr w:type="spellStart"/>
            <w:r w:rsidRPr="004079B3">
              <w:rPr>
                <w:rFonts w:ascii="Garamond" w:hAnsi="Garamond" w:cs="Times New Roman"/>
                <w:bCs/>
                <w:sz w:val="24"/>
                <w:szCs w:val="24"/>
              </w:rPr>
              <w:t>Holta</w:t>
            </w:r>
            <w:proofErr w:type="spellEnd"/>
            <w:r w:rsidRPr="004079B3">
              <w:rPr>
                <w:rFonts w:ascii="Garamond" w:hAnsi="Garamond" w:cs="Times New Roman"/>
                <w:bCs/>
                <w:sz w:val="24"/>
                <w:szCs w:val="24"/>
              </w:rPr>
              <w:t xml:space="preserve"> </w:t>
            </w:r>
            <w:proofErr w:type="spellStart"/>
            <w:r w:rsidRPr="004079B3">
              <w:rPr>
                <w:rFonts w:ascii="Garamond" w:hAnsi="Garamond" w:cs="Times New Roman"/>
                <w:bCs/>
                <w:sz w:val="24"/>
                <w:szCs w:val="24"/>
              </w:rPr>
              <w:t>Zaçaj</w:t>
            </w:r>
            <w:proofErr w:type="spellEnd"/>
            <w:r w:rsidRPr="004079B3">
              <w:rPr>
                <w:rFonts w:ascii="Garamond" w:hAnsi="Garamond" w:cs="Times New Roman"/>
                <w:bCs/>
                <w:sz w:val="24"/>
                <w:szCs w:val="24"/>
              </w:rPr>
              <w:t>,</w:t>
            </w:r>
          </w:p>
          <w:p w14:paraId="52B9319F" w14:textId="77777777" w:rsidR="008446DF" w:rsidRPr="004079B3" w:rsidRDefault="008446DF" w:rsidP="004079B3">
            <w:pPr>
              <w:ind w:firstLine="284"/>
              <w:jc w:val="both"/>
              <w:rPr>
                <w:rFonts w:ascii="Garamond" w:hAnsi="Garamond" w:cs="Times New Roman"/>
                <w:bCs/>
                <w:sz w:val="24"/>
                <w:szCs w:val="24"/>
              </w:rPr>
            </w:pPr>
            <w:proofErr w:type="spellStart"/>
            <w:r w:rsidRPr="004079B3">
              <w:rPr>
                <w:rFonts w:ascii="Garamond" w:hAnsi="Garamond" w:cs="Times New Roman"/>
                <w:bCs/>
                <w:sz w:val="24"/>
                <w:szCs w:val="24"/>
              </w:rPr>
              <w:t>Marsida</w:t>
            </w:r>
            <w:proofErr w:type="spellEnd"/>
            <w:r w:rsidRPr="004079B3">
              <w:rPr>
                <w:rFonts w:ascii="Garamond" w:hAnsi="Garamond" w:cs="Times New Roman"/>
                <w:bCs/>
                <w:sz w:val="24"/>
                <w:szCs w:val="24"/>
              </w:rPr>
              <w:t xml:space="preserve"> </w:t>
            </w:r>
            <w:proofErr w:type="spellStart"/>
            <w:r w:rsidRPr="004079B3">
              <w:rPr>
                <w:rFonts w:ascii="Garamond" w:hAnsi="Garamond" w:cs="Times New Roman"/>
                <w:bCs/>
                <w:sz w:val="24"/>
                <w:szCs w:val="24"/>
              </w:rPr>
              <w:t>Xhaferllari</w:t>
            </w:r>
            <w:proofErr w:type="spellEnd"/>
            <w:r w:rsidRPr="004079B3">
              <w:rPr>
                <w:rFonts w:ascii="Garamond" w:hAnsi="Garamond" w:cs="Times New Roman"/>
                <w:bCs/>
                <w:sz w:val="24"/>
                <w:szCs w:val="24"/>
              </w:rPr>
              <w:t>,</w:t>
            </w:r>
          </w:p>
          <w:p w14:paraId="25B17548" w14:textId="77777777" w:rsidR="008446DF" w:rsidRPr="004079B3" w:rsidRDefault="008446DF" w:rsidP="004079B3">
            <w:pPr>
              <w:ind w:firstLine="284"/>
              <w:jc w:val="both"/>
              <w:rPr>
                <w:rFonts w:ascii="Garamond" w:hAnsi="Garamond" w:cs="Times New Roman"/>
                <w:bCs/>
                <w:sz w:val="24"/>
                <w:szCs w:val="24"/>
              </w:rPr>
            </w:pPr>
            <w:proofErr w:type="spellStart"/>
            <w:r w:rsidRPr="004079B3">
              <w:rPr>
                <w:rFonts w:ascii="Garamond" w:hAnsi="Garamond" w:cs="Times New Roman"/>
                <w:bCs/>
                <w:sz w:val="24"/>
                <w:szCs w:val="24"/>
              </w:rPr>
              <w:t>Fiona</w:t>
            </w:r>
            <w:proofErr w:type="spellEnd"/>
            <w:r w:rsidRPr="004079B3">
              <w:rPr>
                <w:rFonts w:ascii="Garamond" w:hAnsi="Garamond" w:cs="Times New Roman"/>
                <w:bCs/>
                <w:sz w:val="24"/>
                <w:szCs w:val="24"/>
              </w:rPr>
              <w:t xml:space="preserve"> </w:t>
            </w:r>
            <w:proofErr w:type="spellStart"/>
            <w:r w:rsidRPr="004079B3">
              <w:rPr>
                <w:rFonts w:ascii="Garamond" w:hAnsi="Garamond" w:cs="Times New Roman"/>
                <w:bCs/>
                <w:sz w:val="24"/>
                <w:szCs w:val="24"/>
              </w:rPr>
              <w:t>Papajorgji</w:t>
            </w:r>
            <w:proofErr w:type="spellEnd"/>
            <w:r w:rsidRPr="004079B3">
              <w:rPr>
                <w:rFonts w:ascii="Garamond" w:hAnsi="Garamond" w:cs="Times New Roman"/>
                <w:bCs/>
                <w:sz w:val="24"/>
                <w:szCs w:val="24"/>
              </w:rPr>
              <w:t>,</w:t>
            </w:r>
          </w:p>
          <w:p w14:paraId="23ED20CD" w14:textId="77777777" w:rsidR="008446DF" w:rsidRPr="004079B3" w:rsidRDefault="008446DF" w:rsidP="004079B3">
            <w:pPr>
              <w:ind w:firstLine="284"/>
              <w:jc w:val="both"/>
              <w:rPr>
                <w:rFonts w:ascii="Garamond" w:hAnsi="Garamond" w:cs="Times New Roman"/>
                <w:bCs/>
                <w:sz w:val="24"/>
                <w:szCs w:val="24"/>
              </w:rPr>
            </w:pPr>
            <w:proofErr w:type="spellStart"/>
            <w:r w:rsidRPr="004079B3">
              <w:rPr>
                <w:rFonts w:ascii="Garamond" w:hAnsi="Garamond" w:cs="Times New Roman"/>
                <w:bCs/>
                <w:sz w:val="24"/>
                <w:szCs w:val="24"/>
              </w:rPr>
              <w:t>Sonila</w:t>
            </w:r>
            <w:proofErr w:type="spellEnd"/>
            <w:r w:rsidRPr="004079B3">
              <w:rPr>
                <w:rFonts w:ascii="Garamond" w:hAnsi="Garamond" w:cs="Times New Roman"/>
                <w:bCs/>
                <w:sz w:val="24"/>
                <w:szCs w:val="24"/>
              </w:rPr>
              <w:t xml:space="preserve"> Bejtja, </w:t>
            </w:r>
          </w:p>
          <w:p w14:paraId="5B10238D" w14:textId="77777777" w:rsidR="008446DF" w:rsidRPr="004079B3" w:rsidRDefault="008446DF" w:rsidP="004079B3">
            <w:pPr>
              <w:ind w:firstLine="284"/>
              <w:jc w:val="both"/>
              <w:rPr>
                <w:rFonts w:ascii="Garamond" w:hAnsi="Garamond" w:cs="Times New Roman"/>
                <w:bCs/>
                <w:sz w:val="24"/>
                <w:szCs w:val="24"/>
              </w:rPr>
            </w:pPr>
            <w:proofErr w:type="spellStart"/>
            <w:r w:rsidRPr="004079B3">
              <w:rPr>
                <w:rFonts w:ascii="Garamond" w:hAnsi="Garamond" w:cs="Times New Roman"/>
                <w:bCs/>
                <w:sz w:val="24"/>
                <w:szCs w:val="24"/>
              </w:rPr>
              <w:t>Sandër</w:t>
            </w:r>
            <w:proofErr w:type="spellEnd"/>
            <w:r w:rsidRPr="004079B3">
              <w:rPr>
                <w:rFonts w:ascii="Garamond" w:hAnsi="Garamond" w:cs="Times New Roman"/>
                <w:bCs/>
                <w:sz w:val="24"/>
                <w:szCs w:val="24"/>
              </w:rPr>
              <w:t xml:space="preserve"> Beci,</w:t>
            </w:r>
          </w:p>
          <w:p w14:paraId="1530B237" w14:textId="77777777" w:rsidR="008446DF" w:rsidRPr="004079B3" w:rsidRDefault="008446DF" w:rsidP="004079B3">
            <w:pPr>
              <w:ind w:firstLine="284"/>
              <w:jc w:val="both"/>
              <w:rPr>
                <w:rFonts w:ascii="Garamond" w:hAnsi="Garamond" w:cs="Times New Roman"/>
                <w:bCs/>
                <w:sz w:val="24"/>
                <w:szCs w:val="24"/>
              </w:rPr>
            </w:pPr>
            <w:r w:rsidRPr="004079B3">
              <w:rPr>
                <w:rFonts w:ascii="Garamond" w:hAnsi="Garamond" w:cs="Times New Roman"/>
                <w:bCs/>
                <w:sz w:val="24"/>
                <w:szCs w:val="24"/>
              </w:rPr>
              <w:t>Ilir Toska,</w:t>
            </w:r>
          </w:p>
          <w:p w14:paraId="0831A13B" w14:textId="77777777" w:rsidR="008446DF" w:rsidRPr="004079B3" w:rsidRDefault="008446DF" w:rsidP="004079B3">
            <w:pPr>
              <w:ind w:firstLine="284"/>
              <w:jc w:val="both"/>
              <w:rPr>
                <w:rFonts w:ascii="Garamond" w:hAnsi="Garamond" w:cs="Times New Roman"/>
                <w:bCs/>
                <w:sz w:val="24"/>
                <w:szCs w:val="24"/>
              </w:rPr>
            </w:pPr>
            <w:r w:rsidRPr="004079B3">
              <w:rPr>
                <w:rFonts w:ascii="Garamond" w:hAnsi="Garamond" w:cs="Times New Roman"/>
                <w:bCs/>
                <w:sz w:val="24"/>
                <w:szCs w:val="24"/>
              </w:rPr>
              <w:t>Genti Ibrahimi,</w:t>
            </w:r>
          </w:p>
          <w:p w14:paraId="7302FF37" w14:textId="77777777" w:rsidR="008446DF" w:rsidRPr="004079B3" w:rsidRDefault="008446DF" w:rsidP="004079B3">
            <w:pPr>
              <w:ind w:firstLine="284"/>
              <w:jc w:val="both"/>
              <w:rPr>
                <w:rFonts w:ascii="Garamond" w:hAnsi="Garamond" w:cs="Times New Roman"/>
                <w:sz w:val="24"/>
                <w:szCs w:val="24"/>
              </w:rPr>
            </w:pPr>
            <w:proofErr w:type="spellStart"/>
            <w:r w:rsidRPr="004079B3">
              <w:rPr>
                <w:rFonts w:ascii="Garamond" w:hAnsi="Garamond" w:cs="Times New Roman"/>
                <w:bCs/>
                <w:sz w:val="24"/>
                <w:szCs w:val="24"/>
              </w:rPr>
              <w:t>Marjana</w:t>
            </w:r>
            <w:proofErr w:type="spellEnd"/>
            <w:r w:rsidRPr="004079B3">
              <w:rPr>
                <w:rFonts w:ascii="Garamond" w:hAnsi="Garamond" w:cs="Times New Roman"/>
                <w:bCs/>
                <w:sz w:val="24"/>
                <w:szCs w:val="24"/>
              </w:rPr>
              <w:t xml:space="preserve"> </w:t>
            </w:r>
            <w:proofErr w:type="spellStart"/>
            <w:r w:rsidRPr="004079B3">
              <w:rPr>
                <w:rFonts w:ascii="Garamond" w:hAnsi="Garamond" w:cs="Times New Roman"/>
                <w:bCs/>
                <w:sz w:val="24"/>
                <w:szCs w:val="24"/>
              </w:rPr>
              <w:t>Semini</w:t>
            </w:r>
            <w:proofErr w:type="spellEnd"/>
            <w:r w:rsidRPr="004079B3">
              <w:rPr>
                <w:rFonts w:ascii="Garamond" w:hAnsi="Garamond" w:cs="Times New Roman"/>
                <w:bCs/>
                <w:sz w:val="24"/>
                <w:szCs w:val="24"/>
              </w:rPr>
              <w:t>,</w:t>
            </w:r>
          </w:p>
        </w:tc>
        <w:tc>
          <w:tcPr>
            <w:tcW w:w="6661" w:type="dxa"/>
          </w:tcPr>
          <w:p w14:paraId="5505D651" w14:textId="46DA9145" w:rsidR="008446DF" w:rsidRPr="004079B3" w:rsidRDefault="004079B3" w:rsidP="004079B3">
            <w:pPr>
              <w:ind w:firstLine="284"/>
              <w:jc w:val="both"/>
              <w:rPr>
                <w:rFonts w:ascii="Garamond" w:hAnsi="Garamond" w:cs="Times New Roman"/>
                <w:bCs/>
                <w:sz w:val="24"/>
                <w:szCs w:val="24"/>
              </w:rPr>
            </w:pPr>
            <w:r w:rsidRPr="004079B3">
              <w:rPr>
                <w:rFonts w:ascii="Garamond" w:hAnsi="Garamond" w:cs="Times New Roman"/>
                <w:bCs/>
                <w:sz w:val="24"/>
                <w:szCs w:val="24"/>
              </w:rPr>
              <w:t>kryetare</w:t>
            </w:r>
            <w:r>
              <w:rPr>
                <w:rFonts w:ascii="Garamond" w:hAnsi="Garamond" w:cs="Times New Roman"/>
                <w:bCs/>
                <w:sz w:val="24"/>
                <w:szCs w:val="24"/>
              </w:rPr>
              <w:t>;</w:t>
            </w:r>
          </w:p>
          <w:p w14:paraId="5BFBCCA6" w14:textId="4CB14A22" w:rsidR="008446DF" w:rsidRPr="004079B3" w:rsidRDefault="004079B3" w:rsidP="004079B3">
            <w:pPr>
              <w:tabs>
                <w:tab w:val="left" w:pos="720"/>
              </w:tabs>
              <w:ind w:firstLine="284"/>
              <w:rPr>
                <w:rFonts w:ascii="Garamond" w:hAnsi="Garamond" w:cs="Times New Roman"/>
                <w:bCs/>
                <w:sz w:val="24"/>
                <w:szCs w:val="24"/>
              </w:rPr>
            </w:pPr>
            <w:r w:rsidRPr="004079B3">
              <w:rPr>
                <w:rFonts w:ascii="Garamond" w:hAnsi="Garamond" w:cs="Times New Roman"/>
                <w:bCs/>
                <w:sz w:val="24"/>
                <w:szCs w:val="24"/>
              </w:rPr>
              <w:t>anëtare</w:t>
            </w:r>
            <w:r>
              <w:rPr>
                <w:rFonts w:ascii="Garamond" w:hAnsi="Garamond" w:cs="Times New Roman"/>
                <w:bCs/>
                <w:sz w:val="24"/>
                <w:szCs w:val="24"/>
              </w:rPr>
              <w:t>;</w:t>
            </w:r>
          </w:p>
          <w:p w14:paraId="65E6D35F" w14:textId="4875CF65" w:rsidR="008446DF" w:rsidRPr="004079B3" w:rsidRDefault="004079B3" w:rsidP="004079B3">
            <w:pPr>
              <w:ind w:firstLine="284"/>
              <w:jc w:val="both"/>
              <w:rPr>
                <w:rFonts w:ascii="Garamond" w:hAnsi="Garamond" w:cs="Times New Roman"/>
                <w:bCs/>
                <w:sz w:val="24"/>
                <w:szCs w:val="24"/>
              </w:rPr>
            </w:pPr>
            <w:r w:rsidRPr="004079B3">
              <w:rPr>
                <w:rFonts w:ascii="Garamond" w:hAnsi="Garamond" w:cs="Times New Roman"/>
                <w:bCs/>
                <w:sz w:val="24"/>
                <w:szCs w:val="24"/>
              </w:rPr>
              <w:t>anëtare</w:t>
            </w:r>
            <w:r>
              <w:rPr>
                <w:rFonts w:ascii="Garamond" w:hAnsi="Garamond" w:cs="Times New Roman"/>
                <w:bCs/>
                <w:sz w:val="24"/>
                <w:szCs w:val="24"/>
              </w:rPr>
              <w:t>;</w:t>
            </w:r>
          </w:p>
          <w:p w14:paraId="6347BFE5" w14:textId="6AA235BF" w:rsidR="008446DF" w:rsidRPr="004079B3" w:rsidRDefault="004079B3" w:rsidP="004079B3">
            <w:pPr>
              <w:tabs>
                <w:tab w:val="left" w:pos="720"/>
              </w:tabs>
              <w:ind w:firstLine="284"/>
              <w:rPr>
                <w:rFonts w:ascii="Garamond" w:hAnsi="Garamond" w:cs="Times New Roman"/>
                <w:bCs/>
                <w:sz w:val="24"/>
                <w:szCs w:val="24"/>
              </w:rPr>
            </w:pPr>
            <w:r w:rsidRPr="004079B3">
              <w:rPr>
                <w:rFonts w:ascii="Garamond" w:hAnsi="Garamond" w:cs="Times New Roman"/>
                <w:bCs/>
                <w:sz w:val="24"/>
                <w:szCs w:val="24"/>
              </w:rPr>
              <w:t>anëtare</w:t>
            </w:r>
            <w:r>
              <w:rPr>
                <w:rFonts w:ascii="Garamond" w:hAnsi="Garamond" w:cs="Times New Roman"/>
                <w:bCs/>
                <w:sz w:val="24"/>
                <w:szCs w:val="24"/>
              </w:rPr>
              <w:t>;</w:t>
            </w:r>
          </w:p>
          <w:p w14:paraId="5299B2F8" w14:textId="0B02A85C" w:rsidR="008446DF" w:rsidRPr="004079B3" w:rsidRDefault="004079B3" w:rsidP="004079B3">
            <w:pPr>
              <w:tabs>
                <w:tab w:val="left" w:pos="720"/>
              </w:tabs>
              <w:ind w:firstLine="284"/>
              <w:rPr>
                <w:rFonts w:ascii="Garamond" w:hAnsi="Garamond" w:cs="Times New Roman"/>
                <w:bCs/>
                <w:sz w:val="24"/>
                <w:szCs w:val="24"/>
              </w:rPr>
            </w:pPr>
            <w:r w:rsidRPr="004079B3">
              <w:rPr>
                <w:rFonts w:ascii="Garamond" w:hAnsi="Garamond" w:cs="Times New Roman"/>
                <w:bCs/>
                <w:sz w:val="24"/>
                <w:szCs w:val="24"/>
              </w:rPr>
              <w:t>anëtar</w:t>
            </w:r>
            <w:r>
              <w:rPr>
                <w:rFonts w:ascii="Garamond" w:hAnsi="Garamond" w:cs="Times New Roman"/>
                <w:bCs/>
                <w:sz w:val="24"/>
                <w:szCs w:val="24"/>
              </w:rPr>
              <w:t>;</w:t>
            </w:r>
          </w:p>
          <w:p w14:paraId="6D73BAD1" w14:textId="00018726" w:rsidR="008446DF" w:rsidRPr="004079B3" w:rsidRDefault="004079B3" w:rsidP="004079B3">
            <w:pPr>
              <w:tabs>
                <w:tab w:val="left" w:pos="720"/>
              </w:tabs>
              <w:ind w:firstLine="284"/>
              <w:rPr>
                <w:rFonts w:ascii="Garamond" w:hAnsi="Garamond" w:cs="Times New Roman"/>
                <w:bCs/>
                <w:sz w:val="24"/>
                <w:szCs w:val="24"/>
              </w:rPr>
            </w:pPr>
            <w:r w:rsidRPr="004079B3">
              <w:rPr>
                <w:rFonts w:ascii="Garamond" w:hAnsi="Garamond" w:cs="Times New Roman"/>
                <w:bCs/>
                <w:sz w:val="24"/>
                <w:szCs w:val="24"/>
              </w:rPr>
              <w:t>anëtar</w:t>
            </w:r>
            <w:r>
              <w:rPr>
                <w:rFonts w:ascii="Garamond" w:hAnsi="Garamond" w:cs="Times New Roman"/>
                <w:bCs/>
                <w:sz w:val="24"/>
                <w:szCs w:val="24"/>
              </w:rPr>
              <w:t>;</w:t>
            </w:r>
          </w:p>
          <w:p w14:paraId="0BD2E541" w14:textId="07FE1C2F" w:rsidR="008446DF" w:rsidRPr="004079B3" w:rsidRDefault="004079B3" w:rsidP="004079B3">
            <w:pPr>
              <w:tabs>
                <w:tab w:val="left" w:pos="720"/>
              </w:tabs>
              <w:ind w:firstLine="284"/>
              <w:rPr>
                <w:rFonts w:ascii="Garamond" w:hAnsi="Garamond" w:cs="Times New Roman"/>
                <w:bCs/>
                <w:sz w:val="24"/>
                <w:szCs w:val="24"/>
              </w:rPr>
            </w:pPr>
            <w:r w:rsidRPr="004079B3">
              <w:rPr>
                <w:rFonts w:ascii="Garamond" w:hAnsi="Garamond" w:cs="Times New Roman"/>
                <w:bCs/>
                <w:sz w:val="24"/>
                <w:szCs w:val="24"/>
              </w:rPr>
              <w:t>anëtar</w:t>
            </w:r>
            <w:r>
              <w:rPr>
                <w:rFonts w:ascii="Garamond" w:hAnsi="Garamond" w:cs="Times New Roman"/>
                <w:bCs/>
                <w:sz w:val="24"/>
                <w:szCs w:val="24"/>
              </w:rPr>
              <w:t>;</w:t>
            </w:r>
          </w:p>
          <w:p w14:paraId="34B1B5DF" w14:textId="3A8BF80A" w:rsidR="008446DF" w:rsidRPr="004079B3" w:rsidRDefault="004079B3" w:rsidP="004079B3">
            <w:pPr>
              <w:ind w:firstLine="284"/>
              <w:jc w:val="both"/>
              <w:rPr>
                <w:rFonts w:ascii="Garamond" w:hAnsi="Garamond" w:cs="Times New Roman"/>
                <w:bCs/>
                <w:sz w:val="24"/>
                <w:szCs w:val="24"/>
              </w:rPr>
            </w:pPr>
            <w:r w:rsidRPr="004079B3">
              <w:rPr>
                <w:rFonts w:ascii="Garamond" w:hAnsi="Garamond" w:cs="Times New Roman"/>
                <w:bCs/>
                <w:sz w:val="24"/>
                <w:szCs w:val="24"/>
              </w:rPr>
              <w:t>anëtare</w:t>
            </w:r>
            <w:r>
              <w:rPr>
                <w:rFonts w:ascii="Garamond" w:hAnsi="Garamond" w:cs="Times New Roman"/>
                <w:bCs/>
                <w:sz w:val="24"/>
                <w:szCs w:val="24"/>
              </w:rPr>
              <w:t>,</w:t>
            </w:r>
          </w:p>
        </w:tc>
      </w:tr>
    </w:tbl>
    <w:p w14:paraId="74BDFF11" w14:textId="3124F53B" w:rsidR="008446DF" w:rsidRPr="004079B3" w:rsidRDefault="008446DF" w:rsidP="004079B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Garamond"/>
          <w:color w:val="000000"/>
          <w:sz w:val="24"/>
          <w:szCs w:val="24"/>
        </w:rPr>
        <w:t xml:space="preserve">me sekretare </w:t>
      </w:r>
      <w:proofErr w:type="spellStart"/>
      <w:r w:rsidRPr="004079B3">
        <w:rPr>
          <w:rFonts w:ascii="Garamond" w:eastAsiaTheme="minorHAnsi" w:hAnsi="Garamond" w:cs="Garamond"/>
          <w:color w:val="000000"/>
          <w:sz w:val="24"/>
          <w:szCs w:val="24"/>
        </w:rPr>
        <w:t>Belma</w:t>
      </w:r>
      <w:proofErr w:type="spellEnd"/>
      <w:r w:rsidRPr="004079B3">
        <w:rPr>
          <w:rFonts w:ascii="Garamond" w:eastAsiaTheme="minorHAnsi" w:hAnsi="Garamond" w:cs="Garamond"/>
          <w:color w:val="000000"/>
          <w:sz w:val="24"/>
          <w:szCs w:val="24"/>
        </w:rPr>
        <w:t xml:space="preserve"> Lleshi, në datat 4.6.2025 dhe 24.6.2025</w:t>
      </w:r>
      <w:r w:rsidR="004079B3">
        <w:rPr>
          <w:rFonts w:ascii="Garamond" w:eastAsiaTheme="minorHAnsi" w:hAnsi="Garamond" w:cs="Garamond"/>
          <w:color w:val="000000"/>
          <w:sz w:val="24"/>
          <w:szCs w:val="24"/>
        </w:rPr>
        <w:t>,</w:t>
      </w:r>
      <w:r w:rsidRPr="004079B3">
        <w:rPr>
          <w:rFonts w:ascii="Garamond" w:eastAsiaTheme="minorHAnsi" w:hAnsi="Garamond" w:cs="Garamond"/>
          <w:color w:val="000000"/>
          <w:sz w:val="24"/>
          <w:szCs w:val="24"/>
        </w:rPr>
        <w:t xml:space="preserve"> mori në shqyrtim në seancë plenare mbi bazë të dokumenteve kërkesën nr. 19 (F) 2024 të Regjistrit Themeltar, që u përket:</w:t>
      </w:r>
    </w:p>
    <w:p w14:paraId="37EF1395" w14:textId="53E79BD1" w:rsidR="008446DF" w:rsidRPr="004079B3" w:rsidRDefault="008446DF" w:rsidP="004079B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Garamond"/>
          <w:color w:val="000000"/>
          <w:sz w:val="24"/>
          <w:szCs w:val="24"/>
        </w:rPr>
        <w:t xml:space="preserve">KËRKUES: </w:t>
      </w:r>
      <w:r w:rsidR="004079B3" w:rsidRPr="004079B3">
        <w:rPr>
          <w:rFonts w:ascii="Garamond" w:eastAsiaTheme="minorHAnsi" w:hAnsi="Garamond" w:cs="Garamond"/>
          <w:color w:val="000000"/>
          <w:sz w:val="24"/>
          <w:szCs w:val="24"/>
        </w:rPr>
        <w:t>Fatos Gjini</w:t>
      </w:r>
      <w:r w:rsidRPr="004079B3">
        <w:rPr>
          <w:rFonts w:ascii="Garamond" w:eastAsiaTheme="minorHAnsi" w:hAnsi="Garamond" w:cs="Garamond"/>
          <w:color w:val="000000"/>
          <w:sz w:val="24"/>
          <w:szCs w:val="24"/>
        </w:rPr>
        <w:t xml:space="preserve">, përfaqësuar nga avokat Arseni </w:t>
      </w:r>
      <w:proofErr w:type="spellStart"/>
      <w:r w:rsidRPr="004079B3">
        <w:rPr>
          <w:rFonts w:ascii="Garamond" w:eastAsiaTheme="minorHAnsi" w:hAnsi="Garamond" w:cs="Garamond"/>
          <w:color w:val="000000"/>
          <w:sz w:val="24"/>
          <w:szCs w:val="24"/>
        </w:rPr>
        <w:t>Mema</w:t>
      </w:r>
      <w:proofErr w:type="spellEnd"/>
      <w:r w:rsidRPr="004079B3">
        <w:rPr>
          <w:rFonts w:ascii="Garamond" w:eastAsiaTheme="minorHAnsi" w:hAnsi="Garamond" w:cs="Garamond"/>
          <w:color w:val="000000"/>
          <w:sz w:val="24"/>
          <w:szCs w:val="24"/>
        </w:rPr>
        <w:t>, me prokurë.</w:t>
      </w:r>
    </w:p>
    <w:p w14:paraId="1C37B545" w14:textId="6286BEEB" w:rsidR="008446DF" w:rsidRPr="004079B3" w:rsidRDefault="008446DF" w:rsidP="004079B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Garamond"/>
          <w:color w:val="000000"/>
          <w:sz w:val="24"/>
          <w:szCs w:val="24"/>
        </w:rPr>
        <w:t>SUBJEKTE TË INTERESUARA:</w:t>
      </w:r>
      <w:r w:rsidR="004079B3">
        <w:rPr>
          <w:rFonts w:ascii="Garamond" w:eastAsiaTheme="minorHAnsi" w:hAnsi="Garamond" w:cs="Garamond"/>
          <w:color w:val="000000"/>
          <w:sz w:val="24"/>
          <w:szCs w:val="24"/>
        </w:rPr>
        <w:t xml:space="preserve"> </w:t>
      </w:r>
      <w:r w:rsidR="004079B3" w:rsidRPr="004079B3">
        <w:rPr>
          <w:rFonts w:ascii="Garamond" w:eastAsiaTheme="minorHAnsi" w:hAnsi="Garamond" w:cs="Garamond"/>
          <w:color w:val="000000"/>
          <w:sz w:val="24"/>
          <w:szCs w:val="24"/>
        </w:rPr>
        <w:t xml:space="preserve">Drejtoria </w:t>
      </w:r>
      <w:r w:rsidR="004079B3">
        <w:rPr>
          <w:rFonts w:ascii="Garamond" w:eastAsiaTheme="minorHAnsi" w:hAnsi="Garamond" w:cs="Garamond"/>
          <w:color w:val="000000"/>
          <w:sz w:val="24"/>
          <w:szCs w:val="24"/>
        </w:rPr>
        <w:t>e</w:t>
      </w:r>
      <w:r w:rsidR="004079B3" w:rsidRPr="004079B3">
        <w:rPr>
          <w:rFonts w:ascii="Garamond" w:eastAsiaTheme="minorHAnsi" w:hAnsi="Garamond" w:cs="Garamond"/>
          <w:color w:val="000000"/>
          <w:sz w:val="24"/>
          <w:szCs w:val="24"/>
        </w:rPr>
        <w:t xml:space="preserve"> Policisë </w:t>
      </w:r>
      <w:r w:rsidR="004079B3">
        <w:rPr>
          <w:rFonts w:ascii="Garamond" w:eastAsiaTheme="minorHAnsi" w:hAnsi="Garamond" w:cs="Garamond"/>
          <w:color w:val="000000"/>
          <w:sz w:val="24"/>
          <w:szCs w:val="24"/>
        </w:rPr>
        <w:t>e</w:t>
      </w:r>
      <w:r w:rsidR="004079B3" w:rsidRPr="004079B3">
        <w:rPr>
          <w:rFonts w:ascii="Garamond" w:eastAsiaTheme="minorHAnsi" w:hAnsi="Garamond" w:cs="Garamond"/>
          <w:color w:val="000000"/>
          <w:sz w:val="24"/>
          <w:szCs w:val="24"/>
        </w:rPr>
        <w:t xml:space="preserve"> Qarkut Vlorë</w:t>
      </w:r>
      <w:r w:rsidRPr="004079B3">
        <w:rPr>
          <w:rFonts w:ascii="Garamond" w:eastAsiaTheme="minorHAnsi" w:hAnsi="Garamond" w:cs="Garamond"/>
          <w:color w:val="000000"/>
          <w:sz w:val="24"/>
          <w:szCs w:val="24"/>
        </w:rPr>
        <w:t>,</w:t>
      </w:r>
      <w:r w:rsidR="004079B3">
        <w:rPr>
          <w:rFonts w:ascii="Garamond" w:eastAsiaTheme="minorHAnsi" w:hAnsi="Garamond" w:cs="Garamond"/>
          <w:color w:val="000000"/>
          <w:sz w:val="24"/>
          <w:szCs w:val="24"/>
        </w:rPr>
        <w:t xml:space="preserve"> </w:t>
      </w:r>
      <w:r w:rsidR="004079B3" w:rsidRPr="004079B3">
        <w:rPr>
          <w:rFonts w:ascii="Garamond" w:eastAsiaTheme="minorHAnsi" w:hAnsi="Garamond" w:cs="Garamond"/>
          <w:color w:val="000000"/>
          <w:sz w:val="24"/>
          <w:szCs w:val="24"/>
        </w:rPr>
        <w:t xml:space="preserve">Komisariati </w:t>
      </w:r>
      <w:r w:rsidR="004079B3">
        <w:rPr>
          <w:rFonts w:ascii="Garamond" w:eastAsiaTheme="minorHAnsi" w:hAnsi="Garamond" w:cs="Garamond"/>
          <w:color w:val="000000"/>
          <w:sz w:val="24"/>
          <w:szCs w:val="24"/>
        </w:rPr>
        <w:t>i</w:t>
      </w:r>
      <w:r w:rsidR="004079B3" w:rsidRPr="004079B3">
        <w:rPr>
          <w:rFonts w:ascii="Garamond" w:eastAsiaTheme="minorHAnsi" w:hAnsi="Garamond" w:cs="Garamond"/>
          <w:color w:val="000000"/>
          <w:sz w:val="24"/>
          <w:szCs w:val="24"/>
        </w:rPr>
        <w:t xml:space="preserve"> Policisë Delvinë</w:t>
      </w:r>
      <w:r w:rsidRPr="004079B3">
        <w:rPr>
          <w:rFonts w:ascii="Garamond" w:eastAsiaTheme="minorHAnsi" w:hAnsi="Garamond" w:cs="Garamond"/>
          <w:color w:val="000000"/>
          <w:sz w:val="24"/>
          <w:szCs w:val="24"/>
        </w:rPr>
        <w:t xml:space="preserve">, të përfaqësuar me autorizim nga juriste </w:t>
      </w:r>
      <w:proofErr w:type="spellStart"/>
      <w:r w:rsidRPr="004079B3">
        <w:rPr>
          <w:rFonts w:ascii="Garamond" w:eastAsiaTheme="minorHAnsi" w:hAnsi="Garamond" w:cs="Garamond"/>
          <w:color w:val="000000"/>
          <w:sz w:val="24"/>
          <w:szCs w:val="24"/>
        </w:rPr>
        <w:t>Ergita</w:t>
      </w:r>
      <w:proofErr w:type="spellEnd"/>
      <w:r w:rsidRPr="004079B3">
        <w:rPr>
          <w:rFonts w:ascii="Garamond" w:eastAsiaTheme="minorHAnsi" w:hAnsi="Garamond" w:cs="Garamond"/>
          <w:color w:val="000000"/>
          <w:sz w:val="24"/>
          <w:szCs w:val="24"/>
        </w:rPr>
        <w:t xml:space="preserve"> </w:t>
      </w:r>
      <w:proofErr w:type="spellStart"/>
      <w:r w:rsidRPr="004079B3">
        <w:rPr>
          <w:rFonts w:ascii="Garamond" w:eastAsiaTheme="minorHAnsi" w:hAnsi="Garamond" w:cs="Garamond"/>
          <w:color w:val="000000"/>
          <w:sz w:val="24"/>
          <w:szCs w:val="24"/>
        </w:rPr>
        <w:t>Shanaj</w:t>
      </w:r>
      <w:proofErr w:type="spellEnd"/>
      <w:r w:rsidRPr="004079B3">
        <w:rPr>
          <w:rFonts w:ascii="Garamond" w:eastAsiaTheme="minorHAnsi" w:hAnsi="Garamond" w:cs="Garamond"/>
          <w:color w:val="000000"/>
          <w:sz w:val="24"/>
          <w:szCs w:val="24"/>
        </w:rPr>
        <w:t xml:space="preserve">. </w:t>
      </w:r>
    </w:p>
    <w:p w14:paraId="2031E5FE" w14:textId="665733FA" w:rsidR="008446DF" w:rsidRPr="004079B3" w:rsidRDefault="008446DF" w:rsidP="004079B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Garamond"/>
          <w:color w:val="000000"/>
          <w:sz w:val="24"/>
          <w:szCs w:val="24"/>
        </w:rPr>
        <w:t>OBJEKTI: Shfuqizimi i vendimit nr. 00-2022-3138 (393), datë 22.11.2022</w:t>
      </w:r>
      <w:r w:rsidR="004079B3">
        <w:rPr>
          <w:rFonts w:ascii="Garamond" w:eastAsiaTheme="minorHAnsi" w:hAnsi="Garamond" w:cs="Garamond"/>
          <w:color w:val="000000"/>
          <w:sz w:val="24"/>
          <w:szCs w:val="24"/>
        </w:rPr>
        <w:t>,</w:t>
      </w:r>
      <w:r w:rsidRPr="004079B3">
        <w:rPr>
          <w:rFonts w:ascii="Garamond" w:eastAsiaTheme="minorHAnsi" w:hAnsi="Garamond" w:cs="Garamond"/>
          <w:color w:val="000000"/>
          <w:sz w:val="24"/>
          <w:szCs w:val="24"/>
        </w:rPr>
        <w:t xml:space="preserve"> të Kolegjit Administrativ të Gjykatës së Lartë, si i papajtueshëm me Kushtetutën e Republikës së Shqipërisë.</w:t>
      </w:r>
    </w:p>
    <w:p w14:paraId="35511784" w14:textId="3CA4BD7B" w:rsidR="008446DF" w:rsidRPr="004079B3" w:rsidRDefault="008446DF" w:rsidP="004079B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Garamond"/>
          <w:color w:val="000000"/>
          <w:sz w:val="24"/>
          <w:szCs w:val="24"/>
        </w:rPr>
        <w:t>BAZA LIGJORE: Nenet 42, 49, 131, pika 1, shkronja “f” dhe 134, pika 1, shkronja “i”, të Kushtetutës së Republikës së Shqipërisë (Kushtetuta); neni 6 i Konventës Evropiane për të Drejtat e Njeriut (</w:t>
      </w:r>
      <w:proofErr w:type="spellStart"/>
      <w:r w:rsidRPr="004079B3">
        <w:rPr>
          <w:rFonts w:ascii="Garamond" w:eastAsiaTheme="minorHAnsi" w:hAnsi="Garamond" w:cs="Garamond"/>
          <w:color w:val="000000"/>
          <w:sz w:val="24"/>
          <w:szCs w:val="24"/>
        </w:rPr>
        <w:t>KEDNJ</w:t>
      </w:r>
      <w:proofErr w:type="spellEnd"/>
      <w:r w:rsidRPr="004079B3">
        <w:rPr>
          <w:rFonts w:ascii="Garamond" w:eastAsiaTheme="minorHAnsi" w:hAnsi="Garamond" w:cs="Garamond"/>
          <w:color w:val="000000"/>
          <w:sz w:val="24"/>
          <w:szCs w:val="24"/>
        </w:rPr>
        <w:t>); nenet 71 e vijues të ligjit nr. 8577, datë 10.2.2000</w:t>
      </w:r>
      <w:r w:rsidR="004079B3">
        <w:rPr>
          <w:rFonts w:ascii="Garamond" w:eastAsiaTheme="minorHAnsi" w:hAnsi="Garamond" w:cs="Garamond"/>
          <w:color w:val="000000"/>
          <w:sz w:val="24"/>
          <w:szCs w:val="24"/>
        </w:rPr>
        <w:t>,</w:t>
      </w:r>
      <w:r w:rsidRPr="004079B3">
        <w:rPr>
          <w:rFonts w:ascii="Garamond" w:eastAsiaTheme="minorHAnsi" w:hAnsi="Garamond" w:cs="Garamond"/>
          <w:color w:val="000000"/>
          <w:sz w:val="24"/>
          <w:szCs w:val="24"/>
        </w:rPr>
        <w:t xml:space="preserve"> “Për organizimin dhe funksionimin e Gjykatës Kushtetuese të Republikës së Shqipërisë”, të ndryshuar (ligji nr. 8577/2000).</w:t>
      </w:r>
    </w:p>
    <w:p w14:paraId="02FFFF6B" w14:textId="77777777" w:rsidR="008446DF" w:rsidRPr="004079B3" w:rsidRDefault="008446DF" w:rsidP="008446DF">
      <w:pPr>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31F664E5" w14:textId="77777777" w:rsidR="008446DF" w:rsidRPr="004079B3" w:rsidRDefault="008446DF" w:rsidP="008446DF">
      <w:pPr>
        <w:autoSpaceDE w:val="0"/>
        <w:autoSpaceDN w:val="0"/>
        <w:adjustRightInd w:val="0"/>
        <w:spacing w:after="0" w:line="240" w:lineRule="auto"/>
        <w:ind w:firstLine="284"/>
        <w:jc w:val="center"/>
        <w:rPr>
          <w:rFonts w:ascii="Garamond" w:eastAsiaTheme="minorHAnsi" w:hAnsi="Garamond" w:cs="Garamond"/>
          <w:bCs/>
          <w:color w:val="000000"/>
          <w:sz w:val="24"/>
          <w:szCs w:val="24"/>
        </w:rPr>
      </w:pPr>
      <w:r w:rsidRPr="004079B3">
        <w:rPr>
          <w:rFonts w:ascii="Garamond" w:eastAsiaTheme="minorHAnsi" w:hAnsi="Garamond" w:cs="Garamond"/>
          <w:bCs/>
          <w:color w:val="000000"/>
          <w:sz w:val="24"/>
          <w:szCs w:val="24"/>
        </w:rPr>
        <w:t>GJYKATA KUSHTETUESE,</w:t>
      </w:r>
    </w:p>
    <w:p w14:paraId="5489616F" w14:textId="77777777" w:rsidR="008446DF" w:rsidRPr="004079B3" w:rsidRDefault="008446DF" w:rsidP="008446DF">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356BD1AA" w14:textId="77777777" w:rsidR="008446DF" w:rsidRPr="004079B3" w:rsidRDefault="008446DF" w:rsidP="008446D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Garamond"/>
          <w:color w:val="000000"/>
          <w:sz w:val="24"/>
          <w:szCs w:val="24"/>
        </w:rPr>
        <w:t xml:space="preserve">pasi dëgjoi </w:t>
      </w:r>
      <w:proofErr w:type="spellStart"/>
      <w:r w:rsidRPr="004079B3">
        <w:rPr>
          <w:rFonts w:ascii="Garamond" w:eastAsiaTheme="minorHAnsi" w:hAnsi="Garamond" w:cs="Garamond"/>
          <w:color w:val="000000"/>
          <w:sz w:val="24"/>
          <w:szCs w:val="24"/>
        </w:rPr>
        <w:t>relatoren</w:t>
      </w:r>
      <w:proofErr w:type="spellEnd"/>
      <w:r w:rsidRPr="004079B3">
        <w:rPr>
          <w:rFonts w:ascii="Garamond" w:eastAsiaTheme="minorHAnsi" w:hAnsi="Garamond" w:cs="Garamond"/>
          <w:color w:val="000000"/>
          <w:sz w:val="24"/>
          <w:szCs w:val="24"/>
        </w:rPr>
        <w:t xml:space="preserve"> e çështjes </w:t>
      </w:r>
      <w:proofErr w:type="spellStart"/>
      <w:r w:rsidRPr="004079B3">
        <w:rPr>
          <w:rFonts w:ascii="Garamond" w:eastAsiaTheme="minorHAnsi" w:hAnsi="Garamond" w:cs="Garamond"/>
          <w:color w:val="000000"/>
          <w:sz w:val="24"/>
          <w:szCs w:val="24"/>
        </w:rPr>
        <w:t>Holta</w:t>
      </w:r>
      <w:proofErr w:type="spellEnd"/>
      <w:r w:rsidRPr="004079B3">
        <w:rPr>
          <w:rFonts w:ascii="Garamond" w:eastAsiaTheme="minorHAnsi" w:hAnsi="Garamond" w:cs="Garamond"/>
          <w:color w:val="000000"/>
          <w:sz w:val="24"/>
          <w:szCs w:val="24"/>
        </w:rPr>
        <w:t xml:space="preserve"> </w:t>
      </w:r>
      <w:proofErr w:type="spellStart"/>
      <w:r w:rsidRPr="004079B3">
        <w:rPr>
          <w:rFonts w:ascii="Garamond" w:eastAsiaTheme="minorHAnsi" w:hAnsi="Garamond" w:cs="Garamond"/>
          <w:color w:val="000000"/>
          <w:sz w:val="24"/>
          <w:szCs w:val="24"/>
        </w:rPr>
        <w:t>Zaçaj</w:t>
      </w:r>
      <w:proofErr w:type="spellEnd"/>
      <w:r w:rsidRPr="004079B3">
        <w:rPr>
          <w:rFonts w:ascii="Garamond" w:eastAsiaTheme="minorHAnsi" w:hAnsi="Garamond" w:cs="Garamond"/>
          <w:color w:val="000000"/>
          <w:sz w:val="24"/>
          <w:szCs w:val="24"/>
        </w:rPr>
        <w:t>, mori në shqyrtim parashtrimet me shkrim të kërkuesit Fatos Gjini (</w:t>
      </w:r>
      <w:r w:rsidRPr="004079B3">
        <w:rPr>
          <w:rFonts w:ascii="Garamond" w:eastAsiaTheme="minorHAnsi" w:hAnsi="Garamond" w:cs="Garamond"/>
          <w:i/>
          <w:iCs/>
          <w:color w:val="000000"/>
          <w:sz w:val="24"/>
          <w:szCs w:val="24"/>
        </w:rPr>
        <w:t>kërkuesi</w:t>
      </w:r>
      <w:r w:rsidRPr="004079B3">
        <w:rPr>
          <w:rFonts w:ascii="Garamond" w:eastAsiaTheme="minorHAnsi" w:hAnsi="Garamond" w:cs="Garamond"/>
          <w:color w:val="000000"/>
          <w:sz w:val="24"/>
          <w:szCs w:val="24"/>
        </w:rPr>
        <w:t>), i cili ka kërkuar pranimin e kërkesës, prapësimet me shkrim të subjekteve të interesuara, Drejtorisë së Policisë të Qarkut Vlorë (</w:t>
      </w:r>
      <w:proofErr w:type="spellStart"/>
      <w:r w:rsidRPr="004079B3">
        <w:rPr>
          <w:rFonts w:ascii="Garamond" w:eastAsiaTheme="minorHAnsi" w:hAnsi="Garamond" w:cs="Garamond"/>
          <w:i/>
          <w:iCs/>
          <w:color w:val="000000"/>
          <w:sz w:val="24"/>
          <w:szCs w:val="24"/>
        </w:rPr>
        <w:t>DPQ</w:t>
      </w:r>
      <w:proofErr w:type="spellEnd"/>
      <w:r w:rsidRPr="004079B3">
        <w:rPr>
          <w:rFonts w:ascii="Garamond" w:eastAsiaTheme="minorHAnsi" w:hAnsi="Garamond" w:cs="Garamond"/>
          <w:i/>
          <w:iCs/>
          <w:color w:val="000000"/>
          <w:sz w:val="24"/>
          <w:szCs w:val="24"/>
        </w:rPr>
        <w:t>)</w:t>
      </w:r>
      <w:r w:rsidRPr="004079B3">
        <w:rPr>
          <w:rFonts w:ascii="Garamond" w:eastAsiaTheme="minorHAnsi" w:hAnsi="Garamond" w:cs="Garamond"/>
          <w:color w:val="000000"/>
          <w:sz w:val="24"/>
          <w:szCs w:val="24"/>
        </w:rPr>
        <w:t xml:space="preserve"> dhe Komisariatit të Policisë Delvinë </w:t>
      </w:r>
      <w:r w:rsidRPr="004079B3">
        <w:rPr>
          <w:rFonts w:ascii="Garamond" w:eastAsiaTheme="minorHAnsi" w:hAnsi="Garamond" w:cs="Garamond"/>
          <w:i/>
          <w:iCs/>
          <w:color w:val="0D0D0D"/>
          <w:sz w:val="24"/>
          <w:szCs w:val="24"/>
        </w:rPr>
        <w:t>(Komisariati i Delvinës)</w:t>
      </w:r>
      <w:r w:rsidRPr="004079B3">
        <w:rPr>
          <w:rFonts w:ascii="Garamond" w:eastAsiaTheme="minorHAnsi" w:hAnsi="Garamond" w:cs="Garamond"/>
          <w:color w:val="000000"/>
          <w:sz w:val="24"/>
          <w:szCs w:val="24"/>
        </w:rPr>
        <w:t xml:space="preserve">, që kanë kërkuar rrëzimin e kërkesës, si dhe diskutoi çështjen në tërësi, </w:t>
      </w:r>
    </w:p>
    <w:p w14:paraId="045747A5" w14:textId="77777777" w:rsidR="008446DF" w:rsidRPr="004079B3" w:rsidRDefault="008446DF" w:rsidP="008446DF">
      <w:pPr>
        <w:tabs>
          <w:tab w:val="left" w:pos="1080"/>
        </w:tabs>
        <w:autoSpaceDE w:val="0"/>
        <w:autoSpaceDN w:val="0"/>
        <w:adjustRightInd w:val="0"/>
        <w:spacing w:after="0" w:line="240" w:lineRule="auto"/>
        <w:ind w:firstLine="284"/>
        <w:rPr>
          <w:rFonts w:ascii="Garamond" w:eastAsiaTheme="minorHAnsi" w:hAnsi="Garamond" w:cs="Garamond"/>
          <w:b/>
          <w:bCs/>
          <w:color w:val="000000"/>
          <w:sz w:val="24"/>
          <w:szCs w:val="24"/>
        </w:rPr>
      </w:pPr>
    </w:p>
    <w:p w14:paraId="23643319" w14:textId="77777777" w:rsidR="008446DF" w:rsidRPr="004079B3" w:rsidRDefault="008446DF" w:rsidP="008446DF">
      <w:pPr>
        <w:tabs>
          <w:tab w:val="left" w:pos="1080"/>
        </w:tabs>
        <w:autoSpaceDE w:val="0"/>
        <w:autoSpaceDN w:val="0"/>
        <w:adjustRightInd w:val="0"/>
        <w:spacing w:after="0" w:line="240" w:lineRule="auto"/>
        <w:ind w:firstLine="284"/>
        <w:jc w:val="center"/>
        <w:rPr>
          <w:rFonts w:ascii="Garamond" w:eastAsiaTheme="minorHAnsi" w:hAnsi="Garamond" w:cs="Garamond"/>
          <w:bCs/>
          <w:color w:val="000000"/>
          <w:sz w:val="24"/>
          <w:szCs w:val="24"/>
        </w:rPr>
      </w:pPr>
      <w:r w:rsidRPr="004079B3">
        <w:rPr>
          <w:rFonts w:ascii="Garamond" w:eastAsiaTheme="minorHAnsi" w:hAnsi="Garamond" w:cs="Garamond"/>
          <w:bCs/>
          <w:color w:val="000000"/>
          <w:sz w:val="24"/>
          <w:szCs w:val="24"/>
        </w:rPr>
        <w:t>VËREN:</w:t>
      </w:r>
    </w:p>
    <w:p w14:paraId="56091BB9" w14:textId="77777777" w:rsidR="008446DF" w:rsidRPr="004079B3" w:rsidRDefault="008446DF" w:rsidP="008446DF">
      <w:pPr>
        <w:tabs>
          <w:tab w:val="left" w:pos="108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367979A6" w14:textId="77777777" w:rsidR="008446DF" w:rsidRPr="004079B3" w:rsidRDefault="008446DF" w:rsidP="008446DF">
      <w:pPr>
        <w:tabs>
          <w:tab w:val="left" w:pos="108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4079B3">
        <w:rPr>
          <w:rFonts w:ascii="Garamond" w:eastAsiaTheme="minorHAnsi" w:hAnsi="Garamond" w:cs="Garamond"/>
          <w:b/>
          <w:bCs/>
          <w:color w:val="000000"/>
          <w:sz w:val="24"/>
          <w:szCs w:val="24"/>
        </w:rPr>
        <w:t>I</w:t>
      </w:r>
    </w:p>
    <w:p w14:paraId="6D3CAF4B" w14:textId="77777777" w:rsidR="008446DF" w:rsidRPr="004079B3" w:rsidRDefault="008446DF" w:rsidP="008446DF">
      <w:pPr>
        <w:tabs>
          <w:tab w:val="left" w:pos="108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4079B3">
        <w:rPr>
          <w:rFonts w:ascii="Garamond" w:eastAsiaTheme="minorHAnsi" w:hAnsi="Garamond" w:cs="Garamond"/>
          <w:b/>
          <w:bCs/>
          <w:color w:val="000000"/>
          <w:sz w:val="24"/>
          <w:szCs w:val="24"/>
        </w:rPr>
        <w:t>Rrethanat e çështjes</w:t>
      </w:r>
    </w:p>
    <w:p w14:paraId="4C1DAFDB" w14:textId="77777777" w:rsidR="008446DF" w:rsidRPr="004079B3" w:rsidRDefault="008446DF" w:rsidP="008446DF">
      <w:pPr>
        <w:tabs>
          <w:tab w:val="left" w:pos="108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29F035B5" w14:textId="40EFF3B4" w:rsidR="008446DF" w:rsidRPr="004079B3" w:rsidRDefault="008446DF" w:rsidP="008446DF">
      <w:pPr>
        <w:tabs>
          <w:tab w:val="left" w:pos="840"/>
          <w:tab w:val="left" w:pos="1080"/>
        </w:tabs>
        <w:autoSpaceDE w:val="0"/>
        <w:autoSpaceDN w:val="0"/>
        <w:adjustRightInd w:val="0"/>
        <w:spacing w:after="0" w:line="240" w:lineRule="auto"/>
        <w:ind w:firstLine="284"/>
        <w:jc w:val="both"/>
        <w:rPr>
          <w:rFonts w:ascii="Garamond" w:eastAsiaTheme="minorHAnsi" w:hAnsi="Garamond" w:cs="Garamond"/>
          <w:color w:val="0D0D0D"/>
          <w:sz w:val="24"/>
          <w:szCs w:val="24"/>
        </w:rPr>
      </w:pPr>
      <w:r w:rsidRPr="004079B3">
        <w:rPr>
          <w:rFonts w:ascii="Garamond" w:eastAsiaTheme="minorHAnsi" w:hAnsi="Garamond" w:cs="Times New Roman"/>
          <w:color w:val="000000"/>
          <w:sz w:val="24"/>
          <w:szCs w:val="24"/>
        </w:rPr>
        <w:t xml:space="preserve">1. </w:t>
      </w:r>
      <w:r w:rsidRPr="004079B3">
        <w:rPr>
          <w:rFonts w:ascii="Garamond" w:eastAsiaTheme="minorHAnsi" w:hAnsi="Garamond" w:cs="Garamond"/>
          <w:color w:val="000000"/>
          <w:sz w:val="24"/>
          <w:szCs w:val="24"/>
        </w:rPr>
        <w:t>Kërkuesi</w:t>
      </w:r>
      <w:r w:rsidRPr="004079B3">
        <w:rPr>
          <w:rFonts w:ascii="Garamond" w:eastAsiaTheme="minorHAnsi" w:hAnsi="Garamond" w:cs="Garamond"/>
          <w:color w:val="0D0D0D"/>
          <w:sz w:val="24"/>
          <w:szCs w:val="24"/>
        </w:rPr>
        <w:t xml:space="preserve"> ka qenë në marrëdhënie pune në </w:t>
      </w:r>
      <w:proofErr w:type="spellStart"/>
      <w:r w:rsidRPr="004079B3">
        <w:rPr>
          <w:rFonts w:ascii="Garamond" w:eastAsiaTheme="minorHAnsi" w:hAnsi="Garamond" w:cs="Garamond"/>
          <w:color w:val="000000"/>
          <w:sz w:val="24"/>
          <w:szCs w:val="24"/>
        </w:rPr>
        <w:t>DPQ</w:t>
      </w:r>
      <w:proofErr w:type="spellEnd"/>
      <w:r w:rsidRPr="004079B3">
        <w:rPr>
          <w:rFonts w:ascii="Garamond" w:eastAsiaTheme="minorHAnsi" w:hAnsi="Garamond" w:cs="Garamond"/>
          <w:color w:val="000000"/>
          <w:sz w:val="24"/>
          <w:szCs w:val="24"/>
        </w:rPr>
        <w:t xml:space="preserve">-në, </w:t>
      </w:r>
      <w:r w:rsidRPr="004079B3">
        <w:rPr>
          <w:rFonts w:ascii="Garamond" w:eastAsiaTheme="minorHAnsi" w:hAnsi="Garamond" w:cs="Garamond"/>
          <w:color w:val="0D0D0D"/>
          <w:sz w:val="24"/>
          <w:szCs w:val="24"/>
        </w:rPr>
        <w:t>Vlorë, me detyrë “</w:t>
      </w:r>
      <w:proofErr w:type="spellStart"/>
      <w:r w:rsidRPr="004079B3">
        <w:rPr>
          <w:rFonts w:ascii="Garamond" w:eastAsiaTheme="minorHAnsi" w:hAnsi="Garamond" w:cs="Garamond"/>
          <w:color w:val="0D0D0D"/>
          <w:sz w:val="24"/>
          <w:szCs w:val="24"/>
        </w:rPr>
        <w:t>ndihmësspecialist</w:t>
      </w:r>
      <w:proofErr w:type="spellEnd"/>
      <w:r w:rsidRPr="004079B3">
        <w:rPr>
          <w:rFonts w:ascii="Garamond" w:eastAsiaTheme="minorHAnsi" w:hAnsi="Garamond" w:cs="Garamond"/>
          <w:color w:val="0D0D0D"/>
          <w:sz w:val="24"/>
          <w:szCs w:val="24"/>
        </w:rPr>
        <w:t>” në Komisariatin e Delvinës sipas urdhrit nr. 7/4, datë 5.1.2009</w:t>
      </w:r>
      <w:r w:rsidR="004079B3">
        <w:rPr>
          <w:rFonts w:ascii="Garamond" w:eastAsiaTheme="minorHAnsi" w:hAnsi="Garamond" w:cs="Garamond"/>
          <w:color w:val="0D0D0D"/>
          <w:sz w:val="24"/>
          <w:szCs w:val="24"/>
        </w:rPr>
        <w:t>,</w:t>
      </w:r>
      <w:r w:rsidRPr="004079B3">
        <w:rPr>
          <w:rFonts w:ascii="Garamond" w:eastAsiaTheme="minorHAnsi" w:hAnsi="Garamond" w:cs="Garamond"/>
          <w:color w:val="0D0D0D"/>
          <w:sz w:val="24"/>
          <w:szCs w:val="24"/>
        </w:rPr>
        <w:t xml:space="preserve"> </w:t>
      </w:r>
      <w:r w:rsidRPr="004079B3">
        <w:rPr>
          <w:rFonts w:ascii="Garamond" w:eastAsiaTheme="minorHAnsi" w:hAnsi="Garamond" w:cs="Garamond"/>
          <w:color w:val="000000"/>
          <w:sz w:val="24"/>
          <w:szCs w:val="24"/>
        </w:rPr>
        <w:t xml:space="preserve">të </w:t>
      </w:r>
      <w:proofErr w:type="spellStart"/>
      <w:r w:rsidRPr="004079B3">
        <w:rPr>
          <w:rFonts w:ascii="Garamond" w:eastAsiaTheme="minorHAnsi" w:hAnsi="Garamond" w:cs="Garamond"/>
          <w:color w:val="000000"/>
          <w:sz w:val="24"/>
          <w:szCs w:val="24"/>
        </w:rPr>
        <w:t>DPQ</w:t>
      </w:r>
      <w:proofErr w:type="spellEnd"/>
      <w:r w:rsidRPr="004079B3">
        <w:rPr>
          <w:rFonts w:ascii="Garamond" w:eastAsiaTheme="minorHAnsi" w:hAnsi="Garamond" w:cs="Garamond"/>
          <w:color w:val="000000"/>
          <w:sz w:val="24"/>
          <w:szCs w:val="24"/>
        </w:rPr>
        <w:t xml:space="preserve">-së, Vlorë. Me urdhrin nr. 57/20, datë 23.4.2014 të </w:t>
      </w:r>
      <w:proofErr w:type="spellStart"/>
      <w:r w:rsidRPr="004079B3">
        <w:rPr>
          <w:rFonts w:ascii="Garamond" w:eastAsiaTheme="minorHAnsi" w:hAnsi="Garamond" w:cs="Garamond"/>
          <w:color w:val="000000"/>
          <w:sz w:val="24"/>
          <w:szCs w:val="24"/>
        </w:rPr>
        <w:t>DPQ</w:t>
      </w:r>
      <w:proofErr w:type="spellEnd"/>
      <w:r w:rsidRPr="004079B3">
        <w:rPr>
          <w:rFonts w:ascii="Garamond" w:eastAsiaTheme="minorHAnsi" w:hAnsi="Garamond" w:cs="Garamond"/>
          <w:color w:val="000000"/>
          <w:sz w:val="24"/>
          <w:szCs w:val="24"/>
        </w:rPr>
        <w:t xml:space="preserve">-së, Vlorë, kërkuesi është liruar nga detyra me motivacionin se është pranuar në radhët e policisë në kundërshtim me kriteret ligjore, pasi ka qenë edhe më parë i përjashtuar, sipas nenit 57, pika 1, të ligjit </w:t>
      </w:r>
      <w:r w:rsidRPr="004079B3">
        <w:rPr>
          <w:rFonts w:ascii="Garamond" w:eastAsiaTheme="minorHAnsi" w:hAnsi="Garamond" w:cs="Garamond"/>
          <w:color w:val="0D0D0D"/>
          <w:sz w:val="24"/>
          <w:szCs w:val="24"/>
        </w:rPr>
        <w:t>nr. 9749, datë 4.6.2007</w:t>
      </w:r>
      <w:r w:rsidR="004079B3">
        <w:rPr>
          <w:rFonts w:ascii="Garamond" w:eastAsiaTheme="minorHAnsi" w:hAnsi="Garamond" w:cs="Garamond"/>
          <w:color w:val="0D0D0D"/>
          <w:sz w:val="24"/>
          <w:szCs w:val="24"/>
        </w:rPr>
        <w:t>,</w:t>
      </w:r>
      <w:r w:rsidRPr="004079B3">
        <w:rPr>
          <w:rFonts w:ascii="Garamond" w:eastAsiaTheme="minorHAnsi" w:hAnsi="Garamond" w:cs="Garamond"/>
          <w:color w:val="0D0D0D"/>
          <w:sz w:val="24"/>
          <w:szCs w:val="24"/>
        </w:rPr>
        <w:t xml:space="preserve"> “Për Policinë e Shtetit” (</w:t>
      </w:r>
      <w:r w:rsidRPr="004079B3">
        <w:rPr>
          <w:rFonts w:ascii="Garamond" w:eastAsiaTheme="minorHAnsi" w:hAnsi="Garamond" w:cs="Garamond"/>
          <w:i/>
          <w:iCs/>
          <w:color w:val="0D0D0D"/>
          <w:sz w:val="24"/>
          <w:szCs w:val="24"/>
        </w:rPr>
        <w:t>ligji nr. 9749/2007</w:t>
      </w:r>
      <w:r w:rsidRPr="004079B3">
        <w:rPr>
          <w:rFonts w:ascii="Garamond" w:eastAsiaTheme="minorHAnsi" w:hAnsi="Garamond" w:cs="Garamond"/>
          <w:color w:val="0D0D0D"/>
          <w:sz w:val="24"/>
          <w:szCs w:val="24"/>
        </w:rPr>
        <w:t>), neneve 46 dhe 62, pika 5, shkronja “ç”, të “Rregullores së Personelit të Policisë së Shtetit</w:t>
      </w:r>
      <w:r w:rsidRPr="004079B3">
        <w:rPr>
          <w:rFonts w:ascii="Garamond" w:eastAsiaTheme="minorHAnsi" w:hAnsi="Garamond" w:cs="Garamond"/>
          <w:color w:val="000000"/>
          <w:sz w:val="24"/>
          <w:szCs w:val="24"/>
        </w:rPr>
        <w:t>”, “Procedurat Standarde</w:t>
      </w:r>
      <w:r w:rsidRPr="004079B3">
        <w:rPr>
          <w:rFonts w:ascii="Garamond" w:eastAsiaTheme="minorHAnsi" w:hAnsi="Garamond" w:cs="Garamond"/>
          <w:color w:val="FF0000"/>
          <w:sz w:val="24"/>
          <w:szCs w:val="24"/>
        </w:rPr>
        <w:t xml:space="preserve"> </w:t>
      </w:r>
      <w:r w:rsidRPr="004079B3">
        <w:rPr>
          <w:rFonts w:ascii="Garamond" w:eastAsiaTheme="minorHAnsi" w:hAnsi="Garamond" w:cs="Garamond"/>
          <w:color w:val="0D0D0D"/>
          <w:sz w:val="24"/>
          <w:szCs w:val="24"/>
        </w:rPr>
        <w:t>për Menaxhimin e Burimeve Njerëzore”, të miratuar me urdhrin nr. 1277, datë 11.11.2009</w:t>
      </w:r>
      <w:r w:rsidR="004079B3">
        <w:rPr>
          <w:rFonts w:ascii="Garamond" w:eastAsiaTheme="minorHAnsi" w:hAnsi="Garamond" w:cs="Garamond"/>
          <w:color w:val="0D0D0D"/>
          <w:sz w:val="24"/>
          <w:szCs w:val="24"/>
        </w:rPr>
        <w:t>,</w:t>
      </w:r>
      <w:r w:rsidRPr="004079B3">
        <w:rPr>
          <w:rFonts w:ascii="Garamond" w:eastAsiaTheme="minorHAnsi" w:hAnsi="Garamond" w:cs="Garamond"/>
          <w:color w:val="0D0D0D"/>
          <w:sz w:val="24"/>
          <w:szCs w:val="24"/>
        </w:rPr>
        <w:t xml:space="preserve"> të drejtorit të përgjithshëm të Policisë së Shtetit.</w:t>
      </w:r>
    </w:p>
    <w:p w14:paraId="7F492FBA" w14:textId="0056CE74" w:rsidR="008446DF" w:rsidRPr="004079B3" w:rsidRDefault="008446DF" w:rsidP="008446DF">
      <w:pPr>
        <w:tabs>
          <w:tab w:val="left" w:pos="840"/>
          <w:tab w:val="left" w:pos="1080"/>
        </w:tabs>
        <w:autoSpaceDE w:val="0"/>
        <w:autoSpaceDN w:val="0"/>
        <w:adjustRightInd w:val="0"/>
        <w:spacing w:after="0" w:line="240" w:lineRule="auto"/>
        <w:ind w:firstLine="284"/>
        <w:jc w:val="both"/>
        <w:rPr>
          <w:rFonts w:ascii="Garamond" w:eastAsiaTheme="minorHAnsi" w:hAnsi="Garamond" w:cs="Calibri"/>
          <w:color w:val="0D0D0D"/>
          <w:sz w:val="24"/>
          <w:szCs w:val="24"/>
        </w:rPr>
      </w:pPr>
      <w:r w:rsidRPr="004079B3">
        <w:rPr>
          <w:rFonts w:ascii="Garamond" w:eastAsiaTheme="minorHAnsi" w:hAnsi="Garamond" w:cs="Times New Roman"/>
          <w:color w:val="000000"/>
          <w:sz w:val="24"/>
          <w:szCs w:val="24"/>
        </w:rPr>
        <w:t xml:space="preserve">2. </w:t>
      </w:r>
      <w:r w:rsidRPr="004079B3">
        <w:rPr>
          <w:rFonts w:ascii="Garamond" w:eastAsiaTheme="minorHAnsi" w:hAnsi="Garamond" w:cs="Garamond"/>
          <w:color w:val="0D0D0D"/>
          <w:sz w:val="24"/>
          <w:szCs w:val="24"/>
        </w:rPr>
        <w:t>Duke mos qenë dakord me këtë akt, në datën 5.5.2014</w:t>
      </w:r>
      <w:r w:rsidR="004079B3">
        <w:rPr>
          <w:rFonts w:ascii="Garamond" w:eastAsiaTheme="minorHAnsi" w:hAnsi="Garamond" w:cs="Garamond"/>
          <w:color w:val="0D0D0D"/>
          <w:sz w:val="24"/>
          <w:szCs w:val="24"/>
        </w:rPr>
        <w:t>,</w:t>
      </w:r>
      <w:r w:rsidRPr="004079B3">
        <w:rPr>
          <w:rFonts w:ascii="Garamond" w:eastAsiaTheme="minorHAnsi" w:hAnsi="Garamond" w:cs="Garamond"/>
          <w:color w:val="0D0D0D"/>
          <w:sz w:val="24"/>
          <w:szCs w:val="24"/>
        </w:rPr>
        <w:t xml:space="preserve"> </w:t>
      </w:r>
      <w:r w:rsidRPr="004079B3">
        <w:rPr>
          <w:rFonts w:ascii="Garamond" w:eastAsiaTheme="minorHAnsi" w:hAnsi="Garamond" w:cs="Garamond"/>
          <w:color w:val="000000"/>
          <w:sz w:val="24"/>
          <w:szCs w:val="24"/>
        </w:rPr>
        <w:t xml:space="preserve">kërkuesi i është drejtuar me padi Gjykatës Administrative të Shkallës së Parë Gjirokastër, </w:t>
      </w:r>
      <w:proofErr w:type="spellStart"/>
      <w:r w:rsidRPr="004079B3">
        <w:rPr>
          <w:rFonts w:ascii="Garamond" w:eastAsiaTheme="minorHAnsi" w:hAnsi="Garamond" w:cs="Garamond"/>
          <w:color w:val="000000"/>
          <w:sz w:val="24"/>
          <w:szCs w:val="24"/>
        </w:rPr>
        <w:t>kundërdrejtuar</w:t>
      </w:r>
      <w:proofErr w:type="spellEnd"/>
      <w:r w:rsidRPr="004079B3">
        <w:rPr>
          <w:rFonts w:ascii="Garamond" w:eastAsiaTheme="minorHAnsi" w:hAnsi="Garamond" w:cs="Garamond"/>
          <w:color w:val="000000"/>
          <w:sz w:val="24"/>
          <w:szCs w:val="24"/>
        </w:rPr>
        <w:t xml:space="preserve"> </w:t>
      </w:r>
      <w:proofErr w:type="spellStart"/>
      <w:r w:rsidRPr="004079B3">
        <w:rPr>
          <w:rFonts w:ascii="Garamond" w:eastAsiaTheme="minorHAnsi" w:hAnsi="Garamond" w:cs="Garamond"/>
          <w:color w:val="000000"/>
          <w:sz w:val="24"/>
          <w:szCs w:val="24"/>
        </w:rPr>
        <w:t>DPQ</w:t>
      </w:r>
      <w:proofErr w:type="spellEnd"/>
      <w:r w:rsidRPr="004079B3">
        <w:rPr>
          <w:rFonts w:ascii="Garamond" w:eastAsiaTheme="minorHAnsi" w:hAnsi="Garamond" w:cs="Garamond"/>
          <w:color w:val="000000"/>
          <w:sz w:val="24"/>
          <w:szCs w:val="24"/>
        </w:rPr>
        <w:t xml:space="preserve">-së, Vlorë dhe Komisariatit të </w:t>
      </w:r>
      <w:r w:rsidRPr="004079B3">
        <w:rPr>
          <w:rFonts w:ascii="Garamond" w:eastAsiaTheme="minorHAnsi" w:hAnsi="Garamond" w:cs="Garamond"/>
          <w:color w:val="000000"/>
          <w:sz w:val="24"/>
          <w:szCs w:val="24"/>
        </w:rPr>
        <w:lastRenderedPageBreak/>
        <w:t>Delvinës, me objekt: i</w:t>
      </w:r>
      <w:r w:rsidR="004079B3">
        <w:rPr>
          <w:rFonts w:ascii="Garamond" w:eastAsiaTheme="minorHAnsi" w:hAnsi="Garamond" w:cs="Garamond"/>
          <w:color w:val="000000"/>
          <w:sz w:val="24"/>
          <w:szCs w:val="24"/>
        </w:rPr>
        <w:t>.</w:t>
      </w:r>
      <w:r w:rsidRPr="004079B3">
        <w:rPr>
          <w:rFonts w:ascii="Garamond" w:eastAsiaTheme="minorHAnsi" w:hAnsi="Garamond" w:cs="Garamond"/>
          <w:color w:val="000000"/>
          <w:sz w:val="24"/>
          <w:szCs w:val="24"/>
        </w:rPr>
        <w:t xml:space="preserve"> shfuqizimin e urdhrit </w:t>
      </w:r>
      <w:r w:rsidRPr="004079B3">
        <w:rPr>
          <w:rFonts w:ascii="Garamond" w:eastAsiaTheme="minorHAnsi" w:hAnsi="Garamond" w:cs="Garamond"/>
          <w:color w:val="0D0D0D"/>
          <w:sz w:val="24"/>
          <w:szCs w:val="24"/>
        </w:rPr>
        <w:t xml:space="preserve">nr. 57/20, datë 23.4.2014 të </w:t>
      </w:r>
      <w:proofErr w:type="spellStart"/>
      <w:r w:rsidRPr="004079B3">
        <w:rPr>
          <w:rFonts w:ascii="Garamond" w:eastAsiaTheme="minorHAnsi" w:hAnsi="Garamond" w:cs="Garamond"/>
          <w:color w:val="0D0D0D"/>
          <w:sz w:val="24"/>
          <w:szCs w:val="24"/>
        </w:rPr>
        <w:t>DPQ</w:t>
      </w:r>
      <w:proofErr w:type="spellEnd"/>
      <w:r w:rsidRPr="004079B3">
        <w:rPr>
          <w:rFonts w:ascii="Garamond" w:eastAsiaTheme="minorHAnsi" w:hAnsi="Garamond" w:cs="Garamond"/>
          <w:color w:val="0D0D0D"/>
          <w:sz w:val="24"/>
          <w:szCs w:val="24"/>
        </w:rPr>
        <w:t>-së, Vlorë;</w:t>
      </w:r>
      <w:r w:rsidR="004079B3">
        <w:rPr>
          <w:rFonts w:ascii="Garamond" w:eastAsiaTheme="minorHAnsi" w:hAnsi="Garamond" w:cs="Garamond"/>
          <w:color w:val="0D0D0D"/>
          <w:sz w:val="24"/>
          <w:szCs w:val="24"/>
        </w:rPr>
        <w:t xml:space="preserve"> </w:t>
      </w:r>
      <w:proofErr w:type="spellStart"/>
      <w:r w:rsidRPr="004079B3">
        <w:rPr>
          <w:rFonts w:ascii="Garamond" w:eastAsiaTheme="minorHAnsi" w:hAnsi="Garamond" w:cs="Garamond"/>
          <w:color w:val="0D0D0D"/>
          <w:sz w:val="24"/>
          <w:szCs w:val="24"/>
        </w:rPr>
        <w:t>ii</w:t>
      </w:r>
      <w:proofErr w:type="spellEnd"/>
      <w:r w:rsidR="004079B3">
        <w:rPr>
          <w:rFonts w:ascii="Garamond" w:eastAsiaTheme="minorHAnsi" w:hAnsi="Garamond" w:cs="Garamond"/>
          <w:color w:val="0D0D0D"/>
          <w:sz w:val="24"/>
          <w:szCs w:val="24"/>
        </w:rPr>
        <w:t>.</w:t>
      </w:r>
      <w:r w:rsidRPr="004079B3">
        <w:rPr>
          <w:rFonts w:ascii="Garamond" w:eastAsiaTheme="minorHAnsi" w:hAnsi="Garamond" w:cs="Garamond"/>
          <w:color w:val="0D0D0D"/>
          <w:sz w:val="24"/>
          <w:szCs w:val="24"/>
        </w:rPr>
        <w:t xml:space="preserve"> rikthimin në detyrë; </w:t>
      </w:r>
      <w:proofErr w:type="spellStart"/>
      <w:r w:rsidRPr="004079B3">
        <w:rPr>
          <w:rFonts w:ascii="Garamond" w:eastAsiaTheme="minorHAnsi" w:hAnsi="Garamond" w:cs="Garamond"/>
          <w:color w:val="0D0D0D"/>
          <w:sz w:val="24"/>
          <w:szCs w:val="24"/>
        </w:rPr>
        <w:t>iii</w:t>
      </w:r>
      <w:proofErr w:type="spellEnd"/>
      <w:r w:rsidR="004079B3">
        <w:rPr>
          <w:rFonts w:ascii="Garamond" w:eastAsiaTheme="minorHAnsi" w:hAnsi="Garamond" w:cs="Garamond"/>
          <w:color w:val="0D0D0D"/>
          <w:sz w:val="24"/>
          <w:szCs w:val="24"/>
        </w:rPr>
        <w:t>.</w:t>
      </w:r>
      <w:r w:rsidRPr="004079B3">
        <w:rPr>
          <w:rFonts w:ascii="Garamond" w:eastAsiaTheme="minorHAnsi" w:hAnsi="Garamond" w:cs="Garamond"/>
          <w:color w:val="0D0D0D"/>
          <w:sz w:val="24"/>
          <w:szCs w:val="24"/>
        </w:rPr>
        <w:t xml:space="preserve"> detyrimin e palës së paditur t</w:t>
      </w:r>
      <w:r w:rsidR="004079B3">
        <w:rPr>
          <w:rFonts w:ascii="Garamond" w:eastAsiaTheme="minorHAnsi" w:hAnsi="Garamond" w:cs="Garamond"/>
          <w:color w:val="0D0D0D"/>
          <w:sz w:val="24"/>
          <w:szCs w:val="24"/>
        </w:rPr>
        <w:t>’</w:t>
      </w:r>
      <w:r w:rsidRPr="004079B3">
        <w:rPr>
          <w:rFonts w:ascii="Garamond" w:eastAsiaTheme="minorHAnsi" w:hAnsi="Garamond" w:cs="Garamond"/>
          <w:color w:val="0D0D0D"/>
          <w:sz w:val="24"/>
          <w:szCs w:val="24"/>
        </w:rPr>
        <w:t>i paguajë pagën.</w:t>
      </w:r>
    </w:p>
    <w:p w14:paraId="35B8DDA5" w14:textId="0EE683A9" w:rsidR="008446DF" w:rsidRPr="004079B3" w:rsidRDefault="008446DF" w:rsidP="008446DF">
      <w:pPr>
        <w:tabs>
          <w:tab w:val="left" w:pos="840"/>
          <w:tab w:val="left" w:pos="1080"/>
        </w:tabs>
        <w:autoSpaceDE w:val="0"/>
        <w:autoSpaceDN w:val="0"/>
        <w:adjustRightInd w:val="0"/>
        <w:spacing w:after="0" w:line="240" w:lineRule="auto"/>
        <w:ind w:firstLine="284"/>
        <w:jc w:val="both"/>
        <w:rPr>
          <w:rFonts w:ascii="Garamond" w:eastAsiaTheme="minorHAnsi" w:hAnsi="Garamond" w:cs="Calibri"/>
          <w:color w:val="0D0D0D"/>
          <w:sz w:val="24"/>
          <w:szCs w:val="24"/>
        </w:rPr>
      </w:pPr>
      <w:r w:rsidRPr="004079B3">
        <w:rPr>
          <w:rFonts w:ascii="Garamond" w:eastAsiaTheme="minorHAnsi" w:hAnsi="Garamond" w:cs="Times New Roman"/>
          <w:color w:val="000000"/>
          <w:sz w:val="24"/>
          <w:szCs w:val="24"/>
        </w:rPr>
        <w:t xml:space="preserve">3. </w:t>
      </w:r>
      <w:r w:rsidRPr="004079B3">
        <w:rPr>
          <w:rFonts w:ascii="Garamond" w:eastAsiaTheme="minorHAnsi" w:hAnsi="Garamond" w:cs="Garamond"/>
          <w:color w:val="000000"/>
          <w:sz w:val="24"/>
          <w:szCs w:val="24"/>
        </w:rPr>
        <w:t>Me vendimin nr. 421, datë 19.6.2014,</w:t>
      </w:r>
      <w:r w:rsidRPr="004079B3">
        <w:rPr>
          <w:rFonts w:ascii="Garamond" w:eastAsiaTheme="minorHAnsi" w:hAnsi="Garamond" w:cs="Garamond"/>
          <w:color w:val="0D0D0D"/>
          <w:sz w:val="24"/>
          <w:szCs w:val="24"/>
        </w:rPr>
        <w:t xml:space="preserve"> Gjykata Administrative e Shkallës së Parë Gjirokastër</w:t>
      </w:r>
      <w:r w:rsidRPr="004079B3">
        <w:rPr>
          <w:rFonts w:ascii="Garamond" w:eastAsiaTheme="minorHAnsi" w:hAnsi="Garamond" w:cs="Garamond"/>
          <w:color w:val="000000"/>
          <w:sz w:val="24"/>
          <w:szCs w:val="24"/>
        </w:rPr>
        <w:t xml:space="preserve"> ka pranuar pjesërisht padinë, duke detyruar </w:t>
      </w:r>
      <w:proofErr w:type="spellStart"/>
      <w:r w:rsidRPr="004079B3">
        <w:rPr>
          <w:rFonts w:ascii="Garamond" w:eastAsiaTheme="minorHAnsi" w:hAnsi="Garamond" w:cs="Garamond"/>
          <w:color w:val="000000"/>
          <w:sz w:val="24"/>
          <w:szCs w:val="24"/>
        </w:rPr>
        <w:t>DPQ</w:t>
      </w:r>
      <w:proofErr w:type="spellEnd"/>
      <w:r w:rsidRPr="004079B3">
        <w:rPr>
          <w:rFonts w:ascii="Garamond" w:eastAsiaTheme="minorHAnsi" w:hAnsi="Garamond" w:cs="Garamond"/>
          <w:color w:val="000000"/>
          <w:sz w:val="24"/>
          <w:szCs w:val="24"/>
        </w:rPr>
        <w:t xml:space="preserve">-në, Vlorë t’i paguajë kërkuesit 12 paga mujore dëmshpërblim për lirimin nga detyra. Për kërkimin për shfuqizimin e urdhrit të lirimit dhe rikthimin në detyrë të kërkuesit, ajo gjykatë ka vendosur rrëzimin e padisë, pasi ligji specifik nuk parashikon kthimin në detyrë. </w:t>
      </w:r>
    </w:p>
    <w:p w14:paraId="101BCC26" w14:textId="35CF2BDA" w:rsidR="008446DF" w:rsidRPr="004079B3" w:rsidRDefault="008446DF" w:rsidP="008446DF">
      <w:pPr>
        <w:tabs>
          <w:tab w:val="left" w:pos="840"/>
          <w:tab w:val="left" w:pos="1080"/>
        </w:tabs>
        <w:autoSpaceDE w:val="0"/>
        <w:autoSpaceDN w:val="0"/>
        <w:adjustRightInd w:val="0"/>
        <w:spacing w:after="0" w:line="240" w:lineRule="auto"/>
        <w:ind w:firstLine="284"/>
        <w:jc w:val="both"/>
        <w:rPr>
          <w:rFonts w:ascii="Garamond" w:eastAsiaTheme="minorHAnsi" w:hAnsi="Garamond" w:cs="Calibri"/>
          <w:color w:val="0D0D0D"/>
          <w:sz w:val="24"/>
          <w:szCs w:val="24"/>
        </w:rPr>
      </w:pPr>
      <w:r w:rsidRPr="004079B3">
        <w:rPr>
          <w:rFonts w:ascii="Garamond" w:eastAsiaTheme="minorHAnsi" w:hAnsi="Garamond" w:cs="Times New Roman"/>
          <w:color w:val="000000"/>
          <w:sz w:val="24"/>
          <w:szCs w:val="24"/>
        </w:rPr>
        <w:t xml:space="preserve">4. </w:t>
      </w:r>
      <w:r w:rsidRPr="004079B3">
        <w:rPr>
          <w:rFonts w:ascii="Garamond" w:eastAsiaTheme="minorHAnsi" w:hAnsi="Garamond" w:cs="Garamond"/>
          <w:color w:val="0D0D0D"/>
          <w:sz w:val="24"/>
          <w:szCs w:val="24"/>
        </w:rPr>
        <w:t xml:space="preserve">Për ankimin e palës së paditur, </w:t>
      </w:r>
      <w:proofErr w:type="spellStart"/>
      <w:r w:rsidRPr="004079B3">
        <w:rPr>
          <w:rFonts w:ascii="Garamond" w:eastAsiaTheme="minorHAnsi" w:hAnsi="Garamond" w:cs="Garamond"/>
          <w:color w:val="000000"/>
          <w:sz w:val="24"/>
          <w:szCs w:val="24"/>
        </w:rPr>
        <w:t>DPQ</w:t>
      </w:r>
      <w:proofErr w:type="spellEnd"/>
      <w:r w:rsidRPr="004079B3">
        <w:rPr>
          <w:rFonts w:ascii="Garamond" w:eastAsiaTheme="minorHAnsi" w:hAnsi="Garamond" w:cs="Garamond"/>
          <w:color w:val="000000"/>
          <w:sz w:val="24"/>
          <w:szCs w:val="24"/>
        </w:rPr>
        <w:t>-së, Vlorë</w:t>
      </w:r>
      <w:r w:rsidRPr="004079B3">
        <w:rPr>
          <w:rFonts w:ascii="Garamond" w:eastAsiaTheme="minorHAnsi" w:hAnsi="Garamond" w:cs="Garamond"/>
          <w:color w:val="0D0D0D"/>
          <w:sz w:val="24"/>
          <w:szCs w:val="24"/>
        </w:rPr>
        <w:t xml:space="preserve">, Gjykata Administrative e Apelit, me vendimin nr. 1122, datë 21.5.2015, ka </w:t>
      </w:r>
      <w:r w:rsidRPr="004079B3">
        <w:rPr>
          <w:rFonts w:ascii="Garamond" w:eastAsiaTheme="minorHAnsi" w:hAnsi="Garamond" w:cs="Garamond"/>
          <w:color w:val="000000"/>
          <w:sz w:val="24"/>
          <w:szCs w:val="24"/>
        </w:rPr>
        <w:t>vendosur ndrysh</w:t>
      </w:r>
      <w:r w:rsidRPr="004079B3">
        <w:rPr>
          <w:rFonts w:ascii="Garamond" w:eastAsiaTheme="minorHAnsi" w:hAnsi="Garamond" w:cs="Garamond"/>
          <w:color w:val="0D0D0D"/>
          <w:sz w:val="24"/>
          <w:szCs w:val="24"/>
        </w:rPr>
        <w:t>imin e vendimit të gjykatës së shkallës së parë vetëm për kërkimin e parë të padisë, duke shfuqizuar urdhrin nr. 57/20, datë 23.4.2014</w:t>
      </w:r>
      <w:r w:rsidR="004079B3">
        <w:rPr>
          <w:rFonts w:ascii="Garamond" w:eastAsiaTheme="minorHAnsi" w:hAnsi="Garamond" w:cs="Garamond"/>
          <w:color w:val="0D0D0D"/>
          <w:sz w:val="24"/>
          <w:szCs w:val="24"/>
        </w:rPr>
        <w:t>,</w:t>
      </w:r>
      <w:r w:rsidRPr="004079B3">
        <w:rPr>
          <w:rFonts w:ascii="Garamond" w:eastAsiaTheme="minorHAnsi" w:hAnsi="Garamond" w:cs="Garamond"/>
          <w:color w:val="0D0D0D"/>
          <w:sz w:val="24"/>
          <w:szCs w:val="24"/>
        </w:rPr>
        <w:t xml:space="preserve"> të </w:t>
      </w:r>
      <w:proofErr w:type="spellStart"/>
      <w:r w:rsidRPr="004079B3">
        <w:rPr>
          <w:rFonts w:ascii="Garamond" w:eastAsiaTheme="minorHAnsi" w:hAnsi="Garamond" w:cs="Garamond"/>
          <w:color w:val="0D0D0D"/>
          <w:sz w:val="24"/>
          <w:szCs w:val="24"/>
        </w:rPr>
        <w:t>DPQ</w:t>
      </w:r>
      <w:proofErr w:type="spellEnd"/>
      <w:r w:rsidRPr="004079B3">
        <w:rPr>
          <w:rFonts w:ascii="Garamond" w:eastAsiaTheme="minorHAnsi" w:hAnsi="Garamond" w:cs="Garamond"/>
          <w:color w:val="0D0D0D"/>
          <w:sz w:val="24"/>
          <w:szCs w:val="24"/>
        </w:rPr>
        <w:t xml:space="preserve">-së, Vlorë, me arsyetimin se shkaku i ndërprerjes së marrëdhënies së punës është i pambështetur në ligj. Sipas saj, gjykata e shkallës së parë duhet të kishte vendosur shfuqizimin e urdhrit të lirimit dhe zgjidhjen e pasojave. </w:t>
      </w:r>
      <w:r w:rsidRPr="004079B3">
        <w:rPr>
          <w:rFonts w:ascii="Garamond" w:eastAsiaTheme="minorHAnsi" w:hAnsi="Garamond" w:cs="Garamond"/>
          <w:color w:val="000000"/>
          <w:sz w:val="24"/>
          <w:szCs w:val="24"/>
        </w:rPr>
        <w:t xml:space="preserve">Kundër këtij vendimi, në datën 15.6.2015, ka paraqitur rekurs pala e paditur në procesin gjyqësor, </w:t>
      </w:r>
      <w:proofErr w:type="spellStart"/>
      <w:r w:rsidRPr="004079B3">
        <w:rPr>
          <w:rFonts w:ascii="Garamond" w:eastAsiaTheme="minorHAnsi" w:hAnsi="Garamond" w:cs="Garamond"/>
          <w:color w:val="0D0D0D"/>
          <w:sz w:val="24"/>
          <w:szCs w:val="24"/>
        </w:rPr>
        <w:t>DPQ</w:t>
      </w:r>
      <w:proofErr w:type="spellEnd"/>
      <w:r w:rsidRPr="004079B3">
        <w:rPr>
          <w:rFonts w:ascii="Garamond" w:eastAsiaTheme="minorHAnsi" w:hAnsi="Garamond" w:cs="Garamond"/>
          <w:color w:val="0D0D0D"/>
          <w:sz w:val="24"/>
          <w:szCs w:val="24"/>
        </w:rPr>
        <w:t>-ja, Vlorë</w:t>
      </w:r>
      <w:r w:rsidRPr="004079B3">
        <w:rPr>
          <w:rFonts w:ascii="Garamond" w:eastAsiaTheme="minorHAnsi" w:hAnsi="Garamond" w:cs="Garamond"/>
          <w:color w:val="000000"/>
          <w:sz w:val="24"/>
          <w:szCs w:val="24"/>
        </w:rPr>
        <w:t>.</w:t>
      </w:r>
    </w:p>
    <w:p w14:paraId="1573930B" w14:textId="5E5C5A46" w:rsidR="008446DF" w:rsidRPr="004079B3" w:rsidRDefault="008446DF" w:rsidP="008446DF">
      <w:pPr>
        <w:tabs>
          <w:tab w:val="left" w:pos="840"/>
          <w:tab w:val="left" w:pos="1080"/>
        </w:tabs>
        <w:autoSpaceDE w:val="0"/>
        <w:autoSpaceDN w:val="0"/>
        <w:adjustRightInd w:val="0"/>
        <w:spacing w:after="0" w:line="240" w:lineRule="auto"/>
        <w:ind w:firstLine="284"/>
        <w:jc w:val="both"/>
        <w:rPr>
          <w:rFonts w:ascii="Garamond" w:eastAsiaTheme="minorHAnsi" w:hAnsi="Garamond" w:cs="Garamond"/>
          <w:color w:val="0D0D0D"/>
          <w:sz w:val="24"/>
          <w:szCs w:val="24"/>
        </w:rPr>
      </w:pPr>
      <w:r w:rsidRPr="004079B3">
        <w:rPr>
          <w:rFonts w:ascii="Garamond" w:eastAsiaTheme="minorHAnsi" w:hAnsi="Garamond" w:cs="Times New Roman"/>
          <w:color w:val="000000"/>
          <w:sz w:val="24"/>
          <w:szCs w:val="24"/>
        </w:rPr>
        <w:t xml:space="preserve">5. </w:t>
      </w:r>
      <w:r w:rsidRPr="004079B3">
        <w:rPr>
          <w:rFonts w:ascii="Garamond" w:eastAsiaTheme="minorHAnsi" w:hAnsi="Garamond" w:cs="Garamond"/>
          <w:color w:val="0D0D0D"/>
          <w:sz w:val="24"/>
          <w:szCs w:val="24"/>
        </w:rPr>
        <w:t xml:space="preserve">Pas vendimit të Gjykatës Administrative të Apelit, me </w:t>
      </w:r>
      <w:r w:rsidRPr="004079B3">
        <w:rPr>
          <w:rFonts w:ascii="Garamond" w:eastAsiaTheme="minorHAnsi" w:hAnsi="Garamond" w:cs="Garamond"/>
          <w:color w:val="000000"/>
          <w:sz w:val="24"/>
          <w:szCs w:val="24"/>
        </w:rPr>
        <w:t>urdhrin nr.</w:t>
      </w:r>
      <w:r w:rsidR="004079B3">
        <w:rPr>
          <w:rFonts w:ascii="Garamond" w:eastAsiaTheme="minorHAnsi" w:hAnsi="Garamond" w:cs="Garamond"/>
          <w:color w:val="000000"/>
          <w:sz w:val="24"/>
          <w:szCs w:val="24"/>
        </w:rPr>
        <w:t xml:space="preserve"> </w:t>
      </w:r>
      <w:r w:rsidRPr="004079B3">
        <w:rPr>
          <w:rFonts w:ascii="Garamond" w:eastAsiaTheme="minorHAnsi" w:hAnsi="Garamond" w:cs="Garamond"/>
          <w:color w:val="000000"/>
          <w:sz w:val="24"/>
          <w:szCs w:val="24"/>
        </w:rPr>
        <w:t>603/1, datë 4.4.2022</w:t>
      </w:r>
      <w:r w:rsidR="004079B3">
        <w:rPr>
          <w:rFonts w:ascii="Garamond" w:eastAsiaTheme="minorHAnsi" w:hAnsi="Garamond" w:cs="Garamond"/>
          <w:color w:val="000000"/>
          <w:sz w:val="24"/>
          <w:szCs w:val="24"/>
        </w:rPr>
        <w:t>,</w:t>
      </w:r>
      <w:r w:rsidRPr="004079B3">
        <w:rPr>
          <w:rFonts w:ascii="Garamond" w:eastAsiaTheme="minorHAnsi" w:hAnsi="Garamond" w:cs="Garamond"/>
          <w:color w:val="000000"/>
          <w:sz w:val="24"/>
          <w:szCs w:val="24"/>
        </w:rPr>
        <w:t xml:space="preserve"> </w:t>
      </w:r>
      <w:r w:rsidRPr="004079B3">
        <w:rPr>
          <w:rFonts w:ascii="Garamond" w:eastAsiaTheme="minorHAnsi" w:hAnsi="Garamond" w:cs="Garamond"/>
          <w:color w:val="0D0D0D"/>
          <w:sz w:val="24"/>
          <w:szCs w:val="24"/>
        </w:rPr>
        <w:t>“Për rikthimin në Policinë e Shtetit dhe emërimin në detyrë të z. Fatos Gjini”, të drejtorit të përgjithshëm të Policisë së Shtetit</w:t>
      </w:r>
      <w:r w:rsidR="004079B3">
        <w:rPr>
          <w:rFonts w:ascii="Garamond" w:eastAsiaTheme="minorHAnsi" w:hAnsi="Garamond" w:cs="Garamond"/>
          <w:color w:val="0D0D0D"/>
          <w:sz w:val="24"/>
          <w:szCs w:val="24"/>
        </w:rPr>
        <w:t xml:space="preserve"> </w:t>
      </w:r>
      <w:r w:rsidRPr="004079B3">
        <w:rPr>
          <w:rFonts w:ascii="Garamond" w:eastAsiaTheme="minorHAnsi" w:hAnsi="Garamond" w:cs="Garamond"/>
          <w:color w:val="0D0D0D"/>
          <w:sz w:val="24"/>
          <w:szCs w:val="24"/>
        </w:rPr>
        <w:t>dhe urdhrin nr.</w:t>
      </w:r>
      <w:r w:rsidR="004079B3">
        <w:rPr>
          <w:rFonts w:ascii="Garamond" w:eastAsiaTheme="minorHAnsi" w:hAnsi="Garamond" w:cs="Garamond"/>
          <w:color w:val="0D0D0D"/>
          <w:sz w:val="24"/>
          <w:szCs w:val="24"/>
        </w:rPr>
        <w:t xml:space="preserve"> </w:t>
      </w:r>
      <w:r w:rsidRPr="004079B3">
        <w:rPr>
          <w:rFonts w:ascii="Garamond" w:eastAsiaTheme="minorHAnsi" w:hAnsi="Garamond" w:cs="Garamond"/>
          <w:color w:val="0D0D0D"/>
          <w:sz w:val="24"/>
          <w:szCs w:val="24"/>
        </w:rPr>
        <w:t>750, datë 6.4.2022</w:t>
      </w:r>
      <w:r w:rsidR="004079B3">
        <w:rPr>
          <w:rFonts w:ascii="Garamond" w:eastAsiaTheme="minorHAnsi" w:hAnsi="Garamond" w:cs="Garamond"/>
          <w:color w:val="0D0D0D"/>
          <w:sz w:val="24"/>
          <w:szCs w:val="24"/>
        </w:rPr>
        <w:t>,</w:t>
      </w:r>
      <w:r w:rsidRPr="004079B3">
        <w:rPr>
          <w:rFonts w:ascii="Garamond" w:eastAsiaTheme="minorHAnsi" w:hAnsi="Garamond" w:cs="Garamond"/>
          <w:color w:val="0D0D0D"/>
          <w:sz w:val="24"/>
          <w:szCs w:val="24"/>
        </w:rPr>
        <w:t xml:space="preserve"> “Për rikthimin në Policinë e Shtetit dhe emërimin në detyrë të z. Fatos Gjini”</w:t>
      </w:r>
      <w:r w:rsidR="004079B3">
        <w:rPr>
          <w:rFonts w:ascii="Garamond" w:eastAsiaTheme="minorHAnsi" w:hAnsi="Garamond" w:cs="Garamond"/>
          <w:color w:val="0D0D0D"/>
          <w:sz w:val="24"/>
          <w:szCs w:val="24"/>
        </w:rPr>
        <w:t>,</w:t>
      </w:r>
      <w:r w:rsidRPr="004079B3">
        <w:rPr>
          <w:rFonts w:ascii="Garamond" w:eastAsiaTheme="minorHAnsi" w:hAnsi="Garamond" w:cs="Garamond"/>
          <w:color w:val="0D0D0D"/>
          <w:sz w:val="24"/>
          <w:szCs w:val="24"/>
        </w:rPr>
        <w:t xml:space="preserve"> të drejtorit të Drejtorisë Vendore të Policisë Vlorë, është bërë rikthimi i kërkuesit në Policinë e Shtetit dhe emërimi në detyrë</w:t>
      </w:r>
      <w:r w:rsidR="004079B3">
        <w:rPr>
          <w:rFonts w:ascii="Garamond" w:eastAsiaTheme="minorHAnsi" w:hAnsi="Garamond" w:cs="Garamond"/>
          <w:color w:val="0D0D0D"/>
          <w:sz w:val="24"/>
          <w:szCs w:val="24"/>
        </w:rPr>
        <w:t xml:space="preserve"> </w:t>
      </w:r>
      <w:r w:rsidRPr="004079B3">
        <w:rPr>
          <w:rFonts w:ascii="Garamond" w:eastAsiaTheme="minorHAnsi" w:hAnsi="Garamond" w:cs="Garamond"/>
          <w:color w:val="0D0D0D"/>
          <w:sz w:val="24"/>
          <w:szCs w:val="24"/>
        </w:rPr>
        <w:t>si oficer i Patrullës së Përgjithshme Shqiponja/Motorist në Seksionin e Rendit Publik, në Komisariatin e Policisë Sarandë në Drejtorinë Vendore të Policisë Vlorë.</w:t>
      </w:r>
    </w:p>
    <w:p w14:paraId="0DDCBA2E" w14:textId="77D49078" w:rsidR="008446DF" w:rsidRPr="004079B3" w:rsidRDefault="008446DF" w:rsidP="008446DF">
      <w:pPr>
        <w:tabs>
          <w:tab w:val="left" w:pos="840"/>
          <w:tab w:val="left" w:pos="1080"/>
          <w:tab w:val="left" w:pos="2240"/>
        </w:tabs>
        <w:autoSpaceDE w:val="0"/>
        <w:autoSpaceDN w:val="0"/>
        <w:adjustRightInd w:val="0"/>
        <w:spacing w:after="0" w:line="240" w:lineRule="auto"/>
        <w:ind w:firstLine="284"/>
        <w:jc w:val="both"/>
        <w:rPr>
          <w:rFonts w:ascii="Garamond" w:eastAsiaTheme="minorHAnsi" w:hAnsi="Garamond" w:cs="Calibri"/>
          <w:color w:val="0D0D0D"/>
          <w:sz w:val="24"/>
          <w:szCs w:val="24"/>
        </w:rPr>
      </w:pPr>
      <w:r w:rsidRPr="004079B3">
        <w:rPr>
          <w:rFonts w:ascii="Garamond" w:eastAsiaTheme="minorHAnsi" w:hAnsi="Garamond" w:cs="Times New Roman"/>
          <w:color w:val="000000"/>
          <w:sz w:val="24"/>
          <w:szCs w:val="24"/>
        </w:rPr>
        <w:t xml:space="preserve">6. </w:t>
      </w:r>
      <w:r w:rsidRPr="004079B3">
        <w:rPr>
          <w:rFonts w:ascii="Garamond" w:eastAsiaTheme="minorHAnsi" w:hAnsi="Garamond" w:cs="Garamond"/>
          <w:color w:val="0D0D0D"/>
          <w:sz w:val="24"/>
          <w:szCs w:val="24"/>
        </w:rPr>
        <w:t xml:space="preserve">Ndërkohë, Kolegji Administrativ i Gjykatës së Lartë, me vendimin nr. 00-2022-3138 (393), datë 22.11.2022, ka vendosur ndryshimin e vendimeve të gjykatave të faktit dhe rrëzimin e padisë, me arsyetimin se bazuar në ligjin nr. 9749/2007 dhe </w:t>
      </w:r>
      <w:proofErr w:type="spellStart"/>
      <w:r w:rsidRPr="004079B3">
        <w:rPr>
          <w:rFonts w:ascii="Garamond" w:eastAsiaTheme="minorHAnsi" w:hAnsi="Garamond" w:cs="Garamond"/>
          <w:color w:val="0D0D0D"/>
          <w:sz w:val="24"/>
          <w:szCs w:val="24"/>
        </w:rPr>
        <w:t>VKM</w:t>
      </w:r>
      <w:proofErr w:type="spellEnd"/>
      <w:r w:rsidRPr="004079B3">
        <w:rPr>
          <w:rFonts w:ascii="Garamond" w:eastAsiaTheme="minorHAnsi" w:hAnsi="Garamond" w:cs="Garamond"/>
          <w:color w:val="0D0D0D"/>
          <w:sz w:val="24"/>
          <w:szCs w:val="24"/>
        </w:rPr>
        <w:t>-në nr. 804, datë 21.11.2007</w:t>
      </w:r>
      <w:r w:rsidR="004079B3">
        <w:rPr>
          <w:rFonts w:ascii="Garamond" w:eastAsiaTheme="minorHAnsi" w:hAnsi="Garamond" w:cs="Garamond"/>
          <w:color w:val="0D0D0D"/>
          <w:sz w:val="24"/>
          <w:szCs w:val="24"/>
        </w:rPr>
        <w:t>,</w:t>
      </w:r>
      <w:r w:rsidRPr="004079B3">
        <w:rPr>
          <w:rFonts w:ascii="Garamond" w:eastAsiaTheme="minorHAnsi" w:hAnsi="Garamond" w:cs="Garamond"/>
          <w:color w:val="0D0D0D"/>
          <w:sz w:val="24"/>
          <w:szCs w:val="24"/>
        </w:rPr>
        <w:t xml:space="preserve"> “Rregullorja e personelit të Policisë së Shtetit”, dalë në zbatim të këtij ligji, personat e përjashtuar nga policia nuk kanë të drejtë rikthimi në strukturat e policisë, përveç rastit kur akti i përjashtimit është: i</w:t>
      </w:r>
      <w:r w:rsidR="004079B3">
        <w:rPr>
          <w:rFonts w:ascii="Garamond" w:eastAsiaTheme="minorHAnsi" w:hAnsi="Garamond" w:cs="Garamond"/>
          <w:color w:val="0D0D0D"/>
          <w:sz w:val="24"/>
          <w:szCs w:val="24"/>
        </w:rPr>
        <w:t>.</w:t>
      </w:r>
      <w:r w:rsidRPr="004079B3">
        <w:rPr>
          <w:rFonts w:ascii="Garamond" w:eastAsiaTheme="minorHAnsi" w:hAnsi="Garamond" w:cs="Garamond"/>
          <w:color w:val="0D0D0D"/>
          <w:sz w:val="24"/>
          <w:szCs w:val="24"/>
        </w:rPr>
        <w:t xml:space="preserve"> revokuar ose shfuqizuar nga vetë organi publik; </w:t>
      </w:r>
      <w:proofErr w:type="spellStart"/>
      <w:r w:rsidRPr="004079B3">
        <w:rPr>
          <w:rFonts w:ascii="Garamond" w:eastAsiaTheme="minorHAnsi" w:hAnsi="Garamond" w:cs="Garamond"/>
          <w:color w:val="0D0D0D"/>
          <w:sz w:val="24"/>
          <w:szCs w:val="24"/>
        </w:rPr>
        <w:t>ii</w:t>
      </w:r>
      <w:proofErr w:type="spellEnd"/>
      <w:r w:rsidR="004079B3">
        <w:rPr>
          <w:rFonts w:ascii="Garamond" w:eastAsiaTheme="minorHAnsi" w:hAnsi="Garamond" w:cs="Garamond"/>
          <w:color w:val="0D0D0D"/>
          <w:sz w:val="24"/>
          <w:szCs w:val="24"/>
        </w:rPr>
        <w:t xml:space="preserve">. </w:t>
      </w:r>
      <w:r w:rsidRPr="004079B3">
        <w:rPr>
          <w:rFonts w:ascii="Garamond" w:eastAsiaTheme="minorHAnsi" w:hAnsi="Garamond" w:cs="Garamond"/>
          <w:color w:val="0D0D0D"/>
          <w:sz w:val="24"/>
          <w:szCs w:val="24"/>
        </w:rPr>
        <w:t>shfuqizuar ose deklaruar absolutisht i pavlefshëm me vendim gjyqësor të formës së prerë. Sipas Gjykatës së Lartë, gjykatat e faktit kanë interpretuar në mënyrë të gabuar ligjin material të zbatueshëm për zgjidhjen e mosmarrëveshjes.</w:t>
      </w:r>
    </w:p>
    <w:p w14:paraId="67DF3E7D" w14:textId="30B739BD" w:rsidR="008446DF" w:rsidRPr="004079B3" w:rsidRDefault="008446DF" w:rsidP="008446DF">
      <w:pPr>
        <w:tabs>
          <w:tab w:val="left" w:pos="840"/>
          <w:tab w:val="left" w:pos="1080"/>
        </w:tabs>
        <w:autoSpaceDE w:val="0"/>
        <w:autoSpaceDN w:val="0"/>
        <w:adjustRightInd w:val="0"/>
        <w:spacing w:after="0" w:line="240" w:lineRule="auto"/>
        <w:ind w:firstLine="284"/>
        <w:jc w:val="both"/>
        <w:rPr>
          <w:rFonts w:ascii="Garamond" w:eastAsiaTheme="minorHAnsi" w:hAnsi="Garamond" w:cs="Calibri"/>
          <w:color w:val="0D0D0D"/>
          <w:sz w:val="24"/>
          <w:szCs w:val="24"/>
        </w:rPr>
      </w:pPr>
      <w:r w:rsidRPr="004079B3">
        <w:rPr>
          <w:rFonts w:ascii="Garamond" w:eastAsiaTheme="minorHAnsi" w:hAnsi="Garamond" w:cs="Times New Roman"/>
          <w:color w:val="000000"/>
          <w:sz w:val="24"/>
          <w:szCs w:val="24"/>
        </w:rPr>
        <w:t xml:space="preserve">7. </w:t>
      </w:r>
      <w:r w:rsidRPr="004079B3">
        <w:rPr>
          <w:rFonts w:ascii="Garamond" w:eastAsiaTheme="minorHAnsi" w:hAnsi="Garamond" w:cs="Garamond"/>
          <w:color w:val="0D0D0D"/>
          <w:sz w:val="24"/>
          <w:szCs w:val="24"/>
        </w:rPr>
        <w:t>Në vijim, me urdhrin nr. 5695, datë 17.10.2024</w:t>
      </w:r>
      <w:r w:rsidR="004079B3">
        <w:rPr>
          <w:rFonts w:ascii="Garamond" w:eastAsiaTheme="minorHAnsi" w:hAnsi="Garamond" w:cs="Garamond"/>
          <w:color w:val="0D0D0D"/>
          <w:sz w:val="24"/>
          <w:szCs w:val="24"/>
        </w:rPr>
        <w:t>,</w:t>
      </w:r>
      <w:r w:rsidRPr="004079B3">
        <w:rPr>
          <w:rFonts w:ascii="Garamond" w:eastAsiaTheme="minorHAnsi" w:hAnsi="Garamond" w:cs="Garamond"/>
          <w:color w:val="0D0D0D"/>
          <w:sz w:val="24"/>
          <w:szCs w:val="24"/>
        </w:rPr>
        <w:t xml:space="preserve"> të drejtorit të përgjithshëm të Policisë së Shtetit, kërkuesi është liruar nga detyra.</w:t>
      </w:r>
    </w:p>
    <w:p w14:paraId="7A6D420F" w14:textId="335E3AD7" w:rsidR="008446DF" w:rsidRPr="004079B3" w:rsidRDefault="008446DF" w:rsidP="008446DF">
      <w:pPr>
        <w:tabs>
          <w:tab w:val="left" w:pos="840"/>
          <w:tab w:val="left" w:pos="1080"/>
        </w:tabs>
        <w:autoSpaceDE w:val="0"/>
        <w:autoSpaceDN w:val="0"/>
        <w:adjustRightInd w:val="0"/>
        <w:spacing w:after="0" w:line="240" w:lineRule="auto"/>
        <w:ind w:firstLine="284"/>
        <w:jc w:val="both"/>
        <w:rPr>
          <w:rFonts w:ascii="Garamond" w:eastAsiaTheme="minorHAnsi" w:hAnsi="Garamond" w:cs="Calibri"/>
          <w:color w:val="0D0D0D"/>
          <w:sz w:val="24"/>
          <w:szCs w:val="24"/>
        </w:rPr>
      </w:pPr>
      <w:r w:rsidRPr="004079B3">
        <w:rPr>
          <w:rFonts w:ascii="Garamond" w:eastAsiaTheme="minorHAnsi" w:hAnsi="Garamond" w:cs="Times New Roman"/>
          <w:color w:val="000000"/>
          <w:sz w:val="24"/>
          <w:szCs w:val="24"/>
        </w:rPr>
        <w:t xml:space="preserve">8. </w:t>
      </w:r>
      <w:r w:rsidRPr="004079B3">
        <w:rPr>
          <w:rFonts w:ascii="Garamond" w:eastAsiaTheme="minorHAnsi" w:hAnsi="Garamond" w:cs="Garamond"/>
          <w:color w:val="000000"/>
          <w:sz w:val="24"/>
          <w:szCs w:val="24"/>
        </w:rPr>
        <w:t>Në datën 11.11.2024</w:t>
      </w:r>
      <w:r w:rsidR="004079B3">
        <w:rPr>
          <w:rFonts w:ascii="Garamond" w:eastAsiaTheme="minorHAnsi" w:hAnsi="Garamond" w:cs="Garamond"/>
          <w:color w:val="000000"/>
          <w:sz w:val="24"/>
          <w:szCs w:val="24"/>
        </w:rPr>
        <w:t>,</w:t>
      </w:r>
      <w:r w:rsidRPr="004079B3">
        <w:rPr>
          <w:rFonts w:ascii="Garamond" w:eastAsiaTheme="minorHAnsi" w:hAnsi="Garamond" w:cs="Garamond"/>
          <w:color w:val="000000"/>
          <w:sz w:val="24"/>
          <w:szCs w:val="24"/>
        </w:rPr>
        <w:t xml:space="preserve"> kërkuesi i është drejtuar Gjykatës Kushtetuese (</w:t>
      </w:r>
      <w:r w:rsidRPr="004079B3">
        <w:rPr>
          <w:rFonts w:ascii="Garamond" w:eastAsiaTheme="minorHAnsi" w:hAnsi="Garamond" w:cs="Garamond"/>
          <w:i/>
          <w:iCs/>
          <w:color w:val="000000"/>
          <w:sz w:val="24"/>
          <w:szCs w:val="24"/>
        </w:rPr>
        <w:t>Gjykata</w:t>
      </w:r>
      <w:r w:rsidRPr="004079B3">
        <w:rPr>
          <w:rFonts w:ascii="Garamond" w:eastAsiaTheme="minorHAnsi" w:hAnsi="Garamond" w:cs="Garamond"/>
          <w:color w:val="000000"/>
          <w:sz w:val="24"/>
          <w:szCs w:val="24"/>
        </w:rPr>
        <w:t>) me ankim kushtetues individual, sipas objektit të tij. Në datën 21.1.2025</w:t>
      </w:r>
      <w:r w:rsidR="004079B3">
        <w:rPr>
          <w:rFonts w:ascii="Garamond" w:eastAsiaTheme="minorHAnsi" w:hAnsi="Garamond" w:cs="Garamond"/>
          <w:color w:val="000000"/>
          <w:sz w:val="24"/>
          <w:szCs w:val="24"/>
        </w:rPr>
        <w:t>,</w:t>
      </w:r>
      <w:r w:rsidRPr="004079B3">
        <w:rPr>
          <w:rFonts w:ascii="Garamond" w:eastAsiaTheme="minorHAnsi" w:hAnsi="Garamond" w:cs="Garamond"/>
          <w:color w:val="000000"/>
          <w:sz w:val="24"/>
          <w:szCs w:val="24"/>
        </w:rPr>
        <w:t xml:space="preserve"> Kolegji i Gjykatës ka vendosur kalimin e çështjes për shqyrtim në seancë plenare mbi bazë të dokumenteve. Në seancën plenare mbi bazë të dokumenteve të datës 4.6.2025, Gjykata ka vendosur shtyrjen e saj me qëllim kërkimin e informacionit dhe të materialeve shtesë nga kërkuesi, si dhe nga subjektet e interesuara.</w:t>
      </w:r>
    </w:p>
    <w:p w14:paraId="4C8C34EE" w14:textId="410415C9" w:rsidR="008446DF" w:rsidRPr="004079B3" w:rsidRDefault="008446DF" w:rsidP="008446DF">
      <w:pPr>
        <w:tabs>
          <w:tab w:val="left" w:pos="840"/>
          <w:tab w:val="left" w:pos="1080"/>
        </w:tabs>
        <w:autoSpaceDE w:val="0"/>
        <w:autoSpaceDN w:val="0"/>
        <w:adjustRightInd w:val="0"/>
        <w:spacing w:after="0" w:line="240" w:lineRule="auto"/>
        <w:ind w:firstLine="284"/>
        <w:jc w:val="both"/>
        <w:rPr>
          <w:rFonts w:ascii="Garamond" w:eastAsiaTheme="minorHAnsi" w:hAnsi="Garamond" w:cs="Garamond"/>
          <w:color w:val="0D0D0D"/>
          <w:sz w:val="24"/>
          <w:szCs w:val="24"/>
        </w:rPr>
      </w:pPr>
      <w:r w:rsidRPr="004079B3">
        <w:rPr>
          <w:rFonts w:ascii="Garamond" w:eastAsiaTheme="minorHAnsi" w:hAnsi="Garamond" w:cs="Times New Roman"/>
          <w:color w:val="000000"/>
          <w:sz w:val="24"/>
          <w:szCs w:val="24"/>
        </w:rPr>
        <w:t xml:space="preserve">9. </w:t>
      </w:r>
      <w:r w:rsidRPr="004079B3">
        <w:rPr>
          <w:rFonts w:ascii="Garamond" w:eastAsiaTheme="minorHAnsi" w:hAnsi="Garamond" w:cs="Garamond"/>
          <w:color w:val="0D0D0D"/>
          <w:sz w:val="24"/>
          <w:szCs w:val="24"/>
        </w:rPr>
        <w:t>Në vijim, Gjykata ka bërë njoftimin e palëve, për caktimin e seancës plenare mbi bazë të dokumenteve në datën 24.6.2025.</w:t>
      </w:r>
    </w:p>
    <w:p w14:paraId="39D7757D" w14:textId="77777777" w:rsidR="008446DF" w:rsidRPr="004079B3" w:rsidRDefault="008446DF" w:rsidP="008446DF">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19C30CE3" w14:textId="77777777" w:rsidR="008446DF" w:rsidRPr="004079B3" w:rsidRDefault="008446DF" w:rsidP="008446DF">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proofErr w:type="spellStart"/>
      <w:r w:rsidRPr="004079B3">
        <w:rPr>
          <w:rFonts w:ascii="Garamond" w:eastAsiaTheme="minorHAnsi" w:hAnsi="Garamond" w:cs="Garamond"/>
          <w:b/>
          <w:bCs/>
          <w:color w:val="000000"/>
          <w:sz w:val="24"/>
          <w:szCs w:val="24"/>
        </w:rPr>
        <w:t>II</w:t>
      </w:r>
      <w:proofErr w:type="spellEnd"/>
    </w:p>
    <w:p w14:paraId="6AD21716" w14:textId="77777777" w:rsidR="008446DF" w:rsidRPr="004079B3" w:rsidRDefault="008446DF" w:rsidP="008446DF">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4079B3">
        <w:rPr>
          <w:rFonts w:ascii="Garamond" w:eastAsiaTheme="minorHAnsi" w:hAnsi="Garamond" w:cs="Garamond"/>
          <w:b/>
          <w:bCs/>
          <w:color w:val="000000"/>
          <w:sz w:val="24"/>
          <w:szCs w:val="24"/>
        </w:rPr>
        <w:t>Pretendimet në Gjykatën Kushtetuese</w:t>
      </w:r>
    </w:p>
    <w:p w14:paraId="18CC90CB" w14:textId="77777777" w:rsidR="008446DF" w:rsidRPr="004079B3" w:rsidRDefault="008446DF" w:rsidP="008446DF">
      <w:pPr>
        <w:autoSpaceDE w:val="0"/>
        <w:autoSpaceDN w:val="0"/>
        <w:adjustRightInd w:val="0"/>
        <w:spacing w:after="0" w:line="240" w:lineRule="auto"/>
        <w:ind w:firstLine="284"/>
        <w:jc w:val="center"/>
        <w:rPr>
          <w:rFonts w:ascii="Garamond" w:eastAsiaTheme="minorHAnsi" w:hAnsi="Garamond" w:cs="Garamond"/>
          <w:b/>
          <w:bCs/>
          <w:color w:val="000000"/>
          <w:sz w:val="24"/>
          <w:szCs w:val="24"/>
        </w:rPr>
      </w:pPr>
    </w:p>
    <w:p w14:paraId="7ADB8180" w14:textId="5816A3B5" w:rsidR="008446DF" w:rsidRPr="004079B3" w:rsidRDefault="008446DF" w:rsidP="008446DF">
      <w:pPr>
        <w:tabs>
          <w:tab w:val="left" w:pos="840"/>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10. </w:t>
      </w:r>
      <w:r w:rsidRPr="004079B3">
        <w:rPr>
          <w:rFonts w:ascii="Garamond" w:eastAsiaTheme="minorHAnsi" w:hAnsi="Garamond" w:cs="Garamond"/>
          <w:b/>
          <w:bCs/>
          <w:i/>
          <w:iCs/>
          <w:color w:val="000000"/>
          <w:sz w:val="24"/>
          <w:szCs w:val="24"/>
        </w:rPr>
        <w:t xml:space="preserve">Kërkuesi, </w:t>
      </w:r>
      <w:r w:rsidRPr="004079B3">
        <w:rPr>
          <w:rFonts w:ascii="Garamond" w:eastAsiaTheme="minorHAnsi" w:hAnsi="Garamond" w:cs="Garamond"/>
          <w:color w:val="000000"/>
          <w:sz w:val="24"/>
          <w:szCs w:val="24"/>
        </w:rPr>
        <w:t>në mënyrë të përmbledhur, ka pretenduar se vendimi i kundërshtuar i ka</w:t>
      </w:r>
      <w:r w:rsidR="004079B3">
        <w:rPr>
          <w:rFonts w:ascii="Garamond" w:eastAsiaTheme="minorHAnsi" w:hAnsi="Garamond" w:cs="Garamond"/>
          <w:color w:val="000000"/>
          <w:sz w:val="24"/>
          <w:szCs w:val="24"/>
        </w:rPr>
        <w:t xml:space="preserve"> </w:t>
      </w:r>
      <w:r w:rsidRPr="004079B3">
        <w:rPr>
          <w:rFonts w:ascii="Garamond" w:eastAsiaTheme="minorHAnsi" w:hAnsi="Garamond" w:cs="Garamond"/>
          <w:color w:val="000000"/>
          <w:sz w:val="24"/>
          <w:szCs w:val="24"/>
        </w:rPr>
        <w:t xml:space="preserve">cenuar: </w:t>
      </w:r>
    </w:p>
    <w:p w14:paraId="52040FD3" w14:textId="54C48507" w:rsidR="008446DF" w:rsidRPr="004079B3" w:rsidRDefault="008446DF" w:rsidP="008446DF">
      <w:pPr>
        <w:tabs>
          <w:tab w:val="left" w:pos="840"/>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Garamond"/>
          <w:color w:val="000000"/>
          <w:sz w:val="24"/>
          <w:szCs w:val="24"/>
        </w:rPr>
        <w:t xml:space="preserve">10.1 </w:t>
      </w:r>
      <w:r w:rsidRPr="004079B3">
        <w:rPr>
          <w:rFonts w:ascii="Garamond" w:eastAsiaTheme="minorHAnsi" w:hAnsi="Garamond" w:cs="Garamond"/>
          <w:i/>
          <w:iCs/>
          <w:color w:val="000000"/>
          <w:sz w:val="24"/>
          <w:szCs w:val="24"/>
        </w:rPr>
        <w:t>Të drejtën për një proces të rregullt ligjor</w:t>
      </w:r>
      <w:r w:rsidRPr="004079B3">
        <w:rPr>
          <w:rFonts w:ascii="Garamond" w:eastAsiaTheme="minorHAnsi" w:hAnsi="Garamond" w:cs="Garamond"/>
          <w:color w:val="000000"/>
          <w:sz w:val="24"/>
          <w:szCs w:val="24"/>
        </w:rPr>
        <w:t xml:space="preserve">, të garantuar nga neni 42 i Kushtetutës dhe neni 6 i </w:t>
      </w:r>
      <w:proofErr w:type="spellStart"/>
      <w:r w:rsidRPr="004079B3">
        <w:rPr>
          <w:rFonts w:ascii="Garamond" w:eastAsiaTheme="minorHAnsi" w:hAnsi="Garamond" w:cs="Garamond"/>
          <w:color w:val="000000"/>
          <w:sz w:val="24"/>
          <w:szCs w:val="24"/>
        </w:rPr>
        <w:t>KEDNJ</w:t>
      </w:r>
      <w:proofErr w:type="spellEnd"/>
      <w:r w:rsidRPr="004079B3">
        <w:rPr>
          <w:rFonts w:ascii="Garamond" w:eastAsiaTheme="minorHAnsi" w:hAnsi="Garamond" w:cs="Garamond"/>
          <w:color w:val="000000"/>
          <w:sz w:val="24"/>
          <w:szCs w:val="24"/>
        </w:rPr>
        <w:t>-së, në drejtim të:</w:t>
      </w:r>
    </w:p>
    <w:p w14:paraId="00DFE31B" w14:textId="6075C901" w:rsidR="008446DF" w:rsidRPr="004079B3" w:rsidRDefault="008446DF" w:rsidP="008446DF">
      <w:pPr>
        <w:tabs>
          <w:tab w:val="left" w:pos="840"/>
          <w:tab w:val="left" w:pos="1620"/>
          <w:tab w:val="left" w:pos="22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Garamond"/>
          <w:color w:val="000000"/>
          <w:sz w:val="24"/>
          <w:szCs w:val="24"/>
        </w:rPr>
        <w:t>10.1.1</w:t>
      </w:r>
      <w:r w:rsidR="004079B3">
        <w:rPr>
          <w:rFonts w:ascii="Garamond" w:eastAsiaTheme="minorHAnsi" w:hAnsi="Garamond" w:cs="Garamond"/>
          <w:i/>
          <w:iCs/>
          <w:color w:val="000000"/>
          <w:sz w:val="24"/>
          <w:szCs w:val="24"/>
        </w:rPr>
        <w:t xml:space="preserve"> </w:t>
      </w:r>
      <w:r w:rsidRPr="004079B3">
        <w:rPr>
          <w:rFonts w:ascii="Garamond" w:eastAsiaTheme="minorHAnsi" w:hAnsi="Garamond" w:cs="Garamond"/>
          <w:i/>
          <w:iCs/>
          <w:color w:val="000000"/>
          <w:sz w:val="24"/>
          <w:szCs w:val="24"/>
        </w:rPr>
        <w:t xml:space="preserve">Parimit të barazisë së armëve dhe </w:t>
      </w:r>
      <w:proofErr w:type="spellStart"/>
      <w:r w:rsidRPr="004079B3">
        <w:rPr>
          <w:rFonts w:ascii="Garamond" w:eastAsiaTheme="minorHAnsi" w:hAnsi="Garamond" w:cs="Garamond"/>
          <w:i/>
          <w:iCs/>
          <w:color w:val="000000"/>
          <w:sz w:val="24"/>
          <w:szCs w:val="24"/>
        </w:rPr>
        <w:t>kontradiktoritetit</w:t>
      </w:r>
      <w:proofErr w:type="spellEnd"/>
      <w:r w:rsidRPr="004079B3">
        <w:rPr>
          <w:rFonts w:ascii="Garamond" w:eastAsiaTheme="minorHAnsi" w:hAnsi="Garamond" w:cs="Garamond"/>
          <w:i/>
          <w:iCs/>
          <w:color w:val="000000"/>
          <w:sz w:val="24"/>
          <w:szCs w:val="24"/>
        </w:rPr>
        <w:t>,</w:t>
      </w:r>
      <w:r w:rsidRPr="004079B3">
        <w:rPr>
          <w:rFonts w:ascii="Garamond" w:eastAsiaTheme="minorHAnsi" w:hAnsi="Garamond" w:cs="Garamond"/>
          <w:color w:val="000000"/>
          <w:sz w:val="24"/>
          <w:szCs w:val="24"/>
        </w:rPr>
        <w:t xml:space="preserve"> pasi Gjykata e Lartë i ka</w:t>
      </w:r>
      <w:r w:rsidRPr="004079B3">
        <w:rPr>
          <w:rFonts w:ascii="Garamond" w:eastAsiaTheme="minorHAnsi" w:hAnsi="Garamond" w:cs="Garamond"/>
          <w:color w:val="222222"/>
          <w:sz w:val="24"/>
          <w:szCs w:val="24"/>
        </w:rPr>
        <w:t xml:space="preserve"> mohuar të drejtën për të paraqitur </w:t>
      </w:r>
      <w:proofErr w:type="spellStart"/>
      <w:r w:rsidRPr="004079B3">
        <w:rPr>
          <w:rFonts w:ascii="Garamond" w:eastAsiaTheme="minorHAnsi" w:hAnsi="Garamond" w:cs="Garamond"/>
          <w:color w:val="222222"/>
          <w:sz w:val="24"/>
          <w:szCs w:val="24"/>
        </w:rPr>
        <w:t>kundërrekurs</w:t>
      </w:r>
      <w:proofErr w:type="spellEnd"/>
      <w:r w:rsidRPr="004079B3">
        <w:rPr>
          <w:rFonts w:ascii="Garamond" w:eastAsiaTheme="minorHAnsi" w:hAnsi="Garamond" w:cs="Garamond"/>
          <w:color w:val="222222"/>
          <w:sz w:val="24"/>
          <w:szCs w:val="24"/>
        </w:rPr>
        <w:t xml:space="preserve"> dhe parashtrime përpara seancës gjyqësore, për shkak të </w:t>
      </w:r>
      <w:proofErr w:type="spellStart"/>
      <w:r w:rsidRPr="004079B3">
        <w:rPr>
          <w:rFonts w:ascii="Garamond" w:eastAsiaTheme="minorHAnsi" w:hAnsi="Garamond" w:cs="Garamond"/>
          <w:color w:val="222222"/>
          <w:sz w:val="24"/>
          <w:szCs w:val="24"/>
        </w:rPr>
        <w:t>moskomunikimit</w:t>
      </w:r>
      <w:proofErr w:type="spellEnd"/>
      <w:r w:rsidRPr="004079B3">
        <w:rPr>
          <w:rFonts w:ascii="Garamond" w:eastAsiaTheme="minorHAnsi" w:hAnsi="Garamond" w:cs="Garamond"/>
          <w:color w:val="222222"/>
          <w:sz w:val="24"/>
          <w:szCs w:val="24"/>
        </w:rPr>
        <w:t xml:space="preserve"> të rekursit të palës së paditur, ndonëse në vendimin e saj ajo gjykatë shprehet, ndër të tjera, se rekursi </w:t>
      </w:r>
      <w:r w:rsidRPr="004079B3">
        <w:rPr>
          <w:rFonts w:ascii="Garamond" w:eastAsiaTheme="minorHAnsi" w:hAnsi="Garamond" w:cs="Garamond"/>
          <w:color w:val="222222"/>
          <w:sz w:val="24"/>
          <w:szCs w:val="24"/>
        </w:rPr>
        <w:lastRenderedPageBreak/>
        <w:t xml:space="preserve">i është komunikuar rregullisht palës paditëse (kërkuesit) dhe se ai nuk ka paraqitur </w:t>
      </w:r>
      <w:proofErr w:type="spellStart"/>
      <w:r w:rsidRPr="004079B3">
        <w:rPr>
          <w:rFonts w:ascii="Garamond" w:eastAsiaTheme="minorHAnsi" w:hAnsi="Garamond" w:cs="Garamond"/>
          <w:color w:val="222222"/>
          <w:sz w:val="24"/>
          <w:szCs w:val="24"/>
        </w:rPr>
        <w:t>kundërrekurs</w:t>
      </w:r>
      <w:proofErr w:type="spellEnd"/>
      <w:r w:rsidRPr="004079B3">
        <w:rPr>
          <w:rFonts w:ascii="Garamond" w:eastAsiaTheme="minorHAnsi" w:hAnsi="Garamond" w:cs="Garamond"/>
          <w:color w:val="222222"/>
          <w:sz w:val="24"/>
          <w:szCs w:val="24"/>
        </w:rPr>
        <w:t xml:space="preserve"> për mbrojtjen e tij.</w:t>
      </w:r>
    </w:p>
    <w:p w14:paraId="281820EE" w14:textId="652C23D8" w:rsidR="008446DF" w:rsidRPr="004079B3" w:rsidRDefault="008446DF" w:rsidP="008446DF">
      <w:pPr>
        <w:tabs>
          <w:tab w:val="left" w:pos="840"/>
          <w:tab w:val="left" w:pos="1620"/>
          <w:tab w:val="left" w:pos="22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Garamond"/>
          <w:color w:val="000000"/>
          <w:sz w:val="24"/>
          <w:szCs w:val="24"/>
        </w:rPr>
        <w:t>10.1.2</w:t>
      </w:r>
      <w:r w:rsidR="004079B3">
        <w:rPr>
          <w:rFonts w:ascii="Garamond" w:eastAsiaTheme="minorHAnsi" w:hAnsi="Garamond" w:cs="Garamond"/>
          <w:color w:val="000000"/>
          <w:sz w:val="24"/>
          <w:szCs w:val="24"/>
        </w:rPr>
        <w:t xml:space="preserve"> </w:t>
      </w:r>
      <w:r w:rsidRPr="004079B3">
        <w:rPr>
          <w:rFonts w:ascii="Garamond" w:eastAsiaTheme="minorHAnsi" w:hAnsi="Garamond" w:cs="Garamond"/>
          <w:i/>
          <w:iCs/>
          <w:color w:val="000000"/>
          <w:sz w:val="24"/>
          <w:szCs w:val="24"/>
        </w:rPr>
        <w:t>Së</w:t>
      </w:r>
      <w:r w:rsidRPr="004079B3">
        <w:rPr>
          <w:rFonts w:ascii="Garamond" w:eastAsiaTheme="minorHAnsi" w:hAnsi="Garamond" w:cs="Garamond"/>
          <w:i/>
          <w:iCs/>
          <w:color w:val="222222"/>
          <w:sz w:val="24"/>
          <w:szCs w:val="24"/>
        </w:rPr>
        <w:t xml:space="preserve"> drejtës së </w:t>
      </w:r>
      <w:proofErr w:type="spellStart"/>
      <w:r w:rsidRPr="004079B3">
        <w:rPr>
          <w:rFonts w:ascii="Garamond" w:eastAsiaTheme="minorHAnsi" w:hAnsi="Garamond" w:cs="Garamond"/>
          <w:i/>
          <w:iCs/>
          <w:color w:val="222222"/>
          <w:sz w:val="24"/>
          <w:szCs w:val="24"/>
        </w:rPr>
        <w:t>aksesit</w:t>
      </w:r>
      <w:proofErr w:type="spellEnd"/>
      <w:r w:rsidRPr="004079B3">
        <w:rPr>
          <w:rFonts w:ascii="Garamond" w:eastAsiaTheme="minorHAnsi" w:hAnsi="Garamond" w:cs="Garamond"/>
          <w:i/>
          <w:iCs/>
          <w:color w:val="222222"/>
          <w:sz w:val="24"/>
          <w:szCs w:val="24"/>
        </w:rPr>
        <w:t xml:space="preserve"> substancial të lidhur me të</w:t>
      </w:r>
      <w:r w:rsidR="004079B3">
        <w:rPr>
          <w:rFonts w:ascii="Garamond" w:eastAsiaTheme="minorHAnsi" w:hAnsi="Garamond" w:cs="Garamond"/>
          <w:i/>
          <w:iCs/>
          <w:color w:val="222222"/>
          <w:sz w:val="24"/>
          <w:szCs w:val="24"/>
        </w:rPr>
        <w:t xml:space="preserve"> </w:t>
      </w:r>
      <w:r w:rsidRPr="004079B3">
        <w:rPr>
          <w:rFonts w:ascii="Garamond" w:eastAsiaTheme="minorHAnsi" w:hAnsi="Garamond" w:cs="Garamond"/>
          <w:i/>
          <w:iCs/>
          <w:color w:val="222222"/>
          <w:sz w:val="24"/>
          <w:szCs w:val="24"/>
        </w:rPr>
        <w:t>drejtën për t’u njoftuar, për t’u mbrojtur e për t’u dëgjuar,</w:t>
      </w:r>
      <w:r w:rsidRPr="004079B3">
        <w:rPr>
          <w:rFonts w:ascii="Garamond" w:eastAsiaTheme="minorHAnsi" w:hAnsi="Garamond" w:cs="Garamond"/>
          <w:color w:val="222222"/>
          <w:sz w:val="24"/>
          <w:szCs w:val="24"/>
        </w:rPr>
        <w:t xml:space="preserve"> pasi Gjykata e Lartë me </w:t>
      </w:r>
      <w:proofErr w:type="spellStart"/>
      <w:r w:rsidRPr="004079B3">
        <w:rPr>
          <w:rFonts w:ascii="Garamond" w:eastAsiaTheme="minorHAnsi" w:hAnsi="Garamond" w:cs="Garamond"/>
          <w:color w:val="222222"/>
          <w:sz w:val="24"/>
          <w:szCs w:val="24"/>
        </w:rPr>
        <w:t>mosnjoftimin</w:t>
      </w:r>
      <w:proofErr w:type="spellEnd"/>
      <w:r w:rsidRPr="004079B3">
        <w:rPr>
          <w:rFonts w:ascii="Garamond" w:eastAsiaTheme="minorHAnsi" w:hAnsi="Garamond" w:cs="Garamond"/>
          <w:color w:val="222222"/>
          <w:sz w:val="24"/>
          <w:szCs w:val="24"/>
        </w:rPr>
        <w:t xml:space="preserve"> e rekursit i ka hequr të drejtën të ndjekë vijueshmërinë e çështjes së tij, ndërsa kërkuesi është njohur me vendimin e saj vetëm pas urdhrit të lirimit të tij nga detyra.</w:t>
      </w:r>
    </w:p>
    <w:p w14:paraId="40B4250D" w14:textId="08D74DB1" w:rsidR="008446DF" w:rsidRPr="004079B3" w:rsidRDefault="008446DF" w:rsidP="008446DF">
      <w:pPr>
        <w:tabs>
          <w:tab w:val="left" w:pos="840"/>
          <w:tab w:val="left" w:pos="1260"/>
          <w:tab w:val="left" w:pos="1340"/>
        </w:tabs>
        <w:autoSpaceDE w:val="0"/>
        <w:autoSpaceDN w:val="0"/>
        <w:adjustRightInd w:val="0"/>
        <w:spacing w:after="0" w:line="240" w:lineRule="auto"/>
        <w:ind w:firstLine="284"/>
        <w:jc w:val="both"/>
        <w:rPr>
          <w:rFonts w:ascii="Garamond" w:eastAsiaTheme="minorHAnsi" w:hAnsi="Garamond" w:cs="Garamond"/>
          <w:color w:val="222222"/>
          <w:sz w:val="24"/>
          <w:szCs w:val="24"/>
        </w:rPr>
      </w:pPr>
      <w:r w:rsidRPr="004079B3">
        <w:rPr>
          <w:rFonts w:ascii="Garamond" w:eastAsiaTheme="minorHAnsi" w:hAnsi="Garamond" w:cs="Garamond"/>
          <w:color w:val="222222"/>
          <w:sz w:val="24"/>
          <w:szCs w:val="24"/>
        </w:rPr>
        <w:t xml:space="preserve">10.2 </w:t>
      </w:r>
      <w:r w:rsidRPr="004079B3">
        <w:rPr>
          <w:rFonts w:ascii="Garamond" w:eastAsiaTheme="minorHAnsi" w:hAnsi="Garamond" w:cs="Garamond"/>
          <w:i/>
          <w:iCs/>
          <w:color w:val="222222"/>
          <w:sz w:val="24"/>
          <w:szCs w:val="24"/>
        </w:rPr>
        <w:t>Të drejtën për punë dhe për të fituar mjetet e jetesës,</w:t>
      </w:r>
      <w:r w:rsidRPr="004079B3">
        <w:rPr>
          <w:rFonts w:ascii="Garamond" w:eastAsiaTheme="minorHAnsi" w:hAnsi="Garamond" w:cs="Garamond"/>
          <w:color w:val="222222"/>
          <w:sz w:val="24"/>
          <w:szCs w:val="24"/>
        </w:rPr>
        <w:t xml:space="preserve"> të parashikuar nga neni 49 i Kushtetutës, pasi Gjykata e Lartë ka lënë në fuqi aktet që e hiqnin kërkuesin nga puna. </w:t>
      </w:r>
    </w:p>
    <w:p w14:paraId="59FE39DA" w14:textId="57EF0659" w:rsidR="008446DF" w:rsidRPr="004079B3" w:rsidRDefault="008446DF" w:rsidP="008446DF">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11. </w:t>
      </w:r>
      <w:r w:rsidRPr="004079B3">
        <w:rPr>
          <w:rFonts w:ascii="Garamond" w:eastAsiaTheme="minorHAnsi" w:hAnsi="Garamond" w:cs="Garamond"/>
          <w:b/>
          <w:bCs/>
          <w:i/>
          <w:iCs/>
          <w:color w:val="000000"/>
          <w:sz w:val="24"/>
          <w:szCs w:val="24"/>
        </w:rPr>
        <w:t>Subjektet e interesuara,</w:t>
      </w:r>
      <w:r w:rsidRPr="004079B3">
        <w:rPr>
          <w:rFonts w:ascii="Garamond" w:eastAsiaTheme="minorHAnsi" w:hAnsi="Garamond" w:cs="Garamond"/>
          <w:color w:val="000000"/>
          <w:sz w:val="24"/>
          <w:szCs w:val="24"/>
        </w:rPr>
        <w:t xml:space="preserve"> </w:t>
      </w:r>
      <w:proofErr w:type="spellStart"/>
      <w:r w:rsidRPr="004079B3">
        <w:rPr>
          <w:rFonts w:ascii="Garamond" w:eastAsiaTheme="minorHAnsi" w:hAnsi="Garamond" w:cs="Garamond"/>
          <w:color w:val="000000"/>
          <w:sz w:val="24"/>
          <w:szCs w:val="24"/>
        </w:rPr>
        <w:t>DPQ</w:t>
      </w:r>
      <w:proofErr w:type="spellEnd"/>
      <w:r w:rsidRPr="004079B3">
        <w:rPr>
          <w:rFonts w:ascii="Garamond" w:eastAsiaTheme="minorHAnsi" w:hAnsi="Garamond" w:cs="Garamond"/>
          <w:color w:val="000000"/>
          <w:sz w:val="24"/>
          <w:szCs w:val="24"/>
        </w:rPr>
        <w:t xml:space="preserve">-ja, Vlorë dhe Komisariati i Delvinës, në mënyrë të përmbledhur, kanë parashtruar se rekursi i paraqitur prej tyre nuk paraqet të meta, ndërkohë që detyrimin për të njoftuar palët </w:t>
      </w:r>
      <w:proofErr w:type="spellStart"/>
      <w:r w:rsidRPr="004079B3">
        <w:rPr>
          <w:rFonts w:ascii="Garamond" w:eastAsiaTheme="minorHAnsi" w:hAnsi="Garamond" w:cs="Garamond"/>
          <w:color w:val="000000"/>
          <w:sz w:val="24"/>
          <w:szCs w:val="24"/>
        </w:rPr>
        <w:t>ndërgjyqëse</w:t>
      </w:r>
      <w:proofErr w:type="spellEnd"/>
      <w:r w:rsidRPr="004079B3">
        <w:rPr>
          <w:rFonts w:ascii="Garamond" w:eastAsiaTheme="minorHAnsi" w:hAnsi="Garamond" w:cs="Garamond"/>
          <w:color w:val="000000"/>
          <w:sz w:val="24"/>
          <w:szCs w:val="24"/>
        </w:rPr>
        <w:t xml:space="preserve"> e ka Gjykata e Lartë. Në vijim të vendimmarrjes së Kolegjit Administrativ, Drejtoria e Përgjithshme e Policisë së Shtetit është venë menjëherë në lëvizje për ndjekjen e procedurave ligjore për ekzekutimin e vendimit.</w:t>
      </w:r>
      <w:r w:rsidR="004079B3">
        <w:rPr>
          <w:rFonts w:ascii="Garamond" w:eastAsiaTheme="minorHAnsi" w:hAnsi="Garamond" w:cs="Garamond"/>
          <w:color w:val="000000"/>
          <w:sz w:val="24"/>
          <w:szCs w:val="24"/>
        </w:rPr>
        <w:t xml:space="preserve"> </w:t>
      </w:r>
    </w:p>
    <w:p w14:paraId="08FE455A" w14:textId="77777777" w:rsidR="008446DF" w:rsidRPr="004079B3" w:rsidRDefault="008446DF" w:rsidP="008446DF">
      <w:pPr>
        <w:tabs>
          <w:tab w:val="left" w:pos="1340"/>
          <w:tab w:val="left" w:pos="1520"/>
        </w:tabs>
        <w:autoSpaceDE w:val="0"/>
        <w:autoSpaceDN w:val="0"/>
        <w:adjustRightInd w:val="0"/>
        <w:spacing w:after="0" w:line="240" w:lineRule="auto"/>
        <w:ind w:firstLine="284"/>
        <w:jc w:val="both"/>
        <w:rPr>
          <w:rFonts w:ascii="Garamond" w:eastAsiaTheme="minorHAnsi" w:hAnsi="Garamond" w:cs="Garamond"/>
          <w:b/>
          <w:bCs/>
          <w:color w:val="000000"/>
          <w:sz w:val="24"/>
          <w:szCs w:val="24"/>
        </w:rPr>
      </w:pPr>
    </w:p>
    <w:p w14:paraId="1DB7496A" w14:textId="77777777" w:rsidR="008446DF" w:rsidRPr="004079B3" w:rsidRDefault="008446DF" w:rsidP="008446DF">
      <w:pPr>
        <w:tabs>
          <w:tab w:val="left" w:pos="108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proofErr w:type="spellStart"/>
      <w:r w:rsidRPr="004079B3">
        <w:rPr>
          <w:rFonts w:ascii="Garamond" w:eastAsiaTheme="minorHAnsi" w:hAnsi="Garamond" w:cs="Garamond"/>
          <w:b/>
          <w:bCs/>
          <w:color w:val="000000"/>
          <w:sz w:val="24"/>
          <w:szCs w:val="24"/>
        </w:rPr>
        <w:t>III</w:t>
      </w:r>
      <w:proofErr w:type="spellEnd"/>
    </w:p>
    <w:p w14:paraId="1B88386F" w14:textId="77777777" w:rsidR="008446DF" w:rsidRPr="004079B3" w:rsidRDefault="008446DF" w:rsidP="008446DF">
      <w:pPr>
        <w:tabs>
          <w:tab w:val="left" w:pos="1080"/>
        </w:tabs>
        <w:autoSpaceDE w:val="0"/>
        <w:autoSpaceDN w:val="0"/>
        <w:adjustRightInd w:val="0"/>
        <w:spacing w:after="0" w:line="240" w:lineRule="auto"/>
        <w:ind w:firstLine="284"/>
        <w:jc w:val="center"/>
        <w:rPr>
          <w:rFonts w:ascii="Garamond" w:eastAsiaTheme="minorHAnsi" w:hAnsi="Garamond" w:cs="Garamond"/>
          <w:b/>
          <w:bCs/>
          <w:color w:val="000000"/>
          <w:sz w:val="24"/>
          <w:szCs w:val="24"/>
        </w:rPr>
      </w:pPr>
      <w:r w:rsidRPr="004079B3">
        <w:rPr>
          <w:rFonts w:ascii="Garamond" w:eastAsiaTheme="minorHAnsi" w:hAnsi="Garamond" w:cs="Garamond"/>
          <w:b/>
          <w:bCs/>
          <w:color w:val="000000"/>
          <w:sz w:val="24"/>
          <w:szCs w:val="24"/>
        </w:rPr>
        <w:t>Vlerësimi i Gjykatës Kushtetuese</w:t>
      </w:r>
    </w:p>
    <w:p w14:paraId="53E9B465" w14:textId="77777777" w:rsidR="008446DF" w:rsidRPr="004079B3" w:rsidRDefault="008446DF" w:rsidP="008446DF">
      <w:pPr>
        <w:tabs>
          <w:tab w:val="left" w:pos="1080"/>
        </w:tabs>
        <w:autoSpaceDE w:val="0"/>
        <w:autoSpaceDN w:val="0"/>
        <w:adjustRightInd w:val="0"/>
        <w:spacing w:after="0" w:line="240" w:lineRule="auto"/>
        <w:ind w:firstLine="284"/>
        <w:jc w:val="center"/>
        <w:rPr>
          <w:rFonts w:ascii="Garamond" w:eastAsiaTheme="minorHAnsi" w:hAnsi="Garamond" w:cs="Garamond"/>
          <w:color w:val="000000"/>
          <w:sz w:val="24"/>
          <w:szCs w:val="24"/>
        </w:rPr>
      </w:pPr>
    </w:p>
    <w:p w14:paraId="47BA57C4" w14:textId="77777777" w:rsidR="008446DF" w:rsidRPr="004079B3" w:rsidRDefault="008446DF" w:rsidP="008446DF">
      <w:pPr>
        <w:tabs>
          <w:tab w:val="left" w:pos="720"/>
          <w:tab w:val="left" w:pos="1080"/>
        </w:tabs>
        <w:autoSpaceDE w:val="0"/>
        <w:autoSpaceDN w:val="0"/>
        <w:adjustRightInd w:val="0"/>
        <w:spacing w:after="0" w:line="240" w:lineRule="auto"/>
        <w:ind w:firstLine="284"/>
        <w:rPr>
          <w:rFonts w:ascii="Garamond" w:eastAsiaTheme="minorHAnsi" w:hAnsi="Garamond" w:cs="Garamond"/>
          <w:b/>
          <w:bCs/>
          <w:color w:val="000000"/>
          <w:sz w:val="24"/>
          <w:szCs w:val="24"/>
        </w:rPr>
      </w:pPr>
      <w:r w:rsidRPr="004079B3">
        <w:rPr>
          <w:rFonts w:ascii="Garamond" w:eastAsiaTheme="minorHAnsi" w:hAnsi="Garamond" w:cs="Garamond"/>
          <w:i/>
          <w:iCs/>
          <w:color w:val="000000"/>
          <w:sz w:val="24"/>
          <w:szCs w:val="24"/>
        </w:rPr>
        <w:t>A. Për legjitimimin e kërkuesit</w:t>
      </w:r>
    </w:p>
    <w:p w14:paraId="52C5C235" w14:textId="2085E7D5" w:rsidR="008446DF" w:rsidRPr="004079B3" w:rsidRDefault="008446DF" w:rsidP="008446DF">
      <w:pPr>
        <w:tabs>
          <w:tab w:val="left" w:pos="84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12. </w:t>
      </w:r>
      <w:r w:rsidRPr="004079B3">
        <w:rPr>
          <w:rFonts w:ascii="Garamond" w:eastAsiaTheme="minorHAnsi" w:hAnsi="Garamond" w:cs="Garamond"/>
          <w:color w:val="000000"/>
          <w:sz w:val="24"/>
          <w:szCs w:val="24"/>
        </w:rPr>
        <w:t>Çështja e legjitimimit (</w:t>
      </w:r>
      <w:proofErr w:type="spellStart"/>
      <w:r w:rsidRPr="004079B3">
        <w:rPr>
          <w:rFonts w:ascii="Garamond" w:eastAsiaTheme="minorHAnsi" w:hAnsi="Garamond" w:cs="Garamond"/>
          <w:i/>
          <w:iCs/>
          <w:color w:val="000000"/>
          <w:sz w:val="24"/>
          <w:szCs w:val="24"/>
        </w:rPr>
        <w:t>locus</w:t>
      </w:r>
      <w:proofErr w:type="spellEnd"/>
      <w:r w:rsidRPr="004079B3">
        <w:rPr>
          <w:rFonts w:ascii="Garamond" w:eastAsiaTheme="minorHAnsi" w:hAnsi="Garamond" w:cs="Garamond"/>
          <w:i/>
          <w:iCs/>
          <w:color w:val="000000"/>
          <w:sz w:val="24"/>
          <w:szCs w:val="24"/>
        </w:rPr>
        <w:t xml:space="preserve"> </w:t>
      </w:r>
      <w:proofErr w:type="spellStart"/>
      <w:r w:rsidRPr="004079B3">
        <w:rPr>
          <w:rFonts w:ascii="Garamond" w:eastAsiaTheme="minorHAnsi" w:hAnsi="Garamond" w:cs="Garamond"/>
          <w:i/>
          <w:iCs/>
          <w:color w:val="000000"/>
          <w:sz w:val="24"/>
          <w:szCs w:val="24"/>
        </w:rPr>
        <w:t>standi</w:t>
      </w:r>
      <w:proofErr w:type="spellEnd"/>
      <w:r w:rsidRPr="004079B3">
        <w:rPr>
          <w:rFonts w:ascii="Garamond" w:eastAsiaTheme="minorHAnsi" w:hAnsi="Garamond" w:cs="Garamond"/>
          <w:color w:val="000000"/>
          <w:sz w:val="24"/>
          <w:szCs w:val="24"/>
        </w:rPr>
        <w:t>) është një ndër aspektet kryesore që lidhet me nisjen e një procesi kushtetues. Sipas neneve 131, pika 1, shkronja “f” dhe 134, pikat 1, shkronja “i” dhe 2, të Kushtetutës, si dhe nenit 71</w:t>
      </w:r>
      <w:r w:rsidR="004079B3">
        <w:rPr>
          <w:rFonts w:ascii="Garamond" w:eastAsiaTheme="minorHAnsi" w:hAnsi="Garamond" w:cs="Garamond"/>
          <w:color w:val="000000"/>
          <w:sz w:val="24"/>
          <w:szCs w:val="24"/>
        </w:rPr>
        <w:t>,</w:t>
      </w:r>
      <w:r w:rsidRPr="004079B3">
        <w:rPr>
          <w:rFonts w:ascii="Garamond" w:eastAsiaTheme="minorHAnsi" w:hAnsi="Garamond" w:cs="Garamond"/>
          <w:color w:val="000000"/>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4079B3">
        <w:rPr>
          <w:rFonts w:ascii="Garamond" w:eastAsiaTheme="minorHAnsi" w:hAnsi="Garamond" w:cs="Garamond"/>
          <w:color w:val="000000"/>
          <w:sz w:val="24"/>
          <w:szCs w:val="24"/>
        </w:rPr>
        <w:t>kumulative</w:t>
      </w:r>
      <w:proofErr w:type="spellEnd"/>
      <w:r w:rsidRPr="004079B3">
        <w:rPr>
          <w:rFonts w:ascii="Garamond" w:eastAsiaTheme="minorHAnsi" w:hAnsi="Garamond" w:cs="Garamond"/>
          <w:color w:val="000000"/>
          <w:sz w:val="24"/>
          <w:szCs w:val="24"/>
        </w:rPr>
        <w:t xml:space="preserve"> të nenit 71/a</w:t>
      </w:r>
      <w:r w:rsidR="004079B3">
        <w:rPr>
          <w:rFonts w:ascii="Garamond" w:eastAsiaTheme="minorHAnsi" w:hAnsi="Garamond" w:cs="Garamond"/>
          <w:color w:val="000000"/>
          <w:sz w:val="24"/>
          <w:szCs w:val="24"/>
        </w:rPr>
        <w:t>,</w:t>
      </w:r>
      <w:r w:rsidRPr="004079B3">
        <w:rPr>
          <w:rFonts w:ascii="Garamond" w:eastAsiaTheme="minorHAnsi" w:hAnsi="Garamond" w:cs="Garamond"/>
          <w:color w:val="000000"/>
          <w:sz w:val="24"/>
          <w:szCs w:val="24"/>
        </w:rPr>
        <w:t xml:space="preserve"> të ligjit nr. 8577/2000, që lidhen me shterimin e mjeteve juridike, afatin e paraqitjes së kërkesës, pasojat negative të pësuara në mënyrë të drejtpërdrejtë e reale dhe mundësinë për rivendosjen e së drejtës së shkelur.</w:t>
      </w:r>
    </w:p>
    <w:p w14:paraId="07B85A74" w14:textId="7092CEFA" w:rsidR="008446DF" w:rsidRPr="004079B3" w:rsidRDefault="008446DF" w:rsidP="008446DF">
      <w:pPr>
        <w:tabs>
          <w:tab w:val="left" w:pos="84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13. </w:t>
      </w:r>
      <w:r w:rsidRPr="004079B3">
        <w:rPr>
          <w:rFonts w:ascii="Garamond" w:eastAsiaTheme="minorHAnsi" w:hAnsi="Garamond" w:cs="Garamond"/>
          <w:color w:val="000000"/>
          <w:sz w:val="24"/>
          <w:szCs w:val="24"/>
        </w:rPr>
        <w:t xml:space="preserve">Në këtë këndvështrim, kërkuesi, si individ, legjitimohet </w:t>
      </w:r>
      <w:proofErr w:type="spellStart"/>
      <w:r w:rsidRPr="004079B3">
        <w:rPr>
          <w:rFonts w:ascii="Garamond" w:eastAsiaTheme="minorHAnsi" w:hAnsi="Garamond" w:cs="Garamond"/>
          <w:i/>
          <w:iCs/>
          <w:color w:val="000000"/>
          <w:sz w:val="24"/>
          <w:szCs w:val="24"/>
        </w:rPr>
        <w:t>ratione</w:t>
      </w:r>
      <w:proofErr w:type="spellEnd"/>
      <w:r w:rsidRPr="004079B3">
        <w:rPr>
          <w:rFonts w:ascii="Garamond" w:eastAsiaTheme="minorHAnsi" w:hAnsi="Garamond" w:cs="Garamond"/>
          <w:i/>
          <w:iCs/>
          <w:color w:val="000000"/>
          <w:sz w:val="24"/>
          <w:szCs w:val="24"/>
        </w:rPr>
        <w:t xml:space="preserve"> </w:t>
      </w:r>
      <w:proofErr w:type="spellStart"/>
      <w:r w:rsidRPr="004079B3">
        <w:rPr>
          <w:rFonts w:ascii="Garamond" w:eastAsiaTheme="minorHAnsi" w:hAnsi="Garamond" w:cs="Garamond"/>
          <w:i/>
          <w:iCs/>
          <w:color w:val="000000"/>
          <w:sz w:val="24"/>
          <w:szCs w:val="24"/>
        </w:rPr>
        <w:t>personae</w:t>
      </w:r>
      <w:proofErr w:type="spellEnd"/>
      <w:r w:rsidRPr="004079B3">
        <w:rPr>
          <w:rFonts w:ascii="Garamond" w:eastAsiaTheme="minorHAnsi" w:hAnsi="Garamond" w:cs="Garamond"/>
          <w:color w:val="000000"/>
          <w:sz w:val="24"/>
          <w:szCs w:val="24"/>
        </w:rPr>
        <w:t>, në kuptim të shkronjës “f”</w:t>
      </w:r>
      <w:r w:rsidR="004079B3">
        <w:rPr>
          <w:rFonts w:ascii="Garamond" w:eastAsiaTheme="minorHAnsi" w:hAnsi="Garamond" w:cs="Garamond"/>
          <w:color w:val="000000"/>
          <w:sz w:val="24"/>
          <w:szCs w:val="24"/>
        </w:rPr>
        <w:t>,</w:t>
      </w:r>
      <w:r w:rsidRPr="004079B3">
        <w:rPr>
          <w:rFonts w:ascii="Garamond" w:eastAsiaTheme="minorHAnsi" w:hAnsi="Garamond" w:cs="Garamond"/>
          <w:color w:val="000000"/>
          <w:sz w:val="24"/>
          <w:szCs w:val="24"/>
        </w:rPr>
        <w:t xml:space="preserve"> të pikës 1</w:t>
      </w:r>
      <w:r w:rsidR="004079B3">
        <w:rPr>
          <w:rFonts w:ascii="Garamond" w:eastAsiaTheme="minorHAnsi" w:hAnsi="Garamond" w:cs="Garamond"/>
          <w:color w:val="000000"/>
          <w:sz w:val="24"/>
          <w:szCs w:val="24"/>
        </w:rPr>
        <w:t>,</w:t>
      </w:r>
      <w:r w:rsidRPr="004079B3">
        <w:rPr>
          <w:rFonts w:ascii="Garamond" w:eastAsiaTheme="minorHAnsi" w:hAnsi="Garamond" w:cs="Garamond"/>
          <w:color w:val="000000"/>
          <w:sz w:val="24"/>
          <w:szCs w:val="24"/>
        </w:rPr>
        <w:t xml:space="preserve"> të nenit 131 dhe shkronjës “i”</w:t>
      </w:r>
      <w:r w:rsidR="004079B3">
        <w:rPr>
          <w:rFonts w:ascii="Garamond" w:eastAsiaTheme="minorHAnsi" w:hAnsi="Garamond" w:cs="Garamond"/>
          <w:color w:val="000000"/>
          <w:sz w:val="24"/>
          <w:szCs w:val="24"/>
        </w:rPr>
        <w:t>,</w:t>
      </w:r>
      <w:r w:rsidRPr="004079B3">
        <w:rPr>
          <w:rFonts w:ascii="Garamond" w:eastAsiaTheme="minorHAnsi" w:hAnsi="Garamond" w:cs="Garamond"/>
          <w:color w:val="000000"/>
          <w:sz w:val="24"/>
          <w:szCs w:val="24"/>
        </w:rPr>
        <w:t xml:space="preserve"> të pikës 1</w:t>
      </w:r>
      <w:r w:rsidR="004079B3">
        <w:rPr>
          <w:rFonts w:ascii="Garamond" w:eastAsiaTheme="minorHAnsi" w:hAnsi="Garamond" w:cs="Garamond"/>
          <w:color w:val="000000"/>
          <w:sz w:val="24"/>
          <w:szCs w:val="24"/>
        </w:rPr>
        <w:t>,</w:t>
      </w:r>
      <w:r w:rsidRPr="004079B3">
        <w:rPr>
          <w:rFonts w:ascii="Garamond" w:eastAsiaTheme="minorHAnsi" w:hAnsi="Garamond" w:cs="Garamond"/>
          <w:color w:val="000000"/>
          <w:sz w:val="24"/>
          <w:szCs w:val="24"/>
        </w:rPr>
        <w:t xml:space="preserve"> të nenit 134 të Kushtetutës, pasi është palë në çështjen objekt të ankimit kushtetues individual, për rrjedhojë ka interes të drejtpërdrejtë për vënien në lëvizje të këtij gjykimi.</w:t>
      </w:r>
    </w:p>
    <w:p w14:paraId="4672B688" w14:textId="77777777" w:rsidR="008446DF" w:rsidRPr="004079B3" w:rsidRDefault="008446DF" w:rsidP="008446DF">
      <w:pPr>
        <w:tabs>
          <w:tab w:val="left" w:pos="84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14. </w:t>
      </w:r>
      <w:r w:rsidRPr="004079B3">
        <w:rPr>
          <w:rFonts w:ascii="Garamond" w:eastAsiaTheme="minorHAnsi" w:hAnsi="Garamond" w:cs="Garamond"/>
          <w:color w:val="000000"/>
          <w:sz w:val="24"/>
          <w:szCs w:val="24"/>
        </w:rPr>
        <w:t xml:space="preserve">Në lidhje me kriterin e </w:t>
      </w:r>
      <w:r w:rsidRPr="004079B3">
        <w:rPr>
          <w:rFonts w:ascii="Garamond" w:eastAsiaTheme="minorHAnsi" w:hAnsi="Garamond" w:cs="Garamond"/>
          <w:i/>
          <w:iCs/>
          <w:color w:val="000000"/>
          <w:sz w:val="24"/>
          <w:szCs w:val="24"/>
        </w:rPr>
        <w:t>shterimit të mjeteve juridike efektive</w:t>
      </w:r>
      <w:r w:rsidRPr="004079B3">
        <w:rPr>
          <w:rFonts w:ascii="Garamond" w:eastAsiaTheme="minorHAnsi" w:hAnsi="Garamond" w:cs="Garamond"/>
          <w:color w:val="000000"/>
          <w:sz w:val="24"/>
          <w:szCs w:val="24"/>
        </w:rPr>
        <w:t>, në kuptim të nenit 131, pika 1, shkronja “f”, të Kushtetutës, Gjykata vëren se kërkuesi i është drejtuar asaj me ankim kushtetues individual, duke ngritur pretendime për procesin gjyqësor të zhvilluar në Gjykatën e Lartë, për të cilin nuk ka mjet tjetër juridik në dispozicion për mbrojtjen e të drejtave të tij kushtetuese përveç ankimit kushtetues individual.</w:t>
      </w:r>
    </w:p>
    <w:p w14:paraId="39D1678F" w14:textId="77777777" w:rsidR="008446DF" w:rsidRPr="004079B3" w:rsidRDefault="008446DF" w:rsidP="008446DF">
      <w:pPr>
        <w:tabs>
          <w:tab w:val="left" w:pos="840"/>
          <w:tab w:val="left" w:pos="11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15. </w:t>
      </w:r>
      <w:r w:rsidRPr="004079B3">
        <w:rPr>
          <w:rFonts w:ascii="Garamond" w:eastAsiaTheme="minorHAnsi" w:hAnsi="Garamond" w:cs="Garamond"/>
          <w:color w:val="000000"/>
          <w:sz w:val="24"/>
          <w:szCs w:val="24"/>
        </w:rPr>
        <w:t xml:space="preserve">Për sa i përket legjitimimit </w:t>
      </w:r>
      <w:proofErr w:type="spellStart"/>
      <w:r w:rsidRPr="004079B3">
        <w:rPr>
          <w:rFonts w:ascii="Garamond" w:eastAsiaTheme="minorHAnsi" w:hAnsi="Garamond" w:cs="Garamond"/>
          <w:i/>
          <w:iCs/>
          <w:color w:val="000000"/>
          <w:sz w:val="24"/>
          <w:szCs w:val="24"/>
        </w:rPr>
        <w:t>ratione</w:t>
      </w:r>
      <w:proofErr w:type="spellEnd"/>
      <w:r w:rsidRPr="004079B3">
        <w:rPr>
          <w:rFonts w:ascii="Garamond" w:eastAsiaTheme="minorHAnsi" w:hAnsi="Garamond" w:cs="Garamond"/>
          <w:i/>
          <w:iCs/>
          <w:color w:val="000000"/>
          <w:sz w:val="24"/>
          <w:szCs w:val="24"/>
        </w:rPr>
        <w:t xml:space="preserve"> </w:t>
      </w:r>
      <w:proofErr w:type="spellStart"/>
      <w:r w:rsidRPr="004079B3">
        <w:rPr>
          <w:rFonts w:ascii="Garamond" w:eastAsiaTheme="minorHAnsi" w:hAnsi="Garamond" w:cs="Garamond"/>
          <w:i/>
          <w:iCs/>
          <w:color w:val="000000"/>
          <w:sz w:val="24"/>
          <w:szCs w:val="24"/>
        </w:rPr>
        <w:t>temporis</w:t>
      </w:r>
      <w:proofErr w:type="spellEnd"/>
      <w:r w:rsidRPr="004079B3">
        <w:rPr>
          <w:rFonts w:ascii="Garamond" w:eastAsiaTheme="minorHAnsi" w:hAnsi="Garamond" w:cs="Garamond"/>
          <w:color w:val="000000"/>
          <w:sz w:val="24"/>
          <w:szCs w:val="24"/>
        </w:rPr>
        <w:t xml:space="preserve">, bazuar në nenin 71/a, pika 1, shkronja “b”, të ligjit nr. 8577/2000, afati për paraqitjen e ankimit kushtetues individual është 4 muaj nga konstatimi i cenimit të së drejtës. Gjykata, duke mbajtur në konsideratë se pretendimi kryesor i kërkuesit lidhet me faktin që nuk ka marrë dijeni për rekursin e subjektit të interesuar dhe rrjedhimisht as për procesin dhe vendimmarrjen e Gjykatës së Lartë, si dhe faktin që në dosjen gjyqësore nuk ka ndonjë akt që të provojë njoftimin e tij, çmon të konsiderojë si momentin nga i cili ka filluar të ecë afati ligjor 4-mujor për paraqitjen e ankimit kushtetues datën 17.10.2024, kur kërkuesi parashtron se i është komunikuar urdhri i lirimit nga detyra në ekzekutim të vendimit të Gjykatës së Lartë. Për rrjedhojë, kërkuesi legjitimohet edhe </w:t>
      </w:r>
      <w:proofErr w:type="spellStart"/>
      <w:r w:rsidRPr="004079B3">
        <w:rPr>
          <w:rFonts w:ascii="Garamond" w:eastAsiaTheme="minorHAnsi" w:hAnsi="Garamond" w:cs="Garamond"/>
          <w:i/>
          <w:iCs/>
          <w:color w:val="000000"/>
          <w:sz w:val="24"/>
          <w:szCs w:val="24"/>
        </w:rPr>
        <w:t>ratione</w:t>
      </w:r>
      <w:proofErr w:type="spellEnd"/>
      <w:r w:rsidRPr="004079B3">
        <w:rPr>
          <w:rFonts w:ascii="Garamond" w:eastAsiaTheme="minorHAnsi" w:hAnsi="Garamond" w:cs="Garamond"/>
          <w:i/>
          <w:iCs/>
          <w:color w:val="000000"/>
          <w:sz w:val="24"/>
          <w:szCs w:val="24"/>
        </w:rPr>
        <w:t xml:space="preserve"> </w:t>
      </w:r>
      <w:proofErr w:type="spellStart"/>
      <w:r w:rsidRPr="004079B3">
        <w:rPr>
          <w:rFonts w:ascii="Garamond" w:eastAsiaTheme="minorHAnsi" w:hAnsi="Garamond" w:cs="Garamond"/>
          <w:i/>
          <w:iCs/>
          <w:color w:val="000000"/>
          <w:sz w:val="24"/>
          <w:szCs w:val="24"/>
        </w:rPr>
        <w:t>temporis</w:t>
      </w:r>
      <w:proofErr w:type="spellEnd"/>
      <w:r w:rsidRPr="004079B3">
        <w:rPr>
          <w:rFonts w:ascii="Garamond" w:eastAsiaTheme="minorHAnsi" w:hAnsi="Garamond" w:cs="Garamond"/>
          <w:i/>
          <w:iCs/>
          <w:color w:val="000000"/>
          <w:sz w:val="24"/>
          <w:szCs w:val="24"/>
        </w:rPr>
        <w:t>.</w:t>
      </w:r>
    </w:p>
    <w:p w14:paraId="317E9EDC" w14:textId="17EB2270" w:rsidR="008446DF" w:rsidRPr="004079B3" w:rsidRDefault="008446DF" w:rsidP="008446DF">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16. </w:t>
      </w:r>
      <w:r w:rsidRPr="004079B3">
        <w:rPr>
          <w:rFonts w:ascii="Garamond" w:eastAsiaTheme="minorHAnsi" w:hAnsi="Garamond" w:cs="Garamond"/>
          <w:color w:val="000000"/>
          <w:sz w:val="24"/>
          <w:szCs w:val="24"/>
        </w:rPr>
        <w:t xml:space="preserve">Për sa i takon legjitimimit </w:t>
      </w:r>
      <w:proofErr w:type="spellStart"/>
      <w:r w:rsidRPr="004079B3">
        <w:rPr>
          <w:rFonts w:ascii="Garamond" w:eastAsiaTheme="minorHAnsi" w:hAnsi="Garamond" w:cs="Garamond"/>
          <w:i/>
          <w:iCs/>
          <w:color w:val="000000"/>
          <w:sz w:val="24"/>
          <w:szCs w:val="24"/>
        </w:rPr>
        <w:t>ratione</w:t>
      </w:r>
      <w:proofErr w:type="spellEnd"/>
      <w:r w:rsidRPr="004079B3">
        <w:rPr>
          <w:rFonts w:ascii="Garamond" w:eastAsiaTheme="minorHAnsi" w:hAnsi="Garamond" w:cs="Garamond"/>
          <w:i/>
          <w:iCs/>
          <w:color w:val="000000"/>
          <w:sz w:val="24"/>
          <w:szCs w:val="24"/>
        </w:rPr>
        <w:t xml:space="preserve"> </w:t>
      </w:r>
      <w:proofErr w:type="spellStart"/>
      <w:r w:rsidRPr="004079B3">
        <w:rPr>
          <w:rFonts w:ascii="Garamond" w:eastAsiaTheme="minorHAnsi" w:hAnsi="Garamond" w:cs="Garamond"/>
          <w:i/>
          <w:iCs/>
          <w:color w:val="000000"/>
          <w:sz w:val="24"/>
          <w:szCs w:val="24"/>
        </w:rPr>
        <w:t>materiae</w:t>
      </w:r>
      <w:proofErr w:type="spellEnd"/>
      <w:r w:rsidRPr="004079B3">
        <w:rPr>
          <w:rFonts w:ascii="Garamond" w:eastAsiaTheme="minorHAnsi" w:hAnsi="Garamond" w:cs="Garamond"/>
          <w:color w:val="000000"/>
          <w:sz w:val="24"/>
          <w:szCs w:val="24"/>
        </w:rPr>
        <w:t xml:space="preserve">, Gjykata vëren se kërkuesi ka ngritur disa pretendime për procesin e zhvilluar nga Gjykata e Lartë në drejtim të parimit të barazisë së armëve dhe </w:t>
      </w:r>
      <w:proofErr w:type="spellStart"/>
      <w:r w:rsidRPr="004079B3">
        <w:rPr>
          <w:rFonts w:ascii="Garamond" w:eastAsiaTheme="minorHAnsi" w:hAnsi="Garamond" w:cs="Garamond"/>
          <w:color w:val="000000"/>
          <w:sz w:val="24"/>
          <w:szCs w:val="24"/>
        </w:rPr>
        <w:t>kontradiktoritetit</w:t>
      </w:r>
      <w:proofErr w:type="spellEnd"/>
      <w:r w:rsidRPr="004079B3">
        <w:rPr>
          <w:rFonts w:ascii="Garamond" w:eastAsiaTheme="minorHAnsi" w:hAnsi="Garamond" w:cs="Garamond"/>
          <w:color w:val="000000"/>
          <w:sz w:val="24"/>
          <w:szCs w:val="24"/>
        </w:rPr>
        <w:t>, së</w:t>
      </w:r>
      <w:r w:rsidR="004079B3">
        <w:rPr>
          <w:rFonts w:ascii="Garamond" w:eastAsiaTheme="minorHAnsi" w:hAnsi="Garamond" w:cs="Garamond"/>
          <w:color w:val="000000"/>
          <w:sz w:val="24"/>
          <w:szCs w:val="24"/>
        </w:rPr>
        <w:t xml:space="preserve"> </w:t>
      </w:r>
      <w:r w:rsidRPr="004079B3">
        <w:rPr>
          <w:rFonts w:ascii="Garamond" w:eastAsiaTheme="minorHAnsi" w:hAnsi="Garamond" w:cs="Garamond"/>
          <w:color w:val="000000"/>
          <w:sz w:val="24"/>
          <w:szCs w:val="24"/>
        </w:rPr>
        <w:t xml:space="preserve">drejtës së </w:t>
      </w:r>
      <w:proofErr w:type="spellStart"/>
      <w:r w:rsidRPr="004079B3">
        <w:rPr>
          <w:rFonts w:ascii="Garamond" w:eastAsiaTheme="minorHAnsi" w:hAnsi="Garamond" w:cs="Garamond"/>
          <w:color w:val="000000"/>
          <w:sz w:val="24"/>
          <w:szCs w:val="24"/>
        </w:rPr>
        <w:t>aksesit</w:t>
      </w:r>
      <w:proofErr w:type="spellEnd"/>
      <w:r w:rsidRPr="004079B3">
        <w:rPr>
          <w:rFonts w:ascii="Garamond" w:eastAsiaTheme="minorHAnsi" w:hAnsi="Garamond" w:cs="Garamond"/>
          <w:color w:val="000000"/>
          <w:sz w:val="24"/>
          <w:szCs w:val="24"/>
        </w:rPr>
        <w:t xml:space="preserve"> substancial të lidhur me të drejtën për t’u njoftuar, për t’u mbrojtur e për t’u dëgjuar, për shkak se nuk është njoftuar për rekursin e palës kundërshtare në proces, </w:t>
      </w:r>
      <w:r w:rsidRPr="004079B3">
        <w:rPr>
          <w:rFonts w:ascii="Garamond" w:eastAsiaTheme="minorHAnsi" w:hAnsi="Garamond" w:cs="Garamond"/>
          <w:color w:val="000000"/>
          <w:sz w:val="24"/>
          <w:szCs w:val="24"/>
        </w:rPr>
        <w:lastRenderedPageBreak/>
        <w:t xml:space="preserve">duke i hequr mundësinë për të paraqitur </w:t>
      </w:r>
      <w:proofErr w:type="spellStart"/>
      <w:r w:rsidRPr="004079B3">
        <w:rPr>
          <w:rFonts w:ascii="Garamond" w:eastAsiaTheme="minorHAnsi" w:hAnsi="Garamond" w:cs="Garamond"/>
          <w:color w:val="000000"/>
          <w:sz w:val="24"/>
          <w:szCs w:val="24"/>
        </w:rPr>
        <w:t>kundërrekurs</w:t>
      </w:r>
      <w:proofErr w:type="spellEnd"/>
      <w:r w:rsidRPr="004079B3">
        <w:rPr>
          <w:rFonts w:ascii="Garamond" w:eastAsiaTheme="minorHAnsi" w:hAnsi="Garamond" w:cs="Garamond"/>
          <w:color w:val="000000"/>
          <w:sz w:val="24"/>
          <w:szCs w:val="24"/>
        </w:rPr>
        <w:t xml:space="preserve"> dhe parashtrime përpara seancës gjyqësore, si dhe të ndjekë vijueshmërinë</w:t>
      </w:r>
      <w:r w:rsidR="004079B3">
        <w:rPr>
          <w:rFonts w:ascii="Garamond" w:eastAsiaTheme="minorHAnsi" w:hAnsi="Garamond" w:cs="Garamond"/>
          <w:color w:val="000000"/>
          <w:sz w:val="24"/>
          <w:szCs w:val="24"/>
        </w:rPr>
        <w:t xml:space="preserve"> </w:t>
      </w:r>
      <w:r w:rsidRPr="004079B3">
        <w:rPr>
          <w:rFonts w:ascii="Garamond" w:eastAsiaTheme="minorHAnsi" w:hAnsi="Garamond" w:cs="Garamond"/>
          <w:color w:val="000000"/>
          <w:sz w:val="24"/>
          <w:szCs w:val="24"/>
        </w:rPr>
        <w:t>e çështjes së tij. Sipas tij, kjo i ka cenuar</w:t>
      </w:r>
      <w:r w:rsidR="004079B3">
        <w:rPr>
          <w:rFonts w:ascii="Garamond" w:eastAsiaTheme="minorHAnsi" w:hAnsi="Garamond" w:cs="Garamond"/>
          <w:color w:val="000000"/>
          <w:sz w:val="24"/>
          <w:szCs w:val="24"/>
        </w:rPr>
        <w:t xml:space="preserve"> </w:t>
      </w:r>
      <w:r w:rsidRPr="004079B3">
        <w:rPr>
          <w:rFonts w:ascii="Garamond" w:eastAsiaTheme="minorHAnsi" w:hAnsi="Garamond" w:cs="Garamond"/>
          <w:color w:val="000000"/>
          <w:sz w:val="24"/>
          <w:szCs w:val="24"/>
        </w:rPr>
        <w:t xml:space="preserve">të drejtën për të fituar mjetet e jetesës së tij me punë të ligjshme. Nisur nga thelbi i pretendimeve, Gjykata çmon t’i analizojë ato në drejtim të së drejtës së </w:t>
      </w:r>
      <w:proofErr w:type="spellStart"/>
      <w:r w:rsidRPr="004079B3">
        <w:rPr>
          <w:rFonts w:ascii="Garamond" w:eastAsiaTheme="minorHAnsi" w:hAnsi="Garamond" w:cs="Garamond"/>
          <w:color w:val="000000"/>
          <w:sz w:val="24"/>
          <w:szCs w:val="24"/>
        </w:rPr>
        <w:t>aksesit</w:t>
      </w:r>
      <w:proofErr w:type="spellEnd"/>
      <w:r w:rsidRPr="004079B3">
        <w:rPr>
          <w:rFonts w:ascii="Garamond" w:eastAsiaTheme="minorHAnsi" w:hAnsi="Garamond" w:cs="Garamond"/>
          <w:color w:val="000000"/>
          <w:sz w:val="24"/>
          <w:szCs w:val="24"/>
        </w:rPr>
        <w:t xml:space="preserve"> substancial lidhur me të drejtën për t’u njoftuar dhe për t’u mbrojtur.</w:t>
      </w:r>
    </w:p>
    <w:p w14:paraId="61A12374" w14:textId="77777777" w:rsidR="008446DF" w:rsidRPr="004079B3" w:rsidRDefault="008446DF" w:rsidP="008446DF">
      <w:pPr>
        <w:tabs>
          <w:tab w:val="left" w:pos="720"/>
          <w:tab w:val="left" w:pos="1080"/>
        </w:tabs>
        <w:autoSpaceDE w:val="0"/>
        <w:autoSpaceDN w:val="0"/>
        <w:adjustRightInd w:val="0"/>
        <w:spacing w:after="0" w:line="240" w:lineRule="auto"/>
        <w:ind w:firstLine="284"/>
        <w:rPr>
          <w:rFonts w:ascii="Garamond" w:eastAsiaTheme="minorHAnsi" w:hAnsi="Garamond" w:cs="Garamond"/>
          <w:i/>
          <w:iCs/>
          <w:color w:val="000000"/>
          <w:sz w:val="24"/>
          <w:szCs w:val="24"/>
        </w:rPr>
      </w:pPr>
      <w:r w:rsidRPr="004079B3">
        <w:rPr>
          <w:rFonts w:ascii="Garamond" w:eastAsiaTheme="minorHAnsi" w:hAnsi="Garamond" w:cs="Garamond"/>
          <w:i/>
          <w:iCs/>
          <w:color w:val="000000"/>
          <w:sz w:val="24"/>
          <w:szCs w:val="24"/>
        </w:rPr>
        <w:t>B. Për themelin e pretendimeve</w:t>
      </w:r>
    </w:p>
    <w:p w14:paraId="7DDA088E" w14:textId="12E5FB10" w:rsidR="008446DF" w:rsidRPr="004079B3" w:rsidRDefault="008446DF" w:rsidP="008446DF">
      <w:pPr>
        <w:tabs>
          <w:tab w:val="left" w:pos="840"/>
          <w:tab w:val="left" w:pos="1080"/>
        </w:tabs>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4079B3">
        <w:rPr>
          <w:rFonts w:ascii="Garamond" w:eastAsiaTheme="minorHAnsi" w:hAnsi="Garamond" w:cs="Garamond"/>
          <w:i/>
          <w:iCs/>
          <w:color w:val="000000"/>
          <w:sz w:val="24"/>
          <w:szCs w:val="24"/>
        </w:rPr>
        <w:t xml:space="preserve">B.1 Për cenimin e së drejtës së </w:t>
      </w:r>
      <w:proofErr w:type="spellStart"/>
      <w:r w:rsidRPr="004079B3">
        <w:rPr>
          <w:rFonts w:ascii="Garamond" w:eastAsiaTheme="minorHAnsi" w:hAnsi="Garamond" w:cs="Garamond"/>
          <w:i/>
          <w:iCs/>
          <w:color w:val="000000"/>
          <w:sz w:val="24"/>
          <w:szCs w:val="24"/>
        </w:rPr>
        <w:t>aksesit</w:t>
      </w:r>
      <w:proofErr w:type="spellEnd"/>
      <w:r w:rsidRPr="004079B3">
        <w:rPr>
          <w:rFonts w:ascii="Garamond" w:eastAsiaTheme="minorHAnsi" w:hAnsi="Garamond" w:cs="Garamond"/>
          <w:i/>
          <w:iCs/>
          <w:color w:val="000000"/>
          <w:sz w:val="24"/>
          <w:szCs w:val="24"/>
        </w:rPr>
        <w:t xml:space="preserve"> substancial të lidhur me të drejtën</w:t>
      </w:r>
      <w:r w:rsidR="004079B3">
        <w:rPr>
          <w:rFonts w:ascii="Garamond" w:eastAsiaTheme="minorHAnsi" w:hAnsi="Garamond" w:cs="Garamond"/>
          <w:i/>
          <w:iCs/>
          <w:color w:val="000000"/>
          <w:sz w:val="24"/>
          <w:szCs w:val="24"/>
        </w:rPr>
        <w:t xml:space="preserve"> </w:t>
      </w:r>
      <w:r w:rsidRPr="004079B3">
        <w:rPr>
          <w:rFonts w:ascii="Garamond" w:eastAsiaTheme="minorHAnsi" w:hAnsi="Garamond" w:cs="Garamond"/>
          <w:i/>
          <w:iCs/>
          <w:color w:val="222222"/>
          <w:sz w:val="24"/>
          <w:szCs w:val="24"/>
        </w:rPr>
        <w:t xml:space="preserve">për t’u njoftuar dhe për t’u mbrojtur </w:t>
      </w:r>
    </w:p>
    <w:p w14:paraId="3087339C" w14:textId="77777777" w:rsidR="008446DF" w:rsidRPr="004079B3" w:rsidRDefault="008446DF" w:rsidP="008446DF">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17. </w:t>
      </w:r>
      <w:r w:rsidRPr="004079B3">
        <w:rPr>
          <w:rFonts w:ascii="Garamond" w:eastAsiaTheme="minorHAnsi" w:hAnsi="Garamond" w:cs="Garamond"/>
          <w:color w:val="000000"/>
          <w:sz w:val="24"/>
          <w:szCs w:val="24"/>
        </w:rPr>
        <w:t>Kërkuesi ka pretenduar se Gjykata e Lartë i ka mohuar të drejtën për të paraqitur</w:t>
      </w:r>
      <w:r w:rsidRPr="004079B3">
        <w:rPr>
          <w:rFonts w:ascii="Garamond" w:eastAsiaTheme="minorHAnsi" w:hAnsi="Garamond" w:cs="Garamond"/>
          <w:color w:val="222222"/>
          <w:sz w:val="24"/>
          <w:szCs w:val="24"/>
        </w:rPr>
        <w:t xml:space="preserve"> </w:t>
      </w:r>
      <w:proofErr w:type="spellStart"/>
      <w:r w:rsidRPr="004079B3">
        <w:rPr>
          <w:rFonts w:ascii="Garamond" w:eastAsiaTheme="minorHAnsi" w:hAnsi="Garamond" w:cs="Garamond"/>
          <w:color w:val="222222"/>
          <w:sz w:val="24"/>
          <w:szCs w:val="24"/>
        </w:rPr>
        <w:t>kundërrekurs</w:t>
      </w:r>
      <w:proofErr w:type="spellEnd"/>
      <w:r w:rsidRPr="004079B3">
        <w:rPr>
          <w:rFonts w:ascii="Garamond" w:eastAsiaTheme="minorHAnsi" w:hAnsi="Garamond" w:cs="Garamond"/>
          <w:color w:val="222222"/>
          <w:sz w:val="24"/>
          <w:szCs w:val="24"/>
        </w:rPr>
        <w:t xml:space="preserve"> dhe parashtrime përpara seancës gjyqësore, për shkak të </w:t>
      </w:r>
      <w:proofErr w:type="spellStart"/>
      <w:r w:rsidRPr="004079B3">
        <w:rPr>
          <w:rFonts w:ascii="Garamond" w:eastAsiaTheme="minorHAnsi" w:hAnsi="Garamond" w:cs="Garamond"/>
          <w:color w:val="222222"/>
          <w:sz w:val="24"/>
          <w:szCs w:val="24"/>
        </w:rPr>
        <w:t>moskomunikimit</w:t>
      </w:r>
      <w:proofErr w:type="spellEnd"/>
      <w:r w:rsidRPr="004079B3">
        <w:rPr>
          <w:rFonts w:ascii="Garamond" w:eastAsiaTheme="minorHAnsi" w:hAnsi="Garamond" w:cs="Garamond"/>
          <w:color w:val="222222"/>
          <w:sz w:val="24"/>
          <w:szCs w:val="24"/>
        </w:rPr>
        <w:t xml:space="preserve"> të rekursit të palës së paditur, ndonëse në vendimin e saj ajo gjykatë shprehet, ndër të tjera, se rekursi i është komunikuar rregullisht palës paditëse (kërkuesit) dhe se ai nuk ka paraqitur </w:t>
      </w:r>
      <w:proofErr w:type="spellStart"/>
      <w:r w:rsidRPr="004079B3">
        <w:rPr>
          <w:rFonts w:ascii="Garamond" w:eastAsiaTheme="minorHAnsi" w:hAnsi="Garamond" w:cs="Garamond"/>
          <w:color w:val="222222"/>
          <w:sz w:val="24"/>
          <w:szCs w:val="24"/>
        </w:rPr>
        <w:t>kundërrekurs</w:t>
      </w:r>
      <w:proofErr w:type="spellEnd"/>
      <w:r w:rsidRPr="004079B3">
        <w:rPr>
          <w:rFonts w:ascii="Garamond" w:eastAsiaTheme="minorHAnsi" w:hAnsi="Garamond" w:cs="Garamond"/>
          <w:color w:val="222222"/>
          <w:sz w:val="24"/>
          <w:szCs w:val="24"/>
        </w:rPr>
        <w:t xml:space="preserve"> për mbrojtjen e tij. Po kështu, sipas kërkuesit, Gjykata e Lartë me </w:t>
      </w:r>
      <w:proofErr w:type="spellStart"/>
      <w:r w:rsidRPr="004079B3">
        <w:rPr>
          <w:rFonts w:ascii="Garamond" w:eastAsiaTheme="minorHAnsi" w:hAnsi="Garamond" w:cs="Garamond"/>
          <w:color w:val="222222"/>
          <w:sz w:val="24"/>
          <w:szCs w:val="24"/>
        </w:rPr>
        <w:t>mosnjoftimin</w:t>
      </w:r>
      <w:proofErr w:type="spellEnd"/>
      <w:r w:rsidRPr="004079B3">
        <w:rPr>
          <w:rFonts w:ascii="Garamond" w:eastAsiaTheme="minorHAnsi" w:hAnsi="Garamond" w:cs="Garamond"/>
          <w:color w:val="222222"/>
          <w:sz w:val="24"/>
          <w:szCs w:val="24"/>
        </w:rPr>
        <w:t xml:space="preserve"> e rekursit i ka hequr të drejtën të ndjekë vijueshmërinë e çështjes së tij, pasi është njohur me vendimin e Gjykatës së Lartë vetëm pas lëshimit të urdhrit të lirimit nga detyra. Gjykata e Lartë ka lënë në fuqi aktet që e hiqnin atë nga puna.</w:t>
      </w:r>
    </w:p>
    <w:p w14:paraId="4DD3C39C" w14:textId="77777777" w:rsidR="008446DF" w:rsidRPr="004079B3" w:rsidRDefault="008446DF" w:rsidP="008446DF">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18. </w:t>
      </w:r>
      <w:r w:rsidRPr="004079B3">
        <w:rPr>
          <w:rFonts w:ascii="Garamond" w:eastAsiaTheme="minorHAnsi" w:hAnsi="Garamond" w:cs="Garamond"/>
          <w:color w:val="000000"/>
          <w:sz w:val="24"/>
          <w:szCs w:val="24"/>
        </w:rPr>
        <w:t xml:space="preserve">Subjektet e interesuara kanë pretenduar se rekursi i paraqitur prej tyre nuk paraqet të meta, ndërkohë që detyrimin për të njoftuar palët </w:t>
      </w:r>
      <w:proofErr w:type="spellStart"/>
      <w:r w:rsidRPr="004079B3">
        <w:rPr>
          <w:rFonts w:ascii="Garamond" w:eastAsiaTheme="minorHAnsi" w:hAnsi="Garamond" w:cs="Garamond"/>
          <w:color w:val="000000"/>
          <w:sz w:val="24"/>
          <w:szCs w:val="24"/>
        </w:rPr>
        <w:t>ndërgjyqëse</w:t>
      </w:r>
      <w:proofErr w:type="spellEnd"/>
      <w:r w:rsidRPr="004079B3">
        <w:rPr>
          <w:rFonts w:ascii="Garamond" w:eastAsiaTheme="minorHAnsi" w:hAnsi="Garamond" w:cs="Garamond"/>
          <w:color w:val="000000"/>
          <w:sz w:val="24"/>
          <w:szCs w:val="24"/>
        </w:rPr>
        <w:t xml:space="preserve"> e ka Gjykata e Lartë, si dhe në vijim të vendimmarrjes së Kolegjit Administrativ, Drejtoria e Përgjithshme e Policisë së Shtetit është vënë menjëherë në lëvizje për ndjekjen e procedurave ligjore për ekzekutimin e vendimit.</w:t>
      </w:r>
    </w:p>
    <w:p w14:paraId="50040CA4" w14:textId="13B7EA39" w:rsidR="008446DF" w:rsidRPr="004079B3" w:rsidRDefault="008446DF" w:rsidP="008446DF">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19. </w:t>
      </w:r>
      <w:r w:rsidRPr="004079B3">
        <w:rPr>
          <w:rFonts w:ascii="Garamond" w:eastAsiaTheme="minorHAnsi" w:hAnsi="Garamond" w:cs="Garamond"/>
          <w:color w:val="000000"/>
          <w:sz w:val="24"/>
          <w:szCs w:val="24"/>
        </w:rPr>
        <w:t xml:space="preserve">Neni 42, pika 2, i Kushtetutës sanksionon të drejtën për gjykim, ku e drejta e </w:t>
      </w:r>
      <w:proofErr w:type="spellStart"/>
      <w:r w:rsidRPr="004079B3">
        <w:rPr>
          <w:rFonts w:ascii="Garamond" w:eastAsiaTheme="minorHAnsi" w:hAnsi="Garamond" w:cs="Garamond"/>
          <w:color w:val="000000"/>
          <w:sz w:val="24"/>
          <w:szCs w:val="24"/>
        </w:rPr>
        <w:t>aksesit</w:t>
      </w:r>
      <w:proofErr w:type="spellEnd"/>
      <w:r w:rsidRPr="004079B3">
        <w:rPr>
          <w:rFonts w:ascii="Garamond" w:eastAsiaTheme="minorHAnsi" w:hAnsi="Garamond" w:cs="Garamond"/>
          <w:color w:val="000000"/>
          <w:sz w:val="24"/>
          <w:szCs w:val="24"/>
        </w:rPr>
        <w:t xml:space="preserve">, që është e drejta për të vënë në lëvizje Gjykatën, përbën një aspekt të saj. E drejta e </w:t>
      </w:r>
      <w:proofErr w:type="spellStart"/>
      <w:r w:rsidRPr="004079B3">
        <w:rPr>
          <w:rFonts w:ascii="Garamond" w:eastAsiaTheme="minorHAnsi" w:hAnsi="Garamond" w:cs="Garamond"/>
          <w:color w:val="000000"/>
          <w:sz w:val="24"/>
          <w:szCs w:val="24"/>
        </w:rPr>
        <w:t>aksesit</w:t>
      </w:r>
      <w:proofErr w:type="spellEnd"/>
      <w:r w:rsidRPr="004079B3">
        <w:rPr>
          <w:rFonts w:ascii="Garamond" w:eastAsiaTheme="minorHAnsi" w:hAnsi="Garamond" w:cs="Garamond"/>
          <w:color w:val="000000"/>
          <w:sz w:val="24"/>
          <w:szCs w:val="24"/>
        </w:rPr>
        <w:t xml:space="preserve"> u garanton subjekteve të cenuara të drejtën t’i drejtohen një gjykate, e cila do t’i dëgjojë pretendimet e tyre dhe do të shpallë një vendim pas një gjykimi të drejtë dhe publik. Kjo e drejtë e individit nuk përfshin vetëm të drejtën për të vënë në lëvizje Gjykatën, por edhe të drejtën për të pasur prej saj një zgjidhje përfundimtare për mosmarrëveshjen objekt gjykimi, pasi </w:t>
      </w:r>
      <w:proofErr w:type="spellStart"/>
      <w:r w:rsidRPr="004079B3">
        <w:rPr>
          <w:rFonts w:ascii="Garamond" w:eastAsiaTheme="minorHAnsi" w:hAnsi="Garamond" w:cs="Garamond"/>
          <w:color w:val="000000"/>
          <w:sz w:val="24"/>
          <w:szCs w:val="24"/>
        </w:rPr>
        <w:t>aksesi</w:t>
      </w:r>
      <w:proofErr w:type="spellEnd"/>
      <w:r w:rsidRPr="004079B3">
        <w:rPr>
          <w:rFonts w:ascii="Garamond" w:eastAsiaTheme="minorHAnsi" w:hAnsi="Garamond" w:cs="Garamond"/>
          <w:color w:val="000000"/>
          <w:sz w:val="24"/>
          <w:szCs w:val="24"/>
        </w:rPr>
        <w:t xml:space="preserve"> në gjykatë duhet të jetë substancial dhe jo thjesht formal (</w:t>
      </w:r>
      <w:r w:rsidRPr="004079B3">
        <w:rPr>
          <w:rFonts w:ascii="Garamond" w:eastAsiaTheme="minorHAnsi" w:hAnsi="Garamond" w:cs="Garamond"/>
          <w:i/>
          <w:iCs/>
          <w:color w:val="000000"/>
          <w:sz w:val="24"/>
          <w:szCs w:val="24"/>
        </w:rPr>
        <w:t>shih vendimet nr. 31, datë 3.11.2022; nr. 22, datë 29.4.2021; nr. 3, datë 23.2.2016</w:t>
      </w:r>
      <w:r w:rsidR="004079B3">
        <w:rPr>
          <w:rFonts w:ascii="Garamond" w:eastAsiaTheme="minorHAnsi" w:hAnsi="Garamond" w:cs="Garamond"/>
          <w:i/>
          <w:iCs/>
          <w:color w:val="000000"/>
          <w:sz w:val="24"/>
          <w:szCs w:val="24"/>
        </w:rPr>
        <w:t xml:space="preserve">, </w:t>
      </w:r>
      <w:r w:rsidRPr="004079B3">
        <w:rPr>
          <w:rFonts w:ascii="Garamond" w:eastAsiaTheme="minorHAnsi" w:hAnsi="Garamond" w:cs="Garamond"/>
          <w:i/>
          <w:iCs/>
          <w:color w:val="000000"/>
          <w:sz w:val="24"/>
          <w:szCs w:val="24"/>
        </w:rPr>
        <w:t>të Gjykatës Kushtetuese</w:t>
      </w:r>
      <w:r w:rsidRPr="004079B3">
        <w:rPr>
          <w:rFonts w:ascii="Garamond" w:eastAsiaTheme="minorHAnsi" w:hAnsi="Garamond" w:cs="Garamond"/>
          <w:color w:val="000000"/>
          <w:sz w:val="24"/>
          <w:szCs w:val="24"/>
        </w:rPr>
        <w:t>).</w:t>
      </w:r>
    </w:p>
    <w:p w14:paraId="4665C8AB" w14:textId="3E655BB0" w:rsidR="008446DF" w:rsidRPr="004079B3" w:rsidRDefault="008446DF" w:rsidP="008446DF">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20. </w:t>
      </w:r>
      <w:r w:rsidRPr="004079B3">
        <w:rPr>
          <w:rFonts w:ascii="Garamond" w:eastAsiaTheme="minorHAnsi" w:hAnsi="Garamond" w:cs="Garamond"/>
          <w:color w:val="000000"/>
          <w:sz w:val="24"/>
          <w:szCs w:val="24"/>
        </w:rPr>
        <w:t xml:space="preserve">Gjykata në jurisprudencën e saj ka përcaktuar disa standarde kushtetuese, të cilat janë të lidhura nga pikëpamja organike dhe funksionale me njëra-tjetrën në mënyrë të tillë që cenimi i njërit standard ndikon në mënyrë të pashmangshme në cenimin e të tjerave. Konkretisht, e drejta për t’u njoftuar për një gjykim dhe pjesëmarrja në të është e lidhur me vendimmarrjen e gjykatës, e cila ndikon drejtpërsëdrejti në të drejtat subjektive ose interesat e ligjshëm të individit. E drejta për t’u njoftuar për të marrë pjesë në gjykim u paraprin të drejtave të tjera, pasi nëse pala </w:t>
      </w:r>
      <w:proofErr w:type="spellStart"/>
      <w:r w:rsidRPr="004079B3">
        <w:rPr>
          <w:rFonts w:ascii="Garamond" w:eastAsiaTheme="minorHAnsi" w:hAnsi="Garamond" w:cs="Garamond"/>
          <w:color w:val="000000"/>
          <w:sz w:val="24"/>
          <w:szCs w:val="24"/>
        </w:rPr>
        <w:t>ndërgjyqëse</w:t>
      </w:r>
      <w:proofErr w:type="spellEnd"/>
      <w:r w:rsidRPr="004079B3">
        <w:rPr>
          <w:rFonts w:ascii="Garamond" w:eastAsiaTheme="minorHAnsi" w:hAnsi="Garamond" w:cs="Garamond"/>
          <w:color w:val="000000"/>
          <w:sz w:val="24"/>
          <w:szCs w:val="24"/>
        </w:rPr>
        <w:t xml:space="preserv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4079B3">
        <w:rPr>
          <w:rFonts w:ascii="Garamond" w:eastAsiaTheme="minorHAnsi" w:hAnsi="Garamond" w:cs="Garamond"/>
          <w:i/>
          <w:iCs/>
          <w:color w:val="000000"/>
          <w:sz w:val="24"/>
          <w:szCs w:val="24"/>
        </w:rPr>
        <w:t>(shih vendimet nr. 8, datë 23.2.2021; nr. 37, datë 30.6.2016</w:t>
      </w:r>
      <w:r w:rsidR="004079B3">
        <w:rPr>
          <w:rFonts w:ascii="Garamond" w:eastAsiaTheme="minorHAnsi" w:hAnsi="Garamond" w:cs="Garamond"/>
          <w:i/>
          <w:iCs/>
          <w:color w:val="000000"/>
          <w:sz w:val="24"/>
          <w:szCs w:val="24"/>
        </w:rPr>
        <w:t>,</w:t>
      </w:r>
      <w:r w:rsidRPr="004079B3">
        <w:rPr>
          <w:rFonts w:ascii="Garamond" w:eastAsiaTheme="minorHAnsi" w:hAnsi="Garamond" w:cs="Garamond"/>
          <w:i/>
          <w:iCs/>
          <w:color w:val="000000"/>
          <w:sz w:val="24"/>
          <w:szCs w:val="24"/>
        </w:rPr>
        <w:t xml:space="preserve"> të Gjykatës Kushtetuese)</w:t>
      </w:r>
      <w:r w:rsidRPr="004079B3">
        <w:rPr>
          <w:rFonts w:ascii="Garamond" w:eastAsiaTheme="minorHAnsi" w:hAnsi="Garamond" w:cs="Garamond"/>
          <w:color w:val="000000"/>
          <w:sz w:val="24"/>
          <w:szCs w:val="24"/>
        </w:rPr>
        <w:t>.</w:t>
      </w:r>
    </w:p>
    <w:p w14:paraId="49D020D6" w14:textId="219AFD22" w:rsidR="008446DF" w:rsidRPr="004079B3" w:rsidRDefault="008446DF" w:rsidP="008446DF">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21. </w:t>
      </w:r>
      <w:r w:rsidRPr="004079B3">
        <w:rPr>
          <w:rFonts w:ascii="Garamond" w:eastAsiaTheme="minorHAnsi" w:hAnsi="Garamond" w:cs="Garamond"/>
          <w:color w:val="000000"/>
          <w:sz w:val="24"/>
          <w:szCs w:val="24"/>
        </w:rPr>
        <w:t>E drejta e palës për t’u njoftuar për argumentet e faktet e parashtruara në ankimin e palës tjetër është pjesë e së drejtës së individit për një proces të rregullt, nëpërmjet së cilës atij i krijohet mundësia të përgatisë mbrojtjen e vet e të parashtrojë argumentet ndaj pretendimeve të palës tjetër (</w:t>
      </w:r>
      <w:r w:rsidRPr="004079B3">
        <w:rPr>
          <w:rFonts w:ascii="Garamond" w:eastAsiaTheme="minorHAnsi" w:hAnsi="Garamond" w:cs="Garamond"/>
          <w:i/>
          <w:iCs/>
          <w:color w:val="000000"/>
          <w:sz w:val="24"/>
          <w:szCs w:val="24"/>
        </w:rPr>
        <w:t>shih vendimet nr. 18, datë 4.4.2023; nr. 5, datë 26.1.2007; nr.</w:t>
      </w:r>
      <w:r w:rsidR="004079B3">
        <w:rPr>
          <w:rFonts w:ascii="Garamond" w:eastAsiaTheme="minorHAnsi" w:hAnsi="Garamond" w:cs="Garamond"/>
          <w:i/>
          <w:iCs/>
          <w:color w:val="000000"/>
          <w:sz w:val="24"/>
          <w:szCs w:val="24"/>
        </w:rPr>
        <w:t xml:space="preserve"> </w:t>
      </w:r>
      <w:r w:rsidRPr="004079B3">
        <w:rPr>
          <w:rFonts w:ascii="Garamond" w:eastAsiaTheme="minorHAnsi" w:hAnsi="Garamond" w:cs="Garamond"/>
          <w:i/>
          <w:iCs/>
          <w:color w:val="000000"/>
          <w:sz w:val="24"/>
          <w:szCs w:val="24"/>
        </w:rPr>
        <w:t>15, datë 13.7.2005</w:t>
      </w:r>
      <w:r w:rsidR="004079B3">
        <w:rPr>
          <w:rFonts w:ascii="Garamond" w:eastAsiaTheme="minorHAnsi" w:hAnsi="Garamond" w:cs="Garamond"/>
          <w:i/>
          <w:iCs/>
          <w:color w:val="000000"/>
          <w:sz w:val="24"/>
          <w:szCs w:val="24"/>
        </w:rPr>
        <w:t>,</w:t>
      </w:r>
      <w:r w:rsidRPr="004079B3">
        <w:rPr>
          <w:rFonts w:ascii="Garamond" w:eastAsiaTheme="minorHAnsi" w:hAnsi="Garamond" w:cs="Garamond"/>
          <w:i/>
          <w:iCs/>
          <w:color w:val="000000"/>
          <w:sz w:val="24"/>
          <w:szCs w:val="24"/>
        </w:rPr>
        <w:t xml:space="preserve"> të Gjykatës Kushtetuese).</w:t>
      </w:r>
    </w:p>
    <w:p w14:paraId="50888DFA" w14:textId="07156866" w:rsidR="008446DF" w:rsidRPr="004079B3" w:rsidRDefault="008446DF" w:rsidP="008446DF">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22. </w:t>
      </w:r>
      <w:r w:rsidRPr="004079B3">
        <w:rPr>
          <w:rFonts w:ascii="Garamond" w:eastAsiaTheme="minorHAnsi" w:hAnsi="Garamond" w:cs="Garamond"/>
          <w:color w:val="000000"/>
          <w:sz w:val="24"/>
          <w:szCs w:val="24"/>
        </w:rPr>
        <w:t xml:space="preserve">Për sa i takon procesit në Gjykatën e Lartë, kjo e fundit, pavarësisht nëse i shqyrton çështjet në seancë të hapur publike ose mbi bazë të dokumenteve, ka detyrimin të verifikojë nëse palët në proces kanë marrë dijeni </w:t>
      </w:r>
      <w:proofErr w:type="spellStart"/>
      <w:r w:rsidRPr="004079B3">
        <w:rPr>
          <w:rFonts w:ascii="Garamond" w:eastAsiaTheme="minorHAnsi" w:hAnsi="Garamond" w:cs="Garamond"/>
          <w:color w:val="000000"/>
          <w:sz w:val="24"/>
          <w:szCs w:val="24"/>
        </w:rPr>
        <w:t>efektivisht</w:t>
      </w:r>
      <w:proofErr w:type="spellEnd"/>
      <w:r w:rsidRPr="004079B3">
        <w:rPr>
          <w:rFonts w:ascii="Garamond" w:eastAsiaTheme="minorHAnsi" w:hAnsi="Garamond" w:cs="Garamond"/>
          <w:color w:val="000000"/>
          <w:sz w:val="24"/>
          <w:szCs w:val="24"/>
        </w:rPr>
        <w:t xml:space="preserve"> për rekursin dhe procesin, me qëllim garantimin e së drejtës së mbrojtjes dhe të parimit të barazisë së armëve në gjykim. Vetëm njoftimi me shpallje nuk nënkupton përmbushjen e detyrimit të sekretarisë së Gjykatës së Lartë për njoftimin e rregullt të palëve, në mënyrë që ato të mund të marrin pjesë në gjykim, si dhe të dëgjohen e të mbrohen me anë të paraqitjes së komenteve ose prapësimeve. (</w:t>
      </w:r>
      <w:r w:rsidRPr="004079B3">
        <w:rPr>
          <w:rFonts w:ascii="Garamond" w:eastAsiaTheme="minorHAnsi" w:hAnsi="Garamond" w:cs="Garamond"/>
          <w:i/>
          <w:iCs/>
          <w:color w:val="000000"/>
          <w:sz w:val="24"/>
          <w:szCs w:val="24"/>
        </w:rPr>
        <w:t>shih vendimet nr. 14, datë 21.3.2023; nr. 28, datë 1.11.2022; nr. 21, datë 4.4.2016</w:t>
      </w:r>
      <w:r w:rsidR="004079B3">
        <w:rPr>
          <w:rFonts w:ascii="Garamond" w:eastAsiaTheme="minorHAnsi" w:hAnsi="Garamond" w:cs="Garamond"/>
          <w:i/>
          <w:iCs/>
          <w:color w:val="000000"/>
          <w:sz w:val="24"/>
          <w:szCs w:val="24"/>
        </w:rPr>
        <w:t>,</w:t>
      </w:r>
      <w:r w:rsidRPr="004079B3">
        <w:rPr>
          <w:rFonts w:ascii="Garamond" w:eastAsiaTheme="minorHAnsi" w:hAnsi="Garamond" w:cs="Garamond"/>
          <w:i/>
          <w:iCs/>
          <w:color w:val="000000"/>
          <w:sz w:val="24"/>
          <w:szCs w:val="24"/>
        </w:rPr>
        <w:t xml:space="preserve"> të Gjykatës Kushtetuese</w:t>
      </w:r>
      <w:r w:rsidRPr="004079B3">
        <w:rPr>
          <w:rFonts w:ascii="Garamond" w:eastAsiaTheme="minorHAnsi" w:hAnsi="Garamond" w:cs="Garamond"/>
          <w:color w:val="000000"/>
          <w:sz w:val="24"/>
          <w:szCs w:val="24"/>
        </w:rPr>
        <w:t>).</w:t>
      </w:r>
    </w:p>
    <w:p w14:paraId="21BBA0AA" w14:textId="73A79D89" w:rsidR="008446DF" w:rsidRPr="004079B3" w:rsidRDefault="008446DF" w:rsidP="008446DF">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lastRenderedPageBreak/>
        <w:t xml:space="preserve">23. </w:t>
      </w:r>
      <w:r w:rsidRPr="004079B3">
        <w:rPr>
          <w:rFonts w:ascii="Garamond" w:eastAsiaTheme="minorHAnsi" w:hAnsi="Garamond" w:cs="Garamond"/>
          <w:color w:val="000000"/>
          <w:sz w:val="24"/>
          <w:szCs w:val="24"/>
        </w:rPr>
        <w:t>Gjykata vëren se referuar akteve të dosjes gjyqësore të administruar për efekt të këtij shqyrtimi, konstatohet se pas përfundimit të gjykimit në gjykatën e apelit, Gjykata Administrative e Shkallës së Parë Gjirokastër, me dëftesën e komunikimit nr. 329 akti, datë 19.6.2015, i ka dërguar kërkuesit një kopje të rekursit të palës së paditur në adresën e vendbanimit të tij në Metoq, Sarandë (marrë nga të dhënat e kërkuesit në kërkesëpadi). Dëftesa e komunikimit është nënshkruar për efekt të marrjes dijeni nga shtetasja E.</w:t>
      </w:r>
      <w:r w:rsidR="004079B3">
        <w:rPr>
          <w:rFonts w:ascii="Garamond" w:eastAsiaTheme="minorHAnsi" w:hAnsi="Garamond" w:cs="Garamond"/>
          <w:color w:val="000000"/>
          <w:sz w:val="24"/>
          <w:szCs w:val="24"/>
        </w:rPr>
        <w:t xml:space="preserve"> </w:t>
      </w:r>
      <w:r w:rsidRPr="004079B3">
        <w:rPr>
          <w:rFonts w:ascii="Garamond" w:eastAsiaTheme="minorHAnsi" w:hAnsi="Garamond" w:cs="Garamond"/>
          <w:color w:val="000000"/>
          <w:sz w:val="24"/>
          <w:szCs w:val="24"/>
        </w:rPr>
        <w:t xml:space="preserve">B. në datën 2.7.2015. Në vijim, pas më shumë se 7 vjetëve nga paraqitja e rekursit, në datën 4.11.2022 gjyqtari relator në Gjykatën e Lartë ka caktuar datën 22.11.2022 për shqyrtimin e çështjes në dhomën e këshillimit, duke urdhëruar sekretarinë e gjykatës të bëjë njoftimin e palëve. Në datën 4.11.2022 Gjykata e Lartë ka shpallur listën e çështjeve administrative për shqyrtim në dhomën e këshillimit në datën 22.11.2022, përfshirë edhe çështjen e kërkuesit. Gjithashtu, njoftimi për shqyrtimin e çështjes së kërkuesit rezulton të jetë shpallur edhe në faqen elektronike të Gjykatës së Lartë në rubrikën </w:t>
      </w:r>
      <w:r w:rsidRPr="004079B3">
        <w:rPr>
          <w:rFonts w:ascii="Garamond" w:eastAsiaTheme="minorHAnsi" w:hAnsi="Garamond" w:cs="Garamond"/>
          <w:i/>
          <w:iCs/>
          <w:color w:val="000000"/>
          <w:sz w:val="24"/>
          <w:szCs w:val="24"/>
        </w:rPr>
        <w:t>“Lista e çështjeve administrative për shqyrtim”</w:t>
      </w:r>
      <w:r w:rsidRPr="004079B3">
        <w:rPr>
          <w:rFonts w:ascii="Garamond" w:eastAsiaTheme="minorHAnsi" w:hAnsi="Garamond" w:cs="Garamond"/>
          <w:color w:val="000000"/>
          <w:sz w:val="24"/>
          <w:szCs w:val="24"/>
        </w:rPr>
        <w:t xml:space="preserve"> në dhomën e këshillimit, datë 22.11.2022. Në procesverbalin e shqyrtimit të çështjes në Gjykatën e Lartë, që mban datën 22.11.2022, ora 10:50, është shënuar se palët janë njoftuar rregullisht.</w:t>
      </w:r>
    </w:p>
    <w:p w14:paraId="360F625D" w14:textId="48A9FA69" w:rsidR="008446DF" w:rsidRPr="004079B3" w:rsidRDefault="008446DF" w:rsidP="008446DF">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24. </w:t>
      </w:r>
      <w:r w:rsidRPr="004079B3">
        <w:rPr>
          <w:rFonts w:ascii="Garamond" w:eastAsiaTheme="minorHAnsi" w:hAnsi="Garamond" w:cs="Garamond"/>
          <w:color w:val="000000"/>
          <w:sz w:val="24"/>
          <w:szCs w:val="24"/>
        </w:rPr>
        <w:t>Gjykata vëren se më herët Gjykata Administrative e Apelit i ka dërguar kërkuesit kopje të vendimit të saj me njoftim vendimi nr. 7193/2635 akti, datë 2.6.2015, i cili rezulton i nënshkruar për marrje dijeni nga shtetasja E.</w:t>
      </w:r>
      <w:r w:rsidR="004079B3">
        <w:rPr>
          <w:rFonts w:ascii="Garamond" w:eastAsiaTheme="minorHAnsi" w:hAnsi="Garamond" w:cs="Garamond"/>
          <w:color w:val="000000"/>
          <w:sz w:val="24"/>
          <w:szCs w:val="24"/>
        </w:rPr>
        <w:t xml:space="preserve"> </w:t>
      </w:r>
      <w:r w:rsidRPr="004079B3">
        <w:rPr>
          <w:rFonts w:ascii="Garamond" w:eastAsiaTheme="minorHAnsi" w:hAnsi="Garamond" w:cs="Garamond"/>
          <w:color w:val="000000"/>
          <w:sz w:val="24"/>
          <w:szCs w:val="24"/>
        </w:rPr>
        <w:t>Ç. në datën 2.6.2015 me shënimin “</w:t>
      </w:r>
      <w:r w:rsidRPr="004079B3">
        <w:rPr>
          <w:rFonts w:ascii="Garamond" w:eastAsiaTheme="minorHAnsi" w:hAnsi="Garamond" w:cs="Garamond"/>
          <w:i/>
          <w:iCs/>
          <w:color w:val="000000"/>
          <w:sz w:val="24"/>
          <w:szCs w:val="24"/>
        </w:rPr>
        <w:t>Vendimi është tërhequr në sekretari</w:t>
      </w:r>
      <w:r w:rsidRPr="004079B3">
        <w:rPr>
          <w:rFonts w:ascii="Garamond" w:eastAsiaTheme="minorHAnsi" w:hAnsi="Garamond" w:cs="Garamond"/>
          <w:color w:val="000000"/>
          <w:sz w:val="24"/>
          <w:szCs w:val="24"/>
        </w:rPr>
        <w:t>”. Ndërkohë dëftesat e komunikimit nr. 376 akti, datë 23.6.2014 dhe nr. 376 akti, datë 21.7.2014</w:t>
      </w:r>
      <w:r w:rsidR="004079B3">
        <w:rPr>
          <w:rFonts w:ascii="Garamond" w:eastAsiaTheme="minorHAnsi" w:hAnsi="Garamond" w:cs="Garamond"/>
          <w:color w:val="000000"/>
          <w:sz w:val="24"/>
          <w:szCs w:val="24"/>
        </w:rPr>
        <w:t>,</w:t>
      </w:r>
      <w:r w:rsidRPr="004079B3">
        <w:rPr>
          <w:rFonts w:ascii="Garamond" w:eastAsiaTheme="minorHAnsi" w:hAnsi="Garamond" w:cs="Garamond"/>
          <w:color w:val="000000"/>
          <w:sz w:val="24"/>
          <w:szCs w:val="24"/>
        </w:rPr>
        <w:t xml:space="preserve"> të Gjykatës Administrative të Shkallës së Parë Gjirokastër rezultojnë të nënshkruara për marrje dijeni nën emrin e kërkuesit në datën 9.7.2014 dhe në datën 23.7.2014. </w:t>
      </w:r>
    </w:p>
    <w:p w14:paraId="073D6401" w14:textId="5C6F4735" w:rsidR="008446DF" w:rsidRPr="004079B3" w:rsidRDefault="008446DF" w:rsidP="008446DF">
      <w:pPr>
        <w:tabs>
          <w:tab w:val="left" w:pos="840"/>
        </w:tabs>
        <w:autoSpaceDE w:val="0"/>
        <w:autoSpaceDN w:val="0"/>
        <w:adjustRightInd w:val="0"/>
        <w:spacing w:after="0" w:line="240" w:lineRule="auto"/>
        <w:ind w:firstLine="284"/>
        <w:jc w:val="both"/>
        <w:rPr>
          <w:rFonts w:ascii="Garamond" w:eastAsiaTheme="minorHAnsi" w:hAnsi="Garamond" w:cs="Calibri"/>
          <w:color w:val="0D0D0D"/>
          <w:sz w:val="24"/>
          <w:szCs w:val="24"/>
        </w:rPr>
      </w:pPr>
      <w:r w:rsidRPr="004079B3">
        <w:rPr>
          <w:rFonts w:ascii="Garamond" w:eastAsiaTheme="minorHAnsi" w:hAnsi="Garamond" w:cs="Times New Roman"/>
          <w:color w:val="000000"/>
          <w:sz w:val="24"/>
          <w:szCs w:val="24"/>
        </w:rPr>
        <w:t xml:space="preserve">25. </w:t>
      </w:r>
      <w:r w:rsidRPr="004079B3">
        <w:rPr>
          <w:rFonts w:ascii="Garamond" w:eastAsiaTheme="minorHAnsi" w:hAnsi="Garamond" w:cs="Garamond"/>
          <w:color w:val="000000"/>
          <w:sz w:val="24"/>
          <w:szCs w:val="24"/>
        </w:rPr>
        <w:t>Në analizë të fakteve të mësipërme, Gjykata konstaton se për sa i takon njoftimit të akteve gjyqësore, nenet 130 dhe 131 të Kodit të Procedurës Civile, sipas përmbajtjes së tyre në kohën e depozitimit të rekursit (datë 19.6.2015), si rregull, parashikonin njoftimin me shkresë, që konsistonte në dorëzimin e kopjes së aktit të njoftimit personit që përcaktohej si marrës, kudo ku ai gjendej dhe, në pamundësi, njoftimi bëhej në vendbanimin ose vendqëndrimin e marrësit ose në zyrën, ose vendin ku ushtron veprimtarinë tregtare, industriale ose të artizanatit, duke ia dorëzuar aktin personalisht marrësit, një personi të familjes që ka mbushur moshën gjashtëmbëdhjetë vjeç, fqinjëve që pranojnë t’ia dorëzojnë atë marrësit, zyrës ose qendrës së punës së tij ose portierit të ndërtesës së banimit, të zyrës, ose të qendrës së punës. Në rastin konkret, kërkuesit i është dërguar vendimi i gjykatës së apelit dhe rekursi në adresën e caktuar nga ai në kërkesëpadi, nëpërmjet dëftesave të komunikimeve përkatëse, të cilat te rubrika e marrjes dijeni janë nënshkruar nga dy persona të ndryshëm, për të cilët nuk ka informacion të lidhjes së tyre me kërkuesin. M</w:t>
      </w:r>
      <w:r w:rsidRPr="004079B3">
        <w:rPr>
          <w:rFonts w:ascii="Garamond" w:eastAsiaTheme="minorHAnsi" w:hAnsi="Garamond" w:cs="Garamond"/>
          <w:color w:val="0D0D0D"/>
          <w:sz w:val="24"/>
          <w:szCs w:val="24"/>
        </w:rPr>
        <w:t>e shkresën e</w:t>
      </w:r>
      <w:r w:rsidRPr="004079B3">
        <w:rPr>
          <w:rFonts w:ascii="Garamond" w:eastAsiaTheme="minorHAnsi" w:hAnsi="Garamond" w:cs="Garamond"/>
          <w:color w:val="000000"/>
          <w:sz w:val="24"/>
          <w:szCs w:val="24"/>
        </w:rPr>
        <w:t xml:space="preserve"> datës 11.6.2025, përfaqësuesi ligjor i kërkuesit, në përgjigje të informacionit të kërkuar, ka informuar Gjykatën se as kërkuesi e as ndonjë pjesëtar ose i afërm i tij nuk ka marrë dijeni dhe as ka firmosur dëftesën e komunikimit nr.329 akti, datë 19.6.2025, si dhe shtetasja </w:t>
      </w:r>
      <w:proofErr w:type="spellStart"/>
      <w:r w:rsidRPr="004079B3">
        <w:rPr>
          <w:rFonts w:ascii="Garamond" w:eastAsiaTheme="minorHAnsi" w:hAnsi="Garamond" w:cs="Garamond"/>
          <w:color w:val="000000"/>
          <w:sz w:val="24"/>
          <w:szCs w:val="24"/>
        </w:rPr>
        <w:t>E.</w:t>
      </w:r>
      <w:r w:rsidR="004079B3">
        <w:rPr>
          <w:rFonts w:ascii="Garamond" w:eastAsiaTheme="minorHAnsi" w:hAnsi="Garamond" w:cs="Garamond"/>
          <w:color w:val="000000"/>
          <w:sz w:val="24"/>
          <w:szCs w:val="24"/>
        </w:rPr>
        <w:t xml:space="preserve"> </w:t>
      </w:r>
      <w:proofErr w:type="spellEnd"/>
      <w:r w:rsidRPr="004079B3">
        <w:rPr>
          <w:rFonts w:ascii="Garamond" w:eastAsiaTheme="minorHAnsi" w:hAnsi="Garamond" w:cs="Garamond"/>
          <w:color w:val="000000"/>
          <w:sz w:val="24"/>
          <w:szCs w:val="24"/>
        </w:rPr>
        <w:t>B., e cila ka firmosur këtë dëftesë komunikimi, nuk njihet nga kërkuesi ose nga ndonjë pjesëtar, apo i afërm i tij. Ky pretendim nuk është kundërshtuar nga subjektet e interesuara.</w:t>
      </w:r>
    </w:p>
    <w:p w14:paraId="59322226" w14:textId="77777777" w:rsidR="008446DF" w:rsidRPr="004079B3" w:rsidRDefault="008446DF" w:rsidP="008446DF">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26. </w:t>
      </w:r>
      <w:r w:rsidRPr="004079B3">
        <w:rPr>
          <w:rFonts w:ascii="Garamond" w:eastAsiaTheme="minorHAnsi" w:hAnsi="Garamond" w:cs="Garamond"/>
          <w:color w:val="000000"/>
          <w:sz w:val="24"/>
          <w:szCs w:val="24"/>
        </w:rPr>
        <w:t xml:space="preserve">Gjykata vëren se bazuar në aktet e dosjes gjyqësore, kërkuesi nuk është njoftuar për rekursin e palës së paditur, </w:t>
      </w:r>
      <w:proofErr w:type="spellStart"/>
      <w:r w:rsidRPr="004079B3">
        <w:rPr>
          <w:rFonts w:ascii="Garamond" w:eastAsiaTheme="minorHAnsi" w:hAnsi="Garamond" w:cs="Garamond"/>
          <w:color w:val="000000"/>
          <w:sz w:val="24"/>
          <w:szCs w:val="24"/>
        </w:rPr>
        <w:t>DPQ</w:t>
      </w:r>
      <w:proofErr w:type="spellEnd"/>
      <w:r w:rsidRPr="004079B3">
        <w:rPr>
          <w:rFonts w:ascii="Garamond" w:eastAsiaTheme="minorHAnsi" w:hAnsi="Garamond" w:cs="Garamond"/>
          <w:color w:val="000000"/>
          <w:sz w:val="24"/>
          <w:szCs w:val="24"/>
        </w:rPr>
        <w:t xml:space="preserve">-së Vlorë, duke u vënë kështu në pamundësi objektive jo vetëm për të marrë dijeni për vënien në lëvizje të procesit gjyqësor në Gjykatën e Lartë, por edhe për të ushtruar të drejtat e tij që i garantohen nga neni 42 i Kushtetutës, pra për të paraqitur, përmes </w:t>
      </w:r>
      <w:proofErr w:type="spellStart"/>
      <w:r w:rsidRPr="004079B3">
        <w:rPr>
          <w:rFonts w:ascii="Garamond" w:eastAsiaTheme="minorHAnsi" w:hAnsi="Garamond" w:cs="Garamond"/>
          <w:color w:val="000000"/>
          <w:sz w:val="24"/>
          <w:szCs w:val="24"/>
        </w:rPr>
        <w:t>kundërrekursit</w:t>
      </w:r>
      <w:proofErr w:type="spellEnd"/>
      <w:r w:rsidRPr="004079B3">
        <w:rPr>
          <w:rFonts w:ascii="Garamond" w:eastAsiaTheme="minorHAnsi" w:hAnsi="Garamond" w:cs="Garamond"/>
          <w:color w:val="000000"/>
          <w:sz w:val="24"/>
          <w:szCs w:val="24"/>
        </w:rPr>
        <w:t xml:space="preserve"> ose parashtrimeve në proces, pretendime në mbrojtje të interesave të tij ligjorë e kushtetues. Edhe pse Gjykata e Lartë ka detyrimin të verifikojë, në këndvështrim të garantimit të së drejtës së mbrojtjes dhe parimit të barazisë së armëve, nëse administrata gjyqësore ka marrë masat për të kryer njoftimin e rekursit palëve </w:t>
      </w:r>
      <w:proofErr w:type="spellStart"/>
      <w:r w:rsidRPr="004079B3">
        <w:rPr>
          <w:rFonts w:ascii="Garamond" w:eastAsiaTheme="minorHAnsi" w:hAnsi="Garamond" w:cs="Garamond"/>
          <w:color w:val="000000"/>
          <w:sz w:val="24"/>
          <w:szCs w:val="24"/>
        </w:rPr>
        <w:t>ndërgjyqëse</w:t>
      </w:r>
      <w:proofErr w:type="spellEnd"/>
      <w:r w:rsidRPr="004079B3">
        <w:rPr>
          <w:rFonts w:ascii="Garamond" w:eastAsiaTheme="minorHAnsi" w:hAnsi="Garamond" w:cs="Garamond"/>
          <w:color w:val="000000"/>
          <w:sz w:val="24"/>
          <w:szCs w:val="24"/>
        </w:rPr>
        <w:t xml:space="preserve">, ajo nuk është ndalur në kryerjen e këtij vlerësimi. </w:t>
      </w:r>
    </w:p>
    <w:p w14:paraId="7354F6F3" w14:textId="77777777" w:rsidR="008446DF" w:rsidRPr="004079B3" w:rsidRDefault="008446DF" w:rsidP="008446DF">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27. </w:t>
      </w:r>
      <w:r w:rsidRPr="004079B3">
        <w:rPr>
          <w:rFonts w:ascii="Garamond" w:eastAsiaTheme="minorHAnsi" w:hAnsi="Garamond" w:cs="Garamond"/>
          <w:color w:val="000000"/>
          <w:sz w:val="24"/>
          <w:szCs w:val="24"/>
        </w:rPr>
        <w:t xml:space="preserve">Në kuptim të sa më sipër, pra të pasojave që i kanë ardhur kërkuesit nga </w:t>
      </w:r>
      <w:proofErr w:type="spellStart"/>
      <w:r w:rsidRPr="004079B3">
        <w:rPr>
          <w:rFonts w:ascii="Garamond" w:eastAsiaTheme="minorHAnsi" w:hAnsi="Garamond" w:cs="Garamond"/>
          <w:color w:val="000000"/>
          <w:sz w:val="24"/>
          <w:szCs w:val="24"/>
        </w:rPr>
        <w:t>mosnjoftimi</w:t>
      </w:r>
      <w:proofErr w:type="spellEnd"/>
      <w:r w:rsidRPr="004079B3">
        <w:rPr>
          <w:rFonts w:ascii="Garamond" w:eastAsiaTheme="minorHAnsi" w:hAnsi="Garamond" w:cs="Garamond"/>
          <w:color w:val="000000"/>
          <w:sz w:val="24"/>
          <w:szCs w:val="24"/>
        </w:rPr>
        <w:t xml:space="preserve"> i rekursit, Gjykata vlerëson se njoftimi i akteve me të cilat vihet në lëvizje një proces gjyqësor ka rëndësi në drejtim të pjesëmarrjes së individit në gjykim dhe të realizimit të </w:t>
      </w:r>
      <w:proofErr w:type="spellStart"/>
      <w:r w:rsidRPr="004079B3">
        <w:rPr>
          <w:rFonts w:ascii="Garamond" w:eastAsiaTheme="minorHAnsi" w:hAnsi="Garamond" w:cs="Garamond"/>
          <w:color w:val="000000"/>
          <w:sz w:val="24"/>
          <w:szCs w:val="24"/>
        </w:rPr>
        <w:t>të</w:t>
      </w:r>
      <w:proofErr w:type="spellEnd"/>
      <w:r w:rsidRPr="004079B3">
        <w:rPr>
          <w:rFonts w:ascii="Garamond" w:eastAsiaTheme="minorHAnsi" w:hAnsi="Garamond" w:cs="Garamond"/>
          <w:color w:val="000000"/>
          <w:sz w:val="24"/>
          <w:szCs w:val="24"/>
        </w:rPr>
        <w:t xml:space="preserve"> drejtave të tij kushtetuese. Po </w:t>
      </w:r>
      <w:r w:rsidRPr="004079B3">
        <w:rPr>
          <w:rFonts w:ascii="Garamond" w:eastAsiaTheme="minorHAnsi" w:hAnsi="Garamond" w:cs="Garamond"/>
          <w:color w:val="000000"/>
          <w:sz w:val="24"/>
          <w:szCs w:val="24"/>
        </w:rPr>
        <w:lastRenderedPageBreak/>
        <w:t xml:space="preserve">kështu, njoftimi në kohën e duhur i akteve gjyqësore përbën një garanci të domosdoshme si për të vënë në dijeni individin për procesin gjyqësor ku ai është palë, ashtu edhe për të garantuar pjesëmarrjen e tij në proces dhe ushtrimin e së drejtës së mbrojtjes dhe përdorimin e mjeteve procedurale në funksion të mbrojtjes së tij, siç është </w:t>
      </w:r>
      <w:proofErr w:type="spellStart"/>
      <w:r w:rsidRPr="004079B3">
        <w:rPr>
          <w:rFonts w:ascii="Garamond" w:eastAsiaTheme="minorHAnsi" w:hAnsi="Garamond" w:cs="Garamond"/>
          <w:color w:val="000000"/>
          <w:sz w:val="24"/>
          <w:szCs w:val="24"/>
        </w:rPr>
        <w:t>kundërrekursi</w:t>
      </w:r>
      <w:proofErr w:type="spellEnd"/>
      <w:r w:rsidRPr="004079B3">
        <w:rPr>
          <w:rFonts w:ascii="Garamond" w:eastAsiaTheme="minorHAnsi" w:hAnsi="Garamond" w:cs="Garamond"/>
          <w:color w:val="000000"/>
          <w:sz w:val="24"/>
          <w:szCs w:val="24"/>
        </w:rPr>
        <w:t xml:space="preserve"> ose prapësimet ndaj pretendimeve të palës tjetër në proces.</w:t>
      </w:r>
    </w:p>
    <w:p w14:paraId="1D92BEBE" w14:textId="77777777" w:rsidR="008446DF" w:rsidRPr="004079B3" w:rsidRDefault="008446DF" w:rsidP="008446DF">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28. </w:t>
      </w:r>
      <w:r w:rsidRPr="004079B3">
        <w:rPr>
          <w:rFonts w:ascii="Garamond" w:eastAsiaTheme="minorHAnsi" w:hAnsi="Garamond" w:cs="Garamond"/>
          <w:color w:val="000000"/>
          <w:sz w:val="24"/>
          <w:szCs w:val="24"/>
        </w:rPr>
        <w:t xml:space="preserve">Gjykata thekson se pavarësisht se në procesin gjyqësor të zhvilluar në Gjykatën e Lartë kjo e fundit, përmes administratës gjyqësore, ka kryer njoftimin e datës së zhvillimit të seancës gjyqësore në përputhje me parashikimet procedurale të zbatueshme në atë gjykim, kjo nuk është e mjaftueshme për të korrigjuar dhe për të riparuar të metat e evidentuara në drejtim të njoftimit të rekursit, të cilat kanë sjellë si pasojë humbjen nga ana e kërkuesit të së drejtës për të paraqitur </w:t>
      </w:r>
      <w:proofErr w:type="spellStart"/>
      <w:r w:rsidRPr="004079B3">
        <w:rPr>
          <w:rFonts w:ascii="Garamond" w:eastAsiaTheme="minorHAnsi" w:hAnsi="Garamond" w:cs="Garamond"/>
          <w:color w:val="000000"/>
          <w:sz w:val="24"/>
          <w:szCs w:val="24"/>
        </w:rPr>
        <w:t>kundërrekurs</w:t>
      </w:r>
      <w:proofErr w:type="spellEnd"/>
      <w:r w:rsidRPr="004079B3">
        <w:rPr>
          <w:rFonts w:ascii="Garamond" w:eastAsiaTheme="minorHAnsi" w:hAnsi="Garamond" w:cs="Garamond"/>
          <w:color w:val="000000"/>
          <w:sz w:val="24"/>
          <w:szCs w:val="24"/>
        </w:rPr>
        <w:t xml:space="preserve"> dhe argumente ligjore në kundërshtim të pretendimeve të palës kundërshtare, si dhe për të parashtruar qëndrimin dhe pretendimet e saj për zgjidhjen e çështjes. Mënyra sesi kanë vepruar gjykatat, në rastin konkret, e kanë vënë kërkuesin në pamundësi të ushtrojë të drejtën e tij të mbrojtjes ndaj shkaqeve të rekursit dhe në këtë mënyrë procesi nuk ka garantuar respektimin e parimit të barazisë së armëve dhe të </w:t>
      </w:r>
      <w:proofErr w:type="spellStart"/>
      <w:r w:rsidRPr="004079B3">
        <w:rPr>
          <w:rFonts w:ascii="Garamond" w:eastAsiaTheme="minorHAnsi" w:hAnsi="Garamond" w:cs="Garamond"/>
          <w:color w:val="000000"/>
          <w:sz w:val="24"/>
          <w:szCs w:val="24"/>
        </w:rPr>
        <w:t>kontradiktoritetit</w:t>
      </w:r>
      <w:proofErr w:type="spellEnd"/>
      <w:r w:rsidRPr="004079B3">
        <w:rPr>
          <w:rFonts w:ascii="Garamond" w:eastAsiaTheme="minorHAnsi" w:hAnsi="Garamond" w:cs="Garamond"/>
          <w:color w:val="000000"/>
          <w:sz w:val="24"/>
          <w:szCs w:val="24"/>
        </w:rPr>
        <w:t>.</w:t>
      </w:r>
    </w:p>
    <w:p w14:paraId="21AC393F" w14:textId="622E5B8B" w:rsidR="008446DF" w:rsidRPr="004079B3" w:rsidRDefault="008446DF" w:rsidP="008446DF">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29. </w:t>
      </w:r>
      <w:r w:rsidRPr="004079B3">
        <w:rPr>
          <w:rFonts w:ascii="Garamond" w:eastAsiaTheme="minorHAnsi" w:hAnsi="Garamond" w:cs="Garamond"/>
          <w:color w:val="000000"/>
          <w:sz w:val="24"/>
          <w:szCs w:val="24"/>
        </w:rPr>
        <w:t xml:space="preserve">Për sa më sipër, Gjykata vlerëson se mangësitë në njoftimin e rekursit dhe pasojat që kanë sjellje ato përbejnë shkelje thelbësore që e bëjnë procesin të parregullt në kuptimin kushtetues, për sa kohë kanë pasur ndikim në të drejtën e </w:t>
      </w:r>
      <w:proofErr w:type="spellStart"/>
      <w:r w:rsidRPr="004079B3">
        <w:rPr>
          <w:rFonts w:ascii="Garamond" w:eastAsiaTheme="minorHAnsi" w:hAnsi="Garamond" w:cs="Garamond"/>
          <w:color w:val="000000"/>
          <w:sz w:val="24"/>
          <w:szCs w:val="24"/>
        </w:rPr>
        <w:t>aksesit</w:t>
      </w:r>
      <w:proofErr w:type="spellEnd"/>
      <w:r w:rsidRPr="004079B3">
        <w:rPr>
          <w:rFonts w:ascii="Garamond" w:eastAsiaTheme="minorHAnsi" w:hAnsi="Garamond" w:cs="Garamond"/>
          <w:color w:val="000000"/>
          <w:sz w:val="24"/>
          <w:szCs w:val="24"/>
        </w:rPr>
        <w:t xml:space="preserve"> të kërkuesit, pra në të drejtën për t</w:t>
      </w:r>
      <w:r w:rsidR="004079B3">
        <w:rPr>
          <w:rFonts w:ascii="Garamond" w:eastAsiaTheme="minorHAnsi" w:hAnsi="Garamond" w:cs="Garamond"/>
          <w:color w:val="000000"/>
          <w:sz w:val="24"/>
          <w:szCs w:val="24"/>
        </w:rPr>
        <w:t>’</w:t>
      </w:r>
      <w:r w:rsidRPr="004079B3">
        <w:rPr>
          <w:rFonts w:ascii="Garamond" w:eastAsiaTheme="minorHAnsi" w:hAnsi="Garamond" w:cs="Garamond"/>
          <w:color w:val="000000"/>
          <w:sz w:val="24"/>
          <w:szCs w:val="24"/>
        </w:rPr>
        <w:t>iu drejtuar Gjykatës së Lartë dhe për të marrë një përgjigje përfundimtare për pretendimet e tij, për rrjedhojë edhe në të drejtën për t’u dëgjuar në atë gjykatë në respektim të parimit të barazisë së armëve. Për sa më lart, Gjykata çmon se shkeljet e konstatuara kanë pasur ndikim të drejtpërdrejtë në procesin e zhvilluar në Gjykatën e Lartë, duke e bërë atë proces të parregullt në kuptimin kushtetues, ndaj pretendimi i kërkuesit është i bazuar.</w:t>
      </w:r>
    </w:p>
    <w:p w14:paraId="671CDE88" w14:textId="77777777" w:rsidR="008446DF" w:rsidRPr="004079B3" w:rsidRDefault="008446DF" w:rsidP="008446DF">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Times New Roman"/>
          <w:color w:val="000000"/>
          <w:sz w:val="24"/>
          <w:szCs w:val="24"/>
        </w:rPr>
        <w:t xml:space="preserve">30. </w:t>
      </w:r>
      <w:r w:rsidRPr="004079B3">
        <w:rPr>
          <w:rFonts w:ascii="Garamond" w:eastAsiaTheme="minorHAnsi" w:hAnsi="Garamond" w:cs="Garamond"/>
          <w:color w:val="000000"/>
          <w:sz w:val="24"/>
          <w:szCs w:val="24"/>
        </w:rPr>
        <w:t xml:space="preserve">Në përfundim Gjykata çmon se pretendimet e kërkuesit janë të bazuara, sipas arsyetimit të mësipërm, ndaj kërkesa pranohet. </w:t>
      </w:r>
    </w:p>
    <w:p w14:paraId="5991ED88" w14:textId="77777777" w:rsidR="008446DF" w:rsidRPr="004079B3" w:rsidRDefault="008446DF" w:rsidP="008446DF">
      <w:pPr>
        <w:tabs>
          <w:tab w:val="left" w:pos="720"/>
          <w:tab w:val="left" w:pos="1080"/>
        </w:tabs>
        <w:autoSpaceDE w:val="0"/>
        <w:autoSpaceDN w:val="0"/>
        <w:adjustRightInd w:val="0"/>
        <w:spacing w:after="0" w:line="240" w:lineRule="auto"/>
        <w:ind w:firstLine="284"/>
        <w:jc w:val="both"/>
        <w:rPr>
          <w:rFonts w:ascii="Garamond" w:eastAsiaTheme="minorHAnsi" w:hAnsi="Garamond" w:cs="Garamond"/>
          <w:b/>
          <w:bCs/>
          <w:color w:val="000000"/>
          <w:sz w:val="24"/>
          <w:szCs w:val="24"/>
        </w:rPr>
      </w:pPr>
    </w:p>
    <w:p w14:paraId="4E526A59" w14:textId="77777777" w:rsidR="008446DF" w:rsidRPr="004079B3" w:rsidRDefault="008446DF" w:rsidP="008446DF">
      <w:pPr>
        <w:autoSpaceDE w:val="0"/>
        <w:autoSpaceDN w:val="0"/>
        <w:adjustRightInd w:val="0"/>
        <w:spacing w:after="0" w:line="240" w:lineRule="auto"/>
        <w:ind w:firstLine="284"/>
        <w:jc w:val="center"/>
        <w:rPr>
          <w:rFonts w:ascii="Garamond" w:eastAsiaTheme="minorHAnsi" w:hAnsi="Garamond" w:cs="Garamond"/>
          <w:bCs/>
          <w:color w:val="000000"/>
          <w:sz w:val="24"/>
          <w:szCs w:val="24"/>
        </w:rPr>
      </w:pPr>
      <w:r w:rsidRPr="004079B3">
        <w:rPr>
          <w:rFonts w:ascii="Garamond" w:eastAsiaTheme="minorHAnsi" w:hAnsi="Garamond" w:cs="Garamond"/>
          <w:bCs/>
          <w:color w:val="000000"/>
          <w:sz w:val="24"/>
          <w:szCs w:val="24"/>
        </w:rPr>
        <w:t>PËR KËTO ARSYE,</w:t>
      </w:r>
    </w:p>
    <w:p w14:paraId="4AC6C068" w14:textId="77777777" w:rsidR="008446DF" w:rsidRPr="004079B3" w:rsidRDefault="008446DF" w:rsidP="008446DF">
      <w:pPr>
        <w:autoSpaceDE w:val="0"/>
        <w:autoSpaceDN w:val="0"/>
        <w:adjustRightInd w:val="0"/>
        <w:spacing w:after="0" w:line="240" w:lineRule="auto"/>
        <w:ind w:firstLine="284"/>
        <w:jc w:val="center"/>
        <w:rPr>
          <w:rFonts w:ascii="Garamond" w:eastAsiaTheme="minorHAnsi" w:hAnsi="Garamond" w:cs="Garamond"/>
          <w:color w:val="000000"/>
          <w:sz w:val="24"/>
          <w:szCs w:val="24"/>
        </w:rPr>
      </w:pPr>
      <w:bookmarkStart w:id="0" w:name="_GoBack"/>
      <w:bookmarkEnd w:id="0"/>
    </w:p>
    <w:p w14:paraId="45D03B16" w14:textId="2C174E65" w:rsidR="008446DF" w:rsidRPr="004079B3" w:rsidRDefault="008446DF" w:rsidP="008446D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Garamond"/>
          <w:color w:val="000000"/>
          <w:sz w:val="24"/>
          <w:szCs w:val="24"/>
        </w:rPr>
        <w:t>Gjykata Kushtetuese, në mbështetje të neneve 131, pika 1, shkronja “f” dhe 134, pika 1, shkronja “i”, të Kushtetutës, si dhe neneve 72 e vijues të ligjit nr. 8577, datë 10.2.2000</w:t>
      </w:r>
      <w:r w:rsidR="004079B3">
        <w:rPr>
          <w:rFonts w:ascii="Garamond" w:eastAsiaTheme="minorHAnsi" w:hAnsi="Garamond" w:cs="Garamond"/>
          <w:color w:val="000000"/>
          <w:sz w:val="24"/>
          <w:szCs w:val="24"/>
        </w:rPr>
        <w:t>,</w:t>
      </w:r>
      <w:r w:rsidRPr="004079B3">
        <w:rPr>
          <w:rFonts w:ascii="Garamond" w:eastAsiaTheme="minorHAnsi" w:hAnsi="Garamond" w:cs="Garamond"/>
          <w:color w:val="000000"/>
          <w:sz w:val="24"/>
          <w:szCs w:val="24"/>
        </w:rPr>
        <w:t xml:space="preserve"> “Për organizimin dhe funksionimin e Gjykatës Kushtetuese të Republikës së Shqipërisë”, të ndryshuar, njëzëri,</w:t>
      </w:r>
    </w:p>
    <w:p w14:paraId="607784A5" w14:textId="77777777" w:rsidR="008446DF" w:rsidRPr="004079B3" w:rsidRDefault="008446DF" w:rsidP="008446DF">
      <w:pPr>
        <w:autoSpaceDE w:val="0"/>
        <w:autoSpaceDN w:val="0"/>
        <w:adjustRightInd w:val="0"/>
        <w:spacing w:after="0" w:line="240" w:lineRule="auto"/>
        <w:ind w:firstLine="284"/>
        <w:jc w:val="both"/>
        <w:rPr>
          <w:rFonts w:ascii="Garamond" w:eastAsiaTheme="minorHAnsi" w:hAnsi="Garamond" w:cs="Garamond"/>
          <w:b/>
          <w:bCs/>
          <w:color w:val="000000"/>
          <w:sz w:val="24"/>
          <w:szCs w:val="24"/>
        </w:rPr>
      </w:pPr>
    </w:p>
    <w:p w14:paraId="64289CFC" w14:textId="77777777" w:rsidR="008446DF" w:rsidRPr="004079B3" w:rsidRDefault="008446DF" w:rsidP="008446DF">
      <w:pPr>
        <w:autoSpaceDE w:val="0"/>
        <w:autoSpaceDN w:val="0"/>
        <w:adjustRightInd w:val="0"/>
        <w:spacing w:after="0" w:line="240" w:lineRule="auto"/>
        <w:ind w:firstLine="284"/>
        <w:jc w:val="center"/>
        <w:rPr>
          <w:rFonts w:ascii="Garamond" w:eastAsiaTheme="minorHAnsi" w:hAnsi="Garamond" w:cs="Garamond"/>
          <w:bCs/>
          <w:color w:val="000000"/>
          <w:sz w:val="24"/>
          <w:szCs w:val="24"/>
        </w:rPr>
      </w:pPr>
      <w:r w:rsidRPr="004079B3">
        <w:rPr>
          <w:rFonts w:ascii="Garamond" w:eastAsiaTheme="minorHAnsi" w:hAnsi="Garamond" w:cs="Garamond"/>
          <w:bCs/>
          <w:color w:val="000000"/>
          <w:sz w:val="24"/>
          <w:szCs w:val="24"/>
        </w:rPr>
        <w:t>VENDOSI:</w:t>
      </w:r>
    </w:p>
    <w:p w14:paraId="051B50BC" w14:textId="77777777" w:rsidR="008446DF" w:rsidRPr="004079B3" w:rsidRDefault="008446DF" w:rsidP="008446DF">
      <w:pPr>
        <w:autoSpaceDE w:val="0"/>
        <w:autoSpaceDN w:val="0"/>
        <w:adjustRightInd w:val="0"/>
        <w:spacing w:after="0" w:line="240" w:lineRule="auto"/>
        <w:ind w:firstLine="284"/>
        <w:rPr>
          <w:rFonts w:ascii="Garamond" w:eastAsiaTheme="minorHAnsi" w:hAnsi="Garamond" w:cs="Garamond"/>
          <w:b/>
          <w:bCs/>
          <w:color w:val="000000"/>
          <w:sz w:val="24"/>
          <w:szCs w:val="24"/>
        </w:rPr>
      </w:pPr>
    </w:p>
    <w:p w14:paraId="03F4DFF7" w14:textId="77777777" w:rsidR="008446DF" w:rsidRPr="004079B3" w:rsidRDefault="008446DF" w:rsidP="008446D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Garamond"/>
          <w:color w:val="000000"/>
          <w:sz w:val="24"/>
          <w:szCs w:val="24"/>
        </w:rPr>
        <w:t xml:space="preserve">1. Pranimin e kërkesës. </w:t>
      </w:r>
    </w:p>
    <w:p w14:paraId="6440CBE3" w14:textId="15275648" w:rsidR="008446DF" w:rsidRPr="004079B3" w:rsidRDefault="008446DF" w:rsidP="008446D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Garamond"/>
          <w:color w:val="000000"/>
          <w:sz w:val="24"/>
          <w:szCs w:val="24"/>
        </w:rPr>
        <w:t>2. Shfuqizimin e vendimit nr. 00-2022-3138 (393), datë 22.11.2022</w:t>
      </w:r>
      <w:r w:rsidR="004079B3">
        <w:rPr>
          <w:rFonts w:ascii="Garamond" w:eastAsiaTheme="minorHAnsi" w:hAnsi="Garamond" w:cs="Garamond"/>
          <w:color w:val="000000"/>
          <w:sz w:val="24"/>
          <w:szCs w:val="24"/>
        </w:rPr>
        <w:t>,</w:t>
      </w:r>
      <w:r w:rsidRPr="004079B3">
        <w:rPr>
          <w:rFonts w:ascii="Garamond" w:eastAsiaTheme="minorHAnsi" w:hAnsi="Garamond" w:cs="Garamond"/>
          <w:color w:val="000000"/>
          <w:sz w:val="24"/>
          <w:szCs w:val="24"/>
        </w:rPr>
        <w:t xml:space="preserve"> të Kolegjit Administrativ të Gjykatës së Lartë, si të papajtueshëm me Kushtetutën e Republikës së Shqipërisë.</w:t>
      </w:r>
    </w:p>
    <w:p w14:paraId="24DAB668" w14:textId="77777777" w:rsidR="008446DF" w:rsidRPr="004079B3" w:rsidRDefault="008446DF" w:rsidP="008446D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Garamond"/>
          <w:color w:val="000000"/>
          <w:sz w:val="24"/>
          <w:szCs w:val="24"/>
        </w:rPr>
        <w:t xml:space="preserve">3. Dërgimin e çështjes për shqyrtim në Gjykatën e Lartë. </w:t>
      </w:r>
    </w:p>
    <w:p w14:paraId="75947FAE" w14:textId="77777777" w:rsidR="008446DF" w:rsidRDefault="008446DF" w:rsidP="008446D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4079B3">
        <w:rPr>
          <w:rFonts w:ascii="Garamond" w:eastAsiaTheme="minorHAnsi" w:hAnsi="Garamond" w:cs="Garamond"/>
          <w:color w:val="000000"/>
          <w:sz w:val="24"/>
          <w:szCs w:val="24"/>
        </w:rPr>
        <w:t>Ky vendim është përfundimtar dhe hyn në fuqi ditën e botimit në Fletoren Zyrtare.</w:t>
      </w:r>
    </w:p>
    <w:p w14:paraId="54D54DFF" w14:textId="77777777" w:rsidR="004079B3" w:rsidRPr="004079B3" w:rsidRDefault="004079B3" w:rsidP="008446DF">
      <w:pPr>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5CF3367D" w14:textId="036BC266" w:rsidR="008446DF" w:rsidRPr="004079B3" w:rsidRDefault="008446DF" w:rsidP="008446DF">
      <w:pPr>
        <w:autoSpaceDE w:val="0"/>
        <w:autoSpaceDN w:val="0"/>
        <w:adjustRightInd w:val="0"/>
        <w:spacing w:after="0" w:line="240" w:lineRule="auto"/>
        <w:ind w:firstLine="284"/>
        <w:rPr>
          <w:rFonts w:ascii="Garamond" w:eastAsiaTheme="minorHAnsi" w:hAnsi="Garamond" w:cs="Garamond"/>
          <w:b/>
          <w:bCs/>
          <w:color w:val="000000"/>
          <w:sz w:val="24"/>
          <w:szCs w:val="24"/>
        </w:rPr>
      </w:pPr>
      <w:r w:rsidRPr="004079B3">
        <w:rPr>
          <w:rFonts w:ascii="Garamond" w:eastAsiaTheme="minorHAnsi" w:hAnsi="Garamond" w:cs="Garamond"/>
          <w:b/>
          <w:bCs/>
          <w:color w:val="000000"/>
          <w:sz w:val="24"/>
          <w:szCs w:val="24"/>
        </w:rPr>
        <w:t>Marrë më 24.6.2025</w:t>
      </w:r>
      <w:r w:rsidR="004079B3">
        <w:rPr>
          <w:rFonts w:ascii="Garamond" w:eastAsiaTheme="minorHAnsi" w:hAnsi="Garamond" w:cs="Garamond"/>
          <w:b/>
          <w:bCs/>
          <w:color w:val="000000"/>
          <w:sz w:val="24"/>
          <w:szCs w:val="24"/>
        </w:rPr>
        <w:t>.</w:t>
      </w:r>
    </w:p>
    <w:p w14:paraId="797E320C" w14:textId="580D782D" w:rsidR="008446DF" w:rsidRPr="004079B3" w:rsidRDefault="008446DF" w:rsidP="008446DF">
      <w:pPr>
        <w:autoSpaceDE w:val="0"/>
        <w:autoSpaceDN w:val="0"/>
        <w:adjustRightInd w:val="0"/>
        <w:spacing w:after="0" w:line="240" w:lineRule="auto"/>
        <w:ind w:firstLine="284"/>
        <w:rPr>
          <w:rFonts w:ascii="Garamond" w:eastAsiaTheme="minorHAnsi" w:hAnsi="Garamond" w:cs="Garamond"/>
          <w:b/>
          <w:bCs/>
          <w:color w:val="000000"/>
          <w:sz w:val="24"/>
          <w:szCs w:val="24"/>
        </w:rPr>
      </w:pPr>
      <w:r w:rsidRPr="004079B3">
        <w:rPr>
          <w:rFonts w:ascii="Garamond" w:eastAsiaTheme="minorHAnsi" w:hAnsi="Garamond" w:cs="Garamond"/>
          <w:b/>
          <w:bCs/>
          <w:color w:val="000000"/>
          <w:sz w:val="24"/>
          <w:szCs w:val="24"/>
        </w:rPr>
        <w:t>Shpallur më 28.7.2025</w:t>
      </w:r>
      <w:r w:rsidR="004079B3">
        <w:rPr>
          <w:rFonts w:ascii="Garamond" w:eastAsiaTheme="minorHAnsi" w:hAnsi="Garamond" w:cs="Garamond"/>
          <w:b/>
          <w:bCs/>
          <w:color w:val="000000"/>
          <w:sz w:val="24"/>
          <w:szCs w:val="24"/>
        </w:rPr>
        <w:t>.</w:t>
      </w:r>
    </w:p>
    <w:p w14:paraId="7952F1FD" w14:textId="77777777" w:rsidR="008446DF" w:rsidRPr="004079B3" w:rsidRDefault="008446DF" w:rsidP="008446DF">
      <w:pPr>
        <w:autoSpaceDE w:val="0"/>
        <w:autoSpaceDN w:val="0"/>
        <w:adjustRightInd w:val="0"/>
        <w:spacing w:after="0" w:line="240" w:lineRule="auto"/>
        <w:ind w:firstLine="284"/>
        <w:rPr>
          <w:rFonts w:ascii="Garamond" w:eastAsiaTheme="minorHAnsi" w:hAnsi="Garamond" w:cs="Garamond"/>
          <w:b/>
          <w:bCs/>
          <w:color w:val="000000"/>
          <w:sz w:val="24"/>
          <w:szCs w:val="24"/>
        </w:rPr>
      </w:pPr>
    </w:p>
    <w:p w14:paraId="7E1A6C05" w14:textId="77777777" w:rsidR="008446DF" w:rsidRPr="004079B3" w:rsidRDefault="008446DF" w:rsidP="004079B3">
      <w:pPr>
        <w:autoSpaceDE w:val="0"/>
        <w:autoSpaceDN w:val="0"/>
        <w:adjustRightInd w:val="0"/>
        <w:spacing w:after="0" w:line="240" w:lineRule="auto"/>
        <w:ind w:firstLine="284"/>
        <w:jc w:val="both"/>
        <w:rPr>
          <w:rFonts w:ascii="Garamond" w:eastAsiaTheme="minorHAnsi" w:hAnsi="Garamond" w:cs="Garamond"/>
          <w:bCs/>
          <w:color w:val="000000"/>
          <w:sz w:val="24"/>
          <w:szCs w:val="24"/>
        </w:rPr>
      </w:pPr>
      <w:r w:rsidRPr="004079B3">
        <w:rPr>
          <w:rFonts w:ascii="Garamond" w:eastAsiaTheme="minorHAnsi" w:hAnsi="Garamond" w:cs="Garamond"/>
          <w:b/>
          <w:bCs/>
          <w:color w:val="000000"/>
          <w:sz w:val="24"/>
          <w:szCs w:val="24"/>
        </w:rPr>
        <w:t>Kryetare</w:t>
      </w:r>
      <w:r w:rsidRPr="004079B3">
        <w:rPr>
          <w:rFonts w:ascii="Garamond" w:eastAsiaTheme="minorHAnsi" w:hAnsi="Garamond" w:cs="Garamond"/>
          <w:bCs/>
          <w:color w:val="000000"/>
          <w:sz w:val="24"/>
          <w:szCs w:val="24"/>
        </w:rPr>
        <w:t xml:space="preserve">: </w:t>
      </w:r>
      <w:proofErr w:type="spellStart"/>
      <w:r w:rsidRPr="004079B3">
        <w:rPr>
          <w:rFonts w:ascii="Garamond" w:eastAsiaTheme="minorHAnsi" w:hAnsi="Garamond" w:cs="Garamond"/>
          <w:bCs/>
          <w:color w:val="000000"/>
          <w:sz w:val="24"/>
          <w:szCs w:val="24"/>
        </w:rPr>
        <w:t>Holta</w:t>
      </w:r>
      <w:proofErr w:type="spellEnd"/>
      <w:r w:rsidRPr="004079B3">
        <w:rPr>
          <w:rFonts w:ascii="Garamond" w:eastAsiaTheme="minorHAnsi" w:hAnsi="Garamond" w:cs="Garamond"/>
          <w:bCs/>
          <w:color w:val="000000"/>
          <w:sz w:val="24"/>
          <w:szCs w:val="24"/>
        </w:rPr>
        <w:t xml:space="preserve"> </w:t>
      </w:r>
      <w:proofErr w:type="spellStart"/>
      <w:r w:rsidRPr="004079B3">
        <w:rPr>
          <w:rFonts w:ascii="Garamond" w:eastAsiaTheme="minorHAnsi" w:hAnsi="Garamond" w:cs="Garamond"/>
          <w:bCs/>
          <w:color w:val="000000"/>
          <w:sz w:val="24"/>
          <w:szCs w:val="24"/>
        </w:rPr>
        <w:t>Zaçaj</w:t>
      </w:r>
      <w:proofErr w:type="spellEnd"/>
    </w:p>
    <w:p w14:paraId="56AEF86C" w14:textId="7A6E1F3F" w:rsidR="008446DF" w:rsidRPr="004079B3" w:rsidRDefault="008446DF" w:rsidP="004079B3">
      <w:pPr>
        <w:tabs>
          <w:tab w:val="left" w:pos="0"/>
        </w:tabs>
        <w:autoSpaceDE w:val="0"/>
        <w:autoSpaceDN w:val="0"/>
        <w:adjustRightInd w:val="0"/>
        <w:spacing w:after="0" w:line="240" w:lineRule="auto"/>
        <w:ind w:firstLine="284"/>
        <w:jc w:val="both"/>
        <w:rPr>
          <w:rFonts w:ascii="Garamond" w:eastAsiaTheme="minorHAnsi" w:hAnsi="Garamond" w:cs="Garamond"/>
          <w:bCs/>
          <w:color w:val="000000"/>
          <w:sz w:val="24"/>
          <w:szCs w:val="24"/>
        </w:rPr>
      </w:pPr>
      <w:r w:rsidRPr="004079B3">
        <w:rPr>
          <w:rFonts w:ascii="Garamond" w:eastAsiaTheme="minorHAnsi" w:hAnsi="Garamond" w:cs="Garamond"/>
          <w:b/>
          <w:bCs/>
          <w:color w:val="000000"/>
          <w:sz w:val="24"/>
          <w:szCs w:val="24"/>
        </w:rPr>
        <w:t>Anëtar</w:t>
      </w:r>
      <w:r w:rsidR="004079B3">
        <w:rPr>
          <w:rFonts w:ascii="Garamond" w:eastAsiaTheme="minorHAnsi" w:hAnsi="Garamond" w:cs="Garamond"/>
          <w:b/>
          <w:bCs/>
          <w:color w:val="000000"/>
          <w:sz w:val="24"/>
          <w:szCs w:val="24"/>
        </w:rPr>
        <w:t>ë</w:t>
      </w:r>
      <w:r w:rsidRPr="004079B3">
        <w:rPr>
          <w:rFonts w:ascii="Garamond" w:eastAsiaTheme="minorHAnsi" w:hAnsi="Garamond" w:cs="Garamond"/>
          <w:bCs/>
          <w:color w:val="000000"/>
          <w:sz w:val="24"/>
          <w:szCs w:val="24"/>
        </w:rPr>
        <w:t xml:space="preserve">: </w:t>
      </w:r>
      <w:proofErr w:type="spellStart"/>
      <w:r w:rsidRPr="004079B3">
        <w:rPr>
          <w:rFonts w:ascii="Garamond" w:eastAsiaTheme="minorHAnsi" w:hAnsi="Garamond" w:cs="Garamond"/>
          <w:bCs/>
          <w:color w:val="000000"/>
          <w:sz w:val="24"/>
          <w:szCs w:val="24"/>
        </w:rPr>
        <w:t>Fiona</w:t>
      </w:r>
      <w:proofErr w:type="spellEnd"/>
      <w:r w:rsidRPr="004079B3">
        <w:rPr>
          <w:rFonts w:ascii="Garamond" w:eastAsiaTheme="minorHAnsi" w:hAnsi="Garamond" w:cs="Garamond"/>
          <w:bCs/>
          <w:color w:val="000000"/>
          <w:sz w:val="24"/>
          <w:szCs w:val="24"/>
        </w:rPr>
        <w:t xml:space="preserve"> </w:t>
      </w:r>
      <w:proofErr w:type="spellStart"/>
      <w:r w:rsidRPr="004079B3">
        <w:rPr>
          <w:rFonts w:ascii="Garamond" w:eastAsiaTheme="minorHAnsi" w:hAnsi="Garamond" w:cs="Garamond"/>
          <w:bCs/>
          <w:color w:val="000000"/>
          <w:sz w:val="24"/>
          <w:szCs w:val="24"/>
        </w:rPr>
        <w:t>Papajorgji</w:t>
      </w:r>
      <w:proofErr w:type="spellEnd"/>
      <w:r w:rsidRPr="004079B3">
        <w:rPr>
          <w:rFonts w:ascii="Garamond" w:eastAsiaTheme="minorHAnsi" w:hAnsi="Garamond" w:cs="Garamond"/>
          <w:bCs/>
          <w:color w:val="000000"/>
          <w:sz w:val="24"/>
          <w:szCs w:val="24"/>
        </w:rPr>
        <w:t xml:space="preserve">, </w:t>
      </w:r>
      <w:proofErr w:type="spellStart"/>
      <w:r w:rsidRPr="004079B3">
        <w:rPr>
          <w:rFonts w:ascii="Garamond" w:eastAsiaTheme="minorHAnsi" w:hAnsi="Garamond" w:cs="Garamond"/>
          <w:bCs/>
          <w:color w:val="000000"/>
          <w:sz w:val="24"/>
          <w:szCs w:val="24"/>
        </w:rPr>
        <w:t>Marsida</w:t>
      </w:r>
      <w:proofErr w:type="spellEnd"/>
      <w:r w:rsidRPr="004079B3">
        <w:rPr>
          <w:rFonts w:ascii="Garamond" w:eastAsiaTheme="minorHAnsi" w:hAnsi="Garamond" w:cs="Garamond"/>
          <w:bCs/>
          <w:color w:val="000000"/>
          <w:sz w:val="24"/>
          <w:szCs w:val="24"/>
        </w:rPr>
        <w:t xml:space="preserve"> </w:t>
      </w:r>
      <w:proofErr w:type="spellStart"/>
      <w:r w:rsidRPr="004079B3">
        <w:rPr>
          <w:rFonts w:ascii="Garamond" w:eastAsiaTheme="minorHAnsi" w:hAnsi="Garamond" w:cs="Garamond"/>
          <w:bCs/>
          <w:color w:val="000000"/>
          <w:sz w:val="24"/>
          <w:szCs w:val="24"/>
        </w:rPr>
        <w:t>Xhaferllari</w:t>
      </w:r>
      <w:proofErr w:type="spellEnd"/>
      <w:r w:rsidRPr="004079B3">
        <w:rPr>
          <w:rFonts w:ascii="Garamond" w:eastAsiaTheme="minorHAnsi" w:hAnsi="Garamond" w:cs="Garamond"/>
          <w:bCs/>
          <w:color w:val="000000"/>
          <w:sz w:val="24"/>
          <w:szCs w:val="24"/>
        </w:rPr>
        <w:t xml:space="preserve">, Ilir Toska, </w:t>
      </w:r>
      <w:proofErr w:type="spellStart"/>
      <w:r w:rsidRPr="004079B3">
        <w:rPr>
          <w:rFonts w:ascii="Garamond" w:eastAsiaTheme="minorHAnsi" w:hAnsi="Garamond" w:cs="Garamond"/>
          <w:bCs/>
          <w:color w:val="000000"/>
          <w:sz w:val="24"/>
          <w:szCs w:val="24"/>
        </w:rPr>
        <w:t>Sandër</w:t>
      </w:r>
      <w:proofErr w:type="spellEnd"/>
      <w:r w:rsidRPr="004079B3">
        <w:rPr>
          <w:rFonts w:ascii="Garamond" w:eastAsiaTheme="minorHAnsi" w:hAnsi="Garamond" w:cs="Garamond"/>
          <w:bCs/>
          <w:color w:val="000000"/>
          <w:sz w:val="24"/>
          <w:szCs w:val="24"/>
        </w:rPr>
        <w:t xml:space="preserve"> Beci, </w:t>
      </w:r>
      <w:proofErr w:type="spellStart"/>
      <w:r w:rsidRPr="004079B3">
        <w:rPr>
          <w:rFonts w:ascii="Garamond" w:eastAsiaTheme="minorHAnsi" w:hAnsi="Garamond" w:cs="Garamond"/>
          <w:bCs/>
          <w:color w:val="000000"/>
          <w:sz w:val="24"/>
          <w:szCs w:val="24"/>
        </w:rPr>
        <w:t>Sonila</w:t>
      </w:r>
      <w:proofErr w:type="spellEnd"/>
      <w:r w:rsidRPr="004079B3">
        <w:rPr>
          <w:rFonts w:ascii="Garamond" w:eastAsiaTheme="minorHAnsi" w:hAnsi="Garamond" w:cs="Garamond"/>
          <w:bCs/>
          <w:color w:val="000000"/>
          <w:sz w:val="24"/>
          <w:szCs w:val="24"/>
        </w:rPr>
        <w:t xml:space="preserve"> Bejtja, </w:t>
      </w:r>
      <w:proofErr w:type="spellStart"/>
      <w:r w:rsidRPr="004079B3">
        <w:rPr>
          <w:rFonts w:ascii="Garamond" w:eastAsiaTheme="minorHAnsi" w:hAnsi="Garamond" w:cs="Garamond"/>
          <w:bCs/>
          <w:color w:val="000000"/>
          <w:sz w:val="24"/>
          <w:szCs w:val="24"/>
        </w:rPr>
        <w:t>Marjana</w:t>
      </w:r>
      <w:proofErr w:type="spellEnd"/>
      <w:r w:rsidRPr="004079B3">
        <w:rPr>
          <w:rFonts w:ascii="Garamond" w:eastAsiaTheme="minorHAnsi" w:hAnsi="Garamond" w:cs="Garamond"/>
          <w:bCs/>
          <w:color w:val="000000"/>
          <w:sz w:val="24"/>
          <w:szCs w:val="24"/>
        </w:rPr>
        <w:t xml:space="preserve"> </w:t>
      </w:r>
      <w:proofErr w:type="spellStart"/>
      <w:r w:rsidRPr="004079B3">
        <w:rPr>
          <w:rFonts w:ascii="Garamond" w:eastAsiaTheme="minorHAnsi" w:hAnsi="Garamond" w:cs="Garamond"/>
          <w:bCs/>
          <w:color w:val="000000"/>
          <w:sz w:val="24"/>
          <w:szCs w:val="24"/>
        </w:rPr>
        <w:t>Semini</w:t>
      </w:r>
      <w:proofErr w:type="spellEnd"/>
      <w:r w:rsidRPr="004079B3">
        <w:rPr>
          <w:rFonts w:ascii="Garamond" w:eastAsiaTheme="minorHAnsi" w:hAnsi="Garamond" w:cs="Garamond"/>
          <w:bCs/>
          <w:color w:val="000000"/>
          <w:sz w:val="24"/>
          <w:szCs w:val="24"/>
        </w:rPr>
        <w:t>, Genti Ibrahimi</w:t>
      </w:r>
    </w:p>
    <w:p w14:paraId="117D23C6" w14:textId="77777777" w:rsidR="008446DF" w:rsidRPr="004079B3" w:rsidRDefault="008446DF" w:rsidP="004079B3">
      <w:pPr>
        <w:tabs>
          <w:tab w:val="left" w:pos="0"/>
        </w:tabs>
        <w:autoSpaceDE w:val="0"/>
        <w:autoSpaceDN w:val="0"/>
        <w:adjustRightInd w:val="0"/>
        <w:spacing w:after="0" w:line="240" w:lineRule="auto"/>
        <w:ind w:firstLine="284"/>
        <w:jc w:val="both"/>
        <w:rPr>
          <w:rFonts w:ascii="Garamond" w:eastAsiaTheme="minorHAnsi" w:hAnsi="Garamond" w:cs="Garamond"/>
          <w:bCs/>
          <w:color w:val="000000"/>
          <w:sz w:val="24"/>
          <w:szCs w:val="24"/>
        </w:rPr>
      </w:pPr>
    </w:p>
    <w:p w14:paraId="1008569A" w14:textId="3A1CEDC9" w:rsidR="00825871" w:rsidRPr="004079B3" w:rsidRDefault="00825871" w:rsidP="008446DF"/>
    <w:sectPr w:rsidR="00825871" w:rsidRPr="004079B3" w:rsidSect="00661399">
      <w:headerReference w:type="default" r:id="rId12"/>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93F222" w14:textId="77777777" w:rsidR="004079B3" w:rsidRDefault="004079B3" w:rsidP="001116E5">
      <w:pPr>
        <w:spacing w:after="0" w:line="240" w:lineRule="auto"/>
      </w:pPr>
      <w:r>
        <w:separator/>
      </w:r>
    </w:p>
  </w:endnote>
  <w:endnote w:type="continuationSeparator" w:id="0">
    <w:p w14:paraId="5D55E3A4" w14:textId="77777777" w:rsidR="004079B3" w:rsidRDefault="004079B3" w:rsidP="001116E5">
      <w:pPr>
        <w:spacing w:after="0" w:line="240" w:lineRule="auto"/>
      </w:pPr>
      <w:r>
        <w:continuationSeparator/>
      </w:r>
    </w:p>
  </w:endnote>
  <w:endnote w:type="continuationNotice" w:id="1">
    <w:p w14:paraId="15DAF82C" w14:textId="77777777" w:rsidR="004079B3" w:rsidRDefault="004079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A2929" w14:textId="77777777" w:rsidR="004079B3" w:rsidRDefault="004079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64490" w14:textId="77777777" w:rsidR="004079B3" w:rsidRDefault="004079B3" w:rsidP="001116E5">
      <w:pPr>
        <w:spacing w:after="0" w:line="240" w:lineRule="auto"/>
      </w:pPr>
      <w:r>
        <w:separator/>
      </w:r>
    </w:p>
  </w:footnote>
  <w:footnote w:type="continuationSeparator" w:id="0">
    <w:p w14:paraId="46EC2916" w14:textId="77777777" w:rsidR="004079B3" w:rsidRDefault="004079B3" w:rsidP="001116E5">
      <w:pPr>
        <w:spacing w:after="0" w:line="240" w:lineRule="auto"/>
      </w:pPr>
      <w:r>
        <w:continuationSeparator/>
      </w:r>
    </w:p>
  </w:footnote>
  <w:footnote w:type="continuationNotice" w:id="1">
    <w:p w14:paraId="75CC23F6" w14:textId="77777777" w:rsidR="004079B3" w:rsidRDefault="004079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F6C19C" w14:textId="77777777" w:rsidR="004079B3" w:rsidRDefault="004079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B3655"/>
    <w:multiLevelType w:val="hybridMultilevel"/>
    <w:tmpl w:val="380C90D8"/>
    <w:lvl w:ilvl="0" w:tplc="25BE6D22">
      <w:start w:val="1"/>
      <w:numFmt w:val="lowerRoman"/>
      <w:lvlText w:val="(%1)"/>
      <w:lvlJc w:val="left"/>
      <w:pPr>
        <w:ind w:left="1440" w:hanging="72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 w15:restartNumberingAfterBreak="0">
    <w:nsid w:val="01CD3F36"/>
    <w:multiLevelType w:val="hybridMultilevel"/>
    <w:tmpl w:val="6B24DDBE"/>
    <w:lvl w:ilvl="0" w:tplc="281AE9E2">
      <w:start w:val="1"/>
      <w:numFmt w:val="decimal"/>
      <w:lvlText w:val="%1."/>
      <w:lvlJc w:val="left"/>
      <w:pPr>
        <w:ind w:left="786"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635BD"/>
    <w:multiLevelType w:val="multilevel"/>
    <w:tmpl w:val="26BEBCD4"/>
    <w:lvl w:ilvl="0">
      <w:start w:val="1"/>
      <w:numFmt w:val="decimal"/>
      <w:lvlText w:val="%1."/>
      <w:lvlJc w:val="left"/>
      <w:pPr>
        <w:ind w:left="360" w:hanging="360"/>
      </w:pPr>
      <w:rPr>
        <w:rFonts w:ascii="Times New Roman" w:hAnsi="Times New Roman" w:cs="Times New Roman" w:hint="default"/>
        <w:b w:val="0"/>
        <w:i w:val="0"/>
        <w:i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8E1BC2"/>
    <w:multiLevelType w:val="multilevel"/>
    <w:tmpl w:val="802211EA"/>
    <w:lvl w:ilvl="0">
      <w:start w:val="7"/>
      <w:numFmt w:val="decimal"/>
      <w:lvlText w:val="%1."/>
      <w:lvlJc w:val="left"/>
      <w:pPr>
        <w:ind w:left="360" w:hanging="360"/>
      </w:pPr>
      <w:rPr>
        <w:rFonts w:hint="default"/>
        <w:i w:val="0"/>
      </w:rPr>
    </w:lvl>
    <w:lvl w:ilvl="1">
      <w:start w:val="1"/>
      <w:numFmt w:val="decimal"/>
      <w:lvlText w:val="%1.%2."/>
      <w:lvlJc w:val="left"/>
      <w:pPr>
        <w:ind w:left="1530" w:hanging="360"/>
      </w:pPr>
      <w:rPr>
        <w:rFonts w:hint="default"/>
        <w:b w:val="0"/>
        <w:i w:val="0"/>
      </w:rPr>
    </w:lvl>
    <w:lvl w:ilvl="2">
      <w:start w:val="1"/>
      <w:numFmt w:val="decimal"/>
      <w:lvlText w:val="%1.%2.%3."/>
      <w:lvlJc w:val="left"/>
      <w:pPr>
        <w:ind w:left="3060" w:hanging="720"/>
      </w:pPr>
      <w:rPr>
        <w:rFonts w:hint="default"/>
        <w:i w:val="0"/>
      </w:rPr>
    </w:lvl>
    <w:lvl w:ilvl="3">
      <w:start w:val="1"/>
      <w:numFmt w:val="decimal"/>
      <w:lvlText w:val="%1.%2.%3.%4."/>
      <w:lvlJc w:val="left"/>
      <w:pPr>
        <w:ind w:left="4230" w:hanging="720"/>
      </w:pPr>
      <w:rPr>
        <w:rFonts w:hint="default"/>
        <w:i w:val="0"/>
      </w:rPr>
    </w:lvl>
    <w:lvl w:ilvl="4">
      <w:start w:val="1"/>
      <w:numFmt w:val="decimal"/>
      <w:lvlText w:val="%1.%2.%3.%4.%5."/>
      <w:lvlJc w:val="left"/>
      <w:pPr>
        <w:ind w:left="5760" w:hanging="1080"/>
      </w:pPr>
      <w:rPr>
        <w:rFonts w:hint="default"/>
        <w:i w:val="0"/>
      </w:rPr>
    </w:lvl>
    <w:lvl w:ilvl="5">
      <w:start w:val="1"/>
      <w:numFmt w:val="decimal"/>
      <w:lvlText w:val="%1.%2.%3.%4.%5.%6."/>
      <w:lvlJc w:val="left"/>
      <w:pPr>
        <w:ind w:left="6930" w:hanging="1080"/>
      </w:pPr>
      <w:rPr>
        <w:rFonts w:hint="default"/>
        <w:i w:val="0"/>
      </w:rPr>
    </w:lvl>
    <w:lvl w:ilvl="6">
      <w:start w:val="1"/>
      <w:numFmt w:val="decimal"/>
      <w:lvlText w:val="%1.%2.%3.%4.%5.%6.%7."/>
      <w:lvlJc w:val="left"/>
      <w:pPr>
        <w:ind w:left="8460" w:hanging="1440"/>
      </w:pPr>
      <w:rPr>
        <w:rFonts w:hint="default"/>
        <w:i w:val="0"/>
      </w:rPr>
    </w:lvl>
    <w:lvl w:ilvl="7">
      <w:start w:val="1"/>
      <w:numFmt w:val="decimal"/>
      <w:lvlText w:val="%1.%2.%3.%4.%5.%6.%7.%8."/>
      <w:lvlJc w:val="left"/>
      <w:pPr>
        <w:ind w:left="9630" w:hanging="1440"/>
      </w:pPr>
      <w:rPr>
        <w:rFonts w:hint="default"/>
        <w:i w:val="0"/>
      </w:rPr>
    </w:lvl>
    <w:lvl w:ilvl="8">
      <w:start w:val="1"/>
      <w:numFmt w:val="decimal"/>
      <w:lvlText w:val="%1.%2.%3.%4.%5.%6.%7.%8.%9."/>
      <w:lvlJc w:val="left"/>
      <w:pPr>
        <w:ind w:left="11160" w:hanging="1800"/>
      </w:pPr>
      <w:rPr>
        <w:rFonts w:hint="default"/>
        <w:i w:val="0"/>
      </w:rPr>
    </w:lvl>
  </w:abstractNum>
  <w:abstractNum w:abstractNumId="4" w15:restartNumberingAfterBreak="0">
    <w:nsid w:val="12D365A9"/>
    <w:multiLevelType w:val="multilevel"/>
    <w:tmpl w:val="7444DF38"/>
    <w:lvl w:ilvl="0">
      <w:start w:val="24"/>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840" w:hanging="480"/>
      </w:pPr>
      <w:rPr>
        <w:b w:val="0"/>
        <w:i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15115BC6"/>
    <w:multiLevelType w:val="multilevel"/>
    <w:tmpl w:val="372AAA2A"/>
    <w:lvl w:ilvl="0">
      <w:start w:val="8"/>
      <w:numFmt w:val="decimal"/>
      <w:lvlText w:val="%1."/>
      <w:lvlJc w:val="left"/>
      <w:pPr>
        <w:ind w:left="1170" w:hanging="360"/>
      </w:pPr>
      <w:rPr>
        <w:rFonts w:eastAsia="Calibri" w:hint="default"/>
        <w:b w:val="0"/>
        <w:i w:val="0"/>
        <w:color w:val="auto"/>
      </w:rPr>
    </w:lvl>
    <w:lvl w:ilvl="1">
      <w:start w:val="1"/>
      <w:numFmt w:val="decimal"/>
      <w:lvlText w:val="%1.%2."/>
      <w:lvlJc w:val="left"/>
      <w:pPr>
        <w:ind w:left="1620" w:hanging="360"/>
      </w:pPr>
      <w:rPr>
        <w:rFonts w:eastAsia="Calibri" w:hint="default"/>
        <w:b w:val="0"/>
        <w:i w:val="0"/>
        <w:color w:val="auto"/>
      </w:rPr>
    </w:lvl>
    <w:lvl w:ilvl="2">
      <w:start w:val="1"/>
      <w:numFmt w:val="decimal"/>
      <w:lvlText w:val="%1.%2.%3."/>
      <w:lvlJc w:val="left"/>
      <w:pPr>
        <w:ind w:left="3240" w:hanging="720"/>
      </w:pPr>
      <w:rPr>
        <w:rFonts w:eastAsia="Calibri" w:hint="default"/>
        <w:i w:val="0"/>
        <w:color w:val="auto"/>
      </w:rPr>
    </w:lvl>
    <w:lvl w:ilvl="3">
      <w:start w:val="1"/>
      <w:numFmt w:val="decimal"/>
      <w:lvlText w:val="%1.%2.%3.%4."/>
      <w:lvlJc w:val="left"/>
      <w:pPr>
        <w:ind w:left="4500" w:hanging="720"/>
      </w:pPr>
      <w:rPr>
        <w:rFonts w:eastAsia="Calibri" w:hint="default"/>
        <w:i/>
      </w:rPr>
    </w:lvl>
    <w:lvl w:ilvl="4">
      <w:start w:val="1"/>
      <w:numFmt w:val="decimal"/>
      <w:lvlText w:val="%1.%2.%3.%4.%5."/>
      <w:lvlJc w:val="left"/>
      <w:pPr>
        <w:ind w:left="6120" w:hanging="1080"/>
      </w:pPr>
      <w:rPr>
        <w:rFonts w:eastAsia="Calibri" w:hint="default"/>
        <w:i/>
      </w:rPr>
    </w:lvl>
    <w:lvl w:ilvl="5">
      <w:start w:val="1"/>
      <w:numFmt w:val="decimal"/>
      <w:lvlText w:val="%1.%2.%3.%4.%5.%6."/>
      <w:lvlJc w:val="left"/>
      <w:pPr>
        <w:ind w:left="7380" w:hanging="1080"/>
      </w:pPr>
      <w:rPr>
        <w:rFonts w:eastAsia="Calibri" w:hint="default"/>
        <w:i/>
      </w:rPr>
    </w:lvl>
    <w:lvl w:ilvl="6">
      <w:start w:val="1"/>
      <w:numFmt w:val="decimal"/>
      <w:lvlText w:val="%1.%2.%3.%4.%5.%6.%7."/>
      <w:lvlJc w:val="left"/>
      <w:pPr>
        <w:ind w:left="9000" w:hanging="1440"/>
      </w:pPr>
      <w:rPr>
        <w:rFonts w:eastAsia="Calibri" w:hint="default"/>
        <w:i/>
      </w:rPr>
    </w:lvl>
    <w:lvl w:ilvl="7">
      <w:start w:val="1"/>
      <w:numFmt w:val="decimal"/>
      <w:lvlText w:val="%1.%2.%3.%4.%5.%6.%7.%8."/>
      <w:lvlJc w:val="left"/>
      <w:pPr>
        <w:ind w:left="10260" w:hanging="1440"/>
      </w:pPr>
      <w:rPr>
        <w:rFonts w:eastAsia="Calibri" w:hint="default"/>
        <w:i/>
      </w:rPr>
    </w:lvl>
    <w:lvl w:ilvl="8">
      <w:start w:val="1"/>
      <w:numFmt w:val="decimal"/>
      <w:lvlText w:val="%1.%2.%3.%4.%5.%6.%7.%8.%9."/>
      <w:lvlJc w:val="left"/>
      <w:pPr>
        <w:ind w:left="11880" w:hanging="1800"/>
      </w:pPr>
      <w:rPr>
        <w:rFonts w:eastAsia="Calibri" w:hint="default"/>
        <w:i/>
      </w:rPr>
    </w:lvl>
  </w:abstractNum>
  <w:abstractNum w:abstractNumId="6" w15:restartNumberingAfterBreak="0">
    <w:nsid w:val="174D0C9D"/>
    <w:multiLevelType w:val="multilevel"/>
    <w:tmpl w:val="20B05FCA"/>
    <w:lvl w:ilvl="0">
      <w:start w:val="1"/>
      <w:numFmt w:val="decimal"/>
      <w:lvlText w:val="%1."/>
      <w:lvlJc w:val="left"/>
      <w:pPr>
        <w:ind w:left="2430" w:hanging="720"/>
      </w:pPr>
      <w:rPr>
        <w:rFonts w:ascii="Times New Roman" w:eastAsia="Times New Roman" w:hAnsi="Times New Roman" w:cs="Times New Roman"/>
        <w:b w:val="0"/>
        <w:i w:val="0"/>
        <w:strike w:val="0"/>
        <w:dstrike w:val="0"/>
        <w:sz w:val="24"/>
        <w:szCs w:val="24"/>
        <w:u w:val="none"/>
        <w:effect w:val="none"/>
      </w:rPr>
    </w:lvl>
    <w:lvl w:ilvl="1">
      <w:start w:val="1"/>
      <w:numFmt w:val="decimal"/>
      <w:isLgl/>
      <w:lvlText w:val="%1.%2."/>
      <w:lvlJc w:val="left"/>
      <w:pPr>
        <w:ind w:left="1800" w:hanging="360"/>
      </w:pPr>
      <w:rPr>
        <w:b w:val="0"/>
        <w:i w:val="0"/>
      </w:rPr>
    </w:lvl>
    <w:lvl w:ilvl="2">
      <w:start w:val="1"/>
      <w:numFmt w:val="decimal"/>
      <w:isLgl/>
      <w:lvlText w:val="%1.%2.%3."/>
      <w:lvlJc w:val="left"/>
      <w:pPr>
        <w:ind w:left="2070" w:hanging="720"/>
      </w:pPr>
      <w:rPr>
        <w:b w:val="0"/>
        <w:i w:val="0"/>
      </w:rPr>
    </w:lvl>
    <w:lvl w:ilvl="3">
      <w:start w:val="1"/>
      <w:numFmt w:val="decimal"/>
      <w:isLgl/>
      <w:lvlText w:val="%1.%2.%3.%4."/>
      <w:lvlJc w:val="left"/>
      <w:pPr>
        <w:ind w:left="2160" w:hanging="720"/>
      </w:pPr>
      <w:rPr>
        <w:b w:val="0"/>
        <w:i w:val="0"/>
      </w:rPr>
    </w:lvl>
    <w:lvl w:ilvl="4">
      <w:start w:val="1"/>
      <w:numFmt w:val="decimal"/>
      <w:isLgl/>
      <w:lvlText w:val="%1.%2.%3.%4.%5."/>
      <w:lvlJc w:val="left"/>
      <w:pPr>
        <w:ind w:left="3961" w:hanging="1080"/>
      </w:pPr>
      <w:rPr>
        <w:b/>
        <w:i/>
      </w:rPr>
    </w:lvl>
    <w:lvl w:ilvl="5">
      <w:start w:val="1"/>
      <w:numFmt w:val="decimal"/>
      <w:isLgl/>
      <w:lvlText w:val="%1.%2.%3.%4.%5.%6."/>
      <w:lvlJc w:val="left"/>
      <w:pPr>
        <w:ind w:left="4681" w:hanging="1080"/>
      </w:pPr>
      <w:rPr>
        <w:b/>
        <w:i/>
      </w:rPr>
    </w:lvl>
    <w:lvl w:ilvl="6">
      <w:start w:val="1"/>
      <w:numFmt w:val="decimal"/>
      <w:isLgl/>
      <w:lvlText w:val="%1.%2.%3.%4.%5.%6.%7."/>
      <w:lvlJc w:val="left"/>
      <w:pPr>
        <w:ind w:left="5761" w:hanging="1440"/>
      </w:pPr>
      <w:rPr>
        <w:b/>
        <w:i/>
      </w:rPr>
    </w:lvl>
    <w:lvl w:ilvl="7">
      <w:start w:val="1"/>
      <w:numFmt w:val="decimal"/>
      <w:isLgl/>
      <w:lvlText w:val="%1.%2.%3.%4.%5.%6.%7.%8."/>
      <w:lvlJc w:val="left"/>
      <w:pPr>
        <w:ind w:left="6481" w:hanging="1440"/>
      </w:pPr>
      <w:rPr>
        <w:b/>
        <w:i/>
      </w:rPr>
    </w:lvl>
    <w:lvl w:ilvl="8">
      <w:start w:val="1"/>
      <w:numFmt w:val="decimal"/>
      <w:isLgl/>
      <w:lvlText w:val="%1.%2.%3.%4.%5.%6.%7.%8.%9."/>
      <w:lvlJc w:val="left"/>
      <w:pPr>
        <w:ind w:left="7561" w:hanging="1800"/>
      </w:pPr>
      <w:rPr>
        <w:b/>
        <w:i/>
      </w:rPr>
    </w:lvl>
  </w:abstractNum>
  <w:abstractNum w:abstractNumId="7" w15:restartNumberingAfterBreak="0">
    <w:nsid w:val="2083012F"/>
    <w:multiLevelType w:val="hybridMultilevel"/>
    <w:tmpl w:val="DF90572C"/>
    <w:lvl w:ilvl="0" w:tplc="9B66419A">
      <w:start w:val="1"/>
      <w:numFmt w:val="upperLetter"/>
      <w:lvlText w:val="%1."/>
      <w:lvlJc w:val="left"/>
      <w:pPr>
        <w:ind w:left="900" w:hanging="360"/>
      </w:pPr>
      <w:rPr>
        <w:rFonts w:hint="default"/>
        <w:i/>
      </w:rPr>
    </w:lvl>
    <w:lvl w:ilvl="1" w:tplc="AC7200E0">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9A602A"/>
    <w:multiLevelType w:val="multilevel"/>
    <w:tmpl w:val="62D87D86"/>
    <w:lvl w:ilvl="0">
      <w:start w:val="7"/>
      <w:numFmt w:val="decimal"/>
      <w:lvlText w:val="%1."/>
      <w:lvlJc w:val="left"/>
      <w:pPr>
        <w:ind w:left="360" w:hanging="360"/>
      </w:pPr>
      <w:rPr>
        <w:rFonts w:hint="default"/>
        <w:i/>
      </w:rPr>
    </w:lvl>
    <w:lvl w:ilvl="1">
      <w:start w:val="1"/>
      <w:numFmt w:val="decimal"/>
      <w:lvlText w:val="%1.%2."/>
      <w:lvlJc w:val="left"/>
      <w:pPr>
        <w:ind w:left="1440" w:hanging="360"/>
      </w:pPr>
      <w:rPr>
        <w:rFonts w:hint="default"/>
        <w:b w:val="0"/>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9" w15:restartNumberingAfterBreak="0">
    <w:nsid w:val="24E06498"/>
    <w:multiLevelType w:val="multilevel"/>
    <w:tmpl w:val="46662868"/>
    <w:lvl w:ilvl="0">
      <w:start w:val="1"/>
      <w:numFmt w:val="decimal"/>
      <w:lvlText w:val="%1."/>
      <w:lvlJc w:val="left"/>
      <w:pPr>
        <w:ind w:left="2035" w:hanging="360"/>
      </w:pPr>
      <w:rPr>
        <w:rFonts w:hint="default"/>
        <w:b w:val="0"/>
        <w:i w:val="0"/>
        <w:iCs/>
      </w:rPr>
    </w:lvl>
    <w:lvl w:ilvl="1">
      <w:start w:val="1"/>
      <w:numFmt w:val="decimal"/>
      <w:isLgl/>
      <w:lvlText w:val="%1.%2"/>
      <w:lvlJc w:val="left"/>
      <w:pPr>
        <w:ind w:left="2035" w:hanging="360"/>
      </w:pPr>
      <w:rPr>
        <w:rFonts w:eastAsia="MS Mincho" w:hint="default"/>
        <w:i/>
        <w:color w:val="auto"/>
      </w:rPr>
    </w:lvl>
    <w:lvl w:ilvl="2">
      <w:start w:val="1"/>
      <w:numFmt w:val="decimal"/>
      <w:isLgl/>
      <w:lvlText w:val="%1.%2.%3"/>
      <w:lvlJc w:val="left"/>
      <w:pPr>
        <w:ind w:left="2395" w:hanging="720"/>
      </w:pPr>
      <w:rPr>
        <w:rFonts w:eastAsia="MS Mincho" w:hint="default"/>
        <w:i/>
        <w:color w:val="auto"/>
      </w:rPr>
    </w:lvl>
    <w:lvl w:ilvl="3">
      <w:start w:val="1"/>
      <w:numFmt w:val="decimal"/>
      <w:isLgl/>
      <w:lvlText w:val="%1.%2.%3.%4"/>
      <w:lvlJc w:val="left"/>
      <w:pPr>
        <w:ind w:left="2395" w:hanging="720"/>
      </w:pPr>
      <w:rPr>
        <w:rFonts w:eastAsia="MS Mincho" w:hint="default"/>
        <w:i/>
        <w:color w:val="auto"/>
      </w:rPr>
    </w:lvl>
    <w:lvl w:ilvl="4">
      <w:start w:val="1"/>
      <w:numFmt w:val="decimal"/>
      <w:isLgl/>
      <w:lvlText w:val="%1.%2.%3.%4.%5"/>
      <w:lvlJc w:val="left"/>
      <w:pPr>
        <w:ind w:left="2755" w:hanging="1080"/>
      </w:pPr>
      <w:rPr>
        <w:rFonts w:eastAsia="MS Mincho" w:hint="default"/>
        <w:i/>
        <w:color w:val="auto"/>
      </w:rPr>
    </w:lvl>
    <w:lvl w:ilvl="5">
      <w:start w:val="1"/>
      <w:numFmt w:val="decimal"/>
      <w:isLgl/>
      <w:lvlText w:val="%1.%2.%3.%4.%5.%6"/>
      <w:lvlJc w:val="left"/>
      <w:pPr>
        <w:ind w:left="2755" w:hanging="1080"/>
      </w:pPr>
      <w:rPr>
        <w:rFonts w:eastAsia="MS Mincho" w:hint="default"/>
        <w:i/>
        <w:color w:val="auto"/>
      </w:rPr>
    </w:lvl>
    <w:lvl w:ilvl="6">
      <w:start w:val="1"/>
      <w:numFmt w:val="decimal"/>
      <w:isLgl/>
      <w:lvlText w:val="%1.%2.%3.%4.%5.%6.%7"/>
      <w:lvlJc w:val="left"/>
      <w:pPr>
        <w:ind w:left="3115" w:hanging="1440"/>
      </w:pPr>
      <w:rPr>
        <w:rFonts w:eastAsia="MS Mincho" w:hint="default"/>
        <w:i/>
        <w:color w:val="auto"/>
      </w:rPr>
    </w:lvl>
    <w:lvl w:ilvl="7">
      <w:start w:val="1"/>
      <w:numFmt w:val="decimal"/>
      <w:isLgl/>
      <w:lvlText w:val="%1.%2.%3.%4.%5.%6.%7.%8"/>
      <w:lvlJc w:val="left"/>
      <w:pPr>
        <w:ind w:left="3115" w:hanging="1440"/>
      </w:pPr>
      <w:rPr>
        <w:rFonts w:eastAsia="MS Mincho" w:hint="default"/>
        <w:i/>
        <w:color w:val="auto"/>
      </w:rPr>
    </w:lvl>
    <w:lvl w:ilvl="8">
      <w:start w:val="1"/>
      <w:numFmt w:val="decimal"/>
      <w:isLgl/>
      <w:lvlText w:val="%1.%2.%3.%4.%5.%6.%7.%8.%9"/>
      <w:lvlJc w:val="left"/>
      <w:pPr>
        <w:ind w:left="3475" w:hanging="1800"/>
      </w:pPr>
      <w:rPr>
        <w:rFonts w:eastAsia="MS Mincho" w:hint="default"/>
        <w:i/>
        <w:color w:val="auto"/>
      </w:rPr>
    </w:lvl>
  </w:abstractNum>
  <w:abstractNum w:abstractNumId="10" w15:restartNumberingAfterBreak="0">
    <w:nsid w:val="282F471A"/>
    <w:multiLevelType w:val="hybridMultilevel"/>
    <w:tmpl w:val="3DE28FE8"/>
    <w:lvl w:ilvl="0" w:tplc="5614BFCA">
      <w:start w:val="22"/>
      <w:numFmt w:val="decimal"/>
      <w:lvlText w:val="%1."/>
      <w:lvlJc w:val="left"/>
      <w:pPr>
        <w:ind w:left="2700" w:hanging="360"/>
      </w:pPr>
      <w:rPr>
        <w:rFonts w:hint="default"/>
        <w:b w:val="0"/>
        <w:i w:val="0"/>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11" w15:restartNumberingAfterBreak="0">
    <w:nsid w:val="365055F9"/>
    <w:multiLevelType w:val="multilevel"/>
    <w:tmpl w:val="1AB87356"/>
    <w:lvl w:ilvl="0">
      <w:start w:val="1"/>
      <w:numFmt w:val="decimal"/>
      <w:lvlText w:val="%1."/>
      <w:lvlJc w:val="left"/>
      <w:pPr>
        <w:ind w:left="360" w:hanging="360"/>
      </w:pPr>
      <w:rPr>
        <w:rFonts w:ascii="Times New Roman" w:eastAsiaTheme="minorHAnsi" w:hAnsi="Times New Roman" w:cs="Times New Roman" w:hint="default"/>
        <w:b w:val="0"/>
        <w:i w:val="0"/>
        <w:color w:val="auto"/>
        <w:sz w:val="24"/>
        <w:szCs w:val="24"/>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440" w:hanging="720"/>
      </w:pPr>
      <w:rPr>
        <w:rFonts w:hint="default"/>
        <w:b w:val="0"/>
        <w:i w:val="0"/>
      </w:rPr>
    </w:lvl>
    <w:lvl w:ilvl="3">
      <w:start w:val="1"/>
      <w:numFmt w:val="decimal"/>
      <w:isLgl/>
      <w:lvlText w:val="%1.%2.%3.%4."/>
      <w:lvlJc w:val="left"/>
      <w:pPr>
        <w:ind w:left="144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00" w:hanging="1080"/>
      </w:pPr>
      <w:rPr>
        <w:rFonts w:hint="default"/>
        <w:b/>
        <w:i/>
      </w:rPr>
    </w:lvl>
    <w:lvl w:ilvl="6">
      <w:start w:val="1"/>
      <w:numFmt w:val="decimal"/>
      <w:isLgl/>
      <w:lvlText w:val="%1.%2.%3.%4.%5.%6.%7."/>
      <w:lvlJc w:val="left"/>
      <w:pPr>
        <w:ind w:left="2160" w:hanging="1440"/>
      </w:pPr>
      <w:rPr>
        <w:rFonts w:hint="default"/>
        <w:b/>
        <w:i/>
      </w:rPr>
    </w:lvl>
    <w:lvl w:ilvl="7">
      <w:start w:val="1"/>
      <w:numFmt w:val="decimal"/>
      <w:isLgl/>
      <w:lvlText w:val="%1.%2.%3.%4.%5.%6.%7.%8."/>
      <w:lvlJc w:val="left"/>
      <w:pPr>
        <w:ind w:left="2160" w:hanging="1440"/>
      </w:pPr>
      <w:rPr>
        <w:rFonts w:hint="default"/>
        <w:b/>
        <w:i/>
      </w:rPr>
    </w:lvl>
    <w:lvl w:ilvl="8">
      <w:start w:val="1"/>
      <w:numFmt w:val="decimal"/>
      <w:isLgl/>
      <w:lvlText w:val="%1.%2.%3.%4.%5.%6.%7.%8.%9."/>
      <w:lvlJc w:val="left"/>
      <w:pPr>
        <w:ind w:left="2520" w:hanging="1800"/>
      </w:pPr>
      <w:rPr>
        <w:rFonts w:hint="default"/>
        <w:b/>
        <w:i/>
      </w:rPr>
    </w:lvl>
  </w:abstractNum>
  <w:abstractNum w:abstractNumId="12" w15:restartNumberingAfterBreak="0">
    <w:nsid w:val="38F30498"/>
    <w:multiLevelType w:val="hybridMultilevel"/>
    <w:tmpl w:val="080636DA"/>
    <w:lvl w:ilvl="0" w:tplc="D2AA3C94">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3AF454C1"/>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BAB45FC"/>
    <w:multiLevelType w:val="hybridMultilevel"/>
    <w:tmpl w:val="296A5414"/>
    <w:lvl w:ilvl="0" w:tplc="F3F8189C">
      <w:start w:val="1"/>
      <w:numFmt w:val="decimal"/>
      <w:lvlText w:val="%1."/>
      <w:lvlJc w:val="left"/>
      <w:pPr>
        <w:ind w:left="5747" w:hanging="360"/>
      </w:pPr>
      <w:rPr>
        <w:b w:val="0"/>
        <w:i w:val="0"/>
        <w:strike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5" w15:restartNumberingAfterBreak="0">
    <w:nsid w:val="414E02E5"/>
    <w:multiLevelType w:val="hybridMultilevel"/>
    <w:tmpl w:val="F1920762"/>
    <w:lvl w:ilvl="0" w:tplc="B33EF834">
      <w:start w:val="1"/>
      <w:numFmt w:val="decimal"/>
      <w:lvlText w:val="%1."/>
      <w:lvlJc w:val="left"/>
      <w:pPr>
        <w:ind w:left="720" w:hanging="360"/>
      </w:pPr>
      <w:rPr>
        <w:i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454F1AFF"/>
    <w:multiLevelType w:val="multilevel"/>
    <w:tmpl w:val="E190D4BE"/>
    <w:lvl w:ilvl="0">
      <w:start w:val="8"/>
      <w:numFmt w:val="decimal"/>
      <w:lvlText w:val="%1"/>
      <w:lvlJc w:val="left"/>
      <w:pPr>
        <w:ind w:left="360" w:hanging="360"/>
      </w:pPr>
      <w:rPr>
        <w:rFonts w:hint="default"/>
        <w:i/>
      </w:rPr>
    </w:lvl>
    <w:lvl w:ilvl="1">
      <w:start w:val="1"/>
      <w:numFmt w:val="decimal"/>
      <w:lvlText w:val="%1.%2"/>
      <w:lvlJc w:val="left"/>
      <w:pPr>
        <w:ind w:left="1080" w:hanging="360"/>
      </w:pPr>
      <w:rPr>
        <w:rFonts w:hint="default"/>
        <w:i w:val="0"/>
      </w:rPr>
    </w:lvl>
    <w:lvl w:ilvl="2">
      <w:start w:val="1"/>
      <w:numFmt w:val="upperLetter"/>
      <w:lvlText w:val="%1.%2.%3"/>
      <w:lvlJc w:val="left"/>
      <w:pPr>
        <w:ind w:left="2160" w:hanging="720"/>
      </w:pPr>
      <w:rPr>
        <w:rFonts w:hint="default"/>
        <w:i/>
      </w:rPr>
    </w:lvl>
    <w:lvl w:ilvl="3">
      <w:start w:val="1"/>
      <w:numFmt w:val="decimal"/>
      <w:lvlText w:val="%1.%2.%3.%4"/>
      <w:lvlJc w:val="left"/>
      <w:pPr>
        <w:ind w:left="2880" w:hanging="720"/>
      </w:pPr>
      <w:rPr>
        <w:rFonts w:hint="default"/>
        <w:i/>
      </w:rPr>
    </w:lvl>
    <w:lvl w:ilvl="4">
      <w:start w:val="1"/>
      <w:numFmt w:val="decimal"/>
      <w:lvlText w:val="%1.%2.%3.%4.%5"/>
      <w:lvlJc w:val="left"/>
      <w:pPr>
        <w:ind w:left="3960" w:hanging="1080"/>
      </w:pPr>
      <w:rPr>
        <w:rFonts w:hint="default"/>
        <w:i/>
      </w:rPr>
    </w:lvl>
    <w:lvl w:ilvl="5">
      <w:start w:val="1"/>
      <w:numFmt w:val="decimal"/>
      <w:lvlText w:val="%1.%2.%3.%4.%5.%6"/>
      <w:lvlJc w:val="left"/>
      <w:pPr>
        <w:ind w:left="4680" w:hanging="1080"/>
      </w:pPr>
      <w:rPr>
        <w:rFonts w:hint="default"/>
        <w:i/>
      </w:rPr>
    </w:lvl>
    <w:lvl w:ilvl="6">
      <w:start w:val="1"/>
      <w:numFmt w:val="decimal"/>
      <w:lvlText w:val="%1.%2.%3.%4.%5.%6.%7"/>
      <w:lvlJc w:val="left"/>
      <w:pPr>
        <w:ind w:left="5760" w:hanging="1440"/>
      </w:pPr>
      <w:rPr>
        <w:rFonts w:hint="default"/>
        <w:i/>
      </w:rPr>
    </w:lvl>
    <w:lvl w:ilvl="7">
      <w:start w:val="1"/>
      <w:numFmt w:val="decimal"/>
      <w:lvlText w:val="%1.%2.%3.%4.%5.%6.%7.%8"/>
      <w:lvlJc w:val="left"/>
      <w:pPr>
        <w:ind w:left="6480" w:hanging="1440"/>
      </w:pPr>
      <w:rPr>
        <w:rFonts w:hint="default"/>
        <w:i/>
      </w:rPr>
    </w:lvl>
    <w:lvl w:ilvl="8">
      <w:start w:val="1"/>
      <w:numFmt w:val="decimal"/>
      <w:lvlText w:val="%1.%2.%3.%4.%5.%6.%7.%8.%9"/>
      <w:lvlJc w:val="left"/>
      <w:pPr>
        <w:ind w:left="7560" w:hanging="1800"/>
      </w:pPr>
      <w:rPr>
        <w:rFonts w:hint="default"/>
        <w:i/>
      </w:rPr>
    </w:lvl>
  </w:abstractNum>
  <w:abstractNum w:abstractNumId="17" w15:restartNumberingAfterBreak="0">
    <w:nsid w:val="461D04A9"/>
    <w:multiLevelType w:val="multilevel"/>
    <w:tmpl w:val="51860BE6"/>
    <w:lvl w:ilvl="0">
      <w:start w:val="1"/>
      <w:numFmt w:val="decimal"/>
      <w:lvlText w:val="%1."/>
      <w:lvlJc w:val="left"/>
      <w:pPr>
        <w:ind w:left="2250" w:hanging="360"/>
      </w:pPr>
      <w:rPr>
        <w:rFonts w:ascii="Times New Roman" w:hAnsi="Times New Roman" w:cs="Times New Roman"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8" w15:restartNumberingAfterBreak="0">
    <w:nsid w:val="464C210F"/>
    <w:multiLevelType w:val="multilevel"/>
    <w:tmpl w:val="88FE095E"/>
    <w:lvl w:ilvl="0">
      <w:start w:val="1"/>
      <w:numFmt w:val="decimal"/>
      <w:lvlText w:val="%1."/>
      <w:lvlJc w:val="left"/>
      <w:pPr>
        <w:ind w:left="1080" w:hanging="360"/>
      </w:pPr>
      <w:rPr>
        <w:rFonts w:eastAsiaTheme="minorHAnsi" w:hint="default"/>
        <w:b w:val="0"/>
        <w:i w:val="0"/>
        <w:color w:val="auto"/>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440" w:hanging="720"/>
      </w:pPr>
      <w:rPr>
        <w:rFonts w:hint="default"/>
        <w:b w:val="0"/>
        <w:i w:val="0"/>
      </w:rPr>
    </w:lvl>
    <w:lvl w:ilvl="3">
      <w:start w:val="1"/>
      <w:numFmt w:val="decimal"/>
      <w:isLgl/>
      <w:lvlText w:val="%1.%2.%3.%4."/>
      <w:lvlJc w:val="left"/>
      <w:pPr>
        <w:ind w:left="144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00" w:hanging="1080"/>
      </w:pPr>
      <w:rPr>
        <w:rFonts w:hint="default"/>
        <w:b/>
        <w:i/>
      </w:rPr>
    </w:lvl>
    <w:lvl w:ilvl="6">
      <w:start w:val="1"/>
      <w:numFmt w:val="decimal"/>
      <w:isLgl/>
      <w:lvlText w:val="%1.%2.%3.%4.%5.%6.%7."/>
      <w:lvlJc w:val="left"/>
      <w:pPr>
        <w:ind w:left="2160" w:hanging="1440"/>
      </w:pPr>
      <w:rPr>
        <w:rFonts w:hint="default"/>
        <w:b/>
        <w:i/>
      </w:rPr>
    </w:lvl>
    <w:lvl w:ilvl="7">
      <w:start w:val="1"/>
      <w:numFmt w:val="decimal"/>
      <w:isLgl/>
      <w:lvlText w:val="%1.%2.%3.%4.%5.%6.%7.%8."/>
      <w:lvlJc w:val="left"/>
      <w:pPr>
        <w:ind w:left="2160" w:hanging="1440"/>
      </w:pPr>
      <w:rPr>
        <w:rFonts w:hint="default"/>
        <w:b/>
        <w:i/>
      </w:rPr>
    </w:lvl>
    <w:lvl w:ilvl="8">
      <w:start w:val="1"/>
      <w:numFmt w:val="decimal"/>
      <w:isLgl/>
      <w:lvlText w:val="%1.%2.%3.%4.%5.%6.%7.%8.%9."/>
      <w:lvlJc w:val="left"/>
      <w:pPr>
        <w:ind w:left="2520" w:hanging="1800"/>
      </w:pPr>
      <w:rPr>
        <w:rFonts w:hint="default"/>
        <w:b/>
        <w:i/>
      </w:rPr>
    </w:lvl>
  </w:abstractNum>
  <w:abstractNum w:abstractNumId="19" w15:restartNumberingAfterBreak="0">
    <w:nsid w:val="46C419BD"/>
    <w:multiLevelType w:val="hybridMultilevel"/>
    <w:tmpl w:val="CBA65512"/>
    <w:lvl w:ilvl="0" w:tplc="0C3A8FEC">
      <w:start w:val="1"/>
      <w:numFmt w:val="upp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94344CF"/>
    <w:multiLevelType w:val="multilevel"/>
    <w:tmpl w:val="D0F029D4"/>
    <w:lvl w:ilvl="0">
      <w:start w:val="1"/>
      <w:numFmt w:val="decimal"/>
      <w:lvlText w:val="%1."/>
      <w:lvlJc w:val="left"/>
      <w:pPr>
        <w:ind w:left="810" w:hanging="360"/>
      </w:pPr>
      <w:rPr>
        <w:i w:val="0"/>
      </w:rPr>
    </w:lvl>
    <w:lvl w:ilvl="1">
      <w:start w:val="1"/>
      <w:numFmt w:val="decimal"/>
      <w:isLgl/>
      <w:lvlText w:val="%1.%2."/>
      <w:lvlJc w:val="left"/>
      <w:pPr>
        <w:ind w:left="1080" w:hanging="360"/>
      </w:pPr>
      <w:rPr>
        <w:i w:val="0"/>
      </w:rPr>
    </w:lvl>
    <w:lvl w:ilvl="2">
      <w:start w:val="1"/>
      <w:numFmt w:val="decimal"/>
      <w:isLgl/>
      <w:lvlText w:val="%1.%2.%3."/>
      <w:lvlJc w:val="left"/>
      <w:pPr>
        <w:ind w:left="1440" w:hanging="720"/>
      </w:pPr>
      <w:rPr>
        <w:i w:val="0"/>
      </w:rPr>
    </w:lvl>
    <w:lvl w:ilvl="3">
      <w:start w:val="1"/>
      <w:numFmt w:val="decimal"/>
      <w:isLgl/>
      <w:lvlText w:val="%1.%2.%3.%4."/>
      <w:lvlJc w:val="left"/>
      <w:pPr>
        <w:ind w:left="1440" w:hanging="720"/>
      </w:pPr>
      <w:rPr>
        <w:i/>
      </w:rPr>
    </w:lvl>
    <w:lvl w:ilvl="4">
      <w:start w:val="1"/>
      <w:numFmt w:val="decimal"/>
      <w:isLgl/>
      <w:lvlText w:val="%1.%2.%3.%4.%5."/>
      <w:lvlJc w:val="left"/>
      <w:pPr>
        <w:ind w:left="1800" w:hanging="1080"/>
      </w:pPr>
      <w:rPr>
        <w:i/>
      </w:rPr>
    </w:lvl>
    <w:lvl w:ilvl="5">
      <w:start w:val="1"/>
      <w:numFmt w:val="decimal"/>
      <w:isLgl/>
      <w:lvlText w:val="%1.%2.%3.%4.%5.%6."/>
      <w:lvlJc w:val="left"/>
      <w:pPr>
        <w:ind w:left="1800" w:hanging="1080"/>
      </w:pPr>
      <w:rPr>
        <w:i/>
      </w:rPr>
    </w:lvl>
    <w:lvl w:ilvl="6">
      <w:start w:val="1"/>
      <w:numFmt w:val="decimal"/>
      <w:isLgl/>
      <w:lvlText w:val="%1.%2.%3.%4.%5.%6.%7."/>
      <w:lvlJc w:val="left"/>
      <w:pPr>
        <w:ind w:left="2160" w:hanging="1440"/>
      </w:pPr>
      <w:rPr>
        <w:i/>
      </w:rPr>
    </w:lvl>
    <w:lvl w:ilvl="7">
      <w:start w:val="1"/>
      <w:numFmt w:val="decimal"/>
      <w:isLgl/>
      <w:lvlText w:val="%1.%2.%3.%4.%5.%6.%7.%8."/>
      <w:lvlJc w:val="left"/>
      <w:pPr>
        <w:ind w:left="2160" w:hanging="1440"/>
      </w:pPr>
      <w:rPr>
        <w:i/>
      </w:rPr>
    </w:lvl>
    <w:lvl w:ilvl="8">
      <w:start w:val="1"/>
      <w:numFmt w:val="decimal"/>
      <w:isLgl/>
      <w:lvlText w:val="%1.%2.%3.%4.%5.%6.%7.%8.%9."/>
      <w:lvlJc w:val="left"/>
      <w:pPr>
        <w:ind w:left="2520" w:hanging="1800"/>
      </w:pPr>
      <w:rPr>
        <w:i/>
      </w:rPr>
    </w:lvl>
  </w:abstractNum>
  <w:abstractNum w:abstractNumId="21" w15:restartNumberingAfterBreak="0">
    <w:nsid w:val="4D0867FA"/>
    <w:multiLevelType w:val="multilevel"/>
    <w:tmpl w:val="093205FC"/>
    <w:lvl w:ilvl="0">
      <w:start w:val="8"/>
      <w:numFmt w:val="decimal"/>
      <w:lvlText w:val="%1."/>
      <w:lvlJc w:val="left"/>
      <w:pPr>
        <w:ind w:left="360" w:hanging="360"/>
      </w:pPr>
      <w:rPr>
        <w:rFonts w:eastAsia="MS Mincho" w:hint="default"/>
        <w:color w:val="222222"/>
      </w:rPr>
    </w:lvl>
    <w:lvl w:ilvl="1">
      <w:start w:val="1"/>
      <w:numFmt w:val="decimal"/>
      <w:lvlText w:val="%1.%2."/>
      <w:lvlJc w:val="left"/>
      <w:pPr>
        <w:ind w:left="360" w:hanging="360"/>
      </w:pPr>
      <w:rPr>
        <w:rFonts w:eastAsia="MS Mincho" w:hint="default"/>
        <w:b w:val="0"/>
        <w:color w:val="222222"/>
      </w:rPr>
    </w:lvl>
    <w:lvl w:ilvl="2">
      <w:start w:val="1"/>
      <w:numFmt w:val="decimal"/>
      <w:lvlText w:val="%1.%2.%3."/>
      <w:lvlJc w:val="left"/>
      <w:pPr>
        <w:ind w:left="720" w:hanging="720"/>
      </w:pPr>
      <w:rPr>
        <w:rFonts w:eastAsia="MS Mincho" w:hint="default"/>
        <w:color w:val="222222"/>
      </w:rPr>
    </w:lvl>
    <w:lvl w:ilvl="3">
      <w:start w:val="1"/>
      <w:numFmt w:val="decimal"/>
      <w:lvlText w:val="%1.%2.%3.%4."/>
      <w:lvlJc w:val="left"/>
      <w:pPr>
        <w:ind w:left="720" w:hanging="720"/>
      </w:pPr>
      <w:rPr>
        <w:rFonts w:eastAsia="MS Mincho" w:hint="default"/>
        <w:color w:val="222222"/>
      </w:rPr>
    </w:lvl>
    <w:lvl w:ilvl="4">
      <w:start w:val="1"/>
      <w:numFmt w:val="decimal"/>
      <w:lvlText w:val="%1.%2.%3.%4.%5."/>
      <w:lvlJc w:val="left"/>
      <w:pPr>
        <w:ind w:left="1080" w:hanging="1080"/>
      </w:pPr>
      <w:rPr>
        <w:rFonts w:eastAsia="MS Mincho" w:hint="default"/>
        <w:color w:val="222222"/>
      </w:rPr>
    </w:lvl>
    <w:lvl w:ilvl="5">
      <w:start w:val="1"/>
      <w:numFmt w:val="decimal"/>
      <w:lvlText w:val="%1.%2.%3.%4.%5.%6."/>
      <w:lvlJc w:val="left"/>
      <w:pPr>
        <w:ind w:left="1080" w:hanging="1080"/>
      </w:pPr>
      <w:rPr>
        <w:rFonts w:eastAsia="MS Mincho" w:hint="default"/>
        <w:color w:val="222222"/>
      </w:rPr>
    </w:lvl>
    <w:lvl w:ilvl="6">
      <w:start w:val="1"/>
      <w:numFmt w:val="decimal"/>
      <w:lvlText w:val="%1.%2.%3.%4.%5.%6.%7."/>
      <w:lvlJc w:val="left"/>
      <w:pPr>
        <w:ind w:left="1440" w:hanging="1440"/>
      </w:pPr>
      <w:rPr>
        <w:rFonts w:eastAsia="MS Mincho" w:hint="default"/>
        <w:color w:val="222222"/>
      </w:rPr>
    </w:lvl>
    <w:lvl w:ilvl="7">
      <w:start w:val="1"/>
      <w:numFmt w:val="decimal"/>
      <w:lvlText w:val="%1.%2.%3.%4.%5.%6.%7.%8."/>
      <w:lvlJc w:val="left"/>
      <w:pPr>
        <w:ind w:left="1440" w:hanging="1440"/>
      </w:pPr>
      <w:rPr>
        <w:rFonts w:eastAsia="MS Mincho" w:hint="default"/>
        <w:color w:val="222222"/>
      </w:rPr>
    </w:lvl>
    <w:lvl w:ilvl="8">
      <w:start w:val="1"/>
      <w:numFmt w:val="decimal"/>
      <w:lvlText w:val="%1.%2.%3.%4.%5.%6.%7.%8.%9."/>
      <w:lvlJc w:val="left"/>
      <w:pPr>
        <w:ind w:left="1800" w:hanging="1800"/>
      </w:pPr>
      <w:rPr>
        <w:rFonts w:eastAsia="MS Mincho" w:hint="default"/>
        <w:color w:val="222222"/>
      </w:rPr>
    </w:lvl>
  </w:abstractNum>
  <w:abstractNum w:abstractNumId="22"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24" w15:restartNumberingAfterBreak="0">
    <w:nsid w:val="56E37C6B"/>
    <w:multiLevelType w:val="multilevel"/>
    <w:tmpl w:val="C602C0D2"/>
    <w:lvl w:ilvl="0">
      <w:start w:val="1"/>
      <w:numFmt w:val="decimal"/>
      <w:lvlText w:val="%1."/>
      <w:lvlJc w:val="left"/>
      <w:pPr>
        <w:ind w:left="1080" w:hanging="360"/>
      </w:pPr>
      <w:rPr>
        <w:rFonts w:eastAsiaTheme="minorHAnsi" w:hint="default"/>
        <w:i w:val="0"/>
        <w:color w:val="auto"/>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440" w:hanging="720"/>
      </w:pPr>
      <w:rPr>
        <w:rFonts w:hint="default"/>
        <w:b w:val="0"/>
        <w:i w:val="0"/>
      </w:rPr>
    </w:lvl>
    <w:lvl w:ilvl="3">
      <w:start w:val="1"/>
      <w:numFmt w:val="decimal"/>
      <w:isLgl/>
      <w:lvlText w:val="%1.%2.%3.%4."/>
      <w:lvlJc w:val="left"/>
      <w:pPr>
        <w:ind w:left="144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00" w:hanging="1080"/>
      </w:pPr>
      <w:rPr>
        <w:rFonts w:hint="default"/>
        <w:b/>
        <w:i/>
      </w:rPr>
    </w:lvl>
    <w:lvl w:ilvl="6">
      <w:start w:val="1"/>
      <w:numFmt w:val="decimal"/>
      <w:isLgl/>
      <w:lvlText w:val="%1.%2.%3.%4.%5.%6.%7."/>
      <w:lvlJc w:val="left"/>
      <w:pPr>
        <w:ind w:left="2160" w:hanging="1440"/>
      </w:pPr>
      <w:rPr>
        <w:rFonts w:hint="default"/>
        <w:b/>
        <w:i/>
      </w:rPr>
    </w:lvl>
    <w:lvl w:ilvl="7">
      <w:start w:val="1"/>
      <w:numFmt w:val="decimal"/>
      <w:isLgl/>
      <w:lvlText w:val="%1.%2.%3.%4.%5.%6.%7.%8."/>
      <w:lvlJc w:val="left"/>
      <w:pPr>
        <w:ind w:left="2160" w:hanging="1440"/>
      </w:pPr>
      <w:rPr>
        <w:rFonts w:hint="default"/>
        <w:b/>
        <w:i/>
      </w:rPr>
    </w:lvl>
    <w:lvl w:ilvl="8">
      <w:start w:val="1"/>
      <w:numFmt w:val="decimal"/>
      <w:isLgl/>
      <w:lvlText w:val="%1.%2.%3.%4.%5.%6.%7.%8.%9."/>
      <w:lvlJc w:val="left"/>
      <w:pPr>
        <w:ind w:left="2520" w:hanging="1800"/>
      </w:pPr>
      <w:rPr>
        <w:rFonts w:hint="default"/>
        <w:b/>
        <w:i/>
      </w:rPr>
    </w:lvl>
  </w:abstractNum>
  <w:abstractNum w:abstractNumId="25" w15:restartNumberingAfterBreak="0">
    <w:nsid w:val="5B1E635E"/>
    <w:multiLevelType w:val="multilevel"/>
    <w:tmpl w:val="200835A2"/>
    <w:lvl w:ilvl="0">
      <w:start w:val="1"/>
      <w:numFmt w:val="decimal"/>
      <w:lvlText w:val="%1."/>
      <w:lvlJc w:val="left"/>
      <w:pPr>
        <w:ind w:left="2970" w:hanging="360"/>
      </w:pPr>
      <w:rPr>
        <w:rFonts w:ascii="Times New Roman" w:hAnsi="Times New Roman" w:cs="Times New Roman" w:hint="default"/>
        <w:b w:val="0"/>
        <w:i w:val="0"/>
        <w:iCs/>
        <w:sz w:val="24"/>
        <w:szCs w:val="24"/>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C893869"/>
    <w:multiLevelType w:val="hybridMultilevel"/>
    <w:tmpl w:val="224AE04E"/>
    <w:lvl w:ilvl="0" w:tplc="C2A26F1C">
      <w:start w:val="1"/>
      <w:numFmt w:val="decimal"/>
      <w:lvlText w:val="%1."/>
      <w:lvlJc w:val="left"/>
      <w:pPr>
        <w:ind w:left="144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F75B13"/>
    <w:multiLevelType w:val="multilevel"/>
    <w:tmpl w:val="5F9A051C"/>
    <w:lvl w:ilvl="0">
      <w:start w:val="18"/>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117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8" w15:restartNumberingAfterBreak="0">
    <w:nsid w:val="63AB564B"/>
    <w:multiLevelType w:val="multilevel"/>
    <w:tmpl w:val="C602C0D2"/>
    <w:lvl w:ilvl="0">
      <w:start w:val="1"/>
      <w:numFmt w:val="decimal"/>
      <w:lvlText w:val="%1."/>
      <w:lvlJc w:val="left"/>
      <w:pPr>
        <w:ind w:left="1080" w:hanging="360"/>
      </w:pPr>
      <w:rPr>
        <w:rFonts w:eastAsiaTheme="minorHAnsi" w:hint="default"/>
        <w:i w:val="0"/>
        <w:color w:val="auto"/>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440" w:hanging="720"/>
      </w:pPr>
      <w:rPr>
        <w:rFonts w:hint="default"/>
        <w:b w:val="0"/>
        <w:i w:val="0"/>
      </w:rPr>
    </w:lvl>
    <w:lvl w:ilvl="3">
      <w:start w:val="1"/>
      <w:numFmt w:val="decimal"/>
      <w:isLgl/>
      <w:lvlText w:val="%1.%2.%3.%4."/>
      <w:lvlJc w:val="left"/>
      <w:pPr>
        <w:ind w:left="144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00" w:hanging="1080"/>
      </w:pPr>
      <w:rPr>
        <w:rFonts w:hint="default"/>
        <w:b/>
        <w:i/>
      </w:rPr>
    </w:lvl>
    <w:lvl w:ilvl="6">
      <w:start w:val="1"/>
      <w:numFmt w:val="decimal"/>
      <w:isLgl/>
      <w:lvlText w:val="%1.%2.%3.%4.%5.%6.%7."/>
      <w:lvlJc w:val="left"/>
      <w:pPr>
        <w:ind w:left="2160" w:hanging="1440"/>
      </w:pPr>
      <w:rPr>
        <w:rFonts w:hint="default"/>
        <w:b/>
        <w:i/>
      </w:rPr>
    </w:lvl>
    <w:lvl w:ilvl="7">
      <w:start w:val="1"/>
      <w:numFmt w:val="decimal"/>
      <w:isLgl/>
      <w:lvlText w:val="%1.%2.%3.%4.%5.%6.%7.%8."/>
      <w:lvlJc w:val="left"/>
      <w:pPr>
        <w:ind w:left="2160" w:hanging="1440"/>
      </w:pPr>
      <w:rPr>
        <w:rFonts w:hint="default"/>
        <w:b/>
        <w:i/>
      </w:rPr>
    </w:lvl>
    <w:lvl w:ilvl="8">
      <w:start w:val="1"/>
      <w:numFmt w:val="decimal"/>
      <w:isLgl/>
      <w:lvlText w:val="%1.%2.%3.%4.%5.%6.%7.%8.%9."/>
      <w:lvlJc w:val="left"/>
      <w:pPr>
        <w:ind w:left="2520" w:hanging="1800"/>
      </w:pPr>
      <w:rPr>
        <w:rFonts w:hint="default"/>
        <w:b/>
        <w:i/>
      </w:rPr>
    </w:lvl>
  </w:abstractNum>
  <w:abstractNum w:abstractNumId="29" w15:restartNumberingAfterBreak="0">
    <w:nsid w:val="74CF6EA1"/>
    <w:multiLevelType w:val="multilevel"/>
    <w:tmpl w:val="1AB87356"/>
    <w:lvl w:ilvl="0">
      <w:start w:val="1"/>
      <w:numFmt w:val="decimal"/>
      <w:lvlText w:val="%1."/>
      <w:lvlJc w:val="left"/>
      <w:pPr>
        <w:ind w:left="360" w:hanging="360"/>
      </w:pPr>
      <w:rPr>
        <w:rFonts w:ascii="Times New Roman" w:eastAsiaTheme="minorHAnsi" w:hAnsi="Times New Roman" w:cs="Times New Roman" w:hint="default"/>
        <w:b w:val="0"/>
        <w:i w:val="0"/>
        <w:color w:val="auto"/>
        <w:sz w:val="24"/>
        <w:szCs w:val="24"/>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440" w:hanging="720"/>
      </w:pPr>
      <w:rPr>
        <w:rFonts w:hint="default"/>
        <w:b w:val="0"/>
        <w:i w:val="0"/>
      </w:rPr>
    </w:lvl>
    <w:lvl w:ilvl="3">
      <w:start w:val="1"/>
      <w:numFmt w:val="decimal"/>
      <w:isLgl/>
      <w:lvlText w:val="%1.%2.%3.%4."/>
      <w:lvlJc w:val="left"/>
      <w:pPr>
        <w:ind w:left="144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00" w:hanging="1080"/>
      </w:pPr>
      <w:rPr>
        <w:rFonts w:hint="default"/>
        <w:b/>
        <w:i/>
      </w:rPr>
    </w:lvl>
    <w:lvl w:ilvl="6">
      <w:start w:val="1"/>
      <w:numFmt w:val="decimal"/>
      <w:isLgl/>
      <w:lvlText w:val="%1.%2.%3.%4.%5.%6.%7."/>
      <w:lvlJc w:val="left"/>
      <w:pPr>
        <w:ind w:left="2160" w:hanging="1440"/>
      </w:pPr>
      <w:rPr>
        <w:rFonts w:hint="default"/>
        <w:b/>
        <w:i/>
      </w:rPr>
    </w:lvl>
    <w:lvl w:ilvl="7">
      <w:start w:val="1"/>
      <w:numFmt w:val="decimal"/>
      <w:isLgl/>
      <w:lvlText w:val="%1.%2.%3.%4.%5.%6.%7.%8."/>
      <w:lvlJc w:val="left"/>
      <w:pPr>
        <w:ind w:left="2160" w:hanging="1440"/>
      </w:pPr>
      <w:rPr>
        <w:rFonts w:hint="default"/>
        <w:b/>
        <w:i/>
      </w:rPr>
    </w:lvl>
    <w:lvl w:ilvl="8">
      <w:start w:val="1"/>
      <w:numFmt w:val="decimal"/>
      <w:isLgl/>
      <w:lvlText w:val="%1.%2.%3.%4.%5.%6.%7.%8.%9."/>
      <w:lvlJc w:val="left"/>
      <w:pPr>
        <w:ind w:left="2520" w:hanging="1800"/>
      </w:pPr>
      <w:rPr>
        <w:rFonts w:hint="default"/>
        <w:b/>
        <w:i/>
      </w:rPr>
    </w:lvl>
  </w:abstractNum>
  <w:abstractNum w:abstractNumId="30" w15:restartNumberingAfterBreak="0">
    <w:nsid w:val="753B16D5"/>
    <w:multiLevelType w:val="hybridMultilevel"/>
    <w:tmpl w:val="68AAAD82"/>
    <w:lvl w:ilvl="0" w:tplc="2AFEE19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92F5488"/>
    <w:multiLevelType w:val="multilevel"/>
    <w:tmpl w:val="1AB87356"/>
    <w:lvl w:ilvl="0">
      <w:start w:val="1"/>
      <w:numFmt w:val="decimal"/>
      <w:lvlText w:val="%1."/>
      <w:lvlJc w:val="left"/>
      <w:pPr>
        <w:ind w:left="360" w:hanging="360"/>
      </w:pPr>
      <w:rPr>
        <w:rFonts w:ascii="Times New Roman" w:eastAsiaTheme="minorHAnsi" w:hAnsi="Times New Roman" w:cs="Times New Roman" w:hint="default"/>
        <w:b w:val="0"/>
        <w:i w:val="0"/>
        <w:color w:val="auto"/>
        <w:sz w:val="24"/>
        <w:szCs w:val="24"/>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440" w:hanging="720"/>
      </w:pPr>
      <w:rPr>
        <w:rFonts w:hint="default"/>
        <w:b w:val="0"/>
        <w:i w:val="0"/>
      </w:rPr>
    </w:lvl>
    <w:lvl w:ilvl="3">
      <w:start w:val="1"/>
      <w:numFmt w:val="decimal"/>
      <w:isLgl/>
      <w:lvlText w:val="%1.%2.%3.%4."/>
      <w:lvlJc w:val="left"/>
      <w:pPr>
        <w:ind w:left="144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00" w:hanging="1080"/>
      </w:pPr>
      <w:rPr>
        <w:rFonts w:hint="default"/>
        <w:b/>
        <w:i/>
      </w:rPr>
    </w:lvl>
    <w:lvl w:ilvl="6">
      <w:start w:val="1"/>
      <w:numFmt w:val="decimal"/>
      <w:isLgl/>
      <w:lvlText w:val="%1.%2.%3.%4.%5.%6.%7."/>
      <w:lvlJc w:val="left"/>
      <w:pPr>
        <w:ind w:left="2160" w:hanging="1440"/>
      </w:pPr>
      <w:rPr>
        <w:rFonts w:hint="default"/>
        <w:b/>
        <w:i/>
      </w:rPr>
    </w:lvl>
    <w:lvl w:ilvl="7">
      <w:start w:val="1"/>
      <w:numFmt w:val="decimal"/>
      <w:isLgl/>
      <w:lvlText w:val="%1.%2.%3.%4.%5.%6.%7.%8."/>
      <w:lvlJc w:val="left"/>
      <w:pPr>
        <w:ind w:left="2160" w:hanging="1440"/>
      </w:pPr>
      <w:rPr>
        <w:rFonts w:hint="default"/>
        <w:b/>
        <w:i/>
      </w:rPr>
    </w:lvl>
    <w:lvl w:ilvl="8">
      <w:start w:val="1"/>
      <w:numFmt w:val="decimal"/>
      <w:isLgl/>
      <w:lvlText w:val="%1.%2.%3.%4.%5.%6.%7.%8.%9."/>
      <w:lvlJc w:val="left"/>
      <w:pPr>
        <w:ind w:left="2520" w:hanging="1800"/>
      </w:pPr>
      <w:rPr>
        <w:rFonts w:hint="default"/>
        <w:b/>
        <w:i/>
      </w:rPr>
    </w:lvl>
  </w:abstractNum>
  <w:abstractNum w:abstractNumId="32" w15:restartNumberingAfterBreak="0">
    <w:nsid w:val="795C1C06"/>
    <w:multiLevelType w:val="hybridMultilevel"/>
    <w:tmpl w:val="289C5AE0"/>
    <w:lvl w:ilvl="0" w:tplc="2C36A3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B6189D"/>
    <w:multiLevelType w:val="multilevel"/>
    <w:tmpl w:val="88FE095E"/>
    <w:lvl w:ilvl="0">
      <w:start w:val="1"/>
      <w:numFmt w:val="decimal"/>
      <w:lvlText w:val="%1."/>
      <w:lvlJc w:val="left"/>
      <w:pPr>
        <w:ind w:left="1080" w:hanging="360"/>
      </w:pPr>
      <w:rPr>
        <w:rFonts w:eastAsiaTheme="minorHAnsi" w:hint="default"/>
        <w:b w:val="0"/>
        <w:i w:val="0"/>
        <w:color w:val="auto"/>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440" w:hanging="720"/>
      </w:pPr>
      <w:rPr>
        <w:rFonts w:hint="default"/>
        <w:b w:val="0"/>
        <w:i w:val="0"/>
      </w:rPr>
    </w:lvl>
    <w:lvl w:ilvl="3">
      <w:start w:val="1"/>
      <w:numFmt w:val="decimal"/>
      <w:isLgl/>
      <w:lvlText w:val="%1.%2.%3.%4."/>
      <w:lvlJc w:val="left"/>
      <w:pPr>
        <w:ind w:left="144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00" w:hanging="1080"/>
      </w:pPr>
      <w:rPr>
        <w:rFonts w:hint="default"/>
        <w:b/>
        <w:i/>
      </w:rPr>
    </w:lvl>
    <w:lvl w:ilvl="6">
      <w:start w:val="1"/>
      <w:numFmt w:val="decimal"/>
      <w:isLgl/>
      <w:lvlText w:val="%1.%2.%3.%4.%5.%6.%7."/>
      <w:lvlJc w:val="left"/>
      <w:pPr>
        <w:ind w:left="2160" w:hanging="1440"/>
      </w:pPr>
      <w:rPr>
        <w:rFonts w:hint="default"/>
        <w:b/>
        <w:i/>
      </w:rPr>
    </w:lvl>
    <w:lvl w:ilvl="7">
      <w:start w:val="1"/>
      <w:numFmt w:val="decimal"/>
      <w:isLgl/>
      <w:lvlText w:val="%1.%2.%3.%4.%5.%6.%7.%8."/>
      <w:lvlJc w:val="left"/>
      <w:pPr>
        <w:ind w:left="2160" w:hanging="1440"/>
      </w:pPr>
      <w:rPr>
        <w:rFonts w:hint="default"/>
        <w:b/>
        <w:i/>
      </w:rPr>
    </w:lvl>
    <w:lvl w:ilvl="8">
      <w:start w:val="1"/>
      <w:numFmt w:val="decimal"/>
      <w:isLgl/>
      <w:lvlText w:val="%1.%2.%3.%4.%5.%6.%7.%8.%9."/>
      <w:lvlJc w:val="left"/>
      <w:pPr>
        <w:ind w:left="2520" w:hanging="1800"/>
      </w:pPr>
      <w:rPr>
        <w:rFonts w:hint="default"/>
        <w:b/>
        <w:i/>
      </w:rPr>
    </w:lvl>
  </w:abstractNum>
  <w:num w:numId="1">
    <w:abstractNumId w:val="14"/>
  </w:num>
  <w:num w:numId="2">
    <w:abstractNumId w:val="8"/>
  </w:num>
  <w:num w:numId="3">
    <w:abstractNumId w:val="21"/>
  </w:num>
  <w:num w:numId="4">
    <w:abstractNumId w:val="2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23"/>
  </w:num>
  <w:num w:numId="8">
    <w:abstractNumId w:val="10"/>
  </w:num>
  <w:num w:numId="9">
    <w:abstractNumId w:val="12"/>
  </w:num>
  <w:num w:numId="10">
    <w:abstractNumId w:val="25"/>
  </w:num>
  <w:num w:numId="11">
    <w:abstractNumId w:val="2"/>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5"/>
  </w:num>
  <w:num w:numId="15">
    <w:abstractNumId w:val="26"/>
  </w:num>
  <w:num w:numId="16">
    <w:abstractNumId w:val="0"/>
  </w:num>
  <w:num w:numId="17">
    <w:abstractNumId w:val="1"/>
  </w:num>
  <w:num w:numId="18">
    <w:abstractNumId w:val="30"/>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17"/>
  </w:num>
  <w:num w:numId="24">
    <w:abstractNumId w:val="11"/>
  </w:num>
  <w:num w:numId="25">
    <w:abstractNumId w:val="28"/>
  </w:num>
  <w:num w:numId="26">
    <w:abstractNumId w:val="16"/>
  </w:num>
  <w:num w:numId="27">
    <w:abstractNumId w:val="24"/>
  </w:num>
  <w:num w:numId="28">
    <w:abstractNumId w:val="6"/>
  </w:num>
  <w:num w:numId="29">
    <w:abstractNumId w:val="33"/>
  </w:num>
  <w:num w:numId="30">
    <w:abstractNumId w:val="18"/>
  </w:num>
  <w:num w:numId="31">
    <w:abstractNumId w:val="9"/>
  </w:num>
  <w:num w:numId="32">
    <w:abstractNumId w:val="7"/>
  </w:num>
  <w:num w:numId="33">
    <w:abstractNumId w:val="4"/>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 w:numId="35">
    <w:abstractNumId w:val="29"/>
  </w:num>
  <w:num w:numId="36">
    <w:abstractNumId w:val="31"/>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markup="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6E5"/>
    <w:rsid w:val="00002C66"/>
    <w:rsid w:val="00002E8D"/>
    <w:rsid w:val="000057B0"/>
    <w:rsid w:val="000058E5"/>
    <w:rsid w:val="000103FB"/>
    <w:rsid w:val="00010554"/>
    <w:rsid w:val="00013917"/>
    <w:rsid w:val="00025DCB"/>
    <w:rsid w:val="00027353"/>
    <w:rsid w:val="00037253"/>
    <w:rsid w:val="0004223A"/>
    <w:rsid w:val="00042FAC"/>
    <w:rsid w:val="0005163D"/>
    <w:rsid w:val="000519FC"/>
    <w:rsid w:val="0005604F"/>
    <w:rsid w:val="00065ABC"/>
    <w:rsid w:val="00071456"/>
    <w:rsid w:val="00075695"/>
    <w:rsid w:val="00075B0A"/>
    <w:rsid w:val="00077DB9"/>
    <w:rsid w:val="00081B6C"/>
    <w:rsid w:val="000833F4"/>
    <w:rsid w:val="0009140E"/>
    <w:rsid w:val="00094E99"/>
    <w:rsid w:val="000A2307"/>
    <w:rsid w:val="000A3FCF"/>
    <w:rsid w:val="000A428A"/>
    <w:rsid w:val="000A561D"/>
    <w:rsid w:val="000A666C"/>
    <w:rsid w:val="000B09F2"/>
    <w:rsid w:val="000C48D8"/>
    <w:rsid w:val="000C5670"/>
    <w:rsid w:val="000D7F13"/>
    <w:rsid w:val="000F06E6"/>
    <w:rsid w:val="000F369B"/>
    <w:rsid w:val="00100CF1"/>
    <w:rsid w:val="001116E5"/>
    <w:rsid w:val="00122861"/>
    <w:rsid w:val="001232BC"/>
    <w:rsid w:val="0012600A"/>
    <w:rsid w:val="00130155"/>
    <w:rsid w:val="00133336"/>
    <w:rsid w:val="00137025"/>
    <w:rsid w:val="00146A4D"/>
    <w:rsid w:val="00146F1F"/>
    <w:rsid w:val="00162D71"/>
    <w:rsid w:val="00164869"/>
    <w:rsid w:val="0017508E"/>
    <w:rsid w:val="0017712C"/>
    <w:rsid w:val="00183124"/>
    <w:rsid w:val="001869A5"/>
    <w:rsid w:val="001914FA"/>
    <w:rsid w:val="0019332E"/>
    <w:rsid w:val="00193F5F"/>
    <w:rsid w:val="00196E4F"/>
    <w:rsid w:val="00197AF5"/>
    <w:rsid w:val="001A2B84"/>
    <w:rsid w:val="001A3E5E"/>
    <w:rsid w:val="001B11B5"/>
    <w:rsid w:val="001B415B"/>
    <w:rsid w:val="001B4A6F"/>
    <w:rsid w:val="001B7CA1"/>
    <w:rsid w:val="001C0454"/>
    <w:rsid w:val="001C12B0"/>
    <w:rsid w:val="001C211F"/>
    <w:rsid w:val="001C23FA"/>
    <w:rsid w:val="001C32B8"/>
    <w:rsid w:val="001C69FE"/>
    <w:rsid w:val="001C6F85"/>
    <w:rsid w:val="001D36AD"/>
    <w:rsid w:val="001D5AA5"/>
    <w:rsid w:val="001E04A3"/>
    <w:rsid w:val="001E0DD7"/>
    <w:rsid w:val="001E3AEF"/>
    <w:rsid w:val="001F01FE"/>
    <w:rsid w:val="00201351"/>
    <w:rsid w:val="00206431"/>
    <w:rsid w:val="002107CC"/>
    <w:rsid w:val="00216A38"/>
    <w:rsid w:val="002214E4"/>
    <w:rsid w:val="00225636"/>
    <w:rsid w:val="00234D3B"/>
    <w:rsid w:val="00236FB3"/>
    <w:rsid w:val="00240AA2"/>
    <w:rsid w:val="00250ADE"/>
    <w:rsid w:val="002579CF"/>
    <w:rsid w:val="002608D1"/>
    <w:rsid w:val="0027434B"/>
    <w:rsid w:val="00284DDB"/>
    <w:rsid w:val="00290335"/>
    <w:rsid w:val="00295C42"/>
    <w:rsid w:val="002977B4"/>
    <w:rsid w:val="002A0B38"/>
    <w:rsid w:val="002A3860"/>
    <w:rsid w:val="002A3997"/>
    <w:rsid w:val="002A43C2"/>
    <w:rsid w:val="002B403A"/>
    <w:rsid w:val="002C43D3"/>
    <w:rsid w:val="002D0C17"/>
    <w:rsid w:val="002D3603"/>
    <w:rsid w:val="002D50A7"/>
    <w:rsid w:val="002E51FC"/>
    <w:rsid w:val="002E524B"/>
    <w:rsid w:val="002E541B"/>
    <w:rsid w:val="002F033E"/>
    <w:rsid w:val="002F4CA6"/>
    <w:rsid w:val="002F50A8"/>
    <w:rsid w:val="002F5C19"/>
    <w:rsid w:val="00301A6E"/>
    <w:rsid w:val="003043FA"/>
    <w:rsid w:val="003045A1"/>
    <w:rsid w:val="00315053"/>
    <w:rsid w:val="00315EFA"/>
    <w:rsid w:val="003169B2"/>
    <w:rsid w:val="00320471"/>
    <w:rsid w:val="00321361"/>
    <w:rsid w:val="003309C0"/>
    <w:rsid w:val="00334E4A"/>
    <w:rsid w:val="00337678"/>
    <w:rsid w:val="00341CBF"/>
    <w:rsid w:val="00344A35"/>
    <w:rsid w:val="00347E87"/>
    <w:rsid w:val="003567ED"/>
    <w:rsid w:val="00356C57"/>
    <w:rsid w:val="003573C9"/>
    <w:rsid w:val="0036001A"/>
    <w:rsid w:val="00361ADB"/>
    <w:rsid w:val="0036219A"/>
    <w:rsid w:val="00373A51"/>
    <w:rsid w:val="00377919"/>
    <w:rsid w:val="0038193F"/>
    <w:rsid w:val="00382826"/>
    <w:rsid w:val="003834A2"/>
    <w:rsid w:val="00387A4A"/>
    <w:rsid w:val="0039167E"/>
    <w:rsid w:val="003A29E5"/>
    <w:rsid w:val="003A7EC8"/>
    <w:rsid w:val="003B01AD"/>
    <w:rsid w:val="003B4253"/>
    <w:rsid w:val="003B4A0F"/>
    <w:rsid w:val="003C1C5D"/>
    <w:rsid w:val="003C20C1"/>
    <w:rsid w:val="003C7E90"/>
    <w:rsid w:val="003D34CC"/>
    <w:rsid w:val="003D4FD6"/>
    <w:rsid w:val="003D6820"/>
    <w:rsid w:val="003D717C"/>
    <w:rsid w:val="003E284D"/>
    <w:rsid w:val="003E6D10"/>
    <w:rsid w:val="003F099E"/>
    <w:rsid w:val="003F4A1F"/>
    <w:rsid w:val="004079B3"/>
    <w:rsid w:val="00420C8C"/>
    <w:rsid w:val="00422D8C"/>
    <w:rsid w:val="004237D9"/>
    <w:rsid w:val="00423DEA"/>
    <w:rsid w:val="0042419F"/>
    <w:rsid w:val="00436689"/>
    <w:rsid w:val="00436FEE"/>
    <w:rsid w:val="0044169C"/>
    <w:rsid w:val="00443225"/>
    <w:rsid w:val="00446981"/>
    <w:rsid w:val="00450CAD"/>
    <w:rsid w:val="00451208"/>
    <w:rsid w:val="00456397"/>
    <w:rsid w:val="00457812"/>
    <w:rsid w:val="0046728E"/>
    <w:rsid w:val="00471D18"/>
    <w:rsid w:val="00480D7C"/>
    <w:rsid w:val="0049228A"/>
    <w:rsid w:val="00494438"/>
    <w:rsid w:val="004951E5"/>
    <w:rsid w:val="00496D6D"/>
    <w:rsid w:val="00497F47"/>
    <w:rsid w:val="004A3BAF"/>
    <w:rsid w:val="004A4256"/>
    <w:rsid w:val="004A517C"/>
    <w:rsid w:val="004A724A"/>
    <w:rsid w:val="004B1C16"/>
    <w:rsid w:val="004B35EC"/>
    <w:rsid w:val="004B50C9"/>
    <w:rsid w:val="004B5BA5"/>
    <w:rsid w:val="004B6419"/>
    <w:rsid w:val="004C0200"/>
    <w:rsid w:val="004C5F7D"/>
    <w:rsid w:val="004D6350"/>
    <w:rsid w:val="004D6EE2"/>
    <w:rsid w:val="004E6085"/>
    <w:rsid w:val="004F02A7"/>
    <w:rsid w:val="004F1350"/>
    <w:rsid w:val="004F18F1"/>
    <w:rsid w:val="004F4EBF"/>
    <w:rsid w:val="005016EA"/>
    <w:rsid w:val="00504CEF"/>
    <w:rsid w:val="0051337A"/>
    <w:rsid w:val="00515882"/>
    <w:rsid w:val="00520341"/>
    <w:rsid w:val="00520AD7"/>
    <w:rsid w:val="00521B02"/>
    <w:rsid w:val="0052239E"/>
    <w:rsid w:val="00530A2F"/>
    <w:rsid w:val="005319F0"/>
    <w:rsid w:val="0053370B"/>
    <w:rsid w:val="00535207"/>
    <w:rsid w:val="00535FC4"/>
    <w:rsid w:val="00542608"/>
    <w:rsid w:val="00551438"/>
    <w:rsid w:val="005554E3"/>
    <w:rsid w:val="0056389E"/>
    <w:rsid w:val="00573233"/>
    <w:rsid w:val="005817C5"/>
    <w:rsid w:val="0058340F"/>
    <w:rsid w:val="005876F1"/>
    <w:rsid w:val="00587849"/>
    <w:rsid w:val="00596E00"/>
    <w:rsid w:val="005975BF"/>
    <w:rsid w:val="005A1B77"/>
    <w:rsid w:val="005A5365"/>
    <w:rsid w:val="005B180E"/>
    <w:rsid w:val="005B318A"/>
    <w:rsid w:val="005B3372"/>
    <w:rsid w:val="005B5980"/>
    <w:rsid w:val="005B7B34"/>
    <w:rsid w:val="005C01AF"/>
    <w:rsid w:val="005C0323"/>
    <w:rsid w:val="005C31A2"/>
    <w:rsid w:val="005C555F"/>
    <w:rsid w:val="005C55B5"/>
    <w:rsid w:val="005D15B0"/>
    <w:rsid w:val="005D4CD3"/>
    <w:rsid w:val="005D4D4A"/>
    <w:rsid w:val="005F0489"/>
    <w:rsid w:val="005F445D"/>
    <w:rsid w:val="005F65D9"/>
    <w:rsid w:val="006027FF"/>
    <w:rsid w:val="006059C1"/>
    <w:rsid w:val="006065BD"/>
    <w:rsid w:val="00613F73"/>
    <w:rsid w:val="00614364"/>
    <w:rsid w:val="00616F37"/>
    <w:rsid w:val="0062001E"/>
    <w:rsid w:val="0062739D"/>
    <w:rsid w:val="00627CF6"/>
    <w:rsid w:val="00631291"/>
    <w:rsid w:val="0063239B"/>
    <w:rsid w:val="00636938"/>
    <w:rsid w:val="00640928"/>
    <w:rsid w:val="00640DA3"/>
    <w:rsid w:val="00641CFF"/>
    <w:rsid w:val="0064519A"/>
    <w:rsid w:val="0064774B"/>
    <w:rsid w:val="006520B4"/>
    <w:rsid w:val="00661399"/>
    <w:rsid w:val="00662A03"/>
    <w:rsid w:val="00670220"/>
    <w:rsid w:val="00671801"/>
    <w:rsid w:val="00675E06"/>
    <w:rsid w:val="0067718E"/>
    <w:rsid w:val="0068380B"/>
    <w:rsid w:val="0069112F"/>
    <w:rsid w:val="00694766"/>
    <w:rsid w:val="00695565"/>
    <w:rsid w:val="006A2E67"/>
    <w:rsid w:val="006B25DE"/>
    <w:rsid w:val="006B7CB9"/>
    <w:rsid w:val="006C2FE7"/>
    <w:rsid w:val="006C69F3"/>
    <w:rsid w:val="006D4E94"/>
    <w:rsid w:val="006D6847"/>
    <w:rsid w:val="006E5F35"/>
    <w:rsid w:val="006E6C46"/>
    <w:rsid w:val="006F6E4A"/>
    <w:rsid w:val="00706ED6"/>
    <w:rsid w:val="007102BC"/>
    <w:rsid w:val="00712608"/>
    <w:rsid w:val="007141A4"/>
    <w:rsid w:val="00721DEC"/>
    <w:rsid w:val="00736497"/>
    <w:rsid w:val="00736D6F"/>
    <w:rsid w:val="00741919"/>
    <w:rsid w:val="007441B3"/>
    <w:rsid w:val="00751EDC"/>
    <w:rsid w:val="00760440"/>
    <w:rsid w:val="007641A8"/>
    <w:rsid w:val="00784F6F"/>
    <w:rsid w:val="007905BA"/>
    <w:rsid w:val="007928A9"/>
    <w:rsid w:val="00796D89"/>
    <w:rsid w:val="00796F30"/>
    <w:rsid w:val="007A5380"/>
    <w:rsid w:val="007A7DD1"/>
    <w:rsid w:val="007B0E5B"/>
    <w:rsid w:val="007B388C"/>
    <w:rsid w:val="007B64D0"/>
    <w:rsid w:val="007E0107"/>
    <w:rsid w:val="007E3C66"/>
    <w:rsid w:val="007E5F0C"/>
    <w:rsid w:val="007E6432"/>
    <w:rsid w:val="008014EB"/>
    <w:rsid w:val="00802E6B"/>
    <w:rsid w:val="00805BBC"/>
    <w:rsid w:val="008123EA"/>
    <w:rsid w:val="0081703A"/>
    <w:rsid w:val="00821EAA"/>
    <w:rsid w:val="00823A48"/>
    <w:rsid w:val="008243DF"/>
    <w:rsid w:val="00825871"/>
    <w:rsid w:val="008421B9"/>
    <w:rsid w:val="008446DF"/>
    <w:rsid w:val="00844AD7"/>
    <w:rsid w:val="0085210C"/>
    <w:rsid w:val="00856FE6"/>
    <w:rsid w:val="00863121"/>
    <w:rsid w:val="008705A8"/>
    <w:rsid w:val="00871ED4"/>
    <w:rsid w:val="0087535C"/>
    <w:rsid w:val="008770F3"/>
    <w:rsid w:val="00881ABA"/>
    <w:rsid w:val="008837F9"/>
    <w:rsid w:val="00885D89"/>
    <w:rsid w:val="008941FB"/>
    <w:rsid w:val="008A622F"/>
    <w:rsid w:val="008B428D"/>
    <w:rsid w:val="008C3DFD"/>
    <w:rsid w:val="008D2A99"/>
    <w:rsid w:val="008D2F6C"/>
    <w:rsid w:val="008D44DB"/>
    <w:rsid w:val="008D6872"/>
    <w:rsid w:val="008D734E"/>
    <w:rsid w:val="008E0F6D"/>
    <w:rsid w:val="008E37F5"/>
    <w:rsid w:val="008E4956"/>
    <w:rsid w:val="008E5BEF"/>
    <w:rsid w:val="008F0341"/>
    <w:rsid w:val="008F0723"/>
    <w:rsid w:val="008F2622"/>
    <w:rsid w:val="008F44F5"/>
    <w:rsid w:val="008F5FDB"/>
    <w:rsid w:val="008F672F"/>
    <w:rsid w:val="008F6923"/>
    <w:rsid w:val="008F718A"/>
    <w:rsid w:val="0090288D"/>
    <w:rsid w:val="009151F3"/>
    <w:rsid w:val="00925C59"/>
    <w:rsid w:val="00927B3D"/>
    <w:rsid w:val="00930E2E"/>
    <w:rsid w:val="00932132"/>
    <w:rsid w:val="00935B6D"/>
    <w:rsid w:val="009475D6"/>
    <w:rsid w:val="00947976"/>
    <w:rsid w:val="00947EA0"/>
    <w:rsid w:val="00953FBC"/>
    <w:rsid w:val="00960296"/>
    <w:rsid w:val="00966C28"/>
    <w:rsid w:val="00967F6A"/>
    <w:rsid w:val="00976A23"/>
    <w:rsid w:val="00981171"/>
    <w:rsid w:val="00983873"/>
    <w:rsid w:val="00986BE3"/>
    <w:rsid w:val="00987EDB"/>
    <w:rsid w:val="009A63C9"/>
    <w:rsid w:val="009A73BC"/>
    <w:rsid w:val="009B45F7"/>
    <w:rsid w:val="009C24CF"/>
    <w:rsid w:val="009C29D1"/>
    <w:rsid w:val="009C7EFF"/>
    <w:rsid w:val="009D06CE"/>
    <w:rsid w:val="009D552B"/>
    <w:rsid w:val="009E5EF7"/>
    <w:rsid w:val="009F2960"/>
    <w:rsid w:val="009F5F1E"/>
    <w:rsid w:val="00A015CF"/>
    <w:rsid w:val="00A0222D"/>
    <w:rsid w:val="00A024F0"/>
    <w:rsid w:val="00A0292F"/>
    <w:rsid w:val="00A03575"/>
    <w:rsid w:val="00A07C0A"/>
    <w:rsid w:val="00A07F44"/>
    <w:rsid w:val="00A12127"/>
    <w:rsid w:val="00A3337A"/>
    <w:rsid w:val="00A33A54"/>
    <w:rsid w:val="00A35AEB"/>
    <w:rsid w:val="00A42905"/>
    <w:rsid w:val="00A56038"/>
    <w:rsid w:val="00A61636"/>
    <w:rsid w:val="00A751A3"/>
    <w:rsid w:val="00A82F8F"/>
    <w:rsid w:val="00A8441C"/>
    <w:rsid w:val="00A95E81"/>
    <w:rsid w:val="00A95F48"/>
    <w:rsid w:val="00AA5B41"/>
    <w:rsid w:val="00AB3913"/>
    <w:rsid w:val="00AE06C7"/>
    <w:rsid w:val="00AE10AA"/>
    <w:rsid w:val="00AE56AC"/>
    <w:rsid w:val="00AF2409"/>
    <w:rsid w:val="00AF3F39"/>
    <w:rsid w:val="00AF6B50"/>
    <w:rsid w:val="00AF7E0E"/>
    <w:rsid w:val="00B07260"/>
    <w:rsid w:val="00B07C1A"/>
    <w:rsid w:val="00B21F4A"/>
    <w:rsid w:val="00B3161B"/>
    <w:rsid w:val="00B33A56"/>
    <w:rsid w:val="00B340D8"/>
    <w:rsid w:val="00B4120F"/>
    <w:rsid w:val="00B67540"/>
    <w:rsid w:val="00B96CD4"/>
    <w:rsid w:val="00B9798F"/>
    <w:rsid w:val="00BA18F4"/>
    <w:rsid w:val="00BA758C"/>
    <w:rsid w:val="00BB2712"/>
    <w:rsid w:val="00BB50F1"/>
    <w:rsid w:val="00BB5574"/>
    <w:rsid w:val="00BC1C80"/>
    <w:rsid w:val="00BC325A"/>
    <w:rsid w:val="00BD02E8"/>
    <w:rsid w:val="00BD0559"/>
    <w:rsid w:val="00BD0AC9"/>
    <w:rsid w:val="00BD438C"/>
    <w:rsid w:val="00BD55E9"/>
    <w:rsid w:val="00BE4AC2"/>
    <w:rsid w:val="00BE76E7"/>
    <w:rsid w:val="00BE7A02"/>
    <w:rsid w:val="00BE7B91"/>
    <w:rsid w:val="00BF3A75"/>
    <w:rsid w:val="00C1366A"/>
    <w:rsid w:val="00C13F58"/>
    <w:rsid w:val="00C22AD9"/>
    <w:rsid w:val="00C2404C"/>
    <w:rsid w:val="00C25768"/>
    <w:rsid w:val="00C33BB1"/>
    <w:rsid w:val="00C604C4"/>
    <w:rsid w:val="00C60B5B"/>
    <w:rsid w:val="00C6158B"/>
    <w:rsid w:val="00C620B7"/>
    <w:rsid w:val="00C73B94"/>
    <w:rsid w:val="00C84DF4"/>
    <w:rsid w:val="00C86B8E"/>
    <w:rsid w:val="00C86E7B"/>
    <w:rsid w:val="00C871D2"/>
    <w:rsid w:val="00C87946"/>
    <w:rsid w:val="00CA77F3"/>
    <w:rsid w:val="00CB38BE"/>
    <w:rsid w:val="00CB7BC1"/>
    <w:rsid w:val="00CD1DE9"/>
    <w:rsid w:val="00CD3719"/>
    <w:rsid w:val="00CE1001"/>
    <w:rsid w:val="00CF2FE4"/>
    <w:rsid w:val="00CF484B"/>
    <w:rsid w:val="00CF5F84"/>
    <w:rsid w:val="00CF7B1D"/>
    <w:rsid w:val="00D013DF"/>
    <w:rsid w:val="00D02AAB"/>
    <w:rsid w:val="00D03718"/>
    <w:rsid w:val="00D066DE"/>
    <w:rsid w:val="00D13018"/>
    <w:rsid w:val="00D13D15"/>
    <w:rsid w:val="00D14B22"/>
    <w:rsid w:val="00D17F4D"/>
    <w:rsid w:val="00D36AB4"/>
    <w:rsid w:val="00D565F5"/>
    <w:rsid w:val="00D60C8D"/>
    <w:rsid w:val="00D73D7F"/>
    <w:rsid w:val="00D76AE4"/>
    <w:rsid w:val="00D84210"/>
    <w:rsid w:val="00D84529"/>
    <w:rsid w:val="00D84855"/>
    <w:rsid w:val="00D87B3B"/>
    <w:rsid w:val="00D87C22"/>
    <w:rsid w:val="00D908EE"/>
    <w:rsid w:val="00D924A8"/>
    <w:rsid w:val="00D933F4"/>
    <w:rsid w:val="00D94CD7"/>
    <w:rsid w:val="00D9575B"/>
    <w:rsid w:val="00DB315B"/>
    <w:rsid w:val="00DB4304"/>
    <w:rsid w:val="00DC0058"/>
    <w:rsid w:val="00DE3FA3"/>
    <w:rsid w:val="00DF63AE"/>
    <w:rsid w:val="00E04BF9"/>
    <w:rsid w:val="00E04E42"/>
    <w:rsid w:val="00E16781"/>
    <w:rsid w:val="00E219E5"/>
    <w:rsid w:val="00E21D80"/>
    <w:rsid w:val="00E236C4"/>
    <w:rsid w:val="00E236E3"/>
    <w:rsid w:val="00E23897"/>
    <w:rsid w:val="00E27F1A"/>
    <w:rsid w:val="00E306B3"/>
    <w:rsid w:val="00E30C4C"/>
    <w:rsid w:val="00E32420"/>
    <w:rsid w:val="00E37270"/>
    <w:rsid w:val="00E43449"/>
    <w:rsid w:val="00E4534F"/>
    <w:rsid w:val="00E509D3"/>
    <w:rsid w:val="00E578FB"/>
    <w:rsid w:val="00E637C4"/>
    <w:rsid w:val="00E71543"/>
    <w:rsid w:val="00E7261B"/>
    <w:rsid w:val="00E75B62"/>
    <w:rsid w:val="00E75EA9"/>
    <w:rsid w:val="00E7750A"/>
    <w:rsid w:val="00E81A74"/>
    <w:rsid w:val="00E81FD0"/>
    <w:rsid w:val="00E85150"/>
    <w:rsid w:val="00E85472"/>
    <w:rsid w:val="00E87DF5"/>
    <w:rsid w:val="00EA2BE4"/>
    <w:rsid w:val="00EA445B"/>
    <w:rsid w:val="00EA6903"/>
    <w:rsid w:val="00EB2659"/>
    <w:rsid w:val="00EB3D82"/>
    <w:rsid w:val="00EB787F"/>
    <w:rsid w:val="00EC3E84"/>
    <w:rsid w:val="00ED07FC"/>
    <w:rsid w:val="00ED1CD1"/>
    <w:rsid w:val="00ED426C"/>
    <w:rsid w:val="00EE4729"/>
    <w:rsid w:val="00EF1499"/>
    <w:rsid w:val="00EF299B"/>
    <w:rsid w:val="00EF42C4"/>
    <w:rsid w:val="00F004C4"/>
    <w:rsid w:val="00F07B1E"/>
    <w:rsid w:val="00F15EBF"/>
    <w:rsid w:val="00F21883"/>
    <w:rsid w:val="00F317E3"/>
    <w:rsid w:val="00F31D52"/>
    <w:rsid w:val="00F3702D"/>
    <w:rsid w:val="00F44CEF"/>
    <w:rsid w:val="00F45A10"/>
    <w:rsid w:val="00F60F92"/>
    <w:rsid w:val="00F613A0"/>
    <w:rsid w:val="00F641DE"/>
    <w:rsid w:val="00F7248F"/>
    <w:rsid w:val="00F7612B"/>
    <w:rsid w:val="00F82F1F"/>
    <w:rsid w:val="00F94FB5"/>
    <w:rsid w:val="00FA15F4"/>
    <w:rsid w:val="00FA162B"/>
    <w:rsid w:val="00FA501F"/>
    <w:rsid w:val="00FB0BEA"/>
    <w:rsid w:val="00FB762A"/>
    <w:rsid w:val="00FD08CF"/>
    <w:rsid w:val="00FD33F0"/>
    <w:rsid w:val="00FD649A"/>
    <w:rsid w:val="00FE45CE"/>
    <w:rsid w:val="00FE7126"/>
    <w:rsid w:val="00FF3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85629"/>
  <w15:chartTrackingRefBased/>
  <w15:docId w15:val="{B5324B8B-E5DB-4F05-AA4B-C2C7E4E89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16E5"/>
    <w:rPr>
      <w:rFonts w:eastAsia="MS Mincho"/>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116E5"/>
    <w:pPr>
      <w:tabs>
        <w:tab w:val="center" w:pos="4680"/>
        <w:tab w:val="right" w:pos="9360"/>
      </w:tabs>
      <w:spacing w:after="0" w:line="240" w:lineRule="auto"/>
    </w:pPr>
    <w:rPr>
      <w:rFonts w:eastAsiaTheme="minorHAnsi"/>
      <w:lang w:val="en-US"/>
    </w:rPr>
  </w:style>
  <w:style w:type="character" w:customStyle="1" w:styleId="FooterChar">
    <w:name w:val="Footer Char"/>
    <w:basedOn w:val="DefaultParagraphFont"/>
    <w:link w:val="Footer"/>
    <w:uiPriority w:val="99"/>
    <w:rsid w:val="001116E5"/>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
    <w:basedOn w:val="DefaultParagraphFont"/>
    <w:link w:val="Char2"/>
    <w:uiPriority w:val="99"/>
    <w:unhideWhenUsed/>
    <w:qFormat/>
    <w:rsid w:val="001116E5"/>
    <w:rPr>
      <w:vertAlign w:val="superscript"/>
    </w:rPr>
  </w:style>
  <w:style w:type="paragraph" w:customStyle="1" w:styleId="Char2">
    <w:name w:val="Char2"/>
    <w:basedOn w:val="Normal"/>
    <w:link w:val="FootnoteReference"/>
    <w:uiPriority w:val="99"/>
    <w:rsid w:val="001116E5"/>
    <w:pPr>
      <w:spacing w:line="240" w:lineRule="exact"/>
    </w:pPr>
    <w:rPr>
      <w:rFonts w:eastAsiaTheme="minorHAnsi"/>
      <w:vertAlign w:val="superscript"/>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1116E5"/>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1116E5"/>
    <w:pPr>
      <w:spacing w:line="256" w:lineRule="auto"/>
      <w:ind w:left="720"/>
      <w:contextualSpacing/>
    </w:pPr>
    <w:rPr>
      <w:rFonts w:eastAsiaTheme="minorHAnsi"/>
      <w:lang w:val="en-US"/>
    </w:rPr>
  </w:style>
  <w:style w:type="character" w:customStyle="1" w:styleId="NoSpacingChar">
    <w:name w:val="No Spacing Char"/>
    <w:aliases w:val="B Char"/>
    <w:link w:val="NoSpacing"/>
    <w:uiPriority w:val="1"/>
    <w:qFormat/>
    <w:locked/>
    <w:rsid w:val="001116E5"/>
    <w:rPr>
      <w:rFonts w:ascii="Calibri" w:eastAsia="Calibri" w:hAnsi="Calibri" w:cs="Times New Roman"/>
    </w:rPr>
  </w:style>
  <w:style w:type="paragraph" w:styleId="NoSpacing">
    <w:name w:val="No Spacing"/>
    <w:aliases w:val="B"/>
    <w:link w:val="NoSpacingChar"/>
    <w:uiPriority w:val="1"/>
    <w:qFormat/>
    <w:rsid w:val="001116E5"/>
    <w:pPr>
      <w:spacing w:after="0" w:line="240" w:lineRule="auto"/>
    </w:pPr>
    <w:rPr>
      <w:rFonts w:ascii="Calibri" w:eastAsia="Calibri" w:hAnsi="Calibri" w:cs="Times New Roman"/>
    </w:rPr>
  </w:style>
  <w:style w:type="character" w:customStyle="1" w:styleId="hps">
    <w:name w:val="hps"/>
    <w:basedOn w:val="DefaultParagraphFont"/>
    <w:rsid w:val="001116E5"/>
  </w:style>
  <w:style w:type="character" w:styleId="CommentReference">
    <w:name w:val="annotation reference"/>
    <w:basedOn w:val="DefaultParagraphFont"/>
    <w:uiPriority w:val="99"/>
    <w:semiHidden/>
    <w:unhideWhenUsed/>
    <w:rsid w:val="001116E5"/>
    <w:rPr>
      <w:sz w:val="16"/>
      <w:szCs w:val="16"/>
    </w:rPr>
  </w:style>
  <w:style w:type="paragraph" w:styleId="CommentText">
    <w:name w:val="annotation text"/>
    <w:basedOn w:val="Normal"/>
    <w:link w:val="CommentTextChar"/>
    <w:uiPriority w:val="99"/>
    <w:semiHidden/>
    <w:unhideWhenUsed/>
    <w:rsid w:val="001116E5"/>
    <w:pPr>
      <w:spacing w:line="240" w:lineRule="auto"/>
    </w:pPr>
    <w:rPr>
      <w:sz w:val="20"/>
      <w:szCs w:val="20"/>
    </w:rPr>
  </w:style>
  <w:style w:type="character" w:customStyle="1" w:styleId="CommentTextChar">
    <w:name w:val="Comment Text Char"/>
    <w:basedOn w:val="DefaultParagraphFont"/>
    <w:link w:val="CommentText"/>
    <w:uiPriority w:val="99"/>
    <w:semiHidden/>
    <w:rsid w:val="001116E5"/>
    <w:rPr>
      <w:rFonts w:eastAsia="MS Mincho"/>
      <w:sz w:val="20"/>
      <w:szCs w:val="20"/>
      <w:lang w:val="sq-AL"/>
    </w:rPr>
  </w:style>
  <w:style w:type="paragraph" w:styleId="BalloonText">
    <w:name w:val="Balloon Text"/>
    <w:basedOn w:val="Normal"/>
    <w:link w:val="BalloonTextChar"/>
    <w:uiPriority w:val="99"/>
    <w:semiHidden/>
    <w:unhideWhenUsed/>
    <w:rsid w:val="001116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16E5"/>
    <w:rPr>
      <w:rFonts w:ascii="Segoe UI" w:eastAsia="MS Mincho" w:hAnsi="Segoe UI" w:cs="Segoe UI"/>
      <w:sz w:val="18"/>
      <w:szCs w:val="18"/>
      <w:lang w:val="sq-AL"/>
    </w:rPr>
  </w:style>
  <w:style w:type="paragraph" w:styleId="Header">
    <w:name w:val="header"/>
    <w:basedOn w:val="Normal"/>
    <w:link w:val="HeaderChar"/>
    <w:uiPriority w:val="99"/>
    <w:unhideWhenUsed/>
    <w:rsid w:val="00A024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4F0"/>
    <w:rPr>
      <w:rFonts w:eastAsia="MS Mincho"/>
      <w:lang w:val="sq-AL"/>
    </w:rPr>
  </w:style>
  <w:style w:type="paragraph" w:styleId="CommentSubject">
    <w:name w:val="annotation subject"/>
    <w:basedOn w:val="CommentText"/>
    <w:next w:val="CommentText"/>
    <w:link w:val="CommentSubjectChar"/>
    <w:uiPriority w:val="99"/>
    <w:semiHidden/>
    <w:unhideWhenUsed/>
    <w:rsid w:val="00640DA3"/>
    <w:rPr>
      <w:b/>
      <w:bCs/>
    </w:rPr>
  </w:style>
  <w:style w:type="character" w:customStyle="1" w:styleId="CommentSubjectChar">
    <w:name w:val="Comment Subject Char"/>
    <w:basedOn w:val="CommentTextChar"/>
    <w:link w:val="CommentSubject"/>
    <w:uiPriority w:val="99"/>
    <w:semiHidden/>
    <w:rsid w:val="00640DA3"/>
    <w:rPr>
      <w:rFonts w:eastAsia="MS Mincho"/>
      <w:b/>
      <w:bCs/>
      <w:sz w:val="20"/>
      <w:szCs w:val="20"/>
      <w:lang w:val="sq-AL"/>
    </w:rPr>
  </w:style>
  <w:style w:type="paragraph" w:styleId="BodyText">
    <w:name w:val="Body Text"/>
    <w:basedOn w:val="Normal"/>
    <w:link w:val="BodyTextChar"/>
    <w:unhideWhenUsed/>
    <w:rsid w:val="00CF2FE4"/>
    <w:pPr>
      <w:tabs>
        <w:tab w:val="left" w:pos="720"/>
      </w:tabs>
      <w:spacing w:after="0" w:line="360" w:lineRule="auto"/>
      <w:jc w:val="both"/>
    </w:pPr>
    <w:rPr>
      <w:rFonts w:ascii="Times New Roman" w:eastAsiaTheme="minorHAnsi" w:hAnsi="Times New Roman" w:cs="Times New Roman"/>
      <w:bCs/>
      <w:sz w:val="24"/>
      <w:lang w:eastAsia="ja-JP"/>
    </w:rPr>
  </w:style>
  <w:style w:type="character" w:customStyle="1" w:styleId="BodyTextChar">
    <w:name w:val="Body Text Char"/>
    <w:basedOn w:val="DefaultParagraphFont"/>
    <w:link w:val="BodyText"/>
    <w:rsid w:val="00CF2FE4"/>
    <w:rPr>
      <w:rFonts w:ascii="Times New Roman" w:hAnsi="Times New Roman" w:cs="Times New Roman"/>
      <w:bCs/>
      <w:sz w:val="24"/>
      <w:lang w:val="sq-AL" w:eastAsia="ja-JP"/>
    </w:rPr>
  </w:style>
  <w:style w:type="character" w:customStyle="1" w:styleId="FootnoteTextChar">
    <w:name w:val="Footnote Text Char"/>
    <w:aliases w:val="Char1 Char,Footnote Text Char1 Char Char Char Char,Footnote Text Char Char Char Char Char Char,Car Char,single space Char,footnote text Char,fn Char,FOOTNOTES Char,Footnote Text Char2 Char Char,Footnote Text Char1 Char Char Char1"/>
    <w:basedOn w:val="DefaultParagraphFont"/>
    <w:link w:val="FootnoteText"/>
    <w:semiHidden/>
    <w:locked/>
    <w:rsid w:val="008F0341"/>
    <w:rPr>
      <w:rFonts w:ascii="Times New Roman" w:eastAsia="Times New Roman" w:hAnsi="Times New Roman" w:cs="Times New Roman"/>
      <w:sz w:val="20"/>
      <w:szCs w:val="20"/>
    </w:rPr>
  </w:style>
  <w:style w:type="paragraph" w:styleId="FootnoteText">
    <w:name w:val="footnote text"/>
    <w:aliases w:val="Char1,Footnote Text Char1 Char Char Char,Footnote Text Char Char Char Char Char,Car,single space,footnote text,fn,FOOTNOTES,Footnote Text Char2 Char,Footnote Text Char1 Char Char,Footnotes,ft,ADB,pod carou,f,Char Char,Char"/>
    <w:basedOn w:val="Normal"/>
    <w:link w:val="FootnoteTextChar"/>
    <w:semiHidden/>
    <w:unhideWhenUsed/>
    <w:qFormat/>
    <w:rsid w:val="008F0341"/>
    <w:pPr>
      <w:spacing w:after="0" w:line="240" w:lineRule="auto"/>
    </w:pPr>
    <w:rPr>
      <w:rFonts w:ascii="Times New Roman" w:eastAsia="Times New Roman" w:hAnsi="Times New Roman" w:cs="Times New Roman"/>
      <w:sz w:val="20"/>
      <w:szCs w:val="20"/>
      <w:lang w:val="en-US"/>
    </w:rPr>
  </w:style>
  <w:style w:type="character" w:customStyle="1" w:styleId="FootnoteTextChar1">
    <w:name w:val="Footnote Text Char1"/>
    <w:basedOn w:val="DefaultParagraphFont"/>
    <w:uiPriority w:val="99"/>
    <w:semiHidden/>
    <w:rsid w:val="008F0341"/>
    <w:rPr>
      <w:rFonts w:eastAsia="MS Mincho"/>
      <w:sz w:val="20"/>
      <w:szCs w:val="20"/>
      <w:lang w:val="sq-AL"/>
    </w:rPr>
  </w:style>
  <w:style w:type="paragraph" w:customStyle="1" w:styleId="FootnoteReferneceCharChar1">
    <w:name w:val="Footnote Refernece Char Char1"/>
    <w:aliases w:val="Car Char Car Char Car Char Char Char Char Char Char Char Char1"/>
    <w:basedOn w:val="Normal"/>
    <w:uiPriority w:val="99"/>
    <w:rsid w:val="008F0341"/>
    <w:pPr>
      <w:spacing w:line="240" w:lineRule="exact"/>
    </w:pPr>
    <w:rPr>
      <w:rFonts w:eastAsiaTheme="minorHAnsi"/>
      <w:vertAlign w:val="superscript"/>
      <w:lang w:val="en-US"/>
    </w:rPr>
  </w:style>
  <w:style w:type="table" w:styleId="TableGrid">
    <w:name w:val="Table Grid"/>
    <w:basedOn w:val="TableNormal"/>
    <w:uiPriority w:val="39"/>
    <w:rsid w:val="002F4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435789">
      <w:bodyDiv w:val="1"/>
      <w:marLeft w:val="0"/>
      <w:marRight w:val="0"/>
      <w:marTop w:val="0"/>
      <w:marBottom w:val="0"/>
      <w:divBdr>
        <w:top w:val="none" w:sz="0" w:space="0" w:color="auto"/>
        <w:left w:val="none" w:sz="0" w:space="0" w:color="auto"/>
        <w:bottom w:val="none" w:sz="0" w:space="0" w:color="auto"/>
        <w:right w:val="none" w:sz="0" w:space="0" w:color="auto"/>
      </w:divBdr>
    </w:div>
    <w:div w:id="425199357">
      <w:bodyDiv w:val="1"/>
      <w:marLeft w:val="0"/>
      <w:marRight w:val="0"/>
      <w:marTop w:val="0"/>
      <w:marBottom w:val="0"/>
      <w:divBdr>
        <w:top w:val="none" w:sz="0" w:space="0" w:color="auto"/>
        <w:left w:val="none" w:sz="0" w:space="0" w:color="auto"/>
        <w:bottom w:val="none" w:sz="0" w:space="0" w:color="auto"/>
        <w:right w:val="none" w:sz="0" w:space="0" w:color="auto"/>
      </w:divBdr>
    </w:div>
    <w:div w:id="851795903">
      <w:bodyDiv w:val="1"/>
      <w:marLeft w:val="0"/>
      <w:marRight w:val="0"/>
      <w:marTop w:val="0"/>
      <w:marBottom w:val="0"/>
      <w:divBdr>
        <w:top w:val="none" w:sz="0" w:space="0" w:color="auto"/>
        <w:left w:val="none" w:sz="0" w:space="0" w:color="auto"/>
        <w:bottom w:val="none" w:sz="0" w:space="0" w:color="auto"/>
        <w:right w:val="none" w:sz="0" w:space="0" w:color="auto"/>
      </w:divBdr>
    </w:div>
    <w:div w:id="854534049">
      <w:bodyDiv w:val="1"/>
      <w:marLeft w:val="0"/>
      <w:marRight w:val="0"/>
      <w:marTop w:val="0"/>
      <w:marBottom w:val="0"/>
      <w:divBdr>
        <w:top w:val="none" w:sz="0" w:space="0" w:color="auto"/>
        <w:left w:val="none" w:sz="0" w:space="0" w:color="auto"/>
        <w:bottom w:val="none" w:sz="0" w:space="0" w:color="auto"/>
        <w:right w:val="none" w:sz="0" w:space="0" w:color="auto"/>
      </w:divBdr>
    </w:div>
    <w:div w:id="915937973">
      <w:bodyDiv w:val="1"/>
      <w:marLeft w:val="0"/>
      <w:marRight w:val="0"/>
      <w:marTop w:val="0"/>
      <w:marBottom w:val="0"/>
      <w:divBdr>
        <w:top w:val="none" w:sz="0" w:space="0" w:color="auto"/>
        <w:left w:val="none" w:sz="0" w:space="0" w:color="auto"/>
        <w:bottom w:val="none" w:sz="0" w:space="0" w:color="auto"/>
        <w:right w:val="none" w:sz="0" w:space="0" w:color="auto"/>
      </w:divBdr>
    </w:div>
    <w:div w:id="1367291464">
      <w:bodyDiv w:val="1"/>
      <w:marLeft w:val="0"/>
      <w:marRight w:val="0"/>
      <w:marTop w:val="0"/>
      <w:marBottom w:val="0"/>
      <w:divBdr>
        <w:top w:val="none" w:sz="0" w:space="0" w:color="auto"/>
        <w:left w:val="none" w:sz="0" w:space="0" w:color="auto"/>
        <w:bottom w:val="none" w:sz="0" w:space="0" w:color="auto"/>
        <w:right w:val="none" w:sz="0" w:space="0" w:color="auto"/>
      </w:divBdr>
    </w:div>
    <w:div w:id="1546410390">
      <w:bodyDiv w:val="1"/>
      <w:marLeft w:val="0"/>
      <w:marRight w:val="0"/>
      <w:marTop w:val="0"/>
      <w:marBottom w:val="0"/>
      <w:divBdr>
        <w:top w:val="none" w:sz="0" w:space="0" w:color="auto"/>
        <w:left w:val="none" w:sz="0" w:space="0" w:color="auto"/>
        <w:bottom w:val="none" w:sz="0" w:space="0" w:color="auto"/>
        <w:right w:val="none" w:sz="0" w:space="0" w:color="auto"/>
      </w:divBdr>
    </w:div>
    <w:div w:id="1572932560">
      <w:bodyDiv w:val="1"/>
      <w:marLeft w:val="0"/>
      <w:marRight w:val="0"/>
      <w:marTop w:val="0"/>
      <w:marBottom w:val="0"/>
      <w:divBdr>
        <w:top w:val="none" w:sz="0" w:space="0" w:color="auto"/>
        <w:left w:val="none" w:sz="0" w:space="0" w:color="auto"/>
        <w:bottom w:val="none" w:sz="0" w:space="0" w:color="auto"/>
        <w:right w:val="none" w:sz="0" w:space="0" w:color="auto"/>
      </w:divBdr>
    </w:div>
    <w:div w:id="1903636894">
      <w:bodyDiv w:val="1"/>
      <w:marLeft w:val="0"/>
      <w:marRight w:val="0"/>
      <w:marTop w:val="0"/>
      <w:marBottom w:val="0"/>
      <w:divBdr>
        <w:top w:val="none" w:sz="0" w:space="0" w:color="auto"/>
        <w:left w:val="none" w:sz="0" w:space="0" w:color="auto"/>
        <w:bottom w:val="none" w:sz="0" w:space="0" w:color="auto"/>
        <w:right w:val="none" w:sz="0" w:space="0" w:color="auto"/>
      </w:divBdr>
    </w:div>
    <w:div w:id="207083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Nr_x002e__x0020_akti>
    <Data_x0020_e_x0020_Krijimit xmlns="0e656187-b300-4fb0-8bf4-3a50f872073c">2025-07-31T13:02:31Z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2025-07-31T00:00:00Z</Date_x0020_protokolli>
    <Titulli xmlns="0e656187-b300-4fb0-8bf4-3a50f872073c">Me objekt shfuqizimin e vendimit nr. 00-2022-3138 (393), datë 22.11.2022 të Kolegjit Administrativ të Gjykatës së Lartë, si i papajtueshëm me Kushtetutën e Republikës së Shqipërisë</Titulli>
    <Modifikuesi xmlns="0e656187-b300-4fb0-8bf4-3a50f872073c">nevila.samarxhi</Modifikuesi>
    <Nr_x002e__x0020_prot_x0020_QBZ xmlns="0e656187-b300-4fb0-8bf4-3a50f872073c">1293/1</Nr_x002e__x0020_prot_x0020_QBZ>
    <Data_x0020_e_x0020_Modifikimit xmlns="0e656187-b300-4fb0-8bf4-3a50f872073c">2025-07-31T13:18:30Z</Data_x0020_e_x0020_Modifikimit>
    <Dekretuar xmlns="0e656187-b300-4fb0-8bf4-3a50f872073c">false</Dekretuar>
    <Data xmlns="0e656187-b300-4fb0-8bf4-3a50f872073c">2025-06-24T00:00:00Z</Data>
    <Nr_x002e__x0020_protokolli_x0020_i_x0020_aktit xmlns="0e656187-b300-4fb0-8bf4-3a50f872073c">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43DE3C36C7645AFA356067B6E28B6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43DE3C36C7645AFA356067B6E28B6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D40F704-1E21-4A94-B8F6-F02A31E544E3}">
  <ds:schemaRefs>
    <ds:schemaRef ds:uri="http://purl.org/dc/elements/1.1/"/>
    <ds:schemaRef ds:uri="http://schemas.microsoft.com/office/2006/metadata/properties"/>
    <ds:schemaRef ds:uri="http://schemas.openxmlformats.org/package/2006/metadata/core-properties"/>
    <ds:schemaRef ds:uri="0e656187-b300-4fb0-8bf4-3a50f872073c"/>
    <ds:schemaRef ds:uri="http://purl.org/dc/term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6B672B4C-1E9F-48A8-94DC-5363FF9B4136}">
  <ds:schemaRefs>
    <ds:schemaRef ds:uri="http://schemas.microsoft.com/sharepoint/v3/contenttype/forms"/>
  </ds:schemaRefs>
</ds:datastoreItem>
</file>

<file path=customXml/itemProps3.xml><?xml version="1.0" encoding="utf-8"?>
<ds:datastoreItem xmlns:ds="http://schemas.openxmlformats.org/officeDocument/2006/customXml" ds:itemID="{598DDCF5-A48B-4616-A1FC-23D411A99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B1C852B-D303-46A2-AEF7-7F76E85EC5A8}">
  <ds:schemaRefs>
    <ds:schemaRef ds:uri="http://schemas.microsoft.com/sharepoint/v3/contenttype/forms"/>
  </ds:schemaRefs>
</ds:datastoreItem>
</file>

<file path=customXml/itemProps5.xml><?xml version="1.0" encoding="utf-8"?>
<ds:datastoreItem xmlns:ds="http://schemas.openxmlformats.org/officeDocument/2006/customXml" ds:itemID="{E621B33E-B53C-44CB-BBE9-C7774F8BC6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3427</Words>
  <Characters>19539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Me objekt shfuqizimin e vendimit nr. 00-2022-3138 (393), datë 22.11.2022 të Kolegjit Administrativ të Gjykatës së Lartë, si i papajtueshëm me Kushtetutën e Republikës së Shqipërisë</vt:lpstr>
    </vt:vector>
  </TitlesOfParts>
  <Company>User</Company>
  <LinksUpToDate>false</LinksUpToDate>
  <CharactersWithSpaces>22921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00-2022-3138 (393), datë 22.11.2022 të Kolegjit Administrativ të Gjykatës së Lartë, si i papajtueshëm me Kushtetutën e Republikës së Shqipërisë</dc:title>
  <dc:creator>Ilir Toska</dc:creator>
  <cp:lastModifiedBy>Fjora Cahani</cp:lastModifiedBy>
  <cp:revision>8</cp:revision>
  <cp:lastPrinted>2025-07-28T11:02:00Z</cp:lastPrinted>
  <dcterms:created xsi:type="dcterms:W3CDTF">2025-07-29T08:01:00Z</dcterms:created>
  <dcterms:modified xsi:type="dcterms:W3CDTF">2025-07-31T12:53:00Z</dcterms:modified>
</cp:coreProperties>
</file>