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A62C0" w14:textId="77777777" w:rsidR="004A576C" w:rsidRPr="005A671A" w:rsidRDefault="004A576C" w:rsidP="004A576C">
      <w:pPr>
        <w:spacing w:after="0" w:line="240" w:lineRule="auto"/>
        <w:ind w:firstLine="284"/>
        <w:jc w:val="center"/>
        <w:rPr>
          <w:rFonts w:ascii="Garamond" w:hAnsi="Garamond"/>
          <w:b/>
          <w:bCs/>
          <w:sz w:val="24"/>
          <w:szCs w:val="24"/>
        </w:rPr>
      </w:pPr>
    </w:p>
    <w:p w14:paraId="351B44FB" w14:textId="4A6795C2" w:rsidR="004A576C" w:rsidRPr="005A671A" w:rsidRDefault="004A576C" w:rsidP="004A576C">
      <w:pPr>
        <w:spacing w:after="0" w:line="240" w:lineRule="auto"/>
        <w:ind w:firstLine="284"/>
        <w:jc w:val="center"/>
        <w:rPr>
          <w:rFonts w:ascii="Garamond" w:hAnsi="Garamond"/>
          <w:b/>
          <w:bCs/>
          <w:sz w:val="24"/>
          <w:szCs w:val="24"/>
        </w:rPr>
      </w:pPr>
      <w:r w:rsidRPr="005A671A">
        <w:rPr>
          <w:rFonts w:ascii="Garamond" w:hAnsi="Garamond"/>
          <w:b/>
          <w:bCs/>
          <w:sz w:val="24"/>
          <w:szCs w:val="24"/>
        </w:rPr>
        <w:t>VENDIM</w:t>
      </w:r>
    </w:p>
    <w:p w14:paraId="723213DE" w14:textId="1CC74EE8" w:rsidR="004A576C" w:rsidRPr="005A671A" w:rsidRDefault="004A576C" w:rsidP="004A576C">
      <w:pPr>
        <w:spacing w:after="0" w:line="240" w:lineRule="auto"/>
        <w:ind w:firstLine="284"/>
        <w:jc w:val="center"/>
        <w:rPr>
          <w:rFonts w:ascii="Garamond" w:hAnsi="Garamond"/>
          <w:b/>
          <w:bCs/>
          <w:sz w:val="24"/>
          <w:szCs w:val="24"/>
        </w:rPr>
      </w:pPr>
      <w:r w:rsidRPr="005A671A">
        <w:rPr>
          <w:rFonts w:ascii="Garamond" w:hAnsi="Garamond"/>
          <w:b/>
          <w:bCs/>
          <w:sz w:val="24"/>
          <w:szCs w:val="24"/>
        </w:rPr>
        <w:t>Nr.</w:t>
      </w:r>
      <w:r w:rsidR="005A671A" w:rsidRPr="005A671A">
        <w:rPr>
          <w:rFonts w:ascii="Garamond" w:hAnsi="Garamond"/>
          <w:b/>
          <w:bCs/>
          <w:sz w:val="24"/>
          <w:szCs w:val="24"/>
        </w:rPr>
        <w:t xml:space="preserve"> </w:t>
      </w:r>
      <w:r w:rsidRPr="005A671A">
        <w:rPr>
          <w:rFonts w:ascii="Garamond" w:hAnsi="Garamond"/>
          <w:b/>
          <w:bCs/>
          <w:sz w:val="24"/>
          <w:szCs w:val="24"/>
        </w:rPr>
        <w:t>57, datë 14.10.2025</w:t>
      </w:r>
    </w:p>
    <w:p w14:paraId="441AC94C" w14:textId="77777777" w:rsidR="004A576C" w:rsidRPr="005A671A" w:rsidRDefault="004A576C" w:rsidP="004A576C">
      <w:pPr>
        <w:spacing w:after="0" w:line="240" w:lineRule="auto"/>
        <w:ind w:firstLine="284"/>
        <w:jc w:val="center"/>
        <w:rPr>
          <w:rFonts w:ascii="Garamond" w:hAnsi="Garamond"/>
          <w:b/>
          <w:bCs/>
          <w:sz w:val="24"/>
          <w:szCs w:val="24"/>
        </w:rPr>
      </w:pPr>
    </w:p>
    <w:p w14:paraId="06311ED1" w14:textId="252AEDFA" w:rsidR="004A576C" w:rsidRPr="005A671A" w:rsidRDefault="004A576C" w:rsidP="004A576C">
      <w:pPr>
        <w:spacing w:after="0" w:line="240" w:lineRule="auto"/>
        <w:ind w:firstLine="284"/>
        <w:jc w:val="center"/>
        <w:rPr>
          <w:rFonts w:ascii="Garamond" w:hAnsi="Garamond"/>
          <w:b/>
          <w:bCs/>
          <w:sz w:val="24"/>
          <w:szCs w:val="24"/>
        </w:rPr>
      </w:pPr>
      <w:r w:rsidRPr="005A671A">
        <w:rPr>
          <w:rFonts w:ascii="Garamond" w:hAnsi="Garamond"/>
          <w:b/>
          <w:bCs/>
          <w:sz w:val="24"/>
          <w:szCs w:val="24"/>
        </w:rPr>
        <w:t>NË EMËR TË REPUBLIKËS SË SHQIPËRISË</w:t>
      </w:r>
    </w:p>
    <w:p w14:paraId="2577F272" w14:textId="77777777" w:rsidR="004A576C" w:rsidRPr="005A671A" w:rsidRDefault="004A576C" w:rsidP="004A576C">
      <w:pPr>
        <w:tabs>
          <w:tab w:val="left" w:pos="0"/>
          <w:tab w:val="left" w:pos="720"/>
        </w:tabs>
        <w:spacing w:after="0" w:line="240" w:lineRule="auto"/>
        <w:ind w:firstLine="284"/>
        <w:rPr>
          <w:rFonts w:ascii="Garamond" w:hAnsi="Garamond"/>
          <w:sz w:val="24"/>
          <w:szCs w:val="24"/>
        </w:rPr>
      </w:pPr>
    </w:p>
    <w:p w14:paraId="059CD3F0" w14:textId="77777777" w:rsidR="004A576C" w:rsidRPr="005A671A" w:rsidRDefault="004A576C" w:rsidP="004A576C">
      <w:pPr>
        <w:spacing w:after="0" w:line="240" w:lineRule="auto"/>
        <w:ind w:firstLine="284"/>
        <w:jc w:val="both"/>
        <w:rPr>
          <w:rFonts w:ascii="Garamond" w:hAnsi="Garamond"/>
          <w:sz w:val="24"/>
          <w:szCs w:val="24"/>
        </w:rPr>
      </w:pPr>
      <w:r w:rsidRPr="005A671A">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1"/>
        <w:gridCol w:w="1134"/>
      </w:tblGrid>
      <w:tr w:rsidR="004A576C" w:rsidRPr="005A671A" w14:paraId="227516A5" w14:textId="77777777" w:rsidTr="004A576C">
        <w:tc>
          <w:tcPr>
            <w:tcW w:w="1838" w:type="dxa"/>
          </w:tcPr>
          <w:p w14:paraId="6C0FF0E3" w14:textId="77777777" w:rsidR="004A576C" w:rsidRPr="005A671A" w:rsidRDefault="004A576C" w:rsidP="005A671A">
            <w:pPr>
              <w:spacing w:after="0" w:line="240" w:lineRule="auto"/>
              <w:jc w:val="both"/>
              <w:rPr>
                <w:rFonts w:ascii="Garamond" w:hAnsi="Garamond"/>
                <w:sz w:val="24"/>
                <w:szCs w:val="24"/>
              </w:rPr>
            </w:pPr>
            <w:r w:rsidRPr="005A671A">
              <w:rPr>
                <w:rFonts w:ascii="Garamond" w:hAnsi="Garamond"/>
                <w:sz w:val="24"/>
                <w:szCs w:val="24"/>
              </w:rPr>
              <w:t>Holta Zaçaj</w:t>
            </w:r>
          </w:p>
        </w:tc>
        <w:tc>
          <w:tcPr>
            <w:tcW w:w="1134" w:type="dxa"/>
          </w:tcPr>
          <w:p w14:paraId="3A993438" w14:textId="560FEF37" w:rsidR="004A576C" w:rsidRPr="005A671A" w:rsidRDefault="005A671A" w:rsidP="005A671A">
            <w:pPr>
              <w:spacing w:after="0" w:line="240" w:lineRule="auto"/>
              <w:jc w:val="both"/>
              <w:rPr>
                <w:rFonts w:ascii="Garamond" w:hAnsi="Garamond"/>
                <w:sz w:val="24"/>
                <w:szCs w:val="24"/>
              </w:rPr>
            </w:pPr>
            <w:r w:rsidRPr="005A671A">
              <w:rPr>
                <w:rFonts w:ascii="Garamond" w:hAnsi="Garamond"/>
                <w:sz w:val="24"/>
                <w:szCs w:val="24"/>
              </w:rPr>
              <w:t xml:space="preserve"> kryetare</w:t>
            </w:r>
            <w:r>
              <w:rPr>
                <w:rFonts w:ascii="Garamond" w:hAnsi="Garamond"/>
                <w:sz w:val="24"/>
                <w:szCs w:val="24"/>
              </w:rPr>
              <w:t>;</w:t>
            </w:r>
          </w:p>
        </w:tc>
      </w:tr>
      <w:tr w:rsidR="004A576C" w:rsidRPr="005A671A" w14:paraId="6A005F4A" w14:textId="77777777" w:rsidTr="004A576C">
        <w:tc>
          <w:tcPr>
            <w:tcW w:w="1838" w:type="dxa"/>
          </w:tcPr>
          <w:p w14:paraId="00F28AAB" w14:textId="77777777"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Fiona Papajorgji</w:t>
            </w:r>
          </w:p>
        </w:tc>
        <w:tc>
          <w:tcPr>
            <w:tcW w:w="1134" w:type="dxa"/>
          </w:tcPr>
          <w:p w14:paraId="73BE639C" w14:textId="3C58F1CA"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 xml:space="preserve"> anëtare</w:t>
            </w:r>
            <w:r>
              <w:rPr>
                <w:rFonts w:ascii="Garamond" w:hAnsi="Garamond"/>
                <w:sz w:val="24"/>
                <w:szCs w:val="24"/>
              </w:rPr>
              <w:t>;</w:t>
            </w:r>
          </w:p>
        </w:tc>
      </w:tr>
      <w:tr w:rsidR="004A576C" w:rsidRPr="005A671A" w14:paraId="3754AA36" w14:textId="77777777" w:rsidTr="004A576C">
        <w:tc>
          <w:tcPr>
            <w:tcW w:w="1838" w:type="dxa"/>
          </w:tcPr>
          <w:p w14:paraId="2B549CC9" w14:textId="77777777"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Sonila Bejtja</w:t>
            </w:r>
          </w:p>
        </w:tc>
        <w:tc>
          <w:tcPr>
            <w:tcW w:w="1134" w:type="dxa"/>
          </w:tcPr>
          <w:p w14:paraId="680F8B02" w14:textId="3B409FEF"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 xml:space="preserve"> anëtare</w:t>
            </w:r>
            <w:r>
              <w:rPr>
                <w:rFonts w:ascii="Garamond" w:hAnsi="Garamond"/>
                <w:sz w:val="24"/>
                <w:szCs w:val="24"/>
              </w:rPr>
              <w:t>;</w:t>
            </w:r>
          </w:p>
        </w:tc>
      </w:tr>
      <w:tr w:rsidR="004A576C" w:rsidRPr="005A671A" w14:paraId="1B2C2C02" w14:textId="77777777" w:rsidTr="004A576C">
        <w:tc>
          <w:tcPr>
            <w:tcW w:w="1838" w:type="dxa"/>
          </w:tcPr>
          <w:p w14:paraId="4612B554" w14:textId="77777777"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Sandër Beci</w:t>
            </w:r>
          </w:p>
        </w:tc>
        <w:tc>
          <w:tcPr>
            <w:tcW w:w="1134" w:type="dxa"/>
          </w:tcPr>
          <w:p w14:paraId="56C33DF1" w14:textId="112D0490"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 xml:space="preserve"> anëtar</w:t>
            </w:r>
            <w:r>
              <w:rPr>
                <w:rFonts w:ascii="Garamond" w:hAnsi="Garamond"/>
                <w:sz w:val="24"/>
                <w:szCs w:val="24"/>
              </w:rPr>
              <w:t>;</w:t>
            </w:r>
          </w:p>
        </w:tc>
      </w:tr>
      <w:tr w:rsidR="004A576C" w:rsidRPr="005A671A" w14:paraId="38F88CFC" w14:textId="77777777" w:rsidTr="004A576C">
        <w:tc>
          <w:tcPr>
            <w:tcW w:w="1838" w:type="dxa"/>
          </w:tcPr>
          <w:p w14:paraId="08A0F9F5" w14:textId="77777777"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Ilir Toska</w:t>
            </w:r>
          </w:p>
        </w:tc>
        <w:tc>
          <w:tcPr>
            <w:tcW w:w="1134" w:type="dxa"/>
          </w:tcPr>
          <w:p w14:paraId="22A1EC72" w14:textId="4201DFB8"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 xml:space="preserve"> anëtar</w:t>
            </w:r>
            <w:r>
              <w:rPr>
                <w:rFonts w:ascii="Garamond" w:hAnsi="Garamond"/>
                <w:sz w:val="24"/>
                <w:szCs w:val="24"/>
              </w:rPr>
              <w:t>;</w:t>
            </w:r>
          </w:p>
        </w:tc>
      </w:tr>
      <w:tr w:rsidR="004A576C" w:rsidRPr="005A671A" w14:paraId="36F7C9F4" w14:textId="77777777" w:rsidTr="004A576C">
        <w:tc>
          <w:tcPr>
            <w:tcW w:w="1838" w:type="dxa"/>
          </w:tcPr>
          <w:p w14:paraId="32456289" w14:textId="77777777"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Genti Ibrahimi</w:t>
            </w:r>
          </w:p>
        </w:tc>
        <w:tc>
          <w:tcPr>
            <w:tcW w:w="1134" w:type="dxa"/>
          </w:tcPr>
          <w:p w14:paraId="2AE1E415" w14:textId="5CF0651E"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 xml:space="preserve"> anëtar</w:t>
            </w:r>
            <w:r>
              <w:rPr>
                <w:rFonts w:ascii="Garamond" w:hAnsi="Garamond"/>
                <w:sz w:val="24"/>
                <w:szCs w:val="24"/>
              </w:rPr>
              <w:t>;</w:t>
            </w:r>
          </w:p>
        </w:tc>
      </w:tr>
      <w:tr w:rsidR="004A576C" w:rsidRPr="005A671A" w14:paraId="4F465331" w14:textId="77777777" w:rsidTr="004A576C">
        <w:tc>
          <w:tcPr>
            <w:tcW w:w="1838" w:type="dxa"/>
          </w:tcPr>
          <w:p w14:paraId="5B0B64B0" w14:textId="77777777"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Marjana Semini</w:t>
            </w:r>
          </w:p>
        </w:tc>
        <w:tc>
          <w:tcPr>
            <w:tcW w:w="1134" w:type="dxa"/>
          </w:tcPr>
          <w:p w14:paraId="5F22A5FA" w14:textId="0D64107C"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anëtare</w:t>
            </w:r>
            <w:r>
              <w:rPr>
                <w:rFonts w:ascii="Garamond" w:hAnsi="Garamond"/>
                <w:sz w:val="24"/>
                <w:szCs w:val="24"/>
              </w:rPr>
              <w:t>;</w:t>
            </w:r>
          </w:p>
        </w:tc>
      </w:tr>
      <w:tr w:rsidR="004A576C" w:rsidRPr="005A671A" w14:paraId="53E4DB59" w14:textId="77777777" w:rsidTr="004A576C">
        <w:tc>
          <w:tcPr>
            <w:tcW w:w="1838" w:type="dxa"/>
          </w:tcPr>
          <w:p w14:paraId="57F263CE" w14:textId="2005BED2" w:rsidR="004A576C" w:rsidRPr="005A671A" w:rsidRDefault="004A576C" w:rsidP="005A671A">
            <w:pPr>
              <w:spacing w:after="0" w:line="240" w:lineRule="auto"/>
              <w:rPr>
                <w:rFonts w:ascii="Garamond" w:hAnsi="Garamond"/>
                <w:sz w:val="24"/>
                <w:szCs w:val="24"/>
              </w:rPr>
            </w:pPr>
            <w:r w:rsidRPr="005A671A">
              <w:rPr>
                <w:rFonts w:ascii="Garamond" w:hAnsi="Garamond"/>
                <w:sz w:val="24"/>
                <w:szCs w:val="24"/>
              </w:rPr>
              <w:t>Marsida</w:t>
            </w:r>
            <w:bookmarkStart w:id="0" w:name="_GoBack"/>
            <w:bookmarkEnd w:id="0"/>
            <w:r w:rsidRPr="005A671A">
              <w:rPr>
                <w:rFonts w:ascii="Garamond" w:hAnsi="Garamond"/>
                <w:sz w:val="24"/>
                <w:szCs w:val="24"/>
              </w:rPr>
              <w:t>Xhaferllari</w:t>
            </w:r>
          </w:p>
        </w:tc>
        <w:tc>
          <w:tcPr>
            <w:tcW w:w="1134" w:type="dxa"/>
          </w:tcPr>
          <w:p w14:paraId="08EBA9FC" w14:textId="6E54F56D" w:rsidR="004A576C" w:rsidRPr="005A671A" w:rsidRDefault="005A671A" w:rsidP="005A671A">
            <w:pPr>
              <w:spacing w:after="0" w:line="240" w:lineRule="auto"/>
              <w:rPr>
                <w:rFonts w:ascii="Garamond" w:hAnsi="Garamond"/>
                <w:sz w:val="24"/>
                <w:szCs w:val="24"/>
              </w:rPr>
            </w:pPr>
            <w:r w:rsidRPr="005A671A">
              <w:rPr>
                <w:rFonts w:ascii="Garamond" w:hAnsi="Garamond"/>
                <w:sz w:val="24"/>
                <w:szCs w:val="24"/>
              </w:rPr>
              <w:t>anëtare</w:t>
            </w:r>
            <w:r>
              <w:rPr>
                <w:rFonts w:ascii="Garamond" w:hAnsi="Garamond"/>
                <w:sz w:val="24"/>
                <w:szCs w:val="24"/>
              </w:rPr>
              <w:t>,</w:t>
            </w:r>
          </w:p>
        </w:tc>
      </w:tr>
    </w:tbl>
    <w:p w14:paraId="66B76599" w14:textId="7197045B" w:rsidR="004A576C" w:rsidRPr="005A671A" w:rsidRDefault="004A576C" w:rsidP="00703BE9">
      <w:pPr>
        <w:tabs>
          <w:tab w:val="left" w:pos="720"/>
        </w:tabs>
        <w:spacing w:after="0" w:line="240" w:lineRule="auto"/>
        <w:ind w:firstLine="284"/>
        <w:jc w:val="both"/>
        <w:rPr>
          <w:rFonts w:ascii="Garamond" w:hAnsi="Garamond"/>
          <w:sz w:val="24"/>
          <w:szCs w:val="24"/>
        </w:rPr>
      </w:pPr>
      <w:r w:rsidRPr="005A671A">
        <w:rPr>
          <w:rFonts w:ascii="Garamond" w:hAnsi="Garamond"/>
          <w:sz w:val="24"/>
          <w:szCs w:val="24"/>
        </w:rPr>
        <w:t>me sekretare Anjeza Puka, në datat 25.9.2025 dhe 14.10.2025</w:t>
      </w:r>
      <w:r w:rsidR="005A671A">
        <w:rPr>
          <w:rFonts w:ascii="Garamond" w:hAnsi="Garamond"/>
          <w:sz w:val="24"/>
          <w:szCs w:val="24"/>
        </w:rPr>
        <w:t>,</w:t>
      </w:r>
      <w:r w:rsidRPr="005A671A">
        <w:rPr>
          <w:rFonts w:ascii="Garamond" w:hAnsi="Garamond"/>
          <w:sz w:val="24"/>
          <w:szCs w:val="24"/>
        </w:rPr>
        <w:t xml:space="preserve"> mori në shqyrtim në seancë plenare mbi bazë të dokumenteve çështjen nr. 14 (E) 2025 të Regjistrit Themeltar, që u përket:</w:t>
      </w:r>
    </w:p>
    <w:p w14:paraId="2F5D8014" w14:textId="1473F4EC" w:rsidR="004A576C" w:rsidRPr="005A671A" w:rsidRDefault="004A576C" w:rsidP="00703BE9">
      <w:pPr>
        <w:tabs>
          <w:tab w:val="left" w:pos="1120"/>
          <w:tab w:val="left" w:pos="2260"/>
          <w:tab w:val="left" w:pos="2340"/>
          <w:tab w:val="left" w:pos="2820"/>
          <w:tab w:val="left" w:pos="3400"/>
        </w:tabs>
        <w:spacing w:after="0" w:line="240" w:lineRule="auto"/>
        <w:ind w:firstLine="284"/>
        <w:jc w:val="both"/>
        <w:rPr>
          <w:rFonts w:ascii="Garamond" w:hAnsi="Garamond"/>
          <w:sz w:val="24"/>
          <w:szCs w:val="24"/>
        </w:rPr>
      </w:pPr>
      <w:r w:rsidRPr="005A671A">
        <w:rPr>
          <w:rFonts w:ascii="Garamond" w:hAnsi="Garamond"/>
          <w:bCs/>
          <w:sz w:val="24"/>
          <w:szCs w:val="24"/>
        </w:rPr>
        <w:t>KËRKUES: Elton Qyno</w:t>
      </w:r>
      <w:r w:rsidRPr="005A671A">
        <w:rPr>
          <w:rFonts w:ascii="Garamond" w:hAnsi="Garamond"/>
          <w:sz w:val="24"/>
          <w:szCs w:val="24"/>
        </w:rPr>
        <w:t>, përfaqësuar nga avokat Dorian Matlija, me prokurë.</w:t>
      </w:r>
      <w:r w:rsidRPr="005A671A">
        <w:rPr>
          <w:rFonts w:ascii="Garamond" w:hAnsi="Garamond"/>
          <w:bCs/>
          <w:sz w:val="24"/>
          <w:szCs w:val="24"/>
        </w:rPr>
        <w:t xml:space="preserve"> </w:t>
      </w:r>
    </w:p>
    <w:p w14:paraId="55DC99B7" w14:textId="7DBFD8C2" w:rsidR="004A576C" w:rsidRPr="005A671A" w:rsidRDefault="004A576C" w:rsidP="00703BE9">
      <w:pPr>
        <w:spacing w:after="0" w:line="240" w:lineRule="auto"/>
        <w:ind w:firstLine="284"/>
        <w:jc w:val="both"/>
        <w:rPr>
          <w:rFonts w:ascii="Garamond" w:hAnsi="Garamond"/>
          <w:bCs/>
          <w:sz w:val="24"/>
          <w:szCs w:val="24"/>
        </w:rPr>
      </w:pPr>
      <w:r w:rsidRPr="005A671A">
        <w:rPr>
          <w:rFonts w:ascii="Garamond" w:hAnsi="Garamond"/>
          <w:bCs/>
          <w:sz w:val="24"/>
          <w:szCs w:val="24"/>
        </w:rPr>
        <w:t xml:space="preserve">SUBJEKTE TË INTERESUARA: </w:t>
      </w:r>
      <w:r w:rsidR="005A671A" w:rsidRPr="005A671A">
        <w:rPr>
          <w:rFonts w:ascii="Garamond" w:hAnsi="Garamond"/>
          <w:bCs/>
          <w:sz w:val="24"/>
          <w:szCs w:val="24"/>
        </w:rPr>
        <w:t xml:space="preserve">Avokatura </w:t>
      </w:r>
      <w:r w:rsidR="005A671A">
        <w:rPr>
          <w:rFonts w:ascii="Garamond" w:hAnsi="Garamond"/>
          <w:bCs/>
          <w:sz w:val="24"/>
          <w:szCs w:val="24"/>
        </w:rPr>
        <w:t>e</w:t>
      </w:r>
      <w:r w:rsidR="005A671A" w:rsidRPr="005A671A">
        <w:rPr>
          <w:rFonts w:ascii="Garamond" w:hAnsi="Garamond"/>
          <w:bCs/>
          <w:sz w:val="24"/>
          <w:szCs w:val="24"/>
        </w:rPr>
        <w:t xml:space="preserve"> Shtetit</w:t>
      </w:r>
      <w:r w:rsidRPr="005A671A">
        <w:rPr>
          <w:rFonts w:ascii="Garamond" w:hAnsi="Garamond"/>
          <w:bCs/>
          <w:sz w:val="24"/>
          <w:szCs w:val="24"/>
        </w:rPr>
        <w:t xml:space="preserve">, </w:t>
      </w:r>
      <w:r w:rsidRPr="005A671A">
        <w:rPr>
          <w:rFonts w:ascii="Garamond" w:hAnsi="Garamond"/>
          <w:sz w:val="24"/>
          <w:szCs w:val="24"/>
        </w:rPr>
        <w:t>në mungesë.</w:t>
      </w:r>
    </w:p>
    <w:p w14:paraId="0B01EF1B" w14:textId="20B99EDA" w:rsidR="004A576C" w:rsidRPr="005A671A" w:rsidRDefault="005A671A" w:rsidP="00703BE9">
      <w:pPr>
        <w:tabs>
          <w:tab w:val="left" w:pos="2960"/>
          <w:tab w:val="left" w:pos="3060"/>
          <w:tab w:val="left" w:pos="3140"/>
          <w:tab w:val="left" w:pos="3320"/>
          <w:tab w:val="left" w:pos="3600"/>
          <w:tab w:val="left" w:pos="3780"/>
          <w:tab w:val="left" w:pos="3960"/>
        </w:tabs>
        <w:spacing w:after="0" w:line="240" w:lineRule="auto"/>
        <w:ind w:firstLine="284"/>
        <w:jc w:val="both"/>
        <w:rPr>
          <w:rFonts w:ascii="Garamond" w:hAnsi="Garamond"/>
          <w:sz w:val="24"/>
          <w:szCs w:val="24"/>
        </w:rPr>
      </w:pPr>
      <w:r w:rsidRPr="005A671A">
        <w:rPr>
          <w:rFonts w:ascii="Garamond" w:hAnsi="Garamond"/>
          <w:bCs/>
          <w:sz w:val="24"/>
          <w:szCs w:val="24"/>
        </w:rPr>
        <w:t>Prokuroria e Posaçme kundër Korrupsionit dhe Krimit të Organizuar</w:t>
      </w:r>
      <w:r w:rsidR="004A576C" w:rsidRPr="005A671A">
        <w:rPr>
          <w:rFonts w:ascii="Garamond" w:hAnsi="Garamond"/>
          <w:bCs/>
          <w:sz w:val="24"/>
          <w:szCs w:val="24"/>
        </w:rPr>
        <w:t xml:space="preserve">, </w:t>
      </w:r>
      <w:r w:rsidR="004A576C" w:rsidRPr="005A671A">
        <w:rPr>
          <w:rFonts w:ascii="Garamond" w:hAnsi="Garamond"/>
          <w:sz w:val="24"/>
          <w:szCs w:val="24"/>
        </w:rPr>
        <w:t>në mungesë.</w:t>
      </w:r>
    </w:p>
    <w:p w14:paraId="4E007D64" w14:textId="148920A6" w:rsidR="004A576C" w:rsidRPr="005A671A" w:rsidRDefault="004A576C" w:rsidP="00703BE9">
      <w:pPr>
        <w:spacing w:after="0" w:line="240" w:lineRule="auto"/>
        <w:ind w:firstLine="284"/>
        <w:jc w:val="both"/>
        <w:rPr>
          <w:rFonts w:ascii="Garamond" w:hAnsi="Garamond"/>
          <w:bCs/>
          <w:sz w:val="24"/>
          <w:szCs w:val="24"/>
        </w:rPr>
      </w:pPr>
      <w:r w:rsidRPr="005A671A">
        <w:rPr>
          <w:rFonts w:ascii="Garamond" w:hAnsi="Garamond"/>
          <w:bCs/>
          <w:sz w:val="24"/>
          <w:szCs w:val="24"/>
        </w:rPr>
        <w:t>OBJEKTI: Plotësimi i vendimit nr. 21, datë 22.4.2025</w:t>
      </w:r>
      <w:r w:rsidR="005A671A">
        <w:rPr>
          <w:rFonts w:ascii="Garamond" w:hAnsi="Garamond"/>
          <w:bCs/>
          <w:sz w:val="24"/>
          <w:szCs w:val="24"/>
        </w:rPr>
        <w:t>,</w:t>
      </w:r>
      <w:r w:rsidRPr="005A671A">
        <w:rPr>
          <w:rFonts w:ascii="Garamond" w:hAnsi="Garamond"/>
          <w:bCs/>
          <w:sz w:val="24"/>
          <w:szCs w:val="24"/>
        </w:rPr>
        <w:t xml:space="preserve"> të Gjykatës Kushtetuese.</w:t>
      </w:r>
    </w:p>
    <w:p w14:paraId="7534740E" w14:textId="6BB63653" w:rsidR="004A576C" w:rsidRPr="005A671A" w:rsidRDefault="004A576C" w:rsidP="00703BE9">
      <w:pPr>
        <w:spacing w:after="0" w:line="240" w:lineRule="auto"/>
        <w:ind w:firstLine="284"/>
        <w:jc w:val="both"/>
        <w:rPr>
          <w:rFonts w:ascii="Garamond" w:hAnsi="Garamond"/>
          <w:bCs/>
          <w:sz w:val="24"/>
          <w:szCs w:val="24"/>
        </w:rPr>
      </w:pPr>
      <w:r w:rsidRPr="005A671A">
        <w:rPr>
          <w:rFonts w:ascii="Garamond" w:hAnsi="Garamond"/>
          <w:bCs/>
          <w:sz w:val="24"/>
          <w:szCs w:val="24"/>
        </w:rPr>
        <w:t>BAZA LIGJORE: Neni 313 i Kodit të Procedurës Civile (</w:t>
      </w:r>
      <w:r w:rsidRPr="005A671A">
        <w:rPr>
          <w:rFonts w:ascii="Garamond" w:hAnsi="Garamond"/>
          <w:bCs/>
          <w:i/>
          <w:iCs/>
          <w:sz w:val="24"/>
          <w:szCs w:val="24"/>
        </w:rPr>
        <w:t>KPC</w:t>
      </w:r>
      <w:r w:rsidRPr="005A671A">
        <w:rPr>
          <w:rFonts w:ascii="Garamond" w:hAnsi="Garamond"/>
          <w:bCs/>
          <w:sz w:val="24"/>
          <w:szCs w:val="24"/>
        </w:rPr>
        <w:t>); neni 80</w:t>
      </w:r>
      <w:r w:rsidR="005A671A">
        <w:rPr>
          <w:rFonts w:ascii="Garamond" w:hAnsi="Garamond"/>
          <w:bCs/>
          <w:sz w:val="24"/>
          <w:szCs w:val="24"/>
        </w:rPr>
        <w:t>,</w:t>
      </w:r>
      <w:r w:rsidRPr="005A671A">
        <w:rPr>
          <w:rFonts w:ascii="Garamond" w:hAnsi="Garamond"/>
          <w:bCs/>
          <w:sz w:val="24"/>
          <w:szCs w:val="24"/>
        </w:rPr>
        <w:t xml:space="preserve"> i ligjit nr. 8577, datë 10.2.2000</w:t>
      </w:r>
      <w:r w:rsidR="005A671A">
        <w:rPr>
          <w:rFonts w:ascii="Garamond" w:hAnsi="Garamond"/>
          <w:bCs/>
          <w:sz w:val="24"/>
          <w:szCs w:val="24"/>
        </w:rPr>
        <w:t>,</w:t>
      </w:r>
      <w:r w:rsidRPr="005A671A">
        <w:rPr>
          <w:rFonts w:ascii="Garamond" w:hAnsi="Garamond"/>
          <w:bCs/>
          <w:sz w:val="24"/>
          <w:szCs w:val="24"/>
        </w:rPr>
        <w:t xml:space="preserve"> “Për organizimin dhe funksionimin e Gjykatës Kushtetuese të Republikës së Shqipërisë”, të ndryshuar (</w:t>
      </w:r>
      <w:r w:rsidRPr="005A671A">
        <w:rPr>
          <w:rFonts w:ascii="Garamond" w:hAnsi="Garamond"/>
          <w:bCs/>
          <w:i/>
          <w:iCs/>
          <w:sz w:val="24"/>
          <w:szCs w:val="24"/>
        </w:rPr>
        <w:t>ligji nr. 8577/2000</w:t>
      </w:r>
      <w:r w:rsidRPr="005A671A">
        <w:rPr>
          <w:rFonts w:ascii="Garamond" w:hAnsi="Garamond"/>
          <w:bCs/>
          <w:sz w:val="24"/>
          <w:szCs w:val="24"/>
        </w:rPr>
        <w:t>).</w:t>
      </w:r>
    </w:p>
    <w:p w14:paraId="78553737" w14:textId="77777777" w:rsidR="004A576C" w:rsidRPr="005A671A" w:rsidRDefault="004A576C" w:rsidP="004A576C">
      <w:pPr>
        <w:spacing w:after="0" w:line="240" w:lineRule="auto"/>
        <w:ind w:firstLine="284"/>
        <w:jc w:val="both"/>
        <w:rPr>
          <w:rFonts w:ascii="Garamond" w:hAnsi="Garamond"/>
          <w:sz w:val="24"/>
          <w:szCs w:val="24"/>
        </w:rPr>
      </w:pPr>
    </w:p>
    <w:p w14:paraId="78343C2D" w14:textId="77777777" w:rsidR="004A576C" w:rsidRPr="005A671A" w:rsidRDefault="004A576C" w:rsidP="004A576C">
      <w:pPr>
        <w:spacing w:after="0" w:line="240" w:lineRule="auto"/>
        <w:ind w:firstLine="284"/>
        <w:jc w:val="center"/>
        <w:rPr>
          <w:rFonts w:ascii="Garamond" w:hAnsi="Garamond"/>
          <w:sz w:val="24"/>
          <w:szCs w:val="24"/>
        </w:rPr>
      </w:pPr>
      <w:r w:rsidRPr="005A671A">
        <w:rPr>
          <w:rFonts w:ascii="Garamond" w:hAnsi="Garamond"/>
          <w:bCs/>
          <w:sz w:val="24"/>
          <w:szCs w:val="24"/>
        </w:rPr>
        <w:t>GJYKATA KUSHTETUESE,</w:t>
      </w:r>
    </w:p>
    <w:p w14:paraId="54176C19" w14:textId="77777777" w:rsidR="004A576C" w:rsidRPr="005A671A" w:rsidRDefault="004A576C" w:rsidP="004A576C">
      <w:pPr>
        <w:spacing w:after="0" w:line="240" w:lineRule="auto"/>
        <w:ind w:firstLine="284"/>
        <w:jc w:val="both"/>
        <w:rPr>
          <w:rFonts w:ascii="Garamond" w:hAnsi="Garamond"/>
          <w:sz w:val="24"/>
          <w:szCs w:val="24"/>
        </w:rPr>
      </w:pPr>
    </w:p>
    <w:p w14:paraId="06F58CA7" w14:textId="3F87B429" w:rsidR="004A576C" w:rsidRPr="005A671A" w:rsidRDefault="004A576C" w:rsidP="004A576C">
      <w:pPr>
        <w:spacing w:after="0" w:line="240" w:lineRule="auto"/>
        <w:ind w:firstLine="284"/>
        <w:jc w:val="both"/>
        <w:rPr>
          <w:rFonts w:ascii="Garamond" w:hAnsi="Garamond"/>
          <w:sz w:val="24"/>
          <w:szCs w:val="24"/>
        </w:rPr>
      </w:pPr>
      <w:r w:rsidRPr="005A671A">
        <w:rPr>
          <w:rFonts w:ascii="Garamond" w:hAnsi="Garamond"/>
          <w:sz w:val="24"/>
          <w:szCs w:val="24"/>
        </w:rPr>
        <w:t xml:space="preserve">pasi dëgjoi relatoren e çështjes Marsida Xhaferllari, mori në shqyrtim prapësimet me shkrim të kërkuesit Elton Qyno </w:t>
      </w:r>
      <w:r w:rsidRPr="005A671A">
        <w:rPr>
          <w:rFonts w:ascii="Garamond" w:hAnsi="Garamond"/>
          <w:i/>
          <w:iCs/>
          <w:sz w:val="24"/>
          <w:szCs w:val="24"/>
        </w:rPr>
        <w:t>(kërkuesi)</w:t>
      </w:r>
      <w:r w:rsidRPr="005A671A">
        <w:rPr>
          <w:rFonts w:ascii="Garamond" w:hAnsi="Garamond"/>
          <w:sz w:val="24"/>
          <w:szCs w:val="24"/>
        </w:rPr>
        <w:t>, që ka kërkuar pranimin e kërkesës, konstatoi mungesën e prapësimeve me shkrim të subjekteve të interesuara, Avokaturës së Shtetit dhe Prokurorisë së Posaçme kundër Korrupsionit dhe Krimit të Organizuar (</w:t>
      </w:r>
      <w:r w:rsidRPr="005A671A">
        <w:rPr>
          <w:rFonts w:ascii="Garamond" w:hAnsi="Garamond"/>
          <w:i/>
          <w:iCs/>
          <w:sz w:val="24"/>
          <w:szCs w:val="24"/>
        </w:rPr>
        <w:t>Prokuroria e Posaçme</w:t>
      </w:r>
      <w:r w:rsidRPr="005A671A">
        <w:rPr>
          <w:rFonts w:ascii="Garamond" w:hAnsi="Garamond"/>
          <w:sz w:val="24"/>
          <w:szCs w:val="24"/>
        </w:rPr>
        <w:t xml:space="preserve">), si dhe diskutoi çështjen në tërësi, </w:t>
      </w:r>
    </w:p>
    <w:p w14:paraId="1521915A" w14:textId="77777777" w:rsidR="004A576C" w:rsidRPr="005A671A" w:rsidRDefault="004A576C" w:rsidP="004A576C">
      <w:pPr>
        <w:pStyle w:val="BodyTextIndent2"/>
        <w:spacing w:line="240" w:lineRule="auto"/>
        <w:ind w:left="0" w:firstLine="284"/>
        <w:rPr>
          <w:rFonts w:ascii="Garamond" w:hAnsi="Garamond"/>
        </w:rPr>
      </w:pPr>
    </w:p>
    <w:p w14:paraId="43D1E364" w14:textId="17223FEA" w:rsidR="004A576C" w:rsidRPr="005A671A" w:rsidRDefault="004A576C" w:rsidP="004A576C">
      <w:pPr>
        <w:pStyle w:val="ListParagraph"/>
        <w:tabs>
          <w:tab w:val="left" w:pos="840"/>
        </w:tabs>
        <w:spacing w:after="0" w:line="240" w:lineRule="auto"/>
        <w:ind w:left="0" w:firstLine="284"/>
        <w:jc w:val="center"/>
        <w:rPr>
          <w:rFonts w:ascii="Garamond" w:hAnsi="Garamond"/>
          <w:bCs/>
          <w:sz w:val="24"/>
          <w:szCs w:val="24"/>
        </w:rPr>
      </w:pPr>
      <w:r w:rsidRPr="005A671A">
        <w:rPr>
          <w:rFonts w:ascii="Garamond" w:hAnsi="Garamond"/>
          <w:bCs/>
          <w:sz w:val="24"/>
          <w:szCs w:val="24"/>
        </w:rPr>
        <w:t>VËREN:</w:t>
      </w:r>
    </w:p>
    <w:p w14:paraId="4EBB92D1" w14:textId="77777777" w:rsidR="004A576C" w:rsidRPr="005A671A" w:rsidRDefault="004A576C" w:rsidP="004A576C">
      <w:pPr>
        <w:pStyle w:val="ListParagraph"/>
        <w:tabs>
          <w:tab w:val="left" w:pos="840"/>
        </w:tabs>
        <w:spacing w:after="0" w:line="240" w:lineRule="auto"/>
        <w:ind w:left="0" w:firstLine="284"/>
        <w:jc w:val="center"/>
        <w:rPr>
          <w:rFonts w:ascii="Garamond" w:hAnsi="Garamond"/>
          <w:b/>
          <w:bCs/>
          <w:sz w:val="24"/>
          <w:szCs w:val="24"/>
        </w:rPr>
      </w:pPr>
    </w:p>
    <w:p w14:paraId="660D47EC" w14:textId="219AE7CE" w:rsidR="004A576C" w:rsidRPr="005A671A" w:rsidRDefault="004A576C" w:rsidP="004A576C">
      <w:pPr>
        <w:pStyle w:val="ListParagraph"/>
        <w:tabs>
          <w:tab w:val="left" w:pos="840"/>
        </w:tabs>
        <w:spacing w:after="0" w:line="240" w:lineRule="auto"/>
        <w:ind w:left="0" w:firstLine="284"/>
        <w:jc w:val="center"/>
        <w:rPr>
          <w:rFonts w:ascii="Garamond" w:hAnsi="Garamond"/>
          <w:b/>
          <w:bCs/>
          <w:sz w:val="24"/>
          <w:szCs w:val="24"/>
        </w:rPr>
      </w:pPr>
      <w:r w:rsidRPr="005A671A">
        <w:rPr>
          <w:rFonts w:ascii="Garamond" w:hAnsi="Garamond"/>
          <w:b/>
          <w:bCs/>
          <w:sz w:val="24"/>
          <w:szCs w:val="24"/>
        </w:rPr>
        <w:t>I</w:t>
      </w:r>
    </w:p>
    <w:p w14:paraId="268D0559" w14:textId="77777777" w:rsidR="004A576C" w:rsidRPr="005A671A" w:rsidRDefault="004A576C" w:rsidP="004A576C">
      <w:pPr>
        <w:pStyle w:val="ListParagraph"/>
        <w:tabs>
          <w:tab w:val="left" w:pos="840"/>
        </w:tabs>
        <w:spacing w:after="0" w:line="240" w:lineRule="auto"/>
        <w:ind w:left="0" w:firstLine="284"/>
        <w:jc w:val="center"/>
        <w:rPr>
          <w:rFonts w:ascii="Garamond" w:hAnsi="Garamond"/>
          <w:b/>
          <w:bCs/>
          <w:sz w:val="24"/>
          <w:szCs w:val="24"/>
        </w:rPr>
      </w:pPr>
      <w:r w:rsidRPr="005A671A">
        <w:rPr>
          <w:rFonts w:ascii="Garamond" w:hAnsi="Garamond"/>
          <w:b/>
          <w:bCs/>
          <w:sz w:val="24"/>
          <w:szCs w:val="24"/>
        </w:rPr>
        <w:t>Rrethanat e çështjes</w:t>
      </w:r>
    </w:p>
    <w:p w14:paraId="08C6B164" w14:textId="77777777" w:rsidR="004A576C" w:rsidRPr="005A671A" w:rsidRDefault="004A576C" w:rsidP="004A576C">
      <w:pPr>
        <w:pStyle w:val="BodyTextIndent2"/>
        <w:tabs>
          <w:tab w:val="left" w:pos="980"/>
        </w:tabs>
        <w:spacing w:line="240" w:lineRule="auto"/>
        <w:ind w:left="0" w:firstLine="284"/>
        <w:rPr>
          <w:rFonts w:ascii="Garamond" w:hAnsi="Garamond"/>
          <w:b w:val="0"/>
          <w:bCs/>
        </w:rPr>
      </w:pPr>
    </w:p>
    <w:p w14:paraId="0B12EE4B" w14:textId="369EAEC7" w:rsidR="004A576C" w:rsidRPr="005A671A" w:rsidRDefault="004A576C" w:rsidP="004A576C">
      <w:pPr>
        <w:pStyle w:val="BodyTextIndent2"/>
        <w:tabs>
          <w:tab w:val="left" w:pos="980"/>
        </w:tabs>
        <w:spacing w:line="240" w:lineRule="auto"/>
        <w:ind w:left="0" w:firstLine="284"/>
        <w:rPr>
          <w:rFonts w:ascii="Garamond" w:hAnsi="Garamond"/>
          <w:b w:val="0"/>
          <w:bCs/>
        </w:rPr>
      </w:pPr>
      <w:r w:rsidRPr="005A671A">
        <w:rPr>
          <w:rFonts w:ascii="Garamond" w:hAnsi="Garamond"/>
          <w:b w:val="0"/>
          <w:bCs/>
        </w:rPr>
        <w:t>1. Në datën 14.6.2024</w:t>
      </w:r>
      <w:r w:rsidR="005A671A">
        <w:rPr>
          <w:rFonts w:ascii="Garamond" w:hAnsi="Garamond"/>
          <w:b w:val="0"/>
          <w:bCs/>
        </w:rPr>
        <w:t>,</w:t>
      </w:r>
      <w:r w:rsidRPr="005A671A">
        <w:rPr>
          <w:rFonts w:ascii="Garamond" w:hAnsi="Garamond"/>
        </w:rPr>
        <w:t xml:space="preserve"> </w:t>
      </w:r>
      <w:r w:rsidRPr="005A671A">
        <w:rPr>
          <w:rFonts w:ascii="Garamond" w:hAnsi="Garamond"/>
          <w:b w:val="0"/>
          <w:bCs/>
        </w:rPr>
        <w:t>kërkuesi i është drejtuar Gjykatës Kushtetuese (</w:t>
      </w:r>
      <w:r w:rsidRPr="005A671A">
        <w:rPr>
          <w:rFonts w:ascii="Garamond" w:hAnsi="Garamond"/>
          <w:b w:val="0"/>
          <w:bCs/>
          <w:i/>
          <w:iCs/>
        </w:rPr>
        <w:t>Gjykata</w:t>
      </w:r>
      <w:r w:rsidRPr="005A671A">
        <w:rPr>
          <w:rFonts w:ascii="Garamond" w:hAnsi="Garamond"/>
          <w:b w:val="0"/>
          <w:bCs/>
        </w:rPr>
        <w:t xml:space="preserve">) me ankim kushtetues individual, me objekt shfuqizimin e vendimeve gjyqësore për lejimin e kontrolleve personale dhe të vendeve (banesë dhe vendi i punës), vendimeve gjyqësore për sekuestrimin e provave materiale (sende dhe të dhëna kompjuterike) dhe vendimit të prokurorit për sekuestrimin e dy aparateve telefonike, si dhe shkatërrimin e të gjitha kopjeve të të dhënave të nxjerra nga pajisjet e sekuestruara. Mbledhja e Gjyqtarëve, me vendimin e datës 23.7.2024, ka vendosur kalimin e çështjes për shqyrtim në seancë plenare mbi bazë të dokumenteve, por në seancën plenare të datës 5.3.2025 Gjykata e ka ndryshuar formën e shqyrtimit të çështjes në atë publike, me praninë e palëve. </w:t>
      </w:r>
    </w:p>
    <w:p w14:paraId="704C673E" w14:textId="00A3E4C2" w:rsidR="004A576C" w:rsidRPr="005A671A" w:rsidRDefault="004A576C" w:rsidP="004A576C">
      <w:pPr>
        <w:pStyle w:val="BodyTextIndent2"/>
        <w:tabs>
          <w:tab w:val="left" w:pos="980"/>
        </w:tabs>
        <w:spacing w:line="240" w:lineRule="auto"/>
        <w:ind w:left="0" w:firstLine="284"/>
        <w:rPr>
          <w:rFonts w:ascii="Garamond" w:hAnsi="Garamond"/>
          <w:b w:val="0"/>
          <w:bCs/>
        </w:rPr>
      </w:pPr>
      <w:r w:rsidRPr="005A671A">
        <w:rPr>
          <w:rFonts w:ascii="Garamond" w:hAnsi="Garamond"/>
          <w:b w:val="0"/>
          <w:bCs/>
        </w:rPr>
        <w:t>2. Në parashtrimet përpara seancës së datës 2.4.2025, kërkuesi, nëpërmjet përfaqësuesit të tij, ka kërkuar rimbursimin e shpenzimeve të përfaqësimit në masën 263.500 lekë në rastin eventual të pranimit të ankimit kushtetues individual. Këtë kërkim ai e ka përsëritur edhe në konkluzionet përfundimtare të seancës së datës 10.4.2025.</w:t>
      </w:r>
    </w:p>
    <w:p w14:paraId="3E21B7F9" w14:textId="0512488F" w:rsidR="004A576C" w:rsidRPr="005A671A" w:rsidRDefault="004A576C" w:rsidP="004A576C">
      <w:pPr>
        <w:pStyle w:val="BodyTextIndent2"/>
        <w:tabs>
          <w:tab w:val="left" w:pos="980"/>
        </w:tabs>
        <w:spacing w:line="240" w:lineRule="auto"/>
        <w:ind w:left="0" w:firstLine="284"/>
        <w:rPr>
          <w:rFonts w:ascii="Garamond" w:hAnsi="Garamond"/>
          <w:b w:val="0"/>
          <w:bCs/>
        </w:rPr>
      </w:pPr>
      <w:r w:rsidRPr="005A671A">
        <w:rPr>
          <w:rFonts w:ascii="Garamond" w:hAnsi="Garamond"/>
          <w:b w:val="0"/>
          <w:bCs/>
        </w:rPr>
        <w:t>3. Në përfundim të gjykimit kushtetues, Gjykata, me vendimin nr. 21, datë 22.4.2025 (</w:t>
      </w:r>
      <w:r w:rsidRPr="005A671A">
        <w:rPr>
          <w:rFonts w:ascii="Garamond" w:hAnsi="Garamond"/>
          <w:b w:val="0"/>
          <w:bCs/>
          <w:i/>
          <w:iCs/>
        </w:rPr>
        <w:t>vendimi nr. 21/2025</w:t>
      </w:r>
      <w:r w:rsidRPr="005A671A">
        <w:rPr>
          <w:rFonts w:ascii="Garamond" w:hAnsi="Garamond"/>
          <w:b w:val="0"/>
          <w:bCs/>
        </w:rPr>
        <w:t xml:space="preserve">) vendosi pranimin e pjesshëm të kërkesës, shfuqizimin e vendimeve gjyqësore që kanë lejuar sekuestrimin e të dhënave kompjuterike të nxjerra nga provat materiale të sekuestruara gjatë kontrollit </w:t>
      </w:r>
      <w:r w:rsidRPr="005A671A">
        <w:rPr>
          <w:rFonts w:ascii="Garamond" w:hAnsi="Garamond"/>
          <w:b w:val="0"/>
          <w:bCs/>
        </w:rPr>
        <w:lastRenderedPageBreak/>
        <w:t>të banesës dhe të vendit të punës së kërkuesit, si dhe asgjësimin e të dhënave kompjuterike të sekuestruara me këto vendime. Vendimi nr. 21/2025 i Gjykatës është shpallur në datën 21.5.2025 dhe është botuar në Fletoren Zyrtare nr. 89, datë 26.5.2025.</w:t>
      </w:r>
    </w:p>
    <w:p w14:paraId="2E9BAE70" w14:textId="078F3D3C" w:rsidR="004A576C" w:rsidRPr="005A671A" w:rsidRDefault="004A576C" w:rsidP="004A576C">
      <w:pPr>
        <w:pStyle w:val="BodyTextIndent2"/>
        <w:tabs>
          <w:tab w:val="left" w:pos="980"/>
        </w:tabs>
        <w:spacing w:line="240" w:lineRule="auto"/>
        <w:ind w:left="0" w:firstLine="284"/>
        <w:rPr>
          <w:rFonts w:ascii="Garamond" w:hAnsi="Garamond"/>
          <w:b w:val="0"/>
          <w:bCs/>
        </w:rPr>
      </w:pPr>
      <w:r w:rsidRPr="005A671A">
        <w:rPr>
          <w:rFonts w:ascii="Garamond" w:hAnsi="Garamond"/>
          <w:b w:val="0"/>
          <w:bCs/>
        </w:rPr>
        <w:t>4. Në datën 28.5.2025</w:t>
      </w:r>
      <w:r w:rsidR="005A671A">
        <w:rPr>
          <w:rFonts w:ascii="Garamond" w:hAnsi="Garamond"/>
          <w:b w:val="0"/>
          <w:bCs/>
        </w:rPr>
        <w:t>,</w:t>
      </w:r>
      <w:r w:rsidRPr="005A671A">
        <w:rPr>
          <w:rFonts w:ascii="Garamond" w:hAnsi="Garamond"/>
          <w:b w:val="0"/>
          <w:bCs/>
        </w:rPr>
        <w:t xml:space="preserve"> kërkuesi i është drejtuar sërish Gjykatës me kërkesë, me objekt plotësimin e vendimit nr. 21/2025</w:t>
      </w:r>
      <w:r w:rsidR="005A671A">
        <w:rPr>
          <w:rFonts w:ascii="Garamond" w:hAnsi="Garamond"/>
          <w:b w:val="0"/>
          <w:bCs/>
        </w:rPr>
        <w:t>,</w:t>
      </w:r>
      <w:r w:rsidRPr="005A671A">
        <w:rPr>
          <w:rFonts w:ascii="Garamond" w:hAnsi="Garamond"/>
          <w:b w:val="0"/>
          <w:bCs/>
        </w:rPr>
        <w:t xml:space="preserve"> lidhur me shpenzimet e përfaqësimit. Kolegji i Gjykatës, në datën 8.7.2025, ka vendosur kalimin e çështjes për shqyrtim në seancë plenare mbi bazë të dokumenteve.</w:t>
      </w:r>
    </w:p>
    <w:p w14:paraId="257FD681" w14:textId="77777777" w:rsidR="004A576C" w:rsidRPr="005A671A" w:rsidRDefault="004A576C" w:rsidP="004A576C">
      <w:pPr>
        <w:tabs>
          <w:tab w:val="left" w:pos="840"/>
        </w:tabs>
        <w:spacing w:after="0" w:line="240" w:lineRule="auto"/>
        <w:ind w:firstLine="284"/>
        <w:rPr>
          <w:rFonts w:ascii="Garamond" w:hAnsi="Garamond"/>
          <w:sz w:val="24"/>
          <w:szCs w:val="24"/>
        </w:rPr>
      </w:pPr>
    </w:p>
    <w:p w14:paraId="3454E835" w14:textId="77777777" w:rsidR="004A576C" w:rsidRPr="005A671A" w:rsidRDefault="004A576C" w:rsidP="004A576C">
      <w:pPr>
        <w:tabs>
          <w:tab w:val="left" w:pos="840"/>
        </w:tabs>
        <w:spacing w:after="0" w:line="240" w:lineRule="auto"/>
        <w:ind w:firstLine="284"/>
        <w:jc w:val="center"/>
        <w:rPr>
          <w:rFonts w:ascii="Garamond" w:hAnsi="Garamond"/>
          <w:b/>
          <w:bCs/>
          <w:sz w:val="24"/>
          <w:szCs w:val="24"/>
        </w:rPr>
      </w:pPr>
      <w:r w:rsidRPr="005A671A">
        <w:rPr>
          <w:rFonts w:ascii="Garamond" w:hAnsi="Garamond"/>
          <w:b/>
          <w:bCs/>
          <w:sz w:val="24"/>
          <w:szCs w:val="24"/>
        </w:rPr>
        <w:t>II</w:t>
      </w:r>
    </w:p>
    <w:p w14:paraId="385D0ED3" w14:textId="77777777" w:rsidR="004A576C" w:rsidRPr="005A671A" w:rsidRDefault="004A576C" w:rsidP="004A576C">
      <w:pPr>
        <w:pStyle w:val="ListParagraph"/>
        <w:tabs>
          <w:tab w:val="left" w:pos="840"/>
        </w:tabs>
        <w:spacing w:after="0" w:line="240" w:lineRule="auto"/>
        <w:ind w:left="0" w:firstLine="284"/>
        <w:jc w:val="center"/>
        <w:rPr>
          <w:rFonts w:ascii="Garamond" w:hAnsi="Garamond"/>
          <w:b/>
          <w:bCs/>
          <w:sz w:val="24"/>
          <w:szCs w:val="24"/>
        </w:rPr>
      </w:pPr>
      <w:r w:rsidRPr="005A671A">
        <w:rPr>
          <w:rFonts w:ascii="Garamond" w:hAnsi="Garamond"/>
          <w:b/>
          <w:bCs/>
          <w:sz w:val="24"/>
          <w:szCs w:val="24"/>
        </w:rPr>
        <w:t>Pretendimet në Gjykatën Kushtetuese</w:t>
      </w:r>
    </w:p>
    <w:p w14:paraId="34A5B3B7" w14:textId="77777777" w:rsidR="004A576C" w:rsidRPr="005A671A" w:rsidRDefault="004A576C" w:rsidP="004A576C">
      <w:pPr>
        <w:pStyle w:val="ListParagraph"/>
        <w:tabs>
          <w:tab w:val="left" w:pos="840"/>
          <w:tab w:val="left" w:pos="1440"/>
          <w:tab w:val="left" w:pos="1520"/>
        </w:tabs>
        <w:spacing w:after="0" w:line="240" w:lineRule="auto"/>
        <w:ind w:left="0" w:firstLine="284"/>
        <w:jc w:val="both"/>
        <w:rPr>
          <w:rFonts w:ascii="Garamond" w:hAnsi="Garamond"/>
          <w:sz w:val="24"/>
          <w:szCs w:val="24"/>
        </w:rPr>
      </w:pPr>
    </w:p>
    <w:p w14:paraId="650E78C3" w14:textId="499001E6" w:rsidR="004A576C" w:rsidRPr="005A671A" w:rsidRDefault="004A576C" w:rsidP="004A576C">
      <w:pPr>
        <w:pStyle w:val="ListParagraph"/>
        <w:tabs>
          <w:tab w:val="left" w:pos="840"/>
          <w:tab w:val="left" w:pos="1440"/>
          <w:tab w:val="left" w:pos="1520"/>
        </w:tabs>
        <w:spacing w:after="0" w:line="240" w:lineRule="auto"/>
        <w:ind w:left="0" w:firstLine="284"/>
        <w:jc w:val="both"/>
        <w:rPr>
          <w:rFonts w:ascii="Garamond" w:hAnsi="Garamond"/>
          <w:sz w:val="24"/>
          <w:szCs w:val="24"/>
        </w:rPr>
      </w:pPr>
      <w:r w:rsidRPr="005A671A">
        <w:rPr>
          <w:rFonts w:ascii="Garamond" w:hAnsi="Garamond"/>
          <w:sz w:val="24"/>
          <w:szCs w:val="24"/>
        </w:rPr>
        <w:t xml:space="preserve">5. </w:t>
      </w:r>
      <w:r w:rsidRPr="005A671A">
        <w:rPr>
          <w:rFonts w:ascii="Garamond" w:hAnsi="Garamond"/>
          <w:b/>
          <w:bCs/>
          <w:i/>
          <w:iCs/>
          <w:sz w:val="24"/>
          <w:szCs w:val="24"/>
        </w:rPr>
        <w:t>Kërkuesi</w:t>
      </w:r>
      <w:r w:rsidRPr="005A671A">
        <w:rPr>
          <w:rFonts w:ascii="Garamond" w:hAnsi="Garamond"/>
          <w:sz w:val="24"/>
          <w:szCs w:val="24"/>
        </w:rPr>
        <w:t xml:space="preserve">, në mënyrë të përmbledhur, ka pretenduar se vendimi nr. 21/2025 i Gjykatës duhet të plotësohet me disponimin për rimbursimin e shpenzimeve të përfaqësimit, sipas faturës tatimore të lëshuar nga avokati. Ato shpenzime janë reale dhe të nevojshme për mbrojtjen e lirisë së shprehjes së kërkuesit si gazetar, që përbënte çështje komplekse në hartimin e ankimit kushtetues individual dhe përfaqësimin në seancë. </w:t>
      </w:r>
    </w:p>
    <w:p w14:paraId="773BAEF2" w14:textId="5A43C566" w:rsidR="004A576C" w:rsidRPr="005A671A" w:rsidRDefault="004A576C" w:rsidP="004A576C">
      <w:pPr>
        <w:pStyle w:val="ListParagraph"/>
        <w:tabs>
          <w:tab w:val="left" w:pos="840"/>
          <w:tab w:val="left" w:pos="1440"/>
          <w:tab w:val="left" w:pos="1520"/>
        </w:tabs>
        <w:spacing w:after="0" w:line="240" w:lineRule="auto"/>
        <w:ind w:left="0" w:firstLine="284"/>
        <w:jc w:val="both"/>
        <w:rPr>
          <w:rFonts w:ascii="Garamond" w:hAnsi="Garamond"/>
          <w:sz w:val="24"/>
          <w:szCs w:val="24"/>
        </w:rPr>
      </w:pPr>
      <w:r w:rsidRPr="005A671A">
        <w:rPr>
          <w:rFonts w:ascii="Garamond" w:hAnsi="Garamond"/>
          <w:sz w:val="24"/>
          <w:szCs w:val="24"/>
        </w:rPr>
        <w:t xml:space="preserve">6. </w:t>
      </w:r>
      <w:r w:rsidRPr="005A671A">
        <w:rPr>
          <w:rFonts w:ascii="Garamond" w:hAnsi="Garamond"/>
          <w:b/>
          <w:bCs/>
          <w:i/>
          <w:iCs/>
          <w:sz w:val="24"/>
          <w:szCs w:val="24"/>
        </w:rPr>
        <w:t>Subjektet e interesuara, Avokatura e Shtetit dhe Prokuroria e Posaçme</w:t>
      </w:r>
      <w:r w:rsidRPr="005A671A">
        <w:rPr>
          <w:rFonts w:ascii="Garamond" w:hAnsi="Garamond"/>
          <w:sz w:val="24"/>
          <w:szCs w:val="24"/>
        </w:rPr>
        <w:t>, nuk kanë paraqitur prapësime me shkrim, edhe pse janë njoftuar rregullisht nga Gjykata.</w:t>
      </w:r>
    </w:p>
    <w:p w14:paraId="47B37F83" w14:textId="77777777" w:rsidR="004A576C" w:rsidRPr="005A671A" w:rsidRDefault="004A576C" w:rsidP="004A576C">
      <w:pPr>
        <w:tabs>
          <w:tab w:val="left" w:pos="1260"/>
          <w:tab w:val="left" w:pos="1440"/>
        </w:tabs>
        <w:spacing w:after="0" w:line="240" w:lineRule="auto"/>
        <w:ind w:firstLine="284"/>
        <w:rPr>
          <w:rFonts w:ascii="Garamond" w:hAnsi="Garamond"/>
          <w:sz w:val="24"/>
          <w:szCs w:val="24"/>
        </w:rPr>
      </w:pPr>
    </w:p>
    <w:p w14:paraId="4C2F9955" w14:textId="77777777" w:rsidR="004A576C" w:rsidRPr="005A671A" w:rsidRDefault="004A576C" w:rsidP="004A576C">
      <w:pPr>
        <w:tabs>
          <w:tab w:val="left" w:pos="1260"/>
          <w:tab w:val="left" w:pos="1440"/>
        </w:tabs>
        <w:spacing w:after="0" w:line="240" w:lineRule="auto"/>
        <w:ind w:firstLine="284"/>
        <w:jc w:val="center"/>
        <w:rPr>
          <w:rFonts w:ascii="Garamond" w:hAnsi="Garamond"/>
          <w:b/>
          <w:bCs/>
          <w:sz w:val="24"/>
          <w:szCs w:val="24"/>
        </w:rPr>
      </w:pPr>
      <w:r w:rsidRPr="005A671A">
        <w:rPr>
          <w:rFonts w:ascii="Garamond" w:hAnsi="Garamond"/>
          <w:b/>
          <w:bCs/>
          <w:sz w:val="24"/>
          <w:szCs w:val="24"/>
        </w:rPr>
        <w:t>III</w:t>
      </w:r>
    </w:p>
    <w:p w14:paraId="591A3C6D" w14:textId="77777777" w:rsidR="004A576C" w:rsidRPr="005A671A" w:rsidRDefault="004A576C" w:rsidP="004A576C">
      <w:pPr>
        <w:pStyle w:val="ListParagraph"/>
        <w:tabs>
          <w:tab w:val="left" w:pos="1260"/>
          <w:tab w:val="left" w:pos="1440"/>
        </w:tabs>
        <w:spacing w:after="0" w:line="240" w:lineRule="auto"/>
        <w:ind w:left="0" w:firstLine="284"/>
        <w:jc w:val="center"/>
        <w:rPr>
          <w:rFonts w:ascii="Garamond" w:hAnsi="Garamond"/>
          <w:sz w:val="24"/>
          <w:szCs w:val="24"/>
        </w:rPr>
      </w:pPr>
      <w:r w:rsidRPr="005A671A">
        <w:rPr>
          <w:rFonts w:ascii="Garamond" w:hAnsi="Garamond"/>
          <w:b/>
          <w:bCs/>
          <w:sz w:val="24"/>
          <w:szCs w:val="24"/>
        </w:rPr>
        <w:t>Vlerësimi i Gjykatës Kushtetuese</w:t>
      </w:r>
    </w:p>
    <w:p w14:paraId="298D696A" w14:textId="77777777" w:rsidR="004A576C" w:rsidRPr="005A671A" w:rsidRDefault="004A576C" w:rsidP="004A576C">
      <w:pPr>
        <w:pStyle w:val="ListParagraph"/>
        <w:tabs>
          <w:tab w:val="left" w:pos="1080"/>
        </w:tabs>
        <w:spacing w:after="0" w:line="240" w:lineRule="auto"/>
        <w:ind w:left="0" w:firstLine="284"/>
        <w:jc w:val="both"/>
        <w:rPr>
          <w:rFonts w:ascii="Garamond" w:hAnsi="Garamond"/>
          <w:sz w:val="24"/>
          <w:szCs w:val="24"/>
        </w:rPr>
      </w:pPr>
    </w:p>
    <w:p w14:paraId="5E8D06AD" w14:textId="1D2CCB84" w:rsidR="004A576C" w:rsidRPr="005A671A" w:rsidRDefault="004A576C" w:rsidP="004A576C">
      <w:pPr>
        <w:pStyle w:val="ListParagraph"/>
        <w:tabs>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7. Në rastet kur Gjykata vihet në lëvizje për plotësimin e vendimit të saj, legjitimimi i kërkuesit dhe procedura parashikohen në nenin 80</w:t>
      </w:r>
      <w:r w:rsidR="005A671A">
        <w:rPr>
          <w:rFonts w:ascii="Garamond" w:hAnsi="Garamond"/>
          <w:sz w:val="24"/>
          <w:szCs w:val="24"/>
        </w:rPr>
        <w:t>,</w:t>
      </w:r>
      <w:r w:rsidRPr="005A671A">
        <w:rPr>
          <w:rFonts w:ascii="Garamond" w:hAnsi="Garamond"/>
          <w:sz w:val="24"/>
          <w:szCs w:val="24"/>
        </w:rPr>
        <w:t xml:space="preserve"> të ligjit nr. 8577/2000. Sipas kësaj dispozite, Gjykata ka të drejtë, me kërkesë, të ndreqë gabimet në shkrim, në llogari ose ndonjë pasaktësi të dukshme të lejuar në vendim, pa ndryshuar thelbin e vendimmarrjes, brenda 2 muajve nga shpallja e vendimit. Vendimi i Gjykatës në këto raste publikohet në Fletoren Zyrtare. I njëjti rregull parashikohet edhe në nenin 43 të Rregullores për Procedurat Gjyqësore të Gjykatës Kushtetuese (</w:t>
      </w:r>
      <w:r w:rsidRPr="005A671A">
        <w:rPr>
          <w:rFonts w:ascii="Garamond" w:hAnsi="Garamond"/>
          <w:i/>
          <w:iCs/>
          <w:sz w:val="24"/>
          <w:szCs w:val="24"/>
        </w:rPr>
        <w:t>Rregullorja</w:t>
      </w:r>
      <w:r w:rsidRPr="005A671A">
        <w:rPr>
          <w:rFonts w:ascii="Garamond" w:hAnsi="Garamond"/>
          <w:sz w:val="24"/>
          <w:szCs w:val="24"/>
        </w:rPr>
        <w:t xml:space="preserve">), sipas të cilit kur kërkesa ka të bëjë me një vendim përfundimtar, kompetente për shqyrtimin e saj është Gjykata. </w:t>
      </w:r>
    </w:p>
    <w:p w14:paraId="6345F5F5" w14:textId="5FBEF027" w:rsidR="004A576C" w:rsidRPr="005A671A" w:rsidRDefault="004A576C" w:rsidP="004A576C">
      <w:pPr>
        <w:pStyle w:val="ListParagraph"/>
        <w:tabs>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8. Në kuptim të këtyre dispozitave, Gjykata çmon se në rastin konkret kërkuesi legjitimohet në paraqitjen e kërkesës sipas objektit, pasi ka qenë palë pjesëmarrëse në gjykimin për të cilin është dhënë vendimi nr. 21/2025 i Gjykatës dhe i është drejtuar asaj në datën 28.5.2025, pra brenda 2 muajve nga data 21.5.2025</w:t>
      </w:r>
      <w:r w:rsidR="005A671A">
        <w:rPr>
          <w:rFonts w:ascii="Garamond" w:hAnsi="Garamond"/>
          <w:sz w:val="24"/>
          <w:szCs w:val="24"/>
        </w:rPr>
        <w:t>,</w:t>
      </w:r>
      <w:r w:rsidRPr="005A671A">
        <w:rPr>
          <w:rFonts w:ascii="Garamond" w:hAnsi="Garamond"/>
          <w:sz w:val="24"/>
          <w:szCs w:val="24"/>
        </w:rPr>
        <w:t xml:space="preserve"> kur është shpallur vendimi. Po kështu, kërkimi për të plotësuar vendimin edhe me disponimin për shpenzimet gjyqësore, sipas nenit 28</w:t>
      </w:r>
      <w:r w:rsidR="005A671A">
        <w:rPr>
          <w:rFonts w:ascii="Garamond" w:hAnsi="Garamond"/>
          <w:sz w:val="24"/>
          <w:szCs w:val="24"/>
        </w:rPr>
        <w:t>,</w:t>
      </w:r>
      <w:r w:rsidRPr="005A671A">
        <w:rPr>
          <w:rFonts w:ascii="Garamond" w:hAnsi="Garamond"/>
          <w:sz w:val="24"/>
          <w:szCs w:val="24"/>
        </w:rPr>
        <w:t xml:space="preserve"> të ligjit nr. 8577/2000, hyn në kompetencën lëndore të Gjykatës të përcaktuar nga neni 80 i të njëjtit ligj, i cili emërtohet “</w:t>
      </w:r>
      <w:r w:rsidRPr="005A671A">
        <w:rPr>
          <w:rFonts w:ascii="Garamond" w:hAnsi="Garamond"/>
          <w:i/>
          <w:iCs/>
          <w:sz w:val="24"/>
          <w:szCs w:val="24"/>
        </w:rPr>
        <w:t>Saktësimi dhe plotësimi i vendimit</w:t>
      </w:r>
      <w:r w:rsidRPr="005A671A">
        <w:rPr>
          <w:rFonts w:ascii="Garamond" w:hAnsi="Garamond"/>
          <w:sz w:val="24"/>
          <w:szCs w:val="24"/>
        </w:rPr>
        <w:t xml:space="preserve">”, pasi është kërkim i paraqitur në parashtrimet shtesë të ankimit kushtetues individual të parë dhe nuk ndryshon thelbin e vendimmarrjes, ndaj, në vijim, Gjykata do ta analizojë atë në themel. </w:t>
      </w:r>
    </w:p>
    <w:p w14:paraId="0DF9B36A" w14:textId="3B0FF33E" w:rsidR="004A576C" w:rsidRPr="005A671A" w:rsidRDefault="004A576C" w:rsidP="004A576C">
      <w:pPr>
        <w:pStyle w:val="ListParagraph"/>
        <w:tabs>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9. E drejta për të kërkuar shpenzimet e përfaqësimit parashikohet në nenin 28</w:t>
      </w:r>
      <w:r w:rsidR="005A671A">
        <w:rPr>
          <w:rFonts w:ascii="Garamond" w:hAnsi="Garamond"/>
          <w:sz w:val="24"/>
          <w:szCs w:val="24"/>
        </w:rPr>
        <w:t>,</w:t>
      </w:r>
      <w:r w:rsidRPr="005A671A">
        <w:rPr>
          <w:rFonts w:ascii="Garamond" w:hAnsi="Garamond"/>
          <w:sz w:val="24"/>
          <w:szCs w:val="24"/>
        </w:rPr>
        <w:t xml:space="preserve"> të ligjit nr. 8577/2000, sipas të cilit shpenzimet e procesit gjyqësor u nënshtrohen rregullave të parashikuara në ligjin për tarifat gjyqësore (</w:t>
      </w:r>
      <w:r w:rsidRPr="005A671A">
        <w:rPr>
          <w:rFonts w:ascii="Garamond" w:hAnsi="Garamond"/>
          <w:i/>
          <w:iCs/>
          <w:sz w:val="24"/>
          <w:szCs w:val="24"/>
        </w:rPr>
        <w:t>pika 1</w:t>
      </w:r>
      <w:r w:rsidRPr="005A671A">
        <w:rPr>
          <w:rFonts w:ascii="Garamond" w:hAnsi="Garamond"/>
          <w:sz w:val="24"/>
          <w:szCs w:val="24"/>
        </w:rPr>
        <w:t>), dhe kur vendoset pranimi i ankimit kushtetues individual, Gjykata mund të shprehet edhe për shpenzimet e përfaqësimit pjesërisht ose tërësisht, nëse kërkohet nga kërkuesi (</w:t>
      </w:r>
      <w:r w:rsidRPr="005A671A">
        <w:rPr>
          <w:rFonts w:ascii="Garamond" w:hAnsi="Garamond"/>
          <w:i/>
          <w:iCs/>
          <w:sz w:val="24"/>
          <w:szCs w:val="24"/>
        </w:rPr>
        <w:t>pika 2</w:t>
      </w:r>
      <w:r w:rsidRPr="005A671A">
        <w:rPr>
          <w:rFonts w:ascii="Garamond" w:hAnsi="Garamond"/>
          <w:sz w:val="24"/>
          <w:szCs w:val="24"/>
        </w:rPr>
        <w:t>). Kjo dispozitë është konkretizuar në nenin 14 të Rregullores, që përcakton se kur Gjykata vendos pranimin e ankimit kushtetues individual, ajo shprehet në dispozitiv edhe për shpenzimet e përfaqësimit dhe masën e tyre, nëse kjo kërkohet nga kërkuesi (</w:t>
      </w:r>
      <w:r w:rsidRPr="005A671A">
        <w:rPr>
          <w:rFonts w:ascii="Garamond" w:hAnsi="Garamond"/>
          <w:i/>
          <w:iCs/>
          <w:sz w:val="24"/>
          <w:szCs w:val="24"/>
        </w:rPr>
        <w:t>pika 4</w:t>
      </w:r>
      <w:r w:rsidRPr="005A671A">
        <w:rPr>
          <w:rFonts w:ascii="Garamond" w:hAnsi="Garamond"/>
          <w:sz w:val="24"/>
          <w:szCs w:val="24"/>
        </w:rPr>
        <w:t xml:space="preserve">). </w:t>
      </w:r>
    </w:p>
    <w:p w14:paraId="3F64A334" w14:textId="3C44445A" w:rsidR="004A576C" w:rsidRPr="005A671A" w:rsidRDefault="004A576C" w:rsidP="004A576C">
      <w:pPr>
        <w:pStyle w:val="ListParagraph"/>
        <w:tabs>
          <w:tab w:val="left" w:pos="980"/>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 xml:space="preserve">10. Gjykata ka pohuar se çështja e shpenzimeve gjyqësore është pjesë e procesit të rregullt ligjor dhe refuzimi për mbulimin e tyre kufizon në mënyrë të pajustifikuar të drejtën e individit për akses në gjykatë, në kuptim të nenit 42 të Kushtetutës. Disponimi për shpenzimet vihet në lëvizje vetëm me kërkesë formale nga ankuesi dhe një kërkesë e tillë mund të paraqitet së bashku me ankimin kushtetues individual deri kur deklarohet mbyllja e seancës plenare nga Gjykata. Individi ka të drejtën e mbulimit të shpenzimeve vetëm nëse vërteton se ato janë kryer, kanë qenë të nevojshme dhe në masë të arsyeshme, ndaj ai duhet të paraqesë edhe aktet që dokumentojnë në mënyrë reale dhe të nevojshme masën e shpenzimeve të kryera për qëllim të procesit kushtetues, të cilat në çdo rast duhet të jenë të arsyeshme dhe të shoqëruara me fatura tatimore të lëshuara sipas legjislacionit në fuqi. Kriteret bazë për llogaritjen e masës lidhen me kompleksitetin e çështjes, nivelin e formimit dhe përvojën juridike </w:t>
      </w:r>
      <w:r w:rsidRPr="005A671A">
        <w:rPr>
          <w:rFonts w:ascii="Garamond" w:hAnsi="Garamond"/>
          <w:sz w:val="24"/>
          <w:szCs w:val="24"/>
        </w:rPr>
        <w:lastRenderedPageBreak/>
        <w:t>të kërkuesit për të kuptuar çështjen, moshën dhe gjendjen financiare të kërkuesit, si dhe elemente të tjera që ndikojnë në vlerën e kërkuar (</w:t>
      </w:r>
      <w:r w:rsidRPr="005A671A">
        <w:rPr>
          <w:rFonts w:ascii="Garamond" w:hAnsi="Garamond"/>
          <w:i/>
          <w:iCs/>
          <w:sz w:val="24"/>
          <w:szCs w:val="24"/>
        </w:rPr>
        <w:t>shih vendimet nr. 54, datë 9.10.2025; nr. 47, datë 18.9.2025</w:t>
      </w:r>
      <w:r w:rsidR="005A671A">
        <w:rPr>
          <w:rFonts w:ascii="Garamond" w:hAnsi="Garamond"/>
          <w:i/>
          <w:iCs/>
          <w:sz w:val="24"/>
          <w:szCs w:val="24"/>
        </w:rPr>
        <w:t>,</w:t>
      </w:r>
      <w:r w:rsidRPr="005A671A">
        <w:rPr>
          <w:rFonts w:ascii="Garamond" w:hAnsi="Garamond"/>
          <w:i/>
          <w:iCs/>
          <w:sz w:val="24"/>
          <w:szCs w:val="24"/>
        </w:rPr>
        <w:t xml:space="preserve"> të Gjykatës Kushtetuese</w:t>
      </w:r>
      <w:r w:rsidRPr="005A671A">
        <w:rPr>
          <w:rFonts w:ascii="Garamond" w:hAnsi="Garamond"/>
          <w:sz w:val="24"/>
          <w:szCs w:val="24"/>
        </w:rPr>
        <w:t>).</w:t>
      </w:r>
    </w:p>
    <w:p w14:paraId="12D5D67D" w14:textId="62B28940" w:rsidR="004A576C" w:rsidRPr="005A671A" w:rsidRDefault="004A576C" w:rsidP="004A576C">
      <w:pPr>
        <w:pStyle w:val="ListParagraph"/>
        <w:tabs>
          <w:tab w:val="left" w:pos="980"/>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11. Duke iu kthyer çështjes konkrete, Gjykata konstaton se kërkuesi është përfaqësuar nga i njëjti avokat që në momentin e paraqitjes së ankimit kushtetues individual fillestar (14.6.2024), ndërsa kërkesën për pagesën e shpenzimeve të përfaqësimit e ka parashtruar në parashtrimet para seancës publike të datës 2.4.2025 dhe përsëritur në konkluzionet e datës 10.4.2025, duke paraqitur edhe faturën tatimore. Kjo e fundit përmban vlerën e përgjithshme prej 263.500 lekësh, si rezultat i vlerës për përfaqësimin në gjykimin kushtetues (186.000 lekë) dhe asaj për paraqitjen e kërkesës (77.500 lekë). Kërkuesi ka argumentuar se shpenzimet e pasqyruara në faturën tatimore të fiskalizuar janë reale dhe ato janë të nevojshme, pasi në themel të ankimit kushtetues individual fillestar qëndronte vlefshmëria e një mase hetimore që prekte lirinë e shprehjes së kërkuesit si gazetar. Sipas tij, çështja ishte komplekse, pasi kërkonte hartimin e ankimit kushtetues individual sipas standardeve kushtetuese dhe evropiane, analizën krahasimore me jurisprudencën e Gjykatës Evropiane për të Drejtat e Njeriut (</w:t>
      </w:r>
      <w:r w:rsidRPr="005A671A">
        <w:rPr>
          <w:rFonts w:ascii="Garamond" w:hAnsi="Garamond"/>
          <w:i/>
          <w:iCs/>
          <w:sz w:val="24"/>
          <w:szCs w:val="24"/>
        </w:rPr>
        <w:t>GJEDNJ</w:t>
      </w:r>
      <w:r w:rsidRPr="005A671A">
        <w:rPr>
          <w:rFonts w:ascii="Garamond" w:hAnsi="Garamond"/>
          <w:sz w:val="24"/>
          <w:szCs w:val="24"/>
        </w:rPr>
        <w:t>), analizën e ligjshmërisë së masave të veprimeve hetimore dhe trajtimin e parimeve kushtetuese dhe konventore të zbatueshme në rastin e kërkuesit, të cilat kërkojnë ndihmë profesionale. Po sipas kërkuesit, koha e shpenzuar për këtë çështje ka qenë mbi 120 orë pune, ndonëse në faturën tatimore janë pasqyruar vetëm 20-50 orë. Kërkuesi mund të kërkojë rimbursimin e shpenzimeve të përfaqësimit vetëm pranë saj, ndërkohë shpenzimet në shkallët më të ulëta të gjyqësorit mbeten të pakompensuara për shkak të natyrës së gjykimit penal.</w:t>
      </w:r>
    </w:p>
    <w:p w14:paraId="30922FA9" w14:textId="62C226B6" w:rsidR="004A576C" w:rsidRPr="005A671A" w:rsidRDefault="004A576C" w:rsidP="004A576C">
      <w:pPr>
        <w:pStyle w:val="ListParagraph"/>
        <w:tabs>
          <w:tab w:val="left" w:pos="980"/>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 xml:space="preserve">12. Për sa më lart, Gjykata çmon se kërkimi i kërkuesit për shpenzimet gjyqësore është paraqitur brenda afatit, pasi ai është depozituar përpara marrjes së vendimit për pranimin e ankimit kushtetues individual. Në lidhje me masën, Gjykata, duke marrë në konsideratë faktin se gjykimi kushtetues i përfunduar me vendimin nr. 21/2025 ka qenë relativisht kompleks, se çështja ka të bëjë me kundërshtimin e vendimeve gjyqësore të fazës së hetimit penal, numrin e seancave të zhvilluara në Gjykatë dhe zhvillimin e disa prej tyre në seancë publike me praninë e palëve, mungesën e formimit dhe të përvojës juridike për të kuptuar çështjen (profesion gazetar), si dhe numrin e pretendimeve të pranuara nga Gjykata, vlerëson masën e shpenzimeve të përfaqësimit në vlerën 200.000 lekë. </w:t>
      </w:r>
    </w:p>
    <w:p w14:paraId="733B2D59" w14:textId="3A56F209" w:rsidR="004A576C" w:rsidRPr="005A671A" w:rsidRDefault="004A576C" w:rsidP="004A576C">
      <w:pPr>
        <w:pStyle w:val="ListParagraph"/>
        <w:tabs>
          <w:tab w:val="left" w:pos="980"/>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13. Për sa i përket subjektit që ngarkohet për mbulimin e shpenzimeve të përfaqësimit, Gjykata ka vënë në dukje se në gjykimin kushtetues individi kërkon të mbrojë të drejtat themelore të shkelura si pasojë e veprimtarisë së autoriteteve publike, ku përfshihet edhe ajo e gjykatave të zakonshme, që i kanë pasjellë atij cenimin e të drejtave themelore, ndaj përgjegjësia në këtë gjykim i takon vetë shtetit (</w:t>
      </w:r>
      <w:r w:rsidRPr="005A671A">
        <w:rPr>
          <w:rFonts w:ascii="Garamond" w:hAnsi="Garamond"/>
          <w:i/>
          <w:iCs/>
          <w:sz w:val="24"/>
          <w:szCs w:val="24"/>
        </w:rPr>
        <w:t>shih vendimet nr. 54, datë 9.10.2025; nr. 47, datë 18.9.2025</w:t>
      </w:r>
      <w:r w:rsidR="005A671A">
        <w:rPr>
          <w:rFonts w:ascii="Garamond" w:hAnsi="Garamond"/>
          <w:i/>
          <w:iCs/>
          <w:sz w:val="24"/>
          <w:szCs w:val="24"/>
        </w:rPr>
        <w:t>,</w:t>
      </w:r>
      <w:r w:rsidRPr="005A671A">
        <w:rPr>
          <w:rFonts w:ascii="Garamond" w:hAnsi="Garamond"/>
          <w:i/>
          <w:iCs/>
          <w:sz w:val="24"/>
          <w:szCs w:val="24"/>
        </w:rPr>
        <w:t xml:space="preserve"> të Gjykatës Kushtetuese</w:t>
      </w:r>
      <w:r w:rsidRPr="005A671A">
        <w:rPr>
          <w:rFonts w:ascii="Garamond" w:hAnsi="Garamond"/>
          <w:sz w:val="24"/>
          <w:szCs w:val="24"/>
        </w:rPr>
        <w:t xml:space="preserve">). Për rrjedhojë, Gjykata çmon se detyrimi për pagimin e shpenzimeve të përfaqësimit duhet t’i ngarkohet Ministrisë së Financave. </w:t>
      </w:r>
    </w:p>
    <w:p w14:paraId="4047B00F" w14:textId="0F9128C6" w:rsidR="004A576C" w:rsidRPr="005A671A" w:rsidRDefault="004A576C" w:rsidP="004A576C">
      <w:pPr>
        <w:pStyle w:val="ListParagraph"/>
        <w:tabs>
          <w:tab w:val="left" w:pos="1080"/>
        </w:tabs>
        <w:spacing w:after="0" w:line="240" w:lineRule="auto"/>
        <w:ind w:left="0" w:firstLine="284"/>
        <w:jc w:val="both"/>
        <w:rPr>
          <w:rFonts w:ascii="Garamond" w:hAnsi="Garamond"/>
          <w:sz w:val="24"/>
          <w:szCs w:val="24"/>
        </w:rPr>
      </w:pPr>
      <w:r w:rsidRPr="005A671A">
        <w:rPr>
          <w:rFonts w:ascii="Garamond" w:hAnsi="Garamond"/>
          <w:sz w:val="24"/>
          <w:szCs w:val="24"/>
        </w:rPr>
        <w:t xml:space="preserve">14. Në përfundim, Gjykata çmon se kërkesa për shpenzimet e përfaqësimit është e drejtë dhe duhet pranuar pjesërisht. </w:t>
      </w:r>
    </w:p>
    <w:p w14:paraId="193A0BB0" w14:textId="77777777" w:rsidR="004A576C" w:rsidRPr="005A671A" w:rsidRDefault="004A576C" w:rsidP="004A576C">
      <w:pPr>
        <w:pStyle w:val="ListParagraph"/>
        <w:tabs>
          <w:tab w:val="left" w:pos="980"/>
          <w:tab w:val="left" w:pos="1080"/>
        </w:tabs>
        <w:spacing w:after="0" w:line="240" w:lineRule="auto"/>
        <w:ind w:left="0" w:firstLine="284"/>
        <w:jc w:val="both"/>
        <w:rPr>
          <w:rFonts w:ascii="Garamond" w:hAnsi="Garamond"/>
          <w:b/>
          <w:bCs/>
          <w:i/>
          <w:iCs/>
          <w:sz w:val="24"/>
          <w:szCs w:val="24"/>
        </w:rPr>
      </w:pPr>
    </w:p>
    <w:p w14:paraId="62DF296A" w14:textId="77777777" w:rsidR="004A576C" w:rsidRPr="005A671A" w:rsidRDefault="004A576C" w:rsidP="004A576C">
      <w:pPr>
        <w:tabs>
          <w:tab w:val="left" w:pos="3780"/>
        </w:tabs>
        <w:spacing w:after="0" w:line="240" w:lineRule="auto"/>
        <w:ind w:firstLine="284"/>
        <w:jc w:val="center"/>
        <w:rPr>
          <w:rFonts w:ascii="Garamond" w:hAnsi="Garamond"/>
          <w:bCs/>
          <w:sz w:val="24"/>
          <w:szCs w:val="24"/>
        </w:rPr>
      </w:pPr>
      <w:r w:rsidRPr="005A671A">
        <w:rPr>
          <w:rFonts w:ascii="Garamond" w:hAnsi="Garamond"/>
          <w:bCs/>
          <w:sz w:val="24"/>
          <w:szCs w:val="24"/>
        </w:rPr>
        <w:t>PËR KËTO ARSYE,</w:t>
      </w:r>
    </w:p>
    <w:p w14:paraId="2644B67A" w14:textId="368B2EA4" w:rsidR="004A576C" w:rsidRPr="005A671A" w:rsidRDefault="004A576C" w:rsidP="004A576C">
      <w:pPr>
        <w:tabs>
          <w:tab w:val="left" w:pos="840"/>
        </w:tabs>
        <w:spacing w:after="0" w:line="240" w:lineRule="auto"/>
        <w:ind w:firstLine="284"/>
        <w:jc w:val="both"/>
        <w:rPr>
          <w:rFonts w:ascii="Garamond" w:hAnsi="Garamond"/>
          <w:sz w:val="24"/>
          <w:szCs w:val="24"/>
        </w:rPr>
      </w:pPr>
      <w:r w:rsidRPr="005A671A">
        <w:rPr>
          <w:rFonts w:ascii="Garamond" w:hAnsi="Garamond"/>
          <w:sz w:val="24"/>
          <w:szCs w:val="24"/>
        </w:rPr>
        <w:t xml:space="preserve"> Gjykata Kushtetuese, në mbështetje të nenit 80</w:t>
      </w:r>
      <w:r w:rsidR="005A671A">
        <w:rPr>
          <w:rFonts w:ascii="Garamond" w:hAnsi="Garamond"/>
          <w:sz w:val="24"/>
          <w:szCs w:val="24"/>
        </w:rPr>
        <w:t>,</w:t>
      </w:r>
      <w:r w:rsidRPr="005A671A">
        <w:rPr>
          <w:rFonts w:ascii="Garamond" w:hAnsi="Garamond"/>
          <w:sz w:val="24"/>
          <w:szCs w:val="24"/>
        </w:rPr>
        <w:t xml:space="preserve"> të ligjit nr. 8577, datë 10.2.2000</w:t>
      </w:r>
      <w:r w:rsidR="005A671A">
        <w:rPr>
          <w:rFonts w:ascii="Garamond" w:hAnsi="Garamond"/>
          <w:sz w:val="24"/>
          <w:szCs w:val="24"/>
        </w:rPr>
        <w:t>,</w:t>
      </w:r>
      <w:r w:rsidRPr="005A671A">
        <w:rPr>
          <w:rFonts w:ascii="Garamond" w:hAnsi="Garamond"/>
          <w:sz w:val="24"/>
          <w:szCs w:val="24"/>
        </w:rPr>
        <w:t xml:space="preserve"> “Për organizimin dhe funksionimin e Gjykatës Kushtetuese të Republikës së Shqipërisë”, të ndryshuar, njëzëri, </w:t>
      </w:r>
    </w:p>
    <w:p w14:paraId="35194089" w14:textId="77777777" w:rsidR="004A576C" w:rsidRPr="005A671A" w:rsidRDefault="004A576C" w:rsidP="004A576C">
      <w:pPr>
        <w:tabs>
          <w:tab w:val="left" w:pos="840"/>
        </w:tabs>
        <w:spacing w:after="0" w:line="240" w:lineRule="auto"/>
        <w:ind w:firstLine="284"/>
        <w:jc w:val="both"/>
        <w:rPr>
          <w:rFonts w:ascii="Garamond" w:hAnsi="Garamond"/>
          <w:sz w:val="24"/>
          <w:szCs w:val="24"/>
        </w:rPr>
      </w:pPr>
    </w:p>
    <w:p w14:paraId="24CD95EC" w14:textId="575D2083" w:rsidR="004A576C" w:rsidRPr="005A671A" w:rsidRDefault="004A576C" w:rsidP="004A576C">
      <w:pPr>
        <w:spacing w:after="0" w:line="240" w:lineRule="auto"/>
        <w:ind w:firstLine="284"/>
        <w:jc w:val="center"/>
        <w:rPr>
          <w:rFonts w:ascii="Garamond" w:hAnsi="Garamond"/>
          <w:bCs/>
          <w:sz w:val="24"/>
          <w:szCs w:val="24"/>
        </w:rPr>
      </w:pPr>
      <w:r w:rsidRPr="005A671A">
        <w:rPr>
          <w:rFonts w:ascii="Garamond" w:hAnsi="Garamond"/>
          <w:bCs/>
          <w:sz w:val="24"/>
          <w:szCs w:val="24"/>
        </w:rPr>
        <w:t>VENDOSI:</w:t>
      </w:r>
    </w:p>
    <w:p w14:paraId="127E0D5B" w14:textId="77777777" w:rsidR="004A576C" w:rsidRPr="005A671A" w:rsidRDefault="004A576C" w:rsidP="004A576C">
      <w:pPr>
        <w:pStyle w:val="ListParagraph"/>
        <w:spacing w:after="0" w:line="240" w:lineRule="auto"/>
        <w:ind w:left="0" w:firstLine="284"/>
        <w:jc w:val="both"/>
        <w:rPr>
          <w:rFonts w:ascii="Garamond" w:hAnsi="Garamond"/>
          <w:sz w:val="24"/>
          <w:szCs w:val="24"/>
        </w:rPr>
      </w:pPr>
    </w:p>
    <w:p w14:paraId="7DFD4384" w14:textId="3111C9F8" w:rsidR="004A576C" w:rsidRPr="005A671A" w:rsidRDefault="004A576C" w:rsidP="004A576C">
      <w:pPr>
        <w:pStyle w:val="ListParagraph"/>
        <w:spacing w:after="0" w:line="240" w:lineRule="auto"/>
        <w:ind w:left="0" w:firstLine="284"/>
        <w:jc w:val="both"/>
        <w:rPr>
          <w:rFonts w:ascii="Garamond" w:hAnsi="Garamond"/>
          <w:sz w:val="24"/>
          <w:szCs w:val="24"/>
        </w:rPr>
      </w:pPr>
      <w:r w:rsidRPr="005A671A">
        <w:rPr>
          <w:rFonts w:ascii="Garamond" w:hAnsi="Garamond"/>
          <w:sz w:val="24"/>
          <w:szCs w:val="24"/>
        </w:rPr>
        <w:t>1. Pranimin e pjesshëm të kërkesës.</w:t>
      </w:r>
    </w:p>
    <w:p w14:paraId="78141569" w14:textId="4214E468" w:rsidR="004A576C" w:rsidRPr="005A671A" w:rsidRDefault="004A576C" w:rsidP="004A576C">
      <w:pPr>
        <w:spacing w:after="0" w:line="240" w:lineRule="auto"/>
        <w:ind w:firstLine="284"/>
        <w:jc w:val="both"/>
        <w:rPr>
          <w:rFonts w:ascii="Garamond" w:hAnsi="Garamond"/>
          <w:sz w:val="24"/>
          <w:szCs w:val="24"/>
        </w:rPr>
      </w:pPr>
      <w:r w:rsidRPr="005A671A">
        <w:rPr>
          <w:rFonts w:ascii="Garamond" w:hAnsi="Garamond"/>
          <w:sz w:val="24"/>
          <w:szCs w:val="24"/>
        </w:rPr>
        <w:t>2. Plotësimin e vendimit nr. 21, datë 22.4.2025</w:t>
      </w:r>
      <w:r w:rsidR="005A671A">
        <w:rPr>
          <w:rFonts w:ascii="Garamond" w:hAnsi="Garamond"/>
          <w:sz w:val="24"/>
          <w:szCs w:val="24"/>
        </w:rPr>
        <w:t>,</w:t>
      </w:r>
      <w:r w:rsidRPr="005A671A">
        <w:rPr>
          <w:rFonts w:ascii="Garamond" w:hAnsi="Garamond"/>
          <w:b/>
          <w:bCs/>
          <w:sz w:val="24"/>
          <w:szCs w:val="24"/>
        </w:rPr>
        <w:t xml:space="preserve"> </w:t>
      </w:r>
      <w:r w:rsidRPr="005A671A">
        <w:rPr>
          <w:rFonts w:ascii="Garamond" w:hAnsi="Garamond"/>
          <w:sz w:val="24"/>
          <w:szCs w:val="24"/>
        </w:rPr>
        <w:t>të Gjykatës Kushtetuese në dispozitivin e tij si më poshtë:</w:t>
      </w:r>
    </w:p>
    <w:p w14:paraId="35866417" w14:textId="77777777" w:rsidR="004A576C" w:rsidRPr="005A671A" w:rsidRDefault="004A576C" w:rsidP="004A576C">
      <w:pPr>
        <w:spacing w:after="0" w:line="240" w:lineRule="auto"/>
        <w:ind w:firstLine="284"/>
        <w:jc w:val="both"/>
        <w:rPr>
          <w:rFonts w:ascii="Garamond" w:hAnsi="Garamond"/>
          <w:sz w:val="24"/>
          <w:szCs w:val="24"/>
        </w:rPr>
      </w:pPr>
      <w:r w:rsidRPr="005A671A">
        <w:rPr>
          <w:rFonts w:ascii="Garamond" w:hAnsi="Garamond"/>
          <w:sz w:val="24"/>
          <w:szCs w:val="24"/>
        </w:rPr>
        <w:t>“</w:t>
      </w:r>
      <w:r w:rsidRPr="005A671A">
        <w:rPr>
          <w:rFonts w:ascii="Garamond" w:hAnsi="Garamond"/>
          <w:i/>
          <w:iCs/>
          <w:sz w:val="24"/>
          <w:szCs w:val="24"/>
        </w:rPr>
        <w:t>Shpenzimet e përfaqësimit të kërkuesit në vlerën 200.000 (dyqind mijë) lekë i ngarkohen Ministrisë së Financave</w:t>
      </w:r>
      <w:r w:rsidRPr="005A671A">
        <w:rPr>
          <w:rFonts w:ascii="Garamond" w:hAnsi="Garamond"/>
          <w:sz w:val="24"/>
          <w:szCs w:val="24"/>
        </w:rPr>
        <w:t xml:space="preserve">.”. </w:t>
      </w:r>
    </w:p>
    <w:p w14:paraId="7FBAA570" w14:textId="2B294D6C" w:rsidR="004A576C" w:rsidRPr="005A671A" w:rsidRDefault="004A576C" w:rsidP="004A576C">
      <w:pPr>
        <w:spacing w:after="0" w:line="240" w:lineRule="auto"/>
        <w:ind w:firstLine="284"/>
        <w:jc w:val="both"/>
        <w:rPr>
          <w:rFonts w:ascii="Garamond" w:hAnsi="Garamond"/>
          <w:sz w:val="24"/>
          <w:szCs w:val="24"/>
        </w:rPr>
      </w:pPr>
      <w:r w:rsidRPr="005A671A">
        <w:rPr>
          <w:rFonts w:ascii="Garamond" w:hAnsi="Garamond"/>
          <w:sz w:val="24"/>
          <w:szCs w:val="24"/>
        </w:rPr>
        <w:t>3. Një kopje e këtij vendimi i bashkohet vendimit përfundimtar nr. 21, datë 22.4.2025</w:t>
      </w:r>
      <w:r w:rsidR="005A671A">
        <w:rPr>
          <w:rFonts w:ascii="Garamond" w:hAnsi="Garamond"/>
          <w:sz w:val="24"/>
          <w:szCs w:val="24"/>
        </w:rPr>
        <w:t>,</w:t>
      </w:r>
      <w:r w:rsidRPr="005A671A">
        <w:rPr>
          <w:rFonts w:ascii="Garamond" w:hAnsi="Garamond"/>
          <w:b/>
          <w:bCs/>
          <w:sz w:val="24"/>
          <w:szCs w:val="24"/>
        </w:rPr>
        <w:t xml:space="preserve"> </w:t>
      </w:r>
      <w:r w:rsidRPr="005A671A">
        <w:rPr>
          <w:rFonts w:ascii="Garamond" w:hAnsi="Garamond"/>
          <w:sz w:val="24"/>
          <w:szCs w:val="24"/>
        </w:rPr>
        <w:t>të Gjykatës Kushtetuese.</w:t>
      </w:r>
    </w:p>
    <w:p w14:paraId="3669A6C9" w14:textId="77777777" w:rsidR="004A576C" w:rsidRPr="005A671A" w:rsidRDefault="004A576C" w:rsidP="004A576C">
      <w:pPr>
        <w:tabs>
          <w:tab w:val="left" w:pos="1080"/>
        </w:tabs>
        <w:spacing w:after="0" w:line="240" w:lineRule="auto"/>
        <w:ind w:firstLine="284"/>
        <w:jc w:val="both"/>
        <w:rPr>
          <w:rFonts w:ascii="Garamond" w:hAnsi="Garamond"/>
          <w:sz w:val="24"/>
          <w:szCs w:val="24"/>
        </w:rPr>
      </w:pPr>
      <w:r w:rsidRPr="005A671A">
        <w:rPr>
          <w:rFonts w:ascii="Garamond" w:hAnsi="Garamond"/>
          <w:sz w:val="24"/>
          <w:szCs w:val="24"/>
        </w:rPr>
        <w:t>Ky vendim është përfundimtar dhe hyn në fuqi ditën e botimit në Fletoren Zyrtare.</w:t>
      </w:r>
    </w:p>
    <w:p w14:paraId="0E30327B" w14:textId="15EB1F17" w:rsidR="004A576C" w:rsidRPr="005A671A" w:rsidRDefault="004A576C" w:rsidP="004A576C">
      <w:pPr>
        <w:spacing w:after="0" w:line="240" w:lineRule="auto"/>
        <w:ind w:firstLine="284"/>
        <w:rPr>
          <w:rFonts w:ascii="Garamond" w:hAnsi="Garamond"/>
          <w:b/>
          <w:bCs/>
          <w:sz w:val="24"/>
          <w:szCs w:val="24"/>
        </w:rPr>
      </w:pPr>
      <w:r w:rsidRPr="005A671A">
        <w:rPr>
          <w:rFonts w:ascii="Garamond" w:hAnsi="Garamond"/>
          <w:b/>
          <w:bCs/>
          <w:sz w:val="24"/>
          <w:szCs w:val="24"/>
        </w:rPr>
        <w:t>Marrë më 14.10.2025</w:t>
      </w:r>
      <w:r w:rsidR="005A671A">
        <w:rPr>
          <w:rFonts w:ascii="Garamond" w:hAnsi="Garamond"/>
          <w:b/>
          <w:bCs/>
          <w:sz w:val="24"/>
          <w:szCs w:val="24"/>
        </w:rPr>
        <w:t>.</w:t>
      </w:r>
    </w:p>
    <w:p w14:paraId="6A0D5AC5" w14:textId="78146934" w:rsidR="004A576C" w:rsidRPr="005A671A" w:rsidRDefault="004A576C" w:rsidP="004A576C">
      <w:pPr>
        <w:spacing w:after="0" w:line="240" w:lineRule="auto"/>
        <w:ind w:firstLine="284"/>
        <w:rPr>
          <w:rFonts w:ascii="Garamond" w:hAnsi="Garamond"/>
          <w:b/>
          <w:bCs/>
          <w:sz w:val="24"/>
          <w:szCs w:val="24"/>
        </w:rPr>
      </w:pPr>
      <w:r w:rsidRPr="005A671A">
        <w:rPr>
          <w:rFonts w:ascii="Garamond" w:hAnsi="Garamond"/>
          <w:b/>
          <w:bCs/>
          <w:sz w:val="24"/>
          <w:szCs w:val="24"/>
        </w:rPr>
        <w:lastRenderedPageBreak/>
        <w:t>Shpallur më 4.11.2025</w:t>
      </w:r>
      <w:r w:rsidR="005A671A">
        <w:rPr>
          <w:rFonts w:ascii="Garamond" w:hAnsi="Garamond"/>
          <w:b/>
          <w:bCs/>
          <w:sz w:val="24"/>
          <w:szCs w:val="24"/>
        </w:rPr>
        <w:t>.</w:t>
      </w:r>
    </w:p>
    <w:p w14:paraId="1D60195A" w14:textId="2AB53834" w:rsidR="004A576C" w:rsidRPr="005A671A" w:rsidRDefault="004A576C" w:rsidP="004A576C">
      <w:pPr>
        <w:spacing w:after="0" w:line="240" w:lineRule="auto"/>
        <w:ind w:firstLine="284"/>
        <w:rPr>
          <w:rFonts w:ascii="Garamond" w:hAnsi="Garamond"/>
          <w:sz w:val="24"/>
          <w:szCs w:val="24"/>
        </w:rPr>
      </w:pPr>
    </w:p>
    <w:p w14:paraId="0539EAFA" w14:textId="4371AAAB" w:rsidR="004A576C" w:rsidRPr="005A671A" w:rsidRDefault="004A576C" w:rsidP="005A671A">
      <w:pPr>
        <w:spacing w:after="0" w:line="240" w:lineRule="auto"/>
        <w:ind w:firstLine="284"/>
        <w:jc w:val="both"/>
        <w:rPr>
          <w:rFonts w:ascii="Garamond" w:hAnsi="Garamond"/>
          <w:sz w:val="24"/>
          <w:szCs w:val="24"/>
        </w:rPr>
      </w:pPr>
      <w:r w:rsidRPr="005A671A">
        <w:rPr>
          <w:rFonts w:ascii="Garamond" w:hAnsi="Garamond"/>
          <w:b/>
          <w:sz w:val="24"/>
          <w:szCs w:val="24"/>
        </w:rPr>
        <w:t>Kryetare</w:t>
      </w:r>
      <w:r w:rsidRPr="005A671A">
        <w:rPr>
          <w:rFonts w:ascii="Garamond" w:hAnsi="Garamond"/>
          <w:sz w:val="24"/>
          <w:szCs w:val="24"/>
        </w:rPr>
        <w:t xml:space="preserve">: </w:t>
      </w:r>
      <w:r w:rsidRPr="005A671A">
        <w:rPr>
          <w:rFonts w:ascii="Garamond" w:hAnsi="Garamond"/>
          <w:bCs/>
          <w:sz w:val="24"/>
          <w:szCs w:val="24"/>
        </w:rPr>
        <w:t>Holta Zaçaj</w:t>
      </w:r>
    </w:p>
    <w:p w14:paraId="5F47029C" w14:textId="7F075F7B" w:rsidR="004A576C" w:rsidRPr="005A671A" w:rsidRDefault="004A576C" w:rsidP="005A671A">
      <w:pPr>
        <w:spacing w:after="0" w:line="240" w:lineRule="auto"/>
        <w:ind w:firstLine="284"/>
        <w:jc w:val="both"/>
        <w:rPr>
          <w:rFonts w:ascii="Garamond" w:hAnsi="Garamond"/>
          <w:sz w:val="24"/>
          <w:szCs w:val="24"/>
        </w:rPr>
      </w:pPr>
      <w:r w:rsidRPr="005A671A">
        <w:rPr>
          <w:rFonts w:ascii="Garamond" w:hAnsi="Garamond"/>
          <w:b/>
          <w:sz w:val="24"/>
          <w:szCs w:val="24"/>
        </w:rPr>
        <w:t>Anëtarë</w:t>
      </w:r>
      <w:r w:rsidRPr="005A671A">
        <w:rPr>
          <w:rFonts w:ascii="Garamond" w:hAnsi="Garamond"/>
          <w:sz w:val="24"/>
          <w:szCs w:val="24"/>
        </w:rPr>
        <w:t>:</w:t>
      </w:r>
      <w:r w:rsidRPr="005A671A">
        <w:rPr>
          <w:rFonts w:ascii="Garamond" w:hAnsi="Garamond"/>
          <w:bCs/>
          <w:sz w:val="24"/>
          <w:szCs w:val="24"/>
        </w:rPr>
        <w:t xml:space="preserve"> Sonila Bejtja, Fiona Papajorgji, Genti Ibrahimi, Ilir Toska, Sandër Beci, Marsida Xhaferllari, Marjana Semini</w:t>
      </w:r>
    </w:p>
    <w:p w14:paraId="46FE695B" w14:textId="77777777" w:rsidR="004A576C" w:rsidRPr="005A671A" w:rsidRDefault="004A576C" w:rsidP="005A671A">
      <w:pPr>
        <w:spacing w:after="0" w:line="240" w:lineRule="auto"/>
        <w:ind w:firstLine="284"/>
        <w:jc w:val="both"/>
        <w:rPr>
          <w:rFonts w:ascii="Garamond" w:hAnsi="Garamond"/>
          <w:sz w:val="24"/>
          <w:szCs w:val="24"/>
        </w:rPr>
      </w:pPr>
    </w:p>
    <w:sectPr w:rsidR="004A576C" w:rsidRPr="005A671A" w:rsidSect="00C07951">
      <w:headerReference w:type="default" r:id="rId12"/>
      <w:footerReference w:type="default" r:id="rId13"/>
      <w:footerReference w:type="first" r:id="rId14"/>
      <w:pgSz w:w="12240" w:h="15840"/>
      <w:pgMar w:top="630" w:right="1440" w:bottom="540" w:left="1440" w:header="720" w:footer="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51ED3" w14:textId="77777777" w:rsidR="007669FE" w:rsidRDefault="007669FE" w:rsidP="00DC6342">
      <w:pPr>
        <w:spacing w:after="0" w:line="240" w:lineRule="auto"/>
      </w:pPr>
      <w:r>
        <w:separator/>
      </w:r>
    </w:p>
  </w:endnote>
  <w:endnote w:type="continuationSeparator" w:id="0">
    <w:p w14:paraId="7A7A6880" w14:textId="77777777" w:rsidR="007669FE" w:rsidRDefault="007669FE" w:rsidP="00DC6342">
      <w:pPr>
        <w:spacing w:after="0" w:line="240" w:lineRule="auto"/>
      </w:pPr>
      <w:r>
        <w:continuationSeparator/>
      </w:r>
    </w:p>
  </w:endnote>
  <w:endnote w:type="continuationNotice" w:id="1">
    <w:p w14:paraId="5D176E91" w14:textId="77777777" w:rsidR="007669FE" w:rsidRDefault="007669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35335" w14:textId="77777777" w:rsidR="007669FE" w:rsidRPr="00FC68A1" w:rsidRDefault="007669FE" w:rsidP="00AC1802">
    <w:pPr>
      <w:pStyle w:val="Footer"/>
      <w:tabs>
        <w:tab w:val="clear" w:pos="4680"/>
        <w:tab w:val="clear" w:pos="9360"/>
        <w:tab w:val="left" w:pos="391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35336" w14:textId="77777777" w:rsidR="007669FE" w:rsidRDefault="007669FE" w:rsidP="00464E6B">
    <w:pPr>
      <w:pStyle w:val="Footer"/>
    </w:pPr>
  </w:p>
  <w:p w14:paraId="62835337" w14:textId="77777777" w:rsidR="007669FE" w:rsidRDefault="00766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13900" w14:textId="77777777" w:rsidR="007669FE" w:rsidRDefault="007669FE" w:rsidP="00DC6342">
      <w:pPr>
        <w:spacing w:after="0" w:line="240" w:lineRule="auto"/>
      </w:pPr>
      <w:r>
        <w:separator/>
      </w:r>
    </w:p>
  </w:footnote>
  <w:footnote w:type="continuationSeparator" w:id="0">
    <w:p w14:paraId="2F72023C" w14:textId="77777777" w:rsidR="007669FE" w:rsidRDefault="007669FE" w:rsidP="00DC6342">
      <w:pPr>
        <w:spacing w:after="0" w:line="240" w:lineRule="auto"/>
      </w:pPr>
      <w:r>
        <w:continuationSeparator/>
      </w:r>
    </w:p>
  </w:footnote>
  <w:footnote w:type="continuationNotice" w:id="1">
    <w:p w14:paraId="1A2709F3" w14:textId="77777777" w:rsidR="007669FE" w:rsidRDefault="007669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4C21C" w14:textId="77777777" w:rsidR="007669FE" w:rsidRDefault="00766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D66FE"/>
    <w:multiLevelType w:val="hybridMultilevel"/>
    <w:tmpl w:val="CBFE86C6"/>
    <w:lvl w:ilvl="0" w:tplc="FEEA068E">
      <w:start w:val="1"/>
      <w:numFmt w:val="decimal"/>
      <w:lvlText w:val="%1."/>
      <w:lvlJc w:val="left"/>
      <w:pPr>
        <w:ind w:left="720" w:hanging="360"/>
      </w:pPr>
      <w:rPr>
        <w:rFonts w:hint="default"/>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68E2097"/>
    <w:multiLevelType w:val="multilevel"/>
    <w:tmpl w:val="7CB497AA"/>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B266823"/>
    <w:multiLevelType w:val="hybridMultilevel"/>
    <w:tmpl w:val="0534ED0A"/>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B887FE4"/>
    <w:multiLevelType w:val="multilevel"/>
    <w:tmpl w:val="537E5822"/>
    <w:lvl w:ilvl="0">
      <w:start w:val="1"/>
      <w:numFmt w:val="decimal"/>
      <w:lvlText w:val="%1."/>
      <w:lvlJc w:val="left"/>
      <w:pPr>
        <w:ind w:left="72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6" w15:restartNumberingAfterBreak="0">
    <w:nsid w:val="10483CAC"/>
    <w:multiLevelType w:val="hybridMultilevel"/>
    <w:tmpl w:val="CBFE86C6"/>
    <w:lvl w:ilvl="0" w:tplc="FEEA068E">
      <w:start w:val="1"/>
      <w:numFmt w:val="decimal"/>
      <w:lvlText w:val="%1."/>
      <w:lvlJc w:val="left"/>
      <w:pPr>
        <w:ind w:left="720" w:hanging="360"/>
      </w:pPr>
      <w:rPr>
        <w:rFonts w:hint="default"/>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D44C42"/>
    <w:multiLevelType w:val="hybridMultilevel"/>
    <w:tmpl w:val="DE6676A0"/>
    <w:lvl w:ilvl="0" w:tplc="E1C84A7C">
      <w:start w:val="356"/>
      <w:numFmt w:val="bullet"/>
      <w:lvlText w:val="-"/>
      <w:lvlJc w:val="left"/>
      <w:pPr>
        <w:ind w:left="1440" w:hanging="360"/>
      </w:pPr>
      <w:rPr>
        <w:rFonts w:ascii="Times New Roman" w:eastAsia="Times New Roman" w:hAnsi="Times New Roman" w:cs="Times New Roman" w:hint="default"/>
        <w:b w:val="0"/>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9" w15:restartNumberingAfterBreak="0">
    <w:nsid w:val="278666A1"/>
    <w:multiLevelType w:val="hybridMultilevel"/>
    <w:tmpl w:val="CD14F658"/>
    <w:lvl w:ilvl="0" w:tplc="18F83D42">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602D3"/>
    <w:multiLevelType w:val="multilevel"/>
    <w:tmpl w:val="529A611A"/>
    <w:lvl w:ilvl="0">
      <w:start w:val="6"/>
      <w:numFmt w:val="decimal"/>
      <w:lvlText w:val="%1."/>
      <w:lvlJc w:val="left"/>
      <w:pPr>
        <w:ind w:left="360" w:hanging="360"/>
      </w:pPr>
      <w:rPr>
        <w:rFonts w:hint="default"/>
        <w:b w:val="0"/>
        <w:i w:val="0"/>
      </w:rPr>
    </w:lvl>
    <w:lvl w:ilvl="1">
      <w:start w:val="1"/>
      <w:numFmt w:val="decimal"/>
      <w:lvlText w:val="%1.%2."/>
      <w:lvlJc w:val="left"/>
      <w:pPr>
        <w:ind w:left="171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1" w15:restartNumberingAfterBreak="0">
    <w:nsid w:val="32DC67E9"/>
    <w:multiLevelType w:val="hybridMultilevel"/>
    <w:tmpl w:val="6ADE5968"/>
    <w:lvl w:ilvl="0" w:tplc="04090017">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59E3A7F"/>
    <w:multiLevelType w:val="hybridMultilevel"/>
    <w:tmpl w:val="75BAE39A"/>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8848C4"/>
    <w:multiLevelType w:val="multilevel"/>
    <w:tmpl w:val="75E201DE"/>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42143055"/>
    <w:multiLevelType w:val="multilevel"/>
    <w:tmpl w:val="0D9C67C4"/>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4493015E"/>
    <w:multiLevelType w:val="multilevel"/>
    <w:tmpl w:val="572A76AC"/>
    <w:lvl w:ilvl="0">
      <w:start w:val="5"/>
      <w:numFmt w:val="decimal"/>
      <w:lvlText w:val="%1."/>
      <w:lvlJc w:val="left"/>
      <w:pPr>
        <w:ind w:left="360" w:hanging="360"/>
      </w:pPr>
      <w:rPr>
        <w:rFonts w:hint="default"/>
        <w:b/>
        <w:i/>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b/>
        <w:i/>
      </w:rPr>
    </w:lvl>
    <w:lvl w:ilvl="3">
      <w:start w:val="1"/>
      <w:numFmt w:val="decimal"/>
      <w:lvlText w:val="%1.%2.%3.%4."/>
      <w:lvlJc w:val="left"/>
      <w:pPr>
        <w:ind w:left="2421" w:hanging="720"/>
      </w:pPr>
      <w:rPr>
        <w:rFonts w:hint="default"/>
        <w:b/>
        <w:i/>
      </w:rPr>
    </w:lvl>
    <w:lvl w:ilvl="4">
      <w:start w:val="1"/>
      <w:numFmt w:val="decimal"/>
      <w:lvlText w:val="%1.%2.%3.%4.%5."/>
      <w:lvlJc w:val="left"/>
      <w:pPr>
        <w:ind w:left="3348" w:hanging="1080"/>
      </w:pPr>
      <w:rPr>
        <w:rFonts w:hint="default"/>
        <w:b/>
        <w:i/>
      </w:rPr>
    </w:lvl>
    <w:lvl w:ilvl="5">
      <w:start w:val="1"/>
      <w:numFmt w:val="decimal"/>
      <w:lvlText w:val="%1.%2.%3.%4.%5.%6."/>
      <w:lvlJc w:val="left"/>
      <w:pPr>
        <w:ind w:left="3915" w:hanging="1080"/>
      </w:pPr>
      <w:rPr>
        <w:rFonts w:hint="default"/>
        <w:b/>
        <w:i/>
      </w:rPr>
    </w:lvl>
    <w:lvl w:ilvl="6">
      <w:start w:val="1"/>
      <w:numFmt w:val="decimal"/>
      <w:lvlText w:val="%1.%2.%3.%4.%5.%6.%7."/>
      <w:lvlJc w:val="left"/>
      <w:pPr>
        <w:ind w:left="4842" w:hanging="1440"/>
      </w:pPr>
      <w:rPr>
        <w:rFonts w:hint="default"/>
        <w:b/>
        <w:i/>
      </w:rPr>
    </w:lvl>
    <w:lvl w:ilvl="7">
      <w:start w:val="1"/>
      <w:numFmt w:val="decimal"/>
      <w:lvlText w:val="%1.%2.%3.%4.%5.%6.%7.%8."/>
      <w:lvlJc w:val="left"/>
      <w:pPr>
        <w:ind w:left="5409" w:hanging="1440"/>
      </w:pPr>
      <w:rPr>
        <w:rFonts w:hint="default"/>
        <w:b/>
        <w:i/>
      </w:rPr>
    </w:lvl>
    <w:lvl w:ilvl="8">
      <w:start w:val="1"/>
      <w:numFmt w:val="decimal"/>
      <w:lvlText w:val="%1.%2.%3.%4.%5.%6.%7.%8.%9."/>
      <w:lvlJc w:val="left"/>
      <w:pPr>
        <w:ind w:left="6336" w:hanging="1800"/>
      </w:pPr>
      <w:rPr>
        <w:rFonts w:hint="default"/>
        <w:b/>
        <w:i/>
      </w:rPr>
    </w:lvl>
  </w:abstractNum>
  <w:abstractNum w:abstractNumId="17" w15:restartNumberingAfterBreak="0">
    <w:nsid w:val="465F7CFA"/>
    <w:multiLevelType w:val="multilevel"/>
    <w:tmpl w:val="8F94AE1C"/>
    <w:lvl w:ilvl="0">
      <w:start w:val="1"/>
      <w:numFmt w:val="decimal"/>
      <w:lvlText w:val="%1."/>
      <w:lvlJc w:val="left"/>
      <w:pPr>
        <w:ind w:left="360" w:hanging="360"/>
      </w:pPr>
      <w:rPr>
        <w:b w:val="0"/>
        <w:i w:val="0"/>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8"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A071E9"/>
    <w:multiLevelType w:val="hybridMultilevel"/>
    <w:tmpl w:val="92D0D370"/>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8C20C0C"/>
    <w:multiLevelType w:val="hybridMultilevel"/>
    <w:tmpl w:val="9BF46026"/>
    <w:lvl w:ilvl="0" w:tplc="9C8C4692">
      <w:start w:val="4"/>
      <w:numFmt w:val="upperRoman"/>
      <w:lvlText w:val="%1&gt;"/>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A1D0138"/>
    <w:multiLevelType w:val="multilevel"/>
    <w:tmpl w:val="1B003500"/>
    <w:lvl w:ilvl="0">
      <w:start w:val="30"/>
      <w:numFmt w:val="decimal"/>
      <w:lvlText w:val="%1."/>
      <w:lvlJc w:val="left"/>
      <w:pPr>
        <w:ind w:left="480" w:hanging="480"/>
      </w:pPr>
      <w:rPr>
        <w:rFonts w:hint="default"/>
        <w:b w:val="0"/>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2" w15:restartNumberingAfterBreak="0">
    <w:nsid w:val="52234ADA"/>
    <w:multiLevelType w:val="multilevel"/>
    <w:tmpl w:val="0F2EAD36"/>
    <w:lvl w:ilvl="0">
      <w:start w:val="1"/>
      <w:numFmt w:val="decimal"/>
      <w:lvlText w:val="%1."/>
      <w:lvlJc w:val="left"/>
      <w:pPr>
        <w:ind w:left="360" w:hanging="360"/>
      </w:pPr>
      <w:rPr>
        <w:i w:val="0"/>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5BCA17F9"/>
    <w:multiLevelType w:val="multilevel"/>
    <w:tmpl w:val="0E4E13EA"/>
    <w:lvl w:ilvl="0">
      <w:start w:val="7"/>
      <w:numFmt w:val="decimal"/>
      <w:lvlText w:val="%1."/>
      <w:lvlJc w:val="left"/>
      <w:pPr>
        <w:ind w:left="360" w:hanging="360"/>
      </w:pPr>
      <w:rPr>
        <w:rFonts w:hint="default"/>
        <w:i w:val="0"/>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24" w15:restartNumberingAfterBreak="0">
    <w:nsid w:val="5BD82746"/>
    <w:multiLevelType w:val="multilevel"/>
    <w:tmpl w:val="79BE0490"/>
    <w:lvl w:ilvl="0">
      <w:start w:val="1"/>
      <w:numFmt w:val="decimal"/>
      <w:lvlText w:val="%1."/>
      <w:lvlJc w:val="left"/>
      <w:pPr>
        <w:ind w:left="108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5" w15:restartNumberingAfterBreak="0">
    <w:nsid w:val="5BDF4CBF"/>
    <w:multiLevelType w:val="multilevel"/>
    <w:tmpl w:val="6ACA480C"/>
    <w:lvl w:ilvl="0">
      <w:start w:val="13"/>
      <w:numFmt w:val="decimal"/>
      <w:lvlText w:val="%1."/>
      <w:lvlJc w:val="left"/>
      <w:pPr>
        <w:ind w:left="48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6" w15:restartNumberingAfterBreak="0">
    <w:nsid w:val="5C9206DA"/>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4A417AB"/>
    <w:multiLevelType w:val="hybridMultilevel"/>
    <w:tmpl w:val="741CD17C"/>
    <w:lvl w:ilvl="0" w:tplc="2DB01F14">
      <w:start w:val="1"/>
      <w:numFmt w:val="decimal"/>
      <w:lvlText w:val="%1."/>
      <w:lvlJc w:val="left"/>
      <w:pPr>
        <w:ind w:left="2487" w:hanging="360"/>
      </w:pPr>
      <w:rPr>
        <w:rFonts w:hint="default"/>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77B24AA0"/>
    <w:multiLevelType w:val="multilevel"/>
    <w:tmpl w:val="BD5CF436"/>
    <w:lvl w:ilvl="0">
      <w:start w:val="1"/>
      <w:numFmt w:val="decimal"/>
      <w:lvlText w:val="%1."/>
      <w:lvlJc w:val="left"/>
      <w:pPr>
        <w:ind w:left="1440" w:hanging="360"/>
      </w:pPr>
      <w:rPr>
        <w:rFonts w:ascii="Times New Roman" w:eastAsia="Calibri" w:hAnsi="Times New Roman" w:cs="Times New Roman"/>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1" w15:restartNumberingAfterBreak="0">
    <w:nsid w:val="7A6245B0"/>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32" w15:restartNumberingAfterBreak="0">
    <w:nsid w:val="7DD76378"/>
    <w:multiLevelType w:val="hybridMultilevel"/>
    <w:tmpl w:val="2E8E8080"/>
    <w:lvl w:ilvl="0" w:tplc="B9CC46D0">
      <w:start w:val="1"/>
      <w:numFmt w:val="lowerRoman"/>
      <w:lvlText w:val="%1)"/>
      <w:lvlJc w:val="left"/>
      <w:pPr>
        <w:ind w:left="1350" w:hanging="72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num w:numId="1">
    <w:abstractNumId w:val="9"/>
  </w:num>
  <w:num w:numId="2">
    <w:abstractNumId w:val="19"/>
  </w:num>
  <w:num w:numId="3">
    <w:abstractNumId w:val="10"/>
  </w:num>
  <w:num w:numId="4">
    <w:abstractNumId w:val="17"/>
  </w:num>
  <w:num w:numId="5">
    <w:abstractNumId w:val="13"/>
  </w:num>
  <w:num w:numId="6">
    <w:abstractNumId w:val="26"/>
  </w:num>
  <w:num w:numId="7">
    <w:abstractNumId w:val="25"/>
  </w:num>
  <w:num w:numId="8">
    <w:abstractNumId w:val="32"/>
  </w:num>
  <w:num w:numId="9">
    <w:abstractNumId w:val="11"/>
  </w:num>
  <w:num w:numId="10">
    <w:abstractNumId w:val="22"/>
  </w:num>
  <w:num w:numId="11">
    <w:abstractNumId w:val="20"/>
  </w:num>
  <w:num w:numId="12">
    <w:abstractNumId w:val="24"/>
  </w:num>
  <w:num w:numId="13">
    <w:abstractNumId w:val="21"/>
  </w:num>
  <w:num w:numId="14">
    <w:abstractNumId w:val="5"/>
  </w:num>
  <w:num w:numId="15">
    <w:abstractNumId w:val="6"/>
  </w:num>
  <w:num w:numId="16">
    <w:abstractNumId w:val="14"/>
  </w:num>
  <w:num w:numId="17">
    <w:abstractNumId w:val="15"/>
  </w:num>
  <w:num w:numId="18">
    <w:abstractNumId w:val="4"/>
  </w:num>
  <w:num w:numId="19">
    <w:abstractNumId w:val="31"/>
  </w:num>
  <w:num w:numId="20">
    <w:abstractNumId w:val="2"/>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3"/>
  </w:num>
  <w:num w:numId="24">
    <w:abstractNumId w:val="27"/>
  </w:num>
  <w:num w:numId="25">
    <w:abstractNumId w:val="8"/>
  </w:num>
  <w:num w:numId="26">
    <w:abstractNumId w:val="0"/>
  </w:num>
  <w:num w:numId="27">
    <w:abstractNumId w:val="18"/>
  </w:num>
  <w:num w:numId="28">
    <w:abstractNumId w:val="12"/>
  </w:num>
  <w:num w:numId="29">
    <w:abstractNumId w:val="30"/>
  </w:num>
  <w:num w:numId="30">
    <w:abstractNumId w:val="28"/>
  </w:num>
  <w:num w:numId="31">
    <w:abstractNumId w:val="7"/>
  </w:num>
  <w:num w:numId="32">
    <w:abstractNumId w:val="3"/>
  </w:num>
  <w:num w:numId="33">
    <w:abstractNumId w:val="16"/>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342"/>
    <w:rsid w:val="0000428D"/>
    <w:rsid w:val="00013036"/>
    <w:rsid w:val="00026365"/>
    <w:rsid w:val="00033114"/>
    <w:rsid w:val="00063DA8"/>
    <w:rsid w:val="0008651D"/>
    <w:rsid w:val="000A0DA5"/>
    <w:rsid w:val="000B0015"/>
    <w:rsid w:val="000E39E6"/>
    <w:rsid w:val="00111E08"/>
    <w:rsid w:val="00151BD2"/>
    <w:rsid w:val="00176E98"/>
    <w:rsid w:val="001F10D3"/>
    <w:rsid w:val="002261A1"/>
    <w:rsid w:val="002343E0"/>
    <w:rsid w:val="00245FF6"/>
    <w:rsid w:val="002505BE"/>
    <w:rsid w:val="00251327"/>
    <w:rsid w:val="0026191C"/>
    <w:rsid w:val="00284478"/>
    <w:rsid w:val="00285C2A"/>
    <w:rsid w:val="002A79F4"/>
    <w:rsid w:val="002D4F5D"/>
    <w:rsid w:val="002E4032"/>
    <w:rsid w:val="00312816"/>
    <w:rsid w:val="003132FC"/>
    <w:rsid w:val="00315DB5"/>
    <w:rsid w:val="00317515"/>
    <w:rsid w:val="00320A4F"/>
    <w:rsid w:val="003522A1"/>
    <w:rsid w:val="003615B6"/>
    <w:rsid w:val="0036482B"/>
    <w:rsid w:val="00367FB9"/>
    <w:rsid w:val="00390D65"/>
    <w:rsid w:val="00395F0C"/>
    <w:rsid w:val="003963F1"/>
    <w:rsid w:val="003A739E"/>
    <w:rsid w:val="003B635E"/>
    <w:rsid w:val="003C5237"/>
    <w:rsid w:val="003D08DC"/>
    <w:rsid w:val="003D574E"/>
    <w:rsid w:val="003E6FD4"/>
    <w:rsid w:val="004027DC"/>
    <w:rsid w:val="00402BE4"/>
    <w:rsid w:val="00433B7A"/>
    <w:rsid w:val="00450A00"/>
    <w:rsid w:val="00464E6B"/>
    <w:rsid w:val="004A289F"/>
    <w:rsid w:val="004A576C"/>
    <w:rsid w:val="004B409E"/>
    <w:rsid w:val="004C3EC3"/>
    <w:rsid w:val="004F2B9F"/>
    <w:rsid w:val="005102F3"/>
    <w:rsid w:val="005634CE"/>
    <w:rsid w:val="00563B16"/>
    <w:rsid w:val="00577C6E"/>
    <w:rsid w:val="005A412C"/>
    <w:rsid w:val="005A671A"/>
    <w:rsid w:val="005A72A8"/>
    <w:rsid w:val="005B3634"/>
    <w:rsid w:val="005C0ADB"/>
    <w:rsid w:val="005C34AD"/>
    <w:rsid w:val="005C4295"/>
    <w:rsid w:val="006159DE"/>
    <w:rsid w:val="00674A0B"/>
    <w:rsid w:val="00681B5C"/>
    <w:rsid w:val="00684E29"/>
    <w:rsid w:val="00686EF8"/>
    <w:rsid w:val="00687683"/>
    <w:rsid w:val="006966E6"/>
    <w:rsid w:val="00696D67"/>
    <w:rsid w:val="006D33E1"/>
    <w:rsid w:val="006E39BD"/>
    <w:rsid w:val="006E6733"/>
    <w:rsid w:val="006F1D77"/>
    <w:rsid w:val="006F4115"/>
    <w:rsid w:val="00703BE9"/>
    <w:rsid w:val="007321D6"/>
    <w:rsid w:val="0073241A"/>
    <w:rsid w:val="00735342"/>
    <w:rsid w:val="00737D4C"/>
    <w:rsid w:val="00754208"/>
    <w:rsid w:val="007669FE"/>
    <w:rsid w:val="007B45B6"/>
    <w:rsid w:val="007B681F"/>
    <w:rsid w:val="007C66FD"/>
    <w:rsid w:val="007D271C"/>
    <w:rsid w:val="007D5800"/>
    <w:rsid w:val="007D6821"/>
    <w:rsid w:val="007D7869"/>
    <w:rsid w:val="007F4F7E"/>
    <w:rsid w:val="00810BAA"/>
    <w:rsid w:val="00824B56"/>
    <w:rsid w:val="008621EE"/>
    <w:rsid w:val="00862B92"/>
    <w:rsid w:val="008719B5"/>
    <w:rsid w:val="0088708E"/>
    <w:rsid w:val="008D0963"/>
    <w:rsid w:val="008D14C0"/>
    <w:rsid w:val="008F1A18"/>
    <w:rsid w:val="00913337"/>
    <w:rsid w:val="0094015B"/>
    <w:rsid w:val="00951852"/>
    <w:rsid w:val="00986FB5"/>
    <w:rsid w:val="009B3A81"/>
    <w:rsid w:val="009B73B9"/>
    <w:rsid w:val="009D1AC0"/>
    <w:rsid w:val="00A06207"/>
    <w:rsid w:val="00A615B0"/>
    <w:rsid w:val="00A62E0A"/>
    <w:rsid w:val="00A632BA"/>
    <w:rsid w:val="00A64EF1"/>
    <w:rsid w:val="00A92628"/>
    <w:rsid w:val="00A92D03"/>
    <w:rsid w:val="00AB2BBB"/>
    <w:rsid w:val="00AB39E2"/>
    <w:rsid w:val="00AC1802"/>
    <w:rsid w:val="00B034C2"/>
    <w:rsid w:val="00B15C78"/>
    <w:rsid w:val="00B442AD"/>
    <w:rsid w:val="00B733F3"/>
    <w:rsid w:val="00B73532"/>
    <w:rsid w:val="00BC1CF0"/>
    <w:rsid w:val="00BD5618"/>
    <w:rsid w:val="00BE0DCF"/>
    <w:rsid w:val="00BF0346"/>
    <w:rsid w:val="00C05FE3"/>
    <w:rsid w:val="00C0690A"/>
    <w:rsid w:val="00C07951"/>
    <w:rsid w:val="00C216F6"/>
    <w:rsid w:val="00C25FFB"/>
    <w:rsid w:val="00C4014A"/>
    <w:rsid w:val="00C511D2"/>
    <w:rsid w:val="00C52C64"/>
    <w:rsid w:val="00C833A7"/>
    <w:rsid w:val="00CC68A2"/>
    <w:rsid w:val="00CF3F16"/>
    <w:rsid w:val="00D01857"/>
    <w:rsid w:val="00D15B5F"/>
    <w:rsid w:val="00D46793"/>
    <w:rsid w:val="00D607E6"/>
    <w:rsid w:val="00D81688"/>
    <w:rsid w:val="00D96100"/>
    <w:rsid w:val="00DC6342"/>
    <w:rsid w:val="00DD3D48"/>
    <w:rsid w:val="00DE4E19"/>
    <w:rsid w:val="00DF1E56"/>
    <w:rsid w:val="00DF2254"/>
    <w:rsid w:val="00DF5452"/>
    <w:rsid w:val="00E07EB0"/>
    <w:rsid w:val="00E22B98"/>
    <w:rsid w:val="00E31CEF"/>
    <w:rsid w:val="00E50F2A"/>
    <w:rsid w:val="00E51C87"/>
    <w:rsid w:val="00E815B7"/>
    <w:rsid w:val="00EE7F04"/>
    <w:rsid w:val="00EF756B"/>
    <w:rsid w:val="00F05BA6"/>
    <w:rsid w:val="00F46F5C"/>
    <w:rsid w:val="00F54AD3"/>
    <w:rsid w:val="00F64FE9"/>
    <w:rsid w:val="00F80434"/>
    <w:rsid w:val="00F8122E"/>
    <w:rsid w:val="00FB56FE"/>
    <w:rsid w:val="00FC5FB0"/>
    <w:rsid w:val="00FC68A1"/>
    <w:rsid w:val="00FD0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8352D6"/>
  <w15:chartTrackingRefBased/>
  <w15:docId w15:val="{AABA4816-6862-497A-A418-89DFE46D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6342"/>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4A289F"/>
    <w:pPr>
      <w:keepNext/>
      <w:numPr>
        <w:numId w:val="32"/>
      </w:numPr>
      <w:spacing w:after="0" w:line="360" w:lineRule="auto"/>
      <w:jc w:val="center"/>
      <w:outlineLvl w:val="0"/>
    </w:pPr>
    <w:rPr>
      <w:rFonts w:ascii="Times New Roman" w:eastAsiaTheme="minorHAnsi" w:hAnsi="Times New Roman"/>
      <w:b/>
      <w:sz w:val="24"/>
      <w:szCs w:val="24"/>
    </w:rPr>
  </w:style>
  <w:style w:type="paragraph" w:styleId="Heading2">
    <w:name w:val="heading 2"/>
    <w:basedOn w:val="Normal"/>
    <w:next w:val="Normal"/>
    <w:link w:val="Heading2Char"/>
    <w:uiPriority w:val="9"/>
    <w:unhideWhenUsed/>
    <w:qFormat/>
    <w:rsid w:val="004A289F"/>
    <w:pPr>
      <w:keepNext/>
      <w:numPr>
        <w:ilvl w:val="1"/>
        <w:numId w:val="32"/>
      </w:numPr>
      <w:spacing w:after="0" w:line="360" w:lineRule="auto"/>
      <w:ind w:right="-244"/>
      <w:outlineLvl w:val="1"/>
    </w:pPr>
    <w:rPr>
      <w:rFonts w:ascii="Times New Roman" w:eastAsiaTheme="minorHAnsi" w:hAnsi="Times New Roman"/>
      <w:b/>
      <w:sz w:val="24"/>
      <w:szCs w:val="24"/>
    </w:rPr>
  </w:style>
  <w:style w:type="paragraph" w:styleId="Heading3">
    <w:name w:val="heading 3"/>
    <w:basedOn w:val="Normal"/>
    <w:next w:val="Normal"/>
    <w:link w:val="Heading3Char"/>
    <w:uiPriority w:val="9"/>
    <w:semiHidden/>
    <w:unhideWhenUsed/>
    <w:qFormat/>
    <w:rsid w:val="004A289F"/>
    <w:pPr>
      <w:keepNext/>
      <w:keepLines/>
      <w:numPr>
        <w:ilvl w:val="2"/>
        <w:numId w:val="32"/>
      </w:numPr>
      <w:spacing w:before="40" w:after="0" w:line="36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A289F"/>
    <w:pPr>
      <w:keepNext/>
      <w:keepLines/>
      <w:numPr>
        <w:ilvl w:val="3"/>
        <w:numId w:val="32"/>
      </w:numPr>
      <w:spacing w:before="40" w:after="0" w:line="36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4A289F"/>
    <w:pPr>
      <w:keepNext/>
      <w:keepLines/>
      <w:numPr>
        <w:ilvl w:val="4"/>
        <w:numId w:val="32"/>
      </w:numPr>
      <w:spacing w:before="40" w:after="0" w:line="360" w:lineRule="auto"/>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4A289F"/>
    <w:pPr>
      <w:keepNext/>
      <w:keepLines/>
      <w:numPr>
        <w:ilvl w:val="5"/>
        <w:numId w:val="32"/>
      </w:numPr>
      <w:spacing w:before="40" w:after="0" w:line="360" w:lineRule="auto"/>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4A289F"/>
    <w:pPr>
      <w:keepNext/>
      <w:keepLines/>
      <w:numPr>
        <w:ilvl w:val="6"/>
        <w:numId w:val="32"/>
      </w:numPr>
      <w:spacing w:before="40" w:after="0" w:line="360" w:lineRule="auto"/>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4A289F"/>
    <w:pPr>
      <w:keepNext/>
      <w:keepLines/>
      <w:numPr>
        <w:ilvl w:val="7"/>
        <w:numId w:val="32"/>
      </w:numPr>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A289F"/>
    <w:pPr>
      <w:keepNext/>
      <w:keepLines/>
      <w:numPr>
        <w:ilvl w:val="8"/>
        <w:numId w:val="32"/>
      </w:numPr>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C6342"/>
    <w:pPr>
      <w:tabs>
        <w:tab w:val="center" w:pos="4680"/>
        <w:tab w:val="right" w:pos="9360"/>
      </w:tabs>
    </w:pPr>
  </w:style>
  <w:style w:type="character" w:customStyle="1" w:styleId="FooterChar">
    <w:name w:val="Footer Char"/>
    <w:basedOn w:val="DefaultParagraphFont"/>
    <w:link w:val="Footer"/>
    <w:uiPriority w:val="99"/>
    <w:rsid w:val="00DC6342"/>
    <w:rPr>
      <w:rFonts w:ascii="Calibri" w:eastAsia="Calibri" w:hAnsi="Calibri" w:cs="Times New Roman"/>
      <w:lang w:val="en-US"/>
    </w:rPr>
  </w:style>
  <w:style w:type="paragraph" w:styleId="Header">
    <w:name w:val="header"/>
    <w:basedOn w:val="Normal"/>
    <w:link w:val="HeaderChar"/>
    <w:uiPriority w:val="99"/>
    <w:unhideWhenUsed/>
    <w:rsid w:val="00DC6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342"/>
    <w:rPr>
      <w:rFonts w:ascii="Calibri" w:eastAsia="Calibri" w:hAnsi="Calibri" w:cs="Times New Roman"/>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C634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C6342"/>
    <w:rPr>
      <w:rFonts w:ascii="Calibri" w:eastAsia="Calibri" w:hAnsi="Calibri" w:cs="Times New Roman"/>
    </w:rPr>
  </w:style>
  <w:style w:type="paragraph" w:styleId="NoSpacing">
    <w:name w:val="No Spacing"/>
    <w:link w:val="NoSpacingChar"/>
    <w:uiPriority w:val="1"/>
    <w:qFormat/>
    <w:rsid w:val="00DC6342"/>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DC6342"/>
    <w:rPr>
      <w:rFonts w:ascii="Calibri" w:eastAsia="Calibri" w:hAnsi="Calibri" w:cs="Times New Roman"/>
    </w:rPr>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Char"/>
    <w:basedOn w:val="Normal"/>
    <w:link w:val="FootnoteTextChar"/>
    <w:uiPriority w:val="99"/>
    <w:unhideWhenUsed/>
    <w:qFormat/>
    <w:rsid w:val="00DC6342"/>
    <w:pPr>
      <w:spacing w:after="0" w:line="240" w:lineRule="auto"/>
    </w:pPr>
    <w:rPr>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DC6342"/>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DC6342"/>
    <w:rPr>
      <w:vertAlign w:val="superscript"/>
    </w:rPr>
  </w:style>
  <w:style w:type="character" w:customStyle="1" w:styleId="JuParaCar">
    <w:name w:val="Ju_Para Car"/>
    <w:basedOn w:val="DefaultParagraphFont"/>
    <w:link w:val="JuPara"/>
    <w:locked/>
    <w:rsid w:val="00DC6342"/>
    <w:rPr>
      <w:sz w:val="24"/>
      <w:lang w:val="en-GB" w:eastAsia="fr-FR"/>
    </w:rPr>
  </w:style>
  <w:style w:type="paragraph" w:customStyle="1" w:styleId="JuPara">
    <w:name w:val="Ju_Para"/>
    <w:aliases w:val="Left,First line:  0 cm,ECHR_Para,Para"/>
    <w:basedOn w:val="Normal"/>
    <w:link w:val="JuParaCar"/>
    <w:qFormat/>
    <w:rsid w:val="00DC6342"/>
    <w:pPr>
      <w:suppressAutoHyphens/>
      <w:spacing w:after="0" w:line="240" w:lineRule="auto"/>
      <w:ind w:firstLine="284"/>
      <w:jc w:val="both"/>
    </w:pPr>
    <w:rPr>
      <w:rFonts w:asciiTheme="minorHAnsi" w:eastAsiaTheme="minorHAnsi" w:hAnsiTheme="minorHAnsi" w:cstheme="minorBidi"/>
      <w:sz w:val="24"/>
      <w:lang w:val="en-GB" w:eastAsia="fr-FR"/>
    </w:rPr>
  </w:style>
  <w:style w:type="character" w:customStyle="1" w:styleId="sb8d990e2">
    <w:name w:val="sb8d990e2"/>
    <w:basedOn w:val="DefaultParagraphFont"/>
    <w:rsid w:val="00DC6342"/>
  </w:style>
  <w:style w:type="character" w:styleId="Hyperlink">
    <w:name w:val="Hyperlink"/>
    <w:basedOn w:val="DefaultParagraphFont"/>
    <w:uiPriority w:val="99"/>
    <w:unhideWhenUsed/>
    <w:rsid w:val="00DC6342"/>
    <w:rPr>
      <w:color w:val="0563C1" w:themeColor="hyperlink"/>
      <w:u w:val="single"/>
    </w:rPr>
  </w:style>
  <w:style w:type="character" w:customStyle="1" w:styleId="rynqvb">
    <w:name w:val="rynqvb"/>
    <w:basedOn w:val="DefaultParagraphFont"/>
    <w:rsid w:val="00DC6342"/>
  </w:style>
  <w:style w:type="character" w:customStyle="1" w:styleId="hwtze">
    <w:name w:val="hwtze"/>
    <w:basedOn w:val="DefaultParagraphFont"/>
    <w:rsid w:val="00DC6342"/>
  </w:style>
  <w:style w:type="character" w:customStyle="1" w:styleId="markedcontent">
    <w:name w:val="markedcontent"/>
    <w:basedOn w:val="DefaultParagraphFont"/>
    <w:rsid w:val="00DC6342"/>
  </w:style>
  <w:style w:type="paragraph" w:styleId="BodyTextIndent2">
    <w:name w:val="Body Text Indent 2"/>
    <w:basedOn w:val="Normal"/>
    <w:link w:val="BodyTextIndent2Char"/>
    <w:uiPriority w:val="99"/>
    <w:unhideWhenUsed/>
    <w:rsid w:val="00EE7F04"/>
    <w:pPr>
      <w:spacing w:after="0" w:line="360" w:lineRule="auto"/>
      <w:ind w:left="2880" w:hanging="2160"/>
      <w:jc w:val="both"/>
    </w:pPr>
    <w:rPr>
      <w:rFonts w:ascii="Times New Roman" w:eastAsiaTheme="minorHAnsi" w:hAnsi="Times New Roman"/>
      <w:b/>
      <w:sz w:val="24"/>
      <w:szCs w:val="24"/>
    </w:rPr>
  </w:style>
  <w:style w:type="character" w:customStyle="1" w:styleId="BodyTextIndent2Char">
    <w:name w:val="Body Text Indent 2 Char"/>
    <w:basedOn w:val="DefaultParagraphFont"/>
    <w:link w:val="BodyTextIndent2"/>
    <w:uiPriority w:val="99"/>
    <w:rsid w:val="00EE7F04"/>
    <w:rPr>
      <w:rFonts w:ascii="Times New Roman" w:hAnsi="Times New Roman" w:cs="Times New Roman"/>
      <w:b/>
      <w:sz w:val="24"/>
      <w:szCs w:val="24"/>
    </w:rPr>
  </w:style>
  <w:style w:type="character" w:styleId="CommentReference">
    <w:name w:val="annotation reference"/>
    <w:basedOn w:val="DefaultParagraphFont"/>
    <w:uiPriority w:val="99"/>
    <w:semiHidden/>
    <w:unhideWhenUsed/>
    <w:rsid w:val="00D81688"/>
    <w:rPr>
      <w:sz w:val="16"/>
      <w:szCs w:val="16"/>
    </w:rPr>
  </w:style>
  <w:style w:type="paragraph" w:styleId="CommentText">
    <w:name w:val="annotation text"/>
    <w:basedOn w:val="Normal"/>
    <w:link w:val="CommentTextChar"/>
    <w:uiPriority w:val="99"/>
    <w:semiHidden/>
    <w:unhideWhenUsed/>
    <w:rsid w:val="00D81688"/>
    <w:pPr>
      <w:spacing w:line="240" w:lineRule="auto"/>
    </w:pPr>
    <w:rPr>
      <w:sz w:val="20"/>
      <w:szCs w:val="20"/>
    </w:rPr>
  </w:style>
  <w:style w:type="character" w:customStyle="1" w:styleId="CommentTextChar">
    <w:name w:val="Comment Text Char"/>
    <w:basedOn w:val="DefaultParagraphFont"/>
    <w:link w:val="CommentText"/>
    <w:uiPriority w:val="99"/>
    <w:semiHidden/>
    <w:rsid w:val="00D81688"/>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81688"/>
    <w:rPr>
      <w:b/>
      <w:bCs/>
    </w:rPr>
  </w:style>
  <w:style w:type="character" w:customStyle="1" w:styleId="CommentSubjectChar">
    <w:name w:val="Comment Subject Char"/>
    <w:basedOn w:val="CommentTextChar"/>
    <w:link w:val="CommentSubject"/>
    <w:uiPriority w:val="99"/>
    <w:semiHidden/>
    <w:rsid w:val="00D81688"/>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D81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688"/>
    <w:rPr>
      <w:rFonts w:ascii="Segoe UI" w:eastAsia="Calibri" w:hAnsi="Segoe UI" w:cs="Segoe UI"/>
      <w:sz w:val="18"/>
      <w:szCs w:val="18"/>
      <w:lang w:val="en-US"/>
    </w:rPr>
  </w:style>
  <w:style w:type="character" w:customStyle="1" w:styleId="Heading1Char">
    <w:name w:val="Heading 1 Char"/>
    <w:basedOn w:val="DefaultParagraphFont"/>
    <w:link w:val="Heading1"/>
    <w:uiPriority w:val="9"/>
    <w:rsid w:val="004A289F"/>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4A289F"/>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4A289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A289F"/>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4A289F"/>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4A289F"/>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4A289F"/>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4A289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A289F"/>
    <w:rPr>
      <w:rFonts w:asciiTheme="majorHAnsi" w:eastAsiaTheme="majorEastAsia" w:hAnsiTheme="majorHAnsi" w:cstheme="majorBidi"/>
      <w:i/>
      <w:iCs/>
      <w:color w:val="272727" w:themeColor="text1" w:themeTint="D8"/>
      <w:sz w:val="21"/>
      <w:szCs w:val="21"/>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4A289F"/>
    <w:pPr>
      <w:spacing w:after="160" w:line="240" w:lineRule="exact"/>
    </w:pPr>
    <w:rPr>
      <w:rFonts w:asciiTheme="minorHAnsi" w:eastAsiaTheme="minorHAnsi" w:hAnsiTheme="minorHAnsi" w:cstheme="minorBidi"/>
      <w:vertAlign w:val="superscript"/>
    </w:rPr>
  </w:style>
  <w:style w:type="table" w:styleId="TableGrid">
    <w:name w:val="Table Grid"/>
    <w:basedOn w:val="TableNormal"/>
    <w:uiPriority w:val="39"/>
    <w:rsid w:val="004A5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535619">
      <w:bodyDiv w:val="1"/>
      <w:marLeft w:val="0"/>
      <w:marRight w:val="0"/>
      <w:marTop w:val="0"/>
      <w:marBottom w:val="0"/>
      <w:divBdr>
        <w:top w:val="none" w:sz="0" w:space="0" w:color="auto"/>
        <w:left w:val="none" w:sz="0" w:space="0" w:color="auto"/>
        <w:bottom w:val="none" w:sz="0" w:space="0" w:color="auto"/>
        <w:right w:val="none" w:sz="0" w:space="0" w:color="auto"/>
      </w:divBdr>
    </w:div>
    <w:div w:id="99916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DD1724ADD09420A9A8F99B2967620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2025-11-07T12:06:40Z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2025-11-06T00:00:00Z</Date_x0020_protokolli>
    <Titulli xmlns="0e656187-b300-4fb0-8bf4-3a50f872073c">Me objekt plotësimin e vendimit nr. 21, datë 22.4.2025 të Gjykatës Kushtetuese</Titulli>
    <Modifikuesi xmlns="0e656187-b300-4fb0-8bf4-3a50f872073c">Fjora.Cahani</Modifikuesi>
    <Nr_x002e__x0020_prot_x0020_QBZ xmlns="0e656187-b300-4fb0-8bf4-3a50f872073c">1846/1</Nr_x002e__x0020_prot_x0020_QBZ>
    <Data_x0020_e_x0020_Modifikimit xmlns="0e656187-b300-4fb0-8bf4-3a50f872073c">2025-11-10T09:07:40Z</Data_x0020_e_x0020_Modifikimit>
    <Dekretuar xmlns="0e656187-b300-4fb0-8bf4-3a50f872073c">false</Dekretuar>
    <Data xmlns="0e656187-b300-4fb0-8bf4-3a50f872073c">2025-10-14T00:00:00Z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DD1724ADD09420A9A8F99B2967620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617CA1-7E5F-4C52-BD54-B97C4D6F4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0D99D9B-BEE9-45E8-8623-F50E9A7786A9}">
  <ds:schemaRefs>
    <ds:schemaRef ds:uri="http://purl.org/dc/elements/1.1/"/>
    <ds:schemaRef ds:uri="0e656187-b300-4fb0-8bf4-3a50f872073c"/>
    <ds:schemaRef ds:uri="http://schemas.microsoft.com/office/2006/metadata/properties"/>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D9E8F644-0203-4BA9-B85D-F1EC52EE01D5}">
  <ds:schemaRefs>
    <ds:schemaRef ds:uri="http://schemas.microsoft.com/sharepoint/v3/contenttype/forms"/>
  </ds:schemaRefs>
</ds:datastoreItem>
</file>

<file path=customXml/itemProps4.xml><?xml version="1.0" encoding="utf-8"?>
<ds:datastoreItem xmlns:ds="http://schemas.openxmlformats.org/officeDocument/2006/customXml" ds:itemID="{A4A65D0A-930F-4765-A4D6-1BEE057AEE8A}">
  <ds:schemaRefs>
    <ds:schemaRef ds:uri="http://schemas.microsoft.com/sharepoint/v3/contenttype/forms"/>
  </ds:schemaRefs>
</ds:datastoreItem>
</file>

<file path=customXml/itemProps5.xml><?xml version="1.0" encoding="utf-8"?>
<ds:datastoreItem xmlns:ds="http://schemas.openxmlformats.org/officeDocument/2006/customXml" ds:itemID="{8DFB833B-BBA3-4094-BBD3-BDD3EA23B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Me objekt plotësimin e vendimit nr. 21, datë 22.4.2025 të Gjykatës Kushtetuese</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plotësimin e vendimit nr. 21, datë 22.4.2025 të Gjykatës Kushtetuese</dc:title>
  <dc:creator>gj k</dc:creator>
  <cp:lastModifiedBy>Valeta Kaftalli</cp:lastModifiedBy>
  <cp:revision>7</cp:revision>
  <cp:lastPrinted>2025-10-14T07:53:00Z</cp:lastPrinted>
  <dcterms:created xsi:type="dcterms:W3CDTF">2025-11-07T10:44:00Z</dcterms:created>
  <dcterms:modified xsi:type="dcterms:W3CDTF">2025-11-10T10:32:00Z</dcterms:modified>
</cp:coreProperties>
</file>