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37EB64" w14:textId="483E7A32" w:rsidR="00532C12" w:rsidRPr="0042133E" w:rsidRDefault="00532C12" w:rsidP="008A1168">
      <w:pPr>
        <w:spacing w:line="240" w:lineRule="auto"/>
        <w:ind w:firstLine="284"/>
        <w:jc w:val="center"/>
        <w:rPr>
          <w:rFonts w:ascii="Garamond" w:eastAsia="Times New Roman" w:hAnsi="Garamond"/>
          <w:b/>
        </w:rPr>
      </w:pPr>
      <w:bookmarkStart w:id="0" w:name="_Hlk170911515"/>
      <w:r w:rsidRPr="0042133E">
        <w:rPr>
          <w:rFonts w:ascii="Garamond" w:eastAsia="Times New Roman" w:hAnsi="Garamond"/>
          <w:b/>
        </w:rPr>
        <w:t>VENDIM</w:t>
      </w:r>
    </w:p>
    <w:p w14:paraId="151C7D2A" w14:textId="55AA4219" w:rsidR="00357834" w:rsidRPr="0042133E" w:rsidRDefault="00357834" w:rsidP="008A1168">
      <w:pPr>
        <w:spacing w:line="240" w:lineRule="auto"/>
        <w:ind w:firstLine="284"/>
        <w:jc w:val="center"/>
        <w:rPr>
          <w:rFonts w:ascii="Garamond" w:eastAsia="Times New Roman" w:hAnsi="Garamond"/>
          <w:b/>
        </w:rPr>
      </w:pPr>
      <w:r w:rsidRPr="0042133E">
        <w:rPr>
          <w:rFonts w:ascii="Garamond" w:eastAsia="Times New Roman" w:hAnsi="Garamond"/>
          <w:b/>
        </w:rPr>
        <w:t>Nr.</w:t>
      </w:r>
      <w:r w:rsidR="0042133E">
        <w:rPr>
          <w:rFonts w:ascii="Garamond" w:eastAsia="Times New Roman" w:hAnsi="Garamond"/>
          <w:b/>
        </w:rPr>
        <w:t xml:space="preserve"> </w:t>
      </w:r>
      <w:r w:rsidRPr="0042133E">
        <w:rPr>
          <w:rFonts w:ascii="Garamond" w:eastAsia="Times New Roman" w:hAnsi="Garamond"/>
          <w:b/>
        </w:rPr>
        <w:t>63, datë 23.10.2025</w:t>
      </w:r>
    </w:p>
    <w:p w14:paraId="757BE8F5" w14:textId="77777777" w:rsidR="0092151E" w:rsidRPr="0042133E" w:rsidRDefault="0092151E" w:rsidP="008A1168">
      <w:pPr>
        <w:spacing w:line="240" w:lineRule="auto"/>
        <w:ind w:firstLine="284"/>
        <w:jc w:val="center"/>
        <w:rPr>
          <w:rFonts w:ascii="Garamond" w:eastAsia="Times New Roman" w:hAnsi="Garamond"/>
          <w:b/>
        </w:rPr>
      </w:pPr>
    </w:p>
    <w:p w14:paraId="7137EB65" w14:textId="2CD13256" w:rsidR="00532C12" w:rsidRPr="0042133E" w:rsidRDefault="00532C12" w:rsidP="008A1168">
      <w:pPr>
        <w:spacing w:line="240" w:lineRule="auto"/>
        <w:ind w:firstLine="284"/>
        <w:jc w:val="center"/>
        <w:rPr>
          <w:rFonts w:ascii="Garamond" w:hAnsi="Garamond"/>
          <w:b/>
          <w:bCs/>
        </w:rPr>
      </w:pPr>
      <w:r w:rsidRPr="0042133E">
        <w:rPr>
          <w:rFonts w:ascii="Garamond" w:hAnsi="Garamond"/>
          <w:b/>
          <w:bCs/>
        </w:rPr>
        <w:t>NË EMËR TË REPUBLIKËS SË SHQIPËRISË</w:t>
      </w:r>
    </w:p>
    <w:p w14:paraId="7137EB66" w14:textId="77777777" w:rsidR="00532C12" w:rsidRPr="0042133E" w:rsidRDefault="00532C12" w:rsidP="008A1168">
      <w:pPr>
        <w:tabs>
          <w:tab w:val="left" w:pos="0"/>
          <w:tab w:val="left" w:pos="720"/>
        </w:tabs>
        <w:spacing w:line="240" w:lineRule="auto"/>
        <w:ind w:firstLine="284"/>
        <w:rPr>
          <w:rFonts w:ascii="Garamond" w:eastAsia="Times New Roman" w:hAnsi="Garamond"/>
        </w:rPr>
      </w:pPr>
    </w:p>
    <w:p w14:paraId="7137EB67" w14:textId="77777777" w:rsidR="00532C12" w:rsidRPr="0042133E" w:rsidRDefault="00532C12" w:rsidP="008A1168">
      <w:pPr>
        <w:spacing w:line="240" w:lineRule="auto"/>
        <w:ind w:firstLine="284"/>
        <w:jc w:val="both"/>
        <w:rPr>
          <w:rFonts w:ascii="Garamond" w:hAnsi="Garamond"/>
        </w:rPr>
      </w:pPr>
      <w:r w:rsidRPr="0042133E">
        <w:rPr>
          <w:rFonts w:ascii="Garamond" w:hAnsi="Garamond"/>
        </w:rPr>
        <w:t>Gjykata Kushtetuese e Republikës së Shqipërisë, e përbërë nga:</w:t>
      </w:r>
    </w:p>
    <w:tbl>
      <w:tblPr>
        <w:tblStyle w:val="TableGrid"/>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5245"/>
      </w:tblGrid>
      <w:tr w:rsidR="00932AB6" w:rsidRPr="0042133E" w14:paraId="5CA6DACA" w14:textId="77777777" w:rsidTr="008A1168">
        <w:trPr>
          <w:jc w:val="center"/>
        </w:trPr>
        <w:tc>
          <w:tcPr>
            <w:tcW w:w="3260" w:type="dxa"/>
          </w:tcPr>
          <w:p w14:paraId="43DDA3EF" w14:textId="77777777" w:rsidR="00932AB6" w:rsidRPr="0042133E" w:rsidRDefault="0042133E" w:rsidP="008A1168">
            <w:pPr>
              <w:spacing w:line="240" w:lineRule="auto"/>
              <w:jc w:val="both"/>
              <w:rPr>
                <w:rFonts w:ascii="Garamond" w:hAnsi="Garamond"/>
                <w:bCs/>
              </w:rPr>
            </w:pPr>
            <w:proofErr w:type="spellStart"/>
            <w:r w:rsidRPr="0042133E">
              <w:rPr>
                <w:rFonts w:ascii="Garamond" w:hAnsi="Garamond"/>
                <w:bCs/>
              </w:rPr>
              <w:t>Holta</w:t>
            </w:r>
            <w:proofErr w:type="spellEnd"/>
            <w:r w:rsidRPr="0042133E">
              <w:rPr>
                <w:rFonts w:ascii="Garamond" w:hAnsi="Garamond"/>
                <w:bCs/>
              </w:rPr>
              <w:t xml:space="preserve"> </w:t>
            </w:r>
            <w:proofErr w:type="spellStart"/>
            <w:r w:rsidRPr="0042133E">
              <w:rPr>
                <w:rFonts w:ascii="Garamond" w:hAnsi="Garamond"/>
                <w:bCs/>
              </w:rPr>
              <w:t>Zaçaj</w:t>
            </w:r>
            <w:proofErr w:type="spellEnd"/>
            <w:r w:rsidRPr="0042133E">
              <w:rPr>
                <w:rFonts w:ascii="Garamond" w:hAnsi="Garamond"/>
                <w:bCs/>
              </w:rPr>
              <w:t>,</w:t>
            </w:r>
          </w:p>
          <w:p w14:paraId="2B45EAF9" w14:textId="7DBA0ECB" w:rsidR="00932AB6" w:rsidRPr="0042133E" w:rsidRDefault="0042133E" w:rsidP="008A1168">
            <w:pPr>
              <w:spacing w:line="240" w:lineRule="auto"/>
              <w:jc w:val="both"/>
              <w:rPr>
                <w:rFonts w:ascii="Garamond" w:hAnsi="Garamond"/>
                <w:bCs/>
              </w:rPr>
            </w:pPr>
            <w:proofErr w:type="spellStart"/>
            <w:r w:rsidRPr="0042133E">
              <w:rPr>
                <w:rFonts w:ascii="Garamond" w:hAnsi="Garamond"/>
                <w:bCs/>
              </w:rPr>
              <w:t>Marsida</w:t>
            </w:r>
            <w:proofErr w:type="spellEnd"/>
            <w:r w:rsidRPr="0042133E">
              <w:rPr>
                <w:rFonts w:ascii="Garamond" w:hAnsi="Garamond"/>
                <w:bCs/>
              </w:rPr>
              <w:t xml:space="preserve"> </w:t>
            </w:r>
            <w:proofErr w:type="spellStart"/>
            <w:r w:rsidRPr="0042133E">
              <w:rPr>
                <w:rFonts w:ascii="Garamond" w:hAnsi="Garamond"/>
                <w:bCs/>
              </w:rPr>
              <w:t>Xhaferllari</w:t>
            </w:r>
            <w:proofErr w:type="spellEnd"/>
            <w:r w:rsidRPr="0042133E">
              <w:rPr>
                <w:rFonts w:ascii="Garamond" w:hAnsi="Garamond"/>
                <w:bCs/>
              </w:rPr>
              <w:t>,</w:t>
            </w:r>
          </w:p>
          <w:p w14:paraId="65D67C54" w14:textId="20CFF9D2" w:rsidR="00932AB6" w:rsidRPr="0042133E" w:rsidRDefault="0042133E" w:rsidP="008A1168">
            <w:pPr>
              <w:spacing w:line="240" w:lineRule="auto"/>
              <w:jc w:val="both"/>
              <w:rPr>
                <w:rFonts w:ascii="Garamond" w:hAnsi="Garamond"/>
                <w:bCs/>
              </w:rPr>
            </w:pPr>
            <w:proofErr w:type="spellStart"/>
            <w:r w:rsidRPr="0042133E">
              <w:rPr>
                <w:rFonts w:ascii="Garamond" w:hAnsi="Garamond"/>
                <w:bCs/>
              </w:rPr>
              <w:t>Fiona</w:t>
            </w:r>
            <w:proofErr w:type="spellEnd"/>
            <w:r w:rsidRPr="0042133E">
              <w:rPr>
                <w:rFonts w:ascii="Garamond" w:hAnsi="Garamond"/>
                <w:bCs/>
              </w:rPr>
              <w:t xml:space="preserve"> </w:t>
            </w:r>
            <w:proofErr w:type="spellStart"/>
            <w:r w:rsidRPr="0042133E">
              <w:rPr>
                <w:rFonts w:ascii="Garamond" w:hAnsi="Garamond"/>
                <w:bCs/>
              </w:rPr>
              <w:t>Papajorgji</w:t>
            </w:r>
            <w:proofErr w:type="spellEnd"/>
            <w:r w:rsidRPr="0042133E">
              <w:rPr>
                <w:rFonts w:ascii="Garamond" w:hAnsi="Garamond"/>
                <w:bCs/>
              </w:rPr>
              <w:t>,</w:t>
            </w:r>
          </w:p>
          <w:p w14:paraId="65AFBDAF" w14:textId="271C7825" w:rsidR="00932AB6" w:rsidRPr="0042133E" w:rsidRDefault="0042133E" w:rsidP="008A1168">
            <w:pPr>
              <w:spacing w:line="240" w:lineRule="auto"/>
              <w:jc w:val="both"/>
              <w:rPr>
                <w:rFonts w:ascii="Garamond" w:hAnsi="Garamond"/>
                <w:bCs/>
              </w:rPr>
            </w:pPr>
            <w:proofErr w:type="spellStart"/>
            <w:r w:rsidRPr="0042133E">
              <w:rPr>
                <w:rFonts w:ascii="Garamond" w:hAnsi="Garamond"/>
                <w:bCs/>
              </w:rPr>
              <w:t>Sonila</w:t>
            </w:r>
            <w:proofErr w:type="spellEnd"/>
            <w:r w:rsidRPr="0042133E">
              <w:rPr>
                <w:rFonts w:ascii="Garamond" w:hAnsi="Garamond"/>
                <w:bCs/>
              </w:rPr>
              <w:t xml:space="preserve"> Bejtja,</w:t>
            </w:r>
          </w:p>
          <w:p w14:paraId="0A39FC16" w14:textId="411E1EBD" w:rsidR="00932AB6" w:rsidRPr="0042133E" w:rsidRDefault="0042133E" w:rsidP="008A1168">
            <w:pPr>
              <w:spacing w:line="240" w:lineRule="auto"/>
              <w:jc w:val="both"/>
              <w:rPr>
                <w:rFonts w:ascii="Garamond" w:hAnsi="Garamond"/>
                <w:bCs/>
              </w:rPr>
            </w:pPr>
            <w:proofErr w:type="spellStart"/>
            <w:r w:rsidRPr="0042133E">
              <w:rPr>
                <w:rFonts w:ascii="Garamond" w:hAnsi="Garamond"/>
                <w:bCs/>
              </w:rPr>
              <w:t>Sandër</w:t>
            </w:r>
            <w:proofErr w:type="spellEnd"/>
            <w:r w:rsidRPr="0042133E">
              <w:rPr>
                <w:rFonts w:ascii="Garamond" w:hAnsi="Garamond"/>
                <w:bCs/>
              </w:rPr>
              <w:t xml:space="preserve"> Beci,</w:t>
            </w:r>
          </w:p>
          <w:p w14:paraId="3B8E0995" w14:textId="5195845D" w:rsidR="00932AB6" w:rsidRPr="0042133E" w:rsidRDefault="0042133E" w:rsidP="008A1168">
            <w:pPr>
              <w:spacing w:line="240" w:lineRule="auto"/>
              <w:jc w:val="both"/>
              <w:rPr>
                <w:rFonts w:ascii="Garamond" w:hAnsi="Garamond"/>
                <w:bCs/>
              </w:rPr>
            </w:pPr>
            <w:r w:rsidRPr="0042133E">
              <w:rPr>
                <w:rFonts w:ascii="Garamond" w:hAnsi="Garamond"/>
                <w:bCs/>
              </w:rPr>
              <w:t>Ilir Toska,</w:t>
            </w:r>
          </w:p>
          <w:p w14:paraId="42D3469D" w14:textId="77777777" w:rsidR="00932AB6" w:rsidRPr="0042133E" w:rsidRDefault="0042133E" w:rsidP="008A1168">
            <w:pPr>
              <w:spacing w:line="240" w:lineRule="auto"/>
              <w:jc w:val="both"/>
              <w:rPr>
                <w:rFonts w:ascii="Garamond" w:hAnsi="Garamond"/>
                <w:bCs/>
              </w:rPr>
            </w:pPr>
            <w:r w:rsidRPr="0042133E">
              <w:rPr>
                <w:rFonts w:ascii="Garamond" w:hAnsi="Garamond"/>
                <w:bCs/>
              </w:rPr>
              <w:t>Genti Ibrahimi,</w:t>
            </w:r>
          </w:p>
          <w:p w14:paraId="247CCECB" w14:textId="60F60256" w:rsidR="00932AB6" w:rsidRPr="0042133E" w:rsidRDefault="0042133E" w:rsidP="008A1168">
            <w:pPr>
              <w:spacing w:line="240" w:lineRule="auto"/>
              <w:jc w:val="both"/>
              <w:rPr>
                <w:rFonts w:ascii="Garamond" w:hAnsi="Garamond"/>
                <w:bCs/>
              </w:rPr>
            </w:pPr>
            <w:proofErr w:type="spellStart"/>
            <w:r w:rsidRPr="0042133E">
              <w:rPr>
                <w:rFonts w:ascii="Garamond" w:hAnsi="Garamond"/>
                <w:bCs/>
              </w:rPr>
              <w:t>Marjana</w:t>
            </w:r>
            <w:proofErr w:type="spellEnd"/>
            <w:r w:rsidRPr="0042133E">
              <w:rPr>
                <w:rFonts w:ascii="Garamond" w:hAnsi="Garamond"/>
                <w:bCs/>
              </w:rPr>
              <w:t xml:space="preserve"> </w:t>
            </w:r>
            <w:proofErr w:type="spellStart"/>
            <w:r w:rsidRPr="0042133E">
              <w:rPr>
                <w:rFonts w:ascii="Garamond" w:hAnsi="Garamond"/>
                <w:bCs/>
              </w:rPr>
              <w:t>Semini</w:t>
            </w:r>
            <w:proofErr w:type="spellEnd"/>
            <w:r w:rsidRPr="0042133E">
              <w:rPr>
                <w:rFonts w:ascii="Garamond" w:hAnsi="Garamond"/>
                <w:bCs/>
              </w:rPr>
              <w:t>,</w:t>
            </w:r>
          </w:p>
        </w:tc>
        <w:tc>
          <w:tcPr>
            <w:tcW w:w="5245" w:type="dxa"/>
          </w:tcPr>
          <w:p w14:paraId="15BD0A97" w14:textId="4AC00764" w:rsidR="00932AB6" w:rsidRPr="0042133E" w:rsidRDefault="0042133E" w:rsidP="008A1168">
            <w:pPr>
              <w:spacing w:line="240" w:lineRule="auto"/>
              <w:jc w:val="both"/>
              <w:rPr>
                <w:rFonts w:ascii="Garamond" w:hAnsi="Garamond"/>
                <w:bCs/>
              </w:rPr>
            </w:pPr>
            <w:r w:rsidRPr="0042133E">
              <w:rPr>
                <w:rFonts w:ascii="Garamond" w:hAnsi="Garamond"/>
                <w:bCs/>
              </w:rPr>
              <w:t>kryetare</w:t>
            </w:r>
            <w:r>
              <w:rPr>
                <w:rFonts w:ascii="Garamond" w:hAnsi="Garamond"/>
                <w:bCs/>
              </w:rPr>
              <w:t>;</w:t>
            </w:r>
          </w:p>
          <w:p w14:paraId="2D5E03CC" w14:textId="43E8759F" w:rsidR="00932AB6" w:rsidRPr="0042133E" w:rsidRDefault="0042133E" w:rsidP="008A1168">
            <w:pPr>
              <w:tabs>
                <w:tab w:val="left" w:pos="720"/>
              </w:tabs>
              <w:spacing w:line="240" w:lineRule="auto"/>
              <w:rPr>
                <w:rFonts w:ascii="Garamond" w:hAnsi="Garamond"/>
                <w:bCs/>
              </w:rPr>
            </w:pPr>
            <w:r w:rsidRPr="0042133E">
              <w:rPr>
                <w:rFonts w:ascii="Garamond" w:hAnsi="Garamond"/>
                <w:bCs/>
              </w:rPr>
              <w:t>anëtare</w:t>
            </w:r>
            <w:r>
              <w:rPr>
                <w:rFonts w:ascii="Garamond" w:hAnsi="Garamond"/>
                <w:bCs/>
              </w:rPr>
              <w:t>;</w:t>
            </w:r>
          </w:p>
          <w:p w14:paraId="47210CB4" w14:textId="47F53CFD" w:rsidR="00932AB6" w:rsidRPr="0042133E" w:rsidRDefault="0042133E" w:rsidP="008A1168">
            <w:pPr>
              <w:tabs>
                <w:tab w:val="left" w:pos="720"/>
              </w:tabs>
              <w:spacing w:line="240" w:lineRule="auto"/>
              <w:rPr>
                <w:rFonts w:ascii="Garamond" w:hAnsi="Garamond"/>
                <w:bCs/>
              </w:rPr>
            </w:pPr>
            <w:r w:rsidRPr="0042133E">
              <w:rPr>
                <w:rFonts w:ascii="Garamond" w:hAnsi="Garamond"/>
                <w:bCs/>
              </w:rPr>
              <w:t>anëtare</w:t>
            </w:r>
            <w:r>
              <w:rPr>
                <w:rFonts w:ascii="Garamond" w:hAnsi="Garamond"/>
                <w:bCs/>
              </w:rPr>
              <w:t>;</w:t>
            </w:r>
          </w:p>
          <w:p w14:paraId="579795CD" w14:textId="263182CA" w:rsidR="00932AB6" w:rsidRPr="0042133E" w:rsidRDefault="0042133E" w:rsidP="008A1168">
            <w:pPr>
              <w:tabs>
                <w:tab w:val="left" w:pos="720"/>
              </w:tabs>
              <w:spacing w:line="240" w:lineRule="auto"/>
              <w:rPr>
                <w:rFonts w:ascii="Garamond" w:hAnsi="Garamond"/>
                <w:bCs/>
              </w:rPr>
            </w:pPr>
            <w:r w:rsidRPr="0042133E">
              <w:rPr>
                <w:rFonts w:ascii="Garamond" w:hAnsi="Garamond"/>
                <w:bCs/>
              </w:rPr>
              <w:t>anëtare</w:t>
            </w:r>
            <w:r>
              <w:rPr>
                <w:rFonts w:ascii="Garamond" w:hAnsi="Garamond"/>
                <w:bCs/>
              </w:rPr>
              <w:t>;</w:t>
            </w:r>
          </w:p>
          <w:p w14:paraId="11AF9216" w14:textId="547340CB" w:rsidR="00932AB6" w:rsidRPr="0042133E" w:rsidRDefault="0042133E" w:rsidP="008A1168">
            <w:pPr>
              <w:tabs>
                <w:tab w:val="left" w:pos="720"/>
              </w:tabs>
              <w:spacing w:line="240" w:lineRule="auto"/>
              <w:rPr>
                <w:rFonts w:ascii="Garamond" w:hAnsi="Garamond"/>
                <w:bCs/>
              </w:rPr>
            </w:pPr>
            <w:r w:rsidRPr="0042133E">
              <w:rPr>
                <w:rFonts w:ascii="Garamond" w:hAnsi="Garamond"/>
                <w:bCs/>
              </w:rPr>
              <w:t>anëtar</w:t>
            </w:r>
            <w:r>
              <w:rPr>
                <w:rFonts w:ascii="Garamond" w:hAnsi="Garamond"/>
                <w:bCs/>
              </w:rPr>
              <w:t>;</w:t>
            </w:r>
            <w:r w:rsidRPr="0042133E">
              <w:rPr>
                <w:rFonts w:ascii="Garamond" w:hAnsi="Garamond"/>
                <w:bCs/>
              </w:rPr>
              <w:t xml:space="preserve"> </w:t>
            </w:r>
          </w:p>
          <w:p w14:paraId="63FECC49" w14:textId="64899B8A" w:rsidR="00932AB6" w:rsidRPr="0042133E" w:rsidRDefault="0042133E" w:rsidP="008A1168">
            <w:pPr>
              <w:tabs>
                <w:tab w:val="left" w:pos="720"/>
              </w:tabs>
              <w:spacing w:line="240" w:lineRule="auto"/>
              <w:rPr>
                <w:rFonts w:ascii="Garamond" w:hAnsi="Garamond"/>
                <w:bCs/>
              </w:rPr>
            </w:pPr>
            <w:r w:rsidRPr="0042133E">
              <w:rPr>
                <w:rFonts w:ascii="Garamond" w:hAnsi="Garamond"/>
                <w:bCs/>
              </w:rPr>
              <w:t>anëtar</w:t>
            </w:r>
            <w:r>
              <w:rPr>
                <w:rFonts w:ascii="Garamond" w:hAnsi="Garamond"/>
                <w:bCs/>
              </w:rPr>
              <w:t>;</w:t>
            </w:r>
            <w:r w:rsidRPr="0042133E">
              <w:rPr>
                <w:rFonts w:ascii="Garamond" w:hAnsi="Garamond"/>
                <w:bCs/>
              </w:rPr>
              <w:t xml:space="preserve"> </w:t>
            </w:r>
          </w:p>
          <w:p w14:paraId="773C7318" w14:textId="0E20D746" w:rsidR="00932AB6" w:rsidRPr="0042133E" w:rsidRDefault="0042133E" w:rsidP="008A1168">
            <w:pPr>
              <w:tabs>
                <w:tab w:val="left" w:pos="720"/>
              </w:tabs>
              <w:spacing w:line="240" w:lineRule="auto"/>
              <w:rPr>
                <w:rFonts w:ascii="Garamond" w:hAnsi="Garamond"/>
                <w:bCs/>
              </w:rPr>
            </w:pPr>
            <w:r w:rsidRPr="0042133E">
              <w:rPr>
                <w:rFonts w:ascii="Garamond" w:hAnsi="Garamond"/>
                <w:bCs/>
              </w:rPr>
              <w:t xml:space="preserve">anëtar </w:t>
            </w:r>
            <w:r>
              <w:rPr>
                <w:rFonts w:ascii="Garamond" w:hAnsi="Garamond"/>
                <w:bCs/>
              </w:rPr>
              <w:t>,</w:t>
            </w:r>
          </w:p>
          <w:p w14:paraId="6315F6B8" w14:textId="1CEF5F9D" w:rsidR="00932AB6" w:rsidRPr="0042133E" w:rsidRDefault="0042133E" w:rsidP="008A1168">
            <w:pPr>
              <w:tabs>
                <w:tab w:val="left" w:pos="720"/>
              </w:tabs>
              <w:spacing w:line="240" w:lineRule="auto"/>
              <w:rPr>
                <w:rFonts w:ascii="Garamond" w:hAnsi="Garamond"/>
                <w:bCs/>
              </w:rPr>
            </w:pPr>
            <w:r w:rsidRPr="0042133E">
              <w:rPr>
                <w:rFonts w:ascii="Garamond" w:hAnsi="Garamond"/>
                <w:bCs/>
              </w:rPr>
              <w:t>anëtare</w:t>
            </w:r>
            <w:r>
              <w:rPr>
                <w:rFonts w:ascii="Garamond" w:hAnsi="Garamond"/>
                <w:bCs/>
              </w:rPr>
              <w:t>,</w:t>
            </w:r>
          </w:p>
        </w:tc>
      </w:tr>
    </w:tbl>
    <w:p w14:paraId="7137EB71" w14:textId="77777777" w:rsidR="00532C12" w:rsidRPr="0042133E" w:rsidRDefault="00532C12" w:rsidP="0042133E">
      <w:pPr>
        <w:spacing w:line="240" w:lineRule="auto"/>
        <w:rPr>
          <w:rFonts w:ascii="Garamond" w:hAnsi="Garamond"/>
          <w:sz w:val="8"/>
          <w:u w:val="single"/>
        </w:rPr>
      </w:pPr>
    </w:p>
    <w:bookmarkEnd w:id="0"/>
    <w:p w14:paraId="0CA2E26C" w14:textId="1242EA16" w:rsidR="00932AB6" w:rsidRPr="0042133E" w:rsidRDefault="00932AB6" w:rsidP="00BE4E8C">
      <w:pPr>
        <w:tabs>
          <w:tab w:val="left" w:pos="720"/>
        </w:tabs>
        <w:spacing w:line="240" w:lineRule="auto"/>
        <w:ind w:firstLine="284"/>
        <w:jc w:val="both"/>
        <w:rPr>
          <w:rFonts w:ascii="Garamond" w:hAnsi="Garamond"/>
        </w:rPr>
      </w:pPr>
      <w:r w:rsidRPr="0042133E">
        <w:rPr>
          <w:rFonts w:ascii="Garamond" w:hAnsi="Garamond"/>
        </w:rPr>
        <w:t xml:space="preserve">me sekretare </w:t>
      </w:r>
      <w:proofErr w:type="spellStart"/>
      <w:r w:rsidRPr="0042133E">
        <w:rPr>
          <w:rFonts w:ascii="Garamond" w:hAnsi="Garamond"/>
        </w:rPr>
        <w:t>Anjeza</w:t>
      </w:r>
      <w:proofErr w:type="spellEnd"/>
      <w:r w:rsidRPr="0042133E">
        <w:rPr>
          <w:rFonts w:ascii="Garamond" w:hAnsi="Garamond"/>
        </w:rPr>
        <w:t xml:space="preserve"> Puka, në datën 23.10.2025</w:t>
      </w:r>
      <w:r w:rsidR="00BE4E8C">
        <w:rPr>
          <w:rFonts w:ascii="Garamond" w:hAnsi="Garamond"/>
        </w:rPr>
        <w:t>,</w:t>
      </w:r>
      <w:r w:rsidRPr="0042133E">
        <w:rPr>
          <w:rFonts w:ascii="Garamond" w:hAnsi="Garamond"/>
        </w:rPr>
        <w:t xml:space="preserve"> mori në shqyrtim në seancë plenare mbi bazë të dokumenteve çështjen nr. 2 (U) 2025 të Regjistrit Themeltar, që u përket:</w:t>
      </w:r>
    </w:p>
    <w:p w14:paraId="083A8BF1" w14:textId="4FBB1319" w:rsidR="00932AB6" w:rsidRPr="0042133E" w:rsidRDefault="00932AB6" w:rsidP="00BE4E8C">
      <w:pPr>
        <w:spacing w:line="240" w:lineRule="auto"/>
        <w:ind w:firstLine="284"/>
        <w:jc w:val="both"/>
        <w:rPr>
          <w:rFonts w:ascii="Garamond" w:hAnsi="Garamond"/>
        </w:rPr>
      </w:pPr>
      <w:r w:rsidRPr="0042133E">
        <w:rPr>
          <w:rFonts w:ascii="Garamond" w:hAnsi="Garamond"/>
          <w:bCs/>
        </w:rPr>
        <w:t>KËRKUES:</w:t>
      </w:r>
      <w:r w:rsidR="008A1168" w:rsidRPr="0042133E">
        <w:rPr>
          <w:rFonts w:ascii="Garamond" w:hAnsi="Garamond"/>
          <w:bCs/>
        </w:rPr>
        <w:t xml:space="preserve"> </w:t>
      </w:r>
      <w:proofErr w:type="spellStart"/>
      <w:r w:rsidR="00BE4E8C" w:rsidRPr="0042133E">
        <w:rPr>
          <w:rFonts w:ascii="Garamond" w:hAnsi="Garamond"/>
          <w:bCs/>
        </w:rPr>
        <w:t>Uljana</w:t>
      </w:r>
      <w:proofErr w:type="spellEnd"/>
      <w:r w:rsidR="00BE4E8C" w:rsidRPr="0042133E">
        <w:rPr>
          <w:rFonts w:ascii="Garamond" w:hAnsi="Garamond"/>
          <w:bCs/>
        </w:rPr>
        <w:t xml:space="preserve"> Jeshili</w:t>
      </w:r>
      <w:r w:rsidR="00BE4E8C" w:rsidRPr="0042133E">
        <w:rPr>
          <w:rFonts w:ascii="Garamond" w:hAnsi="Garamond"/>
        </w:rPr>
        <w:t xml:space="preserve">, </w:t>
      </w:r>
      <w:r w:rsidR="00BE4E8C" w:rsidRPr="0042133E">
        <w:rPr>
          <w:rFonts w:ascii="Garamond" w:hAnsi="Garamond"/>
          <w:bCs/>
        </w:rPr>
        <w:t>Erind Jeshili</w:t>
      </w:r>
      <w:r w:rsidRPr="0042133E">
        <w:rPr>
          <w:rFonts w:ascii="Garamond" w:hAnsi="Garamond"/>
        </w:rPr>
        <w:t xml:space="preserve">, përfaqësuar nga avokate </w:t>
      </w:r>
      <w:proofErr w:type="spellStart"/>
      <w:r w:rsidRPr="0042133E">
        <w:rPr>
          <w:rFonts w:ascii="Garamond" w:hAnsi="Garamond"/>
        </w:rPr>
        <w:t>Arjola</w:t>
      </w:r>
      <w:proofErr w:type="spellEnd"/>
      <w:r w:rsidRPr="0042133E">
        <w:rPr>
          <w:rFonts w:ascii="Garamond" w:hAnsi="Garamond"/>
        </w:rPr>
        <w:t xml:space="preserve"> </w:t>
      </w:r>
      <w:proofErr w:type="spellStart"/>
      <w:r w:rsidRPr="0042133E">
        <w:rPr>
          <w:rFonts w:ascii="Garamond" w:hAnsi="Garamond"/>
        </w:rPr>
        <w:t>Sheri</w:t>
      </w:r>
      <w:proofErr w:type="spellEnd"/>
      <w:r w:rsidRPr="0042133E">
        <w:rPr>
          <w:rFonts w:ascii="Garamond" w:hAnsi="Garamond"/>
        </w:rPr>
        <w:t xml:space="preserve"> </w:t>
      </w:r>
      <w:proofErr w:type="spellStart"/>
      <w:r w:rsidRPr="0042133E">
        <w:rPr>
          <w:rFonts w:ascii="Garamond" w:hAnsi="Garamond"/>
        </w:rPr>
        <w:t>Abdyli</w:t>
      </w:r>
      <w:proofErr w:type="spellEnd"/>
      <w:r w:rsidRPr="0042133E">
        <w:rPr>
          <w:rFonts w:ascii="Garamond" w:hAnsi="Garamond"/>
        </w:rPr>
        <w:t xml:space="preserve">, me prokurë. </w:t>
      </w:r>
    </w:p>
    <w:p w14:paraId="1CFE9E62" w14:textId="45F2BFA0" w:rsidR="00932AB6" w:rsidRPr="00BE4E8C" w:rsidRDefault="00BE4E8C" w:rsidP="00BE4E8C">
      <w:pPr>
        <w:spacing w:line="240" w:lineRule="auto"/>
        <w:ind w:firstLine="284"/>
        <w:jc w:val="both"/>
        <w:rPr>
          <w:rFonts w:ascii="Garamond" w:hAnsi="Garamond"/>
          <w:bCs/>
        </w:rPr>
      </w:pPr>
      <w:r>
        <w:rPr>
          <w:rFonts w:ascii="Garamond" w:hAnsi="Garamond"/>
          <w:bCs/>
        </w:rPr>
        <w:t xml:space="preserve">SUBJEKTE TË INTERESUARA: </w:t>
      </w:r>
      <w:r w:rsidRPr="0042133E">
        <w:rPr>
          <w:rFonts w:ascii="Garamond" w:hAnsi="Garamond"/>
          <w:bCs/>
        </w:rPr>
        <w:t xml:space="preserve">Byroja Shqiptare </w:t>
      </w:r>
      <w:r>
        <w:rPr>
          <w:rFonts w:ascii="Garamond" w:hAnsi="Garamond"/>
          <w:bCs/>
        </w:rPr>
        <w:t>e</w:t>
      </w:r>
      <w:r w:rsidRPr="0042133E">
        <w:rPr>
          <w:rFonts w:ascii="Garamond" w:hAnsi="Garamond"/>
          <w:bCs/>
        </w:rPr>
        <w:t xml:space="preserve"> Sigurimit</w:t>
      </w:r>
      <w:r w:rsidR="00932AB6" w:rsidRPr="0042133E">
        <w:rPr>
          <w:rFonts w:ascii="Garamond" w:hAnsi="Garamond"/>
          <w:bCs/>
        </w:rPr>
        <w:t xml:space="preserve">, </w:t>
      </w:r>
      <w:r w:rsidR="00932AB6" w:rsidRPr="0042133E">
        <w:rPr>
          <w:rFonts w:ascii="Garamond" w:hAnsi="Garamond"/>
        </w:rPr>
        <w:t>përfaqësuar nga drejtoresha ekzekutive, Anila Hoxha.</w:t>
      </w:r>
    </w:p>
    <w:p w14:paraId="27A91A65" w14:textId="0F8A412B" w:rsidR="00932AB6" w:rsidRPr="0042133E" w:rsidRDefault="00BE4E8C" w:rsidP="00BE4E8C">
      <w:pPr>
        <w:spacing w:line="240" w:lineRule="auto"/>
        <w:ind w:firstLine="284"/>
        <w:jc w:val="both"/>
        <w:rPr>
          <w:rFonts w:ascii="Garamond" w:hAnsi="Garamond"/>
          <w:bCs/>
        </w:rPr>
      </w:pPr>
      <w:r w:rsidRPr="0042133E">
        <w:rPr>
          <w:rFonts w:ascii="Garamond" w:hAnsi="Garamond"/>
          <w:bCs/>
        </w:rPr>
        <w:t>Shoqëria e Sigurimeve</w:t>
      </w:r>
      <w:r w:rsidR="00932AB6" w:rsidRPr="0042133E">
        <w:rPr>
          <w:rFonts w:ascii="Garamond" w:hAnsi="Garamond"/>
          <w:bCs/>
        </w:rPr>
        <w:t xml:space="preserve"> “INSIG” </w:t>
      </w:r>
      <w:proofErr w:type="spellStart"/>
      <w:r w:rsidRPr="0042133E">
        <w:rPr>
          <w:rFonts w:ascii="Garamond" w:hAnsi="Garamond"/>
          <w:bCs/>
        </w:rPr>
        <w:t>sh.a</w:t>
      </w:r>
      <w:proofErr w:type="spellEnd"/>
      <w:r w:rsidR="00932AB6" w:rsidRPr="0042133E">
        <w:rPr>
          <w:rFonts w:ascii="Garamond" w:hAnsi="Garamond"/>
          <w:bCs/>
        </w:rPr>
        <w:t>.</w:t>
      </w:r>
      <w:r w:rsidR="00932AB6" w:rsidRPr="0042133E">
        <w:rPr>
          <w:rFonts w:ascii="Garamond" w:hAnsi="Garamond"/>
        </w:rPr>
        <w:t>,</w:t>
      </w:r>
      <w:r w:rsidR="00932AB6" w:rsidRPr="0042133E">
        <w:rPr>
          <w:rFonts w:ascii="Garamond" w:hAnsi="Garamond"/>
          <w:bCs/>
        </w:rPr>
        <w:t xml:space="preserve"> </w:t>
      </w:r>
      <w:r w:rsidR="00932AB6" w:rsidRPr="0042133E">
        <w:rPr>
          <w:rFonts w:ascii="Garamond" w:hAnsi="Garamond"/>
        </w:rPr>
        <w:t xml:space="preserve">përfaqësuar nga drejtori i përgjithshëm, </w:t>
      </w:r>
      <w:proofErr w:type="spellStart"/>
      <w:r w:rsidR="00932AB6" w:rsidRPr="0042133E">
        <w:rPr>
          <w:rFonts w:ascii="Garamond" w:hAnsi="Garamond"/>
        </w:rPr>
        <w:t>Kadri</w:t>
      </w:r>
      <w:proofErr w:type="spellEnd"/>
      <w:r w:rsidR="00932AB6" w:rsidRPr="0042133E">
        <w:rPr>
          <w:rFonts w:ascii="Garamond" w:hAnsi="Garamond"/>
        </w:rPr>
        <w:t xml:space="preserve"> </w:t>
      </w:r>
      <w:proofErr w:type="spellStart"/>
      <w:r w:rsidR="00932AB6" w:rsidRPr="0042133E">
        <w:rPr>
          <w:rFonts w:ascii="Garamond" w:hAnsi="Garamond"/>
        </w:rPr>
        <w:t>Morinaj</w:t>
      </w:r>
      <w:proofErr w:type="spellEnd"/>
      <w:r w:rsidR="00932AB6" w:rsidRPr="0042133E">
        <w:rPr>
          <w:rFonts w:ascii="Garamond" w:hAnsi="Garamond"/>
        </w:rPr>
        <w:t>.</w:t>
      </w:r>
    </w:p>
    <w:p w14:paraId="1D664C5E" w14:textId="4BC1982B" w:rsidR="00932AB6" w:rsidRPr="0042133E" w:rsidRDefault="00932AB6" w:rsidP="00BE4E8C">
      <w:pPr>
        <w:spacing w:line="240" w:lineRule="auto"/>
        <w:ind w:firstLine="284"/>
        <w:jc w:val="both"/>
        <w:rPr>
          <w:rFonts w:ascii="Garamond" w:hAnsi="Garamond"/>
          <w:bCs/>
        </w:rPr>
      </w:pPr>
      <w:r w:rsidRPr="0042133E">
        <w:rPr>
          <w:rFonts w:ascii="Garamond" w:hAnsi="Garamond"/>
          <w:bCs/>
        </w:rPr>
        <w:t>OBJEKTI:</w:t>
      </w:r>
      <w:r w:rsidRPr="0042133E">
        <w:rPr>
          <w:rFonts w:ascii="Garamond" w:hAnsi="Garamond"/>
        </w:rPr>
        <w:t xml:space="preserve"> </w:t>
      </w:r>
      <w:r w:rsidRPr="0042133E">
        <w:rPr>
          <w:rFonts w:ascii="Garamond" w:hAnsi="Garamond"/>
          <w:bCs/>
        </w:rPr>
        <w:t>Shfuqizimi i vendimit n</w:t>
      </w:r>
      <w:r w:rsidR="00BE4E8C">
        <w:rPr>
          <w:rFonts w:ascii="Garamond" w:hAnsi="Garamond"/>
          <w:bCs/>
        </w:rPr>
        <w:t>r. 00-2024-2029 (280), datë 15.</w:t>
      </w:r>
      <w:r w:rsidRPr="0042133E">
        <w:rPr>
          <w:rFonts w:ascii="Garamond" w:hAnsi="Garamond"/>
          <w:bCs/>
        </w:rPr>
        <w:t>5.2024</w:t>
      </w:r>
      <w:r w:rsidR="00BE4E8C">
        <w:rPr>
          <w:rFonts w:ascii="Garamond" w:hAnsi="Garamond"/>
          <w:bCs/>
        </w:rPr>
        <w:t>,</w:t>
      </w:r>
      <w:r w:rsidRPr="0042133E">
        <w:rPr>
          <w:rFonts w:ascii="Garamond" w:hAnsi="Garamond"/>
          <w:bCs/>
        </w:rPr>
        <w:t xml:space="preserve"> të Kolegjit Civil të Gjykatës së Lartë, si i papajtueshëm me Kushtetutën e Republikës së Shqipërisë. </w:t>
      </w:r>
    </w:p>
    <w:p w14:paraId="3CE71F83" w14:textId="0B865339" w:rsidR="00932AB6" w:rsidRPr="0042133E" w:rsidRDefault="00932AB6" w:rsidP="00BE4E8C">
      <w:pPr>
        <w:pStyle w:val="BodyTextIndent2"/>
        <w:spacing w:line="240" w:lineRule="auto"/>
        <w:ind w:left="0" w:firstLine="284"/>
        <w:rPr>
          <w:rFonts w:ascii="Garamond" w:hAnsi="Garamond"/>
          <w:b w:val="0"/>
        </w:rPr>
      </w:pPr>
      <w:r w:rsidRPr="0042133E">
        <w:rPr>
          <w:rFonts w:ascii="Garamond" w:hAnsi="Garamond"/>
          <w:b w:val="0"/>
        </w:rPr>
        <w:t>Kthimi i çështjes për rigjykim në Gjykatën e Lartë.</w:t>
      </w:r>
      <w:r w:rsidR="00F42564" w:rsidRPr="0042133E">
        <w:rPr>
          <w:rFonts w:ascii="Garamond" w:hAnsi="Garamond"/>
          <w:b w:val="0"/>
        </w:rPr>
        <w:t xml:space="preserve"> </w:t>
      </w:r>
    </w:p>
    <w:p w14:paraId="09B0C7E0" w14:textId="70F7B73E" w:rsidR="00932AB6" w:rsidRPr="00C14BC6" w:rsidRDefault="00932AB6" w:rsidP="00BE4E8C">
      <w:pPr>
        <w:spacing w:line="240" w:lineRule="auto"/>
        <w:ind w:firstLine="284"/>
        <w:jc w:val="both"/>
        <w:rPr>
          <w:rFonts w:ascii="Garamond" w:hAnsi="Garamond"/>
          <w:i/>
        </w:rPr>
      </w:pPr>
      <w:r w:rsidRPr="0042133E">
        <w:rPr>
          <w:rFonts w:ascii="Garamond" w:hAnsi="Garamond"/>
          <w:bCs/>
        </w:rPr>
        <w:t>BAZA LIGJORE:</w:t>
      </w:r>
      <w:r w:rsidR="00F42564" w:rsidRPr="0042133E">
        <w:rPr>
          <w:rFonts w:ascii="Garamond" w:hAnsi="Garamond"/>
          <w:bCs/>
        </w:rPr>
        <w:t xml:space="preserve"> </w:t>
      </w:r>
      <w:r w:rsidRPr="0042133E">
        <w:rPr>
          <w:rFonts w:ascii="Garamond" w:hAnsi="Garamond"/>
          <w:bCs/>
        </w:rPr>
        <w:t>Nenet 15, 42, 131, pika 1, shkronja “f” dhe 134, pikat 1, shkronja “i” dhe 2, të Kushtetutës së Republikës së Shqip</w:t>
      </w:r>
      <w:r w:rsidR="00BE4E8C">
        <w:rPr>
          <w:rFonts w:ascii="Garamond" w:hAnsi="Garamond"/>
          <w:bCs/>
        </w:rPr>
        <w:t>ërisë; ligji nr. 8577, datë 10.</w:t>
      </w:r>
      <w:r w:rsidRPr="0042133E">
        <w:rPr>
          <w:rFonts w:ascii="Garamond" w:hAnsi="Garamond"/>
          <w:bCs/>
        </w:rPr>
        <w:t>2.2000</w:t>
      </w:r>
      <w:r w:rsidR="00BE4E8C">
        <w:rPr>
          <w:rFonts w:ascii="Garamond" w:hAnsi="Garamond"/>
          <w:bCs/>
        </w:rPr>
        <w:t>,</w:t>
      </w:r>
      <w:r w:rsidRPr="0042133E">
        <w:rPr>
          <w:rFonts w:ascii="Garamond" w:hAnsi="Garamond"/>
          <w:bCs/>
        </w:rPr>
        <w:t xml:space="preserve"> “Për organizimin dhe funksionimin e Gjykatës Kushtetuese të Republikës së Shqipërisë”, i ndryshuar </w:t>
      </w:r>
      <w:bookmarkStart w:id="1" w:name="_GoBack"/>
      <w:r w:rsidRPr="00C14BC6">
        <w:rPr>
          <w:rFonts w:ascii="Garamond" w:hAnsi="Garamond"/>
          <w:bCs/>
          <w:i/>
        </w:rPr>
        <w:t>(</w:t>
      </w:r>
      <w:r w:rsidRPr="00C14BC6">
        <w:rPr>
          <w:rFonts w:ascii="Garamond" w:hAnsi="Garamond"/>
          <w:bCs/>
          <w:i/>
          <w:iCs/>
        </w:rPr>
        <w:t>ligji nr. 8577/2000</w:t>
      </w:r>
      <w:r w:rsidRPr="00C14BC6">
        <w:rPr>
          <w:rFonts w:ascii="Garamond" w:hAnsi="Garamond"/>
          <w:bCs/>
          <w:i/>
        </w:rPr>
        <w:t>).</w:t>
      </w:r>
    </w:p>
    <w:bookmarkEnd w:id="1"/>
    <w:p w14:paraId="40A7D683" w14:textId="77777777" w:rsidR="008A1168" w:rsidRPr="0042133E" w:rsidRDefault="008A1168" w:rsidP="00BE4E8C">
      <w:pPr>
        <w:spacing w:line="240" w:lineRule="auto"/>
        <w:ind w:firstLine="284"/>
        <w:jc w:val="both"/>
        <w:rPr>
          <w:rFonts w:ascii="Garamond" w:hAnsi="Garamond"/>
          <w:bCs/>
        </w:rPr>
      </w:pPr>
    </w:p>
    <w:p w14:paraId="6EEB6576" w14:textId="01DD3490" w:rsidR="00932AB6" w:rsidRPr="00BE4E8C" w:rsidRDefault="00932AB6" w:rsidP="008A1168">
      <w:pPr>
        <w:spacing w:line="240" w:lineRule="auto"/>
        <w:ind w:firstLine="284"/>
        <w:jc w:val="center"/>
        <w:rPr>
          <w:rFonts w:ascii="Garamond" w:hAnsi="Garamond"/>
          <w:bCs/>
        </w:rPr>
      </w:pPr>
      <w:r w:rsidRPr="00BE4E8C">
        <w:rPr>
          <w:rFonts w:ascii="Garamond" w:hAnsi="Garamond"/>
          <w:bCs/>
        </w:rPr>
        <w:t>GJYKATA KUSHTETUESE,</w:t>
      </w:r>
    </w:p>
    <w:p w14:paraId="1E362B0B" w14:textId="77777777" w:rsidR="008A1168" w:rsidRPr="0042133E" w:rsidRDefault="008A1168" w:rsidP="008A1168">
      <w:pPr>
        <w:spacing w:line="240" w:lineRule="auto"/>
        <w:ind w:firstLine="284"/>
        <w:jc w:val="center"/>
        <w:rPr>
          <w:rFonts w:ascii="Garamond" w:hAnsi="Garamond"/>
        </w:rPr>
      </w:pPr>
    </w:p>
    <w:p w14:paraId="57A05D4C" w14:textId="77777777" w:rsidR="00932AB6" w:rsidRPr="0042133E" w:rsidRDefault="00932AB6" w:rsidP="008A1168">
      <w:pPr>
        <w:spacing w:line="240" w:lineRule="auto"/>
        <w:ind w:firstLine="284"/>
        <w:jc w:val="both"/>
        <w:rPr>
          <w:rFonts w:ascii="Garamond" w:hAnsi="Garamond"/>
        </w:rPr>
      </w:pPr>
      <w:r w:rsidRPr="0042133E">
        <w:rPr>
          <w:rFonts w:ascii="Garamond" w:hAnsi="Garamond"/>
        </w:rPr>
        <w:t xml:space="preserve">pasi dëgjoi </w:t>
      </w:r>
      <w:proofErr w:type="spellStart"/>
      <w:r w:rsidRPr="0042133E">
        <w:rPr>
          <w:rFonts w:ascii="Garamond" w:hAnsi="Garamond"/>
        </w:rPr>
        <w:t>relatoren</w:t>
      </w:r>
      <w:proofErr w:type="spellEnd"/>
      <w:r w:rsidRPr="0042133E">
        <w:rPr>
          <w:rFonts w:ascii="Garamond" w:hAnsi="Garamond"/>
        </w:rPr>
        <w:t xml:space="preserve"> e çështjes </w:t>
      </w:r>
      <w:proofErr w:type="spellStart"/>
      <w:r w:rsidRPr="0042133E">
        <w:rPr>
          <w:rFonts w:ascii="Garamond" w:hAnsi="Garamond"/>
        </w:rPr>
        <w:t>Holta</w:t>
      </w:r>
      <w:proofErr w:type="spellEnd"/>
      <w:r w:rsidRPr="0042133E">
        <w:rPr>
          <w:rFonts w:ascii="Garamond" w:hAnsi="Garamond"/>
        </w:rPr>
        <w:t xml:space="preserve"> </w:t>
      </w:r>
      <w:proofErr w:type="spellStart"/>
      <w:r w:rsidRPr="0042133E">
        <w:rPr>
          <w:rFonts w:ascii="Garamond" w:hAnsi="Garamond"/>
        </w:rPr>
        <w:t>Zaçaj</w:t>
      </w:r>
      <w:proofErr w:type="spellEnd"/>
      <w:r w:rsidRPr="0042133E">
        <w:rPr>
          <w:rFonts w:ascii="Garamond" w:hAnsi="Garamond"/>
        </w:rPr>
        <w:t xml:space="preserve">, mori në shqyrtim pretendimet me shkrim të kërkueses </w:t>
      </w:r>
      <w:proofErr w:type="spellStart"/>
      <w:r w:rsidRPr="0042133E">
        <w:rPr>
          <w:rFonts w:ascii="Garamond" w:hAnsi="Garamond"/>
        </w:rPr>
        <w:t>Uljana</w:t>
      </w:r>
      <w:proofErr w:type="spellEnd"/>
      <w:r w:rsidRPr="0042133E">
        <w:rPr>
          <w:rFonts w:ascii="Garamond" w:hAnsi="Garamond"/>
        </w:rPr>
        <w:t xml:space="preserve"> Jeshili (</w:t>
      </w:r>
      <w:r w:rsidRPr="0042133E">
        <w:rPr>
          <w:rFonts w:ascii="Garamond" w:hAnsi="Garamond"/>
          <w:i/>
          <w:iCs/>
        </w:rPr>
        <w:t>kërkuesja e parë</w:t>
      </w:r>
      <w:r w:rsidRPr="0042133E">
        <w:rPr>
          <w:rFonts w:ascii="Garamond" w:hAnsi="Garamond"/>
        </w:rPr>
        <w:t xml:space="preserve">) dhe kërkuesit Erind Jeshili </w:t>
      </w:r>
      <w:r w:rsidRPr="0042133E">
        <w:rPr>
          <w:rFonts w:ascii="Garamond" w:hAnsi="Garamond"/>
          <w:i/>
          <w:iCs/>
        </w:rPr>
        <w:t>(kërkuesi i dytë)</w:t>
      </w:r>
      <w:r w:rsidRPr="0042133E">
        <w:rPr>
          <w:rFonts w:ascii="Garamond" w:hAnsi="Garamond"/>
        </w:rPr>
        <w:t>, që kanë kërkuar pranimin e kërkesës</w:t>
      </w:r>
      <w:r w:rsidRPr="0042133E">
        <w:rPr>
          <w:rFonts w:ascii="Garamond" w:hAnsi="Garamond"/>
          <w:i/>
          <w:iCs/>
        </w:rPr>
        <w:t>,</w:t>
      </w:r>
      <w:r w:rsidRPr="0042133E">
        <w:rPr>
          <w:rFonts w:ascii="Garamond" w:hAnsi="Garamond"/>
        </w:rPr>
        <w:t xml:space="preserve"> prapësimet me shkrim të subjektit të interesuar, Byrosë Shqiptare të Sigurimit (</w:t>
      </w:r>
      <w:proofErr w:type="spellStart"/>
      <w:r w:rsidRPr="0042133E">
        <w:rPr>
          <w:rFonts w:ascii="Garamond" w:hAnsi="Garamond"/>
          <w:i/>
          <w:iCs/>
        </w:rPr>
        <w:t>BSHS</w:t>
      </w:r>
      <w:proofErr w:type="spellEnd"/>
      <w:r w:rsidRPr="0042133E">
        <w:rPr>
          <w:rFonts w:ascii="Garamond" w:hAnsi="Garamond"/>
        </w:rPr>
        <w:t xml:space="preserve">), që ka kërkuar rrëzimin e kërkesës, prapësimet me shkrim të subjektit të interesuar, Shoqërisë së Sigurimeve “INSIG” </w:t>
      </w:r>
      <w:proofErr w:type="spellStart"/>
      <w:r w:rsidRPr="0042133E">
        <w:rPr>
          <w:rFonts w:ascii="Garamond" w:hAnsi="Garamond"/>
        </w:rPr>
        <w:t>sh.a</w:t>
      </w:r>
      <w:proofErr w:type="spellEnd"/>
      <w:r w:rsidRPr="0042133E">
        <w:rPr>
          <w:rFonts w:ascii="Garamond" w:hAnsi="Garamond"/>
        </w:rPr>
        <w:t>. (</w:t>
      </w:r>
      <w:r w:rsidRPr="0042133E">
        <w:rPr>
          <w:rFonts w:ascii="Garamond" w:hAnsi="Garamond"/>
          <w:i/>
          <w:iCs/>
        </w:rPr>
        <w:t>shoqëria INSIG</w:t>
      </w:r>
      <w:r w:rsidRPr="0042133E">
        <w:rPr>
          <w:rFonts w:ascii="Garamond" w:hAnsi="Garamond"/>
        </w:rPr>
        <w:t xml:space="preserve">), që ka kërkuar rrëzimin e kërkesës, si dhe diskutoi çështjen në tërësi, </w:t>
      </w:r>
    </w:p>
    <w:p w14:paraId="3E280925" w14:textId="77777777" w:rsidR="00932AB6" w:rsidRPr="0042133E" w:rsidRDefault="00932AB6" w:rsidP="008A1168">
      <w:pPr>
        <w:pStyle w:val="BodyTextIndent2"/>
        <w:spacing w:line="240" w:lineRule="auto"/>
        <w:ind w:left="0" w:firstLine="284"/>
        <w:rPr>
          <w:rFonts w:ascii="Garamond" w:hAnsi="Garamond"/>
          <w:b w:val="0"/>
        </w:rPr>
      </w:pPr>
    </w:p>
    <w:p w14:paraId="20F3B6CC" w14:textId="6A3DC6B3" w:rsidR="00932AB6" w:rsidRDefault="00932AB6" w:rsidP="008A1168">
      <w:pPr>
        <w:spacing w:line="240" w:lineRule="auto"/>
        <w:ind w:firstLine="284"/>
        <w:jc w:val="center"/>
        <w:rPr>
          <w:rFonts w:ascii="Garamond" w:hAnsi="Garamond"/>
          <w:bCs/>
        </w:rPr>
      </w:pPr>
      <w:r w:rsidRPr="0042133E">
        <w:rPr>
          <w:rFonts w:ascii="Garamond" w:hAnsi="Garamond"/>
          <w:bCs/>
        </w:rPr>
        <w:t>VËREN:</w:t>
      </w:r>
    </w:p>
    <w:p w14:paraId="5EFCA08F" w14:textId="77777777" w:rsidR="00BE4E8C" w:rsidRPr="0042133E" w:rsidRDefault="00BE4E8C" w:rsidP="008A1168">
      <w:pPr>
        <w:spacing w:line="240" w:lineRule="auto"/>
        <w:ind w:firstLine="284"/>
        <w:jc w:val="center"/>
        <w:rPr>
          <w:rFonts w:ascii="Garamond" w:hAnsi="Garamond"/>
          <w:bCs/>
        </w:rPr>
      </w:pPr>
    </w:p>
    <w:p w14:paraId="40B8683B" w14:textId="77777777" w:rsidR="00932AB6" w:rsidRPr="0042133E" w:rsidRDefault="00932AB6" w:rsidP="008A1168">
      <w:pPr>
        <w:keepNext/>
        <w:spacing w:line="240" w:lineRule="auto"/>
        <w:ind w:firstLine="284"/>
        <w:jc w:val="center"/>
        <w:rPr>
          <w:rFonts w:ascii="Garamond" w:hAnsi="Garamond"/>
          <w:b/>
          <w:bCs/>
        </w:rPr>
      </w:pPr>
      <w:r w:rsidRPr="0042133E">
        <w:rPr>
          <w:rFonts w:ascii="Garamond" w:hAnsi="Garamond"/>
          <w:b/>
          <w:bCs/>
        </w:rPr>
        <w:t>I</w:t>
      </w:r>
    </w:p>
    <w:p w14:paraId="7D837B24" w14:textId="68F8E8D1" w:rsidR="00932AB6" w:rsidRPr="0042133E" w:rsidRDefault="00932AB6" w:rsidP="008A1168">
      <w:pPr>
        <w:spacing w:line="240" w:lineRule="auto"/>
        <w:ind w:firstLine="284"/>
        <w:jc w:val="center"/>
        <w:rPr>
          <w:rFonts w:ascii="Garamond" w:hAnsi="Garamond"/>
          <w:b/>
          <w:bCs/>
        </w:rPr>
      </w:pPr>
      <w:r w:rsidRPr="0042133E">
        <w:rPr>
          <w:rFonts w:ascii="Garamond" w:hAnsi="Garamond"/>
          <w:b/>
          <w:bCs/>
        </w:rPr>
        <w:t>Rrethanat e çështjes</w:t>
      </w:r>
    </w:p>
    <w:p w14:paraId="30088274" w14:textId="77777777" w:rsidR="008A1168" w:rsidRPr="0042133E" w:rsidRDefault="008A1168" w:rsidP="008A1168">
      <w:pPr>
        <w:spacing w:line="240" w:lineRule="auto"/>
        <w:ind w:firstLine="284"/>
        <w:jc w:val="center"/>
        <w:rPr>
          <w:rFonts w:ascii="Garamond" w:hAnsi="Garamond"/>
          <w:b/>
          <w:bCs/>
        </w:rPr>
      </w:pPr>
    </w:p>
    <w:p w14:paraId="381820DF" w14:textId="1FCBBB3C" w:rsidR="00932AB6" w:rsidRPr="0042133E" w:rsidRDefault="00BE4E8C" w:rsidP="00BE4E8C">
      <w:pPr>
        <w:pStyle w:val="BodyTextIndent2"/>
        <w:tabs>
          <w:tab w:val="left" w:pos="980"/>
        </w:tabs>
        <w:spacing w:line="240" w:lineRule="auto"/>
        <w:ind w:left="0" w:firstLine="284"/>
        <w:rPr>
          <w:rFonts w:ascii="Garamond" w:hAnsi="Garamond"/>
          <w:b w:val="0"/>
          <w:bCs/>
        </w:rPr>
      </w:pPr>
      <w:r w:rsidRPr="00BE4E8C">
        <w:rPr>
          <w:rFonts w:ascii="Garamond" w:hAnsi="Garamond"/>
          <w:b w:val="0"/>
          <w:bCs/>
        </w:rPr>
        <w:t>1.</w:t>
      </w:r>
      <w:r>
        <w:rPr>
          <w:rFonts w:ascii="Garamond" w:hAnsi="Garamond"/>
          <w:b w:val="0"/>
          <w:bCs/>
        </w:rPr>
        <w:t xml:space="preserve"> </w:t>
      </w:r>
      <w:r w:rsidR="00932AB6" w:rsidRPr="0042133E">
        <w:rPr>
          <w:rFonts w:ascii="Garamond" w:hAnsi="Garamond"/>
          <w:b w:val="0"/>
          <w:bCs/>
        </w:rPr>
        <w:t xml:space="preserve">Kërkuesit janë trashëgimtarët ligjorë të </w:t>
      </w:r>
      <w:proofErr w:type="spellStart"/>
      <w:r w:rsidR="00932AB6" w:rsidRPr="0042133E">
        <w:rPr>
          <w:rFonts w:ascii="Garamond" w:hAnsi="Garamond"/>
          <w:b w:val="0"/>
          <w:bCs/>
        </w:rPr>
        <w:t>të</w:t>
      </w:r>
      <w:proofErr w:type="spellEnd"/>
      <w:r w:rsidR="00932AB6" w:rsidRPr="0042133E">
        <w:rPr>
          <w:rFonts w:ascii="Garamond" w:hAnsi="Garamond"/>
          <w:b w:val="0"/>
          <w:bCs/>
        </w:rPr>
        <w:t xml:space="preserve"> ndjerit E.</w:t>
      </w:r>
      <w:r>
        <w:rPr>
          <w:rFonts w:ascii="Garamond" w:hAnsi="Garamond"/>
          <w:b w:val="0"/>
          <w:bCs/>
        </w:rPr>
        <w:t xml:space="preserve"> </w:t>
      </w:r>
      <w:r w:rsidR="00932AB6" w:rsidRPr="0042133E">
        <w:rPr>
          <w:rFonts w:ascii="Garamond" w:hAnsi="Garamond"/>
          <w:b w:val="0"/>
          <w:bCs/>
        </w:rPr>
        <w:t>J., përkatësisht bashkëshortja dhe djali i tij, i cili ka humbur jetën si pasojë e një aksidenti automobilist</w:t>
      </w:r>
      <w:r>
        <w:rPr>
          <w:rFonts w:ascii="Garamond" w:hAnsi="Garamond"/>
          <w:b w:val="0"/>
          <w:bCs/>
        </w:rPr>
        <w:t>ik, të ndodhur në datën 27.</w:t>
      </w:r>
      <w:r w:rsidR="00932AB6" w:rsidRPr="0042133E">
        <w:rPr>
          <w:rFonts w:ascii="Garamond" w:hAnsi="Garamond"/>
          <w:b w:val="0"/>
          <w:bCs/>
        </w:rPr>
        <w:t xml:space="preserve">8.2008, në Tiranë. </w:t>
      </w:r>
    </w:p>
    <w:p w14:paraId="10B1CA2E" w14:textId="0388DF03" w:rsidR="00932AB6" w:rsidRPr="0042133E" w:rsidRDefault="00BE4E8C" w:rsidP="008A1168">
      <w:pPr>
        <w:pStyle w:val="BodyTextIndent2"/>
        <w:tabs>
          <w:tab w:val="left" w:pos="980"/>
        </w:tabs>
        <w:spacing w:line="240" w:lineRule="auto"/>
        <w:ind w:left="0" w:firstLine="284"/>
        <w:rPr>
          <w:rFonts w:ascii="Garamond" w:hAnsi="Garamond"/>
          <w:b w:val="0"/>
          <w:bCs/>
        </w:rPr>
      </w:pPr>
      <w:r>
        <w:rPr>
          <w:rFonts w:ascii="Garamond" w:hAnsi="Garamond"/>
          <w:b w:val="0"/>
          <w:bCs/>
        </w:rPr>
        <w:t xml:space="preserve">2. </w:t>
      </w:r>
      <w:r w:rsidR="00932AB6" w:rsidRPr="0042133E">
        <w:rPr>
          <w:rFonts w:ascii="Garamond" w:hAnsi="Garamond"/>
          <w:b w:val="0"/>
          <w:bCs/>
        </w:rPr>
        <w:t xml:space="preserve">Duke qenë se mjeti shkaktar i aksidentit nuk ka qenë i siguruar në asnjë nga shoqëritë e sigurimit që operojnë në treg, kërkuesja e parë, personalisht dhe si përfaqësuese e djalit të saj të mitur në atë kohë, kërkuesit të dytë, i është drejtuar </w:t>
      </w:r>
      <w:proofErr w:type="spellStart"/>
      <w:r w:rsidR="00932AB6" w:rsidRPr="0042133E">
        <w:rPr>
          <w:rFonts w:ascii="Garamond" w:hAnsi="Garamond"/>
          <w:b w:val="0"/>
          <w:bCs/>
        </w:rPr>
        <w:t>BSHS</w:t>
      </w:r>
      <w:proofErr w:type="spellEnd"/>
      <w:r w:rsidR="00932AB6" w:rsidRPr="0042133E">
        <w:rPr>
          <w:rFonts w:ascii="Garamond" w:hAnsi="Garamond"/>
          <w:b w:val="0"/>
          <w:bCs/>
        </w:rPr>
        <w:t xml:space="preserve">-së, si subjekti i përcaktuar me ligj për përgjegjësinë ndaj të </w:t>
      </w:r>
      <w:proofErr w:type="spellStart"/>
      <w:r w:rsidR="00932AB6" w:rsidRPr="0042133E">
        <w:rPr>
          <w:rFonts w:ascii="Garamond" w:hAnsi="Garamond"/>
          <w:b w:val="0"/>
          <w:bCs/>
        </w:rPr>
        <w:t>tretëve</w:t>
      </w:r>
      <w:proofErr w:type="spellEnd"/>
      <w:r w:rsidR="00932AB6" w:rsidRPr="0042133E">
        <w:rPr>
          <w:rFonts w:ascii="Garamond" w:hAnsi="Garamond"/>
          <w:b w:val="0"/>
          <w:bCs/>
        </w:rPr>
        <w:t xml:space="preserve"> në rastet kur mjeti motorik shkaktar i aksidentit nuk është i siguruar. Në vijim, </w:t>
      </w:r>
      <w:proofErr w:type="spellStart"/>
      <w:r w:rsidR="00932AB6" w:rsidRPr="0042133E">
        <w:rPr>
          <w:rFonts w:ascii="Garamond" w:hAnsi="Garamond"/>
          <w:b w:val="0"/>
          <w:bCs/>
        </w:rPr>
        <w:t>BSHS</w:t>
      </w:r>
      <w:proofErr w:type="spellEnd"/>
      <w:r w:rsidR="00932AB6" w:rsidRPr="0042133E">
        <w:rPr>
          <w:rFonts w:ascii="Garamond" w:hAnsi="Garamond"/>
          <w:b w:val="0"/>
          <w:bCs/>
        </w:rPr>
        <w:t>-ja ia ka deleguar kompetencat shoqërisë së sigurimit, e cila ka bërë përllogaritjen e vlerës s</w:t>
      </w:r>
      <w:r>
        <w:rPr>
          <w:rFonts w:ascii="Garamond" w:hAnsi="Garamond"/>
          <w:b w:val="0"/>
          <w:bCs/>
        </w:rPr>
        <w:t>ë dëmit në shumën totale 9.680.</w:t>
      </w:r>
      <w:r w:rsidR="00932AB6" w:rsidRPr="0042133E">
        <w:rPr>
          <w:rFonts w:ascii="Garamond" w:hAnsi="Garamond"/>
          <w:b w:val="0"/>
          <w:bCs/>
        </w:rPr>
        <w:t xml:space="preserve">782 lekë. Kjo shumë është tërhequr nga kërkuesja e parë. </w:t>
      </w:r>
    </w:p>
    <w:p w14:paraId="0FA5FEE9" w14:textId="57A405AB" w:rsidR="00932AB6" w:rsidRPr="0042133E" w:rsidRDefault="00BE4E8C" w:rsidP="008A1168">
      <w:pPr>
        <w:pStyle w:val="BodyTextIndent2"/>
        <w:tabs>
          <w:tab w:val="left" w:pos="980"/>
        </w:tabs>
        <w:spacing w:line="240" w:lineRule="auto"/>
        <w:ind w:left="0" w:firstLine="284"/>
        <w:rPr>
          <w:rFonts w:ascii="Garamond" w:hAnsi="Garamond"/>
          <w:b w:val="0"/>
          <w:bCs/>
        </w:rPr>
      </w:pPr>
      <w:r>
        <w:rPr>
          <w:rFonts w:ascii="Garamond" w:hAnsi="Garamond"/>
          <w:b w:val="0"/>
          <w:bCs/>
        </w:rPr>
        <w:lastRenderedPageBreak/>
        <w:t>3</w:t>
      </w:r>
      <w:r w:rsidR="00C95ABE">
        <w:rPr>
          <w:rFonts w:ascii="Garamond" w:hAnsi="Garamond"/>
          <w:b w:val="0"/>
          <w:bCs/>
        </w:rPr>
        <w:t>.</w:t>
      </w:r>
      <w:r>
        <w:rPr>
          <w:rFonts w:ascii="Garamond" w:hAnsi="Garamond"/>
          <w:b w:val="0"/>
          <w:bCs/>
        </w:rPr>
        <w:t xml:space="preserve"> Më pas, në datën 20.</w:t>
      </w:r>
      <w:r w:rsidR="00932AB6" w:rsidRPr="0042133E">
        <w:rPr>
          <w:rFonts w:ascii="Garamond" w:hAnsi="Garamond"/>
          <w:b w:val="0"/>
          <w:bCs/>
        </w:rPr>
        <w:t>6.2011, kërkuesja e parë ka nënshkruar një deklaratë noteriale, me anë të së cilës ka deklaruar se është dakord me shumën e dëmshpërblimit dhe se nuk ka asnjë pretendim tjetër financiar ndaj shoqërisë së sigurimit lidhur me aksidentin e ndodhur.</w:t>
      </w:r>
    </w:p>
    <w:p w14:paraId="6E30ECF6" w14:textId="07370C45" w:rsidR="00932AB6" w:rsidRPr="0042133E" w:rsidRDefault="00BE4E8C" w:rsidP="008A1168">
      <w:pPr>
        <w:pStyle w:val="BodyTextIndent2"/>
        <w:tabs>
          <w:tab w:val="left" w:pos="980"/>
        </w:tabs>
        <w:spacing w:line="240" w:lineRule="auto"/>
        <w:ind w:left="0" w:firstLine="284"/>
        <w:rPr>
          <w:rFonts w:ascii="Garamond" w:hAnsi="Garamond"/>
          <w:b w:val="0"/>
          <w:bCs/>
        </w:rPr>
      </w:pPr>
      <w:r>
        <w:rPr>
          <w:rFonts w:ascii="Garamond" w:hAnsi="Garamond"/>
          <w:b w:val="0"/>
          <w:bCs/>
        </w:rPr>
        <w:t xml:space="preserve">4. </w:t>
      </w:r>
      <w:r w:rsidR="00932AB6" w:rsidRPr="0042133E">
        <w:rPr>
          <w:rFonts w:ascii="Garamond" w:hAnsi="Garamond"/>
          <w:b w:val="0"/>
          <w:bCs/>
        </w:rPr>
        <w:t xml:space="preserve">Pas më shumë se dy vjetësh kërkuesja e parë i është drejtuar gjykatës, duke kërkuar diferencën e dëmit real pasuror dhe </w:t>
      </w:r>
      <w:proofErr w:type="spellStart"/>
      <w:r w:rsidR="00932AB6" w:rsidRPr="0042133E">
        <w:rPr>
          <w:rFonts w:ascii="Garamond" w:hAnsi="Garamond"/>
          <w:b w:val="0"/>
          <w:bCs/>
        </w:rPr>
        <w:t>jopasuror</w:t>
      </w:r>
      <w:proofErr w:type="spellEnd"/>
      <w:r w:rsidR="00932AB6" w:rsidRPr="0042133E">
        <w:rPr>
          <w:rFonts w:ascii="Garamond" w:hAnsi="Garamond"/>
          <w:b w:val="0"/>
          <w:bCs/>
        </w:rPr>
        <w:t xml:space="preserve"> të pësuar për shkak të aksidentit, më palë të paditura shoqërinë INSIG dhe </w:t>
      </w:r>
      <w:proofErr w:type="spellStart"/>
      <w:r w:rsidR="00932AB6" w:rsidRPr="0042133E">
        <w:rPr>
          <w:rFonts w:ascii="Garamond" w:hAnsi="Garamond"/>
          <w:b w:val="0"/>
          <w:bCs/>
        </w:rPr>
        <w:t>BSHS</w:t>
      </w:r>
      <w:proofErr w:type="spellEnd"/>
      <w:r w:rsidR="00932AB6" w:rsidRPr="0042133E">
        <w:rPr>
          <w:rFonts w:ascii="Garamond" w:hAnsi="Garamond"/>
          <w:b w:val="0"/>
          <w:bCs/>
        </w:rPr>
        <w:t xml:space="preserve">-në. Gjatë gjykimit në shkallë të parë është futur në gjykim në cilësinë e personit të tretë, ndërhyrës kryesor, edhe kërkuesi i dytë. Në përfundim, Gjykata e Rrethit Gjyqësor Tiranë, me vendimin nr. 10174, datë 23.10.2014, ka vendosur rrëzimin e kërkesëpadisë. Ajo gjykatë ka vlerësuar se fakti që kërkuesja e parë ka pranuar si detyrim shumën 9.690.782 lekë nëpërmjet deklaratës noteriale, duke deklaruar se nuk ka asnjë pretendim tjetër financiar lidhur me ngjarjen, nënkupton se detyrimi i palës së paditur mbi çdo shumë tjetër tej asaj të pranuar si të tillë, është shuar, duke u njohur si detyrim i ri ai në shumën e pranuar dhe të ekzekutuar. </w:t>
      </w:r>
    </w:p>
    <w:p w14:paraId="65FF7BAC" w14:textId="01D052B2" w:rsidR="00932AB6" w:rsidRPr="0042133E" w:rsidRDefault="00BE4E8C" w:rsidP="008A1168">
      <w:pPr>
        <w:pStyle w:val="BodyTextIndent2"/>
        <w:tabs>
          <w:tab w:val="left" w:pos="980"/>
        </w:tabs>
        <w:spacing w:line="240" w:lineRule="auto"/>
        <w:ind w:left="0" w:firstLine="284"/>
        <w:rPr>
          <w:rFonts w:ascii="Garamond" w:hAnsi="Garamond"/>
          <w:b w:val="0"/>
          <w:bCs/>
        </w:rPr>
      </w:pPr>
      <w:r>
        <w:rPr>
          <w:rFonts w:ascii="Garamond" w:hAnsi="Garamond"/>
          <w:b w:val="0"/>
          <w:bCs/>
        </w:rPr>
        <w:t xml:space="preserve">5. </w:t>
      </w:r>
      <w:r w:rsidR="00932AB6" w:rsidRPr="0042133E">
        <w:rPr>
          <w:rFonts w:ascii="Garamond" w:hAnsi="Garamond"/>
          <w:b w:val="0"/>
          <w:bCs/>
        </w:rPr>
        <w:t xml:space="preserve">Për ankimin e kërkueses së parë, Gjykata e Apelit Tiranë, me vendimin nr. 2361, datë 24.11.2015, ka vendosur ndryshimin e vendimit të gjykatës së shkallës së parë dhe detyrimin e palës së paditur për t’u paguar kërkuesve diferencën e dëmit të pësuar, në shumën 8.862.470 lekë. Sipas asaj gjykate, shuma e dhënë nga shoqëria e sigurimit përmban vetëm dëmin pasuror, ndërsa në bazë të vendimit </w:t>
      </w:r>
      <w:proofErr w:type="spellStart"/>
      <w:r w:rsidR="00932AB6" w:rsidRPr="0042133E">
        <w:rPr>
          <w:rFonts w:ascii="Garamond" w:hAnsi="Garamond"/>
          <w:b w:val="0"/>
          <w:bCs/>
        </w:rPr>
        <w:t>unifikues</w:t>
      </w:r>
      <w:proofErr w:type="spellEnd"/>
      <w:r w:rsidR="00932AB6" w:rsidRPr="0042133E">
        <w:rPr>
          <w:rFonts w:ascii="Garamond" w:hAnsi="Garamond"/>
          <w:b w:val="0"/>
          <w:bCs/>
        </w:rPr>
        <w:t xml:space="preserve"> nr. 12, datë 13.9.2007</w:t>
      </w:r>
      <w:r>
        <w:rPr>
          <w:rFonts w:ascii="Garamond" w:hAnsi="Garamond"/>
          <w:b w:val="0"/>
          <w:bCs/>
        </w:rPr>
        <w:t>,</w:t>
      </w:r>
      <w:r w:rsidR="00932AB6" w:rsidRPr="0042133E">
        <w:rPr>
          <w:rFonts w:ascii="Garamond" w:hAnsi="Garamond"/>
          <w:b w:val="0"/>
          <w:bCs/>
        </w:rPr>
        <w:t xml:space="preserve"> të Kolegjeve të Bashkuara të Gjykatës së Lartë (</w:t>
      </w:r>
      <w:r w:rsidR="00932AB6" w:rsidRPr="0042133E">
        <w:rPr>
          <w:rFonts w:ascii="Garamond" w:hAnsi="Garamond"/>
          <w:b w:val="0"/>
          <w:bCs/>
          <w:i/>
          <w:iCs/>
        </w:rPr>
        <w:t xml:space="preserve">vendimi </w:t>
      </w:r>
      <w:proofErr w:type="spellStart"/>
      <w:r w:rsidR="00932AB6" w:rsidRPr="0042133E">
        <w:rPr>
          <w:rFonts w:ascii="Garamond" w:hAnsi="Garamond"/>
          <w:b w:val="0"/>
          <w:bCs/>
          <w:i/>
          <w:iCs/>
        </w:rPr>
        <w:t>unifikues</w:t>
      </w:r>
      <w:proofErr w:type="spellEnd"/>
      <w:r w:rsidR="00932AB6" w:rsidRPr="0042133E">
        <w:rPr>
          <w:rFonts w:ascii="Garamond" w:hAnsi="Garamond"/>
          <w:b w:val="0"/>
          <w:bCs/>
          <w:i/>
          <w:iCs/>
        </w:rPr>
        <w:t xml:space="preserve"> nr. 12/2007</w:t>
      </w:r>
      <w:r w:rsidR="00932AB6" w:rsidRPr="0042133E">
        <w:rPr>
          <w:rFonts w:ascii="Garamond" w:hAnsi="Garamond"/>
          <w:b w:val="0"/>
          <w:bCs/>
        </w:rPr>
        <w:t xml:space="preserve">), është zgjeruar përmbajtja e llogaritjes së dëmit për këto raste, duke përfshirë edhe dëmin </w:t>
      </w:r>
      <w:proofErr w:type="spellStart"/>
      <w:r w:rsidR="00932AB6" w:rsidRPr="0042133E">
        <w:rPr>
          <w:rFonts w:ascii="Garamond" w:hAnsi="Garamond"/>
          <w:b w:val="0"/>
          <w:bCs/>
        </w:rPr>
        <w:t>jopasuror</w:t>
      </w:r>
      <w:proofErr w:type="spellEnd"/>
      <w:r w:rsidR="00932AB6" w:rsidRPr="0042133E">
        <w:rPr>
          <w:rFonts w:ascii="Garamond" w:hAnsi="Garamond"/>
          <w:b w:val="0"/>
          <w:bCs/>
        </w:rPr>
        <w:t xml:space="preserve">. Sipas gjykatës së apelit, pala e paditur i ka përqendruar pretendimet në ekzistencën e deklaratës noteriale, të cilën e ka cilësuar si joligjore. Pretendimi për parashkrimin e padisë, vijon ajo, me të drejtë nuk është marrë parasysh nga gjykata e shkallës së parë. Kundër atij vendimi kanë paraqitur rekurs shoqëria e sigurimit dhe </w:t>
      </w:r>
      <w:proofErr w:type="spellStart"/>
      <w:r w:rsidR="00932AB6" w:rsidRPr="0042133E">
        <w:rPr>
          <w:rFonts w:ascii="Garamond" w:hAnsi="Garamond"/>
          <w:b w:val="0"/>
          <w:bCs/>
        </w:rPr>
        <w:t>BSHS</w:t>
      </w:r>
      <w:proofErr w:type="spellEnd"/>
      <w:r w:rsidR="00932AB6" w:rsidRPr="0042133E">
        <w:rPr>
          <w:rFonts w:ascii="Garamond" w:hAnsi="Garamond"/>
          <w:b w:val="0"/>
          <w:bCs/>
        </w:rPr>
        <w:t>-ja.</w:t>
      </w:r>
    </w:p>
    <w:p w14:paraId="15385B51" w14:textId="54EE51AC" w:rsidR="00932AB6" w:rsidRPr="0042133E" w:rsidRDefault="00BE4E8C" w:rsidP="008A1168">
      <w:pPr>
        <w:pStyle w:val="BodyTextIndent2"/>
        <w:tabs>
          <w:tab w:val="left" w:pos="980"/>
        </w:tabs>
        <w:spacing w:line="240" w:lineRule="auto"/>
        <w:ind w:left="0" w:firstLine="284"/>
        <w:rPr>
          <w:rFonts w:ascii="Garamond" w:hAnsi="Garamond"/>
          <w:b w:val="0"/>
          <w:bCs/>
        </w:rPr>
      </w:pPr>
      <w:r>
        <w:rPr>
          <w:rFonts w:ascii="Garamond" w:hAnsi="Garamond"/>
          <w:b w:val="0"/>
          <w:bCs/>
        </w:rPr>
        <w:t>6. Në datën 15.</w:t>
      </w:r>
      <w:r w:rsidR="00932AB6" w:rsidRPr="0042133E">
        <w:rPr>
          <w:rFonts w:ascii="Garamond" w:hAnsi="Garamond"/>
          <w:b w:val="0"/>
          <w:bCs/>
        </w:rPr>
        <w:t>5.2024</w:t>
      </w:r>
      <w:r>
        <w:rPr>
          <w:rFonts w:ascii="Garamond" w:hAnsi="Garamond"/>
          <w:b w:val="0"/>
          <w:bCs/>
        </w:rPr>
        <w:t>,</w:t>
      </w:r>
      <w:r w:rsidR="00932AB6" w:rsidRPr="0042133E">
        <w:rPr>
          <w:rFonts w:ascii="Garamond" w:hAnsi="Garamond"/>
          <w:b w:val="0"/>
          <w:bCs/>
        </w:rPr>
        <w:t xml:space="preserve"> Kolegji Civil i Gjykatës së Lartë ka marrë në shqyrtim në dhomën e këshillimit rekurset e subjekteve të interesuara, shoqërisë së sigurimit dhe </w:t>
      </w:r>
      <w:proofErr w:type="spellStart"/>
      <w:r w:rsidR="00932AB6" w:rsidRPr="0042133E">
        <w:rPr>
          <w:rFonts w:ascii="Garamond" w:hAnsi="Garamond"/>
          <w:b w:val="0"/>
          <w:bCs/>
        </w:rPr>
        <w:t>BSHS</w:t>
      </w:r>
      <w:proofErr w:type="spellEnd"/>
      <w:r w:rsidR="00932AB6" w:rsidRPr="0042133E">
        <w:rPr>
          <w:rFonts w:ascii="Garamond" w:hAnsi="Garamond"/>
          <w:b w:val="0"/>
          <w:bCs/>
        </w:rPr>
        <w:t xml:space="preserve">-së dhe me vendimin nr. 00-2024-2029 (280) ka vendosur prishjen e vendimit të gjykatës së apelit dhe lënien në fuqi të gjykatës së shkallës së parë. </w:t>
      </w:r>
    </w:p>
    <w:p w14:paraId="2E13E022" w14:textId="323ECEA5" w:rsidR="00932AB6" w:rsidRPr="0042133E" w:rsidRDefault="00BE4E8C" w:rsidP="008A1168">
      <w:pPr>
        <w:pStyle w:val="BodyTextIndent2"/>
        <w:tabs>
          <w:tab w:val="left" w:pos="980"/>
        </w:tabs>
        <w:spacing w:line="240" w:lineRule="auto"/>
        <w:ind w:left="0" w:firstLine="284"/>
        <w:rPr>
          <w:rFonts w:ascii="Garamond" w:hAnsi="Garamond"/>
          <w:b w:val="0"/>
          <w:bCs/>
        </w:rPr>
      </w:pPr>
      <w:r>
        <w:rPr>
          <w:rFonts w:ascii="Garamond" w:hAnsi="Garamond"/>
          <w:b w:val="0"/>
          <w:bCs/>
        </w:rPr>
        <w:t>7. Në datën 29.</w:t>
      </w:r>
      <w:r w:rsidR="00932AB6" w:rsidRPr="0042133E">
        <w:rPr>
          <w:rFonts w:ascii="Garamond" w:hAnsi="Garamond"/>
          <w:b w:val="0"/>
          <w:bCs/>
        </w:rPr>
        <w:t>1.2025</w:t>
      </w:r>
      <w:r>
        <w:rPr>
          <w:rFonts w:ascii="Garamond" w:hAnsi="Garamond"/>
          <w:b w:val="0"/>
          <w:bCs/>
        </w:rPr>
        <w:t>,</w:t>
      </w:r>
      <w:r w:rsidR="00932AB6" w:rsidRPr="0042133E">
        <w:rPr>
          <w:rFonts w:ascii="Garamond" w:hAnsi="Garamond"/>
          <w:b w:val="0"/>
          <w:bCs/>
        </w:rPr>
        <w:t xml:space="preserve"> kërkuesit, nëpërmjet shërbimit postar, i janë drejtuar Gjykatës Kushtetuese (</w:t>
      </w:r>
      <w:r w:rsidR="00932AB6" w:rsidRPr="0042133E">
        <w:rPr>
          <w:rFonts w:ascii="Garamond" w:hAnsi="Garamond"/>
          <w:b w:val="0"/>
          <w:bCs/>
          <w:i/>
          <w:iCs/>
        </w:rPr>
        <w:t>Gjykata</w:t>
      </w:r>
      <w:r w:rsidR="00932AB6" w:rsidRPr="0042133E">
        <w:rPr>
          <w:rFonts w:ascii="Garamond" w:hAnsi="Garamond"/>
          <w:b w:val="0"/>
          <w:bCs/>
        </w:rPr>
        <w:t>), me ankim kushtetues individual, sipas objektit, i cili</w:t>
      </w:r>
      <w:r>
        <w:rPr>
          <w:rFonts w:ascii="Garamond" w:hAnsi="Garamond"/>
          <w:b w:val="0"/>
          <w:bCs/>
        </w:rPr>
        <w:t xml:space="preserve"> është regjistruar në datën 31.</w:t>
      </w:r>
      <w:r w:rsidR="00932AB6" w:rsidRPr="0042133E">
        <w:rPr>
          <w:rFonts w:ascii="Garamond" w:hAnsi="Garamond"/>
          <w:b w:val="0"/>
          <w:bCs/>
        </w:rPr>
        <w:t>1.2025. Kolegji i Gj</w:t>
      </w:r>
      <w:r>
        <w:rPr>
          <w:rFonts w:ascii="Garamond" w:hAnsi="Garamond"/>
          <w:b w:val="0"/>
          <w:bCs/>
        </w:rPr>
        <w:t>ykatës, me vendimin e datës 4.</w:t>
      </w:r>
      <w:r w:rsidR="00932AB6" w:rsidRPr="0042133E">
        <w:rPr>
          <w:rFonts w:ascii="Garamond" w:hAnsi="Garamond"/>
          <w:b w:val="0"/>
          <w:bCs/>
        </w:rPr>
        <w:t>4.2025, ka vendosur kalimin e çështjes për shqyrtim në seancë plenare mbi bazë të dokumenteve.</w:t>
      </w:r>
      <w:r w:rsidR="00932AB6" w:rsidRPr="0042133E">
        <w:rPr>
          <w:rFonts w:ascii="Garamond" w:hAnsi="Garamond"/>
        </w:rPr>
        <w:t xml:space="preserve"> </w:t>
      </w:r>
    </w:p>
    <w:p w14:paraId="4B8A4A8C" w14:textId="77777777" w:rsidR="00932AB6" w:rsidRPr="0042133E" w:rsidRDefault="00932AB6" w:rsidP="008A1168">
      <w:pPr>
        <w:pStyle w:val="BodyTextIndent2"/>
        <w:tabs>
          <w:tab w:val="left" w:pos="980"/>
        </w:tabs>
        <w:spacing w:line="240" w:lineRule="auto"/>
        <w:ind w:left="0" w:firstLine="284"/>
        <w:jc w:val="center"/>
        <w:rPr>
          <w:rFonts w:ascii="Garamond" w:hAnsi="Garamond"/>
        </w:rPr>
      </w:pPr>
    </w:p>
    <w:p w14:paraId="135AC0AB" w14:textId="77777777" w:rsidR="00932AB6" w:rsidRPr="0042133E" w:rsidRDefault="00932AB6" w:rsidP="008A1168">
      <w:pPr>
        <w:pStyle w:val="BodyTextIndent2"/>
        <w:tabs>
          <w:tab w:val="left" w:pos="980"/>
        </w:tabs>
        <w:spacing w:line="240" w:lineRule="auto"/>
        <w:ind w:left="0" w:firstLine="284"/>
        <w:jc w:val="center"/>
        <w:rPr>
          <w:rFonts w:ascii="Garamond" w:hAnsi="Garamond"/>
        </w:rPr>
      </w:pPr>
      <w:proofErr w:type="spellStart"/>
      <w:r w:rsidRPr="0042133E">
        <w:rPr>
          <w:rFonts w:ascii="Garamond" w:hAnsi="Garamond"/>
        </w:rPr>
        <w:t>II</w:t>
      </w:r>
      <w:proofErr w:type="spellEnd"/>
    </w:p>
    <w:p w14:paraId="1B9E1180" w14:textId="51815E87" w:rsidR="00932AB6" w:rsidRPr="0042133E" w:rsidRDefault="00932AB6" w:rsidP="008A1168">
      <w:pPr>
        <w:pStyle w:val="BodyTextIndent2"/>
        <w:tabs>
          <w:tab w:val="left" w:pos="980"/>
        </w:tabs>
        <w:spacing w:line="240" w:lineRule="auto"/>
        <w:ind w:left="0" w:firstLine="284"/>
        <w:jc w:val="center"/>
        <w:rPr>
          <w:rFonts w:ascii="Garamond" w:hAnsi="Garamond"/>
        </w:rPr>
      </w:pPr>
      <w:r w:rsidRPr="0042133E">
        <w:rPr>
          <w:rFonts w:ascii="Garamond" w:hAnsi="Garamond"/>
        </w:rPr>
        <w:t>Pretendimet në Gjykatën Kushtetuese</w:t>
      </w:r>
    </w:p>
    <w:p w14:paraId="6B143855" w14:textId="77777777" w:rsidR="008A1168" w:rsidRPr="0042133E" w:rsidRDefault="008A1168" w:rsidP="008A1168">
      <w:pPr>
        <w:pStyle w:val="BodyTextIndent2"/>
        <w:tabs>
          <w:tab w:val="left" w:pos="980"/>
        </w:tabs>
        <w:spacing w:line="240" w:lineRule="auto"/>
        <w:ind w:left="0" w:firstLine="284"/>
        <w:jc w:val="center"/>
        <w:rPr>
          <w:rFonts w:ascii="Garamond" w:hAnsi="Garamond"/>
        </w:rPr>
      </w:pPr>
    </w:p>
    <w:p w14:paraId="1A1229E1" w14:textId="21F5EA7C" w:rsidR="00932AB6" w:rsidRPr="0042133E" w:rsidRDefault="00BE4E8C" w:rsidP="008A1168">
      <w:pPr>
        <w:pStyle w:val="BodyTextIndent2"/>
        <w:tabs>
          <w:tab w:val="left" w:pos="980"/>
        </w:tabs>
        <w:spacing w:line="240" w:lineRule="auto"/>
        <w:ind w:left="0" w:firstLine="284"/>
        <w:rPr>
          <w:rFonts w:ascii="Garamond" w:hAnsi="Garamond"/>
          <w:b w:val="0"/>
          <w:bCs/>
        </w:rPr>
      </w:pPr>
      <w:r w:rsidRPr="00BE4E8C">
        <w:rPr>
          <w:rFonts w:ascii="Garamond" w:hAnsi="Garamond"/>
          <w:b w:val="0"/>
          <w:iCs/>
        </w:rPr>
        <w:t>8.</w:t>
      </w:r>
      <w:r>
        <w:rPr>
          <w:rFonts w:ascii="Garamond" w:hAnsi="Garamond"/>
          <w:i/>
          <w:iCs/>
        </w:rPr>
        <w:t xml:space="preserve"> </w:t>
      </w:r>
      <w:r w:rsidR="00932AB6" w:rsidRPr="0042133E">
        <w:rPr>
          <w:rFonts w:ascii="Garamond" w:hAnsi="Garamond"/>
          <w:i/>
          <w:iCs/>
        </w:rPr>
        <w:t>Kërkues</w:t>
      </w:r>
      <w:r w:rsidR="00932AB6" w:rsidRPr="00AF3712">
        <w:rPr>
          <w:rFonts w:ascii="Garamond" w:hAnsi="Garamond"/>
          <w:i/>
          <w:iCs/>
        </w:rPr>
        <w:t>i</w:t>
      </w:r>
      <w:r w:rsidR="00932AB6" w:rsidRPr="00AF3712">
        <w:rPr>
          <w:rFonts w:ascii="Garamond" w:hAnsi="Garamond"/>
          <w:bCs/>
          <w:i/>
          <w:iCs/>
        </w:rPr>
        <w:t>t</w:t>
      </w:r>
      <w:r w:rsidR="00AF3712" w:rsidRPr="00AF3712">
        <w:rPr>
          <w:rFonts w:ascii="Garamond" w:hAnsi="Garamond"/>
          <w:b w:val="0"/>
        </w:rPr>
        <w:t>,</w:t>
      </w:r>
      <w:r w:rsidR="00932AB6" w:rsidRPr="0042133E">
        <w:rPr>
          <w:rFonts w:ascii="Garamond" w:hAnsi="Garamond"/>
        </w:rPr>
        <w:t xml:space="preserve"> </w:t>
      </w:r>
      <w:r w:rsidR="00932AB6" w:rsidRPr="0042133E">
        <w:rPr>
          <w:rFonts w:ascii="Garamond" w:hAnsi="Garamond"/>
          <w:b w:val="0"/>
          <w:bCs/>
        </w:rPr>
        <w:t>në mënyrë të përmbledhur, kanë parashtruar se u është cenuar</w:t>
      </w:r>
      <w:r w:rsidR="00932AB6" w:rsidRPr="0042133E">
        <w:rPr>
          <w:rFonts w:ascii="Garamond" w:hAnsi="Garamond"/>
          <w:b w:val="0"/>
          <w:bCs/>
          <w:i/>
          <w:iCs/>
        </w:rPr>
        <w:t xml:space="preserve"> </w:t>
      </w:r>
      <w:r w:rsidR="00932AB6" w:rsidRPr="0042133E">
        <w:rPr>
          <w:rFonts w:ascii="Garamond" w:hAnsi="Garamond"/>
          <w:b w:val="0"/>
          <w:bCs/>
        </w:rPr>
        <w:t xml:space="preserve">e </w:t>
      </w:r>
      <w:r w:rsidR="00932AB6" w:rsidRPr="0042133E">
        <w:rPr>
          <w:rFonts w:ascii="Garamond" w:hAnsi="Garamond"/>
          <w:b w:val="0"/>
          <w:bCs/>
          <w:i/>
          <w:iCs/>
        </w:rPr>
        <w:t>drejta për një proces të rregullt ligjor</w:t>
      </w:r>
      <w:r w:rsidR="00932AB6" w:rsidRPr="0042133E">
        <w:rPr>
          <w:rFonts w:ascii="Garamond" w:hAnsi="Garamond"/>
          <w:b w:val="0"/>
          <w:bCs/>
        </w:rPr>
        <w:t xml:space="preserve">, e garantuar nga neni 42 i Kushtetutës, në aspektet e mëposhtme: </w:t>
      </w:r>
    </w:p>
    <w:p w14:paraId="45DD5010" w14:textId="26ADC545" w:rsidR="00932AB6" w:rsidRPr="0042133E" w:rsidRDefault="00BE4E8C" w:rsidP="008A1168">
      <w:pPr>
        <w:tabs>
          <w:tab w:val="left" w:pos="1260"/>
          <w:tab w:val="left" w:pos="1340"/>
        </w:tabs>
        <w:spacing w:line="240" w:lineRule="auto"/>
        <w:ind w:firstLine="284"/>
        <w:jc w:val="both"/>
        <w:rPr>
          <w:rFonts w:ascii="Garamond" w:hAnsi="Garamond"/>
        </w:rPr>
      </w:pPr>
      <w:r w:rsidRPr="00BE4E8C">
        <w:rPr>
          <w:rFonts w:ascii="Garamond" w:hAnsi="Garamond"/>
          <w:iCs/>
        </w:rPr>
        <w:t>8.1</w:t>
      </w:r>
      <w:r>
        <w:rPr>
          <w:rFonts w:ascii="Garamond" w:hAnsi="Garamond"/>
          <w:i/>
          <w:iCs/>
        </w:rPr>
        <w:t xml:space="preserve"> </w:t>
      </w:r>
      <w:r w:rsidR="00932AB6" w:rsidRPr="0042133E">
        <w:rPr>
          <w:rFonts w:ascii="Garamond" w:hAnsi="Garamond"/>
          <w:i/>
          <w:iCs/>
        </w:rPr>
        <w:t xml:space="preserve">E drejta e </w:t>
      </w:r>
      <w:proofErr w:type="spellStart"/>
      <w:r w:rsidR="00932AB6" w:rsidRPr="0042133E">
        <w:rPr>
          <w:rFonts w:ascii="Garamond" w:hAnsi="Garamond"/>
          <w:i/>
          <w:iCs/>
        </w:rPr>
        <w:t>aksesit</w:t>
      </w:r>
      <w:proofErr w:type="spellEnd"/>
      <w:r w:rsidR="00932AB6" w:rsidRPr="0042133E">
        <w:rPr>
          <w:rFonts w:ascii="Garamond" w:hAnsi="Garamond"/>
        </w:rPr>
        <w:t xml:space="preserve"> e lidhur me </w:t>
      </w:r>
      <w:r w:rsidR="00932AB6" w:rsidRPr="0042133E">
        <w:rPr>
          <w:rFonts w:ascii="Garamond" w:hAnsi="Garamond"/>
          <w:i/>
          <w:iCs/>
        </w:rPr>
        <w:t xml:space="preserve">standardin e arsyetimit të vendimit gjyqësor, </w:t>
      </w:r>
      <w:r w:rsidR="00932AB6" w:rsidRPr="0042133E">
        <w:rPr>
          <w:rFonts w:ascii="Garamond" w:hAnsi="Garamond"/>
        </w:rPr>
        <w:t>pasi në pjesën arsyetuese të vendimit të Gjykatës së Lartë, e cila është vetëm dy faqe, nuk janë analizuar, arsyetuar dhe shtjelluar faktet dhe ligji ku është bazuar ajo gjykatë për marrjen e vendimit të saj. Në atë vendim nuk janë analizuar dhe interpretuar as pretendimet e palëve në dy shkallët më të ulëta të gjykimit. Vendimi i Gjykatës së Lartë, rrjedhimisht edhe ai i shkallës së parë, i cili është lënë në fuqi, janë në kundërshtim me përcaktimet e Kodit Civil (</w:t>
      </w:r>
      <w:proofErr w:type="spellStart"/>
      <w:r w:rsidR="00932AB6" w:rsidRPr="0042133E">
        <w:rPr>
          <w:rFonts w:ascii="Garamond" w:hAnsi="Garamond"/>
          <w:i/>
          <w:iCs/>
        </w:rPr>
        <w:t>KC</w:t>
      </w:r>
      <w:proofErr w:type="spellEnd"/>
      <w:r w:rsidR="00932AB6" w:rsidRPr="0042133E">
        <w:rPr>
          <w:rFonts w:ascii="Garamond" w:hAnsi="Garamond"/>
        </w:rPr>
        <w:t xml:space="preserve">), pasi kërkuesve u është shpërblyer vetëm dëmi pasuror i pësuar nga aksidenti, por nga gjykimi ka rezultuar se dëmi real i pësuar është më i madh se shuma e dhënë. Ato gjykata, edhe pse e kanë marrë në analizë vendimin </w:t>
      </w:r>
      <w:proofErr w:type="spellStart"/>
      <w:r w:rsidR="00932AB6" w:rsidRPr="0042133E">
        <w:rPr>
          <w:rFonts w:ascii="Garamond" w:hAnsi="Garamond"/>
        </w:rPr>
        <w:t>unifikues</w:t>
      </w:r>
      <w:proofErr w:type="spellEnd"/>
      <w:r w:rsidR="00932AB6" w:rsidRPr="0042133E">
        <w:rPr>
          <w:rFonts w:ascii="Garamond" w:hAnsi="Garamond"/>
        </w:rPr>
        <w:t xml:space="preserve"> nr. 12/2007, e kanë anashkaluar atë, me pretendimin se vetë kërkuesja e parë, nëpërmjet deklaratës noteriale, ka deklaruar se nuk ka pasur asnjë pretendim tjetër. Ky interpretim është i pabazuar në ligj, pasi sipas nenit 610 të </w:t>
      </w:r>
      <w:proofErr w:type="spellStart"/>
      <w:r w:rsidR="00932AB6" w:rsidRPr="0042133E">
        <w:rPr>
          <w:rFonts w:ascii="Garamond" w:hAnsi="Garamond"/>
        </w:rPr>
        <w:t>KC</w:t>
      </w:r>
      <w:proofErr w:type="spellEnd"/>
      <w:r w:rsidR="00932AB6" w:rsidRPr="0042133E">
        <w:rPr>
          <w:rFonts w:ascii="Garamond" w:hAnsi="Garamond"/>
        </w:rPr>
        <w:t xml:space="preserve">-së marrëveshja që paraprakisht përjashton/kufizon përgjegjësinë e personit që ka kryer dëm me faj është e pavlefshme, për rrjedhojë ekzistenca e deklaratës noteriale nuk i heq kërkueses të drejtën për të pretenduar pasaktësinë e llogaritjes së dëmit. Ndërsa pretendimi se detyrimi është shuar për shkak të vullnetit të shprehur nga kërkuesja në deklaratën noteriale, nuk qëndron, pasi sipas </w:t>
      </w:r>
      <w:proofErr w:type="spellStart"/>
      <w:r w:rsidR="00932AB6" w:rsidRPr="0042133E">
        <w:rPr>
          <w:rFonts w:ascii="Garamond" w:hAnsi="Garamond"/>
        </w:rPr>
        <w:t>KC</w:t>
      </w:r>
      <w:proofErr w:type="spellEnd"/>
      <w:r w:rsidR="00932AB6" w:rsidRPr="0042133E">
        <w:rPr>
          <w:rFonts w:ascii="Garamond" w:hAnsi="Garamond"/>
        </w:rPr>
        <w:t xml:space="preserve">-së, detyrimet lindin nga kontratat ose ligji. Edhe pretendimi i palës së paditur për parashkrimin e padisë nuk qëndron, pasi plotësohen kushtet e nenit 131/a të </w:t>
      </w:r>
      <w:proofErr w:type="spellStart"/>
      <w:r w:rsidR="00932AB6" w:rsidRPr="0042133E">
        <w:rPr>
          <w:rFonts w:ascii="Garamond" w:hAnsi="Garamond"/>
        </w:rPr>
        <w:t>KC</w:t>
      </w:r>
      <w:proofErr w:type="spellEnd"/>
      <w:r w:rsidR="00932AB6" w:rsidRPr="0042133E">
        <w:rPr>
          <w:rFonts w:ascii="Garamond" w:hAnsi="Garamond"/>
        </w:rPr>
        <w:t xml:space="preserve">-së për ndërprerjen e afatit të parashkrimit të padisë, i cili, për më tepër, është tre vjet dhe jo dy vjet, siç pretendon pala tjetër, duke qenë se dëmi </w:t>
      </w:r>
      <w:proofErr w:type="spellStart"/>
      <w:r w:rsidR="00932AB6" w:rsidRPr="0042133E">
        <w:rPr>
          <w:rFonts w:ascii="Garamond" w:hAnsi="Garamond"/>
        </w:rPr>
        <w:t>derivon</w:t>
      </w:r>
      <w:proofErr w:type="spellEnd"/>
      <w:r w:rsidR="00932AB6" w:rsidRPr="0042133E">
        <w:rPr>
          <w:rFonts w:ascii="Garamond" w:hAnsi="Garamond"/>
        </w:rPr>
        <w:t xml:space="preserve"> nga një marrëdhënie </w:t>
      </w:r>
      <w:proofErr w:type="spellStart"/>
      <w:r w:rsidR="00932AB6" w:rsidRPr="0042133E">
        <w:rPr>
          <w:rFonts w:ascii="Garamond" w:hAnsi="Garamond"/>
        </w:rPr>
        <w:t>jashtëkontraktore</w:t>
      </w:r>
      <w:proofErr w:type="spellEnd"/>
      <w:r w:rsidR="00932AB6" w:rsidRPr="0042133E">
        <w:rPr>
          <w:rFonts w:ascii="Garamond" w:hAnsi="Garamond"/>
        </w:rPr>
        <w:t>.</w:t>
      </w:r>
    </w:p>
    <w:p w14:paraId="56555FE9" w14:textId="2B0B7410" w:rsidR="00932AB6" w:rsidRPr="0042133E" w:rsidRDefault="00BE4E8C" w:rsidP="008A1168">
      <w:pPr>
        <w:tabs>
          <w:tab w:val="left" w:pos="1260"/>
          <w:tab w:val="left" w:pos="1340"/>
        </w:tabs>
        <w:spacing w:line="240" w:lineRule="auto"/>
        <w:ind w:firstLine="284"/>
        <w:jc w:val="both"/>
        <w:rPr>
          <w:rFonts w:ascii="Garamond" w:hAnsi="Garamond"/>
        </w:rPr>
      </w:pPr>
      <w:r w:rsidRPr="00BE4E8C">
        <w:rPr>
          <w:rFonts w:ascii="Garamond" w:hAnsi="Garamond"/>
          <w:iCs/>
        </w:rPr>
        <w:lastRenderedPageBreak/>
        <w:t>8.2</w:t>
      </w:r>
      <w:r>
        <w:rPr>
          <w:rFonts w:ascii="Garamond" w:hAnsi="Garamond"/>
          <w:i/>
          <w:iCs/>
        </w:rPr>
        <w:t xml:space="preserve"> </w:t>
      </w:r>
      <w:r w:rsidR="00932AB6" w:rsidRPr="0042133E">
        <w:rPr>
          <w:rFonts w:ascii="Garamond" w:hAnsi="Garamond"/>
          <w:i/>
          <w:iCs/>
        </w:rPr>
        <w:t xml:space="preserve">E drejta për t’u dëgjuar, </w:t>
      </w:r>
      <w:r w:rsidR="00932AB6" w:rsidRPr="0042133E">
        <w:rPr>
          <w:rFonts w:ascii="Garamond" w:hAnsi="Garamond"/>
        </w:rPr>
        <w:t>pasi</w:t>
      </w:r>
      <w:r w:rsidR="00932AB6" w:rsidRPr="0042133E">
        <w:rPr>
          <w:rFonts w:ascii="Garamond" w:hAnsi="Garamond"/>
          <w:i/>
          <w:iCs/>
        </w:rPr>
        <w:t xml:space="preserve"> </w:t>
      </w:r>
      <w:r w:rsidR="00932AB6" w:rsidRPr="0042133E">
        <w:rPr>
          <w:rFonts w:ascii="Garamond" w:hAnsi="Garamond"/>
        </w:rPr>
        <w:t>Gjykata e Lartë duhet ta kishte shqyrtuar çështjen në seancë me praninë e palëve, në mënyrë që të dëgjonte dhe parashtrimet e tyre e më pas të mbante një qëndrim përfundimtar.</w:t>
      </w:r>
    </w:p>
    <w:p w14:paraId="244D4F47" w14:textId="53F59734" w:rsidR="00932AB6" w:rsidRPr="0042133E" w:rsidRDefault="00BE4E8C" w:rsidP="008A1168">
      <w:pPr>
        <w:tabs>
          <w:tab w:val="left" w:pos="1260"/>
          <w:tab w:val="left" w:pos="1340"/>
        </w:tabs>
        <w:spacing w:line="240" w:lineRule="auto"/>
        <w:ind w:firstLine="284"/>
        <w:jc w:val="both"/>
        <w:rPr>
          <w:rFonts w:ascii="Garamond" w:hAnsi="Garamond"/>
        </w:rPr>
      </w:pPr>
      <w:r w:rsidRPr="00BE4E8C">
        <w:rPr>
          <w:rFonts w:ascii="Garamond" w:hAnsi="Garamond"/>
          <w:iCs/>
        </w:rPr>
        <w:t>8.</w:t>
      </w:r>
      <w:r>
        <w:rPr>
          <w:rFonts w:ascii="Garamond" w:hAnsi="Garamond"/>
          <w:iCs/>
        </w:rPr>
        <w:t>3</w:t>
      </w:r>
      <w:r>
        <w:rPr>
          <w:rFonts w:ascii="Garamond" w:hAnsi="Garamond"/>
          <w:i/>
          <w:iCs/>
        </w:rPr>
        <w:t xml:space="preserve"> </w:t>
      </w:r>
      <w:r w:rsidR="00932AB6" w:rsidRPr="0042133E">
        <w:rPr>
          <w:rFonts w:ascii="Garamond" w:hAnsi="Garamond"/>
          <w:i/>
          <w:iCs/>
        </w:rPr>
        <w:t>E drejta për t’u gjykuar nga një gjykatë e caktuar me ligj</w:t>
      </w:r>
      <w:r w:rsidR="00932AB6" w:rsidRPr="0042133E">
        <w:rPr>
          <w:rFonts w:ascii="Garamond" w:hAnsi="Garamond"/>
        </w:rPr>
        <w:t xml:space="preserve">, pasi Gjykata e Lartë, si gjykatë ligji, duhet ta kishte zgjidhur çështjen duke interpretuar ligjin, pa marrë në shqyrtim provat e paraqitura nga palët dhe pa mbajtur një qëndrim për to. </w:t>
      </w:r>
    </w:p>
    <w:p w14:paraId="44E72445" w14:textId="18A49AE7" w:rsidR="00932AB6" w:rsidRPr="0042133E" w:rsidRDefault="00932AB6" w:rsidP="008A1168">
      <w:pPr>
        <w:pStyle w:val="Heading2"/>
        <w:numPr>
          <w:ilvl w:val="0"/>
          <w:numId w:val="0"/>
        </w:numPr>
        <w:tabs>
          <w:tab w:val="left" w:pos="980"/>
          <w:tab w:val="left" w:pos="1260"/>
        </w:tabs>
        <w:spacing w:line="240" w:lineRule="auto"/>
        <w:ind w:right="0" w:firstLine="284"/>
        <w:jc w:val="both"/>
        <w:rPr>
          <w:rFonts w:ascii="Garamond" w:hAnsi="Garamond"/>
          <w:b w:val="0"/>
          <w:bCs/>
        </w:rPr>
      </w:pPr>
      <w:r w:rsidRPr="0042133E">
        <w:rPr>
          <w:rFonts w:ascii="Garamond" w:hAnsi="Garamond"/>
          <w:b w:val="0"/>
          <w:bCs/>
        </w:rPr>
        <w:t>9.</w:t>
      </w:r>
      <w:r w:rsidR="00F42564" w:rsidRPr="0042133E">
        <w:rPr>
          <w:rFonts w:ascii="Garamond" w:hAnsi="Garamond"/>
          <w:b w:val="0"/>
          <w:bCs/>
        </w:rPr>
        <w:t xml:space="preserve"> </w:t>
      </w:r>
      <w:r w:rsidRPr="0042133E">
        <w:rPr>
          <w:rFonts w:ascii="Garamond" w:hAnsi="Garamond"/>
          <w:i/>
          <w:iCs/>
        </w:rPr>
        <w:t xml:space="preserve">Subjekti i interesuar, </w:t>
      </w:r>
      <w:proofErr w:type="spellStart"/>
      <w:r w:rsidRPr="0042133E">
        <w:rPr>
          <w:rFonts w:ascii="Garamond" w:hAnsi="Garamond"/>
          <w:i/>
          <w:iCs/>
        </w:rPr>
        <w:t>BSHS</w:t>
      </w:r>
      <w:proofErr w:type="spellEnd"/>
      <w:r w:rsidRPr="0042133E">
        <w:rPr>
          <w:rFonts w:ascii="Garamond" w:hAnsi="Garamond"/>
          <w:i/>
          <w:iCs/>
        </w:rPr>
        <w:t xml:space="preserve">-ja, </w:t>
      </w:r>
      <w:r w:rsidRPr="0042133E">
        <w:rPr>
          <w:rFonts w:ascii="Garamond" w:hAnsi="Garamond"/>
          <w:b w:val="0"/>
          <w:bCs/>
        </w:rPr>
        <w:t>në mënyrë të përmbledhur, ka prapësuar:</w:t>
      </w:r>
    </w:p>
    <w:p w14:paraId="72673DDC" w14:textId="662CA7AA" w:rsidR="00932AB6" w:rsidRPr="0042133E" w:rsidRDefault="00BE4E8C" w:rsidP="008A1168">
      <w:pPr>
        <w:pStyle w:val="Heading2"/>
        <w:numPr>
          <w:ilvl w:val="0"/>
          <w:numId w:val="0"/>
        </w:numPr>
        <w:tabs>
          <w:tab w:val="left" w:pos="980"/>
          <w:tab w:val="left" w:pos="1260"/>
        </w:tabs>
        <w:spacing w:line="240" w:lineRule="auto"/>
        <w:ind w:right="0" w:firstLine="284"/>
        <w:jc w:val="both"/>
        <w:rPr>
          <w:rFonts w:ascii="Garamond" w:hAnsi="Garamond"/>
          <w:b w:val="0"/>
          <w:bCs/>
        </w:rPr>
      </w:pPr>
      <w:r>
        <w:rPr>
          <w:rFonts w:ascii="Garamond" w:hAnsi="Garamond"/>
          <w:b w:val="0"/>
          <w:bCs/>
        </w:rPr>
        <w:t>9.1</w:t>
      </w:r>
      <w:r w:rsidR="00F42564" w:rsidRPr="0042133E">
        <w:rPr>
          <w:rFonts w:ascii="Garamond" w:hAnsi="Garamond"/>
          <w:b w:val="0"/>
          <w:bCs/>
        </w:rPr>
        <w:t xml:space="preserve"> </w:t>
      </w:r>
      <w:r w:rsidR="00932AB6" w:rsidRPr="0042133E">
        <w:rPr>
          <w:rFonts w:ascii="Garamond" w:hAnsi="Garamond"/>
          <w:b w:val="0"/>
          <w:bCs/>
        </w:rPr>
        <w:t xml:space="preserve">Në lidhje me </w:t>
      </w:r>
      <w:r w:rsidR="00932AB6" w:rsidRPr="0042133E">
        <w:rPr>
          <w:rFonts w:ascii="Garamond" w:hAnsi="Garamond"/>
          <w:b w:val="0"/>
          <w:bCs/>
          <w:i/>
          <w:iCs/>
        </w:rPr>
        <w:t>legjitimimin e kërkuesve</w:t>
      </w:r>
      <w:r w:rsidR="00932AB6" w:rsidRPr="0042133E">
        <w:rPr>
          <w:rFonts w:ascii="Garamond" w:hAnsi="Garamond"/>
          <w:b w:val="0"/>
          <w:bCs/>
        </w:rPr>
        <w:t xml:space="preserve">, në drejtim të kriterit të shterimit të mjeteve juridike, ata i janë drejtuar kësaj Gjykate me kërkesë për rivendosjen në vend të </w:t>
      </w:r>
      <w:proofErr w:type="spellStart"/>
      <w:r w:rsidR="00932AB6" w:rsidRPr="0042133E">
        <w:rPr>
          <w:rFonts w:ascii="Garamond" w:hAnsi="Garamond"/>
          <w:b w:val="0"/>
          <w:bCs/>
        </w:rPr>
        <w:t>të</w:t>
      </w:r>
      <w:proofErr w:type="spellEnd"/>
      <w:r w:rsidR="00932AB6" w:rsidRPr="0042133E">
        <w:rPr>
          <w:rFonts w:ascii="Garamond" w:hAnsi="Garamond"/>
          <w:b w:val="0"/>
          <w:bCs/>
        </w:rPr>
        <w:t xml:space="preserve"> drejtave të shkelura, megjithatë ata nuk kanë ushtruar të drejtën e </w:t>
      </w:r>
      <w:proofErr w:type="spellStart"/>
      <w:r w:rsidR="00932AB6" w:rsidRPr="0042133E">
        <w:rPr>
          <w:rFonts w:ascii="Garamond" w:hAnsi="Garamond"/>
          <w:b w:val="0"/>
          <w:bCs/>
        </w:rPr>
        <w:t>kundërrekursit</w:t>
      </w:r>
      <w:proofErr w:type="spellEnd"/>
      <w:r w:rsidR="00932AB6" w:rsidRPr="0042133E">
        <w:rPr>
          <w:rFonts w:ascii="Garamond" w:hAnsi="Garamond"/>
          <w:b w:val="0"/>
          <w:bCs/>
        </w:rPr>
        <w:t xml:space="preserve"> në Gjykatën e Lartë, në përputhje me nenin 472 të Kodit të Procedurës Civile (</w:t>
      </w:r>
      <w:proofErr w:type="spellStart"/>
      <w:r w:rsidR="00932AB6" w:rsidRPr="0042133E">
        <w:rPr>
          <w:rFonts w:ascii="Garamond" w:hAnsi="Garamond"/>
          <w:b w:val="0"/>
          <w:bCs/>
          <w:i/>
          <w:iCs/>
        </w:rPr>
        <w:t>KPC</w:t>
      </w:r>
      <w:proofErr w:type="spellEnd"/>
      <w:r w:rsidR="00932AB6" w:rsidRPr="0042133E">
        <w:rPr>
          <w:rFonts w:ascii="Garamond" w:hAnsi="Garamond"/>
          <w:b w:val="0"/>
          <w:bCs/>
        </w:rPr>
        <w:t>). Për rrjedhojë, kërkuesit kanë legjitimitet pjesor për t’iu drejtuar Gjykatës.</w:t>
      </w:r>
    </w:p>
    <w:p w14:paraId="7DBD161B" w14:textId="768D2DC5" w:rsidR="00932AB6" w:rsidRPr="0042133E" w:rsidRDefault="00BE4E8C" w:rsidP="008A1168">
      <w:pPr>
        <w:pStyle w:val="Heading2"/>
        <w:numPr>
          <w:ilvl w:val="0"/>
          <w:numId w:val="0"/>
        </w:numPr>
        <w:tabs>
          <w:tab w:val="left" w:pos="980"/>
          <w:tab w:val="left" w:pos="1260"/>
        </w:tabs>
        <w:spacing w:line="240" w:lineRule="auto"/>
        <w:ind w:right="0" w:firstLine="284"/>
        <w:jc w:val="both"/>
        <w:rPr>
          <w:rFonts w:ascii="Garamond" w:hAnsi="Garamond"/>
          <w:b w:val="0"/>
          <w:bCs/>
        </w:rPr>
      </w:pPr>
      <w:r>
        <w:rPr>
          <w:rFonts w:ascii="Garamond" w:hAnsi="Garamond"/>
          <w:b w:val="0"/>
          <w:bCs/>
        </w:rPr>
        <w:t>9.2</w:t>
      </w:r>
      <w:r w:rsidR="00F42564" w:rsidRPr="0042133E">
        <w:rPr>
          <w:rFonts w:ascii="Garamond" w:hAnsi="Garamond"/>
          <w:b w:val="0"/>
          <w:bCs/>
        </w:rPr>
        <w:t xml:space="preserve"> </w:t>
      </w:r>
      <w:r w:rsidR="00932AB6" w:rsidRPr="0042133E">
        <w:rPr>
          <w:rFonts w:ascii="Garamond" w:hAnsi="Garamond"/>
          <w:b w:val="0"/>
          <w:bCs/>
        </w:rPr>
        <w:t xml:space="preserve">Në lidhje me </w:t>
      </w:r>
      <w:r w:rsidR="00932AB6" w:rsidRPr="0042133E">
        <w:rPr>
          <w:rFonts w:ascii="Garamond" w:hAnsi="Garamond"/>
          <w:b w:val="0"/>
          <w:bCs/>
          <w:i/>
          <w:iCs/>
        </w:rPr>
        <w:t>themelin e çështjes</w:t>
      </w:r>
      <w:r w:rsidR="00932AB6" w:rsidRPr="0042133E">
        <w:rPr>
          <w:rFonts w:ascii="Garamond" w:hAnsi="Garamond"/>
          <w:b w:val="0"/>
          <w:bCs/>
        </w:rPr>
        <w:t xml:space="preserve">, kërkesa e kërkuesve është e pabazuar, pasi ata nuk kanë parashtruar argumente kushtetuese konkrete dhe të mjaftueshme që të mbështesin pretendimet e tyre. </w:t>
      </w:r>
    </w:p>
    <w:p w14:paraId="5A060D4E" w14:textId="2ADF23BA" w:rsidR="00932AB6" w:rsidRPr="0042133E" w:rsidRDefault="00BE4E8C" w:rsidP="008A1168">
      <w:pPr>
        <w:pStyle w:val="Heading2"/>
        <w:numPr>
          <w:ilvl w:val="0"/>
          <w:numId w:val="0"/>
        </w:numPr>
        <w:tabs>
          <w:tab w:val="left" w:pos="980"/>
          <w:tab w:val="left" w:pos="1260"/>
        </w:tabs>
        <w:spacing w:line="240" w:lineRule="auto"/>
        <w:ind w:right="0" w:firstLine="284"/>
        <w:jc w:val="both"/>
        <w:rPr>
          <w:rFonts w:ascii="Garamond" w:hAnsi="Garamond"/>
          <w:b w:val="0"/>
          <w:bCs/>
        </w:rPr>
      </w:pPr>
      <w:r>
        <w:rPr>
          <w:rFonts w:ascii="Garamond" w:hAnsi="Garamond"/>
          <w:b w:val="0"/>
          <w:bCs/>
        </w:rPr>
        <w:t>9.3</w:t>
      </w:r>
      <w:r w:rsidR="00F42564" w:rsidRPr="0042133E">
        <w:rPr>
          <w:rFonts w:ascii="Garamond" w:hAnsi="Garamond"/>
          <w:b w:val="0"/>
          <w:bCs/>
        </w:rPr>
        <w:t xml:space="preserve"> </w:t>
      </w:r>
      <w:r w:rsidR="00932AB6" w:rsidRPr="0042133E">
        <w:rPr>
          <w:rFonts w:ascii="Garamond" w:hAnsi="Garamond"/>
          <w:b w:val="0"/>
          <w:bCs/>
        </w:rPr>
        <w:t xml:space="preserve">Pretendimi për cenimin e së </w:t>
      </w:r>
      <w:r w:rsidR="00932AB6" w:rsidRPr="0042133E">
        <w:rPr>
          <w:rFonts w:ascii="Garamond" w:hAnsi="Garamond"/>
          <w:b w:val="0"/>
          <w:bCs/>
          <w:i/>
          <w:iCs/>
        </w:rPr>
        <w:t>drejtës për t’u dëgjuar</w:t>
      </w:r>
      <w:r w:rsidR="00932AB6" w:rsidRPr="0042133E">
        <w:rPr>
          <w:rFonts w:ascii="Garamond" w:hAnsi="Garamond"/>
          <w:b w:val="0"/>
          <w:bCs/>
        </w:rPr>
        <w:t xml:space="preserve"> nuk qëndron. Sipas nenit 482/1 të </w:t>
      </w:r>
      <w:proofErr w:type="spellStart"/>
      <w:r w:rsidR="00932AB6" w:rsidRPr="0042133E">
        <w:rPr>
          <w:rFonts w:ascii="Garamond" w:hAnsi="Garamond"/>
          <w:b w:val="0"/>
          <w:bCs/>
        </w:rPr>
        <w:t>KPC</w:t>
      </w:r>
      <w:proofErr w:type="spellEnd"/>
      <w:r w:rsidR="00932AB6" w:rsidRPr="0042133E">
        <w:rPr>
          <w:rFonts w:ascii="Garamond" w:hAnsi="Garamond"/>
          <w:b w:val="0"/>
          <w:bCs/>
        </w:rPr>
        <w:t>-së, shqyrtimi i çështjeve në Gjykatën e Lartë bëhet si rregull në dhomën e këshillimit mbi bazë të dokumenteve, përveç rasteve të përcaktuara në nenin 482/1 të atij kodi. Procesi në Gjykatën e Lartë është vënë në lëvizje nga palët e paditura në proces, duke u zhvilluar gjykim në dhomën e këshillimit mbi bazë të dokumenteve.</w:t>
      </w:r>
    </w:p>
    <w:p w14:paraId="35396126" w14:textId="0530F74C" w:rsidR="00932AB6" w:rsidRPr="0042133E" w:rsidRDefault="00BE4E8C" w:rsidP="008A1168">
      <w:pPr>
        <w:pStyle w:val="Heading2"/>
        <w:numPr>
          <w:ilvl w:val="0"/>
          <w:numId w:val="0"/>
        </w:numPr>
        <w:tabs>
          <w:tab w:val="left" w:pos="980"/>
          <w:tab w:val="left" w:pos="1260"/>
        </w:tabs>
        <w:spacing w:line="240" w:lineRule="auto"/>
        <w:ind w:right="0" w:firstLine="284"/>
        <w:jc w:val="both"/>
        <w:rPr>
          <w:rFonts w:ascii="Garamond" w:hAnsi="Garamond"/>
          <w:b w:val="0"/>
          <w:bCs/>
        </w:rPr>
      </w:pPr>
      <w:r>
        <w:rPr>
          <w:rFonts w:ascii="Garamond" w:hAnsi="Garamond"/>
          <w:b w:val="0"/>
          <w:bCs/>
        </w:rPr>
        <w:t>9.4</w:t>
      </w:r>
      <w:r w:rsidR="00F42564" w:rsidRPr="0042133E">
        <w:rPr>
          <w:rFonts w:ascii="Garamond" w:hAnsi="Garamond"/>
          <w:b w:val="0"/>
          <w:bCs/>
        </w:rPr>
        <w:t xml:space="preserve"> </w:t>
      </w:r>
      <w:r w:rsidR="00932AB6" w:rsidRPr="0042133E">
        <w:rPr>
          <w:rFonts w:ascii="Garamond" w:hAnsi="Garamond"/>
          <w:b w:val="0"/>
          <w:bCs/>
        </w:rPr>
        <w:t xml:space="preserve">Edhe pretendimi për cenimin e </w:t>
      </w:r>
      <w:r w:rsidR="00932AB6" w:rsidRPr="0042133E">
        <w:rPr>
          <w:rFonts w:ascii="Garamond" w:hAnsi="Garamond"/>
          <w:b w:val="0"/>
          <w:bCs/>
          <w:i/>
          <w:iCs/>
        </w:rPr>
        <w:t>standardit të arsyetimit të vendimit gjyqësor</w:t>
      </w:r>
      <w:r w:rsidR="00932AB6" w:rsidRPr="0042133E">
        <w:rPr>
          <w:rFonts w:ascii="Garamond" w:hAnsi="Garamond"/>
          <w:b w:val="0"/>
          <w:bCs/>
        </w:rPr>
        <w:t xml:space="preserve"> është i pabazuar, pasi ky pretendim nuk mund të mbështetet në numrin e faqeve të vendimit të Gjykatës së Lartë, por duhet të bazohet në argumente konkrete të pretenduara se mungojnë dhe se nuk janë arsyetuar nga ajo gjykatë. Pretendimet për mënyrën e trajtimit të dëmshpërblimit lidhen me çështjet e gjykimit në themel të çështjes dhe, si të tilla, nuk mund të pretendohen përpara kësaj Gjykate, për më tepër që kërkuesit nuk i kanë shteruar mjetet juridike efektive lidhur me to. Çështjet e interpretimit të ligjit janë zgjidhur tashmë nga Gjykata e Lartë. Gjithsesi, në rastin konkret, është kryer përllogaritja e dëmit pasuror dhe </w:t>
      </w:r>
      <w:proofErr w:type="spellStart"/>
      <w:r w:rsidR="00932AB6" w:rsidRPr="0042133E">
        <w:rPr>
          <w:rFonts w:ascii="Garamond" w:hAnsi="Garamond"/>
          <w:b w:val="0"/>
          <w:bCs/>
        </w:rPr>
        <w:t>jopasuror</w:t>
      </w:r>
      <w:proofErr w:type="spellEnd"/>
      <w:r w:rsidR="00932AB6" w:rsidRPr="0042133E">
        <w:rPr>
          <w:rFonts w:ascii="Garamond" w:hAnsi="Garamond"/>
          <w:b w:val="0"/>
          <w:bCs/>
        </w:rPr>
        <w:t xml:space="preserve"> në përputhje me ligjin e kohës dhe dëmshpërblimi është shlyer tërësisht. Në këtë kuadër, vlen të theksohet se referimi te vendimi </w:t>
      </w:r>
      <w:proofErr w:type="spellStart"/>
      <w:r w:rsidR="00932AB6" w:rsidRPr="0042133E">
        <w:rPr>
          <w:rFonts w:ascii="Garamond" w:hAnsi="Garamond"/>
          <w:b w:val="0"/>
          <w:bCs/>
        </w:rPr>
        <w:t>unifikues</w:t>
      </w:r>
      <w:proofErr w:type="spellEnd"/>
      <w:r w:rsidR="00932AB6" w:rsidRPr="0042133E">
        <w:rPr>
          <w:rFonts w:ascii="Garamond" w:hAnsi="Garamond"/>
          <w:b w:val="0"/>
          <w:bCs/>
        </w:rPr>
        <w:t xml:space="preserve"> nr. 12/2007 ndodh në rastet kur ka boshllëqe në legjislacion, ndërsa në rastin konkret është i zbatueshëm udhëzimi metodik i trajtimit të dëmeve i Ministrisë së Financave nr. 24, datë 15.11.2007, mbi bazën e të cilit është bërë përllogaritja.</w:t>
      </w:r>
    </w:p>
    <w:p w14:paraId="7550B349" w14:textId="288E74AC" w:rsidR="00932AB6" w:rsidRPr="0042133E" w:rsidRDefault="00932AB6" w:rsidP="008A1168">
      <w:pPr>
        <w:pStyle w:val="Heading2"/>
        <w:numPr>
          <w:ilvl w:val="0"/>
          <w:numId w:val="0"/>
        </w:numPr>
        <w:tabs>
          <w:tab w:val="left" w:pos="260"/>
          <w:tab w:val="left" w:pos="1080"/>
        </w:tabs>
        <w:spacing w:line="240" w:lineRule="auto"/>
        <w:ind w:right="0" w:firstLine="284"/>
        <w:jc w:val="both"/>
        <w:rPr>
          <w:rFonts w:ascii="Garamond" w:hAnsi="Garamond"/>
          <w:b w:val="0"/>
          <w:bCs/>
        </w:rPr>
      </w:pPr>
      <w:r w:rsidRPr="0042133E">
        <w:rPr>
          <w:rFonts w:ascii="Garamond" w:hAnsi="Garamond"/>
          <w:b w:val="0"/>
          <w:bCs/>
        </w:rPr>
        <w:t>10.</w:t>
      </w:r>
      <w:r w:rsidR="00F42564" w:rsidRPr="0042133E">
        <w:rPr>
          <w:rFonts w:ascii="Garamond" w:hAnsi="Garamond"/>
          <w:b w:val="0"/>
          <w:bCs/>
        </w:rPr>
        <w:t xml:space="preserve"> </w:t>
      </w:r>
      <w:r w:rsidRPr="0042133E">
        <w:rPr>
          <w:rFonts w:ascii="Garamond" w:hAnsi="Garamond"/>
          <w:i/>
          <w:iCs/>
        </w:rPr>
        <w:t>Subjekti i interesuar, shoqëria INSIG</w:t>
      </w:r>
      <w:r w:rsidRPr="0042133E">
        <w:rPr>
          <w:rFonts w:ascii="Garamond" w:hAnsi="Garamond"/>
          <w:b w:val="0"/>
          <w:bCs/>
          <w:i/>
          <w:iCs/>
        </w:rPr>
        <w:t xml:space="preserve">, </w:t>
      </w:r>
      <w:r w:rsidRPr="0042133E">
        <w:rPr>
          <w:rFonts w:ascii="Garamond" w:hAnsi="Garamond"/>
          <w:b w:val="0"/>
          <w:bCs/>
        </w:rPr>
        <w:t>në mënyrë të përmbledhur, ka prapësuar:</w:t>
      </w:r>
    </w:p>
    <w:p w14:paraId="33FAF879" w14:textId="09E4BDB6" w:rsidR="00932AB6" w:rsidRPr="0042133E" w:rsidRDefault="00BE4E8C" w:rsidP="008A1168">
      <w:pPr>
        <w:pStyle w:val="Heading2"/>
        <w:numPr>
          <w:ilvl w:val="0"/>
          <w:numId w:val="0"/>
        </w:numPr>
        <w:tabs>
          <w:tab w:val="left" w:pos="260"/>
          <w:tab w:val="left" w:pos="1080"/>
        </w:tabs>
        <w:spacing w:line="240" w:lineRule="auto"/>
        <w:ind w:right="0" w:firstLine="284"/>
        <w:jc w:val="both"/>
        <w:rPr>
          <w:rFonts w:ascii="Garamond" w:hAnsi="Garamond"/>
          <w:b w:val="0"/>
          <w:bCs/>
        </w:rPr>
      </w:pPr>
      <w:r>
        <w:rPr>
          <w:rFonts w:ascii="Garamond" w:hAnsi="Garamond"/>
          <w:b w:val="0"/>
          <w:bCs/>
        </w:rPr>
        <w:t>10.1</w:t>
      </w:r>
      <w:r w:rsidR="00F42564" w:rsidRPr="0042133E">
        <w:rPr>
          <w:rFonts w:ascii="Garamond" w:hAnsi="Garamond"/>
          <w:b w:val="0"/>
          <w:bCs/>
        </w:rPr>
        <w:t xml:space="preserve"> </w:t>
      </w:r>
      <w:r w:rsidR="00932AB6" w:rsidRPr="0042133E">
        <w:rPr>
          <w:rFonts w:ascii="Garamond" w:hAnsi="Garamond"/>
          <w:b w:val="0"/>
          <w:bCs/>
        </w:rPr>
        <w:t xml:space="preserve">Në lidhje me </w:t>
      </w:r>
      <w:r w:rsidR="00932AB6" w:rsidRPr="0042133E">
        <w:rPr>
          <w:rFonts w:ascii="Garamond" w:hAnsi="Garamond"/>
          <w:b w:val="0"/>
          <w:bCs/>
          <w:i/>
          <w:iCs/>
        </w:rPr>
        <w:t>legjitimimin e kërkuesve</w:t>
      </w:r>
      <w:r w:rsidR="00932AB6" w:rsidRPr="0042133E">
        <w:rPr>
          <w:rFonts w:ascii="Garamond" w:hAnsi="Garamond"/>
          <w:b w:val="0"/>
          <w:bCs/>
        </w:rPr>
        <w:t xml:space="preserve">, në drejtim të kriterit të shterimit të mjeteve juridike, ata i janë drejtuar kësaj Gjykate me kërkesë për rivendosjen në vend të </w:t>
      </w:r>
      <w:proofErr w:type="spellStart"/>
      <w:r w:rsidR="00932AB6" w:rsidRPr="0042133E">
        <w:rPr>
          <w:rFonts w:ascii="Garamond" w:hAnsi="Garamond"/>
          <w:b w:val="0"/>
          <w:bCs/>
        </w:rPr>
        <w:t>të</w:t>
      </w:r>
      <w:proofErr w:type="spellEnd"/>
      <w:r w:rsidR="00932AB6" w:rsidRPr="0042133E">
        <w:rPr>
          <w:rFonts w:ascii="Garamond" w:hAnsi="Garamond"/>
          <w:b w:val="0"/>
          <w:bCs/>
        </w:rPr>
        <w:t xml:space="preserve"> drejtave të shkelura, megjithatë ata nuk kanë ushtruar të drejtën e </w:t>
      </w:r>
      <w:proofErr w:type="spellStart"/>
      <w:r w:rsidR="00932AB6" w:rsidRPr="0042133E">
        <w:rPr>
          <w:rFonts w:ascii="Garamond" w:hAnsi="Garamond"/>
          <w:b w:val="0"/>
          <w:bCs/>
        </w:rPr>
        <w:t>kundërrekursit</w:t>
      </w:r>
      <w:proofErr w:type="spellEnd"/>
      <w:r w:rsidR="00932AB6" w:rsidRPr="0042133E">
        <w:rPr>
          <w:rFonts w:ascii="Garamond" w:hAnsi="Garamond"/>
          <w:b w:val="0"/>
          <w:bCs/>
        </w:rPr>
        <w:t xml:space="preserve"> në Gjykatën e Lartë, në përputhje me nenin 472 të </w:t>
      </w:r>
      <w:proofErr w:type="spellStart"/>
      <w:r w:rsidR="00932AB6" w:rsidRPr="0042133E">
        <w:rPr>
          <w:rFonts w:ascii="Garamond" w:hAnsi="Garamond"/>
          <w:b w:val="0"/>
          <w:bCs/>
        </w:rPr>
        <w:t>KPC</w:t>
      </w:r>
      <w:proofErr w:type="spellEnd"/>
      <w:r w:rsidR="00932AB6" w:rsidRPr="0042133E">
        <w:rPr>
          <w:rFonts w:ascii="Garamond" w:hAnsi="Garamond"/>
          <w:b w:val="0"/>
          <w:bCs/>
        </w:rPr>
        <w:t>-së. Për rrjedhojë, kërkuesit kanë legjitimitet pjesor për t’iu drejtuar kësaj Gjykate.</w:t>
      </w:r>
    </w:p>
    <w:p w14:paraId="3E1B04A9" w14:textId="0D1FA5A5" w:rsidR="00932AB6" w:rsidRPr="0042133E" w:rsidRDefault="00BE4E8C" w:rsidP="008A1168">
      <w:pPr>
        <w:pStyle w:val="Heading2"/>
        <w:numPr>
          <w:ilvl w:val="0"/>
          <w:numId w:val="0"/>
        </w:numPr>
        <w:tabs>
          <w:tab w:val="left" w:pos="260"/>
          <w:tab w:val="left" w:pos="1080"/>
        </w:tabs>
        <w:spacing w:line="240" w:lineRule="auto"/>
        <w:ind w:right="0" w:firstLine="284"/>
        <w:jc w:val="both"/>
        <w:rPr>
          <w:rFonts w:ascii="Garamond" w:hAnsi="Garamond"/>
          <w:b w:val="0"/>
          <w:bCs/>
        </w:rPr>
      </w:pPr>
      <w:r>
        <w:rPr>
          <w:rFonts w:ascii="Garamond" w:hAnsi="Garamond"/>
          <w:b w:val="0"/>
          <w:bCs/>
        </w:rPr>
        <w:t>10.2</w:t>
      </w:r>
      <w:r w:rsidR="00F42564" w:rsidRPr="0042133E">
        <w:rPr>
          <w:rFonts w:ascii="Garamond" w:hAnsi="Garamond"/>
          <w:b w:val="0"/>
          <w:bCs/>
        </w:rPr>
        <w:t xml:space="preserve"> </w:t>
      </w:r>
      <w:r w:rsidR="00932AB6" w:rsidRPr="0042133E">
        <w:rPr>
          <w:rFonts w:ascii="Garamond" w:hAnsi="Garamond"/>
          <w:b w:val="0"/>
          <w:bCs/>
        </w:rPr>
        <w:t xml:space="preserve">Në lidhje me </w:t>
      </w:r>
      <w:r w:rsidR="00932AB6" w:rsidRPr="0042133E">
        <w:rPr>
          <w:rFonts w:ascii="Garamond" w:hAnsi="Garamond"/>
          <w:b w:val="0"/>
          <w:bCs/>
          <w:i/>
          <w:iCs/>
        </w:rPr>
        <w:t>thirrjen e saj si subjekt i interesuar</w:t>
      </w:r>
      <w:r w:rsidR="00932AB6" w:rsidRPr="0042133E">
        <w:rPr>
          <w:rFonts w:ascii="Garamond" w:hAnsi="Garamond"/>
          <w:b w:val="0"/>
          <w:bCs/>
        </w:rPr>
        <w:t xml:space="preserve">, shoqëria INSIG prapëson se, siç ka rezultuar edhe gjatë gjykimit, shkaktari i aksidentit nuk ka qenë i siguruar me policë sigurimi për përgjegjësinë e palëve të treta dhe se institucioni përgjegjës për administrimin e fondit të kompensimit dhe dëmshpërblimin për raste, si rasti konkret, është </w:t>
      </w:r>
      <w:proofErr w:type="spellStart"/>
      <w:r w:rsidR="00932AB6" w:rsidRPr="0042133E">
        <w:rPr>
          <w:rFonts w:ascii="Garamond" w:hAnsi="Garamond"/>
          <w:b w:val="0"/>
          <w:bCs/>
        </w:rPr>
        <w:t>BSHS</w:t>
      </w:r>
      <w:proofErr w:type="spellEnd"/>
      <w:r w:rsidR="00932AB6" w:rsidRPr="0042133E">
        <w:rPr>
          <w:rFonts w:ascii="Garamond" w:hAnsi="Garamond"/>
          <w:b w:val="0"/>
          <w:bCs/>
        </w:rPr>
        <w:t xml:space="preserve">-ja, e cila ka personalitetin e saj juridik. Ndërsa shoqëria INSIG është autorizuar nga </w:t>
      </w:r>
      <w:proofErr w:type="spellStart"/>
      <w:r w:rsidR="00932AB6" w:rsidRPr="0042133E">
        <w:rPr>
          <w:rFonts w:ascii="Garamond" w:hAnsi="Garamond"/>
          <w:b w:val="0"/>
          <w:bCs/>
        </w:rPr>
        <w:t>BSHS</w:t>
      </w:r>
      <w:proofErr w:type="spellEnd"/>
      <w:r w:rsidR="00932AB6" w:rsidRPr="0042133E">
        <w:rPr>
          <w:rFonts w:ascii="Garamond" w:hAnsi="Garamond"/>
          <w:b w:val="0"/>
          <w:bCs/>
        </w:rPr>
        <w:t>-ja për kryerjen e pagesës së dëmit në fjalë dhe nuk ka pasur legjitimitet pasiv për të marrë pjesë në gjykim dhe, rrjedhimisht, nuk mund të jetë subjekt i interesuar në këtë gjykim kushtetues, si dhe as të ngarkohet nga gjykata me detyrime për pagime dëmi të mëtejshme.</w:t>
      </w:r>
    </w:p>
    <w:p w14:paraId="2D8EA4E8" w14:textId="4ECBBB2B" w:rsidR="00932AB6" w:rsidRPr="0042133E" w:rsidRDefault="00BE4E8C" w:rsidP="008A1168">
      <w:pPr>
        <w:pStyle w:val="Heading2"/>
        <w:numPr>
          <w:ilvl w:val="0"/>
          <w:numId w:val="0"/>
        </w:numPr>
        <w:tabs>
          <w:tab w:val="left" w:pos="260"/>
          <w:tab w:val="left" w:pos="1080"/>
        </w:tabs>
        <w:spacing w:line="240" w:lineRule="auto"/>
        <w:ind w:right="0" w:firstLine="284"/>
        <w:jc w:val="both"/>
        <w:rPr>
          <w:rFonts w:ascii="Garamond" w:hAnsi="Garamond"/>
          <w:b w:val="0"/>
          <w:bCs/>
        </w:rPr>
      </w:pPr>
      <w:r>
        <w:rPr>
          <w:rFonts w:ascii="Garamond" w:hAnsi="Garamond"/>
          <w:b w:val="0"/>
          <w:bCs/>
        </w:rPr>
        <w:t>10.3</w:t>
      </w:r>
      <w:r w:rsidR="00F42564" w:rsidRPr="0042133E">
        <w:rPr>
          <w:rFonts w:ascii="Garamond" w:hAnsi="Garamond"/>
          <w:b w:val="0"/>
          <w:bCs/>
        </w:rPr>
        <w:t xml:space="preserve"> </w:t>
      </w:r>
      <w:r w:rsidR="00932AB6" w:rsidRPr="0042133E">
        <w:rPr>
          <w:rFonts w:ascii="Garamond" w:hAnsi="Garamond"/>
          <w:b w:val="0"/>
          <w:bCs/>
        </w:rPr>
        <w:t>Pretendimet e kërkuesve lidhen me interpretimin e ligjit që janë në juridiksionin e gjykatave të zakonshme. Për këto pretendime ata nuk kanë paraqitur argumente kushtetuese.</w:t>
      </w:r>
    </w:p>
    <w:p w14:paraId="54592621" w14:textId="77777777" w:rsidR="00932AB6" w:rsidRPr="0042133E" w:rsidRDefault="00932AB6" w:rsidP="008A1168">
      <w:pPr>
        <w:pStyle w:val="ListParagraph"/>
        <w:tabs>
          <w:tab w:val="left" w:pos="1340"/>
        </w:tabs>
        <w:spacing w:line="240" w:lineRule="auto"/>
        <w:ind w:left="0" w:firstLine="284"/>
        <w:rPr>
          <w:rFonts w:ascii="Garamond" w:hAnsi="Garamond"/>
          <w:b/>
          <w:bCs/>
        </w:rPr>
      </w:pPr>
    </w:p>
    <w:p w14:paraId="0C401BBF" w14:textId="6457F63E" w:rsidR="00F42564" w:rsidRPr="0042133E" w:rsidRDefault="00932AB6" w:rsidP="00F42564">
      <w:pPr>
        <w:tabs>
          <w:tab w:val="left" w:pos="1340"/>
        </w:tabs>
        <w:spacing w:line="240" w:lineRule="auto"/>
        <w:ind w:firstLine="284"/>
        <w:jc w:val="center"/>
        <w:rPr>
          <w:rFonts w:ascii="Garamond" w:hAnsi="Garamond"/>
          <w:b/>
          <w:bCs/>
        </w:rPr>
      </w:pPr>
      <w:proofErr w:type="spellStart"/>
      <w:r w:rsidRPr="0042133E">
        <w:rPr>
          <w:rFonts w:ascii="Garamond" w:hAnsi="Garamond"/>
          <w:b/>
          <w:bCs/>
        </w:rPr>
        <w:t>III</w:t>
      </w:r>
      <w:proofErr w:type="spellEnd"/>
    </w:p>
    <w:p w14:paraId="7DFC9BB4" w14:textId="12752E4E" w:rsidR="00932AB6" w:rsidRPr="0042133E" w:rsidRDefault="00932AB6" w:rsidP="00F42564">
      <w:pPr>
        <w:pStyle w:val="NoSpacing"/>
        <w:tabs>
          <w:tab w:val="left" w:pos="980"/>
          <w:tab w:val="left" w:pos="1340"/>
          <w:tab w:val="left" w:pos="1440"/>
        </w:tabs>
        <w:ind w:firstLine="284"/>
        <w:jc w:val="center"/>
        <w:rPr>
          <w:rFonts w:ascii="Garamond" w:hAnsi="Garamond"/>
          <w:b/>
          <w:bCs/>
          <w:sz w:val="24"/>
          <w:szCs w:val="24"/>
        </w:rPr>
      </w:pPr>
      <w:r w:rsidRPr="0042133E">
        <w:rPr>
          <w:rFonts w:ascii="Garamond" w:hAnsi="Garamond"/>
          <w:b/>
          <w:bCs/>
          <w:sz w:val="24"/>
          <w:szCs w:val="24"/>
        </w:rPr>
        <w:t>Vlerësimi i Gjykatës Kushtetuese</w:t>
      </w:r>
    </w:p>
    <w:p w14:paraId="347E177D" w14:textId="77777777" w:rsidR="00F42564" w:rsidRPr="0042133E" w:rsidRDefault="00F42564" w:rsidP="00F42564">
      <w:pPr>
        <w:pStyle w:val="NoSpacing"/>
        <w:tabs>
          <w:tab w:val="left" w:pos="980"/>
          <w:tab w:val="left" w:pos="1340"/>
          <w:tab w:val="left" w:pos="1440"/>
        </w:tabs>
        <w:ind w:firstLine="284"/>
        <w:jc w:val="center"/>
        <w:rPr>
          <w:rFonts w:ascii="Garamond" w:hAnsi="Garamond"/>
          <w:b/>
          <w:bCs/>
          <w:sz w:val="24"/>
          <w:szCs w:val="24"/>
        </w:rPr>
      </w:pPr>
    </w:p>
    <w:p w14:paraId="5EEE4DD6" w14:textId="48D392C5" w:rsidR="00932AB6" w:rsidRPr="0042133E" w:rsidRDefault="00BE4E8C" w:rsidP="008A1168">
      <w:pPr>
        <w:tabs>
          <w:tab w:val="left" w:pos="1080"/>
        </w:tabs>
        <w:spacing w:line="240" w:lineRule="auto"/>
        <w:ind w:firstLine="284"/>
        <w:jc w:val="both"/>
        <w:rPr>
          <w:rFonts w:ascii="Garamond" w:hAnsi="Garamond"/>
          <w:i/>
          <w:iCs/>
        </w:rPr>
      </w:pPr>
      <w:r w:rsidRPr="00BE4E8C">
        <w:rPr>
          <w:rFonts w:ascii="Garamond" w:hAnsi="Garamond"/>
          <w:iCs/>
        </w:rPr>
        <w:t>A.</w:t>
      </w:r>
      <w:r>
        <w:rPr>
          <w:rFonts w:ascii="Garamond" w:hAnsi="Garamond"/>
          <w:i/>
          <w:iCs/>
        </w:rPr>
        <w:t xml:space="preserve"> </w:t>
      </w:r>
      <w:r w:rsidR="00932AB6" w:rsidRPr="0042133E">
        <w:rPr>
          <w:rFonts w:ascii="Garamond" w:hAnsi="Garamond"/>
          <w:i/>
          <w:iCs/>
        </w:rPr>
        <w:t>Për legjitimimin e kërkuesve</w:t>
      </w:r>
    </w:p>
    <w:p w14:paraId="772CF7E9" w14:textId="102F873A" w:rsidR="00932AB6" w:rsidRPr="0042133E" w:rsidRDefault="00932AB6" w:rsidP="008A1168">
      <w:pPr>
        <w:pStyle w:val="Heading2"/>
        <w:numPr>
          <w:ilvl w:val="0"/>
          <w:numId w:val="0"/>
        </w:numPr>
        <w:tabs>
          <w:tab w:val="left" w:pos="260"/>
          <w:tab w:val="left" w:pos="1080"/>
        </w:tabs>
        <w:spacing w:line="240" w:lineRule="auto"/>
        <w:ind w:right="0" w:firstLine="284"/>
        <w:jc w:val="both"/>
        <w:rPr>
          <w:rFonts w:ascii="Garamond" w:hAnsi="Garamond"/>
          <w:b w:val="0"/>
          <w:bCs/>
        </w:rPr>
      </w:pPr>
      <w:r w:rsidRPr="0042133E">
        <w:rPr>
          <w:rFonts w:ascii="Garamond" w:hAnsi="Garamond"/>
          <w:b w:val="0"/>
          <w:bCs/>
        </w:rPr>
        <w:t>11.</w:t>
      </w:r>
      <w:r w:rsidR="00F42564" w:rsidRPr="0042133E">
        <w:rPr>
          <w:rFonts w:ascii="Garamond" w:hAnsi="Garamond"/>
          <w:b w:val="0"/>
          <w:bCs/>
        </w:rPr>
        <w:t xml:space="preserve"> </w:t>
      </w:r>
      <w:r w:rsidRPr="0042133E">
        <w:rPr>
          <w:rFonts w:ascii="Garamond" w:hAnsi="Garamond"/>
          <w:b w:val="0"/>
          <w:bCs/>
        </w:rPr>
        <w:t>Çështja e legjitimimit (</w:t>
      </w:r>
      <w:proofErr w:type="spellStart"/>
      <w:r w:rsidRPr="0042133E">
        <w:rPr>
          <w:rFonts w:ascii="Garamond" w:hAnsi="Garamond"/>
          <w:b w:val="0"/>
          <w:bCs/>
          <w:i/>
          <w:iCs/>
        </w:rPr>
        <w:t>locus</w:t>
      </w:r>
      <w:proofErr w:type="spellEnd"/>
      <w:r w:rsidRPr="0042133E">
        <w:rPr>
          <w:rFonts w:ascii="Garamond" w:hAnsi="Garamond"/>
          <w:b w:val="0"/>
          <w:bCs/>
          <w:i/>
          <w:iCs/>
        </w:rPr>
        <w:t xml:space="preserve"> </w:t>
      </w:r>
      <w:proofErr w:type="spellStart"/>
      <w:r w:rsidRPr="0042133E">
        <w:rPr>
          <w:rFonts w:ascii="Garamond" w:hAnsi="Garamond"/>
          <w:b w:val="0"/>
          <w:bCs/>
          <w:i/>
          <w:iCs/>
        </w:rPr>
        <w:t>standi</w:t>
      </w:r>
      <w:proofErr w:type="spellEnd"/>
      <w:r w:rsidRPr="0042133E">
        <w:rPr>
          <w:rFonts w:ascii="Garamond" w:hAnsi="Garamond"/>
          <w:b w:val="0"/>
          <w:bCs/>
        </w:rPr>
        <w:t xml:space="preserve">) është një ndër aspektet kryesore që lidhet me nisjen e një procesi kushtetues. Sipas neneve 131, pika 1, shkronja “f” dhe 134, pikat 1, shkronja “i” dhe 2, të </w:t>
      </w:r>
      <w:r w:rsidRPr="0042133E">
        <w:rPr>
          <w:rFonts w:ascii="Garamond" w:hAnsi="Garamond"/>
          <w:b w:val="0"/>
          <w:bCs/>
        </w:rPr>
        <w:lastRenderedPageBreak/>
        <w:t>Kushtetutës, si dhe nenit 71</w:t>
      </w:r>
      <w:r w:rsidR="00BE4E8C">
        <w:rPr>
          <w:rFonts w:ascii="Garamond" w:hAnsi="Garamond"/>
          <w:b w:val="0"/>
          <w:bCs/>
        </w:rPr>
        <w:t>,</w:t>
      </w:r>
      <w:r w:rsidRPr="0042133E">
        <w:rPr>
          <w:rFonts w:ascii="Garamond" w:hAnsi="Garamond"/>
          <w:b w:val="0"/>
          <w:bCs/>
        </w:rPr>
        <w:t xml:space="preserve"> të ligjit nr. 8577/2000, çdo individ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w:t>
      </w:r>
      <w:proofErr w:type="spellStart"/>
      <w:r w:rsidRPr="0042133E">
        <w:rPr>
          <w:rFonts w:ascii="Garamond" w:hAnsi="Garamond"/>
          <w:b w:val="0"/>
          <w:bCs/>
        </w:rPr>
        <w:t>kumulative</w:t>
      </w:r>
      <w:proofErr w:type="spellEnd"/>
      <w:r w:rsidRPr="0042133E">
        <w:rPr>
          <w:rFonts w:ascii="Garamond" w:hAnsi="Garamond"/>
          <w:b w:val="0"/>
          <w:bCs/>
        </w:rPr>
        <w:t xml:space="preserve"> të nenit 71/a</w:t>
      </w:r>
      <w:r w:rsidR="00BE4E8C">
        <w:rPr>
          <w:rFonts w:ascii="Garamond" w:hAnsi="Garamond"/>
          <w:b w:val="0"/>
          <w:bCs/>
        </w:rPr>
        <w:t>,</w:t>
      </w:r>
      <w:r w:rsidRPr="0042133E">
        <w:rPr>
          <w:rFonts w:ascii="Garamond" w:hAnsi="Garamond"/>
          <w:b w:val="0"/>
          <w:bCs/>
        </w:rPr>
        <w:t xml:space="preserve"> të ligjit nr. 8577/2000, që lidhen me shterimin e mjeteve juridike, afatin e paraqitjes së kërkesës, pasojat negative të pësuara në mënyrë të drejtpërdrejtë e reale dhe mundësinë për rivendosjen e së drejtës së shkelur.</w:t>
      </w:r>
    </w:p>
    <w:p w14:paraId="132F9870" w14:textId="3C2F330E" w:rsidR="00932AB6" w:rsidRPr="0042133E" w:rsidRDefault="00932AB6" w:rsidP="008A1168">
      <w:pPr>
        <w:pStyle w:val="Heading2"/>
        <w:numPr>
          <w:ilvl w:val="0"/>
          <w:numId w:val="0"/>
        </w:numPr>
        <w:tabs>
          <w:tab w:val="left" w:pos="260"/>
          <w:tab w:val="left" w:pos="1080"/>
        </w:tabs>
        <w:spacing w:line="240" w:lineRule="auto"/>
        <w:ind w:right="0" w:firstLine="284"/>
        <w:jc w:val="both"/>
        <w:rPr>
          <w:rFonts w:ascii="Garamond" w:hAnsi="Garamond"/>
          <w:b w:val="0"/>
          <w:bCs/>
        </w:rPr>
      </w:pPr>
      <w:r w:rsidRPr="0042133E">
        <w:rPr>
          <w:rFonts w:ascii="Garamond" w:hAnsi="Garamond"/>
          <w:b w:val="0"/>
          <w:bCs/>
        </w:rPr>
        <w:t>12.</w:t>
      </w:r>
      <w:r w:rsidR="00F42564" w:rsidRPr="0042133E">
        <w:rPr>
          <w:rFonts w:ascii="Garamond" w:hAnsi="Garamond"/>
          <w:b w:val="0"/>
          <w:bCs/>
        </w:rPr>
        <w:t xml:space="preserve"> </w:t>
      </w:r>
      <w:r w:rsidRPr="0042133E">
        <w:rPr>
          <w:rFonts w:ascii="Garamond" w:hAnsi="Garamond"/>
          <w:b w:val="0"/>
          <w:bCs/>
        </w:rPr>
        <w:t xml:space="preserve">Në lidhje me legjitimimin </w:t>
      </w:r>
      <w:proofErr w:type="spellStart"/>
      <w:r w:rsidRPr="0042133E">
        <w:rPr>
          <w:rFonts w:ascii="Garamond" w:hAnsi="Garamond"/>
          <w:b w:val="0"/>
          <w:bCs/>
          <w:i/>
          <w:iCs/>
        </w:rPr>
        <w:t>ratione</w:t>
      </w:r>
      <w:proofErr w:type="spellEnd"/>
      <w:r w:rsidRPr="0042133E">
        <w:rPr>
          <w:rFonts w:ascii="Garamond" w:hAnsi="Garamond"/>
          <w:b w:val="0"/>
          <w:bCs/>
          <w:i/>
          <w:iCs/>
        </w:rPr>
        <w:t xml:space="preserve"> </w:t>
      </w:r>
      <w:proofErr w:type="spellStart"/>
      <w:r w:rsidRPr="0042133E">
        <w:rPr>
          <w:rFonts w:ascii="Garamond" w:hAnsi="Garamond"/>
          <w:b w:val="0"/>
          <w:bCs/>
          <w:i/>
          <w:iCs/>
        </w:rPr>
        <w:t>personae</w:t>
      </w:r>
      <w:proofErr w:type="spellEnd"/>
      <w:r w:rsidRPr="0042133E">
        <w:rPr>
          <w:rFonts w:ascii="Garamond" w:hAnsi="Garamond"/>
          <w:b w:val="0"/>
          <w:bCs/>
        </w:rPr>
        <w:t>, Gjykata vëren se kërkuesit, në cilësinë e familjarëve të afërt të viktimës (bashkëshortja dhe i biri), kanë ngritur padi në gjykatat e zakonshme për të kërkuar diferencën e shpërblimit të dëmit nga humbja e jetës së tij, proces i cili ka përfunduar me vendimin e Gjykatës së Lartë, objekt i ankimit kushtetues individual. Për rrjedhojë, ata justifikojnë interesin në çështjen kushtetuese të parashtruar, në kuptim të nenit 131, pika 1, shkronja “f” dhe 134, pika 1, shkronja “i”, të Kushtetutës.</w:t>
      </w:r>
    </w:p>
    <w:p w14:paraId="23F7BEA8" w14:textId="0AD4C6A9" w:rsidR="00932AB6" w:rsidRPr="0042133E" w:rsidRDefault="00932AB6" w:rsidP="008A1168">
      <w:pPr>
        <w:pStyle w:val="Heading2"/>
        <w:numPr>
          <w:ilvl w:val="0"/>
          <w:numId w:val="0"/>
        </w:numPr>
        <w:tabs>
          <w:tab w:val="left" w:pos="260"/>
          <w:tab w:val="left" w:pos="1080"/>
        </w:tabs>
        <w:spacing w:line="240" w:lineRule="auto"/>
        <w:ind w:right="0" w:firstLine="284"/>
        <w:jc w:val="both"/>
        <w:rPr>
          <w:rFonts w:ascii="Garamond" w:hAnsi="Garamond"/>
          <w:b w:val="0"/>
          <w:bCs/>
        </w:rPr>
      </w:pPr>
      <w:r w:rsidRPr="0042133E">
        <w:rPr>
          <w:rFonts w:ascii="Garamond" w:hAnsi="Garamond"/>
          <w:b w:val="0"/>
          <w:bCs/>
        </w:rPr>
        <w:t>13.</w:t>
      </w:r>
      <w:r w:rsidR="00F42564" w:rsidRPr="0042133E">
        <w:rPr>
          <w:rFonts w:ascii="Garamond" w:hAnsi="Garamond"/>
          <w:b w:val="0"/>
          <w:bCs/>
        </w:rPr>
        <w:t xml:space="preserve"> </w:t>
      </w:r>
      <w:r w:rsidRPr="0042133E">
        <w:rPr>
          <w:rFonts w:ascii="Garamond" w:hAnsi="Garamond"/>
          <w:b w:val="0"/>
          <w:bCs/>
        </w:rPr>
        <w:t xml:space="preserve">Për sa i takon kriterit të </w:t>
      </w:r>
      <w:r w:rsidRPr="0042133E">
        <w:rPr>
          <w:rFonts w:ascii="Garamond" w:hAnsi="Garamond"/>
          <w:b w:val="0"/>
          <w:bCs/>
          <w:i/>
          <w:iCs/>
        </w:rPr>
        <w:t>shterimit të mjeteve juridike efektive</w:t>
      </w:r>
      <w:r w:rsidRPr="0042133E">
        <w:rPr>
          <w:rFonts w:ascii="Garamond" w:hAnsi="Garamond"/>
          <w:b w:val="0"/>
          <w:bCs/>
        </w:rPr>
        <w:t xml:space="preserve">, bazuar në nenin 131, pika 1, shkronja “f”, të Kushtetutës, Gjykata vëren se kërkuesit i janë drejtuar asaj me ankim kushtetues individual pas përfundimit të procesit gjyqësor në gjykatat e juridiksionit të zakonshëm dhe pasi kanë shteruar në formë e substancë mjetet e zakonshme të ankimit. Për rrjedhojë, ata nuk kanë mjet tjetër juridik në dispozicion për mbrojtjen e të drejtave të tyre kushtetuese, përveç paraqitjes së </w:t>
      </w:r>
      <w:r w:rsidR="00C95ABE">
        <w:rPr>
          <w:rFonts w:ascii="Garamond" w:hAnsi="Garamond"/>
          <w:b w:val="0"/>
          <w:bCs/>
        </w:rPr>
        <w:t>ankimit kushtetues individual.</w:t>
      </w:r>
    </w:p>
    <w:p w14:paraId="7259EED2" w14:textId="2CD35AC3" w:rsidR="00932AB6" w:rsidRPr="0042133E" w:rsidRDefault="00932AB6" w:rsidP="008A1168">
      <w:pPr>
        <w:pStyle w:val="Heading2"/>
        <w:numPr>
          <w:ilvl w:val="0"/>
          <w:numId w:val="0"/>
        </w:numPr>
        <w:tabs>
          <w:tab w:val="left" w:pos="260"/>
          <w:tab w:val="left" w:pos="1080"/>
        </w:tabs>
        <w:spacing w:line="240" w:lineRule="auto"/>
        <w:ind w:right="0" w:firstLine="284"/>
        <w:jc w:val="both"/>
        <w:rPr>
          <w:rFonts w:ascii="Garamond" w:hAnsi="Garamond"/>
          <w:b w:val="0"/>
          <w:bCs/>
          <w:i/>
          <w:iCs/>
        </w:rPr>
      </w:pPr>
      <w:r w:rsidRPr="0042133E">
        <w:rPr>
          <w:rFonts w:ascii="Garamond" w:hAnsi="Garamond"/>
          <w:b w:val="0"/>
          <w:bCs/>
        </w:rPr>
        <w:t>14.</w:t>
      </w:r>
      <w:r w:rsidR="00F42564" w:rsidRPr="0042133E">
        <w:rPr>
          <w:rFonts w:ascii="Garamond" w:hAnsi="Garamond"/>
          <w:b w:val="0"/>
          <w:bCs/>
        </w:rPr>
        <w:t xml:space="preserve"> </w:t>
      </w:r>
      <w:r w:rsidRPr="0042133E">
        <w:rPr>
          <w:rFonts w:ascii="Garamond" w:hAnsi="Garamond"/>
          <w:b w:val="0"/>
          <w:bCs/>
        </w:rPr>
        <w:t xml:space="preserve">Kërkuesit legjitimohen edhe </w:t>
      </w:r>
      <w:proofErr w:type="spellStart"/>
      <w:r w:rsidRPr="0042133E">
        <w:rPr>
          <w:rFonts w:ascii="Garamond" w:hAnsi="Garamond"/>
          <w:b w:val="0"/>
          <w:bCs/>
          <w:i/>
          <w:iCs/>
        </w:rPr>
        <w:t>ratione</w:t>
      </w:r>
      <w:proofErr w:type="spellEnd"/>
      <w:r w:rsidRPr="0042133E">
        <w:rPr>
          <w:rFonts w:ascii="Garamond" w:hAnsi="Garamond"/>
          <w:b w:val="0"/>
          <w:bCs/>
          <w:i/>
          <w:iCs/>
        </w:rPr>
        <w:t xml:space="preserve"> </w:t>
      </w:r>
      <w:proofErr w:type="spellStart"/>
      <w:r w:rsidRPr="0042133E">
        <w:rPr>
          <w:rFonts w:ascii="Garamond" w:hAnsi="Garamond"/>
          <w:b w:val="0"/>
          <w:bCs/>
          <w:i/>
          <w:iCs/>
        </w:rPr>
        <w:t>temporis</w:t>
      </w:r>
      <w:proofErr w:type="spellEnd"/>
      <w:r w:rsidRPr="0042133E">
        <w:rPr>
          <w:rFonts w:ascii="Garamond" w:hAnsi="Garamond"/>
          <w:b w:val="0"/>
          <w:bCs/>
        </w:rPr>
        <w:t>, në kuptim të nenit 71/a, pika 1, shkronja “b”, të ligjit nr. 8577/2000, pasi vendimi i G</w:t>
      </w:r>
      <w:r w:rsidR="00BE4E8C">
        <w:rPr>
          <w:rFonts w:ascii="Garamond" w:hAnsi="Garamond"/>
          <w:b w:val="0"/>
          <w:bCs/>
        </w:rPr>
        <w:t>jykatës së Lartë mban datën 15.</w:t>
      </w:r>
      <w:r w:rsidRPr="0042133E">
        <w:rPr>
          <w:rFonts w:ascii="Garamond" w:hAnsi="Garamond"/>
          <w:b w:val="0"/>
          <w:bCs/>
        </w:rPr>
        <w:t>5.2024 dhe sipas shk</w:t>
      </w:r>
      <w:r w:rsidR="00BE4E8C">
        <w:rPr>
          <w:rFonts w:ascii="Garamond" w:hAnsi="Garamond"/>
          <w:b w:val="0"/>
          <w:bCs/>
        </w:rPr>
        <w:t xml:space="preserve">resës nr. 835/1 </w:t>
      </w:r>
      <w:proofErr w:type="spellStart"/>
      <w:r w:rsidR="00BE4E8C">
        <w:rPr>
          <w:rFonts w:ascii="Garamond" w:hAnsi="Garamond"/>
          <w:b w:val="0"/>
          <w:bCs/>
        </w:rPr>
        <w:t>prot</w:t>
      </w:r>
      <w:proofErr w:type="spellEnd"/>
      <w:r w:rsidR="00BE4E8C">
        <w:rPr>
          <w:rFonts w:ascii="Garamond" w:hAnsi="Garamond"/>
          <w:b w:val="0"/>
          <w:bCs/>
        </w:rPr>
        <w:t>., datë 21.</w:t>
      </w:r>
      <w:r w:rsidRPr="0042133E">
        <w:rPr>
          <w:rFonts w:ascii="Garamond" w:hAnsi="Garamond"/>
          <w:b w:val="0"/>
          <w:bCs/>
        </w:rPr>
        <w:t xml:space="preserve">2.2025, lënda “Kthim përgjigjeje” të asaj gjykate, rezulton se ai është bërë i </w:t>
      </w:r>
      <w:proofErr w:type="spellStart"/>
      <w:r w:rsidRPr="0042133E">
        <w:rPr>
          <w:rFonts w:ascii="Garamond" w:hAnsi="Garamond"/>
          <w:b w:val="0"/>
          <w:bCs/>
        </w:rPr>
        <w:t>disponueshëm</w:t>
      </w:r>
      <w:proofErr w:type="spellEnd"/>
      <w:r w:rsidRPr="0042133E">
        <w:rPr>
          <w:rFonts w:ascii="Garamond" w:hAnsi="Garamond"/>
          <w:b w:val="0"/>
          <w:bCs/>
        </w:rPr>
        <w:t xml:space="preserve"> për palët në datën 26.12.2024, kur është publikuar në faqen zyrtare të saj, ndërsa ankimi kushtetues individual është pa</w:t>
      </w:r>
      <w:r w:rsidR="00BE4E8C">
        <w:rPr>
          <w:rFonts w:ascii="Garamond" w:hAnsi="Garamond"/>
          <w:b w:val="0"/>
          <w:bCs/>
        </w:rPr>
        <w:t>raqitur në Gjykatë në datën 29.</w:t>
      </w:r>
      <w:r w:rsidRPr="0042133E">
        <w:rPr>
          <w:rFonts w:ascii="Garamond" w:hAnsi="Garamond"/>
          <w:b w:val="0"/>
          <w:bCs/>
        </w:rPr>
        <w:t>1.2025, pra brenda afatit ligjor 4-mujor.</w:t>
      </w:r>
    </w:p>
    <w:p w14:paraId="7F2BEC8A" w14:textId="33DD8ACE" w:rsidR="00932AB6" w:rsidRPr="0042133E" w:rsidRDefault="00932AB6" w:rsidP="008A1168">
      <w:pPr>
        <w:pStyle w:val="Heading2"/>
        <w:numPr>
          <w:ilvl w:val="0"/>
          <w:numId w:val="0"/>
        </w:numPr>
        <w:tabs>
          <w:tab w:val="left" w:pos="260"/>
          <w:tab w:val="left" w:pos="1080"/>
        </w:tabs>
        <w:spacing w:line="240" w:lineRule="auto"/>
        <w:ind w:right="0" w:firstLine="284"/>
        <w:jc w:val="both"/>
        <w:rPr>
          <w:rFonts w:ascii="Garamond" w:hAnsi="Garamond"/>
          <w:b w:val="0"/>
          <w:bCs/>
        </w:rPr>
      </w:pPr>
      <w:r w:rsidRPr="0042133E">
        <w:rPr>
          <w:rFonts w:ascii="Garamond" w:hAnsi="Garamond"/>
          <w:b w:val="0"/>
          <w:bCs/>
        </w:rPr>
        <w:t>15.</w:t>
      </w:r>
      <w:r w:rsidR="00F42564" w:rsidRPr="0042133E">
        <w:rPr>
          <w:rFonts w:ascii="Garamond" w:hAnsi="Garamond"/>
          <w:b w:val="0"/>
          <w:bCs/>
        </w:rPr>
        <w:t xml:space="preserve"> </w:t>
      </w:r>
      <w:r w:rsidRPr="0042133E">
        <w:rPr>
          <w:rFonts w:ascii="Garamond" w:hAnsi="Garamond"/>
          <w:b w:val="0"/>
          <w:bCs/>
        </w:rPr>
        <w:t xml:space="preserve">Në drejtim të legjitimimit </w:t>
      </w:r>
      <w:proofErr w:type="spellStart"/>
      <w:r w:rsidRPr="0042133E">
        <w:rPr>
          <w:rFonts w:ascii="Garamond" w:hAnsi="Garamond"/>
          <w:b w:val="0"/>
          <w:bCs/>
          <w:i/>
          <w:iCs/>
        </w:rPr>
        <w:t>ratione</w:t>
      </w:r>
      <w:proofErr w:type="spellEnd"/>
      <w:r w:rsidRPr="0042133E">
        <w:rPr>
          <w:rFonts w:ascii="Garamond" w:hAnsi="Garamond"/>
          <w:b w:val="0"/>
          <w:bCs/>
          <w:i/>
          <w:iCs/>
        </w:rPr>
        <w:t xml:space="preserve"> </w:t>
      </w:r>
      <w:proofErr w:type="spellStart"/>
      <w:r w:rsidRPr="0042133E">
        <w:rPr>
          <w:rFonts w:ascii="Garamond" w:hAnsi="Garamond"/>
          <w:b w:val="0"/>
          <w:bCs/>
          <w:i/>
          <w:iCs/>
        </w:rPr>
        <w:t>materiae</w:t>
      </w:r>
      <w:proofErr w:type="spellEnd"/>
      <w:r w:rsidRPr="0042133E">
        <w:rPr>
          <w:rFonts w:ascii="Garamond" w:hAnsi="Garamond"/>
          <w:b w:val="0"/>
          <w:bCs/>
        </w:rPr>
        <w:t xml:space="preserve">, në ankimin kushtetues individual kërkuesit kanë pretenduar cenimin e së drejtës për proces të rregullt në disa aspekte të saj. </w:t>
      </w:r>
    </w:p>
    <w:p w14:paraId="531E6CE2" w14:textId="35097213" w:rsidR="00932AB6" w:rsidRPr="0042133E" w:rsidRDefault="00932AB6" w:rsidP="008A1168">
      <w:pPr>
        <w:pStyle w:val="Heading2"/>
        <w:numPr>
          <w:ilvl w:val="0"/>
          <w:numId w:val="0"/>
        </w:numPr>
        <w:tabs>
          <w:tab w:val="left" w:pos="260"/>
          <w:tab w:val="left" w:pos="1080"/>
        </w:tabs>
        <w:spacing w:line="240" w:lineRule="auto"/>
        <w:ind w:right="0" w:firstLine="284"/>
        <w:jc w:val="both"/>
        <w:rPr>
          <w:rFonts w:ascii="Garamond" w:hAnsi="Garamond"/>
          <w:b w:val="0"/>
          <w:bCs/>
        </w:rPr>
      </w:pPr>
      <w:r w:rsidRPr="0042133E">
        <w:rPr>
          <w:rFonts w:ascii="Garamond" w:hAnsi="Garamond"/>
          <w:b w:val="0"/>
          <w:bCs/>
        </w:rPr>
        <w:t>16.</w:t>
      </w:r>
      <w:r w:rsidR="00F42564" w:rsidRPr="0042133E">
        <w:rPr>
          <w:rFonts w:ascii="Garamond" w:hAnsi="Garamond"/>
          <w:b w:val="0"/>
          <w:bCs/>
        </w:rPr>
        <w:t xml:space="preserve"> </w:t>
      </w:r>
      <w:r w:rsidRPr="0042133E">
        <w:rPr>
          <w:rFonts w:ascii="Garamond" w:hAnsi="Garamond"/>
          <w:b w:val="0"/>
          <w:bCs/>
        </w:rPr>
        <w:t xml:space="preserve">Kërkuesit kanë pretenduar se Gjykata e Lartë u ka cenuar të </w:t>
      </w:r>
      <w:r w:rsidRPr="0042133E">
        <w:rPr>
          <w:rFonts w:ascii="Garamond" w:hAnsi="Garamond"/>
          <w:b w:val="0"/>
          <w:bCs/>
          <w:i/>
          <w:iCs/>
        </w:rPr>
        <w:t>drejtën për t’u dëgjuar</w:t>
      </w:r>
      <w:r w:rsidRPr="0042133E">
        <w:rPr>
          <w:rFonts w:ascii="Garamond" w:hAnsi="Garamond"/>
          <w:b w:val="0"/>
          <w:bCs/>
        </w:rPr>
        <w:t xml:space="preserve"> duke e lidhur atë me formën e gjykimit në dhomën e këshillimit, pasi, sipas tyre, ajo gjykatë duhet ta kishte shqyrtuar çështjen në seancë gjyqësore me praninë e palëve, në mënyrë që të dëgjonte dhe parashtrimet e tyre e më pas të mbante një qëndrim përfundimtar për çështjen. Për pasojë, sipas tyre, ajo gjykatë ka keqinterpretuar ligjin material civil për sa i përket shpërblimit të dëmit </w:t>
      </w:r>
      <w:proofErr w:type="spellStart"/>
      <w:r w:rsidRPr="0042133E">
        <w:rPr>
          <w:rFonts w:ascii="Garamond" w:hAnsi="Garamond"/>
          <w:b w:val="0"/>
          <w:bCs/>
        </w:rPr>
        <w:t>jashtëkontraktor</w:t>
      </w:r>
      <w:proofErr w:type="spellEnd"/>
      <w:r w:rsidRPr="0042133E">
        <w:rPr>
          <w:rFonts w:ascii="Garamond" w:hAnsi="Garamond"/>
          <w:b w:val="0"/>
          <w:bCs/>
        </w:rPr>
        <w:t xml:space="preserve"> për shkak të vdekjes në aksident. </w:t>
      </w:r>
    </w:p>
    <w:p w14:paraId="5143F297" w14:textId="6BB5E68B" w:rsidR="00932AB6" w:rsidRPr="0042133E" w:rsidRDefault="00932AB6" w:rsidP="008A1168">
      <w:pPr>
        <w:pStyle w:val="Heading2"/>
        <w:numPr>
          <w:ilvl w:val="0"/>
          <w:numId w:val="0"/>
        </w:numPr>
        <w:tabs>
          <w:tab w:val="left" w:pos="260"/>
          <w:tab w:val="left" w:pos="1080"/>
        </w:tabs>
        <w:spacing w:line="240" w:lineRule="auto"/>
        <w:ind w:right="0" w:firstLine="284"/>
        <w:jc w:val="both"/>
        <w:rPr>
          <w:rFonts w:ascii="Garamond" w:hAnsi="Garamond"/>
          <w:b w:val="0"/>
          <w:bCs/>
        </w:rPr>
      </w:pPr>
      <w:r w:rsidRPr="0042133E">
        <w:rPr>
          <w:rFonts w:ascii="Garamond" w:hAnsi="Garamond"/>
          <w:b w:val="0"/>
          <w:bCs/>
        </w:rPr>
        <w:t>17.</w:t>
      </w:r>
      <w:r w:rsidR="00F42564" w:rsidRPr="0042133E">
        <w:rPr>
          <w:rFonts w:ascii="Garamond" w:hAnsi="Garamond"/>
          <w:b w:val="0"/>
          <w:bCs/>
        </w:rPr>
        <w:t xml:space="preserve"> </w:t>
      </w:r>
      <w:r w:rsidRPr="0042133E">
        <w:rPr>
          <w:rFonts w:ascii="Garamond" w:hAnsi="Garamond"/>
          <w:b w:val="0"/>
          <w:bCs/>
        </w:rPr>
        <w:t xml:space="preserve">Subjekti i interesuar, </w:t>
      </w:r>
      <w:proofErr w:type="spellStart"/>
      <w:r w:rsidRPr="0042133E">
        <w:rPr>
          <w:rFonts w:ascii="Garamond" w:hAnsi="Garamond"/>
          <w:b w:val="0"/>
          <w:bCs/>
        </w:rPr>
        <w:t>BSHS</w:t>
      </w:r>
      <w:proofErr w:type="spellEnd"/>
      <w:r w:rsidRPr="0042133E">
        <w:rPr>
          <w:rFonts w:ascii="Garamond" w:hAnsi="Garamond"/>
          <w:b w:val="0"/>
          <w:bCs/>
        </w:rPr>
        <w:t xml:space="preserve">-ja, ka prapësuar se ky pretendim nuk qëndron, pasi sipas nenit 482, pika 1, të </w:t>
      </w:r>
      <w:proofErr w:type="spellStart"/>
      <w:r w:rsidRPr="0042133E">
        <w:rPr>
          <w:rFonts w:ascii="Garamond" w:hAnsi="Garamond"/>
          <w:b w:val="0"/>
          <w:bCs/>
        </w:rPr>
        <w:t>KPC</w:t>
      </w:r>
      <w:proofErr w:type="spellEnd"/>
      <w:r w:rsidRPr="0042133E">
        <w:rPr>
          <w:rFonts w:ascii="Garamond" w:hAnsi="Garamond"/>
          <w:b w:val="0"/>
          <w:bCs/>
        </w:rPr>
        <w:t xml:space="preserve">-së, shqyrtimi i çështjeve në Gjykatën e Lartë bëhet si rregull në dhomën e këshillimit mbi bazë të dokumenteve, përveç rasteve të përcaktuara po në atë kod. Procesi në Gjykatën e Lartë, sipas këtij subjekti të interesuar, është vënë në lëvizje nga palët e paditura në proces, duke u zhvilluar gjykim në dhomën e këshillimit mbi bazë të dokumenteve. </w:t>
      </w:r>
    </w:p>
    <w:p w14:paraId="36BE788D" w14:textId="7F02FFCC" w:rsidR="00932AB6" w:rsidRPr="0042133E" w:rsidRDefault="00932AB6" w:rsidP="008A1168">
      <w:pPr>
        <w:pStyle w:val="Heading2"/>
        <w:numPr>
          <w:ilvl w:val="0"/>
          <w:numId w:val="0"/>
        </w:numPr>
        <w:tabs>
          <w:tab w:val="left" w:pos="260"/>
          <w:tab w:val="left" w:pos="1080"/>
        </w:tabs>
        <w:spacing w:line="240" w:lineRule="auto"/>
        <w:ind w:right="0" w:firstLine="284"/>
        <w:jc w:val="both"/>
        <w:rPr>
          <w:rFonts w:ascii="Garamond" w:hAnsi="Garamond"/>
          <w:b w:val="0"/>
          <w:bCs/>
        </w:rPr>
      </w:pPr>
      <w:r w:rsidRPr="0042133E">
        <w:rPr>
          <w:rFonts w:ascii="Garamond" w:hAnsi="Garamond"/>
          <w:b w:val="0"/>
          <w:bCs/>
        </w:rPr>
        <w:t>18.</w:t>
      </w:r>
      <w:r w:rsidR="00F42564" w:rsidRPr="0042133E">
        <w:rPr>
          <w:rFonts w:ascii="Garamond" w:hAnsi="Garamond"/>
          <w:b w:val="0"/>
          <w:bCs/>
        </w:rPr>
        <w:t xml:space="preserve"> </w:t>
      </w:r>
      <w:r w:rsidRPr="0042133E">
        <w:rPr>
          <w:rFonts w:ascii="Garamond" w:hAnsi="Garamond"/>
          <w:b w:val="0"/>
          <w:bCs/>
        </w:rPr>
        <w:t xml:space="preserve">Gjykata konstaton se, bazuar në nenin 482, pika 1, të </w:t>
      </w:r>
      <w:proofErr w:type="spellStart"/>
      <w:r w:rsidRPr="0042133E">
        <w:rPr>
          <w:rFonts w:ascii="Garamond" w:hAnsi="Garamond"/>
          <w:b w:val="0"/>
          <w:bCs/>
        </w:rPr>
        <w:t>KPC</w:t>
      </w:r>
      <w:proofErr w:type="spellEnd"/>
      <w:r w:rsidRPr="0042133E">
        <w:rPr>
          <w:rFonts w:ascii="Garamond" w:hAnsi="Garamond"/>
          <w:b w:val="0"/>
          <w:bCs/>
        </w:rPr>
        <w:t xml:space="preserve">-së, shqyrtimi i çështjes në Gjykatën e Lartë, si rregull, bëhet mbi bazë të dokumenteve në dhomën e këshillimit. Ndërsa në dhomën e këshillimit ajo gjykatë mund të vendosë shqyrtimin e çështjes në seancë gjyqësore me praninë e palëve vetëm kur Kolegji Civil vlerëson se çështja paraqet rëndësi nga pikëpamja e së drejtës për njësimin ose zhvillimin e praktikës gjyqësore, ose nëse e vlerëson si të nevojshme thirrjen dhe dëgjimin e palëve për shkak të problematikës ose </w:t>
      </w:r>
      <w:proofErr w:type="spellStart"/>
      <w:r w:rsidRPr="0042133E">
        <w:rPr>
          <w:rFonts w:ascii="Garamond" w:hAnsi="Garamond"/>
          <w:b w:val="0"/>
          <w:bCs/>
        </w:rPr>
        <w:t>kompleksitetit</w:t>
      </w:r>
      <w:proofErr w:type="spellEnd"/>
      <w:r w:rsidRPr="0042133E">
        <w:rPr>
          <w:rFonts w:ascii="Garamond" w:hAnsi="Garamond"/>
          <w:b w:val="0"/>
          <w:bCs/>
        </w:rPr>
        <w:t xml:space="preserve"> të çështjes, sipas përcaktimit të nenit 482/a, pika 1, të po atij kodi. Nisur nga përmbajtja e këtyre dispozitave, Gjykata vëren se, për sa i takon mënyrës së zhvillimit të seancës gjyqësore, Gjykata e Lartë ka dy mundësi: si rregull, shqyrtimin mbi bazë të dokumenteve në dhomën e këshillimit dhe, përjashtimisht, me praninë e palëve, vetëm për shkak të problematikës ose </w:t>
      </w:r>
      <w:proofErr w:type="spellStart"/>
      <w:r w:rsidRPr="0042133E">
        <w:rPr>
          <w:rFonts w:ascii="Garamond" w:hAnsi="Garamond"/>
          <w:b w:val="0"/>
          <w:bCs/>
        </w:rPr>
        <w:t>kompleksitetit</w:t>
      </w:r>
      <w:proofErr w:type="spellEnd"/>
      <w:r w:rsidRPr="0042133E">
        <w:rPr>
          <w:rFonts w:ascii="Garamond" w:hAnsi="Garamond"/>
          <w:b w:val="0"/>
          <w:bCs/>
        </w:rPr>
        <w:t xml:space="preserve"> të çështjes (</w:t>
      </w:r>
      <w:r w:rsidR="00BE4E8C">
        <w:rPr>
          <w:rFonts w:ascii="Garamond" w:hAnsi="Garamond"/>
          <w:b w:val="0"/>
          <w:bCs/>
          <w:i/>
          <w:iCs/>
        </w:rPr>
        <w:t>shih vendimin nr. 9, datë 27.</w:t>
      </w:r>
      <w:r w:rsidRPr="0042133E">
        <w:rPr>
          <w:rFonts w:ascii="Garamond" w:hAnsi="Garamond"/>
          <w:b w:val="0"/>
          <w:bCs/>
          <w:i/>
          <w:iCs/>
        </w:rPr>
        <w:t>2.2024</w:t>
      </w:r>
      <w:r w:rsidR="00BE4E8C">
        <w:rPr>
          <w:rFonts w:ascii="Garamond" w:hAnsi="Garamond"/>
          <w:b w:val="0"/>
          <w:bCs/>
          <w:i/>
          <w:iCs/>
        </w:rPr>
        <w:t>,</w:t>
      </w:r>
      <w:r w:rsidRPr="0042133E">
        <w:rPr>
          <w:rFonts w:ascii="Garamond" w:hAnsi="Garamond"/>
          <w:b w:val="0"/>
          <w:bCs/>
          <w:i/>
          <w:iCs/>
        </w:rPr>
        <w:t xml:space="preserve"> të Gjykatës Kushtetuese</w:t>
      </w:r>
      <w:r w:rsidRPr="0042133E">
        <w:rPr>
          <w:rFonts w:ascii="Garamond" w:hAnsi="Garamond"/>
          <w:b w:val="0"/>
          <w:bCs/>
        </w:rPr>
        <w:t xml:space="preserve">). </w:t>
      </w:r>
    </w:p>
    <w:p w14:paraId="44239011" w14:textId="39962952" w:rsidR="00932AB6" w:rsidRPr="0042133E" w:rsidRDefault="00932AB6" w:rsidP="008A1168">
      <w:pPr>
        <w:pStyle w:val="Heading2"/>
        <w:numPr>
          <w:ilvl w:val="0"/>
          <w:numId w:val="0"/>
        </w:numPr>
        <w:tabs>
          <w:tab w:val="left" w:pos="260"/>
          <w:tab w:val="left" w:pos="1080"/>
        </w:tabs>
        <w:spacing w:line="240" w:lineRule="auto"/>
        <w:ind w:right="0" w:firstLine="284"/>
        <w:jc w:val="both"/>
        <w:rPr>
          <w:rFonts w:ascii="Garamond" w:hAnsi="Garamond"/>
          <w:b w:val="0"/>
          <w:bCs/>
        </w:rPr>
      </w:pPr>
      <w:r w:rsidRPr="0042133E">
        <w:rPr>
          <w:rFonts w:ascii="Garamond" w:hAnsi="Garamond"/>
          <w:b w:val="0"/>
          <w:bCs/>
        </w:rPr>
        <w:t>19.</w:t>
      </w:r>
      <w:r w:rsidR="00F42564" w:rsidRPr="0042133E">
        <w:rPr>
          <w:rFonts w:ascii="Garamond" w:hAnsi="Garamond"/>
          <w:b w:val="0"/>
          <w:bCs/>
        </w:rPr>
        <w:t xml:space="preserve"> </w:t>
      </w:r>
      <w:r w:rsidRPr="0042133E">
        <w:rPr>
          <w:rFonts w:ascii="Garamond" w:hAnsi="Garamond"/>
          <w:b w:val="0"/>
          <w:bCs/>
        </w:rPr>
        <w:t xml:space="preserve">Nisur nga sa më lart, Gjykata çmon se shqyrtimi i rekursit nga Gjykata e Lartë në dhomën e këshillimit mbi bazë të dokumenteve nuk rezulton të jetë në shkelje të dispozitave procedurale civile, pasi një formë e tillë gjykimi është lejuar nga ligji. Po kështu, Gjykata vlerëson se nuk rezulton që Gjykata e Lartë të ketë vënë në diskutim çështje të ligjit, për të cilat palët nuk kanë qenë në dijeni ose nuk kanë pasur mundësinë të debatonin ose të jepnin mendimin e tyre më parë. Pavarësisht formës së shqyrtimit të rekursit në seancë gjyqësore në dhomën e këshillimit, Gjykata </w:t>
      </w:r>
      <w:r w:rsidRPr="0042133E">
        <w:rPr>
          <w:rFonts w:ascii="Garamond" w:hAnsi="Garamond"/>
          <w:b w:val="0"/>
          <w:bCs/>
        </w:rPr>
        <w:lastRenderedPageBreak/>
        <w:t xml:space="preserve">vlerëson se kjo mënyrë e zhvillimit të seancës gjyqësore mbi bazë të dokumenteve dhe pa praninë fizike të palëve, nuk do të thotë se ato nuk janë dëgjuar. Përkundrazi, në këto raste debati i palëve realizohet njësoj, pavarësisht formës së paraqitjes së argumenteve me shkrim, pra përmes shkëmbimit </w:t>
      </w:r>
      <w:proofErr w:type="spellStart"/>
      <w:r w:rsidRPr="0042133E">
        <w:rPr>
          <w:rFonts w:ascii="Garamond" w:hAnsi="Garamond"/>
          <w:b w:val="0"/>
          <w:bCs/>
        </w:rPr>
        <w:t>respektiv</w:t>
      </w:r>
      <w:proofErr w:type="spellEnd"/>
      <w:r w:rsidRPr="0042133E">
        <w:rPr>
          <w:rFonts w:ascii="Garamond" w:hAnsi="Garamond"/>
          <w:b w:val="0"/>
          <w:bCs/>
        </w:rPr>
        <w:t xml:space="preserve"> dhe në kohën e duhur të parashtrimeve, prapësimeve dhe provave dokumentare të paraqitura, të cilave Gjykata e Lartë u ka dhënë përgjigje, duke vlerësuar shkaqet dhe </w:t>
      </w:r>
      <w:proofErr w:type="spellStart"/>
      <w:r w:rsidRPr="0042133E">
        <w:rPr>
          <w:rFonts w:ascii="Garamond" w:hAnsi="Garamond"/>
          <w:b w:val="0"/>
          <w:bCs/>
        </w:rPr>
        <w:t>bazueshmërinë</w:t>
      </w:r>
      <w:proofErr w:type="spellEnd"/>
      <w:r w:rsidRPr="0042133E">
        <w:rPr>
          <w:rFonts w:ascii="Garamond" w:hAnsi="Garamond"/>
          <w:b w:val="0"/>
          <w:bCs/>
        </w:rPr>
        <w:t xml:space="preserve"> e tyre në themel (</w:t>
      </w:r>
      <w:r w:rsidRPr="0042133E">
        <w:rPr>
          <w:rFonts w:ascii="Garamond" w:hAnsi="Garamond"/>
          <w:b w:val="0"/>
          <w:bCs/>
          <w:i/>
          <w:iCs/>
        </w:rPr>
        <w:t>shih vendimin nr. 41, datë 22.12.2022</w:t>
      </w:r>
      <w:r w:rsidR="00BE4E8C">
        <w:rPr>
          <w:rFonts w:ascii="Garamond" w:hAnsi="Garamond"/>
          <w:b w:val="0"/>
          <w:bCs/>
          <w:i/>
          <w:iCs/>
        </w:rPr>
        <w:t>,</w:t>
      </w:r>
      <w:r w:rsidRPr="0042133E">
        <w:rPr>
          <w:rFonts w:ascii="Garamond" w:hAnsi="Garamond"/>
          <w:b w:val="0"/>
          <w:bCs/>
          <w:i/>
          <w:iCs/>
        </w:rPr>
        <w:t xml:space="preserve"> të Gjykatës Kushtetuese</w:t>
      </w:r>
      <w:r w:rsidRPr="0042133E">
        <w:rPr>
          <w:rFonts w:ascii="Garamond" w:hAnsi="Garamond"/>
          <w:b w:val="0"/>
          <w:bCs/>
        </w:rPr>
        <w:t>). Për më tepër, Gjykata konstaton se gjykimi në gjykatat e faktit (në gjykatën e shkallës së parë dhe në gjykatën e apelit) është zhvilluar në seancë gjyqësore me praninë e palëve, gjatë të cilave kërkuesve u është krijuar mundësia të marrin pjesë dhe të japin vlerësimin e tyre për çështjet e ligjit. Në këto rrethana, Gjykata vlerëson se nuk qëndrojnë pretendimet e kërkuesve në lidhje me procesin e rregullt ligjor në drejtim të së drejtës për t’u dëgjuar për shkak të formës së shqyrtimit të</w:t>
      </w:r>
      <w:r w:rsidR="00C95ABE">
        <w:rPr>
          <w:rFonts w:ascii="Garamond" w:hAnsi="Garamond"/>
          <w:b w:val="0"/>
          <w:bCs/>
        </w:rPr>
        <w:t xml:space="preserve"> rekursit në Gjykatën e Lartë.</w:t>
      </w:r>
    </w:p>
    <w:p w14:paraId="235AA3A9" w14:textId="1308F419" w:rsidR="00932AB6" w:rsidRPr="0042133E" w:rsidRDefault="00932AB6" w:rsidP="008A1168">
      <w:pPr>
        <w:pStyle w:val="Heading2"/>
        <w:numPr>
          <w:ilvl w:val="0"/>
          <w:numId w:val="0"/>
        </w:numPr>
        <w:tabs>
          <w:tab w:val="left" w:pos="260"/>
          <w:tab w:val="left" w:pos="1080"/>
        </w:tabs>
        <w:spacing w:line="240" w:lineRule="auto"/>
        <w:ind w:right="0" w:firstLine="284"/>
        <w:jc w:val="both"/>
        <w:rPr>
          <w:rFonts w:ascii="Garamond" w:hAnsi="Garamond"/>
          <w:b w:val="0"/>
          <w:bCs/>
        </w:rPr>
      </w:pPr>
      <w:r w:rsidRPr="0042133E">
        <w:rPr>
          <w:rFonts w:ascii="Garamond" w:hAnsi="Garamond"/>
          <w:b w:val="0"/>
          <w:bCs/>
        </w:rPr>
        <w:t>20.</w:t>
      </w:r>
      <w:r w:rsidR="00F42564" w:rsidRPr="0042133E">
        <w:rPr>
          <w:rFonts w:ascii="Garamond" w:hAnsi="Garamond"/>
          <w:b w:val="0"/>
          <w:bCs/>
        </w:rPr>
        <w:t xml:space="preserve"> </w:t>
      </w:r>
      <w:r w:rsidRPr="0042133E">
        <w:rPr>
          <w:rFonts w:ascii="Garamond" w:hAnsi="Garamond"/>
          <w:b w:val="0"/>
          <w:bCs/>
        </w:rPr>
        <w:t xml:space="preserve">Po në drejtim të legjitimimit </w:t>
      </w:r>
      <w:proofErr w:type="spellStart"/>
      <w:r w:rsidRPr="0042133E">
        <w:rPr>
          <w:rFonts w:ascii="Garamond" w:hAnsi="Garamond"/>
          <w:b w:val="0"/>
          <w:bCs/>
          <w:i/>
          <w:iCs/>
        </w:rPr>
        <w:t>ratione</w:t>
      </w:r>
      <w:proofErr w:type="spellEnd"/>
      <w:r w:rsidRPr="0042133E">
        <w:rPr>
          <w:rFonts w:ascii="Garamond" w:hAnsi="Garamond"/>
          <w:b w:val="0"/>
          <w:bCs/>
          <w:i/>
          <w:iCs/>
        </w:rPr>
        <w:t xml:space="preserve"> </w:t>
      </w:r>
      <w:proofErr w:type="spellStart"/>
      <w:r w:rsidRPr="0042133E">
        <w:rPr>
          <w:rFonts w:ascii="Garamond" w:hAnsi="Garamond"/>
          <w:b w:val="0"/>
          <w:bCs/>
          <w:i/>
          <w:iCs/>
        </w:rPr>
        <w:t>materiae</w:t>
      </w:r>
      <w:proofErr w:type="spellEnd"/>
      <w:r w:rsidRPr="0042133E">
        <w:rPr>
          <w:rFonts w:ascii="Garamond" w:hAnsi="Garamond"/>
          <w:b w:val="0"/>
          <w:bCs/>
          <w:i/>
          <w:iCs/>
        </w:rPr>
        <w:t xml:space="preserve">, </w:t>
      </w:r>
      <w:r w:rsidRPr="0042133E">
        <w:rPr>
          <w:rFonts w:ascii="Garamond" w:hAnsi="Garamond"/>
          <w:b w:val="0"/>
          <w:bCs/>
        </w:rPr>
        <w:t xml:space="preserve">Gjykata vëren se kërkuesit në ankimin kushtetues individual kanë ngritur pretendime për cenimin e së </w:t>
      </w:r>
      <w:r w:rsidRPr="0042133E">
        <w:rPr>
          <w:rFonts w:ascii="Garamond" w:hAnsi="Garamond"/>
          <w:b w:val="0"/>
          <w:bCs/>
          <w:i/>
          <w:iCs/>
        </w:rPr>
        <w:t xml:space="preserve">drejtës e </w:t>
      </w:r>
      <w:proofErr w:type="spellStart"/>
      <w:r w:rsidRPr="0042133E">
        <w:rPr>
          <w:rFonts w:ascii="Garamond" w:hAnsi="Garamond"/>
          <w:b w:val="0"/>
          <w:bCs/>
          <w:i/>
          <w:iCs/>
        </w:rPr>
        <w:t>aksesit</w:t>
      </w:r>
      <w:proofErr w:type="spellEnd"/>
      <w:r w:rsidRPr="0042133E">
        <w:rPr>
          <w:rFonts w:ascii="Garamond" w:hAnsi="Garamond"/>
          <w:b w:val="0"/>
          <w:bCs/>
          <w:i/>
          <w:iCs/>
        </w:rPr>
        <w:t xml:space="preserve">, standardit të arsyetimit të vendimit </w:t>
      </w:r>
      <w:r w:rsidRPr="0042133E">
        <w:rPr>
          <w:rFonts w:ascii="Garamond" w:hAnsi="Garamond"/>
          <w:b w:val="0"/>
          <w:bCs/>
        </w:rPr>
        <w:t>dhe</w:t>
      </w:r>
      <w:r w:rsidRPr="0042133E">
        <w:rPr>
          <w:rFonts w:ascii="Garamond" w:hAnsi="Garamond"/>
          <w:b w:val="0"/>
          <w:bCs/>
          <w:i/>
          <w:iCs/>
        </w:rPr>
        <w:t xml:space="preserve"> së drejtës për t’u gjykuar nga një gjykatë e caktuar me ligj</w:t>
      </w:r>
      <w:r w:rsidRPr="0042133E">
        <w:rPr>
          <w:rFonts w:ascii="Garamond" w:hAnsi="Garamond"/>
          <w:b w:val="0"/>
          <w:bCs/>
        </w:rPr>
        <w:t xml:space="preserve">, duke i lidhur ato me arsyetimin e Gjykatës së Lartë, e cila, sipas tyre, ka interpretuar në mënyrë të gabuar kuadrin ligjor të zbatueshëm për shpërblimin e dëmeve për shkak të humbjes së jetës nga aksidentet, për rrjedhojë ka arritur në konkluzionin e gabuar se detyrimi për t’u paguar kërkuesve shpërblimin e dëmit </w:t>
      </w:r>
      <w:proofErr w:type="spellStart"/>
      <w:r w:rsidRPr="0042133E">
        <w:rPr>
          <w:rFonts w:ascii="Garamond" w:hAnsi="Garamond"/>
          <w:b w:val="0"/>
          <w:bCs/>
        </w:rPr>
        <w:t>jashtëkontraktor</w:t>
      </w:r>
      <w:proofErr w:type="spellEnd"/>
      <w:r w:rsidRPr="0042133E">
        <w:rPr>
          <w:rFonts w:ascii="Garamond" w:hAnsi="Garamond"/>
          <w:b w:val="0"/>
          <w:bCs/>
        </w:rPr>
        <w:t xml:space="preserve"> të shkaktuar nga vdekja e familjarit të tyre është shuar me falje përmes deklaratës noteriale të kërkueses së parë, por duke referuar për këtë në dispozita të </w:t>
      </w:r>
      <w:proofErr w:type="spellStart"/>
      <w:r w:rsidRPr="0042133E">
        <w:rPr>
          <w:rFonts w:ascii="Garamond" w:hAnsi="Garamond"/>
          <w:b w:val="0"/>
          <w:bCs/>
        </w:rPr>
        <w:t>KC</w:t>
      </w:r>
      <w:proofErr w:type="spellEnd"/>
      <w:r w:rsidRPr="0042133E">
        <w:rPr>
          <w:rFonts w:ascii="Garamond" w:hAnsi="Garamond"/>
          <w:b w:val="0"/>
          <w:bCs/>
        </w:rPr>
        <w:t xml:space="preserve">-së që rregullojnë detyrimet </w:t>
      </w:r>
      <w:proofErr w:type="spellStart"/>
      <w:r w:rsidRPr="0042133E">
        <w:rPr>
          <w:rFonts w:ascii="Garamond" w:hAnsi="Garamond"/>
          <w:b w:val="0"/>
          <w:bCs/>
        </w:rPr>
        <w:t>kontraktore</w:t>
      </w:r>
      <w:proofErr w:type="spellEnd"/>
      <w:r w:rsidRPr="0042133E">
        <w:rPr>
          <w:rFonts w:ascii="Garamond" w:hAnsi="Garamond"/>
          <w:b w:val="0"/>
          <w:bCs/>
        </w:rPr>
        <w:t xml:space="preserve"> dhe, për këtë shkak, ka vendosur lënien në fuqi të vendimit të gjykatës së shkallës së parë, e cila ka rrëzuar padinë e tyre. </w:t>
      </w:r>
    </w:p>
    <w:p w14:paraId="674548CF" w14:textId="31F8B15D" w:rsidR="00932AB6" w:rsidRPr="0042133E" w:rsidRDefault="00932AB6" w:rsidP="008A1168">
      <w:pPr>
        <w:pStyle w:val="Heading2"/>
        <w:numPr>
          <w:ilvl w:val="0"/>
          <w:numId w:val="0"/>
        </w:numPr>
        <w:tabs>
          <w:tab w:val="left" w:pos="260"/>
          <w:tab w:val="left" w:pos="1080"/>
        </w:tabs>
        <w:spacing w:line="240" w:lineRule="auto"/>
        <w:ind w:right="0" w:firstLine="284"/>
        <w:jc w:val="both"/>
        <w:rPr>
          <w:rFonts w:ascii="Garamond" w:hAnsi="Garamond"/>
          <w:b w:val="0"/>
          <w:bCs/>
        </w:rPr>
      </w:pPr>
      <w:r w:rsidRPr="0042133E">
        <w:rPr>
          <w:rFonts w:ascii="Garamond" w:hAnsi="Garamond"/>
          <w:b w:val="0"/>
          <w:bCs/>
        </w:rPr>
        <w:t>21.</w:t>
      </w:r>
      <w:r w:rsidR="00F42564" w:rsidRPr="0042133E">
        <w:rPr>
          <w:rFonts w:ascii="Garamond" w:hAnsi="Garamond"/>
          <w:b w:val="0"/>
          <w:bCs/>
        </w:rPr>
        <w:t xml:space="preserve"> </w:t>
      </w:r>
      <w:r w:rsidRPr="0042133E">
        <w:rPr>
          <w:rFonts w:ascii="Garamond" w:hAnsi="Garamond"/>
          <w:b w:val="0"/>
          <w:bCs/>
        </w:rPr>
        <w:t>Gjykata evidenton se për të drejtën e jetës, e cila ka qenë objekti i gjykimit në gjykatat e zakonshme, neni 21 i Kushtetutës dhe neni 2 i Konventës Evropiane për të Drejtat e Njeriut (</w:t>
      </w:r>
      <w:proofErr w:type="spellStart"/>
      <w:r w:rsidRPr="0042133E">
        <w:rPr>
          <w:rFonts w:ascii="Garamond" w:hAnsi="Garamond"/>
          <w:b w:val="0"/>
          <w:bCs/>
          <w:i/>
          <w:iCs/>
        </w:rPr>
        <w:t>KEDNJ</w:t>
      </w:r>
      <w:proofErr w:type="spellEnd"/>
      <w:r w:rsidRPr="0042133E">
        <w:rPr>
          <w:rFonts w:ascii="Garamond" w:hAnsi="Garamond"/>
          <w:b w:val="0"/>
          <w:bCs/>
        </w:rPr>
        <w:t xml:space="preserve">) parashikojnë se jeta e personit mbrohet me ligj. Ndërsa Gjykata Evropiane për të Drejtat e Njeriut ka pohuar se në rast vdekjeje ose dëmtimi fizik të rrezikshëm për jetën, detyrimi pozitiv i shtetit, sipas nenit 2 të </w:t>
      </w:r>
      <w:proofErr w:type="spellStart"/>
      <w:r w:rsidRPr="0042133E">
        <w:rPr>
          <w:rFonts w:ascii="Garamond" w:hAnsi="Garamond"/>
          <w:b w:val="0"/>
          <w:bCs/>
        </w:rPr>
        <w:t>KEDNJ</w:t>
      </w:r>
      <w:proofErr w:type="spellEnd"/>
      <w:r w:rsidRPr="0042133E">
        <w:rPr>
          <w:rFonts w:ascii="Garamond" w:hAnsi="Garamond"/>
          <w:b w:val="0"/>
          <w:bCs/>
        </w:rPr>
        <w:t>-së, duhet të konsiderohet se përfshin edhe krijimin e një sistemi gjyqësor efektiv dhe të pavarur, të aftë për t’i ofruar viktimës dëmshpërblim të përshtatshëm. Në rastet që kanë të bëjnë me shkaktimin e vdekjes nga pakujdesia, kjo kërkesë do të konsiderohet e përmbushur nëse sistemi ligjor u ofron viktimave ose të afërmve të tyre një mjet juridik në gjykimin civil, qoftë veçmas ose edhe në lidhje me një mjet juridik në gjykimin penal, duke mundësuar përcaktimin e çdo përgjegjësie dhe marrjen e çdo mjeti juridik civil të përshtatshëm (</w:t>
      </w:r>
      <w:r w:rsidRPr="0042133E">
        <w:rPr>
          <w:rFonts w:ascii="Garamond" w:hAnsi="Garamond"/>
          <w:b w:val="0"/>
          <w:bCs/>
          <w:i/>
          <w:iCs/>
        </w:rPr>
        <w:t xml:space="preserve">shih </w:t>
      </w:r>
      <w:proofErr w:type="spellStart"/>
      <w:r w:rsidRPr="0042133E">
        <w:rPr>
          <w:rFonts w:ascii="Garamond" w:hAnsi="Garamond"/>
          <w:b w:val="0"/>
          <w:bCs/>
          <w:i/>
          <w:iCs/>
        </w:rPr>
        <w:t>Stanevi</w:t>
      </w:r>
      <w:proofErr w:type="spellEnd"/>
      <w:r w:rsidRPr="0042133E">
        <w:rPr>
          <w:rFonts w:ascii="Garamond" w:hAnsi="Garamond"/>
          <w:b w:val="0"/>
          <w:bCs/>
          <w:i/>
          <w:iCs/>
        </w:rPr>
        <w:t xml:space="preserve"> k. Bullgarisë, nr. 56352/14, § 51, d</w:t>
      </w:r>
      <w:r w:rsidR="00BE4E8C">
        <w:rPr>
          <w:rFonts w:ascii="Garamond" w:hAnsi="Garamond"/>
          <w:b w:val="0"/>
          <w:bCs/>
          <w:i/>
          <w:iCs/>
        </w:rPr>
        <w:t>atë 30.</w:t>
      </w:r>
      <w:r w:rsidRPr="0042133E">
        <w:rPr>
          <w:rFonts w:ascii="Garamond" w:hAnsi="Garamond"/>
          <w:b w:val="0"/>
          <w:bCs/>
          <w:i/>
          <w:iCs/>
        </w:rPr>
        <w:t xml:space="preserve">5.2023; </w:t>
      </w:r>
      <w:proofErr w:type="spellStart"/>
      <w:r w:rsidRPr="0042133E">
        <w:rPr>
          <w:rFonts w:ascii="Garamond" w:hAnsi="Garamond"/>
          <w:b w:val="0"/>
          <w:bCs/>
          <w:i/>
          <w:iCs/>
        </w:rPr>
        <w:t>Nicolae</w:t>
      </w:r>
      <w:proofErr w:type="spellEnd"/>
      <w:r w:rsidRPr="0042133E">
        <w:rPr>
          <w:rFonts w:ascii="Garamond" w:hAnsi="Garamond"/>
          <w:b w:val="0"/>
          <w:bCs/>
          <w:i/>
          <w:iCs/>
        </w:rPr>
        <w:t xml:space="preserve"> </w:t>
      </w:r>
      <w:proofErr w:type="spellStart"/>
      <w:r w:rsidRPr="0042133E">
        <w:rPr>
          <w:rFonts w:ascii="Garamond" w:hAnsi="Garamond"/>
          <w:b w:val="0"/>
          <w:bCs/>
          <w:i/>
          <w:iCs/>
        </w:rPr>
        <w:t>Virgiliu</w:t>
      </w:r>
      <w:proofErr w:type="spellEnd"/>
      <w:r w:rsidRPr="0042133E">
        <w:rPr>
          <w:rFonts w:ascii="Garamond" w:hAnsi="Garamond"/>
          <w:b w:val="0"/>
          <w:bCs/>
          <w:i/>
          <w:iCs/>
        </w:rPr>
        <w:t xml:space="preserve"> </w:t>
      </w:r>
      <w:proofErr w:type="spellStart"/>
      <w:r w:rsidRPr="0042133E">
        <w:rPr>
          <w:rFonts w:ascii="Garamond" w:hAnsi="Garamond"/>
          <w:b w:val="0"/>
          <w:bCs/>
          <w:i/>
          <w:iCs/>
        </w:rPr>
        <w:t>Tănase</w:t>
      </w:r>
      <w:proofErr w:type="spellEnd"/>
      <w:r w:rsidRPr="0042133E">
        <w:rPr>
          <w:rFonts w:ascii="Garamond" w:hAnsi="Garamond"/>
          <w:b w:val="0"/>
          <w:bCs/>
          <w:i/>
          <w:iCs/>
        </w:rPr>
        <w:t xml:space="preserve"> k. R</w:t>
      </w:r>
      <w:r w:rsidR="00BE4E8C">
        <w:rPr>
          <w:rFonts w:ascii="Garamond" w:hAnsi="Garamond"/>
          <w:b w:val="0"/>
          <w:bCs/>
          <w:i/>
          <w:iCs/>
        </w:rPr>
        <w:t>umanisë, nr. 41720/13, datë 25.</w:t>
      </w:r>
      <w:r w:rsidRPr="0042133E">
        <w:rPr>
          <w:rFonts w:ascii="Garamond" w:hAnsi="Garamond"/>
          <w:b w:val="0"/>
          <w:bCs/>
          <w:i/>
          <w:iCs/>
        </w:rPr>
        <w:t>6.2019, §§ 135, 157</w:t>
      </w:r>
      <w:r w:rsidR="00BE4E8C">
        <w:rPr>
          <w:rFonts w:ascii="Garamond" w:hAnsi="Garamond"/>
          <w:b w:val="0"/>
          <w:bCs/>
          <w:i/>
          <w:iCs/>
        </w:rPr>
        <w:t>–</w:t>
      </w:r>
      <w:r w:rsidRPr="0042133E">
        <w:rPr>
          <w:rFonts w:ascii="Garamond" w:hAnsi="Garamond"/>
          <w:b w:val="0"/>
          <w:bCs/>
          <w:i/>
          <w:iCs/>
        </w:rPr>
        <w:t>59</w:t>
      </w:r>
      <w:r w:rsidRPr="0042133E">
        <w:rPr>
          <w:rFonts w:ascii="Garamond" w:hAnsi="Garamond"/>
          <w:b w:val="0"/>
          <w:bCs/>
        </w:rPr>
        <w:t xml:space="preserve">). </w:t>
      </w:r>
    </w:p>
    <w:p w14:paraId="726927FF" w14:textId="13BB4EB2" w:rsidR="00932AB6" w:rsidRPr="0042133E" w:rsidRDefault="00932AB6" w:rsidP="00F42564">
      <w:pPr>
        <w:pStyle w:val="Heading2"/>
        <w:numPr>
          <w:ilvl w:val="0"/>
          <w:numId w:val="0"/>
        </w:numPr>
        <w:tabs>
          <w:tab w:val="left" w:pos="260"/>
          <w:tab w:val="left" w:pos="1080"/>
        </w:tabs>
        <w:spacing w:line="240" w:lineRule="auto"/>
        <w:ind w:right="0" w:firstLine="284"/>
        <w:jc w:val="both"/>
        <w:rPr>
          <w:rFonts w:ascii="Garamond" w:hAnsi="Garamond"/>
          <w:b w:val="0"/>
          <w:bCs/>
        </w:rPr>
      </w:pPr>
      <w:r w:rsidRPr="0042133E">
        <w:rPr>
          <w:rFonts w:ascii="Garamond" w:hAnsi="Garamond"/>
          <w:b w:val="0"/>
          <w:bCs/>
        </w:rPr>
        <w:t>22.</w:t>
      </w:r>
      <w:r w:rsidR="00F42564" w:rsidRPr="0042133E">
        <w:rPr>
          <w:rFonts w:ascii="Garamond" w:hAnsi="Garamond"/>
          <w:b w:val="0"/>
          <w:bCs/>
        </w:rPr>
        <w:t xml:space="preserve"> </w:t>
      </w:r>
      <w:r w:rsidRPr="0042133E">
        <w:rPr>
          <w:rFonts w:ascii="Garamond" w:hAnsi="Garamond"/>
          <w:b w:val="0"/>
          <w:bCs/>
        </w:rPr>
        <w:t>Për sa më sipër, Gjykata, nisur nga thelbi dhe përmbajtja e pretendimeve të kërkuesve, si dhe në konsideratë të faktit se neni 42 i Kushtetutës parashikon se të drejtat e njohura me Kushtetutë (ku përfshihet edhe e drejta e jetës), nuk mund të cenohen pa një proces të rregullt ligjor dhe se kushdo, për mbrojtjen e të drejtave kushtetuese, ka të drejtën e një gjykimi të drejtë, çmon që, në rastin konkret,</w:t>
      </w:r>
      <w:r w:rsidR="00C95ABE">
        <w:rPr>
          <w:rFonts w:ascii="Garamond" w:hAnsi="Garamond"/>
          <w:b w:val="0"/>
          <w:bCs/>
        </w:rPr>
        <w:t xml:space="preserve"> këto pretendime të kërkuesve t’</w:t>
      </w:r>
      <w:r w:rsidRPr="0042133E">
        <w:rPr>
          <w:rFonts w:ascii="Garamond" w:hAnsi="Garamond"/>
          <w:b w:val="0"/>
          <w:bCs/>
        </w:rPr>
        <w:t>i analizojë në themel në drejtim të së drejtës për gjykim të drejtë, në kuptim të nenit 42 të Kushtetutës.</w:t>
      </w:r>
    </w:p>
    <w:p w14:paraId="4730668F" w14:textId="0A152E7E" w:rsidR="00932AB6" w:rsidRPr="0042133E" w:rsidRDefault="00932AB6" w:rsidP="008A1168">
      <w:pPr>
        <w:tabs>
          <w:tab w:val="left" w:pos="1080"/>
        </w:tabs>
        <w:spacing w:line="240" w:lineRule="auto"/>
        <w:ind w:firstLine="284"/>
        <w:jc w:val="both"/>
        <w:rPr>
          <w:rFonts w:ascii="Garamond" w:hAnsi="Garamond"/>
        </w:rPr>
      </w:pPr>
      <w:r w:rsidRPr="0042133E">
        <w:rPr>
          <w:rFonts w:ascii="Garamond" w:hAnsi="Garamond"/>
          <w:i/>
          <w:iCs/>
        </w:rPr>
        <w:t>B.</w:t>
      </w:r>
      <w:r w:rsidR="00F42564" w:rsidRPr="0042133E">
        <w:rPr>
          <w:rFonts w:ascii="Garamond" w:hAnsi="Garamond"/>
          <w:i/>
          <w:iCs/>
        </w:rPr>
        <w:t xml:space="preserve"> </w:t>
      </w:r>
      <w:r w:rsidRPr="0042133E">
        <w:rPr>
          <w:rFonts w:ascii="Garamond" w:hAnsi="Garamond"/>
          <w:i/>
          <w:iCs/>
        </w:rPr>
        <w:t>Për themelin e pretendimeve</w:t>
      </w:r>
    </w:p>
    <w:p w14:paraId="26DB5EC8" w14:textId="52D9B2FA" w:rsidR="00932AB6" w:rsidRPr="0042133E" w:rsidRDefault="00BE4E8C" w:rsidP="008A1168">
      <w:pPr>
        <w:tabs>
          <w:tab w:val="left" w:pos="1080"/>
        </w:tabs>
        <w:spacing w:line="240" w:lineRule="auto"/>
        <w:ind w:firstLine="284"/>
        <w:jc w:val="both"/>
        <w:rPr>
          <w:rFonts w:ascii="Garamond" w:hAnsi="Garamond"/>
          <w:i/>
          <w:iCs/>
        </w:rPr>
      </w:pPr>
      <w:proofErr w:type="spellStart"/>
      <w:r>
        <w:rPr>
          <w:rFonts w:ascii="Garamond" w:hAnsi="Garamond"/>
          <w:i/>
          <w:iCs/>
        </w:rPr>
        <w:t>B.1</w:t>
      </w:r>
      <w:proofErr w:type="spellEnd"/>
      <w:r w:rsidR="00932AB6" w:rsidRPr="0042133E">
        <w:rPr>
          <w:rFonts w:ascii="Garamond" w:hAnsi="Garamond"/>
          <w:i/>
          <w:iCs/>
          <w:spacing w:val="15"/>
        </w:rPr>
        <w:t xml:space="preserve"> Për </w:t>
      </w:r>
      <w:r w:rsidR="00932AB6" w:rsidRPr="0042133E">
        <w:rPr>
          <w:rFonts w:ascii="Garamond" w:hAnsi="Garamond"/>
          <w:i/>
          <w:iCs/>
        </w:rPr>
        <w:t>cenimin e së drejtës për gjykim të drejtë</w:t>
      </w:r>
    </w:p>
    <w:p w14:paraId="48CFE889" w14:textId="06FF5402" w:rsidR="00932AB6" w:rsidRPr="0042133E" w:rsidRDefault="00932AB6" w:rsidP="008A1168">
      <w:pPr>
        <w:pStyle w:val="Heading2"/>
        <w:numPr>
          <w:ilvl w:val="0"/>
          <w:numId w:val="0"/>
        </w:numPr>
        <w:tabs>
          <w:tab w:val="left" w:pos="260"/>
          <w:tab w:val="left" w:pos="1080"/>
        </w:tabs>
        <w:spacing w:line="240" w:lineRule="auto"/>
        <w:ind w:right="0" w:firstLine="284"/>
        <w:jc w:val="both"/>
        <w:rPr>
          <w:rFonts w:ascii="Garamond" w:hAnsi="Garamond"/>
          <w:b w:val="0"/>
          <w:bCs/>
        </w:rPr>
      </w:pPr>
      <w:r w:rsidRPr="0042133E">
        <w:rPr>
          <w:rFonts w:ascii="Garamond" w:hAnsi="Garamond"/>
          <w:b w:val="0"/>
          <w:bCs/>
        </w:rPr>
        <w:t>23.</w:t>
      </w:r>
      <w:r w:rsidR="00F42564" w:rsidRPr="0042133E">
        <w:rPr>
          <w:rFonts w:ascii="Garamond" w:hAnsi="Garamond"/>
          <w:b w:val="0"/>
          <w:bCs/>
        </w:rPr>
        <w:t xml:space="preserve"> </w:t>
      </w:r>
      <w:r w:rsidRPr="0042133E">
        <w:rPr>
          <w:rFonts w:ascii="Garamond" w:hAnsi="Garamond"/>
          <w:b w:val="0"/>
          <w:bCs/>
        </w:rPr>
        <w:t xml:space="preserve">Kërkuesit kanë pretenduar se argumenti se detyrimi është shuar për shkak të vullnetit të shprehur nga kërkuesja në deklaratën noteriale, nuk qëndron, pasi, sipas </w:t>
      </w:r>
      <w:proofErr w:type="spellStart"/>
      <w:r w:rsidRPr="0042133E">
        <w:rPr>
          <w:rFonts w:ascii="Garamond" w:hAnsi="Garamond"/>
          <w:b w:val="0"/>
          <w:bCs/>
        </w:rPr>
        <w:t>KC</w:t>
      </w:r>
      <w:proofErr w:type="spellEnd"/>
      <w:r w:rsidRPr="0042133E">
        <w:rPr>
          <w:rFonts w:ascii="Garamond" w:hAnsi="Garamond"/>
          <w:b w:val="0"/>
          <w:bCs/>
        </w:rPr>
        <w:t xml:space="preserve">-së, detyrimet lindin nga kontratat ose ligji. Sipas kërkuesve, Gjykata e Lartë ka arsyetuar se detyrimi për t’u paguar atyre shpërblimin e dëmit </w:t>
      </w:r>
      <w:proofErr w:type="spellStart"/>
      <w:r w:rsidRPr="0042133E">
        <w:rPr>
          <w:rFonts w:ascii="Garamond" w:hAnsi="Garamond"/>
          <w:b w:val="0"/>
          <w:bCs/>
        </w:rPr>
        <w:t>jashtëkontraktor</w:t>
      </w:r>
      <w:proofErr w:type="spellEnd"/>
      <w:r w:rsidRPr="0042133E">
        <w:rPr>
          <w:rFonts w:ascii="Garamond" w:hAnsi="Garamond"/>
          <w:b w:val="0"/>
          <w:bCs/>
        </w:rPr>
        <w:t xml:space="preserve"> për shkak të vdekjes së familjarit të tyre, është shuar me falje përmes deklaratës noteriale të kërkueses së parë, duke referuar në dispozita që rregullojnë detyrimet </w:t>
      </w:r>
      <w:proofErr w:type="spellStart"/>
      <w:r w:rsidRPr="0042133E">
        <w:rPr>
          <w:rFonts w:ascii="Garamond" w:hAnsi="Garamond"/>
          <w:b w:val="0"/>
          <w:bCs/>
        </w:rPr>
        <w:t>kontraktore</w:t>
      </w:r>
      <w:proofErr w:type="spellEnd"/>
      <w:r w:rsidRPr="0042133E">
        <w:rPr>
          <w:rFonts w:ascii="Garamond" w:hAnsi="Garamond"/>
          <w:b w:val="0"/>
          <w:bCs/>
        </w:rPr>
        <w:t xml:space="preserve"> dhe, për këtë shkak, ka vendosur lënien në fuqi të vendimit të gjykatës së shkallës së parë, e cila ka rrëzuar padinë e tyre. Ai vendim, sipas tyre, përmban analizë të gabuar dhe është në kundërshtim me nenin 610 të </w:t>
      </w:r>
      <w:proofErr w:type="spellStart"/>
      <w:r w:rsidRPr="0042133E">
        <w:rPr>
          <w:rFonts w:ascii="Garamond" w:hAnsi="Garamond"/>
          <w:b w:val="0"/>
          <w:bCs/>
        </w:rPr>
        <w:t>KC</w:t>
      </w:r>
      <w:proofErr w:type="spellEnd"/>
      <w:r w:rsidRPr="0042133E">
        <w:rPr>
          <w:rFonts w:ascii="Garamond" w:hAnsi="Garamond"/>
          <w:b w:val="0"/>
          <w:bCs/>
        </w:rPr>
        <w:t xml:space="preserve">-së, i cili përcakton se është e pavlefshme marrëveshja që paraprakisht përjashton/kufizon përgjegjësinë e personit që ka kryer dëm me faj. Për rrjedhojë, ekzistenca e deklaratës noteriale nuk i heq kërkueses të drejtën për të pretenduar pasaktësinë e </w:t>
      </w:r>
      <w:r w:rsidRPr="0042133E">
        <w:rPr>
          <w:rFonts w:ascii="Garamond" w:hAnsi="Garamond"/>
          <w:b w:val="0"/>
          <w:bCs/>
        </w:rPr>
        <w:lastRenderedPageBreak/>
        <w:t xml:space="preserve">llogaritjes së dëmit. Mbi këtë argument, sipas kërkuesve, është anashkaluar edhe zbatimi i vendimit </w:t>
      </w:r>
      <w:proofErr w:type="spellStart"/>
      <w:r w:rsidRPr="0042133E">
        <w:rPr>
          <w:rFonts w:ascii="Garamond" w:hAnsi="Garamond"/>
          <w:b w:val="0"/>
          <w:bCs/>
        </w:rPr>
        <w:t>unifikues</w:t>
      </w:r>
      <w:proofErr w:type="spellEnd"/>
      <w:r w:rsidRPr="0042133E">
        <w:rPr>
          <w:rFonts w:ascii="Garamond" w:hAnsi="Garamond"/>
          <w:b w:val="0"/>
          <w:bCs/>
        </w:rPr>
        <w:t xml:space="preserve"> nr. 12/2007, edhe pse formalisht ai është analizuar. </w:t>
      </w:r>
    </w:p>
    <w:p w14:paraId="6B18AD5A" w14:textId="0AD9F314" w:rsidR="00932AB6" w:rsidRPr="0042133E" w:rsidRDefault="00932AB6" w:rsidP="008A1168">
      <w:pPr>
        <w:pStyle w:val="Heading2"/>
        <w:numPr>
          <w:ilvl w:val="0"/>
          <w:numId w:val="0"/>
        </w:numPr>
        <w:tabs>
          <w:tab w:val="left" w:pos="260"/>
          <w:tab w:val="left" w:pos="1080"/>
        </w:tabs>
        <w:spacing w:line="240" w:lineRule="auto"/>
        <w:ind w:right="0" w:firstLine="284"/>
        <w:jc w:val="both"/>
        <w:rPr>
          <w:rFonts w:ascii="Garamond" w:hAnsi="Garamond"/>
          <w:b w:val="0"/>
          <w:bCs/>
        </w:rPr>
      </w:pPr>
      <w:r w:rsidRPr="0042133E">
        <w:rPr>
          <w:rFonts w:ascii="Garamond" w:hAnsi="Garamond"/>
          <w:b w:val="0"/>
          <w:bCs/>
        </w:rPr>
        <w:t>24.</w:t>
      </w:r>
      <w:r w:rsidR="00F42564" w:rsidRPr="0042133E">
        <w:rPr>
          <w:rFonts w:ascii="Garamond" w:hAnsi="Garamond"/>
          <w:b w:val="0"/>
          <w:bCs/>
        </w:rPr>
        <w:t xml:space="preserve"> </w:t>
      </w:r>
      <w:r w:rsidRPr="0042133E">
        <w:rPr>
          <w:rFonts w:ascii="Garamond" w:hAnsi="Garamond"/>
          <w:b w:val="0"/>
          <w:bCs/>
        </w:rPr>
        <w:t xml:space="preserve">Subjekti i interesuar, </w:t>
      </w:r>
      <w:proofErr w:type="spellStart"/>
      <w:r w:rsidRPr="0042133E">
        <w:rPr>
          <w:rFonts w:ascii="Garamond" w:hAnsi="Garamond"/>
          <w:b w:val="0"/>
          <w:bCs/>
        </w:rPr>
        <w:t>BSHS</w:t>
      </w:r>
      <w:proofErr w:type="spellEnd"/>
      <w:r w:rsidRPr="0042133E">
        <w:rPr>
          <w:rFonts w:ascii="Garamond" w:hAnsi="Garamond"/>
          <w:b w:val="0"/>
          <w:bCs/>
        </w:rPr>
        <w:t xml:space="preserve">-ja, ka prapësuar se pretendimet për mënyrën e trajtimit të dëmshpërblimit, sipas saj, lidhen me çështjet e gjykimit në themel të çështjes dhe, si të tilla, nuk janë lëndë për këtë Gjykatë, për më tepër që kërkuesit nuk i kanë shteruar mjetet juridike efektive për këto pretendime. Ndërsa çështjet e interpretimit të ligjit janë zgjidhur tashmë nga Gjykata e Lartë. Sipas këtij subjekti të interesuar, në rastin konkret është kryer përllogaritja e dëmit pasuror dhe </w:t>
      </w:r>
      <w:proofErr w:type="spellStart"/>
      <w:r w:rsidRPr="0042133E">
        <w:rPr>
          <w:rFonts w:ascii="Garamond" w:hAnsi="Garamond"/>
          <w:b w:val="0"/>
          <w:bCs/>
        </w:rPr>
        <w:t>jopasuror</w:t>
      </w:r>
      <w:proofErr w:type="spellEnd"/>
      <w:r w:rsidRPr="0042133E">
        <w:rPr>
          <w:rFonts w:ascii="Garamond" w:hAnsi="Garamond"/>
          <w:b w:val="0"/>
          <w:bCs/>
        </w:rPr>
        <w:t xml:space="preserve"> në përputhje me udhëzimin metodik për trajtimin e dëmeve të Ministrisë së Financave, nr. 24, datë 15.11.2007, ndërsa referimi te vendimi </w:t>
      </w:r>
      <w:proofErr w:type="spellStart"/>
      <w:r w:rsidRPr="0042133E">
        <w:rPr>
          <w:rFonts w:ascii="Garamond" w:hAnsi="Garamond"/>
          <w:b w:val="0"/>
          <w:bCs/>
        </w:rPr>
        <w:t>unifikues</w:t>
      </w:r>
      <w:proofErr w:type="spellEnd"/>
      <w:r w:rsidRPr="0042133E">
        <w:rPr>
          <w:rFonts w:ascii="Garamond" w:hAnsi="Garamond"/>
          <w:b w:val="0"/>
          <w:bCs/>
        </w:rPr>
        <w:t xml:space="preserve"> nr. 12/2007 ndodh në rastet kur ka boshllëqe në legjislacion. </w:t>
      </w:r>
    </w:p>
    <w:p w14:paraId="2CBF50E1" w14:textId="2D91D7B8" w:rsidR="00932AB6" w:rsidRPr="0042133E" w:rsidRDefault="00932AB6" w:rsidP="008A1168">
      <w:pPr>
        <w:pStyle w:val="Heading2"/>
        <w:numPr>
          <w:ilvl w:val="0"/>
          <w:numId w:val="0"/>
        </w:numPr>
        <w:tabs>
          <w:tab w:val="left" w:pos="260"/>
          <w:tab w:val="left" w:pos="1080"/>
        </w:tabs>
        <w:spacing w:line="240" w:lineRule="auto"/>
        <w:ind w:right="0" w:firstLine="284"/>
        <w:jc w:val="both"/>
        <w:rPr>
          <w:rFonts w:ascii="Garamond" w:hAnsi="Garamond"/>
          <w:b w:val="0"/>
          <w:bCs/>
          <w:spacing w:val="15"/>
        </w:rPr>
      </w:pPr>
      <w:r w:rsidRPr="0042133E">
        <w:rPr>
          <w:rFonts w:ascii="Garamond" w:hAnsi="Garamond"/>
          <w:b w:val="0"/>
          <w:bCs/>
        </w:rPr>
        <w:t>25.</w:t>
      </w:r>
      <w:r w:rsidR="00F42564" w:rsidRPr="0042133E">
        <w:rPr>
          <w:rFonts w:ascii="Garamond" w:hAnsi="Garamond"/>
          <w:b w:val="0"/>
          <w:bCs/>
        </w:rPr>
        <w:t xml:space="preserve"> </w:t>
      </w:r>
      <w:r w:rsidRPr="0042133E">
        <w:rPr>
          <w:rFonts w:ascii="Garamond" w:hAnsi="Garamond"/>
          <w:b w:val="0"/>
          <w:bCs/>
        </w:rPr>
        <w:t xml:space="preserve">Neni 42, pika 2, i Kushtetutës, ndër të tjera, parashikon se kushdo, për mbrojtjen e të drejtave, të lirive dhe të interesave të tij kushtetues dhe ligjorë, ka të drejtën e një gjykimi të drejtë. Gjykata në jurisprudencën e saj ka pohuar se detyra e saj është të vlerësojë nëse gjatë procesit gjyqësor ka pasur shkelje të </w:t>
      </w:r>
      <w:proofErr w:type="spellStart"/>
      <w:r w:rsidRPr="0042133E">
        <w:rPr>
          <w:rFonts w:ascii="Garamond" w:hAnsi="Garamond"/>
          <w:b w:val="0"/>
          <w:bCs/>
        </w:rPr>
        <w:t>të</w:t>
      </w:r>
      <w:proofErr w:type="spellEnd"/>
      <w:r w:rsidRPr="0042133E">
        <w:rPr>
          <w:rFonts w:ascii="Garamond" w:hAnsi="Garamond"/>
          <w:b w:val="0"/>
          <w:bCs/>
        </w:rPr>
        <w:t xml:space="preserve"> drejtave kushtetuese, si dhe nëse zbatimi i ligjit ka qenë eventualisht arbitrar, në kuptimin që të bjerë ndesh haptazi me konceptin e gjykimit të drejtë të përcaktuar në nenin 42 të Kushtetutës. Ajo nuk vepron si gjykatë e shkallës së katërt dhe për këtë arsye vendimet e gjykatave të juridiksionit të zakonshëm nuk vihen në dyshim, përveç rasteve kur gjetjet e tyre mund të konsiderohen si arbitrare ose haptazi të paarsyeshme. E thënë ndryshe, Gjykata vepron në rastin kur gabimi ligjor ose faktik nga gjykatat e juridiksionit të zakonshëm është aq i dukshëm, sa një gjykatë e arsyeshme nuk mund ta kishte bërë ndonjëherë ose i tillë që gjykimin e bën të padrejtë (</w:t>
      </w:r>
      <w:r w:rsidR="00BE4E8C">
        <w:rPr>
          <w:rFonts w:ascii="Garamond" w:hAnsi="Garamond"/>
          <w:b w:val="0"/>
          <w:bCs/>
          <w:i/>
          <w:iCs/>
        </w:rPr>
        <w:t xml:space="preserve">shih vendimet nr. 25, datë 23.4.2025; nr. 67, datë </w:t>
      </w:r>
      <w:r w:rsidRPr="0042133E">
        <w:rPr>
          <w:rFonts w:ascii="Garamond" w:hAnsi="Garamond"/>
          <w:b w:val="0"/>
          <w:bCs/>
          <w:i/>
          <w:iCs/>
        </w:rPr>
        <w:t>6.12.2023; nr. 59, datë 14.11.2023</w:t>
      </w:r>
      <w:r w:rsidR="00BE4E8C">
        <w:rPr>
          <w:rFonts w:ascii="Garamond" w:hAnsi="Garamond"/>
          <w:b w:val="0"/>
          <w:bCs/>
          <w:i/>
          <w:iCs/>
        </w:rPr>
        <w:t>,</w:t>
      </w:r>
      <w:r w:rsidRPr="0042133E">
        <w:rPr>
          <w:rFonts w:ascii="Garamond" w:hAnsi="Garamond"/>
          <w:b w:val="0"/>
          <w:bCs/>
          <w:i/>
          <w:iCs/>
        </w:rPr>
        <w:t xml:space="preserve"> të Gjykatës Kushtetuese)</w:t>
      </w:r>
      <w:r w:rsidRPr="0042133E">
        <w:rPr>
          <w:rFonts w:ascii="Garamond" w:hAnsi="Garamond"/>
          <w:b w:val="0"/>
          <w:bCs/>
        </w:rPr>
        <w:t>. Në jurisprudencën kushtetuese është theksuar se e drejta për proces të rregullt ligjor përfshin edhe të drejtën për të pasur një vendim gjyqësor të arsyetuar, i cili, në çdo rast, duhet të jetë logjik dhe në tërësinë e tij duhet konsideruar si një unitet, ku pjesët përbërëse janë të lidhura ngushtësisht mes tyre. Zbatimi i këtij standardi është vlerësuar nga Gjykata rast pas rasti, në varësi të rrethanave konkrete të çështjes, duke analizuar nëse vendimet gjyqësore të kundërshtuara e kanë përmbushur në mënyrë të mjaftueshme detyrimin për arsyetimin e vendimeve të tyre (</w:t>
      </w:r>
      <w:r w:rsidRPr="0042133E">
        <w:rPr>
          <w:rFonts w:ascii="Garamond" w:hAnsi="Garamond"/>
          <w:b w:val="0"/>
          <w:bCs/>
          <w:i/>
          <w:iCs/>
        </w:rPr>
        <w:t>shih vendimet nr. 9, da</w:t>
      </w:r>
      <w:r w:rsidR="00BE4E8C">
        <w:rPr>
          <w:rFonts w:ascii="Garamond" w:hAnsi="Garamond"/>
          <w:b w:val="0"/>
          <w:bCs/>
          <w:i/>
          <w:iCs/>
        </w:rPr>
        <w:t>të 27.2.2024; nr. 13, datë 21.</w:t>
      </w:r>
      <w:r w:rsidRPr="0042133E">
        <w:rPr>
          <w:rFonts w:ascii="Garamond" w:hAnsi="Garamond"/>
          <w:b w:val="0"/>
          <w:bCs/>
          <w:i/>
          <w:iCs/>
        </w:rPr>
        <w:t>3.2023; nr. 29,</w:t>
      </w:r>
      <w:r w:rsidR="00BE4E8C">
        <w:rPr>
          <w:rFonts w:ascii="Garamond" w:hAnsi="Garamond"/>
          <w:b w:val="0"/>
          <w:bCs/>
          <w:i/>
          <w:iCs/>
        </w:rPr>
        <w:t xml:space="preserve"> datë </w:t>
      </w:r>
      <w:r w:rsidRPr="0042133E">
        <w:rPr>
          <w:rFonts w:ascii="Garamond" w:hAnsi="Garamond"/>
          <w:b w:val="0"/>
          <w:bCs/>
          <w:i/>
          <w:iCs/>
        </w:rPr>
        <w:t>1.11.2022</w:t>
      </w:r>
      <w:r w:rsidR="00BE4E8C">
        <w:rPr>
          <w:rFonts w:ascii="Garamond" w:hAnsi="Garamond"/>
          <w:b w:val="0"/>
          <w:bCs/>
          <w:i/>
          <w:iCs/>
        </w:rPr>
        <w:t>,</w:t>
      </w:r>
      <w:r w:rsidRPr="0042133E">
        <w:rPr>
          <w:rFonts w:ascii="Garamond" w:hAnsi="Garamond"/>
          <w:b w:val="0"/>
          <w:bCs/>
          <w:i/>
          <w:iCs/>
        </w:rPr>
        <w:t xml:space="preserve"> të Gjykatës Kushtetuese</w:t>
      </w:r>
      <w:r w:rsidRPr="0042133E">
        <w:rPr>
          <w:rFonts w:ascii="Garamond" w:hAnsi="Garamond"/>
          <w:b w:val="0"/>
          <w:bCs/>
        </w:rPr>
        <w:t>).</w:t>
      </w:r>
      <w:r w:rsidRPr="0042133E">
        <w:rPr>
          <w:rFonts w:ascii="Garamond" w:hAnsi="Garamond"/>
          <w:b w:val="0"/>
          <w:bCs/>
          <w:i/>
          <w:iCs/>
        </w:rPr>
        <w:t xml:space="preserve"> </w:t>
      </w:r>
    </w:p>
    <w:p w14:paraId="428E92E4" w14:textId="6005414C" w:rsidR="00932AB6" w:rsidRPr="0042133E" w:rsidRDefault="00932AB6" w:rsidP="008A1168">
      <w:pPr>
        <w:pStyle w:val="Heading2"/>
        <w:numPr>
          <w:ilvl w:val="0"/>
          <w:numId w:val="0"/>
        </w:numPr>
        <w:tabs>
          <w:tab w:val="left" w:pos="260"/>
          <w:tab w:val="left" w:pos="1080"/>
        </w:tabs>
        <w:spacing w:line="240" w:lineRule="auto"/>
        <w:ind w:right="0" w:firstLine="284"/>
        <w:jc w:val="both"/>
        <w:rPr>
          <w:rFonts w:ascii="Garamond" w:hAnsi="Garamond"/>
          <w:b w:val="0"/>
          <w:bCs/>
        </w:rPr>
      </w:pPr>
      <w:r w:rsidRPr="0042133E">
        <w:rPr>
          <w:rFonts w:ascii="Garamond" w:hAnsi="Garamond"/>
          <w:b w:val="0"/>
          <w:bCs/>
        </w:rPr>
        <w:t>26.</w:t>
      </w:r>
      <w:r w:rsidR="00F42564" w:rsidRPr="0042133E">
        <w:rPr>
          <w:rFonts w:ascii="Garamond" w:hAnsi="Garamond"/>
          <w:b w:val="0"/>
          <w:bCs/>
        </w:rPr>
        <w:t xml:space="preserve"> </w:t>
      </w:r>
      <w:r w:rsidRPr="0042133E">
        <w:rPr>
          <w:rFonts w:ascii="Garamond" w:hAnsi="Garamond"/>
          <w:b w:val="0"/>
          <w:bCs/>
        </w:rPr>
        <w:t>Duke iu rikthyer çështjes në shqyrtim, Gjykata evident</w:t>
      </w:r>
      <w:r w:rsidR="00BE4E8C">
        <w:rPr>
          <w:rFonts w:ascii="Garamond" w:hAnsi="Garamond"/>
          <w:b w:val="0"/>
          <w:bCs/>
        </w:rPr>
        <w:t>on se në aksidentin e datës 27.</w:t>
      </w:r>
      <w:r w:rsidRPr="0042133E">
        <w:rPr>
          <w:rFonts w:ascii="Garamond" w:hAnsi="Garamond"/>
          <w:b w:val="0"/>
          <w:bCs/>
        </w:rPr>
        <w:t>8.2008, në të cilin ka humbur jetën trashëgimlënësi E.</w:t>
      </w:r>
      <w:r w:rsidR="00BE4E8C">
        <w:rPr>
          <w:rFonts w:ascii="Garamond" w:hAnsi="Garamond"/>
          <w:b w:val="0"/>
          <w:bCs/>
        </w:rPr>
        <w:t xml:space="preserve"> </w:t>
      </w:r>
      <w:r w:rsidRPr="0042133E">
        <w:rPr>
          <w:rFonts w:ascii="Garamond" w:hAnsi="Garamond"/>
          <w:b w:val="0"/>
          <w:bCs/>
        </w:rPr>
        <w:t>J. i kërkuesve, shoqëria INSIG e ka njohur si ngjarje sigurimi dhe ka filluar procedurat e verifikimit dhe të përllogaritjes së shumës së sigurimit. Pas përfundimit të këtyre procedurave ajo i ka ofruar kërkueses së parë shumën 9.690.782 lekë si shpërblim për dëmin e pësuar nga vdekja në aksidentin automobilistik të bashkëshortit të saj, të cilën ajo rezulton që e ka të</w:t>
      </w:r>
      <w:r w:rsidR="00BE4E8C">
        <w:rPr>
          <w:rFonts w:ascii="Garamond" w:hAnsi="Garamond"/>
          <w:b w:val="0"/>
          <w:bCs/>
        </w:rPr>
        <w:t>rhequr. Pas kësaj, në datën 20.</w:t>
      </w:r>
      <w:r w:rsidRPr="0042133E">
        <w:rPr>
          <w:rFonts w:ascii="Garamond" w:hAnsi="Garamond"/>
          <w:b w:val="0"/>
          <w:bCs/>
        </w:rPr>
        <w:t>6.2011</w:t>
      </w:r>
      <w:r w:rsidR="00BE4E8C">
        <w:rPr>
          <w:rFonts w:ascii="Garamond" w:hAnsi="Garamond"/>
          <w:b w:val="0"/>
          <w:bCs/>
        </w:rPr>
        <w:t>,</w:t>
      </w:r>
      <w:r w:rsidRPr="0042133E">
        <w:rPr>
          <w:rFonts w:ascii="Garamond" w:hAnsi="Garamond"/>
          <w:b w:val="0"/>
          <w:bCs/>
        </w:rPr>
        <w:t xml:space="preserve"> kërkuesja e parë ka nënshkruar një deklaratë noteriale, me të cilën ka pranuar se është dakord me shumën e marrë dhe se nuk ka pretendime financiare të tjera ndaj shoqërisë INSIG për ngjarjen e sigurimit. Pas më shumë se dy vjetësh nga nënshkrimi i deklaratës noteriale, kërkuesja e parë, edhe në cilësinë e përfaqësueses së kërkuesit të dytë, të mitur, i është drejtuar gjykatës me padi, duke kërkuar diferencën e dëmit real pasuror dhe </w:t>
      </w:r>
      <w:proofErr w:type="spellStart"/>
      <w:r w:rsidRPr="0042133E">
        <w:rPr>
          <w:rFonts w:ascii="Garamond" w:hAnsi="Garamond"/>
          <w:b w:val="0"/>
          <w:bCs/>
        </w:rPr>
        <w:t>jopasuror</w:t>
      </w:r>
      <w:proofErr w:type="spellEnd"/>
      <w:r w:rsidRPr="0042133E">
        <w:rPr>
          <w:rFonts w:ascii="Garamond" w:hAnsi="Garamond"/>
          <w:b w:val="0"/>
          <w:bCs/>
        </w:rPr>
        <w:t xml:space="preserve"> të pësuar për shkak të vdekjes së familjarit të tyre. Kjo padi është rrëzuar nga gjykata e shkallës së parë, e cila ka vlerësuar se detyrimi është shuar, pasi kërkuesja e parë</w:t>
      </w:r>
      <w:r w:rsidR="00C95ABE">
        <w:rPr>
          <w:rFonts w:ascii="Garamond" w:hAnsi="Garamond"/>
          <w:b w:val="0"/>
          <w:bCs/>
        </w:rPr>
        <w:t>,</w:t>
      </w:r>
      <w:r w:rsidRPr="0042133E">
        <w:rPr>
          <w:rFonts w:ascii="Garamond" w:hAnsi="Garamond"/>
          <w:b w:val="0"/>
          <w:bCs/>
        </w:rPr>
        <w:t xml:space="preserve"> me de</w:t>
      </w:r>
      <w:r w:rsidR="00BE4E8C">
        <w:rPr>
          <w:rFonts w:ascii="Garamond" w:hAnsi="Garamond"/>
          <w:b w:val="0"/>
          <w:bCs/>
        </w:rPr>
        <w:t>klaratën noteriale të datës 20.</w:t>
      </w:r>
      <w:r w:rsidRPr="0042133E">
        <w:rPr>
          <w:rFonts w:ascii="Garamond" w:hAnsi="Garamond"/>
          <w:b w:val="0"/>
          <w:bCs/>
        </w:rPr>
        <w:t>6.2011</w:t>
      </w:r>
      <w:r w:rsidR="00C95ABE">
        <w:rPr>
          <w:rFonts w:ascii="Garamond" w:hAnsi="Garamond"/>
          <w:b w:val="0"/>
          <w:bCs/>
        </w:rPr>
        <w:t>,</w:t>
      </w:r>
      <w:r w:rsidRPr="0042133E">
        <w:rPr>
          <w:rFonts w:ascii="Garamond" w:hAnsi="Garamond"/>
          <w:b w:val="0"/>
          <w:bCs/>
        </w:rPr>
        <w:t xml:space="preserve"> ka pranuar si detyrim shumën e ekzekutuar tashmë, duke mos pasur asnjë pretendim tjetër financiar për ngjarjen, duke nënkuptuar se çdo detyrim tej shumës së pranuar si të tillë është shuar, ndaj nuk mund të kërkohet </w:t>
      </w:r>
      <w:proofErr w:type="spellStart"/>
      <w:r w:rsidRPr="0042133E">
        <w:rPr>
          <w:rFonts w:ascii="Garamond" w:hAnsi="Garamond"/>
          <w:b w:val="0"/>
          <w:bCs/>
        </w:rPr>
        <w:t>gjyqësisht</w:t>
      </w:r>
      <w:proofErr w:type="spellEnd"/>
      <w:r w:rsidRPr="0042133E">
        <w:rPr>
          <w:rFonts w:ascii="Garamond" w:hAnsi="Garamond"/>
          <w:b w:val="0"/>
          <w:bCs/>
        </w:rPr>
        <w:t xml:space="preserve">. Në arritjen e këtij përfundimi, ajo gjykatë është bazuar në përmbajtjen e nenit 511 të </w:t>
      </w:r>
      <w:proofErr w:type="spellStart"/>
      <w:r w:rsidRPr="0042133E">
        <w:rPr>
          <w:rFonts w:ascii="Garamond" w:hAnsi="Garamond"/>
          <w:b w:val="0"/>
          <w:bCs/>
        </w:rPr>
        <w:t>KC</w:t>
      </w:r>
      <w:proofErr w:type="spellEnd"/>
      <w:r w:rsidRPr="0042133E">
        <w:rPr>
          <w:rFonts w:ascii="Garamond" w:hAnsi="Garamond"/>
          <w:b w:val="0"/>
          <w:bCs/>
        </w:rPr>
        <w:t>-së, sipas të cilit “</w:t>
      </w:r>
      <w:r w:rsidRPr="0042133E">
        <w:rPr>
          <w:rFonts w:ascii="Garamond" w:hAnsi="Garamond"/>
          <w:b w:val="0"/>
          <w:bCs/>
          <w:i/>
          <w:iCs/>
        </w:rPr>
        <w:t>deklarata me shkrim e kreditorit për faljen e detyrimit, e shuan atë kur i njoftohet debitorit...</w:t>
      </w:r>
      <w:r w:rsidRPr="0042133E">
        <w:rPr>
          <w:rFonts w:ascii="Garamond" w:hAnsi="Garamond"/>
          <w:b w:val="0"/>
          <w:bCs/>
        </w:rPr>
        <w:t>”, si dhe të nenit 512 të po atij kodi, i cili përcakton se “</w:t>
      </w:r>
      <w:r w:rsidRPr="0042133E">
        <w:rPr>
          <w:rFonts w:ascii="Garamond" w:hAnsi="Garamond"/>
          <w:b w:val="0"/>
          <w:bCs/>
          <w:i/>
          <w:iCs/>
        </w:rPr>
        <w:t xml:space="preserve">kur debitori ka në dorë dokumentin privat që provon detyrimin, </w:t>
      </w:r>
      <w:proofErr w:type="spellStart"/>
      <w:r w:rsidRPr="0042133E">
        <w:rPr>
          <w:rFonts w:ascii="Garamond" w:hAnsi="Garamond"/>
          <w:b w:val="0"/>
          <w:bCs/>
          <w:i/>
          <w:iCs/>
        </w:rPr>
        <w:t>prezumon</w:t>
      </w:r>
      <w:proofErr w:type="spellEnd"/>
      <w:r w:rsidRPr="0042133E">
        <w:rPr>
          <w:rFonts w:ascii="Garamond" w:hAnsi="Garamond"/>
          <w:b w:val="0"/>
          <w:bCs/>
          <w:i/>
          <w:iCs/>
        </w:rPr>
        <w:t xml:space="preserve"> se ky është shuar me falje</w:t>
      </w:r>
      <w:r w:rsidRPr="0042133E">
        <w:rPr>
          <w:rFonts w:ascii="Garamond" w:hAnsi="Garamond"/>
          <w:b w:val="0"/>
          <w:bCs/>
        </w:rPr>
        <w:t>” (</w:t>
      </w:r>
      <w:r w:rsidRPr="0042133E">
        <w:rPr>
          <w:rFonts w:ascii="Garamond" w:hAnsi="Garamond"/>
          <w:b w:val="0"/>
          <w:bCs/>
          <w:i/>
          <w:iCs/>
        </w:rPr>
        <w:t>shih faqet 5 dhe 6</w:t>
      </w:r>
      <w:r w:rsidR="00C95ABE">
        <w:rPr>
          <w:rFonts w:ascii="Garamond" w:hAnsi="Garamond"/>
          <w:b w:val="0"/>
          <w:bCs/>
          <w:i/>
          <w:iCs/>
        </w:rPr>
        <w:t>,</w:t>
      </w:r>
      <w:r w:rsidRPr="0042133E">
        <w:rPr>
          <w:rFonts w:ascii="Garamond" w:hAnsi="Garamond"/>
          <w:b w:val="0"/>
          <w:bCs/>
          <w:i/>
          <w:iCs/>
        </w:rPr>
        <w:t xml:space="preserve"> të vendimit të Gjykatës së Rrethit Gjyqësor Tiranë</w:t>
      </w:r>
      <w:r w:rsidRPr="0042133E">
        <w:rPr>
          <w:rFonts w:ascii="Garamond" w:hAnsi="Garamond"/>
          <w:b w:val="0"/>
          <w:bCs/>
        </w:rPr>
        <w:t xml:space="preserve">). </w:t>
      </w:r>
    </w:p>
    <w:p w14:paraId="72A615C8" w14:textId="5FC09F15" w:rsidR="00932AB6" w:rsidRPr="0042133E" w:rsidRDefault="00932AB6" w:rsidP="008A1168">
      <w:pPr>
        <w:pStyle w:val="Heading2"/>
        <w:numPr>
          <w:ilvl w:val="0"/>
          <w:numId w:val="0"/>
        </w:numPr>
        <w:tabs>
          <w:tab w:val="left" w:pos="260"/>
          <w:tab w:val="left" w:pos="1080"/>
        </w:tabs>
        <w:spacing w:line="240" w:lineRule="auto"/>
        <w:ind w:right="0" w:firstLine="284"/>
        <w:jc w:val="both"/>
        <w:rPr>
          <w:rFonts w:ascii="Garamond" w:hAnsi="Garamond"/>
          <w:b w:val="0"/>
          <w:bCs/>
        </w:rPr>
      </w:pPr>
      <w:r w:rsidRPr="0042133E">
        <w:rPr>
          <w:rFonts w:ascii="Garamond" w:hAnsi="Garamond"/>
          <w:b w:val="0"/>
          <w:bCs/>
        </w:rPr>
        <w:t>27.</w:t>
      </w:r>
      <w:r w:rsidR="00F42564" w:rsidRPr="0042133E">
        <w:rPr>
          <w:rFonts w:ascii="Garamond" w:hAnsi="Garamond"/>
          <w:b w:val="0"/>
          <w:bCs/>
        </w:rPr>
        <w:t xml:space="preserve"> </w:t>
      </w:r>
      <w:r w:rsidRPr="0042133E">
        <w:rPr>
          <w:rFonts w:ascii="Garamond" w:hAnsi="Garamond"/>
          <w:b w:val="0"/>
          <w:bCs/>
        </w:rPr>
        <w:t xml:space="preserve">Në të kundërt me vlerësimin e gjykatës së shkallës së parë, gjykata e apelit, e vënë në lëvizje me ankimin e kërkueses së parë, ka </w:t>
      </w:r>
      <w:proofErr w:type="spellStart"/>
      <w:r w:rsidRPr="0042133E">
        <w:rPr>
          <w:rFonts w:ascii="Garamond" w:hAnsi="Garamond"/>
          <w:b w:val="0"/>
          <w:bCs/>
        </w:rPr>
        <w:t>konkluduar</w:t>
      </w:r>
      <w:proofErr w:type="spellEnd"/>
      <w:r w:rsidRPr="0042133E">
        <w:rPr>
          <w:rFonts w:ascii="Garamond" w:hAnsi="Garamond"/>
          <w:b w:val="0"/>
          <w:bCs/>
        </w:rPr>
        <w:t xml:space="preserve"> se vendimi i </w:t>
      </w:r>
      <w:proofErr w:type="spellStart"/>
      <w:r w:rsidRPr="0042133E">
        <w:rPr>
          <w:rFonts w:ascii="Garamond" w:hAnsi="Garamond"/>
          <w:b w:val="0"/>
          <w:bCs/>
        </w:rPr>
        <w:t>ankimuar</w:t>
      </w:r>
      <w:proofErr w:type="spellEnd"/>
      <w:r w:rsidRPr="0042133E">
        <w:rPr>
          <w:rFonts w:ascii="Garamond" w:hAnsi="Garamond"/>
          <w:b w:val="0"/>
          <w:bCs/>
        </w:rPr>
        <w:t xml:space="preserve"> është i gabuar, duke arsyetuar se marrëveshja që paraprakisht përjashton ose kufizon përgjegjësinë e personit që ka kryer dëm me faj është e pavlefshme, referuar përmbajtjes së nenit 610 të </w:t>
      </w:r>
      <w:proofErr w:type="spellStart"/>
      <w:r w:rsidRPr="0042133E">
        <w:rPr>
          <w:rFonts w:ascii="Garamond" w:hAnsi="Garamond"/>
          <w:b w:val="0"/>
          <w:bCs/>
        </w:rPr>
        <w:t>KC</w:t>
      </w:r>
      <w:proofErr w:type="spellEnd"/>
      <w:r w:rsidRPr="0042133E">
        <w:rPr>
          <w:rFonts w:ascii="Garamond" w:hAnsi="Garamond"/>
          <w:b w:val="0"/>
          <w:bCs/>
        </w:rPr>
        <w:t>-së. Për rrjedhojë, ajo gjykatë ka çmuar se lëshimi i de</w:t>
      </w:r>
      <w:r w:rsidR="00BE4E8C">
        <w:rPr>
          <w:rFonts w:ascii="Garamond" w:hAnsi="Garamond"/>
          <w:b w:val="0"/>
          <w:bCs/>
        </w:rPr>
        <w:t>klaratës noteriale të datës 20.</w:t>
      </w:r>
      <w:r w:rsidRPr="0042133E">
        <w:rPr>
          <w:rFonts w:ascii="Garamond" w:hAnsi="Garamond"/>
          <w:b w:val="0"/>
          <w:bCs/>
        </w:rPr>
        <w:t>6.2011</w:t>
      </w:r>
      <w:r w:rsidR="00BE4E8C">
        <w:rPr>
          <w:rFonts w:ascii="Garamond" w:hAnsi="Garamond"/>
          <w:b w:val="0"/>
          <w:bCs/>
        </w:rPr>
        <w:t>,</w:t>
      </w:r>
      <w:r w:rsidRPr="0042133E">
        <w:rPr>
          <w:rFonts w:ascii="Garamond" w:hAnsi="Garamond"/>
          <w:b w:val="0"/>
          <w:bCs/>
        </w:rPr>
        <w:t xml:space="preserve"> nga kërkuesja e parë, me anë të së cilës ajo pranon shumën e akorduar nga shoqëria INSIG, duke deklaruar se nuk ka pretendime të mëtejshme, nuk i heq asaj të drejtën që, në rast se konstaton se vlerësimi i dëmit që ka pësuar nuk </w:t>
      </w:r>
      <w:r w:rsidRPr="0042133E">
        <w:rPr>
          <w:rFonts w:ascii="Garamond" w:hAnsi="Garamond"/>
          <w:b w:val="0"/>
          <w:bCs/>
        </w:rPr>
        <w:lastRenderedPageBreak/>
        <w:t xml:space="preserve">është i saktë, ta kërkojë atë. Lidhur me masën e dëmshpërblimit, gjykata e apelit ka konstatuar se shuma e dhënë nga shoqëria INSIG përmban vetëm dëmin pasuror, ndërsa ka evidentuar se në bazë të vendimit </w:t>
      </w:r>
      <w:proofErr w:type="spellStart"/>
      <w:r w:rsidRPr="0042133E">
        <w:rPr>
          <w:rFonts w:ascii="Garamond" w:hAnsi="Garamond"/>
          <w:b w:val="0"/>
          <w:bCs/>
        </w:rPr>
        <w:t>unifikues</w:t>
      </w:r>
      <w:proofErr w:type="spellEnd"/>
      <w:r w:rsidRPr="0042133E">
        <w:rPr>
          <w:rFonts w:ascii="Garamond" w:hAnsi="Garamond"/>
          <w:b w:val="0"/>
          <w:bCs/>
        </w:rPr>
        <w:t xml:space="preserve"> nr. 12/2007, për këto raste përfshihet edhe dëmi </w:t>
      </w:r>
      <w:proofErr w:type="spellStart"/>
      <w:r w:rsidRPr="0042133E">
        <w:rPr>
          <w:rFonts w:ascii="Garamond" w:hAnsi="Garamond"/>
          <w:b w:val="0"/>
          <w:bCs/>
        </w:rPr>
        <w:t>jopasuror</w:t>
      </w:r>
      <w:proofErr w:type="spellEnd"/>
      <w:r w:rsidRPr="0042133E">
        <w:rPr>
          <w:rFonts w:ascii="Garamond" w:hAnsi="Garamond"/>
          <w:b w:val="0"/>
          <w:bCs/>
        </w:rPr>
        <w:t xml:space="preserve"> në përllogaritjen e dëmit. </w:t>
      </w:r>
    </w:p>
    <w:p w14:paraId="689E9B81" w14:textId="54CBEDA3" w:rsidR="00932AB6" w:rsidRPr="0042133E" w:rsidRDefault="00932AB6" w:rsidP="008A1168">
      <w:pPr>
        <w:pStyle w:val="Heading2"/>
        <w:numPr>
          <w:ilvl w:val="0"/>
          <w:numId w:val="0"/>
        </w:numPr>
        <w:tabs>
          <w:tab w:val="left" w:pos="260"/>
          <w:tab w:val="left" w:pos="1080"/>
        </w:tabs>
        <w:spacing w:line="240" w:lineRule="auto"/>
        <w:ind w:right="0" w:firstLine="284"/>
        <w:jc w:val="both"/>
        <w:rPr>
          <w:rFonts w:ascii="Garamond" w:hAnsi="Garamond"/>
          <w:b w:val="0"/>
          <w:bCs/>
        </w:rPr>
      </w:pPr>
      <w:r w:rsidRPr="0042133E">
        <w:rPr>
          <w:rFonts w:ascii="Garamond" w:hAnsi="Garamond"/>
          <w:b w:val="0"/>
          <w:bCs/>
        </w:rPr>
        <w:t>28.</w:t>
      </w:r>
      <w:r w:rsidR="00F42564" w:rsidRPr="0042133E">
        <w:rPr>
          <w:rFonts w:ascii="Garamond" w:hAnsi="Garamond"/>
          <w:b w:val="0"/>
          <w:bCs/>
        </w:rPr>
        <w:t xml:space="preserve"> </w:t>
      </w:r>
      <w:r w:rsidRPr="0042133E">
        <w:rPr>
          <w:rFonts w:ascii="Garamond" w:hAnsi="Garamond"/>
          <w:b w:val="0"/>
          <w:bCs/>
        </w:rPr>
        <w:t xml:space="preserve">Gjykata e Lartë, e vënë në lëvizje me rekurset e subjekteve të interesuara, shoqërisë INSIG dhe </w:t>
      </w:r>
      <w:proofErr w:type="spellStart"/>
      <w:r w:rsidRPr="0042133E">
        <w:rPr>
          <w:rFonts w:ascii="Garamond" w:hAnsi="Garamond"/>
          <w:b w:val="0"/>
          <w:bCs/>
        </w:rPr>
        <w:t>BSHS</w:t>
      </w:r>
      <w:proofErr w:type="spellEnd"/>
      <w:r w:rsidRPr="0042133E">
        <w:rPr>
          <w:rFonts w:ascii="Garamond" w:hAnsi="Garamond"/>
          <w:b w:val="0"/>
          <w:bCs/>
        </w:rPr>
        <w:t xml:space="preserve">-së, pasi ka evidentuar se gjykatat e shkallëve më të ulëta kanë mbajtur qëndrime të ndryshme për ligjin e zbatueshëm, gjë që ka kushtëzuar edhe </w:t>
      </w:r>
      <w:proofErr w:type="spellStart"/>
      <w:r w:rsidRPr="0042133E">
        <w:rPr>
          <w:rFonts w:ascii="Garamond" w:hAnsi="Garamond"/>
          <w:b w:val="0"/>
          <w:bCs/>
        </w:rPr>
        <w:t>disponimin</w:t>
      </w:r>
      <w:proofErr w:type="spellEnd"/>
      <w:r w:rsidRPr="0042133E">
        <w:rPr>
          <w:rFonts w:ascii="Garamond" w:hAnsi="Garamond"/>
          <w:b w:val="0"/>
          <w:bCs/>
        </w:rPr>
        <w:t xml:space="preserve"> e tyre për zgjidhjen në themel të mosmarrëveshjes, ka çmuar ta zgjidhë vetë mosmarrëveshjen, duke konsideruar se çështja ka lidhje me efektet juridike që krijon </w:t>
      </w:r>
      <w:r w:rsidR="00BE4E8C">
        <w:rPr>
          <w:rFonts w:ascii="Garamond" w:hAnsi="Garamond"/>
          <w:b w:val="0"/>
          <w:bCs/>
        </w:rPr>
        <w:t>deklarata noteriale e datës 20.</w:t>
      </w:r>
      <w:r w:rsidRPr="0042133E">
        <w:rPr>
          <w:rFonts w:ascii="Garamond" w:hAnsi="Garamond"/>
          <w:b w:val="0"/>
          <w:bCs/>
        </w:rPr>
        <w:t>6.2011</w:t>
      </w:r>
      <w:r w:rsidR="00BE4E8C">
        <w:rPr>
          <w:rFonts w:ascii="Garamond" w:hAnsi="Garamond"/>
          <w:b w:val="0"/>
          <w:bCs/>
        </w:rPr>
        <w:t>,</w:t>
      </w:r>
      <w:r w:rsidRPr="0042133E">
        <w:rPr>
          <w:rFonts w:ascii="Garamond" w:hAnsi="Garamond"/>
          <w:b w:val="0"/>
          <w:bCs/>
        </w:rPr>
        <w:t xml:space="preserve"> në raport me të drejtat dhe detyrimet e palëve në çështjen konkrete. Sipas asaj gjykate, kjo deklaratë është nënshkruar me vullnetin e lirë dhe të </w:t>
      </w:r>
      <w:proofErr w:type="spellStart"/>
      <w:r w:rsidRPr="0042133E">
        <w:rPr>
          <w:rFonts w:ascii="Garamond" w:hAnsi="Garamond"/>
          <w:b w:val="0"/>
          <w:bCs/>
        </w:rPr>
        <w:t>pavesuar</w:t>
      </w:r>
      <w:proofErr w:type="spellEnd"/>
      <w:r w:rsidRPr="0042133E">
        <w:rPr>
          <w:rFonts w:ascii="Garamond" w:hAnsi="Garamond"/>
          <w:b w:val="0"/>
          <w:bCs/>
        </w:rPr>
        <w:t xml:space="preserve"> të kërkueses së parë dhe, si e tillë, nuk mund të evidentohet ndonjë shkak pavlefshmërie, qoftë në drejtim të formës së kryerjes së veprimit juridik, ose të metave të vullnetit të shfaqur nga ajo palë. Në kushtet e vlefshmërisë së një deklarate të tillë, Gjykata e Lartë e ka vijuar analizën e saj në drejtim të përmbajtjes së asaj deklarate, për të përcaktuar nëse duhet të vlerësohet si një mënyrë e shuarjes së detyrimit, sipas neneve 511 dhe 512 të </w:t>
      </w:r>
      <w:proofErr w:type="spellStart"/>
      <w:r w:rsidRPr="0042133E">
        <w:rPr>
          <w:rFonts w:ascii="Garamond" w:hAnsi="Garamond"/>
          <w:b w:val="0"/>
          <w:bCs/>
        </w:rPr>
        <w:t>KC</w:t>
      </w:r>
      <w:proofErr w:type="spellEnd"/>
      <w:r w:rsidRPr="0042133E">
        <w:rPr>
          <w:rFonts w:ascii="Garamond" w:hAnsi="Garamond"/>
          <w:b w:val="0"/>
          <w:bCs/>
        </w:rPr>
        <w:t xml:space="preserve">-së, ose si një marrëveshje paraprake që kufizon përgjegjësinë e palës </w:t>
      </w:r>
      <w:proofErr w:type="spellStart"/>
      <w:r w:rsidRPr="0042133E">
        <w:rPr>
          <w:rFonts w:ascii="Garamond" w:hAnsi="Garamond"/>
          <w:b w:val="0"/>
          <w:bCs/>
        </w:rPr>
        <w:t>debitore</w:t>
      </w:r>
      <w:proofErr w:type="spellEnd"/>
      <w:r w:rsidRPr="0042133E">
        <w:rPr>
          <w:rFonts w:ascii="Garamond" w:hAnsi="Garamond"/>
          <w:b w:val="0"/>
          <w:bCs/>
        </w:rPr>
        <w:t xml:space="preserve">, sipas nenit 610 të </w:t>
      </w:r>
      <w:proofErr w:type="spellStart"/>
      <w:r w:rsidRPr="0042133E">
        <w:rPr>
          <w:rFonts w:ascii="Garamond" w:hAnsi="Garamond"/>
          <w:b w:val="0"/>
          <w:bCs/>
        </w:rPr>
        <w:t>KC</w:t>
      </w:r>
      <w:proofErr w:type="spellEnd"/>
      <w:r w:rsidRPr="0042133E">
        <w:rPr>
          <w:rFonts w:ascii="Garamond" w:hAnsi="Garamond"/>
          <w:b w:val="0"/>
          <w:bCs/>
        </w:rPr>
        <w:t xml:space="preserve">-së. Në këtë drejtim, ajo gjykatë e ka çmuar të drejtë qëndrimin e gjykatës së shkallës së parë se në rastin konkret plotësohen kushtet e shuarjes së detyrimit nëpërmjet faljes si një mënyrë e parashikuar nga neni 511 i </w:t>
      </w:r>
      <w:proofErr w:type="spellStart"/>
      <w:r w:rsidRPr="0042133E">
        <w:rPr>
          <w:rFonts w:ascii="Garamond" w:hAnsi="Garamond"/>
          <w:b w:val="0"/>
          <w:bCs/>
        </w:rPr>
        <w:t>KC</w:t>
      </w:r>
      <w:proofErr w:type="spellEnd"/>
      <w:r w:rsidRPr="0042133E">
        <w:rPr>
          <w:rFonts w:ascii="Garamond" w:hAnsi="Garamond"/>
          <w:b w:val="0"/>
          <w:bCs/>
        </w:rPr>
        <w:t xml:space="preserve">-së, i cili parashikon se deklarata me shkrim e kreditorit për faljen e detyrimit e shuan atë kur i njoftohet debitorit, përveçse kur ky i fundit nuk dëshiron të përfitojë nga falja. Ndërsa referimin e gjykatës së apelit tek neni 610 i </w:t>
      </w:r>
      <w:proofErr w:type="spellStart"/>
      <w:r w:rsidRPr="0042133E">
        <w:rPr>
          <w:rFonts w:ascii="Garamond" w:hAnsi="Garamond"/>
          <w:b w:val="0"/>
          <w:bCs/>
        </w:rPr>
        <w:t>KC</w:t>
      </w:r>
      <w:proofErr w:type="spellEnd"/>
      <w:r w:rsidRPr="0042133E">
        <w:rPr>
          <w:rFonts w:ascii="Garamond" w:hAnsi="Garamond"/>
          <w:b w:val="0"/>
          <w:bCs/>
        </w:rPr>
        <w:t>-së për të argumentuar pavlefshmërinë e deklaratës noteriale, Gjykata e Lartë e ka vlerësuar të gabuar, duke vlerësuar se kjo dispozitë (neni 610) gjen zbatim në rastin e marrëveshjeve paraprake për të përcaktuar masën e dëmshpërblimit ndërmjet kreditorit dhe debitorit përpara momentit të ndodhjes së faktit të paligjshëm si burim i lindjes së këtij detyrimi (</w:t>
      </w:r>
      <w:r w:rsidRPr="0042133E">
        <w:rPr>
          <w:rFonts w:ascii="Garamond" w:hAnsi="Garamond"/>
          <w:b w:val="0"/>
          <w:bCs/>
          <w:i/>
          <w:iCs/>
        </w:rPr>
        <w:t>shih faqet 10 dhe 11</w:t>
      </w:r>
      <w:r w:rsidR="00BE4E8C">
        <w:rPr>
          <w:rFonts w:ascii="Garamond" w:hAnsi="Garamond"/>
          <w:b w:val="0"/>
          <w:bCs/>
          <w:i/>
          <w:iCs/>
        </w:rPr>
        <w:t>,</w:t>
      </w:r>
      <w:r w:rsidRPr="0042133E">
        <w:rPr>
          <w:rFonts w:ascii="Garamond" w:hAnsi="Garamond"/>
          <w:b w:val="0"/>
          <w:bCs/>
          <w:i/>
          <w:iCs/>
        </w:rPr>
        <w:t xml:space="preserve"> të vendimit të Kolegjit Civil të Gjykatës së Lartë</w:t>
      </w:r>
      <w:r w:rsidRPr="0042133E">
        <w:rPr>
          <w:rFonts w:ascii="Garamond" w:hAnsi="Garamond"/>
          <w:b w:val="0"/>
          <w:bCs/>
        </w:rPr>
        <w:t xml:space="preserve">). Për rrjedhojë, Gjykata e Lartë, e cila ka lënë në fuqi vendimin e gjykatës së shkallës së parë, pasi ka konstatuar se çështja objekt gjykimi bazohet në dëmin </w:t>
      </w:r>
      <w:proofErr w:type="spellStart"/>
      <w:r w:rsidRPr="0042133E">
        <w:rPr>
          <w:rFonts w:ascii="Garamond" w:hAnsi="Garamond"/>
          <w:b w:val="0"/>
          <w:bCs/>
        </w:rPr>
        <w:t>jashtëkontraktor</w:t>
      </w:r>
      <w:proofErr w:type="spellEnd"/>
      <w:r w:rsidRPr="0042133E">
        <w:rPr>
          <w:rFonts w:ascii="Garamond" w:hAnsi="Garamond"/>
          <w:b w:val="0"/>
          <w:bCs/>
        </w:rPr>
        <w:t xml:space="preserve"> që rrjedh nga sigurimi i detyrueshëm i mjeteve motorike dhe se nuk ka të bëjë me një kërkim për shpërblim dëmi që rrjedh nga marrëdhëniet </w:t>
      </w:r>
      <w:proofErr w:type="spellStart"/>
      <w:r w:rsidRPr="0042133E">
        <w:rPr>
          <w:rFonts w:ascii="Garamond" w:hAnsi="Garamond"/>
          <w:b w:val="0"/>
          <w:bCs/>
        </w:rPr>
        <w:t>kontraktore</w:t>
      </w:r>
      <w:proofErr w:type="spellEnd"/>
      <w:r w:rsidRPr="0042133E">
        <w:rPr>
          <w:rFonts w:ascii="Garamond" w:hAnsi="Garamond"/>
          <w:b w:val="0"/>
          <w:bCs/>
        </w:rPr>
        <w:t xml:space="preserve">, ka vlerësuar se detyrimi është shuar për shkak të faljes, sipas përcaktimeve të nenit 511 të </w:t>
      </w:r>
      <w:proofErr w:type="spellStart"/>
      <w:r w:rsidRPr="0042133E">
        <w:rPr>
          <w:rFonts w:ascii="Garamond" w:hAnsi="Garamond"/>
          <w:b w:val="0"/>
          <w:bCs/>
        </w:rPr>
        <w:t>KC</w:t>
      </w:r>
      <w:proofErr w:type="spellEnd"/>
      <w:r w:rsidRPr="0042133E">
        <w:rPr>
          <w:rFonts w:ascii="Garamond" w:hAnsi="Garamond"/>
          <w:b w:val="0"/>
          <w:bCs/>
        </w:rPr>
        <w:t xml:space="preserve">-së “Falja e detyrimit”. </w:t>
      </w:r>
    </w:p>
    <w:p w14:paraId="27C09BD3" w14:textId="788867B5" w:rsidR="00932AB6" w:rsidRPr="0042133E" w:rsidRDefault="00932AB6" w:rsidP="008A1168">
      <w:pPr>
        <w:pStyle w:val="Heading2"/>
        <w:numPr>
          <w:ilvl w:val="0"/>
          <w:numId w:val="0"/>
        </w:numPr>
        <w:tabs>
          <w:tab w:val="left" w:pos="260"/>
          <w:tab w:val="left" w:pos="1080"/>
        </w:tabs>
        <w:spacing w:line="240" w:lineRule="auto"/>
        <w:ind w:right="0" w:firstLine="284"/>
        <w:jc w:val="both"/>
        <w:rPr>
          <w:rFonts w:ascii="Garamond" w:hAnsi="Garamond"/>
          <w:b w:val="0"/>
          <w:bCs/>
        </w:rPr>
      </w:pPr>
      <w:r w:rsidRPr="0042133E">
        <w:rPr>
          <w:rFonts w:ascii="Garamond" w:hAnsi="Garamond"/>
          <w:b w:val="0"/>
          <w:bCs/>
        </w:rPr>
        <w:t>29.</w:t>
      </w:r>
      <w:r w:rsidR="00F42564" w:rsidRPr="0042133E">
        <w:rPr>
          <w:rFonts w:ascii="Garamond" w:hAnsi="Garamond"/>
          <w:b w:val="0"/>
          <w:bCs/>
        </w:rPr>
        <w:t xml:space="preserve"> </w:t>
      </w:r>
      <w:r w:rsidRPr="0042133E">
        <w:rPr>
          <w:rFonts w:ascii="Garamond" w:hAnsi="Garamond"/>
          <w:b w:val="0"/>
          <w:bCs/>
        </w:rPr>
        <w:t xml:space="preserve">Gjykata rithekson se të drejtat individuale, qoftë edhe të natyrës procedurale (këto të fundit të konceptuara në funksion dhe të garancive të </w:t>
      </w:r>
      <w:proofErr w:type="spellStart"/>
      <w:r w:rsidRPr="0042133E">
        <w:rPr>
          <w:rFonts w:ascii="Garamond" w:hAnsi="Garamond"/>
          <w:b w:val="0"/>
          <w:bCs/>
        </w:rPr>
        <w:t>të</w:t>
      </w:r>
      <w:proofErr w:type="spellEnd"/>
      <w:r w:rsidRPr="0042133E">
        <w:rPr>
          <w:rFonts w:ascii="Garamond" w:hAnsi="Garamond"/>
          <w:b w:val="0"/>
          <w:bCs/>
        </w:rPr>
        <w:t xml:space="preserve"> drejtave materiale), duhet të interpretohen gjithmonë në atë mënyrë që të jenë efektive (</w:t>
      </w:r>
      <w:r w:rsidR="00BE4E8C">
        <w:rPr>
          <w:rFonts w:ascii="Garamond" w:hAnsi="Garamond"/>
          <w:b w:val="0"/>
          <w:bCs/>
          <w:i/>
          <w:iCs/>
        </w:rPr>
        <w:t>shih vendimet nr. 56, datë 9.11.2023; nr. 6 datë 22.2.2022; nr. 5, datë 2.</w:t>
      </w:r>
      <w:r w:rsidRPr="0042133E">
        <w:rPr>
          <w:rFonts w:ascii="Garamond" w:hAnsi="Garamond"/>
          <w:b w:val="0"/>
          <w:bCs/>
          <w:i/>
          <w:iCs/>
        </w:rPr>
        <w:t>3.2011</w:t>
      </w:r>
      <w:r w:rsidR="00BE4E8C">
        <w:rPr>
          <w:rFonts w:ascii="Garamond" w:hAnsi="Garamond"/>
          <w:b w:val="0"/>
          <w:bCs/>
          <w:i/>
          <w:iCs/>
        </w:rPr>
        <w:t>,</w:t>
      </w:r>
      <w:r w:rsidRPr="0042133E">
        <w:rPr>
          <w:rFonts w:ascii="Garamond" w:hAnsi="Garamond"/>
          <w:b w:val="0"/>
          <w:bCs/>
          <w:i/>
          <w:iCs/>
        </w:rPr>
        <w:t xml:space="preserve"> të Gjykatës Kushtetuese). </w:t>
      </w:r>
      <w:r w:rsidRPr="0042133E">
        <w:rPr>
          <w:rFonts w:ascii="Garamond" w:hAnsi="Garamond"/>
          <w:b w:val="0"/>
          <w:bCs/>
        </w:rPr>
        <w:t>Në këtë këndvështrim, Gjykata çmon se në rastin konkret Gjykata e Lartë ka gabuar në përcaktimin e fakteve për deklaratën noteriale të nënshkr</w:t>
      </w:r>
      <w:r w:rsidR="00BE4E8C">
        <w:rPr>
          <w:rFonts w:ascii="Garamond" w:hAnsi="Garamond"/>
          <w:b w:val="0"/>
          <w:bCs/>
        </w:rPr>
        <w:t>uar nga kërkuesja e parë më 20.</w:t>
      </w:r>
      <w:r w:rsidRPr="0042133E">
        <w:rPr>
          <w:rFonts w:ascii="Garamond" w:hAnsi="Garamond"/>
          <w:b w:val="0"/>
          <w:bCs/>
        </w:rPr>
        <w:t xml:space="preserve">6.2011, për shkak se e ka vlerësuar përmbajtjen e saj si një mënyrë të shuarjes së detyrimit që rrjedh nga marrëdhëniet </w:t>
      </w:r>
      <w:proofErr w:type="spellStart"/>
      <w:r w:rsidRPr="0042133E">
        <w:rPr>
          <w:rFonts w:ascii="Garamond" w:hAnsi="Garamond"/>
          <w:b w:val="0"/>
          <w:bCs/>
        </w:rPr>
        <w:t>kontraktore</w:t>
      </w:r>
      <w:proofErr w:type="spellEnd"/>
      <w:r w:rsidRPr="0042133E">
        <w:rPr>
          <w:rFonts w:ascii="Garamond" w:hAnsi="Garamond"/>
          <w:b w:val="0"/>
          <w:bCs/>
        </w:rPr>
        <w:t xml:space="preserve">, me bazë ligjore në mbështetje të arsyetimit të saj, nenin 511 të </w:t>
      </w:r>
      <w:proofErr w:type="spellStart"/>
      <w:r w:rsidRPr="0042133E">
        <w:rPr>
          <w:rFonts w:ascii="Garamond" w:hAnsi="Garamond"/>
          <w:b w:val="0"/>
          <w:bCs/>
        </w:rPr>
        <w:t>KC</w:t>
      </w:r>
      <w:proofErr w:type="spellEnd"/>
      <w:r w:rsidRPr="0042133E">
        <w:rPr>
          <w:rFonts w:ascii="Garamond" w:hAnsi="Garamond"/>
          <w:b w:val="0"/>
          <w:bCs/>
        </w:rPr>
        <w:t xml:space="preserve">-së “Falja e detyrimit”, në pjesën </w:t>
      </w:r>
      <w:proofErr w:type="spellStart"/>
      <w:r w:rsidRPr="0042133E">
        <w:rPr>
          <w:rFonts w:ascii="Garamond" w:hAnsi="Garamond"/>
          <w:b w:val="0"/>
          <w:bCs/>
        </w:rPr>
        <w:t>IV</w:t>
      </w:r>
      <w:proofErr w:type="spellEnd"/>
      <w:r w:rsidRPr="0042133E">
        <w:rPr>
          <w:rFonts w:ascii="Garamond" w:hAnsi="Garamond"/>
          <w:b w:val="0"/>
          <w:bCs/>
        </w:rPr>
        <w:t xml:space="preserve"> të atij kodi “Detyrimet”, e cila përmban dispozitat që rregullojnë marrëdhëniet </w:t>
      </w:r>
      <w:proofErr w:type="spellStart"/>
      <w:r w:rsidRPr="0042133E">
        <w:rPr>
          <w:rFonts w:ascii="Garamond" w:hAnsi="Garamond"/>
          <w:b w:val="0"/>
          <w:bCs/>
        </w:rPr>
        <w:t>kontraktore</w:t>
      </w:r>
      <w:proofErr w:type="spellEnd"/>
      <w:r w:rsidRPr="0042133E">
        <w:rPr>
          <w:rFonts w:ascii="Garamond" w:hAnsi="Garamond"/>
          <w:b w:val="0"/>
          <w:bCs/>
        </w:rPr>
        <w:t xml:space="preserve"> dhe detyrimeve që burojnë prej tyre. </w:t>
      </w:r>
    </w:p>
    <w:p w14:paraId="2326C013" w14:textId="23FF9646" w:rsidR="00932AB6" w:rsidRPr="0042133E" w:rsidRDefault="00932AB6" w:rsidP="008A1168">
      <w:pPr>
        <w:pStyle w:val="Heading2"/>
        <w:numPr>
          <w:ilvl w:val="0"/>
          <w:numId w:val="0"/>
        </w:numPr>
        <w:tabs>
          <w:tab w:val="left" w:pos="260"/>
          <w:tab w:val="left" w:pos="1080"/>
        </w:tabs>
        <w:spacing w:line="240" w:lineRule="auto"/>
        <w:ind w:right="0" w:firstLine="284"/>
        <w:jc w:val="both"/>
        <w:rPr>
          <w:rFonts w:ascii="Garamond" w:hAnsi="Garamond"/>
          <w:b w:val="0"/>
          <w:bCs/>
        </w:rPr>
      </w:pPr>
      <w:r w:rsidRPr="0042133E">
        <w:rPr>
          <w:rFonts w:ascii="Garamond" w:hAnsi="Garamond"/>
          <w:b w:val="0"/>
          <w:bCs/>
        </w:rPr>
        <w:t>30.</w:t>
      </w:r>
      <w:r w:rsidR="00F42564" w:rsidRPr="0042133E">
        <w:rPr>
          <w:rFonts w:ascii="Garamond" w:hAnsi="Garamond"/>
          <w:b w:val="0"/>
          <w:bCs/>
        </w:rPr>
        <w:t xml:space="preserve"> </w:t>
      </w:r>
      <w:r w:rsidRPr="0042133E">
        <w:rPr>
          <w:rFonts w:ascii="Garamond" w:hAnsi="Garamond"/>
          <w:b w:val="0"/>
          <w:bCs/>
        </w:rPr>
        <w:t xml:space="preserve">Në këtë kuptim, Gjykata e Lartë nuk e ka interpretuar ligjin e zbatueshëm në koherencë me rrethanat e çështjes, pasi, megjithëse ka parashtruar se çështja objekt gjykimi lidhet me kërkimin e dëmit </w:t>
      </w:r>
      <w:proofErr w:type="spellStart"/>
      <w:r w:rsidRPr="0042133E">
        <w:rPr>
          <w:rFonts w:ascii="Garamond" w:hAnsi="Garamond"/>
          <w:b w:val="0"/>
          <w:bCs/>
        </w:rPr>
        <w:t>jashtëkontraktor</w:t>
      </w:r>
      <w:proofErr w:type="spellEnd"/>
      <w:r w:rsidRPr="0042133E">
        <w:rPr>
          <w:rFonts w:ascii="Garamond" w:hAnsi="Garamond"/>
          <w:b w:val="0"/>
          <w:bCs/>
        </w:rPr>
        <w:t xml:space="preserve"> që, si i tillë, nuk ka të bëjë me shpërblimin e dëmit që rrjedh nga marrëdhëniet </w:t>
      </w:r>
      <w:proofErr w:type="spellStart"/>
      <w:r w:rsidRPr="0042133E">
        <w:rPr>
          <w:rFonts w:ascii="Garamond" w:hAnsi="Garamond"/>
          <w:b w:val="0"/>
          <w:bCs/>
        </w:rPr>
        <w:t>kontraktore</w:t>
      </w:r>
      <w:proofErr w:type="spellEnd"/>
      <w:r w:rsidRPr="0042133E">
        <w:rPr>
          <w:rFonts w:ascii="Garamond" w:hAnsi="Garamond"/>
          <w:b w:val="0"/>
          <w:bCs/>
        </w:rPr>
        <w:t xml:space="preserve"> (</w:t>
      </w:r>
      <w:r w:rsidRPr="0042133E">
        <w:rPr>
          <w:rFonts w:ascii="Garamond" w:hAnsi="Garamond"/>
          <w:b w:val="0"/>
          <w:bCs/>
          <w:i/>
          <w:iCs/>
        </w:rPr>
        <w:t>shih paragrafin 22</w:t>
      </w:r>
      <w:r w:rsidR="00BE4E8C">
        <w:rPr>
          <w:rFonts w:ascii="Garamond" w:hAnsi="Garamond"/>
          <w:b w:val="0"/>
          <w:bCs/>
          <w:i/>
          <w:iCs/>
        </w:rPr>
        <w:t>,</w:t>
      </w:r>
      <w:r w:rsidRPr="0042133E">
        <w:rPr>
          <w:rFonts w:ascii="Garamond" w:hAnsi="Garamond"/>
          <w:b w:val="0"/>
          <w:bCs/>
          <w:i/>
          <w:iCs/>
        </w:rPr>
        <w:t xml:space="preserve"> të vendimit të Kolegjit Civil të Gjykatës së Lartë</w:t>
      </w:r>
      <w:r w:rsidRPr="0042133E">
        <w:rPr>
          <w:rFonts w:ascii="Garamond" w:hAnsi="Garamond"/>
          <w:b w:val="0"/>
          <w:bCs/>
        </w:rPr>
        <w:t xml:space="preserve">), me qëllim arritjen e përfundimit të saj në çështjen konkrete, ka referuar dhe analizuar parashikimet ligjore, të cilat rregullojnë detyrimet që burojnë nga marrëdhëniet </w:t>
      </w:r>
      <w:proofErr w:type="spellStart"/>
      <w:r w:rsidRPr="0042133E">
        <w:rPr>
          <w:rFonts w:ascii="Garamond" w:hAnsi="Garamond"/>
          <w:b w:val="0"/>
          <w:bCs/>
        </w:rPr>
        <w:t>kontraktore</w:t>
      </w:r>
      <w:proofErr w:type="spellEnd"/>
      <w:r w:rsidRPr="0042133E">
        <w:rPr>
          <w:rFonts w:ascii="Garamond" w:hAnsi="Garamond"/>
          <w:b w:val="0"/>
          <w:bCs/>
        </w:rPr>
        <w:t xml:space="preserve">, konkretisht në nenet 511 dhe 512 të </w:t>
      </w:r>
      <w:proofErr w:type="spellStart"/>
      <w:r w:rsidRPr="0042133E">
        <w:rPr>
          <w:rFonts w:ascii="Garamond" w:hAnsi="Garamond"/>
          <w:b w:val="0"/>
          <w:bCs/>
        </w:rPr>
        <w:t>KC</w:t>
      </w:r>
      <w:proofErr w:type="spellEnd"/>
      <w:r w:rsidRPr="0042133E">
        <w:rPr>
          <w:rFonts w:ascii="Garamond" w:hAnsi="Garamond"/>
          <w:b w:val="0"/>
          <w:bCs/>
        </w:rPr>
        <w:t xml:space="preserve">-së, që i përkasin pjesës </w:t>
      </w:r>
      <w:proofErr w:type="spellStart"/>
      <w:r w:rsidRPr="0042133E">
        <w:rPr>
          <w:rFonts w:ascii="Garamond" w:hAnsi="Garamond"/>
          <w:b w:val="0"/>
          <w:bCs/>
        </w:rPr>
        <w:t>IV</w:t>
      </w:r>
      <w:proofErr w:type="spellEnd"/>
      <w:r w:rsidRPr="0042133E">
        <w:rPr>
          <w:rFonts w:ascii="Garamond" w:hAnsi="Garamond"/>
          <w:b w:val="0"/>
          <w:bCs/>
        </w:rPr>
        <w:t xml:space="preserve"> të atij kodi të titulluar “Detyrimet”, duke arritur në përfundimin se detyrimi për shpërblimin e dëmit </w:t>
      </w:r>
      <w:proofErr w:type="spellStart"/>
      <w:r w:rsidRPr="0042133E">
        <w:rPr>
          <w:rFonts w:ascii="Garamond" w:hAnsi="Garamond"/>
          <w:b w:val="0"/>
          <w:bCs/>
        </w:rPr>
        <w:t>jashtëkontraktor</w:t>
      </w:r>
      <w:proofErr w:type="spellEnd"/>
      <w:r w:rsidRPr="0042133E">
        <w:rPr>
          <w:rFonts w:ascii="Garamond" w:hAnsi="Garamond"/>
          <w:b w:val="0"/>
          <w:bCs/>
        </w:rPr>
        <w:t xml:space="preserve"> është shuar nëpërmjet faljes. Për më tepër, Gjykata e Lartë, duke analizuar vlerësimin e gjykatës së apelit lidhur me nenin 610 të </w:t>
      </w:r>
      <w:proofErr w:type="spellStart"/>
      <w:r w:rsidRPr="0042133E">
        <w:rPr>
          <w:rFonts w:ascii="Garamond" w:hAnsi="Garamond"/>
          <w:b w:val="0"/>
          <w:bCs/>
        </w:rPr>
        <w:t>KC</w:t>
      </w:r>
      <w:proofErr w:type="spellEnd"/>
      <w:r w:rsidRPr="0042133E">
        <w:rPr>
          <w:rFonts w:ascii="Garamond" w:hAnsi="Garamond"/>
          <w:b w:val="0"/>
          <w:bCs/>
        </w:rPr>
        <w:t>-së, sipas të cilit “</w:t>
      </w:r>
      <w:r w:rsidRPr="0042133E">
        <w:rPr>
          <w:rFonts w:ascii="Garamond" w:hAnsi="Garamond"/>
          <w:b w:val="0"/>
          <w:bCs/>
          <w:i/>
          <w:iCs/>
        </w:rPr>
        <w:t>është e pavlefshme marrëveshja që paraprakisht përjashton ose kufizon përgjegjësinë e personit që ka kryer dëm me faj</w:t>
      </w:r>
      <w:r w:rsidRPr="0042133E">
        <w:rPr>
          <w:rFonts w:ascii="Garamond" w:hAnsi="Garamond"/>
          <w:b w:val="0"/>
          <w:bCs/>
        </w:rPr>
        <w:t xml:space="preserve">”, dispozitë kjo që bën pjesë në titullin </w:t>
      </w:r>
      <w:proofErr w:type="spellStart"/>
      <w:r w:rsidRPr="0042133E">
        <w:rPr>
          <w:rFonts w:ascii="Garamond" w:hAnsi="Garamond"/>
          <w:b w:val="0"/>
          <w:bCs/>
        </w:rPr>
        <w:t>IV</w:t>
      </w:r>
      <w:proofErr w:type="spellEnd"/>
      <w:r w:rsidRPr="0042133E">
        <w:rPr>
          <w:rFonts w:ascii="Garamond" w:hAnsi="Garamond"/>
          <w:b w:val="0"/>
          <w:bCs/>
        </w:rPr>
        <w:t xml:space="preserve"> të atij kodi “Detyrimet që rrjedhin nga shkaktimi i dëmit”, ka arsyetuar se ai gjen zbatim në rastin e marrëveshjeve paraprake për përcaktimin e masës së dëmshpërblimit ndërmjet “kreditorit” dhe “debitorit”, që janë palë në marrëdhënie detyrimi. Për rrjedhojë, Gjykata vlerëson se kjo mënyrë arsyetimi e Gjykatës së Lartë, </w:t>
      </w:r>
      <w:r w:rsidRPr="0042133E">
        <w:rPr>
          <w:rFonts w:ascii="Garamond" w:hAnsi="Garamond"/>
          <w:b w:val="0"/>
          <w:bCs/>
        </w:rPr>
        <w:lastRenderedPageBreak/>
        <w:t xml:space="preserve">e cila, nga njëra anë, ka pranuar se ndodhemi përpara shpërblimit të dëmit në një marrëdhënie </w:t>
      </w:r>
      <w:proofErr w:type="spellStart"/>
      <w:r w:rsidRPr="0042133E">
        <w:rPr>
          <w:rFonts w:ascii="Garamond" w:hAnsi="Garamond"/>
          <w:b w:val="0"/>
          <w:bCs/>
        </w:rPr>
        <w:t>jashtëkontraktore</w:t>
      </w:r>
      <w:proofErr w:type="spellEnd"/>
      <w:r w:rsidRPr="0042133E">
        <w:rPr>
          <w:rFonts w:ascii="Garamond" w:hAnsi="Garamond"/>
          <w:b w:val="0"/>
          <w:bCs/>
        </w:rPr>
        <w:t xml:space="preserve"> dhe, nga ana tjetër, u është referuar për zgjidhjen e çështjes dispozitave që rregullojnë marrëdhënie me natyrë të ndryshme, ato </w:t>
      </w:r>
      <w:proofErr w:type="spellStart"/>
      <w:r w:rsidRPr="0042133E">
        <w:rPr>
          <w:rFonts w:ascii="Garamond" w:hAnsi="Garamond"/>
          <w:b w:val="0"/>
          <w:bCs/>
        </w:rPr>
        <w:t>kontraktore</w:t>
      </w:r>
      <w:proofErr w:type="spellEnd"/>
      <w:r w:rsidRPr="0042133E">
        <w:rPr>
          <w:rFonts w:ascii="Garamond" w:hAnsi="Garamond"/>
          <w:b w:val="0"/>
          <w:bCs/>
        </w:rPr>
        <w:t xml:space="preserve">, e bën kontradiktor vendimin e saj. “Falja”, e parashikuar nga neni 511 i </w:t>
      </w:r>
      <w:proofErr w:type="spellStart"/>
      <w:r w:rsidRPr="0042133E">
        <w:rPr>
          <w:rFonts w:ascii="Garamond" w:hAnsi="Garamond"/>
          <w:b w:val="0"/>
          <w:bCs/>
        </w:rPr>
        <w:t>KC</w:t>
      </w:r>
      <w:proofErr w:type="spellEnd"/>
      <w:r w:rsidRPr="0042133E">
        <w:rPr>
          <w:rFonts w:ascii="Garamond" w:hAnsi="Garamond"/>
          <w:b w:val="0"/>
          <w:bCs/>
        </w:rPr>
        <w:t xml:space="preserve">-së, si një nga mënyrat e shuarjes së detyrimeve, gjen zbatim kur kreditori i detyrimit heq dorë nga përfitimi i një detyrimi konkret dhe i përcaktuar, gjë që nuk ka ndodhur në rastin e kërkueses, sepse deklarata noteriale nuk ka të evidentuar se cili ka qenë detyrimi i subjektit të interesuar si debitor dhe në cilën shifër ose masë ky detyrim është shuar me falje nga kreditori (kërkuesja). Në këtë drejtim, Gjykata vlerëson se në rast kundërshtimi të vlerës së dëmshpërblimit në këto raste, duhet të jetë gjykata ajo që vendos përfundimisht për vlerën e detyrimit dhe se vetëm përmbushja e tij mund të jetë e aftë të pasjellë shuarjen e detyrimit. </w:t>
      </w:r>
    </w:p>
    <w:p w14:paraId="20A36B40" w14:textId="3794DD12" w:rsidR="00932AB6" w:rsidRPr="0042133E" w:rsidRDefault="00BE4E8C" w:rsidP="008A1168">
      <w:pPr>
        <w:pStyle w:val="Heading2"/>
        <w:numPr>
          <w:ilvl w:val="0"/>
          <w:numId w:val="0"/>
        </w:numPr>
        <w:tabs>
          <w:tab w:val="left" w:pos="260"/>
          <w:tab w:val="left" w:pos="1080"/>
        </w:tabs>
        <w:spacing w:line="240" w:lineRule="auto"/>
        <w:ind w:right="0" w:firstLine="284"/>
        <w:jc w:val="both"/>
        <w:rPr>
          <w:rFonts w:ascii="Garamond" w:hAnsi="Garamond"/>
          <w:b w:val="0"/>
          <w:bCs/>
          <w:i/>
          <w:iCs/>
        </w:rPr>
      </w:pPr>
      <w:r>
        <w:rPr>
          <w:rFonts w:ascii="Garamond" w:hAnsi="Garamond"/>
          <w:b w:val="0"/>
          <w:bCs/>
        </w:rPr>
        <w:t xml:space="preserve">31. </w:t>
      </w:r>
      <w:r w:rsidR="00932AB6" w:rsidRPr="0042133E">
        <w:rPr>
          <w:rFonts w:ascii="Garamond" w:hAnsi="Garamond"/>
          <w:b w:val="0"/>
          <w:bCs/>
        </w:rPr>
        <w:t xml:space="preserve">Në këtë pikë, Gjykata rithekson se raporti ndërmjet juridiksionit kushtetues dhe juridiksionit të gjykatave të zakonshme udhëhiqet nga parimi i </w:t>
      </w:r>
      <w:proofErr w:type="spellStart"/>
      <w:r w:rsidR="00932AB6" w:rsidRPr="0042133E">
        <w:rPr>
          <w:rFonts w:ascii="Garamond" w:hAnsi="Garamond"/>
          <w:b w:val="0"/>
          <w:bCs/>
          <w:i/>
          <w:iCs/>
        </w:rPr>
        <w:t>subsidiaritetit</w:t>
      </w:r>
      <w:proofErr w:type="spellEnd"/>
      <w:r w:rsidR="00932AB6" w:rsidRPr="0042133E">
        <w:rPr>
          <w:rFonts w:ascii="Garamond" w:hAnsi="Garamond"/>
          <w:b w:val="0"/>
          <w:bCs/>
        </w:rPr>
        <w:t xml:space="preserve">. Respektimi i të drejtave kushtetuese është funksion edhe i gjykatave të zakonshme, për më tepër i Gjykatës së Lartë. Roli i kësaj gjykate, si gjykatë e ligjit, është i një natyre të pazëvendësueshme. Ajo i ka të gjitha mjetet dhe kompetencat për ta bërë vetë këtë rol aktiv, i cili shkon përtej ligjit dhe synon të drejtën, duke ndikuar </w:t>
      </w:r>
      <w:proofErr w:type="spellStart"/>
      <w:r w:rsidR="00932AB6" w:rsidRPr="0042133E">
        <w:rPr>
          <w:rFonts w:ascii="Garamond" w:hAnsi="Garamond"/>
          <w:b w:val="0"/>
          <w:bCs/>
        </w:rPr>
        <w:t>efektivisht</w:t>
      </w:r>
      <w:proofErr w:type="spellEnd"/>
      <w:r w:rsidR="00932AB6" w:rsidRPr="0042133E">
        <w:rPr>
          <w:rFonts w:ascii="Garamond" w:hAnsi="Garamond"/>
          <w:b w:val="0"/>
          <w:bCs/>
        </w:rPr>
        <w:t xml:space="preserve"> edhe në vendimmarrjen e gjykatave të shkallëve më të ulëta (</w:t>
      </w:r>
      <w:r>
        <w:rPr>
          <w:rFonts w:ascii="Garamond" w:hAnsi="Garamond"/>
          <w:b w:val="0"/>
          <w:bCs/>
          <w:i/>
          <w:iCs/>
        </w:rPr>
        <w:t>shih vendimet nr. 10, datë 4.3.2021; nr. 3, datë 23.</w:t>
      </w:r>
      <w:r w:rsidR="00932AB6" w:rsidRPr="0042133E">
        <w:rPr>
          <w:rFonts w:ascii="Garamond" w:hAnsi="Garamond"/>
          <w:b w:val="0"/>
          <w:bCs/>
          <w:i/>
          <w:iCs/>
        </w:rPr>
        <w:t>2.2016</w:t>
      </w:r>
      <w:r>
        <w:rPr>
          <w:rFonts w:ascii="Garamond" w:hAnsi="Garamond"/>
          <w:b w:val="0"/>
          <w:bCs/>
          <w:i/>
          <w:iCs/>
        </w:rPr>
        <w:t>,</w:t>
      </w:r>
      <w:r w:rsidR="00932AB6" w:rsidRPr="0042133E">
        <w:rPr>
          <w:rFonts w:ascii="Garamond" w:hAnsi="Garamond"/>
          <w:b w:val="0"/>
          <w:bCs/>
          <w:i/>
          <w:iCs/>
        </w:rPr>
        <w:t xml:space="preserve"> të Gjykatës Kushtetuese</w:t>
      </w:r>
      <w:r w:rsidR="00932AB6" w:rsidRPr="0042133E">
        <w:rPr>
          <w:rFonts w:ascii="Garamond" w:hAnsi="Garamond"/>
          <w:b w:val="0"/>
          <w:bCs/>
        </w:rPr>
        <w:t xml:space="preserve">). Nga ana tjetër, Gjykata ka pohuar se një interpretim i ligjit i palidhur me faktet konkrete ose abstrakt dhe i larguar prej rrethanave të çështjes objekt shqyrtimi nuk pajtohet me gjykimin konkret, pasi, në thelb, nuk i shërben zgjidhjes së mosmarrëveshjes në fjalë. Kjo sjell, si pasojë, që pjesa arsyetuese e vendimmarrjes së Gjykatës së Lartë të jetë formaliste dhe </w:t>
      </w:r>
      <w:proofErr w:type="spellStart"/>
      <w:r w:rsidR="00932AB6" w:rsidRPr="0042133E">
        <w:rPr>
          <w:rFonts w:ascii="Garamond" w:hAnsi="Garamond"/>
          <w:b w:val="0"/>
          <w:bCs/>
        </w:rPr>
        <w:t>jokoherente</w:t>
      </w:r>
      <w:proofErr w:type="spellEnd"/>
      <w:r w:rsidR="00932AB6" w:rsidRPr="0042133E">
        <w:rPr>
          <w:rFonts w:ascii="Garamond" w:hAnsi="Garamond"/>
          <w:b w:val="0"/>
          <w:bCs/>
        </w:rPr>
        <w:t xml:space="preserve"> në raport me rrethanat dhe faktet e çështjes, duke e larguar qëllimin e procesit nga vetë thelbi i së drejtës kushtetuese të individit (</w:t>
      </w:r>
      <w:r>
        <w:rPr>
          <w:rFonts w:ascii="Garamond" w:hAnsi="Garamond"/>
          <w:b w:val="0"/>
          <w:bCs/>
          <w:i/>
          <w:iCs/>
        </w:rPr>
        <w:t xml:space="preserve">shih vendimin nr. 66, datë </w:t>
      </w:r>
      <w:r w:rsidR="00932AB6" w:rsidRPr="0042133E">
        <w:rPr>
          <w:rFonts w:ascii="Garamond" w:hAnsi="Garamond"/>
          <w:b w:val="0"/>
          <w:bCs/>
          <w:i/>
          <w:iCs/>
        </w:rPr>
        <w:t>3.10.2024</w:t>
      </w:r>
      <w:r>
        <w:rPr>
          <w:rFonts w:ascii="Garamond" w:hAnsi="Garamond"/>
          <w:b w:val="0"/>
          <w:bCs/>
          <w:i/>
          <w:iCs/>
        </w:rPr>
        <w:t>,</w:t>
      </w:r>
      <w:r w:rsidR="00932AB6" w:rsidRPr="0042133E">
        <w:rPr>
          <w:rFonts w:ascii="Garamond" w:hAnsi="Garamond"/>
          <w:b w:val="0"/>
          <w:bCs/>
          <w:i/>
          <w:iCs/>
        </w:rPr>
        <w:t xml:space="preserve"> të Gjykatës Kushtetuese</w:t>
      </w:r>
      <w:r w:rsidR="00932AB6" w:rsidRPr="0042133E">
        <w:rPr>
          <w:rFonts w:ascii="Garamond" w:hAnsi="Garamond"/>
          <w:b w:val="0"/>
          <w:bCs/>
        </w:rPr>
        <w:t xml:space="preserve">). </w:t>
      </w:r>
    </w:p>
    <w:p w14:paraId="385641A1" w14:textId="7807245D" w:rsidR="00932AB6" w:rsidRPr="0042133E" w:rsidRDefault="00932AB6" w:rsidP="008A1168">
      <w:pPr>
        <w:pStyle w:val="Heading2"/>
        <w:numPr>
          <w:ilvl w:val="0"/>
          <w:numId w:val="0"/>
        </w:numPr>
        <w:tabs>
          <w:tab w:val="left" w:pos="260"/>
          <w:tab w:val="left" w:pos="1080"/>
        </w:tabs>
        <w:spacing w:line="240" w:lineRule="auto"/>
        <w:ind w:right="0" w:firstLine="284"/>
        <w:jc w:val="both"/>
        <w:rPr>
          <w:rFonts w:ascii="Garamond" w:hAnsi="Garamond"/>
          <w:b w:val="0"/>
          <w:bCs/>
          <w:i/>
          <w:iCs/>
        </w:rPr>
      </w:pPr>
      <w:r w:rsidRPr="0042133E">
        <w:rPr>
          <w:rFonts w:ascii="Garamond" w:hAnsi="Garamond"/>
          <w:b w:val="0"/>
          <w:bCs/>
        </w:rPr>
        <w:t>32.</w:t>
      </w:r>
      <w:r w:rsidR="00F42564" w:rsidRPr="0042133E">
        <w:rPr>
          <w:rFonts w:ascii="Garamond" w:hAnsi="Garamond"/>
          <w:b w:val="0"/>
          <w:bCs/>
        </w:rPr>
        <w:t xml:space="preserve"> </w:t>
      </w:r>
      <w:r w:rsidRPr="0042133E">
        <w:rPr>
          <w:rFonts w:ascii="Garamond" w:hAnsi="Garamond"/>
          <w:b w:val="0"/>
          <w:bCs/>
        </w:rPr>
        <w:t xml:space="preserve">Nën dritën e sa më sipër, Gjykata vë në dukje se për shkak të përcaktimit të gabuar të fakteve për deklaratën noteriale në çështjen e kërkuesve, Gjykata e Lartë, duke mbështetur arsyetimin e gjykatës së shkallës së parë, ka bërë një interpretim abstrakt të ligjit, i cili nuk pajtohet me gjykimin konkret, duke prodhuar një vendim kontradiktor që nuk e zgjidh mosmarrëveshjen në fjalë. Ky arsyetim i Gjykatës së Lartë në drejtim të pasojave që ka sjellë deklarata në shuarjen e detyrimit për shkak të faljes së tij, ka cenuar edhe të </w:t>
      </w:r>
      <w:r w:rsidRPr="0042133E">
        <w:rPr>
          <w:rFonts w:ascii="Garamond" w:hAnsi="Garamond"/>
          <w:b w:val="0"/>
          <w:bCs/>
          <w:i/>
          <w:iCs/>
        </w:rPr>
        <w:t xml:space="preserve">drejtën e </w:t>
      </w:r>
      <w:proofErr w:type="spellStart"/>
      <w:r w:rsidRPr="0042133E">
        <w:rPr>
          <w:rFonts w:ascii="Garamond" w:hAnsi="Garamond"/>
          <w:b w:val="0"/>
          <w:bCs/>
          <w:i/>
          <w:iCs/>
        </w:rPr>
        <w:t>aksesit</w:t>
      </w:r>
      <w:proofErr w:type="spellEnd"/>
      <w:r w:rsidRPr="0042133E">
        <w:rPr>
          <w:rFonts w:ascii="Garamond" w:hAnsi="Garamond"/>
          <w:b w:val="0"/>
          <w:bCs/>
        </w:rPr>
        <w:t xml:space="preserve"> në gjykim të kërkuesve, për shkak se ata nuk kanë mundur të realizojnë të drejtën e tyre për të kërkuar dhe kundërshtuar masën e dëmshpërblimit për shkak të humbjes së jetës së familjarit të tyre. Nën këtë optikë, pjesa arsyetuese e vendimmarrjes së Gjykatës së Lartë rezulton të jetë formaliste, duke e larguar qëllimin e procesit nga vetë thelbi i së </w:t>
      </w:r>
      <w:r w:rsidRPr="0042133E">
        <w:rPr>
          <w:rFonts w:ascii="Garamond" w:hAnsi="Garamond"/>
          <w:b w:val="0"/>
          <w:bCs/>
          <w:i/>
          <w:iCs/>
        </w:rPr>
        <w:t>drejtës për jetën</w:t>
      </w:r>
      <w:r w:rsidRPr="0042133E">
        <w:rPr>
          <w:rFonts w:ascii="Garamond" w:hAnsi="Garamond"/>
          <w:b w:val="0"/>
          <w:bCs/>
        </w:rPr>
        <w:t xml:space="preserve">, të parashikuar nga neni 21 i Kushtetutës dhe neni 2 i </w:t>
      </w:r>
      <w:proofErr w:type="spellStart"/>
      <w:r w:rsidRPr="0042133E">
        <w:rPr>
          <w:rFonts w:ascii="Garamond" w:hAnsi="Garamond"/>
          <w:b w:val="0"/>
          <w:bCs/>
        </w:rPr>
        <w:t>KEDNJ</w:t>
      </w:r>
      <w:proofErr w:type="spellEnd"/>
      <w:r w:rsidRPr="0042133E">
        <w:rPr>
          <w:rFonts w:ascii="Garamond" w:hAnsi="Garamond"/>
          <w:b w:val="0"/>
          <w:bCs/>
        </w:rPr>
        <w:t xml:space="preserve">-së, në kuptim të garantimit të së drejtës për dëmshpërblim të përshtatshëm për familjaret e viktimës. Për rrjedhojë, interpretimit të ligjit nga Gjykata e Lartë, në rastin në fjalë, i mungon analiza nga pikëpamja e faktit dhe e së drejtës, duke e bërë atë haptazi të paarsyeshëm ose arbitrar. </w:t>
      </w:r>
    </w:p>
    <w:p w14:paraId="60208CFC" w14:textId="53B30680" w:rsidR="00932AB6" w:rsidRPr="0042133E" w:rsidRDefault="00932AB6" w:rsidP="008A1168">
      <w:pPr>
        <w:pStyle w:val="Heading2"/>
        <w:numPr>
          <w:ilvl w:val="0"/>
          <w:numId w:val="0"/>
        </w:numPr>
        <w:tabs>
          <w:tab w:val="left" w:pos="260"/>
          <w:tab w:val="left" w:pos="1080"/>
        </w:tabs>
        <w:spacing w:line="240" w:lineRule="auto"/>
        <w:ind w:right="0" w:firstLine="284"/>
        <w:jc w:val="both"/>
        <w:rPr>
          <w:rFonts w:ascii="Garamond" w:hAnsi="Garamond"/>
          <w:b w:val="0"/>
          <w:bCs/>
        </w:rPr>
      </w:pPr>
      <w:r w:rsidRPr="0042133E">
        <w:rPr>
          <w:rFonts w:ascii="Garamond" w:hAnsi="Garamond"/>
          <w:b w:val="0"/>
          <w:bCs/>
        </w:rPr>
        <w:t>33.</w:t>
      </w:r>
      <w:r w:rsidR="00F42564" w:rsidRPr="0042133E">
        <w:rPr>
          <w:rFonts w:ascii="Garamond" w:hAnsi="Garamond"/>
          <w:b w:val="0"/>
          <w:bCs/>
        </w:rPr>
        <w:t xml:space="preserve"> </w:t>
      </w:r>
      <w:r w:rsidRPr="0042133E">
        <w:rPr>
          <w:rFonts w:ascii="Garamond" w:hAnsi="Garamond"/>
          <w:b w:val="0"/>
          <w:bCs/>
        </w:rPr>
        <w:t>Në përfundim, Gjykata vlerëson se pretendimi i kërkuesit për cenimin e së drejtës për gjykim të drejtë është i bazuar, sipas arsyetimit të mësipërm të këtij vendimi, ndaj kërkesa pranohet.</w:t>
      </w:r>
    </w:p>
    <w:p w14:paraId="5BCD9508" w14:textId="77777777" w:rsidR="00932AB6" w:rsidRPr="0042133E" w:rsidRDefault="00932AB6" w:rsidP="008A1168">
      <w:pPr>
        <w:pStyle w:val="ListParagraph"/>
        <w:tabs>
          <w:tab w:val="left" w:pos="1080"/>
        </w:tabs>
        <w:spacing w:line="240" w:lineRule="auto"/>
        <w:ind w:left="0" w:firstLine="284"/>
        <w:jc w:val="both"/>
        <w:rPr>
          <w:rFonts w:ascii="Garamond" w:hAnsi="Garamond"/>
        </w:rPr>
      </w:pPr>
    </w:p>
    <w:p w14:paraId="7137EBBB" w14:textId="2C692ABA" w:rsidR="00532C12" w:rsidRPr="0042133E" w:rsidRDefault="00532C12" w:rsidP="008A1168">
      <w:pPr>
        <w:tabs>
          <w:tab w:val="left" w:pos="993"/>
          <w:tab w:val="left" w:pos="1080"/>
        </w:tabs>
        <w:spacing w:line="240" w:lineRule="auto"/>
        <w:ind w:firstLine="284"/>
        <w:jc w:val="center"/>
        <w:rPr>
          <w:rFonts w:ascii="Garamond" w:eastAsia="Times New Roman" w:hAnsi="Garamond"/>
          <w:bCs/>
          <w:lang w:eastAsia="x-none"/>
        </w:rPr>
      </w:pPr>
      <w:r w:rsidRPr="0042133E">
        <w:rPr>
          <w:rFonts w:ascii="Garamond" w:eastAsia="Times New Roman" w:hAnsi="Garamond"/>
          <w:bCs/>
          <w:lang w:eastAsia="x-none"/>
        </w:rPr>
        <w:t>PËR KËTO ARSYE,</w:t>
      </w:r>
    </w:p>
    <w:p w14:paraId="5998DAA1" w14:textId="77777777" w:rsidR="00F42564" w:rsidRPr="0042133E" w:rsidRDefault="00F42564" w:rsidP="008A1168">
      <w:pPr>
        <w:tabs>
          <w:tab w:val="left" w:pos="993"/>
          <w:tab w:val="left" w:pos="1080"/>
        </w:tabs>
        <w:spacing w:line="240" w:lineRule="auto"/>
        <w:ind w:firstLine="284"/>
        <w:jc w:val="center"/>
        <w:rPr>
          <w:rFonts w:ascii="Garamond" w:eastAsia="Times New Roman" w:hAnsi="Garamond"/>
          <w:lang w:eastAsia="x-none"/>
        </w:rPr>
      </w:pPr>
    </w:p>
    <w:p w14:paraId="7137EBBC" w14:textId="6C863E32" w:rsidR="00532C12" w:rsidRPr="0042133E" w:rsidRDefault="00532C12" w:rsidP="008A1168">
      <w:pPr>
        <w:tabs>
          <w:tab w:val="left" w:pos="1080"/>
        </w:tabs>
        <w:spacing w:line="240" w:lineRule="auto"/>
        <w:ind w:firstLine="284"/>
        <w:jc w:val="both"/>
        <w:rPr>
          <w:rFonts w:ascii="Garamond" w:eastAsia="Times New Roman" w:hAnsi="Garamond"/>
          <w:bCs/>
        </w:rPr>
      </w:pPr>
      <w:r w:rsidRPr="0042133E">
        <w:rPr>
          <w:rFonts w:ascii="Garamond" w:eastAsia="Times New Roman" w:hAnsi="Garamond"/>
        </w:rPr>
        <w:t xml:space="preserve">Gjykata Kushtetuese, </w:t>
      </w:r>
      <w:r w:rsidR="001E6E8C" w:rsidRPr="0042133E">
        <w:rPr>
          <w:rFonts w:ascii="Garamond" w:hAnsi="Garamond"/>
        </w:rPr>
        <w:t xml:space="preserve">në mbështetje të neneve 131, pika 1, shkronja “f” dhe 134, pika 1, shkronja “i”, të Kushtetutës, si dhe </w:t>
      </w:r>
      <w:r w:rsidR="001E6E8C" w:rsidRPr="0042133E">
        <w:rPr>
          <w:rFonts w:ascii="Garamond" w:eastAsia="Times New Roman" w:hAnsi="Garamond"/>
        </w:rPr>
        <w:t>neneve 71/a dhe 72</w:t>
      </w:r>
      <w:r w:rsidR="00BE4E8C">
        <w:rPr>
          <w:rFonts w:ascii="Garamond" w:eastAsia="Times New Roman" w:hAnsi="Garamond"/>
        </w:rPr>
        <w:t>, të ligjit nr. 8577, datë 10.</w:t>
      </w:r>
      <w:r w:rsidR="001E6E8C" w:rsidRPr="0042133E">
        <w:rPr>
          <w:rFonts w:ascii="Garamond" w:eastAsia="Times New Roman" w:hAnsi="Garamond"/>
        </w:rPr>
        <w:t>2.2000</w:t>
      </w:r>
      <w:r w:rsidR="00BE4E8C">
        <w:rPr>
          <w:rFonts w:ascii="Garamond" w:eastAsia="Times New Roman" w:hAnsi="Garamond"/>
        </w:rPr>
        <w:t>,</w:t>
      </w:r>
      <w:r w:rsidR="001E6E8C" w:rsidRPr="0042133E">
        <w:rPr>
          <w:rFonts w:ascii="Garamond" w:eastAsia="Times New Roman" w:hAnsi="Garamond"/>
        </w:rPr>
        <w:t xml:space="preserve"> “Për organizimin dhe funksionimin e Gjykatës Kushtetuese të Republikës së Shqipërisë”, të ndryshuar, njëzëri</w:t>
      </w:r>
      <w:r w:rsidRPr="0042133E">
        <w:rPr>
          <w:rFonts w:ascii="Garamond" w:eastAsia="Times New Roman" w:hAnsi="Garamond"/>
        </w:rPr>
        <w:t>,</w:t>
      </w:r>
    </w:p>
    <w:p w14:paraId="7137EBBD" w14:textId="7C0A1ECF" w:rsidR="00B127C6" w:rsidRPr="0042133E" w:rsidRDefault="00B127C6" w:rsidP="008A1168">
      <w:pPr>
        <w:tabs>
          <w:tab w:val="left" w:pos="1080"/>
        </w:tabs>
        <w:spacing w:line="240" w:lineRule="auto"/>
        <w:ind w:firstLine="284"/>
        <w:jc w:val="both"/>
        <w:rPr>
          <w:rFonts w:ascii="Garamond" w:eastAsia="Times New Roman" w:hAnsi="Garamond"/>
          <w:b/>
          <w:bCs/>
        </w:rPr>
      </w:pPr>
      <w:bookmarkStart w:id="2" w:name="_Hlk150862681"/>
    </w:p>
    <w:p w14:paraId="7137EBBE" w14:textId="58082565" w:rsidR="00532C12" w:rsidRPr="0042133E" w:rsidRDefault="00532C12" w:rsidP="008A1168">
      <w:pPr>
        <w:tabs>
          <w:tab w:val="left" w:pos="1080"/>
        </w:tabs>
        <w:spacing w:line="240" w:lineRule="auto"/>
        <w:ind w:firstLine="284"/>
        <w:jc w:val="center"/>
        <w:rPr>
          <w:rFonts w:ascii="Garamond" w:eastAsia="Times New Roman" w:hAnsi="Garamond"/>
          <w:bCs/>
        </w:rPr>
      </w:pPr>
      <w:r w:rsidRPr="0042133E">
        <w:rPr>
          <w:rFonts w:ascii="Garamond" w:eastAsia="Times New Roman" w:hAnsi="Garamond"/>
          <w:bCs/>
        </w:rPr>
        <w:t>VENDOSI:</w:t>
      </w:r>
    </w:p>
    <w:p w14:paraId="4B8F8030" w14:textId="77777777" w:rsidR="00F42564" w:rsidRPr="0042133E" w:rsidRDefault="00F42564" w:rsidP="008A1168">
      <w:pPr>
        <w:tabs>
          <w:tab w:val="left" w:pos="1080"/>
        </w:tabs>
        <w:spacing w:line="240" w:lineRule="auto"/>
        <w:ind w:firstLine="284"/>
        <w:jc w:val="center"/>
        <w:rPr>
          <w:rFonts w:ascii="Garamond" w:eastAsia="Times New Roman" w:hAnsi="Garamond"/>
          <w:bCs/>
        </w:rPr>
      </w:pPr>
    </w:p>
    <w:bookmarkEnd w:id="2"/>
    <w:p w14:paraId="7137EBBF" w14:textId="71F24ABC" w:rsidR="00BE7800" w:rsidRPr="00BE4E8C" w:rsidRDefault="00BE4E8C" w:rsidP="00BE4E8C">
      <w:pPr>
        <w:tabs>
          <w:tab w:val="left" w:pos="90"/>
          <w:tab w:val="left" w:pos="900"/>
        </w:tabs>
        <w:spacing w:line="240" w:lineRule="auto"/>
        <w:ind w:firstLine="284"/>
        <w:jc w:val="both"/>
        <w:rPr>
          <w:rFonts w:ascii="Garamond" w:hAnsi="Garamond"/>
        </w:rPr>
      </w:pPr>
      <w:r w:rsidRPr="00BE4E8C">
        <w:rPr>
          <w:rFonts w:ascii="Garamond" w:hAnsi="Garamond"/>
        </w:rPr>
        <w:t>1.</w:t>
      </w:r>
      <w:r>
        <w:rPr>
          <w:rFonts w:ascii="Garamond" w:hAnsi="Garamond"/>
        </w:rPr>
        <w:t xml:space="preserve"> </w:t>
      </w:r>
      <w:r w:rsidR="00BE7800" w:rsidRPr="00BE4E8C">
        <w:rPr>
          <w:rFonts w:ascii="Garamond" w:hAnsi="Garamond"/>
        </w:rPr>
        <w:t>Pranimin e kërkesës.</w:t>
      </w:r>
    </w:p>
    <w:p w14:paraId="7137EBC0" w14:textId="1754FF73" w:rsidR="00BE7800" w:rsidRPr="0042133E" w:rsidRDefault="00BE4E8C" w:rsidP="008A1168">
      <w:pPr>
        <w:tabs>
          <w:tab w:val="left" w:pos="90"/>
          <w:tab w:val="left" w:pos="990"/>
        </w:tabs>
        <w:spacing w:line="240" w:lineRule="auto"/>
        <w:ind w:firstLine="284"/>
        <w:jc w:val="both"/>
        <w:rPr>
          <w:rFonts w:ascii="Garamond" w:hAnsi="Garamond"/>
        </w:rPr>
      </w:pPr>
      <w:r>
        <w:rPr>
          <w:rFonts w:ascii="Garamond" w:hAnsi="Garamond"/>
        </w:rPr>
        <w:t xml:space="preserve">2. </w:t>
      </w:r>
      <w:r w:rsidR="00BE7800" w:rsidRPr="0042133E">
        <w:rPr>
          <w:rFonts w:ascii="Garamond" w:hAnsi="Garamond"/>
        </w:rPr>
        <w:t>Shfuqizimin e vendimit n</w:t>
      </w:r>
      <w:r w:rsidR="00C95ABE">
        <w:rPr>
          <w:rFonts w:ascii="Garamond" w:hAnsi="Garamond"/>
        </w:rPr>
        <w:t>r. 00-2024-2029 (280), datë 15.</w:t>
      </w:r>
      <w:r w:rsidR="00BE7800" w:rsidRPr="0042133E">
        <w:rPr>
          <w:rFonts w:ascii="Garamond" w:hAnsi="Garamond"/>
        </w:rPr>
        <w:t>5.2024</w:t>
      </w:r>
      <w:r w:rsidR="00C95ABE">
        <w:rPr>
          <w:rFonts w:ascii="Garamond" w:hAnsi="Garamond"/>
        </w:rPr>
        <w:t>,</w:t>
      </w:r>
      <w:r w:rsidR="00BE7800" w:rsidRPr="0042133E">
        <w:rPr>
          <w:rFonts w:ascii="Garamond" w:hAnsi="Garamond"/>
          <w:b/>
        </w:rPr>
        <w:t xml:space="preserve"> </w:t>
      </w:r>
      <w:r w:rsidR="00BE7800" w:rsidRPr="0042133E">
        <w:rPr>
          <w:rFonts w:ascii="Garamond" w:hAnsi="Garamond"/>
        </w:rPr>
        <w:t>të Kolegjit Civil të Gjykatës së Lartë</w:t>
      </w:r>
      <w:r w:rsidR="00BE7800" w:rsidRPr="0042133E">
        <w:rPr>
          <w:rFonts w:ascii="Garamond" w:hAnsi="Garamond"/>
          <w:bCs/>
        </w:rPr>
        <w:t xml:space="preserve">, </w:t>
      </w:r>
      <w:r w:rsidR="00BE7800" w:rsidRPr="0042133E">
        <w:rPr>
          <w:rFonts w:ascii="Garamond" w:hAnsi="Garamond"/>
        </w:rPr>
        <w:t>si të papajtueshëm me Kushtetutën e Republikës së Shqipërisë.</w:t>
      </w:r>
    </w:p>
    <w:p w14:paraId="7137EBC1" w14:textId="23DE2055" w:rsidR="00BE7800" w:rsidRPr="0042133E" w:rsidRDefault="00C95ABE" w:rsidP="008A1168">
      <w:pPr>
        <w:tabs>
          <w:tab w:val="left" w:pos="90"/>
          <w:tab w:val="left" w:pos="900"/>
        </w:tabs>
        <w:spacing w:line="240" w:lineRule="auto"/>
        <w:ind w:firstLine="284"/>
        <w:jc w:val="both"/>
        <w:rPr>
          <w:rFonts w:ascii="Garamond" w:hAnsi="Garamond"/>
        </w:rPr>
      </w:pPr>
      <w:r>
        <w:rPr>
          <w:rFonts w:ascii="Garamond" w:hAnsi="Garamond"/>
        </w:rPr>
        <w:t xml:space="preserve">3. </w:t>
      </w:r>
      <w:r w:rsidR="00BE7800" w:rsidRPr="0042133E">
        <w:rPr>
          <w:rFonts w:ascii="Garamond" w:hAnsi="Garamond"/>
        </w:rPr>
        <w:t>Dërgimin e çështjes për shqyrtim në Gjykatën e Lartë.</w:t>
      </w:r>
    </w:p>
    <w:p w14:paraId="7137EBC2" w14:textId="0885C549" w:rsidR="00532C12" w:rsidRDefault="00532C12" w:rsidP="008A1168">
      <w:pPr>
        <w:tabs>
          <w:tab w:val="left" w:pos="1080"/>
        </w:tabs>
        <w:spacing w:line="240" w:lineRule="auto"/>
        <w:ind w:firstLine="284"/>
        <w:jc w:val="both"/>
        <w:rPr>
          <w:rFonts w:ascii="Garamond" w:eastAsia="Times New Roman" w:hAnsi="Garamond"/>
        </w:rPr>
      </w:pPr>
      <w:r w:rsidRPr="0042133E">
        <w:rPr>
          <w:rFonts w:ascii="Garamond" w:eastAsia="Times New Roman" w:hAnsi="Garamond"/>
        </w:rPr>
        <w:t xml:space="preserve">Ky vendim është përfundimtar dhe hyn </w:t>
      </w:r>
      <w:r w:rsidR="00C95ABE">
        <w:rPr>
          <w:rFonts w:ascii="Garamond" w:eastAsia="Times New Roman" w:hAnsi="Garamond"/>
        </w:rPr>
        <w:t>në fuqi di</w:t>
      </w:r>
      <w:r w:rsidR="00AF3712">
        <w:rPr>
          <w:rFonts w:ascii="Garamond" w:eastAsia="Times New Roman" w:hAnsi="Garamond"/>
        </w:rPr>
        <w:t>tën</w:t>
      </w:r>
      <w:r w:rsidRPr="0042133E">
        <w:rPr>
          <w:rFonts w:ascii="Garamond" w:eastAsia="Times New Roman" w:hAnsi="Garamond"/>
        </w:rPr>
        <w:t xml:space="preserve"> e botimit në Fletoren Zyrtare.</w:t>
      </w:r>
    </w:p>
    <w:p w14:paraId="0EEE46AF" w14:textId="77777777" w:rsidR="00902BF5" w:rsidRPr="0042133E" w:rsidRDefault="00902BF5" w:rsidP="008A1168">
      <w:pPr>
        <w:tabs>
          <w:tab w:val="left" w:pos="1080"/>
        </w:tabs>
        <w:spacing w:line="240" w:lineRule="auto"/>
        <w:ind w:firstLine="284"/>
        <w:jc w:val="both"/>
        <w:rPr>
          <w:rFonts w:ascii="Garamond" w:eastAsia="Times New Roman" w:hAnsi="Garamond"/>
          <w:iCs/>
        </w:rPr>
      </w:pPr>
    </w:p>
    <w:p w14:paraId="7137EBC3" w14:textId="32D8A30A" w:rsidR="00532C12" w:rsidRPr="0042133E" w:rsidRDefault="00532C12" w:rsidP="008A1168">
      <w:pPr>
        <w:keepNext/>
        <w:shd w:val="clear" w:color="auto" w:fill="FFFFFF"/>
        <w:spacing w:line="240" w:lineRule="auto"/>
        <w:ind w:firstLine="284"/>
        <w:jc w:val="both"/>
        <w:outlineLvl w:val="3"/>
        <w:rPr>
          <w:rFonts w:ascii="Garamond" w:eastAsia="Times New Roman" w:hAnsi="Garamond"/>
          <w:b/>
          <w:bCs/>
        </w:rPr>
      </w:pPr>
      <w:r w:rsidRPr="0042133E">
        <w:rPr>
          <w:rFonts w:ascii="Garamond" w:eastAsia="Times New Roman" w:hAnsi="Garamond"/>
          <w:b/>
          <w:bCs/>
        </w:rPr>
        <w:lastRenderedPageBreak/>
        <w:t xml:space="preserve">Marrë më </w:t>
      </w:r>
      <w:r w:rsidR="00BE7800" w:rsidRPr="0042133E">
        <w:rPr>
          <w:rFonts w:ascii="Garamond" w:eastAsia="Times New Roman" w:hAnsi="Garamond"/>
          <w:b/>
          <w:bCs/>
        </w:rPr>
        <w:t>23</w:t>
      </w:r>
      <w:r w:rsidR="008E1BA1" w:rsidRPr="0042133E">
        <w:rPr>
          <w:rFonts w:ascii="Garamond" w:eastAsia="Times New Roman" w:hAnsi="Garamond"/>
          <w:b/>
          <w:bCs/>
        </w:rPr>
        <w:t>.</w:t>
      </w:r>
      <w:r w:rsidR="00BE7800" w:rsidRPr="0042133E">
        <w:rPr>
          <w:rFonts w:ascii="Garamond" w:eastAsia="Times New Roman" w:hAnsi="Garamond"/>
          <w:b/>
          <w:bCs/>
        </w:rPr>
        <w:t>10</w:t>
      </w:r>
      <w:r w:rsidRPr="0042133E">
        <w:rPr>
          <w:rFonts w:ascii="Garamond" w:eastAsia="Times New Roman" w:hAnsi="Garamond"/>
          <w:b/>
          <w:bCs/>
        </w:rPr>
        <w:t>.2025</w:t>
      </w:r>
      <w:r w:rsidR="00C95ABE">
        <w:rPr>
          <w:rFonts w:ascii="Garamond" w:eastAsia="Times New Roman" w:hAnsi="Garamond"/>
          <w:b/>
          <w:bCs/>
        </w:rPr>
        <w:t>.</w:t>
      </w:r>
    </w:p>
    <w:p w14:paraId="7137EBC4" w14:textId="3BF37C51" w:rsidR="00532C12" w:rsidRPr="0042133E" w:rsidRDefault="00532C12" w:rsidP="008A1168">
      <w:pPr>
        <w:keepNext/>
        <w:shd w:val="clear" w:color="auto" w:fill="FFFFFF"/>
        <w:spacing w:line="240" w:lineRule="auto"/>
        <w:ind w:firstLine="284"/>
        <w:jc w:val="both"/>
        <w:outlineLvl w:val="3"/>
        <w:rPr>
          <w:rFonts w:ascii="Garamond" w:eastAsia="Times New Roman" w:hAnsi="Garamond"/>
          <w:b/>
          <w:bCs/>
        </w:rPr>
      </w:pPr>
      <w:r w:rsidRPr="0042133E">
        <w:rPr>
          <w:rFonts w:ascii="Garamond" w:eastAsia="Times New Roman" w:hAnsi="Garamond"/>
          <w:b/>
          <w:bCs/>
        </w:rPr>
        <w:t xml:space="preserve">Shpallur më </w:t>
      </w:r>
      <w:r w:rsidR="00DF7D3C" w:rsidRPr="0042133E">
        <w:rPr>
          <w:rFonts w:ascii="Garamond" w:eastAsia="Times New Roman" w:hAnsi="Garamond"/>
          <w:b/>
          <w:bCs/>
        </w:rPr>
        <w:t>12.12</w:t>
      </w:r>
      <w:r w:rsidR="00BE7800" w:rsidRPr="0042133E">
        <w:rPr>
          <w:rFonts w:ascii="Garamond" w:eastAsia="Times New Roman" w:hAnsi="Garamond"/>
          <w:b/>
          <w:bCs/>
        </w:rPr>
        <w:t>.</w:t>
      </w:r>
      <w:r w:rsidRPr="0042133E">
        <w:rPr>
          <w:rFonts w:ascii="Garamond" w:eastAsia="Times New Roman" w:hAnsi="Garamond"/>
          <w:b/>
          <w:bCs/>
        </w:rPr>
        <w:t>2025</w:t>
      </w:r>
      <w:r w:rsidR="00C95ABE">
        <w:rPr>
          <w:rFonts w:ascii="Garamond" w:eastAsia="Times New Roman" w:hAnsi="Garamond"/>
          <w:b/>
          <w:bCs/>
        </w:rPr>
        <w:t>.</w:t>
      </w:r>
    </w:p>
    <w:p w14:paraId="7137EBC5" w14:textId="27BD2453" w:rsidR="00FD6199" w:rsidRPr="0042133E" w:rsidRDefault="00FD6199" w:rsidP="008A1168">
      <w:pPr>
        <w:tabs>
          <w:tab w:val="left" w:pos="0"/>
        </w:tabs>
        <w:spacing w:line="240" w:lineRule="auto"/>
        <w:ind w:firstLine="284"/>
        <w:rPr>
          <w:rFonts w:ascii="Garamond" w:hAnsi="Garamond"/>
          <w:b/>
          <w:bCs/>
        </w:rPr>
      </w:pPr>
      <w:bookmarkStart w:id="3" w:name="_Hlk184302697"/>
    </w:p>
    <w:p w14:paraId="1E275AEC" w14:textId="4D55F4D6" w:rsidR="00F42564" w:rsidRPr="0042133E" w:rsidRDefault="00F42564" w:rsidP="008A1168">
      <w:pPr>
        <w:tabs>
          <w:tab w:val="left" w:pos="0"/>
        </w:tabs>
        <w:spacing w:line="240" w:lineRule="auto"/>
        <w:ind w:firstLine="284"/>
        <w:rPr>
          <w:rFonts w:ascii="Garamond" w:hAnsi="Garamond"/>
          <w:bCs/>
        </w:rPr>
      </w:pPr>
      <w:r w:rsidRPr="0042133E">
        <w:rPr>
          <w:rFonts w:ascii="Garamond" w:hAnsi="Garamond"/>
          <w:b/>
          <w:bCs/>
        </w:rPr>
        <w:t xml:space="preserve">Kryetare: </w:t>
      </w:r>
      <w:proofErr w:type="spellStart"/>
      <w:r w:rsidRPr="0042133E">
        <w:rPr>
          <w:rFonts w:ascii="Garamond" w:hAnsi="Garamond"/>
          <w:bCs/>
        </w:rPr>
        <w:t>Holta</w:t>
      </w:r>
      <w:proofErr w:type="spellEnd"/>
      <w:r w:rsidRPr="0042133E">
        <w:rPr>
          <w:rFonts w:ascii="Garamond" w:hAnsi="Garamond"/>
          <w:bCs/>
        </w:rPr>
        <w:t xml:space="preserve"> </w:t>
      </w:r>
      <w:proofErr w:type="spellStart"/>
      <w:r w:rsidRPr="0042133E">
        <w:rPr>
          <w:rFonts w:ascii="Garamond" w:hAnsi="Garamond"/>
          <w:bCs/>
        </w:rPr>
        <w:t>Zaçaj</w:t>
      </w:r>
      <w:proofErr w:type="spellEnd"/>
    </w:p>
    <w:p w14:paraId="7137EBC6" w14:textId="2FE97A06" w:rsidR="00532C12" w:rsidRPr="0042133E" w:rsidRDefault="00F42564" w:rsidP="008A1168">
      <w:pPr>
        <w:tabs>
          <w:tab w:val="left" w:pos="0"/>
        </w:tabs>
        <w:spacing w:line="240" w:lineRule="auto"/>
        <w:ind w:firstLine="284"/>
        <w:rPr>
          <w:rFonts w:ascii="Garamond" w:hAnsi="Garamond"/>
          <w:bCs/>
        </w:rPr>
      </w:pPr>
      <w:r w:rsidRPr="0042133E">
        <w:rPr>
          <w:rFonts w:ascii="Garamond" w:hAnsi="Garamond"/>
          <w:b/>
          <w:bCs/>
        </w:rPr>
        <w:t xml:space="preserve">Anëtarë: </w:t>
      </w:r>
      <w:proofErr w:type="spellStart"/>
      <w:r w:rsidRPr="0042133E">
        <w:rPr>
          <w:rFonts w:ascii="Garamond" w:hAnsi="Garamond"/>
          <w:bCs/>
        </w:rPr>
        <w:t>Fiona</w:t>
      </w:r>
      <w:proofErr w:type="spellEnd"/>
      <w:r w:rsidRPr="0042133E">
        <w:rPr>
          <w:rFonts w:ascii="Garamond" w:hAnsi="Garamond"/>
          <w:bCs/>
        </w:rPr>
        <w:t xml:space="preserve"> </w:t>
      </w:r>
      <w:proofErr w:type="spellStart"/>
      <w:r w:rsidRPr="0042133E">
        <w:rPr>
          <w:rFonts w:ascii="Garamond" w:hAnsi="Garamond"/>
          <w:bCs/>
        </w:rPr>
        <w:t>Papajorgji</w:t>
      </w:r>
      <w:proofErr w:type="spellEnd"/>
      <w:r w:rsidRPr="0042133E">
        <w:rPr>
          <w:rFonts w:ascii="Garamond" w:hAnsi="Garamond"/>
          <w:bCs/>
        </w:rPr>
        <w:t xml:space="preserve">, </w:t>
      </w:r>
      <w:proofErr w:type="spellStart"/>
      <w:r w:rsidRPr="0042133E">
        <w:rPr>
          <w:rFonts w:ascii="Garamond" w:hAnsi="Garamond"/>
          <w:bCs/>
        </w:rPr>
        <w:t>Marsida</w:t>
      </w:r>
      <w:proofErr w:type="spellEnd"/>
      <w:r w:rsidRPr="0042133E">
        <w:rPr>
          <w:rFonts w:ascii="Garamond" w:hAnsi="Garamond"/>
          <w:bCs/>
        </w:rPr>
        <w:t xml:space="preserve"> </w:t>
      </w:r>
      <w:proofErr w:type="spellStart"/>
      <w:r w:rsidRPr="0042133E">
        <w:rPr>
          <w:rFonts w:ascii="Garamond" w:hAnsi="Garamond"/>
          <w:bCs/>
        </w:rPr>
        <w:t>Xhaferllari</w:t>
      </w:r>
      <w:proofErr w:type="spellEnd"/>
      <w:r w:rsidRPr="0042133E">
        <w:rPr>
          <w:rFonts w:ascii="Garamond" w:hAnsi="Garamond"/>
          <w:bCs/>
        </w:rPr>
        <w:t xml:space="preserve">, Ilir Toska, </w:t>
      </w:r>
      <w:proofErr w:type="spellStart"/>
      <w:r w:rsidRPr="0042133E">
        <w:rPr>
          <w:rFonts w:ascii="Garamond" w:hAnsi="Garamond"/>
          <w:bCs/>
        </w:rPr>
        <w:t>Sandër</w:t>
      </w:r>
      <w:proofErr w:type="spellEnd"/>
      <w:r w:rsidRPr="0042133E">
        <w:rPr>
          <w:rFonts w:ascii="Garamond" w:hAnsi="Garamond"/>
          <w:bCs/>
        </w:rPr>
        <w:t xml:space="preserve"> Beci, </w:t>
      </w:r>
      <w:proofErr w:type="spellStart"/>
      <w:r w:rsidRPr="0042133E">
        <w:rPr>
          <w:rFonts w:ascii="Garamond" w:hAnsi="Garamond"/>
          <w:bCs/>
        </w:rPr>
        <w:t>Sonila</w:t>
      </w:r>
      <w:proofErr w:type="spellEnd"/>
      <w:r w:rsidRPr="0042133E">
        <w:rPr>
          <w:rFonts w:ascii="Garamond" w:hAnsi="Garamond"/>
          <w:bCs/>
        </w:rPr>
        <w:t xml:space="preserve"> Bejtja, </w:t>
      </w:r>
      <w:proofErr w:type="spellStart"/>
      <w:r w:rsidRPr="0042133E">
        <w:rPr>
          <w:rFonts w:ascii="Garamond" w:hAnsi="Garamond"/>
          <w:bCs/>
        </w:rPr>
        <w:t>Marjana</w:t>
      </w:r>
      <w:proofErr w:type="spellEnd"/>
      <w:r w:rsidRPr="0042133E">
        <w:rPr>
          <w:rFonts w:ascii="Garamond" w:hAnsi="Garamond"/>
          <w:bCs/>
        </w:rPr>
        <w:t xml:space="preserve"> </w:t>
      </w:r>
      <w:proofErr w:type="spellStart"/>
      <w:r w:rsidRPr="0042133E">
        <w:rPr>
          <w:rFonts w:ascii="Garamond" w:hAnsi="Garamond"/>
          <w:bCs/>
        </w:rPr>
        <w:t>Semini</w:t>
      </w:r>
      <w:proofErr w:type="spellEnd"/>
      <w:r w:rsidRPr="0042133E">
        <w:rPr>
          <w:rFonts w:ascii="Garamond" w:hAnsi="Garamond"/>
          <w:bCs/>
        </w:rPr>
        <w:t>, Genti Ibrahimi</w:t>
      </w:r>
    </w:p>
    <w:bookmarkEnd w:id="3"/>
    <w:p w14:paraId="7137EBD2" w14:textId="77777777" w:rsidR="00DF7D3C" w:rsidRPr="0042133E" w:rsidRDefault="00DF7D3C" w:rsidP="008A1168">
      <w:pPr>
        <w:tabs>
          <w:tab w:val="left" w:pos="0"/>
        </w:tabs>
        <w:spacing w:line="240" w:lineRule="auto"/>
        <w:ind w:firstLine="284"/>
        <w:jc w:val="both"/>
        <w:rPr>
          <w:rFonts w:ascii="Garamond" w:hAnsi="Garamond"/>
          <w:bCs/>
        </w:rPr>
      </w:pPr>
    </w:p>
    <w:sectPr w:rsidR="00DF7D3C" w:rsidRPr="0042133E" w:rsidSect="00FD6199">
      <w:footerReference w:type="first" r:id="rId11"/>
      <w:pgSz w:w="11906" w:h="16838"/>
      <w:pgMar w:top="810" w:right="1440" w:bottom="1440" w:left="1440" w:header="720" w:footer="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0FCBECF8" w16cex:dateUtc="2025-11-20T23:40:00Z"/>
  <w16cex:commentExtensible w16cex:durableId="13C97824" w16cex:dateUtc="2025-11-20T23:47:00Z"/>
  <w16cex:commentExtensible w16cex:durableId="528DC11C" w16cex:dateUtc="2025-11-20T23:57:00Z"/>
  <w16cex:commentExtensible w16cex:durableId="36533A9E" w16cex:dateUtc="2025-11-20T23:4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9E220C" w14:textId="77777777" w:rsidR="00AF3712" w:rsidRDefault="00AF3712">
      <w:pPr>
        <w:spacing w:line="240" w:lineRule="auto"/>
      </w:pPr>
      <w:r>
        <w:separator/>
      </w:r>
    </w:p>
  </w:endnote>
  <w:endnote w:type="continuationSeparator" w:id="0">
    <w:p w14:paraId="3D82E33F" w14:textId="77777777" w:rsidR="00AF3712" w:rsidRDefault="00AF3712">
      <w:pPr>
        <w:spacing w:line="240" w:lineRule="auto"/>
      </w:pPr>
      <w:r>
        <w:continuationSeparator/>
      </w:r>
    </w:p>
  </w:endnote>
  <w:endnote w:type="continuationNotice" w:id="1">
    <w:p w14:paraId="0CC6A0AB" w14:textId="77777777" w:rsidR="00AF3712" w:rsidRDefault="00AF371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37EBE3" w14:textId="77777777" w:rsidR="00AF3712" w:rsidRDefault="00AF3712">
    <w:pPr>
      <w:pStyle w:val="Footer"/>
    </w:pPr>
  </w:p>
  <w:p w14:paraId="7137EBE4" w14:textId="77777777" w:rsidR="00AF3712" w:rsidRDefault="00AF3712" w:rsidP="0043185D">
    <w:pPr>
      <w:pStyle w:val="Footer"/>
      <w:tabs>
        <w:tab w:val="clear" w:pos="4680"/>
        <w:tab w:val="clear" w:pos="9360"/>
        <w:tab w:val="left" w:pos="312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EB358F" w14:textId="77777777" w:rsidR="00AF3712" w:rsidRDefault="00AF3712">
      <w:pPr>
        <w:spacing w:line="240" w:lineRule="auto"/>
      </w:pPr>
      <w:r>
        <w:separator/>
      </w:r>
    </w:p>
  </w:footnote>
  <w:footnote w:type="continuationSeparator" w:id="0">
    <w:p w14:paraId="492E78AD" w14:textId="77777777" w:rsidR="00AF3712" w:rsidRDefault="00AF3712">
      <w:pPr>
        <w:spacing w:line="240" w:lineRule="auto"/>
      </w:pPr>
      <w:r>
        <w:continuationSeparator/>
      </w:r>
    </w:p>
  </w:footnote>
  <w:footnote w:type="continuationNotice" w:id="1">
    <w:p w14:paraId="08337AE7" w14:textId="77777777" w:rsidR="00AF3712" w:rsidRDefault="00AF3712">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A4A2D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CD3F36"/>
    <w:multiLevelType w:val="hybridMultilevel"/>
    <w:tmpl w:val="6B24DDBE"/>
    <w:lvl w:ilvl="0" w:tplc="281AE9E2">
      <w:start w:val="1"/>
      <w:numFmt w:val="decimal"/>
      <w:lvlText w:val="%1."/>
      <w:lvlJc w:val="left"/>
      <w:pPr>
        <w:ind w:left="36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74D0C9D"/>
    <w:multiLevelType w:val="multilevel"/>
    <w:tmpl w:val="54F6C8E0"/>
    <w:lvl w:ilvl="0">
      <w:start w:val="1"/>
      <w:numFmt w:val="decimal"/>
      <w:lvlText w:val="%1."/>
      <w:lvlJc w:val="left"/>
      <w:pPr>
        <w:ind w:left="1890" w:hanging="720"/>
      </w:pPr>
      <w:rPr>
        <w:rFonts w:ascii="Times New Roman" w:eastAsia="Calibri" w:hAnsi="Times New Roman" w:cs="Times New Roman"/>
        <w:b w:val="0"/>
        <w:i w:val="0"/>
        <w:strike w:val="0"/>
        <w:color w:val="auto"/>
        <w:sz w:val="24"/>
        <w:szCs w:val="24"/>
      </w:rPr>
    </w:lvl>
    <w:lvl w:ilvl="1">
      <w:start w:val="1"/>
      <w:numFmt w:val="decimal"/>
      <w:isLgl/>
      <w:lvlText w:val="%1.%2."/>
      <w:lvlJc w:val="left"/>
      <w:pPr>
        <w:ind w:left="1260" w:hanging="360"/>
      </w:pPr>
      <w:rPr>
        <w:rFonts w:hint="default"/>
        <w:b w:val="0"/>
        <w:i w:val="0"/>
      </w:rPr>
    </w:lvl>
    <w:lvl w:ilvl="2">
      <w:start w:val="1"/>
      <w:numFmt w:val="decimal"/>
      <w:isLgl/>
      <w:lvlText w:val="%1.%2.%3."/>
      <w:lvlJc w:val="left"/>
      <w:pPr>
        <w:ind w:left="1980" w:hanging="720"/>
      </w:pPr>
      <w:rPr>
        <w:rFonts w:hint="default"/>
        <w:b w:val="0"/>
        <w:i w:val="0"/>
        <w:color w:val="auto"/>
      </w:rPr>
    </w:lvl>
    <w:lvl w:ilvl="3">
      <w:start w:val="1"/>
      <w:numFmt w:val="lowerRoman"/>
      <w:lvlText w:val="%4."/>
      <w:lvlJc w:val="right"/>
      <w:pPr>
        <w:ind w:left="1890" w:hanging="360"/>
      </w:p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4" w15:restartNumberingAfterBreak="0">
    <w:nsid w:val="22B83099"/>
    <w:multiLevelType w:val="hybridMultilevel"/>
    <w:tmpl w:val="5A0AAF30"/>
    <w:lvl w:ilvl="0" w:tplc="F3B407C4">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5" w15:restartNumberingAfterBreak="0">
    <w:nsid w:val="298624C5"/>
    <w:multiLevelType w:val="hybridMultilevel"/>
    <w:tmpl w:val="1520F50A"/>
    <w:lvl w:ilvl="0" w:tplc="03FE7D12">
      <w:start w:val="1"/>
      <w:numFmt w:val="upperLetter"/>
      <w:lvlText w:val="%1."/>
      <w:lvlJc w:val="left"/>
      <w:pPr>
        <w:ind w:left="1288" w:hanging="360"/>
      </w:pPr>
      <w:rPr>
        <w:rFonts w:hint="default"/>
        <w:b w:val="0"/>
        <w:i/>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6" w15:restartNumberingAfterBreak="0">
    <w:nsid w:val="2F713E3F"/>
    <w:multiLevelType w:val="hybridMultilevel"/>
    <w:tmpl w:val="ED126330"/>
    <w:lvl w:ilvl="0" w:tplc="1326D7F8">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7" w15:restartNumberingAfterBreak="0">
    <w:nsid w:val="2F840D0E"/>
    <w:multiLevelType w:val="hybridMultilevel"/>
    <w:tmpl w:val="13724E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B243B1"/>
    <w:multiLevelType w:val="hybridMultilevel"/>
    <w:tmpl w:val="E66E9D66"/>
    <w:lvl w:ilvl="0" w:tplc="77E4C974">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9" w15:restartNumberingAfterBreak="0">
    <w:nsid w:val="3E62679B"/>
    <w:multiLevelType w:val="multilevel"/>
    <w:tmpl w:val="7714D744"/>
    <w:lvl w:ilvl="0">
      <w:start w:val="12"/>
      <w:numFmt w:val="decimal"/>
      <w:lvlText w:val="%1."/>
      <w:lvlJc w:val="left"/>
      <w:pPr>
        <w:ind w:left="480" w:hanging="480"/>
      </w:pPr>
      <w:rPr>
        <w:rFonts w:hint="default"/>
        <w:i w:val="0"/>
      </w:rPr>
    </w:lvl>
    <w:lvl w:ilvl="1">
      <w:start w:val="1"/>
      <w:numFmt w:val="decimal"/>
      <w:lvlText w:val="%1.%2."/>
      <w:lvlJc w:val="left"/>
      <w:pPr>
        <w:ind w:left="5520" w:hanging="480"/>
      </w:pPr>
      <w:rPr>
        <w:rFonts w:hint="default"/>
        <w:i w:val="0"/>
      </w:rPr>
    </w:lvl>
    <w:lvl w:ilvl="2">
      <w:start w:val="1"/>
      <w:numFmt w:val="decimal"/>
      <w:lvlText w:val="%1.%2.%3."/>
      <w:lvlJc w:val="left"/>
      <w:pPr>
        <w:ind w:left="3240" w:hanging="720"/>
      </w:pPr>
      <w:rPr>
        <w:rFonts w:hint="default"/>
        <w:i w:val="0"/>
      </w:rPr>
    </w:lvl>
    <w:lvl w:ilvl="3">
      <w:start w:val="1"/>
      <w:numFmt w:val="decimal"/>
      <w:lvlText w:val="%1.%2.%3.%4."/>
      <w:lvlJc w:val="left"/>
      <w:pPr>
        <w:ind w:left="4500" w:hanging="720"/>
      </w:pPr>
      <w:rPr>
        <w:rFonts w:hint="default"/>
        <w:i/>
      </w:rPr>
    </w:lvl>
    <w:lvl w:ilvl="4">
      <w:start w:val="1"/>
      <w:numFmt w:val="decimal"/>
      <w:lvlText w:val="%1.%2.%3.%4.%5."/>
      <w:lvlJc w:val="left"/>
      <w:pPr>
        <w:ind w:left="6120" w:hanging="1080"/>
      </w:pPr>
      <w:rPr>
        <w:rFonts w:hint="default"/>
        <w:i/>
      </w:rPr>
    </w:lvl>
    <w:lvl w:ilvl="5">
      <w:start w:val="1"/>
      <w:numFmt w:val="decimal"/>
      <w:lvlText w:val="%1.%2.%3.%4.%5.%6."/>
      <w:lvlJc w:val="left"/>
      <w:pPr>
        <w:ind w:left="7380" w:hanging="1080"/>
      </w:pPr>
      <w:rPr>
        <w:rFonts w:hint="default"/>
        <w:i/>
      </w:rPr>
    </w:lvl>
    <w:lvl w:ilvl="6">
      <w:start w:val="1"/>
      <w:numFmt w:val="decimal"/>
      <w:lvlText w:val="%1.%2.%3.%4.%5.%6.%7."/>
      <w:lvlJc w:val="left"/>
      <w:pPr>
        <w:ind w:left="9000" w:hanging="1440"/>
      </w:pPr>
      <w:rPr>
        <w:rFonts w:hint="default"/>
        <w:i/>
      </w:rPr>
    </w:lvl>
    <w:lvl w:ilvl="7">
      <w:start w:val="1"/>
      <w:numFmt w:val="decimal"/>
      <w:lvlText w:val="%1.%2.%3.%4.%5.%6.%7.%8."/>
      <w:lvlJc w:val="left"/>
      <w:pPr>
        <w:ind w:left="10260" w:hanging="1440"/>
      </w:pPr>
      <w:rPr>
        <w:rFonts w:hint="default"/>
        <w:i/>
      </w:rPr>
    </w:lvl>
    <w:lvl w:ilvl="8">
      <w:start w:val="1"/>
      <w:numFmt w:val="decimal"/>
      <w:lvlText w:val="%1.%2.%3.%4.%5.%6.%7.%8.%9."/>
      <w:lvlJc w:val="left"/>
      <w:pPr>
        <w:ind w:left="11880" w:hanging="1800"/>
      </w:pPr>
      <w:rPr>
        <w:rFonts w:hint="default"/>
        <w:i/>
      </w:rPr>
    </w:lvl>
  </w:abstractNum>
  <w:abstractNum w:abstractNumId="10" w15:restartNumberingAfterBreak="0">
    <w:nsid w:val="3F1D7D79"/>
    <w:multiLevelType w:val="multilevel"/>
    <w:tmpl w:val="BB508716"/>
    <w:lvl w:ilvl="0">
      <w:start w:val="15"/>
      <w:numFmt w:val="decimal"/>
      <w:lvlText w:val="%1."/>
      <w:lvlJc w:val="left"/>
      <w:pPr>
        <w:ind w:left="4440" w:hanging="480"/>
      </w:pPr>
      <w:rPr>
        <w:rFonts w:hint="default"/>
        <w:i w:val="0"/>
      </w:rPr>
    </w:lvl>
    <w:lvl w:ilvl="1">
      <w:start w:val="1"/>
      <w:numFmt w:val="decimal"/>
      <w:lvlText w:val="%1.%2."/>
      <w:lvlJc w:val="left"/>
      <w:pPr>
        <w:ind w:left="840" w:hanging="48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03611C2"/>
    <w:multiLevelType w:val="multilevel"/>
    <w:tmpl w:val="62164DBC"/>
    <w:lvl w:ilvl="0">
      <w:start w:val="10"/>
      <w:numFmt w:val="decimal"/>
      <w:lvlText w:val="%1."/>
      <w:lvlJc w:val="left"/>
      <w:pPr>
        <w:ind w:left="480" w:hanging="480"/>
      </w:pPr>
      <w:rPr>
        <w:rFonts w:hint="default"/>
        <w:b/>
        <w:i/>
      </w:rPr>
    </w:lvl>
    <w:lvl w:ilvl="1">
      <w:start w:val="1"/>
      <w:numFmt w:val="decimal"/>
      <w:lvlText w:val="%1.%2."/>
      <w:lvlJc w:val="left"/>
      <w:pPr>
        <w:ind w:left="1200" w:hanging="480"/>
      </w:pPr>
      <w:rPr>
        <w:rFonts w:hint="default"/>
        <w:b w:val="0"/>
        <w:i w:val="0"/>
      </w:rPr>
    </w:lvl>
    <w:lvl w:ilvl="2">
      <w:start w:val="1"/>
      <w:numFmt w:val="decimal"/>
      <w:lvlText w:val="%1.%2.%3."/>
      <w:lvlJc w:val="left"/>
      <w:pPr>
        <w:ind w:left="2160" w:hanging="720"/>
      </w:pPr>
      <w:rPr>
        <w:rFonts w:hint="default"/>
        <w:b/>
        <w:i/>
      </w:rPr>
    </w:lvl>
    <w:lvl w:ilvl="3">
      <w:start w:val="1"/>
      <w:numFmt w:val="decimal"/>
      <w:lvlText w:val="%1.%2.%3.%4."/>
      <w:lvlJc w:val="left"/>
      <w:pPr>
        <w:ind w:left="2880" w:hanging="720"/>
      </w:pPr>
      <w:rPr>
        <w:rFonts w:hint="default"/>
        <w:b/>
        <w:i/>
      </w:rPr>
    </w:lvl>
    <w:lvl w:ilvl="4">
      <w:start w:val="1"/>
      <w:numFmt w:val="decimal"/>
      <w:lvlText w:val="%1.%2.%3.%4.%5."/>
      <w:lvlJc w:val="left"/>
      <w:pPr>
        <w:ind w:left="3960" w:hanging="1080"/>
      </w:pPr>
      <w:rPr>
        <w:rFonts w:hint="default"/>
        <w:b/>
        <w:i/>
      </w:rPr>
    </w:lvl>
    <w:lvl w:ilvl="5">
      <w:start w:val="1"/>
      <w:numFmt w:val="decimal"/>
      <w:lvlText w:val="%1.%2.%3.%4.%5.%6."/>
      <w:lvlJc w:val="left"/>
      <w:pPr>
        <w:ind w:left="4680" w:hanging="1080"/>
      </w:pPr>
      <w:rPr>
        <w:rFonts w:hint="default"/>
        <w:b/>
        <w:i/>
      </w:rPr>
    </w:lvl>
    <w:lvl w:ilvl="6">
      <w:start w:val="1"/>
      <w:numFmt w:val="decimal"/>
      <w:lvlText w:val="%1.%2.%3.%4.%5.%6.%7."/>
      <w:lvlJc w:val="left"/>
      <w:pPr>
        <w:ind w:left="5760" w:hanging="1440"/>
      </w:pPr>
      <w:rPr>
        <w:rFonts w:hint="default"/>
        <w:b/>
        <w:i/>
      </w:rPr>
    </w:lvl>
    <w:lvl w:ilvl="7">
      <w:start w:val="1"/>
      <w:numFmt w:val="decimal"/>
      <w:lvlText w:val="%1.%2.%3.%4.%5.%6.%7.%8."/>
      <w:lvlJc w:val="left"/>
      <w:pPr>
        <w:ind w:left="6480" w:hanging="1440"/>
      </w:pPr>
      <w:rPr>
        <w:rFonts w:hint="default"/>
        <w:b/>
        <w:i/>
      </w:rPr>
    </w:lvl>
    <w:lvl w:ilvl="8">
      <w:start w:val="1"/>
      <w:numFmt w:val="decimal"/>
      <w:lvlText w:val="%1.%2.%3.%4.%5.%6.%7.%8.%9."/>
      <w:lvlJc w:val="left"/>
      <w:pPr>
        <w:ind w:left="7560" w:hanging="1800"/>
      </w:pPr>
      <w:rPr>
        <w:rFonts w:hint="default"/>
        <w:b/>
        <w:i/>
      </w:rPr>
    </w:lvl>
  </w:abstractNum>
  <w:abstractNum w:abstractNumId="12" w15:restartNumberingAfterBreak="0">
    <w:nsid w:val="564717C3"/>
    <w:multiLevelType w:val="multilevel"/>
    <w:tmpl w:val="8724D864"/>
    <w:lvl w:ilvl="0">
      <w:start w:val="9"/>
      <w:numFmt w:val="decimal"/>
      <w:lvlText w:val="%1."/>
      <w:lvlJc w:val="left"/>
      <w:pPr>
        <w:ind w:left="360" w:hanging="360"/>
      </w:pPr>
      <w:rPr>
        <w:rFonts w:hint="default"/>
        <w:b/>
        <w:i/>
      </w:rPr>
    </w:lvl>
    <w:lvl w:ilvl="1">
      <w:start w:val="1"/>
      <w:numFmt w:val="decimal"/>
      <w:lvlText w:val="%1.%2."/>
      <w:lvlJc w:val="left"/>
      <w:pPr>
        <w:ind w:left="1080" w:hanging="360"/>
      </w:pPr>
      <w:rPr>
        <w:rFonts w:hint="default"/>
        <w:b w:val="0"/>
        <w:i w:val="0"/>
      </w:rPr>
    </w:lvl>
    <w:lvl w:ilvl="2">
      <w:start w:val="1"/>
      <w:numFmt w:val="decimal"/>
      <w:lvlText w:val="%1.%2.%3."/>
      <w:lvlJc w:val="left"/>
      <w:pPr>
        <w:ind w:left="2160" w:hanging="720"/>
      </w:pPr>
      <w:rPr>
        <w:rFonts w:hint="default"/>
        <w:b/>
        <w:i/>
      </w:rPr>
    </w:lvl>
    <w:lvl w:ilvl="3">
      <w:start w:val="1"/>
      <w:numFmt w:val="decimal"/>
      <w:lvlText w:val="%1.%2.%3.%4."/>
      <w:lvlJc w:val="left"/>
      <w:pPr>
        <w:ind w:left="2880" w:hanging="720"/>
      </w:pPr>
      <w:rPr>
        <w:rFonts w:hint="default"/>
        <w:b/>
        <w:i/>
      </w:rPr>
    </w:lvl>
    <w:lvl w:ilvl="4">
      <w:start w:val="1"/>
      <w:numFmt w:val="decimal"/>
      <w:lvlText w:val="%1.%2.%3.%4.%5."/>
      <w:lvlJc w:val="left"/>
      <w:pPr>
        <w:ind w:left="3960" w:hanging="1080"/>
      </w:pPr>
      <w:rPr>
        <w:rFonts w:hint="default"/>
        <w:b/>
        <w:i/>
      </w:rPr>
    </w:lvl>
    <w:lvl w:ilvl="5">
      <w:start w:val="1"/>
      <w:numFmt w:val="decimal"/>
      <w:lvlText w:val="%1.%2.%3.%4.%5.%6."/>
      <w:lvlJc w:val="left"/>
      <w:pPr>
        <w:ind w:left="4680" w:hanging="1080"/>
      </w:pPr>
      <w:rPr>
        <w:rFonts w:hint="default"/>
        <w:b/>
        <w:i/>
      </w:rPr>
    </w:lvl>
    <w:lvl w:ilvl="6">
      <w:start w:val="1"/>
      <w:numFmt w:val="decimal"/>
      <w:lvlText w:val="%1.%2.%3.%4.%5.%6.%7."/>
      <w:lvlJc w:val="left"/>
      <w:pPr>
        <w:ind w:left="5760" w:hanging="1440"/>
      </w:pPr>
      <w:rPr>
        <w:rFonts w:hint="default"/>
        <w:b/>
        <w:i/>
      </w:rPr>
    </w:lvl>
    <w:lvl w:ilvl="7">
      <w:start w:val="1"/>
      <w:numFmt w:val="decimal"/>
      <w:lvlText w:val="%1.%2.%3.%4.%5.%6.%7.%8."/>
      <w:lvlJc w:val="left"/>
      <w:pPr>
        <w:ind w:left="6480" w:hanging="1440"/>
      </w:pPr>
      <w:rPr>
        <w:rFonts w:hint="default"/>
        <w:b/>
        <w:i/>
      </w:rPr>
    </w:lvl>
    <w:lvl w:ilvl="8">
      <w:start w:val="1"/>
      <w:numFmt w:val="decimal"/>
      <w:lvlText w:val="%1.%2.%3.%4.%5.%6.%7.%8.%9."/>
      <w:lvlJc w:val="left"/>
      <w:pPr>
        <w:ind w:left="7560" w:hanging="1800"/>
      </w:pPr>
      <w:rPr>
        <w:rFonts w:hint="default"/>
        <w:b/>
        <w:i/>
      </w:rPr>
    </w:lvl>
  </w:abstractNum>
  <w:abstractNum w:abstractNumId="13" w15:restartNumberingAfterBreak="0">
    <w:nsid w:val="56524B4F"/>
    <w:multiLevelType w:val="multilevel"/>
    <w:tmpl w:val="60423872"/>
    <w:lvl w:ilvl="0">
      <w:start w:val="1"/>
      <w:numFmt w:val="decimal"/>
      <w:lvlText w:val="%1."/>
      <w:lvlJc w:val="left"/>
      <w:pPr>
        <w:ind w:left="360" w:hanging="360"/>
      </w:pPr>
      <w:rPr>
        <w:b w:val="0"/>
        <w:i w:val="0"/>
      </w:rPr>
    </w:lvl>
    <w:lvl w:ilvl="1">
      <w:start w:val="1"/>
      <w:numFmt w:val="upperLetter"/>
      <w:lvlText w:val="%2)"/>
      <w:lvlJc w:val="left"/>
      <w:pPr>
        <w:ind w:left="792" w:hanging="432"/>
      </w:pPr>
      <w:rPr>
        <w:rFonts w:ascii="Times New Roman" w:eastAsia="MS Mincho" w:hAnsi="Times New Roman" w:cs="Times New Roman"/>
        <w: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F5A42D3"/>
    <w:multiLevelType w:val="multilevel"/>
    <w:tmpl w:val="6A7809FC"/>
    <w:lvl w:ilvl="0">
      <w:start w:val="8"/>
      <w:numFmt w:val="decimal"/>
      <w:lvlText w:val="%1."/>
      <w:lvlJc w:val="left"/>
      <w:pPr>
        <w:ind w:left="360" w:hanging="360"/>
      </w:pPr>
      <w:rPr>
        <w:rFonts w:eastAsiaTheme="minorHAnsi" w:hint="default"/>
        <w:i/>
      </w:rPr>
    </w:lvl>
    <w:lvl w:ilvl="1">
      <w:start w:val="1"/>
      <w:numFmt w:val="decimal"/>
      <w:lvlText w:val="%1.%2."/>
      <w:lvlJc w:val="left"/>
      <w:pPr>
        <w:ind w:left="360" w:hanging="360"/>
      </w:pPr>
      <w:rPr>
        <w:rFonts w:eastAsiaTheme="minorHAnsi" w:hint="default"/>
        <w:i w:val="0"/>
      </w:rPr>
    </w:lvl>
    <w:lvl w:ilvl="2">
      <w:start w:val="1"/>
      <w:numFmt w:val="decimal"/>
      <w:lvlText w:val="%1.%2.%3."/>
      <w:lvlJc w:val="left"/>
      <w:pPr>
        <w:ind w:left="720" w:hanging="720"/>
      </w:pPr>
      <w:rPr>
        <w:rFonts w:eastAsiaTheme="minorHAnsi" w:hint="default"/>
        <w:i/>
      </w:rPr>
    </w:lvl>
    <w:lvl w:ilvl="3">
      <w:start w:val="1"/>
      <w:numFmt w:val="decimal"/>
      <w:lvlText w:val="%1.%2.%3.%4."/>
      <w:lvlJc w:val="left"/>
      <w:pPr>
        <w:ind w:left="720" w:hanging="720"/>
      </w:pPr>
      <w:rPr>
        <w:rFonts w:eastAsiaTheme="minorHAnsi" w:hint="default"/>
        <w:i/>
      </w:rPr>
    </w:lvl>
    <w:lvl w:ilvl="4">
      <w:start w:val="1"/>
      <w:numFmt w:val="decimal"/>
      <w:lvlText w:val="%1.%2.%3.%4.%5."/>
      <w:lvlJc w:val="left"/>
      <w:pPr>
        <w:ind w:left="1080" w:hanging="1080"/>
      </w:pPr>
      <w:rPr>
        <w:rFonts w:eastAsiaTheme="minorHAnsi" w:hint="default"/>
        <w:i/>
      </w:rPr>
    </w:lvl>
    <w:lvl w:ilvl="5">
      <w:start w:val="1"/>
      <w:numFmt w:val="decimal"/>
      <w:lvlText w:val="%1.%2.%3.%4.%5.%6."/>
      <w:lvlJc w:val="left"/>
      <w:pPr>
        <w:ind w:left="1080" w:hanging="1080"/>
      </w:pPr>
      <w:rPr>
        <w:rFonts w:eastAsiaTheme="minorHAnsi" w:hint="default"/>
        <w:i/>
      </w:rPr>
    </w:lvl>
    <w:lvl w:ilvl="6">
      <w:start w:val="1"/>
      <w:numFmt w:val="decimal"/>
      <w:lvlText w:val="%1.%2.%3.%4.%5.%6.%7."/>
      <w:lvlJc w:val="left"/>
      <w:pPr>
        <w:ind w:left="1440" w:hanging="1440"/>
      </w:pPr>
      <w:rPr>
        <w:rFonts w:eastAsiaTheme="minorHAnsi" w:hint="default"/>
        <w:i/>
      </w:rPr>
    </w:lvl>
    <w:lvl w:ilvl="7">
      <w:start w:val="1"/>
      <w:numFmt w:val="decimal"/>
      <w:lvlText w:val="%1.%2.%3.%4.%5.%6.%7.%8."/>
      <w:lvlJc w:val="left"/>
      <w:pPr>
        <w:ind w:left="1440" w:hanging="1440"/>
      </w:pPr>
      <w:rPr>
        <w:rFonts w:eastAsiaTheme="minorHAnsi" w:hint="default"/>
        <w:i/>
      </w:rPr>
    </w:lvl>
    <w:lvl w:ilvl="8">
      <w:start w:val="1"/>
      <w:numFmt w:val="decimal"/>
      <w:lvlText w:val="%1.%2.%3.%4.%5.%6.%7.%8.%9."/>
      <w:lvlJc w:val="left"/>
      <w:pPr>
        <w:ind w:left="1800" w:hanging="1800"/>
      </w:pPr>
      <w:rPr>
        <w:rFonts w:eastAsiaTheme="minorHAnsi" w:hint="default"/>
        <w:i/>
      </w:rPr>
    </w:lvl>
  </w:abstractNum>
  <w:abstractNum w:abstractNumId="15" w15:restartNumberingAfterBreak="0">
    <w:nsid w:val="6FB70972"/>
    <w:multiLevelType w:val="multilevel"/>
    <w:tmpl w:val="BB60F77E"/>
    <w:lvl w:ilvl="0">
      <w:start w:val="1"/>
      <w:numFmt w:val="decimal"/>
      <w:lvlText w:val="%1."/>
      <w:lvlJc w:val="left"/>
      <w:pPr>
        <w:ind w:left="1080" w:hanging="360"/>
      </w:pPr>
      <w:rPr>
        <w:rFonts w:hint="default"/>
      </w:rPr>
    </w:lvl>
    <w:lvl w:ilvl="1">
      <w:start w:val="1"/>
      <w:numFmt w:val="decimal"/>
      <w:isLgl/>
      <w:lvlText w:val="%1.%2."/>
      <w:lvlJc w:val="left"/>
      <w:pPr>
        <w:ind w:left="1155" w:hanging="43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78DA1022"/>
    <w:multiLevelType w:val="hybridMultilevel"/>
    <w:tmpl w:val="2A4AD4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331AE200">
      <w:start w:val="1"/>
      <w:numFmt w:val="upperLetter"/>
      <w:lvlText w:val="%3."/>
      <w:lvlJc w:val="left"/>
      <w:pPr>
        <w:ind w:left="2340" w:hanging="36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53022A"/>
    <w:multiLevelType w:val="hybridMultilevel"/>
    <w:tmpl w:val="07F6BA62"/>
    <w:lvl w:ilvl="0" w:tplc="207EC6D2">
      <w:start w:val="2"/>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14"/>
  </w:num>
  <w:num w:numId="4">
    <w:abstractNumId w:val="12"/>
  </w:num>
  <w:num w:numId="5">
    <w:abstractNumId w:val="11"/>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7"/>
  </w:num>
  <w:num w:numId="9">
    <w:abstractNumId w:val="3"/>
  </w:num>
  <w:num w:numId="10">
    <w:abstractNumId w:val="10"/>
  </w:num>
  <w:num w:numId="11">
    <w:abstractNumId w:val="13"/>
  </w:num>
  <w:num w:numId="12">
    <w:abstractNumId w:val="2"/>
  </w:num>
  <w:num w:numId="13">
    <w:abstractNumId w:val="2"/>
  </w:num>
  <w:num w:numId="14">
    <w:abstractNumId w:val="9"/>
  </w:num>
  <w:num w:numId="15">
    <w:abstractNumId w:val="2"/>
  </w:num>
  <w:num w:numId="16">
    <w:abstractNumId w:val="7"/>
  </w:num>
  <w:num w:numId="17">
    <w:abstractNumId w:val="5"/>
  </w:num>
  <w:num w:numId="18">
    <w:abstractNumId w:val="2"/>
  </w:num>
  <w:num w:numId="19">
    <w:abstractNumId w:val="2"/>
  </w:num>
  <w:num w:numId="20">
    <w:abstractNumId w:val="16"/>
  </w:num>
  <w:num w:numId="21">
    <w:abstractNumId w:val="15"/>
  </w:num>
  <w:num w:numId="22">
    <w:abstractNumId w:val="4"/>
  </w:num>
  <w:num w:numId="23">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C12"/>
    <w:rsid w:val="00002FB7"/>
    <w:rsid w:val="00010BD3"/>
    <w:rsid w:val="00010FEF"/>
    <w:rsid w:val="00012E02"/>
    <w:rsid w:val="000151EE"/>
    <w:rsid w:val="00023BF2"/>
    <w:rsid w:val="00023C70"/>
    <w:rsid w:val="00030A6D"/>
    <w:rsid w:val="00043FEA"/>
    <w:rsid w:val="00075748"/>
    <w:rsid w:val="0008017C"/>
    <w:rsid w:val="00087D54"/>
    <w:rsid w:val="000908B1"/>
    <w:rsid w:val="00093AA3"/>
    <w:rsid w:val="00096832"/>
    <w:rsid w:val="000A048A"/>
    <w:rsid w:val="000A3C4F"/>
    <w:rsid w:val="000B36BC"/>
    <w:rsid w:val="000C0A8A"/>
    <w:rsid w:val="000C13A8"/>
    <w:rsid w:val="000C68C5"/>
    <w:rsid w:val="000C6EF6"/>
    <w:rsid w:val="000D3240"/>
    <w:rsid w:val="000D32C8"/>
    <w:rsid w:val="000D3966"/>
    <w:rsid w:val="000D4699"/>
    <w:rsid w:val="000D5256"/>
    <w:rsid w:val="000D5B6D"/>
    <w:rsid w:val="000D736E"/>
    <w:rsid w:val="000F0416"/>
    <w:rsid w:val="000F67A0"/>
    <w:rsid w:val="00114122"/>
    <w:rsid w:val="00122626"/>
    <w:rsid w:val="00122ECD"/>
    <w:rsid w:val="00126AAC"/>
    <w:rsid w:val="00126EBB"/>
    <w:rsid w:val="00130F03"/>
    <w:rsid w:val="00131791"/>
    <w:rsid w:val="00133C17"/>
    <w:rsid w:val="001460CA"/>
    <w:rsid w:val="0015181A"/>
    <w:rsid w:val="00154983"/>
    <w:rsid w:val="00155392"/>
    <w:rsid w:val="001556FE"/>
    <w:rsid w:val="001563EE"/>
    <w:rsid w:val="0016317E"/>
    <w:rsid w:val="001668B4"/>
    <w:rsid w:val="00167063"/>
    <w:rsid w:val="00176689"/>
    <w:rsid w:val="0018006D"/>
    <w:rsid w:val="0018673F"/>
    <w:rsid w:val="00186C91"/>
    <w:rsid w:val="00191A0B"/>
    <w:rsid w:val="00193104"/>
    <w:rsid w:val="001933DF"/>
    <w:rsid w:val="001944CD"/>
    <w:rsid w:val="00194A40"/>
    <w:rsid w:val="001979B9"/>
    <w:rsid w:val="001A2EE9"/>
    <w:rsid w:val="001A5071"/>
    <w:rsid w:val="001A635E"/>
    <w:rsid w:val="001C02B7"/>
    <w:rsid w:val="001C7DFE"/>
    <w:rsid w:val="001D171F"/>
    <w:rsid w:val="001E1DB4"/>
    <w:rsid w:val="001E47E7"/>
    <w:rsid w:val="001E597B"/>
    <w:rsid w:val="001E6E8C"/>
    <w:rsid w:val="001F2F0B"/>
    <w:rsid w:val="001F7664"/>
    <w:rsid w:val="00205C53"/>
    <w:rsid w:val="00211DCE"/>
    <w:rsid w:val="00212AC8"/>
    <w:rsid w:val="00221E00"/>
    <w:rsid w:val="002230D3"/>
    <w:rsid w:val="00225152"/>
    <w:rsid w:val="002267FF"/>
    <w:rsid w:val="00233013"/>
    <w:rsid w:val="00245F03"/>
    <w:rsid w:val="002614F0"/>
    <w:rsid w:val="00274083"/>
    <w:rsid w:val="00276343"/>
    <w:rsid w:val="002769A1"/>
    <w:rsid w:val="00290301"/>
    <w:rsid w:val="00291FD7"/>
    <w:rsid w:val="0029575D"/>
    <w:rsid w:val="002962A0"/>
    <w:rsid w:val="002A591E"/>
    <w:rsid w:val="002A75DB"/>
    <w:rsid w:val="002B0448"/>
    <w:rsid w:val="002B4FF2"/>
    <w:rsid w:val="002C08B5"/>
    <w:rsid w:val="002C48C4"/>
    <w:rsid w:val="002D23C8"/>
    <w:rsid w:val="002E1ACF"/>
    <w:rsid w:val="002E60E8"/>
    <w:rsid w:val="002F265A"/>
    <w:rsid w:val="002F6EB1"/>
    <w:rsid w:val="003041FD"/>
    <w:rsid w:val="003045AF"/>
    <w:rsid w:val="00304945"/>
    <w:rsid w:val="00311B86"/>
    <w:rsid w:val="003132C2"/>
    <w:rsid w:val="00314FA5"/>
    <w:rsid w:val="00320AE1"/>
    <w:rsid w:val="00322B5C"/>
    <w:rsid w:val="00323F6F"/>
    <w:rsid w:val="0032411C"/>
    <w:rsid w:val="00330070"/>
    <w:rsid w:val="00337ABA"/>
    <w:rsid w:val="003407A0"/>
    <w:rsid w:val="00343DAD"/>
    <w:rsid w:val="00351BCE"/>
    <w:rsid w:val="00353979"/>
    <w:rsid w:val="0035497C"/>
    <w:rsid w:val="00355ED9"/>
    <w:rsid w:val="0035674B"/>
    <w:rsid w:val="00357834"/>
    <w:rsid w:val="003619F0"/>
    <w:rsid w:val="003625E6"/>
    <w:rsid w:val="00364D80"/>
    <w:rsid w:val="00374675"/>
    <w:rsid w:val="00375A78"/>
    <w:rsid w:val="00383893"/>
    <w:rsid w:val="00386F60"/>
    <w:rsid w:val="00386F7D"/>
    <w:rsid w:val="0038773B"/>
    <w:rsid w:val="003941C6"/>
    <w:rsid w:val="00396942"/>
    <w:rsid w:val="003A1B95"/>
    <w:rsid w:val="003A2F05"/>
    <w:rsid w:val="003A428F"/>
    <w:rsid w:val="003A62A8"/>
    <w:rsid w:val="003C544E"/>
    <w:rsid w:val="003D01D4"/>
    <w:rsid w:val="003D3E00"/>
    <w:rsid w:val="003D4AF6"/>
    <w:rsid w:val="003D7CB0"/>
    <w:rsid w:val="003E263C"/>
    <w:rsid w:val="003F36B3"/>
    <w:rsid w:val="003F4695"/>
    <w:rsid w:val="00405526"/>
    <w:rsid w:val="0041236E"/>
    <w:rsid w:val="00420ACE"/>
    <w:rsid w:val="0042133E"/>
    <w:rsid w:val="00424966"/>
    <w:rsid w:val="0042511D"/>
    <w:rsid w:val="004262B9"/>
    <w:rsid w:val="0043185D"/>
    <w:rsid w:val="004321C3"/>
    <w:rsid w:val="00437C81"/>
    <w:rsid w:val="00440570"/>
    <w:rsid w:val="00443D3C"/>
    <w:rsid w:val="00444852"/>
    <w:rsid w:val="00447F4A"/>
    <w:rsid w:val="004508EF"/>
    <w:rsid w:val="00451A89"/>
    <w:rsid w:val="0045330A"/>
    <w:rsid w:val="00455918"/>
    <w:rsid w:val="00456CBE"/>
    <w:rsid w:val="004576C3"/>
    <w:rsid w:val="00465AD3"/>
    <w:rsid w:val="00467D8A"/>
    <w:rsid w:val="00475967"/>
    <w:rsid w:val="0047716C"/>
    <w:rsid w:val="004773A0"/>
    <w:rsid w:val="00481076"/>
    <w:rsid w:val="00483AFA"/>
    <w:rsid w:val="004B56E0"/>
    <w:rsid w:val="004D6581"/>
    <w:rsid w:val="004E2292"/>
    <w:rsid w:val="004E4797"/>
    <w:rsid w:val="004E6193"/>
    <w:rsid w:val="004E78B9"/>
    <w:rsid w:val="004F0003"/>
    <w:rsid w:val="004F1555"/>
    <w:rsid w:val="004F3694"/>
    <w:rsid w:val="005111DC"/>
    <w:rsid w:val="00514713"/>
    <w:rsid w:val="00517D4A"/>
    <w:rsid w:val="0052016F"/>
    <w:rsid w:val="00522831"/>
    <w:rsid w:val="00532C12"/>
    <w:rsid w:val="00543312"/>
    <w:rsid w:val="005433F9"/>
    <w:rsid w:val="00546229"/>
    <w:rsid w:val="00546E49"/>
    <w:rsid w:val="00554C95"/>
    <w:rsid w:val="0055535C"/>
    <w:rsid w:val="00556812"/>
    <w:rsid w:val="00556C94"/>
    <w:rsid w:val="005604DE"/>
    <w:rsid w:val="0059077D"/>
    <w:rsid w:val="005A0461"/>
    <w:rsid w:val="005A336D"/>
    <w:rsid w:val="005A3E61"/>
    <w:rsid w:val="005A7DD0"/>
    <w:rsid w:val="005B69F6"/>
    <w:rsid w:val="005C768B"/>
    <w:rsid w:val="005D35C1"/>
    <w:rsid w:val="005D5100"/>
    <w:rsid w:val="005D6830"/>
    <w:rsid w:val="005E5EBE"/>
    <w:rsid w:val="005F6F2A"/>
    <w:rsid w:val="005F6FF9"/>
    <w:rsid w:val="006144ED"/>
    <w:rsid w:val="00624724"/>
    <w:rsid w:val="00630690"/>
    <w:rsid w:val="006335E6"/>
    <w:rsid w:val="00640822"/>
    <w:rsid w:val="00641F32"/>
    <w:rsid w:val="006422B6"/>
    <w:rsid w:val="00646699"/>
    <w:rsid w:val="00650FDF"/>
    <w:rsid w:val="00655BBE"/>
    <w:rsid w:val="0065749C"/>
    <w:rsid w:val="00657D40"/>
    <w:rsid w:val="00663B1B"/>
    <w:rsid w:val="00676174"/>
    <w:rsid w:val="00677501"/>
    <w:rsid w:val="0067792F"/>
    <w:rsid w:val="00682086"/>
    <w:rsid w:val="006918C9"/>
    <w:rsid w:val="006922E7"/>
    <w:rsid w:val="00697220"/>
    <w:rsid w:val="00697538"/>
    <w:rsid w:val="006A05B9"/>
    <w:rsid w:val="006A0C43"/>
    <w:rsid w:val="006B0BAF"/>
    <w:rsid w:val="006C1956"/>
    <w:rsid w:val="006C5715"/>
    <w:rsid w:val="006C7797"/>
    <w:rsid w:val="006D15D9"/>
    <w:rsid w:val="006D38B1"/>
    <w:rsid w:val="006D5338"/>
    <w:rsid w:val="006D6FA4"/>
    <w:rsid w:val="006D7C10"/>
    <w:rsid w:val="006D7DFB"/>
    <w:rsid w:val="006F04C1"/>
    <w:rsid w:val="006F3390"/>
    <w:rsid w:val="006F53EB"/>
    <w:rsid w:val="00702003"/>
    <w:rsid w:val="007043DF"/>
    <w:rsid w:val="00707BC6"/>
    <w:rsid w:val="007121E7"/>
    <w:rsid w:val="00712D6E"/>
    <w:rsid w:val="00713A02"/>
    <w:rsid w:val="007150AD"/>
    <w:rsid w:val="0073049E"/>
    <w:rsid w:val="00742009"/>
    <w:rsid w:val="00744B2C"/>
    <w:rsid w:val="00751EE0"/>
    <w:rsid w:val="00754361"/>
    <w:rsid w:val="00754A4B"/>
    <w:rsid w:val="00763A65"/>
    <w:rsid w:val="007705C9"/>
    <w:rsid w:val="00773533"/>
    <w:rsid w:val="007764DC"/>
    <w:rsid w:val="00776FD2"/>
    <w:rsid w:val="00780E56"/>
    <w:rsid w:val="0078474C"/>
    <w:rsid w:val="00791373"/>
    <w:rsid w:val="00793CCF"/>
    <w:rsid w:val="007A0487"/>
    <w:rsid w:val="007A29E5"/>
    <w:rsid w:val="007A3706"/>
    <w:rsid w:val="007B08A8"/>
    <w:rsid w:val="007B137F"/>
    <w:rsid w:val="007B3A9B"/>
    <w:rsid w:val="007B5358"/>
    <w:rsid w:val="007C01D5"/>
    <w:rsid w:val="007D45EE"/>
    <w:rsid w:val="007E303B"/>
    <w:rsid w:val="007E3CBD"/>
    <w:rsid w:val="007E4C93"/>
    <w:rsid w:val="007E79FE"/>
    <w:rsid w:val="00800441"/>
    <w:rsid w:val="008021D1"/>
    <w:rsid w:val="0080496F"/>
    <w:rsid w:val="00821CA6"/>
    <w:rsid w:val="00825C7E"/>
    <w:rsid w:val="00830365"/>
    <w:rsid w:val="00832EA6"/>
    <w:rsid w:val="00842070"/>
    <w:rsid w:val="008547C1"/>
    <w:rsid w:val="008568C0"/>
    <w:rsid w:val="008570C8"/>
    <w:rsid w:val="008647D3"/>
    <w:rsid w:val="00866A57"/>
    <w:rsid w:val="008704F2"/>
    <w:rsid w:val="008707CE"/>
    <w:rsid w:val="00871065"/>
    <w:rsid w:val="00876445"/>
    <w:rsid w:val="0088382C"/>
    <w:rsid w:val="00884EE9"/>
    <w:rsid w:val="008955FB"/>
    <w:rsid w:val="008A1168"/>
    <w:rsid w:val="008A1D4B"/>
    <w:rsid w:val="008A3C6D"/>
    <w:rsid w:val="008A7566"/>
    <w:rsid w:val="008A774F"/>
    <w:rsid w:val="008A7A8E"/>
    <w:rsid w:val="008C02AB"/>
    <w:rsid w:val="008C466C"/>
    <w:rsid w:val="008C5A73"/>
    <w:rsid w:val="008C6410"/>
    <w:rsid w:val="008D4E8F"/>
    <w:rsid w:val="008E0B68"/>
    <w:rsid w:val="008E1BA1"/>
    <w:rsid w:val="008E371F"/>
    <w:rsid w:val="008E4082"/>
    <w:rsid w:val="008E761C"/>
    <w:rsid w:val="008F3F52"/>
    <w:rsid w:val="008F5D26"/>
    <w:rsid w:val="008F6484"/>
    <w:rsid w:val="008F650F"/>
    <w:rsid w:val="008F7098"/>
    <w:rsid w:val="00902BF5"/>
    <w:rsid w:val="0090398D"/>
    <w:rsid w:val="0090770F"/>
    <w:rsid w:val="00907E99"/>
    <w:rsid w:val="0092151E"/>
    <w:rsid w:val="00932AB6"/>
    <w:rsid w:val="00943ED5"/>
    <w:rsid w:val="00944B66"/>
    <w:rsid w:val="00945865"/>
    <w:rsid w:val="00956D2D"/>
    <w:rsid w:val="0096448A"/>
    <w:rsid w:val="009672A0"/>
    <w:rsid w:val="0097130E"/>
    <w:rsid w:val="009820F7"/>
    <w:rsid w:val="009829F7"/>
    <w:rsid w:val="00983173"/>
    <w:rsid w:val="00985AFA"/>
    <w:rsid w:val="00986229"/>
    <w:rsid w:val="009908E7"/>
    <w:rsid w:val="00992523"/>
    <w:rsid w:val="009A08BF"/>
    <w:rsid w:val="009A0FCA"/>
    <w:rsid w:val="009A4578"/>
    <w:rsid w:val="009B0407"/>
    <w:rsid w:val="009B723A"/>
    <w:rsid w:val="009C0E17"/>
    <w:rsid w:val="009E7D2D"/>
    <w:rsid w:val="009F189E"/>
    <w:rsid w:val="009F3654"/>
    <w:rsid w:val="00A010F0"/>
    <w:rsid w:val="00A01A07"/>
    <w:rsid w:val="00A06036"/>
    <w:rsid w:val="00A10F3E"/>
    <w:rsid w:val="00A213C2"/>
    <w:rsid w:val="00A22224"/>
    <w:rsid w:val="00A25025"/>
    <w:rsid w:val="00A3381E"/>
    <w:rsid w:val="00A33CE8"/>
    <w:rsid w:val="00A40EB9"/>
    <w:rsid w:val="00A41E8F"/>
    <w:rsid w:val="00A464B2"/>
    <w:rsid w:val="00A50964"/>
    <w:rsid w:val="00A53B79"/>
    <w:rsid w:val="00A5531E"/>
    <w:rsid w:val="00A62C27"/>
    <w:rsid w:val="00A63C37"/>
    <w:rsid w:val="00A72680"/>
    <w:rsid w:val="00A75F66"/>
    <w:rsid w:val="00A7604F"/>
    <w:rsid w:val="00A8105D"/>
    <w:rsid w:val="00A81A7B"/>
    <w:rsid w:val="00A84575"/>
    <w:rsid w:val="00A8534C"/>
    <w:rsid w:val="00A866B3"/>
    <w:rsid w:val="00A925B3"/>
    <w:rsid w:val="00A97447"/>
    <w:rsid w:val="00AA1A1A"/>
    <w:rsid w:val="00AA2F63"/>
    <w:rsid w:val="00AB3EBC"/>
    <w:rsid w:val="00AB68C1"/>
    <w:rsid w:val="00AC0206"/>
    <w:rsid w:val="00AC4B4B"/>
    <w:rsid w:val="00AD27E1"/>
    <w:rsid w:val="00AD3109"/>
    <w:rsid w:val="00AE0A70"/>
    <w:rsid w:val="00AE0C78"/>
    <w:rsid w:val="00AE604C"/>
    <w:rsid w:val="00AE722E"/>
    <w:rsid w:val="00AF3712"/>
    <w:rsid w:val="00AF3E0D"/>
    <w:rsid w:val="00AF5937"/>
    <w:rsid w:val="00B01610"/>
    <w:rsid w:val="00B06405"/>
    <w:rsid w:val="00B127C6"/>
    <w:rsid w:val="00B144AA"/>
    <w:rsid w:val="00B15589"/>
    <w:rsid w:val="00B16E74"/>
    <w:rsid w:val="00B17ADD"/>
    <w:rsid w:val="00B26D61"/>
    <w:rsid w:val="00B3283F"/>
    <w:rsid w:val="00B33599"/>
    <w:rsid w:val="00B3483A"/>
    <w:rsid w:val="00B34E8D"/>
    <w:rsid w:val="00B574D2"/>
    <w:rsid w:val="00B7483A"/>
    <w:rsid w:val="00B74909"/>
    <w:rsid w:val="00B7625E"/>
    <w:rsid w:val="00B810DA"/>
    <w:rsid w:val="00B826E1"/>
    <w:rsid w:val="00B85C4E"/>
    <w:rsid w:val="00B906A7"/>
    <w:rsid w:val="00B96D5A"/>
    <w:rsid w:val="00B96DAB"/>
    <w:rsid w:val="00B974C1"/>
    <w:rsid w:val="00BA1A48"/>
    <w:rsid w:val="00BA1D29"/>
    <w:rsid w:val="00BB103C"/>
    <w:rsid w:val="00BB4FE6"/>
    <w:rsid w:val="00BB5002"/>
    <w:rsid w:val="00BC06F0"/>
    <w:rsid w:val="00BC6999"/>
    <w:rsid w:val="00BD1E78"/>
    <w:rsid w:val="00BD3457"/>
    <w:rsid w:val="00BE2594"/>
    <w:rsid w:val="00BE4E8C"/>
    <w:rsid w:val="00BE692B"/>
    <w:rsid w:val="00BE7800"/>
    <w:rsid w:val="00BF06B3"/>
    <w:rsid w:val="00BF5507"/>
    <w:rsid w:val="00BF5C27"/>
    <w:rsid w:val="00BF7A08"/>
    <w:rsid w:val="00C00917"/>
    <w:rsid w:val="00C066F8"/>
    <w:rsid w:val="00C10672"/>
    <w:rsid w:val="00C1283D"/>
    <w:rsid w:val="00C14BC6"/>
    <w:rsid w:val="00C2008D"/>
    <w:rsid w:val="00C34DAB"/>
    <w:rsid w:val="00C35F89"/>
    <w:rsid w:val="00C4033C"/>
    <w:rsid w:val="00C41205"/>
    <w:rsid w:val="00C4681A"/>
    <w:rsid w:val="00C55537"/>
    <w:rsid w:val="00C63091"/>
    <w:rsid w:val="00C70757"/>
    <w:rsid w:val="00C7222F"/>
    <w:rsid w:val="00C75FDB"/>
    <w:rsid w:val="00C76406"/>
    <w:rsid w:val="00C923F1"/>
    <w:rsid w:val="00C95ABE"/>
    <w:rsid w:val="00CA0FFA"/>
    <w:rsid w:val="00CA7F60"/>
    <w:rsid w:val="00CC55A9"/>
    <w:rsid w:val="00CD128F"/>
    <w:rsid w:val="00CE0FCD"/>
    <w:rsid w:val="00CE455A"/>
    <w:rsid w:val="00CE73E8"/>
    <w:rsid w:val="00CF25D5"/>
    <w:rsid w:val="00CF6A4E"/>
    <w:rsid w:val="00D021E0"/>
    <w:rsid w:val="00D067B3"/>
    <w:rsid w:val="00D10114"/>
    <w:rsid w:val="00D16A87"/>
    <w:rsid w:val="00D16F52"/>
    <w:rsid w:val="00D21743"/>
    <w:rsid w:val="00D255ED"/>
    <w:rsid w:val="00D409EE"/>
    <w:rsid w:val="00D43F88"/>
    <w:rsid w:val="00D52D07"/>
    <w:rsid w:val="00D534E3"/>
    <w:rsid w:val="00D57BE9"/>
    <w:rsid w:val="00D64D1A"/>
    <w:rsid w:val="00D66532"/>
    <w:rsid w:val="00D67670"/>
    <w:rsid w:val="00D72D9A"/>
    <w:rsid w:val="00D76070"/>
    <w:rsid w:val="00D81078"/>
    <w:rsid w:val="00D8155E"/>
    <w:rsid w:val="00D818E8"/>
    <w:rsid w:val="00D91B2C"/>
    <w:rsid w:val="00D95910"/>
    <w:rsid w:val="00DA3D2F"/>
    <w:rsid w:val="00DB18BF"/>
    <w:rsid w:val="00DB4E6F"/>
    <w:rsid w:val="00DC04A3"/>
    <w:rsid w:val="00DC0538"/>
    <w:rsid w:val="00DC1565"/>
    <w:rsid w:val="00DC1FAC"/>
    <w:rsid w:val="00DC2B45"/>
    <w:rsid w:val="00DC2C1E"/>
    <w:rsid w:val="00DC7FA3"/>
    <w:rsid w:val="00DE63E2"/>
    <w:rsid w:val="00DE763C"/>
    <w:rsid w:val="00DF5B13"/>
    <w:rsid w:val="00DF6B74"/>
    <w:rsid w:val="00DF7D3C"/>
    <w:rsid w:val="00DF7E94"/>
    <w:rsid w:val="00E037A7"/>
    <w:rsid w:val="00E03E9F"/>
    <w:rsid w:val="00E07E2A"/>
    <w:rsid w:val="00E12103"/>
    <w:rsid w:val="00E133C4"/>
    <w:rsid w:val="00E254D2"/>
    <w:rsid w:val="00E304BD"/>
    <w:rsid w:val="00E3669F"/>
    <w:rsid w:val="00E42D92"/>
    <w:rsid w:val="00E43162"/>
    <w:rsid w:val="00E44715"/>
    <w:rsid w:val="00E5190C"/>
    <w:rsid w:val="00E52C76"/>
    <w:rsid w:val="00E5611F"/>
    <w:rsid w:val="00E60FBE"/>
    <w:rsid w:val="00E674DE"/>
    <w:rsid w:val="00E6796B"/>
    <w:rsid w:val="00E75DF5"/>
    <w:rsid w:val="00E8522F"/>
    <w:rsid w:val="00E90A27"/>
    <w:rsid w:val="00E9395A"/>
    <w:rsid w:val="00E9704A"/>
    <w:rsid w:val="00EA0790"/>
    <w:rsid w:val="00EA0C4D"/>
    <w:rsid w:val="00EA4F05"/>
    <w:rsid w:val="00EA5D4C"/>
    <w:rsid w:val="00EC72D0"/>
    <w:rsid w:val="00ED0E27"/>
    <w:rsid w:val="00ED187F"/>
    <w:rsid w:val="00ED23D5"/>
    <w:rsid w:val="00ED61E5"/>
    <w:rsid w:val="00EE5602"/>
    <w:rsid w:val="00EF00CE"/>
    <w:rsid w:val="00EF39E9"/>
    <w:rsid w:val="00EF599D"/>
    <w:rsid w:val="00EF628B"/>
    <w:rsid w:val="00EF64A2"/>
    <w:rsid w:val="00F01C1E"/>
    <w:rsid w:val="00F039C7"/>
    <w:rsid w:val="00F047DC"/>
    <w:rsid w:val="00F20931"/>
    <w:rsid w:val="00F23819"/>
    <w:rsid w:val="00F266A9"/>
    <w:rsid w:val="00F27D11"/>
    <w:rsid w:val="00F35B9E"/>
    <w:rsid w:val="00F42564"/>
    <w:rsid w:val="00F44973"/>
    <w:rsid w:val="00F451C0"/>
    <w:rsid w:val="00F45459"/>
    <w:rsid w:val="00F5005F"/>
    <w:rsid w:val="00F65F75"/>
    <w:rsid w:val="00F70C60"/>
    <w:rsid w:val="00F8098B"/>
    <w:rsid w:val="00F80C4C"/>
    <w:rsid w:val="00F83DAF"/>
    <w:rsid w:val="00F84F7E"/>
    <w:rsid w:val="00F85A8B"/>
    <w:rsid w:val="00F928AF"/>
    <w:rsid w:val="00F93A13"/>
    <w:rsid w:val="00FA0542"/>
    <w:rsid w:val="00FA4AB6"/>
    <w:rsid w:val="00FA6362"/>
    <w:rsid w:val="00FB144E"/>
    <w:rsid w:val="00FB18FE"/>
    <w:rsid w:val="00FC50FD"/>
    <w:rsid w:val="00FD00FE"/>
    <w:rsid w:val="00FD1C28"/>
    <w:rsid w:val="00FD4B6A"/>
    <w:rsid w:val="00FD6199"/>
    <w:rsid w:val="00FD71D8"/>
    <w:rsid w:val="00FF3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7EB61"/>
  <w15:chartTrackingRefBased/>
  <w15:docId w15:val="{84B6090B-6790-43C9-A576-CA59CFCE7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2C12"/>
    <w:pPr>
      <w:spacing w:after="0" w:line="360" w:lineRule="auto"/>
    </w:pPr>
    <w:rPr>
      <w:rFonts w:ascii="Times New Roman" w:hAnsi="Times New Roman" w:cs="Times New Roman"/>
      <w:sz w:val="24"/>
      <w:szCs w:val="24"/>
      <w:lang w:val="sq-AL"/>
    </w:rPr>
  </w:style>
  <w:style w:type="paragraph" w:styleId="Heading1">
    <w:name w:val="heading 1"/>
    <w:basedOn w:val="Normal"/>
    <w:next w:val="Normal"/>
    <w:link w:val="Heading1Char"/>
    <w:uiPriority w:val="9"/>
    <w:qFormat/>
    <w:rsid w:val="00532C12"/>
    <w:pPr>
      <w:keepNext/>
      <w:numPr>
        <w:numId w:val="1"/>
      </w:numPr>
      <w:jc w:val="center"/>
      <w:outlineLvl w:val="0"/>
    </w:pPr>
    <w:rPr>
      <w:b/>
    </w:rPr>
  </w:style>
  <w:style w:type="paragraph" w:styleId="Heading2">
    <w:name w:val="heading 2"/>
    <w:basedOn w:val="Normal"/>
    <w:next w:val="Normal"/>
    <w:link w:val="Heading2Char"/>
    <w:uiPriority w:val="9"/>
    <w:unhideWhenUsed/>
    <w:qFormat/>
    <w:rsid w:val="00532C12"/>
    <w:pPr>
      <w:keepNext/>
      <w:numPr>
        <w:ilvl w:val="1"/>
        <w:numId w:val="1"/>
      </w:numPr>
      <w:ind w:right="-244"/>
      <w:outlineLvl w:val="1"/>
    </w:pPr>
    <w:rPr>
      <w:b/>
    </w:rPr>
  </w:style>
  <w:style w:type="paragraph" w:styleId="Heading3">
    <w:name w:val="heading 3"/>
    <w:basedOn w:val="Normal"/>
    <w:next w:val="Normal"/>
    <w:link w:val="Heading3Char"/>
    <w:uiPriority w:val="9"/>
    <w:semiHidden/>
    <w:unhideWhenUsed/>
    <w:qFormat/>
    <w:rsid w:val="00532C12"/>
    <w:pPr>
      <w:keepNext/>
      <w:keepLines/>
      <w:numPr>
        <w:ilvl w:val="2"/>
        <w:numId w:val="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532C12"/>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32C12"/>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32C12"/>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32C12"/>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32C12"/>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32C12"/>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2C12"/>
    <w:rPr>
      <w:rFonts w:ascii="Times New Roman" w:hAnsi="Times New Roman" w:cs="Times New Roman"/>
      <w:b/>
      <w:sz w:val="24"/>
      <w:szCs w:val="24"/>
      <w:lang w:val="sq-AL"/>
    </w:rPr>
  </w:style>
  <w:style w:type="character" w:customStyle="1" w:styleId="Heading2Char">
    <w:name w:val="Heading 2 Char"/>
    <w:basedOn w:val="DefaultParagraphFont"/>
    <w:link w:val="Heading2"/>
    <w:uiPriority w:val="9"/>
    <w:rsid w:val="00532C12"/>
    <w:rPr>
      <w:rFonts w:ascii="Times New Roman" w:hAnsi="Times New Roman" w:cs="Times New Roman"/>
      <w:b/>
      <w:sz w:val="24"/>
      <w:szCs w:val="24"/>
      <w:lang w:val="sq-AL"/>
    </w:rPr>
  </w:style>
  <w:style w:type="character" w:customStyle="1" w:styleId="Heading3Char">
    <w:name w:val="Heading 3 Char"/>
    <w:basedOn w:val="DefaultParagraphFont"/>
    <w:link w:val="Heading3"/>
    <w:uiPriority w:val="9"/>
    <w:semiHidden/>
    <w:rsid w:val="00532C12"/>
    <w:rPr>
      <w:rFonts w:asciiTheme="majorHAnsi" w:eastAsiaTheme="majorEastAsia" w:hAnsiTheme="majorHAnsi" w:cstheme="majorBidi"/>
      <w:color w:val="1F3763" w:themeColor="accent1" w:themeShade="7F"/>
      <w:sz w:val="24"/>
      <w:szCs w:val="24"/>
      <w:lang w:val="sq-AL"/>
    </w:rPr>
  </w:style>
  <w:style w:type="character" w:customStyle="1" w:styleId="Heading4Char">
    <w:name w:val="Heading 4 Char"/>
    <w:basedOn w:val="DefaultParagraphFont"/>
    <w:link w:val="Heading4"/>
    <w:uiPriority w:val="9"/>
    <w:semiHidden/>
    <w:rsid w:val="00532C12"/>
    <w:rPr>
      <w:rFonts w:asciiTheme="majorHAnsi" w:eastAsiaTheme="majorEastAsia" w:hAnsiTheme="majorHAnsi" w:cstheme="majorBidi"/>
      <w:i/>
      <w:iCs/>
      <w:color w:val="2F5496" w:themeColor="accent1" w:themeShade="BF"/>
      <w:sz w:val="24"/>
      <w:szCs w:val="24"/>
      <w:lang w:val="sq-AL"/>
    </w:rPr>
  </w:style>
  <w:style w:type="character" w:customStyle="1" w:styleId="Heading5Char">
    <w:name w:val="Heading 5 Char"/>
    <w:basedOn w:val="DefaultParagraphFont"/>
    <w:link w:val="Heading5"/>
    <w:uiPriority w:val="9"/>
    <w:semiHidden/>
    <w:rsid w:val="00532C12"/>
    <w:rPr>
      <w:rFonts w:asciiTheme="majorHAnsi" w:eastAsiaTheme="majorEastAsia" w:hAnsiTheme="majorHAnsi" w:cstheme="majorBidi"/>
      <w:color w:val="2F5496" w:themeColor="accent1" w:themeShade="BF"/>
      <w:sz w:val="24"/>
      <w:szCs w:val="24"/>
      <w:lang w:val="sq-AL"/>
    </w:rPr>
  </w:style>
  <w:style w:type="character" w:customStyle="1" w:styleId="Heading6Char">
    <w:name w:val="Heading 6 Char"/>
    <w:basedOn w:val="DefaultParagraphFont"/>
    <w:link w:val="Heading6"/>
    <w:uiPriority w:val="9"/>
    <w:semiHidden/>
    <w:rsid w:val="00532C12"/>
    <w:rPr>
      <w:rFonts w:asciiTheme="majorHAnsi" w:eastAsiaTheme="majorEastAsia" w:hAnsiTheme="majorHAnsi" w:cstheme="majorBidi"/>
      <w:color w:val="1F3763" w:themeColor="accent1" w:themeShade="7F"/>
      <w:sz w:val="24"/>
      <w:szCs w:val="24"/>
      <w:lang w:val="sq-AL"/>
    </w:rPr>
  </w:style>
  <w:style w:type="character" w:customStyle="1" w:styleId="Heading7Char">
    <w:name w:val="Heading 7 Char"/>
    <w:basedOn w:val="DefaultParagraphFont"/>
    <w:link w:val="Heading7"/>
    <w:uiPriority w:val="9"/>
    <w:semiHidden/>
    <w:rsid w:val="00532C12"/>
    <w:rPr>
      <w:rFonts w:asciiTheme="majorHAnsi" w:eastAsiaTheme="majorEastAsia" w:hAnsiTheme="majorHAnsi" w:cstheme="majorBidi"/>
      <w:i/>
      <w:iCs/>
      <w:color w:val="1F3763" w:themeColor="accent1" w:themeShade="7F"/>
      <w:sz w:val="24"/>
      <w:szCs w:val="24"/>
      <w:lang w:val="sq-AL"/>
    </w:rPr>
  </w:style>
  <w:style w:type="character" w:customStyle="1" w:styleId="Heading8Char">
    <w:name w:val="Heading 8 Char"/>
    <w:basedOn w:val="DefaultParagraphFont"/>
    <w:link w:val="Heading8"/>
    <w:uiPriority w:val="9"/>
    <w:semiHidden/>
    <w:rsid w:val="00532C12"/>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semiHidden/>
    <w:rsid w:val="00532C12"/>
    <w:rPr>
      <w:rFonts w:asciiTheme="majorHAnsi" w:eastAsiaTheme="majorEastAsia" w:hAnsiTheme="majorHAnsi" w:cstheme="majorBidi"/>
      <w:i/>
      <w:iCs/>
      <w:color w:val="272727" w:themeColor="text1" w:themeTint="D8"/>
      <w:sz w:val="21"/>
      <w:szCs w:val="21"/>
      <w:lang w:val="sq-AL"/>
    </w:rPr>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iPriority w:val="99"/>
    <w:unhideWhenUsed/>
    <w:qFormat/>
    <w:rsid w:val="00532C12"/>
    <w:pPr>
      <w:spacing w:line="240" w:lineRule="auto"/>
    </w:pPr>
    <w:rPr>
      <w:sz w:val="20"/>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uiPriority w:val="99"/>
    <w:rsid w:val="00532C12"/>
    <w:rPr>
      <w:rFonts w:ascii="Times New Roman" w:hAnsi="Times New Roman" w:cs="Times New Roman"/>
      <w:sz w:val="20"/>
      <w:szCs w:val="24"/>
      <w:lang w:val="sq-AL"/>
    </w:rPr>
  </w:style>
  <w:style w:type="paragraph" w:styleId="Header">
    <w:name w:val="header"/>
    <w:basedOn w:val="Normal"/>
    <w:link w:val="HeaderChar"/>
    <w:uiPriority w:val="99"/>
    <w:unhideWhenUsed/>
    <w:rsid w:val="00532C12"/>
    <w:pPr>
      <w:tabs>
        <w:tab w:val="center" w:pos="4680"/>
        <w:tab w:val="right" w:pos="9360"/>
      </w:tabs>
    </w:pPr>
  </w:style>
  <w:style w:type="character" w:customStyle="1" w:styleId="HeaderChar">
    <w:name w:val="Header Char"/>
    <w:basedOn w:val="DefaultParagraphFont"/>
    <w:link w:val="Header"/>
    <w:uiPriority w:val="99"/>
    <w:rsid w:val="00532C12"/>
    <w:rPr>
      <w:rFonts w:ascii="Times New Roman" w:hAnsi="Times New Roman" w:cs="Times New Roman"/>
      <w:sz w:val="24"/>
      <w:szCs w:val="24"/>
      <w:lang w:val="sq-AL"/>
    </w:rPr>
  </w:style>
  <w:style w:type="paragraph" w:styleId="Footer">
    <w:name w:val="footer"/>
    <w:basedOn w:val="Normal"/>
    <w:link w:val="FooterChar"/>
    <w:uiPriority w:val="99"/>
    <w:unhideWhenUsed/>
    <w:rsid w:val="00532C12"/>
    <w:pPr>
      <w:tabs>
        <w:tab w:val="center" w:pos="4680"/>
        <w:tab w:val="right" w:pos="9360"/>
      </w:tabs>
    </w:pPr>
  </w:style>
  <w:style w:type="character" w:customStyle="1" w:styleId="FooterChar">
    <w:name w:val="Footer Char"/>
    <w:basedOn w:val="DefaultParagraphFont"/>
    <w:link w:val="Footer"/>
    <w:uiPriority w:val="99"/>
    <w:rsid w:val="00532C12"/>
    <w:rPr>
      <w:rFonts w:ascii="Times New Roman" w:hAnsi="Times New Roman" w:cs="Times New Roman"/>
      <w:sz w:val="24"/>
      <w:szCs w:val="24"/>
      <w:lang w:val="sq-AL"/>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basedOn w:val="DefaultParagraphFont"/>
    <w:link w:val="BVIfnr"/>
    <w:uiPriority w:val="99"/>
    <w:unhideWhenUsed/>
    <w:qFormat/>
    <w:rsid w:val="00532C12"/>
    <w:rPr>
      <w:rFonts w:ascii="Times New Roman" w:hAnsi="Times New Roman"/>
      <w:sz w:val="20"/>
      <w:vertAlign w:val="superscript"/>
    </w:rPr>
  </w:style>
  <w:style w:type="paragraph" w:styleId="BodyTextIndent">
    <w:name w:val="Body Text Indent"/>
    <w:basedOn w:val="Normal"/>
    <w:link w:val="BodyTextIndentChar"/>
    <w:uiPriority w:val="99"/>
    <w:unhideWhenUsed/>
    <w:rsid w:val="00532C12"/>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532C12"/>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532C12"/>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532C12"/>
    <w:rPr>
      <w:rFonts w:ascii="Times New Roman" w:hAnsi="Times New Roman" w:cs="Times New Roman"/>
      <w:sz w:val="24"/>
      <w:szCs w:val="24"/>
      <w:lang w:val="sq-AL"/>
    </w:rPr>
  </w:style>
  <w:style w:type="paragraph" w:styleId="BodyTextIndent2">
    <w:name w:val="Body Text Indent 2"/>
    <w:basedOn w:val="Normal"/>
    <w:link w:val="BodyTextIndent2Char"/>
    <w:uiPriority w:val="99"/>
    <w:unhideWhenUsed/>
    <w:rsid w:val="00532C12"/>
    <w:pPr>
      <w:ind w:left="2880" w:hanging="2160"/>
      <w:jc w:val="both"/>
    </w:pPr>
    <w:rPr>
      <w:b/>
    </w:rPr>
  </w:style>
  <w:style w:type="character" w:customStyle="1" w:styleId="BodyTextIndent2Char">
    <w:name w:val="Body Text Indent 2 Char"/>
    <w:basedOn w:val="DefaultParagraphFont"/>
    <w:link w:val="BodyTextIndent2"/>
    <w:uiPriority w:val="99"/>
    <w:rsid w:val="00532C12"/>
    <w:rPr>
      <w:rFonts w:ascii="Times New Roman" w:hAnsi="Times New Roman" w:cs="Times New Roman"/>
      <w:b/>
      <w:sz w:val="24"/>
      <w:szCs w:val="24"/>
      <w:lang w:val="sq-AL"/>
    </w:rPr>
  </w:style>
  <w:style w:type="paragraph" w:styleId="BalloonText">
    <w:name w:val="Balloon Text"/>
    <w:basedOn w:val="Normal"/>
    <w:link w:val="BalloonTextChar"/>
    <w:uiPriority w:val="99"/>
    <w:semiHidden/>
    <w:unhideWhenUsed/>
    <w:rsid w:val="00532C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2C12"/>
    <w:rPr>
      <w:rFonts w:ascii="Segoe UI" w:hAnsi="Segoe UI" w:cs="Segoe UI"/>
      <w:sz w:val="18"/>
      <w:szCs w:val="18"/>
      <w:lang w:val="sq-AL"/>
    </w:rPr>
  </w:style>
  <w:style w:type="paragraph" w:styleId="CommentText">
    <w:name w:val="annotation text"/>
    <w:basedOn w:val="Normal"/>
    <w:link w:val="CommentTextChar"/>
    <w:uiPriority w:val="99"/>
    <w:semiHidden/>
    <w:unhideWhenUsed/>
    <w:rsid w:val="00532C12"/>
    <w:pPr>
      <w:spacing w:line="240" w:lineRule="auto"/>
    </w:pPr>
    <w:rPr>
      <w:sz w:val="20"/>
      <w:szCs w:val="20"/>
    </w:rPr>
  </w:style>
  <w:style w:type="character" w:customStyle="1" w:styleId="CommentTextChar">
    <w:name w:val="Comment Text Char"/>
    <w:basedOn w:val="DefaultParagraphFont"/>
    <w:link w:val="CommentText"/>
    <w:uiPriority w:val="99"/>
    <w:semiHidden/>
    <w:rsid w:val="00532C12"/>
    <w:rPr>
      <w:rFonts w:ascii="Times New Roman" w:hAnsi="Times New Roman" w:cs="Times New Roman"/>
      <w:sz w:val="20"/>
      <w:szCs w:val="20"/>
      <w:lang w:val="sq-AL"/>
    </w:rPr>
  </w:style>
  <w:style w:type="paragraph" w:styleId="BodyTextIndent3">
    <w:name w:val="Body Text Indent 3"/>
    <w:basedOn w:val="Normal"/>
    <w:link w:val="BodyTextIndent3Char"/>
    <w:uiPriority w:val="99"/>
    <w:unhideWhenUsed/>
    <w:rsid w:val="00532C12"/>
    <w:pPr>
      <w:ind w:left="2880"/>
      <w:jc w:val="both"/>
    </w:pPr>
    <w:rPr>
      <w:b/>
    </w:rPr>
  </w:style>
  <w:style w:type="character" w:customStyle="1" w:styleId="BodyTextIndent3Char">
    <w:name w:val="Body Text Indent 3 Char"/>
    <w:basedOn w:val="DefaultParagraphFont"/>
    <w:link w:val="BodyTextIndent3"/>
    <w:uiPriority w:val="99"/>
    <w:rsid w:val="00532C12"/>
    <w:rPr>
      <w:rFonts w:ascii="Times New Roman" w:hAnsi="Times New Roman" w:cs="Times New Roman"/>
      <w:b/>
      <w:sz w:val="24"/>
      <w:szCs w:val="24"/>
      <w:lang w:val="sq-AL"/>
    </w:rPr>
  </w:style>
  <w:style w:type="paragraph" w:styleId="BodyText">
    <w:name w:val="Body Text"/>
    <w:basedOn w:val="Normal"/>
    <w:link w:val="BodyTextChar"/>
    <w:unhideWhenUsed/>
    <w:rsid w:val="00532C12"/>
    <w:pPr>
      <w:spacing w:after="120" w:line="240" w:lineRule="auto"/>
    </w:pPr>
    <w:rPr>
      <w:rFonts w:eastAsia="Times New Roman"/>
      <w:lang w:eastAsia="x-none"/>
    </w:rPr>
  </w:style>
  <w:style w:type="character" w:customStyle="1" w:styleId="BodyTextChar">
    <w:name w:val="Body Text Char"/>
    <w:basedOn w:val="DefaultParagraphFont"/>
    <w:link w:val="BodyText"/>
    <w:rsid w:val="00532C12"/>
    <w:rPr>
      <w:rFonts w:ascii="Times New Roman" w:eastAsia="Times New Roman" w:hAnsi="Times New Roman" w:cs="Times New Roman"/>
      <w:sz w:val="24"/>
      <w:szCs w:val="24"/>
      <w:lang w:val="sq-AL" w:eastAsia="x-none"/>
    </w:rPr>
  </w:style>
  <w:style w:type="paragraph" w:styleId="EndnoteText">
    <w:name w:val="endnote text"/>
    <w:basedOn w:val="Normal"/>
    <w:link w:val="EndnoteTextChar"/>
    <w:uiPriority w:val="99"/>
    <w:semiHidden/>
    <w:unhideWhenUsed/>
    <w:rsid w:val="00532C12"/>
    <w:pPr>
      <w:spacing w:line="240" w:lineRule="auto"/>
    </w:pPr>
    <w:rPr>
      <w:sz w:val="20"/>
      <w:szCs w:val="20"/>
    </w:rPr>
  </w:style>
  <w:style w:type="character" w:customStyle="1" w:styleId="EndnoteTextChar">
    <w:name w:val="Endnote Text Char"/>
    <w:basedOn w:val="DefaultParagraphFont"/>
    <w:link w:val="EndnoteText"/>
    <w:uiPriority w:val="99"/>
    <w:semiHidden/>
    <w:rsid w:val="00532C12"/>
    <w:rPr>
      <w:rFonts w:ascii="Times New Roman" w:hAnsi="Times New Roman" w:cs="Times New Roman"/>
      <w:sz w:val="20"/>
      <w:szCs w:val="20"/>
      <w:lang w:val="sq-AL"/>
    </w:rPr>
  </w:style>
  <w:style w:type="character" w:styleId="EndnoteReference">
    <w:name w:val="endnote reference"/>
    <w:basedOn w:val="DefaultParagraphFont"/>
    <w:uiPriority w:val="99"/>
    <w:semiHidden/>
    <w:unhideWhenUsed/>
    <w:rsid w:val="00532C12"/>
    <w:rPr>
      <w:vertAlign w:val="superscript"/>
    </w:rPr>
  </w:style>
  <w:style w:type="character" w:styleId="CommentReference">
    <w:name w:val="annotation reference"/>
    <w:basedOn w:val="DefaultParagraphFont"/>
    <w:uiPriority w:val="99"/>
    <w:semiHidden/>
    <w:unhideWhenUsed/>
    <w:rsid w:val="00532C12"/>
    <w:rPr>
      <w:sz w:val="16"/>
      <w:szCs w:val="16"/>
    </w:rPr>
  </w:style>
  <w:style w:type="paragraph" w:styleId="CommentSubject">
    <w:name w:val="annotation subject"/>
    <w:basedOn w:val="CommentText"/>
    <w:next w:val="CommentText"/>
    <w:link w:val="CommentSubjectChar"/>
    <w:uiPriority w:val="99"/>
    <w:unhideWhenUsed/>
    <w:rsid w:val="00532C12"/>
    <w:rPr>
      <w:b/>
      <w:bCs/>
    </w:rPr>
  </w:style>
  <w:style w:type="character" w:customStyle="1" w:styleId="CommentSubjectChar">
    <w:name w:val="Comment Subject Char"/>
    <w:basedOn w:val="CommentTextChar"/>
    <w:link w:val="CommentSubject"/>
    <w:uiPriority w:val="99"/>
    <w:rsid w:val="00532C12"/>
    <w:rPr>
      <w:rFonts w:ascii="Times New Roman" w:hAnsi="Times New Roman" w:cs="Times New Roman"/>
      <w:b/>
      <w:bCs/>
      <w:sz w:val="20"/>
      <w:szCs w:val="20"/>
      <w:lang w:val="sq-AL"/>
    </w:rPr>
  </w:style>
  <w:style w:type="character" w:customStyle="1" w:styleId="s68f5eaef">
    <w:name w:val="s68f5eaef"/>
    <w:basedOn w:val="DefaultParagraphFont"/>
    <w:rsid w:val="00532C12"/>
  </w:style>
  <w:style w:type="character" w:customStyle="1" w:styleId="hwtze">
    <w:name w:val="hwtze"/>
    <w:basedOn w:val="DefaultParagraphFont"/>
    <w:rsid w:val="00532C12"/>
  </w:style>
  <w:style w:type="character" w:customStyle="1" w:styleId="rynqvb">
    <w:name w:val="rynqvb"/>
    <w:basedOn w:val="DefaultParagraphFont"/>
    <w:rsid w:val="00532C12"/>
  </w:style>
  <w:style w:type="character" w:customStyle="1" w:styleId="contentpasted0">
    <w:name w:val="contentpasted0"/>
    <w:rsid w:val="00532C12"/>
  </w:style>
  <w:style w:type="character" w:customStyle="1" w:styleId="y2iqfc">
    <w:name w:val="y2iqfc"/>
    <w:basedOn w:val="DefaultParagraphFont"/>
    <w:rsid w:val="00532C12"/>
  </w:style>
  <w:style w:type="character" w:customStyle="1" w:styleId="hps">
    <w:name w:val="hps"/>
    <w:basedOn w:val="DefaultParagraphFont"/>
    <w:rsid w:val="00532C12"/>
  </w:style>
  <w:style w:type="character" w:customStyle="1" w:styleId="sbb9ee52a">
    <w:name w:val="sbb9ee52a"/>
    <w:basedOn w:val="DefaultParagraphFont"/>
    <w:rsid w:val="00532C12"/>
  </w:style>
  <w:style w:type="paragraph" w:styleId="NoSpacing">
    <w:name w:val="No Spacing"/>
    <w:link w:val="NoSpacingChar"/>
    <w:uiPriority w:val="1"/>
    <w:qFormat/>
    <w:rsid w:val="00532C12"/>
    <w:pPr>
      <w:spacing w:after="0" w:line="240" w:lineRule="auto"/>
    </w:pPr>
    <w:rPr>
      <w:rFonts w:ascii="Calibri" w:eastAsia="Calibri" w:hAnsi="Calibri" w:cs="Times New Roman"/>
      <w:lang w:val="sq-AL"/>
    </w:rPr>
  </w:style>
  <w:style w:type="character" w:customStyle="1" w:styleId="NoSpacingChar">
    <w:name w:val="No Spacing Char"/>
    <w:link w:val="NoSpacing"/>
    <w:uiPriority w:val="1"/>
    <w:locked/>
    <w:rsid w:val="00532C12"/>
    <w:rPr>
      <w:rFonts w:ascii="Calibri" w:eastAsia="Calibri" w:hAnsi="Calibri" w:cs="Times New Roman"/>
      <w:lang w:val="sq-AL"/>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532C12"/>
    <w:pPr>
      <w:spacing w:after="160" w:line="240" w:lineRule="exact"/>
    </w:pPr>
    <w:rPr>
      <w:rFonts w:cstheme="minorBidi"/>
      <w:sz w:val="20"/>
      <w:szCs w:val="22"/>
      <w:vertAlign w:val="superscript"/>
      <w:lang w:val="en-US"/>
    </w:rPr>
  </w:style>
  <w:style w:type="character" w:styleId="Hyperlink">
    <w:name w:val="Hyperlink"/>
    <w:basedOn w:val="DefaultParagraphFont"/>
    <w:uiPriority w:val="99"/>
    <w:unhideWhenUsed/>
    <w:rsid w:val="00AB3EBC"/>
    <w:rPr>
      <w:color w:val="0563C1" w:themeColor="hyperlink"/>
      <w:u w:val="single"/>
    </w:rPr>
  </w:style>
  <w:style w:type="paragraph" w:styleId="ListBullet">
    <w:name w:val="List Bullet"/>
    <w:basedOn w:val="Normal"/>
    <w:uiPriority w:val="99"/>
    <w:unhideWhenUsed/>
    <w:rsid w:val="001E47E7"/>
    <w:pPr>
      <w:numPr>
        <w:numId w:val="7"/>
      </w:numPr>
      <w:spacing w:after="200" w:line="276" w:lineRule="auto"/>
      <w:contextualSpacing/>
    </w:pPr>
    <w:rPr>
      <w:rFonts w:ascii="Calibri" w:eastAsia="Times New Roman" w:hAnsi="Calibri"/>
      <w:sz w:val="22"/>
      <w:szCs w:val="22"/>
      <w:lang w:val="en-US"/>
    </w:rPr>
  </w:style>
  <w:style w:type="character" w:customStyle="1" w:styleId="xcontentpasted0">
    <w:name w:val="x_contentpasted0"/>
    <w:rsid w:val="009B0407"/>
  </w:style>
  <w:style w:type="paragraph" w:styleId="Revision">
    <w:name w:val="Revision"/>
    <w:hidden/>
    <w:uiPriority w:val="99"/>
    <w:semiHidden/>
    <w:rsid w:val="00444852"/>
    <w:pPr>
      <w:spacing w:after="0" w:line="240" w:lineRule="auto"/>
    </w:pPr>
    <w:rPr>
      <w:rFonts w:ascii="Times New Roman" w:hAnsi="Times New Roman" w:cs="Times New Roman"/>
      <w:sz w:val="24"/>
      <w:szCs w:val="24"/>
      <w:lang w:val="sq-AL"/>
    </w:rPr>
  </w:style>
  <w:style w:type="table" w:styleId="TableGrid">
    <w:name w:val="Table Grid"/>
    <w:basedOn w:val="TableNormal"/>
    <w:uiPriority w:val="39"/>
    <w:rsid w:val="00932A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284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Nr_x002e__x0020_akti>
    <Data_x0020_e_x0020_Krijimit xmlns="0e656187-b300-4fb0-8bf4-3a50f872073c">2025-12-18T11:57:18Z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2025-12-17T00:00:00Z</Date_x0020_protokolli>
    <Titulli xmlns="0e656187-b300-4fb0-8bf4-3a50f872073c">Me objekt shfuqizimin e vendimit nr. 00-2024-2029 (280), datë 15.05.2024 të Kolegjit Civil të Gjykatës së Lartë, si i papajtueshëm me Kushtetutën e Republikës së Shqipërisë. Kthimin e çështjes për rigjykim në Gjykatën e Lartë.</Titulli>
    <Modifikuesi xmlns="0e656187-b300-4fb0-8bf4-3a50f872073c">valeta.kaftalli</Modifikuesi>
    <Nr_x002e__x0020_prot_x0020_QBZ xmlns="0e656187-b300-4fb0-8bf4-3a50f872073c">2132/1</Nr_x002e__x0020_prot_x0020_QBZ>
    <Data_x0020_e_x0020_Modifikimit xmlns="0e656187-b300-4fb0-8bf4-3a50f872073c">2025-12-19T11:15:25Z</Data_x0020_e_x0020_Modifikimit>
    <Dekretuar xmlns="0e656187-b300-4fb0-8bf4-3a50f872073c">false</Dekretuar>
    <Data xmlns="0e656187-b300-4fb0-8bf4-3a50f872073c">2025-10-23T00:00:00Z</Data>
    <Nr_x002e__x0020_protokolli_x0020_i_x0020_aktit xmlns="0e656187-b300-4fb0-8bf4-3a50f872073c">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1D7ADFEE01B417DA217D2312DBDF35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897A9-5081-43D5-8044-294607583679}">
  <ds:schemaRefs>
    <ds:schemaRef ds:uri="http://schemas.microsoft.com/office/2006/documentManagement/types"/>
    <ds:schemaRef ds:uri="http://schemas.openxmlformats.org/package/2006/metadata/core-properties"/>
    <ds:schemaRef ds:uri="http://www.w3.org/XML/1998/namespace"/>
    <ds:schemaRef ds:uri="http://purl.org/dc/elements/1.1/"/>
    <ds:schemaRef ds:uri="http://purl.org/dc/dcmitype/"/>
    <ds:schemaRef ds:uri="0e656187-b300-4fb0-8bf4-3a50f872073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3C6F3CA7-C2F4-48F4-A687-FAA4265A4F7B}">
  <ds:schemaRefs>
    <ds:schemaRef ds:uri="http://schemas.microsoft.com/sharepoint/v3/contenttype/forms"/>
  </ds:schemaRefs>
</ds:datastoreItem>
</file>

<file path=customXml/itemProps3.xml><?xml version="1.0" encoding="utf-8"?>
<ds:datastoreItem xmlns:ds="http://schemas.openxmlformats.org/officeDocument/2006/customXml" ds:itemID="{3D6E3C6A-CE27-48CA-97C9-8878A4D77C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7A43603-6FB1-42FF-8F5E-67A1862D7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Pages>
  <Words>5424</Words>
  <Characters>30918</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Me objekt shfuqizimin e vendimit nr. 00-2024-2029 (280), datë 15.05.2024 të Kolegjit Civil të Gjykatës së Lartë, si i papajtueshëm me Kushtetutën e Republikës së Shqipërisë. Kthimin e çështjes për rigjykim në Gjykatën e Lartë.</vt:lpstr>
    </vt:vector>
  </TitlesOfParts>
  <Company/>
  <LinksUpToDate>false</LinksUpToDate>
  <CharactersWithSpaces>36270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00-2024-2029 (280), datë 15.05.2024 të Kolegjit Civil të Gjykatës së Lartë, si i papajtueshëm me Kushtetutën e Republikës së Shqipërisë. Kthimin e çështjes për rigjykim në Gjykatën e Lartë.</dc:title>
  <dc:creator>Elona Gjergjani</dc:creator>
  <cp:lastModifiedBy>Valeta Kaftalli</cp:lastModifiedBy>
  <cp:revision>15</cp:revision>
  <cp:lastPrinted>2025-11-26T09:02:00Z</cp:lastPrinted>
  <dcterms:created xsi:type="dcterms:W3CDTF">2025-12-18T11:02:00Z</dcterms:created>
  <dcterms:modified xsi:type="dcterms:W3CDTF">2025-12-19T10:27:00Z</dcterms:modified>
</cp:coreProperties>
</file>