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81EAB" w14:textId="72333E67" w:rsidR="00304945" w:rsidRPr="003234A9" w:rsidRDefault="00304945" w:rsidP="000C75BB">
      <w:pPr>
        <w:spacing w:line="240" w:lineRule="auto"/>
        <w:ind w:firstLine="284"/>
        <w:rPr>
          <w:rFonts w:ascii="Garamond" w:hAnsi="Garamond"/>
        </w:rPr>
      </w:pPr>
    </w:p>
    <w:p w14:paraId="03FB589B" w14:textId="472ED6DF" w:rsidR="000C75BB" w:rsidRPr="003234A9" w:rsidRDefault="000C75BB" w:rsidP="000C75BB">
      <w:pPr>
        <w:spacing w:line="240" w:lineRule="auto"/>
        <w:ind w:firstLine="284"/>
        <w:jc w:val="center"/>
        <w:rPr>
          <w:rFonts w:ascii="Garamond" w:hAnsi="Garamond"/>
          <w:b/>
          <w:bCs/>
        </w:rPr>
      </w:pPr>
      <w:r w:rsidRPr="003234A9">
        <w:rPr>
          <w:rFonts w:ascii="Garamond" w:hAnsi="Garamond"/>
          <w:b/>
          <w:bCs/>
        </w:rPr>
        <w:t>VENDIM</w:t>
      </w:r>
    </w:p>
    <w:p w14:paraId="5C82E389" w14:textId="6B74C744" w:rsidR="000C75BB" w:rsidRPr="003234A9" w:rsidRDefault="000C75BB" w:rsidP="000C75BB">
      <w:pPr>
        <w:spacing w:line="240" w:lineRule="auto"/>
        <w:ind w:firstLine="284"/>
        <w:jc w:val="center"/>
        <w:rPr>
          <w:rFonts w:ascii="Garamond" w:hAnsi="Garamond"/>
          <w:b/>
          <w:bCs/>
        </w:rPr>
      </w:pPr>
      <w:r w:rsidRPr="003234A9">
        <w:rPr>
          <w:rFonts w:ascii="Garamond" w:hAnsi="Garamond"/>
          <w:b/>
          <w:bCs/>
        </w:rPr>
        <w:t>Nr.</w:t>
      </w:r>
      <w:r w:rsidR="003234A9" w:rsidRPr="003234A9">
        <w:rPr>
          <w:rFonts w:ascii="Garamond" w:hAnsi="Garamond"/>
          <w:b/>
          <w:bCs/>
        </w:rPr>
        <w:t xml:space="preserve"> </w:t>
      </w:r>
      <w:r w:rsidRPr="003234A9">
        <w:rPr>
          <w:rFonts w:ascii="Garamond" w:hAnsi="Garamond"/>
          <w:b/>
          <w:bCs/>
        </w:rPr>
        <w:t>69, datë 6.11.2025</w:t>
      </w:r>
    </w:p>
    <w:p w14:paraId="7848D45A" w14:textId="77777777" w:rsidR="000C75BB" w:rsidRPr="003234A9" w:rsidRDefault="000C75BB" w:rsidP="000C75BB">
      <w:pPr>
        <w:spacing w:line="240" w:lineRule="auto"/>
        <w:ind w:firstLine="284"/>
        <w:jc w:val="center"/>
        <w:rPr>
          <w:rFonts w:ascii="Garamond" w:hAnsi="Garamond"/>
          <w:b/>
          <w:bCs/>
        </w:rPr>
      </w:pPr>
    </w:p>
    <w:p w14:paraId="245FE593" w14:textId="6CE01439" w:rsidR="000C75BB" w:rsidRPr="003234A9" w:rsidRDefault="000C75BB" w:rsidP="000C75BB">
      <w:pPr>
        <w:spacing w:line="240" w:lineRule="auto"/>
        <w:ind w:firstLine="284"/>
        <w:jc w:val="center"/>
        <w:rPr>
          <w:rFonts w:ascii="Garamond" w:hAnsi="Garamond"/>
          <w:b/>
          <w:bCs/>
        </w:rPr>
      </w:pPr>
      <w:r w:rsidRPr="003234A9">
        <w:rPr>
          <w:rFonts w:ascii="Garamond" w:hAnsi="Garamond"/>
          <w:b/>
          <w:bCs/>
        </w:rPr>
        <w:t>NË E</w:t>
      </w:r>
      <w:r w:rsidR="003234A9" w:rsidRPr="003234A9">
        <w:rPr>
          <w:rFonts w:ascii="Garamond" w:hAnsi="Garamond"/>
          <w:b/>
          <w:bCs/>
        </w:rPr>
        <w:t>MËR TË REPUBLIKËS SË SHQIPËRISË</w:t>
      </w:r>
    </w:p>
    <w:p w14:paraId="0DF6F3F9" w14:textId="77777777" w:rsidR="000C75BB" w:rsidRPr="003234A9" w:rsidRDefault="000C75BB" w:rsidP="000C75BB">
      <w:pPr>
        <w:tabs>
          <w:tab w:val="left" w:pos="0"/>
          <w:tab w:val="left" w:pos="720"/>
        </w:tabs>
        <w:spacing w:line="240" w:lineRule="auto"/>
        <w:ind w:firstLine="284"/>
        <w:rPr>
          <w:rFonts w:ascii="Garamond" w:hAnsi="Garamond"/>
        </w:rPr>
      </w:pPr>
    </w:p>
    <w:p w14:paraId="55FA5A71" w14:textId="77777777" w:rsidR="000C75BB" w:rsidRPr="003234A9" w:rsidRDefault="000C75BB" w:rsidP="000C75BB">
      <w:pPr>
        <w:spacing w:line="240" w:lineRule="auto"/>
        <w:ind w:firstLine="284"/>
        <w:jc w:val="both"/>
        <w:rPr>
          <w:rFonts w:ascii="Garamond" w:hAnsi="Garamond"/>
        </w:rPr>
      </w:pPr>
      <w:r w:rsidRPr="003234A9">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0C75BB" w:rsidRPr="003234A9" w14:paraId="34C798D6" w14:textId="77777777" w:rsidTr="000C75BB">
        <w:tc>
          <w:tcPr>
            <w:tcW w:w="2122" w:type="dxa"/>
          </w:tcPr>
          <w:p w14:paraId="257F4B43" w14:textId="77777777" w:rsidR="000C75BB" w:rsidRPr="003234A9" w:rsidRDefault="000C75BB" w:rsidP="003234A9">
            <w:pPr>
              <w:spacing w:line="240" w:lineRule="auto"/>
              <w:jc w:val="both"/>
              <w:rPr>
                <w:rFonts w:ascii="Garamond" w:hAnsi="Garamond"/>
              </w:rPr>
            </w:pPr>
            <w:proofErr w:type="spellStart"/>
            <w:r w:rsidRPr="003234A9">
              <w:rPr>
                <w:rFonts w:ascii="Garamond" w:hAnsi="Garamond"/>
              </w:rPr>
              <w:t>Holta</w:t>
            </w:r>
            <w:proofErr w:type="spellEnd"/>
            <w:r w:rsidRPr="003234A9">
              <w:rPr>
                <w:rFonts w:ascii="Garamond" w:hAnsi="Garamond"/>
              </w:rPr>
              <w:t xml:space="preserve"> </w:t>
            </w:r>
            <w:proofErr w:type="spellStart"/>
            <w:r w:rsidRPr="003234A9">
              <w:rPr>
                <w:rFonts w:ascii="Garamond" w:hAnsi="Garamond"/>
              </w:rPr>
              <w:t>Zaçaj</w:t>
            </w:r>
            <w:proofErr w:type="spellEnd"/>
          </w:p>
        </w:tc>
        <w:tc>
          <w:tcPr>
            <w:tcW w:w="1275" w:type="dxa"/>
          </w:tcPr>
          <w:p w14:paraId="1F770A01" w14:textId="1BB69414" w:rsidR="000C75BB" w:rsidRPr="003234A9" w:rsidRDefault="003234A9" w:rsidP="003234A9">
            <w:pPr>
              <w:spacing w:line="240" w:lineRule="auto"/>
              <w:jc w:val="both"/>
              <w:rPr>
                <w:rFonts w:ascii="Garamond" w:hAnsi="Garamond"/>
              </w:rPr>
            </w:pPr>
            <w:r w:rsidRPr="003234A9">
              <w:rPr>
                <w:rFonts w:ascii="Garamond" w:hAnsi="Garamond"/>
              </w:rPr>
              <w:t xml:space="preserve"> kryetare;</w:t>
            </w:r>
          </w:p>
        </w:tc>
      </w:tr>
      <w:tr w:rsidR="000C75BB" w:rsidRPr="003234A9" w14:paraId="5964DD45" w14:textId="77777777" w:rsidTr="000C75BB">
        <w:tc>
          <w:tcPr>
            <w:tcW w:w="2122" w:type="dxa"/>
          </w:tcPr>
          <w:p w14:paraId="683F26BA" w14:textId="77777777" w:rsidR="000C75BB" w:rsidRPr="003234A9" w:rsidRDefault="000C75BB" w:rsidP="003234A9">
            <w:pPr>
              <w:spacing w:line="240" w:lineRule="auto"/>
              <w:rPr>
                <w:rFonts w:ascii="Garamond" w:hAnsi="Garamond"/>
              </w:rPr>
            </w:pPr>
            <w:proofErr w:type="spellStart"/>
            <w:r w:rsidRPr="003234A9">
              <w:rPr>
                <w:rFonts w:ascii="Garamond" w:hAnsi="Garamond"/>
              </w:rPr>
              <w:t>Fiona</w:t>
            </w:r>
            <w:proofErr w:type="spellEnd"/>
            <w:r w:rsidRPr="003234A9">
              <w:rPr>
                <w:rFonts w:ascii="Garamond" w:hAnsi="Garamond"/>
              </w:rPr>
              <w:t xml:space="preserve"> </w:t>
            </w:r>
            <w:proofErr w:type="spellStart"/>
            <w:r w:rsidRPr="003234A9">
              <w:rPr>
                <w:rFonts w:ascii="Garamond" w:hAnsi="Garamond"/>
              </w:rPr>
              <w:t>Papajorgji</w:t>
            </w:r>
            <w:proofErr w:type="spellEnd"/>
          </w:p>
        </w:tc>
        <w:tc>
          <w:tcPr>
            <w:tcW w:w="1275" w:type="dxa"/>
          </w:tcPr>
          <w:p w14:paraId="59BD975E" w14:textId="465B7F10" w:rsidR="000C75BB" w:rsidRPr="003234A9" w:rsidRDefault="003234A9" w:rsidP="003234A9">
            <w:pPr>
              <w:spacing w:line="240" w:lineRule="auto"/>
              <w:rPr>
                <w:rFonts w:ascii="Garamond" w:hAnsi="Garamond"/>
              </w:rPr>
            </w:pPr>
            <w:r w:rsidRPr="003234A9">
              <w:rPr>
                <w:rFonts w:ascii="Garamond" w:hAnsi="Garamond"/>
              </w:rPr>
              <w:t xml:space="preserve"> anëtare;</w:t>
            </w:r>
          </w:p>
        </w:tc>
      </w:tr>
      <w:tr w:rsidR="000C75BB" w:rsidRPr="003234A9" w14:paraId="22FE4C05" w14:textId="77777777" w:rsidTr="000C75BB">
        <w:tc>
          <w:tcPr>
            <w:tcW w:w="2122" w:type="dxa"/>
          </w:tcPr>
          <w:p w14:paraId="0D897E08" w14:textId="77777777" w:rsidR="000C75BB" w:rsidRPr="003234A9" w:rsidRDefault="000C75BB" w:rsidP="003234A9">
            <w:pPr>
              <w:spacing w:line="240" w:lineRule="auto"/>
              <w:rPr>
                <w:rFonts w:ascii="Garamond" w:hAnsi="Garamond"/>
              </w:rPr>
            </w:pPr>
            <w:proofErr w:type="spellStart"/>
            <w:r w:rsidRPr="003234A9">
              <w:rPr>
                <w:rFonts w:ascii="Garamond" w:hAnsi="Garamond"/>
              </w:rPr>
              <w:t>Sonila</w:t>
            </w:r>
            <w:proofErr w:type="spellEnd"/>
            <w:r w:rsidRPr="003234A9">
              <w:rPr>
                <w:rFonts w:ascii="Garamond" w:hAnsi="Garamond"/>
              </w:rPr>
              <w:t xml:space="preserve"> Bejtja</w:t>
            </w:r>
          </w:p>
        </w:tc>
        <w:tc>
          <w:tcPr>
            <w:tcW w:w="1275" w:type="dxa"/>
          </w:tcPr>
          <w:p w14:paraId="6EB4A3D6" w14:textId="3F265158" w:rsidR="000C75BB" w:rsidRPr="003234A9" w:rsidRDefault="003234A9" w:rsidP="003234A9">
            <w:pPr>
              <w:spacing w:line="240" w:lineRule="auto"/>
              <w:rPr>
                <w:rFonts w:ascii="Garamond" w:hAnsi="Garamond"/>
              </w:rPr>
            </w:pPr>
            <w:r w:rsidRPr="003234A9">
              <w:rPr>
                <w:rFonts w:ascii="Garamond" w:hAnsi="Garamond"/>
              </w:rPr>
              <w:t xml:space="preserve"> anëtare;</w:t>
            </w:r>
          </w:p>
        </w:tc>
      </w:tr>
      <w:tr w:rsidR="000C75BB" w:rsidRPr="003234A9" w14:paraId="2CD090A4" w14:textId="77777777" w:rsidTr="000C75BB">
        <w:tc>
          <w:tcPr>
            <w:tcW w:w="2122" w:type="dxa"/>
          </w:tcPr>
          <w:p w14:paraId="10B71849" w14:textId="77777777" w:rsidR="000C75BB" w:rsidRPr="003234A9" w:rsidRDefault="000C75BB" w:rsidP="003234A9">
            <w:pPr>
              <w:spacing w:line="240" w:lineRule="auto"/>
              <w:rPr>
                <w:rFonts w:ascii="Garamond" w:hAnsi="Garamond"/>
              </w:rPr>
            </w:pPr>
            <w:proofErr w:type="spellStart"/>
            <w:r w:rsidRPr="003234A9">
              <w:rPr>
                <w:rFonts w:ascii="Garamond" w:hAnsi="Garamond"/>
              </w:rPr>
              <w:t>Sandër</w:t>
            </w:r>
            <w:proofErr w:type="spellEnd"/>
            <w:r w:rsidRPr="003234A9">
              <w:rPr>
                <w:rFonts w:ascii="Garamond" w:hAnsi="Garamond"/>
              </w:rPr>
              <w:t xml:space="preserve"> Beci</w:t>
            </w:r>
          </w:p>
        </w:tc>
        <w:tc>
          <w:tcPr>
            <w:tcW w:w="1275" w:type="dxa"/>
          </w:tcPr>
          <w:p w14:paraId="5B2B7266" w14:textId="4BC3F6F3" w:rsidR="000C75BB" w:rsidRPr="003234A9" w:rsidRDefault="003234A9" w:rsidP="003234A9">
            <w:pPr>
              <w:spacing w:line="240" w:lineRule="auto"/>
              <w:rPr>
                <w:rFonts w:ascii="Garamond" w:hAnsi="Garamond"/>
              </w:rPr>
            </w:pPr>
            <w:r w:rsidRPr="003234A9">
              <w:rPr>
                <w:rFonts w:ascii="Garamond" w:hAnsi="Garamond"/>
              </w:rPr>
              <w:t xml:space="preserve"> anëtar;</w:t>
            </w:r>
          </w:p>
        </w:tc>
      </w:tr>
      <w:tr w:rsidR="000C75BB" w:rsidRPr="003234A9" w14:paraId="25F98E37" w14:textId="77777777" w:rsidTr="000C75BB">
        <w:tc>
          <w:tcPr>
            <w:tcW w:w="2122" w:type="dxa"/>
          </w:tcPr>
          <w:p w14:paraId="5849B865" w14:textId="77777777" w:rsidR="000C75BB" w:rsidRPr="003234A9" w:rsidRDefault="000C75BB" w:rsidP="003234A9">
            <w:pPr>
              <w:spacing w:line="240" w:lineRule="auto"/>
              <w:rPr>
                <w:rFonts w:ascii="Garamond" w:hAnsi="Garamond"/>
              </w:rPr>
            </w:pPr>
            <w:r w:rsidRPr="003234A9">
              <w:rPr>
                <w:rFonts w:ascii="Garamond" w:hAnsi="Garamond"/>
              </w:rPr>
              <w:t>Ilir Toska</w:t>
            </w:r>
          </w:p>
        </w:tc>
        <w:tc>
          <w:tcPr>
            <w:tcW w:w="1275" w:type="dxa"/>
          </w:tcPr>
          <w:p w14:paraId="1F33EC36" w14:textId="37E5A4BD" w:rsidR="000C75BB" w:rsidRPr="003234A9" w:rsidRDefault="003234A9" w:rsidP="003234A9">
            <w:pPr>
              <w:spacing w:line="240" w:lineRule="auto"/>
              <w:rPr>
                <w:rFonts w:ascii="Garamond" w:hAnsi="Garamond"/>
              </w:rPr>
            </w:pPr>
            <w:r w:rsidRPr="003234A9">
              <w:rPr>
                <w:rFonts w:ascii="Garamond" w:hAnsi="Garamond"/>
              </w:rPr>
              <w:t xml:space="preserve"> anëtar; </w:t>
            </w:r>
          </w:p>
        </w:tc>
      </w:tr>
      <w:tr w:rsidR="000C75BB" w:rsidRPr="003234A9" w14:paraId="37B16255" w14:textId="77777777" w:rsidTr="000C75BB">
        <w:tc>
          <w:tcPr>
            <w:tcW w:w="2122" w:type="dxa"/>
          </w:tcPr>
          <w:p w14:paraId="71D1891A" w14:textId="77777777" w:rsidR="000C75BB" w:rsidRPr="003234A9" w:rsidRDefault="000C75BB" w:rsidP="003234A9">
            <w:pPr>
              <w:spacing w:line="240" w:lineRule="auto"/>
              <w:rPr>
                <w:rFonts w:ascii="Garamond" w:hAnsi="Garamond"/>
              </w:rPr>
            </w:pPr>
            <w:r w:rsidRPr="003234A9">
              <w:rPr>
                <w:rFonts w:ascii="Garamond" w:hAnsi="Garamond"/>
              </w:rPr>
              <w:t>Genti Ibrahimi</w:t>
            </w:r>
          </w:p>
        </w:tc>
        <w:tc>
          <w:tcPr>
            <w:tcW w:w="1275" w:type="dxa"/>
          </w:tcPr>
          <w:p w14:paraId="0E85A255" w14:textId="7FEDC60A" w:rsidR="000C75BB" w:rsidRPr="003234A9" w:rsidRDefault="003234A9" w:rsidP="003234A9">
            <w:pPr>
              <w:spacing w:line="240" w:lineRule="auto"/>
              <w:rPr>
                <w:rFonts w:ascii="Garamond" w:hAnsi="Garamond"/>
              </w:rPr>
            </w:pPr>
            <w:r w:rsidRPr="003234A9">
              <w:rPr>
                <w:rFonts w:ascii="Garamond" w:hAnsi="Garamond"/>
              </w:rPr>
              <w:t xml:space="preserve"> anëtar;</w:t>
            </w:r>
          </w:p>
        </w:tc>
      </w:tr>
      <w:tr w:rsidR="000C75BB" w:rsidRPr="003234A9" w14:paraId="1B200844" w14:textId="77777777" w:rsidTr="000C75BB">
        <w:tc>
          <w:tcPr>
            <w:tcW w:w="2122" w:type="dxa"/>
          </w:tcPr>
          <w:p w14:paraId="2B162D59" w14:textId="77777777" w:rsidR="000C75BB" w:rsidRPr="003234A9" w:rsidRDefault="000C75BB" w:rsidP="003234A9">
            <w:pPr>
              <w:spacing w:line="240" w:lineRule="auto"/>
              <w:rPr>
                <w:rFonts w:ascii="Garamond" w:hAnsi="Garamond"/>
              </w:rPr>
            </w:pPr>
            <w:proofErr w:type="spellStart"/>
            <w:r w:rsidRPr="003234A9">
              <w:rPr>
                <w:rFonts w:ascii="Garamond" w:hAnsi="Garamond"/>
              </w:rPr>
              <w:t>Marjana</w:t>
            </w:r>
            <w:proofErr w:type="spellEnd"/>
            <w:r w:rsidRPr="003234A9">
              <w:rPr>
                <w:rFonts w:ascii="Garamond" w:hAnsi="Garamond"/>
              </w:rPr>
              <w:t xml:space="preserve"> </w:t>
            </w:r>
            <w:proofErr w:type="spellStart"/>
            <w:r w:rsidRPr="003234A9">
              <w:rPr>
                <w:rFonts w:ascii="Garamond" w:hAnsi="Garamond"/>
              </w:rPr>
              <w:t>Semini</w:t>
            </w:r>
            <w:proofErr w:type="spellEnd"/>
          </w:p>
        </w:tc>
        <w:tc>
          <w:tcPr>
            <w:tcW w:w="1275" w:type="dxa"/>
          </w:tcPr>
          <w:p w14:paraId="0CD67A57" w14:textId="5FD3769A" w:rsidR="000C75BB" w:rsidRPr="003234A9" w:rsidRDefault="003234A9" w:rsidP="003234A9">
            <w:pPr>
              <w:spacing w:line="240" w:lineRule="auto"/>
              <w:rPr>
                <w:rFonts w:ascii="Garamond" w:hAnsi="Garamond"/>
              </w:rPr>
            </w:pPr>
            <w:r w:rsidRPr="003234A9">
              <w:rPr>
                <w:rFonts w:ascii="Garamond" w:hAnsi="Garamond"/>
              </w:rPr>
              <w:t>anëtare;</w:t>
            </w:r>
          </w:p>
        </w:tc>
      </w:tr>
      <w:tr w:rsidR="000C75BB" w:rsidRPr="003234A9" w14:paraId="27C46C8F" w14:textId="77777777" w:rsidTr="000C75BB">
        <w:tc>
          <w:tcPr>
            <w:tcW w:w="2122" w:type="dxa"/>
          </w:tcPr>
          <w:p w14:paraId="36E9D612" w14:textId="77777777" w:rsidR="000C75BB" w:rsidRPr="003234A9" w:rsidRDefault="000C75BB" w:rsidP="003234A9">
            <w:pPr>
              <w:spacing w:line="240" w:lineRule="auto"/>
              <w:rPr>
                <w:rFonts w:ascii="Garamond" w:hAnsi="Garamond"/>
              </w:rPr>
            </w:pPr>
            <w:proofErr w:type="spellStart"/>
            <w:r w:rsidRPr="003234A9">
              <w:rPr>
                <w:rFonts w:ascii="Garamond" w:hAnsi="Garamond"/>
              </w:rPr>
              <w:t>Marsida</w:t>
            </w:r>
            <w:proofErr w:type="spellEnd"/>
            <w:r w:rsidRPr="003234A9">
              <w:rPr>
                <w:rFonts w:ascii="Garamond" w:hAnsi="Garamond"/>
              </w:rPr>
              <w:t xml:space="preserve"> </w:t>
            </w:r>
            <w:proofErr w:type="spellStart"/>
            <w:r w:rsidRPr="003234A9">
              <w:rPr>
                <w:rFonts w:ascii="Garamond" w:hAnsi="Garamond"/>
              </w:rPr>
              <w:t>Xhaferllari</w:t>
            </w:r>
            <w:proofErr w:type="spellEnd"/>
          </w:p>
        </w:tc>
        <w:tc>
          <w:tcPr>
            <w:tcW w:w="1275" w:type="dxa"/>
          </w:tcPr>
          <w:p w14:paraId="43C64150" w14:textId="74603880" w:rsidR="000C75BB" w:rsidRPr="003234A9" w:rsidRDefault="003234A9" w:rsidP="003234A9">
            <w:pPr>
              <w:spacing w:line="240" w:lineRule="auto"/>
              <w:rPr>
                <w:rFonts w:ascii="Garamond" w:hAnsi="Garamond"/>
              </w:rPr>
            </w:pPr>
            <w:r w:rsidRPr="003234A9">
              <w:rPr>
                <w:rFonts w:ascii="Garamond" w:hAnsi="Garamond"/>
              </w:rPr>
              <w:t>anëtare,</w:t>
            </w:r>
          </w:p>
        </w:tc>
      </w:tr>
    </w:tbl>
    <w:p w14:paraId="29DE262C" w14:textId="29607438" w:rsidR="000C75BB" w:rsidRPr="003234A9" w:rsidRDefault="000C75BB" w:rsidP="000C75BB">
      <w:pPr>
        <w:tabs>
          <w:tab w:val="left" w:pos="720"/>
        </w:tabs>
        <w:spacing w:line="240" w:lineRule="auto"/>
        <w:ind w:firstLine="284"/>
        <w:jc w:val="both"/>
        <w:rPr>
          <w:rFonts w:ascii="Garamond" w:hAnsi="Garamond"/>
        </w:rPr>
      </w:pPr>
      <w:r w:rsidRPr="003234A9">
        <w:rPr>
          <w:rFonts w:ascii="Garamond" w:hAnsi="Garamond"/>
        </w:rPr>
        <w:t>me s</w:t>
      </w:r>
      <w:r w:rsidR="003234A9">
        <w:rPr>
          <w:rFonts w:ascii="Garamond" w:hAnsi="Garamond"/>
        </w:rPr>
        <w:t xml:space="preserve">ekretare </w:t>
      </w:r>
      <w:proofErr w:type="spellStart"/>
      <w:r w:rsidR="003234A9">
        <w:rPr>
          <w:rFonts w:ascii="Garamond" w:hAnsi="Garamond"/>
        </w:rPr>
        <w:t>Anjeza</w:t>
      </w:r>
      <w:proofErr w:type="spellEnd"/>
      <w:r w:rsidR="003234A9">
        <w:rPr>
          <w:rFonts w:ascii="Garamond" w:hAnsi="Garamond"/>
        </w:rPr>
        <w:t xml:space="preserve"> Puka, në datën </w:t>
      </w:r>
      <w:r w:rsidRPr="003234A9">
        <w:rPr>
          <w:rFonts w:ascii="Garamond" w:hAnsi="Garamond"/>
        </w:rPr>
        <w:t>6.11.2025</w:t>
      </w:r>
      <w:r w:rsidR="003234A9">
        <w:rPr>
          <w:rFonts w:ascii="Garamond" w:hAnsi="Garamond"/>
        </w:rPr>
        <w:t>,</w:t>
      </w:r>
      <w:r w:rsidRPr="003234A9">
        <w:rPr>
          <w:rFonts w:ascii="Garamond" w:hAnsi="Garamond"/>
        </w:rPr>
        <w:t xml:space="preserve"> mori në shqyrtim në seancë plenare mbi bazë të dokumenteve çështjen nr. 7 (A) 2025 të Regjistrit Themeltar, që u përket:</w:t>
      </w:r>
    </w:p>
    <w:p w14:paraId="0FAD3121" w14:textId="2FCFE1A6" w:rsidR="000C75BB" w:rsidRPr="003234A9" w:rsidRDefault="000C75BB" w:rsidP="000C75BB">
      <w:pPr>
        <w:tabs>
          <w:tab w:val="left" w:pos="1980"/>
          <w:tab w:val="left" w:pos="2160"/>
          <w:tab w:val="left" w:pos="2340"/>
          <w:tab w:val="left" w:pos="2880"/>
        </w:tabs>
        <w:spacing w:line="240" w:lineRule="auto"/>
        <w:ind w:firstLine="284"/>
        <w:jc w:val="both"/>
        <w:rPr>
          <w:rFonts w:ascii="Garamond" w:hAnsi="Garamond"/>
        </w:rPr>
      </w:pPr>
      <w:r w:rsidRPr="003234A9">
        <w:rPr>
          <w:rFonts w:ascii="Garamond" w:hAnsi="Garamond"/>
          <w:bCs/>
        </w:rPr>
        <w:t>KËRKUES:</w:t>
      </w:r>
      <w:r w:rsidR="00901B17">
        <w:rPr>
          <w:rFonts w:ascii="Garamond" w:hAnsi="Garamond"/>
          <w:bCs/>
        </w:rPr>
        <w:t xml:space="preserve"> </w:t>
      </w:r>
      <w:proofErr w:type="spellStart"/>
      <w:r w:rsidRPr="003234A9">
        <w:rPr>
          <w:rFonts w:ascii="Garamond" w:hAnsi="Garamond"/>
          <w:bCs/>
        </w:rPr>
        <w:t>Aleks</w:t>
      </w:r>
      <w:proofErr w:type="spellEnd"/>
      <w:r w:rsidRPr="003234A9">
        <w:rPr>
          <w:rFonts w:ascii="Garamond" w:hAnsi="Garamond"/>
          <w:bCs/>
        </w:rPr>
        <w:t xml:space="preserve"> Çela</w:t>
      </w:r>
      <w:r w:rsidRPr="003234A9">
        <w:rPr>
          <w:rFonts w:ascii="Garamond" w:hAnsi="Garamond"/>
        </w:rPr>
        <w:t xml:space="preserve"> </w:t>
      </w:r>
    </w:p>
    <w:p w14:paraId="251F9C3D" w14:textId="747DEF30" w:rsidR="000C75BB" w:rsidRPr="003234A9" w:rsidRDefault="000C75BB" w:rsidP="000C75BB">
      <w:pPr>
        <w:spacing w:line="240" w:lineRule="auto"/>
        <w:ind w:firstLine="284"/>
        <w:rPr>
          <w:rFonts w:ascii="Garamond" w:hAnsi="Garamond"/>
          <w:bCs/>
        </w:rPr>
      </w:pPr>
      <w:r w:rsidRPr="003234A9">
        <w:rPr>
          <w:rFonts w:ascii="Garamond" w:hAnsi="Garamond"/>
          <w:bCs/>
        </w:rPr>
        <w:t xml:space="preserve"> SUBJEKT I INTERESUAR:</w:t>
      </w:r>
      <w:r w:rsidR="00901B17">
        <w:rPr>
          <w:rFonts w:ascii="Garamond" w:hAnsi="Garamond"/>
          <w:bCs/>
        </w:rPr>
        <w:t xml:space="preserve"> </w:t>
      </w:r>
      <w:r w:rsidRPr="003234A9">
        <w:rPr>
          <w:rFonts w:ascii="Garamond" w:hAnsi="Garamond"/>
          <w:bCs/>
        </w:rPr>
        <w:t xml:space="preserve">Shërbimi Informativ i Shtetit, </w:t>
      </w:r>
      <w:r w:rsidRPr="003234A9">
        <w:rPr>
          <w:rFonts w:ascii="Garamond" w:hAnsi="Garamond"/>
        </w:rPr>
        <w:t xml:space="preserve">përfaqësuar nga </w:t>
      </w:r>
      <w:proofErr w:type="spellStart"/>
      <w:r w:rsidRPr="003234A9">
        <w:rPr>
          <w:rFonts w:ascii="Garamond" w:hAnsi="Garamond"/>
        </w:rPr>
        <w:t>Armando</w:t>
      </w:r>
      <w:proofErr w:type="spellEnd"/>
      <w:r w:rsidRPr="003234A9">
        <w:rPr>
          <w:rFonts w:ascii="Garamond" w:hAnsi="Garamond"/>
        </w:rPr>
        <w:t xml:space="preserve"> Bici dhe </w:t>
      </w:r>
      <w:proofErr w:type="spellStart"/>
      <w:r w:rsidRPr="003234A9">
        <w:rPr>
          <w:rFonts w:ascii="Garamond" w:hAnsi="Garamond"/>
        </w:rPr>
        <w:t>Resilda</w:t>
      </w:r>
      <w:proofErr w:type="spellEnd"/>
      <w:r w:rsidRPr="003234A9">
        <w:rPr>
          <w:rFonts w:ascii="Garamond" w:hAnsi="Garamond"/>
        </w:rPr>
        <w:t xml:space="preserve"> </w:t>
      </w:r>
      <w:proofErr w:type="spellStart"/>
      <w:r w:rsidRPr="003234A9">
        <w:rPr>
          <w:rFonts w:ascii="Garamond" w:hAnsi="Garamond"/>
        </w:rPr>
        <w:t>Bilaj</w:t>
      </w:r>
      <w:proofErr w:type="spellEnd"/>
      <w:r w:rsidRPr="003234A9">
        <w:rPr>
          <w:rFonts w:ascii="Garamond" w:hAnsi="Garamond"/>
        </w:rPr>
        <w:t>, me autorizim.</w:t>
      </w:r>
    </w:p>
    <w:p w14:paraId="1099EEC7" w14:textId="2FA51577" w:rsidR="000C75BB" w:rsidRPr="003234A9" w:rsidRDefault="000C75BB" w:rsidP="000C75BB">
      <w:pPr>
        <w:pStyle w:val="BodyTextIndent2"/>
        <w:spacing w:line="240" w:lineRule="auto"/>
        <w:ind w:left="0" w:firstLine="284"/>
        <w:rPr>
          <w:rFonts w:ascii="Garamond" w:hAnsi="Garamond"/>
          <w:b w:val="0"/>
        </w:rPr>
      </w:pPr>
      <w:r w:rsidRPr="003234A9">
        <w:rPr>
          <w:rFonts w:ascii="Garamond" w:hAnsi="Garamond"/>
          <w:b w:val="0"/>
        </w:rPr>
        <w:t>OBJEKTI:</w:t>
      </w:r>
      <w:r w:rsidR="00901B17">
        <w:rPr>
          <w:rFonts w:ascii="Garamond" w:hAnsi="Garamond"/>
          <w:b w:val="0"/>
        </w:rPr>
        <w:t xml:space="preserve"> </w:t>
      </w:r>
      <w:r w:rsidRPr="003234A9">
        <w:rPr>
          <w:rFonts w:ascii="Garamond" w:hAnsi="Garamond"/>
          <w:b w:val="0"/>
        </w:rPr>
        <w:t>Shfuqizimi i vendimit nr. 00-2024-3106 (321),</w:t>
      </w:r>
      <w:r w:rsidR="003234A9">
        <w:rPr>
          <w:rFonts w:ascii="Garamond" w:hAnsi="Garamond"/>
          <w:b w:val="0"/>
        </w:rPr>
        <w:t xml:space="preserve"> datë 16.</w:t>
      </w:r>
      <w:r w:rsidRPr="003234A9">
        <w:rPr>
          <w:rFonts w:ascii="Garamond" w:hAnsi="Garamond"/>
          <w:b w:val="0"/>
        </w:rPr>
        <w:t>7.2024</w:t>
      </w:r>
      <w:r w:rsidR="003234A9">
        <w:rPr>
          <w:rFonts w:ascii="Garamond" w:hAnsi="Garamond"/>
          <w:b w:val="0"/>
        </w:rPr>
        <w:t>,</w:t>
      </w:r>
      <w:r w:rsidRPr="003234A9">
        <w:rPr>
          <w:rFonts w:ascii="Garamond" w:hAnsi="Garamond"/>
          <w:b w:val="0"/>
        </w:rPr>
        <w:t xml:space="preserve"> të Kolegjit Administrativ të Gjykatës së Lartë, si i papajtueshëm me Kushtetutën e Republikës së Shqipërisë. </w:t>
      </w:r>
    </w:p>
    <w:p w14:paraId="096260F1" w14:textId="64EF316D" w:rsidR="000C75BB" w:rsidRPr="003234A9" w:rsidRDefault="000C75BB" w:rsidP="000C75BB">
      <w:pPr>
        <w:spacing w:line="240" w:lineRule="auto"/>
        <w:ind w:firstLine="284"/>
        <w:jc w:val="both"/>
        <w:rPr>
          <w:rFonts w:ascii="Garamond" w:hAnsi="Garamond"/>
        </w:rPr>
      </w:pPr>
      <w:r w:rsidRPr="003234A9">
        <w:rPr>
          <w:rFonts w:ascii="Garamond" w:hAnsi="Garamond"/>
          <w:bCs/>
        </w:rPr>
        <w:t>BAZA LIGJORE: Nenet 41, 42, 131, pika 1, shkronja “f”, 132 dhe 134, pikat 1, shkronja “i”, dhe 2, të Kushtetutës së Republikës së Shqipërisë; neni 6 i Konventës Evropiane për të Drejtat e Nj</w:t>
      </w:r>
      <w:r w:rsidR="003234A9">
        <w:rPr>
          <w:rFonts w:ascii="Garamond" w:hAnsi="Garamond"/>
          <w:bCs/>
        </w:rPr>
        <w:t>eriut; ligji nr. 8577, datë 10.</w:t>
      </w:r>
      <w:r w:rsidRPr="003234A9">
        <w:rPr>
          <w:rFonts w:ascii="Garamond" w:hAnsi="Garamond"/>
          <w:bCs/>
        </w:rPr>
        <w:t>2.2000</w:t>
      </w:r>
      <w:r w:rsidR="003234A9">
        <w:rPr>
          <w:rFonts w:ascii="Garamond" w:hAnsi="Garamond"/>
          <w:bCs/>
        </w:rPr>
        <w:t>,</w:t>
      </w:r>
      <w:r w:rsidRPr="003234A9">
        <w:rPr>
          <w:rFonts w:ascii="Garamond" w:hAnsi="Garamond"/>
          <w:bCs/>
        </w:rPr>
        <w:t xml:space="preserve"> “Për organizimin dhe funksionimin e Gjykatës Kushtetuese të Republikës së Shqipërisë”, i ndryshuar (</w:t>
      </w:r>
      <w:r w:rsidRPr="003234A9">
        <w:rPr>
          <w:rFonts w:ascii="Garamond" w:hAnsi="Garamond"/>
          <w:bCs/>
          <w:i/>
          <w:iCs/>
        </w:rPr>
        <w:t>ligji organik i Gjykatës</w:t>
      </w:r>
      <w:r w:rsidRPr="003234A9">
        <w:rPr>
          <w:rFonts w:ascii="Garamond" w:hAnsi="Garamond"/>
          <w:bCs/>
        </w:rPr>
        <w:t>).</w:t>
      </w:r>
    </w:p>
    <w:p w14:paraId="1E2DA125" w14:textId="77777777" w:rsidR="000C75BB" w:rsidRPr="003234A9" w:rsidRDefault="000C75BB" w:rsidP="000C75BB">
      <w:pPr>
        <w:spacing w:line="240" w:lineRule="auto"/>
        <w:ind w:firstLine="284"/>
        <w:jc w:val="center"/>
        <w:rPr>
          <w:rFonts w:ascii="Garamond" w:hAnsi="Garamond"/>
          <w:bCs/>
        </w:rPr>
      </w:pPr>
    </w:p>
    <w:p w14:paraId="578BC6A1" w14:textId="77777777" w:rsidR="000C75BB" w:rsidRPr="003234A9" w:rsidRDefault="000C75BB" w:rsidP="000C75BB">
      <w:pPr>
        <w:spacing w:line="240" w:lineRule="auto"/>
        <w:ind w:firstLine="284"/>
        <w:jc w:val="center"/>
        <w:rPr>
          <w:rFonts w:ascii="Garamond" w:hAnsi="Garamond"/>
        </w:rPr>
      </w:pPr>
      <w:r w:rsidRPr="003234A9">
        <w:rPr>
          <w:rFonts w:ascii="Garamond" w:hAnsi="Garamond"/>
          <w:bCs/>
        </w:rPr>
        <w:t>GJYKATA KUSHTETUESE,</w:t>
      </w:r>
    </w:p>
    <w:p w14:paraId="10E3ECAD" w14:textId="77777777" w:rsidR="000C75BB" w:rsidRPr="003234A9" w:rsidRDefault="000C75BB" w:rsidP="000C75BB">
      <w:pPr>
        <w:spacing w:line="240" w:lineRule="auto"/>
        <w:ind w:firstLine="284"/>
        <w:jc w:val="both"/>
        <w:rPr>
          <w:rFonts w:ascii="Garamond" w:hAnsi="Garamond"/>
        </w:rPr>
      </w:pPr>
    </w:p>
    <w:p w14:paraId="2850058D" w14:textId="09F4D6DF" w:rsidR="000C75BB" w:rsidRPr="003234A9" w:rsidRDefault="000C75BB" w:rsidP="000C75BB">
      <w:pPr>
        <w:spacing w:line="240" w:lineRule="auto"/>
        <w:ind w:firstLine="284"/>
        <w:jc w:val="both"/>
        <w:rPr>
          <w:rFonts w:ascii="Garamond" w:hAnsi="Garamond"/>
        </w:rPr>
      </w:pPr>
      <w:r w:rsidRPr="003234A9">
        <w:rPr>
          <w:rFonts w:ascii="Garamond" w:hAnsi="Garamond"/>
        </w:rPr>
        <w:t xml:space="preserve">pasi dëgjoi </w:t>
      </w:r>
      <w:proofErr w:type="spellStart"/>
      <w:r w:rsidRPr="003234A9">
        <w:rPr>
          <w:rFonts w:ascii="Garamond" w:hAnsi="Garamond"/>
        </w:rPr>
        <w:t>relatoren</w:t>
      </w:r>
      <w:proofErr w:type="spellEnd"/>
      <w:r w:rsidRPr="003234A9">
        <w:rPr>
          <w:rFonts w:ascii="Garamond" w:hAnsi="Garamond"/>
        </w:rPr>
        <w:t xml:space="preserve"> e çështjes </w:t>
      </w:r>
      <w:proofErr w:type="spellStart"/>
      <w:r w:rsidRPr="003234A9">
        <w:rPr>
          <w:rFonts w:ascii="Garamond" w:hAnsi="Garamond"/>
        </w:rPr>
        <w:t>Marsida</w:t>
      </w:r>
      <w:proofErr w:type="spellEnd"/>
      <w:r w:rsidRPr="003234A9">
        <w:rPr>
          <w:rFonts w:ascii="Garamond" w:hAnsi="Garamond"/>
        </w:rPr>
        <w:t xml:space="preserve"> </w:t>
      </w:r>
      <w:proofErr w:type="spellStart"/>
      <w:r w:rsidRPr="003234A9">
        <w:rPr>
          <w:rFonts w:ascii="Garamond" w:hAnsi="Garamond"/>
        </w:rPr>
        <w:t>Xhaferllari</w:t>
      </w:r>
      <w:proofErr w:type="spellEnd"/>
      <w:r w:rsidRPr="003234A9">
        <w:rPr>
          <w:rFonts w:ascii="Garamond" w:hAnsi="Garamond"/>
        </w:rPr>
        <w:t xml:space="preserve">, mori në shqyrtim prapësimet me shkrim të kërkuesit </w:t>
      </w:r>
      <w:proofErr w:type="spellStart"/>
      <w:r w:rsidRPr="003234A9">
        <w:rPr>
          <w:rFonts w:ascii="Garamond" w:hAnsi="Garamond"/>
        </w:rPr>
        <w:t>Aleks</w:t>
      </w:r>
      <w:proofErr w:type="spellEnd"/>
      <w:r w:rsidRPr="003234A9">
        <w:rPr>
          <w:rFonts w:ascii="Garamond" w:hAnsi="Garamond"/>
        </w:rPr>
        <w:t xml:space="preserve"> Çela (</w:t>
      </w:r>
      <w:r w:rsidRPr="003234A9">
        <w:rPr>
          <w:rFonts w:ascii="Garamond" w:hAnsi="Garamond"/>
          <w:i/>
          <w:iCs/>
        </w:rPr>
        <w:t>kërkuesi</w:t>
      </w:r>
      <w:r w:rsidRPr="003234A9">
        <w:rPr>
          <w:rFonts w:ascii="Garamond" w:hAnsi="Garamond"/>
        </w:rPr>
        <w:t>), që ka kërkuar pranimin e kërkesës</w:t>
      </w:r>
      <w:r w:rsidRPr="003234A9">
        <w:rPr>
          <w:rFonts w:ascii="Garamond" w:hAnsi="Garamond"/>
          <w:i/>
          <w:iCs/>
        </w:rPr>
        <w:t>,</w:t>
      </w:r>
      <w:r w:rsidRPr="003234A9">
        <w:rPr>
          <w:rFonts w:ascii="Garamond" w:hAnsi="Garamond"/>
        </w:rPr>
        <w:t xml:space="preserve"> prapësimet me shkrim të subjektit të interesuar, Shërbimit Informativ të Shtetit (</w:t>
      </w:r>
      <w:r w:rsidRPr="003234A9">
        <w:rPr>
          <w:rFonts w:ascii="Garamond" w:hAnsi="Garamond"/>
          <w:i/>
          <w:iCs/>
        </w:rPr>
        <w:t>SHISH</w:t>
      </w:r>
      <w:r w:rsidRPr="003234A9">
        <w:rPr>
          <w:rFonts w:ascii="Garamond" w:hAnsi="Garamond"/>
        </w:rPr>
        <w:t xml:space="preserve">), që ka kërkuar rrëzimin e kërkesës, si dhe diskutoi çështjen në tërësi, </w:t>
      </w:r>
    </w:p>
    <w:p w14:paraId="20F1BDC1" w14:textId="77777777" w:rsidR="000C75BB" w:rsidRPr="003234A9" w:rsidRDefault="000C75BB" w:rsidP="000C75BB">
      <w:pPr>
        <w:pStyle w:val="BodyTextIndent2"/>
        <w:spacing w:line="240" w:lineRule="auto"/>
        <w:ind w:left="0" w:firstLine="284"/>
        <w:rPr>
          <w:rFonts w:ascii="Garamond" w:hAnsi="Garamond"/>
        </w:rPr>
      </w:pPr>
    </w:p>
    <w:p w14:paraId="75094C2F" w14:textId="77AC41D0" w:rsidR="000C75BB" w:rsidRPr="003234A9" w:rsidRDefault="000C75BB" w:rsidP="000C75BB">
      <w:pPr>
        <w:spacing w:line="240" w:lineRule="auto"/>
        <w:ind w:firstLine="284"/>
        <w:jc w:val="center"/>
        <w:rPr>
          <w:rFonts w:ascii="Garamond" w:hAnsi="Garamond"/>
          <w:bCs/>
        </w:rPr>
      </w:pPr>
      <w:r w:rsidRPr="003234A9">
        <w:rPr>
          <w:rFonts w:ascii="Garamond" w:hAnsi="Garamond"/>
          <w:bCs/>
        </w:rPr>
        <w:t>VËREN:</w:t>
      </w:r>
    </w:p>
    <w:p w14:paraId="50314C67" w14:textId="77777777" w:rsidR="000C75BB" w:rsidRPr="003234A9" w:rsidRDefault="000C75BB" w:rsidP="000C75BB">
      <w:pPr>
        <w:spacing w:line="240" w:lineRule="auto"/>
        <w:ind w:firstLine="284"/>
        <w:jc w:val="center"/>
        <w:rPr>
          <w:rFonts w:ascii="Garamond" w:hAnsi="Garamond"/>
          <w:b/>
          <w:bCs/>
        </w:rPr>
      </w:pPr>
    </w:p>
    <w:p w14:paraId="00BC9453" w14:textId="12FB5D27" w:rsidR="000C75BB" w:rsidRPr="003234A9" w:rsidRDefault="000C75BB" w:rsidP="000C75BB">
      <w:pPr>
        <w:spacing w:line="240" w:lineRule="auto"/>
        <w:ind w:firstLine="284"/>
        <w:jc w:val="center"/>
        <w:rPr>
          <w:rFonts w:ascii="Garamond" w:hAnsi="Garamond"/>
          <w:b/>
          <w:bCs/>
        </w:rPr>
      </w:pPr>
      <w:r w:rsidRPr="003234A9">
        <w:rPr>
          <w:rFonts w:ascii="Garamond" w:hAnsi="Garamond"/>
          <w:b/>
          <w:bCs/>
        </w:rPr>
        <w:t>I</w:t>
      </w:r>
    </w:p>
    <w:p w14:paraId="5D92E155" w14:textId="77777777" w:rsidR="000C75BB" w:rsidRPr="003234A9" w:rsidRDefault="000C75BB" w:rsidP="000C75BB">
      <w:pPr>
        <w:spacing w:line="240" w:lineRule="auto"/>
        <w:ind w:firstLine="284"/>
        <w:jc w:val="center"/>
        <w:rPr>
          <w:rFonts w:ascii="Garamond" w:hAnsi="Garamond"/>
          <w:b/>
          <w:bCs/>
        </w:rPr>
      </w:pPr>
      <w:r w:rsidRPr="003234A9">
        <w:rPr>
          <w:rFonts w:ascii="Garamond" w:hAnsi="Garamond"/>
          <w:b/>
          <w:bCs/>
        </w:rPr>
        <w:t>Rrethanat e çështjes</w:t>
      </w:r>
    </w:p>
    <w:p w14:paraId="2838CB5F" w14:textId="77777777"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p>
    <w:p w14:paraId="66DB6806" w14:textId="278E9B07"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1. Kërkuesi ka qenë i punësuar pranë subjektit t</w:t>
      </w:r>
      <w:r w:rsidR="003234A9">
        <w:rPr>
          <w:rFonts w:ascii="Garamond" w:hAnsi="Garamond"/>
        </w:rPr>
        <w:t xml:space="preserve">ë interesuar, SHISH-it deri më </w:t>
      </w:r>
      <w:r w:rsidRPr="003234A9">
        <w:rPr>
          <w:rFonts w:ascii="Garamond" w:hAnsi="Garamond"/>
        </w:rPr>
        <w:t>7.12.200</w:t>
      </w:r>
      <w:r w:rsidR="003234A9">
        <w:rPr>
          <w:rFonts w:ascii="Garamond" w:hAnsi="Garamond"/>
        </w:rPr>
        <w:t xml:space="preserve">6. Me urdhrin nr. 12-997, datë </w:t>
      </w:r>
      <w:r w:rsidRPr="003234A9">
        <w:rPr>
          <w:rFonts w:ascii="Garamond" w:hAnsi="Garamond"/>
        </w:rPr>
        <w:t>7.12.2006</w:t>
      </w:r>
      <w:r w:rsidR="003234A9">
        <w:rPr>
          <w:rFonts w:ascii="Garamond" w:hAnsi="Garamond"/>
        </w:rPr>
        <w:t>,</w:t>
      </w:r>
      <w:r w:rsidRPr="003234A9">
        <w:rPr>
          <w:rFonts w:ascii="Garamond" w:hAnsi="Garamond"/>
        </w:rPr>
        <w:t xml:space="preserve"> të drejtorit të SHISH-it “Për lirim nga shërbimi”, ai është liruar nga shërbimi me motivacionin e shkeljes së rregullave nënligjore që normojnë veprimtarinë informative të SHISH-it. Pavarësisht motivit të lirimit, kërkuesi është trajtuar financiarisht me pension të parakohshëm.</w:t>
      </w:r>
    </w:p>
    <w:p w14:paraId="0A3293F0" w14:textId="2D14B9F5"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 xml:space="preserve">2. Në </w:t>
      </w:r>
      <w:r w:rsidR="003234A9">
        <w:rPr>
          <w:rFonts w:ascii="Garamond" w:hAnsi="Garamond"/>
          <w:bCs/>
        </w:rPr>
        <w:t>datën 15.</w:t>
      </w:r>
      <w:r w:rsidRPr="003234A9">
        <w:rPr>
          <w:rFonts w:ascii="Garamond" w:hAnsi="Garamond"/>
          <w:bCs/>
        </w:rPr>
        <w:t>1.2014</w:t>
      </w:r>
      <w:r w:rsidR="003234A9">
        <w:rPr>
          <w:rFonts w:ascii="Garamond" w:hAnsi="Garamond"/>
          <w:bCs/>
        </w:rPr>
        <w:t>,</w:t>
      </w:r>
      <w:r w:rsidRPr="003234A9">
        <w:rPr>
          <w:rFonts w:ascii="Garamond" w:hAnsi="Garamond"/>
          <w:bCs/>
        </w:rPr>
        <w:t xml:space="preserve"> </w:t>
      </w:r>
      <w:r w:rsidRPr="003234A9">
        <w:rPr>
          <w:rFonts w:ascii="Garamond" w:hAnsi="Garamond"/>
        </w:rPr>
        <w:t>SHISH-i</w:t>
      </w:r>
      <w:r w:rsidRPr="003234A9">
        <w:rPr>
          <w:rFonts w:ascii="Garamond" w:hAnsi="Garamond"/>
          <w:bCs/>
        </w:rPr>
        <w:t xml:space="preserve"> i është përgjigjur me shkrim kërkuesit, duke i vënë në dispozicion ekstraktin e urdhrit të lirimit nga shërbimi. Disa ditë m</w:t>
      </w:r>
      <w:r w:rsidR="003234A9">
        <w:rPr>
          <w:rFonts w:ascii="Garamond" w:hAnsi="Garamond"/>
          <w:bCs/>
        </w:rPr>
        <w:t>ë pas, konkretisht në datën 31.</w:t>
      </w:r>
      <w:r w:rsidRPr="003234A9">
        <w:rPr>
          <w:rFonts w:ascii="Garamond" w:hAnsi="Garamond"/>
          <w:bCs/>
        </w:rPr>
        <w:t>1.2014, kërkuesi ka ngritur padi në gjykatë, me objekt pavlefshmërinë absolute të urdhrit të lirimit, zgjidhjen e pasojave dhe shpërblimin e dëmit me pagën e një viti. Gjatë gjykimit, punëdhënësi, SHISH-i, ka paraqitur si provë të motivit të lirimit shkresën “ekst</w:t>
      </w:r>
      <w:r w:rsidR="003234A9">
        <w:rPr>
          <w:rFonts w:ascii="Garamond" w:hAnsi="Garamond"/>
          <w:bCs/>
        </w:rPr>
        <w:t xml:space="preserve">rakt” nr. 195/4 </w:t>
      </w:r>
      <w:proofErr w:type="spellStart"/>
      <w:r w:rsidR="003234A9">
        <w:rPr>
          <w:rFonts w:ascii="Garamond" w:hAnsi="Garamond"/>
          <w:bCs/>
        </w:rPr>
        <w:t>prot</w:t>
      </w:r>
      <w:proofErr w:type="spellEnd"/>
      <w:r w:rsidR="003234A9">
        <w:rPr>
          <w:rFonts w:ascii="Garamond" w:hAnsi="Garamond"/>
          <w:bCs/>
        </w:rPr>
        <w:t>., datë 20.</w:t>
      </w:r>
      <w:r w:rsidRPr="003234A9">
        <w:rPr>
          <w:rFonts w:ascii="Garamond" w:hAnsi="Garamond"/>
          <w:bCs/>
        </w:rPr>
        <w:t>2.2014</w:t>
      </w:r>
      <w:r w:rsidR="003234A9">
        <w:rPr>
          <w:rFonts w:ascii="Garamond" w:hAnsi="Garamond"/>
          <w:bCs/>
        </w:rPr>
        <w:t>,</w:t>
      </w:r>
      <w:r w:rsidRPr="003234A9">
        <w:rPr>
          <w:rFonts w:ascii="Garamond" w:hAnsi="Garamond"/>
          <w:bCs/>
        </w:rPr>
        <w:t xml:space="preserve"> të përpiluar nga Drejtoria Juridike dhe e Burimeve Njerëzore, në përmbajtje të së cilës gjendeshin përmbledhje të tri materialeve në ngarkim të kërkuesit, duke parashtruar se kopjet e plota nuk mund të paraqiteshin, pasi ishin informacion i klasifikuar. </w:t>
      </w:r>
    </w:p>
    <w:p w14:paraId="516204ED" w14:textId="17B0EF62"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3. Gjykata Administrative e Shkallës së Parë Tira</w:t>
      </w:r>
      <w:r w:rsidR="003234A9">
        <w:rPr>
          <w:rFonts w:ascii="Garamond" w:hAnsi="Garamond"/>
          <w:bCs/>
        </w:rPr>
        <w:t>në, me vendimin nr. 1487, datë 8.</w:t>
      </w:r>
      <w:r w:rsidRPr="003234A9">
        <w:rPr>
          <w:rFonts w:ascii="Garamond" w:hAnsi="Garamond"/>
          <w:bCs/>
        </w:rPr>
        <w:t>4.2014, ka vendosur mospranimin e padisë, me arsyetimin se ajo ishte paraqitur jashtë afatit ligjor 30-ditor të përcaktuar nga neni</w:t>
      </w:r>
      <w:r w:rsidR="003234A9">
        <w:rPr>
          <w:rFonts w:ascii="Garamond" w:hAnsi="Garamond"/>
          <w:bCs/>
        </w:rPr>
        <w:t xml:space="preserve"> 54 i ligjit nr. 9357, datë 17.</w:t>
      </w:r>
      <w:r w:rsidRPr="003234A9">
        <w:rPr>
          <w:rFonts w:ascii="Garamond" w:hAnsi="Garamond"/>
          <w:bCs/>
        </w:rPr>
        <w:t xml:space="preserve">3.2005 </w:t>
      </w:r>
      <w:r w:rsidR="003234A9">
        <w:rPr>
          <w:rFonts w:ascii="Garamond" w:hAnsi="Garamond"/>
          <w:bCs/>
        </w:rPr>
        <w:t>,</w:t>
      </w:r>
      <w:r w:rsidRPr="003234A9">
        <w:rPr>
          <w:rFonts w:ascii="Garamond" w:hAnsi="Garamond"/>
          <w:bCs/>
        </w:rPr>
        <w:t>“Për statusin</w:t>
      </w:r>
      <w:r w:rsidRPr="003234A9">
        <w:rPr>
          <w:rFonts w:ascii="Garamond" w:hAnsi="Garamond"/>
          <w:b/>
          <w:bCs/>
        </w:rPr>
        <w:t xml:space="preserve"> </w:t>
      </w:r>
      <w:r w:rsidRPr="003234A9">
        <w:rPr>
          <w:rFonts w:ascii="Garamond" w:hAnsi="Garamond"/>
          <w:bCs/>
        </w:rPr>
        <w:t xml:space="preserve">e punonjësit të Shërbimit </w:t>
      </w:r>
      <w:r w:rsidRPr="003234A9">
        <w:rPr>
          <w:rFonts w:ascii="Garamond" w:hAnsi="Garamond"/>
          <w:bCs/>
        </w:rPr>
        <w:lastRenderedPageBreak/>
        <w:t>Informativ të Shtetit” (</w:t>
      </w:r>
      <w:r w:rsidRPr="003234A9">
        <w:rPr>
          <w:rFonts w:ascii="Garamond" w:hAnsi="Garamond"/>
          <w:bCs/>
          <w:i/>
          <w:iCs/>
        </w:rPr>
        <w:t>ligji për statusin e SHISH-it</w:t>
      </w:r>
      <w:r w:rsidRPr="003234A9">
        <w:rPr>
          <w:rFonts w:ascii="Garamond" w:hAnsi="Garamond"/>
          <w:bCs/>
        </w:rPr>
        <w:t>), si dhe jashtë afatit 3-vjeçar të përcaktuar nga neni 203 i Kodit të Punës.</w:t>
      </w:r>
    </w:p>
    <w:p w14:paraId="67F29BEF" w14:textId="0F1F19EF" w:rsidR="000C75BB" w:rsidRPr="003234A9" w:rsidRDefault="000C75BB" w:rsidP="003234A9">
      <w:pPr>
        <w:tabs>
          <w:tab w:val="left" w:pos="6400"/>
        </w:tabs>
        <w:spacing w:line="240" w:lineRule="auto"/>
        <w:ind w:firstLine="284"/>
        <w:jc w:val="both"/>
        <w:rPr>
          <w:rFonts w:ascii="Garamond" w:hAnsi="Garamond"/>
          <w:bCs/>
        </w:rPr>
      </w:pPr>
      <w:r w:rsidRPr="003234A9">
        <w:rPr>
          <w:rFonts w:ascii="Garamond" w:hAnsi="Garamond"/>
        </w:rPr>
        <w:t xml:space="preserve"> </w:t>
      </w:r>
      <w:r w:rsidRPr="003234A9">
        <w:rPr>
          <w:rFonts w:ascii="Garamond" w:hAnsi="Garamond"/>
          <w:bCs/>
        </w:rPr>
        <w:t>4. Mbi bazën e apelit të kërkuesit, Gjykata Administrative e Apelit,</w:t>
      </w:r>
      <w:r w:rsidR="003234A9">
        <w:rPr>
          <w:rFonts w:ascii="Garamond" w:hAnsi="Garamond"/>
          <w:bCs/>
        </w:rPr>
        <w:t xml:space="preserve"> me vendimin nr. 1916, datë 21.</w:t>
      </w:r>
      <w:r w:rsidRPr="003234A9">
        <w:rPr>
          <w:rFonts w:ascii="Garamond" w:hAnsi="Garamond"/>
          <w:bCs/>
        </w:rPr>
        <w:t>9.2015, ka vendosur prishjen e vendimit dhe kthimin e çështjes për rigjykim në shkallë të parë, me arsyetimin se padia për pavlefshmërinë absolute të aktit administrativ mund të ngrihet në çdo kohë.</w:t>
      </w:r>
    </w:p>
    <w:p w14:paraId="61552173" w14:textId="2BE228A1" w:rsidR="000C75BB" w:rsidRPr="003234A9" w:rsidRDefault="000C75BB" w:rsidP="003234A9">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5. Në rigjykim, Gjykata Administrative e Shkallës së Parë Tiranë, me ven</w:t>
      </w:r>
      <w:r w:rsidR="003234A9">
        <w:rPr>
          <w:rFonts w:ascii="Garamond" w:hAnsi="Garamond"/>
          <w:bCs/>
        </w:rPr>
        <w:t>dimin nr. 79, datë 18.</w:t>
      </w:r>
      <w:r w:rsidRPr="003234A9">
        <w:rPr>
          <w:rFonts w:ascii="Garamond" w:hAnsi="Garamond"/>
          <w:bCs/>
        </w:rPr>
        <w:t xml:space="preserve">1.2016, ka vendosur pranimin pjesërisht të padisë, vetëm për pjesën e dëmshpërblimit, duke urdhëruar punëdhënësin t’i paguajë kërkuesit shpërblim me 12 paga mujore. Ndaj vendimit kanë paraqitur apel të dyja palët. </w:t>
      </w:r>
    </w:p>
    <w:p w14:paraId="19F11BC3" w14:textId="34E0CEAD" w:rsidR="000C75BB" w:rsidRPr="003234A9" w:rsidRDefault="000C75BB" w:rsidP="003234A9">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6. Gjykata Administrative e Apelit,</w:t>
      </w:r>
      <w:r w:rsidR="003234A9">
        <w:rPr>
          <w:rFonts w:ascii="Garamond" w:hAnsi="Garamond"/>
          <w:bCs/>
        </w:rPr>
        <w:t xml:space="preserve"> me vendimin nr. 2438, datë 07.</w:t>
      </w:r>
      <w:r w:rsidRPr="003234A9">
        <w:rPr>
          <w:rFonts w:ascii="Garamond" w:hAnsi="Garamond"/>
          <w:bCs/>
        </w:rPr>
        <w:t>9.2016, ka vendosur ndryshimin e pjesshëm të vendimit të gjykatës së shkallës së parë, duke pranuar edhe kërkimin për kundërshtimin e urdhrit të lirimit nga shërbimi të kërkuesit, me arsyetimin se nuk ishte respektuar forma për nxjerrjen e tij.</w:t>
      </w:r>
    </w:p>
    <w:p w14:paraId="51C2B94B" w14:textId="67E2A17D" w:rsidR="000C75BB" w:rsidRPr="003234A9" w:rsidRDefault="000C75BB" w:rsidP="003234A9">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7. Mbi bazën e rekursit të subjektit të interesuar, SHISH-it, Kolegji Administrativ i Gjykatës së Lartë, në dhomën e këshillimit, me vendimin n</w:t>
      </w:r>
      <w:r w:rsidR="003234A9">
        <w:rPr>
          <w:rFonts w:ascii="Garamond" w:hAnsi="Garamond"/>
          <w:bCs/>
        </w:rPr>
        <w:t>r. 00-2024-3106 (321), datë 16.</w:t>
      </w:r>
      <w:r w:rsidRPr="003234A9">
        <w:rPr>
          <w:rFonts w:ascii="Garamond" w:hAnsi="Garamond"/>
          <w:bCs/>
        </w:rPr>
        <w:t xml:space="preserve">7.2024, ka vendosur ndryshimin e vendimeve të gjykatave të faktit dhe rrëzimin e padisë. Sipas Gjykatës së Lartë, padia ishte paraqitur jashtë afatit ligjor. </w:t>
      </w:r>
    </w:p>
    <w:p w14:paraId="364B4797" w14:textId="74B58FE9" w:rsidR="000C75BB" w:rsidRPr="003234A9" w:rsidRDefault="003234A9" w:rsidP="003234A9">
      <w:pPr>
        <w:pStyle w:val="ListParagraph"/>
        <w:tabs>
          <w:tab w:val="left" w:pos="1080"/>
          <w:tab w:val="left" w:pos="1260"/>
        </w:tabs>
        <w:spacing w:line="240" w:lineRule="auto"/>
        <w:ind w:left="0" w:firstLine="284"/>
        <w:jc w:val="both"/>
        <w:rPr>
          <w:rFonts w:ascii="Garamond" w:hAnsi="Garamond"/>
          <w:b/>
          <w:bCs/>
        </w:rPr>
      </w:pPr>
      <w:r>
        <w:rPr>
          <w:rFonts w:ascii="Garamond" w:hAnsi="Garamond"/>
          <w:bCs/>
        </w:rPr>
        <w:t>8. Në datën 10.</w:t>
      </w:r>
      <w:r w:rsidR="000C75BB" w:rsidRPr="003234A9">
        <w:rPr>
          <w:rFonts w:ascii="Garamond" w:hAnsi="Garamond"/>
          <w:bCs/>
        </w:rPr>
        <w:t>2.2025</w:t>
      </w:r>
      <w:r>
        <w:rPr>
          <w:rFonts w:ascii="Garamond" w:hAnsi="Garamond"/>
          <w:bCs/>
        </w:rPr>
        <w:t>,</w:t>
      </w:r>
      <w:r w:rsidR="000C75BB" w:rsidRPr="003234A9">
        <w:rPr>
          <w:rFonts w:ascii="Garamond" w:hAnsi="Garamond"/>
          <w:bCs/>
        </w:rPr>
        <w:t xml:space="preserve"> kërkuesi i është drejtuar Gjykatës Kushtetuese (</w:t>
      </w:r>
      <w:r w:rsidR="000C75BB" w:rsidRPr="003234A9">
        <w:rPr>
          <w:rFonts w:ascii="Garamond" w:hAnsi="Garamond"/>
          <w:bCs/>
          <w:i/>
          <w:iCs/>
        </w:rPr>
        <w:t>Gjykata</w:t>
      </w:r>
      <w:r w:rsidR="000C75BB" w:rsidRPr="003234A9">
        <w:rPr>
          <w:rFonts w:ascii="Garamond" w:hAnsi="Garamond"/>
          <w:bCs/>
        </w:rPr>
        <w:t>), me ankim kushtetues individual, sipas objektit.</w:t>
      </w:r>
      <w:r w:rsidR="000C75BB" w:rsidRPr="003234A9">
        <w:rPr>
          <w:rFonts w:ascii="Garamond" w:hAnsi="Garamond"/>
        </w:rPr>
        <w:t xml:space="preserve"> Kolegji i Gjykatës</w:t>
      </w:r>
      <w:r>
        <w:rPr>
          <w:rFonts w:ascii="Garamond" w:hAnsi="Garamond"/>
        </w:rPr>
        <w:t>, në datën 15.</w:t>
      </w:r>
      <w:r w:rsidR="000C75BB" w:rsidRPr="003234A9">
        <w:rPr>
          <w:rFonts w:ascii="Garamond" w:hAnsi="Garamond"/>
        </w:rPr>
        <w:t>4.2025</w:t>
      </w:r>
      <w:r>
        <w:rPr>
          <w:rFonts w:ascii="Garamond" w:hAnsi="Garamond"/>
        </w:rPr>
        <w:t>,</w:t>
      </w:r>
      <w:r w:rsidR="000C75BB" w:rsidRPr="003234A9">
        <w:rPr>
          <w:rFonts w:ascii="Garamond" w:hAnsi="Garamond"/>
        </w:rPr>
        <w:t xml:space="preserve"> ka vendosur kalimin e çështjes për shqyrtim në seancë plenare mbi bazë të dokumenteve.</w:t>
      </w:r>
    </w:p>
    <w:p w14:paraId="0106416E" w14:textId="77777777" w:rsidR="000C75BB" w:rsidRPr="003234A9" w:rsidRDefault="000C75BB" w:rsidP="000C75BB">
      <w:pPr>
        <w:pStyle w:val="BodyTextIndent2"/>
        <w:tabs>
          <w:tab w:val="left" w:pos="980"/>
        </w:tabs>
        <w:spacing w:line="240" w:lineRule="auto"/>
        <w:ind w:left="0" w:firstLine="284"/>
        <w:rPr>
          <w:rFonts w:ascii="Garamond" w:hAnsi="Garamond"/>
          <w:b w:val="0"/>
          <w:bCs/>
        </w:rPr>
      </w:pPr>
    </w:p>
    <w:p w14:paraId="6808B6B5" w14:textId="77777777" w:rsidR="000C75BB" w:rsidRPr="003234A9" w:rsidRDefault="000C75BB" w:rsidP="000C75BB">
      <w:pPr>
        <w:pStyle w:val="BodyTextIndent2"/>
        <w:tabs>
          <w:tab w:val="left" w:pos="980"/>
        </w:tabs>
        <w:spacing w:line="240" w:lineRule="auto"/>
        <w:ind w:left="0" w:firstLine="284"/>
        <w:jc w:val="center"/>
        <w:rPr>
          <w:rFonts w:ascii="Garamond" w:hAnsi="Garamond"/>
        </w:rPr>
      </w:pPr>
      <w:proofErr w:type="spellStart"/>
      <w:r w:rsidRPr="003234A9">
        <w:rPr>
          <w:rFonts w:ascii="Garamond" w:hAnsi="Garamond"/>
        </w:rPr>
        <w:t>II</w:t>
      </w:r>
      <w:proofErr w:type="spellEnd"/>
    </w:p>
    <w:p w14:paraId="31561BDE" w14:textId="77777777" w:rsidR="000C75BB" w:rsidRPr="003234A9" w:rsidRDefault="000C75BB" w:rsidP="000C75BB">
      <w:pPr>
        <w:pStyle w:val="BodyTextIndent2"/>
        <w:tabs>
          <w:tab w:val="left" w:pos="980"/>
        </w:tabs>
        <w:spacing w:line="240" w:lineRule="auto"/>
        <w:ind w:left="0" w:firstLine="284"/>
        <w:jc w:val="center"/>
        <w:rPr>
          <w:rFonts w:ascii="Garamond" w:hAnsi="Garamond"/>
        </w:rPr>
      </w:pPr>
      <w:r w:rsidRPr="003234A9">
        <w:rPr>
          <w:rFonts w:ascii="Garamond" w:hAnsi="Garamond"/>
        </w:rPr>
        <w:t>Pretendimet në Gjykatën Kushtetuese</w:t>
      </w:r>
    </w:p>
    <w:p w14:paraId="23671F35" w14:textId="77777777" w:rsidR="00DB711E" w:rsidRPr="003234A9" w:rsidRDefault="00DB711E" w:rsidP="000C75BB">
      <w:pPr>
        <w:pStyle w:val="ListParagraph"/>
        <w:tabs>
          <w:tab w:val="left" w:pos="1080"/>
          <w:tab w:val="left" w:pos="1260"/>
        </w:tabs>
        <w:spacing w:line="240" w:lineRule="auto"/>
        <w:ind w:left="0" w:firstLine="284"/>
        <w:jc w:val="both"/>
        <w:rPr>
          <w:rFonts w:ascii="Garamond" w:hAnsi="Garamond"/>
        </w:rPr>
      </w:pPr>
    </w:p>
    <w:p w14:paraId="4F77D7FC" w14:textId="6C160267"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9. </w:t>
      </w:r>
      <w:r w:rsidRPr="003234A9">
        <w:rPr>
          <w:rFonts w:ascii="Garamond" w:hAnsi="Garamond"/>
          <w:b/>
          <w:bCs/>
          <w:i/>
          <w:iCs/>
        </w:rPr>
        <w:t>K</w:t>
      </w:r>
      <w:r w:rsidRPr="003234A9">
        <w:rPr>
          <w:rFonts w:ascii="Garamond" w:hAnsi="Garamond"/>
          <w:b/>
          <w:bCs/>
        </w:rPr>
        <w:t>ë</w:t>
      </w:r>
      <w:r w:rsidRPr="003234A9">
        <w:rPr>
          <w:rFonts w:ascii="Garamond" w:hAnsi="Garamond"/>
          <w:b/>
          <w:bCs/>
          <w:i/>
          <w:iCs/>
        </w:rPr>
        <w:t>rkuesi</w:t>
      </w:r>
      <w:r w:rsidRPr="003234A9">
        <w:rPr>
          <w:rFonts w:ascii="Garamond" w:hAnsi="Garamond"/>
          <w:i/>
          <w:iCs/>
        </w:rPr>
        <w:t>,</w:t>
      </w:r>
      <w:r w:rsidRPr="003234A9">
        <w:rPr>
          <w:rFonts w:ascii="Garamond" w:hAnsi="Garamond"/>
        </w:rPr>
        <w:t xml:space="preserve"> në mënyrë të përmbledhur, ka parashtruar se i është cenuar:</w:t>
      </w:r>
    </w:p>
    <w:p w14:paraId="43A5AB33" w14:textId="755C4A95" w:rsidR="000C75BB" w:rsidRPr="003234A9" w:rsidRDefault="003234A9" w:rsidP="000C75BB">
      <w:pPr>
        <w:pStyle w:val="ListParagraph"/>
        <w:tabs>
          <w:tab w:val="left" w:pos="1080"/>
          <w:tab w:val="left" w:pos="1260"/>
        </w:tabs>
        <w:spacing w:line="240" w:lineRule="auto"/>
        <w:ind w:left="0" w:firstLine="284"/>
        <w:jc w:val="both"/>
        <w:rPr>
          <w:rFonts w:ascii="Garamond" w:hAnsi="Garamond"/>
        </w:rPr>
      </w:pPr>
      <w:r>
        <w:rPr>
          <w:rFonts w:ascii="Garamond" w:hAnsi="Garamond"/>
        </w:rPr>
        <w:t>9.1</w:t>
      </w:r>
      <w:r w:rsidR="00901B17">
        <w:rPr>
          <w:rFonts w:ascii="Garamond" w:hAnsi="Garamond"/>
        </w:rPr>
        <w:t xml:space="preserve"> </w:t>
      </w:r>
      <w:r w:rsidR="000C75BB" w:rsidRPr="003234A9">
        <w:rPr>
          <w:rFonts w:ascii="Garamond" w:hAnsi="Garamond"/>
          <w:i/>
          <w:iCs/>
        </w:rPr>
        <w:t>E drejta për proces të rregullt ligjor</w:t>
      </w:r>
      <w:r w:rsidR="000C75BB" w:rsidRPr="003234A9">
        <w:rPr>
          <w:rFonts w:ascii="Garamond" w:hAnsi="Garamond"/>
        </w:rPr>
        <w:t xml:space="preserve">, e garantuar nga neni 42 i Kushtetutës, në aspektet e mëposhtme: </w:t>
      </w:r>
    </w:p>
    <w:p w14:paraId="45A59666" w14:textId="09DA9313" w:rsidR="000C75BB" w:rsidRPr="003234A9" w:rsidRDefault="003234A9" w:rsidP="000C75BB">
      <w:pPr>
        <w:pStyle w:val="ListParagraph"/>
        <w:spacing w:line="240" w:lineRule="auto"/>
        <w:ind w:left="0" w:firstLine="284"/>
        <w:jc w:val="both"/>
        <w:rPr>
          <w:rFonts w:ascii="Garamond" w:hAnsi="Garamond"/>
        </w:rPr>
      </w:pPr>
      <w:r>
        <w:rPr>
          <w:rFonts w:ascii="Garamond" w:hAnsi="Garamond"/>
        </w:rPr>
        <w:t>9.1.1</w:t>
      </w:r>
      <w:r w:rsidR="000C75BB" w:rsidRPr="003234A9">
        <w:rPr>
          <w:rFonts w:ascii="Garamond" w:hAnsi="Garamond"/>
        </w:rPr>
        <w:t xml:space="preserve"> </w:t>
      </w:r>
      <w:r w:rsidR="000C75BB" w:rsidRPr="003234A9">
        <w:rPr>
          <w:rFonts w:ascii="Garamond" w:hAnsi="Garamond"/>
          <w:i/>
          <w:iCs/>
        </w:rPr>
        <w:t xml:space="preserve">E drejta për t’u mbrojtur, </w:t>
      </w:r>
      <w:r w:rsidR="000C75BB" w:rsidRPr="003234A9">
        <w:rPr>
          <w:rFonts w:ascii="Garamond" w:hAnsi="Garamond"/>
        </w:rPr>
        <w:t>pasi</w:t>
      </w:r>
      <w:r w:rsidR="000C75BB" w:rsidRPr="003234A9">
        <w:rPr>
          <w:rFonts w:ascii="Garamond" w:hAnsi="Garamond"/>
          <w:i/>
          <w:iCs/>
        </w:rPr>
        <w:t xml:space="preserve"> </w:t>
      </w:r>
      <w:r w:rsidR="000C75BB" w:rsidRPr="003234A9">
        <w:rPr>
          <w:rFonts w:ascii="Garamond" w:hAnsi="Garamond"/>
        </w:rPr>
        <w:t>Gjykata e Lartë ka vlerësuar me nismën e saj pasojat e aktit administrativ dhe afatin e parashkrimit sipas Kodit të Punës. Kjo përbënte çështje ligjore që nuk ishte diskutuar në gjykim dhe kërkuesit, në kundërshtim me nenin 473/a të Kodit të Procedurës Civile (</w:t>
      </w:r>
      <w:proofErr w:type="spellStart"/>
      <w:r w:rsidR="000C75BB" w:rsidRPr="003234A9">
        <w:rPr>
          <w:rFonts w:ascii="Garamond" w:hAnsi="Garamond"/>
          <w:i/>
          <w:iCs/>
        </w:rPr>
        <w:t>KPC</w:t>
      </w:r>
      <w:proofErr w:type="spellEnd"/>
      <w:r w:rsidR="000C75BB" w:rsidRPr="003234A9">
        <w:rPr>
          <w:rFonts w:ascii="Garamond" w:hAnsi="Garamond"/>
        </w:rPr>
        <w:t>), nuk i është dhënë paraprakisht koha për të paraqitur mendimin e tij me shkrim.</w:t>
      </w:r>
    </w:p>
    <w:p w14:paraId="7C879CD8" w14:textId="09C41E59" w:rsidR="000C75BB" w:rsidRPr="003234A9" w:rsidRDefault="003234A9" w:rsidP="000C75BB">
      <w:pPr>
        <w:pStyle w:val="ListParagraph"/>
        <w:spacing w:line="240" w:lineRule="auto"/>
        <w:ind w:left="0" w:firstLine="284"/>
        <w:jc w:val="both"/>
        <w:rPr>
          <w:rFonts w:ascii="Garamond" w:hAnsi="Garamond"/>
        </w:rPr>
      </w:pPr>
      <w:r>
        <w:rPr>
          <w:rFonts w:ascii="Garamond" w:hAnsi="Garamond"/>
        </w:rPr>
        <w:t>9.1.2</w:t>
      </w:r>
      <w:r w:rsidR="000C75BB" w:rsidRPr="003234A9">
        <w:rPr>
          <w:rFonts w:ascii="Garamond" w:hAnsi="Garamond"/>
        </w:rPr>
        <w:t xml:space="preserve"> </w:t>
      </w:r>
      <w:r w:rsidR="000C75BB" w:rsidRPr="003234A9">
        <w:rPr>
          <w:rFonts w:ascii="Garamond" w:hAnsi="Garamond"/>
          <w:i/>
          <w:iCs/>
        </w:rPr>
        <w:t>Parimi i sigurisë juridike,</w:t>
      </w:r>
      <w:r w:rsidR="000C75BB" w:rsidRPr="003234A9">
        <w:rPr>
          <w:rFonts w:ascii="Garamond" w:hAnsi="Garamond"/>
        </w:rPr>
        <w:t xml:space="preserve"> pasi afati i ngritjes së padisë ishte vlerësuar nga gjykata e apelit, e cila kur ktheu çështjen për rigjykim në shkallë të parë, pranoi që padia ishte paraqitur në afat. SHISH-i nuk paraqiti ankim ndaj këtij vendimi, ndaj çështja e afatit përbënte gjë të gjykuar, të cilën Gjykata e Lartë e ka cenuar me vendimin e saj, duke ndryshuar vendimet e gjykatave me të ulëta, me arsyetimin se padia ishte paraqitur jashtë afatit ligjor. Vendimi i gjykatës së apelit ishte i formës së prerë dhe ishte ekzekutuar tërësisht, për pasojë kërkuesit sipas vendimit të Gjykatës së Lartë i duhet që pas 10 vjetësh të kthejë shumën e ekzekutuar të dëmshpërblimit, të cilën tashmë duhet t’ia mbajnë nga pensioni, duke i cenuar atij edhe të drejtën e pronës të garantuar nga neni 41 i Kushtetutës.</w:t>
      </w:r>
    </w:p>
    <w:p w14:paraId="799909D8" w14:textId="2AAAEC42" w:rsidR="000C75BB" w:rsidRPr="003234A9" w:rsidRDefault="003234A9" w:rsidP="000C75BB">
      <w:pPr>
        <w:pStyle w:val="ListParagraph"/>
        <w:spacing w:line="240" w:lineRule="auto"/>
        <w:ind w:left="0" w:firstLine="284"/>
        <w:jc w:val="both"/>
        <w:rPr>
          <w:rFonts w:ascii="Garamond" w:hAnsi="Garamond"/>
        </w:rPr>
      </w:pPr>
      <w:r>
        <w:rPr>
          <w:rFonts w:ascii="Garamond" w:hAnsi="Garamond"/>
        </w:rPr>
        <w:t>9.1.3</w:t>
      </w:r>
      <w:r w:rsidR="000C75BB" w:rsidRPr="003234A9">
        <w:rPr>
          <w:rFonts w:ascii="Garamond" w:hAnsi="Garamond"/>
        </w:rPr>
        <w:t xml:space="preserve"> </w:t>
      </w:r>
      <w:r w:rsidR="000C75BB" w:rsidRPr="003234A9">
        <w:rPr>
          <w:rFonts w:ascii="Garamond" w:hAnsi="Garamond"/>
          <w:i/>
          <w:iCs/>
        </w:rPr>
        <w:t xml:space="preserve">Standardi i arsyetimit të vendimit, </w:t>
      </w:r>
      <w:r w:rsidR="000C75BB" w:rsidRPr="003234A9">
        <w:rPr>
          <w:rFonts w:ascii="Garamond" w:hAnsi="Garamond"/>
        </w:rPr>
        <w:t>pasi Gjykata e Lartë nuk ka dhënë asnjë argument përse nuk qëndronte pretendimi i kërkuesit për pavlefshmërinë absolute të urdhrit të lirimit. Ajo ka konstatuar pa argumente se ekzistonin shkaqe të pavlefshmërisë relative dhe jo asaj absolute të urdhrit të lirimit. Vendimi i Gjykatës së Lartë është i gabuar, pasi urdhri i lirimit është absolutisht i pavlefshëm, për shkak se është marrë në kundërshtim me formën dhe procedurën e parashikuar nga ligji për statusin e SHISH-it. Padia për pavlefshmërinë absolute, në të kundërt me sa arsyeton Gjykata e Lartë, mund të ngrihet në çdo kohë.</w:t>
      </w:r>
    </w:p>
    <w:p w14:paraId="7F1B9B93" w14:textId="13686114" w:rsidR="000C75BB" w:rsidRPr="003234A9" w:rsidRDefault="003234A9" w:rsidP="000C75BB">
      <w:pPr>
        <w:pStyle w:val="ListParagraph"/>
        <w:tabs>
          <w:tab w:val="left" w:pos="1260"/>
          <w:tab w:val="left" w:pos="1340"/>
        </w:tabs>
        <w:spacing w:line="240" w:lineRule="auto"/>
        <w:ind w:left="0" w:firstLine="284"/>
        <w:jc w:val="both"/>
        <w:rPr>
          <w:rFonts w:ascii="Garamond" w:hAnsi="Garamond"/>
        </w:rPr>
      </w:pPr>
      <w:r>
        <w:rPr>
          <w:rFonts w:ascii="Garamond" w:hAnsi="Garamond"/>
        </w:rPr>
        <w:t>9.2</w:t>
      </w:r>
      <w:r w:rsidR="000C75BB" w:rsidRPr="003234A9">
        <w:rPr>
          <w:rFonts w:ascii="Garamond" w:hAnsi="Garamond"/>
        </w:rPr>
        <w:t xml:space="preserve"> </w:t>
      </w:r>
      <w:r w:rsidR="000C75BB" w:rsidRPr="003234A9">
        <w:rPr>
          <w:rFonts w:ascii="Garamond" w:hAnsi="Garamond"/>
          <w:i/>
          <w:iCs/>
        </w:rPr>
        <w:t>Parimi i barazisë përpara ligjit,</w:t>
      </w:r>
      <w:r w:rsidR="000C75BB" w:rsidRPr="003234A9">
        <w:rPr>
          <w:rFonts w:ascii="Garamond" w:hAnsi="Garamond"/>
        </w:rPr>
        <w:t xml:space="preserve"> i garantuar nga neni 18 i Kushtetutës, pasi kërkuesi gjendet në kushte pabarazie me shtetasit e tjerë për të cilët është vendosur mospranimi i rekursit nga Gjykata e Lartë në bazë të udhëzimit për heqjen dorë nga rekurset e depozituara nga administrata shtetërore. </w:t>
      </w:r>
    </w:p>
    <w:p w14:paraId="612C5D32" w14:textId="6D9B3050"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10. </w:t>
      </w:r>
      <w:r w:rsidRPr="003234A9">
        <w:rPr>
          <w:rFonts w:ascii="Garamond" w:hAnsi="Garamond"/>
          <w:b/>
          <w:bCs/>
          <w:i/>
          <w:iCs/>
        </w:rPr>
        <w:t>Subjekti i interesuar, SHISH-i</w:t>
      </w:r>
      <w:r w:rsidRPr="003234A9">
        <w:rPr>
          <w:rFonts w:ascii="Garamond" w:hAnsi="Garamond"/>
        </w:rPr>
        <w:t>, në mënyrë të përmbledhur, ka prapësuar se:</w:t>
      </w:r>
    </w:p>
    <w:p w14:paraId="7E003EAC" w14:textId="7360B516" w:rsidR="000C75BB" w:rsidRPr="003234A9" w:rsidRDefault="003234A9" w:rsidP="000C75BB">
      <w:pPr>
        <w:pStyle w:val="ListParagraph"/>
        <w:tabs>
          <w:tab w:val="left" w:pos="1080"/>
          <w:tab w:val="left" w:pos="1260"/>
        </w:tabs>
        <w:spacing w:line="240" w:lineRule="auto"/>
        <w:ind w:left="0" w:firstLine="284"/>
        <w:jc w:val="both"/>
        <w:rPr>
          <w:rFonts w:ascii="Garamond" w:hAnsi="Garamond"/>
        </w:rPr>
      </w:pPr>
      <w:r>
        <w:rPr>
          <w:rFonts w:ascii="Garamond" w:hAnsi="Garamond"/>
        </w:rPr>
        <w:t>10.1</w:t>
      </w:r>
      <w:r w:rsidR="000C75BB" w:rsidRPr="003234A9">
        <w:rPr>
          <w:rFonts w:ascii="Garamond" w:hAnsi="Garamond"/>
        </w:rPr>
        <w:t xml:space="preserve"> Pretendimi për cenimin e </w:t>
      </w:r>
      <w:r w:rsidR="000C75BB" w:rsidRPr="003234A9">
        <w:rPr>
          <w:rFonts w:ascii="Garamond" w:hAnsi="Garamond"/>
          <w:i/>
          <w:iCs/>
        </w:rPr>
        <w:t>së drejtës për proces të rregullt ligjor</w:t>
      </w:r>
      <w:r w:rsidR="000C75BB" w:rsidRPr="003234A9">
        <w:rPr>
          <w:rFonts w:ascii="Garamond" w:hAnsi="Garamond"/>
        </w:rPr>
        <w:t xml:space="preserve"> është i pabazuar, pasi: </w:t>
      </w:r>
    </w:p>
    <w:p w14:paraId="6A7141D2" w14:textId="310C88D2" w:rsidR="000C75BB" w:rsidRPr="003234A9" w:rsidRDefault="003234A9" w:rsidP="000C75BB">
      <w:pPr>
        <w:pStyle w:val="ListParagraph"/>
        <w:tabs>
          <w:tab w:val="left" w:pos="1260"/>
        </w:tabs>
        <w:spacing w:line="240" w:lineRule="auto"/>
        <w:ind w:left="0" w:firstLine="284"/>
        <w:jc w:val="both"/>
        <w:rPr>
          <w:rFonts w:ascii="Garamond" w:hAnsi="Garamond"/>
        </w:rPr>
      </w:pPr>
      <w:r>
        <w:rPr>
          <w:rFonts w:ascii="Garamond" w:hAnsi="Garamond"/>
        </w:rPr>
        <w:t>10.1.1</w:t>
      </w:r>
      <w:r w:rsidR="000C75BB" w:rsidRPr="003234A9">
        <w:rPr>
          <w:rFonts w:ascii="Garamond" w:hAnsi="Garamond"/>
        </w:rPr>
        <w:t xml:space="preserve"> Kërkuesit i është garantuar e </w:t>
      </w:r>
      <w:r w:rsidR="000C75BB" w:rsidRPr="003234A9">
        <w:rPr>
          <w:rFonts w:ascii="Garamond" w:hAnsi="Garamond"/>
          <w:i/>
          <w:iCs/>
        </w:rPr>
        <w:t>drejta për t’u mbrojtur,</w:t>
      </w:r>
      <w:r w:rsidR="000C75BB" w:rsidRPr="003234A9">
        <w:rPr>
          <w:rFonts w:ascii="Garamond" w:hAnsi="Garamond"/>
        </w:rPr>
        <w:t xml:space="preserve"> sepse çështja e ligjit të zbatueshëm është debatuar në gjykimin në shkallë të dytë dhe është përfshirë në shkaqet e rekursit, duke i dhënë </w:t>
      </w:r>
      <w:r w:rsidR="000C75BB" w:rsidRPr="003234A9">
        <w:rPr>
          <w:rFonts w:ascii="Garamond" w:hAnsi="Garamond"/>
        </w:rPr>
        <w:lastRenderedPageBreak/>
        <w:t xml:space="preserve">legjitimitet Gjykatës së Lartë sipas nenit 473/a të </w:t>
      </w:r>
      <w:proofErr w:type="spellStart"/>
      <w:r w:rsidR="000C75BB" w:rsidRPr="003234A9">
        <w:rPr>
          <w:rFonts w:ascii="Garamond" w:hAnsi="Garamond"/>
        </w:rPr>
        <w:t>KPC</w:t>
      </w:r>
      <w:proofErr w:type="spellEnd"/>
      <w:r w:rsidR="000C75BB" w:rsidRPr="003234A9">
        <w:rPr>
          <w:rFonts w:ascii="Garamond" w:hAnsi="Garamond"/>
        </w:rPr>
        <w:t>-së të shprehet pa njoftim të veçantë për palët.</w:t>
      </w:r>
      <w:r w:rsidR="00901B17">
        <w:rPr>
          <w:rFonts w:ascii="Garamond" w:hAnsi="Garamond"/>
        </w:rPr>
        <w:t xml:space="preserve"> </w:t>
      </w:r>
    </w:p>
    <w:p w14:paraId="15F70084" w14:textId="0201EA6C" w:rsidR="000C75BB" w:rsidRPr="003234A9" w:rsidRDefault="003234A9" w:rsidP="000C75BB">
      <w:pPr>
        <w:pStyle w:val="ListParagraph"/>
        <w:spacing w:line="240" w:lineRule="auto"/>
        <w:ind w:left="0" w:firstLine="284"/>
        <w:jc w:val="both"/>
        <w:rPr>
          <w:rFonts w:ascii="Garamond" w:hAnsi="Garamond"/>
        </w:rPr>
      </w:pPr>
      <w:r>
        <w:rPr>
          <w:rFonts w:ascii="Garamond" w:hAnsi="Garamond"/>
        </w:rPr>
        <w:t>10.1.2</w:t>
      </w:r>
      <w:r w:rsidR="000C75BB" w:rsidRPr="003234A9">
        <w:rPr>
          <w:rFonts w:ascii="Garamond" w:hAnsi="Garamond"/>
        </w:rPr>
        <w:t xml:space="preserve"> Gjykata e Lartë ka respektuar </w:t>
      </w:r>
      <w:r w:rsidR="000C75BB" w:rsidRPr="003234A9">
        <w:rPr>
          <w:rFonts w:ascii="Garamond" w:hAnsi="Garamond"/>
          <w:i/>
          <w:iCs/>
        </w:rPr>
        <w:t xml:space="preserve">parimin e sigurisë juridike, </w:t>
      </w:r>
      <w:r w:rsidR="000C75BB" w:rsidRPr="003234A9">
        <w:rPr>
          <w:rFonts w:ascii="Garamond" w:hAnsi="Garamond"/>
        </w:rPr>
        <w:t xml:space="preserve">pasi gjykatat e shkallëve më të ulëta kanë vepruar në shkelje procedurale, në interpretim të gabuar të ligjit material dhe në kundërshtim me praktikën e asaj gjykate. Urdhri i drejtorit të SHISH-it për lirimin nga shërbimi është shprehje e njëanshme e vullnetit të punëdhënësit për t’i dhënë fund kontratës së shërbimit publik. Në kushtet kur ligji për statusin e SHISH-it nuk parashikon afate ankimi, gjejnë zbatim dispozitat e Kodit të Punës. Kërkuesit i ka lindur e drejta për të ngritur padi në kohën kur marrëdhënia e tij e punës është ndërprerë faktikisht, ndërsa padia është paraqitur në tejkalim të dukshëm të afatit 3-vjeçar të parashikuar në Kodin e Punës, për rrjedhojë e drejta e tij e padisë është parashkruar. </w:t>
      </w:r>
    </w:p>
    <w:p w14:paraId="3FDB78A8" w14:textId="4EBA6B38" w:rsidR="000C75BB" w:rsidRPr="003234A9" w:rsidRDefault="003234A9" w:rsidP="000C75BB">
      <w:pPr>
        <w:pStyle w:val="ListParagraph"/>
        <w:tabs>
          <w:tab w:val="left" w:pos="1260"/>
        </w:tabs>
        <w:spacing w:line="240" w:lineRule="auto"/>
        <w:ind w:left="0" w:firstLine="284"/>
        <w:jc w:val="both"/>
        <w:rPr>
          <w:rFonts w:ascii="Garamond" w:hAnsi="Garamond"/>
        </w:rPr>
      </w:pPr>
      <w:r>
        <w:rPr>
          <w:rFonts w:ascii="Garamond" w:hAnsi="Garamond"/>
        </w:rPr>
        <w:t>10.1.3</w:t>
      </w:r>
      <w:r w:rsidR="000C75BB" w:rsidRPr="003234A9">
        <w:rPr>
          <w:rFonts w:ascii="Garamond" w:hAnsi="Garamond"/>
        </w:rPr>
        <w:t xml:space="preserve"> Vendimi përmbush </w:t>
      </w:r>
      <w:r w:rsidR="000C75BB" w:rsidRPr="003234A9">
        <w:rPr>
          <w:rFonts w:ascii="Garamond" w:hAnsi="Garamond"/>
          <w:i/>
          <w:iCs/>
        </w:rPr>
        <w:t xml:space="preserve">standardin e arsyetimit, </w:t>
      </w:r>
      <w:r w:rsidR="000C75BB" w:rsidRPr="003234A9">
        <w:rPr>
          <w:rFonts w:ascii="Garamond" w:hAnsi="Garamond"/>
        </w:rPr>
        <w:t>pasi i përmban të gjitha elementet e përcaktuara nga jurisprudenca kushtetuese.</w:t>
      </w:r>
    </w:p>
    <w:p w14:paraId="61B0A16B" w14:textId="5D963A2E" w:rsidR="000C75BB" w:rsidRPr="003234A9" w:rsidRDefault="003234A9" w:rsidP="000C75BB">
      <w:pPr>
        <w:pStyle w:val="ListParagraph"/>
        <w:tabs>
          <w:tab w:val="left" w:pos="1260"/>
        </w:tabs>
        <w:spacing w:line="240" w:lineRule="auto"/>
        <w:ind w:left="0" w:firstLine="284"/>
        <w:jc w:val="both"/>
        <w:rPr>
          <w:rFonts w:ascii="Garamond" w:hAnsi="Garamond"/>
        </w:rPr>
      </w:pPr>
      <w:r>
        <w:rPr>
          <w:rFonts w:ascii="Garamond" w:hAnsi="Garamond"/>
        </w:rPr>
        <w:t>10.2</w:t>
      </w:r>
      <w:r w:rsidR="000C75BB" w:rsidRPr="003234A9">
        <w:rPr>
          <w:rFonts w:ascii="Garamond" w:hAnsi="Garamond"/>
        </w:rPr>
        <w:t xml:space="preserve"> Pretendimi për cenimin e</w:t>
      </w:r>
      <w:r w:rsidR="000C75BB" w:rsidRPr="003234A9">
        <w:rPr>
          <w:rFonts w:ascii="Garamond" w:hAnsi="Garamond"/>
          <w:i/>
          <w:iCs/>
        </w:rPr>
        <w:t xml:space="preserve"> parimit të barazisë përpara ligjit</w:t>
      </w:r>
      <w:r w:rsidR="000C75BB" w:rsidRPr="003234A9">
        <w:rPr>
          <w:rFonts w:ascii="Garamond" w:hAnsi="Garamond"/>
        </w:rPr>
        <w:t xml:space="preserve"> nuk qëndron. SHISH-i ka ushtruar rekurs në Gjykatën e Lartë, duke mos hequr dorë nga rekursi, sipas përcaktimeve të udhëzimit të Kryeministrit, i cili nuk përbën ndalim absolut dhe nuk cenon të drejtën për t’iu drejtuar gjykatës për mbrojtjen e të drejtave dhe interesave të tyre ligjore. Gjithashtu, SHISH-i ka kërkuar pezullimin e ekzekutimit të vendimit të gjykatës së apelit deri në shqyrtimin e çështjes nga Gjykata e Lartë, për shkak se kërkuesi ka të ardhura vetëm nga pensioni dhe rregullimi i pasojave në rast të ndryshimit të vendimeve nga Gjykata e Lartë, siç ka ndodhur, do të ishte i vështirë për t’u zbatuar.</w:t>
      </w:r>
    </w:p>
    <w:p w14:paraId="502D5E49" w14:textId="77777777"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p>
    <w:p w14:paraId="7786FD3E" w14:textId="15AECB00" w:rsidR="000C75BB" w:rsidRPr="003234A9" w:rsidRDefault="000C75BB" w:rsidP="00DB711E">
      <w:pPr>
        <w:pStyle w:val="ListParagraph"/>
        <w:tabs>
          <w:tab w:val="left" w:pos="1340"/>
        </w:tabs>
        <w:spacing w:line="240" w:lineRule="auto"/>
        <w:ind w:left="0" w:firstLine="284"/>
        <w:jc w:val="center"/>
        <w:rPr>
          <w:rFonts w:ascii="Garamond" w:hAnsi="Garamond"/>
          <w:b/>
          <w:bCs/>
        </w:rPr>
      </w:pPr>
      <w:proofErr w:type="spellStart"/>
      <w:r w:rsidRPr="003234A9">
        <w:rPr>
          <w:rFonts w:ascii="Garamond" w:hAnsi="Garamond"/>
          <w:b/>
          <w:bCs/>
        </w:rPr>
        <w:t>III</w:t>
      </w:r>
      <w:proofErr w:type="spellEnd"/>
    </w:p>
    <w:p w14:paraId="10AE34DA" w14:textId="6DAE6AAE" w:rsidR="000C75BB" w:rsidRPr="003234A9" w:rsidRDefault="000C75BB" w:rsidP="00DB711E">
      <w:pPr>
        <w:pStyle w:val="NoSpacing"/>
        <w:tabs>
          <w:tab w:val="left" w:pos="980"/>
          <w:tab w:val="left" w:pos="1340"/>
          <w:tab w:val="left" w:pos="1440"/>
        </w:tabs>
        <w:ind w:firstLine="284"/>
        <w:jc w:val="center"/>
        <w:rPr>
          <w:rFonts w:ascii="Garamond" w:hAnsi="Garamond"/>
          <w:b/>
          <w:bCs/>
          <w:sz w:val="24"/>
          <w:szCs w:val="24"/>
        </w:rPr>
      </w:pPr>
      <w:r w:rsidRPr="003234A9">
        <w:rPr>
          <w:rFonts w:ascii="Garamond" w:hAnsi="Garamond"/>
          <w:b/>
          <w:bCs/>
          <w:sz w:val="24"/>
          <w:szCs w:val="24"/>
        </w:rPr>
        <w:t>Vlerësimi i Gjykatës Kushtetuese</w:t>
      </w:r>
    </w:p>
    <w:p w14:paraId="3CBB7C2F" w14:textId="77777777" w:rsidR="00DB711E" w:rsidRPr="003234A9" w:rsidRDefault="00DB711E" w:rsidP="000C75BB">
      <w:pPr>
        <w:pStyle w:val="ListParagraph"/>
        <w:tabs>
          <w:tab w:val="left" w:pos="980"/>
        </w:tabs>
        <w:spacing w:line="240" w:lineRule="auto"/>
        <w:ind w:left="0" w:firstLine="284"/>
        <w:jc w:val="both"/>
        <w:rPr>
          <w:rFonts w:ascii="Garamond" w:hAnsi="Garamond"/>
          <w:i/>
          <w:iCs/>
        </w:rPr>
      </w:pPr>
    </w:p>
    <w:p w14:paraId="062E5675" w14:textId="573F9171" w:rsidR="000C75BB" w:rsidRPr="003234A9" w:rsidRDefault="000C75BB" w:rsidP="000C75BB">
      <w:pPr>
        <w:pStyle w:val="ListParagraph"/>
        <w:tabs>
          <w:tab w:val="left" w:pos="980"/>
        </w:tabs>
        <w:spacing w:line="240" w:lineRule="auto"/>
        <w:ind w:left="0" w:firstLine="284"/>
        <w:jc w:val="both"/>
        <w:rPr>
          <w:rFonts w:ascii="Garamond" w:hAnsi="Garamond"/>
          <w:i/>
          <w:iCs/>
        </w:rPr>
      </w:pPr>
      <w:r w:rsidRPr="003234A9">
        <w:rPr>
          <w:rFonts w:ascii="Garamond" w:hAnsi="Garamond"/>
          <w:i/>
          <w:iCs/>
        </w:rPr>
        <w:t xml:space="preserve">A. Për legjitimimin e kërkuesit </w:t>
      </w:r>
    </w:p>
    <w:p w14:paraId="3AB77004" w14:textId="090E057C"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11. Çështja e legjitimimit (</w:t>
      </w:r>
      <w:proofErr w:type="spellStart"/>
      <w:r w:rsidRPr="003234A9">
        <w:rPr>
          <w:rFonts w:ascii="Garamond" w:hAnsi="Garamond"/>
          <w:i/>
          <w:iCs/>
        </w:rPr>
        <w:t>locus</w:t>
      </w:r>
      <w:proofErr w:type="spellEnd"/>
      <w:r w:rsidRPr="003234A9">
        <w:rPr>
          <w:rFonts w:ascii="Garamond" w:hAnsi="Garamond"/>
          <w:i/>
          <w:iCs/>
        </w:rPr>
        <w:t xml:space="preserve"> </w:t>
      </w:r>
      <w:proofErr w:type="spellStart"/>
      <w:r w:rsidRPr="003234A9">
        <w:rPr>
          <w:rFonts w:ascii="Garamond" w:hAnsi="Garamond"/>
          <w:i/>
          <w:iCs/>
        </w:rPr>
        <w:t>standi</w:t>
      </w:r>
      <w:proofErr w:type="spellEnd"/>
      <w:r w:rsidRPr="003234A9">
        <w:rPr>
          <w:rFonts w:ascii="Garamond" w:hAnsi="Garamond"/>
        </w:rPr>
        <w:t>) është një ndër aspektet kryesore që lidhet me nisjen e një procesi kushtetues. Sipas neneve 131, pika 1, shkronja “f” dhe 134, pikat 1, shkronja “i” dhe 2, të Kushtetutës, si dhe nenit 71</w:t>
      </w:r>
      <w:r w:rsidR="003234A9">
        <w:rPr>
          <w:rFonts w:ascii="Garamond" w:hAnsi="Garamond"/>
        </w:rPr>
        <w:t>,</w:t>
      </w:r>
      <w:r w:rsidRPr="003234A9">
        <w:rPr>
          <w:rFonts w:ascii="Garamond" w:hAnsi="Garamond"/>
        </w:rPr>
        <w:t xml:space="preserve">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3234A9">
        <w:rPr>
          <w:rFonts w:ascii="Garamond" w:hAnsi="Garamond"/>
        </w:rPr>
        <w:t>kumulative</w:t>
      </w:r>
      <w:proofErr w:type="spellEnd"/>
      <w:r w:rsidRPr="003234A9">
        <w:rPr>
          <w:rFonts w:ascii="Garamond" w:hAnsi="Garamond"/>
        </w:rPr>
        <w:t xml:space="preserve"> të nenit 71/a</w:t>
      </w:r>
      <w:r w:rsidR="003234A9">
        <w:rPr>
          <w:rFonts w:ascii="Garamond" w:hAnsi="Garamond"/>
        </w:rPr>
        <w:t>,</w:t>
      </w:r>
      <w:r w:rsidRPr="003234A9">
        <w:rPr>
          <w:rFonts w:ascii="Garamond" w:hAnsi="Garamond"/>
        </w:rPr>
        <w:t xml:space="preserve"> të ligjit organik të Gjykatës, që lidhen me shterimin e mjeteve juridike, afatin e paraqitjes së kërkesës, pasojat negative të pësuara në mënyrë të drejtpërdrejtë e reale dhe mundësinë për rivendosjen e së drejtës së shkelur.</w:t>
      </w:r>
    </w:p>
    <w:p w14:paraId="2A51150F" w14:textId="1EF0212F"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12. Në rastin konkret, Gjykata çmon se kërkuesi legjitimohet </w:t>
      </w:r>
      <w:proofErr w:type="spellStart"/>
      <w:r w:rsidRPr="003234A9">
        <w:rPr>
          <w:rFonts w:ascii="Garamond" w:hAnsi="Garamond"/>
          <w:i/>
          <w:iCs/>
        </w:rPr>
        <w:t>ratione</w:t>
      </w:r>
      <w:proofErr w:type="spellEnd"/>
      <w:r w:rsidRPr="003234A9">
        <w:rPr>
          <w:rFonts w:ascii="Garamond" w:hAnsi="Garamond"/>
          <w:i/>
          <w:iCs/>
        </w:rPr>
        <w:t xml:space="preserve"> </w:t>
      </w:r>
      <w:proofErr w:type="spellStart"/>
      <w:r w:rsidRPr="003234A9">
        <w:rPr>
          <w:rFonts w:ascii="Garamond" w:hAnsi="Garamond"/>
          <w:i/>
          <w:iCs/>
        </w:rPr>
        <w:t>personae</w:t>
      </w:r>
      <w:proofErr w:type="spellEnd"/>
      <w:r w:rsidRPr="003234A9">
        <w:rPr>
          <w:rFonts w:ascii="Garamond" w:hAnsi="Garamond"/>
        </w:rPr>
        <w:t>, bazuar në nenet 131, pika 1, shkronja “f” dhe 134, pika 1, shkronja “i”, të Kushtetutës, pasi ka qenë palë në procesin gjyqësor të kundërshtuar, ndaj justifikon interesin në çështjen e parashtruar.</w:t>
      </w:r>
    </w:p>
    <w:p w14:paraId="03A19E7E" w14:textId="11ADDECB"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13. Në lidhje me </w:t>
      </w:r>
      <w:r w:rsidRPr="003234A9">
        <w:rPr>
          <w:rFonts w:ascii="Garamond" w:hAnsi="Garamond"/>
          <w:i/>
          <w:iCs/>
        </w:rPr>
        <w:t>shterimin e mjeteve juridike efektive</w:t>
      </w:r>
      <w:r w:rsidRPr="003234A9">
        <w:rPr>
          <w:rFonts w:ascii="Garamond" w:hAnsi="Garamond"/>
        </w:rPr>
        <w:t>, në kuptim të nenit 131, pika 1, shkronja “f”, të Kushtetutës, Gjykata vëren se kërkuesi i është drejtuar asaj me ankim kushtetues individual pas përfundimit të procesit gjyqësor në të tria shkallët e gjyqësorit të zakonshëm, ku i ka ngritur edhe në substancë pretendimet e tij kushtetuese. Për rrjedhojë, ai nuk ka mjet tjetër juridik në dispozicion për mbrojtjen e të drejtave kushtetuese përveç paraqitjes së ankimit kushtetues individual.</w:t>
      </w:r>
    </w:p>
    <w:p w14:paraId="6A4A0A88" w14:textId="473AB0D2"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14. Për sa i takon legjitimimit </w:t>
      </w:r>
      <w:proofErr w:type="spellStart"/>
      <w:r w:rsidRPr="003234A9">
        <w:rPr>
          <w:rFonts w:ascii="Garamond" w:hAnsi="Garamond"/>
          <w:i/>
          <w:iCs/>
        </w:rPr>
        <w:t>ratione</w:t>
      </w:r>
      <w:proofErr w:type="spellEnd"/>
      <w:r w:rsidRPr="003234A9">
        <w:rPr>
          <w:rFonts w:ascii="Garamond" w:hAnsi="Garamond"/>
          <w:i/>
          <w:iCs/>
        </w:rPr>
        <w:t xml:space="preserve"> </w:t>
      </w:r>
      <w:proofErr w:type="spellStart"/>
      <w:r w:rsidRPr="003234A9">
        <w:rPr>
          <w:rFonts w:ascii="Garamond" w:hAnsi="Garamond"/>
          <w:i/>
          <w:iCs/>
        </w:rPr>
        <w:t>temporis</w:t>
      </w:r>
      <w:proofErr w:type="spellEnd"/>
      <w:r w:rsidRPr="003234A9">
        <w:rPr>
          <w:rFonts w:ascii="Garamond" w:hAnsi="Garamond"/>
        </w:rPr>
        <w:t xml:space="preserve">, bazuar në nenin 71/a, pika 1, shkronja “b”, të ligjit organik të Gjykatës, afati për paraqitjen e ankimit kushtetues individual është 4 muaj nga konstatimi i cenimit të së drejtës. Gjykata është shprehur se në rastin kur ankimi ka të bëjë me një vendim të Gjykatës së Lartë, data e marrjes dijeni konsiderohet data në të cilën vendimi i arsyetuar bëhet i </w:t>
      </w:r>
      <w:proofErr w:type="spellStart"/>
      <w:r w:rsidRPr="003234A9">
        <w:rPr>
          <w:rFonts w:ascii="Garamond" w:hAnsi="Garamond"/>
        </w:rPr>
        <w:t>disponueshëm</w:t>
      </w:r>
      <w:proofErr w:type="spellEnd"/>
      <w:r w:rsidRPr="003234A9">
        <w:rPr>
          <w:rFonts w:ascii="Garamond" w:hAnsi="Garamond"/>
        </w:rPr>
        <w:t xml:space="preserve"> për palët përmes depozitimit të tij në sekretarinë gjyqësore dhe publikimit në faqen zyrtare (</w:t>
      </w:r>
      <w:r w:rsidR="003234A9">
        <w:rPr>
          <w:rFonts w:ascii="Garamond" w:hAnsi="Garamond"/>
          <w:i/>
          <w:iCs/>
        </w:rPr>
        <w:t>shih vendimin nr. 42, datë 19.</w:t>
      </w:r>
      <w:r w:rsidRPr="003234A9">
        <w:rPr>
          <w:rFonts w:ascii="Garamond" w:hAnsi="Garamond"/>
          <w:i/>
          <w:iCs/>
        </w:rPr>
        <w:t>9.2023</w:t>
      </w:r>
      <w:r w:rsidR="003234A9">
        <w:rPr>
          <w:rFonts w:ascii="Garamond" w:hAnsi="Garamond"/>
          <w:i/>
          <w:iCs/>
        </w:rPr>
        <w:t>,</w:t>
      </w:r>
      <w:r w:rsidRPr="003234A9">
        <w:rPr>
          <w:rFonts w:ascii="Garamond" w:hAnsi="Garamond"/>
          <w:i/>
          <w:iCs/>
        </w:rPr>
        <w:t xml:space="preserve"> të Gjykatës Kushtetuese</w:t>
      </w:r>
      <w:r w:rsidRPr="003234A9">
        <w:rPr>
          <w:rFonts w:ascii="Garamond" w:hAnsi="Garamond"/>
        </w:rPr>
        <w:t>). Në këtë drejtim, Gjykata Evropiane për të Drejtat e Njeriut (</w:t>
      </w:r>
      <w:proofErr w:type="spellStart"/>
      <w:r w:rsidRPr="003234A9">
        <w:rPr>
          <w:rFonts w:ascii="Garamond" w:hAnsi="Garamond"/>
          <w:i/>
          <w:iCs/>
        </w:rPr>
        <w:t>GJEDNJ</w:t>
      </w:r>
      <w:proofErr w:type="spellEnd"/>
      <w:r w:rsidRPr="003234A9">
        <w:rPr>
          <w:rFonts w:ascii="Garamond" w:hAnsi="Garamond"/>
        </w:rPr>
        <w:t>) ka pohuar se i takon, në radhë të parë, Gjykatës së Lartë të sigurojë që në dosjen e</w:t>
      </w:r>
      <w:r w:rsidR="00901B17">
        <w:rPr>
          <w:rFonts w:ascii="Garamond" w:hAnsi="Garamond"/>
        </w:rPr>
        <w:t xml:space="preserve"> </w:t>
      </w:r>
      <w:r w:rsidRPr="003234A9">
        <w:rPr>
          <w:rFonts w:ascii="Garamond" w:hAnsi="Garamond"/>
        </w:rPr>
        <w:t>çështjes së saj të ketë prova për datën e dorëzimit të vendimit palëve (</w:t>
      </w:r>
      <w:r w:rsidRPr="003234A9">
        <w:rPr>
          <w:rFonts w:ascii="Garamond" w:hAnsi="Garamond"/>
          <w:i/>
          <w:iCs/>
        </w:rPr>
        <w:t>shih Ibrahimi dhe t</w:t>
      </w:r>
      <w:r w:rsidR="003234A9">
        <w:rPr>
          <w:rFonts w:ascii="Garamond" w:hAnsi="Garamond"/>
          <w:i/>
          <w:iCs/>
        </w:rPr>
        <w:t>ë tjerë k. Shqipërisë, datë 14.</w:t>
      </w:r>
      <w:r w:rsidRPr="003234A9">
        <w:rPr>
          <w:rFonts w:ascii="Garamond" w:hAnsi="Garamond"/>
          <w:i/>
          <w:iCs/>
        </w:rPr>
        <w:t>1.2025, § 13</w:t>
      </w:r>
      <w:r w:rsidRPr="003234A9">
        <w:rPr>
          <w:rFonts w:ascii="Garamond" w:hAnsi="Garamond"/>
        </w:rPr>
        <w:t>).</w:t>
      </w:r>
    </w:p>
    <w:p w14:paraId="3582FD8A" w14:textId="1CC0DBAB"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15. Në çështjen në shqyrtim, procesi gjyqësor i kundërshtuar ka përfunduar me vendimin e</w:t>
      </w:r>
      <w:r w:rsidR="003234A9">
        <w:rPr>
          <w:rFonts w:ascii="Garamond" w:hAnsi="Garamond"/>
        </w:rPr>
        <w:t xml:space="preserve"> datës 16.</w:t>
      </w:r>
      <w:r w:rsidRPr="003234A9">
        <w:rPr>
          <w:rFonts w:ascii="Garamond" w:hAnsi="Garamond"/>
        </w:rPr>
        <w:t>7.2024</w:t>
      </w:r>
      <w:r w:rsidR="003234A9">
        <w:rPr>
          <w:rFonts w:ascii="Garamond" w:hAnsi="Garamond"/>
        </w:rPr>
        <w:t>,</w:t>
      </w:r>
      <w:r w:rsidRPr="003234A9">
        <w:rPr>
          <w:rFonts w:ascii="Garamond" w:hAnsi="Garamond"/>
        </w:rPr>
        <w:t xml:space="preserve"> të Gjykatës së Lartë, i cili është publikuar në fa</w:t>
      </w:r>
      <w:r w:rsidR="003234A9">
        <w:rPr>
          <w:rFonts w:ascii="Garamond" w:hAnsi="Garamond"/>
        </w:rPr>
        <w:t>qen zyrtare të saj në datën 10.</w:t>
      </w:r>
      <w:r w:rsidRPr="003234A9">
        <w:rPr>
          <w:rFonts w:ascii="Garamond" w:hAnsi="Garamond"/>
        </w:rPr>
        <w:t>9.2024. Kërkuesi ka pretenduar se ndonëse avokatja e tij ka pasur komunikime të mëparshme në rrugë elektronike me Gjykatën e Lartë, asaj nuk i është dërguar vendimi nëpërmjet postës elektronike. Sipas kërkuesit, ai ka marrë dijeni</w:t>
      </w:r>
      <w:r w:rsidR="00901B17">
        <w:rPr>
          <w:rFonts w:ascii="Garamond" w:hAnsi="Garamond"/>
        </w:rPr>
        <w:t xml:space="preserve"> </w:t>
      </w:r>
      <w:r w:rsidRPr="003234A9">
        <w:rPr>
          <w:rFonts w:ascii="Garamond" w:hAnsi="Garamond"/>
        </w:rPr>
        <w:t>për ve</w:t>
      </w:r>
      <w:r w:rsidR="003234A9">
        <w:rPr>
          <w:rFonts w:ascii="Garamond" w:hAnsi="Garamond"/>
        </w:rPr>
        <w:t>ndimin e kundërshtuar në datën 5.</w:t>
      </w:r>
      <w:r w:rsidRPr="003234A9">
        <w:rPr>
          <w:rFonts w:ascii="Garamond" w:hAnsi="Garamond"/>
        </w:rPr>
        <w:t xml:space="preserve">2.2025, kur Gjykata e Lartë i është përgjigjur me shkrim kërkesës së tij për kopje të vendimit. </w:t>
      </w:r>
    </w:p>
    <w:p w14:paraId="7D4573D1" w14:textId="745DAF25"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16. Gjykata, duke marrë në konsideratë jurisprudencën e </w:t>
      </w:r>
      <w:proofErr w:type="spellStart"/>
      <w:r w:rsidRPr="003234A9">
        <w:rPr>
          <w:rFonts w:ascii="Garamond" w:hAnsi="Garamond"/>
        </w:rPr>
        <w:t>GJEDNJ</w:t>
      </w:r>
      <w:proofErr w:type="spellEnd"/>
      <w:r w:rsidRPr="003234A9">
        <w:rPr>
          <w:rFonts w:ascii="Garamond" w:hAnsi="Garamond"/>
        </w:rPr>
        <w:t xml:space="preserve">-së për detyrimin e Gjykatës së Lartë për njoftimin e vendimeve të saj, kohën e gjatë të kaluar nga momenti i paraqitjes së rekursit nga subjekti i interesuar dhe faktin që kërkuesi e ka paraqitur ankimin kushtetues individual në datën </w:t>
      </w:r>
      <w:r w:rsidR="003234A9">
        <w:rPr>
          <w:rFonts w:ascii="Garamond" w:hAnsi="Garamond"/>
        </w:rPr>
        <w:t>10.</w:t>
      </w:r>
      <w:r w:rsidRPr="003234A9">
        <w:rPr>
          <w:rFonts w:ascii="Garamond" w:hAnsi="Garamond"/>
        </w:rPr>
        <w:t xml:space="preserve">2.2025, pra menjëherë pasi ka marrë përgjigje me shkrim nga Gjykata e Lartë, arrin në përfundimin se kërkuesi legjitimohet </w:t>
      </w:r>
      <w:proofErr w:type="spellStart"/>
      <w:r w:rsidRPr="003234A9">
        <w:rPr>
          <w:rFonts w:ascii="Garamond" w:hAnsi="Garamond"/>
          <w:i/>
          <w:iCs/>
        </w:rPr>
        <w:t>ratione</w:t>
      </w:r>
      <w:proofErr w:type="spellEnd"/>
      <w:r w:rsidRPr="003234A9">
        <w:rPr>
          <w:rFonts w:ascii="Garamond" w:hAnsi="Garamond"/>
          <w:i/>
          <w:iCs/>
        </w:rPr>
        <w:t xml:space="preserve"> </w:t>
      </w:r>
      <w:proofErr w:type="spellStart"/>
      <w:r w:rsidRPr="003234A9">
        <w:rPr>
          <w:rFonts w:ascii="Garamond" w:hAnsi="Garamond"/>
          <w:i/>
          <w:iCs/>
        </w:rPr>
        <w:t>temporis</w:t>
      </w:r>
      <w:proofErr w:type="spellEnd"/>
      <w:r w:rsidRPr="003234A9">
        <w:rPr>
          <w:rFonts w:ascii="Garamond" w:hAnsi="Garamond"/>
        </w:rPr>
        <w:t>.</w:t>
      </w:r>
    </w:p>
    <w:p w14:paraId="6C790D36" w14:textId="4945E585"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17. Në drejtim të legjitimimit </w:t>
      </w:r>
      <w:proofErr w:type="spellStart"/>
      <w:r w:rsidRPr="003234A9">
        <w:rPr>
          <w:rFonts w:ascii="Garamond" w:hAnsi="Garamond"/>
          <w:i/>
          <w:iCs/>
        </w:rPr>
        <w:t>ratione</w:t>
      </w:r>
      <w:proofErr w:type="spellEnd"/>
      <w:r w:rsidRPr="003234A9">
        <w:rPr>
          <w:rFonts w:ascii="Garamond" w:hAnsi="Garamond"/>
          <w:i/>
          <w:iCs/>
        </w:rPr>
        <w:t xml:space="preserve"> </w:t>
      </w:r>
      <w:proofErr w:type="spellStart"/>
      <w:r w:rsidRPr="003234A9">
        <w:rPr>
          <w:rFonts w:ascii="Garamond" w:hAnsi="Garamond"/>
          <w:i/>
          <w:iCs/>
        </w:rPr>
        <w:t>materiae</w:t>
      </w:r>
      <w:proofErr w:type="spellEnd"/>
      <w:r w:rsidRPr="003234A9">
        <w:rPr>
          <w:rFonts w:ascii="Garamond" w:hAnsi="Garamond"/>
        </w:rPr>
        <w:t xml:space="preserve">, kërkuesi ka pretenduar cenimin e së drejtës për proces të rregullt ligjor në disa aspekte (e drejta për t’u mbrojtur, standardi i arsyetimit të vendimit gjyqësor dhe parimi i sigurisë juridike), si dhe cenimin e parimit të barazisë përpara ligjit, të garantuar nga nenet 42 dhe 18 të Kushtetutës. </w:t>
      </w:r>
    </w:p>
    <w:p w14:paraId="7AFCCD38" w14:textId="01F89F35" w:rsidR="000C75BB" w:rsidRPr="003234A9" w:rsidRDefault="000C75BB" w:rsidP="000C75BB">
      <w:pPr>
        <w:pStyle w:val="ListParagraph"/>
        <w:tabs>
          <w:tab w:val="left" w:pos="1080"/>
          <w:tab w:val="left" w:pos="1260"/>
        </w:tabs>
        <w:spacing w:line="240" w:lineRule="auto"/>
        <w:ind w:left="0" w:firstLine="284"/>
        <w:jc w:val="both"/>
        <w:rPr>
          <w:rFonts w:ascii="Garamond" w:hAnsi="Garamond"/>
          <w:i/>
          <w:iCs/>
        </w:rPr>
      </w:pPr>
      <w:r w:rsidRPr="003234A9">
        <w:rPr>
          <w:rFonts w:ascii="Garamond" w:hAnsi="Garamond"/>
        </w:rPr>
        <w:t xml:space="preserve">18. Për sa i takon pretendimit për cenimin e së </w:t>
      </w:r>
      <w:r w:rsidRPr="003234A9">
        <w:rPr>
          <w:rFonts w:ascii="Garamond" w:hAnsi="Garamond"/>
          <w:i/>
          <w:iCs/>
        </w:rPr>
        <w:t xml:space="preserve">drejtës për t’u mbrojtur, </w:t>
      </w:r>
      <w:r w:rsidRPr="003234A9">
        <w:rPr>
          <w:rFonts w:ascii="Garamond" w:hAnsi="Garamond"/>
        </w:rPr>
        <w:t xml:space="preserve">kërkuesi ka argumentuar se Gjykata e Lartë ka vlerësuar me nismën e saj pasojat e aktit administrativ dhe afatin e parashkrimit sipas Kodit të Punës. Kjo, sipas tij, përbënte çështje ligjore që nuk ishte diskutuar në gjykim, ndaj, në kundërshtim me nenin 473/a të </w:t>
      </w:r>
      <w:proofErr w:type="spellStart"/>
      <w:r w:rsidRPr="003234A9">
        <w:rPr>
          <w:rFonts w:ascii="Garamond" w:hAnsi="Garamond"/>
        </w:rPr>
        <w:t>KPC</w:t>
      </w:r>
      <w:proofErr w:type="spellEnd"/>
      <w:r w:rsidRPr="003234A9">
        <w:rPr>
          <w:rFonts w:ascii="Garamond" w:hAnsi="Garamond"/>
        </w:rPr>
        <w:t xml:space="preserve">-së, kërkuesit nuk i është dhënë paraprakisht koha për të paraqitur mendimin me shkrim. Subjekti i interesuar, SHISH-i, ka prapësuar se ky pretendim nuk qëndron, sepse çështja e ligjit të zbatueshëm është debatuar në gjykimin në shkallë të dytë dhe është përfshirë në shkaqet e rekursit, duke i dhënë legjitimitet Gjykatës së Lartë sipas nenit 473/a të </w:t>
      </w:r>
      <w:proofErr w:type="spellStart"/>
      <w:r w:rsidRPr="003234A9">
        <w:rPr>
          <w:rFonts w:ascii="Garamond" w:hAnsi="Garamond"/>
        </w:rPr>
        <w:t>KPC</w:t>
      </w:r>
      <w:proofErr w:type="spellEnd"/>
      <w:r w:rsidRPr="003234A9">
        <w:rPr>
          <w:rFonts w:ascii="Garamond" w:hAnsi="Garamond"/>
        </w:rPr>
        <w:t>-së të shprehej pa njoftim të veçantë për palët.</w:t>
      </w:r>
      <w:r w:rsidR="00901B17">
        <w:rPr>
          <w:rFonts w:ascii="Garamond" w:hAnsi="Garamond"/>
        </w:rPr>
        <w:t xml:space="preserve"> </w:t>
      </w:r>
    </w:p>
    <w:p w14:paraId="4F59E03E" w14:textId="1D647C70"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19. Gjykata ka pohuar se e drejta për t’u dëgjuar dhe mbrojtur është pjesë përbërëse e procesit të rregullt ligjor. Kjo e drejtë, në unitet edhe me të drejta të tjera, ka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në kuptim edhe të parimit të barazisë së armëve (</w:t>
      </w:r>
      <w:r w:rsidRPr="003234A9">
        <w:rPr>
          <w:rFonts w:ascii="Garamond" w:hAnsi="Garamond"/>
          <w:i/>
          <w:iCs/>
        </w:rPr>
        <w:t>shih vendimet nr. 7</w:t>
      </w:r>
      <w:r w:rsidR="003234A9">
        <w:rPr>
          <w:rFonts w:ascii="Garamond" w:hAnsi="Garamond"/>
          <w:i/>
          <w:iCs/>
        </w:rPr>
        <w:t>, datë 12.3.2010; nr. 12, datë 6.</w:t>
      </w:r>
      <w:r w:rsidRPr="003234A9">
        <w:rPr>
          <w:rFonts w:ascii="Garamond" w:hAnsi="Garamond"/>
          <w:i/>
          <w:iCs/>
        </w:rPr>
        <w:t>6.2005</w:t>
      </w:r>
      <w:r w:rsidR="003234A9">
        <w:rPr>
          <w:rFonts w:ascii="Garamond" w:hAnsi="Garamond"/>
          <w:i/>
          <w:iCs/>
        </w:rPr>
        <w:t>,</w:t>
      </w:r>
      <w:r w:rsidRPr="003234A9">
        <w:rPr>
          <w:rFonts w:ascii="Garamond" w:hAnsi="Garamond"/>
          <w:i/>
          <w:iCs/>
        </w:rPr>
        <w:t xml:space="preserve"> të Gjykatës Kushtetuese</w:t>
      </w:r>
      <w:r w:rsidRPr="003234A9">
        <w:rPr>
          <w:rFonts w:ascii="Garamond" w:hAnsi="Garamond"/>
        </w:rPr>
        <w:t xml:space="preserve">). Kur në Gjykatën e Lartë janë vënë në diskutim çështje ligji, për të cilat palët nuk kanë dhënë më parë mendimin e tyre, atëherë palëve duhet t’u jepet mundësia të paraqesin paraprakisht mendimin e tyre për çështjet ligjore të analizuara kryesisht nga ajo gjykatë në mënyrë që t’u garantohet </w:t>
      </w:r>
      <w:proofErr w:type="spellStart"/>
      <w:r w:rsidRPr="003234A9">
        <w:rPr>
          <w:rFonts w:ascii="Garamond" w:hAnsi="Garamond"/>
        </w:rPr>
        <w:t>efektivisht</w:t>
      </w:r>
      <w:proofErr w:type="spellEnd"/>
      <w:r w:rsidRPr="003234A9">
        <w:rPr>
          <w:rFonts w:ascii="Garamond" w:hAnsi="Garamond"/>
        </w:rPr>
        <w:t xml:space="preserve"> e drejta e </w:t>
      </w:r>
      <w:proofErr w:type="spellStart"/>
      <w:r w:rsidRPr="003234A9">
        <w:rPr>
          <w:rFonts w:ascii="Garamond" w:hAnsi="Garamond"/>
        </w:rPr>
        <w:t>aksesit</w:t>
      </w:r>
      <w:proofErr w:type="spellEnd"/>
      <w:r w:rsidRPr="003234A9">
        <w:rPr>
          <w:rFonts w:ascii="Garamond" w:hAnsi="Garamond"/>
        </w:rPr>
        <w:t xml:space="preserve"> (</w:t>
      </w:r>
      <w:r w:rsidR="003234A9">
        <w:rPr>
          <w:rFonts w:ascii="Garamond" w:hAnsi="Garamond"/>
          <w:i/>
          <w:iCs/>
        </w:rPr>
        <w:t>shih vendimet nr. 9, datë 27.</w:t>
      </w:r>
      <w:r w:rsidRPr="003234A9">
        <w:rPr>
          <w:rFonts w:ascii="Garamond" w:hAnsi="Garamond"/>
          <w:i/>
          <w:iCs/>
        </w:rPr>
        <w:t>2.2024; nr. 13</w:t>
      </w:r>
      <w:r w:rsidR="003234A9">
        <w:rPr>
          <w:rFonts w:ascii="Garamond" w:hAnsi="Garamond"/>
          <w:i/>
          <w:iCs/>
        </w:rPr>
        <w:t>,</w:t>
      </w:r>
      <w:r w:rsidRPr="003234A9">
        <w:rPr>
          <w:rFonts w:ascii="Garamond" w:hAnsi="Garamond"/>
          <w:i/>
          <w:iCs/>
        </w:rPr>
        <w:t xml:space="preserve"> </w:t>
      </w:r>
      <w:r w:rsidR="003234A9">
        <w:rPr>
          <w:rFonts w:ascii="Garamond" w:hAnsi="Garamond"/>
          <w:i/>
          <w:iCs/>
        </w:rPr>
        <w:t>datë 21.3.2023; nr. 7, datë 21.</w:t>
      </w:r>
      <w:r w:rsidRPr="003234A9">
        <w:rPr>
          <w:rFonts w:ascii="Garamond" w:hAnsi="Garamond"/>
          <w:i/>
          <w:iCs/>
        </w:rPr>
        <w:t>2.2023</w:t>
      </w:r>
      <w:r w:rsidR="003234A9">
        <w:rPr>
          <w:rFonts w:ascii="Garamond" w:hAnsi="Garamond"/>
          <w:i/>
          <w:iCs/>
        </w:rPr>
        <w:t>,</w:t>
      </w:r>
      <w:r w:rsidRPr="003234A9">
        <w:rPr>
          <w:rFonts w:ascii="Garamond" w:hAnsi="Garamond"/>
          <w:i/>
          <w:iCs/>
        </w:rPr>
        <w:t xml:space="preserve"> të Gjykatës Kushtetuese</w:t>
      </w:r>
      <w:r w:rsidRPr="003234A9">
        <w:rPr>
          <w:rFonts w:ascii="Garamond" w:hAnsi="Garamond"/>
        </w:rPr>
        <w:t xml:space="preserve">). </w:t>
      </w:r>
    </w:p>
    <w:p w14:paraId="45FC90F3" w14:textId="47D2A8C8"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20. Mbi bazën e standardeve të mësipërme, Gjykata konstaton se, ndryshe nga sa pretendon kërkuesi, ligji i zbatueshëm dhe afati ligjor i parashkrimit të padisë ishin pjesë e debatit gjyqësor në të dyja shkallët e gjykimit. Konkretisht, gjatë gjykimit në shkallë të parë kërkuesi ka pretenduar, ndër të tjera, se marrëdhënia e punës në rastin e tij rregullohej nga ligji për statusin e SHISH-it, ndaj pasojat duhet të rregulloheshin nga ai ligj dhe jo nga Kodi i Punës. Ndërsa subjekti i interesuar, SHISH-i, ka prapësuar se padia kishte të bënte me marrëdhëniet e punës dhe ishte ngritur jashtë afatit 3-vjeçar të parashikuar nga Kodi i Punës, ndaj nuk duhej pranuar (</w:t>
      </w:r>
      <w:r w:rsidRPr="003234A9">
        <w:rPr>
          <w:rFonts w:ascii="Garamond" w:hAnsi="Garamond"/>
          <w:i/>
          <w:iCs/>
        </w:rPr>
        <w:t>shih faqet 5 dhe</w:t>
      </w:r>
      <w:r w:rsidR="003234A9">
        <w:rPr>
          <w:rFonts w:ascii="Garamond" w:hAnsi="Garamond"/>
          <w:i/>
          <w:iCs/>
        </w:rPr>
        <w:t xml:space="preserve"> 7 të vendimit nr. 79, datë 18.</w:t>
      </w:r>
      <w:r w:rsidRPr="003234A9">
        <w:rPr>
          <w:rFonts w:ascii="Garamond" w:hAnsi="Garamond"/>
          <w:i/>
          <w:iCs/>
        </w:rPr>
        <w:t>1.2016</w:t>
      </w:r>
      <w:r w:rsidR="003234A9">
        <w:rPr>
          <w:rFonts w:ascii="Garamond" w:hAnsi="Garamond"/>
          <w:i/>
          <w:iCs/>
        </w:rPr>
        <w:t>,</w:t>
      </w:r>
      <w:r w:rsidRPr="003234A9">
        <w:rPr>
          <w:rFonts w:ascii="Garamond" w:hAnsi="Garamond"/>
          <w:i/>
          <w:iCs/>
        </w:rPr>
        <w:t xml:space="preserve"> të Gjykatës Administrative të Shkallës së Parë Tiranë</w:t>
      </w:r>
      <w:r w:rsidRPr="003234A9">
        <w:rPr>
          <w:rFonts w:ascii="Garamond" w:hAnsi="Garamond"/>
        </w:rPr>
        <w:t>). Edhe në gjykimin në shkallë të dytë, kërkuesi ka pretenduar se pasojat e ndërprerjes së marrëdhënies së punës duhej të rregulloheshin nga ligji për statusin e SHISH-it dhe jo nga Kodi i Punës, ndërsa subjekti i interesuar ka mbajtur të njëjtin qëndrim me atë të parashtruar përpara gjykatës së shkallës së parë, pra se duhej zbatuar Kodi i Punës (</w:t>
      </w:r>
      <w:r w:rsidRPr="003234A9">
        <w:rPr>
          <w:rFonts w:ascii="Garamond" w:hAnsi="Garamond"/>
          <w:i/>
          <w:iCs/>
        </w:rPr>
        <w:t>shih faqet 3 dhe 4</w:t>
      </w:r>
      <w:r w:rsidR="003234A9">
        <w:rPr>
          <w:rFonts w:ascii="Garamond" w:hAnsi="Garamond"/>
          <w:i/>
          <w:iCs/>
        </w:rPr>
        <w:t>, të vendimit nr. 2438, datë 7.</w:t>
      </w:r>
      <w:r w:rsidRPr="003234A9">
        <w:rPr>
          <w:rFonts w:ascii="Garamond" w:hAnsi="Garamond"/>
          <w:i/>
          <w:iCs/>
        </w:rPr>
        <w:t>9.2016</w:t>
      </w:r>
      <w:r w:rsidR="003234A9">
        <w:rPr>
          <w:rFonts w:ascii="Garamond" w:hAnsi="Garamond"/>
          <w:i/>
          <w:iCs/>
        </w:rPr>
        <w:t>,</w:t>
      </w:r>
      <w:r w:rsidRPr="003234A9">
        <w:rPr>
          <w:rFonts w:ascii="Garamond" w:hAnsi="Garamond"/>
          <w:i/>
          <w:iCs/>
        </w:rPr>
        <w:t xml:space="preserve"> të Gjykatës Administrative të Apelit</w:t>
      </w:r>
      <w:r w:rsidRPr="003234A9">
        <w:rPr>
          <w:rFonts w:ascii="Garamond" w:hAnsi="Garamond"/>
        </w:rPr>
        <w:t xml:space="preserve">). Po ashtu, subjekti i interesuar, SHISH-i, në aktin e rekursit ka ngritur sërish pretendimin se padia e kërkuesit ishte paraqitur jashtë afatit të parashikuar nga Kodi i Punës. Në vijim, Gjykata e Lartë, duke identifikuar Kodin e Punës si ligjin e zbatueshëm për kërkimin për shpërblimin e dëmit nga zgjidhja e marrëdhënies së punës, ka arritur në përfundimin se padia për atë kërkim ishte ngritur jashtë afatit ligjor 3-vjeçar, duke ndryshuar vendimet e gjykatave të faktit dhe duke rrëzuar padinë. </w:t>
      </w:r>
    </w:p>
    <w:p w14:paraId="05519FBC" w14:textId="5D397E4E"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21. Për sa më sipër, Gjykata arrin në përfundimin se çështja e afatit 3-vjeçar të ngritjes së padisë, e parashikuar nga Kodi i Punës, është një çështje ligjore për të cilën kërkuesi ka qenë në dijeni dhe ka pasur mundësinë të debatonte e të jepte mendimin e tij. Me fjalë të tjera, Gjykata e Lartë nuk ka vënë në diskutim me nismën e saj çështje të ligjit, të panjohura për kërkuesin dhe për të cilat atij nuk i ishte dhënë mundësia të dëgjohej dhe mbrohej. Për rrjedhojë, pretendimi i kërkuesit për cenimin e së drejtës së mbrojtjes nga vendimi i Gjykatës së Lartë është haptazi i pabazuar.</w:t>
      </w:r>
    </w:p>
    <w:p w14:paraId="2769A087" w14:textId="411EB7EE"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22. Në lidhje me pretendimin për cenimin e </w:t>
      </w:r>
      <w:r w:rsidRPr="003234A9">
        <w:rPr>
          <w:rFonts w:ascii="Garamond" w:hAnsi="Garamond"/>
          <w:i/>
          <w:iCs/>
        </w:rPr>
        <w:t>parimit të barazisë para ligjit</w:t>
      </w:r>
      <w:r w:rsidRPr="003234A9">
        <w:rPr>
          <w:rFonts w:ascii="Garamond" w:hAnsi="Garamond"/>
        </w:rPr>
        <w:t>, kërkuesi ka parashtruar se çështja e tij në Gjykatën e Lartë është trajtuar ndryshe nga raste të tjera, në të cilat është vendosur mospranimi i rekursit për shkak të heqjes dorë nga institucionet shtetërore.</w:t>
      </w:r>
      <w:r w:rsidRPr="003234A9">
        <w:rPr>
          <w:rFonts w:ascii="Garamond" w:hAnsi="Garamond"/>
          <w:color w:val="FF0000"/>
        </w:rPr>
        <w:t xml:space="preserve"> </w:t>
      </w:r>
      <w:r w:rsidRPr="003234A9">
        <w:rPr>
          <w:rFonts w:ascii="Garamond" w:hAnsi="Garamond"/>
        </w:rPr>
        <w:t>Subjekti i interesuar, SHISH-i, ka prapësuar se këto pretendime të kërkuesit nuk qëndrojnë, pasi udhëzimi për heqjen dorë nga rekurset nuk përbën ndalim absolut dhe nuk mund të zbatohet kur cenon të drejtën e institucioneve për t’iu drejtuar gjykatës për mbrojtjen e të drejtave dhe interesave ligjore. Gjykata evidenton se kërkuesi nuk ka paraqitur asnjë të dhënë konkrete se cilat janë rastet e ngjashme në të cilat Gjykata e Lartë, megjithëse gjendej përpara rrethanave dhe fakteve të njëjta, ka mbajtur qëndrime të ndryshme. Për rrjedhojë, pretendimi për cenimin e parimit të barazisë para ligjit nuk mund të merret në shqyrtim</w:t>
      </w:r>
      <w:r w:rsidRPr="003234A9">
        <w:rPr>
          <w:rFonts w:ascii="Garamond" w:hAnsi="Garamond"/>
          <w:spacing w:val="-15"/>
        </w:rPr>
        <w:t>.</w:t>
      </w:r>
    </w:p>
    <w:p w14:paraId="1A401B7C" w14:textId="04BD2A58"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23. Për sa u përket pretendimeve të tjera të kërkuesit për cenimin e së </w:t>
      </w:r>
      <w:r w:rsidRPr="003234A9">
        <w:rPr>
          <w:rFonts w:ascii="Garamond" w:hAnsi="Garamond"/>
          <w:i/>
          <w:iCs/>
        </w:rPr>
        <w:t>standardit të arsyetimit të vendimit</w:t>
      </w:r>
      <w:r w:rsidRPr="003234A9">
        <w:rPr>
          <w:rFonts w:ascii="Garamond" w:hAnsi="Garamond"/>
        </w:rPr>
        <w:t xml:space="preserve"> dhe </w:t>
      </w:r>
      <w:r w:rsidRPr="003234A9">
        <w:rPr>
          <w:rFonts w:ascii="Garamond" w:hAnsi="Garamond"/>
          <w:i/>
          <w:iCs/>
        </w:rPr>
        <w:t>parimit të sigurisë juridike</w:t>
      </w:r>
      <w:r w:rsidRPr="003234A9">
        <w:rPr>
          <w:rFonts w:ascii="Garamond" w:hAnsi="Garamond"/>
        </w:rPr>
        <w:t>, Gjykata çmon se këto pretendime bëjnë pjesë në juridiksionin kushtetues dhe, nisur nga natyra dhe thelbi i tyre, do t’i analizojë në themel të lidhura së bashku.</w:t>
      </w:r>
    </w:p>
    <w:p w14:paraId="30A8B363" w14:textId="01663C19" w:rsidR="000C75BB" w:rsidRPr="003234A9" w:rsidRDefault="000C75BB" w:rsidP="000C75BB">
      <w:pPr>
        <w:pStyle w:val="ListParagraph"/>
        <w:tabs>
          <w:tab w:val="left" w:pos="1080"/>
          <w:tab w:val="left" w:pos="1260"/>
        </w:tabs>
        <w:spacing w:line="240" w:lineRule="auto"/>
        <w:ind w:left="0" w:firstLine="284"/>
        <w:jc w:val="both"/>
        <w:rPr>
          <w:rFonts w:ascii="Garamond" w:hAnsi="Garamond"/>
          <w:i/>
          <w:iCs/>
        </w:rPr>
      </w:pPr>
      <w:r w:rsidRPr="003234A9">
        <w:rPr>
          <w:rFonts w:ascii="Garamond" w:hAnsi="Garamond"/>
          <w:i/>
          <w:iCs/>
        </w:rPr>
        <w:t>B. Për themelin e pretendimeve</w:t>
      </w:r>
    </w:p>
    <w:p w14:paraId="52F69F47" w14:textId="155F61CC" w:rsidR="000C75BB" w:rsidRPr="003234A9" w:rsidRDefault="003234A9" w:rsidP="000C75BB">
      <w:pPr>
        <w:pStyle w:val="ListParagraph"/>
        <w:spacing w:line="240" w:lineRule="auto"/>
        <w:ind w:left="0" w:firstLine="284"/>
        <w:jc w:val="both"/>
        <w:rPr>
          <w:rFonts w:ascii="Garamond" w:hAnsi="Garamond"/>
          <w:i/>
          <w:iCs/>
        </w:rPr>
      </w:pPr>
      <w:proofErr w:type="spellStart"/>
      <w:r>
        <w:rPr>
          <w:rFonts w:ascii="Garamond" w:hAnsi="Garamond"/>
          <w:i/>
          <w:iCs/>
        </w:rPr>
        <w:t>B.1</w:t>
      </w:r>
      <w:proofErr w:type="spellEnd"/>
      <w:r w:rsidR="000C75BB" w:rsidRPr="003234A9">
        <w:rPr>
          <w:rFonts w:ascii="Garamond" w:hAnsi="Garamond"/>
        </w:rPr>
        <w:t xml:space="preserve"> </w:t>
      </w:r>
      <w:r w:rsidR="000C75BB" w:rsidRPr="003234A9">
        <w:rPr>
          <w:rFonts w:ascii="Garamond" w:hAnsi="Garamond"/>
          <w:i/>
          <w:iCs/>
        </w:rPr>
        <w:t>Për cenimin e parimit të sigurisë juridike të lidhur me standardin e arsyetimit të vendimit gjyqësor</w:t>
      </w:r>
    </w:p>
    <w:p w14:paraId="5A49371D" w14:textId="3A6D508B"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24. Kërkuesi ka pretenduar se afati për ngritjen e padisë ishte vlerësuar nga gjykata e apelit në vitin 2016, e cila kur ktheu çështjen për rigjykim në shkallë të parë, ka pranuar se padia ishte paraqitur në afat. Në kushtet kur SHISH-i nuk paraqiti ankim ndaj atij vendimi, çështja e afatit përbënte gjë të gjykuar, të cilën Gjykata e Lartë e cenoi me vendimin e saj, duke ndryshuar vendimet e gjykatave me të ulëta, me arsyetimin se padia ishte paraqitur jashtë afatit ligjor. Sipas kërkuesit, vendimi i gjykatës së apelit ishte i formës së prerë dhe ishte ekzekutuar tërësisht, për pasojë atij, bazuar në vendimin e Gjykatës së Lartë, i duhet të kthejë shumën e ekzekutuar të dëmshpërblimit pas 10 vjetësh. Kjo shumë do t</w:t>
      </w:r>
      <w:r w:rsidR="003234A9">
        <w:rPr>
          <w:rFonts w:ascii="Garamond" w:hAnsi="Garamond"/>
        </w:rPr>
        <w:t>’</w:t>
      </w:r>
      <w:r w:rsidRPr="003234A9">
        <w:rPr>
          <w:rFonts w:ascii="Garamond" w:hAnsi="Garamond"/>
        </w:rPr>
        <w:t>i mbahet kërkuesit nga pensioni, duke i cenuar atij edhe të drejtën e pronës të garantuar nga neni 41 i Kushtetutës. Kërkuesi parashtron se vendimi i Gjykatës së Lartë është i gabuar, pasi urdhri i lirimit është absolutisht i pavlefshëm, në kushtet kur është marrë në kundërshtim me formën dhe procedurën e parashikuar nga ligji për statusin e SHISH-it dhe, si i tillë, mund të kundërshtohet në çdo kohë, në të kundërt me sa arsyeton Gjykata e Lartë.</w:t>
      </w:r>
    </w:p>
    <w:p w14:paraId="45D448F3" w14:textId="38C609A8"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25. Subjekti i interesuar, SHISH-i, ka prapësuar se pretendimi për cenimin e</w:t>
      </w:r>
      <w:r w:rsidRPr="003234A9">
        <w:rPr>
          <w:rFonts w:ascii="Garamond" w:hAnsi="Garamond"/>
          <w:i/>
          <w:iCs/>
        </w:rPr>
        <w:t xml:space="preserve"> </w:t>
      </w:r>
      <w:r w:rsidRPr="003234A9">
        <w:rPr>
          <w:rFonts w:ascii="Garamond" w:hAnsi="Garamond"/>
        </w:rPr>
        <w:t>parimit të sigurisë juridike nuk qëndron, pasi urdhri i drejtorit të SHISH-it për lirimin nga shërbimi është shprehje e njëanshme e vullnetit të punëdhënësit për t’i dhënë fund kontratës së shërbimit publik. Ligji për statusin e SHISH-it nuk parashikon afate ankimi, ndaj zbatohet Kodi i Punës. Sipas subjektit të interesuar, kërkuesit i ka lindur e drejta për të ngritur padi në kohën kur marrëdhënia e tij e punës është ndërprerë faktikisht, për rrjedhojë e drejta e tij e padisë është parashkruar, pasi padia është paraqitur në tejkalim të dukshëm të afatit 3-vjeçar të parashikuar në Kodin e Punës.</w:t>
      </w:r>
    </w:p>
    <w:p w14:paraId="7BFF5DF4" w14:textId="278BF9CB"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26. Gjykata në jurisprudencën e saj ka pohuar lidhjen që siguria juridike ka me të drejtën kushtetuese të procesit të rregullt, në të cilën ky parim përgjithësisht shfaqet në formën e gjësë së gjykuar. Mosrespektimi i gjësë së gjykuar shkakton cenimin e të drejtave, lirive dhe interesave kushtetues e ligjorë të garantuar nga neni 42 i Kushtetutës, pra cenon vetë sigurinë juridike. Në rastin e vendimeve gjyqësore të formës së prerë, siguria juridike nënkupton që në rastet kur gjykata ka vendosur përfundimisht për një çështje, atëherë asnjë gjykatë nuk mundet të gjykojë sërish të njëjtën padi kundrejt të njëjtave palë (</w:t>
      </w:r>
      <w:r w:rsidR="003234A9">
        <w:rPr>
          <w:rFonts w:ascii="Garamond" w:hAnsi="Garamond"/>
          <w:i/>
          <w:iCs/>
        </w:rPr>
        <w:t>shih vendimet nr. 17, datë 30.3.2021; nr. 50, datë 3.7.2017; nr. 15, datë 19.</w:t>
      </w:r>
      <w:r w:rsidRPr="003234A9">
        <w:rPr>
          <w:rFonts w:ascii="Garamond" w:hAnsi="Garamond"/>
          <w:i/>
          <w:iCs/>
        </w:rPr>
        <w:t>4.2013</w:t>
      </w:r>
      <w:r w:rsidR="003234A9">
        <w:rPr>
          <w:rFonts w:ascii="Garamond" w:hAnsi="Garamond"/>
          <w:i/>
          <w:iCs/>
        </w:rPr>
        <w:t>,</w:t>
      </w:r>
      <w:r w:rsidRPr="003234A9">
        <w:rPr>
          <w:rFonts w:ascii="Garamond" w:hAnsi="Garamond"/>
          <w:i/>
          <w:iCs/>
        </w:rPr>
        <w:t xml:space="preserve"> të Gjykatës Kushtetuese</w:t>
      </w:r>
      <w:r w:rsidRPr="003234A9">
        <w:rPr>
          <w:rFonts w:ascii="Garamond" w:hAnsi="Garamond"/>
        </w:rPr>
        <w:t xml:space="preserve">). </w:t>
      </w:r>
    </w:p>
    <w:p w14:paraId="0EC44504" w14:textId="0D9B6F7A"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27. Gjykata ka pohuar, gjithashtu, se e drejta për proces të rregullt ligjor përfshin edhe të drejtën për të pasur një vendim gjyqësor të arsyetuar, që i garantohet individit nga nenet 42 dhe 142, pika 1, të Kushtetutës. Argumentet e pjesës arsyetuese duhet të jenë të bazuara dhe të lidhura logjikisht, duke respektuar rregullat e mendimit të drejtë dhe duhet të formojnë një përmbajtje koherente brenda vendimit, i cili përjashton çdo kundërthënie, </w:t>
      </w:r>
      <w:proofErr w:type="spellStart"/>
      <w:r w:rsidRPr="003234A9">
        <w:rPr>
          <w:rFonts w:ascii="Garamond" w:hAnsi="Garamond"/>
        </w:rPr>
        <w:t>kontradiksion</w:t>
      </w:r>
      <w:proofErr w:type="spellEnd"/>
      <w:r w:rsidRPr="003234A9">
        <w:rPr>
          <w:rFonts w:ascii="Garamond" w:hAnsi="Garamond"/>
        </w:rPr>
        <w:t xml:space="preserve"> të hapur ose të fshehtë </w:t>
      </w:r>
      <w:r w:rsidR="003234A9">
        <w:rPr>
          <w:rFonts w:ascii="Garamond" w:hAnsi="Garamond"/>
          <w:i/>
          <w:iCs/>
        </w:rPr>
        <w:t>(shih vendimet nr. 2, datë 11.2.2021; nr. 42, datë 25.5.2017; nr. 25, datë 10.</w:t>
      </w:r>
      <w:r w:rsidRPr="003234A9">
        <w:rPr>
          <w:rFonts w:ascii="Garamond" w:hAnsi="Garamond"/>
          <w:i/>
          <w:iCs/>
        </w:rPr>
        <w:t>6.2011</w:t>
      </w:r>
      <w:r w:rsidR="003234A9">
        <w:rPr>
          <w:rFonts w:ascii="Garamond" w:hAnsi="Garamond"/>
          <w:i/>
          <w:iCs/>
        </w:rPr>
        <w:t>,</w:t>
      </w:r>
      <w:r w:rsidRPr="003234A9">
        <w:rPr>
          <w:rFonts w:ascii="Garamond" w:hAnsi="Garamond"/>
          <w:i/>
          <w:iCs/>
        </w:rPr>
        <w:t xml:space="preserve"> të Gjykatës Kushtetuese). </w:t>
      </w:r>
      <w:r w:rsidRPr="003234A9">
        <w:rPr>
          <w:rFonts w:ascii="Garamond" w:hAnsi="Garamond"/>
        </w:rPr>
        <w:t>Po në këtë drejtim, Gjykata ka pranuar se ajo nuk vepron si gjykatë e shkallës së katërt dhe për këtë arsye vendimet e gjykatave të juridiksionit të zakonshëm nuk vihen në dyshim, përveç rasteve kur gjetjet e tyre mund të konsiderohen si arbitrare ose haptazi të paarsyeshme. Kjo do të thotë se ajo vepron në rastin kur gabimi ligjor ose faktik nga gjykatat e juridiksionit të zakonshëm është aq i dukshëm, sa një gjykatë e arsyeshme nuk mund ta kishte bërë ndonjëherë ose i tillë që gjykimin e bën të padrejtë (</w:t>
      </w:r>
      <w:r w:rsidRPr="003234A9">
        <w:rPr>
          <w:rFonts w:ascii="Garamond" w:hAnsi="Garamond"/>
          <w:i/>
          <w:iCs/>
        </w:rPr>
        <w:t>shih vendimet nr. 14, d</w:t>
      </w:r>
      <w:r w:rsidR="003234A9">
        <w:rPr>
          <w:rFonts w:ascii="Garamond" w:hAnsi="Garamond"/>
          <w:i/>
          <w:iCs/>
        </w:rPr>
        <w:t>atë 07.3.2024; nr. 9, datë 27.</w:t>
      </w:r>
      <w:r w:rsidRPr="003234A9">
        <w:rPr>
          <w:rFonts w:ascii="Garamond" w:hAnsi="Garamond"/>
          <w:i/>
          <w:iCs/>
        </w:rPr>
        <w:t>2.2024; nr. 33, datë 14.11.2022</w:t>
      </w:r>
      <w:r w:rsidR="003234A9">
        <w:rPr>
          <w:rFonts w:ascii="Garamond" w:hAnsi="Garamond"/>
          <w:i/>
          <w:iCs/>
        </w:rPr>
        <w:t>,</w:t>
      </w:r>
      <w:r w:rsidRPr="003234A9">
        <w:rPr>
          <w:rFonts w:ascii="Garamond" w:hAnsi="Garamond"/>
          <w:i/>
          <w:iCs/>
        </w:rPr>
        <w:t xml:space="preserve"> të Gjykatës Kushtetuese</w:t>
      </w:r>
      <w:r w:rsidRPr="003234A9">
        <w:rPr>
          <w:rFonts w:ascii="Garamond" w:hAnsi="Garamond"/>
        </w:rPr>
        <w:t xml:space="preserve">). </w:t>
      </w:r>
    </w:p>
    <w:p w14:paraId="1A98692C" w14:textId="46C4533A"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28. Nën dritën e standardeve kushtetuese të mësipërme, si dhe duke pasur parasysh natyrën dhe thelbin e pretendimeve të kërkuesit, Gjykata do të verifikojë në vijim nëse arsyetimi i vendimit të Gjykatës së Lartë, për rrëzimin e kërkesëpadisë së kërkuesit lidhur me afatin e parashkrimit të së drejtës së padisë, i ka cenuar atij parimin e sigurisë juridike në aspektin e gjësë së gjykuar. </w:t>
      </w:r>
    </w:p>
    <w:p w14:paraId="640771BB" w14:textId="26872560"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rPr>
        <w:t xml:space="preserve">29. Nën këtë optikë, Gjykata vëren se kërkuesi është liruar nga detyra në vitin 2006, me motivacionin e shkeljes së rregullave nënligjore që normojnë veprimtarinë informative të SHISH-it. Pothuajse 8 vjet më pas, kërkuesi ka kërkuar nga punëdhënësi </w:t>
      </w:r>
      <w:r w:rsidRPr="003234A9">
        <w:rPr>
          <w:rFonts w:ascii="Garamond" w:hAnsi="Garamond"/>
          <w:bCs/>
        </w:rPr>
        <w:t>t’i vinte në dispozicion një kopje të urdhrit të lirimit. Në përgjigje të kërkesës atij i është dërguar një ekstrakt i urdhrit, me argumentin se urdhri për lirimin nga detyra përmbante informacion të klasifikuar sekret shtetëror. Me marrjen e përgjigjes, konkretisht në datën 3</w:t>
      </w:r>
      <w:r w:rsidR="003234A9">
        <w:rPr>
          <w:rFonts w:ascii="Garamond" w:hAnsi="Garamond"/>
          <w:bCs/>
        </w:rPr>
        <w:t>1.</w:t>
      </w:r>
      <w:r w:rsidRPr="003234A9">
        <w:rPr>
          <w:rFonts w:ascii="Garamond" w:hAnsi="Garamond"/>
          <w:bCs/>
        </w:rPr>
        <w:t>1.2014, kërkuesi ka ngritur padi në gjykatë</w:t>
      </w:r>
      <w:r w:rsidR="003234A9">
        <w:rPr>
          <w:rFonts w:ascii="Garamond" w:hAnsi="Garamond"/>
          <w:bCs/>
        </w:rPr>
        <w:t>, duke parashtruar dy kërkime: i.</w:t>
      </w:r>
      <w:r w:rsidRPr="003234A9">
        <w:rPr>
          <w:rFonts w:ascii="Garamond" w:hAnsi="Garamond"/>
          <w:bCs/>
        </w:rPr>
        <w:t xml:space="preserve"> konstatimin e pavlefshmërinë absolute të urdhrit për lirimin nga shërbimi, për shkak të mosrespektimit të procedurës lig</w:t>
      </w:r>
      <w:r w:rsidR="003234A9">
        <w:rPr>
          <w:rFonts w:ascii="Garamond" w:hAnsi="Garamond"/>
          <w:bCs/>
        </w:rPr>
        <w:t xml:space="preserve">jore dhe zgjidhjen e pasojave; </w:t>
      </w:r>
      <w:proofErr w:type="spellStart"/>
      <w:r w:rsidR="003234A9">
        <w:rPr>
          <w:rFonts w:ascii="Garamond" w:hAnsi="Garamond"/>
          <w:bCs/>
        </w:rPr>
        <w:t>ii</w:t>
      </w:r>
      <w:proofErr w:type="spellEnd"/>
      <w:r w:rsidR="003234A9">
        <w:rPr>
          <w:rFonts w:ascii="Garamond" w:hAnsi="Garamond"/>
          <w:bCs/>
        </w:rPr>
        <w:t>.</w:t>
      </w:r>
      <w:r w:rsidRPr="003234A9">
        <w:rPr>
          <w:rFonts w:ascii="Garamond" w:hAnsi="Garamond"/>
          <w:bCs/>
        </w:rPr>
        <w:t xml:space="preserve"> detyrimin e ish-punëdhënësit që ta </w:t>
      </w:r>
      <w:proofErr w:type="spellStart"/>
      <w:r w:rsidRPr="003234A9">
        <w:rPr>
          <w:rFonts w:ascii="Garamond" w:hAnsi="Garamond"/>
          <w:bCs/>
        </w:rPr>
        <w:t>dëmshpërblente</w:t>
      </w:r>
      <w:proofErr w:type="spellEnd"/>
      <w:r w:rsidRPr="003234A9">
        <w:rPr>
          <w:rFonts w:ascii="Garamond" w:hAnsi="Garamond"/>
          <w:bCs/>
        </w:rPr>
        <w:t xml:space="preserve"> me pagën e 12 muajve. </w:t>
      </w:r>
    </w:p>
    <w:p w14:paraId="0CA30E58" w14:textId="45613704"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30. Gjykata Administrative e Sh</w:t>
      </w:r>
      <w:r w:rsidR="003234A9">
        <w:rPr>
          <w:rFonts w:ascii="Garamond" w:hAnsi="Garamond"/>
          <w:bCs/>
        </w:rPr>
        <w:t>kallës së Parë Tiranë në datën 8.</w:t>
      </w:r>
      <w:r w:rsidRPr="003234A9">
        <w:rPr>
          <w:rFonts w:ascii="Garamond" w:hAnsi="Garamond"/>
          <w:bCs/>
        </w:rPr>
        <w:t>4.2014</w:t>
      </w:r>
      <w:r w:rsidR="003234A9">
        <w:rPr>
          <w:rFonts w:ascii="Garamond" w:hAnsi="Garamond"/>
          <w:bCs/>
        </w:rPr>
        <w:t>,</w:t>
      </w:r>
      <w:r w:rsidRPr="003234A9">
        <w:rPr>
          <w:rFonts w:ascii="Garamond" w:hAnsi="Garamond"/>
          <w:bCs/>
        </w:rPr>
        <w:t xml:space="preserve"> ka vendosur mospranimin e padisë. Sipas asaj gjykate, nga koha e përfundimit të marrëdhënieve të punës, kërkimi për pavlefshmërinë e urdhrit të lirimit duhet të ishte ngritur brenda afatit 30-ditor të përcaktuar nga ligji për statusin e SHISH-it, ndërsa kërkimi për dëmshpërblimin nga marrëdhëniet e punës brenda afatit 3-vjeçar të përcaktuar nga Kodi i Punës. Padia e kërkuesit ishte ngritur pas 8 vjetëve nga përfundimi i marrëdhënieve të punës, ndaj ishte parashkruar dhe nuk mund të pranohej.</w:t>
      </w:r>
    </w:p>
    <w:p w14:paraId="6669FFA9" w14:textId="122B7C91"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31. Mbi bazën e apelit të kërkuesit, Gjykata Admin</w:t>
      </w:r>
      <w:r w:rsidR="003234A9">
        <w:rPr>
          <w:rFonts w:ascii="Garamond" w:hAnsi="Garamond"/>
          <w:bCs/>
        </w:rPr>
        <w:t>istrative e Apelit në datën 21.</w:t>
      </w:r>
      <w:r w:rsidRPr="003234A9">
        <w:rPr>
          <w:rFonts w:ascii="Garamond" w:hAnsi="Garamond"/>
          <w:bCs/>
        </w:rPr>
        <w:t>9.2015</w:t>
      </w:r>
      <w:r w:rsidR="003234A9">
        <w:rPr>
          <w:rFonts w:ascii="Garamond" w:hAnsi="Garamond"/>
          <w:bCs/>
        </w:rPr>
        <w:t>,</w:t>
      </w:r>
      <w:r w:rsidRPr="003234A9">
        <w:rPr>
          <w:rFonts w:ascii="Garamond" w:hAnsi="Garamond"/>
          <w:bCs/>
        </w:rPr>
        <w:t xml:space="preserve"> ka vendosur prishjen e vendimit të gjykatës së shkallës së parë dhe kthimin e çështjes për rigjykim. Ajo gjykatë ka arsyetuar se gjykata e shkallës së parë kishte gabuar në cilësimin e mosmarrëveshjes, pasi urdhri i lirimit ishte akt administrativ. Në kushtet, kur ligji nuk parashikon afat parashkrimi të padisë për pavlefshmërinë absolute të aktit administrativ, gjykata e shkallës së parë nuk duhej të kishte dhënë vendim mospranimi për shkak të mosrespektimit të kushtit formal të afatit, por ishte e detyruar të shqyrtonte themelin e mosmarrëveshjes dhe të jepte vendim përfundimtar. Kundër vendimit nuk është paraqitur rekurs në Gjykatën e Lartë nga asnjë prej palëve, përfshirë subjektin e interesuar. </w:t>
      </w:r>
    </w:p>
    <w:p w14:paraId="0B81F15B" w14:textId="49AFD2C9"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bCs/>
        </w:rPr>
        <w:t>32. Në rigjykim, Gjykata Administrative e Shkal</w:t>
      </w:r>
      <w:r w:rsidR="003234A9">
        <w:rPr>
          <w:rFonts w:ascii="Garamond" w:hAnsi="Garamond"/>
          <w:bCs/>
        </w:rPr>
        <w:t>lës së Parë Tiranë në datën 18.</w:t>
      </w:r>
      <w:r w:rsidRPr="003234A9">
        <w:rPr>
          <w:rFonts w:ascii="Garamond" w:hAnsi="Garamond"/>
          <w:bCs/>
        </w:rPr>
        <w:t>1.2016</w:t>
      </w:r>
      <w:r w:rsidR="003234A9">
        <w:rPr>
          <w:rFonts w:ascii="Garamond" w:hAnsi="Garamond"/>
          <w:bCs/>
        </w:rPr>
        <w:t>,</w:t>
      </w:r>
      <w:r w:rsidRPr="003234A9">
        <w:rPr>
          <w:rFonts w:ascii="Garamond" w:hAnsi="Garamond"/>
          <w:bCs/>
        </w:rPr>
        <w:t xml:space="preserve"> ka vendosur pranimin pjesërisht të padisë, vetëm për pjesën e dëmshpërblimit. Ajo gjykatë ka arritur në përfundimin se urdhri i lirimit, për shkak të motivimit, përbënte masë disiplinore, e cila nuk provohej se ishte e justifikuar sipas ligjit për statusin e SHISH-it. Për këtë arsye, ajo ka vendosur detyrimin e punëdhënësit, SHISH-it, t’i paguante kërkuesit dëmshpërblim prej 12 pagash mujore për të përballuar kushtet e jetesës gjersa kërkuesi të gjente punë tjetër. Lidhur me urdhrin e lirimit, gjykata e shkallës së parë është shprehur se, pavarësisht formës, ai nuk përbënte akt të mirëfilltë administrativ. Për rrjedhojë, kontrollit gjyqësor i nënshtrohej vetëm ligjshmëria e shkakut të zgjidhjes së marrëdhënies së punës dhe jo pavlefshmëria absolute e aktit të lirimit, pasi kjo e fundit do të </w:t>
      </w:r>
      <w:proofErr w:type="spellStart"/>
      <w:r w:rsidRPr="003234A9">
        <w:rPr>
          <w:rFonts w:ascii="Garamond" w:hAnsi="Garamond"/>
          <w:bCs/>
        </w:rPr>
        <w:t>passillte</w:t>
      </w:r>
      <w:proofErr w:type="spellEnd"/>
      <w:r w:rsidRPr="003234A9">
        <w:rPr>
          <w:rFonts w:ascii="Garamond" w:hAnsi="Garamond"/>
          <w:bCs/>
        </w:rPr>
        <w:t xml:space="preserve"> rikthimin në detyrë të kërkuesit, që nuk gëzon mbrojtje gjyqësore. Gjykata e shkallës së parë është shprehur edhe për afatin e paraqitjes së padisë, që ishte debatuar ndërmjet palëve. Ajo ka arritur në përfundimin se padia ishte paraqitur brenda afatit 30-ditor të përcaktuar nga ligji për sta</w:t>
      </w:r>
      <w:r w:rsidR="003234A9">
        <w:rPr>
          <w:rFonts w:ascii="Garamond" w:hAnsi="Garamond"/>
          <w:bCs/>
        </w:rPr>
        <w:t>tusin e SHISH-it për dy arsye: i.</w:t>
      </w:r>
      <w:r w:rsidRPr="003234A9">
        <w:rPr>
          <w:rFonts w:ascii="Garamond" w:hAnsi="Garamond"/>
          <w:bCs/>
        </w:rPr>
        <w:t xml:space="preserve"> çështja e afatit ishte shqyrtuar nga gjykata e apelit, që kishte ur</w:t>
      </w:r>
      <w:r w:rsidR="003234A9">
        <w:rPr>
          <w:rFonts w:ascii="Garamond" w:hAnsi="Garamond"/>
          <w:bCs/>
        </w:rPr>
        <w:t xml:space="preserve">dhëruar rigjykimin e çështjes; </w:t>
      </w:r>
      <w:proofErr w:type="spellStart"/>
      <w:r w:rsidR="003234A9">
        <w:rPr>
          <w:rFonts w:ascii="Garamond" w:hAnsi="Garamond"/>
          <w:bCs/>
        </w:rPr>
        <w:t>ii</w:t>
      </w:r>
      <w:proofErr w:type="spellEnd"/>
      <w:r w:rsidR="003234A9">
        <w:rPr>
          <w:rFonts w:ascii="Garamond" w:hAnsi="Garamond"/>
          <w:bCs/>
        </w:rPr>
        <w:t>.</w:t>
      </w:r>
      <w:r w:rsidRPr="003234A9">
        <w:rPr>
          <w:rFonts w:ascii="Garamond" w:hAnsi="Garamond"/>
          <w:bCs/>
        </w:rPr>
        <w:t xml:space="preserve"> afati</w:t>
      </w:r>
      <w:r w:rsidR="003234A9">
        <w:rPr>
          <w:rFonts w:ascii="Garamond" w:hAnsi="Garamond"/>
          <w:bCs/>
        </w:rPr>
        <w:t xml:space="preserve"> 30-ditor fillonte në datën 15.</w:t>
      </w:r>
      <w:r w:rsidRPr="003234A9">
        <w:rPr>
          <w:rFonts w:ascii="Garamond" w:hAnsi="Garamond"/>
          <w:bCs/>
        </w:rPr>
        <w:t xml:space="preserve">1.2014, kur punëdhënësi i kishte komunikuar kërkuesit urdhrin e lirimit. </w:t>
      </w:r>
    </w:p>
    <w:p w14:paraId="1314E64F" w14:textId="19867723"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33. Gjykata Ad</w:t>
      </w:r>
      <w:r w:rsidR="003234A9">
        <w:rPr>
          <w:rFonts w:ascii="Garamond" w:hAnsi="Garamond"/>
          <w:bCs/>
        </w:rPr>
        <w:t>ministrative e Apelit, në datën 7.</w:t>
      </w:r>
      <w:r w:rsidRPr="003234A9">
        <w:rPr>
          <w:rFonts w:ascii="Garamond" w:hAnsi="Garamond"/>
          <w:bCs/>
        </w:rPr>
        <w:t>9.2016</w:t>
      </w:r>
      <w:r w:rsidR="003234A9">
        <w:rPr>
          <w:rFonts w:ascii="Garamond" w:hAnsi="Garamond"/>
          <w:bCs/>
        </w:rPr>
        <w:t>,</w:t>
      </w:r>
      <w:r w:rsidRPr="003234A9">
        <w:rPr>
          <w:rFonts w:ascii="Garamond" w:hAnsi="Garamond"/>
          <w:bCs/>
        </w:rPr>
        <w:t xml:space="preserve"> ka vendosur ndryshimin e pjesshëm të vendimit të gjykatës së shkallës së parë, duke pranuar edhe kërkimin për kundërshtimin e urdhrit të lirimit nga shërbimi të kërkuesit. Sipas gjykatës së apelit, urdhri i lirimit nuk ishte marrë në formën e kërkuar nga neni 45, shkronja “dh”, i ligjit për statusin e SHISH-it, pasi punëdhënësi nuk kishte kryer dy vlerësime të njëpasnjëshme të rezultateve në punë. Lidhur me afatin e paraqitjes së padisë, gjykata e apelit ka mbajtur të njëjtin qëndrim me atë të shkallës së parë, duke u shprehur se padia ishte paraqitur brenda afatit ligjor 30-ditor, i cili kishte filluar nga data e</w:t>
      </w:r>
      <w:r w:rsidR="003234A9">
        <w:rPr>
          <w:rFonts w:ascii="Garamond" w:hAnsi="Garamond"/>
          <w:bCs/>
        </w:rPr>
        <w:t xml:space="preserve"> komunikimit të urdhrit, më 15.</w:t>
      </w:r>
      <w:r w:rsidRPr="003234A9">
        <w:rPr>
          <w:rFonts w:ascii="Garamond" w:hAnsi="Garamond"/>
          <w:bCs/>
        </w:rPr>
        <w:t>1.2014.</w:t>
      </w:r>
    </w:p>
    <w:p w14:paraId="23D42BA9" w14:textId="578F2810" w:rsidR="000C75BB" w:rsidRPr="003234A9" w:rsidRDefault="000C75BB" w:rsidP="000C75BB">
      <w:pPr>
        <w:pStyle w:val="ListParagraph"/>
        <w:tabs>
          <w:tab w:val="left" w:pos="1080"/>
          <w:tab w:val="left" w:pos="1260"/>
        </w:tabs>
        <w:spacing w:line="240" w:lineRule="auto"/>
        <w:ind w:left="0" w:firstLine="284"/>
        <w:jc w:val="both"/>
        <w:rPr>
          <w:rFonts w:ascii="Garamond" w:hAnsi="Garamond"/>
          <w:bCs/>
        </w:rPr>
      </w:pPr>
      <w:r w:rsidRPr="003234A9">
        <w:rPr>
          <w:rFonts w:ascii="Garamond" w:hAnsi="Garamond"/>
          <w:bCs/>
        </w:rPr>
        <w:t>34. Mbi bazën e rekursit të subjektit të interesuar, SHISH-i</w:t>
      </w:r>
      <w:r w:rsidR="003234A9">
        <w:rPr>
          <w:rFonts w:ascii="Garamond" w:hAnsi="Garamond"/>
          <w:bCs/>
        </w:rPr>
        <w:t>t, Gjykata e Lartë, në datën 16.</w:t>
      </w:r>
      <w:r w:rsidRPr="003234A9">
        <w:rPr>
          <w:rFonts w:ascii="Garamond" w:hAnsi="Garamond"/>
          <w:bCs/>
        </w:rPr>
        <w:t>7.2024</w:t>
      </w:r>
      <w:r w:rsidR="003234A9">
        <w:rPr>
          <w:rFonts w:ascii="Garamond" w:hAnsi="Garamond"/>
          <w:bCs/>
        </w:rPr>
        <w:t>,</w:t>
      </w:r>
      <w:r w:rsidRPr="003234A9">
        <w:rPr>
          <w:rFonts w:ascii="Garamond" w:hAnsi="Garamond"/>
          <w:bCs/>
        </w:rPr>
        <w:t xml:space="preserve"> ka vendosur ndryshimin e vendimeve të gjykatave të faktit dhe rrëzimin e padisë. Sipas Gjykatës së Lartë, urdhri i lirimit nuk rezulton të jetë akt administrativ absolutisht i pavlefshëm në vështrim të ligjit, pasi gjykata e apelit nuk ka dhënë ndonjë arsye që të mbështesë këtë konkluzion, ndërsa kërkuesi nuk ka paraqitur asnjë argument bindës. Pretendimet e kërkuesit kanë të bëjnë me pavlefshmërinë relative të urdhrit të lirimit, por ato janë paraqitur pas 8 vjetëve nga lirimi, pra jashtë afatit ligjor 30-ditor, afat i cili duhet të ishte marrë në shqyrtim kryesisht nga gjykata. Po ashtu, sipas Gjykatës së Lartë, edhe kërkimi për shpërblimin e dëmit nga ndërprerja e marrëdhënies së punës është paraqitur jashtë afatit 3-vjeçar të parashikuar nga neni 203 i Kodit të Punës, që ka filluar në kohën e përfundimit të marrëdhënies së punës, ndaj e drejta e padisë edhe për këtë kërkim ishte parashkruar. </w:t>
      </w:r>
    </w:p>
    <w:p w14:paraId="1D9BA666" w14:textId="4E7A1FFE"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35. Nga analiza e vendimeve gjyqësore, Gjykata vëren se, në ndryshim nga sa pretendon kërkuesi, afati i ngritjes së padisë nuk ishte zgjidhur në mënyrë përfundimtare nga gjykata e apelit në vitin 2015, vendimi i së cilës nuk u </w:t>
      </w:r>
      <w:proofErr w:type="spellStart"/>
      <w:r w:rsidRPr="003234A9">
        <w:rPr>
          <w:rFonts w:ascii="Garamond" w:hAnsi="Garamond"/>
        </w:rPr>
        <w:t>ankimua</w:t>
      </w:r>
      <w:proofErr w:type="spellEnd"/>
      <w:r w:rsidRPr="003234A9">
        <w:rPr>
          <w:rFonts w:ascii="Garamond" w:hAnsi="Garamond"/>
        </w:rPr>
        <w:t xml:space="preserve"> nga palët. Në të vërtetë, gjykata e apelit është shprehur vetëm për mungesën e afatit të padisë për pavlefshmërinë absolute të aktit administrativ, duke marrë në shqyrtim objektin dhe shkakun e padisë. Në rigjykimin në shkallë të parë, gjykata ka arritur në përfundimin se nuk bëhej fjalë për pavlefshmëri absolute, por pavlefshmëri relative, duke arsyetuar se pavlefshmëria absolute sjell si pasojë rikthimin në detyrë të kërkuesit. Sipas gjykatës së shkallës së parë, jo vetëm që kërkuesi nuk e kërkoi rikthimin në detyrë, por kjo e drejtë nuk gëzon mbrojtje ligjore. Në vijim, gjykata e apelit ka arritur në përfundimin se urdhri i lirimit ishte akt administrativ absolutisht i pavlefshëm, konkluzion i cili nuk është pranuar nga Gjykata e Lartë. Kjo e fundit</w:t>
      </w:r>
      <w:r w:rsidRPr="003234A9">
        <w:rPr>
          <w:rFonts w:ascii="Garamond" w:hAnsi="Garamond"/>
          <w:b/>
          <w:bCs/>
        </w:rPr>
        <w:t xml:space="preserve"> </w:t>
      </w:r>
      <w:r w:rsidRPr="003234A9">
        <w:rPr>
          <w:rFonts w:ascii="Garamond" w:hAnsi="Garamond"/>
          <w:bCs/>
        </w:rPr>
        <w:t>nuk ka vënë në diskutim konkluzionin lidhur me afatin për kundërshtimin e aktit si absolutisht të pavlefshëm, por e ka rrëzuar atë kërkim të padisë me arsyetimin se është i paargumentuar nga kërkuesi. Nga ana tjetër, Gjykata e Lartë ka vënë në dukje se pretendimet e kërkuesit kishin të bënin me kontrollin e ligjshmërisë së shkakut të zgjidhjes së marrëdhënieve të punës, pra me pavlefshmërinë relative të urdhrit të lirimit, si dhe me kërkimin për shpërblimin nga zgjidhja e pajustifikuar e marrëdhënies së punës. Parë nga ky këndvështrim, ajo gjykatë ka vlerësuar se kërkimet janë ngritur nga kërkuesi jashtë afateve ligjore, duke i llogaritur afatet nga koha e shkëputjes faktike të marrëdhënieve të punës.</w:t>
      </w:r>
    </w:p>
    <w:p w14:paraId="774B4CC6" w14:textId="733121C8"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 xml:space="preserve">36. Për sa më lart, Gjykata vlerëson </w:t>
      </w:r>
      <w:r w:rsidRPr="003234A9">
        <w:rPr>
          <w:rFonts w:ascii="Garamond" w:hAnsi="Garamond"/>
          <w:i/>
          <w:iCs/>
        </w:rPr>
        <w:t>së pari</w:t>
      </w:r>
      <w:r w:rsidRPr="003234A9">
        <w:rPr>
          <w:rFonts w:ascii="Garamond" w:hAnsi="Garamond"/>
        </w:rPr>
        <w:t xml:space="preserve">, se vendimi i gjykatës së apelit që ka kthyer çështjen për rigjykim nuk përbën gjë të gjykuar, pasi nuk ka zgjidhur çështjen e afatit të ngritjes së padisë në mënyrë përfundimtare. </w:t>
      </w:r>
      <w:r w:rsidRPr="003234A9">
        <w:rPr>
          <w:rFonts w:ascii="Garamond" w:hAnsi="Garamond"/>
          <w:i/>
          <w:iCs/>
        </w:rPr>
        <w:t>Së dyti</w:t>
      </w:r>
      <w:r w:rsidRPr="003234A9">
        <w:rPr>
          <w:rFonts w:ascii="Garamond" w:hAnsi="Garamond"/>
        </w:rPr>
        <w:t xml:space="preserve">, Gjykata e Lartë e ka argumentuar qëndrimin e saj se përse nuk qëndronte pretendimi i kërkuesit për pavlefshmërinë absolute të urdhrit të lirimit, duke vënë në dukje se argumentet e paraqitura nuk ishin bindëse. Në këtë kuptim, nuk rezulton që arsyetimi i Gjykatës së Lartë të jetë me gabime faktike ose ligjore, të tilla që ta bëjnë atë haptazi të paarsyeshëm nga këndvështrimi kushtetues. </w:t>
      </w:r>
    </w:p>
    <w:p w14:paraId="1ECD5133" w14:textId="3C30C744" w:rsidR="000C75BB" w:rsidRPr="003234A9" w:rsidRDefault="000C75BB" w:rsidP="000C75BB">
      <w:pPr>
        <w:pStyle w:val="ListParagraph"/>
        <w:tabs>
          <w:tab w:val="left" w:pos="1080"/>
          <w:tab w:val="left" w:pos="1260"/>
        </w:tabs>
        <w:spacing w:line="240" w:lineRule="auto"/>
        <w:ind w:left="0" w:firstLine="284"/>
        <w:jc w:val="both"/>
        <w:rPr>
          <w:rFonts w:ascii="Garamond" w:hAnsi="Garamond"/>
        </w:rPr>
      </w:pPr>
      <w:r w:rsidRPr="003234A9">
        <w:rPr>
          <w:rFonts w:ascii="Garamond" w:hAnsi="Garamond"/>
        </w:rPr>
        <w:t>37. Për rrjedhojë, Gjykata çmon se pretendimi i kërkuesit për cenimin e parimit të sigurisë juridike të lidhur me standardin e arsyetimit të vendimit gjyqësor është i pabazuar, sipas arsyetimit të mësipërm të këtij vendimi, ndaj kërkesa</w:t>
      </w:r>
      <w:r w:rsidR="00901B17">
        <w:rPr>
          <w:rFonts w:ascii="Garamond" w:hAnsi="Garamond"/>
        </w:rPr>
        <w:t xml:space="preserve"> </w:t>
      </w:r>
      <w:r w:rsidRPr="003234A9">
        <w:rPr>
          <w:rFonts w:ascii="Garamond" w:hAnsi="Garamond"/>
        </w:rPr>
        <w:t>rrëzohet.</w:t>
      </w:r>
    </w:p>
    <w:p w14:paraId="45B0E260" w14:textId="77777777" w:rsidR="000C75BB" w:rsidRPr="003234A9" w:rsidRDefault="000C75BB" w:rsidP="000C75BB">
      <w:pPr>
        <w:tabs>
          <w:tab w:val="left" w:pos="980"/>
          <w:tab w:val="left" w:pos="1080"/>
        </w:tabs>
        <w:spacing w:line="240" w:lineRule="auto"/>
        <w:ind w:firstLine="284"/>
        <w:jc w:val="center"/>
        <w:rPr>
          <w:rFonts w:ascii="Garamond" w:hAnsi="Garamond"/>
          <w:b/>
          <w:bCs/>
        </w:rPr>
      </w:pPr>
    </w:p>
    <w:p w14:paraId="2DE95657" w14:textId="77777777" w:rsidR="000C75BB" w:rsidRPr="003234A9" w:rsidRDefault="000C75BB" w:rsidP="000C75BB">
      <w:pPr>
        <w:tabs>
          <w:tab w:val="left" w:pos="980"/>
          <w:tab w:val="left" w:pos="1080"/>
        </w:tabs>
        <w:spacing w:line="240" w:lineRule="auto"/>
        <w:ind w:firstLine="284"/>
        <w:jc w:val="center"/>
        <w:rPr>
          <w:rFonts w:ascii="Garamond" w:hAnsi="Garamond"/>
        </w:rPr>
      </w:pPr>
      <w:r w:rsidRPr="003234A9">
        <w:rPr>
          <w:rFonts w:ascii="Garamond" w:hAnsi="Garamond"/>
          <w:bCs/>
        </w:rPr>
        <w:t>PËR KËTO ARSYE,</w:t>
      </w:r>
    </w:p>
    <w:p w14:paraId="42ECA0FC" w14:textId="77777777" w:rsidR="00E65D17" w:rsidRPr="003234A9" w:rsidRDefault="00E65D17" w:rsidP="000C75BB">
      <w:pPr>
        <w:tabs>
          <w:tab w:val="left" w:pos="1080"/>
        </w:tabs>
        <w:spacing w:line="240" w:lineRule="auto"/>
        <w:ind w:firstLine="284"/>
        <w:jc w:val="both"/>
        <w:rPr>
          <w:rFonts w:ascii="Garamond" w:hAnsi="Garamond"/>
        </w:rPr>
      </w:pPr>
    </w:p>
    <w:p w14:paraId="6BA21CCC" w14:textId="73FF701B" w:rsidR="000C75BB" w:rsidRPr="003234A9" w:rsidRDefault="000C75BB" w:rsidP="000C75BB">
      <w:pPr>
        <w:tabs>
          <w:tab w:val="left" w:pos="1080"/>
        </w:tabs>
        <w:spacing w:line="240" w:lineRule="auto"/>
        <w:ind w:firstLine="284"/>
        <w:jc w:val="both"/>
        <w:rPr>
          <w:rFonts w:ascii="Garamond" w:hAnsi="Garamond"/>
        </w:rPr>
      </w:pPr>
      <w:r w:rsidRPr="003234A9">
        <w:rPr>
          <w:rFonts w:ascii="Garamond" w:hAnsi="Garamond"/>
        </w:rPr>
        <w:t xml:space="preserve">Gjykata Kushtetuese, në mbështetje të neneve 131, pika 1, shkronja “f” dhe 134, pika 1, shkronja “i”, të Kushtetutës, si dhe neneve 71 dhe </w:t>
      </w:r>
      <w:r w:rsidR="003234A9">
        <w:rPr>
          <w:rFonts w:ascii="Garamond" w:hAnsi="Garamond"/>
        </w:rPr>
        <w:t>72</w:t>
      </w:r>
      <w:r w:rsidR="00901B17">
        <w:rPr>
          <w:rFonts w:ascii="Garamond" w:hAnsi="Garamond"/>
        </w:rPr>
        <w:t>,</w:t>
      </w:r>
      <w:bookmarkStart w:id="0" w:name="_GoBack"/>
      <w:bookmarkEnd w:id="0"/>
      <w:r w:rsidR="003234A9">
        <w:rPr>
          <w:rFonts w:ascii="Garamond" w:hAnsi="Garamond"/>
        </w:rPr>
        <w:t xml:space="preserve"> të ligjit nr. 8577, datë 10.</w:t>
      </w:r>
      <w:r w:rsidRPr="003234A9">
        <w:rPr>
          <w:rFonts w:ascii="Garamond" w:hAnsi="Garamond"/>
        </w:rPr>
        <w:t>2.2000</w:t>
      </w:r>
      <w:r w:rsidR="003234A9">
        <w:rPr>
          <w:rFonts w:ascii="Garamond" w:hAnsi="Garamond"/>
        </w:rPr>
        <w:t>,</w:t>
      </w:r>
      <w:r w:rsidRPr="003234A9">
        <w:rPr>
          <w:rFonts w:ascii="Garamond" w:hAnsi="Garamond"/>
        </w:rPr>
        <w:t xml:space="preserve"> “Për organizimin dhe funksionimin e Gjykatës Kushtetuese të Republikës së Shqipërisë”, të ndryshuar, njëzëri,</w:t>
      </w:r>
    </w:p>
    <w:p w14:paraId="03D2542A" w14:textId="3EEDE03E" w:rsidR="000C75BB" w:rsidRPr="003234A9" w:rsidRDefault="000C75BB" w:rsidP="000C75BB">
      <w:pPr>
        <w:tabs>
          <w:tab w:val="left" w:pos="1080"/>
        </w:tabs>
        <w:spacing w:line="240" w:lineRule="auto"/>
        <w:ind w:firstLine="284"/>
        <w:jc w:val="center"/>
        <w:rPr>
          <w:rFonts w:ascii="Garamond" w:hAnsi="Garamond"/>
          <w:bCs/>
        </w:rPr>
      </w:pPr>
      <w:r w:rsidRPr="003234A9">
        <w:rPr>
          <w:rFonts w:ascii="Garamond" w:hAnsi="Garamond"/>
          <w:bCs/>
        </w:rPr>
        <w:t>VENDOSI:</w:t>
      </w:r>
    </w:p>
    <w:p w14:paraId="36F38642" w14:textId="1FF213A7" w:rsidR="000C75BB" w:rsidRPr="003234A9" w:rsidRDefault="000C75BB" w:rsidP="000C75BB">
      <w:pPr>
        <w:pStyle w:val="ListParagraph"/>
        <w:spacing w:line="240" w:lineRule="auto"/>
        <w:ind w:left="0" w:firstLine="284"/>
        <w:jc w:val="both"/>
        <w:rPr>
          <w:rFonts w:ascii="Garamond" w:hAnsi="Garamond"/>
        </w:rPr>
      </w:pPr>
      <w:r w:rsidRPr="003234A9">
        <w:rPr>
          <w:rFonts w:ascii="Garamond" w:hAnsi="Garamond"/>
        </w:rPr>
        <w:t>1. Rrëzimin e kërkesës.</w:t>
      </w:r>
    </w:p>
    <w:p w14:paraId="377251E4" w14:textId="77777777" w:rsidR="000C75BB" w:rsidRPr="003234A9" w:rsidRDefault="000C75BB" w:rsidP="000C75BB">
      <w:pPr>
        <w:tabs>
          <w:tab w:val="left" w:pos="1800"/>
        </w:tabs>
        <w:spacing w:line="240" w:lineRule="auto"/>
        <w:ind w:firstLine="284"/>
        <w:jc w:val="both"/>
        <w:rPr>
          <w:rFonts w:ascii="Garamond" w:hAnsi="Garamond"/>
        </w:rPr>
      </w:pPr>
      <w:r w:rsidRPr="003234A9">
        <w:rPr>
          <w:rFonts w:ascii="Garamond" w:hAnsi="Garamond"/>
        </w:rPr>
        <w:t>Ky vendim është përfundimtar dhe hyn në fuqi ditën e botimit në Fletoren Zyrtare.</w:t>
      </w:r>
    </w:p>
    <w:p w14:paraId="37BC6F58" w14:textId="6CB3112C" w:rsidR="000C75BB" w:rsidRPr="003234A9" w:rsidRDefault="003234A9" w:rsidP="000C75BB">
      <w:pPr>
        <w:spacing w:line="240" w:lineRule="auto"/>
        <w:ind w:firstLine="284"/>
        <w:jc w:val="both"/>
        <w:rPr>
          <w:rFonts w:ascii="Garamond" w:hAnsi="Garamond"/>
          <w:b/>
          <w:bCs/>
        </w:rPr>
      </w:pPr>
      <w:r>
        <w:rPr>
          <w:rFonts w:ascii="Garamond" w:hAnsi="Garamond"/>
          <w:b/>
          <w:bCs/>
        </w:rPr>
        <w:t xml:space="preserve">Marrë më </w:t>
      </w:r>
      <w:r w:rsidR="000C75BB" w:rsidRPr="003234A9">
        <w:rPr>
          <w:rFonts w:ascii="Garamond" w:hAnsi="Garamond"/>
          <w:b/>
          <w:bCs/>
        </w:rPr>
        <w:t>6.11.2025</w:t>
      </w:r>
      <w:r>
        <w:rPr>
          <w:rFonts w:ascii="Garamond" w:hAnsi="Garamond"/>
          <w:b/>
          <w:bCs/>
        </w:rPr>
        <w:t>.</w:t>
      </w:r>
    </w:p>
    <w:p w14:paraId="530862CD" w14:textId="40608A2F" w:rsidR="000C75BB" w:rsidRPr="003234A9" w:rsidRDefault="003234A9" w:rsidP="000C75BB">
      <w:pPr>
        <w:spacing w:line="240" w:lineRule="auto"/>
        <w:ind w:firstLine="284"/>
        <w:jc w:val="both"/>
        <w:rPr>
          <w:rFonts w:ascii="Garamond" w:hAnsi="Garamond"/>
          <w:b/>
          <w:bCs/>
        </w:rPr>
      </w:pPr>
      <w:r>
        <w:rPr>
          <w:rFonts w:ascii="Garamond" w:hAnsi="Garamond"/>
          <w:b/>
          <w:bCs/>
        </w:rPr>
        <w:t xml:space="preserve">Shpallur më </w:t>
      </w:r>
      <w:r w:rsidR="000C75BB" w:rsidRPr="003234A9">
        <w:rPr>
          <w:rFonts w:ascii="Garamond" w:hAnsi="Garamond"/>
          <w:b/>
          <w:bCs/>
        </w:rPr>
        <w:t>4.12.2025</w:t>
      </w:r>
      <w:r>
        <w:rPr>
          <w:rFonts w:ascii="Garamond" w:hAnsi="Garamond"/>
          <w:b/>
          <w:bCs/>
        </w:rPr>
        <w:t>.</w:t>
      </w:r>
    </w:p>
    <w:p w14:paraId="03C33887" w14:textId="281E5C31" w:rsidR="000C75BB" w:rsidRPr="003234A9" w:rsidRDefault="000C75BB" w:rsidP="000C75BB">
      <w:pPr>
        <w:tabs>
          <w:tab w:val="left" w:pos="720"/>
          <w:tab w:val="left" w:pos="1080"/>
        </w:tabs>
        <w:spacing w:line="240" w:lineRule="auto"/>
        <w:ind w:firstLine="284"/>
        <w:jc w:val="both"/>
        <w:rPr>
          <w:rFonts w:ascii="Garamond" w:hAnsi="Garamond"/>
        </w:rPr>
      </w:pPr>
    </w:p>
    <w:p w14:paraId="2FC39C5E" w14:textId="333738E4" w:rsidR="00E50176" w:rsidRPr="003234A9" w:rsidRDefault="007A5ACC" w:rsidP="000C75BB">
      <w:pPr>
        <w:tabs>
          <w:tab w:val="left" w:pos="720"/>
          <w:tab w:val="left" w:pos="1080"/>
        </w:tabs>
        <w:spacing w:line="240" w:lineRule="auto"/>
        <w:ind w:firstLine="284"/>
        <w:jc w:val="both"/>
        <w:rPr>
          <w:rFonts w:ascii="Garamond" w:hAnsi="Garamond"/>
        </w:rPr>
      </w:pPr>
      <w:r w:rsidRPr="003234A9">
        <w:rPr>
          <w:rFonts w:ascii="Garamond" w:hAnsi="Garamond"/>
          <w:b/>
        </w:rPr>
        <w:t>Kryetare</w:t>
      </w:r>
      <w:r w:rsidRPr="003234A9">
        <w:rPr>
          <w:rFonts w:ascii="Garamond" w:hAnsi="Garamond"/>
        </w:rPr>
        <w:t>:</w:t>
      </w:r>
      <w:r w:rsidRPr="003234A9">
        <w:rPr>
          <w:rFonts w:ascii="Garamond" w:hAnsi="Garamond"/>
          <w:bCs/>
        </w:rPr>
        <w:t xml:space="preserve"> </w:t>
      </w:r>
      <w:proofErr w:type="spellStart"/>
      <w:r w:rsidRPr="003234A9">
        <w:rPr>
          <w:rFonts w:ascii="Garamond" w:hAnsi="Garamond"/>
          <w:bCs/>
        </w:rPr>
        <w:t>Holta</w:t>
      </w:r>
      <w:proofErr w:type="spellEnd"/>
      <w:r w:rsidRPr="003234A9">
        <w:rPr>
          <w:rFonts w:ascii="Garamond" w:hAnsi="Garamond"/>
          <w:bCs/>
        </w:rPr>
        <w:t xml:space="preserve"> </w:t>
      </w:r>
      <w:proofErr w:type="spellStart"/>
      <w:r w:rsidRPr="003234A9">
        <w:rPr>
          <w:rFonts w:ascii="Garamond" w:hAnsi="Garamond"/>
          <w:bCs/>
        </w:rPr>
        <w:t>Zaçaj</w:t>
      </w:r>
      <w:proofErr w:type="spellEnd"/>
    </w:p>
    <w:p w14:paraId="42359AA6" w14:textId="29C3CA34" w:rsidR="00E50176" w:rsidRPr="003234A9" w:rsidRDefault="007A5ACC" w:rsidP="000C75BB">
      <w:pPr>
        <w:tabs>
          <w:tab w:val="left" w:pos="720"/>
          <w:tab w:val="left" w:pos="1080"/>
        </w:tabs>
        <w:spacing w:line="240" w:lineRule="auto"/>
        <w:ind w:firstLine="284"/>
        <w:jc w:val="both"/>
        <w:rPr>
          <w:rFonts w:ascii="Garamond" w:hAnsi="Garamond"/>
        </w:rPr>
      </w:pPr>
      <w:r w:rsidRPr="003234A9">
        <w:rPr>
          <w:rFonts w:ascii="Garamond" w:hAnsi="Garamond"/>
          <w:b/>
        </w:rPr>
        <w:t>Anëtarë</w:t>
      </w:r>
      <w:r w:rsidRPr="003234A9">
        <w:rPr>
          <w:rFonts w:ascii="Garamond" w:hAnsi="Garamond"/>
        </w:rPr>
        <w:t>:</w:t>
      </w:r>
      <w:r w:rsidRPr="003234A9">
        <w:rPr>
          <w:rFonts w:ascii="Garamond" w:hAnsi="Garamond"/>
          <w:bCs/>
        </w:rPr>
        <w:t xml:space="preserve"> </w:t>
      </w:r>
      <w:proofErr w:type="spellStart"/>
      <w:r w:rsidRPr="003234A9">
        <w:rPr>
          <w:rFonts w:ascii="Garamond" w:hAnsi="Garamond"/>
          <w:bCs/>
        </w:rPr>
        <w:t>Sonila</w:t>
      </w:r>
      <w:proofErr w:type="spellEnd"/>
      <w:r w:rsidRPr="003234A9">
        <w:rPr>
          <w:rFonts w:ascii="Garamond" w:hAnsi="Garamond"/>
          <w:bCs/>
        </w:rPr>
        <w:t xml:space="preserve"> Bejtja, </w:t>
      </w:r>
      <w:proofErr w:type="spellStart"/>
      <w:r w:rsidRPr="003234A9">
        <w:rPr>
          <w:rFonts w:ascii="Garamond" w:hAnsi="Garamond"/>
          <w:bCs/>
        </w:rPr>
        <w:t>Fiona</w:t>
      </w:r>
      <w:proofErr w:type="spellEnd"/>
      <w:r w:rsidRPr="003234A9">
        <w:rPr>
          <w:rFonts w:ascii="Garamond" w:hAnsi="Garamond"/>
          <w:bCs/>
        </w:rPr>
        <w:t xml:space="preserve"> </w:t>
      </w:r>
      <w:proofErr w:type="spellStart"/>
      <w:r w:rsidRPr="003234A9">
        <w:rPr>
          <w:rFonts w:ascii="Garamond" w:hAnsi="Garamond"/>
          <w:bCs/>
        </w:rPr>
        <w:t>Papajorgji</w:t>
      </w:r>
      <w:proofErr w:type="spellEnd"/>
      <w:r w:rsidRPr="003234A9">
        <w:rPr>
          <w:rFonts w:ascii="Garamond" w:hAnsi="Garamond"/>
          <w:bCs/>
        </w:rPr>
        <w:t xml:space="preserve">, Genti Ibrahimi, Ilir Toska, </w:t>
      </w:r>
      <w:proofErr w:type="spellStart"/>
      <w:r w:rsidRPr="003234A9">
        <w:rPr>
          <w:rFonts w:ascii="Garamond" w:hAnsi="Garamond"/>
          <w:bCs/>
        </w:rPr>
        <w:t>Marsida</w:t>
      </w:r>
      <w:proofErr w:type="spellEnd"/>
      <w:r w:rsidRPr="003234A9">
        <w:rPr>
          <w:rFonts w:ascii="Garamond" w:hAnsi="Garamond"/>
          <w:bCs/>
        </w:rPr>
        <w:t xml:space="preserve"> </w:t>
      </w:r>
      <w:proofErr w:type="spellStart"/>
      <w:r w:rsidRPr="003234A9">
        <w:rPr>
          <w:rFonts w:ascii="Garamond" w:hAnsi="Garamond"/>
          <w:bCs/>
        </w:rPr>
        <w:t>Xhaferllari</w:t>
      </w:r>
      <w:proofErr w:type="spellEnd"/>
      <w:r w:rsidRPr="003234A9">
        <w:rPr>
          <w:rFonts w:ascii="Garamond" w:hAnsi="Garamond"/>
          <w:bCs/>
        </w:rPr>
        <w:t xml:space="preserve">, </w:t>
      </w:r>
      <w:proofErr w:type="spellStart"/>
      <w:r w:rsidRPr="003234A9">
        <w:rPr>
          <w:rFonts w:ascii="Garamond" w:hAnsi="Garamond"/>
          <w:bCs/>
        </w:rPr>
        <w:t>Sandër</w:t>
      </w:r>
      <w:proofErr w:type="spellEnd"/>
      <w:r w:rsidRPr="003234A9">
        <w:rPr>
          <w:rFonts w:ascii="Garamond" w:hAnsi="Garamond"/>
          <w:bCs/>
        </w:rPr>
        <w:t xml:space="preserve"> Beci, </w:t>
      </w:r>
      <w:proofErr w:type="spellStart"/>
      <w:r w:rsidRPr="003234A9">
        <w:rPr>
          <w:rFonts w:ascii="Garamond" w:hAnsi="Garamond"/>
          <w:bCs/>
        </w:rPr>
        <w:t>Marjana</w:t>
      </w:r>
      <w:proofErr w:type="spellEnd"/>
      <w:r w:rsidRPr="003234A9">
        <w:rPr>
          <w:rFonts w:ascii="Garamond" w:hAnsi="Garamond"/>
          <w:bCs/>
        </w:rPr>
        <w:t xml:space="preserve"> </w:t>
      </w:r>
      <w:proofErr w:type="spellStart"/>
      <w:r w:rsidRPr="003234A9">
        <w:rPr>
          <w:rFonts w:ascii="Garamond" w:hAnsi="Garamond"/>
          <w:bCs/>
        </w:rPr>
        <w:t>Semini</w:t>
      </w:r>
      <w:proofErr w:type="spellEnd"/>
    </w:p>
    <w:p w14:paraId="66F4230D" w14:textId="77777777" w:rsidR="007A5ACC" w:rsidRPr="003234A9" w:rsidRDefault="007A5ACC" w:rsidP="000C75BB">
      <w:pPr>
        <w:tabs>
          <w:tab w:val="left" w:pos="0"/>
        </w:tabs>
        <w:spacing w:line="240" w:lineRule="auto"/>
        <w:ind w:firstLine="284"/>
        <w:rPr>
          <w:rFonts w:ascii="Garamond" w:hAnsi="Garamond"/>
          <w:bCs/>
        </w:rPr>
      </w:pPr>
    </w:p>
    <w:p w14:paraId="32EDE25D" w14:textId="77777777" w:rsidR="000C75BB" w:rsidRPr="003234A9" w:rsidRDefault="000C75BB" w:rsidP="007A5ACC">
      <w:pPr>
        <w:spacing w:line="240" w:lineRule="auto"/>
        <w:rPr>
          <w:rFonts w:ascii="Garamond" w:hAnsi="Garamond"/>
        </w:rPr>
      </w:pPr>
    </w:p>
    <w:sectPr w:rsidR="000C75BB" w:rsidRPr="003234A9" w:rsidSect="00D85E25">
      <w:footerReference w:type="first" r:id="rId13"/>
      <w:pgSz w:w="11906" w:h="16838"/>
      <w:pgMar w:top="63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5E125" w14:textId="77777777" w:rsidR="003234A9" w:rsidRDefault="003234A9">
      <w:pPr>
        <w:spacing w:line="240" w:lineRule="auto"/>
      </w:pPr>
      <w:r>
        <w:separator/>
      </w:r>
    </w:p>
  </w:endnote>
  <w:endnote w:type="continuationSeparator" w:id="0">
    <w:p w14:paraId="24CA2ED9" w14:textId="77777777" w:rsidR="003234A9" w:rsidRDefault="003234A9">
      <w:pPr>
        <w:spacing w:line="240" w:lineRule="auto"/>
      </w:pPr>
      <w:r>
        <w:continuationSeparator/>
      </w:r>
    </w:p>
  </w:endnote>
  <w:endnote w:type="continuationNotice" w:id="1">
    <w:p w14:paraId="2A9E11F5" w14:textId="77777777" w:rsidR="003234A9" w:rsidRDefault="003234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81EBB" w14:textId="77777777" w:rsidR="003234A9" w:rsidRDefault="003234A9">
    <w:pPr>
      <w:pStyle w:val="Footer"/>
    </w:pPr>
  </w:p>
  <w:p w14:paraId="0A381EBC" w14:textId="77777777" w:rsidR="003234A9" w:rsidRDefault="003234A9" w:rsidP="0043185D">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40F66" w14:textId="77777777" w:rsidR="003234A9" w:rsidRDefault="003234A9">
      <w:pPr>
        <w:spacing w:line="240" w:lineRule="auto"/>
      </w:pPr>
      <w:r>
        <w:separator/>
      </w:r>
    </w:p>
  </w:footnote>
  <w:footnote w:type="continuationSeparator" w:id="0">
    <w:p w14:paraId="7E6E98C1" w14:textId="77777777" w:rsidR="003234A9" w:rsidRDefault="003234A9">
      <w:pPr>
        <w:spacing w:line="240" w:lineRule="auto"/>
      </w:pPr>
      <w:r>
        <w:continuationSeparator/>
      </w:r>
    </w:p>
  </w:footnote>
  <w:footnote w:type="continuationNotice" w:id="1">
    <w:p w14:paraId="04F8EE25" w14:textId="77777777" w:rsidR="003234A9" w:rsidRDefault="003234A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0483CAC"/>
    <w:multiLevelType w:val="hybridMultilevel"/>
    <w:tmpl w:val="CBFE86C6"/>
    <w:lvl w:ilvl="0" w:tplc="FEEA068E">
      <w:start w:val="1"/>
      <w:numFmt w:val="decimal"/>
      <w:lvlText w:val="%1."/>
      <w:lvlJc w:val="left"/>
      <w:pPr>
        <w:ind w:left="720" w:hanging="360"/>
      </w:pPr>
      <w:rPr>
        <w:rFonts w:hint="default"/>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076292A"/>
    <w:multiLevelType w:val="multilevel"/>
    <w:tmpl w:val="DAD00FDC"/>
    <w:lvl w:ilvl="0">
      <w:start w:val="11"/>
      <w:numFmt w:val="decimal"/>
      <w:lvlText w:val="%1."/>
      <w:lvlJc w:val="left"/>
      <w:pPr>
        <w:ind w:left="11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4" w15:restartNumberingAfterBreak="0">
    <w:nsid w:val="11F465EA"/>
    <w:multiLevelType w:val="multilevel"/>
    <w:tmpl w:val="296A21E6"/>
    <w:lvl w:ilvl="0">
      <w:start w:val="9"/>
      <w:numFmt w:val="decimal"/>
      <w:lvlText w:val="%1."/>
      <w:lvlJc w:val="left"/>
      <w:pPr>
        <w:ind w:left="2250" w:hanging="360"/>
      </w:pPr>
      <w:rPr>
        <w:rFonts w:eastAsia="Calibri" w:hint="default"/>
        <w:i w:val="0"/>
        <w:color w:val="auto"/>
      </w:rPr>
    </w:lvl>
    <w:lvl w:ilvl="1">
      <w:start w:val="1"/>
      <w:numFmt w:val="decimal"/>
      <w:lvlText w:val="%1.%2."/>
      <w:lvlJc w:val="left"/>
      <w:pPr>
        <w:ind w:left="1080" w:hanging="360"/>
      </w:pPr>
      <w:rPr>
        <w:rFonts w:eastAsia="Calibri" w:hint="default"/>
        <w:i w:val="0"/>
      </w:rPr>
    </w:lvl>
    <w:lvl w:ilvl="2">
      <w:start w:val="1"/>
      <w:numFmt w:val="decimal"/>
      <w:lvlText w:val="%1.%2.%3."/>
      <w:lvlJc w:val="left"/>
      <w:pPr>
        <w:ind w:left="2160" w:hanging="720"/>
      </w:pPr>
      <w:rPr>
        <w:rFonts w:eastAsia="Calibri" w:hint="default"/>
        <w:i w:val="0"/>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5"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6" w15:restartNumberingAfterBreak="0">
    <w:nsid w:val="15150C01"/>
    <w:multiLevelType w:val="multilevel"/>
    <w:tmpl w:val="6062EFF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8" w15:restartNumberingAfterBreak="0">
    <w:nsid w:val="226D5C60"/>
    <w:multiLevelType w:val="hybridMultilevel"/>
    <w:tmpl w:val="4A44961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1" w15:restartNumberingAfterBreak="0">
    <w:nsid w:val="440D6B39"/>
    <w:multiLevelType w:val="multilevel"/>
    <w:tmpl w:val="7F44DC14"/>
    <w:lvl w:ilvl="0">
      <w:start w:val="1"/>
      <w:numFmt w:val="decimal"/>
      <w:lvlText w:val="%1."/>
      <w:lvlJc w:val="left"/>
      <w:pPr>
        <w:ind w:left="900" w:hanging="360"/>
      </w:pPr>
      <w:rPr>
        <w:b w:val="0"/>
        <w:i w:val="0"/>
      </w:rPr>
    </w:lvl>
    <w:lvl w:ilvl="1">
      <w:start w:val="1"/>
      <w:numFmt w:val="decimal"/>
      <w:isLgl/>
      <w:lvlText w:val="%1.%2."/>
      <w:lvlJc w:val="left"/>
      <w:pPr>
        <w:ind w:left="1020" w:hanging="480"/>
      </w:pPr>
      <w:rPr>
        <w:rFonts w:eastAsia="MS Mincho" w:hint="default"/>
        <w:b w:val="0"/>
        <w:i w:val="0"/>
      </w:rPr>
    </w:lvl>
    <w:lvl w:ilvl="2">
      <w:start w:val="1"/>
      <w:numFmt w:val="decimal"/>
      <w:isLgl/>
      <w:lvlText w:val="%1.%2.%3."/>
      <w:lvlJc w:val="left"/>
      <w:pPr>
        <w:ind w:left="1260" w:hanging="720"/>
      </w:pPr>
      <w:rPr>
        <w:rFonts w:eastAsia="MS Mincho" w:hint="default"/>
        <w:i w:val="0"/>
      </w:rPr>
    </w:lvl>
    <w:lvl w:ilvl="3">
      <w:start w:val="1"/>
      <w:numFmt w:val="decimal"/>
      <w:isLgl/>
      <w:lvlText w:val="%1.%2.%3.%4."/>
      <w:lvlJc w:val="left"/>
      <w:pPr>
        <w:ind w:left="1260" w:hanging="720"/>
      </w:pPr>
      <w:rPr>
        <w:rFonts w:eastAsia="MS Mincho" w:hint="default"/>
        <w:i w:val="0"/>
      </w:rPr>
    </w:lvl>
    <w:lvl w:ilvl="4">
      <w:start w:val="1"/>
      <w:numFmt w:val="decimal"/>
      <w:isLgl/>
      <w:lvlText w:val="%1.%2.%3.%4.%5."/>
      <w:lvlJc w:val="left"/>
      <w:pPr>
        <w:ind w:left="1620" w:hanging="1080"/>
      </w:pPr>
      <w:rPr>
        <w:rFonts w:eastAsia="MS Mincho" w:hint="default"/>
        <w:i/>
      </w:rPr>
    </w:lvl>
    <w:lvl w:ilvl="5">
      <w:start w:val="1"/>
      <w:numFmt w:val="decimal"/>
      <w:isLgl/>
      <w:lvlText w:val="%1.%2.%3.%4.%5.%6."/>
      <w:lvlJc w:val="left"/>
      <w:pPr>
        <w:ind w:left="1620" w:hanging="1080"/>
      </w:pPr>
      <w:rPr>
        <w:rFonts w:eastAsia="MS Mincho" w:hint="default"/>
        <w:i/>
      </w:rPr>
    </w:lvl>
    <w:lvl w:ilvl="6">
      <w:start w:val="1"/>
      <w:numFmt w:val="decimal"/>
      <w:isLgl/>
      <w:lvlText w:val="%1.%2.%3.%4.%5.%6.%7."/>
      <w:lvlJc w:val="left"/>
      <w:pPr>
        <w:ind w:left="1980" w:hanging="1440"/>
      </w:pPr>
      <w:rPr>
        <w:rFonts w:eastAsia="MS Mincho" w:hint="default"/>
        <w:i/>
      </w:rPr>
    </w:lvl>
    <w:lvl w:ilvl="7">
      <w:start w:val="1"/>
      <w:numFmt w:val="decimal"/>
      <w:isLgl/>
      <w:lvlText w:val="%1.%2.%3.%4.%5.%6.%7.%8."/>
      <w:lvlJc w:val="left"/>
      <w:pPr>
        <w:ind w:left="1980" w:hanging="1440"/>
      </w:pPr>
      <w:rPr>
        <w:rFonts w:eastAsia="MS Mincho" w:hint="default"/>
        <w:i/>
      </w:rPr>
    </w:lvl>
    <w:lvl w:ilvl="8">
      <w:start w:val="1"/>
      <w:numFmt w:val="decimal"/>
      <w:isLgl/>
      <w:lvlText w:val="%1.%2.%3.%4.%5.%6.%7.%8.%9."/>
      <w:lvlJc w:val="left"/>
      <w:pPr>
        <w:ind w:left="2340" w:hanging="1800"/>
      </w:pPr>
      <w:rPr>
        <w:rFonts w:eastAsia="MS Mincho" w:hint="default"/>
        <w:i/>
      </w:rPr>
    </w:lvl>
  </w:abstractNum>
  <w:abstractNum w:abstractNumId="12"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13" w15:restartNumberingAfterBreak="0">
    <w:nsid w:val="459B156A"/>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4"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6"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9" w15:restartNumberingAfterBreak="0">
    <w:nsid w:val="6F3E70FA"/>
    <w:multiLevelType w:val="hybridMultilevel"/>
    <w:tmpl w:val="E3501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9D0F22"/>
    <w:multiLevelType w:val="hybridMultilevel"/>
    <w:tmpl w:val="1D54727C"/>
    <w:lvl w:ilvl="0" w:tplc="CBB8D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2" w15:restartNumberingAfterBreak="0">
    <w:nsid w:val="77B24AA0"/>
    <w:multiLevelType w:val="multilevel"/>
    <w:tmpl w:val="DD442B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1440" w:hanging="360"/>
      </w:pPr>
      <w:rPr>
        <w:rFonts w:eastAsia="Times New Roman"/>
        <w:b w:val="0"/>
        <w:i w:val="0"/>
      </w:rPr>
    </w:lvl>
    <w:lvl w:ilvl="2">
      <w:start w:val="1"/>
      <w:numFmt w:val="decimal"/>
      <w:isLgl/>
      <w:lvlText w:val="%1.%2.%3."/>
      <w:lvlJc w:val="left"/>
      <w:pPr>
        <w:ind w:left="144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23" w15:restartNumberingAfterBreak="0">
    <w:nsid w:val="77C642DC"/>
    <w:multiLevelType w:val="multilevel"/>
    <w:tmpl w:val="8E105FA8"/>
    <w:lvl w:ilvl="0">
      <w:start w:val="10"/>
      <w:numFmt w:val="decimal"/>
      <w:lvlText w:val="%1."/>
      <w:lvlJc w:val="left"/>
      <w:pPr>
        <w:ind w:left="462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abstractNum w:abstractNumId="24" w15:restartNumberingAfterBreak="0">
    <w:nsid w:val="790E4F9C"/>
    <w:multiLevelType w:val="multilevel"/>
    <w:tmpl w:val="C8702F4C"/>
    <w:lvl w:ilvl="0">
      <w:start w:val="1"/>
      <w:numFmt w:val="decimal"/>
      <w:lvlText w:val="%1."/>
      <w:lvlJc w:val="left"/>
      <w:pPr>
        <w:ind w:left="3870" w:hanging="360"/>
      </w:pPr>
      <w:rPr>
        <w:rFonts w:hint="default"/>
        <w:b w:val="0"/>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 w:numId="3">
    <w:abstractNumId w:val="14"/>
  </w:num>
  <w:num w:numId="4">
    <w:abstractNumId w:val="19"/>
  </w:num>
  <w:num w:numId="5">
    <w:abstractNumId w:val="20"/>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3"/>
  </w:num>
  <w:num w:numId="10">
    <w:abstractNumId w:val="16"/>
  </w:num>
  <w:num w:numId="11">
    <w:abstractNumId w:val="18"/>
  </w:num>
  <w:num w:numId="12">
    <w:abstractNumId w:val="12"/>
  </w:num>
  <w:num w:numId="13">
    <w:abstractNumId w:val="4"/>
  </w:num>
  <w:num w:numId="14">
    <w:abstractNumId w:val="17"/>
  </w:num>
  <w:num w:numId="15">
    <w:abstractNumId w:val="22"/>
  </w:num>
  <w:num w:numId="16">
    <w:abstractNumId w:val="24"/>
  </w:num>
  <w:num w:numId="17">
    <w:abstractNumId w:val="23"/>
  </w:num>
  <w:num w:numId="18">
    <w:abstractNumId w:val="8"/>
  </w:num>
  <w:num w:numId="19">
    <w:abstractNumId w:val="3"/>
  </w:num>
  <w:num w:numId="20">
    <w:abstractNumId w:val="9"/>
  </w:num>
  <w:num w:numId="21">
    <w:abstractNumId w:val="10"/>
  </w:num>
  <w:num w:numId="22">
    <w:abstractNumId w:val="21"/>
  </w:num>
  <w:num w:numId="23">
    <w:abstractNumId w:val="15"/>
  </w:num>
  <w:num w:numId="24">
    <w:abstractNumId w:val="5"/>
  </w:num>
  <w:num w:numId="2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C12"/>
    <w:rsid w:val="00000532"/>
    <w:rsid w:val="000151EE"/>
    <w:rsid w:val="00016403"/>
    <w:rsid w:val="00023BF2"/>
    <w:rsid w:val="00023C70"/>
    <w:rsid w:val="000261EC"/>
    <w:rsid w:val="00026695"/>
    <w:rsid w:val="000319C8"/>
    <w:rsid w:val="00043FEA"/>
    <w:rsid w:val="00046A1E"/>
    <w:rsid w:val="000511FC"/>
    <w:rsid w:val="00055159"/>
    <w:rsid w:val="00056AD9"/>
    <w:rsid w:val="00057193"/>
    <w:rsid w:val="0006031C"/>
    <w:rsid w:val="00061DA2"/>
    <w:rsid w:val="0007282B"/>
    <w:rsid w:val="00075748"/>
    <w:rsid w:val="0008336C"/>
    <w:rsid w:val="00084504"/>
    <w:rsid w:val="000876D3"/>
    <w:rsid w:val="00087CF0"/>
    <w:rsid w:val="00090E19"/>
    <w:rsid w:val="000952A2"/>
    <w:rsid w:val="000A00D7"/>
    <w:rsid w:val="000A048A"/>
    <w:rsid w:val="000A06BE"/>
    <w:rsid w:val="000A2B82"/>
    <w:rsid w:val="000A39F7"/>
    <w:rsid w:val="000A3DED"/>
    <w:rsid w:val="000A5701"/>
    <w:rsid w:val="000B06C2"/>
    <w:rsid w:val="000B22C5"/>
    <w:rsid w:val="000C179D"/>
    <w:rsid w:val="000C75BB"/>
    <w:rsid w:val="000D3966"/>
    <w:rsid w:val="000D7D28"/>
    <w:rsid w:val="00101D92"/>
    <w:rsid w:val="00122626"/>
    <w:rsid w:val="00126AAC"/>
    <w:rsid w:val="00131791"/>
    <w:rsid w:val="00133C17"/>
    <w:rsid w:val="00134E57"/>
    <w:rsid w:val="00140570"/>
    <w:rsid w:val="00144F03"/>
    <w:rsid w:val="00145D5A"/>
    <w:rsid w:val="001556FE"/>
    <w:rsid w:val="001563EE"/>
    <w:rsid w:val="0016296A"/>
    <w:rsid w:val="00162BB8"/>
    <w:rsid w:val="00163FFC"/>
    <w:rsid w:val="00165F3A"/>
    <w:rsid w:val="001668B4"/>
    <w:rsid w:val="0017073F"/>
    <w:rsid w:val="00176689"/>
    <w:rsid w:val="00176AB4"/>
    <w:rsid w:val="00191A0B"/>
    <w:rsid w:val="00192E12"/>
    <w:rsid w:val="001B6007"/>
    <w:rsid w:val="001C02A6"/>
    <w:rsid w:val="001C0BEE"/>
    <w:rsid w:val="001C7DFE"/>
    <w:rsid w:val="001C7FB3"/>
    <w:rsid w:val="001D2BB6"/>
    <w:rsid w:val="001D6F82"/>
    <w:rsid w:val="001E099B"/>
    <w:rsid w:val="001E1DB4"/>
    <w:rsid w:val="001F2072"/>
    <w:rsid w:val="001F2F0B"/>
    <w:rsid w:val="0021131A"/>
    <w:rsid w:val="00212503"/>
    <w:rsid w:val="00212AC8"/>
    <w:rsid w:val="00221E00"/>
    <w:rsid w:val="002230D3"/>
    <w:rsid w:val="00225152"/>
    <w:rsid w:val="0022646C"/>
    <w:rsid w:val="00232D5F"/>
    <w:rsid w:val="00233013"/>
    <w:rsid w:val="002334B6"/>
    <w:rsid w:val="00237F06"/>
    <w:rsid w:val="002419A4"/>
    <w:rsid w:val="00244BEF"/>
    <w:rsid w:val="0024558E"/>
    <w:rsid w:val="002576B4"/>
    <w:rsid w:val="0026138D"/>
    <w:rsid w:val="002614F0"/>
    <w:rsid w:val="00261AF7"/>
    <w:rsid w:val="002701F6"/>
    <w:rsid w:val="00274083"/>
    <w:rsid w:val="00277CA6"/>
    <w:rsid w:val="00280A4E"/>
    <w:rsid w:val="002853BA"/>
    <w:rsid w:val="00290301"/>
    <w:rsid w:val="00292FA5"/>
    <w:rsid w:val="002A591E"/>
    <w:rsid w:val="002A75DB"/>
    <w:rsid w:val="002B0448"/>
    <w:rsid w:val="002B3480"/>
    <w:rsid w:val="002C08B5"/>
    <w:rsid w:val="002C09D3"/>
    <w:rsid w:val="002C0F1C"/>
    <w:rsid w:val="002C2C5A"/>
    <w:rsid w:val="00303E3E"/>
    <w:rsid w:val="00304945"/>
    <w:rsid w:val="0030783C"/>
    <w:rsid w:val="00311244"/>
    <w:rsid w:val="00311B86"/>
    <w:rsid w:val="003132C2"/>
    <w:rsid w:val="003162AC"/>
    <w:rsid w:val="00317360"/>
    <w:rsid w:val="00320AE1"/>
    <w:rsid w:val="003234A9"/>
    <w:rsid w:val="00330070"/>
    <w:rsid w:val="0034218B"/>
    <w:rsid w:val="00352962"/>
    <w:rsid w:val="0035497C"/>
    <w:rsid w:val="00355ED9"/>
    <w:rsid w:val="003619F0"/>
    <w:rsid w:val="003625E6"/>
    <w:rsid w:val="00367A42"/>
    <w:rsid w:val="00374675"/>
    <w:rsid w:val="003818A7"/>
    <w:rsid w:val="00386D2D"/>
    <w:rsid w:val="00390272"/>
    <w:rsid w:val="0039367B"/>
    <w:rsid w:val="003A1B95"/>
    <w:rsid w:val="003A428F"/>
    <w:rsid w:val="003A62A8"/>
    <w:rsid w:val="003A63D0"/>
    <w:rsid w:val="003C0C51"/>
    <w:rsid w:val="003C5903"/>
    <w:rsid w:val="003C5D9C"/>
    <w:rsid w:val="003C7FED"/>
    <w:rsid w:val="003D3E00"/>
    <w:rsid w:val="003E09AA"/>
    <w:rsid w:val="003E65CC"/>
    <w:rsid w:val="003F5EAF"/>
    <w:rsid w:val="0040605C"/>
    <w:rsid w:val="0041236E"/>
    <w:rsid w:val="00424966"/>
    <w:rsid w:val="0042597E"/>
    <w:rsid w:val="0043185D"/>
    <w:rsid w:val="00437560"/>
    <w:rsid w:val="0044256E"/>
    <w:rsid w:val="0044453C"/>
    <w:rsid w:val="00444579"/>
    <w:rsid w:val="00446EDE"/>
    <w:rsid w:val="00450D97"/>
    <w:rsid w:val="00452E49"/>
    <w:rsid w:val="0045330A"/>
    <w:rsid w:val="004576C3"/>
    <w:rsid w:val="004603FD"/>
    <w:rsid w:val="004612F2"/>
    <w:rsid w:val="00462B0E"/>
    <w:rsid w:val="004773A0"/>
    <w:rsid w:val="00480A72"/>
    <w:rsid w:val="00495032"/>
    <w:rsid w:val="004A5901"/>
    <w:rsid w:val="004B209F"/>
    <w:rsid w:val="004B669D"/>
    <w:rsid w:val="004B7343"/>
    <w:rsid w:val="004D037B"/>
    <w:rsid w:val="004D277C"/>
    <w:rsid w:val="004D7CB0"/>
    <w:rsid w:val="004E2292"/>
    <w:rsid w:val="004F1555"/>
    <w:rsid w:val="004F3694"/>
    <w:rsid w:val="004F6E2C"/>
    <w:rsid w:val="00500836"/>
    <w:rsid w:val="005026CD"/>
    <w:rsid w:val="0050393F"/>
    <w:rsid w:val="00503BEB"/>
    <w:rsid w:val="00507603"/>
    <w:rsid w:val="005155A2"/>
    <w:rsid w:val="00517D4A"/>
    <w:rsid w:val="00525760"/>
    <w:rsid w:val="00531A8F"/>
    <w:rsid w:val="00532C12"/>
    <w:rsid w:val="00541F8F"/>
    <w:rsid w:val="0054417B"/>
    <w:rsid w:val="00546229"/>
    <w:rsid w:val="00546E49"/>
    <w:rsid w:val="005518F9"/>
    <w:rsid w:val="00552111"/>
    <w:rsid w:val="00556812"/>
    <w:rsid w:val="00556C94"/>
    <w:rsid w:val="005A0461"/>
    <w:rsid w:val="005A7140"/>
    <w:rsid w:val="005B4D1A"/>
    <w:rsid w:val="005C768B"/>
    <w:rsid w:val="005D4039"/>
    <w:rsid w:val="005E10A6"/>
    <w:rsid w:val="005E7EE9"/>
    <w:rsid w:val="005F2C27"/>
    <w:rsid w:val="005F636F"/>
    <w:rsid w:val="005F6FF9"/>
    <w:rsid w:val="006144ED"/>
    <w:rsid w:val="00622CD4"/>
    <w:rsid w:val="00627202"/>
    <w:rsid w:val="00630559"/>
    <w:rsid w:val="00630690"/>
    <w:rsid w:val="00630B23"/>
    <w:rsid w:val="0063763F"/>
    <w:rsid w:val="00641F32"/>
    <w:rsid w:val="0066702E"/>
    <w:rsid w:val="00672F5F"/>
    <w:rsid w:val="0067792F"/>
    <w:rsid w:val="00684C85"/>
    <w:rsid w:val="00690E1E"/>
    <w:rsid w:val="006918C9"/>
    <w:rsid w:val="006922E7"/>
    <w:rsid w:val="00697538"/>
    <w:rsid w:val="006B231B"/>
    <w:rsid w:val="006B4D76"/>
    <w:rsid w:val="006D5338"/>
    <w:rsid w:val="006D6FA4"/>
    <w:rsid w:val="006D7DFB"/>
    <w:rsid w:val="006E49FE"/>
    <w:rsid w:val="006F3390"/>
    <w:rsid w:val="006F53EB"/>
    <w:rsid w:val="0070359E"/>
    <w:rsid w:val="007121E7"/>
    <w:rsid w:val="0071322D"/>
    <w:rsid w:val="007203C1"/>
    <w:rsid w:val="007236D3"/>
    <w:rsid w:val="007275D3"/>
    <w:rsid w:val="0073049E"/>
    <w:rsid w:val="007347B3"/>
    <w:rsid w:val="00734F21"/>
    <w:rsid w:val="00735418"/>
    <w:rsid w:val="00742009"/>
    <w:rsid w:val="00745F5D"/>
    <w:rsid w:val="00750B3D"/>
    <w:rsid w:val="0075294F"/>
    <w:rsid w:val="00755D03"/>
    <w:rsid w:val="00756466"/>
    <w:rsid w:val="00761C38"/>
    <w:rsid w:val="00767AE9"/>
    <w:rsid w:val="007705C9"/>
    <w:rsid w:val="0078474C"/>
    <w:rsid w:val="0078596D"/>
    <w:rsid w:val="0078621E"/>
    <w:rsid w:val="00793CCF"/>
    <w:rsid w:val="007A5ACC"/>
    <w:rsid w:val="007A6F0B"/>
    <w:rsid w:val="007B08A8"/>
    <w:rsid w:val="007B137F"/>
    <w:rsid w:val="007B5358"/>
    <w:rsid w:val="007C01D5"/>
    <w:rsid w:val="007D0FE2"/>
    <w:rsid w:val="007E303B"/>
    <w:rsid w:val="007E3CBD"/>
    <w:rsid w:val="007E40BC"/>
    <w:rsid w:val="007E5446"/>
    <w:rsid w:val="007E68BB"/>
    <w:rsid w:val="007E79FE"/>
    <w:rsid w:val="007F231E"/>
    <w:rsid w:val="007F5B53"/>
    <w:rsid w:val="00802498"/>
    <w:rsid w:val="00817347"/>
    <w:rsid w:val="008304C0"/>
    <w:rsid w:val="008431CE"/>
    <w:rsid w:val="00854DE4"/>
    <w:rsid w:val="008616F8"/>
    <w:rsid w:val="00863EA2"/>
    <w:rsid w:val="00873F4F"/>
    <w:rsid w:val="00876445"/>
    <w:rsid w:val="0088382C"/>
    <w:rsid w:val="00894949"/>
    <w:rsid w:val="008955FB"/>
    <w:rsid w:val="008A0DF1"/>
    <w:rsid w:val="008A4051"/>
    <w:rsid w:val="008A774F"/>
    <w:rsid w:val="008B262D"/>
    <w:rsid w:val="008B4C11"/>
    <w:rsid w:val="008C466C"/>
    <w:rsid w:val="008C5026"/>
    <w:rsid w:val="008D35EF"/>
    <w:rsid w:val="008D407D"/>
    <w:rsid w:val="008E0B68"/>
    <w:rsid w:val="008E1BA1"/>
    <w:rsid w:val="008E5899"/>
    <w:rsid w:val="008E761C"/>
    <w:rsid w:val="008F08F7"/>
    <w:rsid w:val="008F0D86"/>
    <w:rsid w:val="008F2E77"/>
    <w:rsid w:val="008F6484"/>
    <w:rsid w:val="00901B17"/>
    <w:rsid w:val="00907106"/>
    <w:rsid w:val="00912049"/>
    <w:rsid w:val="00914972"/>
    <w:rsid w:val="00914D73"/>
    <w:rsid w:val="00915308"/>
    <w:rsid w:val="00937605"/>
    <w:rsid w:val="009440FC"/>
    <w:rsid w:val="00944388"/>
    <w:rsid w:val="00947368"/>
    <w:rsid w:val="009620AA"/>
    <w:rsid w:val="0096448A"/>
    <w:rsid w:val="00964C7C"/>
    <w:rsid w:val="0098331D"/>
    <w:rsid w:val="0098349D"/>
    <w:rsid w:val="00986229"/>
    <w:rsid w:val="009A09A4"/>
    <w:rsid w:val="009A4578"/>
    <w:rsid w:val="009A52E9"/>
    <w:rsid w:val="009B723A"/>
    <w:rsid w:val="009C243C"/>
    <w:rsid w:val="009D70ED"/>
    <w:rsid w:val="009E556D"/>
    <w:rsid w:val="009F189E"/>
    <w:rsid w:val="009F3654"/>
    <w:rsid w:val="009F7D4D"/>
    <w:rsid w:val="00A010F0"/>
    <w:rsid w:val="00A02887"/>
    <w:rsid w:val="00A11A1F"/>
    <w:rsid w:val="00A11F05"/>
    <w:rsid w:val="00A14AF3"/>
    <w:rsid w:val="00A14FDB"/>
    <w:rsid w:val="00A15B4C"/>
    <w:rsid w:val="00A2264A"/>
    <w:rsid w:val="00A25025"/>
    <w:rsid w:val="00A30384"/>
    <w:rsid w:val="00A464B2"/>
    <w:rsid w:val="00A50C1E"/>
    <w:rsid w:val="00A51002"/>
    <w:rsid w:val="00A53B79"/>
    <w:rsid w:val="00A5531E"/>
    <w:rsid w:val="00A610B4"/>
    <w:rsid w:val="00A63E49"/>
    <w:rsid w:val="00A64747"/>
    <w:rsid w:val="00A72680"/>
    <w:rsid w:val="00A75F66"/>
    <w:rsid w:val="00A77722"/>
    <w:rsid w:val="00A81A7B"/>
    <w:rsid w:val="00A8702C"/>
    <w:rsid w:val="00A925B3"/>
    <w:rsid w:val="00AA046F"/>
    <w:rsid w:val="00AA115A"/>
    <w:rsid w:val="00AA2F63"/>
    <w:rsid w:val="00AA459D"/>
    <w:rsid w:val="00AA4799"/>
    <w:rsid w:val="00AB3EBC"/>
    <w:rsid w:val="00AB63B9"/>
    <w:rsid w:val="00AB68C1"/>
    <w:rsid w:val="00AC09AE"/>
    <w:rsid w:val="00AC4B4B"/>
    <w:rsid w:val="00AD6BBE"/>
    <w:rsid w:val="00AE0A70"/>
    <w:rsid w:val="00AE1BB5"/>
    <w:rsid w:val="00AE5C46"/>
    <w:rsid w:val="00AE604C"/>
    <w:rsid w:val="00AF232E"/>
    <w:rsid w:val="00AF2A90"/>
    <w:rsid w:val="00AF5937"/>
    <w:rsid w:val="00B011EE"/>
    <w:rsid w:val="00B06405"/>
    <w:rsid w:val="00B116B8"/>
    <w:rsid w:val="00B127C6"/>
    <w:rsid w:val="00B13738"/>
    <w:rsid w:val="00B144AA"/>
    <w:rsid w:val="00B15589"/>
    <w:rsid w:val="00B16E74"/>
    <w:rsid w:val="00B3483A"/>
    <w:rsid w:val="00B35CA9"/>
    <w:rsid w:val="00B46442"/>
    <w:rsid w:val="00B47D8C"/>
    <w:rsid w:val="00B511D7"/>
    <w:rsid w:val="00B53151"/>
    <w:rsid w:val="00B56FE8"/>
    <w:rsid w:val="00B574D2"/>
    <w:rsid w:val="00B63484"/>
    <w:rsid w:val="00B6641F"/>
    <w:rsid w:val="00B671AE"/>
    <w:rsid w:val="00B673E7"/>
    <w:rsid w:val="00B71C2F"/>
    <w:rsid w:val="00B73ABE"/>
    <w:rsid w:val="00B74909"/>
    <w:rsid w:val="00B810DA"/>
    <w:rsid w:val="00B834AB"/>
    <w:rsid w:val="00B84EF6"/>
    <w:rsid w:val="00B85C4E"/>
    <w:rsid w:val="00B87223"/>
    <w:rsid w:val="00B96D5A"/>
    <w:rsid w:val="00BA0141"/>
    <w:rsid w:val="00BA1DF4"/>
    <w:rsid w:val="00BA320C"/>
    <w:rsid w:val="00BA46A8"/>
    <w:rsid w:val="00BB4E1B"/>
    <w:rsid w:val="00BC06F0"/>
    <w:rsid w:val="00BD1E78"/>
    <w:rsid w:val="00BD2229"/>
    <w:rsid w:val="00BD42E1"/>
    <w:rsid w:val="00BD5529"/>
    <w:rsid w:val="00BD7D81"/>
    <w:rsid w:val="00BE692B"/>
    <w:rsid w:val="00BF2EE2"/>
    <w:rsid w:val="00BF42BB"/>
    <w:rsid w:val="00BF7A08"/>
    <w:rsid w:val="00C02FCC"/>
    <w:rsid w:val="00C0775C"/>
    <w:rsid w:val="00C10568"/>
    <w:rsid w:val="00C10B6C"/>
    <w:rsid w:val="00C127AE"/>
    <w:rsid w:val="00C1283D"/>
    <w:rsid w:val="00C20683"/>
    <w:rsid w:val="00C21A6B"/>
    <w:rsid w:val="00C242C0"/>
    <w:rsid w:val="00C41AFF"/>
    <w:rsid w:val="00C4681A"/>
    <w:rsid w:val="00C52200"/>
    <w:rsid w:val="00C542EE"/>
    <w:rsid w:val="00C562EC"/>
    <w:rsid w:val="00C602AB"/>
    <w:rsid w:val="00C61274"/>
    <w:rsid w:val="00C6157A"/>
    <w:rsid w:val="00C70757"/>
    <w:rsid w:val="00C711B5"/>
    <w:rsid w:val="00C7222F"/>
    <w:rsid w:val="00C85FC4"/>
    <w:rsid w:val="00C97CD8"/>
    <w:rsid w:val="00CB0961"/>
    <w:rsid w:val="00CC55A9"/>
    <w:rsid w:val="00CC6755"/>
    <w:rsid w:val="00CD56ED"/>
    <w:rsid w:val="00CD5F4B"/>
    <w:rsid w:val="00CE73E8"/>
    <w:rsid w:val="00CF6A4E"/>
    <w:rsid w:val="00D02533"/>
    <w:rsid w:val="00D02B50"/>
    <w:rsid w:val="00D1184C"/>
    <w:rsid w:val="00D13940"/>
    <w:rsid w:val="00D16F52"/>
    <w:rsid w:val="00D2638E"/>
    <w:rsid w:val="00D3502A"/>
    <w:rsid w:val="00D43F88"/>
    <w:rsid w:val="00D44265"/>
    <w:rsid w:val="00D57DFE"/>
    <w:rsid w:val="00D67E1F"/>
    <w:rsid w:val="00D72D9A"/>
    <w:rsid w:val="00D737E0"/>
    <w:rsid w:val="00D80B5C"/>
    <w:rsid w:val="00D818E8"/>
    <w:rsid w:val="00D846DB"/>
    <w:rsid w:val="00D85E25"/>
    <w:rsid w:val="00D867C1"/>
    <w:rsid w:val="00D90952"/>
    <w:rsid w:val="00D95910"/>
    <w:rsid w:val="00DB711E"/>
    <w:rsid w:val="00DC04A3"/>
    <w:rsid w:val="00DC06C8"/>
    <w:rsid w:val="00DC0816"/>
    <w:rsid w:val="00DC1FAC"/>
    <w:rsid w:val="00DC2B45"/>
    <w:rsid w:val="00DD3BD5"/>
    <w:rsid w:val="00DE0DFC"/>
    <w:rsid w:val="00DE1C58"/>
    <w:rsid w:val="00DE4E4C"/>
    <w:rsid w:val="00DF6FD1"/>
    <w:rsid w:val="00DF7E94"/>
    <w:rsid w:val="00E02598"/>
    <w:rsid w:val="00E037A7"/>
    <w:rsid w:val="00E03E9F"/>
    <w:rsid w:val="00E12103"/>
    <w:rsid w:val="00E133C4"/>
    <w:rsid w:val="00E17815"/>
    <w:rsid w:val="00E24339"/>
    <w:rsid w:val="00E3050B"/>
    <w:rsid w:val="00E41DC1"/>
    <w:rsid w:val="00E50176"/>
    <w:rsid w:val="00E5704B"/>
    <w:rsid w:val="00E57D61"/>
    <w:rsid w:val="00E65D17"/>
    <w:rsid w:val="00E661E3"/>
    <w:rsid w:val="00E6796B"/>
    <w:rsid w:val="00E75DF5"/>
    <w:rsid w:val="00E81C49"/>
    <w:rsid w:val="00E83663"/>
    <w:rsid w:val="00E84663"/>
    <w:rsid w:val="00E90A27"/>
    <w:rsid w:val="00E93408"/>
    <w:rsid w:val="00E9395A"/>
    <w:rsid w:val="00EA0C4D"/>
    <w:rsid w:val="00EB3422"/>
    <w:rsid w:val="00EC72A8"/>
    <w:rsid w:val="00ED61E5"/>
    <w:rsid w:val="00ED71E8"/>
    <w:rsid w:val="00EE66E9"/>
    <w:rsid w:val="00EF599D"/>
    <w:rsid w:val="00EF64A2"/>
    <w:rsid w:val="00F02623"/>
    <w:rsid w:val="00F039C7"/>
    <w:rsid w:val="00F047DC"/>
    <w:rsid w:val="00F11417"/>
    <w:rsid w:val="00F161B5"/>
    <w:rsid w:val="00F24259"/>
    <w:rsid w:val="00F35B9E"/>
    <w:rsid w:val="00F35DC0"/>
    <w:rsid w:val="00F42D20"/>
    <w:rsid w:val="00F44973"/>
    <w:rsid w:val="00F477E5"/>
    <w:rsid w:val="00F55720"/>
    <w:rsid w:val="00F559F3"/>
    <w:rsid w:val="00F63EEC"/>
    <w:rsid w:val="00F64D06"/>
    <w:rsid w:val="00F70B0E"/>
    <w:rsid w:val="00F80737"/>
    <w:rsid w:val="00F80C4C"/>
    <w:rsid w:val="00F820CE"/>
    <w:rsid w:val="00F83DAF"/>
    <w:rsid w:val="00F94CE0"/>
    <w:rsid w:val="00FA4AB6"/>
    <w:rsid w:val="00FC295D"/>
    <w:rsid w:val="00FC3401"/>
    <w:rsid w:val="00FC4793"/>
    <w:rsid w:val="00FC4D22"/>
    <w:rsid w:val="00FC7FF7"/>
    <w:rsid w:val="00FD4B6A"/>
    <w:rsid w:val="00FD6B5F"/>
    <w:rsid w:val="00FD7036"/>
    <w:rsid w:val="00FE08F9"/>
    <w:rsid w:val="00FE0B77"/>
    <w:rsid w:val="00FE4651"/>
    <w:rsid w:val="00FF3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381E3F"/>
  <w15:chartTrackingRefBased/>
  <w15:docId w15:val="{84B6090B-6790-43C9-A576-CA59CFCE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C12"/>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532C12"/>
    <w:pPr>
      <w:keepNext/>
      <w:numPr>
        <w:numId w:val="1"/>
      </w:numPr>
      <w:jc w:val="center"/>
      <w:outlineLvl w:val="0"/>
    </w:pPr>
    <w:rPr>
      <w:b/>
    </w:rPr>
  </w:style>
  <w:style w:type="paragraph" w:styleId="Heading2">
    <w:name w:val="heading 2"/>
    <w:basedOn w:val="Normal"/>
    <w:next w:val="Normal"/>
    <w:link w:val="Heading2Char"/>
    <w:uiPriority w:val="9"/>
    <w:unhideWhenUsed/>
    <w:qFormat/>
    <w:rsid w:val="00532C12"/>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532C12"/>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32C1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2C1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32C1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32C1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32C1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2C1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C12"/>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rsid w:val="00532C12"/>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532C12"/>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532C12"/>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532C12"/>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532C12"/>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532C12"/>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532C12"/>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532C12"/>
    <w:rPr>
      <w:rFonts w:asciiTheme="majorHAnsi" w:eastAsiaTheme="majorEastAsia" w:hAnsiTheme="majorHAnsi" w:cstheme="majorBidi"/>
      <w:i/>
      <w:iCs/>
      <w:color w:val="272727" w:themeColor="text1" w:themeTint="D8"/>
      <w:sz w:val="21"/>
      <w:szCs w:val="21"/>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532C12"/>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532C12"/>
    <w:rPr>
      <w:rFonts w:ascii="Times New Roman" w:hAnsi="Times New Roman" w:cs="Times New Roman"/>
      <w:sz w:val="20"/>
      <w:szCs w:val="24"/>
      <w:lang w:val="sq-AL"/>
    </w:rPr>
  </w:style>
  <w:style w:type="paragraph" w:styleId="Header">
    <w:name w:val="header"/>
    <w:basedOn w:val="Normal"/>
    <w:link w:val="HeaderChar"/>
    <w:uiPriority w:val="99"/>
    <w:unhideWhenUsed/>
    <w:rsid w:val="00532C12"/>
    <w:pPr>
      <w:tabs>
        <w:tab w:val="center" w:pos="4680"/>
        <w:tab w:val="right" w:pos="9360"/>
      </w:tabs>
    </w:pPr>
  </w:style>
  <w:style w:type="character" w:customStyle="1" w:styleId="HeaderChar">
    <w:name w:val="Header Char"/>
    <w:basedOn w:val="DefaultParagraphFont"/>
    <w:link w:val="Header"/>
    <w:uiPriority w:val="99"/>
    <w:rsid w:val="00532C12"/>
    <w:rPr>
      <w:rFonts w:ascii="Times New Roman" w:hAnsi="Times New Roman" w:cs="Times New Roman"/>
      <w:sz w:val="24"/>
      <w:szCs w:val="24"/>
      <w:lang w:val="sq-AL"/>
    </w:rPr>
  </w:style>
  <w:style w:type="paragraph" w:styleId="Footer">
    <w:name w:val="footer"/>
    <w:basedOn w:val="Normal"/>
    <w:link w:val="FooterChar"/>
    <w:uiPriority w:val="99"/>
    <w:unhideWhenUsed/>
    <w:rsid w:val="00532C12"/>
    <w:pPr>
      <w:tabs>
        <w:tab w:val="center" w:pos="4680"/>
        <w:tab w:val="right" w:pos="9360"/>
      </w:tabs>
    </w:pPr>
  </w:style>
  <w:style w:type="character" w:customStyle="1" w:styleId="FooterChar">
    <w:name w:val="Footer Char"/>
    <w:basedOn w:val="DefaultParagraphFont"/>
    <w:link w:val="Footer"/>
    <w:uiPriority w:val="99"/>
    <w:rsid w:val="00532C12"/>
    <w:rPr>
      <w:rFonts w:ascii="Times New Roman" w:hAnsi="Times New Roman" w:cs="Times New Roman"/>
      <w:sz w:val="24"/>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532C12"/>
    <w:rPr>
      <w:rFonts w:ascii="Times New Roman" w:hAnsi="Times New Roman"/>
      <w:sz w:val="20"/>
      <w:vertAlign w:val="superscript"/>
    </w:rPr>
  </w:style>
  <w:style w:type="paragraph" w:styleId="BodyTextIndent">
    <w:name w:val="Body Text Indent"/>
    <w:basedOn w:val="Normal"/>
    <w:link w:val="BodyTextIndentChar"/>
    <w:uiPriority w:val="99"/>
    <w:unhideWhenUsed/>
    <w:rsid w:val="00532C12"/>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532C12"/>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532C1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532C12"/>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532C12"/>
    <w:pPr>
      <w:ind w:left="2880" w:hanging="2160"/>
      <w:jc w:val="both"/>
    </w:pPr>
    <w:rPr>
      <w:b/>
    </w:rPr>
  </w:style>
  <w:style w:type="character" w:customStyle="1" w:styleId="BodyTextIndent2Char">
    <w:name w:val="Body Text Indent 2 Char"/>
    <w:basedOn w:val="DefaultParagraphFont"/>
    <w:link w:val="BodyTextIndent2"/>
    <w:uiPriority w:val="99"/>
    <w:rsid w:val="00532C12"/>
    <w:rPr>
      <w:rFonts w:ascii="Times New Roman" w:hAnsi="Times New Roman" w:cs="Times New Roman"/>
      <w:b/>
      <w:sz w:val="24"/>
      <w:szCs w:val="24"/>
      <w:lang w:val="sq-AL"/>
    </w:rPr>
  </w:style>
  <w:style w:type="paragraph" w:styleId="BalloonText">
    <w:name w:val="Balloon Text"/>
    <w:basedOn w:val="Normal"/>
    <w:link w:val="BalloonTextChar"/>
    <w:uiPriority w:val="99"/>
    <w:semiHidden/>
    <w:unhideWhenUsed/>
    <w:rsid w:val="00532C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C12"/>
    <w:rPr>
      <w:rFonts w:ascii="Segoe UI" w:hAnsi="Segoe UI" w:cs="Segoe UI"/>
      <w:sz w:val="18"/>
      <w:szCs w:val="18"/>
      <w:lang w:val="sq-AL"/>
    </w:rPr>
  </w:style>
  <w:style w:type="paragraph" w:styleId="CommentText">
    <w:name w:val="annotation text"/>
    <w:basedOn w:val="Normal"/>
    <w:link w:val="CommentTextChar"/>
    <w:uiPriority w:val="99"/>
    <w:semiHidden/>
    <w:unhideWhenUsed/>
    <w:rsid w:val="00532C12"/>
    <w:pPr>
      <w:spacing w:line="240" w:lineRule="auto"/>
    </w:pPr>
    <w:rPr>
      <w:sz w:val="20"/>
      <w:szCs w:val="20"/>
    </w:rPr>
  </w:style>
  <w:style w:type="character" w:customStyle="1" w:styleId="CommentTextChar">
    <w:name w:val="Comment Text Char"/>
    <w:basedOn w:val="DefaultParagraphFont"/>
    <w:link w:val="CommentText"/>
    <w:uiPriority w:val="99"/>
    <w:semiHidden/>
    <w:rsid w:val="00532C12"/>
    <w:rPr>
      <w:rFonts w:ascii="Times New Roman" w:hAnsi="Times New Roman" w:cs="Times New Roman"/>
      <w:sz w:val="20"/>
      <w:szCs w:val="20"/>
      <w:lang w:val="sq-AL"/>
    </w:rPr>
  </w:style>
  <w:style w:type="paragraph" w:styleId="BodyTextIndent3">
    <w:name w:val="Body Text Indent 3"/>
    <w:basedOn w:val="Normal"/>
    <w:link w:val="BodyTextIndent3Char"/>
    <w:uiPriority w:val="99"/>
    <w:unhideWhenUsed/>
    <w:rsid w:val="00532C12"/>
    <w:pPr>
      <w:ind w:left="2880"/>
      <w:jc w:val="both"/>
    </w:pPr>
    <w:rPr>
      <w:b/>
    </w:rPr>
  </w:style>
  <w:style w:type="character" w:customStyle="1" w:styleId="BodyTextIndent3Char">
    <w:name w:val="Body Text Indent 3 Char"/>
    <w:basedOn w:val="DefaultParagraphFont"/>
    <w:link w:val="BodyTextIndent3"/>
    <w:uiPriority w:val="99"/>
    <w:rsid w:val="00532C12"/>
    <w:rPr>
      <w:rFonts w:ascii="Times New Roman" w:hAnsi="Times New Roman" w:cs="Times New Roman"/>
      <w:b/>
      <w:sz w:val="24"/>
      <w:szCs w:val="24"/>
      <w:lang w:val="sq-AL"/>
    </w:rPr>
  </w:style>
  <w:style w:type="paragraph" w:styleId="BodyText">
    <w:name w:val="Body Text"/>
    <w:basedOn w:val="Normal"/>
    <w:link w:val="BodyTextChar"/>
    <w:unhideWhenUsed/>
    <w:rsid w:val="00532C12"/>
    <w:pPr>
      <w:spacing w:after="120" w:line="240" w:lineRule="auto"/>
    </w:pPr>
    <w:rPr>
      <w:rFonts w:eastAsia="Times New Roman"/>
      <w:lang w:eastAsia="x-none"/>
    </w:rPr>
  </w:style>
  <w:style w:type="character" w:customStyle="1" w:styleId="BodyTextChar">
    <w:name w:val="Body Text Char"/>
    <w:basedOn w:val="DefaultParagraphFont"/>
    <w:link w:val="BodyText"/>
    <w:rsid w:val="00532C12"/>
    <w:rPr>
      <w:rFonts w:ascii="Times New Roman" w:eastAsia="Times New Roman" w:hAnsi="Times New Roman" w:cs="Times New Roman"/>
      <w:sz w:val="24"/>
      <w:szCs w:val="24"/>
      <w:lang w:val="sq-AL" w:eastAsia="x-none"/>
    </w:rPr>
  </w:style>
  <w:style w:type="paragraph" w:styleId="EndnoteText">
    <w:name w:val="endnote text"/>
    <w:basedOn w:val="Normal"/>
    <w:link w:val="EndnoteTextChar"/>
    <w:uiPriority w:val="99"/>
    <w:semiHidden/>
    <w:unhideWhenUsed/>
    <w:rsid w:val="00532C12"/>
    <w:pPr>
      <w:spacing w:line="240" w:lineRule="auto"/>
    </w:pPr>
    <w:rPr>
      <w:sz w:val="20"/>
      <w:szCs w:val="20"/>
    </w:rPr>
  </w:style>
  <w:style w:type="character" w:customStyle="1" w:styleId="EndnoteTextChar">
    <w:name w:val="Endnote Text Char"/>
    <w:basedOn w:val="DefaultParagraphFont"/>
    <w:link w:val="EndnoteText"/>
    <w:uiPriority w:val="99"/>
    <w:semiHidden/>
    <w:rsid w:val="00532C12"/>
    <w:rPr>
      <w:rFonts w:ascii="Times New Roman" w:hAnsi="Times New Roman" w:cs="Times New Roman"/>
      <w:sz w:val="20"/>
      <w:szCs w:val="20"/>
      <w:lang w:val="sq-AL"/>
    </w:rPr>
  </w:style>
  <w:style w:type="character" w:styleId="EndnoteReference">
    <w:name w:val="endnote reference"/>
    <w:basedOn w:val="DefaultParagraphFont"/>
    <w:uiPriority w:val="99"/>
    <w:semiHidden/>
    <w:unhideWhenUsed/>
    <w:rsid w:val="00532C12"/>
    <w:rPr>
      <w:vertAlign w:val="superscript"/>
    </w:rPr>
  </w:style>
  <w:style w:type="character" w:styleId="CommentReference">
    <w:name w:val="annotation reference"/>
    <w:basedOn w:val="DefaultParagraphFont"/>
    <w:uiPriority w:val="99"/>
    <w:semiHidden/>
    <w:unhideWhenUsed/>
    <w:rsid w:val="00532C12"/>
    <w:rPr>
      <w:sz w:val="16"/>
      <w:szCs w:val="16"/>
    </w:rPr>
  </w:style>
  <w:style w:type="paragraph" w:styleId="CommentSubject">
    <w:name w:val="annotation subject"/>
    <w:basedOn w:val="CommentText"/>
    <w:next w:val="CommentText"/>
    <w:link w:val="CommentSubjectChar"/>
    <w:uiPriority w:val="99"/>
    <w:unhideWhenUsed/>
    <w:rsid w:val="00532C12"/>
    <w:rPr>
      <w:b/>
      <w:bCs/>
    </w:rPr>
  </w:style>
  <w:style w:type="character" w:customStyle="1" w:styleId="CommentSubjectChar">
    <w:name w:val="Comment Subject Char"/>
    <w:basedOn w:val="CommentTextChar"/>
    <w:link w:val="CommentSubject"/>
    <w:uiPriority w:val="99"/>
    <w:rsid w:val="00532C12"/>
    <w:rPr>
      <w:rFonts w:ascii="Times New Roman" w:hAnsi="Times New Roman" w:cs="Times New Roman"/>
      <w:b/>
      <w:bCs/>
      <w:sz w:val="20"/>
      <w:szCs w:val="20"/>
      <w:lang w:val="sq-AL"/>
    </w:rPr>
  </w:style>
  <w:style w:type="character" w:customStyle="1" w:styleId="s68f5eaef">
    <w:name w:val="s68f5eaef"/>
    <w:basedOn w:val="DefaultParagraphFont"/>
    <w:rsid w:val="00532C12"/>
  </w:style>
  <w:style w:type="character" w:customStyle="1" w:styleId="hwtze">
    <w:name w:val="hwtze"/>
    <w:basedOn w:val="DefaultParagraphFont"/>
    <w:rsid w:val="00532C12"/>
  </w:style>
  <w:style w:type="character" w:customStyle="1" w:styleId="rynqvb">
    <w:name w:val="rynqvb"/>
    <w:basedOn w:val="DefaultParagraphFont"/>
    <w:rsid w:val="00532C12"/>
  </w:style>
  <w:style w:type="character" w:customStyle="1" w:styleId="contentpasted0">
    <w:name w:val="contentpasted0"/>
    <w:rsid w:val="00532C12"/>
  </w:style>
  <w:style w:type="character" w:customStyle="1" w:styleId="y2iqfc">
    <w:name w:val="y2iqfc"/>
    <w:basedOn w:val="DefaultParagraphFont"/>
    <w:rsid w:val="00532C12"/>
  </w:style>
  <w:style w:type="character" w:customStyle="1" w:styleId="hps">
    <w:name w:val="hps"/>
    <w:basedOn w:val="DefaultParagraphFont"/>
    <w:rsid w:val="00532C12"/>
  </w:style>
  <w:style w:type="character" w:customStyle="1" w:styleId="sbb9ee52a">
    <w:name w:val="sbb9ee52a"/>
    <w:basedOn w:val="DefaultParagraphFont"/>
    <w:rsid w:val="00532C12"/>
  </w:style>
  <w:style w:type="paragraph" w:styleId="NoSpacing">
    <w:name w:val="No Spacing"/>
    <w:aliases w:val="B"/>
    <w:link w:val="NoSpacingChar"/>
    <w:uiPriority w:val="1"/>
    <w:qFormat/>
    <w:rsid w:val="00532C12"/>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532C12"/>
    <w:rPr>
      <w:rFonts w:ascii="Calibri" w:eastAsia="Calibri" w:hAnsi="Calibri" w:cs="Times New Roman"/>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532C12"/>
    <w:pPr>
      <w:spacing w:after="160" w:line="240" w:lineRule="exact"/>
    </w:pPr>
    <w:rPr>
      <w:rFonts w:cstheme="minorBidi"/>
      <w:sz w:val="20"/>
      <w:szCs w:val="22"/>
      <w:vertAlign w:val="superscript"/>
      <w:lang w:val="en-US"/>
    </w:rPr>
  </w:style>
  <w:style w:type="character" w:styleId="Hyperlink">
    <w:name w:val="Hyperlink"/>
    <w:basedOn w:val="DefaultParagraphFont"/>
    <w:uiPriority w:val="99"/>
    <w:unhideWhenUsed/>
    <w:rsid w:val="00AB3EBC"/>
    <w:rPr>
      <w:color w:val="0563C1" w:themeColor="hyperlink"/>
      <w:u w:val="single"/>
    </w:rPr>
  </w:style>
  <w:style w:type="character" w:styleId="Strong">
    <w:name w:val="Strong"/>
    <w:basedOn w:val="DefaultParagraphFont"/>
    <w:uiPriority w:val="22"/>
    <w:qFormat/>
    <w:rsid w:val="005E7EE9"/>
    <w:rPr>
      <w:b/>
      <w:bCs/>
    </w:rPr>
  </w:style>
  <w:style w:type="table" w:styleId="TableGrid">
    <w:name w:val="Table Grid"/>
    <w:basedOn w:val="TableNormal"/>
    <w:uiPriority w:val="39"/>
    <w:rsid w:val="000C7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84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2025-12-10T10:37:27Z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Me objekt shfuqizimin e vendimit nr. 00-2024-3106 (321), datë 16.07.2024 të Kolegjit Administrativ të Gjykatës së Lartë, si i papajtueshëm me Kushtetutën e Republikës së Shqipërisë</Titulli>
    <Modifikuesi xmlns="0e656187-b300-4fb0-8bf4-3a50f872073c">ermira.bukaci</Modifikuesi>
    <Nr_x002e__x0020_prot_x0020_QBZ xmlns="0e656187-b300-4fb0-8bf4-3a50f872073c">2041/1</Nr_x002e__x0020_prot_x0020_QBZ>
    <Data_x0020_e_x0020_Modifikimit xmlns="0e656187-b300-4fb0-8bf4-3a50f872073c">2025-12-10T11:53:34Z</Data_x0020_e_x0020_Modifikimit>
    <Dekretuar xmlns="0e656187-b300-4fb0-8bf4-3a50f872073c">false</Dekretuar>
    <Data xmlns="0e656187-b300-4fb0-8bf4-3a50f872073c">2025-11-06T00:00:00Z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E58EA3CBC1446CBD036624677958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E58EA3CBC1446CBD036624677958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0B83E-9C45-41EA-AC13-C754BF5B45CD}">
  <ds:schemaRefs>
    <ds:schemaRef ds:uri="http://purl.org/dc/elements/1.1/"/>
    <ds:schemaRef ds:uri="http://www.w3.org/XML/1998/namespace"/>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E927ED34-3BEF-4D56-ADE3-99561F5775CD}">
  <ds:schemaRefs>
    <ds:schemaRef ds:uri="http://schemas.microsoft.com/sharepoint/v3/contenttype/forms"/>
  </ds:schemaRefs>
</ds:datastoreItem>
</file>

<file path=customXml/itemProps3.xml><?xml version="1.0" encoding="utf-8"?>
<ds:datastoreItem xmlns:ds="http://schemas.openxmlformats.org/officeDocument/2006/customXml" ds:itemID="{B182F872-7555-4DF9-BC47-02B8D5B49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5BD7DC8-49C3-4663-B6C9-D00FD77C84EA}">
  <ds:schemaRefs>
    <ds:schemaRef ds:uri="http://schemas.microsoft.com/sharepoint/v3/contenttype/forms"/>
  </ds:schemaRefs>
</ds:datastoreItem>
</file>

<file path=customXml/itemProps5.xml><?xml version="1.0" encoding="utf-8"?>
<ds:datastoreItem xmlns:ds="http://schemas.openxmlformats.org/officeDocument/2006/customXml" ds:itemID="{CC6ADE82-B6F2-4830-9D91-5325B4550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7817715-50E5-4D6D-9C6E-7B93D630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4655</Words>
  <Characters>26534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Me objekt shfuqizimin e vendimit nr. 00-2024-3106 (321), datë 16.07.2024 të Kolegjit Administrativ të Gjykatës së Lartë, si i papajtueshëm me Kushtetutën e Republikës së Shqipërisë</vt:lpstr>
    </vt:vector>
  </TitlesOfParts>
  <Company/>
  <LinksUpToDate>false</LinksUpToDate>
  <CharactersWithSpaces>31127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00-2024-3106 (321), datë 16.07.2024 të Kolegjit Administrativ të Gjykatës së Lartë, si i papajtueshëm me Kushtetutën e Republikës së Shqipërisë</dc:title>
  <dc:creator>Elona Gjergjani</dc:creator>
  <cp:lastModifiedBy>Fjora Cahani</cp:lastModifiedBy>
  <cp:revision>12</cp:revision>
  <cp:lastPrinted>2025-12-03T13:08:00Z</cp:lastPrinted>
  <dcterms:created xsi:type="dcterms:W3CDTF">2025-12-10T09:41:00Z</dcterms:created>
  <dcterms:modified xsi:type="dcterms:W3CDTF">2025-12-10T12:28:00Z</dcterms:modified>
</cp:coreProperties>
</file>