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478E7F" w14:textId="77777777" w:rsidR="00A4769B" w:rsidRPr="00B055F6" w:rsidRDefault="00A4769B" w:rsidP="00A4769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B055F6">
        <w:rPr>
          <w:rFonts w:ascii="Garamond" w:hAnsi="Garamond" w:cs="Times New Roman"/>
          <w:b/>
          <w:sz w:val="24"/>
          <w:szCs w:val="24"/>
          <w:lang w:val="sq-AL"/>
        </w:rPr>
        <w:t>VENDIM</w:t>
      </w:r>
    </w:p>
    <w:p w14:paraId="79328682" w14:textId="608A30F5" w:rsidR="00A4769B" w:rsidRPr="00B055F6" w:rsidRDefault="00A4769B" w:rsidP="00A4769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B055F6">
        <w:rPr>
          <w:rFonts w:ascii="Garamond" w:hAnsi="Garamond" w:cs="Times New Roman"/>
          <w:b/>
          <w:sz w:val="24"/>
          <w:szCs w:val="24"/>
          <w:lang w:val="sq-AL"/>
        </w:rPr>
        <w:t>Nr.</w:t>
      </w:r>
      <w:r w:rsidR="00B055F6" w:rsidRPr="00B055F6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Pr="00B055F6">
        <w:rPr>
          <w:rFonts w:ascii="Garamond" w:hAnsi="Garamond" w:cs="Times New Roman"/>
          <w:b/>
          <w:sz w:val="24"/>
          <w:szCs w:val="24"/>
          <w:lang w:val="sq-AL"/>
        </w:rPr>
        <w:t>72, datë 17.11.2025</w:t>
      </w:r>
    </w:p>
    <w:p w14:paraId="473360ED" w14:textId="77777777" w:rsidR="00153EE3" w:rsidRPr="00B055F6" w:rsidRDefault="00153EE3" w:rsidP="00A4769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</w:p>
    <w:p w14:paraId="225F2A68" w14:textId="77777777" w:rsidR="00A4769B" w:rsidRPr="00B055F6" w:rsidRDefault="00A4769B" w:rsidP="00A4769B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B055F6">
        <w:rPr>
          <w:rFonts w:ascii="Garamond" w:hAnsi="Garamond" w:cs="Times New Roman"/>
          <w:b/>
          <w:sz w:val="24"/>
          <w:szCs w:val="24"/>
          <w:lang w:val="sq-AL"/>
        </w:rPr>
        <w:t>NË EMËR TË REPUBLIKËS SË SHQIPËRISË</w:t>
      </w:r>
    </w:p>
    <w:p w14:paraId="37EA90F4" w14:textId="77777777" w:rsidR="00A4769B" w:rsidRPr="00B055F6" w:rsidRDefault="00A4769B" w:rsidP="00A4769B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3CC7AAD2" w14:textId="77777777" w:rsidR="00A4769B" w:rsidRPr="00B055F6" w:rsidRDefault="00A4769B" w:rsidP="00A4769B">
      <w:pPr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  <w:lang w:val="sq-AL"/>
        </w:rPr>
      </w:pPr>
      <w:r w:rsidRPr="00B055F6">
        <w:rPr>
          <w:rFonts w:ascii="Garamond" w:hAnsi="Garamond" w:cs="Times New Roman"/>
          <w:sz w:val="24"/>
          <w:szCs w:val="24"/>
          <w:lang w:val="sq-AL"/>
        </w:rPr>
        <w:t>Gjykata Kushtetuese e Republikës së Shqipërisë, e përbërë nga:</w:t>
      </w:r>
    </w:p>
    <w:tbl>
      <w:tblPr>
        <w:tblStyle w:val="TableGrid"/>
        <w:tblW w:w="0" w:type="auto"/>
        <w:tblInd w:w="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2835"/>
      </w:tblGrid>
      <w:tr w:rsidR="00A4769B" w:rsidRPr="00B055F6" w14:paraId="1AD1AF21" w14:textId="77777777" w:rsidTr="00B055F6">
        <w:tc>
          <w:tcPr>
            <w:tcW w:w="2694" w:type="dxa"/>
          </w:tcPr>
          <w:p w14:paraId="52F10D62" w14:textId="77777777" w:rsidR="00A4769B" w:rsidRPr="00B055F6" w:rsidRDefault="00A4769B" w:rsidP="00B055F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7710"/>
              </w:tabs>
              <w:jc w:val="both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B055F6">
              <w:rPr>
                <w:rFonts w:ascii="Garamond" w:hAnsi="Garamond" w:cs="Times New Roman"/>
                <w:sz w:val="24"/>
                <w:szCs w:val="24"/>
                <w:lang w:val="sq-AL"/>
              </w:rPr>
              <w:t>Marsida Xhaferllari,</w:t>
            </w:r>
          </w:p>
          <w:p w14:paraId="049B534E" w14:textId="77777777" w:rsidR="00A4769B" w:rsidRPr="00B055F6" w:rsidRDefault="00A4769B" w:rsidP="00B055F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7710"/>
              </w:tabs>
              <w:jc w:val="both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B055F6">
              <w:rPr>
                <w:rFonts w:ascii="Garamond" w:hAnsi="Garamond" w:cs="Times New Roman"/>
                <w:sz w:val="24"/>
                <w:szCs w:val="24"/>
                <w:lang w:val="sq-AL"/>
              </w:rPr>
              <w:t>Fiona Papajorgji,</w:t>
            </w:r>
          </w:p>
          <w:p w14:paraId="55D77DA0" w14:textId="77777777" w:rsidR="00A4769B" w:rsidRPr="00B055F6" w:rsidRDefault="00A4769B" w:rsidP="00B055F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7710"/>
              </w:tabs>
              <w:jc w:val="both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B055F6">
              <w:rPr>
                <w:rFonts w:ascii="Garamond" w:hAnsi="Garamond" w:cs="Times New Roman"/>
                <w:sz w:val="24"/>
                <w:szCs w:val="24"/>
                <w:lang w:val="sq-AL"/>
              </w:rPr>
              <w:t>Sonila Bejtja,</w:t>
            </w:r>
          </w:p>
          <w:p w14:paraId="46FB35FF" w14:textId="77777777" w:rsidR="00A4769B" w:rsidRPr="00B055F6" w:rsidRDefault="00A4769B" w:rsidP="00B055F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7710"/>
              </w:tabs>
              <w:jc w:val="both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B055F6">
              <w:rPr>
                <w:rFonts w:ascii="Garamond" w:hAnsi="Garamond" w:cs="Times New Roman"/>
                <w:sz w:val="24"/>
                <w:szCs w:val="24"/>
                <w:lang w:val="sq-AL"/>
              </w:rPr>
              <w:t>Ilir Toska,</w:t>
            </w:r>
          </w:p>
          <w:p w14:paraId="2E534D6E" w14:textId="77777777" w:rsidR="00A4769B" w:rsidRPr="00B055F6" w:rsidRDefault="00A4769B" w:rsidP="00B055F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7710"/>
              </w:tabs>
              <w:jc w:val="both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B055F6">
              <w:rPr>
                <w:rFonts w:ascii="Garamond" w:hAnsi="Garamond" w:cs="Times New Roman"/>
                <w:sz w:val="24"/>
                <w:szCs w:val="24"/>
                <w:lang w:val="sq-AL"/>
              </w:rPr>
              <w:t>Genti Ibrahimi,</w:t>
            </w:r>
          </w:p>
          <w:p w14:paraId="4CCE4DFA" w14:textId="77777777" w:rsidR="00A4769B" w:rsidRPr="00B055F6" w:rsidRDefault="00A4769B" w:rsidP="00B055F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7710"/>
              </w:tabs>
              <w:jc w:val="both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B055F6">
              <w:rPr>
                <w:rFonts w:ascii="Garamond" w:hAnsi="Garamond" w:cs="Times New Roman"/>
                <w:sz w:val="24"/>
                <w:szCs w:val="24"/>
                <w:lang w:val="sq-AL"/>
              </w:rPr>
              <w:t>Marjana Semini,</w:t>
            </w:r>
          </w:p>
          <w:p w14:paraId="21924192" w14:textId="77777777" w:rsidR="00A4769B" w:rsidRPr="00B055F6" w:rsidRDefault="00A4769B" w:rsidP="00B055F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7710"/>
              </w:tabs>
              <w:jc w:val="both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B055F6">
              <w:rPr>
                <w:rFonts w:ascii="Garamond" w:hAnsi="Garamond" w:cs="Times New Roman"/>
                <w:sz w:val="24"/>
                <w:szCs w:val="24"/>
                <w:lang w:val="sq-AL"/>
              </w:rPr>
              <w:t>Sandër Beci,</w:t>
            </w:r>
          </w:p>
        </w:tc>
        <w:tc>
          <w:tcPr>
            <w:tcW w:w="2835" w:type="dxa"/>
          </w:tcPr>
          <w:p w14:paraId="02EA380A" w14:textId="4464C3FB" w:rsidR="00A4769B" w:rsidRPr="00B055F6" w:rsidRDefault="00B055F6" w:rsidP="00B055F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7710"/>
              </w:tabs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B055F6">
              <w:rPr>
                <w:rFonts w:ascii="Garamond" w:hAnsi="Garamond" w:cs="Times New Roman"/>
                <w:sz w:val="24"/>
                <w:szCs w:val="24"/>
                <w:lang w:val="sq-AL"/>
              </w:rPr>
              <w:t>kryesuese</w:t>
            </w:r>
            <w:r>
              <w:rPr>
                <w:rFonts w:ascii="Garamond" w:hAnsi="Garamond" w:cs="Times New Roman"/>
                <w:sz w:val="24"/>
                <w:szCs w:val="24"/>
                <w:lang w:val="sq-AL"/>
              </w:rPr>
              <w:t>;</w:t>
            </w:r>
          </w:p>
          <w:p w14:paraId="6E747B5F" w14:textId="7649B9D8" w:rsidR="00A4769B" w:rsidRPr="00B055F6" w:rsidRDefault="00B055F6" w:rsidP="00B055F6">
            <w:pPr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B055F6">
              <w:rPr>
                <w:rFonts w:ascii="Garamond" w:hAnsi="Garamond" w:cs="Times New Roman"/>
                <w:sz w:val="24"/>
                <w:szCs w:val="24"/>
                <w:lang w:val="sq-AL"/>
              </w:rPr>
              <w:t>anëtare</w:t>
            </w:r>
            <w:r>
              <w:rPr>
                <w:rFonts w:ascii="Garamond" w:hAnsi="Garamond" w:cs="Times New Roman"/>
                <w:sz w:val="24"/>
                <w:szCs w:val="24"/>
                <w:lang w:val="sq-AL"/>
              </w:rPr>
              <w:t>;</w:t>
            </w:r>
          </w:p>
          <w:p w14:paraId="05ADDE02" w14:textId="348BA388" w:rsidR="00A4769B" w:rsidRPr="00B055F6" w:rsidRDefault="00B055F6" w:rsidP="00B055F6">
            <w:pPr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B055F6">
              <w:rPr>
                <w:rFonts w:ascii="Garamond" w:hAnsi="Garamond" w:cs="Times New Roman"/>
                <w:sz w:val="24"/>
                <w:szCs w:val="24"/>
                <w:lang w:val="sq-AL"/>
              </w:rPr>
              <w:t>anëtare</w:t>
            </w:r>
            <w:r>
              <w:rPr>
                <w:rFonts w:ascii="Garamond" w:hAnsi="Garamond" w:cs="Times New Roman"/>
                <w:sz w:val="24"/>
                <w:szCs w:val="24"/>
                <w:lang w:val="sq-AL"/>
              </w:rPr>
              <w:t>;</w:t>
            </w:r>
          </w:p>
          <w:p w14:paraId="7A2AABE5" w14:textId="26621927" w:rsidR="00A4769B" w:rsidRPr="00B055F6" w:rsidRDefault="00B055F6" w:rsidP="00B055F6">
            <w:pPr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B055F6">
              <w:rPr>
                <w:rFonts w:ascii="Garamond" w:hAnsi="Garamond" w:cs="Times New Roman"/>
                <w:sz w:val="24"/>
                <w:szCs w:val="24"/>
                <w:lang w:val="sq-AL"/>
              </w:rPr>
              <w:t>anëtar</w:t>
            </w:r>
            <w:r>
              <w:rPr>
                <w:rFonts w:ascii="Garamond" w:hAnsi="Garamond" w:cs="Times New Roman"/>
                <w:sz w:val="24"/>
                <w:szCs w:val="24"/>
                <w:lang w:val="sq-AL"/>
              </w:rPr>
              <w:t>;</w:t>
            </w:r>
          </w:p>
          <w:p w14:paraId="521160BC" w14:textId="4A318FEE" w:rsidR="00A4769B" w:rsidRPr="00B055F6" w:rsidRDefault="00B055F6" w:rsidP="00B055F6">
            <w:pPr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B055F6">
              <w:rPr>
                <w:rFonts w:ascii="Garamond" w:hAnsi="Garamond" w:cs="Times New Roman"/>
                <w:sz w:val="24"/>
                <w:szCs w:val="24"/>
                <w:lang w:val="sq-AL"/>
              </w:rPr>
              <w:t>anëtar</w:t>
            </w:r>
            <w:r>
              <w:rPr>
                <w:rFonts w:ascii="Garamond" w:hAnsi="Garamond" w:cs="Times New Roman"/>
                <w:sz w:val="24"/>
                <w:szCs w:val="24"/>
                <w:lang w:val="sq-AL"/>
              </w:rPr>
              <w:t>;</w:t>
            </w:r>
          </w:p>
          <w:p w14:paraId="7FB8DF8A" w14:textId="0D30037B" w:rsidR="00A4769B" w:rsidRPr="00B055F6" w:rsidRDefault="00B055F6" w:rsidP="00B055F6">
            <w:pPr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B055F6">
              <w:rPr>
                <w:rFonts w:ascii="Garamond" w:hAnsi="Garamond" w:cs="Times New Roman"/>
                <w:sz w:val="24"/>
                <w:szCs w:val="24"/>
                <w:lang w:val="sq-AL"/>
              </w:rPr>
              <w:t>anëtare</w:t>
            </w:r>
            <w:r>
              <w:rPr>
                <w:rFonts w:ascii="Garamond" w:hAnsi="Garamond" w:cs="Times New Roman"/>
                <w:sz w:val="24"/>
                <w:szCs w:val="24"/>
                <w:lang w:val="sq-AL"/>
              </w:rPr>
              <w:t>;</w:t>
            </w:r>
          </w:p>
          <w:p w14:paraId="7264A9C4" w14:textId="1FB93BA9" w:rsidR="00A4769B" w:rsidRPr="00B055F6" w:rsidRDefault="00B055F6" w:rsidP="00B055F6">
            <w:pPr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B055F6">
              <w:rPr>
                <w:rFonts w:ascii="Garamond" w:hAnsi="Garamond" w:cs="Times New Roman"/>
                <w:sz w:val="24"/>
                <w:szCs w:val="24"/>
                <w:lang w:val="sq-AL"/>
              </w:rPr>
              <w:t>anëtar</w:t>
            </w:r>
            <w:r>
              <w:rPr>
                <w:rFonts w:ascii="Garamond" w:hAnsi="Garamond" w:cs="Times New Roman"/>
                <w:sz w:val="24"/>
                <w:szCs w:val="24"/>
                <w:lang w:val="sq-AL"/>
              </w:rPr>
              <w:t>,</w:t>
            </w:r>
          </w:p>
        </w:tc>
      </w:tr>
    </w:tbl>
    <w:p w14:paraId="79384041" w14:textId="77777777" w:rsidR="00A4769B" w:rsidRPr="00B055F6" w:rsidRDefault="00A4769B" w:rsidP="00A4769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10"/>
        </w:tabs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450CC216" w14:textId="77777777" w:rsidR="00A4769B" w:rsidRPr="00B055F6" w:rsidRDefault="00A4769B" w:rsidP="00A4769B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B055F6">
        <w:rPr>
          <w:rFonts w:ascii="Garamond" w:hAnsi="Garamond" w:cs="Times New Roman"/>
          <w:sz w:val="24"/>
          <w:szCs w:val="24"/>
          <w:lang w:val="sq-AL"/>
        </w:rPr>
        <w:t xml:space="preserve">me sekretare Anjeza Puka, në datën 17.11.2025 mori në shqyrtim në seancë plenare mbi bazë të dokumenteve çështjen nr. </w:t>
      </w:r>
      <w:r w:rsidRPr="00B055F6">
        <w:rPr>
          <w:rFonts w:ascii="Garamond" w:hAnsi="Garamond" w:cs="Times New Roman"/>
          <w:bCs/>
          <w:sz w:val="24"/>
          <w:szCs w:val="24"/>
          <w:lang w:val="sq-AL"/>
        </w:rPr>
        <w:t>6 (V) 2025 të Regjistrit Themeltar,</w:t>
      </w:r>
      <w:r w:rsidRPr="00B055F6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</w:t>
      </w:r>
      <w:r w:rsidRPr="00B055F6">
        <w:rPr>
          <w:rFonts w:ascii="Garamond" w:hAnsi="Garamond" w:cs="Times New Roman"/>
          <w:sz w:val="24"/>
          <w:szCs w:val="24"/>
          <w:lang w:val="sq-AL"/>
        </w:rPr>
        <w:t>që u përket:</w:t>
      </w:r>
    </w:p>
    <w:p w14:paraId="36397AE1" w14:textId="0D8F99D2" w:rsidR="00A4769B" w:rsidRPr="00B055F6" w:rsidRDefault="00A4769B" w:rsidP="00A4769B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055F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KËRKUESE:</w:t>
      </w:r>
      <w:r w:rsidR="00153EE3" w:rsidRPr="00B055F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B055F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SHOQËRIA “</w:t>
      </w:r>
      <w:r w:rsidR="00A958BF" w:rsidRPr="00B055F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Vega</w:t>
      </w:r>
      <w:r w:rsidRPr="00B055F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” </w:t>
      </w:r>
      <w:r w:rsidR="00A958BF" w:rsidRPr="00B055F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sh.a., </w:t>
      </w:r>
      <w:r w:rsidRPr="00B055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 përfaqësuar nga administratorja Artenida Dervishi dhe anëtari i këshillit mbikëqyrës, avokat Erjon Kanxheri. </w:t>
      </w:r>
    </w:p>
    <w:p w14:paraId="0545255B" w14:textId="07356D2B" w:rsidR="00A4769B" w:rsidRPr="00B055F6" w:rsidRDefault="00A4769B" w:rsidP="00153EE3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055F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SUBJEKTE TË INTERESUARA:</w:t>
      </w:r>
      <w:r w:rsidR="00153EE3" w:rsidRPr="00B055F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="00A958BF" w:rsidRPr="00B055F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Ministria e Infrastrukturës dhe Energjisë</w:t>
      </w:r>
    </w:p>
    <w:p w14:paraId="48B6CD87" w14:textId="22031B36" w:rsidR="00A4769B" w:rsidRPr="00B055F6" w:rsidRDefault="00A958BF" w:rsidP="00A4769B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055F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Zyra e Përmbarimit privat “</w:t>
      </w:r>
      <w:r w:rsidR="00D11D33" w:rsidRPr="00B055F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Jus</w:t>
      </w:r>
      <w:r w:rsidRPr="00B055F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” sh.p.k.</w:t>
      </w:r>
    </w:p>
    <w:p w14:paraId="60DF73B1" w14:textId="6EFA4DC0" w:rsidR="00A4769B" w:rsidRPr="00B055F6" w:rsidRDefault="00A4769B" w:rsidP="00A4769B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055F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OBJEKTI:</w:t>
      </w:r>
      <w:r w:rsidR="00B055F6" w:rsidRPr="00B055F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B055F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Shfuqizimi i vendimit nr. 00-2025-1831 (83), datë 19.2.2025</w:t>
      </w:r>
      <w:r w:rsidR="008070A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</w:t>
      </w:r>
      <w:r w:rsidRPr="00B055F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të Kolegjit Administrativ të Gjykatës së Lartë, si i papajtueshëm me Kushtetutën e Republikës së Shqipërisë.</w:t>
      </w:r>
    </w:p>
    <w:p w14:paraId="7766397F" w14:textId="3A9F3269" w:rsidR="00A4769B" w:rsidRPr="00B055F6" w:rsidRDefault="00153EE3" w:rsidP="00A4769B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055F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="00A4769B" w:rsidRPr="00B055F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Prishja/shfuqizimi i vendimit të Kolegjit Administrativ të Gjykatës së Lartë dhe lënia në fuqi e vendimit nr. 831 (86-2023-1153), datë 6.11.2023</w:t>
      </w:r>
      <w:r w:rsidR="008070A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</w:t>
      </w:r>
      <w:r w:rsidR="00A4769B" w:rsidRPr="00B055F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të Gjykatës Administrative të Apelit. </w:t>
      </w:r>
    </w:p>
    <w:p w14:paraId="712E336D" w14:textId="0A726AF4" w:rsidR="00A4769B" w:rsidRPr="00B055F6" w:rsidRDefault="00A4769B" w:rsidP="00A4769B">
      <w:pPr>
        <w:tabs>
          <w:tab w:val="left" w:pos="840"/>
          <w:tab w:val="left" w:pos="35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055F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BAZA LIGJORE:</w:t>
      </w:r>
      <w:r w:rsidR="00153EE3" w:rsidRPr="00B055F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</w:t>
      </w:r>
      <w:r w:rsidRPr="00B055F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Nenet 4, 15, pika 2, 17, 18, 44, 131, pika 1, shkronja “f”, 134, pika 1, shkronja “i” dhe 135, pika 1, të Kushtetutës së Republikës së Shqipërisë </w:t>
      </w:r>
      <w:r w:rsidRPr="00B055F6">
        <w:rPr>
          <w:rFonts w:ascii="Garamond" w:hAnsi="Garamond" w:cs="Times New Roman"/>
          <w:bCs/>
          <w:i/>
          <w:iCs/>
          <w:color w:val="000000"/>
          <w:sz w:val="24"/>
          <w:szCs w:val="24"/>
          <w:lang w:val="sq-AL"/>
        </w:rPr>
        <w:t>(Kushtetuta)</w:t>
      </w:r>
      <w:r w:rsidRPr="00B055F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; neni 6, pika 1, i Konventës Evropiane për të Drejtat e Njeriut; nenet 27 e vijues</w:t>
      </w:r>
      <w:r w:rsidR="008070A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e</w:t>
      </w:r>
      <w:r w:rsidRPr="00B055F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të ligjit nr. 8577, datë 10.2.2000</w:t>
      </w:r>
      <w:r w:rsidR="008070AF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</w:t>
      </w:r>
      <w:r w:rsidRPr="00B055F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“Për organizimin dhe funksionimin e Gjykatës Kushtetuese të Republikës së Shqipërisë”, të ndryshuar</w:t>
      </w:r>
      <w:r w:rsidRPr="00B055F6">
        <w:rPr>
          <w:rFonts w:ascii="Garamond" w:hAnsi="Garamond" w:cs="Times New Roman"/>
          <w:bCs/>
          <w:i/>
          <w:iCs/>
          <w:color w:val="000000"/>
          <w:sz w:val="24"/>
          <w:szCs w:val="24"/>
          <w:lang w:val="sq-AL"/>
        </w:rPr>
        <w:t xml:space="preserve"> (ligji nr. 8577/2000</w:t>
      </w:r>
      <w:r w:rsidRPr="00B055F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).</w:t>
      </w:r>
    </w:p>
    <w:p w14:paraId="1477C0DB" w14:textId="77777777" w:rsidR="00A4769B" w:rsidRPr="008070AF" w:rsidRDefault="00A4769B" w:rsidP="00A4769B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</w:pPr>
    </w:p>
    <w:p w14:paraId="512E4688" w14:textId="62343175" w:rsidR="00A4769B" w:rsidRPr="008070AF" w:rsidRDefault="00A4769B" w:rsidP="00A4769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070AF">
        <w:rPr>
          <w:rFonts w:ascii="Garamond" w:hAnsi="Garamond" w:cs="Times New Roman"/>
          <w:color w:val="000000"/>
          <w:sz w:val="24"/>
          <w:szCs w:val="24"/>
          <w:lang w:val="sq-AL"/>
        </w:rPr>
        <w:t>GJYKATA KUSHTETUESE,</w:t>
      </w:r>
    </w:p>
    <w:p w14:paraId="075A51E3" w14:textId="77777777" w:rsidR="00153EE3" w:rsidRPr="00B055F6" w:rsidRDefault="00153EE3" w:rsidP="00A4769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754B95A" w14:textId="06DAE9D0" w:rsidR="00A4769B" w:rsidRPr="00B055F6" w:rsidRDefault="00A4769B" w:rsidP="00A4769B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055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pasi dëgjoi relatorin e çështjes Sandër Beci, mori në shqyrtim kërkesën e kërkueses, shoqërisë “Vega” sh.a. </w:t>
      </w:r>
      <w:r w:rsidRPr="00B055F6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(kërkuesja)</w:t>
      </w:r>
      <w:r w:rsidRPr="00B055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për heqjen dorë nga shqyrtimi i çështjes dhe konstatoi mungesën e mendimeve me shkrim të subjekteve të interesuara, Ministrisë së Infrastrukturës dhe të Energjisë </w:t>
      </w:r>
      <w:r w:rsidRPr="00B055F6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(MIE)</w:t>
      </w:r>
      <w:r w:rsidRPr="00B055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Zyrës së Përmbarimit Privat “Jus” sh.p.k., si dhe diskutoi çështjen në tërësi,</w:t>
      </w:r>
    </w:p>
    <w:p w14:paraId="0857ABC2" w14:textId="77777777" w:rsidR="00A4769B" w:rsidRPr="00B055F6" w:rsidRDefault="00A4769B" w:rsidP="00A4769B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664E0E8" w14:textId="382C9D2D" w:rsidR="00A4769B" w:rsidRPr="00B055F6" w:rsidRDefault="00A4769B" w:rsidP="00A4769B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055F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VËREN:</w:t>
      </w:r>
      <w:bookmarkStart w:id="0" w:name="_GoBack"/>
      <w:bookmarkEnd w:id="0"/>
    </w:p>
    <w:p w14:paraId="22969B92" w14:textId="77777777" w:rsidR="00153EE3" w:rsidRPr="00B055F6" w:rsidRDefault="00153EE3" w:rsidP="00A4769B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4"/>
          <w:lang w:val="sq-AL"/>
        </w:rPr>
      </w:pPr>
    </w:p>
    <w:p w14:paraId="0714FD4D" w14:textId="77777777" w:rsidR="00A4769B" w:rsidRPr="00B055F6" w:rsidRDefault="00A4769B" w:rsidP="00A4769B">
      <w:pPr>
        <w:tabs>
          <w:tab w:val="left" w:pos="8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B055F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I</w:t>
      </w:r>
    </w:p>
    <w:p w14:paraId="4B461E5B" w14:textId="4C94E558" w:rsidR="00A4769B" w:rsidRPr="00B055F6" w:rsidRDefault="00A4769B" w:rsidP="00A4769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B055F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Rrethanat e çështjes</w:t>
      </w:r>
    </w:p>
    <w:p w14:paraId="072F2F0C" w14:textId="77777777" w:rsidR="00153EE3" w:rsidRPr="00B055F6" w:rsidRDefault="00153EE3" w:rsidP="00A4769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C07696A" w14:textId="6AC91A0F" w:rsidR="00A4769B" w:rsidRPr="00B055F6" w:rsidRDefault="00A4769B" w:rsidP="00A4769B">
      <w:pPr>
        <w:tabs>
          <w:tab w:val="left" w:pos="1080"/>
          <w:tab w:val="left" w:pos="1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055F6">
        <w:rPr>
          <w:rFonts w:ascii="Garamond" w:hAnsi="Garamond" w:cs="Times New Roman"/>
          <w:color w:val="000000"/>
          <w:sz w:val="24"/>
          <w:szCs w:val="24"/>
          <w:lang w:val="sq-AL"/>
        </w:rPr>
        <w:t>1.</w:t>
      </w:r>
      <w:r w:rsidR="00153EE3" w:rsidRPr="00B055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055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Kërkuesja në datën 10.6.2011 ka lidhur me Ministrinë e Transportit dhe të Infrastrukturës </w:t>
      </w:r>
      <w:r w:rsidRPr="00B055F6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(MTI)</w:t>
      </w:r>
      <w:r w:rsidRPr="00B055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“Marrëveshje për caktimin dhe rinovimin e kontratës për ndërtimin e ndërtesës së terminalit të trageteve Durrës dhe infrastrukturës së kantierit lidhur ndërmjet Ministrisë së Punëve Publike, Transportit dhe Telekomunikacionit dhe SCT d.d. më 6 maj 2008”. Sipas pikës 20.6. të këtij akti, përveçse kur zgjidhet në mënyrë miqësore, çdo mosmarrëveshje zgjidhet përfundimisht nga arbitrazhi ndërkombëtar, sipas rregullave të Arbitrazhit të Dhomës Ndërkombëtare të Tregtisë </w:t>
      </w:r>
      <w:r w:rsidRPr="00B055F6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(ICC). </w:t>
      </w:r>
    </w:p>
    <w:p w14:paraId="2363F7FA" w14:textId="2B66C7AE" w:rsidR="00A4769B" w:rsidRPr="00B055F6" w:rsidRDefault="00A4769B" w:rsidP="00A4769B">
      <w:pPr>
        <w:tabs>
          <w:tab w:val="left" w:pos="1080"/>
          <w:tab w:val="left" w:pos="1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055F6">
        <w:rPr>
          <w:rFonts w:ascii="Garamond" w:hAnsi="Garamond" w:cs="Times New Roman"/>
          <w:color w:val="000000"/>
          <w:sz w:val="24"/>
          <w:szCs w:val="24"/>
          <w:lang w:val="sq-AL"/>
        </w:rPr>
        <w:t>2.</w:t>
      </w:r>
      <w:r w:rsidR="00B055F6" w:rsidRPr="00B055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055F6">
        <w:rPr>
          <w:rFonts w:ascii="Garamond" w:hAnsi="Garamond" w:cs="Times New Roman"/>
          <w:color w:val="000000"/>
          <w:sz w:val="24"/>
          <w:szCs w:val="24"/>
          <w:lang w:val="sq-AL"/>
        </w:rPr>
        <w:t>Për shkak se mes palëve kanë lindur mosmarrëveshje për zbatimin e kontratës, kërkuesja i është drejtuar Gjykatës Ndërkombëtare të Arbitrazhit të ICC-së. Kjo e fundit, me vendimin nr. 21069/MHM, datë 29.11.2016, ka vendosur pjesërisht në favor të kërkueses.</w:t>
      </w:r>
    </w:p>
    <w:p w14:paraId="4D2CFDF2" w14:textId="0AD0A16D" w:rsidR="00A4769B" w:rsidRPr="00B055F6" w:rsidRDefault="00A4769B" w:rsidP="00A4769B">
      <w:pPr>
        <w:tabs>
          <w:tab w:val="left" w:pos="1080"/>
          <w:tab w:val="left" w:pos="1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055F6">
        <w:rPr>
          <w:rFonts w:ascii="Garamond" w:hAnsi="Garamond" w:cs="Times New Roman"/>
          <w:color w:val="000000"/>
          <w:sz w:val="24"/>
          <w:szCs w:val="24"/>
          <w:lang w:val="sq-AL"/>
        </w:rPr>
        <w:t>3.</w:t>
      </w:r>
      <w:r w:rsidR="00153EE3" w:rsidRPr="00B055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055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Gjykata e Apelit Tiranë, me vendimin nr. 97, datë 3.5.2017, ka vendosur njohjen dhe dhënien fuqi ligjore vendimit të ICC-së nr. 21069/MHM, datë 29.11.2016, duke lëshuar edhe urdhrin e ekzekutimit për këtë vendim. Për rrjedhojë, kërkuesja i është drejtuar shërbimit përmbarimor </w:t>
      </w:r>
      <w:r w:rsidRPr="00B055F6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gjyqësor privat për ekzekutimin e tij. Në datën 18.12.2017</w:t>
      </w:r>
      <w:r w:rsidR="00B055F6" w:rsidRPr="00B055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055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MTI-ja ka ekzekutuar pagesën e detyrimeve dhe kostove procedurale, por pa përfshirë interesat për vonesën. Emërtimi i MTI-së ka ndryshuar në MIE. Për këtë qëllim, në këtë vendim emrat e institucioneve janë përdorur në përkëmbim të njëri-tjetrit. </w:t>
      </w:r>
    </w:p>
    <w:p w14:paraId="52171BBB" w14:textId="3FF9AB35" w:rsidR="00A4769B" w:rsidRPr="00B055F6" w:rsidRDefault="00A4769B" w:rsidP="00A4769B">
      <w:pPr>
        <w:tabs>
          <w:tab w:val="left" w:pos="1080"/>
          <w:tab w:val="left" w:pos="1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055F6">
        <w:rPr>
          <w:rFonts w:ascii="Garamond" w:hAnsi="Garamond" w:cs="Times New Roman"/>
          <w:color w:val="000000"/>
          <w:sz w:val="24"/>
          <w:szCs w:val="24"/>
          <w:lang w:val="sq-AL"/>
        </w:rPr>
        <w:t>4.</w:t>
      </w:r>
      <w:r w:rsidR="00153EE3" w:rsidRPr="00B055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055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datën 11.12.2018 MIE-ja ka paraqitur padi në Gjykatën e Rrethit Gjyqësor Tiranë, me objekt pezullimin e ekzekutimit të vendimit të arbitrazhit, si dhe kundërshtimin e veprimeve të përmbaruesit privat. Me vendimin nr. 10718, datë 26.12.2018, ajo gjykatë ka vendosur shpalljen e moskompetencës për shqyrtimin e çështjes dhe dërgimin e saj në Gjykatën Administrative të Shkallës së Parë Tiranë. Në vijim, ajo gjykatë, me vendimin nr. 1228, datë 29.6.2020, ka vendosur pranimin e padisë. Kundër këtij vendimi kanë paraqitur ankim kërkuesja dhe Zyra e Përmbarimit Privat “Jus” sh.p.k. </w:t>
      </w:r>
    </w:p>
    <w:p w14:paraId="5B8FC793" w14:textId="6829F089" w:rsidR="00A4769B" w:rsidRPr="00B055F6" w:rsidRDefault="00A4769B" w:rsidP="00A4769B">
      <w:pPr>
        <w:tabs>
          <w:tab w:val="left" w:pos="1080"/>
          <w:tab w:val="left" w:pos="1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055F6">
        <w:rPr>
          <w:rFonts w:ascii="Garamond" w:hAnsi="Garamond" w:cs="Times New Roman"/>
          <w:color w:val="000000"/>
          <w:sz w:val="24"/>
          <w:szCs w:val="24"/>
          <w:lang w:val="sq-AL"/>
        </w:rPr>
        <w:t>5.</w:t>
      </w:r>
      <w:r w:rsidR="00B055F6" w:rsidRPr="00B055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055F6">
        <w:rPr>
          <w:rFonts w:ascii="Garamond" w:hAnsi="Garamond" w:cs="Times New Roman"/>
          <w:color w:val="000000"/>
          <w:sz w:val="24"/>
          <w:szCs w:val="24"/>
          <w:lang w:val="sq-AL"/>
        </w:rPr>
        <w:t>Me vendimin nr. 831 (86-2023-1153), datë 6.11.2023, Gjykata Administrative e Apelit ka vendosur ndryshimin e vendimit të gjykatës së shkallës së parë dhe rrëzimin e padisë. Mbi rekursin e paraqitur nga palët ndërgjyqëse, Kolegji Administrativ i Gjykatës së Lartë, me vendimin nr. 00-2025-1831 (83), datë 19.2.2025, ka vendosur prishjen e vendimit të gjykatës së apelit dhe dërgimin e çështjes për rishqyrtim në atë gjykatë, me tjetër trup gjykues.</w:t>
      </w:r>
    </w:p>
    <w:p w14:paraId="35E828CC" w14:textId="50C46E06" w:rsidR="00A4769B" w:rsidRPr="00B055F6" w:rsidRDefault="00A4769B" w:rsidP="00A4769B">
      <w:pPr>
        <w:tabs>
          <w:tab w:val="left" w:pos="1080"/>
          <w:tab w:val="left" w:pos="1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055F6">
        <w:rPr>
          <w:rFonts w:ascii="Garamond" w:hAnsi="Garamond" w:cs="Times New Roman"/>
          <w:color w:val="000000"/>
          <w:sz w:val="24"/>
          <w:szCs w:val="24"/>
          <w:lang w:val="sq-AL"/>
        </w:rPr>
        <w:t>6.</w:t>
      </w:r>
      <w:r w:rsidR="00153EE3" w:rsidRPr="00B055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055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datën 3.6.2025 kërkuesja i është drejtuar Gjykatës Kushtetuese </w:t>
      </w:r>
      <w:r w:rsidRPr="00B055F6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(Gjykata)</w:t>
      </w:r>
      <w:r w:rsidRPr="00B055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ankim kushtetues individual, sipas objektit të tij, i cili, pasi është plotësuar sipas parashikimeve të ligjit nr. 8577/2000, është regjistruar në datën 10.6.2025. Në datën 30.7.2025 një gjyqtar, pas njohjes me aktet, ka paraqitur një kërkesë për heqjen dorë nga shqyrtimi i çështjes. Mbledhja e Gjyqtarëve, me anë të vendimit nr. 19,</w:t>
      </w:r>
      <w:r w:rsidR="00B055F6" w:rsidRPr="00B055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055F6">
        <w:rPr>
          <w:rFonts w:ascii="Garamond" w:hAnsi="Garamond" w:cs="Times New Roman"/>
          <w:color w:val="000000"/>
          <w:sz w:val="24"/>
          <w:szCs w:val="24"/>
          <w:lang w:val="sq-AL"/>
        </w:rPr>
        <w:t>datë 30.7.2025, ka vendosur pranimin e kësaj kërkese. Kolegji i Gjykatës (pas plotësimit me anëtarin zëvendësues), në datën 31.7.2025, ka vendosur kalimin e çështjes për shqyrtim në seancë plenare mbi bazë të dokumenteve.</w:t>
      </w:r>
    </w:p>
    <w:p w14:paraId="2671DE25" w14:textId="2BAC624B" w:rsidR="00A4769B" w:rsidRPr="00B055F6" w:rsidRDefault="00A4769B" w:rsidP="00A4769B">
      <w:pPr>
        <w:tabs>
          <w:tab w:val="left" w:pos="1080"/>
          <w:tab w:val="left" w:pos="1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055F6">
        <w:rPr>
          <w:rFonts w:ascii="Garamond" w:hAnsi="Garamond" w:cs="Times New Roman"/>
          <w:color w:val="000000"/>
          <w:sz w:val="24"/>
          <w:szCs w:val="24"/>
          <w:lang w:val="sq-AL"/>
        </w:rPr>
        <w:t>7.</w:t>
      </w:r>
      <w:r w:rsidR="00153EE3" w:rsidRPr="00B055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055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datën 29.10.2025 kërkuesja ka paraqitur kërkesë për heqjen dorë nga shqyrtimi i ankimit kushtetues individual i paraqitur në datën 3.6.2025. </w:t>
      </w:r>
    </w:p>
    <w:p w14:paraId="79640894" w14:textId="77777777" w:rsidR="00A4769B" w:rsidRPr="00B055F6" w:rsidRDefault="00A4769B" w:rsidP="00A476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DAA1F7D" w14:textId="77777777" w:rsidR="00A4769B" w:rsidRPr="00B055F6" w:rsidRDefault="00A4769B" w:rsidP="00A4769B">
      <w:pPr>
        <w:tabs>
          <w:tab w:val="left" w:pos="8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B055F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II</w:t>
      </w:r>
    </w:p>
    <w:p w14:paraId="5286AC7E" w14:textId="54406254" w:rsidR="00A4769B" w:rsidRPr="00B055F6" w:rsidRDefault="00A4769B" w:rsidP="00A4769B">
      <w:pPr>
        <w:tabs>
          <w:tab w:val="left" w:pos="8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B055F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Pretendimet në Gjykatën Kushtetuese</w:t>
      </w:r>
    </w:p>
    <w:p w14:paraId="45091E36" w14:textId="77777777" w:rsidR="00153EE3" w:rsidRPr="00B055F6" w:rsidRDefault="00153EE3" w:rsidP="00A4769B">
      <w:pPr>
        <w:tabs>
          <w:tab w:val="left" w:pos="84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3942C74" w14:textId="1A102889" w:rsidR="00A4769B" w:rsidRPr="00B055F6" w:rsidRDefault="00A4769B" w:rsidP="00A4769B">
      <w:pPr>
        <w:tabs>
          <w:tab w:val="left" w:pos="1080"/>
          <w:tab w:val="left" w:pos="1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055F6">
        <w:rPr>
          <w:rFonts w:ascii="Garamond" w:hAnsi="Garamond" w:cs="Times New Roman"/>
          <w:color w:val="000000"/>
          <w:sz w:val="24"/>
          <w:szCs w:val="24"/>
          <w:lang w:val="sq-AL"/>
        </w:rPr>
        <w:t>8.</w:t>
      </w:r>
      <w:r w:rsidR="00153EE3" w:rsidRPr="00B055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055F6">
        <w:rPr>
          <w:rFonts w:ascii="Garamond" w:hAnsi="Garamond" w:cs="Times New Roman"/>
          <w:b/>
          <w:bCs/>
          <w:i/>
          <w:iCs/>
          <w:color w:val="000000"/>
          <w:sz w:val="24"/>
          <w:szCs w:val="24"/>
          <w:lang w:val="sq-AL"/>
        </w:rPr>
        <w:t xml:space="preserve">Kërkuesja, </w:t>
      </w:r>
      <w:r w:rsidRPr="00B055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mënyrë të përmbledhur, ka pretenduar se i është cenuar </w:t>
      </w:r>
      <w:r w:rsidRPr="00B055F6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e drejta për proces të rregullt ligjor</w:t>
      </w:r>
      <w:r w:rsidRPr="00B055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e garantuar nga neni 42 i Kushtetutës, në drejtim të: </w:t>
      </w:r>
    </w:p>
    <w:p w14:paraId="367A06FA" w14:textId="3B77441A" w:rsidR="00A4769B" w:rsidRPr="00B055F6" w:rsidRDefault="00A4769B" w:rsidP="00A4769B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055F6">
        <w:rPr>
          <w:rFonts w:ascii="Garamond" w:hAnsi="Garamond" w:cs="Times New Roman"/>
          <w:color w:val="000000"/>
          <w:sz w:val="24"/>
          <w:szCs w:val="24"/>
          <w:lang w:val="sq-AL"/>
        </w:rPr>
        <w:t>8.1.</w:t>
      </w:r>
      <w:r w:rsidR="00153EE3" w:rsidRPr="00B055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055F6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Së drejtës për t’u gjykuar nga një gjykatë e caktuar me ligj, </w:t>
      </w:r>
      <w:r w:rsidRPr="00B055F6">
        <w:rPr>
          <w:rFonts w:ascii="Garamond" w:hAnsi="Garamond" w:cs="Times New Roman"/>
          <w:color w:val="000000"/>
          <w:sz w:val="24"/>
          <w:szCs w:val="24"/>
          <w:lang w:val="sq-AL"/>
        </w:rPr>
        <w:t>pasi Gjykata e Lartë nuk ka respektuar kufijtë ligjorë rishqyrtues. Ajo gjykatë ka shqyrtuar e vlerësuar prova dhe fakte, të cilat janë vlerësuar dhe arsyetuar nga gjykatat më të ulëta dhe asnjë palë nuk ka pasur pretendime. Rekursi i referohet interpretimit të provave dhe jo shkeljeve ligjore procedurale ose materiale dhe, si i tillë, nuk duhet të ishte bazuar në nenin 58 të ligjit nr. 49, datë 3.5.2012</w:t>
      </w:r>
      <w:r w:rsidR="008070AF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  <w:r w:rsidRPr="00B055F6">
        <w:rPr>
          <w:rFonts w:ascii="Garamond" w:hAnsi="Garamond" w:cs="Times New Roman"/>
          <w:color w:val="000000"/>
          <w:sz w:val="24"/>
          <w:szCs w:val="24"/>
          <w:lang w:val="sq-AL"/>
        </w:rPr>
        <w:t>“Për gjykatat administrative dhe gjykimin e mosmarrëveshjeve administrative”, të ndryshuar (</w:t>
      </w:r>
      <w:r w:rsidRPr="00B055F6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ligji nr. 49/2012</w:t>
      </w:r>
      <w:r w:rsidRPr="00B055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). Është pikërisht ky roli i Gjykatës së Lartë, si gjykatë ligji, e cila nuk ka gjetur elemente të natyrës ligjore, por ka bërë një analizë të mirëfilltë fakti, duke tejkaluar kompetencat e përcaktuara në Kushtetutë dhe në ligjin procedural. </w:t>
      </w:r>
    </w:p>
    <w:p w14:paraId="026A7E70" w14:textId="48AF5264" w:rsidR="00A4769B" w:rsidRPr="00B055F6" w:rsidRDefault="00A4769B" w:rsidP="00A4769B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055F6">
        <w:rPr>
          <w:rFonts w:ascii="Garamond" w:hAnsi="Garamond" w:cs="Times New Roman"/>
          <w:color w:val="000000"/>
          <w:sz w:val="24"/>
          <w:szCs w:val="24"/>
          <w:lang w:val="sq-AL"/>
        </w:rPr>
        <w:t>8.2.</w:t>
      </w:r>
      <w:r w:rsidR="00153EE3" w:rsidRPr="00B055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055F6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Parimit të sigurisë juridike të lidhur me gjënë e gjykuar</w:t>
      </w:r>
      <w:r w:rsidRPr="00B055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pasi Gjykata e Lartë ka rishqyrtuar themelin e çështjes tashmë të gjykuar nga gjykata e arbitrazhit. Dispozitivi i vendimit të gjykatës së arbitrazhit është i qartë dhe i vetëzbatueshëm, dhe asnjë gjykatë nuk mund të ushtrojë kompetencë për të interpretuar rrethanat faktike ose dokumentet kontraktuale mbi të cilat është mbështetur vendimi. Për më tepër, ajo ka kërkuar verifikimin e metodologjisë së ndjekur nga gjykata e arbitrazhit për llogaritjen e detyrimit financiar. Në këtë mënyrë, Gjykata e Lartë ka kryer një shqyrtim të përmbajtjes së kontratës, e cila përbënte objekt të drejtpërdrejtë të procesit të arbitrazhit dhe është analizuar nga kjo e fundit në kuadër të kompetencës së saj ekskluzive. Ndërkohë që gjykimi ka në thelb procedurat e kundërshtimit të veprimeve përmbarimore, në të cilat nuk lejohet rishqyrtimi i themelit të detyrimit ose përcaktimi i masës së tij. Në rastin konkret, orientimi i Gjykatës së Lartë bie ndesh me nenin 609 të Kodit të Procedurës Civile, një dispozitë ligjore urdhëruese, e cila në mënyrë eksplicite ndalon shqyrtimin, vlerësimin ose analizën e një titulli ekzekutiv (vendim gjyqësor ose arbitrazhi) për fakte të mëhershme se dhënia e vendimit. </w:t>
      </w:r>
    </w:p>
    <w:p w14:paraId="4A814B74" w14:textId="1ABDC72E" w:rsidR="00A4769B" w:rsidRPr="00B055F6" w:rsidRDefault="00A4769B" w:rsidP="00A4769B">
      <w:pPr>
        <w:tabs>
          <w:tab w:val="left" w:pos="1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055F6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8.3.</w:t>
      </w:r>
      <w:r w:rsidR="00153EE3" w:rsidRPr="00B055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055F6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Gjykimit brenda një afati të arsyeshëm, </w:t>
      </w:r>
      <w:r w:rsidRPr="00B055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shkak se Gjykata e Lartë ka vepruar jashtë afateve ligjore për shqyrtimin e rekursit, duke shkelur në mënyrë të drejtpërdrejtë nenin 60 të ligjit nr. 49/2012, pasi vendimi është marrë në datën 19.2.2025, ndërkohë që rekursi është paraqitur në datën 11.12.2023. </w:t>
      </w:r>
    </w:p>
    <w:p w14:paraId="5D3886E5" w14:textId="77777777" w:rsidR="00A4769B" w:rsidRPr="00B055F6" w:rsidRDefault="00A4769B" w:rsidP="00A476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C9BE34B" w14:textId="77777777" w:rsidR="00A4769B" w:rsidRPr="00B055F6" w:rsidRDefault="00A4769B" w:rsidP="00A4769B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B055F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III</w:t>
      </w:r>
    </w:p>
    <w:p w14:paraId="636BA7DC" w14:textId="09D8D476" w:rsidR="00A4769B" w:rsidRPr="00B055F6" w:rsidRDefault="00A4769B" w:rsidP="00A4769B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B055F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Vlerësimi i Gjykatës Kushtetuese</w:t>
      </w:r>
    </w:p>
    <w:p w14:paraId="5E5B7A59" w14:textId="77777777" w:rsidR="00153EE3" w:rsidRPr="00B055F6" w:rsidRDefault="00153EE3" w:rsidP="00A4769B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413872D" w14:textId="4EC58454" w:rsidR="00A4769B" w:rsidRPr="00B055F6" w:rsidRDefault="00A4769B" w:rsidP="00A4769B">
      <w:pPr>
        <w:tabs>
          <w:tab w:val="left" w:pos="1080"/>
          <w:tab w:val="left" w:pos="1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055F6">
        <w:rPr>
          <w:rFonts w:ascii="Garamond" w:hAnsi="Garamond" w:cs="Times New Roman"/>
          <w:color w:val="000000"/>
          <w:sz w:val="24"/>
          <w:szCs w:val="24"/>
          <w:lang w:val="sq-AL"/>
        </w:rPr>
        <w:t>9.</w:t>
      </w:r>
      <w:r w:rsidR="00153EE3" w:rsidRPr="00B055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055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datën 29.10.2025 kërkuesja që ka vënë në lëvizje gjykimin kushtetues, nëpërmjet administratorit, ka paraqitur kërkesë, me objekt: “Heqje dorë nga kërkesa”, në të cilën ka parashtruar se: </w:t>
      </w:r>
      <w:r w:rsidRPr="00B055F6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“Në zbatim të së drejtës së kërkueses për disponimin mbi kërkesën e paraqitur sipas nenit 31/b, pika 1, të ligjit nr. 8577, datë 10.2.2000</w:t>
      </w:r>
      <w:r w:rsidR="008070A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,</w:t>
      </w:r>
      <w:r w:rsidRPr="00B055F6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“Për organizimin dhe funksionimin e Gjykatës Kushtetuese të Republikës së Shqipërisë” të ndryshuar, kërkuesja shoqëria “Vega” sh.a., ju drejtohet, duke kërkuar: Heqjen dorë nga kërkesa e shoqërisë “Vega” sh.a. regjistruar pranë Gjykatës Kushtetuese më 10.6.2025, nr. Regj. Them., 6 (V), me objekt: Shfuqizimi si i papajtueshëm me Kushtetutën e Republikës së Shqipërisë i vendimit nr. 00-2025-1831 (83), datë 19.2.2025</w:t>
      </w:r>
      <w:r w:rsidR="008070A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,</w:t>
      </w:r>
      <w:r w:rsidRPr="00B055F6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të Kolegjit Administrativ të Gjykatës së Lartë. Prishja/shfuqizimi i vendimit nr. 00-2025-1831 (83), datë 19.2.2025</w:t>
      </w:r>
      <w:r w:rsidR="008070A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,</w:t>
      </w:r>
      <w:r w:rsidRPr="00B055F6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të Kolegjit Administrativ të Gjykatës së Lartë dhe lënia në fuqi e vendimit nr. 831 (86-2023-1153), datë 6.11.2023</w:t>
      </w:r>
      <w:r w:rsidR="008070AF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,</w:t>
      </w:r>
      <w:r w:rsidRPr="00B055F6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të Gjykatës Administrative të Apelit.”</w:t>
      </w:r>
      <w:r w:rsidRPr="00B055F6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B055F6" w:rsidRPr="00B055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055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Kërkesa është depozituar në Gjykatë në datën 29.10.2025 dhe u është komunikuar të gjitha palëve pjesëmarrëse në gjykim/subjekteve të interesuara, të cilat nuk kanë paraqitur prapësime në lidhje me të. </w:t>
      </w:r>
    </w:p>
    <w:p w14:paraId="6C35A488" w14:textId="653C618D" w:rsidR="00A4769B" w:rsidRPr="00B055F6" w:rsidRDefault="00A4769B" w:rsidP="00A4769B">
      <w:pPr>
        <w:tabs>
          <w:tab w:val="left" w:pos="1080"/>
          <w:tab w:val="left" w:pos="1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055F6">
        <w:rPr>
          <w:rFonts w:ascii="Garamond" w:hAnsi="Garamond" w:cs="Times New Roman"/>
          <w:color w:val="000000"/>
          <w:sz w:val="24"/>
          <w:szCs w:val="24"/>
          <w:lang w:val="sq-AL"/>
        </w:rPr>
        <w:t>10.</w:t>
      </w:r>
      <w:r w:rsidR="00153EE3" w:rsidRPr="00B055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055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Gjykata, bazuar në nenet 131, pika 1, shkronja “f” dhe 134, pikat 1, shkronja “i” dhe 2, të Kushtetutës, vëren se gjykimi kushtetues për mbrojtjen e të drejtave dhe lirive kushtetuese vihet në lëvizje me kërkesë të individit, ku sipas nenit 16, pika 2, të Kushtetutës, dhe nenit 71, pika 1, të ligjit nr. 8577/2000, përfshihen edhe personat juridikë, sikurse shoqëria tregtare në këtë gjykim. Ndërsa neni 31/b i ligjit nr. 8577/2000 parashikon të drejtën e kërkuesit për të hequr dorë nga kërkesa përpara fillimit të shqyrtimit të saj nga Gjykata, e cila në këtë rast vendos pushimin e gjykimit të çështjes. Heqja dorë nga kërkesa nuk pranohet kur Gjykata vlerëson se shqyrtimi i çështjes paraqet interes publik. Ndërsa pika 2 e nenit 43/b të po këtij ligji, që parashikon të drejtat e pjesëmarrësve në gjykimin kushtetues, ia njeh këtë të drejtë kërkuesit në çdo fazë të procesit, deri në marrjen e vendimit nga Gjykata. </w:t>
      </w:r>
    </w:p>
    <w:p w14:paraId="60F5F7C8" w14:textId="46B9EFB2" w:rsidR="00A4769B" w:rsidRPr="00B055F6" w:rsidRDefault="00A4769B" w:rsidP="00A4769B">
      <w:pPr>
        <w:tabs>
          <w:tab w:val="left" w:pos="1080"/>
          <w:tab w:val="left" w:pos="1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055F6">
        <w:rPr>
          <w:rFonts w:ascii="Garamond" w:hAnsi="Garamond" w:cs="Times New Roman"/>
          <w:color w:val="000000"/>
          <w:sz w:val="24"/>
          <w:szCs w:val="24"/>
          <w:lang w:val="sq-AL"/>
        </w:rPr>
        <w:t>11.</w:t>
      </w:r>
      <w:r w:rsidR="00B055F6" w:rsidRPr="00B055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055F6">
        <w:rPr>
          <w:rFonts w:ascii="Garamond" w:hAnsi="Garamond" w:cs="Times New Roman"/>
          <w:color w:val="000000"/>
          <w:sz w:val="24"/>
          <w:szCs w:val="24"/>
          <w:lang w:val="sq-AL"/>
        </w:rPr>
        <w:t>Mbi bazën e këtij kuadri normativ, Gjykata evidenton se për vënien në lëvizje të gjykimit kushtetues vepron parimi i disponibilitetit, sipas të cilit kërkuesit i njihet e drejta që procedurën e filluar prej tij ta ndërpresë përmes aktit të heqjes dorë. Ky i fundit, si rregull, passjell pushimin e shqyrtimit të çështjes, me përjashtim të rastit kur shqyrtimi i saj mbart interes publik.</w:t>
      </w:r>
    </w:p>
    <w:p w14:paraId="572F8F98" w14:textId="1588BA1C" w:rsidR="00A4769B" w:rsidRPr="00B055F6" w:rsidRDefault="00A4769B" w:rsidP="00A4769B">
      <w:pPr>
        <w:tabs>
          <w:tab w:val="left" w:pos="1080"/>
          <w:tab w:val="left" w:pos="1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055F6">
        <w:rPr>
          <w:rFonts w:ascii="Garamond" w:hAnsi="Garamond" w:cs="Times New Roman"/>
          <w:color w:val="000000"/>
          <w:sz w:val="24"/>
          <w:szCs w:val="24"/>
          <w:lang w:val="sq-AL"/>
        </w:rPr>
        <w:t>12.</w:t>
      </w:r>
      <w:r w:rsidR="00153EE3" w:rsidRPr="00B055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055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rastin konkret, Gjykata çmon se duhet të analizojë nëse shqyrtimi i çështjes konkrete mbart interes publik, në kuptimin që të zbatohet rregulli përjashtimor i parimit të disponibilitetit. Nga përmbajtja e pretendimeve të parashtruara në kërkesë, Gjykata vëren se ankimi kushtetues individual ka për objekt kundërshtimin e vendimit të Gjykatës së Lartë, që ka përmbyllur procesin gjyqësor, në të cilin kërkuesja ka qenë palë ndërgjyqëse në cilësinë e palës së paditur. Kërkuesja ka pretenduar se asaj i është cenuar e drejta për proces të rregullt ligjor në drejtim të së drejtës për t’u gjykuar nga një gjykatë e caktuar me ligj, parimit të sigurisë juridike të lidhur me gjënë e gjykuar dhe gjykimit brenda një afati të arsyeshëm. </w:t>
      </w:r>
    </w:p>
    <w:p w14:paraId="56A48F30" w14:textId="152907FE" w:rsidR="00A4769B" w:rsidRPr="00B055F6" w:rsidRDefault="00A4769B" w:rsidP="00A4769B">
      <w:pPr>
        <w:tabs>
          <w:tab w:val="left" w:pos="1080"/>
          <w:tab w:val="left" w:pos="1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055F6">
        <w:rPr>
          <w:rFonts w:ascii="Garamond" w:hAnsi="Garamond" w:cs="Times New Roman"/>
          <w:color w:val="000000"/>
          <w:sz w:val="24"/>
          <w:szCs w:val="24"/>
          <w:lang w:val="sq-AL"/>
        </w:rPr>
        <w:t>13.</w:t>
      </w:r>
      <w:r w:rsidR="00153EE3" w:rsidRPr="00B055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055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analizë të sa më sipër, Gjykata vlerëson se nuk ka arsye bindëse për vazhdimin e gjykimit për shkak të një interesi publik, pasi pretendimet e kërkueses në këtë rast janë të lidhura në mënyrë të drejtpërdrejtë me cenimin e interesave të saj kushtetuese dhe në këto rrethana nuk ka vend për të zbatuar përjashtimin nga parimi i disponibilitetit. Për pasojë, gjykimi i çështjes duhet të pushohet, bazuar në nenin 31/b të ligjit nr. 8577/2000. </w:t>
      </w:r>
    </w:p>
    <w:p w14:paraId="0215FD88" w14:textId="77777777" w:rsidR="00A4769B" w:rsidRPr="00B055F6" w:rsidRDefault="00A4769B" w:rsidP="00A4769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20ABFCC3" w14:textId="76718D1C" w:rsidR="00A4769B" w:rsidRPr="00B055F6" w:rsidRDefault="00A4769B" w:rsidP="00A4769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B055F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PËR KËTO ARSYE,</w:t>
      </w:r>
    </w:p>
    <w:p w14:paraId="7D3F50C5" w14:textId="77777777" w:rsidR="00153EE3" w:rsidRPr="00B055F6" w:rsidRDefault="00153EE3" w:rsidP="00A4769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010C7AB8" w14:textId="1BC514E4" w:rsidR="00A4769B" w:rsidRPr="00B055F6" w:rsidRDefault="00153EE3" w:rsidP="00A476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055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A4769B" w:rsidRPr="00B055F6">
        <w:rPr>
          <w:rFonts w:ascii="Garamond" w:hAnsi="Garamond" w:cs="Times New Roman"/>
          <w:color w:val="000000"/>
          <w:sz w:val="24"/>
          <w:szCs w:val="24"/>
          <w:lang w:val="sq-AL"/>
        </w:rPr>
        <w:t>Gjykata Kushtetuese, bazuar në nenet 31/b dhe 43/b, pika 2, si dhe nenin 72 të ligjit nr. 8577, datë 10.2.2000</w:t>
      </w:r>
      <w:r w:rsidR="008070AF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="00A4769B" w:rsidRPr="00B055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organizimin dhe funksionimin e Gjykatës Kushtetuese të Republikës së Shqipërisë”,</w:t>
      </w:r>
      <w:r w:rsidR="00B055F6" w:rsidRPr="00B055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A4769B" w:rsidRPr="00B055F6">
        <w:rPr>
          <w:rFonts w:ascii="Garamond" w:hAnsi="Garamond" w:cs="Times New Roman"/>
          <w:color w:val="000000"/>
          <w:sz w:val="24"/>
          <w:szCs w:val="24"/>
          <w:lang w:val="sq-AL"/>
        </w:rPr>
        <w:t>të ndryshuar, njëzëri,</w:t>
      </w:r>
      <w:r w:rsidR="00B055F6" w:rsidRPr="00B055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56CC9FF6" w14:textId="77777777" w:rsidR="00A4769B" w:rsidRPr="00B055F6" w:rsidRDefault="00A4769B" w:rsidP="00A476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3218646" w14:textId="65555F8E" w:rsidR="00A4769B" w:rsidRPr="00B055F6" w:rsidRDefault="00A4769B" w:rsidP="00A4769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B055F6">
        <w:rPr>
          <w:rFonts w:ascii="Garamond" w:hAnsi="Garamond" w:cs="Times New Roman"/>
          <w:bCs/>
          <w:color w:val="000000"/>
          <w:sz w:val="24"/>
          <w:szCs w:val="24"/>
          <w:lang w:val="sq-AL"/>
        </w:rPr>
        <w:lastRenderedPageBreak/>
        <w:t>VENDOSI</w:t>
      </w:r>
      <w:r w:rsidRPr="00B055F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:</w:t>
      </w:r>
    </w:p>
    <w:p w14:paraId="173FACF8" w14:textId="77777777" w:rsidR="00153EE3" w:rsidRPr="00B055F6" w:rsidRDefault="00153EE3" w:rsidP="00A4769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3828EB92" w14:textId="3C5081D6" w:rsidR="00A4769B" w:rsidRPr="00B055F6" w:rsidRDefault="00A4769B" w:rsidP="00A476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055F6">
        <w:rPr>
          <w:rFonts w:ascii="Garamond" w:hAnsi="Garamond" w:cs="Times New Roman"/>
          <w:color w:val="000000"/>
          <w:sz w:val="24"/>
          <w:szCs w:val="24"/>
          <w:lang w:val="sq-AL"/>
        </w:rPr>
        <w:t>1.</w:t>
      </w:r>
      <w:r w:rsidR="00153EE3" w:rsidRPr="00B055F6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B055F6">
        <w:rPr>
          <w:rFonts w:ascii="Garamond" w:hAnsi="Garamond" w:cs="Times New Roman"/>
          <w:color w:val="000000"/>
          <w:sz w:val="24"/>
          <w:szCs w:val="24"/>
          <w:lang w:val="sq-AL"/>
        </w:rPr>
        <w:t>Pushimin e gjykimit të çështjes.</w:t>
      </w:r>
    </w:p>
    <w:p w14:paraId="14E2061A" w14:textId="77777777" w:rsidR="00A4769B" w:rsidRPr="00B055F6" w:rsidRDefault="00A4769B" w:rsidP="00A4769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B055F6">
        <w:rPr>
          <w:rFonts w:ascii="Garamond" w:hAnsi="Garamond" w:cs="Times New Roman"/>
          <w:color w:val="000000"/>
          <w:sz w:val="24"/>
          <w:szCs w:val="24"/>
          <w:lang w:val="sq-AL"/>
        </w:rPr>
        <w:t>Ky vendim është përfundimtar, i formës së prerë dhe hyn në fuqi ditën e botimit në Fletoren Zyrtare.</w:t>
      </w:r>
      <w:r w:rsidRPr="00B055F6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</w:p>
    <w:p w14:paraId="3E10D78E" w14:textId="72BF363B" w:rsidR="00A4769B" w:rsidRPr="00B055F6" w:rsidRDefault="00A4769B" w:rsidP="00A4769B">
      <w:pPr>
        <w:shd w:val="clear" w:color="auto" w:fill="FFFFFF" w:themeFill="background1"/>
        <w:spacing w:after="0" w:line="240" w:lineRule="auto"/>
        <w:ind w:firstLine="284"/>
        <w:contextualSpacing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B055F6">
        <w:rPr>
          <w:rFonts w:ascii="Garamond" w:hAnsi="Garamond" w:cs="Times New Roman"/>
          <w:b/>
          <w:bCs/>
          <w:sz w:val="24"/>
          <w:szCs w:val="24"/>
          <w:lang w:val="sq-AL"/>
        </w:rPr>
        <w:t>Marrë më 17.11.2025</w:t>
      </w:r>
      <w:r w:rsidR="008070AF">
        <w:rPr>
          <w:rFonts w:ascii="Garamond" w:hAnsi="Garamond" w:cs="Times New Roman"/>
          <w:b/>
          <w:bCs/>
          <w:sz w:val="24"/>
          <w:szCs w:val="24"/>
          <w:lang w:val="sq-AL"/>
        </w:rPr>
        <w:t>.</w:t>
      </w:r>
    </w:p>
    <w:p w14:paraId="272A40B3" w14:textId="2C90799C" w:rsidR="00A4769B" w:rsidRPr="00B055F6" w:rsidRDefault="00A4769B" w:rsidP="00A4769B">
      <w:pPr>
        <w:shd w:val="clear" w:color="auto" w:fill="FFFFFF" w:themeFill="background1"/>
        <w:spacing w:after="0" w:line="240" w:lineRule="auto"/>
        <w:ind w:firstLine="284"/>
        <w:contextualSpacing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B055F6">
        <w:rPr>
          <w:rFonts w:ascii="Garamond" w:hAnsi="Garamond" w:cs="Times New Roman"/>
          <w:b/>
          <w:bCs/>
          <w:sz w:val="24"/>
          <w:szCs w:val="24"/>
          <w:lang w:val="sq-AL"/>
        </w:rPr>
        <w:t>Shpallur më 26.11.2025</w:t>
      </w:r>
      <w:r w:rsidR="008070AF">
        <w:rPr>
          <w:rFonts w:ascii="Garamond" w:hAnsi="Garamond" w:cs="Times New Roman"/>
          <w:b/>
          <w:bCs/>
          <w:sz w:val="24"/>
          <w:szCs w:val="24"/>
          <w:lang w:val="sq-AL"/>
        </w:rPr>
        <w:t>.</w:t>
      </w:r>
    </w:p>
    <w:p w14:paraId="7443448F" w14:textId="77777777" w:rsidR="00153EE3" w:rsidRPr="00B055F6" w:rsidRDefault="00153EE3" w:rsidP="00A4769B">
      <w:pPr>
        <w:shd w:val="clear" w:color="auto" w:fill="FFFFFF" w:themeFill="background1"/>
        <w:spacing w:after="0" w:line="240" w:lineRule="auto"/>
        <w:ind w:firstLine="284"/>
        <w:contextualSpacing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3E8FB4D2" w14:textId="54927B2E" w:rsidR="00153EE3" w:rsidRPr="00B055F6" w:rsidRDefault="00153EE3" w:rsidP="00153EE3">
      <w:pPr>
        <w:tabs>
          <w:tab w:val="left" w:pos="851"/>
          <w:tab w:val="left" w:pos="1418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B055F6">
        <w:rPr>
          <w:rFonts w:ascii="Garamond" w:hAnsi="Garamond"/>
          <w:b/>
          <w:sz w:val="24"/>
          <w:szCs w:val="24"/>
          <w:lang w:val="sq-AL"/>
        </w:rPr>
        <w:t>Kryesuese:</w:t>
      </w:r>
      <w:r w:rsidRPr="00B055F6">
        <w:rPr>
          <w:rFonts w:ascii="Garamond" w:hAnsi="Garamond"/>
          <w:sz w:val="24"/>
          <w:szCs w:val="24"/>
          <w:lang w:val="sq-AL"/>
        </w:rPr>
        <w:t xml:space="preserve"> </w:t>
      </w:r>
      <w:r w:rsidRPr="00B055F6">
        <w:rPr>
          <w:rFonts w:ascii="Garamond" w:hAnsi="Garamond" w:cs="Times New Roman"/>
          <w:bCs/>
          <w:sz w:val="24"/>
          <w:szCs w:val="24"/>
          <w:lang w:val="sq-AL"/>
        </w:rPr>
        <w:t>Marsida Xhaferllari</w:t>
      </w:r>
    </w:p>
    <w:p w14:paraId="1B00CBE7" w14:textId="63A02593" w:rsidR="00A4769B" w:rsidRPr="00B055F6" w:rsidRDefault="00153EE3" w:rsidP="00153EE3">
      <w:pPr>
        <w:shd w:val="clear" w:color="auto" w:fill="FFFFFF" w:themeFill="background1"/>
        <w:tabs>
          <w:tab w:val="left" w:pos="1080"/>
        </w:tabs>
        <w:spacing w:after="0" w:line="240" w:lineRule="auto"/>
        <w:ind w:firstLine="284"/>
        <w:contextualSpacing/>
        <w:rPr>
          <w:rFonts w:ascii="Garamond" w:hAnsi="Garamond"/>
          <w:sz w:val="24"/>
          <w:szCs w:val="24"/>
          <w:lang w:val="sq-AL"/>
        </w:rPr>
      </w:pPr>
      <w:r w:rsidRPr="00B055F6">
        <w:rPr>
          <w:rFonts w:ascii="Garamond" w:hAnsi="Garamond"/>
          <w:b/>
          <w:sz w:val="24"/>
          <w:szCs w:val="24"/>
          <w:lang w:val="sq-AL"/>
        </w:rPr>
        <w:t>Anëtar</w:t>
      </w:r>
      <w:r w:rsidR="00B055F6" w:rsidRPr="00B055F6">
        <w:rPr>
          <w:rFonts w:ascii="Garamond" w:hAnsi="Garamond"/>
          <w:b/>
          <w:sz w:val="24"/>
          <w:szCs w:val="24"/>
          <w:lang w:val="sq-AL"/>
        </w:rPr>
        <w:t>ë</w:t>
      </w:r>
      <w:r w:rsidRPr="00B055F6">
        <w:rPr>
          <w:rFonts w:ascii="Garamond" w:hAnsi="Garamond"/>
          <w:b/>
          <w:sz w:val="24"/>
          <w:szCs w:val="24"/>
          <w:lang w:val="sq-AL"/>
        </w:rPr>
        <w:t>:</w:t>
      </w:r>
      <w:r w:rsidRPr="00B055F6">
        <w:rPr>
          <w:rFonts w:ascii="Garamond" w:hAnsi="Garamond" w:cs="Times New Roman"/>
          <w:bCs/>
          <w:sz w:val="24"/>
          <w:szCs w:val="24"/>
          <w:lang w:val="sq-AL"/>
        </w:rPr>
        <w:t xml:space="preserve"> Sonila Bejtja, Fiona Papajorgji, Genti Ibrahimi, Ilir Toska, Sandër Beci, Marjana Semini</w:t>
      </w:r>
    </w:p>
    <w:p w14:paraId="1EAC591A" w14:textId="77777777" w:rsidR="00153EE3" w:rsidRPr="00B055F6" w:rsidRDefault="00153EE3" w:rsidP="00153EE3">
      <w:pPr>
        <w:shd w:val="clear" w:color="auto" w:fill="FFFFFF" w:themeFill="background1"/>
        <w:tabs>
          <w:tab w:val="left" w:pos="1080"/>
        </w:tabs>
        <w:spacing w:after="0" w:line="240" w:lineRule="auto"/>
        <w:ind w:firstLine="284"/>
        <w:contextualSpacing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sectPr w:rsidR="00153EE3" w:rsidRPr="00B055F6" w:rsidSect="00B055F6">
      <w:headerReference w:type="default" r:id="rId13"/>
      <w:footerReference w:type="default" r:id="rId14"/>
      <w:pgSz w:w="11907" w:h="16839" w:code="9"/>
      <w:pgMar w:top="900" w:right="1440" w:bottom="1080" w:left="1440" w:header="720" w:footer="15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4762AB" w14:textId="77777777" w:rsidR="00B055F6" w:rsidRDefault="00B055F6" w:rsidP="00EC023F">
      <w:pPr>
        <w:spacing w:after="0" w:line="240" w:lineRule="auto"/>
      </w:pPr>
      <w:r>
        <w:separator/>
      </w:r>
    </w:p>
    <w:p w14:paraId="64A0EDBF" w14:textId="77777777" w:rsidR="00B055F6" w:rsidRDefault="00B055F6"/>
    <w:p w14:paraId="0CCD9800" w14:textId="77777777" w:rsidR="00B055F6" w:rsidRDefault="00B055F6"/>
  </w:endnote>
  <w:endnote w:type="continuationSeparator" w:id="0">
    <w:p w14:paraId="1217804B" w14:textId="77777777" w:rsidR="00B055F6" w:rsidRDefault="00B055F6" w:rsidP="00EC023F">
      <w:pPr>
        <w:spacing w:after="0" w:line="240" w:lineRule="auto"/>
      </w:pPr>
      <w:r>
        <w:continuationSeparator/>
      </w:r>
    </w:p>
    <w:p w14:paraId="2AA182C8" w14:textId="77777777" w:rsidR="00B055F6" w:rsidRDefault="00B055F6"/>
    <w:p w14:paraId="1122FBB7" w14:textId="77777777" w:rsidR="00B055F6" w:rsidRDefault="00B055F6"/>
  </w:endnote>
  <w:endnote w:type="continuationNotice" w:id="1">
    <w:p w14:paraId="7AB77814" w14:textId="77777777" w:rsidR="00B055F6" w:rsidRDefault="00B055F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621F89" w14:textId="77777777" w:rsidR="00B055F6" w:rsidRPr="00A4769B" w:rsidRDefault="00B055F6">
    <w:pPr>
      <w:pStyle w:val="Footer"/>
      <w:rPr>
        <w:rFonts w:ascii="Times New Roman" w:hAnsi="Times New Roman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6A61B3" w14:textId="77777777" w:rsidR="00B055F6" w:rsidRDefault="00B055F6" w:rsidP="00EC023F">
      <w:pPr>
        <w:spacing w:after="0" w:line="240" w:lineRule="auto"/>
      </w:pPr>
      <w:r>
        <w:separator/>
      </w:r>
    </w:p>
    <w:p w14:paraId="3832C381" w14:textId="77777777" w:rsidR="00B055F6" w:rsidRDefault="00B055F6"/>
    <w:p w14:paraId="0E82FD8A" w14:textId="77777777" w:rsidR="00B055F6" w:rsidRDefault="00B055F6"/>
  </w:footnote>
  <w:footnote w:type="continuationSeparator" w:id="0">
    <w:p w14:paraId="473AD51F" w14:textId="77777777" w:rsidR="00B055F6" w:rsidRDefault="00B055F6" w:rsidP="00EC023F">
      <w:pPr>
        <w:spacing w:after="0" w:line="240" w:lineRule="auto"/>
      </w:pPr>
      <w:r>
        <w:continuationSeparator/>
      </w:r>
    </w:p>
    <w:p w14:paraId="370ED204" w14:textId="77777777" w:rsidR="00B055F6" w:rsidRDefault="00B055F6"/>
    <w:p w14:paraId="4E9BAF6E" w14:textId="77777777" w:rsidR="00B055F6" w:rsidRDefault="00B055F6"/>
  </w:footnote>
  <w:footnote w:type="continuationNotice" w:id="1">
    <w:p w14:paraId="09EF05FE" w14:textId="77777777" w:rsidR="00B055F6" w:rsidRDefault="00B055F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38D4FB" w14:textId="77777777" w:rsidR="00B055F6" w:rsidRDefault="00B055F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88465D"/>
    <w:multiLevelType w:val="hybridMultilevel"/>
    <w:tmpl w:val="25BE3798"/>
    <w:lvl w:ilvl="0" w:tplc="F1D635A2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B1286A"/>
    <w:multiLevelType w:val="multilevel"/>
    <w:tmpl w:val="43A69FB8"/>
    <w:lvl w:ilvl="0">
      <w:start w:val="1"/>
      <w:numFmt w:val="decimal"/>
      <w:lvlText w:val="%1."/>
      <w:lvlJc w:val="left"/>
      <w:pPr>
        <w:ind w:left="1260" w:hanging="360"/>
      </w:pPr>
      <w:rPr>
        <w:rFonts w:eastAsiaTheme="minorHAnsi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21B4D22"/>
    <w:multiLevelType w:val="hybridMultilevel"/>
    <w:tmpl w:val="B1D26D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312681"/>
    <w:multiLevelType w:val="hybridMultilevel"/>
    <w:tmpl w:val="CCC097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DC1CD4"/>
    <w:multiLevelType w:val="hybridMultilevel"/>
    <w:tmpl w:val="80C0BCAA"/>
    <w:lvl w:ilvl="0" w:tplc="60E813B6">
      <w:start w:val="1"/>
      <w:numFmt w:val="decimal"/>
      <w:lvlText w:val="%1."/>
      <w:lvlJc w:val="left"/>
      <w:pPr>
        <w:ind w:left="11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3" w:hanging="360"/>
      </w:pPr>
    </w:lvl>
    <w:lvl w:ilvl="2" w:tplc="0409001B" w:tentative="1">
      <w:start w:val="1"/>
      <w:numFmt w:val="lowerRoman"/>
      <w:lvlText w:val="%3."/>
      <w:lvlJc w:val="right"/>
      <w:pPr>
        <w:ind w:left="2583" w:hanging="180"/>
      </w:pPr>
    </w:lvl>
    <w:lvl w:ilvl="3" w:tplc="0409000F" w:tentative="1">
      <w:start w:val="1"/>
      <w:numFmt w:val="decimal"/>
      <w:lvlText w:val="%4."/>
      <w:lvlJc w:val="left"/>
      <w:pPr>
        <w:ind w:left="3303" w:hanging="360"/>
      </w:pPr>
    </w:lvl>
    <w:lvl w:ilvl="4" w:tplc="04090019" w:tentative="1">
      <w:start w:val="1"/>
      <w:numFmt w:val="lowerLetter"/>
      <w:lvlText w:val="%5."/>
      <w:lvlJc w:val="left"/>
      <w:pPr>
        <w:ind w:left="4023" w:hanging="360"/>
      </w:pPr>
    </w:lvl>
    <w:lvl w:ilvl="5" w:tplc="0409001B" w:tentative="1">
      <w:start w:val="1"/>
      <w:numFmt w:val="lowerRoman"/>
      <w:lvlText w:val="%6."/>
      <w:lvlJc w:val="right"/>
      <w:pPr>
        <w:ind w:left="4743" w:hanging="180"/>
      </w:pPr>
    </w:lvl>
    <w:lvl w:ilvl="6" w:tplc="0409000F" w:tentative="1">
      <w:start w:val="1"/>
      <w:numFmt w:val="decimal"/>
      <w:lvlText w:val="%7."/>
      <w:lvlJc w:val="left"/>
      <w:pPr>
        <w:ind w:left="5463" w:hanging="360"/>
      </w:pPr>
    </w:lvl>
    <w:lvl w:ilvl="7" w:tplc="04090019" w:tentative="1">
      <w:start w:val="1"/>
      <w:numFmt w:val="lowerLetter"/>
      <w:lvlText w:val="%8."/>
      <w:lvlJc w:val="left"/>
      <w:pPr>
        <w:ind w:left="6183" w:hanging="360"/>
      </w:pPr>
    </w:lvl>
    <w:lvl w:ilvl="8" w:tplc="0409001B" w:tentative="1">
      <w:start w:val="1"/>
      <w:numFmt w:val="lowerRoman"/>
      <w:lvlText w:val="%9."/>
      <w:lvlJc w:val="right"/>
      <w:pPr>
        <w:ind w:left="6903" w:hanging="180"/>
      </w:pPr>
    </w:lvl>
  </w:abstractNum>
  <w:abstractNum w:abstractNumId="5" w15:restartNumberingAfterBreak="0">
    <w:nsid w:val="174D0C9D"/>
    <w:multiLevelType w:val="multilevel"/>
    <w:tmpl w:val="27AC7516"/>
    <w:lvl w:ilvl="0">
      <w:start w:val="1"/>
      <w:numFmt w:val="decimal"/>
      <w:lvlText w:val="%1."/>
      <w:lvlJc w:val="left"/>
      <w:pPr>
        <w:ind w:left="1260" w:hanging="720"/>
      </w:pPr>
      <w:rPr>
        <w:rFonts w:ascii="Times New Roman" w:eastAsia="Times New Roman" w:hAnsi="Times New Roman" w:cs="Times New Roman"/>
        <w:b w:val="0"/>
        <w:i w:val="0"/>
        <w:strike w:val="0"/>
        <w:color w:val="auto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800" w:hanging="36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2070" w:hanging="720"/>
      </w:pPr>
      <w:rPr>
        <w:rFonts w:hint="default"/>
        <w:b w:val="0"/>
        <w:i w:val="0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 w:val="0"/>
        <w:i w:val="0"/>
      </w:rPr>
    </w:lvl>
    <w:lvl w:ilvl="4">
      <w:start w:val="1"/>
      <w:numFmt w:val="decimal"/>
      <w:isLgl/>
      <w:lvlText w:val="%1.%2.%3.%4.%5."/>
      <w:lvlJc w:val="left"/>
      <w:pPr>
        <w:ind w:left="3961" w:hanging="1080"/>
      </w:pPr>
      <w:rPr>
        <w:rFonts w:hint="default"/>
        <w:b/>
        <w:i/>
      </w:rPr>
    </w:lvl>
    <w:lvl w:ilvl="5">
      <w:start w:val="1"/>
      <w:numFmt w:val="decimal"/>
      <w:isLgl/>
      <w:lvlText w:val="%1.%2.%3.%4.%5.%6."/>
      <w:lvlJc w:val="left"/>
      <w:pPr>
        <w:ind w:left="4681" w:hanging="1080"/>
      </w:pPr>
      <w:rPr>
        <w:rFonts w:hint="default"/>
        <w:b/>
        <w:i/>
      </w:rPr>
    </w:lvl>
    <w:lvl w:ilvl="6">
      <w:start w:val="1"/>
      <w:numFmt w:val="decimal"/>
      <w:isLgl/>
      <w:lvlText w:val="%1.%2.%3.%4.%5.%6.%7."/>
      <w:lvlJc w:val="left"/>
      <w:pPr>
        <w:ind w:left="5761" w:hanging="1440"/>
      </w:pPr>
      <w:rPr>
        <w:rFonts w:hint="default"/>
        <w:b/>
        <w:i/>
      </w:rPr>
    </w:lvl>
    <w:lvl w:ilvl="7">
      <w:start w:val="1"/>
      <w:numFmt w:val="decimal"/>
      <w:isLgl/>
      <w:lvlText w:val="%1.%2.%3.%4.%5.%6.%7.%8."/>
      <w:lvlJc w:val="left"/>
      <w:pPr>
        <w:ind w:left="6481" w:hanging="1440"/>
      </w:pPr>
      <w:rPr>
        <w:rFonts w:hint="default"/>
        <w:b/>
        <w:i/>
      </w:rPr>
    </w:lvl>
    <w:lvl w:ilvl="8">
      <w:start w:val="1"/>
      <w:numFmt w:val="decimal"/>
      <w:isLgl/>
      <w:lvlText w:val="%1.%2.%3.%4.%5.%6.%7.%8.%9."/>
      <w:lvlJc w:val="left"/>
      <w:pPr>
        <w:ind w:left="7561" w:hanging="1800"/>
      </w:pPr>
      <w:rPr>
        <w:rFonts w:hint="default"/>
        <w:b/>
        <w:i/>
      </w:rPr>
    </w:lvl>
  </w:abstractNum>
  <w:abstractNum w:abstractNumId="6" w15:restartNumberingAfterBreak="0">
    <w:nsid w:val="17F41F55"/>
    <w:multiLevelType w:val="hybridMultilevel"/>
    <w:tmpl w:val="B02E785C"/>
    <w:lvl w:ilvl="0" w:tplc="C98EC0E8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FB60C5"/>
    <w:multiLevelType w:val="hybridMultilevel"/>
    <w:tmpl w:val="1FCC3E3C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AE50122"/>
    <w:multiLevelType w:val="hybridMultilevel"/>
    <w:tmpl w:val="317A75A2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C436EFD"/>
    <w:multiLevelType w:val="hybridMultilevel"/>
    <w:tmpl w:val="99CE0282"/>
    <w:lvl w:ilvl="0" w:tplc="78ACDDBE">
      <w:start w:val="9"/>
      <w:numFmt w:val="decimal"/>
      <w:lvlText w:val="%1."/>
      <w:lvlJc w:val="left"/>
      <w:pPr>
        <w:ind w:left="144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FE70671"/>
    <w:multiLevelType w:val="hybridMultilevel"/>
    <w:tmpl w:val="ACF010EE"/>
    <w:lvl w:ilvl="0" w:tplc="63F29700">
      <w:start w:val="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337884"/>
    <w:multiLevelType w:val="hybridMultilevel"/>
    <w:tmpl w:val="8744A1C4"/>
    <w:lvl w:ilvl="0" w:tplc="A69C38B2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3D73AC2"/>
    <w:multiLevelType w:val="hybridMultilevel"/>
    <w:tmpl w:val="32320F18"/>
    <w:lvl w:ilvl="0" w:tplc="1E2022C4">
      <w:start w:val="1"/>
      <w:numFmt w:val="decimal"/>
      <w:lvlText w:val="%1."/>
      <w:lvlJc w:val="left"/>
      <w:pPr>
        <w:ind w:left="1503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223" w:hanging="360"/>
      </w:pPr>
    </w:lvl>
    <w:lvl w:ilvl="2" w:tplc="041C001B" w:tentative="1">
      <w:start w:val="1"/>
      <w:numFmt w:val="lowerRoman"/>
      <w:lvlText w:val="%3."/>
      <w:lvlJc w:val="right"/>
      <w:pPr>
        <w:ind w:left="2943" w:hanging="180"/>
      </w:pPr>
    </w:lvl>
    <w:lvl w:ilvl="3" w:tplc="041C000F" w:tentative="1">
      <w:start w:val="1"/>
      <w:numFmt w:val="decimal"/>
      <w:lvlText w:val="%4."/>
      <w:lvlJc w:val="left"/>
      <w:pPr>
        <w:ind w:left="3663" w:hanging="360"/>
      </w:pPr>
    </w:lvl>
    <w:lvl w:ilvl="4" w:tplc="041C0019" w:tentative="1">
      <w:start w:val="1"/>
      <w:numFmt w:val="lowerLetter"/>
      <w:lvlText w:val="%5."/>
      <w:lvlJc w:val="left"/>
      <w:pPr>
        <w:ind w:left="4383" w:hanging="360"/>
      </w:pPr>
    </w:lvl>
    <w:lvl w:ilvl="5" w:tplc="041C001B" w:tentative="1">
      <w:start w:val="1"/>
      <w:numFmt w:val="lowerRoman"/>
      <w:lvlText w:val="%6."/>
      <w:lvlJc w:val="right"/>
      <w:pPr>
        <w:ind w:left="5103" w:hanging="180"/>
      </w:pPr>
    </w:lvl>
    <w:lvl w:ilvl="6" w:tplc="041C000F" w:tentative="1">
      <w:start w:val="1"/>
      <w:numFmt w:val="decimal"/>
      <w:lvlText w:val="%7."/>
      <w:lvlJc w:val="left"/>
      <w:pPr>
        <w:ind w:left="5823" w:hanging="360"/>
      </w:pPr>
    </w:lvl>
    <w:lvl w:ilvl="7" w:tplc="041C0019" w:tentative="1">
      <w:start w:val="1"/>
      <w:numFmt w:val="lowerLetter"/>
      <w:lvlText w:val="%8."/>
      <w:lvlJc w:val="left"/>
      <w:pPr>
        <w:ind w:left="6543" w:hanging="360"/>
      </w:pPr>
    </w:lvl>
    <w:lvl w:ilvl="8" w:tplc="041C001B" w:tentative="1">
      <w:start w:val="1"/>
      <w:numFmt w:val="lowerRoman"/>
      <w:lvlText w:val="%9."/>
      <w:lvlJc w:val="right"/>
      <w:pPr>
        <w:ind w:left="7263" w:hanging="180"/>
      </w:pPr>
    </w:lvl>
  </w:abstractNum>
  <w:abstractNum w:abstractNumId="13" w15:restartNumberingAfterBreak="0">
    <w:nsid w:val="27D019E8"/>
    <w:multiLevelType w:val="multilevel"/>
    <w:tmpl w:val="CD7CB23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i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i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i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i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i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i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i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i/>
      </w:rPr>
    </w:lvl>
  </w:abstractNum>
  <w:abstractNum w:abstractNumId="14" w15:restartNumberingAfterBreak="0">
    <w:nsid w:val="28EA49CE"/>
    <w:multiLevelType w:val="multilevel"/>
    <w:tmpl w:val="6AC81414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i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i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i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i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i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i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i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i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i/>
      </w:rPr>
    </w:lvl>
  </w:abstractNum>
  <w:abstractNum w:abstractNumId="15" w15:restartNumberingAfterBreak="0">
    <w:nsid w:val="2AEC66FF"/>
    <w:multiLevelType w:val="hybridMultilevel"/>
    <w:tmpl w:val="06100034"/>
    <w:lvl w:ilvl="0" w:tplc="8252EF7E">
      <w:start w:val="2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E524EA"/>
    <w:multiLevelType w:val="multilevel"/>
    <w:tmpl w:val="D9C02C7E"/>
    <w:lvl w:ilvl="0">
      <w:start w:val="8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 w:val="0"/>
        <w:i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  <w:i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  <w:b/>
        <w:i/>
      </w:rPr>
    </w:lvl>
    <w:lvl w:ilvl="5">
      <w:start w:val="1"/>
      <w:numFmt w:val="decimal"/>
      <w:isLgl/>
      <w:lvlText w:val="%1.%2.%3.%4.%5.%6."/>
      <w:lvlJc w:val="left"/>
      <w:pPr>
        <w:ind w:left="2160" w:hanging="1080"/>
      </w:pPr>
      <w:rPr>
        <w:rFonts w:hint="default"/>
        <w:b/>
        <w:i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rFonts w:hint="default"/>
        <w:b/>
        <w:i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rFonts w:hint="default"/>
        <w:b/>
        <w:i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rFonts w:hint="default"/>
        <w:b/>
        <w:i/>
      </w:rPr>
    </w:lvl>
  </w:abstractNum>
  <w:abstractNum w:abstractNumId="17" w15:restartNumberingAfterBreak="0">
    <w:nsid w:val="30003D76"/>
    <w:multiLevelType w:val="hybridMultilevel"/>
    <w:tmpl w:val="4B6E2948"/>
    <w:lvl w:ilvl="0" w:tplc="3A228D90">
      <w:start w:val="1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B95A14"/>
    <w:multiLevelType w:val="hybridMultilevel"/>
    <w:tmpl w:val="90104EDE"/>
    <w:lvl w:ilvl="0" w:tplc="041C000F">
      <w:start w:val="12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DF7F7D"/>
    <w:multiLevelType w:val="hybridMultilevel"/>
    <w:tmpl w:val="7F16E84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39233FF0"/>
    <w:multiLevelType w:val="hybridMultilevel"/>
    <w:tmpl w:val="41362102"/>
    <w:lvl w:ilvl="0" w:tplc="E08A95E8">
      <w:start w:val="1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471FBE"/>
    <w:multiLevelType w:val="hybridMultilevel"/>
    <w:tmpl w:val="F3268AF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39715994"/>
    <w:multiLevelType w:val="hybridMultilevel"/>
    <w:tmpl w:val="B8A2A3BC"/>
    <w:lvl w:ilvl="0" w:tplc="EE12ACFC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CF1244B"/>
    <w:multiLevelType w:val="hybridMultilevel"/>
    <w:tmpl w:val="569E66E8"/>
    <w:lvl w:ilvl="0" w:tplc="B992BDDC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0B8095A"/>
    <w:multiLevelType w:val="hybridMultilevel"/>
    <w:tmpl w:val="CD9EAB40"/>
    <w:lvl w:ilvl="0" w:tplc="A100FFE0">
      <w:start w:val="47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8A071E9"/>
    <w:multiLevelType w:val="hybridMultilevel"/>
    <w:tmpl w:val="92D0D37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8C622DF"/>
    <w:multiLevelType w:val="multilevel"/>
    <w:tmpl w:val="F6EC6F2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/>
        <w:i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  <w:i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  <w:i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  <w:i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  <w:i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  <w:i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  <w:i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  <w:i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  <w:i/>
      </w:rPr>
    </w:lvl>
  </w:abstractNum>
  <w:abstractNum w:abstractNumId="27" w15:restartNumberingAfterBreak="0">
    <w:nsid w:val="4C0C3F4F"/>
    <w:multiLevelType w:val="hybridMultilevel"/>
    <w:tmpl w:val="EE1E8D5A"/>
    <w:lvl w:ilvl="0" w:tplc="30466EAE">
      <w:start w:val="2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0E6C68"/>
    <w:multiLevelType w:val="hybridMultilevel"/>
    <w:tmpl w:val="FB720DEE"/>
    <w:lvl w:ilvl="0" w:tplc="C79A1CF8">
      <w:start w:val="1"/>
      <w:numFmt w:val="upperLetter"/>
      <w:lvlText w:val="%1."/>
      <w:lvlJc w:val="left"/>
      <w:pPr>
        <w:ind w:left="108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4FC2085C"/>
    <w:multiLevelType w:val="multilevel"/>
    <w:tmpl w:val="EF9A7E50"/>
    <w:lvl w:ilvl="0">
      <w:start w:val="25"/>
      <w:numFmt w:val="decimal"/>
      <w:lvlText w:val="%1."/>
      <w:lvlJc w:val="left"/>
      <w:pPr>
        <w:ind w:left="1440" w:hanging="360"/>
      </w:pPr>
      <w:rPr>
        <w:rFonts w:ascii="Times New Roman" w:eastAsiaTheme="minorHAnsi" w:hAnsi="Times New Roman" w:cs="Times New Roman" w:hint="default"/>
        <w:b w:val="0"/>
        <w:i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0" w15:restartNumberingAfterBreak="0">
    <w:nsid w:val="53B03F3B"/>
    <w:multiLevelType w:val="multilevel"/>
    <w:tmpl w:val="43A69FB8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1" w15:restartNumberingAfterBreak="0">
    <w:nsid w:val="550F5CF4"/>
    <w:multiLevelType w:val="multilevel"/>
    <w:tmpl w:val="94C02252"/>
    <w:lvl w:ilvl="0">
      <w:start w:val="10"/>
      <w:numFmt w:val="decimal"/>
      <w:lvlText w:val="%1"/>
      <w:lvlJc w:val="left"/>
      <w:pPr>
        <w:ind w:left="420" w:hanging="420"/>
      </w:pPr>
      <w:rPr>
        <w:rFonts w:cstheme="minorBidi" w:hint="default"/>
        <w:i/>
      </w:rPr>
    </w:lvl>
    <w:lvl w:ilvl="1">
      <w:start w:val="1"/>
      <w:numFmt w:val="decimal"/>
      <w:lvlText w:val="%1.%2"/>
      <w:lvlJc w:val="left"/>
      <w:pPr>
        <w:ind w:left="1140" w:hanging="420"/>
      </w:pPr>
      <w:rPr>
        <w:rFonts w:cstheme="minorBidi" w:hint="default"/>
        <w:i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cstheme="minorBidi" w:hint="default"/>
        <w:i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cstheme="minorBidi" w:hint="default"/>
        <w:i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cstheme="minorBidi" w:hint="default"/>
        <w:i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cstheme="minorBidi" w:hint="default"/>
        <w:i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cstheme="minorBidi" w:hint="default"/>
        <w:i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cstheme="minorBidi" w:hint="default"/>
        <w:i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cstheme="minorBidi" w:hint="default"/>
        <w:i/>
      </w:rPr>
    </w:lvl>
  </w:abstractNum>
  <w:abstractNum w:abstractNumId="32" w15:restartNumberingAfterBreak="0">
    <w:nsid w:val="583F2921"/>
    <w:multiLevelType w:val="hybridMultilevel"/>
    <w:tmpl w:val="83164CF0"/>
    <w:lvl w:ilvl="0" w:tplc="3192FF6C">
      <w:start w:val="1"/>
      <w:numFmt w:val="decimal"/>
      <w:lvlText w:val="%1."/>
      <w:lvlJc w:val="left"/>
      <w:pPr>
        <w:ind w:left="1503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223" w:hanging="360"/>
      </w:pPr>
    </w:lvl>
    <w:lvl w:ilvl="2" w:tplc="041C001B" w:tentative="1">
      <w:start w:val="1"/>
      <w:numFmt w:val="lowerRoman"/>
      <w:lvlText w:val="%3."/>
      <w:lvlJc w:val="right"/>
      <w:pPr>
        <w:ind w:left="2943" w:hanging="180"/>
      </w:pPr>
    </w:lvl>
    <w:lvl w:ilvl="3" w:tplc="041C000F" w:tentative="1">
      <w:start w:val="1"/>
      <w:numFmt w:val="decimal"/>
      <w:lvlText w:val="%4."/>
      <w:lvlJc w:val="left"/>
      <w:pPr>
        <w:ind w:left="3663" w:hanging="360"/>
      </w:pPr>
    </w:lvl>
    <w:lvl w:ilvl="4" w:tplc="041C0019" w:tentative="1">
      <w:start w:val="1"/>
      <w:numFmt w:val="lowerLetter"/>
      <w:lvlText w:val="%5."/>
      <w:lvlJc w:val="left"/>
      <w:pPr>
        <w:ind w:left="4383" w:hanging="360"/>
      </w:pPr>
    </w:lvl>
    <w:lvl w:ilvl="5" w:tplc="041C001B" w:tentative="1">
      <w:start w:val="1"/>
      <w:numFmt w:val="lowerRoman"/>
      <w:lvlText w:val="%6."/>
      <w:lvlJc w:val="right"/>
      <w:pPr>
        <w:ind w:left="5103" w:hanging="180"/>
      </w:pPr>
    </w:lvl>
    <w:lvl w:ilvl="6" w:tplc="041C000F" w:tentative="1">
      <w:start w:val="1"/>
      <w:numFmt w:val="decimal"/>
      <w:lvlText w:val="%7."/>
      <w:lvlJc w:val="left"/>
      <w:pPr>
        <w:ind w:left="5823" w:hanging="360"/>
      </w:pPr>
    </w:lvl>
    <w:lvl w:ilvl="7" w:tplc="041C0019" w:tentative="1">
      <w:start w:val="1"/>
      <w:numFmt w:val="lowerLetter"/>
      <w:lvlText w:val="%8."/>
      <w:lvlJc w:val="left"/>
      <w:pPr>
        <w:ind w:left="6543" w:hanging="360"/>
      </w:pPr>
    </w:lvl>
    <w:lvl w:ilvl="8" w:tplc="041C001B" w:tentative="1">
      <w:start w:val="1"/>
      <w:numFmt w:val="lowerRoman"/>
      <w:lvlText w:val="%9."/>
      <w:lvlJc w:val="right"/>
      <w:pPr>
        <w:ind w:left="7263" w:hanging="180"/>
      </w:pPr>
    </w:lvl>
  </w:abstractNum>
  <w:abstractNum w:abstractNumId="33" w15:restartNumberingAfterBreak="0">
    <w:nsid w:val="5947384A"/>
    <w:multiLevelType w:val="hybridMultilevel"/>
    <w:tmpl w:val="39329F18"/>
    <w:lvl w:ilvl="0" w:tplc="FA6E037A">
      <w:start w:val="2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ACC1360"/>
    <w:multiLevelType w:val="hybridMultilevel"/>
    <w:tmpl w:val="D604EAC4"/>
    <w:lvl w:ilvl="0" w:tplc="E3583C32">
      <w:start w:val="9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 w15:restartNumberingAfterBreak="0">
    <w:nsid w:val="5B370F2F"/>
    <w:multiLevelType w:val="hybridMultilevel"/>
    <w:tmpl w:val="641844B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AC0661"/>
    <w:multiLevelType w:val="multilevel"/>
    <w:tmpl w:val="0FEEA384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i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i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i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i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i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i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i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i/>
      </w:rPr>
    </w:lvl>
  </w:abstractNum>
  <w:abstractNum w:abstractNumId="37" w15:restartNumberingAfterBreak="0">
    <w:nsid w:val="600E3BF5"/>
    <w:multiLevelType w:val="hybridMultilevel"/>
    <w:tmpl w:val="CCE4C3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6F349E6"/>
    <w:multiLevelType w:val="hybridMultilevel"/>
    <w:tmpl w:val="8712629E"/>
    <w:lvl w:ilvl="0" w:tplc="86C604FE">
      <w:start w:val="1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364109"/>
    <w:multiLevelType w:val="hybridMultilevel"/>
    <w:tmpl w:val="6CAC739E"/>
    <w:lvl w:ilvl="0" w:tplc="B7F82394">
      <w:start w:val="1"/>
      <w:numFmt w:val="upperRoman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  <w:i/>
      </w:rPr>
    </w:lvl>
    <w:lvl w:ilvl="1" w:tplc="DC4CD158">
      <w:start w:val="1"/>
      <w:numFmt w:val="decimal"/>
      <w:lvlText w:val="%2."/>
      <w:lvlJc w:val="left"/>
      <w:pPr>
        <w:tabs>
          <w:tab w:val="num" w:pos="1260"/>
        </w:tabs>
        <w:ind w:left="1260" w:hanging="360"/>
      </w:pPr>
      <w:rPr>
        <w:b w:val="0"/>
        <w:i w:val="0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CC51A63"/>
    <w:multiLevelType w:val="hybridMultilevel"/>
    <w:tmpl w:val="E4B480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F6260D"/>
    <w:multiLevelType w:val="hybridMultilevel"/>
    <w:tmpl w:val="D8CE08C8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2" w15:restartNumberingAfterBreak="0">
    <w:nsid w:val="714815A9"/>
    <w:multiLevelType w:val="multilevel"/>
    <w:tmpl w:val="12909C4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/>
        <w:i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i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i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i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i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i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i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i/>
      </w:rPr>
    </w:lvl>
  </w:abstractNum>
  <w:abstractNum w:abstractNumId="43" w15:restartNumberingAfterBreak="0">
    <w:nsid w:val="739A3E2D"/>
    <w:multiLevelType w:val="hybridMultilevel"/>
    <w:tmpl w:val="1098DD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4B3D37"/>
    <w:multiLevelType w:val="multilevel"/>
    <w:tmpl w:val="8556AFD2"/>
    <w:lvl w:ilvl="0">
      <w:start w:val="7"/>
      <w:numFmt w:val="decimal"/>
      <w:lvlText w:val="%1."/>
      <w:lvlJc w:val="left"/>
      <w:pPr>
        <w:ind w:left="150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04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8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2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44" w:hanging="1800"/>
      </w:pPr>
      <w:rPr>
        <w:rFonts w:hint="default"/>
      </w:rPr>
    </w:lvl>
  </w:abstractNum>
  <w:num w:numId="1">
    <w:abstractNumId w:val="39"/>
  </w:num>
  <w:num w:numId="2">
    <w:abstractNumId w:val="28"/>
  </w:num>
  <w:num w:numId="3">
    <w:abstractNumId w:val="29"/>
  </w:num>
  <w:num w:numId="4">
    <w:abstractNumId w:val="33"/>
  </w:num>
  <w:num w:numId="5">
    <w:abstractNumId w:val="37"/>
  </w:num>
  <w:num w:numId="6">
    <w:abstractNumId w:val="8"/>
  </w:num>
  <w:num w:numId="7">
    <w:abstractNumId w:val="11"/>
  </w:num>
  <w:num w:numId="8">
    <w:abstractNumId w:val="16"/>
  </w:num>
  <w:num w:numId="9">
    <w:abstractNumId w:val="44"/>
  </w:num>
  <w:num w:numId="10">
    <w:abstractNumId w:val="43"/>
  </w:num>
  <w:num w:numId="11">
    <w:abstractNumId w:val="10"/>
  </w:num>
  <w:num w:numId="12">
    <w:abstractNumId w:val="21"/>
  </w:num>
  <w:num w:numId="13">
    <w:abstractNumId w:val="6"/>
  </w:num>
  <w:num w:numId="14">
    <w:abstractNumId w:val="2"/>
  </w:num>
  <w:num w:numId="15">
    <w:abstractNumId w:val="17"/>
  </w:num>
  <w:num w:numId="16">
    <w:abstractNumId w:val="30"/>
  </w:num>
  <w:num w:numId="17">
    <w:abstractNumId w:val="3"/>
  </w:num>
  <w:num w:numId="18">
    <w:abstractNumId w:val="19"/>
  </w:num>
  <w:num w:numId="19">
    <w:abstractNumId w:val="41"/>
  </w:num>
  <w:num w:numId="20">
    <w:abstractNumId w:val="40"/>
  </w:num>
  <w:num w:numId="21">
    <w:abstractNumId w:val="0"/>
  </w:num>
  <w:num w:numId="22">
    <w:abstractNumId w:val="38"/>
  </w:num>
  <w:num w:numId="23">
    <w:abstractNumId w:val="7"/>
  </w:num>
  <w:num w:numId="24">
    <w:abstractNumId w:val="18"/>
  </w:num>
  <w:num w:numId="25">
    <w:abstractNumId w:val="1"/>
  </w:num>
  <w:num w:numId="26">
    <w:abstractNumId w:val="20"/>
  </w:num>
  <w:num w:numId="27">
    <w:abstractNumId w:val="24"/>
  </w:num>
  <w:num w:numId="28">
    <w:abstractNumId w:val="23"/>
  </w:num>
  <w:num w:numId="29">
    <w:abstractNumId w:val="15"/>
  </w:num>
  <w:num w:numId="30">
    <w:abstractNumId w:val="27"/>
  </w:num>
  <w:num w:numId="31">
    <w:abstractNumId w:val="34"/>
  </w:num>
  <w:num w:numId="32">
    <w:abstractNumId w:val="9"/>
  </w:num>
  <w:num w:numId="33">
    <w:abstractNumId w:val="4"/>
  </w:num>
  <w:num w:numId="34">
    <w:abstractNumId w:val="35"/>
  </w:num>
  <w:num w:numId="3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1"/>
  </w:num>
  <w:num w:numId="37">
    <w:abstractNumId w:val="26"/>
  </w:num>
  <w:num w:numId="38">
    <w:abstractNumId w:val="14"/>
  </w:num>
  <w:num w:numId="39">
    <w:abstractNumId w:val="42"/>
  </w:num>
  <w:num w:numId="40">
    <w:abstractNumId w:val="22"/>
  </w:num>
  <w:num w:numId="41">
    <w:abstractNumId w:val="12"/>
  </w:num>
  <w:num w:numId="42">
    <w:abstractNumId w:val="13"/>
  </w:num>
  <w:num w:numId="43">
    <w:abstractNumId w:val="25"/>
  </w:num>
  <w:num w:numId="44">
    <w:abstractNumId w:val="32"/>
  </w:num>
  <w:num w:numId="45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grammar="clean"/>
  <w:revisionView w:inkAnnotations="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666A"/>
    <w:rsid w:val="00001DA2"/>
    <w:rsid w:val="00023815"/>
    <w:rsid w:val="00030DB3"/>
    <w:rsid w:val="0004405D"/>
    <w:rsid w:val="000460C0"/>
    <w:rsid w:val="00066DD7"/>
    <w:rsid w:val="00082892"/>
    <w:rsid w:val="00085153"/>
    <w:rsid w:val="00093F4D"/>
    <w:rsid w:val="000A73D3"/>
    <w:rsid w:val="000B331D"/>
    <w:rsid w:val="000B4179"/>
    <w:rsid w:val="000B41C3"/>
    <w:rsid w:val="000B567C"/>
    <w:rsid w:val="000D5AEE"/>
    <w:rsid w:val="000F27D5"/>
    <w:rsid w:val="000F2955"/>
    <w:rsid w:val="001005D2"/>
    <w:rsid w:val="001131F4"/>
    <w:rsid w:val="001144C0"/>
    <w:rsid w:val="00134DD8"/>
    <w:rsid w:val="00153EE3"/>
    <w:rsid w:val="00155C18"/>
    <w:rsid w:val="0015666A"/>
    <w:rsid w:val="0017135B"/>
    <w:rsid w:val="0018023C"/>
    <w:rsid w:val="00191EF7"/>
    <w:rsid w:val="001A5600"/>
    <w:rsid w:val="001B51B8"/>
    <w:rsid w:val="001B738B"/>
    <w:rsid w:val="001C6870"/>
    <w:rsid w:val="001E0502"/>
    <w:rsid w:val="001F4ECC"/>
    <w:rsid w:val="0020668C"/>
    <w:rsid w:val="0021034A"/>
    <w:rsid w:val="002103E1"/>
    <w:rsid w:val="00210525"/>
    <w:rsid w:val="00225993"/>
    <w:rsid w:val="00242DC6"/>
    <w:rsid w:val="00264B2B"/>
    <w:rsid w:val="002674E1"/>
    <w:rsid w:val="002815B7"/>
    <w:rsid w:val="00286F4D"/>
    <w:rsid w:val="002A2B8A"/>
    <w:rsid w:val="002B68AB"/>
    <w:rsid w:val="002C14D2"/>
    <w:rsid w:val="002C3DEC"/>
    <w:rsid w:val="002E394B"/>
    <w:rsid w:val="002F7D5E"/>
    <w:rsid w:val="003130A2"/>
    <w:rsid w:val="003172FE"/>
    <w:rsid w:val="00317928"/>
    <w:rsid w:val="00346C1B"/>
    <w:rsid w:val="003616A9"/>
    <w:rsid w:val="00382A09"/>
    <w:rsid w:val="003A6B85"/>
    <w:rsid w:val="003B2631"/>
    <w:rsid w:val="003C7ADB"/>
    <w:rsid w:val="003D432E"/>
    <w:rsid w:val="003D5ECD"/>
    <w:rsid w:val="003E6DB7"/>
    <w:rsid w:val="003E74DD"/>
    <w:rsid w:val="003F6175"/>
    <w:rsid w:val="004061F0"/>
    <w:rsid w:val="004222EB"/>
    <w:rsid w:val="00474022"/>
    <w:rsid w:val="004749C7"/>
    <w:rsid w:val="00481296"/>
    <w:rsid w:val="00484086"/>
    <w:rsid w:val="00496FAA"/>
    <w:rsid w:val="004A32C9"/>
    <w:rsid w:val="004A66E1"/>
    <w:rsid w:val="004B7CBC"/>
    <w:rsid w:val="00500F47"/>
    <w:rsid w:val="00505B4A"/>
    <w:rsid w:val="00514AC6"/>
    <w:rsid w:val="00514E0B"/>
    <w:rsid w:val="005224A2"/>
    <w:rsid w:val="00525B1B"/>
    <w:rsid w:val="0052737B"/>
    <w:rsid w:val="005345AB"/>
    <w:rsid w:val="00546A3C"/>
    <w:rsid w:val="00551A9B"/>
    <w:rsid w:val="00591EAF"/>
    <w:rsid w:val="00596222"/>
    <w:rsid w:val="005A6170"/>
    <w:rsid w:val="005B50A9"/>
    <w:rsid w:val="005C6227"/>
    <w:rsid w:val="005D58AA"/>
    <w:rsid w:val="00600157"/>
    <w:rsid w:val="00605E08"/>
    <w:rsid w:val="006274E4"/>
    <w:rsid w:val="00630594"/>
    <w:rsid w:val="00670DAC"/>
    <w:rsid w:val="006721ED"/>
    <w:rsid w:val="006845C5"/>
    <w:rsid w:val="006B1BC8"/>
    <w:rsid w:val="006B5D60"/>
    <w:rsid w:val="006B76A4"/>
    <w:rsid w:val="006D5FBB"/>
    <w:rsid w:val="006F39A2"/>
    <w:rsid w:val="0070443F"/>
    <w:rsid w:val="007157BC"/>
    <w:rsid w:val="00727E0D"/>
    <w:rsid w:val="0075518F"/>
    <w:rsid w:val="00755963"/>
    <w:rsid w:val="00775925"/>
    <w:rsid w:val="00791C4B"/>
    <w:rsid w:val="007A38DA"/>
    <w:rsid w:val="007B11A6"/>
    <w:rsid w:val="007B3F2B"/>
    <w:rsid w:val="007B7EEF"/>
    <w:rsid w:val="007C1885"/>
    <w:rsid w:val="007C4DFE"/>
    <w:rsid w:val="007D7F01"/>
    <w:rsid w:val="007E4C53"/>
    <w:rsid w:val="008070AF"/>
    <w:rsid w:val="00814D0B"/>
    <w:rsid w:val="00821D3A"/>
    <w:rsid w:val="0085229B"/>
    <w:rsid w:val="008522C0"/>
    <w:rsid w:val="00885C91"/>
    <w:rsid w:val="008B093D"/>
    <w:rsid w:val="008C6379"/>
    <w:rsid w:val="008E1A86"/>
    <w:rsid w:val="00900A83"/>
    <w:rsid w:val="00904115"/>
    <w:rsid w:val="00912413"/>
    <w:rsid w:val="00912D3C"/>
    <w:rsid w:val="00930CCD"/>
    <w:rsid w:val="00944B94"/>
    <w:rsid w:val="00961140"/>
    <w:rsid w:val="009759BB"/>
    <w:rsid w:val="00982220"/>
    <w:rsid w:val="00993564"/>
    <w:rsid w:val="009941CE"/>
    <w:rsid w:val="009A1A2D"/>
    <w:rsid w:val="009D1C9A"/>
    <w:rsid w:val="009D6E20"/>
    <w:rsid w:val="00A020BE"/>
    <w:rsid w:val="00A0314B"/>
    <w:rsid w:val="00A03376"/>
    <w:rsid w:val="00A3197D"/>
    <w:rsid w:val="00A34714"/>
    <w:rsid w:val="00A4769B"/>
    <w:rsid w:val="00A6377E"/>
    <w:rsid w:val="00A64D22"/>
    <w:rsid w:val="00A80C13"/>
    <w:rsid w:val="00A81138"/>
    <w:rsid w:val="00A83598"/>
    <w:rsid w:val="00A90C9C"/>
    <w:rsid w:val="00A932BF"/>
    <w:rsid w:val="00A958BF"/>
    <w:rsid w:val="00A97588"/>
    <w:rsid w:val="00AB1BF6"/>
    <w:rsid w:val="00AB5CB8"/>
    <w:rsid w:val="00AB5E11"/>
    <w:rsid w:val="00AD1FAE"/>
    <w:rsid w:val="00AD49D5"/>
    <w:rsid w:val="00AE168B"/>
    <w:rsid w:val="00AE3160"/>
    <w:rsid w:val="00AF79FE"/>
    <w:rsid w:val="00B001AA"/>
    <w:rsid w:val="00B03F21"/>
    <w:rsid w:val="00B055F6"/>
    <w:rsid w:val="00B30950"/>
    <w:rsid w:val="00B31B29"/>
    <w:rsid w:val="00B428F9"/>
    <w:rsid w:val="00B80EC4"/>
    <w:rsid w:val="00B9736D"/>
    <w:rsid w:val="00BB34C1"/>
    <w:rsid w:val="00BB3533"/>
    <w:rsid w:val="00BB5350"/>
    <w:rsid w:val="00BD6828"/>
    <w:rsid w:val="00BE3B5B"/>
    <w:rsid w:val="00BF138E"/>
    <w:rsid w:val="00C065D0"/>
    <w:rsid w:val="00C3342A"/>
    <w:rsid w:val="00C609A5"/>
    <w:rsid w:val="00C665C5"/>
    <w:rsid w:val="00C71018"/>
    <w:rsid w:val="00C71F55"/>
    <w:rsid w:val="00C72B39"/>
    <w:rsid w:val="00C9690B"/>
    <w:rsid w:val="00CA02F6"/>
    <w:rsid w:val="00CA1775"/>
    <w:rsid w:val="00CB2537"/>
    <w:rsid w:val="00CC2C8B"/>
    <w:rsid w:val="00D11D33"/>
    <w:rsid w:val="00D15ED6"/>
    <w:rsid w:val="00D443DE"/>
    <w:rsid w:val="00D45654"/>
    <w:rsid w:val="00D50E26"/>
    <w:rsid w:val="00D51314"/>
    <w:rsid w:val="00D7390E"/>
    <w:rsid w:val="00D7760F"/>
    <w:rsid w:val="00DA42FE"/>
    <w:rsid w:val="00DC424A"/>
    <w:rsid w:val="00DD5A86"/>
    <w:rsid w:val="00DF66B3"/>
    <w:rsid w:val="00E15B1A"/>
    <w:rsid w:val="00E238B5"/>
    <w:rsid w:val="00E23D21"/>
    <w:rsid w:val="00E44D1D"/>
    <w:rsid w:val="00E55786"/>
    <w:rsid w:val="00E648BA"/>
    <w:rsid w:val="00E71814"/>
    <w:rsid w:val="00E75032"/>
    <w:rsid w:val="00E8382D"/>
    <w:rsid w:val="00E9027E"/>
    <w:rsid w:val="00E93131"/>
    <w:rsid w:val="00E958DA"/>
    <w:rsid w:val="00E96BD1"/>
    <w:rsid w:val="00EC023F"/>
    <w:rsid w:val="00ED01CB"/>
    <w:rsid w:val="00EE475A"/>
    <w:rsid w:val="00EF0327"/>
    <w:rsid w:val="00F4524D"/>
    <w:rsid w:val="00F9000B"/>
    <w:rsid w:val="00F979AD"/>
    <w:rsid w:val="00FC795C"/>
    <w:rsid w:val="00FD2D0B"/>
    <w:rsid w:val="00FE1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FE0911E"/>
  <w15:chartTrackingRefBased/>
  <w15:docId w15:val="{9138BE08-D48D-44BD-9383-F5DA4A212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6">
    <w:name w:val="heading 6"/>
    <w:basedOn w:val="Normal"/>
    <w:next w:val="Normal"/>
    <w:link w:val="Heading6Char"/>
    <w:qFormat/>
    <w:rsid w:val="0015666A"/>
    <w:pPr>
      <w:spacing w:before="240" w:after="60" w:line="276" w:lineRule="auto"/>
      <w:outlineLvl w:val="5"/>
    </w:pPr>
    <w:rPr>
      <w:rFonts w:ascii="Calibri" w:eastAsia="Calibri" w:hAnsi="Calibri" w:cs="Times New Roman"/>
      <w:b/>
      <w:bCs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rsid w:val="0015666A"/>
    <w:rPr>
      <w:rFonts w:ascii="Calibri" w:eastAsia="Calibri" w:hAnsi="Calibri" w:cs="Times New Roman"/>
      <w:b/>
      <w:bCs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566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666A"/>
  </w:style>
  <w:style w:type="paragraph" w:styleId="Footer">
    <w:name w:val="footer"/>
    <w:basedOn w:val="Normal"/>
    <w:link w:val="FooterChar"/>
    <w:uiPriority w:val="99"/>
    <w:unhideWhenUsed/>
    <w:rsid w:val="001566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666A"/>
  </w:style>
  <w:style w:type="paragraph" w:styleId="ListParagraph">
    <w:name w:val="List Paragraph"/>
    <w:aliases w:val="List Paragraph2,Normal 1,Dot pt,List Paragraph1,F5 List Paragraph,List Paragraph Char Char Char,Indicator Text,Colorful List - Accent 11,Numbered Para 1,Bullet 1,Bullet Points,MAIN CONTENT,Párrafo de lista,Recommendation,List Paragraph 1"/>
    <w:basedOn w:val="Normal"/>
    <w:link w:val="ListParagraphChar"/>
    <w:uiPriority w:val="34"/>
    <w:qFormat/>
    <w:rsid w:val="0015666A"/>
    <w:pPr>
      <w:ind w:left="720"/>
      <w:contextualSpacing/>
    </w:pPr>
  </w:style>
  <w:style w:type="character" w:customStyle="1" w:styleId="ListParagraphChar">
    <w:name w:val="List Paragraph Char"/>
    <w:aliases w:val="List Paragraph2 Char,Normal 1 Char,Dot pt Char,List Paragraph1 Char,F5 List Paragraph Char,List Paragraph Char Char Char Char,Indicator Text Char,Colorful List - Accent 11 Char,Numbered Para 1 Char,Bullet 1 Char,Bullet Points Char"/>
    <w:link w:val="ListParagraph"/>
    <w:uiPriority w:val="34"/>
    <w:qFormat/>
    <w:locked/>
    <w:rsid w:val="0015666A"/>
  </w:style>
  <w:style w:type="character" w:styleId="CommentReference">
    <w:name w:val="annotation reference"/>
    <w:basedOn w:val="DefaultParagraphFont"/>
    <w:uiPriority w:val="99"/>
    <w:unhideWhenUsed/>
    <w:rsid w:val="0015666A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15666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15666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66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666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66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666A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566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5666A"/>
    <w:rPr>
      <w:rFonts w:ascii="Times New Roman" w:eastAsia="Times New Roman" w:hAnsi="Times New Roman" w:cs="Times New Roman"/>
      <w:sz w:val="20"/>
      <w:szCs w:val="20"/>
    </w:rPr>
  </w:style>
  <w:style w:type="paragraph" w:styleId="BodyTextIndent">
    <w:name w:val="Body Text Indent"/>
    <w:basedOn w:val="Normal"/>
    <w:link w:val="BodyTextIndentChar"/>
    <w:rsid w:val="0015666A"/>
    <w:pPr>
      <w:spacing w:before="100" w:beforeAutospacing="1" w:after="100" w:afterAutospacing="1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BodyTextIndentChar">
    <w:name w:val="Body Text Indent Char"/>
    <w:basedOn w:val="DefaultParagraphFont"/>
    <w:link w:val="BodyTextIndent"/>
    <w:rsid w:val="0015666A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JuParaCar">
    <w:name w:val="Ju_Para Car"/>
    <w:link w:val="JuPara"/>
    <w:locked/>
    <w:rsid w:val="00AB1BF6"/>
    <w:rPr>
      <w:sz w:val="24"/>
      <w:lang w:val="en-GB" w:eastAsia="fr-FR"/>
    </w:rPr>
  </w:style>
  <w:style w:type="paragraph" w:customStyle="1" w:styleId="JuPara">
    <w:name w:val="Ju_Para"/>
    <w:basedOn w:val="Normal"/>
    <w:link w:val="JuParaCar"/>
    <w:rsid w:val="00AB1BF6"/>
    <w:pPr>
      <w:suppressAutoHyphens/>
      <w:spacing w:after="0" w:line="240" w:lineRule="auto"/>
      <w:ind w:firstLine="284"/>
      <w:jc w:val="both"/>
    </w:pPr>
    <w:rPr>
      <w:sz w:val="24"/>
      <w:lang w:val="en-GB" w:eastAsia="fr-FR"/>
    </w:rPr>
  </w:style>
  <w:style w:type="character" w:customStyle="1" w:styleId="normal--char">
    <w:name w:val="normal--char"/>
    <w:rsid w:val="00093F4D"/>
  </w:style>
  <w:style w:type="paragraph" w:styleId="Revision">
    <w:name w:val="Revision"/>
    <w:hidden/>
    <w:uiPriority w:val="99"/>
    <w:semiHidden/>
    <w:rsid w:val="00A020BE"/>
    <w:pPr>
      <w:spacing w:after="0" w:line="240" w:lineRule="auto"/>
    </w:pPr>
  </w:style>
  <w:style w:type="table" w:styleId="TableGrid">
    <w:name w:val="Table Grid"/>
    <w:basedOn w:val="TableNormal"/>
    <w:uiPriority w:val="39"/>
    <w:rsid w:val="00AD1F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925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72</Nr_x002e__x0020_akti>
    <Data_x0020_e_x0020_Krijimit xmlns="0e656187-b300-4fb0-8bf4-3a50f872073c">2025-12-02T14:19:07Z</Data_x0020_e_x0020_Krijimit>
    <URL xmlns="0e656187-b300-4fb0-8bf4-3a50f872073c" xsi:nil="true"/>
    <Institucion_x0020_Pergjegjes xmlns="0e656187-b300-4fb0-8bf4-3a50f872073c">http://qbz.gov.al/resource/authority/legal-institution/16|gjykata-kushtetuese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2025-12-02T00:00:00Z</Date_x0020_protokolli>
    <Titulli xmlns="0e656187-b300-4fb0-8bf4-3a50f872073c">Me objekt shfuqizimin e vendimit nr. 00-2025-1831 (83), datë 19.02.2025 të Kolegjit Administrativ të Gjykatës së Lartë, si i papajtueshëm me Kushtetutën e Republikës së Shqipërisë. Prishja/shfuqizimi i vendimit të Kolegjit Administrativ të Gjykatës së Lartë dhe lënia në fuqi e vendimit nr. 831 (86- 2023-1153), datë 06.11.2023 të Gjykatës Administrative të Apelit.</Titulli>
    <Modifikuesi xmlns="0e656187-b300-4fb0-8bf4-3a50f872073c">nevila.samarxhi</Modifikuesi>
    <Nr_x002e__x0020_prot_x0020_QBZ xmlns="0e656187-b300-4fb0-8bf4-3a50f872073c">2010/1</Nr_x002e__x0020_prot_x0020_QBZ>
    <Data_x0020_e_x0020_Modifikimit xmlns="0e656187-b300-4fb0-8bf4-3a50f872073c">2025-12-02T14:43:49Z</Data_x0020_e_x0020_Modifikimit>
    <Dekretuar xmlns="0e656187-b300-4fb0-8bf4-3a50f872073c">false</Dekretuar>
    <Data xmlns="0e656187-b300-4fb0-8bf4-3a50f872073c">2025-11-17T00:00:00Z</Data>
    <Nr_x002e__x0020_protokolli_x0020_i_x0020_aktit xmlns="0e656187-b300-4fb0-8bf4-3a50f872073c">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F523D3510254AF49495F32E961A6AF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F523D3510254AF49495F32E961A6AF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3851CB-8053-4F9F-B6FF-428A2DD2D842}">
  <ds:schemaRefs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terms/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55948A9-8D8F-492D-A584-441A611B68A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B870BCA-1886-4F5E-BDC6-E6DD54E71B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A10BCD8-E003-4B89-BBF4-8B9BEBA991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E5FDACD-54B0-4456-9EDD-56F94D9C53E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AE781DD-8572-4CA4-823A-1B25DF2F4A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1810</Words>
  <Characters>10317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 objekt shfuqizimin e vendimit nr. 00-2025-1831 (83), datë 19.02.2025 të Kolegjit Administrativ të Gjykatës së Lartë, si i papajtueshëm me Kushtetutën e Republikës së Shqipërisë. Prishja/shfuqizimi i vendimit të Kolegjit Administrativ të Gjykatës së Lar</vt:lpstr>
    </vt:vector>
  </TitlesOfParts>
  <Company/>
  <LinksUpToDate>false</LinksUpToDate>
  <CharactersWithSpaces>12103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 objekt shfuqizimin e vendimit nr. 00-2025-1831 (83), datë 19.02.2025 të Kolegjit Administrativ të Gjykatës së Lartë, si i papajtueshëm me Kushtetutën e Republikës së Shqipërisë. Prishja/shfuqizimi i vendimit të Kolegjit Administrativ të Gjykatës së Lartë dhe lënia në fuqi e vendimit nr. 831 (86- 2023-1153), datë 06.11.2023 të Gjykatës Administrative të Apelit.</dc:title>
  <dc:creator>Jonida Kondili, Këshilltare Ligjore</dc:creator>
  <cp:lastModifiedBy>Alma Lisaku</cp:lastModifiedBy>
  <cp:revision>10</cp:revision>
  <cp:lastPrinted>2025-11-21T09:03:00Z</cp:lastPrinted>
  <dcterms:created xsi:type="dcterms:W3CDTF">2025-12-02T13:19:00Z</dcterms:created>
  <dcterms:modified xsi:type="dcterms:W3CDTF">2025-12-03T10:36:00Z</dcterms:modified>
</cp:coreProperties>
</file>