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032F6" w14:textId="539C1DB5" w:rsidR="004C6640" w:rsidRPr="00B34C03" w:rsidRDefault="004C6640" w:rsidP="00DA1E25">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B34C03">
        <w:rPr>
          <w:rFonts w:ascii="Garamond" w:eastAsia="Times New Roman" w:hAnsi="Garamond" w:cs="Times New Roman"/>
          <w:b/>
          <w:bCs/>
          <w:sz w:val="24"/>
          <w:szCs w:val="24"/>
        </w:rPr>
        <w:t>VENDIM</w:t>
      </w:r>
    </w:p>
    <w:p w14:paraId="272C9361" w14:textId="5D17AB87" w:rsidR="00DA1E25" w:rsidRPr="00B34C03" w:rsidRDefault="00DA1E25" w:rsidP="00DA1E25">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B34C03">
        <w:rPr>
          <w:rFonts w:ascii="Garamond" w:eastAsia="Times New Roman" w:hAnsi="Garamond" w:cs="Times New Roman"/>
          <w:b/>
          <w:bCs/>
          <w:sz w:val="24"/>
          <w:szCs w:val="24"/>
        </w:rPr>
        <w:t>Nr.</w:t>
      </w:r>
      <w:r w:rsidR="00B34C03">
        <w:rPr>
          <w:rFonts w:ascii="Garamond" w:eastAsia="Times New Roman" w:hAnsi="Garamond" w:cs="Times New Roman"/>
          <w:b/>
          <w:bCs/>
          <w:sz w:val="24"/>
          <w:szCs w:val="24"/>
        </w:rPr>
        <w:t xml:space="preserve"> </w:t>
      </w:r>
      <w:r w:rsidRPr="00B34C03">
        <w:rPr>
          <w:rFonts w:ascii="Garamond" w:eastAsia="Times New Roman" w:hAnsi="Garamond" w:cs="Times New Roman"/>
          <w:b/>
          <w:bCs/>
          <w:sz w:val="24"/>
          <w:szCs w:val="24"/>
        </w:rPr>
        <w:t>73, datë 19.11.2025</w:t>
      </w:r>
    </w:p>
    <w:p w14:paraId="5EB6ED55" w14:textId="77777777" w:rsidR="00DA1E25" w:rsidRPr="00B34C03" w:rsidRDefault="00DA1E25" w:rsidP="00DA1E25">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24BFF31E" w14:textId="3D7D1DE6" w:rsidR="004C6640" w:rsidRPr="00B34C03" w:rsidRDefault="004C6640" w:rsidP="00DA1E25">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B34C03">
        <w:rPr>
          <w:rFonts w:ascii="Garamond" w:eastAsia="Times New Roman" w:hAnsi="Garamond" w:cs="Times New Roman"/>
          <w:b/>
          <w:bCs/>
          <w:sz w:val="24"/>
          <w:szCs w:val="24"/>
        </w:rPr>
        <w:t>NË EMËR TË REPUBLIKËS SË SHQIPËRISË</w:t>
      </w:r>
    </w:p>
    <w:p w14:paraId="72DE8104" w14:textId="77777777" w:rsidR="004C6640" w:rsidRPr="00B34C03" w:rsidRDefault="004C6640" w:rsidP="00DA1E25">
      <w:pPr>
        <w:tabs>
          <w:tab w:val="left" w:pos="1080"/>
        </w:tabs>
        <w:spacing w:after="0" w:line="240" w:lineRule="auto"/>
        <w:ind w:firstLine="284"/>
        <w:contextualSpacing/>
        <w:jc w:val="both"/>
        <w:rPr>
          <w:rFonts w:ascii="Garamond" w:hAnsi="Garamond" w:cs="Times New Roman"/>
          <w:b/>
          <w:bCs/>
          <w:sz w:val="24"/>
          <w:szCs w:val="24"/>
          <w:u w:val="single"/>
        </w:rPr>
      </w:pPr>
    </w:p>
    <w:p w14:paraId="5D085C5B" w14:textId="77777777" w:rsidR="004C6640" w:rsidRPr="00B34C03" w:rsidRDefault="004C6640" w:rsidP="00DA1E25">
      <w:pPr>
        <w:spacing w:after="0" w:line="240" w:lineRule="auto"/>
        <w:ind w:firstLine="284"/>
        <w:jc w:val="both"/>
        <w:rPr>
          <w:rFonts w:ascii="Garamond" w:eastAsia="Calibri" w:hAnsi="Garamond" w:cs="Times New Roman"/>
          <w:sz w:val="24"/>
          <w:szCs w:val="24"/>
        </w:rPr>
      </w:pPr>
      <w:r w:rsidRPr="00B34C03">
        <w:rPr>
          <w:rFonts w:ascii="Garamond" w:eastAsia="Calibri" w:hAnsi="Garamond" w:cs="Times New Roman"/>
          <w:sz w:val="24"/>
          <w:szCs w:val="24"/>
        </w:rPr>
        <w:t>Gjykata Kushtetuese e Republikës së Shqipërisë, e përbërë nga:</w:t>
      </w:r>
    </w:p>
    <w:tbl>
      <w:tblPr>
        <w:tblStyle w:val="TableGrid"/>
        <w:tblW w:w="0" w:type="auto"/>
        <w:tblInd w:w="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543"/>
      </w:tblGrid>
      <w:tr w:rsidR="009B1C29" w:rsidRPr="00B34C03" w14:paraId="3642D40C" w14:textId="77777777" w:rsidTr="00B34C03">
        <w:tc>
          <w:tcPr>
            <w:tcW w:w="3256" w:type="dxa"/>
          </w:tcPr>
          <w:p w14:paraId="72915AEA" w14:textId="77777777"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Holta Zaçaj,</w:t>
            </w:r>
          </w:p>
          <w:p w14:paraId="1C340278" w14:textId="77777777"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Marsida Xhaferllari,</w:t>
            </w:r>
          </w:p>
          <w:p w14:paraId="0A215D2F" w14:textId="77777777"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Fiona Papajorgji,</w:t>
            </w:r>
          </w:p>
          <w:p w14:paraId="7CBFF5A3" w14:textId="77777777"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 xml:space="preserve"> Sonila Bejtja,</w:t>
            </w:r>
          </w:p>
          <w:p w14:paraId="24AB4100" w14:textId="77777777"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Ilir Toska,</w:t>
            </w:r>
          </w:p>
          <w:p w14:paraId="7A066493" w14:textId="77777777" w:rsidR="009B1C29" w:rsidRPr="00B34C03" w:rsidRDefault="009B1C29" w:rsidP="00DA1E25">
            <w:pPr>
              <w:tabs>
                <w:tab w:val="left" w:pos="1080"/>
              </w:tabs>
              <w:contextualSpacing/>
              <w:jc w:val="both"/>
              <w:rPr>
                <w:rFonts w:ascii="Garamond" w:eastAsia="Calibri" w:hAnsi="Garamond" w:cs="Times New Roman"/>
                <w:sz w:val="24"/>
                <w:szCs w:val="24"/>
              </w:rPr>
            </w:pPr>
            <w:r w:rsidRPr="00B34C03">
              <w:rPr>
                <w:rFonts w:ascii="Garamond" w:eastAsia="Calibri" w:hAnsi="Garamond" w:cs="Times New Roman"/>
                <w:sz w:val="24"/>
                <w:szCs w:val="24"/>
              </w:rPr>
              <w:t>Genti Ibrahimi,</w:t>
            </w:r>
          </w:p>
          <w:p w14:paraId="6BB7B795" w14:textId="77777777"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Marjana Semini,</w:t>
            </w:r>
          </w:p>
          <w:p w14:paraId="20978A84" w14:textId="2070C1A4" w:rsidR="009B1C29" w:rsidRPr="00B34C03" w:rsidRDefault="009B1C29"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Sandër Beci,</w:t>
            </w:r>
          </w:p>
        </w:tc>
        <w:tc>
          <w:tcPr>
            <w:tcW w:w="3543" w:type="dxa"/>
          </w:tcPr>
          <w:p w14:paraId="0784F861" w14:textId="267337EF" w:rsidR="009B1C29" w:rsidRPr="00B34C03" w:rsidRDefault="00B34C03" w:rsidP="00DA1E25">
            <w:pPr>
              <w:tabs>
                <w:tab w:val="left" w:pos="1080"/>
              </w:tabs>
              <w:contextualSpacing/>
              <w:jc w:val="both"/>
              <w:rPr>
                <w:rFonts w:ascii="Garamond" w:eastAsia="Calibri" w:hAnsi="Garamond" w:cs="Times New Roman"/>
                <w:bCs/>
                <w:sz w:val="24"/>
                <w:szCs w:val="24"/>
              </w:rPr>
            </w:pPr>
            <w:r>
              <w:rPr>
                <w:rFonts w:ascii="Garamond" w:eastAsia="Calibri" w:hAnsi="Garamond" w:cs="Times New Roman"/>
                <w:bCs/>
                <w:sz w:val="24"/>
                <w:szCs w:val="24"/>
              </w:rPr>
              <w:t>kryetare;</w:t>
            </w:r>
          </w:p>
          <w:p w14:paraId="17E374D1" w14:textId="2D358BE4" w:rsidR="009B1C29" w:rsidRPr="00B34C03" w:rsidRDefault="00B34C03"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anëtare</w:t>
            </w:r>
            <w:r>
              <w:rPr>
                <w:rFonts w:ascii="Garamond" w:eastAsia="Calibri" w:hAnsi="Garamond" w:cs="Times New Roman"/>
                <w:bCs/>
                <w:sz w:val="24"/>
                <w:szCs w:val="24"/>
              </w:rPr>
              <w:t>;</w:t>
            </w:r>
          </w:p>
          <w:p w14:paraId="56DEAF18" w14:textId="5A3ADCCA" w:rsidR="009B1C29" w:rsidRPr="00B34C03" w:rsidRDefault="00B34C03"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anëtare</w:t>
            </w:r>
            <w:r>
              <w:rPr>
                <w:rFonts w:ascii="Garamond" w:eastAsia="Calibri" w:hAnsi="Garamond" w:cs="Times New Roman"/>
                <w:bCs/>
                <w:sz w:val="24"/>
                <w:szCs w:val="24"/>
              </w:rPr>
              <w:t>;</w:t>
            </w:r>
          </w:p>
          <w:p w14:paraId="76218F65" w14:textId="1F35254D" w:rsidR="009B1C29" w:rsidRPr="00B34C03" w:rsidRDefault="00B34C03"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anëtare</w:t>
            </w:r>
            <w:r>
              <w:rPr>
                <w:rFonts w:ascii="Garamond" w:eastAsia="Calibri" w:hAnsi="Garamond" w:cs="Times New Roman"/>
                <w:bCs/>
                <w:sz w:val="24"/>
                <w:szCs w:val="24"/>
              </w:rPr>
              <w:t>;</w:t>
            </w:r>
          </w:p>
          <w:p w14:paraId="1D2BFCCD" w14:textId="54E4AE5F" w:rsidR="009B1C29" w:rsidRPr="00B34C03" w:rsidRDefault="00B34C03"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anëtar</w:t>
            </w:r>
            <w:r>
              <w:rPr>
                <w:rFonts w:ascii="Garamond" w:eastAsia="Calibri" w:hAnsi="Garamond" w:cs="Times New Roman"/>
                <w:bCs/>
                <w:sz w:val="24"/>
                <w:szCs w:val="24"/>
              </w:rPr>
              <w:t>;</w:t>
            </w:r>
          </w:p>
          <w:p w14:paraId="75BB096E" w14:textId="64026394" w:rsidR="009B1C29" w:rsidRPr="00B34C03" w:rsidRDefault="00B34C03" w:rsidP="00DA1E25">
            <w:pPr>
              <w:tabs>
                <w:tab w:val="left" w:pos="1080"/>
              </w:tabs>
              <w:contextualSpacing/>
              <w:jc w:val="both"/>
              <w:rPr>
                <w:rFonts w:ascii="Garamond" w:eastAsia="Calibri" w:hAnsi="Garamond" w:cs="Times New Roman"/>
                <w:sz w:val="24"/>
                <w:szCs w:val="24"/>
              </w:rPr>
            </w:pPr>
            <w:r w:rsidRPr="00B34C03">
              <w:rPr>
                <w:rFonts w:ascii="Garamond" w:eastAsia="Calibri" w:hAnsi="Garamond" w:cs="Times New Roman"/>
                <w:sz w:val="24"/>
                <w:szCs w:val="24"/>
              </w:rPr>
              <w:t>anëtar</w:t>
            </w:r>
            <w:r>
              <w:rPr>
                <w:rFonts w:ascii="Garamond" w:eastAsia="Calibri" w:hAnsi="Garamond" w:cs="Times New Roman"/>
                <w:sz w:val="24"/>
                <w:szCs w:val="24"/>
              </w:rPr>
              <w:t>;</w:t>
            </w:r>
          </w:p>
          <w:p w14:paraId="2AE4A3E8" w14:textId="4AB30247" w:rsidR="009B1C29" w:rsidRPr="00B34C03" w:rsidRDefault="00B34C03"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anëtare</w:t>
            </w:r>
            <w:r>
              <w:rPr>
                <w:rFonts w:ascii="Garamond" w:eastAsia="Calibri" w:hAnsi="Garamond" w:cs="Times New Roman"/>
                <w:bCs/>
                <w:sz w:val="24"/>
                <w:szCs w:val="24"/>
              </w:rPr>
              <w:t>;</w:t>
            </w:r>
            <w:r w:rsidRPr="00B34C03">
              <w:rPr>
                <w:rFonts w:ascii="Garamond" w:eastAsia="Calibri" w:hAnsi="Garamond" w:cs="Times New Roman"/>
                <w:bCs/>
                <w:sz w:val="24"/>
                <w:szCs w:val="24"/>
              </w:rPr>
              <w:t xml:space="preserve"> </w:t>
            </w:r>
          </w:p>
          <w:p w14:paraId="70A99EED" w14:textId="506B2BA5" w:rsidR="009B1C29" w:rsidRPr="00B34C03" w:rsidRDefault="00B34C03" w:rsidP="00DA1E25">
            <w:pPr>
              <w:tabs>
                <w:tab w:val="left" w:pos="1080"/>
              </w:tabs>
              <w:contextualSpacing/>
              <w:jc w:val="both"/>
              <w:rPr>
                <w:rFonts w:ascii="Garamond" w:eastAsia="Calibri" w:hAnsi="Garamond" w:cs="Times New Roman"/>
                <w:bCs/>
                <w:sz w:val="24"/>
                <w:szCs w:val="24"/>
              </w:rPr>
            </w:pPr>
            <w:r w:rsidRPr="00B34C03">
              <w:rPr>
                <w:rFonts w:ascii="Garamond" w:eastAsia="Calibri" w:hAnsi="Garamond" w:cs="Times New Roman"/>
                <w:bCs/>
                <w:sz w:val="24"/>
                <w:szCs w:val="24"/>
              </w:rPr>
              <w:t>anëtar</w:t>
            </w:r>
            <w:r>
              <w:rPr>
                <w:rFonts w:ascii="Garamond" w:eastAsia="Calibri" w:hAnsi="Garamond" w:cs="Times New Roman"/>
                <w:bCs/>
                <w:sz w:val="24"/>
                <w:szCs w:val="24"/>
              </w:rPr>
              <w:t>,</w:t>
            </w:r>
          </w:p>
        </w:tc>
      </w:tr>
    </w:tbl>
    <w:p w14:paraId="281DB36C" w14:textId="3A762837" w:rsidR="004C6640" w:rsidRPr="00B34C03" w:rsidRDefault="004C6640" w:rsidP="00DA1E25">
      <w:pPr>
        <w:spacing w:after="0" w:line="240" w:lineRule="auto"/>
        <w:ind w:firstLine="284"/>
        <w:jc w:val="both"/>
        <w:rPr>
          <w:rFonts w:ascii="Garamond" w:hAnsi="Garamond" w:cs="Times New Roman"/>
          <w:sz w:val="24"/>
          <w:szCs w:val="24"/>
          <w:lang w:eastAsia="fr-FR"/>
        </w:rPr>
      </w:pPr>
      <w:r w:rsidRPr="00B34C03">
        <w:rPr>
          <w:rFonts w:ascii="Garamond" w:hAnsi="Garamond" w:cs="Times New Roman"/>
          <w:sz w:val="24"/>
          <w:szCs w:val="24"/>
          <w:lang w:eastAsia="fr-FR"/>
        </w:rPr>
        <w:t xml:space="preserve">me sekretare </w:t>
      </w:r>
      <w:r w:rsidR="002E306B" w:rsidRPr="00B34C03">
        <w:rPr>
          <w:rFonts w:ascii="Garamond" w:hAnsi="Garamond" w:cs="Times New Roman"/>
          <w:sz w:val="24"/>
          <w:szCs w:val="24"/>
          <w:lang w:eastAsia="fr-FR"/>
        </w:rPr>
        <w:t>Anjeza Puka</w:t>
      </w:r>
      <w:r w:rsidRPr="00B34C03">
        <w:rPr>
          <w:rFonts w:ascii="Garamond" w:hAnsi="Garamond" w:cs="Times New Roman"/>
          <w:sz w:val="24"/>
          <w:szCs w:val="24"/>
          <w:lang w:eastAsia="fr-FR"/>
        </w:rPr>
        <w:t>, në datën 11.11.2025</w:t>
      </w:r>
      <w:r w:rsidR="00B34C03">
        <w:rPr>
          <w:rFonts w:ascii="Garamond" w:hAnsi="Garamond" w:cs="Times New Roman"/>
          <w:sz w:val="24"/>
          <w:szCs w:val="24"/>
          <w:lang w:eastAsia="fr-FR"/>
        </w:rPr>
        <w:t>,</w:t>
      </w:r>
      <w:r w:rsidRPr="00B34C03">
        <w:rPr>
          <w:rFonts w:ascii="Garamond" w:hAnsi="Garamond" w:cs="Times New Roman"/>
          <w:sz w:val="24"/>
          <w:szCs w:val="24"/>
          <w:lang w:eastAsia="fr-FR"/>
        </w:rPr>
        <w:t xml:space="preserve"> mori në shqyrtim në seancë plenare mbi bazë të dokumenteve kërkesën nr. 9 (M) 2025 të Regjistrit Themeltar, që </w:t>
      </w:r>
      <w:r w:rsidR="002E306B" w:rsidRPr="00B34C03">
        <w:rPr>
          <w:rFonts w:ascii="Garamond" w:hAnsi="Garamond" w:cs="Times New Roman"/>
          <w:sz w:val="24"/>
          <w:szCs w:val="24"/>
          <w:lang w:eastAsia="fr-FR"/>
        </w:rPr>
        <w:t>u</w:t>
      </w:r>
      <w:r w:rsidRPr="00B34C03">
        <w:rPr>
          <w:rFonts w:ascii="Garamond" w:hAnsi="Garamond" w:cs="Times New Roman"/>
          <w:sz w:val="24"/>
          <w:szCs w:val="24"/>
          <w:lang w:eastAsia="fr-FR"/>
        </w:rPr>
        <w:t xml:space="preserve"> përket:</w:t>
      </w:r>
    </w:p>
    <w:p w14:paraId="6CAD4BC5" w14:textId="14813539" w:rsidR="00DA1E25" w:rsidRPr="00B34C03" w:rsidRDefault="00DA1E25" w:rsidP="00DA1E25">
      <w:pPr>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bCs/>
          <w:color w:val="000000"/>
          <w:sz w:val="24"/>
          <w:szCs w:val="24"/>
        </w:rPr>
        <w:t xml:space="preserve">KËRKUES: </w:t>
      </w:r>
      <w:r w:rsidR="00B34C03" w:rsidRPr="00B34C03">
        <w:rPr>
          <w:rFonts w:ascii="Garamond" w:hAnsi="Garamond" w:cs="Times New Roman"/>
          <w:bCs/>
          <w:color w:val="000000"/>
          <w:sz w:val="24"/>
          <w:szCs w:val="24"/>
        </w:rPr>
        <w:t>Mariglen Qato</w:t>
      </w:r>
      <w:r w:rsidRPr="00B34C03">
        <w:rPr>
          <w:rFonts w:ascii="Garamond" w:hAnsi="Garamond" w:cs="Times New Roman"/>
          <w:bCs/>
          <w:color w:val="000000"/>
          <w:sz w:val="24"/>
          <w:szCs w:val="24"/>
        </w:rPr>
        <w:t xml:space="preserve">, </w:t>
      </w:r>
      <w:r w:rsidRPr="00B34C03">
        <w:rPr>
          <w:rFonts w:ascii="Garamond" w:hAnsi="Garamond" w:cs="Times New Roman"/>
          <w:color w:val="000000"/>
          <w:sz w:val="24"/>
          <w:szCs w:val="24"/>
        </w:rPr>
        <w:t xml:space="preserve">përfaqësuar nga </w:t>
      </w:r>
      <w:r w:rsidR="00B34C03">
        <w:rPr>
          <w:rFonts w:ascii="Garamond" w:hAnsi="Garamond" w:cs="Times New Roman"/>
          <w:color w:val="000000"/>
          <w:sz w:val="24"/>
          <w:szCs w:val="24"/>
        </w:rPr>
        <w:t>avokat Ardian Leka, me prokurë.</w:t>
      </w:r>
    </w:p>
    <w:p w14:paraId="6B941395" w14:textId="6EAF5EDF" w:rsidR="00DA1E25" w:rsidRPr="00B34C03" w:rsidRDefault="00DA1E25" w:rsidP="00B34C03">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B34C03">
        <w:rPr>
          <w:rFonts w:ascii="Garamond" w:hAnsi="Garamond" w:cs="Times New Roman"/>
          <w:bCs/>
          <w:color w:val="000000"/>
          <w:sz w:val="24"/>
          <w:szCs w:val="24"/>
        </w:rPr>
        <w:t>SUBJEKT I INTERESUAR:</w:t>
      </w:r>
      <w:r w:rsidR="00B34C03">
        <w:rPr>
          <w:rFonts w:ascii="Garamond" w:hAnsi="Garamond" w:cs="Times New Roman"/>
          <w:bCs/>
          <w:color w:val="000000"/>
          <w:sz w:val="24"/>
          <w:szCs w:val="24"/>
        </w:rPr>
        <w:t xml:space="preserve"> </w:t>
      </w:r>
      <w:r w:rsidR="00B34C03" w:rsidRPr="00B34C03">
        <w:rPr>
          <w:rFonts w:ascii="Garamond" w:hAnsi="Garamond" w:cs="Times New Roman"/>
          <w:bCs/>
          <w:color w:val="000000"/>
          <w:sz w:val="24"/>
          <w:szCs w:val="24"/>
        </w:rPr>
        <w:t xml:space="preserve">Prokuroria </w:t>
      </w:r>
      <w:r w:rsidR="00B34C03">
        <w:rPr>
          <w:rFonts w:ascii="Garamond" w:hAnsi="Garamond" w:cs="Times New Roman"/>
          <w:bCs/>
          <w:color w:val="000000"/>
          <w:sz w:val="24"/>
          <w:szCs w:val="24"/>
        </w:rPr>
        <w:t>e</w:t>
      </w:r>
      <w:r w:rsidR="00B34C03" w:rsidRPr="00B34C03">
        <w:rPr>
          <w:rFonts w:ascii="Garamond" w:hAnsi="Garamond" w:cs="Times New Roman"/>
          <w:bCs/>
          <w:color w:val="000000"/>
          <w:sz w:val="24"/>
          <w:szCs w:val="24"/>
        </w:rPr>
        <w:t xml:space="preserve"> Posaçme kundër Korrupsionit dhe Krimit të Organizuar</w:t>
      </w:r>
      <w:r w:rsidRPr="00B34C03">
        <w:rPr>
          <w:rFonts w:ascii="Garamond" w:hAnsi="Garamond" w:cs="Times New Roman"/>
          <w:bCs/>
          <w:color w:val="000000"/>
          <w:sz w:val="24"/>
          <w:szCs w:val="24"/>
        </w:rPr>
        <w:t xml:space="preserve">, </w:t>
      </w:r>
      <w:r w:rsidRPr="00B34C03">
        <w:rPr>
          <w:rFonts w:ascii="Garamond" w:hAnsi="Garamond" w:cs="Times New Roman"/>
          <w:color w:val="000000"/>
          <w:sz w:val="24"/>
          <w:szCs w:val="24"/>
        </w:rPr>
        <w:t>përfaqësuar nga prokurori Klodjan Braho.</w:t>
      </w:r>
    </w:p>
    <w:p w14:paraId="29B16B93" w14:textId="413705DB" w:rsidR="00DA1E25" w:rsidRPr="00B34C03" w:rsidRDefault="00DA1E25" w:rsidP="00DA1E25">
      <w:pPr>
        <w:autoSpaceDE w:val="0"/>
        <w:autoSpaceDN w:val="0"/>
        <w:adjustRightInd w:val="0"/>
        <w:spacing w:after="0" w:line="240" w:lineRule="auto"/>
        <w:ind w:firstLine="284"/>
        <w:jc w:val="both"/>
        <w:rPr>
          <w:rFonts w:ascii="Garamond" w:hAnsi="Garamond" w:cs="Times New Roman"/>
          <w:bCs/>
          <w:color w:val="000000"/>
          <w:sz w:val="24"/>
          <w:szCs w:val="24"/>
        </w:rPr>
      </w:pPr>
      <w:r w:rsidRPr="00B34C03">
        <w:rPr>
          <w:rFonts w:ascii="Garamond" w:hAnsi="Garamond" w:cs="Times New Roman"/>
          <w:bCs/>
          <w:color w:val="000000"/>
          <w:sz w:val="24"/>
          <w:szCs w:val="24"/>
        </w:rPr>
        <w:t>OBJEKTI:</w:t>
      </w:r>
      <w:r w:rsidR="00DD0838">
        <w:rPr>
          <w:rFonts w:ascii="Garamond" w:hAnsi="Garamond" w:cs="Times New Roman"/>
          <w:bCs/>
          <w:color w:val="000000"/>
          <w:sz w:val="24"/>
          <w:szCs w:val="24"/>
        </w:rPr>
        <w:t xml:space="preserve"> </w:t>
      </w:r>
      <w:r w:rsidRPr="00B34C03">
        <w:rPr>
          <w:rFonts w:ascii="Garamond" w:hAnsi="Garamond" w:cs="Times New Roman"/>
          <w:bCs/>
          <w:color w:val="000000"/>
          <w:sz w:val="24"/>
          <w:szCs w:val="24"/>
        </w:rPr>
        <w:t>Shfuqizim</w:t>
      </w:r>
      <w:r w:rsidR="00B34C03">
        <w:rPr>
          <w:rFonts w:ascii="Garamond" w:hAnsi="Garamond" w:cs="Times New Roman"/>
          <w:bCs/>
          <w:color w:val="000000"/>
          <w:sz w:val="24"/>
          <w:szCs w:val="24"/>
        </w:rPr>
        <w:t>i i vendimeve nr. 352, datë 24.</w:t>
      </w:r>
      <w:r w:rsidRPr="00B34C03">
        <w:rPr>
          <w:rFonts w:ascii="Garamond" w:hAnsi="Garamond" w:cs="Times New Roman"/>
          <w:bCs/>
          <w:color w:val="000000"/>
          <w:sz w:val="24"/>
          <w:szCs w:val="24"/>
        </w:rPr>
        <w:t>6.2024</w:t>
      </w:r>
      <w:r w:rsidR="00B34C03">
        <w:rPr>
          <w:rFonts w:ascii="Garamond" w:hAnsi="Garamond" w:cs="Times New Roman"/>
          <w:bCs/>
          <w:color w:val="000000"/>
          <w:sz w:val="24"/>
          <w:szCs w:val="24"/>
        </w:rPr>
        <w:t>,</w:t>
      </w:r>
      <w:r w:rsidRPr="00B34C03">
        <w:rPr>
          <w:rFonts w:ascii="Garamond" w:hAnsi="Garamond" w:cs="Times New Roman"/>
          <w:bCs/>
          <w:color w:val="000000"/>
          <w:sz w:val="24"/>
          <w:szCs w:val="24"/>
        </w:rPr>
        <w:t xml:space="preserve"> të Gjykatës së Posaçme të Shkallës së Parë për Korrupsionin dhe Krimin e Organizuar; nr. 1</w:t>
      </w:r>
      <w:r w:rsidR="00B34C03">
        <w:rPr>
          <w:rFonts w:ascii="Garamond" w:hAnsi="Garamond" w:cs="Times New Roman"/>
          <w:bCs/>
          <w:color w:val="000000"/>
          <w:sz w:val="24"/>
          <w:szCs w:val="24"/>
        </w:rPr>
        <w:t>64 (87-2024-223), datë 31.</w:t>
      </w:r>
      <w:r w:rsidRPr="00B34C03">
        <w:rPr>
          <w:rFonts w:ascii="Garamond" w:hAnsi="Garamond" w:cs="Times New Roman"/>
          <w:bCs/>
          <w:color w:val="000000"/>
          <w:sz w:val="24"/>
          <w:szCs w:val="24"/>
        </w:rPr>
        <w:t>7.2024</w:t>
      </w:r>
      <w:r w:rsidR="00B34C03">
        <w:rPr>
          <w:rFonts w:ascii="Garamond" w:hAnsi="Garamond" w:cs="Times New Roman"/>
          <w:bCs/>
          <w:color w:val="000000"/>
          <w:sz w:val="24"/>
          <w:szCs w:val="24"/>
        </w:rPr>
        <w:t>,</w:t>
      </w:r>
      <w:r w:rsidRPr="00B34C03">
        <w:rPr>
          <w:rFonts w:ascii="Garamond" w:hAnsi="Garamond" w:cs="Times New Roman"/>
          <w:bCs/>
          <w:color w:val="000000"/>
          <w:sz w:val="24"/>
          <w:szCs w:val="24"/>
        </w:rPr>
        <w:t xml:space="preserve"> të Gjykatës së Posaçme të Apelit për Korrupsionin dhe Krimin e Organizuar</w:t>
      </w:r>
      <w:r w:rsidR="00B34C03">
        <w:rPr>
          <w:rFonts w:ascii="Garamond" w:hAnsi="Garamond" w:cs="Times New Roman"/>
          <w:bCs/>
          <w:color w:val="000000"/>
          <w:sz w:val="24"/>
          <w:szCs w:val="24"/>
        </w:rPr>
        <w:t xml:space="preserve">; nr. 00-2024-1979 (299), datë </w:t>
      </w:r>
      <w:r w:rsidRPr="00B34C03">
        <w:rPr>
          <w:rFonts w:ascii="Garamond" w:hAnsi="Garamond" w:cs="Times New Roman"/>
          <w:bCs/>
          <w:color w:val="000000"/>
          <w:sz w:val="24"/>
          <w:szCs w:val="24"/>
        </w:rPr>
        <w:t>4.12.2024</w:t>
      </w:r>
      <w:r w:rsidR="00B34C03">
        <w:rPr>
          <w:rFonts w:ascii="Garamond" w:hAnsi="Garamond" w:cs="Times New Roman"/>
          <w:bCs/>
          <w:color w:val="000000"/>
          <w:sz w:val="24"/>
          <w:szCs w:val="24"/>
        </w:rPr>
        <w:t>,</w:t>
      </w:r>
      <w:r w:rsidRPr="00B34C03">
        <w:rPr>
          <w:rFonts w:ascii="Garamond" w:hAnsi="Garamond" w:cs="Times New Roman"/>
          <w:bCs/>
          <w:color w:val="000000"/>
          <w:sz w:val="24"/>
          <w:szCs w:val="24"/>
        </w:rPr>
        <w:t xml:space="preserve"> të Kolegjit Penal të Gjykatës së Lartë, si të papajtueshme me Kushtetutën e Republikës së Shqipërisë.</w:t>
      </w:r>
    </w:p>
    <w:p w14:paraId="30B9049A" w14:textId="4D21E772" w:rsidR="00DA1E25" w:rsidRPr="00B34C03" w:rsidRDefault="00DA1E25" w:rsidP="00DA1E25">
      <w:pPr>
        <w:autoSpaceDE w:val="0"/>
        <w:autoSpaceDN w:val="0"/>
        <w:adjustRightInd w:val="0"/>
        <w:spacing w:after="0" w:line="240" w:lineRule="auto"/>
        <w:ind w:firstLine="284"/>
        <w:jc w:val="both"/>
        <w:rPr>
          <w:rFonts w:ascii="Garamond" w:hAnsi="Garamond" w:cs="Calibri"/>
          <w:bCs/>
          <w:color w:val="000000"/>
          <w:sz w:val="24"/>
          <w:szCs w:val="24"/>
        </w:rPr>
      </w:pPr>
      <w:r w:rsidRPr="00B34C03">
        <w:rPr>
          <w:rFonts w:ascii="Garamond" w:hAnsi="Garamond" w:cs="Times New Roman"/>
          <w:bCs/>
          <w:color w:val="000000"/>
          <w:sz w:val="24"/>
          <w:szCs w:val="24"/>
        </w:rPr>
        <w:t>BAZA LIGJORE:</w:t>
      </w:r>
      <w:r w:rsidR="00DD0838">
        <w:rPr>
          <w:rFonts w:ascii="Garamond" w:hAnsi="Garamond" w:cs="Times New Roman"/>
          <w:bCs/>
          <w:color w:val="000000"/>
          <w:sz w:val="24"/>
          <w:szCs w:val="24"/>
        </w:rPr>
        <w:t xml:space="preserve"> </w:t>
      </w:r>
      <w:r w:rsidRPr="00B34C03">
        <w:rPr>
          <w:rFonts w:ascii="Garamond" w:hAnsi="Garamond" w:cs="Times New Roman"/>
          <w:bCs/>
          <w:color w:val="000000"/>
          <w:sz w:val="24"/>
          <w:szCs w:val="24"/>
        </w:rPr>
        <w:t>Nenet 30, 32, pika 2, 42, 131, pika 1, shkronja “f” dhe 134, pika 1, shkronja “i”, të Kushtetutës së Republikës së Shqipërisë (</w:t>
      </w:r>
      <w:r w:rsidRPr="00B34C03">
        <w:rPr>
          <w:rFonts w:ascii="Garamond" w:hAnsi="Garamond" w:cs="Times New Roman"/>
          <w:bCs/>
          <w:i/>
          <w:iCs/>
          <w:color w:val="000000"/>
          <w:sz w:val="24"/>
          <w:szCs w:val="24"/>
        </w:rPr>
        <w:t>Kushtetuta</w:t>
      </w:r>
      <w:r w:rsidRPr="00B34C03">
        <w:rPr>
          <w:rFonts w:ascii="Garamond" w:hAnsi="Garamond" w:cs="Times New Roman"/>
          <w:bCs/>
          <w:color w:val="000000"/>
          <w:sz w:val="24"/>
          <w:szCs w:val="24"/>
        </w:rPr>
        <w:t>); nenet 5 dhe 6 të Konventës Evropiane për të Drejtat e Njeriut (</w:t>
      </w:r>
      <w:r w:rsidRPr="00B34C03">
        <w:rPr>
          <w:rFonts w:ascii="Garamond" w:hAnsi="Garamond" w:cs="Times New Roman"/>
          <w:bCs/>
          <w:i/>
          <w:iCs/>
          <w:color w:val="000000"/>
          <w:sz w:val="24"/>
          <w:szCs w:val="24"/>
        </w:rPr>
        <w:t>KEDNJ</w:t>
      </w:r>
      <w:r w:rsidR="00B34C03">
        <w:rPr>
          <w:rFonts w:ascii="Garamond" w:hAnsi="Garamond" w:cs="Times New Roman"/>
          <w:bCs/>
          <w:color w:val="000000"/>
          <w:sz w:val="24"/>
          <w:szCs w:val="24"/>
        </w:rPr>
        <w:t>); ligji nr. 8577, datë 10.</w:t>
      </w:r>
      <w:r w:rsidRPr="00B34C03">
        <w:rPr>
          <w:rFonts w:ascii="Garamond" w:hAnsi="Garamond" w:cs="Times New Roman"/>
          <w:bCs/>
          <w:color w:val="000000"/>
          <w:sz w:val="24"/>
          <w:szCs w:val="24"/>
        </w:rPr>
        <w:t>2.2000</w:t>
      </w:r>
      <w:r w:rsidR="00B34C03">
        <w:rPr>
          <w:rFonts w:ascii="Garamond" w:hAnsi="Garamond" w:cs="Times New Roman"/>
          <w:bCs/>
          <w:color w:val="000000"/>
          <w:sz w:val="24"/>
          <w:szCs w:val="24"/>
        </w:rPr>
        <w:t>,</w:t>
      </w:r>
      <w:r w:rsidRPr="00B34C03">
        <w:rPr>
          <w:rFonts w:ascii="Garamond" w:hAnsi="Garamond" w:cs="Times New Roman"/>
          <w:bCs/>
          <w:color w:val="000000"/>
          <w:sz w:val="24"/>
          <w:szCs w:val="24"/>
        </w:rPr>
        <w:t xml:space="preserve"> “Për organizimin dhe funksionimin e Gjykatës Kushtetuese të Republikës së Shqipërisë”, të ndryshuar (</w:t>
      </w:r>
      <w:r w:rsidRPr="00B34C03">
        <w:rPr>
          <w:rFonts w:ascii="Garamond" w:hAnsi="Garamond" w:cs="Times New Roman"/>
          <w:bCs/>
          <w:i/>
          <w:iCs/>
          <w:color w:val="000000"/>
          <w:sz w:val="24"/>
          <w:szCs w:val="24"/>
        </w:rPr>
        <w:t>ligji organik i Gjykatës)</w:t>
      </w:r>
      <w:r w:rsidRPr="00B34C03">
        <w:rPr>
          <w:rFonts w:ascii="Garamond" w:hAnsi="Garamond" w:cs="Calibri"/>
          <w:bCs/>
          <w:color w:val="000000"/>
          <w:sz w:val="24"/>
          <w:szCs w:val="24"/>
        </w:rPr>
        <w:t>.</w:t>
      </w:r>
    </w:p>
    <w:p w14:paraId="44F260A9" w14:textId="77777777" w:rsidR="00DA1E25" w:rsidRPr="00B34C03" w:rsidRDefault="00DA1E25" w:rsidP="00DA1E25">
      <w:pPr>
        <w:autoSpaceDE w:val="0"/>
        <w:autoSpaceDN w:val="0"/>
        <w:adjustRightInd w:val="0"/>
        <w:spacing w:after="0" w:line="240" w:lineRule="auto"/>
        <w:ind w:firstLine="284"/>
        <w:jc w:val="both"/>
        <w:rPr>
          <w:rFonts w:ascii="Garamond" w:hAnsi="Garamond" w:cs="Calibri"/>
          <w:bCs/>
          <w:color w:val="000000"/>
          <w:sz w:val="24"/>
          <w:szCs w:val="24"/>
        </w:rPr>
      </w:pPr>
    </w:p>
    <w:p w14:paraId="21730FA2" w14:textId="56D0B4DB" w:rsidR="00DA1E25" w:rsidRPr="00B34C03" w:rsidRDefault="00DA1E25" w:rsidP="00DA1E25">
      <w:pPr>
        <w:autoSpaceDE w:val="0"/>
        <w:autoSpaceDN w:val="0"/>
        <w:adjustRightInd w:val="0"/>
        <w:spacing w:after="0" w:line="240" w:lineRule="auto"/>
        <w:ind w:firstLine="284"/>
        <w:jc w:val="center"/>
        <w:rPr>
          <w:rFonts w:ascii="Garamond" w:hAnsi="Garamond" w:cs="Times New Roman"/>
          <w:bCs/>
          <w:color w:val="000000"/>
          <w:sz w:val="24"/>
          <w:szCs w:val="24"/>
        </w:rPr>
      </w:pPr>
      <w:r w:rsidRPr="00B34C03">
        <w:rPr>
          <w:rFonts w:ascii="Garamond" w:hAnsi="Garamond" w:cs="Times New Roman"/>
          <w:bCs/>
          <w:color w:val="000000"/>
          <w:sz w:val="24"/>
          <w:szCs w:val="24"/>
        </w:rPr>
        <w:t>GJYKATA KUSHTETUESE,</w:t>
      </w:r>
    </w:p>
    <w:p w14:paraId="1FB7214F" w14:textId="77777777" w:rsidR="00DA1E25" w:rsidRPr="00B34C03" w:rsidRDefault="00DA1E25" w:rsidP="00DA1E25">
      <w:pPr>
        <w:autoSpaceDE w:val="0"/>
        <w:autoSpaceDN w:val="0"/>
        <w:adjustRightInd w:val="0"/>
        <w:spacing w:after="0" w:line="240" w:lineRule="auto"/>
        <w:ind w:firstLine="284"/>
        <w:jc w:val="center"/>
        <w:rPr>
          <w:rFonts w:ascii="Garamond" w:hAnsi="Garamond" w:cs="Times New Roman"/>
          <w:b/>
          <w:bCs/>
          <w:color w:val="000000"/>
          <w:sz w:val="24"/>
          <w:szCs w:val="24"/>
        </w:rPr>
      </w:pPr>
    </w:p>
    <w:p w14:paraId="562B8454" w14:textId="77777777" w:rsidR="00DA1E25" w:rsidRPr="00B34C03" w:rsidRDefault="00DA1E25" w:rsidP="00DA1E25">
      <w:pPr>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pasi dëgjoi relatorin e çështjes Sandër Beci, mori në shqyrtim pretendimet dhe prapësimet e kërkuesit Mariglen Qato (</w:t>
      </w:r>
      <w:r w:rsidRPr="00B34C03">
        <w:rPr>
          <w:rFonts w:ascii="Garamond" w:hAnsi="Garamond" w:cs="Times New Roman"/>
          <w:i/>
          <w:iCs/>
          <w:color w:val="000000"/>
          <w:sz w:val="24"/>
          <w:szCs w:val="24"/>
        </w:rPr>
        <w:t>kërkuesi)</w:t>
      </w:r>
      <w:r w:rsidRPr="00B34C03">
        <w:rPr>
          <w:rFonts w:ascii="Garamond" w:hAnsi="Garamond" w:cs="Times New Roman"/>
          <w:color w:val="000000"/>
          <w:sz w:val="24"/>
          <w:szCs w:val="24"/>
        </w:rPr>
        <w:t xml:space="preserve">, që ka kërkuar pranimin e kërkesës, parashtrimet e subjektit të interesuar, Prokurorisë së Posaçme Kundër Korrupsionit dhe Krimit të Organizuar </w:t>
      </w:r>
      <w:r w:rsidRPr="00B34C03">
        <w:rPr>
          <w:rFonts w:ascii="Garamond" w:hAnsi="Garamond" w:cs="Times New Roman"/>
          <w:i/>
          <w:iCs/>
          <w:color w:val="000000"/>
          <w:sz w:val="24"/>
          <w:szCs w:val="24"/>
        </w:rPr>
        <w:t>(Prokuroria e Posaçme)</w:t>
      </w:r>
      <w:r w:rsidRPr="00B34C03">
        <w:rPr>
          <w:rFonts w:ascii="Garamond" w:hAnsi="Garamond" w:cs="Times New Roman"/>
          <w:color w:val="000000"/>
          <w:sz w:val="24"/>
          <w:szCs w:val="24"/>
        </w:rPr>
        <w:t>, e cila ka kërkuar rrëzimin e kërkesës, si dhe diskutoi çështjen në tërësi,</w:t>
      </w:r>
    </w:p>
    <w:p w14:paraId="5E80797C" w14:textId="77777777" w:rsidR="00DA1E25" w:rsidRPr="00B34C03" w:rsidRDefault="00DA1E25" w:rsidP="00DA1E25">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01C16444" w14:textId="5E149A03" w:rsidR="00DA1E25" w:rsidRPr="00B34C03" w:rsidRDefault="00DA1E25" w:rsidP="00DA1E25">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B34C03">
        <w:rPr>
          <w:rFonts w:ascii="Garamond" w:hAnsi="Garamond" w:cs="Times New Roman"/>
          <w:bCs/>
          <w:color w:val="000000"/>
          <w:sz w:val="24"/>
          <w:szCs w:val="24"/>
        </w:rPr>
        <w:t>VËREN:</w:t>
      </w:r>
    </w:p>
    <w:p w14:paraId="576548D1" w14:textId="77777777" w:rsidR="008B1C78" w:rsidRPr="00B34C03" w:rsidRDefault="008B1C78" w:rsidP="00DA1E25">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73302C7D" w14:textId="77777777" w:rsidR="00DA1E25" w:rsidRPr="00B34C03" w:rsidRDefault="00DA1E25" w:rsidP="00DA1E2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B34C03">
        <w:rPr>
          <w:rFonts w:ascii="Garamond" w:hAnsi="Garamond" w:cs="Times New Roman"/>
          <w:b/>
          <w:bCs/>
          <w:color w:val="000000"/>
          <w:sz w:val="24"/>
          <w:szCs w:val="24"/>
        </w:rPr>
        <w:t>I</w:t>
      </w:r>
    </w:p>
    <w:p w14:paraId="1A27A290" w14:textId="28CC7EFE" w:rsidR="00DA1E25" w:rsidRPr="00B34C03" w:rsidRDefault="00DA1E25" w:rsidP="008B1C78">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B34C03">
        <w:rPr>
          <w:rFonts w:ascii="Garamond" w:hAnsi="Garamond" w:cs="Times New Roman"/>
          <w:b/>
          <w:bCs/>
          <w:color w:val="000000"/>
          <w:sz w:val="24"/>
          <w:szCs w:val="24"/>
        </w:rPr>
        <w:t>Rrethanat e çështjes</w:t>
      </w:r>
    </w:p>
    <w:p w14:paraId="4830A1E0" w14:textId="77777777" w:rsidR="00D445FC" w:rsidRPr="00B34C03" w:rsidRDefault="00D445FC" w:rsidP="008B1C78">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D942F1F" w14:textId="5790F629"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 Kërkuesi dhe shtetasi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kanë qenë të punësuar</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nga muaji gusht i vitit 2015 deri në shkurt të vitit 2016 në Drejtorinë e Përgjithshme të Rrugëve dhe Ndriçimit Publik, në varësi të Bashkisë së Tiranës. Në muajin shkurt shtetasi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 xml:space="preserve">M. është punësuar në shoqërinë “Ujësjellës-Kanalizime Tiranë” sh.a., në pozicionin e drejtorit të përgjithshëm dhe në muajin mars të vitit 2016 edhe kërkuesi është punësuar në të njëjtën shoqëri, në pozicionin e drejtorit të departamentit mbështetës. </w:t>
      </w:r>
    </w:p>
    <w:p w14:paraId="38E0BD09" w14:textId="25D95833"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2. Prokuroria e Posaçme ka regjistruar pr</w:t>
      </w:r>
      <w:r w:rsidR="00B34C03">
        <w:rPr>
          <w:rFonts w:ascii="Garamond" w:hAnsi="Garamond" w:cs="Times New Roman"/>
          <w:color w:val="000000"/>
          <w:sz w:val="24"/>
          <w:szCs w:val="24"/>
        </w:rPr>
        <w:t>ocedimin penal nr. 75, datë 27.</w:t>
      </w:r>
      <w:r w:rsidRPr="00B34C03">
        <w:rPr>
          <w:rFonts w:ascii="Garamond" w:hAnsi="Garamond" w:cs="Times New Roman"/>
          <w:color w:val="000000"/>
          <w:sz w:val="24"/>
          <w:szCs w:val="24"/>
        </w:rPr>
        <w:t>4.2023 (</w:t>
      </w:r>
      <w:r w:rsidRPr="00B34C03">
        <w:rPr>
          <w:rFonts w:ascii="Garamond" w:hAnsi="Garamond" w:cs="Times New Roman"/>
          <w:i/>
          <w:iCs/>
          <w:color w:val="000000"/>
          <w:sz w:val="24"/>
          <w:szCs w:val="24"/>
        </w:rPr>
        <w:t>procedimi penal nr. 75/2023</w:t>
      </w:r>
      <w:r w:rsidRPr="00B34C03">
        <w:rPr>
          <w:rFonts w:ascii="Garamond" w:hAnsi="Garamond" w:cs="Times New Roman"/>
          <w:color w:val="000000"/>
          <w:sz w:val="24"/>
          <w:szCs w:val="24"/>
        </w:rPr>
        <w:t>) për veprat penale “Shkelja e barazisë së pjesëmarrësve në tendera dhe në ankande publike” dhe “Korrupsioni pasiv i personave që ushtrojnë funksione publike”, të parashikuara nga nenet 258, paragrafi i dytë dhe 259, paragrafi i dytë, të Kodit Penal (</w:t>
      </w:r>
      <w:r w:rsidRPr="00B34C03">
        <w:rPr>
          <w:rFonts w:ascii="Garamond" w:hAnsi="Garamond" w:cs="Times New Roman"/>
          <w:i/>
          <w:iCs/>
          <w:color w:val="000000"/>
          <w:sz w:val="24"/>
          <w:szCs w:val="24"/>
        </w:rPr>
        <w:t>KP</w:t>
      </w:r>
      <w:r w:rsidRPr="00B34C03">
        <w:rPr>
          <w:rFonts w:ascii="Garamond" w:hAnsi="Garamond" w:cs="Times New Roman"/>
          <w:color w:val="000000"/>
          <w:sz w:val="24"/>
          <w:szCs w:val="24"/>
        </w:rPr>
        <w:t>). Po kështu, Prokuroria e Posaçme, mbi bazën e kallëzimit të bërë nga shtetasi B.</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K., ka regjistruar pro</w:t>
      </w:r>
      <w:r w:rsidR="00B34C03">
        <w:rPr>
          <w:rFonts w:ascii="Garamond" w:hAnsi="Garamond" w:cs="Times New Roman"/>
          <w:color w:val="000000"/>
          <w:sz w:val="24"/>
          <w:szCs w:val="24"/>
        </w:rPr>
        <w:t>cedimin penal nr. 121, datë 23.</w:t>
      </w:r>
      <w:r w:rsidRPr="00B34C03">
        <w:rPr>
          <w:rFonts w:ascii="Garamond" w:hAnsi="Garamond" w:cs="Times New Roman"/>
          <w:color w:val="000000"/>
          <w:sz w:val="24"/>
          <w:szCs w:val="24"/>
        </w:rPr>
        <w:t>5.2023 (</w:t>
      </w:r>
      <w:r w:rsidRPr="00B34C03">
        <w:rPr>
          <w:rFonts w:ascii="Garamond" w:hAnsi="Garamond" w:cs="Times New Roman"/>
          <w:i/>
          <w:iCs/>
          <w:color w:val="000000"/>
          <w:sz w:val="24"/>
          <w:szCs w:val="24"/>
        </w:rPr>
        <w:t>procedimi penal nr. 121/2023</w:t>
      </w:r>
      <w:r w:rsidRPr="00B34C03">
        <w:rPr>
          <w:rFonts w:ascii="Garamond" w:hAnsi="Garamond" w:cs="Times New Roman"/>
          <w:color w:val="000000"/>
          <w:sz w:val="24"/>
          <w:szCs w:val="24"/>
        </w:rPr>
        <w:t>) për veprat penale “Shkelja e barazisë së pjesëmarrësve në tendera dhe në ankande publike” dhe “Korrupsioni pasiv i personave që ushtrojnë funksione publike”, të parashikuara nga nenet 258, paragrafi i dytë dhe 259, paragrafi i dytë, të</w:t>
      </w:r>
      <w:r w:rsidR="00B34C03">
        <w:rPr>
          <w:rFonts w:ascii="Garamond" w:hAnsi="Garamond" w:cs="Times New Roman"/>
          <w:color w:val="000000"/>
          <w:sz w:val="24"/>
          <w:szCs w:val="24"/>
        </w:rPr>
        <w:t xml:space="preserve"> KP-së. Me vendimin e datës 23.</w:t>
      </w:r>
      <w:r w:rsidRPr="00B34C03">
        <w:rPr>
          <w:rFonts w:ascii="Garamond" w:hAnsi="Garamond" w:cs="Times New Roman"/>
          <w:color w:val="000000"/>
          <w:sz w:val="24"/>
          <w:szCs w:val="24"/>
        </w:rPr>
        <w:t>5.2023 të prokurorit, të dyja procedimet penale janë bashkuar në një procedim të vetëm nr. 75/2023.</w:t>
      </w:r>
    </w:p>
    <w:p w14:paraId="20C0D704" w14:textId="733F8480"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3. Në vijim të procedimit penal nr. 75/2023 janë kryer veprime hetimore e me vendimin nr. 401, datë 11.10.2023</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është ushtruar kontroll në ambientet e zyrës së shoqërisë “5D konstruksion” sh.p.k., (fillimisht e emërtuar si</w:t>
      </w:r>
      <w:r w:rsidR="00B34C03">
        <w:rPr>
          <w:rFonts w:ascii="Garamond" w:hAnsi="Garamond" w:cs="Times New Roman"/>
          <w:color w:val="000000"/>
          <w:sz w:val="24"/>
          <w:szCs w:val="24"/>
        </w:rPr>
        <w:t xml:space="preserve"> “Igor Elektrik” e më pas si “VAS</w:t>
      </w:r>
      <w:r w:rsidRPr="00B34C03">
        <w:rPr>
          <w:rFonts w:ascii="Garamond" w:hAnsi="Garamond" w:cs="Times New Roman"/>
          <w:color w:val="000000"/>
          <w:sz w:val="24"/>
          <w:szCs w:val="24"/>
        </w:rPr>
        <w:t xml:space="preserve"> Konstruksion”), duke sekuestruar dokumente, njësi kompjuterike dhe aparate telefonie celulare, të cilat më pas i janë nënshtruar ekspertimit teknik kompjuterik, nga ku janë gjetur të dhëna se ortakët e vërtetë të kësaj shoqërie janë kërkuesi dhe shtetasi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të cilët dyshohet se e kanë zotëruar në mënyrë të tërthortë prej vitit 2016.</w:t>
      </w:r>
    </w:p>
    <w:p w14:paraId="210578A4" w14:textId="66CB088D"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4. Pas kryerjeve të veprimeve hetimore, Prokuroria e Posaçme ka paraqitur kërkesë për caktimin e masave të sigurimit “Arresti në burg” ndaj personave nën hetim, kërkuesit dhe shtetasit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për veprat penale “Korrupsioni pasiv i personave që ushtrojnë funksione publike”, në bashkëpunim, të parashikuar nga nenet 259 e 25 të KP-së dhe “Refuzimi për deklarimin, mosdeklarimi, fshehja ose deklarimi i rremë i pasurive, interesave privatë të personave të zgjedhur dhe nëpunësve publikë ose i çdo personi tjetër që ka detyrimin për deklarim”, e kryer aq herë sa episode janë të procedueshme penalisht.</w:t>
      </w:r>
    </w:p>
    <w:p w14:paraId="69F1EA4A" w14:textId="1645141B"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5. GJKKO-ja e Shkallës së Par</w:t>
      </w:r>
      <w:r w:rsidR="00B34C03">
        <w:rPr>
          <w:rFonts w:ascii="Garamond" w:hAnsi="Garamond" w:cs="Times New Roman"/>
          <w:color w:val="000000"/>
          <w:sz w:val="24"/>
          <w:szCs w:val="24"/>
        </w:rPr>
        <w:t>ë, me vendimin nr. 28, datë 28.</w:t>
      </w:r>
      <w:r w:rsidRPr="00B34C03">
        <w:rPr>
          <w:rFonts w:ascii="Garamond" w:hAnsi="Garamond" w:cs="Times New Roman"/>
          <w:color w:val="000000"/>
          <w:sz w:val="24"/>
          <w:szCs w:val="24"/>
        </w:rPr>
        <w:t>3.2024, ka miratuar kërkesën dhe ka caktuar ndaj kërkuesit masën e sigurimit personal “Arresti në burg”, të parashikuar nga neni 238 i Kodit të Procedurës Penale (</w:t>
      </w:r>
      <w:r w:rsidRPr="00B34C03">
        <w:rPr>
          <w:rFonts w:ascii="Garamond" w:hAnsi="Garamond" w:cs="Times New Roman"/>
          <w:i/>
          <w:iCs/>
          <w:color w:val="000000"/>
          <w:sz w:val="24"/>
          <w:szCs w:val="24"/>
        </w:rPr>
        <w:t>KPP</w:t>
      </w:r>
      <w:r w:rsidRPr="00B34C03">
        <w:rPr>
          <w:rFonts w:ascii="Garamond" w:hAnsi="Garamond" w:cs="Times New Roman"/>
          <w:color w:val="000000"/>
          <w:sz w:val="24"/>
          <w:szCs w:val="24"/>
        </w:rPr>
        <w:t>), për kryerjen e veprave penale “Korrupsioni pasiv i personave që ushtrojnë funksione publike” në 4 raste, të kryera në bashkëpunim, të parashikuara nga nenet 259 dhe 25 të KP-së dhe “Refuzimi për deklarimin, mosdeklarimi, fshehja ose deklarimi i rremë i pasurive, interesave privatë të personave të zgjedhur dhe nëpunësve publikë ose i çdo personi tjetër që ka detyrimin për deklarim”, të parashikuar nga neni 257, shkronja “a”, pika 2, i KP-së.</w:t>
      </w:r>
    </w:p>
    <w:p w14:paraId="00B61A5D" w14:textId="5917BE09" w:rsidR="00DA1E25" w:rsidRPr="00B34C03" w:rsidRDefault="00B34C03"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6. Në datën 29.</w:t>
      </w:r>
      <w:r w:rsidR="00DA1E25" w:rsidRPr="00B34C03">
        <w:rPr>
          <w:rFonts w:ascii="Garamond" w:hAnsi="Garamond" w:cs="Times New Roman"/>
          <w:color w:val="000000"/>
          <w:sz w:val="24"/>
          <w:szCs w:val="24"/>
        </w:rPr>
        <w:t>3.2024</w:t>
      </w:r>
      <w:r>
        <w:rPr>
          <w:rFonts w:ascii="Garamond" w:hAnsi="Garamond" w:cs="Times New Roman"/>
          <w:color w:val="000000"/>
          <w:sz w:val="24"/>
          <w:szCs w:val="24"/>
        </w:rPr>
        <w:t>,</w:t>
      </w:r>
      <w:r w:rsidR="00DA1E25" w:rsidRPr="00B34C03">
        <w:rPr>
          <w:rFonts w:ascii="Garamond" w:hAnsi="Garamond" w:cs="Times New Roman"/>
          <w:color w:val="000000"/>
          <w:sz w:val="24"/>
          <w:szCs w:val="24"/>
        </w:rPr>
        <w:t xml:space="preserve"> Prokuroria e Posaçme ka dërguar për gjykim kërkesën për verifikimin dhe vazhdimin e masës së sigurimit personal dhe marrjes në pyetje ndaj personave nën hetim, përfshirë dhe kërkuesin.</w:t>
      </w:r>
    </w:p>
    <w:p w14:paraId="651E1077" w14:textId="481A5451"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7. GJKKO-ja e Shkallës së Par</w:t>
      </w:r>
      <w:r w:rsidR="00B34C03">
        <w:rPr>
          <w:rFonts w:ascii="Garamond" w:hAnsi="Garamond" w:cs="Times New Roman"/>
          <w:color w:val="000000"/>
          <w:sz w:val="24"/>
          <w:szCs w:val="24"/>
        </w:rPr>
        <w:t>ë, me vendimin nr. 35, datë 30.</w:t>
      </w:r>
      <w:r w:rsidRPr="00B34C03">
        <w:rPr>
          <w:rFonts w:ascii="Garamond" w:hAnsi="Garamond" w:cs="Times New Roman"/>
          <w:color w:val="000000"/>
          <w:sz w:val="24"/>
          <w:szCs w:val="24"/>
        </w:rPr>
        <w:t xml:space="preserve">3.2024, ka vendosur, ndër të tjera, vazhdimin e masës së sigurimit “Arresti në burg”, të parashikuar nga neni 238 i KPP-së ndaj kërkuesit si person i hetuar për kryerjen e veprave penale të parashikuara nga nenet </w:t>
      </w:r>
      <w:bookmarkStart w:id="0" w:name="_GoBack"/>
      <w:bookmarkEnd w:id="0"/>
      <w:r w:rsidRPr="00B34C03">
        <w:rPr>
          <w:rFonts w:ascii="Garamond" w:hAnsi="Garamond" w:cs="Times New Roman"/>
          <w:color w:val="000000"/>
          <w:sz w:val="24"/>
          <w:szCs w:val="24"/>
        </w:rPr>
        <w:t>259 dhe 25 dhe 257, shkronja “a”, pika 2, të KP-së.</w:t>
      </w:r>
    </w:p>
    <w:p w14:paraId="4D6A854A" w14:textId="39E8DF25"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8. Mbi ankimin e kërkuesit, Gjykata e Posaçme e Apelit kundër Korrupsionit dhe Krimit të Organizuar (</w:t>
      </w:r>
      <w:r w:rsidRPr="00B34C03">
        <w:rPr>
          <w:rFonts w:ascii="Garamond" w:hAnsi="Garamond" w:cs="Times New Roman"/>
          <w:i/>
          <w:iCs/>
          <w:color w:val="000000"/>
          <w:sz w:val="24"/>
          <w:szCs w:val="24"/>
        </w:rPr>
        <w:t>GJKKO-ja e Apelit</w:t>
      </w:r>
      <w:r w:rsidRPr="00B34C03">
        <w:rPr>
          <w:rFonts w:ascii="Garamond" w:hAnsi="Garamond" w:cs="Times New Roman"/>
          <w:color w:val="000000"/>
          <w:sz w:val="24"/>
          <w:szCs w:val="24"/>
        </w:rPr>
        <w:t>), me vendi</w:t>
      </w:r>
      <w:r w:rsidR="00B34C03">
        <w:rPr>
          <w:rFonts w:ascii="Garamond" w:hAnsi="Garamond" w:cs="Times New Roman"/>
          <w:color w:val="000000"/>
          <w:sz w:val="24"/>
          <w:szCs w:val="24"/>
        </w:rPr>
        <w:t>min nr. 18 (87-2024-123), datë 3.</w:t>
      </w:r>
      <w:r w:rsidRPr="00B34C03">
        <w:rPr>
          <w:rFonts w:ascii="Garamond" w:hAnsi="Garamond" w:cs="Times New Roman"/>
          <w:color w:val="000000"/>
          <w:sz w:val="24"/>
          <w:szCs w:val="24"/>
        </w:rPr>
        <w:t>5.2024, ka vendosur miratimin e vendimeve</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 xml:space="preserve">nr. 28, datë </w:t>
      </w:r>
      <w:r w:rsidR="00B34C03">
        <w:rPr>
          <w:rFonts w:ascii="Garamond" w:hAnsi="Garamond" w:cs="Times New Roman"/>
          <w:color w:val="000000"/>
          <w:sz w:val="24"/>
          <w:szCs w:val="24"/>
        </w:rPr>
        <w:t>28.3.2024 dhe nr. 35, datë 30.</w:t>
      </w:r>
      <w:r w:rsidRPr="00B34C03">
        <w:rPr>
          <w:rFonts w:ascii="Garamond" w:hAnsi="Garamond" w:cs="Times New Roman"/>
          <w:color w:val="000000"/>
          <w:sz w:val="24"/>
          <w:szCs w:val="24"/>
        </w:rPr>
        <w:t>3.2024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së Shkallës së Parë.</w:t>
      </w:r>
    </w:p>
    <w:p w14:paraId="0A8847F2" w14:textId="72411830"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9. Ndërkohë, mbi rekursin e kërkuesit, Kolegji Penal i Gjykatës së Lartë, me vendimin n</w:t>
      </w:r>
      <w:r w:rsidR="00B34C03">
        <w:rPr>
          <w:rFonts w:ascii="Garamond" w:hAnsi="Garamond" w:cs="Times New Roman"/>
          <w:color w:val="000000"/>
          <w:sz w:val="24"/>
          <w:szCs w:val="24"/>
        </w:rPr>
        <w:t>r. 00-2024-1588 (232), datë 26.</w:t>
      </w:r>
      <w:r w:rsidRPr="00B34C03">
        <w:rPr>
          <w:rFonts w:ascii="Garamond" w:hAnsi="Garamond" w:cs="Times New Roman"/>
          <w:color w:val="000000"/>
          <w:sz w:val="24"/>
          <w:szCs w:val="24"/>
        </w:rPr>
        <w:t>9.2024, ka vendosur pr</w:t>
      </w:r>
      <w:r w:rsidR="00B34C03">
        <w:rPr>
          <w:rFonts w:ascii="Garamond" w:hAnsi="Garamond" w:cs="Times New Roman"/>
          <w:color w:val="000000"/>
          <w:sz w:val="24"/>
          <w:szCs w:val="24"/>
        </w:rPr>
        <w:t>ishjen e vendimit nr. 18, datë 3.</w:t>
      </w:r>
      <w:r w:rsidRPr="00B34C03">
        <w:rPr>
          <w:rFonts w:ascii="Garamond" w:hAnsi="Garamond" w:cs="Times New Roman"/>
          <w:color w:val="000000"/>
          <w:sz w:val="24"/>
          <w:szCs w:val="24"/>
        </w:rPr>
        <w:t>5.2024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së Apelit për kërkuesin dhe personin nën hetim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duke e dërguar çështjen për rishqyrtim në atë gjykatë me tjetër trup gjykues, me arsyetimin se gjyqtari i hetimit paraprak në gjykatën e apelit ka marrë kompetencat e gjyqtarit të seancës paraprake, duke ushtruar kontroll mbi veprimtarinë e prokurorit nëpërmjet kualifikimit të veprës penale. Kolegji Penal ka rekomanduar GJKKO-në e Apelit të marrë</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në shqyrtim vendimin e GJKKO-së së Shkallës së Parë lidhur me masat e sigurisë ndaj kërkuesit dhe personit tjetër nën hetim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duke vlerësuar raportin e masave të sigurimit me rëndësinë e faktit dhe sanksionin për veprat penale të kualifikuara nga organi i akuzës deri në fazën aktuale të hetimeve. Në rishqyrtim, GJKKO-ja e Apelit, me vendi</w:t>
      </w:r>
      <w:r w:rsidR="00B34C03">
        <w:rPr>
          <w:rFonts w:ascii="Garamond" w:hAnsi="Garamond" w:cs="Times New Roman"/>
          <w:color w:val="000000"/>
          <w:sz w:val="24"/>
          <w:szCs w:val="24"/>
        </w:rPr>
        <w:t xml:space="preserve">min nr. 57 (87-2024-323), datë </w:t>
      </w:r>
      <w:r w:rsidRPr="00B34C03">
        <w:rPr>
          <w:rFonts w:ascii="Garamond" w:hAnsi="Garamond" w:cs="Times New Roman"/>
          <w:color w:val="000000"/>
          <w:sz w:val="24"/>
          <w:szCs w:val="24"/>
        </w:rPr>
        <w:t>7.11.2024, ka vendosur miratim</w:t>
      </w:r>
      <w:r w:rsidR="00B34C03">
        <w:rPr>
          <w:rFonts w:ascii="Garamond" w:hAnsi="Garamond" w:cs="Times New Roman"/>
          <w:color w:val="000000"/>
          <w:sz w:val="24"/>
          <w:szCs w:val="24"/>
        </w:rPr>
        <w:t>in e vendimeve nr. 28, datë 28.3.2024 dhe nr. 35, datë 30.</w:t>
      </w:r>
      <w:r w:rsidRPr="00B34C03">
        <w:rPr>
          <w:rFonts w:ascii="Garamond" w:hAnsi="Garamond" w:cs="Times New Roman"/>
          <w:color w:val="000000"/>
          <w:sz w:val="24"/>
          <w:szCs w:val="24"/>
        </w:rPr>
        <w:t>3.2024, në lidhje me llojin e masës së sigurimit “Arresti në burg” të caktuar ndaj kërkuesit dhe personit tjetër nën hetim, shtetasit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me arsyetimin se është më e përshtatshme me shkallën e nevojave të sigurimit, rëndësinë e fakteve dhe sanksionet e parashikuara për veprat penale.</w:t>
      </w:r>
    </w:p>
    <w:p w14:paraId="293CBD26" w14:textId="18ACB755" w:rsidR="00DA1E25" w:rsidRPr="00B34C03" w:rsidRDefault="00B34C03"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10. Në datën 28.</w:t>
      </w:r>
      <w:r w:rsidR="00DA1E25" w:rsidRPr="00B34C03">
        <w:rPr>
          <w:rFonts w:ascii="Garamond" w:hAnsi="Garamond" w:cs="Times New Roman"/>
          <w:color w:val="000000"/>
          <w:sz w:val="24"/>
          <w:szCs w:val="24"/>
        </w:rPr>
        <w:t>5.2024</w:t>
      </w:r>
      <w:r>
        <w:rPr>
          <w:rFonts w:ascii="Garamond" w:hAnsi="Garamond" w:cs="Times New Roman"/>
          <w:color w:val="000000"/>
          <w:sz w:val="24"/>
          <w:szCs w:val="24"/>
        </w:rPr>
        <w:t>,</w:t>
      </w:r>
      <w:r w:rsidR="00DA1E25" w:rsidRPr="00B34C03">
        <w:rPr>
          <w:rFonts w:ascii="Garamond" w:hAnsi="Garamond" w:cs="Times New Roman"/>
          <w:color w:val="000000"/>
          <w:sz w:val="24"/>
          <w:szCs w:val="24"/>
        </w:rPr>
        <w:t xml:space="preserve"> në GJKKO-në e Shkallës së Parë është regjistruar kërkesa penale nr. 313 akti, e paraqitur nga kërkuesi, me objekt paraqitjen e informacionit dymujor</w:t>
      </w:r>
      <w:r w:rsidR="00DD0838">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dhe verifikimin e kushteve dhe të kritereve që lidhen me nevojat e sigurimit ndaj personit nën hetim dhe zëvendësimin e masës së sigurimit në zbatim ndaj tij me një masë si</w:t>
      </w:r>
      <w:r>
        <w:rPr>
          <w:rFonts w:ascii="Garamond" w:hAnsi="Garamond" w:cs="Times New Roman"/>
          <w:color w:val="000000"/>
          <w:sz w:val="24"/>
          <w:szCs w:val="24"/>
        </w:rPr>
        <w:t>gurimi më të butë. Në datën 30.</w:t>
      </w:r>
      <w:r w:rsidR="00DA1E25" w:rsidRPr="00B34C03">
        <w:rPr>
          <w:rFonts w:ascii="Garamond" w:hAnsi="Garamond" w:cs="Times New Roman"/>
          <w:color w:val="000000"/>
          <w:sz w:val="24"/>
          <w:szCs w:val="24"/>
        </w:rPr>
        <w:t>5.2024 është regjistruar kërkesa penale nr. 320 akti nga personi tjetër nën hetim, shtetasi R.</w:t>
      </w:r>
      <w:r w:rsidR="00DD0838">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 xml:space="preserve">M., me objekt të njëjtë </w:t>
      </w:r>
      <w:r>
        <w:rPr>
          <w:rFonts w:ascii="Garamond" w:hAnsi="Garamond" w:cs="Times New Roman"/>
          <w:color w:val="000000"/>
          <w:sz w:val="24"/>
          <w:szCs w:val="24"/>
        </w:rPr>
        <w:t>me kërkuesin. Në datën 10.</w:t>
      </w:r>
      <w:r w:rsidR="00DA1E25" w:rsidRPr="00B34C03">
        <w:rPr>
          <w:rFonts w:ascii="Garamond" w:hAnsi="Garamond" w:cs="Times New Roman"/>
          <w:color w:val="000000"/>
          <w:sz w:val="24"/>
          <w:szCs w:val="24"/>
        </w:rPr>
        <w:t>6.2024 është regjistruar kërkesa penale nr. 352 akti e Prokurorisë së Posaçme, me objekt paraqitjen e informacionit dymujor për ecurinë e hetimeve ndaj kërkuesit dhe dy shtetasve të tjerë nën hetim, R.</w:t>
      </w:r>
      <w:r>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M. dhe T.</w:t>
      </w:r>
      <w:r>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T. Me vendimin e da</w:t>
      </w:r>
      <w:r>
        <w:rPr>
          <w:rFonts w:ascii="Garamond" w:hAnsi="Garamond" w:cs="Times New Roman"/>
          <w:color w:val="000000"/>
          <w:sz w:val="24"/>
          <w:szCs w:val="24"/>
        </w:rPr>
        <w:t>tës 12.</w:t>
      </w:r>
      <w:r w:rsidR="00DA1E25" w:rsidRPr="00B34C03">
        <w:rPr>
          <w:rFonts w:ascii="Garamond" w:hAnsi="Garamond" w:cs="Times New Roman"/>
          <w:color w:val="000000"/>
          <w:sz w:val="24"/>
          <w:szCs w:val="24"/>
        </w:rPr>
        <w:t>6.2024, GJKKO-ja e Shkallës së Parë ka vendosur bashkimin e kërkesave penale nr. 313 akti dhe nr. 320 akti me kërkesën penale nr. 352 të Prokurorisë së Posaçme, pasi të tria kërkesat lidhen me procedimin penal nr.</w:t>
      </w:r>
      <w:r>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75/2023 dhe gjenden për shqyrtim në të njëjtën fazë procedurale, para së njëjtës gjykatë, si dhe në thelb kanë të njëjtin objekt. Sipas Prokurorisë së Posaçme, referuar informacionit me shkrim dhe qëndrimit të mbajtur gjatë zhvillimit të gjykimit, në funksion të procedimit penal në ngarkim të kërkuesit, të shtetasit R.</w:t>
      </w:r>
      <w:r>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M. e personave të tjerë që hetohen në kuadër të të njëjtit procedim, janë kryer një sërë veprimesh hetimore, si sekuestrimi i aparateve të telefonisë celulare, kryerja e ekspertimit teknik kompjuterik, ekspertimi teknik lidhur me përllogaritjen e fondit limit për procedurat e prokurimit të gjetura me shkelje, si dhe janë kryer veprime hetimore që lidhen me mënyrën e qarkullimit të shumave monetare nga shoqëria “5D Konstruksion” sh.p.k. dhe me burimin e të ardhurave të investuara nga shoqëria në aktivitete të tjera, si dhe shumat monetare që janë përfituar nga zotëruesit e shoqërisë tregtare.</w:t>
      </w:r>
    </w:p>
    <w:p w14:paraId="1A31110E" w14:textId="1EAE07C2"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11. Pas bashkimit të të dyja procedimeve penale nr. 75/2023 dhe 121/2023, në vijim t</w:t>
      </w:r>
      <w:r w:rsidR="00B34C03">
        <w:rPr>
          <w:rFonts w:ascii="Garamond" w:hAnsi="Garamond" w:cs="Times New Roman"/>
          <w:color w:val="000000"/>
          <w:sz w:val="24"/>
          <w:szCs w:val="24"/>
        </w:rPr>
        <w:t>ë hetimeve, me urdhrin e datës 4.</w:t>
      </w:r>
      <w:r w:rsidRPr="00B34C03">
        <w:rPr>
          <w:rFonts w:ascii="Garamond" w:hAnsi="Garamond" w:cs="Times New Roman"/>
          <w:color w:val="000000"/>
          <w:sz w:val="24"/>
          <w:szCs w:val="24"/>
        </w:rPr>
        <w:t>6.2024, Prokuroria e Posaçme ka bërë ndryshime në regjistrin e njoftimeve të veprave penale, duke urdhëruar regjistrimin e veprës penale “Pastrimi i produkteve të veprës penale ose veprimtarisë kriminale”, e kryer në bashkëpunim, të parashikuar nga neni 287, paragrafi 2, i KP-së. Po kështu, sipas këtij urdhri të Prokurorisë së Posaçme, është regjistruar si person nën hetim personi juridik shoqëria tregtare me përgjegjësi të kufizuar “5D Konstruksion” sh.p.k., si subjekt i dyshuar për kryerjen e veprave penale të parashikuara nga nenet 244 dhe 25, si dhe 287 të KP-së. Sipas Prokurorisë së Posaçme, për kryerjen e një hetimi të plotë duhen kryer veprime të tjera hetimore në drejtim të grumbullimit të provave të tjera në ngarkim të personave nën hetim, përfshirë edhe kërkuesin.</w:t>
      </w:r>
    </w:p>
    <w:p w14:paraId="67680D0A" w14:textId="20A84C1A"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12. Kërkuesi, nëpërmjet avokatit mbrojtës, ka kundërshtuar në GJKKO-në e Shkallës së Parë masën e sigurimit, duke pretenduar se ajo është e papërshtatshme e duhet zëvendësua</w:t>
      </w:r>
      <w:r w:rsidR="00B34C03">
        <w:rPr>
          <w:rFonts w:ascii="Garamond" w:hAnsi="Garamond" w:cs="Times New Roman"/>
          <w:color w:val="000000"/>
          <w:sz w:val="24"/>
          <w:szCs w:val="24"/>
        </w:rPr>
        <w:t>r me një masë më të butë, pasi: i.</w:t>
      </w:r>
      <w:r w:rsidRPr="00B34C03">
        <w:rPr>
          <w:rFonts w:ascii="Garamond" w:hAnsi="Garamond" w:cs="Times New Roman"/>
          <w:color w:val="000000"/>
          <w:sz w:val="24"/>
          <w:szCs w:val="24"/>
        </w:rPr>
        <w:t xml:space="preserve"> lidhur me informacionin dymujor të paraqitur nga prokurori konstatohet shkelje e të drejtave procedurale të kërkuesit, për shkak se njoftimi i akuzës i është dërguar me postë në burg, praktikë e panjohur nga ligj</w:t>
      </w:r>
      <w:r w:rsidR="00B34C03">
        <w:rPr>
          <w:rFonts w:ascii="Garamond" w:hAnsi="Garamond" w:cs="Times New Roman"/>
          <w:color w:val="000000"/>
          <w:sz w:val="24"/>
          <w:szCs w:val="24"/>
        </w:rPr>
        <w:t>i, si dhe e pazbatuar më parë, ii.</w:t>
      </w:r>
      <w:r w:rsidRPr="00B34C03">
        <w:rPr>
          <w:rFonts w:ascii="Garamond" w:hAnsi="Garamond" w:cs="Times New Roman"/>
          <w:color w:val="000000"/>
          <w:sz w:val="24"/>
          <w:szCs w:val="24"/>
        </w:rPr>
        <w:t xml:space="preserve"> organi i akuzës ka paraqitur informacion për kryerjen e disa veprimeve hetimore, sikurse janë aktet e ekspertimit, por nuk ka njoftuar mbrojtësit ligjorë për vendimet për caktimin e ekspertëve. Me kërkesë të njëjtë i janë drejtuar GJKKO-së së Shkallës së Parë edhe dy personat nën hetim, shtetasit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dhe T.</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T.</w:t>
      </w:r>
    </w:p>
    <w:p w14:paraId="1DC9395D" w14:textId="28DC4F22"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13. GJKKO-ja e Shkallës së Parë</w:t>
      </w:r>
      <w:r w:rsidR="00B34C03">
        <w:rPr>
          <w:rFonts w:ascii="Garamond" w:hAnsi="Garamond" w:cs="Times New Roman"/>
          <w:color w:val="000000"/>
          <w:sz w:val="24"/>
          <w:szCs w:val="24"/>
        </w:rPr>
        <w:t>, me vendimin nr. 352, datë 24.</w:t>
      </w:r>
      <w:r w:rsidRPr="00B34C03">
        <w:rPr>
          <w:rFonts w:ascii="Garamond" w:hAnsi="Garamond" w:cs="Times New Roman"/>
          <w:color w:val="000000"/>
          <w:sz w:val="24"/>
          <w:szCs w:val="24"/>
        </w:rPr>
        <w:t>6.2024, ka vendosur</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rrëzimin e kërkesës së kërkuesit dhe të dy personave të tjerë nën hetim për zëvendësimin e masës së sigurimit personal “Arresti në burg” dhe vazhdimin e zbatimit të masës së sigurimit të caktuar ndaj t</w:t>
      </w:r>
      <w:r w:rsidR="00B34C03">
        <w:rPr>
          <w:rFonts w:ascii="Garamond" w:hAnsi="Garamond" w:cs="Times New Roman"/>
          <w:color w:val="000000"/>
          <w:sz w:val="24"/>
          <w:szCs w:val="24"/>
        </w:rPr>
        <w:t>ij me vendimin nr. 28, datë 28.</w:t>
      </w:r>
      <w:r w:rsidRPr="00B34C03">
        <w:rPr>
          <w:rFonts w:ascii="Garamond" w:hAnsi="Garamond" w:cs="Times New Roman"/>
          <w:color w:val="000000"/>
          <w:sz w:val="24"/>
          <w:szCs w:val="24"/>
        </w:rPr>
        <w:t>3.2024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së Shkallës së Parë, lënë në</w:t>
      </w:r>
      <w:r w:rsidR="00B34C03">
        <w:rPr>
          <w:rFonts w:ascii="Garamond" w:hAnsi="Garamond" w:cs="Times New Roman"/>
          <w:color w:val="000000"/>
          <w:sz w:val="24"/>
          <w:szCs w:val="24"/>
        </w:rPr>
        <w:t xml:space="preserve"> fuqi me vendimin nr. 18, datë 3.</w:t>
      </w:r>
      <w:r w:rsidRPr="00B34C03">
        <w:rPr>
          <w:rFonts w:ascii="Garamond" w:hAnsi="Garamond" w:cs="Times New Roman"/>
          <w:color w:val="000000"/>
          <w:sz w:val="24"/>
          <w:szCs w:val="24"/>
        </w:rPr>
        <w:t>5.2024</w:t>
      </w:r>
      <w:r w:rsidR="00DD0838">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së Apelit, me arsyetimin se kushtet e përgjithshme dhe të posaçme për caktimin e masave dhe përshtatshmëria e tyre nuk rezultojnë të kenë pësuar ndryshime thelbësore, pasi personat e akuzuar vijojnë të jenë në hetim për të njëjtat fakte, për të njëjtat vepra penale, të cilat mbartin të njëjtën rrezikshmëri shoqërore të vlerësuar nga GJKKO-ja e Shkallës së Parë në momentin fillestar dhe të gjetur të drejtë edhe nga gjykata më e lartë që ka shqyrtuar ankimin e personave nën hetim, duke miratuar masat e caktuara prej tyre. Kundër këtij vendimi kanë paraqitur ankim kërkuesi dhe personi nën hetim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w:t>
      </w:r>
    </w:p>
    <w:p w14:paraId="4BAA5A82" w14:textId="447395C3"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 xml:space="preserve">14. GJKKO-ja e Apelit, me vendimin </w:t>
      </w:r>
      <w:r w:rsidR="00B34C03">
        <w:rPr>
          <w:rFonts w:ascii="Garamond" w:hAnsi="Garamond" w:cs="Times New Roman"/>
          <w:color w:val="000000"/>
          <w:sz w:val="24"/>
          <w:szCs w:val="24"/>
        </w:rPr>
        <w:t>nr. 164 (87-2024-223), datë 31.</w:t>
      </w:r>
      <w:r w:rsidRPr="00B34C03">
        <w:rPr>
          <w:rFonts w:ascii="Garamond" w:hAnsi="Garamond" w:cs="Times New Roman"/>
          <w:color w:val="000000"/>
          <w:sz w:val="24"/>
          <w:szCs w:val="24"/>
        </w:rPr>
        <w:t>7.2024, ka vendosur miratimin e vendimit të GJKKO-së së Shkallës së Parë, me arsyetimin se shkaqet e parashtruara në apelet e kërkuesit dhe të shtetasit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janë të pabazuara në fakte dhe në ligj. Sipas asaj gjykate, Prokuroria e Posaçme dhe GJKKO-ja e Shkallës së Parë nuk kanë reflektuar në qëndrimet e tyre mbi kualifikimin juridik të fakteve penale historike objekt procedimi, pavarësisht pjesës relevante arsye</w:t>
      </w:r>
      <w:r w:rsidR="00B34C03">
        <w:rPr>
          <w:rFonts w:ascii="Garamond" w:hAnsi="Garamond" w:cs="Times New Roman"/>
          <w:color w:val="000000"/>
          <w:sz w:val="24"/>
          <w:szCs w:val="24"/>
        </w:rPr>
        <w:t>tuese të vendimit nr. 18, datë 3.</w:t>
      </w:r>
      <w:r w:rsidRPr="00B34C03">
        <w:rPr>
          <w:rFonts w:ascii="Garamond" w:hAnsi="Garamond" w:cs="Times New Roman"/>
          <w:color w:val="000000"/>
          <w:sz w:val="24"/>
          <w:szCs w:val="24"/>
        </w:rPr>
        <w:t>5.2024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së Apelit. Sipas kësaj të fundit, konstatohet se për dy personat nën hetim/apelues nuk ka asnjë rrethanë që ka relativizuar rëndësinë juridike dhe faktike të fakteve penale historike të cilat u atribuohen, përkundrazi ka veprime hetimore të mëtejshme që e konsolidojnë bindjen për autorësinë</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e tyre. Kundër këtij vendimi ka ushtruar rekurs personi tjetër nën hetim, shtetasi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w:t>
      </w:r>
    </w:p>
    <w:p w14:paraId="615F1021" w14:textId="3BF052A7"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15. Mbi rekursin e personit nën hetim R.</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M., Kolegji Penal i Gjykatës së Lartë, me vendimin nr. 00-2024-1979 (299</w:t>
      </w:r>
      <w:r w:rsidR="00B34C03">
        <w:rPr>
          <w:rFonts w:ascii="Garamond" w:hAnsi="Garamond" w:cs="Times New Roman"/>
          <w:color w:val="000000"/>
          <w:sz w:val="24"/>
          <w:szCs w:val="24"/>
        </w:rPr>
        <w:t xml:space="preserve">), datë </w:t>
      </w:r>
      <w:r w:rsidRPr="00B34C03">
        <w:rPr>
          <w:rFonts w:ascii="Garamond" w:hAnsi="Garamond" w:cs="Times New Roman"/>
          <w:color w:val="000000"/>
          <w:sz w:val="24"/>
          <w:szCs w:val="24"/>
        </w:rPr>
        <w:t>4.12.2024, ka vendosur lënien në fuqi të vendimit të GJKKO-së së Apelit, me arsyetimin se shkaqet e paraqitura në rekurs nga personi nën hetim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nuk janë të tilla</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që të cenojnë vendimmarrjen e GJKKO-së së Apelit,</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si dhe nuk ka mosrespektim ose zbatim të gabuar të ligjit material ose procedural, me rëndësi për zhvillimin ose njësimin e praktikës gjyqësore, nuk ka mosrespektim ose zbatim të gabuar të ligjit procedural, me pasojë pavlefshmërinë e vendimit, pavlefshmërinë absolute të akteve ose papërdorshmërinë e provave, vendimi i ankimuar nuk vjen në kundërshtim me praktikën e Kolegjit Penal ose të Kolegjeve të Bashkuara të Gjykatës së Lartë dhe për pasojë nuk ndodhet në asnjë nga rastet</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 xml:space="preserve">e parashikuara nga neni 432 i KPP-së në kohën e depozitimit. </w:t>
      </w:r>
    </w:p>
    <w:p w14:paraId="16FAB934" w14:textId="1782384F" w:rsidR="00DA1E25" w:rsidRPr="00B34C03" w:rsidRDefault="00B34C03" w:rsidP="00DA1E25">
      <w:pPr>
        <w:tabs>
          <w:tab w:val="left" w:pos="36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color w:val="000000"/>
          <w:sz w:val="24"/>
          <w:szCs w:val="24"/>
        </w:rPr>
        <w:t>16. Në datën 7.</w:t>
      </w:r>
      <w:r w:rsidR="00DA1E25" w:rsidRPr="00B34C03">
        <w:rPr>
          <w:rFonts w:ascii="Garamond" w:hAnsi="Garamond" w:cs="Times New Roman"/>
          <w:color w:val="000000"/>
          <w:sz w:val="24"/>
          <w:szCs w:val="24"/>
        </w:rPr>
        <w:t>5.2025</w:t>
      </w:r>
      <w:r>
        <w:rPr>
          <w:rFonts w:ascii="Garamond" w:hAnsi="Garamond" w:cs="Times New Roman"/>
          <w:color w:val="000000"/>
          <w:sz w:val="24"/>
          <w:szCs w:val="24"/>
        </w:rPr>
        <w:t>,</w:t>
      </w:r>
      <w:r w:rsidR="00DA1E25" w:rsidRPr="00B34C03">
        <w:rPr>
          <w:rFonts w:ascii="Garamond" w:hAnsi="Garamond" w:cs="Times New Roman"/>
          <w:color w:val="000000"/>
          <w:sz w:val="24"/>
          <w:szCs w:val="24"/>
        </w:rPr>
        <w:t xml:space="preserve"> kërkuesi i është drejtuar Gjykatës Kushtetuese (</w:t>
      </w:r>
      <w:r w:rsidR="00DA1E25" w:rsidRPr="00B34C03">
        <w:rPr>
          <w:rFonts w:ascii="Garamond" w:hAnsi="Garamond" w:cs="Times New Roman"/>
          <w:i/>
          <w:iCs/>
          <w:color w:val="000000"/>
          <w:sz w:val="24"/>
          <w:szCs w:val="24"/>
        </w:rPr>
        <w:t>Gjykata</w:t>
      </w:r>
      <w:r w:rsidR="00DA1E25" w:rsidRPr="00B34C03">
        <w:rPr>
          <w:rFonts w:ascii="Garamond" w:hAnsi="Garamond" w:cs="Times New Roman"/>
          <w:color w:val="000000"/>
          <w:sz w:val="24"/>
          <w:szCs w:val="24"/>
        </w:rPr>
        <w:t>) me ankim kushtetues individual, sipas objektit, i cili, pasi është plotësuar sipas kërkesave të ligjit organik të Gjykatës është regjistr</w:t>
      </w:r>
      <w:r>
        <w:rPr>
          <w:rFonts w:ascii="Garamond" w:hAnsi="Garamond" w:cs="Times New Roman"/>
          <w:color w:val="000000"/>
          <w:sz w:val="24"/>
          <w:szCs w:val="24"/>
        </w:rPr>
        <w:t>uar më 19.5.2025. Në datën 10.</w:t>
      </w:r>
      <w:r w:rsidR="00DA1E25" w:rsidRPr="00B34C03">
        <w:rPr>
          <w:rFonts w:ascii="Garamond" w:hAnsi="Garamond" w:cs="Times New Roman"/>
          <w:color w:val="000000"/>
          <w:sz w:val="24"/>
          <w:szCs w:val="24"/>
        </w:rPr>
        <w:t>7.2025</w:t>
      </w:r>
      <w:r>
        <w:rPr>
          <w:rFonts w:ascii="Garamond" w:hAnsi="Garamond" w:cs="Times New Roman"/>
          <w:color w:val="000000"/>
          <w:sz w:val="24"/>
          <w:szCs w:val="24"/>
        </w:rPr>
        <w:t>,</w:t>
      </w:r>
      <w:r w:rsidR="00DA1E25" w:rsidRPr="00B34C03">
        <w:rPr>
          <w:rFonts w:ascii="Garamond" w:hAnsi="Garamond" w:cs="Times New Roman"/>
          <w:color w:val="000000"/>
          <w:sz w:val="24"/>
          <w:szCs w:val="24"/>
        </w:rPr>
        <w:t xml:space="preserve"> Kolegji i Gjykatës ka vendosur kalimin e kërkesës për shqyrtim paraprak në Mbledhjen e </w:t>
      </w:r>
      <w:r>
        <w:rPr>
          <w:rFonts w:ascii="Garamond" w:hAnsi="Garamond" w:cs="Times New Roman"/>
          <w:color w:val="000000"/>
          <w:sz w:val="24"/>
          <w:szCs w:val="24"/>
        </w:rPr>
        <w:t>Gjyqtarëve, e cila në datën 23.</w:t>
      </w:r>
      <w:r w:rsidR="00DA1E25" w:rsidRPr="00B34C03">
        <w:rPr>
          <w:rFonts w:ascii="Garamond" w:hAnsi="Garamond" w:cs="Times New Roman"/>
          <w:color w:val="000000"/>
          <w:sz w:val="24"/>
          <w:szCs w:val="24"/>
        </w:rPr>
        <w:t>7.2025, ka vendosur kalimin e çështjes për shqyrtim në seancë plenare mbi bazë të dokumenteve.</w:t>
      </w:r>
      <w:r w:rsidR="00DD0838">
        <w:rPr>
          <w:rFonts w:ascii="Garamond" w:hAnsi="Garamond" w:cs="Times New Roman"/>
          <w:color w:val="000000"/>
          <w:sz w:val="24"/>
          <w:szCs w:val="24"/>
        </w:rPr>
        <w:t xml:space="preserve"> </w:t>
      </w:r>
    </w:p>
    <w:p w14:paraId="2B9FB2FE" w14:textId="77777777" w:rsidR="00DA1E25" w:rsidRPr="00B34C03" w:rsidRDefault="00DA1E25" w:rsidP="00DA1E25">
      <w:pPr>
        <w:tabs>
          <w:tab w:val="left" w:pos="1080"/>
        </w:tabs>
        <w:autoSpaceDE w:val="0"/>
        <w:autoSpaceDN w:val="0"/>
        <w:adjustRightInd w:val="0"/>
        <w:spacing w:after="0" w:line="240" w:lineRule="auto"/>
        <w:ind w:firstLine="284"/>
        <w:jc w:val="center"/>
        <w:rPr>
          <w:rFonts w:ascii="Garamond" w:hAnsi="Garamond" w:cs="Calibri"/>
          <w:b/>
          <w:bCs/>
          <w:color w:val="000000"/>
          <w:sz w:val="24"/>
          <w:szCs w:val="24"/>
        </w:rPr>
      </w:pPr>
    </w:p>
    <w:p w14:paraId="28A28F78" w14:textId="77777777" w:rsidR="00DA1E25" w:rsidRPr="00B34C03" w:rsidRDefault="00DA1E25" w:rsidP="00DA1E2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B34C03">
        <w:rPr>
          <w:rFonts w:ascii="Garamond" w:hAnsi="Garamond" w:cs="Times New Roman"/>
          <w:b/>
          <w:bCs/>
          <w:color w:val="000000"/>
          <w:sz w:val="24"/>
          <w:szCs w:val="24"/>
        </w:rPr>
        <w:t>II</w:t>
      </w:r>
    </w:p>
    <w:p w14:paraId="7F66B639" w14:textId="3193CE1F" w:rsidR="00DA1E25" w:rsidRPr="00B34C03" w:rsidRDefault="00DA1E25" w:rsidP="00DA1E2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B34C03">
        <w:rPr>
          <w:rFonts w:ascii="Garamond" w:hAnsi="Garamond" w:cs="Times New Roman"/>
          <w:b/>
          <w:bCs/>
          <w:color w:val="000000"/>
          <w:sz w:val="24"/>
          <w:szCs w:val="24"/>
        </w:rPr>
        <w:t>Pretendimet në Gjykatën Kushtetuese</w:t>
      </w:r>
    </w:p>
    <w:p w14:paraId="0E575B66" w14:textId="77777777" w:rsidR="00DA1E25" w:rsidRPr="00B34C03" w:rsidRDefault="00DA1E25" w:rsidP="00DA1E25">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2699B6D" w14:textId="058D3C0C"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 xml:space="preserve">17. </w:t>
      </w:r>
      <w:r w:rsidRPr="00B34C03">
        <w:rPr>
          <w:rFonts w:ascii="Garamond" w:hAnsi="Garamond" w:cs="Times New Roman"/>
          <w:b/>
          <w:bCs/>
          <w:i/>
          <w:iCs/>
          <w:color w:val="000000"/>
          <w:sz w:val="24"/>
          <w:szCs w:val="24"/>
        </w:rPr>
        <w:t xml:space="preserve">Kërkuesi, </w:t>
      </w:r>
      <w:r w:rsidRPr="00B34C03">
        <w:rPr>
          <w:rFonts w:ascii="Garamond" w:hAnsi="Garamond" w:cs="Times New Roman"/>
          <w:color w:val="000000"/>
          <w:sz w:val="24"/>
          <w:szCs w:val="24"/>
        </w:rPr>
        <w:t>në mënyrë të përmbledhur, ka pretenduar se i janë cenuar:</w:t>
      </w:r>
    </w:p>
    <w:p w14:paraId="487C5BAB" w14:textId="683D758E" w:rsidR="00DA1E25" w:rsidRPr="00B34C03" w:rsidRDefault="00B34C03" w:rsidP="00DA1E25">
      <w:pPr>
        <w:tabs>
          <w:tab w:val="left" w:pos="1340"/>
        </w:tabs>
        <w:autoSpaceDE w:val="0"/>
        <w:autoSpaceDN w:val="0"/>
        <w:adjustRightInd w:val="0"/>
        <w:spacing w:after="0" w:line="240" w:lineRule="auto"/>
        <w:ind w:firstLine="284"/>
        <w:jc w:val="both"/>
        <w:rPr>
          <w:rFonts w:ascii="Garamond" w:hAnsi="Garamond" w:cs="Times New Roman"/>
          <w:color w:val="000000"/>
          <w:spacing w:val="15"/>
          <w:sz w:val="24"/>
          <w:szCs w:val="24"/>
        </w:rPr>
      </w:pPr>
      <w:r>
        <w:rPr>
          <w:rFonts w:ascii="Garamond" w:hAnsi="Garamond" w:cs="Times New Roman"/>
          <w:color w:val="000000"/>
          <w:sz w:val="24"/>
          <w:szCs w:val="24"/>
        </w:rPr>
        <w:t>17.1</w:t>
      </w:r>
      <w:r w:rsidR="00DA1E25" w:rsidRPr="00B34C03">
        <w:rPr>
          <w:rFonts w:ascii="Garamond" w:hAnsi="Garamond" w:cs="Times New Roman"/>
          <w:color w:val="000000"/>
          <w:sz w:val="24"/>
          <w:szCs w:val="24"/>
        </w:rPr>
        <w:t xml:space="preserve"> </w:t>
      </w:r>
      <w:r w:rsidR="00DA1E25" w:rsidRPr="00B34C03">
        <w:rPr>
          <w:rFonts w:ascii="Garamond" w:hAnsi="Garamond" w:cs="Times New Roman"/>
          <w:i/>
          <w:iCs/>
          <w:color w:val="000000"/>
          <w:sz w:val="24"/>
          <w:szCs w:val="24"/>
        </w:rPr>
        <w:t>E drejta për proces të rregullt ligjor</w:t>
      </w:r>
      <w:r w:rsidR="00DA1E25" w:rsidRPr="00B34C03">
        <w:rPr>
          <w:rFonts w:ascii="Garamond" w:hAnsi="Garamond" w:cs="Times New Roman"/>
          <w:color w:val="000000"/>
          <w:sz w:val="24"/>
          <w:szCs w:val="24"/>
        </w:rPr>
        <w:t xml:space="preserve"> në drejtim të:</w:t>
      </w:r>
    </w:p>
    <w:p w14:paraId="65D59C5D" w14:textId="134F418C" w:rsidR="00DA1E25" w:rsidRPr="00B34C03" w:rsidRDefault="00DA1E25" w:rsidP="00DA1E25">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17.1.1</w:t>
      </w:r>
      <w:r w:rsidRPr="00B34C03">
        <w:rPr>
          <w:rFonts w:ascii="Garamond" w:hAnsi="Garamond" w:cs="Times New Roman"/>
          <w:i/>
          <w:iCs/>
          <w:color w:val="000000"/>
          <w:sz w:val="24"/>
          <w:szCs w:val="24"/>
        </w:rPr>
        <w:t xml:space="preserve"> Parimit të prezumimit të pafajësisë, </w:t>
      </w:r>
      <w:r w:rsidRPr="00B34C03">
        <w:rPr>
          <w:rFonts w:ascii="Garamond" w:hAnsi="Garamond" w:cs="Times New Roman"/>
          <w:color w:val="000000"/>
          <w:sz w:val="24"/>
          <w:szCs w:val="24"/>
        </w:rPr>
        <w:t>të garantuar nga neni 30 i Kushtetutës, pasi GJKKO-ja e Apelit e ka konsideruar kërkuesin dhe personat nën hetim si fajtorë, ndonëse çështja ndodhet ende në fazën e hetimeve, duke e rikualifikuar faktin penal sipas neneve 143, paragrafi 3, 287 dhe 334, paragrafi 1, të KP-së, për kryerjen e veprës penale nga të hetuarit në formën e një grupi të strukturuar kriminal, sipas nenit 28, paragrafi 4, të KP-së dhe duke e rënduar pozitën e tyre.</w:t>
      </w:r>
    </w:p>
    <w:p w14:paraId="4EDC958B" w14:textId="3B7F24AF" w:rsidR="00DA1E25" w:rsidRPr="00B34C03" w:rsidRDefault="00B34C03" w:rsidP="00DA1E25">
      <w:pPr>
        <w:tabs>
          <w:tab w:val="left" w:pos="134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17.1.2 </w:t>
      </w:r>
      <w:r w:rsidR="00DA1E25" w:rsidRPr="00B34C03">
        <w:rPr>
          <w:rFonts w:ascii="Garamond" w:hAnsi="Garamond" w:cs="Times New Roman"/>
          <w:i/>
          <w:iCs/>
          <w:color w:val="000000"/>
          <w:sz w:val="24"/>
          <w:szCs w:val="24"/>
        </w:rPr>
        <w:t>Parimit të paanshmërisë,</w:t>
      </w:r>
      <w:r w:rsidR="00DA1E25" w:rsidRPr="00B34C03">
        <w:rPr>
          <w:rFonts w:ascii="Garamond" w:hAnsi="Garamond" w:cs="Times New Roman"/>
          <w:color w:val="000000"/>
          <w:sz w:val="24"/>
          <w:szCs w:val="24"/>
        </w:rPr>
        <w:t xml:space="preserve"> pasi GJKKO-ja e Apelit me vendimmarrjen e saj ka rënduar pozitën e kërkuesit, ka tejkaluar kufijtë e shqyrtimit në apel, duke shtuar fakte e akuza që nuk janë pretenduar as nga prokurori, as nga gjykata e shkallës së parë, si dhe ka caktuar një masë sigurimi ekstreme në mungesë totale të arsyetimit për pretendimin e mbrojtjes për pavlefshmëri të vendimit të GJKKO-së së Shkallës së Parë. Ajo gjykatë e ka tejkaluar pragun e shfaqjes së një mendimi ose sugjerimi mbi formën e bashkëpunimit apo kualifikimin e faktit penal në ngarkim të kërkuesit, duke u shprehur me bindje në arsyetimin e saj se kërkuesi është fajtor e duke tentuar të orientojë prokurorinë që të veprojë sipas bindjes së saj.</w:t>
      </w:r>
    </w:p>
    <w:p w14:paraId="7F61D5B3" w14:textId="2BE3BC4A" w:rsidR="00DA1E25" w:rsidRPr="00B34C03" w:rsidRDefault="00DA1E25" w:rsidP="00DA1E25">
      <w:pPr>
        <w:tabs>
          <w:tab w:val="left" w:pos="126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17.1.3</w:t>
      </w:r>
      <w:r w:rsidR="00B34C03">
        <w:rPr>
          <w:rFonts w:ascii="Garamond" w:hAnsi="Garamond" w:cs="Times New Roman"/>
          <w:i/>
          <w:iCs/>
          <w:color w:val="000000"/>
          <w:sz w:val="24"/>
          <w:szCs w:val="24"/>
        </w:rPr>
        <w:t xml:space="preserve"> </w:t>
      </w:r>
      <w:r w:rsidRPr="00B34C03">
        <w:rPr>
          <w:rFonts w:ascii="Garamond" w:hAnsi="Garamond" w:cs="Times New Roman"/>
          <w:i/>
          <w:iCs/>
          <w:color w:val="000000"/>
          <w:sz w:val="24"/>
          <w:szCs w:val="24"/>
        </w:rPr>
        <w:t xml:space="preserve">Parimit të sigurisë juridike, </w:t>
      </w:r>
      <w:r w:rsidRPr="00B34C03">
        <w:rPr>
          <w:rFonts w:ascii="Garamond" w:hAnsi="Garamond" w:cs="Times New Roman"/>
          <w:color w:val="000000"/>
          <w:sz w:val="24"/>
          <w:szCs w:val="24"/>
        </w:rPr>
        <w:t>pasi</w:t>
      </w:r>
      <w:r w:rsidRPr="00B34C03">
        <w:rPr>
          <w:rFonts w:ascii="Garamond" w:hAnsi="Garamond" w:cs="Times New Roman"/>
          <w:i/>
          <w:iCs/>
          <w:color w:val="000000"/>
          <w:sz w:val="24"/>
          <w:szCs w:val="24"/>
        </w:rPr>
        <w:t xml:space="preserve"> </w:t>
      </w:r>
      <w:r w:rsidRPr="00B34C03">
        <w:rPr>
          <w:rFonts w:ascii="Garamond" w:hAnsi="Garamond" w:cs="Times New Roman"/>
          <w:color w:val="000000"/>
          <w:sz w:val="24"/>
          <w:szCs w:val="24"/>
        </w:rPr>
        <w:t>Kolegji Penal i Gjykatës së Lartë, me vendimin n</w:t>
      </w:r>
      <w:r w:rsidR="00B34C03">
        <w:rPr>
          <w:rFonts w:ascii="Garamond" w:hAnsi="Garamond" w:cs="Times New Roman"/>
          <w:color w:val="000000"/>
          <w:sz w:val="24"/>
          <w:szCs w:val="24"/>
        </w:rPr>
        <w:t>r. 00-2024-1588 (232), datë 26.</w:t>
      </w:r>
      <w:r w:rsidRPr="00B34C03">
        <w:rPr>
          <w:rFonts w:ascii="Garamond" w:hAnsi="Garamond" w:cs="Times New Roman"/>
          <w:color w:val="000000"/>
          <w:sz w:val="24"/>
          <w:szCs w:val="24"/>
        </w:rPr>
        <w:t>9.2024, e ka dërguar çështjen për rishqyrtim në atë gjykatë me tjetër trup gjykues, me arsyetimin se gjyqtari i hetimit paraprak në gjykatën e apelit ka marrë kompetencat e gjyqtarit të seancës paraprake, duke ushtruar kontroll mbi veprimtarinë e prokurorit, nëpërmjet kualifikimit të veprës penale, duke rekomanduar GJKKO-në e Apelit të marrë</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në shqyrtim vendimin e GJKKO-së së Shkallës së Parë lidhur me masat e sigurisë ndaj kërkuesit dhe personit tjetër nën hetim M.</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Q., duke vlerësuar raportin e masave të sigurimit me rëndësinë e faktit dhe sanksionin për veprat penale të kualifikuara nga organi i akuzës deri në fazën aktuale të hetimeve. Ndërkohë, GJKKO-ja e Apelit ka mbajtur të njëjtin qëndrim si në vendi</w:t>
      </w:r>
      <w:r w:rsidR="00B34C03">
        <w:rPr>
          <w:rFonts w:ascii="Garamond" w:hAnsi="Garamond" w:cs="Times New Roman"/>
          <w:color w:val="000000"/>
          <w:sz w:val="24"/>
          <w:szCs w:val="24"/>
        </w:rPr>
        <w:t>min nr. 18 (87-2024-123), datë 3.</w:t>
      </w:r>
      <w:r w:rsidRPr="00B34C03">
        <w:rPr>
          <w:rFonts w:ascii="Garamond" w:hAnsi="Garamond" w:cs="Times New Roman"/>
          <w:color w:val="000000"/>
          <w:sz w:val="24"/>
          <w:szCs w:val="24"/>
        </w:rPr>
        <w:t>5.2024, me doza të thella paragjykimi dhe me bindjen e plotë se ai është fajtor, por për akuza edhe më të rënda nga sa pretendon organi i akuzës, ndërsa Kolegji Penal ka anashkaluar haptazi qëndrimin e Gjykatës s</w:t>
      </w:r>
      <w:r w:rsidR="00B34C03">
        <w:rPr>
          <w:rFonts w:ascii="Garamond" w:hAnsi="Garamond" w:cs="Times New Roman"/>
          <w:color w:val="000000"/>
          <w:sz w:val="24"/>
          <w:szCs w:val="24"/>
        </w:rPr>
        <w:t>ë Lartë me vendimin e datës 26.</w:t>
      </w:r>
      <w:r w:rsidRPr="00B34C03">
        <w:rPr>
          <w:rFonts w:ascii="Garamond" w:hAnsi="Garamond" w:cs="Times New Roman"/>
          <w:color w:val="000000"/>
          <w:sz w:val="24"/>
          <w:szCs w:val="24"/>
        </w:rPr>
        <w:t>9.2024, duke mbajtur i njëjti trup gjykues qëndrim katërcipërisht të kundërt për të njëjtin fakt në dy momente të ndryshme.</w:t>
      </w:r>
    </w:p>
    <w:p w14:paraId="67503CEB" w14:textId="3F3A74A4" w:rsidR="00DA1E25" w:rsidRPr="00B34C03" w:rsidRDefault="00DA1E25" w:rsidP="00B34C03">
      <w:pPr>
        <w:tabs>
          <w:tab w:val="left" w:pos="1340"/>
        </w:tabs>
        <w:autoSpaceDE w:val="0"/>
        <w:autoSpaceDN w:val="0"/>
        <w:adjustRightInd w:val="0"/>
        <w:spacing w:after="0" w:line="240" w:lineRule="auto"/>
        <w:ind w:firstLine="288"/>
        <w:contextualSpacing/>
        <w:jc w:val="both"/>
        <w:rPr>
          <w:rFonts w:ascii="Garamond" w:hAnsi="Garamond" w:cs="Times New Roman"/>
          <w:i/>
          <w:iCs/>
          <w:color w:val="000000"/>
          <w:spacing w:val="15"/>
          <w:sz w:val="24"/>
          <w:szCs w:val="24"/>
        </w:rPr>
      </w:pPr>
      <w:r w:rsidRPr="00B34C03">
        <w:rPr>
          <w:rFonts w:ascii="Garamond" w:hAnsi="Garamond" w:cs="Times New Roman"/>
          <w:color w:val="000000"/>
          <w:spacing w:val="15"/>
          <w:sz w:val="24"/>
          <w:szCs w:val="24"/>
        </w:rPr>
        <w:t>17.2</w:t>
      </w:r>
      <w:r w:rsidRPr="00B34C03">
        <w:rPr>
          <w:rFonts w:ascii="Garamond" w:hAnsi="Garamond" w:cs="Times New Roman"/>
          <w:i/>
          <w:iCs/>
          <w:color w:val="000000"/>
          <w:spacing w:val="15"/>
          <w:sz w:val="24"/>
          <w:szCs w:val="24"/>
        </w:rPr>
        <w:t xml:space="preserve"> Liria personale, e garantuar nga neni 27, pikat 1 dhe 2, shkronja “c”, i Kushtetutës dhe neni 5, pikat 1, shkronja “c”, i KEDNJ-së, </w:t>
      </w:r>
      <w:r w:rsidRPr="00B34C03">
        <w:rPr>
          <w:rFonts w:ascii="Garamond" w:hAnsi="Garamond" w:cs="Times New Roman"/>
          <w:color w:val="000000"/>
          <w:spacing w:val="15"/>
          <w:sz w:val="24"/>
          <w:szCs w:val="24"/>
        </w:rPr>
        <w:t>në drejtim të s</w:t>
      </w:r>
      <w:r w:rsidRPr="00B34C03">
        <w:rPr>
          <w:rFonts w:ascii="Garamond" w:hAnsi="Garamond" w:cs="Times New Roman"/>
          <w:i/>
          <w:iCs/>
          <w:color w:val="000000"/>
          <w:spacing w:val="15"/>
          <w:sz w:val="24"/>
          <w:szCs w:val="24"/>
        </w:rPr>
        <w:t xml:space="preserve">tandardit të dyshimit të arsyeshëm dhe proporcionalitetit, </w:t>
      </w:r>
      <w:r w:rsidRPr="00B34C03">
        <w:rPr>
          <w:rFonts w:ascii="Garamond" w:hAnsi="Garamond" w:cs="Times New Roman"/>
          <w:color w:val="000000"/>
          <w:sz w:val="24"/>
          <w:szCs w:val="24"/>
        </w:rPr>
        <w:t>pasi GJKKO-të dhe Gjykata e Lartë nuk kanë pranuar kërkesën e tij për zëvendësimin e masës “Arresti në burg” me një masë më të lehtë, edhe pse gjatë periudhës së kryerjes së hetimeve kërkuesi nuk ka ndërmarrë ose tentuar ndonjë veprim për të kontaminuar provat apo për t’u larguar, ndaj arsyet e përmendura për bazueshmërinë e caktimit të masës së sigurimit nuk i përgjigjen shkakut të vërtetë të arrestimit të tij. Vendimet janë arbitrare dhe pasqyrojnë një arsyetim formal dhe të përgjithshëm të kritereve për caktimin e masës së sigurimit nga gjykatat, duke u bazuar vetëm mbi rrezikshmërinë e veprës dhe ashpërsinë e dënimit, pa dhënë asnjë rrethanë konkrete se në çfarë mënyre apo me cilin veprim kërkuesi plotësonte kriteret e parashikuara nga neni 228, paragrafi 3, i KPP-së. Caktimi i një mase të sigurimit personal më të ashpër, në kushtet kur synimi mund të arrihej edhe nëpërmjet masave më të lehta, e bën masën e caktuar ndaj tij joproporcionale me akuzat në ngarkim të tij dhe me situatën faktike në momentin e caktimit të kësaj mase kur hetimet ishin kryer.</w:t>
      </w:r>
    </w:p>
    <w:p w14:paraId="0C3DFE2F" w14:textId="2571851A"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B34C03">
        <w:rPr>
          <w:rFonts w:ascii="Garamond" w:hAnsi="Garamond" w:cs="Times New Roman"/>
          <w:color w:val="000000"/>
          <w:sz w:val="24"/>
          <w:szCs w:val="24"/>
        </w:rPr>
        <w:t xml:space="preserve">18. </w:t>
      </w:r>
      <w:r w:rsidRPr="00B34C03">
        <w:rPr>
          <w:rFonts w:ascii="Garamond" w:hAnsi="Garamond" w:cs="Times New Roman"/>
          <w:b/>
          <w:bCs/>
          <w:i/>
          <w:iCs/>
          <w:color w:val="000000"/>
          <w:sz w:val="24"/>
          <w:szCs w:val="24"/>
        </w:rPr>
        <w:t>Subjekti i interesuar, Prokuroria e Posaçme,</w:t>
      </w:r>
      <w:r w:rsidRPr="00B34C03">
        <w:rPr>
          <w:rFonts w:ascii="Garamond" w:hAnsi="Garamond" w:cs="Times New Roman"/>
          <w:color w:val="000000"/>
          <w:sz w:val="24"/>
          <w:szCs w:val="24"/>
        </w:rPr>
        <w:t xml:space="preserve"> në mënyrë të përmbledhur, lidhur me themelin e çështjes,</w:t>
      </w:r>
      <w:r w:rsidRPr="00B34C03">
        <w:rPr>
          <w:rFonts w:ascii="Garamond" w:hAnsi="Garamond" w:cs="Times New Roman"/>
          <w:i/>
          <w:iCs/>
          <w:color w:val="000000"/>
          <w:sz w:val="24"/>
          <w:szCs w:val="24"/>
        </w:rPr>
        <w:t xml:space="preserve"> </w:t>
      </w:r>
      <w:r w:rsidRPr="00B34C03">
        <w:rPr>
          <w:rFonts w:ascii="Garamond" w:hAnsi="Garamond" w:cs="Times New Roman"/>
          <w:color w:val="000000"/>
          <w:sz w:val="24"/>
          <w:szCs w:val="24"/>
        </w:rPr>
        <w:t>ka prapësuar si vijon:</w:t>
      </w:r>
    </w:p>
    <w:p w14:paraId="414CF963" w14:textId="2DAA2CB5" w:rsidR="00DA1E25" w:rsidRPr="00B34C03" w:rsidRDefault="00B34C03"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18.1 </w:t>
      </w:r>
      <w:r w:rsidR="00DA1E25" w:rsidRPr="00B34C03">
        <w:rPr>
          <w:rFonts w:ascii="Garamond" w:hAnsi="Garamond" w:cs="Times New Roman"/>
          <w:color w:val="000000"/>
          <w:sz w:val="24"/>
          <w:szCs w:val="24"/>
        </w:rPr>
        <w:t>Pretendimi për cenimin e parimit të prezumimit të pafajësisë dhe të parimit të paanshmërisë nuk qëndron, pasi GJKKO-të e Posaçme dhe Gjykata e Lartë kanë arsyetuar mjaftueshëm lidhur me dyshimin e arsyeshëm të bazuar në prova për kërkuesin e hetuar për faktet penale në ngarkim të tij, për të cilat është caktuar masa e sigurimit, si dhe kanë respektuar parimin e prezumimit të pafajësisë</w:t>
      </w:r>
      <w:r w:rsidR="00DD0838">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në</w:t>
      </w:r>
      <w:r w:rsidR="00DD0838">
        <w:rPr>
          <w:rFonts w:ascii="Garamond" w:hAnsi="Garamond" w:cs="Times New Roman"/>
          <w:color w:val="000000"/>
          <w:sz w:val="24"/>
          <w:szCs w:val="24"/>
        </w:rPr>
        <w:t xml:space="preserve"> </w:t>
      </w:r>
      <w:r w:rsidR="00DA1E25" w:rsidRPr="00B34C03">
        <w:rPr>
          <w:rFonts w:ascii="Garamond" w:hAnsi="Garamond" w:cs="Times New Roman"/>
          <w:color w:val="000000"/>
          <w:sz w:val="24"/>
          <w:szCs w:val="24"/>
        </w:rPr>
        <w:t>vlerësimin e provave, në përputhje me standardet kushtetuese dhe të GJEDNJ-së.</w:t>
      </w:r>
    </w:p>
    <w:p w14:paraId="41081A2A" w14:textId="04C024FE"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 xml:space="preserve">18.2. Pretendimi për cenimin e parimit të sigurisë juridike nuk qëndron, pasi shkaqet e parashtruara nga kërkuesi kanë </w:t>
      </w:r>
      <w:r w:rsidR="00B34C03">
        <w:rPr>
          <w:rFonts w:ascii="Garamond" w:hAnsi="Garamond" w:cs="Times New Roman"/>
          <w:color w:val="000000"/>
          <w:sz w:val="24"/>
          <w:szCs w:val="24"/>
        </w:rPr>
        <w:t>objekt vendimin nr. 18, datë 3.</w:t>
      </w:r>
      <w:r w:rsidRPr="00B34C03">
        <w:rPr>
          <w:rFonts w:ascii="Garamond" w:hAnsi="Garamond" w:cs="Times New Roman"/>
          <w:color w:val="000000"/>
          <w:sz w:val="24"/>
          <w:szCs w:val="24"/>
        </w:rPr>
        <w:t>5.2024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të GJKKO-së së Apelit, i cili nuk është objekt i ankimit kushtetues, për më tepër është prishur nga Gjykata e Lart</w:t>
      </w:r>
      <w:r w:rsidR="00B34C03">
        <w:rPr>
          <w:rFonts w:ascii="Garamond" w:hAnsi="Garamond" w:cs="Times New Roman"/>
          <w:color w:val="000000"/>
          <w:sz w:val="24"/>
          <w:szCs w:val="24"/>
        </w:rPr>
        <w:t>ë me vendimin nr. 232, datë 26.</w:t>
      </w:r>
      <w:r w:rsidRPr="00B34C03">
        <w:rPr>
          <w:rFonts w:ascii="Garamond" w:hAnsi="Garamond" w:cs="Times New Roman"/>
          <w:color w:val="000000"/>
          <w:sz w:val="24"/>
          <w:szCs w:val="24"/>
        </w:rPr>
        <w:t>9.2024, ndaj nuk prodhon efekte të një vendimi gjyqësor, e konkretisht</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në arsyetimin e vendimit citohet se “gjyqtari i hetimit paraprak nuk mund të marrë kompetencat e gjyqtarit të seancës paraprake” dhe se kjo ndërhyrje e gjyqtarit të hetimit paraprak në veprimtarinë e prokurorit, duke bërë</w:t>
      </w:r>
      <w:r w:rsidR="00DD0838">
        <w:rPr>
          <w:rFonts w:ascii="Garamond" w:hAnsi="Garamond" w:cs="Times New Roman"/>
          <w:color w:val="000000"/>
          <w:sz w:val="24"/>
          <w:szCs w:val="24"/>
        </w:rPr>
        <w:t xml:space="preserve"> </w:t>
      </w:r>
      <w:r w:rsidRPr="00B34C03">
        <w:rPr>
          <w:rFonts w:ascii="Garamond" w:hAnsi="Garamond" w:cs="Times New Roman"/>
          <w:color w:val="000000"/>
          <w:sz w:val="24"/>
          <w:szCs w:val="24"/>
        </w:rPr>
        <w:t>kualifikim të faktit penal, është jashtë kompetencave të funksionit të gjyqtarit të hetimit paraprak.</w:t>
      </w:r>
    </w:p>
    <w:p w14:paraId="6EE096DF" w14:textId="754817BE" w:rsidR="00DA1E25" w:rsidRPr="00B34C03" w:rsidRDefault="00B34C03"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18.3 </w:t>
      </w:r>
      <w:r w:rsidR="00DA1E25" w:rsidRPr="00B34C03">
        <w:rPr>
          <w:rFonts w:ascii="Garamond" w:hAnsi="Garamond" w:cs="Times New Roman"/>
          <w:color w:val="000000"/>
          <w:sz w:val="24"/>
          <w:szCs w:val="24"/>
        </w:rPr>
        <w:t>Pretendimet për cenimin e standardit të dyshimit të arsyeshëm dhe proporcionalitetit nuk qëndrojnë, pasi nga GJKKO-të dhe nga Gjykata e Lartë kanë arsyetuar mjaftueshëm lidhur me plotësimin e kushteve të veçanta për caktimin e masës së sigurimit, rrezikut të ikjes së personit dhe rrezikut të ndërhyrjes në marrjen e provave. Vendimet e GJKKO-ve dhe të Gjykatës së Lartë nuk kanë bërë një arsyetim stereotip për plotësimin e kushteve dhe kritereve të përgjithshme, por i kanë ballafaquar kërkesat ligjore me rastin konkret dhe veprimet hetimore konkrete të ndërmarra në kuadër të këtij procedimi penal. Vendimmarrja e GJKKO-ve dhe e Gjykatës së Lartë referon në praktikën e GJEDNJ-së dhe në praktikën gjyqësore të Gjykatës së Lartë, si dhe në v</w:t>
      </w:r>
      <w:r>
        <w:rPr>
          <w:rFonts w:ascii="Garamond" w:hAnsi="Garamond" w:cs="Times New Roman"/>
          <w:color w:val="000000"/>
          <w:sz w:val="24"/>
          <w:szCs w:val="24"/>
        </w:rPr>
        <w:t>endimet unifikuese nr. 1, datë 8.</w:t>
      </w:r>
      <w:r w:rsidR="00DA1E25" w:rsidRPr="00B34C03">
        <w:rPr>
          <w:rFonts w:ascii="Garamond" w:hAnsi="Garamond" w:cs="Times New Roman"/>
          <w:color w:val="000000"/>
          <w:sz w:val="24"/>
          <w:szCs w:val="24"/>
        </w:rPr>
        <w:t>1.2009 dhe nr. 7, datë 14.10.2011</w:t>
      </w:r>
      <w:r>
        <w:rPr>
          <w:rFonts w:ascii="Garamond" w:hAnsi="Garamond" w:cs="Times New Roman"/>
          <w:color w:val="000000"/>
          <w:sz w:val="24"/>
          <w:szCs w:val="24"/>
        </w:rPr>
        <w:t>,</w:t>
      </w:r>
      <w:r w:rsidR="00DA1E25" w:rsidRPr="00B34C03">
        <w:rPr>
          <w:rFonts w:ascii="Garamond" w:hAnsi="Garamond" w:cs="Times New Roman"/>
          <w:color w:val="000000"/>
          <w:sz w:val="24"/>
          <w:szCs w:val="24"/>
        </w:rPr>
        <w:t xml:space="preserve"> të Kolegjeve të Bashkuara të Gjykatës së Lartë. Gjithashtu, nuk qëndron arsyetimi i kërkuesit se vetë avancimi i hetimeve passjell zbutjen e nevojave të sigurimit si një konstatim ekstraligjor dhe që nuk i përgjigjet cilësisë që merr subjekti procedural nga “persona nën hetim” gjatë hetimit paraprak, në “të pandehur në çdo shkallë të procesit”, që përfundon me vendimin e gjykatës e që bashkëshoqërohet me masën e sigurimit personal sipas specifikimeve të rastit konkret.</w:t>
      </w:r>
    </w:p>
    <w:p w14:paraId="3908CC25" w14:textId="77777777" w:rsidR="00DA1E25" w:rsidRPr="00B34C03" w:rsidRDefault="00DA1E25" w:rsidP="00DA1E25">
      <w:pPr>
        <w:tabs>
          <w:tab w:val="left" w:pos="1340"/>
        </w:tabs>
        <w:autoSpaceDE w:val="0"/>
        <w:autoSpaceDN w:val="0"/>
        <w:adjustRightInd w:val="0"/>
        <w:spacing w:after="0" w:line="240" w:lineRule="auto"/>
        <w:ind w:firstLine="284"/>
        <w:jc w:val="both"/>
        <w:rPr>
          <w:rFonts w:ascii="Garamond" w:hAnsi="Garamond" w:cs="Times New Roman"/>
          <w:i/>
          <w:iCs/>
          <w:color w:val="222222"/>
          <w:sz w:val="24"/>
          <w:szCs w:val="24"/>
        </w:rPr>
      </w:pPr>
    </w:p>
    <w:p w14:paraId="218C66E8" w14:textId="77777777" w:rsidR="00DA1E25" w:rsidRPr="00B34C03" w:rsidRDefault="00DA1E25" w:rsidP="00DA1E25">
      <w:pPr>
        <w:tabs>
          <w:tab w:val="left" w:pos="1700"/>
        </w:tabs>
        <w:autoSpaceDE w:val="0"/>
        <w:autoSpaceDN w:val="0"/>
        <w:adjustRightInd w:val="0"/>
        <w:spacing w:after="0" w:line="240" w:lineRule="auto"/>
        <w:ind w:firstLine="284"/>
        <w:jc w:val="center"/>
        <w:rPr>
          <w:rFonts w:ascii="Garamond" w:hAnsi="Garamond" w:cs="Times New Roman"/>
          <w:b/>
          <w:bCs/>
          <w:color w:val="000000"/>
          <w:sz w:val="24"/>
          <w:szCs w:val="24"/>
        </w:rPr>
      </w:pPr>
      <w:r w:rsidRPr="00B34C03">
        <w:rPr>
          <w:rFonts w:ascii="Garamond" w:hAnsi="Garamond" w:cs="Times New Roman"/>
          <w:b/>
          <w:bCs/>
          <w:color w:val="000000"/>
          <w:sz w:val="24"/>
          <w:szCs w:val="24"/>
        </w:rPr>
        <w:t>III</w:t>
      </w:r>
    </w:p>
    <w:p w14:paraId="2254A65A" w14:textId="485A0D41" w:rsidR="00DA1E25" w:rsidRPr="00B34C03" w:rsidRDefault="00DA1E25" w:rsidP="00DA1E25">
      <w:pPr>
        <w:autoSpaceDE w:val="0"/>
        <w:autoSpaceDN w:val="0"/>
        <w:adjustRightInd w:val="0"/>
        <w:spacing w:after="0" w:line="240" w:lineRule="auto"/>
        <w:ind w:firstLine="284"/>
        <w:jc w:val="center"/>
        <w:rPr>
          <w:rFonts w:ascii="Garamond" w:hAnsi="Garamond" w:cs="Times New Roman"/>
          <w:b/>
          <w:bCs/>
          <w:color w:val="000000"/>
          <w:sz w:val="24"/>
          <w:szCs w:val="24"/>
        </w:rPr>
      </w:pPr>
      <w:r w:rsidRPr="00B34C03">
        <w:rPr>
          <w:rFonts w:ascii="Garamond" w:hAnsi="Garamond" w:cs="Times New Roman"/>
          <w:b/>
          <w:bCs/>
          <w:color w:val="000000"/>
          <w:sz w:val="24"/>
          <w:szCs w:val="24"/>
        </w:rPr>
        <w:t>Vlerësimi i Gjykatës Kushtetuese</w:t>
      </w:r>
    </w:p>
    <w:p w14:paraId="41BB4F1B" w14:textId="77777777" w:rsidR="00DA1E25" w:rsidRPr="00B34C03" w:rsidRDefault="00DA1E25" w:rsidP="00DA1E25">
      <w:pPr>
        <w:autoSpaceDE w:val="0"/>
        <w:autoSpaceDN w:val="0"/>
        <w:adjustRightInd w:val="0"/>
        <w:spacing w:after="0" w:line="240" w:lineRule="auto"/>
        <w:ind w:firstLine="284"/>
        <w:jc w:val="center"/>
        <w:rPr>
          <w:rFonts w:ascii="Garamond" w:hAnsi="Garamond" w:cs="Times New Roman"/>
          <w:b/>
          <w:bCs/>
          <w:color w:val="000000"/>
          <w:sz w:val="24"/>
          <w:szCs w:val="24"/>
        </w:rPr>
      </w:pPr>
    </w:p>
    <w:p w14:paraId="247E9CE5" w14:textId="57AF4DAE" w:rsidR="00DA1E25" w:rsidRPr="00B34C03" w:rsidRDefault="00DA1E25" w:rsidP="00DA1E25">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i/>
          <w:iCs/>
          <w:color w:val="000000"/>
          <w:sz w:val="24"/>
          <w:szCs w:val="24"/>
        </w:rPr>
        <w:t xml:space="preserve">A. Për legjitimimin e kërkuesit </w:t>
      </w:r>
    </w:p>
    <w:p w14:paraId="2855BAA2" w14:textId="70690392"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19. Çështja e legjitimimit (</w:t>
      </w:r>
      <w:r w:rsidRPr="00B34C03">
        <w:rPr>
          <w:rFonts w:ascii="Garamond" w:hAnsi="Garamond" w:cs="Times New Roman"/>
          <w:i/>
          <w:iCs/>
          <w:color w:val="000000"/>
          <w:sz w:val="24"/>
          <w:szCs w:val="24"/>
        </w:rPr>
        <w:t>locus standi</w:t>
      </w:r>
      <w:r w:rsidRPr="00B34C03">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w:t>
      </w:r>
      <w:r w:rsidR="00DD157F">
        <w:rPr>
          <w:rFonts w:ascii="Garamond" w:hAnsi="Garamond" w:cs="Times New Roman"/>
          <w:color w:val="000000"/>
          <w:sz w:val="24"/>
          <w:szCs w:val="24"/>
        </w:rPr>
        <w:t>,</w:t>
      </w:r>
      <w:r w:rsidRPr="00B34C03">
        <w:rPr>
          <w:rFonts w:ascii="Garamond" w:hAnsi="Garamond" w:cs="Times New Roman"/>
          <w:color w:val="000000"/>
          <w:sz w:val="24"/>
          <w:szCs w:val="24"/>
        </w:rPr>
        <w:t xml:space="preserve">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7BE5B097" w14:textId="764A7A70"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 xml:space="preserve">20. Në rastin konkret, kërkuesi legjitimohet </w:t>
      </w:r>
      <w:r w:rsidRPr="00B34C03">
        <w:rPr>
          <w:rFonts w:ascii="Garamond" w:hAnsi="Garamond" w:cs="Times New Roman"/>
          <w:i/>
          <w:iCs/>
          <w:color w:val="000000"/>
          <w:sz w:val="24"/>
          <w:szCs w:val="24"/>
        </w:rPr>
        <w:t>ratione personae,</w:t>
      </w:r>
      <w:r w:rsidRPr="00B34C03">
        <w:rPr>
          <w:rFonts w:ascii="Garamond" w:hAnsi="Garamond" w:cs="Times New Roman"/>
          <w:color w:val="000000"/>
          <w:sz w:val="24"/>
          <w:szCs w:val="24"/>
        </w:rPr>
        <w:t xml:space="preserve"> bazuar në nenet 131, pika 1, shkronja “f” dhe 134, pika 1, shkronja “i”, të Kushtetutës, pasi ka qenë palë në proces dhe ka interes të drejtpërdrejtë në çështjen e parashtruar.</w:t>
      </w:r>
      <w:r w:rsidR="00DD0838">
        <w:rPr>
          <w:rFonts w:ascii="Garamond" w:hAnsi="Garamond" w:cs="Times New Roman"/>
          <w:color w:val="000000"/>
          <w:sz w:val="24"/>
          <w:szCs w:val="24"/>
        </w:rPr>
        <w:t xml:space="preserve"> </w:t>
      </w:r>
    </w:p>
    <w:p w14:paraId="35B48598" w14:textId="4E466A48"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 xml:space="preserve">21. Në lidhje me kriterin e </w:t>
      </w:r>
      <w:r w:rsidRPr="00B34C03">
        <w:rPr>
          <w:rFonts w:ascii="Garamond" w:hAnsi="Garamond" w:cs="Times New Roman"/>
          <w:i/>
          <w:iCs/>
          <w:color w:val="000000"/>
          <w:sz w:val="24"/>
          <w:szCs w:val="24"/>
        </w:rPr>
        <w:t>shterimit të mjeteve juridike efektive</w:t>
      </w:r>
      <w:r w:rsidRPr="00B34C03">
        <w:rPr>
          <w:rFonts w:ascii="Garamond" w:hAnsi="Garamond" w:cs="Times New Roman"/>
          <w:color w:val="000000"/>
          <w:sz w:val="24"/>
          <w:szCs w:val="24"/>
        </w:rPr>
        <w:t>, në kuptim të nenit 131, pika 1, shkronja “f”, të Kushtetutës, Gjykata ka pohuar se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B34C03">
        <w:rPr>
          <w:rFonts w:ascii="Garamond" w:hAnsi="Garamond" w:cs="Times New Roman"/>
          <w:i/>
          <w:iCs/>
          <w:sz w:val="24"/>
          <w:szCs w:val="24"/>
        </w:rPr>
        <w:t xml:space="preserve">shih vendimet </w:t>
      </w:r>
      <w:r w:rsidR="00B34C03">
        <w:rPr>
          <w:rFonts w:ascii="Garamond" w:hAnsi="Garamond" w:cs="Times New Roman"/>
          <w:i/>
          <w:iCs/>
          <w:color w:val="000000"/>
          <w:sz w:val="24"/>
          <w:szCs w:val="24"/>
        </w:rPr>
        <w:t>nr. 14, datë 21.6.2022; nr. 12, datë 9.3.2021; nr. 8, datë 19.</w:t>
      </w:r>
      <w:r w:rsidRPr="00B34C03">
        <w:rPr>
          <w:rFonts w:ascii="Garamond" w:hAnsi="Garamond" w:cs="Times New Roman"/>
          <w:i/>
          <w:iCs/>
          <w:color w:val="000000"/>
          <w:sz w:val="24"/>
          <w:szCs w:val="24"/>
        </w:rPr>
        <w:t>3.2018</w:t>
      </w:r>
      <w:r w:rsidR="00B34C03">
        <w:rPr>
          <w:rFonts w:ascii="Garamond" w:hAnsi="Garamond" w:cs="Times New Roman"/>
          <w:i/>
          <w:iCs/>
          <w:color w:val="000000"/>
          <w:sz w:val="24"/>
          <w:szCs w:val="24"/>
        </w:rPr>
        <w:t>,</w:t>
      </w:r>
      <w:r w:rsidRPr="00B34C03">
        <w:rPr>
          <w:rFonts w:ascii="Garamond" w:hAnsi="Garamond" w:cs="Times New Roman"/>
          <w:i/>
          <w:iCs/>
          <w:color w:val="000000"/>
          <w:sz w:val="24"/>
          <w:szCs w:val="24"/>
        </w:rPr>
        <w:t xml:space="preserve"> të Gjykatës Kushtetuese</w:t>
      </w:r>
      <w:r w:rsidRPr="00B34C03">
        <w:rPr>
          <w:rFonts w:ascii="Garamond" w:hAnsi="Garamond" w:cs="Times New Roman"/>
          <w:sz w:val="24"/>
          <w:szCs w:val="24"/>
        </w:rPr>
        <w:t>). N</w:t>
      </w:r>
      <w:r w:rsidRPr="00B34C03">
        <w:rPr>
          <w:rFonts w:ascii="Garamond" w:hAnsi="Garamond" w:cs="Times New Roman"/>
          <w:color w:val="000000"/>
          <w:sz w:val="24"/>
          <w:szCs w:val="24"/>
        </w:rPr>
        <w:t>ë thelb, ky rregull synon t’u japë organeve publike dhe, në veçanti, gjykatave të juridiksionit të zakonshëm mundësinë të parandalojnë ose korrigjojnë në substancë shkeljet e pretenduara të të drejtave kushtetuese të individit. Ana tjetër e rregullit të shterimit të mjeteve juridike përfshin detyrimin e vet individit që të tregojë kujdesin dhe vëmendjen e duhur për të paraqitur kërkesa, kundërshtime ose ankime tek organet publike dhe gjykatat e juridiksionit të zakonshëm për rrethanat që mbështesin pretendimet për cenimin e të drejtave kushtetuese (</w:t>
      </w:r>
      <w:r w:rsidR="00B34C03">
        <w:rPr>
          <w:rFonts w:ascii="Garamond" w:hAnsi="Garamond" w:cs="Times New Roman"/>
          <w:i/>
          <w:iCs/>
          <w:color w:val="000000"/>
          <w:sz w:val="24"/>
          <w:szCs w:val="24"/>
        </w:rPr>
        <w:t>shih vendimet nr. 10, datë 7.</w:t>
      </w:r>
      <w:r w:rsidRPr="00B34C03">
        <w:rPr>
          <w:rFonts w:ascii="Garamond" w:hAnsi="Garamond" w:cs="Times New Roman"/>
          <w:i/>
          <w:iCs/>
          <w:color w:val="000000"/>
          <w:sz w:val="24"/>
          <w:szCs w:val="24"/>
        </w:rPr>
        <w:t>3.2023; nr. 25, datë 13.10.2022</w:t>
      </w:r>
      <w:r w:rsidR="00B34C03">
        <w:rPr>
          <w:rFonts w:ascii="Garamond" w:hAnsi="Garamond" w:cs="Times New Roman"/>
          <w:i/>
          <w:iCs/>
          <w:color w:val="000000"/>
          <w:sz w:val="24"/>
          <w:szCs w:val="24"/>
        </w:rPr>
        <w:t>,</w:t>
      </w:r>
      <w:r w:rsidRPr="00B34C03">
        <w:rPr>
          <w:rFonts w:ascii="Garamond" w:hAnsi="Garamond" w:cs="Times New Roman"/>
          <w:i/>
          <w:iCs/>
          <w:color w:val="000000"/>
          <w:sz w:val="24"/>
          <w:szCs w:val="24"/>
        </w:rPr>
        <w:t xml:space="preserve"> të Gjykatës Kushtetuese</w:t>
      </w:r>
      <w:r w:rsidRPr="00B34C03">
        <w:rPr>
          <w:rFonts w:ascii="Garamond" w:hAnsi="Garamond" w:cs="Times New Roman"/>
          <w:color w:val="000000"/>
          <w:sz w:val="24"/>
          <w:szCs w:val="24"/>
        </w:rPr>
        <w:t xml:space="preserve">). </w:t>
      </w:r>
    </w:p>
    <w:p w14:paraId="6975F20E" w14:textId="3F59BD8D"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 xml:space="preserve">22. Duke iu kthyer çështjes në shqyrtim, Gjykata çmon të ndalet në kriterin e </w:t>
      </w:r>
      <w:r w:rsidRPr="00B34C03">
        <w:rPr>
          <w:rFonts w:ascii="Garamond" w:hAnsi="Garamond" w:cs="Times New Roman"/>
          <w:i/>
          <w:iCs/>
          <w:color w:val="000000"/>
          <w:sz w:val="24"/>
          <w:szCs w:val="24"/>
        </w:rPr>
        <w:t xml:space="preserve">shterimit të mjeteve juridike efektive </w:t>
      </w:r>
      <w:r w:rsidRPr="00B34C03">
        <w:rPr>
          <w:rFonts w:ascii="Garamond" w:hAnsi="Garamond" w:cs="Times New Roman"/>
          <w:color w:val="000000"/>
          <w:sz w:val="24"/>
          <w:szCs w:val="24"/>
        </w:rPr>
        <w:t>në kuptim të nenit 131, pika 1, shkronja “f”, të Kushtetutës</w:t>
      </w:r>
      <w:r w:rsidRPr="00B34C03">
        <w:rPr>
          <w:rFonts w:ascii="Garamond" w:hAnsi="Garamond" w:cs="Times New Roman"/>
          <w:i/>
          <w:iCs/>
          <w:color w:val="000000"/>
          <w:sz w:val="24"/>
          <w:szCs w:val="24"/>
        </w:rPr>
        <w:t xml:space="preserve">. </w:t>
      </w:r>
      <w:r w:rsidRPr="00B34C03">
        <w:rPr>
          <w:rFonts w:ascii="Garamond" w:hAnsi="Garamond" w:cs="Times New Roman"/>
          <w:color w:val="000000"/>
          <w:sz w:val="24"/>
          <w:szCs w:val="24"/>
        </w:rPr>
        <w:t>Gjykata vëren se ndaj kërkuesit është caktuar masa e sigurimit</w:t>
      </w:r>
      <w:r w:rsidR="00B34C03">
        <w:rPr>
          <w:rFonts w:ascii="Garamond" w:hAnsi="Garamond" w:cs="Times New Roman"/>
          <w:color w:val="000000"/>
          <w:sz w:val="24"/>
          <w:szCs w:val="24"/>
        </w:rPr>
        <w:t xml:space="preserve"> “Arresti në burg” në datën 28.</w:t>
      </w:r>
      <w:r w:rsidRPr="00B34C03">
        <w:rPr>
          <w:rFonts w:ascii="Garamond" w:hAnsi="Garamond" w:cs="Times New Roman"/>
          <w:color w:val="000000"/>
          <w:sz w:val="24"/>
          <w:szCs w:val="24"/>
        </w:rPr>
        <w:t>3.2024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me vendim të gjykatës së shkallës së parë. Procesi gjyqësor i caktimit të kësaj mase është në fazën e miratimit të saj nga gjykata e apelit (</w:t>
      </w:r>
      <w:r w:rsidRPr="00B34C03">
        <w:rPr>
          <w:rFonts w:ascii="Garamond" w:hAnsi="Garamond" w:cs="Times New Roman"/>
          <w:i/>
          <w:iCs/>
          <w:color w:val="000000"/>
          <w:sz w:val="24"/>
          <w:szCs w:val="24"/>
        </w:rPr>
        <w:t>shih paragrafët 5</w:t>
      </w:r>
      <w:r w:rsidR="00DD0838">
        <w:rPr>
          <w:rFonts w:ascii="Garamond" w:hAnsi="Garamond" w:cs="Times New Roman"/>
          <w:i/>
          <w:iCs/>
          <w:color w:val="000000"/>
          <w:sz w:val="24"/>
          <w:szCs w:val="24"/>
        </w:rPr>
        <w:t>–</w:t>
      </w:r>
      <w:r w:rsidRPr="00B34C03">
        <w:rPr>
          <w:rFonts w:ascii="Garamond" w:hAnsi="Garamond" w:cs="Times New Roman"/>
          <w:i/>
          <w:iCs/>
          <w:color w:val="000000"/>
          <w:sz w:val="24"/>
          <w:szCs w:val="24"/>
        </w:rPr>
        <w:t>9 të vendimit</w:t>
      </w:r>
      <w:r w:rsidRPr="00B34C03">
        <w:rPr>
          <w:rFonts w:ascii="Garamond" w:hAnsi="Garamond" w:cs="Times New Roman"/>
          <w:color w:val="000000"/>
          <w:sz w:val="24"/>
          <w:szCs w:val="24"/>
        </w:rPr>
        <w:t>). Ndërkohë, paralelisht me këtë proces, në kohën kur prokurori ka paraqitur informacionin dymujor për zbatimin e masës së sigurimit, kërkuesi ka kërkuar në gjykatë zëvendësimin e saj. Kjo kërkesë nuk është pranuar nga gjykata e</w:t>
      </w:r>
      <w:r w:rsidR="00B34C03">
        <w:rPr>
          <w:rFonts w:ascii="Garamond" w:hAnsi="Garamond" w:cs="Times New Roman"/>
          <w:color w:val="000000"/>
          <w:sz w:val="24"/>
          <w:szCs w:val="24"/>
        </w:rPr>
        <w:t xml:space="preserve"> shkallës së parë në datën 24.</w:t>
      </w:r>
      <w:r w:rsidRPr="00B34C03">
        <w:rPr>
          <w:rFonts w:ascii="Garamond" w:hAnsi="Garamond" w:cs="Times New Roman"/>
          <w:color w:val="000000"/>
          <w:sz w:val="24"/>
          <w:szCs w:val="24"/>
        </w:rPr>
        <w:t>6.2024. Kërkuesi ka paraqitur ankim, po</w:t>
      </w:r>
      <w:r w:rsidR="00B34C03">
        <w:rPr>
          <w:rFonts w:ascii="Garamond" w:hAnsi="Garamond" w:cs="Times New Roman"/>
          <w:color w:val="000000"/>
          <w:sz w:val="24"/>
          <w:szCs w:val="24"/>
        </w:rPr>
        <w:t>r gjykata e apelit në datën 31.</w:t>
      </w:r>
      <w:r w:rsidRPr="00B34C03">
        <w:rPr>
          <w:rFonts w:ascii="Garamond" w:hAnsi="Garamond" w:cs="Times New Roman"/>
          <w:color w:val="000000"/>
          <w:sz w:val="24"/>
          <w:szCs w:val="24"/>
        </w:rPr>
        <w:t>7.2024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ka vendosur lënien në fuqi të vendimit të gjykatës së shkallës së parë. Në v</w:t>
      </w:r>
      <w:r w:rsidR="00B34C03">
        <w:rPr>
          <w:rFonts w:ascii="Garamond" w:hAnsi="Garamond" w:cs="Times New Roman"/>
          <w:color w:val="000000"/>
          <w:sz w:val="24"/>
          <w:szCs w:val="24"/>
        </w:rPr>
        <w:t xml:space="preserve">ijim, Gjykata e Lartë në datën </w:t>
      </w:r>
      <w:r w:rsidRPr="00B34C03">
        <w:rPr>
          <w:rFonts w:ascii="Garamond" w:hAnsi="Garamond" w:cs="Times New Roman"/>
          <w:color w:val="000000"/>
          <w:sz w:val="24"/>
          <w:szCs w:val="24"/>
        </w:rPr>
        <w:t>4.12.2024</w:t>
      </w:r>
      <w:r w:rsidR="00B34C03">
        <w:rPr>
          <w:rFonts w:ascii="Garamond" w:hAnsi="Garamond" w:cs="Times New Roman"/>
          <w:color w:val="000000"/>
          <w:sz w:val="24"/>
          <w:szCs w:val="24"/>
        </w:rPr>
        <w:t>,</w:t>
      </w:r>
      <w:r w:rsidRPr="00B34C03">
        <w:rPr>
          <w:rFonts w:ascii="Garamond" w:hAnsi="Garamond" w:cs="Times New Roman"/>
          <w:color w:val="000000"/>
          <w:sz w:val="24"/>
          <w:szCs w:val="24"/>
        </w:rPr>
        <w:t xml:space="preserve"> ka vendosur lënien në fuqi të vendimit të gjykatës së apelit. Lidhur me këtë të fundit, Gjykata vëren se Gjykata e Lartë është vënë në lëvizje nga rekursi i personit nën hetim R.</w:t>
      </w:r>
      <w:r w:rsidR="00B34C03">
        <w:rPr>
          <w:rFonts w:ascii="Garamond" w:hAnsi="Garamond" w:cs="Times New Roman"/>
          <w:color w:val="000000"/>
          <w:sz w:val="24"/>
          <w:szCs w:val="24"/>
        </w:rPr>
        <w:t xml:space="preserve"> </w:t>
      </w:r>
      <w:r w:rsidRPr="00B34C03">
        <w:rPr>
          <w:rFonts w:ascii="Garamond" w:hAnsi="Garamond" w:cs="Times New Roman"/>
          <w:color w:val="000000"/>
          <w:sz w:val="24"/>
          <w:szCs w:val="24"/>
        </w:rPr>
        <w:t>M., pasi kërkuesi nuk ka paraqitur rekurs.</w:t>
      </w:r>
    </w:p>
    <w:p w14:paraId="6CD3FB1E" w14:textId="561FAB43"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sz w:val="24"/>
          <w:szCs w:val="24"/>
        </w:rPr>
      </w:pPr>
      <w:r w:rsidRPr="00B34C03">
        <w:rPr>
          <w:rFonts w:ascii="Garamond" w:hAnsi="Garamond" w:cs="Times New Roman"/>
          <w:color w:val="000000"/>
          <w:sz w:val="24"/>
          <w:szCs w:val="24"/>
        </w:rPr>
        <w:t xml:space="preserve">23. Në vijim të rrethanave të parashtruara më sipër, edhe pse e drejta e ankimit kundër një vendimi gjyqësor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Gjykata konstaton se në rastin në shqyrtim nuk rezulton që kërkuesi/mbrojtësi i caktuar prej tij të ketë vënë në lëvizje Gjykatën e Lartë nëpërmjet rekursit dhe të ketë marrë përgjigje për pretendimet e paraqitura në të. Gjykata thekson se si rregull mjetet e ankimit, sikurse është edhe rekursi, kanë efekt dhe sjellin pasoja të drejtpërdrejta vetëm për individin që i ka ushtruar ato, vetë ose nëpërmjet mbrojtësit të caktuar. Edhe pse subjekti i interesuar, Prokuroria e Posaçme, nuk ka prapësuar në lidhje me mosshterimin e mjeteve në drejtim të depozitimit të rekursit vetëm nga njëri prej të pandehurve, Gjykata konstaton se në rastin konkret e drejta e rekursit është ushtruar nga i bashkëpandehuri tjetër, ndërkohë që Gjykata e Lartë është shprehur në vendimin e saj vetëm për pretendimet e ngritura prej tij, për rrjedhojë vendimi i Gjykatës së Lartë, edhe pse ka vendosur lënien në fuqi të vendimit të gjykatës së apelit, pa përcaktuar se ndaj cilit prej të pandehurve ka prodhuar efekte, në fakt duket se ka prodhuar efekte dhe pasoja vetëm për individin që e ka ushtruar të drejtën e rekursit. Në këto rrethana, Gjykata vlerëson se për sa kohë që kërkuesi nuk ka ushtruar rekurs në Gjykatën e Lartë dhe nuk i ka ngritur në atë shkallë të gjykimit pretendimet që ka paraqitur në Gjykatë, ai nuk ka shteruar mjetet juridike efektive në dispozicion në kuptim të nenit 131, pika 1, shkronja f, të Kushtetutës. </w:t>
      </w:r>
    </w:p>
    <w:p w14:paraId="1B55ADA7" w14:textId="6E3BE32A" w:rsidR="00DA1E25" w:rsidRPr="00B34C03" w:rsidRDefault="00DA1E25" w:rsidP="00DA1E25">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B34C03">
        <w:rPr>
          <w:rFonts w:ascii="Garamond" w:hAnsi="Garamond" w:cs="Times New Roman"/>
          <w:color w:val="000000"/>
          <w:sz w:val="24"/>
          <w:szCs w:val="24"/>
        </w:rPr>
        <w:t>24. Në përfundim, Gjykata çmon se kërkesa e kërkuesit duhet të rrëzohet sipas arsyetimit të mësipërm të këtij vendimi.</w:t>
      </w:r>
    </w:p>
    <w:p w14:paraId="1A373B38" w14:textId="77777777" w:rsidR="009671D8" w:rsidRPr="00B34C03" w:rsidRDefault="009671D8" w:rsidP="00DA1E25">
      <w:pPr>
        <w:tabs>
          <w:tab w:val="left" w:pos="1080"/>
        </w:tabs>
        <w:spacing w:after="0" w:line="240" w:lineRule="auto"/>
        <w:ind w:firstLine="284"/>
        <w:contextualSpacing/>
        <w:jc w:val="both"/>
        <w:rPr>
          <w:rFonts w:ascii="Garamond" w:hAnsi="Garamond"/>
          <w:sz w:val="24"/>
          <w:szCs w:val="24"/>
        </w:rPr>
      </w:pPr>
    </w:p>
    <w:p w14:paraId="22C9DF9B" w14:textId="49D68624" w:rsidR="00EE3193" w:rsidRPr="00B34C03" w:rsidRDefault="00EE3193" w:rsidP="00DA1E25">
      <w:pPr>
        <w:spacing w:after="0" w:line="240" w:lineRule="auto"/>
        <w:ind w:firstLine="284"/>
        <w:jc w:val="center"/>
        <w:rPr>
          <w:rFonts w:ascii="Garamond" w:hAnsi="Garamond" w:cs="Times New Roman"/>
          <w:bCs/>
          <w:sz w:val="24"/>
          <w:szCs w:val="24"/>
        </w:rPr>
      </w:pPr>
      <w:r w:rsidRPr="00B34C03">
        <w:rPr>
          <w:rFonts w:ascii="Garamond" w:hAnsi="Garamond" w:cs="Times New Roman"/>
          <w:bCs/>
          <w:sz w:val="24"/>
          <w:szCs w:val="24"/>
        </w:rPr>
        <w:t>PËR KËTO ARSYE,</w:t>
      </w:r>
    </w:p>
    <w:p w14:paraId="45E4E9EC" w14:textId="77777777" w:rsidR="00DA1E25" w:rsidRPr="00B34C03" w:rsidRDefault="00DA1E25" w:rsidP="00DA1E25">
      <w:pPr>
        <w:spacing w:after="0" w:line="240" w:lineRule="auto"/>
        <w:ind w:firstLine="284"/>
        <w:jc w:val="center"/>
        <w:rPr>
          <w:rFonts w:ascii="Garamond" w:hAnsi="Garamond" w:cs="Times New Roman"/>
          <w:sz w:val="24"/>
          <w:szCs w:val="24"/>
        </w:rPr>
      </w:pPr>
    </w:p>
    <w:p w14:paraId="359414D3" w14:textId="6C716D1B" w:rsidR="00EE3193" w:rsidRPr="00B34C03" w:rsidRDefault="00EE3193" w:rsidP="00DA1E25">
      <w:pPr>
        <w:spacing w:after="0" w:line="240" w:lineRule="auto"/>
        <w:ind w:firstLine="284"/>
        <w:jc w:val="both"/>
        <w:rPr>
          <w:rFonts w:ascii="Garamond" w:hAnsi="Garamond" w:cs="Times New Roman"/>
          <w:sz w:val="24"/>
          <w:szCs w:val="24"/>
        </w:rPr>
      </w:pPr>
      <w:r w:rsidRPr="00B34C03">
        <w:rPr>
          <w:rFonts w:ascii="Garamond" w:hAnsi="Garamond" w:cs="Times New Roman"/>
          <w:sz w:val="24"/>
          <w:szCs w:val="24"/>
        </w:rPr>
        <w:t xml:space="preserve">Gjykata Kushtetuese, në mbështetje të neneve 131, pika 1, shkronja “f” dhe 134, pika 1, shkronja “i”, të Kushtetutës, si dhe neneve 72 e vijues të ligjit nr. 8577, datë </w:t>
      </w:r>
      <w:r w:rsidR="00B34C03">
        <w:rPr>
          <w:rFonts w:ascii="Garamond" w:hAnsi="Garamond" w:cs="Times New Roman"/>
          <w:sz w:val="24"/>
          <w:szCs w:val="24"/>
        </w:rPr>
        <w:t>10.</w:t>
      </w:r>
      <w:r w:rsidRPr="00B34C03">
        <w:rPr>
          <w:rFonts w:ascii="Garamond" w:hAnsi="Garamond" w:cs="Times New Roman"/>
          <w:sz w:val="24"/>
          <w:szCs w:val="24"/>
        </w:rPr>
        <w:t>2.2000</w:t>
      </w:r>
      <w:r w:rsidR="00B34C03">
        <w:rPr>
          <w:rFonts w:ascii="Garamond" w:hAnsi="Garamond" w:cs="Times New Roman"/>
          <w:sz w:val="24"/>
          <w:szCs w:val="24"/>
        </w:rPr>
        <w:t>,</w:t>
      </w:r>
      <w:r w:rsidRPr="00B34C03">
        <w:rPr>
          <w:rFonts w:ascii="Garamond" w:hAnsi="Garamond" w:cs="Times New Roman"/>
          <w:sz w:val="24"/>
          <w:szCs w:val="24"/>
        </w:rPr>
        <w:t xml:space="preserve"> “Për organizimin dhe funksionimin e Gjykatës Kushtetuese të Republikës së Shqipërisë”, të ndryshuar, njëzëri,</w:t>
      </w:r>
    </w:p>
    <w:p w14:paraId="0CEFC27D" w14:textId="77777777" w:rsidR="00EE3193" w:rsidRPr="00B34C03" w:rsidRDefault="00EE3193" w:rsidP="00DA1E25">
      <w:pPr>
        <w:spacing w:after="0" w:line="240" w:lineRule="auto"/>
        <w:ind w:firstLine="284"/>
        <w:jc w:val="both"/>
        <w:rPr>
          <w:rFonts w:ascii="Garamond" w:hAnsi="Garamond" w:cs="Times New Roman"/>
          <w:b/>
          <w:bCs/>
          <w:sz w:val="24"/>
          <w:szCs w:val="24"/>
        </w:rPr>
      </w:pPr>
    </w:p>
    <w:p w14:paraId="6504F519" w14:textId="391CD690" w:rsidR="00EE3193" w:rsidRPr="00B34C03" w:rsidRDefault="00EE3193" w:rsidP="00DA1E25">
      <w:pPr>
        <w:spacing w:after="0" w:line="240" w:lineRule="auto"/>
        <w:ind w:firstLine="284"/>
        <w:jc w:val="center"/>
        <w:rPr>
          <w:rFonts w:ascii="Garamond" w:hAnsi="Garamond" w:cs="Times New Roman"/>
          <w:bCs/>
          <w:sz w:val="24"/>
          <w:szCs w:val="24"/>
        </w:rPr>
      </w:pPr>
      <w:r w:rsidRPr="00B34C03">
        <w:rPr>
          <w:rFonts w:ascii="Garamond" w:hAnsi="Garamond" w:cs="Times New Roman"/>
          <w:bCs/>
          <w:sz w:val="24"/>
          <w:szCs w:val="24"/>
        </w:rPr>
        <w:t>VENDOSI:</w:t>
      </w:r>
    </w:p>
    <w:p w14:paraId="22602928" w14:textId="77777777" w:rsidR="00DA1E25" w:rsidRPr="00B34C03" w:rsidRDefault="00DA1E25" w:rsidP="00DA1E25">
      <w:pPr>
        <w:spacing w:after="0" w:line="240" w:lineRule="auto"/>
        <w:ind w:firstLine="284"/>
        <w:jc w:val="center"/>
        <w:rPr>
          <w:rFonts w:ascii="Garamond" w:hAnsi="Garamond" w:cs="Times New Roman"/>
          <w:b/>
          <w:bCs/>
          <w:sz w:val="24"/>
          <w:szCs w:val="24"/>
        </w:rPr>
      </w:pPr>
    </w:p>
    <w:p w14:paraId="0A3BA90F" w14:textId="7CC7DCFB" w:rsidR="00666B31" w:rsidRPr="00B34C03" w:rsidRDefault="00E02417" w:rsidP="00E02417">
      <w:pPr>
        <w:shd w:val="clear" w:color="auto" w:fill="FFFFFF"/>
        <w:spacing w:after="0" w:line="240" w:lineRule="auto"/>
        <w:ind w:left="284"/>
        <w:jc w:val="both"/>
        <w:rPr>
          <w:rFonts w:ascii="Garamond" w:hAnsi="Garamond"/>
          <w:sz w:val="24"/>
          <w:szCs w:val="24"/>
        </w:rPr>
      </w:pPr>
      <w:r w:rsidRPr="00B34C03">
        <w:rPr>
          <w:rFonts w:ascii="Garamond" w:hAnsi="Garamond"/>
          <w:sz w:val="24"/>
          <w:szCs w:val="24"/>
        </w:rPr>
        <w:t xml:space="preserve">1. </w:t>
      </w:r>
      <w:r w:rsidR="005F2D4C" w:rsidRPr="00B34C03">
        <w:rPr>
          <w:rFonts w:ascii="Garamond" w:hAnsi="Garamond"/>
          <w:sz w:val="24"/>
          <w:szCs w:val="24"/>
        </w:rPr>
        <w:t>Rr</w:t>
      </w:r>
      <w:r w:rsidR="00A475AA" w:rsidRPr="00B34C03">
        <w:rPr>
          <w:rFonts w:ascii="Garamond" w:hAnsi="Garamond"/>
          <w:sz w:val="24"/>
          <w:szCs w:val="24"/>
        </w:rPr>
        <w:t>ë</w:t>
      </w:r>
      <w:r w:rsidR="005F2D4C" w:rsidRPr="00B34C03">
        <w:rPr>
          <w:rFonts w:ascii="Garamond" w:hAnsi="Garamond"/>
          <w:sz w:val="24"/>
          <w:szCs w:val="24"/>
        </w:rPr>
        <w:t>zimin</w:t>
      </w:r>
      <w:r w:rsidR="00666B31" w:rsidRPr="00B34C03">
        <w:rPr>
          <w:rFonts w:ascii="Garamond" w:hAnsi="Garamond"/>
          <w:sz w:val="24"/>
          <w:szCs w:val="24"/>
        </w:rPr>
        <w:t xml:space="preserve"> e kërkesës. </w:t>
      </w:r>
    </w:p>
    <w:p w14:paraId="2DD16A49" w14:textId="77777777" w:rsidR="00EE3193" w:rsidRPr="00B34C03" w:rsidRDefault="00EE3193" w:rsidP="00DA1E25">
      <w:pPr>
        <w:spacing w:after="0" w:line="240" w:lineRule="auto"/>
        <w:ind w:firstLine="284"/>
        <w:jc w:val="both"/>
        <w:rPr>
          <w:rFonts w:ascii="Garamond" w:hAnsi="Garamond" w:cs="Times New Roman"/>
          <w:sz w:val="24"/>
          <w:szCs w:val="24"/>
        </w:rPr>
      </w:pPr>
      <w:r w:rsidRPr="00B34C03">
        <w:rPr>
          <w:rFonts w:ascii="Garamond" w:hAnsi="Garamond" w:cs="Times New Roman"/>
          <w:sz w:val="24"/>
          <w:szCs w:val="24"/>
        </w:rPr>
        <w:t>Ky vendim është përfundimtar dhe hyn në fuqi ditën e botimit në Fletoren Zyrtare.</w:t>
      </w:r>
    </w:p>
    <w:p w14:paraId="55E73115" w14:textId="56739008" w:rsidR="00EE3193" w:rsidRPr="00B34C03" w:rsidRDefault="00EE3193" w:rsidP="00DA1E25">
      <w:pPr>
        <w:spacing w:after="0" w:line="240" w:lineRule="auto"/>
        <w:ind w:firstLine="284"/>
        <w:jc w:val="both"/>
        <w:rPr>
          <w:rFonts w:ascii="Garamond" w:hAnsi="Garamond" w:cs="Times New Roman"/>
          <w:b/>
          <w:bCs/>
          <w:sz w:val="24"/>
          <w:szCs w:val="24"/>
        </w:rPr>
      </w:pPr>
      <w:r w:rsidRPr="00B34C03">
        <w:rPr>
          <w:rFonts w:ascii="Garamond" w:hAnsi="Garamond" w:cs="Times New Roman"/>
          <w:b/>
          <w:bCs/>
          <w:sz w:val="24"/>
          <w:szCs w:val="24"/>
        </w:rPr>
        <w:t xml:space="preserve">Marrë më </w:t>
      </w:r>
      <w:r w:rsidR="00EB3498" w:rsidRPr="00B34C03">
        <w:rPr>
          <w:rFonts w:ascii="Garamond" w:hAnsi="Garamond" w:cs="Times New Roman"/>
          <w:b/>
          <w:bCs/>
          <w:sz w:val="24"/>
          <w:szCs w:val="24"/>
        </w:rPr>
        <w:t>19</w:t>
      </w:r>
      <w:r w:rsidRPr="00B34C03">
        <w:rPr>
          <w:rFonts w:ascii="Garamond" w:hAnsi="Garamond" w:cs="Times New Roman"/>
          <w:b/>
          <w:bCs/>
          <w:sz w:val="24"/>
          <w:szCs w:val="24"/>
        </w:rPr>
        <w:t>.1</w:t>
      </w:r>
      <w:r w:rsidR="00B9539D" w:rsidRPr="00B34C03">
        <w:rPr>
          <w:rFonts w:ascii="Garamond" w:hAnsi="Garamond" w:cs="Times New Roman"/>
          <w:b/>
          <w:bCs/>
          <w:sz w:val="24"/>
          <w:szCs w:val="24"/>
        </w:rPr>
        <w:t>1</w:t>
      </w:r>
      <w:r w:rsidRPr="00B34C03">
        <w:rPr>
          <w:rFonts w:ascii="Garamond" w:hAnsi="Garamond" w:cs="Times New Roman"/>
          <w:b/>
          <w:bCs/>
          <w:sz w:val="24"/>
          <w:szCs w:val="24"/>
        </w:rPr>
        <w:t>.2025</w:t>
      </w:r>
      <w:r w:rsidR="00B34C03">
        <w:rPr>
          <w:rFonts w:ascii="Garamond" w:hAnsi="Garamond" w:cs="Times New Roman"/>
          <w:b/>
          <w:bCs/>
          <w:sz w:val="24"/>
          <w:szCs w:val="24"/>
        </w:rPr>
        <w:t>.</w:t>
      </w:r>
    </w:p>
    <w:p w14:paraId="2152E62C" w14:textId="2A695A0D" w:rsidR="00EE3193" w:rsidRPr="00B34C03" w:rsidRDefault="00EE3193" w:rsidP="00DA1E25">
      <w:pPr>
        <w:spacing w:after="0" w:line="240" w:lineRule="auto"/>
        <w:ind w:firstLine="284"/>
        <w:jc w:val="both"/>
        <w:rPr>
          <w:rFonts w:ascii="Garamond" w:hAnsi="Garamond" w:cs="Times New Roman"/>
          <w:b/>
          <w:bCs/>
          <w:sz w:val="24"/>
          <w:szCs w:val="24"/>
        </w:rPr>
      </w:pPr>
      <w:r w:rsidRPr="00B34C03">
        <w:rPr>
          <w:rFonts w:ascii="Garamond" w:hAnsi="Garamond" w:cs="Times New Roman"/>
          <w:b/>
          <w:bCs/>
          <w:sz w:val="24"/>
          <w:szCs w:val="24"/>
        </w:rPr>
        <w:t xml:space="preserve">Shpallur më </w:t>
      </w:r>
      <w:r w:rsidR="00CE2D54" w:rsidRPr="00B34C03">
        <w:rPr>
          <w:rFonts w:ascii="Garamond" w:hAnsi="Garamond" w:cs="Times New Roman"/>
          <w:b/>
          <w:bCs/>
          <w:sz w:val="24"/>
          <w:szCs w:val="24"/>
        </w:rPr>
        <w:t>12.12</w:t>
      </w:r>
      <w:r w:rsidRPr="00B34C03">
        <w:rPr>
          <w:rFonts w:ascii="Garamond" w:hAnsi="Garamond" w:cs="Times New Roman"/>
          <w:b/>
          <w:bCs/>
          <w:sz w:val="24"/>
          <w:szCs w:val="24"/>
        </w:rPr>
        <w:t>.2025</w:t>
      </w:r>
      <w:r w:rsidR="00B34C03">
        <w:rPr>
          <w:rFonts w:ascii="Garamond" w:hAnsi="Garamond" w:cs="Times New Roman"/>
          <w:b/>
          <w:bCs/>
          <w:sz w:val="24"/>
          <w:szCs w:val="24"/>
        </w:rPr>
        <w:t>.</w:t>
      </w:r>
    </w:p>
    <w:p w14:paraId="0454DCE9" w14:textId="3CB04C6E" w:rsidR="00EE3193" w:rsidRPr="00B34C03" w:rsidRDefault="00EE3193" w:rsidP="00DA1E25">
      <w:pPr>
        <w:spacing w:after="0" w:line="240" w:lineRule="auto"/>
        <w:ind w:firstLine="284"/>
        <w:jc w:val="both"/>
        <w:rPr>
          <w:rFonts w:ascii="Garamond" w:hAnsi="Garamond" w:cs="Times New Roman"/>
          <w:b/>
          <w:bCs/>
          <w:sz w:val="24"/>
          <w:szCs w:val="24"/>
        </w:rPr>
      </w:pPr>
    </w:p>
    <w:p w14:paraId="5270E224" w14:textId="0B637741" w:rsidR="00E02417" w:rsidRPr="00B34C03" w:rsidRDefault="00E02417" w:rsidP="00DA1E25">
      <w:pPr>
        <w:spacing w:after="0" w:line="240" w:lineRule="auto"/>
        <w:ind w:firstLine="284"/>
        <w:jc w:val="both"/>
        <w:rPr>
          <w:rFonts w:ascii="Garamond" w:hAnsi="Garamond" w:cs="Times New Roman"/>
          <w:b/>
          <w:bCs/>
          <w:sz w:val="24"/>
          <w:szCs w:val="24"/>
        </w:rPr>
      </w:pPr>
      <w:r w:rsidRPr="00B34C03">
        <w:rPr>
          <w:rFonts w:ascii="Garamond" w:hAnsi="Garamond" w:cs="Times New Roman"/>
          <w:b/>
          <w:bCs/>
          <w:sz w:val="24"/>
          <w:szCs w:val="24"/>
        </w:rPr>
        <w:t xml:space="preserve">Kryetare: </w:t>
      </w:r>
      <w:r w:rsidRPr="00B34C03">
        <w:rPr>
          <w:rFonts w:ascii="Garamond" w:hAnsi="Garamond" w:cs="Times New Roman"/>
          <w:bCs/>
          <w:sz w:val="24"/>
          <w:szCs w:val="24"/>
        </w:rPr>
        <w:t>Holta Zaçaj</w:t>
      </w:r>
    </w:p>
    <w:p w14:paraId="05F76E62" w14:textId="3D69C8F9" w:rsidR="00E02417" w:rsidRPr="00B34C03" w:rsidRDefault="00E02417" w:rsidP="00DA1E25">
      <w:pPr>
        <w:tabs>
          <w:tab w:val="left" w:pos="0"/>
        </w:tabs>
        <w:spacing w:after="0" w:line="240" w:lineRule="auto"/>
        <w:ind w:firstLine="284"/>
        <w:jc w:val="both"/>
        <w:rPr>
          <w:rFonts w:ascii="Garamond" w:hAnsi="Garamond" w:cs="Times New Roman"/>
          <w:b/>
          <w:bCs/>
          <w:sz w:val="24"/>
          <w:szCs w:val="24"/>
        </w:rPr>
      </w:pPr>
      <w:r w:rsidRPr="00B34C03">
        <w:rPr>
          <w:rFonts w:ascii="Garamond" w:hAnsi="Garamond" w:cs="Times New Roman"/>
          <w:b/>
          <w:bCs/>
          <w:sz w:val="24"/>
          <w:szCs w:val="24"/>
        </w:rPr>
        <w:t xml:space="preserve">Anëtarë: </w:t>
      </w:r>
      <w:r w:rsidRPr="00B34C03">
        <w:rPr>
          <w:rFonts w:ascii="Garamond" w:hAnsi="Garamond" w:cs="Times New Roman"/>
          <w:bCs/>
          <w:sz w:val="24"/>
          <w:szCs w:val="24"/>
        </w:rPr>
        <w:t>Fiona Papajorgji, Marsida Xhaferllari, Genti Ibrahimi, Ilir Toska, Sonila Bejtja, Sandër Beci, Marjana Semini</w:t>
      </w:r>
    </w:p>
    <w:p w14:paraId="02295749" w14:textId="77777777" w:rsidR="00CE2D54" w:rsidRPr="00B34C03" w:rsidRDefault="00CE2D54" w:rsidP="00DA1E25">
      <w:pPr>
        <w:spacing w:after="0" w:line="240" w:lineRule="auto"/>
        <w:ind w:firstLine="284"/>
        <w:jc w:val="center"/>
        <w:rPr>
          <w:rFonts w:ascii="Garamond" w:eastAsia="Times New Roman" w:hAnsi="Garamond" w:cs="Times New Roman"/>
          <w:b/>
          <w:sz w:val="24"/>
          <w:szCs w:val="24"/>
        </w:rPr>
      </w:pPr>
    </w:p>
    <w:sectPr w:rsidR="00CE2D54" w:rsidRPr="00B34C03" w:rsidSect="009671D8">
      <w:pgSz w:w="12240" w:h="15840"/>
      <w:pgMar w:top="108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849A0" w14:textId="77777777" w:rsidR="00DD157F" w:rsidRDefault="00DD157F">
      <w:pPr>
        <w:spacing w:after="0" w:line="240" w:lineRule="auto"/>
      </w:pPr>
      <w:r>
        <w:separator/>
      </w:r>
    </w:p>
  </w:endnote>
  <w:endnote w:type="continuationSeparator" w:id="0">
    <w:p w14:paraId="55E5753C" w14:textId="77777777" w:rsidR="00DD157F" w:rsidRDefault="00DD157F">
      <w:pPr>
        <w:spacing w:after="0" w:line="240" w:lineRule="auto"/>
      </w:pPr>
      <w:r>
        <w:continuationSeparator/>
      </w:r>
    </w:p>
  </w:endnote>
  <w:endnote w:type="continuationNotice" w:id="1">
    <w:p w14:paraId="53F571F9" w14:textId="77777777" w:rsidR="00DD157F" w:rsidRDefault="00DD1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27B71" w14:textId="77777777" w:rsidR="00DD157F" w:rsidRDefault="00DD157F">
      <w:pPr>
        <w:spacing w:after="0" w:line="240" w:lineRule="auto"/>
      </w:pPr>
      <w:r>
        <w:separator/>
      </w:r>
    </w:p>
  </w:footnote>
  <w:footnote w:type="continuationSeparator" w:id="0">
    <w:p w14:paraId="065E43EB" w14:textId="77777777" w:rsidR="00DD157F" w:rsidRDefault="00DD157F">
      <w:pPr>
        <w:spacing w:after="0" w:line="240" w:lineRule="auto"/>
      </w:pPr>
      <w:r>
        <w:continuationSeparator/>
      </w:r>
    </w:p>
  </w:footnote>
  <w:footnote w:type="continuationNotice" w:id="1">
    <w:p w14:paraId="2E85AB16" w14:textId="77777777" w:rsidR="00DD157F" w:rsidRDefault="00DD15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46CA"/>
    <w:multiLevelType w:val="hybridMultilevel"/>
    <w:tmpl w:val="8FE24612"/>
    <w:lvl w:ilvl="0" w:tplc="6F824EAC">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22144"/>
    <w:multiLevelType w:val="hybridMultilevel"/>
    <w:tmpl w:val="4DE22E7E"/>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6412824"/>
    <w:multiLevelType w:val="hybridMultilevel"/>
    <w:tmpl w:val="A9E0AB64"/>
    <w:lvl w:ilvl="0" w:tplc="493851EE">
      <w:start w:val="1"/>
      <w:numFmt w:val="decimal"/>
      <w:lvlText w:val="8.1.%1."/>
      <w:lvlJc w:val="left"/>
      <w:pPr>
        <w:ind w:left="1950" w:hanging="360"/>
      </w:pPr>
      <w:rPr>
        <w:rFonts w:hint="default"/>
        <w:i w:val="0"/>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3" w15:restartNumberingAfterBreak="0">
    <w:nsid w:val="0EE3402B"/>
    <w:multiLevelType w:val="multilevel"/>
    <w:tmpl w:val="B7B06DC8"/>
    <w:lvl w:ilvl="0">
      <w:start w:val="18"/>
      <w:numFmt w:val="decimal"/>
      <w:lvlText w:val="%1."/>
      <w:lvlJc w:val="left"/>
      <w:pPr>
        <w:ind w:left="435" w:hanging="435"/>
      </w:pPr>
      <w:rPr>
        <w:rFonts w:asciiTheme="minorHAnsi" w:hAnsiTheme="minorHAnsi" w:cstheme="minorBidi" w:hint="default"/>
        <w:i/>
        <w:sz w:val="22"/>
      </w:rPr>
    </w:lvl>
    <w:lvl w:ilvl="1">
      <w:start w:val="1"/>
      <w:numFmt w:val="decimal"/>
      <w:lvlText w:val="%1.%2."/>
      <w:lvlJc w:val="left"/>
      <w:pPr>
        <w:ind w:left="1003" w:hanging="435"/>
      </w:pPr>
      <w:rPr>
        <w:rFonts w:ascii="Times New Roman" w:hAnsi="Times New Roman" w:cs="Times New Roman" w:hint="default"/>
        <w:i w:val="0"/>
        <w:sz w:val="24"/>
        <w:szCs w:val="24"/>
      </w:rPr>
    </w:lvl>
    <w:lvl w:ilvl="2">
      <w:start w:val="1"/>
      <w:numFmt w:val="decimal"/>
      <w:lvlText w:val="%1.%2.%3."/>
      <w:lvlJc w:val="left"/>
      <w:pPr>
        <w:ind w:left="720" w:hanging="720"/>
      </w:pPr>
      <w:rPr>
        <w:rFonts w:ascii="Times New Roman" w:hAnsi="Times New Roman" w:cs="Times New Roman" w:hint="default"/>
        <w:i w:val="0"/>
        <w:sz w:val="24"/>
        <w:szCs w:val="24"/>
      </w:rPr>
    </w:lvl>
    <w:lvl w:ilvl="3">
      <w:start w:val="1"/>
      <w:numFmt w:val="decimal"/>
      <w:lvlText w:val="%1.%2.%3.%4."/>
      <w:lvlJc w:val="left"/>
      <w:pPr>
        <w:ind w:left="720" w:hanging="720"/>
      </w:pPr>
      <w:rPr>
        <w:rFonts w:asciiTheme="minorHAnsi" w:hAnsiTheme="minorHAnsi" w:cstheme="minorBidi" w:hint="default"/>
        <w:i/>
        <w:sz w:val="22"/>
      </w:rPr>
    </w:lvl>
    <w:lvl w:ilvl="4">
      <w:start w:val="1"/>
      <w:numFmt w:val="decimal"/>
      <w:lvlText w:val="%1.%2.%3.%4.%5."/>
      <w:lvlJc w:val="left"/>
      <w:pPr>
        <w:ind w:left="1080" w:hanging="1080"/>
      </w:pPr>
      <w:rPr>
        <w:rFonts w:asciiTheme="minorHAnsi" w:hAnsiTheme="minorHAnsi" w:cstheme="minorBidi" w:hint="default"/>
        <w:i/>
        <w:sz w:val="22"/>
      </w:rPr>
    </w:lvl>
    <w:lvl w:ilvl="5">
      <w:start w:val="1"/>
      <w:numFmt w:val="decimal"/>
      <w:lvlText w:val="%1.%2.%3.%4.%5.%6."/>
      <w:lvlJc w:val="left"/>
      <w:pPr>
        <w:ind w:left="1080" w:hanging="1080"/>
      </w:pPr>
      <w:rPr>
        <w:rFonts w:asciiTheme="minorHAnsi" w:hAnsiTheme="minorHAnsi" w:cstheme="minorBidi" w:hint="default"/>
        <w:i/>
        <w:sz w:val="22"/>
      </w:rPr>
    </w:lvl>
    <w:lvl w:ilvl="6">
      <w:start w:val="1"/>
      <w:numFmt w:val="decimal"/>
      <w:lvlText w:val="%1.%2.%3.%4.%5.%6.%7."/>
      <w:lvlJc w:val="left"/>
      <w:pPr>
        <w:ind w:left="1440" w:hanging="1440"/>
      </w:pPr>
      <w:rPr>
        <w:rFonts w:asciiTheme="minorHAnsi" w:hAnsiTheme="minorHAnsi" w:cstheme="minorBidi" w:hint="default"/>
        <w:i/>
        <w:sz w:val="22"/>
      </w:rPr>
    </w:lvl>
    <w:lvl w:ilvl="7">
      <w:start w:val="1"/>
      <w:numFmt w:val="decimal"/>
      <w:lvlText w:val="%1.%2.%3.%4.%5.%6.%7.%8."/>
      <w:lvlJc w:val="left"/>
      <w:pPr>
        <w:ind w:left="1440" w:hanging="1440"/>
      </w:pPr>
      <w:rPr>
        <w:rFonts w:asciiTheme="minorHAnsi" w:hAnsiTheme="minorHAnsi" w:cstheme="minorBidi" w:hint="default"/>
        <w:i/>
        <w:sz w:val="22"/>
      </w:rPr>
    </w:lvl>
    <w:lvl w:ilvl="8">
      <w:start w:val="1"/>
      <w:numFmt w:val="decimal"/>
      <w:lvlText w:val="%1.%2.%3.%4.%5.%6.%7.%8.%9."/>
      <w:lvlJc w:val="left"/>
      <w:pPr>
        <w:ind w:left="1800" w:hanging="1800"/>
      </w:pPr>
      <w:rPr>
        <w:rFonts w:asciiTheme="minorHAnsi" w:hAnsiTheme="minorHAnsi" w:cstheme="minorBidi" w:hint="default"/>
        <w:i/>
        <w:sz w:val="22"/>
      </w:rPr>
    </w:lvl>
  </w:abstractNum>
  <w:abstractNum w:abstractNumId="4" w15:restartNumberingAfterBreak="0">
    <w:nsid w:val="171C44C9"/>
    <w:multiLevelType w:val="multilevel"/>
    <w:tmpl w:val="59CA046E"/>
    <w:lvl w:ilvl="0">
      <w:start w:val="1"/>
      <w:numFmt w:val="decimal"/>
      <w:lvlText w:val="%1."/>
      <w:lvlJc w:val="left"/>
      <w:pPr>
        <w:ind w:left="19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5" w15:restartNumberingAfterBreak="0">
    <w:nsid w:val="1EA13F29"/>
    <w:multiLevelType w:val="hybridMultilevel"/>
    <w:tmpl w:val="25D6F292"/>
    <w:lvl w:ilvl="0" w:tplc="0409000F">
      <w:start w:val="1"/>
      <w:numFmt w:val="decimal"/>
      <w:lvlText w:val="%1."/>
      <w:lvlJc w:val="left"/>
      <w:pPr>
        <w:ind w:left="225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D6B8B4">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825D5"/>
    <w:multiLevelType w:val="multilevel"/>
    <w:tmpl w:val="3B7EB3E0"/>
    <w:lvl w:ilvl="0">
      <w:start w:val="1"/>
      <w:numFmt w:val="decimal"/>
      <w:lvlText w:val="%1."/>
      <w:lvlJc w:val="left"/>
      <w:pPr>
        <w:ind w:left="1980" w:hanging="360"/>
      </w:pPr>
      <w:rPr>
        <w:i w:val="0"/>
        <w:strike w:val="0"/>
        <w:color w:val="auto"/>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i/>
      </w:rPr>
    </w:lvl>
    <w:lvl w:ilvl="4">
      <w:start w:val="1"/>
      <w:numFmt w:val="decimal"/>
      <w:isLgl/>
      <w:lvlText w:val="%1.%2.%3.%4.%5."/>
      <w:lvlJc w:val="left"/>
      <w:pPr>
        <w:ind w:left="4320" w:hanging="1080"/>
      </w:pPr>
      <w:rPr>
        <w:rFonts w:hint="default"/>
        <w:i/>
      </w:rPr>
    </w:lvl>
    <w:lvl w:ilvl="5">
      <w:start w:val="1"/>
      <w:numFmt w:val="decimal"/>
      <w:isLgl/>
      <w:lvlText w:val="%1.%2.%3.%4.%5.%6."/>
      <w:lvlJc w:val="left"/>
      <w:pPr>
        <w:ind w:left="5040" w:hanging="1080"/>
      </w:pPr>
      <w:rPr>
        <w:rFonts w:hint="default"/>
        <w:i/>
      </w:rPr>
    </w:lvl>
    <w:lvl w:ilvl="6">
      <w:start w:val="1"/>
      <w:numFmt w:val="decimal"/>
      <w:isLgl/>
      <w:lvlText w:val="%1.%2.%3.%4.%5.%6.%7."/>
      <w:lvlJc w:val="left"/>
      <w:pPr>
        <w:ind w:left="6120" w:hanging="1440"/>
      </w:pPr>
      <w:rPr>
        <w:rFonts w:hint="default"/>
        <w:i/>
      </w:rPr>
    </w:lvl>
    <w:lvl w:ilvl="7">
      <w:start w:val="1"/>
      <w:numFmt w:val="decimal"/>
      <w:isLgl/>
      <w:lvlText w:val="%1.%2.%3.%4.%5.%6.%7.%8."/>
      <w:lvlJc w:val="left"/>
      <w:pPr>
        <w:ind w:left="6840" w:hanging="1440"/>
      </w:pPr>
      <w:rPr>
        <w:rFonts w:hint="default"/>
        <w:i/>
      </w:rPr>
    </w:lvl>
    <w:lvl w:ilvl="8">
      <w:start w:val="1"/>
      <w:numFmt w:val="decimal"/>
      <w:isLgl/>
      <w:lvlText w:val="%1.%2.%3.%4.%5.%6.%7.%8.%9."/>
      <w:lvlJc w:val="left"/>
      <w:pPr>
        <w:ind w:left="7920" w:hanging="1800"/>
      </w:pPr>
      <w:rPr>
        <w:rFonts w:hint="default"/>
        <w:i/>
      </w:rPr>
    </w:lvl>
  </w:abstractNum>
  <w:abstractNum w:abstractNumId="7" w15:restartNumberingAfterBreak="0">
    <w:nsid w:val="21EF0A7F"/>
    <w:multiLevelType w:val="hybridMultilevel"/>
    <w:tmpl w:val="5B3ED98A"/>
    <w:lvl w:ilvl="0" w:tplc="F3C09028">
      <w:start w:val="1"/>
      <w:numFmt w:val="decimal"/>
      <w:lvlText w:val="19.%1."/>
      <w:lvlJc w:val="left"/>
      <w:pPr>
        <w:ind w:left="1440" w:hanging="360"/>
      </w:pPr>
      <w:rPr>
        <w:rFonts w:hint="default"/>
      </w:rPr>
    </w:lvl>
    <w:lvl w:ilvl="1" w:tplc="F0244D7E">
      <w:start w:val="1"/>
      <w:numFmt w:val="decimal"/>
      <w:lvlText w:val="19.1.%2."/>
      <w:lvlJc w:val="left"/>
      <w:pPr>
        <w:ind w:left="2160" w:hanging="360"/>
      </w:pPr>
      <w:rPr>
        <w:rFonts w:hint="default"/>
        <w:b w:val="0"/>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E06498"/>
    <w:multiLevelType w:val="multilevel"/>
    <w:tmpl w:val="B73622DC"/>
    <w:lvl w:ilvl="0">
      <w:start w:val="1"/>
      <w:numFmt w:val="decimal"/>
      <w:lvlText w:val="%1."/>
      <w:lvlJc w:val="left"/>
      <w:pPr>
        <w:ind w:left="1710" w:hanging="360"/>
      </w:pPr>
      <w:rPr>
        <w:rFonts w:hint="default"/>
        <w:b w:val="0"/>
        <w:i w:val="0"/>
        <w:iCs/>
      </w:rPr>
    </w:lvl>
    <w:lvl w:ilvl="1">
      <w:start w:val="1"/>
      <w:numFmt w:val="decimal"/>
      <w:isLgl/>
      <w:lvlText w:val="%1.%2"/>
      <w:lvlJc w:val="left"/>
      <w:pPr>
        <w:ind w:left="2035"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0" w15:restartNumberingAfterBreak="0">
    <w:nsid w:val="2BFC268F"/>
    <w:multiLevelType w:val="hybridMultilevel"/>
    <w:tmpl w:val="7A1628AC"/>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2E3C6E1F"/>
    <w:multiLevelType w:val="hybridMultilevel"/>
    <w:tmpl w:val="C7EAF780"/>
    <w:lvl w:ilvl="0" w:tplc="8FD8C0C4">
      <w:start w:val="1"/>
      <w:numFmt w:val="decimal"/>
      <w:lvlText w:val="%1."/>
      <w:lvlJc w:val="left"/>
      <w:pPr>
        <w:ind w:left="1080" w:hanging="72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45B43E9"/>
    <w:multiLevelType w:val="multilevel"/>
    <w:tmpl w:val="CEA4EECC"/>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38F30498"/>
    <w:multiLevelType w:val="hybridMultilevel"/>
    <w:tmpl w:val="AB28CA70"/>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3A3C5AA2"/>
    <w:multiLevelType w:val="multilevel"/>
    <w:tmpl w:val="01B6E604"/>
    <w:lvl w:ilvl="0">
      <w:start w:val="1"/>
      <w:numFmt w:val="decimal"/>
      <w:lvlText w:val="%1."/>
      <w:lvlJc w:val="left"/>
      <w:pPr>
        <w:ind w:left="928" w:hanging="360"/>
      </w:pPr>
      <w:rPr>
        <w:rFonts w:hint="default"/>
        <w:b w:val="0"/>
        <w:bCs/>
        <w:i w:val="0"/>
      </w:rPr>
    </w:lvl>
    <w:lvl w:ilvl="1">
      <w:start w:val="1"/>
      <w:numFmt w:val="decimal"/>
      <w:isLgl/>
      <w:lvlText w:val="%1.%2"/>
      <w:lvlJc w:val="left"/>
      <w:pPr>
        <w:ind w:left="-1712" w:hanging="420"/>
      </w:pPr>
      <w:rPr>
        <w:rFonts w:eastAsia="Times New Roman" w:hint="default"/>
        <w:i w:val="0"/>
      </w:rPr>
    </w:lvl>
    <w:lvl w:ilvl="2">
      <w:start w:val="1"/>
      <w:numFmt w:val="decimal"/>
      <w:isLgl/>
      <w:lvlText w:val="%1.%2.%3"/>
      <w:lvlJc w:val="left"/>
      <w:pPr>
        <w:ind w:left="-1412" w:hanging="720"/>
      </w:pPr>
      <w:rPr>
        <w:rFonts w:eastAsia="Times New Roman" w:hint="default"/>
      </w:rPr>
    </w:lvl>
    <w:lvl w:ilvl="3">
      <w:start w:val="1"/>
      <w:numFmt w:val="decimal"/>
      <w:isLgl/>
      <w:lvlText w:val="%1.%2.%3.%4"/>
      <w:lvlJc w:val="left"/>
      <w:pPr>
        <w:ind w:left="-1412" w:hanging="720"/>
      </w:pPr>
      <w:rPr>
        <w:rFonts w:eastAsia="Times New Roman" w:hint="default"/>
      </w:rPr>
    </w:lvl>
    <w:lvl w:ilvl="4">
      <w:start w:val="1"/>
      <w:numFmt w:val="decimal"/>
      <w:isLgl/>
      <w:lvlText w:val="%1.%2.%3.%4.%5"/>
      <w:lvlJc w:val="left"/>
      <w:pPr>
        <w:ind w:left="-1052" w:hanging="1080"/>
      </w:pPr>
      <w:rPr>
        <w:rFonts w:eastAsia="Times New Roman" w:hint="default"/>
      </w:rPr>
    </w:lvl>
    <w:lvl w:ilvl="5">
      <w:start w:val="1"/>
      <w:numFmt w:val="decimal"/>
      <w:isLgl/>
      <w:lvlText w:val="%1.%2.%3.%4.%5.%6"/>
      <w:lvlJc w:val="left"/>
      <w:pPr>
        <w:ind w:left="-1052" w:hanging="1080"/>
      </w:pPr>
      <w:rPr>
        <w:rFonts w:eastAsia="Times New Roman" w:hint="default"/>
      </w:rPr>
    </w:lvl>
    <w:lvl w:ilvl="6">
      <w:start w:val="1"/>
      <w:numFmt w:val="decimal"/>
      <w:isLgl/>
      <w:lvlText w:val="%1.%2.%3.%4.%5.%6.%7"/>
      <w:lvlJc w:val="left"/>
      <w:pPr>
        <w:ind w:left="-692" w:hanging="1440"/>
      </w:pPr>
      <w:rPr>
        <w:rFonts w:eastAsia="Times New Roman" w:hint="default"/>
      </w:rPr>
    </w:lvl>
    <w:lvl w:ilvl="7">
      <w:start w:val="1"/>
      <w:numFmt w:val="decimal"/>
      <w:isLgl/>
      <w:lvlText w:val="%1.%2.%3.%4.%5.%6.%7.%8"/>
      <w:lvlJc w:val="left"/>
      <w:pPr>
        <w:ind w:left="-692" w:hanging="1440"/>
      </w:pPr>
      <w:rPr>
        <w:rFonts w:eastAsia="Times New Roman" w:hint="default"/>
      </w:rPr>
    </w:lvl>
    <w:lvl w:ilvl="8">
      <w:start w:val="1"/>
      <w:numFmt w:val="decimal"/>
      <w:isLgl/>
      <w:lvlText w:val="%1.%2.%3.%4.%5.%6.%7.%8.%9"/>
      <w:lvlJc w:val="left"/>
      <w:pPr>
        <w:ind w:left="-332" w:hanging="1800"/>
      </w:pPr>
      <w:rPr>
        <w:rFonts w:eastAsia="Times New Roman" w:hint="default"/>
      </w:rPr>
    </w:lvl>
  </w:abstractNum>
  <w:abstractNum w:abstractNumId="15" w15:restartNumberingAfterBreak="0">
    <w:nsid w:val="3E6C02B6"/>
    <w:multiLevelType w:val="multilevel"/>
    <w:tmpl w:val="D0420C02"/>
    <w:lvl w:ilvl="0">
      <w:start w:val="21"/>
      <w:numFmt w:val="decimal"/>
      <w:lvlText w:val="%1."/>
      <w:lvlJc w:val="left"/>
      <w:pPr>
        <w:ind w:left="660" w:hanging="660"/>
      </w:pPr>
      <w:rPr>
        <w:i w:val="0"/>
      </w:rPr>
    </w:lvl>
    <w:lvl w:ilvl="1">
      <w:start w:val="1"/>
      <w:numFmt w:val="decimal"/>
      <w:lvlText w:val="%1.%2."/>
      <w:lvlJc w:val="left"/>
      <w:pPr>
        <w:ind w:left="660" w:hanging="6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5AF1DCB"/>
    <w:multiLevelType w:val="hybridMultilevel"/>
    <w:tmpl w:val="7D860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5687F"/>
    <w:multiLevelType w:val="multilevel"/>
    <w:tmpl w:val="A20C5084"/>
    <w:lvl w:ilvl="0">
      <w:start w:val="8"/>
      <w:numFmt w:val="decimal"/>
      <w:lvlText w:val="%1."/>
      <w:lvlJc w:val="left"/>
      <w:pPr>
        <w:ind w:left="360" w:hanging="360"/>
      </w:pPr>
      <w:rPr>
        <w:rFonts w:eastAsia="MS Mincho" w:hint="default"/>
        <w:b w:val="0"/>
        <w:i w:val="0"/>
      </w:rPr>
    </w:lvl>
    <w:lvl w:ilvl="1">
      <w:start w:val="1"/>
      <w:numFmt w:val="decimal"/>
      <w:lvlText w:val="%1.%2."/>
      <w:lvlJc w:val="left"/>
      <w:pPr>
        <w:ind w:left="7590" w:hanging="360"/>
      </w:pPr>
      <w:rPr>
        <w:rFonts w:eastAsia="MS Mincho" w:hint="default"/>
        <w:i w:val="0"/>
      </w:rPr>
    </w:lvl>
    <w:lvl w:ilvl="2">
      <w:start w:val="1"/>
      <w:numFmt w:val="decimal"/>
      <w:lvlText w:val="%1.%2.%3."/>
      <w:lvlJc w:val="left"/>
      <w:pPr>
        <w:ind w:left="15180" w:hanging="720"/>
      </w:pPr>
      <w:rPr>
        <w:rFonts w:eastAsia="MS Mincho" w:hint="default"/>
        <w:i/>
      </w:rPr>
    </w:lvl>
    <w:lvl w:ilvl="3">
      <w:start w:val="1"/>
      <w:numFmt w:val="decimal"/>
      <w:lvlText w:val="%1.%2.%3.%4."/>
      <w:lvlJc w:val="left"/>
      <w:pPr>
        <w:ind w:left="22410" w:hanging="720"/>
      </w:pPr>
      <w:rPr>
        <w:rFonts w:eastAsia="MS Mincho" w:hint="default"/>
        <w:i/>
      </w:rPr>
    </w:lvl>
    <w:lvl w:ilvl="4">
      <w:start w:val="1"/>
      <w:numFmt w:val="decimal"/>
      <w:lvlText w:val="%1.%2.%3.%4.%5."/>
      <w:lvlJc w:val="left"/>
      <w:pPr>
        <w:ind w:left="30000" w:hanging="1080"/>
      </w:pPr>
      <w:rPr>
        <w:rFonts w:eastAsia="MS Mincho" w:hint="default"/>
        <w:i/>
      </w:rPr>
    </w:lvl>
    <w:lvl w:ilvl="5">
      <w:start w:val="1"/>
      <w:numFmt w:val="decimal"/>
      <w:lvlText w:val="%1.%2.%3.%4.%5.%6."/>
      <w:lvlJc w:val="left"/>
      <w:pPr>
        <w:ind w:left="-28306" w:hanging="1080"/>
      </w:pPr>
      <w:rPr>
        <w:rFonts w:eastAsia="MS Mincho" w:hint="default"/>
        <w:i/>
      </w:rPr>
    </w:lvl>
    <w:lvl w:ilvl="6">
      <w:start w:val="1"/>
      <w:numFmt w:val="decimal"/>
      <w:lvlText w:val="%1.%2.%3.%4.%5.%6.%7."/>
      <w:lvlJc w:val="left"/>
      <w:pPr>
        <w:ind w:left="-20716" w:hanging="1440"/>
      </w:pPr>
      <w:rPr>
        <w:rFonts w:eastAsia="MS Mincho" w:hint="default"/>
        <w:i/>
      </w:rPr>
    </w:lvl>
    <w:lvl w:ilvl="7">
      <w:start w:val="1"/>
      <w:numFmt w:val="decimal"/>
      <w:lvlText w:val="%1.%2.%3.%4.%5.%6.%7.%8."/>
      <w:lvlJc w:val="left"/>
      <w:pPr>
        <w:ind w:left="-13486" w:hanging="1440"/>
      </w:pPr>
      <w:rPr>
        <w:rFonts w:eastAsia="MS Mincho" w:hint="default"/>
        <w:i/>
      </w:rPr>
    </w:lvl>
    <w:lvl w:ilvl="8">
      <w:start w:val="1"/>
      <w:numFmt w:val="decimal"/>
      <w:lvlText w:val="%1.%2.%3.%4.%5.%6.%7.%8.%9."/>
      <w:lvlJc w:val="left"/>
      <w:pPr>
        <w:ind w:left="-5896" w:hanging="1800"/>
      </w:pPr>
      <w:rPr>
        <w:rFonts w:eastAsia="MS Mincho" w:hint="default"/>
        <w:i/>
      </w:rPr>
    </w:lvl>
  </w:abstractNum>
  <w:abstractNum w:abstractNumId="18" w15:restartNumberingAfterBreak="0">
    <w:nsid w:val="4A9328A9"/>
    <w:multiLevelType w:val="hybridMultilevel"/>
    <w:tmpl w:val="D34C9BD2"/>
    <w:lvl w:ilvl="0" w:tplc="BC2C92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15:restartNumberingAfterBreak="0">
    <w:nsid w:val="4B7B750E"/>
    <w:multiLevelType w:val="hybridMultilevel"/>
    <w:tmpl w:val="F1E8EAA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5556105C"/>
    <w:multiLevelType w:val="multilevel"/>
    <w:tmpl w:val="773CCA20"/>
    <w:lvl w:ilvl="0">
      <w:start w:val="12"/>
      <w:numFmt w:val="decimal"/>
      <w:lvlText w:val="%1"/>
      <w:lvlJc w:val="left"/>
      <w:pPr>
        <w:ind w:left="4290" w:hanging="420"/>
      </w:pPr>
      <w:rPr>
        <w:rFonts w:hint="default"/>
        <w:i/>
      </w:rPr>
    </w:lvl>
    <w:lvl w:ilvl="1">
      <w:start w:val="2"/>
      <w:numFmt w:val="decimal"/>
      <w:lvlText w:val="%1.%2"/>
      <w:lvlJc w:val="left"/>
      <w:pPr>
        <w:ind w:left="1500" w:hanging="42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2" w15:restartNumberingAfterBreak="0">
    <w:nsid w:val="56524B4F"/>
    <w:multiLevelType w:val="multilevel"/>
    <w:tmpl w:val="D458BAAE"/>
    <w:lvl w:ilvl="0">
      <w:start w:val="1"/>
      <w:numFmt w:val="decimal"/>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6A21D7"/>
    <w:multiLevelType w:val="multilevel"/>
    <w:tmpl w:val="01B6E604"/>
    <w:lvl w:ilvl="0">
      <w:start w:val="1"/>
      <w:numFmt w:val="decimal"/>
      <w:lvlText w:val="%1."/>
      <w:lvlJc w:val="left"/>
      <w:pPr>
        <w:ind w:left="972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4" w15:restartNumberingAfterBreak="0">
    <w:nsid w:val="5A104E2B"/>
    <w:multiLevelType w:val="multilevel"/>
    <w:tmpl w:val="1B16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E635E"/>
    <w:multiLevelType w:val="hybridMultilevel"/>
    <w:tmpl w:val="B29ED126"/>
    <w:lvl w:ilvl="0" w:tplc="0409000F">
      <w:start w:val="1"/>
      <w:numFmt w:val="decimal"/>
      <w:lvlText w:val="%1."/>
      <w:lvlJc w:val="left"/>
      <w:pPr>
        <w:ind w:left="1495"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382CD5"/>
    <w:multiLevelType w:val="hybridMultilevel"/>
    <w:tmpl w:val="3110C220"/>
    <w:lvl w:ilvl="0" w:tplc="4182A280">
      <w:start w:val="9"/>
      <w:numFmt w:val="decimal"/>
      <w:lvlText w:val="%1."/>
      <w:lvlJc w:val="left"/>
      <w:pPr>
        <w:ind w:left="1288"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A4F15D8"/>
    <w:multiLevelType w:val="multilevel"/>
    <w:tmpl w:val="02749442"/>
    <w:lvl w:ilvl="0">
      <w:start w:val="31"/>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8" w15:restartNumberingAfterBreak="0">
    <w:nsid w:val="6A7D0E7D"/>
    <w:multiLevelType w:val="multilevel"/>
    <w:tmpl w:val="D05CD2D0"/>
    <w:lvl w:ilvl="0">
      <w:start w:val="1"/>
      <w:numFmt w:val="decimal"/>
      <w:lvlText w:val="%1."/>
      <w:lvlJc w:val="left"/>
      <w:pPr>
        <w:ind w:left="423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29"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0" w15:restartNumberingAfterBreak="0">
    <w:nsid w:val="74455A14"/>
    <w:multiLevelType w:val="hybridMultilevel"/>
    <w:tmpl w:val="018829EC"/>
    <w:lvl w:ilvl="0" w:tplc="450C48EC">
      <w:start w:val="1"/>
      <w:numFmt w:val="decimal"/>
      <w:lvlText w:val="%1."/>
      <w:lvlJc w:val="left"/>
      <w:pPr>
        <w:ind w:left="720" w:hanging="360"/>
      </w:pPr>
      <w:rPr>
        <w:b w:val="0"/>
        <w:i w:val="0"/>
      </w:rPr>
    </w:lvl>
    <w:lvl w:ilvl="1" w:tplc="83DE5C1C">
      <w:start w:val="1"/>
      <w:numFmt w:val="decimal"/>
      <w:lvlText w:val="20.%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F43753"/>
    <w:multiLevelType w:val="hybridMultilevel"/>
    <w:tmpl w:val="4A46C65A"/>
    <w:lvl w:ilvl="0" w:tplc="AB5EE61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0"/>
  </w:num>
  <w:num w:numId="3">
    <w:abstractNumId w:val="3"/>
  </w:num>
  <w:num w:numId="4">
    <w:abstractNumId w:val="14"/>
  </w:num>
  <w:num w:numId="5">
    <w:abstractNumId w:val="12"/>
  </w:num>
  <w:num w:numId="6">
    <w:abstractNumId w:val="7"/>
  </w:num>
  <w:num w:numId="7">
    <w:abstractNumId w:val="21"/>
  </w:num>
  <w:num w:numId="8">
    <w:abstractNumId w:val="24"/>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9"/>
  </w:num>
  <w:num w:numId="12">
    <w:abstractNumId w:val="8"/>
  </w:num>
  <w:num w:numId="13">
    <w:abstractNumId w:val="22"/>
  </w:num>
  <w:num w:numId="14">
    <w:abstractNumId w:val="32"/>
  </w:num>
  <w:num w:numId="15">
    <w:abstractNumId w:val="2"/>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7"/>
  </w:num>
  <w:num w:numId="21">
    <w:abstractNumId w:val="4"/>
  </w:num>
  <w:num w:numId="22">
    <w:abstractNumId w:val="6"/>
  </w:num>
  <w:num w:numId="23">
    <w:abstractNumId w:val="27"/>
  </w:num>
  <w:num w:numId="24">
    <w:abstractNumId w:val="31"/>
  </w:num>
  <w:num w:numId="25">
    <w:abstractNumId w:val="5"/>
  </w:num>
  <w:num w:numId="26">
    <w:abstractNumId w:val="29"/>
  </w:num>
  <w:num w:numId="27">
    <w:abstractNumId w:val="26"/>
  </w:num>
  <w:num w:numId="28">
    <w:abstractNumId w:val="15"/>
  </w:num>
  <w:num w:numId="29">
    <w:abstractNumId w:val="28"/>
  </w:num>
  <w:num w:numId="30">
    <w:abstractNumId w:val="13"/>
  </w:num>
  <w:num w:numId="31">
    <w:abstractNumId w:val="13"/>
  </w:num>
  <w:num w:numId="32">
    <w:abstractNumId w:val="1"/>
  </w:num>
  <w:num w:numId="33">
    <w:abstractNumId w:val="16"/>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2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764"/>
    <w:rsid w:val="000052C6"/>
    <w:rsid w:val="00006A32"/>
    <w:rsid w:val="00012539"/>
    <w:rsid w:val="0001738F"/>
    <w:rsid w:val="000201CB"/>
    <w:rsid w:val="00022449"/>
    <w:rsid w:val="00022672"/>
    <w:rsid w:val="000233DA"/>
    <w:rsid w:val="00030356"/>
    <w:rsid w:val="00032C58"/>
    <w:rsid w:val="00034BB4"/>
    <w:rsid w:val="0003609E"/>
    <w:rsid w:val="000415A6"/>
    <w:rsid w:val="0004355A"/>
    <w:rsid w:val="000478AA"/>
    <w:rsid w:val="00050581"/>
    <w:rsid w:val="00061B1C"/>
    <w:rsid w:val="000645C9"/>
    <w:rsid w:val="00066464"/>
    <w:rsid w:val="00067013"/>
    <w:rsid w:val="0007002B"/>
    <w:rsid w:val="00075338"/>
    <w:rsid w:val="00076333"/>
    <w:rsid w:val="000767A6"/>
    <w:rsid w:val="00082CA9"/>
    <w:rsid w:val="00084BF1"/>
    <w:rsid w:val="000856D7"/>
    <w:rsid w:val="00087844"/>
    <w:rsid w:val="000924EB"/>
    <w:rsid w:val="00095127"/>
    <w:rsid w:val="000954C8"/>
    <w:rsid w:val="00095630"/>
    <w:rsid w:val="000A1EAE"/>
    <w:rsid w:val="000A4591"/>
    <w:rsid w:val="000A5022"/>
    <w:rsid w:val="000B0694"/>
    <w:rsid w:val="000B1CA3"/>
    <w:rsid w:val="000B3CBF"/>
    <w:rsid w:val="000B5B39"/>
    <w:rsid w:val="000B5C3E"/>
    <w:rsid w:val="000C2A24"/>
    <w:rsid w:val="000D1C15"/>
    <w:rsid w:val="000E0190"/>
    <w:rsid w:val="000E3954"/>
    <w:rsid w:val="000E489C"/>
    <w:rsid w:val="000F0BB0"/>
    <w:rsid w:val="000F1305"/>
    <w:rsid w:val="000F3CA7"/>
    <w:rsid w:val="000F62EE"/>
    <w:rsid w:val="0010344C"/>
    <w:rsid w:val="00104DB9"/>
    <w:rsid w:val="00107472"/>
    <w:rsid w:val="00120AE5"/>
    <w:rsid w:val="001325EA"/>
    <w:rsid w:val="00132D9B"/>
    <w:rsid w:val="00134042"/>
    <w:rsid w:val="0013513C"/>
    <w:rsid w:val="00140644"/>
    <w:rsid w:val="001477E3"/>
    <w:rsid w:val="00147D08"/>
    <w:rsid w:val="0015479F"/>
    <w:rsid w:val="00154D2F"/>
    <w:rsid w:val="00157628"/>
    <w:rsid w:val="00175A60"/>
    <w:rsid w:val="00177061"/>
    <w:rsid w:val="001775D9"/>
    <w:rsid w:val="00177B4B"/>
    <w:rsid w:val="00180ED9"/>
    <w:rsid w:val="001819DC"/>
    <w:rsid w:val="00190CF8"/>
    <w:rsid w:val="0019402B"/>
    <w:rsid w:val="00195702"/>
    <w:rsid w:val="001957F7"/>
    <w:rsid w:val="0019660C"/>
    <w:rsid w:val="001A20E3"/>
    <w:rsid w:val="001A2D5E"/>
    <w:rsid w:val="001B7AFA"/>
    <w:rsid w:val="001C30D1"/>
    <w:rsid w:val="001C4E1E"/>
    <w:rsid w:val="001D06B3"/>
    <w:rsid w:val="001D2C3E"/>
    <w:rsid w:val="001D5860"/>
    <w:rsid w:val="001D5D26"/>
    <w:rsid w:val="001D6BDB"/>
    <w:rsid w:val="001D7107"/>
    <w:rsid w:val="001D77F9"/>
    <w:rsid w:val="001D7880"/>
    <w:rsid w:val="001E38E4"/>
    <w:rsid w:val="001E3A69"/>
    <w:rsid w:val="001E5179"/>
    <w:rsid w:val="001F0A3C"/>
    <w:rsid w:val="001F0B43"/>
    <w:rsid w:val="001F31BF"/>
    <w:rsid w:val="001F4A00"/>
    <w:rsid w:val="001F6F5C"/>
    <w:rsid w:val="002001C6"/>
    <w:rsid w:val="002005E3"/>
    <w:rsid w:val="00202CAF"/>
    <w:rsid w:val="00203C04"/>
    <w:rsid w:val="002053CA"/>
    <w:rsid w:val="00210EB0"/>
    <w:rsid w:val="002142DE"/>
    <w:rsid w:val="00214D7E"/>
    <w:rsid w:val="00221EC9"/>
    <w:rsid w:val="00222778"/>
    <w:rsid w:val="00226EA4"/>
    <w:rsid w:val="00227BDB"/>
    <w:rsid w:val="0023054F"/>
    <w:rsid w:val="00233422"/>
    <w:rsid w:val="00234A4C"/>
    <w:rsid w:val="00246032"/>
    <w:rsid w:val="00250211"/>
    <w:rsid w:val="0025293D"/>
    <w:rsid w:val="002556F0"/>
    <w:rsid w:val="00257F1E"/>
    <w:rsid w:val="00260834"/>
    <w:rsid w:val="0026086A"/>
    <w:rsid w:val="00261DAC"/>
    <w:rsid w:val="00262A75"/>
    <w:rsid w:val="0026409D"/>
    <w:rsid w:val="002745B3"/>
    <w:rsid w:val="00274938"/>
    <w:rsid w:val="00274FFD"/>
    <w:rsid w:val="00275B2C"/>
    <w:rsid w:val="0028079A"/>
    <w:rsid w:val="0028368E"/>
    <w:rsid w:val="002843D2"/>
    <w:rsid w:val="0028485E"/>
    <w:rsid w:val="00294021"/>
    <w:rsid w:val="00295A87"/>
    <w:rsid w:val="0029701B"/>
    <w:rsid w:val="002A1B1E"/>
    <w:rsid w:val="002A2073"/>
    <w:rsid w:val="002A3E85"/>
    <w:rsid w:val="002A4BFF"/>
    <w:rsid w:val="002B41FD"/>
    <w:rsid w:val="002B6C69"/>
    <w:rsid w:val="002C3294"/>
    <w:rsid w:val="002C3FD3"/>
    <w:rsid w:val="002C7BA3"/>
    <w:rsid w:val="002C7CD3"/>
    <w:rsid w:val="002D28B6"/>
    <w:rsid w:val="002D706C"/>
    <w:rsid w:val="002E306B"/>
    <w:rsid w:val="002E6D97"/>
    <w:rsid w:val="002F0D59"/>
    <w:rsid w:val="002F225D"/>
    <w:rsid w:val="002F768B"/>
    <w:rsid w:val="00302BDF"/>
    <w:rsid w:val="00302C48"/>
    <w:rsid w:val="00306640"/>
    <w:rsid w:val="003118F0"/>
    <w:rsid w:val="00313CB3"/>
    <w:rsid w:val="00313FE5"/>
    <w:rsid w:val="00314977"/>
    <w:rsid w:val="00317824"/>
    <w:rsid w:val="003222E0"/>
    <w:rsid w:val="003256A3"/>
    <w:rsid w:val="003302FF"/>
    <w:rsid w:val="00331089"/>
    <w:rsid w:val="00331CD7"/>
    <w:rsid w:val="0033266F"/>
    <w:rsid w:val="0033442F"/>
    <w:rsid w:val="003358D3"/>
    <w:rsid w:val="00342F59"/>
    <w:rsid w:val="00344328"/>
    <w:rsid w:val="00346C08"/>
    <w:rsid w:val="00350CB2"/>
    <w:rsid w:val="0035398B"/>
    <w:rsid w:val="00353D80"/>
    <w:rsid w:val="00361768"/>
    <w:rsid w:val="003679D1"/>
    <w:rsid w:val="003801CC"/>
    <w:rsid w:val="00382BDD"/>
    <w:rsid w:val="00390A7E"/>
    <w:rsid w:val="00392260"/>
    <w:rsid w:val="003936AA"/>
    <w:rsid w:val="00394CD2"/>
    <w:rsid w:val="00397026"/>
    <w:rsid w:val="003974D4"/>
    <w:rsid w:val="003A041A"/>
    <w:rsid w:val="003A0D8A"/>
    <w:rsid w:val="003A44BD"/>
    <w:rsid w:val="003A65CE"/>
    <w:rsid w:val="003A78D1"/>
    <w:rsid w:val="003A7DC2"/>
    <w:rsid w:val="003B425D"/>
    <w:rsid w:val="003B5787"/>
    <w:rsid w:val="003B66DB"/>
    <w:rsid w:val="003C08EC"/>
    <w:rsid w:val="003C2F58"/>
    <w:rsid w:val="003C41A1"/>
    <w:rsid w:val="003C4727"/>
    <w:rsid w:val="003D04FF"/>
    <w:rsid w:val="003D41B0"/>
    <w:rsid w:val="003D5E25"/>
    <w:rsid w:val="003D6BD2"/>
    <w:rsid w:val="003E147A"/>
    <w:rsid w:val="003E2317"/>
    <w:rsid w:val="003E2B26"/>
    <w:rsid w:val="003F0D83"/>
    <w:rsid w:val="003F27A7"/>
    <w:rsid w:val="003F6C45"/>
    <w:rsid w:val="0040426F"/>
    <w:rsid w:val="00406276"/>
    <w:rsid w:val="0040794F"/>
    <w:rsid w:val="0041733B"/>
    <w:rsid w:val="004231F4"/>
    <w:rsid w:val="004254B2"/>
    <w:rsid w:val="004265CD"/>
    <w:rsid w:val="004348E8"/>
    <w:rsid w:val="00435F4A"/>
    <w:rsid w:val="004402FF"/>
    <w:rsid w:val="004406E1"/>
    <w:rsid w:val="00446621"/>
    <w:rsid w:val="00452A51"/>
    <w:rsid w:val="0047298F"/>
    <w:rsid w:val="00475350"/>
    <w:rsid w:val="00476396"/>
    <w:rsid w:val="00484465"/>
    <w:rsid w:val="00484968"/>
    <w:rsid w:val="0049158E"/>
    <w:rsid w:val="00494490"/>
    <w:rsid w:val="00494F95"/>
    <w:rsid w:val="00496634"/>
    <w:rsid w:val="004A286E"/>
    <w:rsid w:val="004B7FCB"/>
    <w:rsid w:val="004C2122"/>
    <w:rsid w:val="004C59FF"/>
    <w:rsid w:val="004C6640"/>
    <w:rsid w:val="004D0882"/>
    <w:rsid w:val="004D1934"/>
    <w:rsid w:val="004E478F"/>
    <w:rsid w:val="004F0063"/>
    <w:rsid w:val="004F09E0"/>
    <w:rsid w:val="004F09E7"/>
    <w:rsid w:val="004F1268"/>
    <w:rsid w:val="004F2EAC"/>
    <w:rsid w:val="004F48B4"/>
    <w:rsid w:val="005033C0"/>
    <w:rsid w:val="00512C9A"/>
    <w:rsid w:val="00513CBE"/>
    <w:rsid w:val="00516ED3"/>
    <w:rsid w:val="00525017"/>
    <w:rsid w:val="00525BF1"/>
    <w:rsid w:val="00526081"/>
    <w:rsid w:val="005306E5"/>
    <w:rsid w:val="00536923"/>
    <w:rsid w:val="00536E18"/>
    <w:rsid w:val="00544C9D"/>
    <w:rsid w:val="00546AF7"/>
    <w:rsid w:val="00547784"/>
    <w:rsid w:val="005527CE"/>
    <w:rsid w:val="00553689"/>
    <w:rsid w:val="00553E31"/>
    <w:rsid w:val="00554828"/>
    <w:rsid w:val="00554D9F"/>
    <w:rsid w:val="00556CB8"/>
    <w:rsid w:val="005600CC"/>
    <w:rsid w:val="00562A5F"/>
    <w:rsid w:val="00562C02"/>
    <w:rsid w:val="00565E4B"/>
    <w:rsid w:val="005663EC"/>
    <w:rsid w:val="00566E98"/>
    <w:rsid w:val="0056703E"/>
    <w:rsid w:val="005679D5"/>
    <w:rsid w:val="00571149"/>
    <w:rsid w:val="00577F8C"/>
    <w:rsid w:val="00580F8A"/>
    <w:rsid w:val="00582E95"/>
    <w:rsid w:val="005939B6"/>
    <w:rsid w:val="00596591"/>
    <w:rsid w:val="005A1281"/>
    <w:rsid w:val="005A3D2F"/>
    <w:rsid w:val="005A7ABE"/>
    <w:rsid w:val="005B39AD"/>
    <w:rsid w:val="005B6C3A"/>
    <w:rsid w:val="005C07DE"/>
    <w:rsid w:val="005C2EB8"/>
    <w:rsid w:val="005C6B70"/>
    <w:rsid w:val="005D1CCB"/>
    <w:rsid w:val="005D7368"/>
    <w:rsid w:val="005E162F"/>
    <w:rsid w:val="005E1E1F"/>
    <w:rsid w:val="005E31F0"/>
    <w:rsid w:val="005E678D"/>
    <w:rsid w:val="005E6AE4"/>
    <w:rsid w:val="005F2274"/>
    <w:rsid w:val="005F29F0"/>
    <w:rsid w:val="005F2D4C"/>
    <w:rsid w:val="005F3B8C"/>
    <w:rsid w:val="005F5185"/>
    <w:rsid w:val="005F7A48"/>
    <w:rsid w:val="00600015"/>
    <w:rsid w:val="006001B5"/>
    <w:rsid w:val="00600F97"/>
    <w:rsid w:val="00610618"/>
    <w:rsid w:val="00612364"/>
    <w:rsid w:val="00614DC0"/>
    <w:rsid w:val="00615FB1"/>
    <w:rsid w:val="006169DF"/>
    <w:rsid w:val="00617146"/>
    <w:rsid w:val="00623324"/>
    <w:rsid w:val="0062659F"/>
    <w:rsid w:val="006279FA"/>
    <w:rsid w:val="0063137E"/>
    <w:rsid w:val="0063501D"/>
    <w:rsid w:val="0064012D"/>
    <w:rsid w:val="00641110"/>
    <w:rsid w:val="00641767"/>
    <w:rsid w:val="00643332"/>
    <w:rsid w:val="00646AB0"/>
    <w:rsid w:val="00647B05"/>
    <w:rsid w:val="00652997"/>
    <w:rsid w:val="0065588D"/>
    <w:rsid w:val="00655CD6"/>
    <w:rsid w:val="00655E4B"/>
    <w:rsid w:val="00662242"/>
    <w:rsid w:val="00662EC8"/>
    <w:rsid w:val="006638BA"/>
    <w:rsid w:val="00666B31"/>
    <w:rsid w:val="006725B7"/>
    <w:rsid w:val="0067458A"/>
    <w:rsid w:val="006826D4"/>
    <w:rsid w:val="0068325E"/>
    <w:rsid w:val="0068408E"/>
    <w:rsid w:val="0068463B"/>
    <w:rsid w:val="0069209B"/>
    <w:rsid w:val="006A46B5"/>
    <w:rsid w:val="006B7C4D"/>
    <w:rsid w:val="006C0360"/>
    <w:rsid w:val="006C1211"/>
    <w:rsid w:val="006C5ECB"/>
    <w:rsid w:val="006C6AD5"/>
    <w:rsid w:val="006C7B65"/>
    <w:rsid w:val="006D0BFD"/>
    <w:rsid w:val="006D639F"/>
    <w:rsid w:val="006E5194"/>
    <w:rsid w:val="006E51B5"/>
    <w:rsid w:val="006E589E"/>
    <w:rsid w:val="006E60C9"/>
    <w:rsid w:val="006E60D2"/>
    <w:rsid w:val="006E64F5"/>
    <w:rsid w:val="006F207D"/>
    <w:rsid w:val="006F32D8"/>
    <w:rsid w:val="0070267B"/>
    <w:rsid w:val="00714BEE"/>
    <w:rsid w:val="00720A4B"/>
    <w:rsid w:val="00720FE1"/>
    <w:rsid w:val="00731387"/>
    <w:rsid w:val="007340EC"/>
    <w:rsid w:val="00736FBA"/>
    <w:rsid w:val="007434B2"/>
    <w:rsid w:val="00743B2A"/>
    <w:rsid w:val="00746E66"/>
    <w:rsid w:val="007505AE"/>
    <w:rsid w:val="00755E83"/>
    <w:rsid w:val="00756B0A"/>
    <w:rsid w:val="00762E6E"/>
    <w:rsid w:val="00763B7A"/>
    <w:rsid w:val="00763BA9"/>
    <w:rsid w:val="00767448"/>
    <w:rsid w:val="00773D92"/>
    <w:rsid w:val="00773EE1"/>
    <w:rsid w:val="00776B7E"/>
    <w:rsid w:val="00776BFD"/>
    <w:rsid w:val="00783B41"/>
    <w:rsid w:val="00790951"/>
    <w:rsid w:val="00791200"/>
    <w:rsid w:val="00791983"/>
    <w:rsid w:val="00794C69"/>
    <w:rsid w:val="007A0E6C"/>
    <w:rsid w:val="007A2913"/>
    <w:rsid w:val="007A4259"/>
    <w:rsid w:val="007A5972"/>
    <w:rsid w:val="007A6F5F"/>
    <w:rsid w:val="007B3E6B"/>
    <w:rsid w:val="007C481B"/>
    <w:rsid w:val="007D139F"/>
    <w:rsid w:val="007D2ED1"/>
    <w:rsid w:val="007D43F1"/>
    <w:rsid w:val="007D4820"/>
    <w:rsid w:val="007D4D50"/>
    <w:rsid w:val="007D5048"/>
    <w:rsid w:val="007E0402"/>
    <w:rsid w:val="007E74B3"/>
    <w:rsid w:val="007F0345"/>
    <w:rsid w:val="007F375E"/>
    <w:rsid w:val="007F75B9"/>
    <w:rsid w:val="008006F6"/>
    <w:rsid w:val="00805D84"/>
    <w:rsid w:val="008129CB"/>
    <w:rsid w:val="00813E5F"/>
    <w:rsid w:val="0082299F"/>
    <w:rsid w:val="00825B9D"/>
    <w:rsid w:val="00832A79"/>
    <w:rsid w:val="00841A8B"/>
    <w:rsid w:val="008426AD"/>
    <w:rsid w:val="00851AA2"/>
    <w:rsid w:val="00852E6E"/>
    <w:rsid w:val="008557FD"/>
    <w:rsid w:val="008574A9"/>
    <w:rsid w:val="00860C4A"/>
    <w:rsid w:val="00862F7D"/>
    <w:rsid w:val="008645ED"/>
    <w:rsid w:val="00865781"/>
    <w:rsid w:val="00866B0E"/>
    <w:rsid w:val="008670F7"/>
    <w:rsid w:val="008713A8"/>
    <w:rsid w:val="008773BC"/>
    <w:rsid w:val="00891815"/>
    <w:rsid w:val="008932DA"/>
    <w:rsid w:val="008949AC"/>
    <w:rsid w:val="008A0740"/>
    <w:rsid w:val="008A1052"/>
    <w:rsid w:val="008A5146"/>
    <w:rsid w:val="008A6FBE"/>
    <w:rsid w:val="008B1C78"/>
    <w:rsid w:val="008B4D55"/>
    <w:rsid w:val="008B68A1"/>
    <w:rsid w:val="008C078C"/>
    <w:rsid w:val="008C0CE4"/>
    <w:rsid w:val="008C1B66"/>
    <w:rsid w:val="008C44D7"/>
    <w:rsid w:val="008C4F5F"/>
    <w:rsid w:val="008C5F29"/>
    <w:rsid w:val="008D352F"/>
    <w:rsid w:val="008D4570"/>
    <w:rsid w:val="008E0C20"/>
    <w:rsid w:val="008E250F"/>
    <w:rsid w:val="008E46E5"/>
    <w:rsid w:val="008E6D3E"/>
    <w:rsid w:val="008F01CD"/>
    <w:rsid w:val="008F0A0C"/>
    <w:rsid w:val="00904A85"/>
    <w:rsid w:val="0091006A"/>
    <w:rsid w:val="009178F9"/>
    <w:rsid w:val="009229E6"/>
    <w:rsid w:val="00922AD7"/>
    <w:rsid w:val="00925683"/>
    <w:rsid w:val="00931E0F"/>
    <w:rsid w:val="0093492E"/>
    <w:rsid w:val="00944822"/>
    <w:rsid w:val="00950999"/>
    <w:rsid w:val="00952E81"/>
    <w:rsid w:val="00953662"/>
    <w:rsid w:val="00953785"/>
    <w:rsid w:val="00961F85"/>
    <w:rsid w:val="00966758"/>
    <w:rsid w:val="009671D8"/>
    <w:rsid w:val="0096767A"/>
    <w:rsid w:val="00967D94"/>
    <w:rsid w:val="009802F3"/>
    <w:rsid w:val="00980A29"/>
    <w:rsid w:val="00984350"/>
    <w:rsid w:val="009933C7"/>
    <w:rsid w:val="009A0D84"/>
    <w:rsid w:val="009A2634"/>
    <w:rsid w:val="009B1C29"/>
    <w:rsid w:val="009B295A"/>
    <w:rsid w:val="009B661F"/>
    <w:rsid w:val="009B6B50"/>
    <w:rsid w:val="009C3124"/>
    <w:rsid w:val="009C3F12"/>
    <w:rsid w:val="009C7111"/>
    <w:rsid w:val="009D2B28"/>
    <w:rsid w:val="009D7555"/>
    <w:rsid w:val="009E1406"/>
    <w:rsid w:val="009E3411"/>
    <w:rsid w:val="009E459F"/>
    <w:rsid w:val="009E47C0"/>
    <w:rsid w:val="009E7C76"/>
    <w:rsid w:val="009F64D7"/>
    <w:rsid w:val="009F7C8C"/>
    <w:rsid w:val="00A002EB"/>
    <w:rsid w:val="00A01DC0"/>
    <w:rsid w:val="00A10A66"/>
    <w:rsid w:val="00A14374"/>
    <w:rsid w:val="00A16EF3"/>
    <w:rsid w:val="00A2483D"/>
    <w:rsid w:val="00A24FC6"/>
    <w:rsid w:val="00A254F3"/>
    <w:rsid w:val="00A33218"/>
    <w:rsid w:val="00A43266"/>
    <w:rsid w:val="00A45029"/>
    <w:rsid w:val="00A46774"/>
    <w:rsid w:val="00A475AA"/>
    <w:rsid w:val="00A4770E"/>
    <w:rsid w:val="00A47B20"/>
    <w:rsid w:val="00A52C67"/>
    <w:rsid w:val="00A5461A"/>
    <w:rsid w:val="00A550AF"/>
    <w:rsid w:val="00A558A5"/>
    <w:rsid w:val="00A66534"/>
    <w:rsid w:val="00A70DF8"/>
    <w:rsid w:val="00A71198"/>
    <w:rsid w:val="00A716E6"/>
    <w:rsid w:val="00A80262"/>
    <w:rsid w:val="00A853FB"/>
    <w:rsid w:val="00A942DD"/>
    <w:rsid w:val="00A9494D"/>
    <w:rsid w:val="00A96443"/>
    <w:rsid w:val="00AA4D1E"/>
    <w:rsid w:val="00AA5ADB"/>
    <w:rsid w:val="00AB46F1"/>
    <w:rsid w:val="00AC0BD2"/>
    <w:rsid w:val="00AC1C62"/>
    <w:rsid w:val="00AC5E34"/>
    <w:rsid w:val="00AC65A5"/>
    <w:rsid w:val="00AD58B2"/>
    <w:rsid w:val="00AD5F11"/>
    <w:rsid w:val="00AE766B"/>
    <w:rsid w:val="00AF6EF6"/>
    <w:rsid w:val="00B039EF"/>
    <w:rsid w:val="00B100EA"/>
    <w:rsid w:val="00B10830"/>
    <w:rsid w:val="00B17909"/>
    <w:rsid w:val="00B23ADF"/>
    <w:rsid w:val="00B246F8"/>
    <w:rsid w:val="00B24D68"/>
    <w:rsid w:val="00B255EE"/>
    <w:rsid w:val="00B2622B"/>
    <w:rsid w:val="00B26F1D"/>
    <w:rsid w:val="00B27FA3"/>
    <w:rsid w:val="00B30ACA"/>
    <w:rsid w:val="00B30AD0"/>
    <w:rsid w:val="00B33365"/>
    <w:rsid w:val="00B34C03"/>
    <w:rsid w:val="00B34E75"/>
    <w:rsid w:val="00B34FF2"/>
    <w:rsid w:val="00B40255"/>
    <w:rsid w:val="00B43B55"/>
    <w:rsid w:val="00B44427"/>
    <w:rsid w:val="00B458D5"/>
    <w:rsid w:val="00B47247"/>
    <w:rsid w:val="00B473F0"/>
    <w:rsid w:val="00B47BEC"/>
    <w:rsid w:val="00B53F13"/>
    <w:rsid w:val="00B57F62"/>
    <w:rsid w:val="00B609E0"/>
    <w:rsid w:val="00B65F80"/>
    <w:rsid w:val="00B72764"/>
    <w:rsid w:val="00B759D3"/>
    <w:rsid w:val="00B75B50"/>
    <w:rsid w:val="00B77A31"/>
    <w:rsid w:val="00B81830"/>
    <w:rsid w:val="00B82A70"/>
    <w:rsid w:val="00B8688D"/>
    <w:rsid w:val="00B9539D"/>
    <w:rsid w:val="00BB1B8D"/>
    <w:rsid w:val="00BB39F3"/>
    <w:rsid w:val="00BC0899"/>
    <w:rsid w:val="00BC5AAE"/>
    <w:rsid w:val="00BE1BDE"/>
    <w:rsid w:val="00BE1E01"/>
    <w:rsid w:val="00BF3D7A"/>
    <w:rsid w:val="00BF4C70"/>
    <w:rsid w:val="00BF7384"/>
    <w:rsid w:val="00BF7938"/>
    <w:rsid w:val="00BF7AD8"/>
    <w:rsid w:val="00BF7B21"/>
    <w:rsid w:val="00C05908"/>
    <w:rsid w:val="00C111EB"/>
    <w:rsid w:val="00C1735D"/>
    <w:rsid w:val="00C21457"/>
    <w:rsid w:val="00C2719E"/>
    <w:rsid w:val="00C27298"/>
    <w:rsid w:val="00C30FE7"/>
    <w:rsid w:val="00C31DE0"/>
    <w:rsid w:val="00C32564"/>
    <w:rsid w:val="00C32E8A"/>
    <w:rsid w:val="00C35C02"/>
    <w:rsid w:val="00C360E0"/>
    <w:rsid w:val="00C4109D"/>
    <w:rsid w:val="00C4166E"/>
    <w:rsid w:val="00C42585"/>
    <w:rsid w:val="00C4491D"/>
    <w:rsid w:val="00C45018"/>
    <w:rsid w:val="00C54FDE"/>
    <w:rsid w:val="00C636CD"/>
    <w:rsid w:val="00C6475B"/>
    <w:rsid w:val="00C72A14"/>
    <w:rsid w:val="00C72AB8"/>
    <w:rsid w:val="00C72DF8"/>
    <w:rsid w:val="00C74869"/>
    <w:rsid w:val="00C749C9"/>
    <w:rsid w:val="00C77A32"/>
    <w:rsid w:val="00C806AC"/>
    <w:rsid w:val="00C83668"/>
    <w:rsid w:val="00C93C99"/>
    <w:rsid w:val="00C97F3D"/>
    <w:rsid w:val="00CB761E"/>
    <w:rsid w:val="00CC3DF2"/>
    <w:rsid w:val="00CE0261"/>
    <w:rsid w:val="00CE1AC0"/>
    <w:rsid w:val="00CE2156"/>
    <w:rsid w:val="00CE2D54"/>
    <w:rsid w:val="00CE75B7"/>
    <w:rsid w:val="00CF3B86"/>
    <w:rsid w:val="00CF63D7"/>
    <w:rsid w:val="00CF756F"/>
    <w:rsid w:val="00D02F0B"/>
    <w:rsid w:val="00D06005"/>
    <w:rsid w:val="00D077CF"/>
    <w:rsid w:val="00D10A22"/>
    <w:rsid w:val="00D110D6"/>
    <w:rsid w:val="00D122B4"/>
    <w:rsid w:val="00D15354"/>
    <w:rsid w:val="00D20874"/>
    <w:rsid w:val="00D238C4"/>
    <w:rsid w:val="00D327A9"/>
    <w:rsid w:val="00D32B24"/>
    <w:rsid w:val="00D32C3A"/>
    <w:rsid w:val="00D3365B"/>
    <w:rsid w:val="00D33C40"/>
    <w:rsid w:val="00D34A54"/>
    <w:rsid w:val="00D42CC2"/>
    <w:rsid w:val="00D445FC"/>
    <w:rsid w:val="00D50B0F"/>
    <w:rsid w:val="00D630CE"/>
    <w:rsid w:val="00D64AC5"/>
    <w:rsid w:val="00D650A0"/>
    <w:rsid w:val="00D6560D"/>
    <w:rsid w:val="00D76D47"/>
    <w:rsid w:val="00D83506"/>
    <w:rsid w:val="00D90D25"/>
    <w:rsid w:val="00D96524"/>
    <w:rsid w:val="00D965A7"/>
    <w:rsid w:val="00DA1E25"/>
    <w:rsid w:val="00DC277D"/>
    <w:rsid w:val="00DC4CCD"/>
    <w:rsid w:val="00DC6C6E"/>
    <w:rsid w:val="00DD0838"/>
    <w:rsid w:val="00DD1489"/>
    <w:rsid w:val="00DD157F"/>
    <w:rsid w:val="00DD25C0"/>
    <w:rsid w:val="00DD2A96"/>
    <w:rsid w:val="00DE488E"/>
    <w:rsid w:val="00DF4200"/>
    <w:rsid w:val="00DF7C24"/>
    <w:rsid w:val="00E01860"/>
    <w:rsid w:val="00E02417"/>
    <w:rsid w:val="00E037E8"/>
    <w:rsid w:val="00E07880"/>
    <w:rsid w:val="00E10318"/>
    <w:rsid w:val="00E1032D"/>
    <w:rsid w:val="00E25117"/>
    <w:rsid w:val="00E270E7"/>
    <w:rsid w:val="00E35A57"/>
    <w:rsid w:val="00E4089D"/>
    <w:rsid w:val="00E5569C"/>
    <w:rsid w:val="00E64B31"/>
    <w:rsid w:val="00E66525"/>
    <w:rsid w:val="00E670E7"/>
    <w:rsid w:val="00E6736E"/>
    <w:rsid w:val="00E725A1"/>
    <w:rsid w:val="00E82075"/>
    <w:rsid w:val="00E91687"/>
    <w:rsid w:val="00E916D0"/>
    <w:rsid w:val="00E94813"/>
    <w:rsid w:val="00E95777"/>
    <w:rsid w:val="00E974A7"/>
    <w:rsid w:val="00EA192F"/>
    <w:rsid w:val="00EA251F"/>
    <w:rsid w:val="00EA5812"/>
    <w:rsid w:val="00EB3498"/>
    <w:rsid w:val="00EB66B7"/>
    <w:rsid w:val="00EC10D8"/>
    <w:rsid w:val="00EC295D"/>
    <w:rsid w:val="00EC4784"/>
    <w:rsid w:val="00EC7FFE"/>
    <w:rsid w:val="00ED12D4"/>
    <w:rsid w:val="00ED2CD2"/>
    <w:rsid w:val="00ED3D98"/>
    <w:rsid w:val="00ED4F7A"/>
    <w:rsid w:val="00ED63B8"/>
    <w:rsid w:val="00ED6EAD"/>
    <w:rsid w:val="00EE0101"/>
    <w:rsid w:val="00EE3193"/>
    <w:rsid w:val="00EF4B30"/>
    <w:rsid w:val="00EF606C"/>
    <w:rsid w:val="00EF61F9"/>
    <w:rsid w:val="00EF7679"/>
    <w:rsid w:val="00F0502D"/>
    <w:rsid w:val="00F10064"/>
    <w:rsid w:val="00F11945"/>
    <w:rsid w:val="00F14D13"/>
    <w:rsid w:val="00F15ACB"/>
    <w:rsid w:val="00F163A6"/>
    <w:rsid w:val="00F1703D"/>
    <w:rsid w:val="00F23A3C"/>
    <w:rsid w:val="00F23D0D"/>
    <w:rsid w:val="00F2508A"/>
    <w:rsid w:val="00F2720B"/>
    <w:rsid w:val="00F27C47"/>
    <w:rsid w:val="00F3396F"/>
    <w:rsid w:val="00F4507B"/>
    <w:rsid w:val="00F474F4"/>
    <w:rsid w:val="00F50190"/>
    <w:rsid w:val="00F561C9"/>
    <w:rsid w:val="00F57681"/>
    <w:rsid w:val="00F62145"/>
    <w:rsid w:val="00F73D59"/>
    <w:rsid w:val="00F740AE"/>
    <w:rsid w:val="00F806C7"/>
    <w:rsid w:val="00F816D5"/>
    <w:rsid w:val="00F81C6C"/>
    <w:rsid w:val="00F82797"/>
    <w:rsid w:val="00F875A4"/>
    <w:rsid w:val="00F9076A"/>
    <w:rsid w:val="00FA046F"/>
    <w:rsid w:val="00FA1C2D"/>
    <w:rsid w:val="00FA4D5D"/>
    <w:rsid w:val="00FA6292"/>
    <w:rsid w:val="00FA79EF"/>
    <w:rsid w:val="00FB1924"/>
    <w:rsid w:val="00FB2EFD"/>
    <w:rsid w:val="00FB3DA4"/>
    <w:rsid w:val="00FB3E60"/>
    <w:rsid w:val="00FB6592"/>
    <w:rsid w:val="00FC1AA3"/>
    <w:rsid w:val="00FC311D"/>
    <w:rsid w:val="00FC3289"/>
    <w:rsid w:val="00FC5509"/>
    <w:rsid w:val="00FD0D92"/>
    <w:rsid w:val="00FD3C91"/>
    <w:rsid w:val="00FD6B61"/>
    <w:rsid w:val="00FD6C0A"/>
    <w:rsid w:val="00FD7490"/>
    <w:rsid w:val="00FF2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C24B0B"/>
  <w15:chartTrackingRefBased/>
  <w15:docId w15:val="{AF7159FA-CFF4-440C-AD91-05E17F7A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72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764"/>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1735D"/>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1735D"/>
    <w:rPr>
      <w:rFonts w:ascii="Calibri" w:eastAsia="Calibri" w:hAnsi="Calibri" w:cs="Times New Roman"/>
      <w:lang w:val="sq-AL"/>
    </w:rPr>
  </w:style>
  <w:style w:type="paragraph" w:styleId="Header">
    <w:name w:val="header"/>
    <w:basedOn w:val="Normal"/>
    <w:link w:val="HeaderChar"/>
    <w:uiPriority w:val="99"/>
    <w:unhideWhenUsed/>
    <w:rsid w:val="001F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B43"/>
  </w:style>
  <w:style w:type="paragraph" w:customStyle="1" w:styleId="paragraph-point">
    <w:name w:val="paragraph-point"/>
    <w:basedOn w:val="Normal"/>
    <w:rsid w:val="000505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point-letter">
    <w:name w:val="paragraph-point-letter"/>
    <w:basedOn w:val="DefaultParagraphFont"/>
    <w:rsid w:val="00050581"/>
  </w:style>
  <w:style w:type="paragraph" w:styleId="BodyTextIndent2">
    <w:name w:val="Body Text Indent 2"/>
    <w:basedOn w:val="Normal"/>
    <w:link w:val="BodyTextIndent2Char"/>
    <w:uiPriority w:val="99"/>
    <w:semiHidden/>
    <w:unhideWhenUsed/>
    <w:rsid w:val="00E037E8"/>
    <w:pPr>
      <w:spacing w:after="0" w:line="360" w:lineRule="auto"/>
      <w:ind w:left="2880" w:hanging="2160"/>
      <w:jc w:val="both"/>
    </w:pPr>
    <w:rPr>
      <w:rFonts w:ascii="Times New Roman" w:hAnsi="Times New Roman" w:cs="Times New Roman"/>
      <w:b/>
      <w:bCs/>
      <w:sz w:val="24"/>
      <w:szCs w:val="24"/>
    </w:rPr>
  </w:style>
  <w:style w:type="character" w:customStyle="1" w:styleId="BodyTextIndent2Char">
    <w:name w:val="Body Text Indent 2 Char"/>
    <w:basedOn w:val="DefaultParagraphFont"/>
    <w:link w:val="BodyTextIndent2"/>
    <w:uiPriority w:val="99"/>
    <w:semiHidden/>
    <w:rsid w:val="00E037E8"/>
    <w:rPr>
      <w:rFonts w:ascii="Times New Roman" w:hAnsi="Times New Roman" w:cs="Times New Roman"/>
      <w:b/>
      <w:bCs/>
      <w:sz w:val="24"/>
      <w:szCs w:val="24"/>
    </w:rPr>
  </w:style>
  <w:style w:type="paragraph" w:styleId="CommentText">
    <w:name w:val="annotation text"/>
    <w:basedOn w:val="Normal"/>
    <w:link w:val="CommentTextChar"/>
    <w:uiPriority w:val="99"/>
    <w:semiHidden/>
    <w:unhideWhenUsed/>
    <w:rsid w:val="009E1406"/>
    <w:pPr>
      <w:spacing w:line="240" w:lineRule="auto"/>
    </w:pPr>
    <w:rPr>
      <w:sz w:val="20"/>
      <w:szCs w:val="20"/>
    </w:rPr>
  </w:style>
  <w:style w:type="character" w:customStyle="1" w:styleId="CommentTextChar">
    <w:name w:val="Comment Text Char"/>
    <w:basedOn w:val="DefaultParagraphFont"/>
    <w:link w:val="CommentText"/>
    <w:uiPriority w:val="99"/>
    <w:semiHidden/>
    <w:rsid w:val="009E1406"/>
    <w:rPr>
      <w:sz w:val="20"/>
      <w:szCs w:val="20"/>
      <w:lang w:val="sq-AL"/>
    </w:rPr>
  </w:style>
  <w:style w:type="character" w:customStyle="1" w:styleId="hps">
    <w:name w:val="hps"/>
    <w:basedOn w:val="DefaultParagraphFont"/>
    <w:rsid w:val="00D76D47"/>
  </w:style>
  <w:style w:type="paragraph" w:styleId="BalloonText">
    <w:name w:val="Balloon Text"/>
    <w:basedOn w:val="Normal"/>
    <w:link w:val="BalloonTextChar"/>
    <w:uiPriority w:val="99"/>
    <w:semiHidden/>
    <w:unhideWhenUsed/>
    <w:rsid w:val="002E6D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D97"/>
    <w:rPr>
      <w:rFonts w:ascii="Segoe UI" w:hAnsi="Segoe UI" w:cs="Segoe UI"/>
      <w:sz w:val="18"/>
      <w:szCs w:val="18"/>
    </w:rPr>
  </w:style>
  <w:style w:type="paragraph" w:styleId="NoSpacing">
    <w:name w:val="No Spacing"/>
    <w:aliases w:val="B"/>
    <w:link w:val="NoSpacingChar"/>
    <w:uiPriority w:val="1"/>
    <w:qFormat/>
    <w:rsid w:val="005D7368"/>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5D7368"/>
    <w:rPr>
      <w:rFonts w:ascii="Calibri" w:eastAsia="Calibri" w:hAnsi="Calibri" w:cs="Times New Roman"/>
      <w:lang w:val="sq-AL"/>
    </w:rPr>
  </w:style>
  <w:style w:type="character" w:customStyle="1" w:styleId="sa2b98c15">
    <w:name w:val="sa2b98c15"/>
    <w:basedOn w:val="DefaultParagraphFont"/>
    <w:rsid w:val="00C72AB8"/>
  </w:style>
  <w:style w:type="character" w:customStyle="1" w:styleId="fontstyle01">
    <w:name w:val="fontstyle01"/>
    <w:basedOn w:val="DefaultParagraphFont"/>
    <w:rsid w:val="00B65F80"/>
    <w:rPr>
      <w:rFonts w:ascii="Calibri" w:hAnsi="Calibri" w:cs="Calibri" w:hint="default"/>
      <w:b w:val="0"/>
      <w:bCs w:val="0"/>
      <w:i w:val="0"/>
      <w:iCs w:val="0"/>
      <w:color w:val="000000"/>
      <w:sz w:val="22"/>
      <w:szCs w:val="22"/>
    </w:rPr>
  </w:style>
  <w:style w:type="character" w:styleId="CommentReference">
    <w:name w:val="annotation reference"/>
    <w:basedOn w:val="DefaultParagraphFont"/>
    <w:uiPriority w:val="99"/>
    <w:semiHidden/>
    <w:unhideWhenUsed/>
    <w:rsid w:val="00A853FB"/>
    <w:rPr>
      <w:sz w:val="16"/>
      <w:szCs w:val="16"/>
    </w:rPr>
  </w:style>
  <w:style w:type="paragraph" w:styleId="CommentSubject">
    <w:name w:val="annotation subject"/>
    <w:basedOn w:val="CommentText"/>
    <w:next w:val="CommentText"/>
    <w:link w:val="CommentSubjectChar"/>
    <w:uiPriority w:val="99"/>
    <w:semiHidden/>
    <w:unhideWhenUsed/>
    <w:rsid w:val="00A853FB"/>
    <w:rPr>
      <w:b/>
      <w:bCs/>
      <w:lang w:val="en-US"/>
    </w:rPr>
  </w:style>
  <w:style w:type="character" w:customStyle="1" w:styleId="CommentSubjectChar">
    <w:name w:val="Comment Subject Char"/>
    <w:basedOn w:val="CommentTextChar"/>
    <w:link w:val="CommentSubject"/>
    <w:uiPriority w:val="99"/>
    <w:semiHidden/>
    <w:rsid w:val="00A853FB"/>
    <w:rPr>
      <w:b/>
      <w:bCs/>
      <w:sz w:val="20"/>
      <w:szCs w:val="20"/>
      <w:lang w:val="sq-AL"/>
    </w:rPr>
  </w:style>
  <w:style w:type="table" w:styleId="TableGrid">
    <w:name w:val="Table Grid"/>
    <w:basedOn w:val="TableNormal"/>
    <w:uiPriority w:val="39"/>
    <w:rsid w:val="009B1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328391">
      <w:bodyDiv w:val="1"/>
      <w:marLeft w:val="0"/>
      <w:marRight w:val="0"/>
      <w:marTop w:val="0"/>
      <w:marBottom w:val="0"/>
      <w:divBdr>
        <w:top w:val="none" w:sz="0" w:space="0" w:color="auto"/>
        <w:left w:val="none" w:sz="0" w:space="0" w:color="auto"/>
        <w:bottom w:val="none" w:sz="0" w:space="0" w:color="auto"/>
        <w:right w:val="none" w:sz="0" w:space="0" w:color="auto"/>
      </w:divBdr>
    </w:div>
    <w:div w:id="367923743">
      <w:bodyDiv w:val="1"/>
      <w:marLeft w:val="0"/>
      <w:marRight w:val="0"/>
      <w:marTop w:val="0"/>
      <w:marBottom w:val="0"/>
      <w:divBdr>
        <w:top w:val="none" w:sz="0" w:space="0" w:color="auto"/>
        <w:left w:val="none" w:sz="0" w:space="0" w:color="auto"/>
        <w:bottom w:val="none" w:sz="0" w:space="0" w:color="auto"/>
        <w:right w:val="none" w:sz="0" w:space="0" w:color="auto"/>
      </w:divBdr>
      <w:divsChild>
        <w:div w:id="828063581">
          <w:marLeft w:val="0"/>
          <w:marRight w:val="0"/>
          <w:marTop w:val="0"/>
          <w:marBottom w:val="0"/>
          <w:divBdr>
            <w:top w:val="none" w:sz="0" w:space="0" w:color="auto"/>
            <w:left w:val="none" w:sz="0" w:space="0" w:color="auto"/>
            <w:bottom w:val="none" w:sz="0" w:space="0" w:color="auto"/>
            <w:right w:val="none" w:sz="0" w:space="0" w:color="auto"/>
          </w:divBdr>
          <w:divsChild>
            <w:div w:id="864907220">
              <w:marLeft w:val="0"/>
              <w:marRight w:val="0"/>
              <w:marTop w:val="0"/>
              <w:marBottom w:val="0"/>
              <w:divBdr>
                <w:top w:val="none" w:sz="0" w:space="0" w:color="auto"/>
                <w:left w:val="none" w:sz="0" w:space="0" w:color="auto"/>
                <w:bottom w:val="none" w:sz="0" w:space="0" w:color="auto"/>
                <w:right w:val="none" w:sz="0" w:space="0" w:color="auto"/>
              </w:divBdr>
            </w:div>
          </w:divsChild>
        </w:div>
        <w:div w:id="334571303">
          <w:marLeft w:val="0"/>
          <w:marRight w:val="0"/>
          <w:marTop w:val="0"/>
          <w:marBottom w:val="0"/>
          <w:divBdr>
            <w:top w:val="none" w:sz="0" w:space="0" w:color="auto"/>
            <w:left w:val="none" w:sz="0" w:space="0" w:color="auto"/>
            <w:bottom w:val="none" w:sz="0" w:space="0" w:color="auto"/>
            <w:right w:val="none" w:sz="0" w:space="0" w:color="auto"/>
          </w:divBdr>
          <w:divsChild>
            <w:div w:id="1680620814">
              <w:marLeft w:val="0"/>
              <w:marRight w:val="0"/>
              <w:marTop w:val="0"/>
              <w:marBottom w:val="0"/>
              <w:divBdr>
                <w:top w:val="none" w:sz="0" w:space="0" w:color="auto"/>
                <w:left w:val="none" w:sz="0" w:space="0" w:color="auto"/>
                <w:bottom w:val="none" w:sz="0" w:space="0" w:color="auto"/>
                <w:right w:val="none" w:sz="0" w:space="0" w:color="auto"/>
              </w:divBdr>
            </w:div>
            <w:div w:id="11284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386928">
      <w:bodyDiv w:val="1"/>
      <w:marLeft w:val="0"/>
      <w:marRight w:val="0"/>
      <w:marTop w:val="0"/>
      <w:marBottom w:val="0"/>
      <w:divBdr>
        <w:top w:val="none" w:sz="0" w:space="0" w:color="auto"/>
        <w:left w:val="none" w:sz="0" w:space="0" w:color="auto"/>
        <w:bottom w:val="none" w:sz="0" w:space="0" w:color="auto"/>
        <w:right w:val="none" w:sz="0" w:space="0" w:color="auto"/>
      </w:divBdr>
    </w:div>
    <w:div w:id="652300035">
      <w:bodyDiv w:val="1"/>
      <w:marLeft w:val="0"/>
      <w:marRight w:val="0"/>
      <w:marTop w:val="0"/>
      <w:marBottom w:val="0"/>
      <w:divBdr>
        <w:top w:val="none" w:sz="0" w:space="0" w:color="auto"/>
        <w:left w:val="none" w:sz="0" w:space="0" w:color="auto"/>
        <w:bottom w:val="none" w:sz="0" w:space="0" w:color="auto"/>
        <w:right w:val="none" w:sz="0" w:space="0" w:color="auto"/>
      </w:divBdr>
    </w:div>
    <w:div w:id="758478805">
      <w:bodyDiv w:val="1"/>
      <w:marLeft w:val="0"/>
      <w:marRight w:val="0"/>
      <w:marTop w:val="0"/>
      <w:marBottom w:val="0"/>
      <w:divBdr>
        <w:top w:val="none" w:sz="0" w:space="0" w:color="auto"/>
        <w:left w:val="none" w:sz="0" w:space="0" w:color="auto"/>
        <w:bottom w:val="none" w:sz="0" w:space="0" w:color="auto"/>
        <w:right w:val="none" w:sz="0" w:space="0" w:color="auto"/>
      </w:divBdr>
    </w:div>
    <w:div w:id="800339521">
      <w:bodyDiv w:val="1"/>
      <w:marLeft w:val="0"/>
      <w:marRight w:val="0"/>
      <w:marTop w:val="0"/>
      <w:marBottom w:val="0"/>
      <w:divBdr>
        <w:top w:val="none" w:sz="0" w:space="0" w:color="auto"/>
        <w:left w:val="none" w:sz="0" w:space="0" w:color="auto"/>
        <w:bottom w:val="none" w:sz="0" w:space="0" w:color="auto"/>
        <w:right w:val="none" w:sz="0" w:space="0" w:color="auto"/>
      </w:divBdr>
    </w:div>
    <w:div w:id="899630263">
      <w:bodyDiv w:val="1"/>
      <w:marLeft w:val="0"/>
      <w:marRight w:val="0"/>
      <w:marTop w:val="0"/>
      <w:marBottom w:val="0"/>
      <w:divBdr>
        <w:top w:val="none" w:sz="0" w:space="0" w:color="auto"/>
        <w:left w:val="none" w:sz="0" w:space="0" w:color="auto"/>
        <w:bottom w:val="none" w:sz="0" w:space="0" w:color="auto"/>
        <w:right w:val="none" w:sz="0" w:space="0" w:color="auto"/>
      </w:divBdr>
    </w:div>
    <w:div w:id="1125343714">
      <w:bodyDiv w:val="1"/>
      <w:marLeft w:val="0"/>
      <w:marRight w:val="0"/>
      <w:marTop w:val="0"/>
      <w:marBottom w:val="0"/>
      <w:divBdr>
        <w:top w:val="none" w:sz="0" w:space="0" w:color="auto"/>
        <w:left w:val="none" w:sz="0" w:space="0" w:color="auto"/>
        <w:bottom w:val="none" w:sz="0" w:space="0" w:color="auto"/>
        <w:right w:val="none" w:sz="0" w:space="0" w:color="auto"/>
      </w:divBdr>
    </w:div>
    <w:div w:id="1610088752">
      <w:bodyDiv w:val="1"/>
      <w:marLeft w:val="0"/>
      <w:marRight w:val="0"/>
      <w:marTop w:val="0"/>
      <w:marBottom w:val="0"/>
      <w:divBdr>
        <w:top w:val="none" w:sz="0" w:space="0" w:color="auto"/>
        <w:left w:val="none" w:sz="0" w:space="0" w:color="auto"/>
        <w:bottom w:val="none" w:sz="0" w:space="0" w:color="auto"/>
        <w:right w:val="none" w:sz="0" w:space="0" w:color="auto"/>
      </w:divBdr>
    </w:div>
    <w:div w:id="1805000571">
      <w:bodyDiv w:val="1"/>
      <w:marLeft w:val="0"/>
      <w:marRight w:val="0"/>
      <w:marTop w:val="0"/>
      <w:marBottom w:val="0"/>
      <w:divBdr>
        <w:top w:val="none" w:sz="0" w:space="0" w:color="auto"/>
        <w:left w:val="none" w:sz="0" w:space="0" w:color="auto"/>
        <w:bottom w:val="none" w:sz="0" w:space="0" w:color="auto"/>
        <w:right w:val="none" w:sz="0" w:space="0" w:color="auto"/>
      </w:divBdr>
    </w:div>
    <w:div w:id="1883663490">
      <w:bodyDiv w:val="1"/>
      <w:marLeft w:val="0"/>
      <w:marRight w:val="0"/>
      <w:marTop w:val="0"/>
      <w:marBottom w:val="0"/>
      <w:divBdr>
        <w:top w:val="none" w:sz="0" w:space="0" w:color="auto"/>
        <w:left w:val="none" w:sz="0" w:space="0" w:color="auto"/>
        <w:bottom w:val="none" w:sz="0" w:space="0" w:color="auto"/>
        <w:right w:val="none" w:sz="0" w:space="0" w:color="auto"/>
      </w:divBdr>
    </w:div>
    <w:div w:id="189033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D40F90EF4024E3D8772782811835B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2025-12-18T11:57:18Z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2025-12-17T00:00:00Z</Date_x0020_protokolli>
    <Titulli xmlns="0e656187-b300-4fb0-8bf4-3a50f872073c">Me objekt shfuqizimin e vendimeve nr. 352, datë 24.6.2024 të Gjykatës së Posaçme të Shkallës së Parë për Korrupsionin dhe Krimin e Organizuar; nr. 164 (87-2024-223), datë 31.7.2024 të Gjykatës së Posaçme të Apelit për Korrupsionin dhe Krimin e Organizuar; nr. 00-2024-1979 (299), datë 4.12.2024 të Kolegjit Penal të Gjykatës së Lartë, si të papajtueshme me Kushtetutën e Republikës së Shqipërisë.</Titulli>
    <Modifikuesi xmlns="0e656187-b300-4fb0-8bf4-3a50f872073c">nevila.samarxhi</Modifikuesi>
    <Nr_x002e__x0020_prot_x0020_QBZ xmlns="0e656187-b300-4fb0-8bf4-3a50f872073c">2134/1</Nr_x002e__x0020_prot_x0020_QBZ>
    <Data_x0020_e_x0020_Modifikimit xmlns="0e656187-b300-4fb0-8bf4-3a50f872073c">2025-12-18T12:35:52Z</Data_x0020_e_x0020_Modifikimit>
    <Dekretuar xmlns="0e656187-b300-4fb0-8bf4-3a50f872073c">false</Dekretuar>
    <Data xmlns="0e656187-b300-4fb0-8bf4-3a50f872073c">2025-11-19T00:00:00Z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D40F90EF4024E3D8772782811835B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6803F-E99D-4A91-BF06-6D2B356F6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1242018-1E44-4747-87EB-D01CB6A8F66D}">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3E297FF1-37A5-486B-8C79-3158FC8C72C2}">
  <ds:schemaRefs>
    <ds:schemaRef ds:uri="http://schemas.microsoft.com/sharepoint/v3/contenttype/forms"/>
  </ds:schemaRefs>
</ds:datastoreItem>
</file>

<file path=customXml/itemProps4.xml><?xml version="1.0" encoding="utf-8"?>
<ds:datastoreItem xmlns:ds="http://schemas.openxmlformats.org/officeDocument/2006/customXml" ds:itemID="{A852C22B-DE0A-4B5D-B69E-8E59B8C0B6C4}">
  <ds:schemaRefs>
    <ds:schemaRef ds:uri="http://schemas.microsoft.com/sharepoint/v3/contenttype/forms"/>
  </ds:schemaRefs>
</ds:datastoreItem>
</file>

<file path=customXml/itemProps5.xml><?xml version="1.0" encoding="utf-8"?>
<ds:datastoreItem xmlns:ds="http://schemas.openxmlformats.org/officeDocument/2006/customXml" ds:itemID="{E1131C0F-ECF0-4A8C-BEF5-7CABC6AC4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CE868D-3235-46B2-81B6-7BD9CE2BA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4030</Words>
  <Characters>22977</Characters>
  <Application>Microsoft Office Word</Application>
  <DocSecurity>0</DocSecurity>
  <Lines>191</Lines>
  <Paragraphs>53</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shfuqizimin e vendimeve nr. 352, datë 24.6.2024 të Gjykatës së Posaçme të Shkallës së Parë për Korrupsionin dhe Krimin e Organizuar; nr. 164 (87-2024-223), datë 31.7.2024 të Gjykatës së Posaçme të Apelit për Korrupsionin dhe Krimin e Organizuar;</vt:lpstr>
      <vt:lpstr/>
    </vt:vector>
  </TitlesOfParts>
  <Company>User</Company>
  <LinksUpToDate>false</LinksUpToDate>
  <CharactersWithSpaces>26954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352, datë 24.6.2024 të Gjykatës së Posaçme të Shkallës së Parë për Korrupsionin dhe Krimin e Organizuar; nr. 164 (87-2024-223), datë 31.7.2024 të Gjykatës së Posaçme të Apelit për Korrupsionin dhe Krimin e Organizuar; nr. 00-2024-1979 (299), datë 4.12.2024 të Kolegjit Penal të Gjykatës së Lartë, si të papajtueshme me Kushtetutën e Republikës së Shqipërisë.</dc:title>
  <dc:creator>Jonida Birce</dc:creator>
  <cp:lastModifiedBy>Fjora Cahani</cp:lastModifiedBy>
  <cp:revision>12</cp:revision>
  <cp:lastPrinted>2025-12-11T13:55:00Z</cp:lastPrinted>
  <dcterms:created xsi:type="dcterms:W3CDTF">2025-12-18T10:51:00Z</dcterms:created>
  <dcterms:modified xsi:type="dcterms:W3CDTF">2025-12-19T09:23:00Z</dcterms:modified>
</cp:coreProperties>
</file>