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4CDDA" w14:textId="1C6780CA" w:rsidR="00EE233C" w:rsidRPr="001B2A92" w:rsidRDefault="00EE233C" w:rsidP="0006667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1B2A92">
        <w:rPr>
          <w:rFonts w:ascii="Garamond" w:eastAsia="Times New Roman" w:hAnsi="Garamond" w:cs="Times New Roman"/>
          <w:b/>
          <w:bCs/>
          <w:sz w:val="24"/>
          <w:szCs w:val="24"/>
        </w:rPr>
        <w:t>VENDIM</w:t>
      </w:r>
    </w:p>
    <w:p w14:paraId="44031735" w14:textId="44A40B7E" w:rsidR="0006667F" w:rsidRPr="001B2A92" w:rsidRDefault="0006667F" w:rsidP="0006667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1B2A92">
        <w:rPr>
          <w:rFonts w:ascii="Garamond" w:eastAsia="Times New Roman" w:hAnsi="Garamond" w:cs="Times New Roman"/>
          <w:b/>
          <w:bCs/>
          <w:sz w:val="24"/>
          <w:szCs w:val="24"/>
        </w:rPr>
        <w:t>Nr.</w:t>
      </w:r>
      <w:r w:rsidR="001B2A92">
        <w:rPr>
          <w:rFonts w:ascii="Garamond" w:eastAsia="Times New Roman" w:hAnsi="Garamond" w:cs="Times New Roman"/>
          <w:b/>
          <w:bCs/>
          <w:sz w:val="24"/>
          <w:szCs w:val="24"/>
        </w:rPr>
        <w:t xml:space="preserve"> </w:t>
      </w:r>
      <w:r w:rsidR="007F12A5">
        <w:rPr>
          <w:rFonts w:ascii="Garamond" w:eastAsia="Times New Roman" w:hAnsi="Garamond" w:cs="Times New Roman"/>
          <w:b/>
          <w:bCs/>
          <w:sz w:val="24"/>
          <w:szCs w:val="24"/>
        </w:rPr>
        <w:t>75, datë 20</w:t>
      </w:r>
      <w:r w:rsidRPr="001B2A92">
        <w:rPr>
          <w:rFonts w:ascii="Garamond" w:eastAsia="Times New Roman" w:hAnsi="Garamond" w:cs="Times New Roman"/>
          <w:b/>
          <w:bCs/>
          <w:sz w:val="24"/>
          <w:szCs w:val="24"/>
        </w:rPr>
        <w:t>.11.2025</w:t>
      </w:r>
    </w:p>
    <w:p w14:paraId="32C53517" w14:textId="77777777" w:rsidR="006F3391" w:rsidRPr="001B2A92" w:rsidRDefault="006F3391" w:rsidP="0006667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p>
    <w:p w14:paraId="4F44CDDB" w14:textId="353EB3C2" w:rsidR="00EE233C" w:rsidRPr="001B2A92" w:rsidRDefault="00EE233C" w:rsidP="0006667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1B2A92">
        <w:rPr>
          <w:rFonts w:ascii="Garamond" w:eastAsia="Times New Roman" w:hAnsi="Garamond" w:cs="Times New Roman"/>
          <w:b/>
          <w:bCs/>
          <w:sz w:val="24"/>
          <w:szCs w:val="24"/>
        </w:rPr>
        <w:t>NË E</w:t>
      </w:r>
      <w:r w:rsidR="001B2A92">
        <w:rPr>
          <w:rFonts w:ascii="Garamond" w:eastAsia="Times New Roman" w:hAnsi="Garamond" w:cs="Times New Roman"/>
          <w:b/>
          <w:bCs/>
          <w:sz w:val="24"/>
          <w:szCs w:val="24"/>
        </w:rPr>
        <w:t>MËR TË REPUBLIKËS SË SHQIPËRISË</w:t>
      </w:r>
    </w:p>
    <w:p w14:paraId="4F44CDDC" w14:textId="77777777" w:rsidR="00EE233C" w:rsidRPr="001B2A92" w:rsidRDefault="00EE233C" w:rsidP="0006667F">
      <w:pPr>
        <w:tabs>
          <w:tab w:val="left" w:pos="1080"/>
        </w:tabs>
        <w:spacing w:after="0" w:line="240" w:lineRule="auto"/>
        <w:ind w:firstLine="284"/>
        <w:contextualSpacing/>
        <w:jc w:val="both"/>
        <w:rPr>
          <w:rFonts w:ascii="Garamond" w:hAnsi="Garamond" w:cs="Times New Roman"/>
          <w:b/>
          <w:bCs/>
          <w:sz w:val="24"/>
          <w:szCs w:val="24"/>
          <w:u w:val="single"/>
        </w:rPr>
      </w:pPr>
    </w:p>
    <w:p w14:paraId="4F44CDDD" w14:textId="77777777" w:rsidR="00EE233C" w:rsidRPr="001B2A92" w:rsidRDefault="00EE233C" w:rsidP="0006667F">
      <w:pPr>
        <w:spacing w:after="0" w:line="240" w:lineRule="auto"/>
        <w:ind w:firstLine="284"/>
        <w:jc w:val="both"/>
        <w:rPr>
          <w:rFonts w:ascii="Garamond" w:hAnsi="Garamond" w:cs="Times New Roman"/>
          <w:sz w:val="24"/>
          <w:szCs w:val="24"/>
        </w:rPr>
      </w:pPr>
      <w:r w:rsidRPr="001B2A92">
        <w:rPr>
          <w:rFonts w:ascii="Garamond" w:hAnsi="Garamond" w:cs="Times New Roman"/>
          <w:sz w:val="24"/>
          <w:szCs w:val="24"/>
        </w:rPr>
        <w:t>Gjykata Kushtetuese e Republikës së Shqipërisë, e përbërë nga:</w:t>
      </w:r>
    </w:p>
    <w:tbl>
      <w:tblPr>
        <w:tblStyle w:val="TableGrid"/>
        <w:tblW w:w="901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189"/>
      </w:tblGrid>
      <w:tr w:rsidR="0006667F" w:rsidRPr="001B2A92" w14:paraId="4A5AA715" w14:textId="77777777" w:rsidTr="0006667F">
        <w:tc>
          <w:tcPr>
            <w:tcW w:w="2830" w:type="dxa"/>
          </w:tcPr>
          <w:p w14:paraId="0D331858" w14:textId="6F72E873" w:rsidR="0006667F" w:rsidRPr="001B2A92" w:rsidRDefault="0006667F" w:rsidP="0006667F">
            <w:pPr>
              <w:ind w:firstLine="284"/>
              <w:jc w:val="both"/>
              <w:rPr>
                <w:rFonts w:ascii="Garamond" w:hAnsi="Garamond" w:cs="Times New Roman"/>
                <w:sz w:val="24"/>
                <w:szCs w:val="24"/>
              </w:rPr>
            </w:pPr>
            <w:r w:rsidRPr="001B2A92">
              <w:rPr>
                <w:rFonts w:ascii="Garamond" w:hAnsi="Garamond" w:cs="Times New Roman"/>
                <w:bCs/>
                <w:sz w:val="24"/>
                <w:szCs w:val="24"/>
              </w:rPr>
              <w:t>Holta Zaçaj,</w:t>
            </w:r>
          </w:p>
        </w:tc>
        <w:tc>
          <w:tcPr>
            <w:tcW w:w="6189" w:type="dxa"/>
          </w:tcPr>
          <w:p w14:paraId="7C39A422" w14:textId="7503A4AA" w:rsidR="0006667F" w:rsidRPr="001B2A92" w:rsidRDefault="001B2A92" w:rsidP="0006667F">
            <w:pPr>
              <w:ind w:firstLine="284"/>
              <w:jc w:val="both"/>
              <w:rPr>
                <w:rFonts w:ascii="Garamond" w:hAnsi="Garamond" w:cs="Times New Roman"/>
                <w:sz w:val="24"/>
                <w:szCs w:val="24"/>
              </w:rPr>
            </w:pPr>
            <w:r w:rsidRPr="001B2A92">
              <w:rPr>
                <w:rFonts w:ascii="Garamond" w:hAnsi="Garamond" w:cs="Times New Roman"/>
                <w:bCs/>
                <w:sz w:val="24"/>
                <w:szCs w:val="24"/>
              </w:rPr>
              <w:t>kryetare</w:t>
            </w:r>
            <w:r>
              <w:rPr>
                <w:rFonts w:ascii="Garamond" w:hAnsi="Garamond" w:cs="Times New Roman"/>
                <w:bCs/>
                <w:sz w:val="24"/>
                <w:szCs w:val="24"/>
              </w:rPr>
              <w:t>;</w:t>
            </w:r>
          </w:p>
        </w:tc>
      </w:tr>
      <w:tr w:rsidR="0006667F" w:rsidRPr="001B2A92" w14:paraId="6D957F5A" w14:textId="77777777" w:rsidTr="0006667F">
        <w:tc>
          <w:tcPr>
            <w:tcW w:w="2830" w:type="dxa"/>
          </w:tcPr>
          <w:p w14:paraId="12C8BEDA" w14:textId="16956608" w:rsidR="0006667F" w:rsidRPr="001B2A92" w:rsidRDefault="0006667F" w:rsidP="0006667F">
            <w:pPr>
              <w:ind w:firstLine="284"/>
              <w:jc w:val="both"/>
              <w:rPr>
                <w:rFonts w:ascii="Garamond" w:hAnsi="Garamond" w:cs="Times New Roman"/>
                <w:sz w:val="24"/>
                <w:szCs w:val="24"/>
              </w:rPr>
            </w:pPr>
            <w:r w:rsidRPr="001B2A92">
              <w:rPr>
                <w:rFonts w:ascii="Garamond" w:hAnsi="Garamond" w:cs="Times New Roman"/>
                <w:bCs/>
                <w:sz w:val="24"/>
                <w:szCs w:val="24"/>
              </w:rPr>
              <w:t xml:space="preserve">Marsida Xhaferllari,  </w:t>
            </w:r>
          </w:p>
        </w:tc>
        <w:tc>
          <w:tcPr>
            <w:tcW w:w="6189" w:type="dxa"/>
          </w:tcPr>
          <w:p w14:paraId="3A4E6C17" w14:textId="1EF35CE0" w:rsidR="0006667F" w:rsidRPr="001B2A92" w:rsidRDefault="001B2A92" w:rsidP="0006667F">
            <w:pPr>
              <w:tabs>
                <w:tab w:val="left" w:pos="720"/>
              </w:tabs>
              <w:ind w:firstLine="284"/>
              <w:rPr>
                <w:rFonts w:ascii="Garamond" w:hAnsi="Garamond" w:cs="Times New Roman"/>
                <w:bCs/>
                <w:sz w:val="24"/>
                <w:szCs w:val="24"/>
              </w:rPr>
            </w:pPr>
            <w:r>
              <w:rPr>
                <w:rFonts w:ascii="Garamond" w:hAnsi="Garamond" w:cs="Times New Roman"/>
                <w:bCs/>
                <w:sz w:val="24"/>
                <w:szCs w:val="24"/>
              </w:rPr>
              <w:t>anëtare;</w:t>
            </w:r>
          </w:p>
        </w:tc>
      </w:tr>
      <w:tr w:rsidR="0006667F" w:rsidRPr="001B2A92" w14:paraId="6088FCA6" w14:textId="77777777" w:rsidTr="0006667F">
        <w:tc>
          <w:tcPr>
            <w:tcW w:w="2830" w:type="dxa"/>
          </w:tcPr>
          <w:p w14:paraId="1B438719" w14:textId="7C17FDD8" w:rsidR="0006667F" w:rsidRPr="001B2A92" w:rsidRDefault="0006667F" w:rsidP="0006667F">
            <w:pPr>
              <w:ind w:firstLine="284"/>
              <w:jc w:val="both"/>
              <w:rPr>
                <w:rFonts w:ascii="Garamond" w:hAnsi="Garamond" w:cs="Times New Roman"/>
                <w:sz w:val="24"/>
                <w:szCs w:val="24"/>
              </w:rPr>
            </w:pPr>
            <w:r w:rsidRPr="001B2A92">
              <w:rPr>
                <w:rFonts w:ascii="Garamond" w:hAnsi="Garamond" w:cs="Times New Roman"/>
                <w:bCs/>
                <w:sz w:val="24"/>
                <w:szCs w:val="24"/>
              </w:rPr>
              <w:t xml:space="preserve">Fiona Papajorgji,  </w:t>
            </w:r>
          </w:p>
        </w:tc>
        <w:tc>
          <w:tcPr>
            <w:tcW w:w="6189" w:type="dxa"/>
          </w:tcPr>
          <w:p w14:paraId="08A29709" w14:textId="793EBABD" w:rsidR="0006667F" w:rsidRPr="001B2A92" w:rsidRDefault="001B2A92" w:rsidP="0006667F">
            <w:pPr>
              <w:tabs>
                <w:tab w:val="left" w:pos="720"/>
              </w:tabs>
              <w:ind w:firstLine="284"/>
              <w:rPr>
                <w:rFonts w:ascii="Garamond" w:hAnsi="Garamond" w:cs="Times New Roman"/>
                <w:bCs/>
                <w:sz w:val="24"/>
                <w:szCs w:val="24"/>
              </w:rPr>
            </w:pPr>
            <w:r w:rsidRPr="001B2A92">
              <w:rPr>
                <w:rFonts w:ascii="Garamond" w:hAnsi="Garamond" w:cs="Times New Roman"/>
                <w:bCs/>
                <w:sz w:val="24"/>
                <w:szCs w:val="24"/>
              </w:rPr>
              <w:t>anëtare</w:t>
            </w:r>
            <w:r>
              <w:rPr>
                <w:rFonts w:ascii="Garamond" w:hAnsi="Garamond" w:cs="Times New Roman"/>
                <w:bCs/>
                <w:sz w:val="24"/>
                <w:szCs w:val="24"/>
              </w:rPr>
              <w:t>;</w:t>
            </w:r>
          </w:p>
        </w:tc>
      </w:tr>
      <w:tr w:rsidR="0006667F" w:rsidRPr="001B2A92" w14:paraId="3C7F62E8" w14:textId="77777777" w:rsidTr="0006667F">
        <w:tc>
          <w:tcPr>
            <w:tcW w:w="2830" w:type="dxa"/>
          </w:tcPr>
          <w:p w14:paraId="025157FB" w14:textId="10D4789F" w:rsidR="0006667F" w:rsidRPr="001B2A92" w:rsidRDefault="0006667F" w:rsidP="0006667F">
            <w:pPr>
              <w:ind w:firstLine="284"/>
              <w:jc w:val="both"/>
              <w:rPr>
                <w:rFonts w:ascii="Garamond" w:hAnsi="Garamond" w:cs="Times New Roman"/>
                <w:sz w:val="24"/>
                <w:szCs w:val="24"/>
              </w:rPr>
            </w:pPr>
            <w:r w:rsidRPr="001B2A92">
              <w:rPr>
                <w:rFonts w:ascii="Garamond" w:hAnsi="Garamond" w:cs="Times New Roman"/>
                <w:bCs/>
                <w:sz w:val="24"/>
                <w:szCs w:val="24"/>
              </w:rPr>
              <w:t xml:space="preserve">Sonila Bejtja,   </w:t>
            </w:r>
          </w:p>
        </w:tc>
        <w:tc>
          <w:tcPr>
            <w:tcW w:w="6189" w:type="dxa"/>
          </w:tcPr>
          <w:p w14:paraId="05A8EC56" w14:textId="768EDBCB" w:rsidR="0006667F" w:rsidRPr="001B2A92" w:rsidRDefault="001B2A92" w:rsidP="0006667F">
            <w:pPr>
              <w:tabs>
                <w:tab w:val="left" w:pos="720"/>
              </w:tabs>
              <w:ind w:firstLine="284"/>
              <w:rPr>
                <w:rFonts w:ascii="Garamond" w:hAnsi="Garamond" w:cs="Times New Roman"/>
                <w:bCs/>
                <w:sz w:val="24"/>
                <w:szCs w:val="24"/>
              </w:rPr>
            </w:pPr>
            <w:r w:rsidRPr="001B2A92">
              <w:rPr>
                <w:rFonts w:ascii="Garamond" w:hAnsi="Garamond" w:cs="Times New Roman"/>
                <w:bCs/>
                <w:sz w:val="24"/>
                <w:szCs w:val="24"/>
              </w:rPr>
              <w:t>anëtare</w:t>
            </w:r>
            <w:r>
              <w:rPr>
                <w:rFonts w:ascii="Garamond" w:hAnsi="Garamond" w:cs="Times New Roman"/>
                <w:bCs/>
                <w:sz w:val="24"/>
                <w:szCs w:val="24"/>
              </w:rPr>
              <w:t>;</w:t>
            </w:r>
            <w:r w:rsidRPr="001B2A92">
              <w:rPr>
                <w:rFonts w:ascii="Garamond" w:hAnsi="Garamond" w:cs="Times New Roman"/>
                <w:bCs/>
                <w:sz w:val="24"/>
                <w:szCs w:val="24"/>
              </w:rPr>
              <w:t xml:space="preserve"> </w:t>
            </w:r>
          </w:p>
        </w:tc>
      </w:tr>
      <w:tr w:rsidR="0006667F" w:rsidRPr="001B2A92" w14:paraId="43FC603D" w14:textId="77777777" w:rsidTr="0006667F">
        <w:tc>
          <w:tcPr>
            <w:tcW w:w="2830" w:type="dxa"/>
          </w:tcPr>
          <w:p w14:paraId="7E022992" w14:textId="2C8E2146" w:rsidR="0006667F" w:rsidRPr="001B2A92" w:rsidRDefault="0006667F" w:rsidP="0006667F">
            <w:pPr>
              <w:ind w:firstLine="284"/>
              <w:jc w:val="both"/>
              <w:rPr>
                <w:rFonts w:ascii="Garamond" w:hAnsi="Garamond" w:cs="Times New Roman"/>
                <w:sz w:val="24"/>
                <w:szCs w:val="24"/>
              </w:rPr>
            </w:pPr>
            <w:r w:rsidRPr="001B2A92">
              <w:rPr>
                <w:rFonts w:ascii="Garamond" w:hAnsi="Garamond" w:cs="Times New Roman"/>
                <w:bCs/>
                <w:sz w:val="24"/>
                <w:szCs w:val="24"/>
              </w:rPr>
              <w:t>Sandër Beci,</w:t>
            </w:r>
          </w:p>
        </w:tc>
        <w:tc>
          <w:tcPr>
            <w:tcW w:w="6189" w:type="dxa"/>
          </w:tcPr>
          <w:p w14:paraId="3401CC03" w14:textId="6192F3C1" w:rsidR="0006667F" w:rsidRPr="001B2A92" w:rsidRDefault="001B2A92" w:rsidP="0006667F">
            <w:pPr>
              <w:ind w:firstLine="284"/>
              <w:jc w:val="both"/>
              <w:rPr>
                <w:rFonts w:ascii="Garamond" w:hAnsi="Garamond" w:cs="Times New Roman"/>
                <w:sz w:val="24"/>
                <w:szCs w:val="24"/>
              </w:rPr>
            </w:pPr>
            <w:r w:rsidRPr="001B2A92">
              <w:rPr>
                <w:rFonts w:ascii="Garamond" w:hAnsi="Garamond" w:cs="Times New Roman"/>
                <w:bCs/>
                <w:sz w:val="24"/>
                <w:szCs w:val="24"/>
              </w:rPr>
              <w:t>anëtar</w:t>
            </w:r>
            <w:r>
              <w:rPr>
                <w:rFonts w:ascii="Garamond" w:hAnsi="Garamond" w:cs="Times New Roman"/>
                <w:bCs/>
                <w:sz w:val="24"/>
                <w:szCs w:val="24"/>
              </w:rPr>
              <w:t>;</w:t>
            </w:r>
          </w:p>
        </w:tc>
      </w:tr>
      <w:tr w:rsidR="0006667F" w:rsidRPr="001B2A92" w14:paraId="01AAE0BB" w14:textId="77777777" w:rsidTr="0006667F">
        <w:tc>
          <w:tcPr>
            <w:tcW w:w="2830" w:type="dxa"/>
          </w:tcPr>
          <w:p w14:paraId="4404D322" w14:textId="67C09882" w:rsidR="0006667F" w:rsidRPr="001B2A92" w:rsidRDefault="0006667F" w:rsidP="0006667F">
            <w:pPr>
              <w:ind w:firstLine="284"/>
              <w:jc w:val="both"/>
              <w:rPr>
                <w:rFonts w:ascii="Garamond" w:hAnsi="Garamond" w:cs="Times New Roman"/>
                <w:sz w:val="24"/>
                <w:szCs w:val="24"/>
              </w:rPr>
            </w:pPr>
            <w:r w:rsidRPr="001B2A92">
              <w:rPr>
                <w:rFonts w:ascii="Garamond" w:hAnsi="Garamond" w:cs="Times New Roman"/>
                <w:bCs/>
                <w:sz w:val="24"/>
                <w:szCs w:val="24"/>
              </w:rPr>
              <w:t xml:space="preserve">Genti Ibrahimi,  </w:t>
            </w:r>
          </w:p>
        </w:tc>
        <w:tc>
          <w:tcPr>
            <w:tcW w:w="6189" w:type="dxa"/>
          </w:tcPr>
          <w:p w14:paraId="0824AA6E" w14:textId="5D9E1A70" w:rsidR="0006667F" w:rsidRPr="001B2A92" w:rsidRDefault="001B2A92" w:rsidP="0006667F">
            <w:pPr>
              <w:tabs>
                <w:tab w:val="left" w:pos="720"/>
              </w:tabs>
              <w:ind w:firstLine="284"/>
              <w:rPr>
                <w:rFonts w:ascii="Garamond" w:hAnsi="Garamond" w:cs="Times New Roman"/>
                <w:bCs/>
                <w:sz w:val="24"/>
                <w:szCs w:val="24"/>
              </w:rPr>
            </w:pPr>
            <w:r w:rsidRPr="001B2A92">
              <w:rPr>
                <w:rFonts w:ascii="Garamond" w:hAnsi="Garamond" w:cs="Times New Roman"/>
                <w:bCs/>
                <w:sz w:val="24"/>
                <w:szCs w:val="24"/>
              </w:rPr>
              <w:t>anëtar</w:t>
            </w:r>
            <w:r>
              <w:rPr>
                <w:rFonts w:ascii="Garamond" w:hAnsi="Garamond" w:cs="Times New Roman"/>
                <w:bCs/>
                <w:sz w:val="24"/>
                <w:szCs w:val="24"/>
              </w:rPr>
              <w:t>;</w:t>
            </w:r>
          </w:p>
        </w:tc>
      </w:tr>
      <w:tr w:rsidR="0006667F" w:rsidRPr="001B2A92" w14:paraId="4AF9AC93" w14:textId="77777777" w:rsidTr="0006667F">
        <w:tc>
          <w:tcPr>
            <w:tcW w:w="2830" w:type="dxa"/>
          </w:tcPr>
          <w:p w14:paraId="137C2434" w14:textId="5C69D1ED" w:rsidR="0006667F" w:rsidRPr="001B2A92" w:rsidRDefault="0006667F" w:rsidP="0006667F">
            <w:pPr>
              <w:ind w:firstLine="284"/>
              <w:jc w:val="both"/>
              <w:rPr>
                <w:rFonts w:ascii="Garamond" w:hAnsi="Garamond" w:cs="Times New Roman"/>
                <w:sz w:val="24"/>
                <w:szCs w:val="24"/>
              </w:rPr>
            </w:pPr>
            <w:r w:rsidRPr="001B2A92">
              <w:rPr>
                <w:rFonts w:ascii="Garamond" w:hAnsi="Garamond" w:cs="Times New Roman"/>
                <w:bCs/>
                <w:sz w:val="24"/>
                <w:szCs w:val="24"/>
              </w:rPr>
              <w:t xml:space="preserve">Marjana Semini,  </w:t>
            </w:r>
          </w:p>
        </w:tc>
        <w:tc>
          <w:tcPr>
            <w:tcW w:w="6189" w:type="dxa"/>
          </w:tcPr>
          <w:p w14:paraId="1C859033" w14:textId="15692709" w:rsidR="0006667F" w:rsidRPr="001B2A92" w:rsidRDefault="001B2A92" w:rsidP="0006667F">
            <w:pPr>
              <w:ind w:firstLine="284"/>
              <w:jc w:val="both"/>
              <w:rPr>
                <w:rFonts w:ascii="Garamond" w:hAnsi="Garamond" w:cs="Times New Roman"/>
                <w:bCs/>
                <w:sz w:val="24"/>
                <w:szCs w:val="24"/>
              </w:rPr>
            </w:pPr>
            <w:r w:rsidRPr="001B2A92">
              <w:rPr>
                <w:rFonts w:ascii="Garamond" w:hAnsi="Garamond" w:cs="Times New Roman"/>
                <w:bCs/>
                <w:sz w:val="24"/>
                <w:szCs w:val="24"/>
              </w:rPr>
              <w:t>anëtare</w:t>
            </w:r>
            <w:r>
              <w:rPr>
                <w:rFonts w:ascii="Garamond" w:hAnsi="Garamond" w:cs="Times New Roman"/>
                <w:bCs/>
                <w:sz w:val="24"/>
                <w:szCs w:val="24"/>
              </w:rPr>
              <w:t>;</w:t>
            </w:r>
          </w:p>
        </w:tc>
      </w:tr>
      <w:tr w:rsidR="0006667F" w:rsidRPr="001B2A92" w14:paraId="265067FE" w14:textId="77777777" w:rsidTr="0006667F">
        <w:tc>
          <w:tcPr>
            <w:tcW w:w="2830" w:type="dxa"/>
          </w:tcPr>
          <w:p w14:paraId="675E5825" w14:textId="2085EC26" w:rsidR="0006667F" w:rsidRPr="001B2A92" w:rsidRDefault="0006667F" w:rsidP="0006667F">
            <w:pPr>
              <w:ind w:firstLine="284"/>
              <w:jc w:val="both"/>
              <w:rPr>
                <w:rFonts w:ascii="Garamond" w:hAnsi="Garamond" w:cs="Times New Roman"/>
                <w:sz w:val="24"/>
                <w:szCs w:val="24"/>
              </w:rPr>
            </w:pPr>
            <w:r w:rsidRPr="001B2A92">
              <w:rPr>
                <w:rFonts w:ascii="Garamond" w:hAnsi="Garamond" w:cs="Times New Roman"/>
                <w:bCs/>
                <w:sz w:val="24"/>
                <w:szCs w:val="24"/>
              </w:rPr>
              <w:t xml:space="preserve">Ilir Toska,  </w:t>
            </w:r>
          </w:p>
        </w:tc>
        <w:tc>
          <w:tcPr>
            <w:tcW w:w="6189" w:type="dxa"/>
          </w:tcPr>
          <w:p w14:paraId="29686DFE" w14:textId="7E0B50C5" w:rsidR="0006667F" w:rsidRPr="001B2A92" w:rsidRDefault="001B2A92" w:rsidP="0006667F">
            <w:pPr>
              <w:ind w:firstLine="284"/>
              <w:jc w:val="both"/>
              <w:rPr>
                <w:rFonts w:ascii="Garamond" w:hAnsi="Garamond" w:cs="Times New Roman"/>
                <w:bCs/>
                <w:sz w:val="24"/>
                <w:szCs w:val="24"/>
              </w:rPr>
            </w:pPr>
            <w:r w:rsidRPr="001B2A92">
              <w:rPr>
                <w:rFonts w:ascii="Garamond" w:hAnsi="Garamond" w:cs="Times New Roman"/>
                <w:bCs/>
                <w:sz w:val="24"/>
                <w:szCs w:val="24"/>
              </w:rPr>
              <w:t>anëtar</w:t>
            </w:r>
            <w:r>
              <w:rPr>
                <w:rFonts w:ascii="Garamond" w:hAnsi="Garamond" w:cs="Times New Roman"/>
                <w:bCs/>
                <w:sz w:val="24"/>
                <w:szCs w:val="24"/>
              </w:rPr>
              <w:t>,</w:t>
            </w:r>
          </w:p>
        </w:tc>
      </w:tr>
    </w:tbl>
    <w:p w14:paraId="4F44CDE7" w14:textId="77777777" w:rsidR="00EE233C" w:rsidRPr="001B2A92" w:rsidRDefault="00EE233C" w:rsidP="0006667F">
      <w:pPr>
        <w:spacing w:after="0" w:line="240" w:lineRule="auto"/>
        <w:ind w:firstLine="284"/>
        <w:jc w:val="both"/>
        <w:rPr>
          <w:rFonts w:ascii="Garamond" w:hAnsi="Garamond" w:cs="Times New Roman"/>
          <w:sz w:val="6"/>
          <w:szCs w:val="24"/>
          <w:lang w:eastAsia="fr-FR"/>
        </w:rPr>
      </w:pPr>
    </w:p>
    <w:p w14:paraId="6C42A371" w14:textId="132680DE" w:rsidR="0006667F" w:rsidRPr="001B2A92" w:rsidRDefault="0006667F" w:rsidP="0006667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me sekretare Anjeza Puka, në datën 20.11.2025</w:t>
      </w:r>
      <w:r w:rsidR="001B2A92">
        <w:rPr>
          <w:rFonts w:ascii="Garamond" w:eastAsiaTheme="minorHAnsi" w:hAnsi="Garamond" w:cs="Times New Roman"/>
          <w:color w:val="000000"/>
          <w:sz w:val="24"/>
          <w:szCs w:val="24"/>
        </w:rPr>
        <w:t>,</w:t>
      </w:r>
      <w:r w:rsidRPr="001B2A92">
        <w:rPr>
          <w:rFonts w:ascii="Garamond" w:eastAsiaTheme="minorHAnsi" w:hAnsi="Garamond" w:cs="Times New Roman"/>
          <w:color w:val="000000"/>
          <w:sz w:val="24"/>
          <w:szCs w:val="24"/>
        </w:rPr>
        <w:t xml:space="preserve"> mori në shqyrtim në seancë plenare mbi bazë të dokumenteve kërkesën nr. 32 (A) 2025 të Regjistrit Themeltar, që u përket:</w:t>
      </w:r>
    </w:p>
    <w:p w14:paraId="335BFCEB" w14:textId="22EC1F95" w:rsidR="0006667F" w:rsidRPr="001B2A92" w:rsidRDefault="0006667F" w:rsidP="0006667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bCs/>
          <w:color w:val="000000"/>
          <w:sz w:val="24"/>
          <w:szCs w:val="24"/>
        </w:rPr>
        <w:t xml:space="preserve">KËRKUES: </w:t>
      </w:r>
      <w:r w:rsidR="001B2A92" w:rsidRPr="001B2A92">
        <w:rPr>
          <w:rFonts w:ascii="Garamond" w:eastAsiaTheme="minorHAnsi" w:hAnsi="Garamond" w:cs="Times New Roman"/>
          <w:bCs/>
          <w:color w:val="000000"/>
          <w:sz w:val="24"/>
          <w:szCs w:val="24"/>
        </w:rPr>
        <w:t>Afroviti Xufa</w:t>
      </w:r>
      <w:r w:rsidRPr="001B2A92">
        <w:rPr>
          <w:rFonts w:ascii="Garamond" w:eastAsiaTheme="minorHAnsi" w:hAnsi="Garamond" w:cs="Times New Roman"/>
          <w:bCs/>
          <w:color w:val="000000"/>
          <w:sz w:val="24"/>
          <w:szCs w:val="24"/>
        </w:rPr>
        <w:t>,</w:t>
      </w:r>
      <w:r w:rsidRPr="001B2A92">
        <w:rPr>
          <w:rFonts w:ascii="Garamond" w:eastAsiaTheme="minorHAnsi" w:hAnsi="Garamond" w:cs="Times New Roman"/>
          <w:color w:val="000000"/>
          <w:sz w:val="24"/>
          <w:szCs w:val="24"/>
        </w:rPr>
        <w:t xml:space="preserve"> përfaqësuar nga avokat Thomas Dhimolea, me prokurë të posaçme.</w:t>
      </w:r>
    </w:p>
    <w:p w14:paraId="5AC6BB49" w14:textId="75BCCC04" w:rsidR="0006667F" w:rsidRPr="001B2A92" w:rsidRDefault="0006667F" w:rsidP="0006667F">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1B2A92">
        <w:rPr>
          <w:rFonts w:ascii="Garamond" w:eastAsiaTheme="minorHAnsi" w:hAnsi="Garamond" w:cs="Times New Roman"/>
          <w:bCs/>
          <w:color w:val="000000"/>
          <w:sz w:val="24"/>
          <w:szCs w:val="24"/>
        </w:rPr>
        <w:t>OBJEKTI: Shfuqizimin e vendimit nr</w:t>
      </w:r>
      <w:r w:rsidR="001B2A92">
        <w:rPr>
          <w:rFonts w:ascii="Garamond" w:eastAsiaTheme="minorHAnsi" w:hAnsi="Garamond" w:cs="Times New Roman"/>
          <w:bCs/>
          <w:color w:val="000000"/>
          <w:sz w:val="24"/>
          <w:szCs w:val="24"/>
        </w:rPr>
        <w:t>. 77205-00133-00-2024, datë 16.</w:t>
      </w:r>
      <w:r w:rsidRPr="001B2A92">
        <w:rPr>
          <w:rFonts w:ascii="Garamond" w:eastAsiaTheme="minorHAnsi" w:hAnsi="Garamond" w:cs="Times New Roman"/>
          <w:bCs/>
          <w:color w:val="000000"/>
          <w:sz w:val="24"/>
          <w:szCs w:val="24"/>
        </w:rPr>
        <w:t>1.2025</w:t>
      </w:r>
      <w:r w:rsidR="001B2A92">
        <w:rPr>
          <w:rFonts w:ascii="Garamond" w:eastAsiaTheme="minorHAnsi" w:hAnsi="Garamond" w:cs="Times New Roman"/>
          <w:bCs/>
          <w:color w:val="000000"/>
          <w:sz w:val="24"/>
          <w:szCs w:val="24"/>
        </w:rPr>
        <w:t>,</w:t>
      </w:r>
      <w:r w:rsidRPr="001B2A92">
        <w:rPr>
          <w:rFonts w:ascii="Garamond" w:eastAsiaTheme="minorHAnsi" w:hAnsi="Garamond" w:cs="Times New Roman"/>
          <w:bCs/>
          <w:color w:val="000000"/>
          <w:sz w:val="24"/>
          <w:szCs w:val="24"/>
        </w:rPr>
        <w:t xml:space="preserve"> të Kolegjit Administrativ të Gjykatës së Lartë si i papajtueshëm me nenin 6 të KEDNJ-së.</w:t>
      </w:r>
    </w:p>
    <w:p w14:paraId="150BBB03" w14:textId="1DD25781" w:rsidR="0006667F" w:rsidRPr="001B2A92" w:rsidRDefault="0006667F" w:rsidP="0006667F">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1B2A92">
        <w:rPr>
          <w:rFonts w:ascii="Garamond" w:eastAsiaTheme="minorHAnsi" w:hAnsi="Garamond" w:cs="Times New Roman"/>
          <w:bCs/>
          <w:color w:val="000000"/>
          <w:sz w:val="24"/>
          <w:szCs w:val="24"/>
        </w:rPr>
        <w:t>Konstatimin e shkeljes së afatit të arsyeshëm dhe përshpejtimin e procedurave.</w:t>
      </w:r>
    </w:p>
    <w:p w14:paraId="7E120D3F" w14:textId="23506875" w:rsidR="0006667F" w:rsidRPr="001B2A92" w:rsidRDefault="0006667F" w:rsidP="0006667F">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1B2A92">
        <w:rPr>
          <w:rFonts w:ascii="Garamond" w:eastAsiaTheme="minorHAnsi" w:hAnsi="Garamond" w:cs="Times New Roman"/>
          <w:bCs/>
          <w:color w:val="000000"/>
          <w:sz w:val="24"/>
          <w:szCs w:val="24"/>
        </w:rPr>
        <w:t>Shfuqizimin e fjalës “/ose”</w:t>
      </w:r>
      <w:r w:rsidR="001B2A92">
        <w:rPr>
          <w:rFonts w:ascii="Garamond" w:eastAsiaTheme="minorHAnsi" w:hAnsi="Garamond" w:cs="Times New Roman"/>
          <w:bCs/>
          <w:color w:val="000000"/>
          <w:sz w:val="24"/>
          <w:szCs w:val="24"/>
        </w:rPr>
        <w:t>,</w:t>
      </w:r>
      <w:r w:rsidRPr="001B2A92">
        <w:rPr>
          <w:rFonts w:ascii="Garamond" w:eastAsiaTheme="minorHAnsi" w:hAnsi="Garamond" w:cs="Times New Roman"/>
          <w:bCs/>
          <w:color w:val="000000"/>
          <w:sz w:val="24"/>
          <w:szCs w:val="24"/>
        </w:rPr>
        <w:t xml:space="preserve"> në nenin 399/3, pika 1 të Kodit të Procedurës Civile dhe, fjalinë “dhe nuk është ekzekutuar nga organi që ka kryer shkeljen vendimi i gjykatës, sipas pikës 1 të këtij neni” në nenin 399/4, pika 2 të Kodit të Procedurës Civile, si të papajtueshëm me nen</w:t>
      </w:r>
      <w:r w:rsidR="001B2A92">
        <w:rPr>
          <w:rFonts w:ascii="Garamond" w:eastAsiaTheme="minorHAnsi" w:hAnsi="Garamond" w:cs="Times New Roman"/>
          <w:bCs/>
          <w:color w:val="000000"/>
          <w:sz w:val="24"/>
          <w:szCs w:val="24"/>
        </w:rPr>
        <w:t>et</w:t>
      </w:r>
      <w:r w:rsidRPr="001B2A92">
        <w:rPr>
          <w:rFonts w:ascii="Garamond" w:eastAsiaTheme="minorHAnsi" w:hAnsi="Garamond" w:cs="Times New Roman"/>
          <w:bCs/>
          <w:color w:val="000000"/>
          <w:sz w:val="24"/>
          <w:szCs w:val="24"/>
        </w:rPr>
        <w:t xml:space="preserve"> 6 dhe 13 të KEDNJ-së.</w:t>
      </w:r>
    </w:p>
    <w:p w14:paraId="15931BB5" w14:textId="41B1C39A" w:rsidR="0006667F" w:rsidRPr="001B2A92" w:rsidRDefault="0006667F" w:rsidP="0006667F">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1B2A92">
        <w:rPr>
          <w:rFonts w:ascii="Garamond" w:eastAsiaTheme="minorHAnsi" w:hAnsi="Garamond" w:cs="Times New Roman"/>
          <w:bCs/>
          <w:color w:val="000000"/>
          <w:sz w:val="24"/>
          <w:szCs w:val="24"/>
        </w:rPr>
        <w:t>Pagimin e shpenzimeve gjyqësore.</w:t>
      </w:r>
    </w:p>
    <w:p w14:paraId="11D008CD" w14:textId="74E1B291" w:rsidR="0006667F" w:rsidRPr="001B2A92" w:rsidRDefault="0006667F" w:rsidP="0006667F">
      <w:pPr>
        <w:tabs>
          <w:tab w:val="left" w:pos="84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1B2A92">
        <w:rPr>
          <w:rFonts w:ascii="Garamond" w:eastAsiaTheme="minorHAnsi" w:hAnsi="Garamond" w:cs="Times New Roman"/>
          <w:bCs/>
          <w:color w:val="000000"/>
          <w:sz w:val="24"/>
          <w:szCs w:val="24"/>
        </w:rPr>
        <w:t>BAZA LIGJORE: Kushtetuta e Republikës së Shqipërisë (</w:t>
      </w:r>
      <w:r w:rsidRPr="001B2A92">
        <w:rPr>
          <w:rFonts w:ascii="Garamond" w:eastAsiaTheme="minorHAnsi" w:hAnsi="Garamond" w:cs="Times New Roman"/>
          <w:bCs/>
          <w:i/>
          <w:iCs/>
          <w:color w:val="000000"/>
          <w:sz w:val="24"/>
          <w:szCs w:val="24"/>
        </w:rPr>
        <w:t>Kushtetuta</w:t>
      </w:r>
      <w:r w:rsidRPr="001B2A92">
        <w:rPr>
          <w:rFonts w:ascii="Garamond" w:eastAsiaTheme="minorHAnsi" w:hAnsi="Garamond" w:cs="Times New Roman"/>
          <w:bCs/>
          <w:color w:val="000000"/>
          <w:sz w:val="24"/>
          <w:szCs w:val="24"/>
        </w:rPr>
        <w:t>); nenet 6, pika 1 dhe 13 të Konventës Evropiane për të Drejtat e Njeriut (</w:t>
      </w:r>
      <w:r w:rsidRPr="001B2A92">
        <w:rPr>
          <w:rFonts w:ascii="Garamond" w:eastAsiaTheme="minorHAnsi" w:hAnsi="Garamond" w:cs="Times New Roman"/>
          <w:bCs/>
          <w:i/>
          <w:iCs/>
          <w:color w:val="000000"/>
          <w:sz w:val="24"/>
          <w:szCs w:val="24"/>
        </w:rPr>
        <w:t>KEDNJ</w:t>
      </w:r>
      <w:r w:rsidR="001B2A92">
        <w:rPr>
          <w:rFonts w:ascii="Garamond" w:eastAsiaTheme="minorHAnsi" w:hAnsi="Garamond" w:cs="Times New Roman"/>
          <w:bCs/>
          <w:color w:val="000000"/>
          <w:sz w:val="24"/>
          <w:szCs w:val="24"/>
        </w:rPr>
        <w:t>); ligji nr. 8577, datë 10.</w:t>
      </w:r>
      <w:r w:rsidRPr="001B2A92">
        <w:rPr>
          <w:rFonts w:ascii="Garamond" w:eastAsiaTheme="minorHAnsi" w:hAnsi="Garamond" w:cs="Times New Roman"/>
          <w:bCs/>
          <w:color w:val="000000"/>
          <w:sz w:val="24"/>
          <w:szCs w:val="24"/>
        </w:rPr>
        <w:t>2.2000, “Për organizimin dhe funksionimin e Gjykatës Kushtetuese të Republikës së Shqipërisë”</w:t>
      </w:r>
      <w:r w:rsidR="001B2A92">
        <w:rPr>
          <w:rFonts w:ascii="Garamond" w:eastAsiaTheme="minorHAnsi" w:hAnsi="Garamond" w:cs="Times New Roman"/>
          <w:bCs/>
          <w:color w:val="000000"/>
          <w:sz w:val="24"/>
          <w:szCs w:val="24"/>
        </w:rPr>
        <w:t>,</w:t>
      </w:r>
      <w:r w:rsidRPr="001B2A92">
        <w:rPr>
          <w:rFonts w:ascii="Garamond" w:eastAsiaTheme="minorHAnsi" w:hAnsi="Garamond" w:cs="Times New Roman"/>
          <w:bCs/>
          <w:color w:val="000000"/>
          <w:sz w:val="24"/>
          <w:szCs w:val="24"/>
        </w:rPr>
        <w:t xml:space="preserve"> të ndryshuar (</w:t>
      </w:r>
      <w:r w:rsidRPr="001B2A92">
        <w:rPr>
          <w:rFonts w:ascii="Garamond" w:eastAsiaTheme="minorHAnsi" w:hAnsi="Garamond" w:cs="Times New Roman"/>
          <w:bCs/>
          <w:i/>
          <w:iCs/>
          <w:color w:val="000000"/>
          <w:sz w:val="24"/>
          <w:szCs w:val="24"/>
        </w:rPr>
        <w:t>ligji nr. 8577/2000</w:t>
      </w:r>
      <w:r w:rsidRPr="001B2A92">
        <w:rPr>
          <w:rFonts w:ascii="Garamond" w:eastAsiaTheme="minorHAnsi" w:hAnsi="Garamond" w:cs="Times New Roman"/>
          <w:bCs/>
          <w:color w:val="000000"/>
          <w:sz w:val="24"/>
          <w:szCs w:val="24"/>
        </w:rPr>
        <w:t xml:space="preserve">); nenet 399/2, pika 1, shkronja “b”, 399/3, pika 1, 399/4, pika 2, 399/7, pika 3, të Kodit të Procedurës Civile </w:t>
      </w:r>
      <w:r w:rsidRPr="001B2A92">
        <w:rPr>
          <w:rFonts w:ascii="Garamond" w:eastAsiaTheme="minorHAnsi" w:hAnsi="Garamond" w:cs="Times New Roman"/>
          <w:bCs/>
          <w:i/>
          <w:iCs/>
          <w:color w:val="000000"/>
          <w:sz w:val="24"/>
          <w:szCs w:val="24"/>
        </w:rPr>
        <w:t>(KPC)</w:t>
      </w:r>
      <w:r w:rsidRPr="001B2A92">
        <w:rPr>
          <w:rFonts w:ascii="Garamond" w:eastAsiaTheme="minorHAnsi" w:hAnsi="Garamond" w:cs="Times New Roman"/>
          <w:bCs/>
          <w:color w:val="000000"/>
          <w:sz w:val="24"/>
          <w:szCs w:val="24"/>
        </w:rPr>
        <w:t>.</w:t>
      </w:r>
    </w:p>
    <w:p w14:paraId="74EE4902" w14:textId="77777777" w:rsidR="0006667F" w:rsidRPr="001B2A92" w:rsidRDefault="0006667F" w:rsidP="0006667F">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7473B5D4" w14:textId="5BA9CDB3" w:rsidR="0006667F" w:rsidRPr="001B2A92" w:rsidRDefault="0006667F" w:rsidP="0006667F">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1B2A92">
        <w:rPr>
          <w:rFonts w:ascii="Garamond" w:eastAsiaTheme="minorHAnsi" w:hAnsi="Garamond" w:cs="Times New Roman"/>
          <w:bCs/>
          <w:color w:val="000000"/>
          <w:sz w:val="24"/>
          <w:szCs w:val="24"/>
        </w:rPr>
        <w:t>GJYKATA KUSHTETUESE,</w:t>
      </w:r>
    </w:p>
    <w:p w14:paraId="1C45354E" w14:textId="77777777" w:rsidR="0063710F" w:rsidRPr="001B2A92" w:rsidRDefault="0063710F" w:rsidP="0006667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161379A2" w14:textId="77777777" w:rsidR="0006667F" w:rsidRPr="001B2A92" w:rsidRDefault="0006667F" w:rsidP="0006667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pasi dëgjoi relatorin e çështjes Ilir Toska dhe mori në shqyrtim parashtrimet me shkrim të kërkueses, e cila ka kërkuar pranimin e kërkesës, si dhe diskutoi çështjen në tërësi, </w:t>
      </w:r>
    </w:p>
    <w:p w14:paraId="042DF9D2" w14:textId="77777777" w:rsidR="0006667F" w:rsidRPr="001B2A92" w:rsidRDefault="0006667F" w:rsidP="0006667F">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72D5A914" w14:textId="2E5CE242" w:rsidR="0006667F" w:rsidRPr="001B2A92" w:rsidRDefault="0006667F" w:rsidP="0006667F">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1B2A92">
        <w:rPr>
          <w:rFonts w:ascii="Garamond" w:eastAsiaTheme="minorHAnsi" w:hAnsi="Garamond" w:cs="Times New Roman"/>
          <w:bCs/>
          <w:color w:val="000000"/>
          <w:sz w:val="24"/>
          <w:szCs w:val="24"/>
        </w:rPr>
        <w:t>VËREN:</w:t>
      </w:r>
    </w:p>
    <w:p w14:paraId="3C60BABE" w14:textId="77777777" w:rsidR="0063710F" w:rsidRPr="001B2A92" w:rsidRDefault="0063710F" w:rsidP="0006667F">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9C46286" w14:textId="77777777" w:rsidR="0006667F" w:rsidRPr="001B2A92" w:rsidRDefault="0006667F" w:rsidP="0006667F">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B2A92">
        <w:rPr>
          <w:rFonts w:ascii="Garamond" w:eastAsiaTheme="minorHAnsi" w:hAnsi="Garamond" w:cs="Times New Roman"/>
          <w:b/>
          <w:bCs/>
          <w:color w:val="000000"/>
          <w:sz w:val="24"/>
          <w:szCs w:val="24"/>
        </w:rPr>
        <w:t>I</w:t>
      </w:r>
    </w:p>
    <w:p w14:paraId="4E0464B4" w14:textId="65E8F0C6" w:rsidR="0006667F" w:rsidRPr="001B2A92" w:rsidRDefault="0006667F" w:rsidP="0006667F">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B2A92">
        <w:rPr>
          <w:rFonts w:ascii="Garamond" w:eastAsiaTheme="minorHAnsi" w:hAnsi="Garamond" w:cs="Times New Roman"/>
          <w:b/>
          <w:bCs/>
          <w:color w:val="000000"/>
          <w:sz w:val="24"/>
          <w:szCs w:val="24"/>
        </w:rPr>
        <w:t>Rrethanat e çështjes</w:t>
      </w:r>
    </w:p>
    <w:p w14:paraId="3469CF65" w14:textId="77777777" w:rsidR="0063710F" w:rsidRPr="001B2A92" w:rsidRDefault="0063710F" w:rsidP="0006667F">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199825CF" w14:textId="716515A0"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1B2A92">
        <w:rPr>
          <w:rFonts w:ascii="Garamond" w:eastAsiaTheme="minorHAnsi" w:hAnsi="Garamond" w:cs="Times New Roman"/>
          <w:color w:val="000000"/>
          <w:sz w:val="24"/>
          <w:szCs w:val="24"/>
        </w:rPr>
        <w:t xml:space="preserve">1. </w:t>
      </w:r>
      <w:r w:rsidRPr="001B2A92">
        <w:rPr>
          <w:rFonts w:ascii="Garamond" w:eastAsiaTheme="minorHAnsi" w:hAnsi="Garamond" w:cs="Times New Roman"/>
          <w:color w:val="222222"/>
          <w:sz w:val="24"/>
          <w:szCs w:val="24"/>
        </w:rPr>
        <w:t>Kër</w:t>
      </w:r>
      <w:r w:rsidR="001B2A92">
        <w:rPr>
          <w:rFonts w:ascii="Garamond" w:eastAsiaTheme="minorHAnsi" w:hAnsi="Garamond" w:cs="Times New Roman"/>
          <w:color w:val="222222"/>
          <w:sz w:val="24"/>
          <w:szCs w:val="24"/>
        </w:rPr>
        <w:t>kuesja Afroviti Xufa, në datën 9.</w:t>
      </w:r>
      <w:r w:rsidRPr="001B2A92">
        <w:rPr>
          <w:rFonts w:ascii="Garamond" w:eastAsiaTheme="minorHAnsi" w:hAnsi="Garamond" w:cs="Times New Roman"/>
          <w:color w:val="222222"/>
          <w:sz w:val="24"/>
          <w:szCs w:val="24"/>
        </w:rPr>
        <w:t>2.2011, i është drejtuar gjykatës me kërkesëpadi kundër disa shtetasve, një shoqërie tregtare dhe disa instit</w:t>
      </w:r>
      <w:r w:rsidR="001B2A92">
        <w:rPr>
          <w:rFonts w:ascii="Garamond" w:eastAsiaTheme="minorHAnsi" w:hAnsi="Garamond" w:cs="Times New Roman"/>
          <w:color w:val="222222"/>
          <w:sz w:val="24"/>
          <w:szCs w:val="24"/>
        </w:rPr>
        <w:t xml:space="preserve">ucioneve shtetërore, me objekt: </w:t>
      </w:r>
      <w:r w:rsidRPr="001B2A92">
        <w:rPr>
          <w:rFonts w:ascii="Garamond" w:eastAsiaTheme="minorHAnsi" w:hAnsi="Garamond" w:cs="Times New Roman"/>
          <w:color w:val="222222"/>
          <w:sz w:val="24"/>
          <w:szCs w:val="24"/>
        </w:rPr>
        <w:t xml:space="preserve">- anulimin e pjesshëm të </w:t>
      </w:r>
      <w:r w:rsidR="001B2A92">
        <w:rPr>
          <w:rFonts w:ascii="Garamond" w:eastAsiaTheme="minorHAnsi" w:hAnsi="Garamond" w:cs="Times New Roman"/>
          <w:color w:val="222222"/>
          <w:sz w:val="24"/>
          <w:szCs w:val="24"/>
        </w:rPr>
        <w:t>vendimit nr. 9, datë 3.</w:t>
      </w:r>
      <w:r w:rsidRPr="001B2A92">
        <w:rPr>
          <w:rFonts w:ascii="Garamond" w:eastAsiaTheme="minorHAnsi" w:hAnsi="Garamond" w:cs="Times New Roman"/>
          <w:color w:val="222222"/>
          <w:sz w:val="24"/>
          <w:szCs w:val="24"/>
        </w:rPr>
        <w:t>2.2009</w:t>
      </w:r>
      <w:r w:rsidR="001B2A92">
        <w:rPr>
          <w:rFonts w:ascii="Garamond" w:eastAsiaTheme="minorHAnsi" w:hAnsi="Garamond" w:cs="Times New Roman"/>
          <w:color w:val="222222"/>
          <w:sz w:val="24"/>
          <w:szCs w:val="24"/>
        </w:rPr>
        <w:t>,</w:t>
      </w:r>
      <w:r w:rsidRPr="001B2A92">
        <w:rPr>
          <w:rFonts w:ascii="Garamond" w:eastAsiaTheme="minorHAnsi" w:hAnsi="Garamond" w:cs="Times New Roman"/>
          <w:color w:val="222222"/>
          <w:sz w:val="24"/>
          <w:szCs w:val="24"/>
        </w:rPr>
        <w:t xml:space="preserve"> të Zyrës Rajonale të Kthimit dhe Kompensimit të Pronave të Qarkut Vlorë</w:t>
      </w:r>
      <w:r w:rsidR="001B2A92">
        <w:rPr>
          <w:rFonts w:ascii="Garamond" w:eastAsiaTheme="minorHAnsi" w:hAnsi="Garamond" w:cs="Times New Roman"/>
          <w:color w:val="222222"/>
          <w:sz w:val="24"/>
          <w:szCs w:val="24"/>
        </w:rPr>
        <w:t>,</w:t>
      </w:r>
      <w:r w:rsidRPr="001B2A92">
        <w:rPr>
          <w:rFonts w:ascii="Garamond" w:eastAsiaTheme="minorHAnsi" w:hAnsi="Garamond" w:cs="Times New Roman"/>
          <w:color w:val="222222"/>
          <w:sz w:val="24"/>
          <w:szCs w:val="24"/>
        </w:rPr>
        <w:t xml:space="preserve"> në lidhje me pasurinë nr. 35</w:t>
      </w:r>
      <w:r w:rsidR="001B2A92">
        <w:rPr>
          <w:rFonts w:ascii="Garamond" w:eastAsiaTheme="minorHAnsi" w:hAnsi="Garamond" w:cs="Times New Roman"/>
          <w:color w:val="222222"/>
          <w:sz w:val="24"/>
          <w:szCs w:val="24"/>
        </w:rPr>
        <w:t>/41, truall me sipërfaqe 832,8 m</w:t>
      </w:r>
      <w:r w:rsidR="001B2A92" w:rsidRPr="001B2A92">
        <w:rPr>
          <w:rFonts w:ascii="Garamond" w:eastAsiaTheme="minorHAnsi" w:hAnsi="Garamond" w:cs="Times New Roman"/>
          <w:color w:val="222222"/>
          <w:sz w:val="24"/>
          <w:szCs w:val="24"/>
          <w:vertAlign w:val="superscript"/>
        </w:rPr>
        <w:t>2</w:t>
      </w:r>
      <w:r w:rsidRPr="001B2A92">
        <w:rPr>
          <w:rFonts w:ascii="Garamond" w:eastAsiaTheme="minorHAnsi" w:hAnsi="Garamond" w:cs="Times New Roman"/>
          <w:color w:val="222222"/>
          <w:sz w:val="24"/>
          <w:szCs w:val="24"/>
        </w:rPr>
        <w:t>, nga e cila 28 m</w:t>
      </w:r>
      <w:r w:rsidR="001B2A92" w:rsidRPr="001B2A92">
        <w:rPr>
          <w:rFonts w:ascii="Garamond" w:eastAsiaTheme="minorHAnsi" w:hAnsi="Garamond" w:cs="Times New Roman"/>
          <w:color w:val="222222"/>
          <w:sz w:val="24"/>
          <w:szCs w:val="24"/>
          <w:vertAlign w:val="superscript"/>
        </w:rPr>
        <w:t>2</w:t>
      </w:r>
      <w:r w:rsidRPr="001B2A92">
        <w:rPr>
          <w:rFonts w:ascii="Garamond" w:eastAsiaTheme="minorHAnsi" w:hAnsi="Garamond" w:cs="Times New Roman"/>
          <w:color w:val="222222"/>
          <w:sz w:val="24"/>
          <w:szCs w:val="24"/>
        </w:rPr>
        <w:t xml:space="preserve"> ndërtesë; - konstatimin e pavlefshmërisë absolute të kontratës së shitjes nr. 12</w:t>
      </w:r>
      <w:r w:rsidR="001B2A92">
        <w:rPr>
          <w:rFonts w:ascii="Garamond" w:eastAsiaTheme="minorHAnsi" w:hAnsi="Garamond" w:cs="Times New Roman"/>
          <w:color w:val="222222"/>
          <w:sz w:val="24"/>
          <w:szCs w:val="24"/>
        </w:rPr>
        <w:t>86 rep., nr. 680 kol., datë 13.</w:t>
      </w:r>
      <w:r w:rsidRPr="001B2A92">
        <w:rPr>
          <w:rFonts w:ascii="Garamond" w:eastAsiaTheme="minorHAnsi" w:hAnsi="Garamond" w:cs="Times New Roman"/>
          <w:color w:val="222222"/>
          <w:sz w:val="24"/>
          <w:szCs w:val="24"/>
        </w:rPr>
        <w:t>4.2010; - detyrimin e Zyrës Vendore të Regjistrimit të Pasurive të Paluajtshme Vlorë të fshijë pronën në emër të të paditurve dhe regjistrimin e saj në emër të kërkueses; - anulimin e lejes së sheshit dhe të ndërtimit; - marrjen e masës së sigurimit të padisë.</w:t>
      </w:r>
    </w:p>
    <w:p w14:paraId="7CEF368F" w14:textId="598A1ADE"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1B2A92">
        <w:rPr>
          <w:rFonts w:ascii="Garamond" w:eastAsiaTheme="minorHAnsi" w:hAnsi="Garamond" w:cs="Times New Roman"/>
          <w:color w:val="000000"/>
          <w:sz w:val="24"/>
          <w:szCs w:val="24"/>
        </w:rPr>
        <w:t>2. Gjykata e Rrethit Gjyqësor Vlorë</w:t>
      </w:r>
      <w:r w:rsidR="001B2A92">
        <w:rPr>
          <w:rFonts w:ascii="Garamond" w:eastAsiaTheme="minorHAnsi" w:hAnsi="Garamond" w:cs="Times New Roman"/>
          <w:color w:val="000000"/>
          <w:sz w:val="24"/>
          <w:szCs w:val="24"/>
        </w:rPr>
        <w:t>, me vendimin nr. 349, datë 26.</w:t>
      </w:r>
      <w:r w:rsidRPr="001B2A92">
        <w:rPr>
          <w:rFonts w:ascii="Garamond" w:eastAsiaTheme="minorHAnsi" w:hAnsi="Garamond" w:cs="Times New Roman"/>
          <w:color w:val="000000"/>
          <w:sz w:val="24"/>
          <w:szCs w:val="24"/>
        </w:rPr>
        <w:t xml:space="preserve">2.2015, ka pranuar padinë sipas objektit të saj, duke rrëzuar kërkesën për sigurimin e padisë (bllokimin e pasurisë së mbivendosur pranë ZVRPP Vlorë dhe pezullimin e punimeve nga shoqëria ndërtuese e paditur). Mbi ankimin e palës së paditur, Gjykata e Apelit Vlorë, me vendimin nr. 1255, datë 23.11.2016, ka prishur vendimin e gjykatës së shkallës së parë dhe i ka dërguar çështjen asaj për rigjykim. Më pas, </w:t>
      </w:r>
      <w:r w:rsidRPr="001B2A92">
        <w:rPr>
          <w:rFonts w:ascii="Garamond" w:eastAsiaTheme="minorHAnsi" w:hAnsi="Garamond" w:cs="Times New Roman"/>
          <w:color w:val="000000"/>
          <w:sz w:val="24"/>
          <w:szCs w:val="24"/>
        </w:rPr>
        <w:lastRenderedPageBreak/>
        <w:t>mbi rekursin e palës së paditur, çështja është regjistruar në Gjykatën e Lartë me</w:t>
      </w:r>
      <w:r w:rsidR="001B2A92">
        <w:rPr>
          <w:rFonts w:ascii="Garamond" w:eastAsiaTheme="minorHAnsi" w:hAnsi="Garamond" w:cs="Times New Roman"/>
          <w:color w:val="000000"/>
          <w:sz w:val="24"/>
          <w:szCs w:val="24"/>
        </w:rPr>
        <w:t xml:space="preserve"> nr. 11243-01576-00-2017, datë 7.</w:t>
      </w:r>
      <w:r w:rsidRPr="001B2A92">
        <w:rPr>
          <w:rFonts w:ascii="Garamond" w:eastAsiaTheme="minorHAnsi" w:hAnsi="Garamond" w:cs="Times New Roman"/>
          <w:color w:val="000000"/>
          <w:sz w:val="24"/>
          <w:szCs w:val="24"/>
        </w:rPr>
        <w:t>5.2017.</w:t>
      </w:r>
    </w:p>
    <w:p w14:paraId="000D0D48" w14:textId="33B25235"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1B2A92">
        <w:rPr>
          <w:rFonts w:ascii="Garamond" w:eastAsiaTheme="minorHAnsi" w:hAnsi="Garamond" w:cs="Times New Roman"/>
          <w:color w:val="000000"/>
          <w:sz w:val="24"/>
          <w:szCs w:val="24"/>
        </w:rPr>
        <w:t>3. Ndërkohë që çështja ishte në pritje për t’u shqyrtuar në Gjykatën e Lartë, kërkues</w:t>
      </w:r>
      <w:r w:rsidR="001B2A92">
        <w:rPr>
          <w:rFonts w:ascii="Garamond" w:eastAsiaTheme="minorHAnsi" w:hAnsi="Garamond" w:cs="Times New Roman"/>
          <w:color w:val="000000"/>
          <w:sz w:val="24"/>
          <w:szCs w:val="24"/>
        </w:rPr>
        <w:t>ja, në datat 7.11.2023 dhe 17.</w:t>
      </w:r>
      <w:r w:rsidRPr="001B2A92">
        <w:rPr>
          <w:rFonts w:ascii="Garamond" w:eastAsiaTheme="minorHAnsi" w:hAnsi="Garamond" w:cs="Times New Roman"/>
          <w:color w:val="000000"/>
          <w:sz w:val="24"/>
          <w:szCs w:val="24"/>
        </w:rPr>
        <w:t>1.2024, ka paraqitur dy kërkesa për përshpejtimin e shqyrtimit të saj. Meqenëse çështja nuk është planifikuar për gjykim, në datën 25.11.2024</w:t>
      </w:r>
      <w:r w:rsidR="001B2A92">
        <w:rPr>
          <w:rFonts w:ascii="Garamond" w:eastAsiaTheme="minorHAnsi" w:hAnsi="Garamond" w:cs="Times New Roman"/>
          <w:color w:val="000000"/>
          <w:sz w:val="24"/>
          <w:szCs w:val="24"/>
        </w:rPr>
        <w:t>,</w:t>
      </w:r>
      <w:r w:rsidRPr="001B2A92">
        <w:rPr>
          <w:rFonts w:ascii="Garamond" w:eastAsiaTheme="minorHAnsi" w:hAnsi="Garamond" w:cs="Times New Roman"/>
          <w:color w:val="000000"/>
          <w:sz w:val="24"/>
          <w:szCs w:val="24"/>
        </w:rPr>
        <w:t xml:space="preserve"> kërkuesja i është drejtuar Gjykatës së Lartë me kërkesë për konstatimin e cenimit të së drejtës për gjykim brenda një afati të arsyeshëm dhe/ose përshpejtimin e procedurave të gjykimit, në bazë të neneve 399/5 dhe 399/6, pika 1, shkronja “c”, </w:t>
      </w:r>
      <w:r w:rsidRPr="001B2A92">
        <w:rPr>
          <w:rFonts w:ascii="Garamond" w:eastAsiaTheme="minorHAnsi" w:hAnsi="Garamond" w:cs="Times New Roman"/>
          <w:color w:val="222222"/>
          <w:sz w:val="24"/>
          <w:szCs w:val="24"/>
        </w:rPr>
        <w:t xml:space="preserve">të Kodit të Procedurës Civile </w:t>
      </w:r>
      <w:r w:rsidRPr="001B2A92">
        <w:rPr>
          <w:rFonts w:ascii="Garamond" w:eastAsiaTheme="minorHAnsi" w:hAnsi="Garamond" w:cs="Times New Roman"/>
          <w:i/>
          <w:iCs/>
          <w:color w:val="222222"/>
          <w:sz w:val="24"/>
          <w:szCs w:val="24"/>
        </w:rPr>
        <w:t>(KPC).</w:t>
      </w:r>
      <w:r w:rsidRPr="001B2A92">
        <w:rPr>
          <w:rFonts w:ascii="Garamond" w:eastAsiaTheme="minorHAnsi" w:hAnsi="Garamond" w:cs="Times New Roman"/>
          <w:color w:val="222222"/>
          <w:sz w:val="24"/>
          <w:szCs w:val="24"/>
        </w:rPr>
        <w:t xml:space="preserve"> </w:t>
      </w:r>
      <w:r w:rsidRPr="001B2A92">
        <w:rPr>
          <w:rFonts w:ascii="Garamond" w:eastAsiaTheme="minorHAnsi" w:hAnsi="Garamond" w:cs="Times New Roman"/>
          <w:color w:val="000000"/>
          <w:sz w:val="24"/>
          <w:szCs w:val="24"/>
        </w:rPr>
        <w:t>Kërkesa është shqyrtuar nga Kolegji Administrativ i Gjykatës së Lartë, i cili, me ve</w:t>
      </w:r>
      <w:r w:rsidR="001B2A92">
        <w:rPr>
          <w:rFonts w:ascii="Garamond" w:eastAsiaTheme="minorHAnsi" w:hAnsi="Garamond" w:cs="Times New Roman"/>
          <w:color w:val="000000"/>
          <w:sz w:val="24"/>
          <w:szCs w:val="24"/>
        </w:rPr>
        <w:t>ndimin nr. 00-2025-61, datë 16.</w:t>
      </w:r>
      <w:r w:rsidRPr="001B2A92">
        <w:rPr>
          <w:rFonts w:ascii="Garamond" w:eastAsiaTheme="minorHAnsi" w:hAnsi="Garamond" w:cs="Times New Roman"/>
          <w:color w:val="000000"/>
          <w:sz w:val="24"/>
          <w:szCs w:val="24"/>
        </w:rPr>
        <w:t>1.2025, ka vendosur pushimin e gjykimit të saj, me arsyetimin se çështja civile ishte planifikuar për t’u shqyrtuar n</w:t>
      </w:r>
      <w:r w:rsidR="001B2A92">
        <w:rPr>
          <w:rFonts w:ascii="Garamond" w:eastAsiaTheme="minorHAnsi" w:hAnsi="Garamond" w:cs="Times New Roman"/>
          <w:color w:val="000000"/>
          <w:sz w:val="24"/>
          <w:szCs w:val="24"/>
        </w:rPr>
        <w:t>ë dhomë këshillimi në datën 29.</w:t>
      </w:r>
      <w:r w:rsidRPr="001B2A92">
        <w:rPr>
          <w:rFonts w:ascii="Garamond" w:eastAsiaTheme="minorHAnsi" w:hAnsi="Garamond" w:cs="Times New Roman"/>
          <w:color w:val="000000"/>
          <w:sz w:val="24"/>
          <w:szCs w:val="24"/>
        </w:rPr>
        <w:t>1.2025. Në vlerësimin e Kolegjit Administrativ, meqenëse Kolegji Civil kishte marrë masat për shqyrtimin e çështjes, kërkesa për konstatimin e cenimit të afatit të arsyeshëm kishte mbetur pa objekt dhe duhej pushuar, sipas nenit 399/7, pika 3, të KPC-së.</w:t>
      </w:r>
    </w:p>
    <w:p w14:paraId="0FC3240E" w14:textId="78152CF4" w:rsidR="0006667F" w:rsidRPr="001B2A92" w:rsidRDefault="001B2A92"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4. Në datën 9.</w:t>
      </w:r>
      <w:r w:rsidR="0006667F" w:rsidRPr="001B2A92">
        <w:rPr>
          <w:rFonts w:ascii="Garamond" w:eastAsiaTheme="minorHAnsi" w:hAnsi="Garamond" w:cs="Times New Roman"/>
          <w:color w:val="000000"/>
          <w:sz w:val="24"/>
          <w:szCs w:val="24"/>
        </w:rPr>
        <w:t>6.2025 (sipas shërbimit postar), kërkuesja i është drejtuar Gjykatës Kushtetuese me ankim kushtetues individual, sipas objektit të mësipërm. Ko</w:t>
      </w:r>
      <w:r>
        <w:rPr>
          <w:rFonts w:ascii="Garamond" w:eastAsiaTheme="minorHAnsi" w:hAnsi="Garamond" w:cs="Times New Roman"/>
          <w:color w:val="000000"/>
          <w:sz w:val="24"/>
          <w:szCs w:val="24"/>
        </w:rPr>
        <w:t>legji i Gjykatës, në datën 15.</w:t>
      </w:r>
      <w:r w:rsidR="0006667F" w:rsidRPr="001B2A92">
        <w:rPr>
          <w:rFonts w:ascii="Garamond" w:eastAsiaTheme="minorHAnsi" w:hAnsi="Garamond" w:cs="Times New Roman"/>
          <w:color w:val="000000"/>
          <w:sz w:val="24"/>
          <w:szCs w:val="24"/>
        </w:rPr>
        <w:t>7.2025, ka vendosur kalimin e çështjes për shqyrtim në seancë plenare mbi bazë të dokumenteve. Përpara seancës plenare, në datën 18.11.2025, kërkuesja ka kërkuar edhe shpërblimin e shpenzimeve gjyqësore në vlerën 50.000 lekë.</w:t>
      </w:r>
    </w:p>
    <w:p w14:paraId="4C4AD699" w14:textId="0CD2F815"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5. Pas kalimit të çështjes në seancë plenare dhe pak ditë përpara zhvillimit të saj në datën 20.11.2025, Kolegji Civil i Gjykatës së Lartë ka shqyrtuar çështjen civile të kërkueses. Sipas të dhënave në faqen zyrtare të Gjykatës së Lartë, çështja është shqyrtuar në</w:t>
      </w:r>
      <w:r w:rsidR="001B2A92">
        <w:rPr>
          <w:rFonts w:ascii="Garamond" w:eastAsiaTheme="minorHAnsi" w:hAnsi="Garamond" w:cs="Times New Roman"/>
          <w:color w:val="000000"/>
          <w:sz w:val="24"/>
          <w:szCs w:val="24"/>
        </w:rPr>
        <w:t xml:space="preserve"> dhomën e këshillimit të datës </w:t>
      </w:r>
      <w:r w:rsidRPr="001B2A92">
        <w:rPr>
          <w:rFonts w:ascii="Garamond" w:eastAsiaTheme="minorHAnsi" w:hAnsi="Garamond" w:cs="Times New Roman"/>
          <w:color w:val="000000"/>
          <w:sz w:val="24"/>
          <w:szCs w:val="24"/>
        </w:rPr>
        <w:t xml:space="preserve">5.11.2025 dhe Kolegji Civil ka vendosur </w:t>
      </w:r>
      <w:r w:rsidRPr="001B2A92">
        <w:rPr>
          <w:rFonts w:ascii="Garamond" w:eastAsiaTheme="minorHAnsi" w:hAnsi="Garamond" w:cs="Times New Roman"/>
          <w:color w:val="212529"/>
          <w:sz w:val="24"/>
          <w:szCs w:val="24"/>
        </w:rPr>
        <w:t>prishjen e vendimit nr. 1255, datë 23.11.2016</w:t>
      </w:r>
      <w:r w:rsidR="001B2A92">
        <w:rPr>
          <w:rFonts w:ascii="Garamond" w:eastAsiaTheme="minorHAnsi" w:hAnsi="Garamond" w:cs="Times New Roman"/>
          <w:color w:val="212529"/>
          <w:sz w:val="24"/>
          <w:szCs w:val="24"/>
        </w:rPr>
        <w:t>,</w:t>
      </w:r>
      <w:r w:rsidRPr="001B2A92">
        <w:rPr>
          <w:rFonts w:ascii="Garamond" w:eastAsiaTheme="minorHAnsi" w:hAnsi="Garamond" w:cs="Times New Roman"/>
          <w:color w:val="212529"/>
          <w:sz w:val="24"/>
          <w:szCs w:val="24"/>
        </w:rPr>
        <w:t xml:space="preserve"> të Gjykatës së Apelit Vlorë dhe dërgimin e çështjes për rishqyrtim në Gjykatën e Apelit të Juridiksionit të Përgjithshëm.</w:t>
      </w:r>
    </w:p>
    <w:p w14:paraId="6E1784D6" w14:textId="77777777" w:rsidR="0006667F" w:rsidRPr="001B2A92" w:rsidRDefault="0006667F" w:rsidP="0006667F">
      <w:pPr>
        <w:autoSpaceDE w:val="0"/>
        <w:autoSpaceDN w:val="0"/>
        <w:adjustRightInd w:val="0"/>
        <w:spacing w:after="0" w:line="240" w:lineRule="auto"/>
        <w:ind w:firstLine="284"/>
        <w:rPr>
          <w:rFonts w:ascii="Garamond" w:eastAsiaTheme="minorHAnsi" w:hAnsi="Garamond" w:cs="Times New Roman"/>
          <w:color w:val="000000"/>
          <w:sz w:val="24"/>
          <w:szCs w:val="24"/>
        </w:rPr>
      </w:pPr>
    </w:p>
    <w:p w14:paraId="17500AE4" w14:textId="77777777" w:rsidR="0006667F" w:rsidRPr="001B2A92" w:rsidRDefault="0006667F" w:rsidP="0006667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B2A92">
        <w:rPr>
          <w:rFonts w:ascii="Garamond" w:eastAsiaTheme="minorHAnsi" w:hAnsi="Garamond" w:cs="Times New Roman"/>
          <w:b/>
          <w:bCs/>
          <w:color w:val="000000"/>
          <w:sz w:val="24"/>
          <w:szCs w:val="24"/>
        </w:rPr>
        <w:t>II</w:t>
      </w:r>
    </w:p>
    <w:p w14:paraId="74BE9E1F" w14:textId="06E78D50" w:rsidR="0006667F" w:rsidRPr="001B2A92" w:rsidRDefault="0006667F" w:rsidP="0006667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B2A92">
        <w:rPr>
          <w:rFonts w:ascii="Garamond" w:eastAsiaTheme="minorHAnsi" w:hAnsi="Garamond" w:cs="Times New Roman"/>
          <w:b/>
          <w:bCs/>
          <w:color w:val="000000"/>
          <w:sz w:val="24"/>
          <w:szCs w:val="24"/>
        </w:rPr>
        <w:t>Pretendimet në Gjykatën Kushtetuese</w:t>
      </w:r>
    </w:p>
    <w:p w14:paraId="7C24E544" w14:textId="77777777" w:rsidR="0063710F" w:rsidRPr="001B2A92" w:rsidRDefault="0063710F" w:rsidP="0006667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FC50E89" w14:textId="5A241753"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1B2A92">
        <w:rPr>
          <w:rFonts w:ascii="Garamond" w:eastAsiaTheme="minorHAnsi" w:hAnsi="Garamond" w:cs="Times New Roman"/>
          <w:color w:val="000000"/>
          <w:sz w:val="24"/>
          <w:szCs w:val="24"/>
        </w:rPr>
        <w:t xml:space="preserve">6. </w:t>
      </w:r>
      <w:r w:rsidRPr="001B2A92">
        <w:rPr>
          <w:rFonts w:ascii="Garamond" w:eastAsiaTheme="minorHAnsi" w:hAnsi="Garamond" w:cs="Times New Roman"/>
          <w:i/>
          <w:iCs/>
          <w:color w:val="FF0000"/>
          <w:sz w:val="24"/>
          <w:szCs w:val="24"/>
        </w:rPr>
        <w:t xml:space="preserve"> </w:t>
      </w:r>
      <w:r w:rsidRPr="001B2A92">
        <w:rPr>
          <w:rFonts w:ascii="Garamond" w:eastAsiaTheme="minorHAnsi" w:hAnsi="Garamond" w:cs="Times New Roman"/>
          <w:b/>
          <w:bCs/>
          <w:i/>
          <w:iCs/>
          <w:color w:val="222222"/>
          <w:sz w:val="24"/>
          <w:szCs w:val="24"/>
        </w:rPr>
        <w:t>Kërkuesja</w:t>
      </w:r>
      <w:r w:rsidRPr="001B2A92">
        <w:rPr>
          <w:rFonts w:ascii="Garamond" w:eastAsiaTheme="minorHAnsi" w:hAnsi="Garamond" w:cs="Times New Roman"/>
          <w:b/>
          <w:bCs/>
          <w:color w:val="222222"/>
          <w:sz w:val="24"/>
          <w:szCs w:val="24"/>
        </w:rPr>
        <w:t>,</w:t>
      </w:r>
      <w:r w:rsidRPr="001B2A92">
        <w:rPr>
          <w:rFonts w:ascii="Garamond" w:eastAsiaTheme="minorHAnsi" w:hAnsi="Garamond" w:cs="Times New Roman"/>
          <w:color w:val="222222"/>
          <w:sz w:val="24"/>
          <w:szCs w:val="24"/>
        </w:rPr>
        <w:t xml:space="preserve"> në mënyrë të përmbledhur, ka pretenduar cenimin e </w:t>
      </w:r>
      <w:r w:rsidRPr="001B2A92">
        <w:rPr>
          <w:rFonts w:ascii="Garamond" w:eastAsiaTheme="minorHAnsi" w:hAnsi="Garamond" w:cs="Times New Roman"/>
          <w:i/>
          <w:iCs/>
          <w:color w:val="000000"/>
          <w:sz w:val="24"/>
          <w:szCs w:val="24"/>
        </w:rPr>
        <w:t xml:space="preserve">së drejtës për gjykim brenda një afati të arsyeshëm, </w:t>
      </w:r>
      <w:r w:rsidRPr="001B2A92">
        <w:rPr>
          <w:rFonts w:ascii="Garamond" w:eastAsiaTheme="minorHAnsi" w:hAnsi="Garamond" w:cs="Times New Roman"/>
          <w:color w:val="000000"/>
          <w:sz w:val="24"/>
          <w:szCs w:val="24"/>
        </w:rPr>
        <w:t>të garantuar nga neni 42 i Kushtetutës, me argumentet si vijon</w:t>
      </w:r>
      <w:r w:rsidRPr="001B2A92">
        <w:rPr>
          <w:rFonts w:ascii="Garamond" w:eastAsiaTheme="minorHAnsi" w:hAnsi="Garamond" w:cs="Times New Roman"/>
          <w:color w:val="222222"/>
          <w:sz w:val="24"/>
          <w:szCs w:val="24"/>
        </w:rPr>
        <w:t xml:space="preserve">: </w:t>
      </w:r>
    </w:p>
    <w:p w14:paraId="55CB8099" w14:textId="2463AEE1" w:rsidR="0006667F" w:rsidRPr="001B2A92" w:rsidRDefault="001B2A92" w:rsidP="0006667F">
      <w:pPr>
        <w:tabs>
          <w:tab w:val="left" w:pos="126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color w:val="000000"/>
          <w:sz w:val="24"/>
          <w:szCs w:val="24"/>
        </w:rPr>
        <w:t>6.1</w:t>
      </w:r>
      <w:r w:rsidR="0006667F" w:rsidRPr="001B2A92">
        <w:rPr>
          <w:rFonts w:ascii="Garamond" w:eastAsiaTheme="minorHAnsi" w:hAnsi="Garamond" w:cs="Times New Roman"/>
          <w:color w:val="000000"/>
          <w:sz w:val="24"/>
          <w:szCs w:val="24"/>
        </w:rPr>
        <w:t xml:space="preserve"> Gjykata e Lartë nuk e ka shqyrtuar çështjen e saj brenda 2-vjeçar të parashikuar nga neni 399/2, pika 1, shkronja “b”, të KPC-së. Ky shqyrtim tashmë ka zgjatur më shumë se 8 vjet, pa qenë kërkuesja shkak i zvarritjes, ndërkohë që çështja nuk paraqitet komplekse dhe reforma në drejtësi nuk mund të përdoret si justifikim për vonesën. Zvarritja e gjykimit rrezikon gëzimin e së drejtës së pronës nga kërkuesja, e cila është 84 vjeç. </w:t>
      </w:r>
    </w:p>
    <w:p w14:paraId="7B115DD2" w14:textId="5E3C623B" w:rsidR="0006667F" w:rsidRPr="001B2A92" w:rsidRDefault="001B2A92" w:rsidP="0006667F">
      <w:pPr>
        <w:tabs>
          <w:tab w:val="left" w:pos="126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color w:val="000000"/>
          <w:sz w:val="24"/>
          <w:szCs w:val="24"/>
        </w:rPr>
        <w:t>6.2</w:t>
      </w:r>
      <w:r w:rsidR="0006667F" w:rsidRPr="001B2A92">
        <w:rPr>
          <w:rFonts w:ascii="Garamond" w:eastAsiaTheme="minorHAnsi" w:hAnsi="Garamond" w:cs="Times New Roman"/>
          <w:color w:val="000000"/>
          <w:sz w:val="24"/>
          <w:szCs w:val="24"/>
        </w:rPr>
        <w:t xml:space="preserve"> Edhe pse gjykimi i kërkesës për konstatimin </w:t>
      </w:r>
      <w:r w:rsidR="0006667F" w:rsidRPr="001B2A92">
        <w:rPr>
          <w:rFonts w:ascii="Garamond" w:eastAsiaTheme="minorHAnsi" w:hAnsi="Garamond" w:cs="Times New Roman"/>
          <w:color w:val="222222"/>
          <w:sz w:val="24"/>
          <w:szCs w:val="24"/>
        </w:rPr>
        <w:t>e cenimit të së drejtës për gjykim brenda një afati të arsyeshëm</w:t>
      </w:r>
      <w:r w:rsidR="0006667F" w:rsidRPr="001B2A92">
        <w:rPr>
          <w:rFonts w:ascii="Garamond" w:eastAsiaTheme="minorHAnsi" w:hAnsi="Garamond" w:cs="Times New Roman"/>
          <w:color w:val="000000"/>
          <w:sz w:val="24"/>
          <w:szCs w:val="24"/>
        </w:rPr>
        <w:t xml:space="preserve"> u pushua për shkak të planifikimit të datës së shqyrtimit të çështjes, në fakt çështja nuk u shqyrtua në datën e planifikuar dhe as është caktuar një datë e re për shqyrtimin e saj. Në këtë mënyrë kërkueses iu mohua edhe mundësia për të kërkuar shpërblimin e dëmit për shkeljen e afatit të arsyeshëm sipas nenit 399/4, pika 2, të KPC-së. </w:t>
      </w:r>
    </w:p>
    <w:p w14:paraId="6449453C" w14:textId="5E571C2E" w:rsidR="0006667F" w:rsidRPr="001B2A92" w:rsidRDefault="001B2A92" w:rsidP="0006667F">
      <w:pPr>
        <w:tabs>
          <w:tab w:val="left" w:pos="126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color w:val="000000"/>
          <w:sz w:val="24"/>
          <w:szCs w:val="24"/>
        </w:rPr>
        <w:t>6.3</w:t>
      </w:r>
      <w:r w:rsidR="0006667F" w:rsidRPr="001B2A92">
        <w:rPr>
          <w:rFonts w:ascii="Garamond" w:eastAsiaTheme="minorHAnsi" w:hAnsi="Garamond" w:cs="Times New Roman"/>
          <w:color w:val="000000"/>
          <w:sz w:val="24"/>
          <w:szCs w:val="24"/>
        </w:rPr>
        <w:t xml:space="preserve"> Kohëzgjatja tërësore e procedurave të gjykimit të çështjes në të gjitha shkallët gjyqësore tashmë ka kaluar tejkaluar 14 vjet dhe rrezikon të dyfishohet në rast të kthimit të çështjes në shkallë të parë. </w:t>
      </w:r>
    </w:p>
    <w:p w14:paraId="69F20A0D" w14:textId="79EAEEB1" w:rsidR="0006667F" w:rsidRPr="001B2A92" w:rsidRDefault="001B2A92" w:rsidP="0006667F">
      <w:pPr>
        <w:tabs>
          <w:tab w:val="left" w:pos="126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color w:val="000000"/>
          <w:sz w:val="24"/>
          <w:szCs w:val="24"/>
        </w:rPr>
        <w:t>6.4</w:t>
      </w:r>
      <w:r w:rsidR="0006667F" w:rsidRPr="001B2A92">
        <w:rPr>
          <w:rFonts w:ascii="Garamond" w:eastAsiaTheme="minorHAnsi" w:hAnsi="Garamond" w:cs="Times New Roman"/>
          <w:color w:val="000000"/>
          <w:sz w:val="24"/>
          <w:szCs w:val="24"/>
        </w:rPr>
        <w:t xml:space="preserve"> Parashikimi i lidhëzës “/ose” në pikën 1</w:t>
      </w:r>
      <w:r>
        <w:rPr>
          <w:rFonts w:ascii="Garamond" w:eastAsiaTheme="minorHAnsi" w:hAnsi="Garamond" w:cs="Times New Roman"/>
          <w:color w:val="000000"/>
          <w:sz w:val="24"/>
          <w:szCs w:val="24"/>
        </w:rPr>
        <w:t>,</w:t>
      </w:r>
      <w:r w:rsidR="0006667F" w:rsidRPr="001B2A92">
        <w:rPr>
          <w:rFonts w:ascii="Garamond" w:eastAsiaTheme="minorHAnsi" w:hAnsi="Garamond" w:cs="Times New Roman"/>
          <w:color w:val="000000"/>
          <w:sz w:val="24"/>
          <w:szCs w:val="24"/>
        </w:rPr>
        <w:t xml:space="preserve"> të nenit 399/3 të KPC-së dhe fjalia “dhe nuk është ekzekutuar nga organi që ka kryer shkeljen vendimi i gjykatës, sipas pikës 1 të këtij neni” në nenin 399/4, pika 2</w:t>
      </w:r>
      <w:r>
        <w:rPr>
          <w:rFonts w:ascii="Garamond" w:eastAsiaTheme="minorHAnsi" w:hAnsi="Garamond" w:cs="Times New Roman"/>
          <w:color w:val="000000"/>
          <w:sz w:val="24"/>
          <w:szCs w:val="24"/>
        </w:rPr>
        <w:t>,</w:t>
      </w:r>
      <w:r w:rsidR="0006667F" w:rsidRPr="001B2A92">
        <w:rPr>
          <w:rFonts w:ascii="Garamond" w:eastAsiaTheme="minorHAnsi" w:hAnsi="Garamond" w:cs="Times New Roman"/>
          <w:color w:val="000000"/>
          <w:sz w:val="24"/>
          <w:szCs w:val="24"/>
        </w:rPr>
        <w:t xml:space="preserve"> të KPC-së, janë formalizma të tepruara që cenojnë në thelb të drejtën e individit për gjykim brenda afatit të arsyeshëm, ndaj janë të papajtueshme me Kushtetutën. Këto parashikime ligjore e bëjnë joefektiv mekanizimin e parashikuar për mbrojtjen e afatit të arsyeshëm, në kundërshtim me nenet 6 dhe 13 të KEDNJ-së, pasi individi mund të kërkojë shpërblimin e dëmit vetëm mbi bazën e vendimit që konstaton shkeljen e afatit të arsyeshëm dhe urdhëron përshpejtimin e procedurave, por jo në rastin e pushimit të gjykimit për shkak të marrjes së veprimeve të kërkuara nga individi. </w:t>
      </w:r>
    </w:p>
    <w:p w14:paraId="05788D36" w14:textId="77777777"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b/>
          <w:bCs/>
          <w:color w:val="FF0000"/>
          <w:sz w:val="24"/>
          <w:szCs w:val="24"/>
        </w:rPr>
      </w:pPr>
    </w:p>
    <w:p w14:paraId="7CCE0716" w14:textId="77777777" w:rsidR="0006667F" w:rsidRPr="001B2A92" w:rsidRDefault="0006667F" w:rsidP="0006667F">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B2A92">
        <w:rPr>
          <w:rFonts w:ascii="Garamond" w:eastAsiaTheme="minorHAnsi" w:hAnsi="Garamond" w:cs="Times New Roman"/>
          <w:b/>
          <w:bCs/>
          <w:color w:val="000000"/>
          <w:sz w:val="24"/>
          <w:szCs w:val="24"/>
        </w:rPr>
        <w:lastRenderedPageBreak/>
        <w:t>III</w:t>
      </w:r>
    </w:p>
    <w:p w14:paraId="06F2D939" w14:textId="2E7C4C2D" w:rsidR="0006667F" w:rsidRPr="001B2A92" w:rsidRDefault="0006667F" w:rsidP="0006667F">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B2A92">
        <w:rPr>
          <w:rFonts w:ascii="Garamond" w:eastAsiaTheme="minorHAnsi" w:hAnsi="Garamond" w:cs="Times New Roman"/>
          <w:b/>
          <w:bCs/>
          <w:color w:val="000000"/>
          <w:sz w:val="24"/>
          <w:szCs w:val="24"/>
        </w:rPr>
        <w:t>Vlerësimi i Gjykatës Kushtetuese</w:t>
      </w:r>
    </w:p>
    <w:p w14:paraId="71833888" w14:textId="77777777" w:rsidR="0063710F" w:rsidRPr="001B2A92" w:rsidRDefault="0063710F" w:rsidP="0006667F">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2D84077F" w14:textId="719EE767" w:rsidR="0006667F" w:rsidRPr="001B2A92" w:rsidRDefault="0006667F" w:rsidP="0006667F">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B2A92">
        <w:rPr>
          <w:rFonts w:ascii="Garamond" w:eastAsiaTheme="minorHAnsi" w:hAnsi="Garamond" w:cs="Times New Roman"/>
          <w:i/>
          <w:iCs/>
          <w:color w:val="000000"/>
          <w:sz w:val="24"/>
          <w:szCs w:val="24"/>
        </w:rPr>
        <w:t xml:space="preserve">A. Për legjitimimin e kërkueses </w:t>
      </w:r>
    </w:p>
    <w:p w14:paraId="3D2057EC" w14:textId="44D3FDB4"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1B2A92">
        <w:rPr>
          <w:rFonts w:ascii="Garamond" w:eastAsiaTheme="minorHAnsi" w:hAnsi="Garamond" w:cs="Times New Roman"/>
          <w:color w:val="000000"/>
          <w:sz w:val="24"/>
          <w:szCs w:val="24"/>
        </w:rPr>
        <w:t xml:space="preserve">7. </w:t>
      </w:r>
      <w:r w:rsidRPr="001B2A92">
        <w:rPr>
          <w:rFonts w:ascii="Garamond" w:eastAsiaTheme="minorHAnsi" w:hAnsi="Garamond" w:cs="Times New Roman"/>
          <w:color w:val="222222"/>
          <w:sz w:val="24"/>
          <w:szCs w:val="24"/>
        </w:rPr>
        <w:t xml:space="preserve">Çështja e legjitimimit </w:t>
      </w:r>
      <w:r w:rsidRPr="001B2A92">
        <w:rPr>
          <w:rFonts w:ascii="Garamond" w:eastAsiaTheme="minorHAnsi" w:hAnsi="Garamond" w:cs="Times New Roman"/>
          <w:i/>
          <w:iCs/>
          <w:color w:val="222222"/>
          <w:sz w:val="24"/>
          <w:szCs w:val="24"/>
        </w:rPr>
        <w:t>(locus standi)</w:t>
      </w:r>
      <w:r w:rsidRPr="001B2A92">
        <w:rPr>
          <w:rFonts w:ascii="Garamond" w:eastAsiaTheme="minorHAnsi" w:hAnsi="Garamond" w:cs="Times New Roman"/>
          <w:color w:val="222222"/>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1B2A92">
        <w:rPr>
          <w:rFonts w:ascii="Garamond" w:eastAsiaTheme="minorHAnsi" w:hAnsi="Garamond" w:cs="Times New Roman"/>
          <w:color w:val="222222"/>
          <w:sz w:val="24"/>
          <w:szCs w:val="24"/>
        </w:rPr>
        <w:t>,</w:t>
      </w:r>
      <w:r w:rsidRPr="001B2A92">
        <w:rPr>
          <w:rFonts w:ascii="Garamond" w:eastAsiaTheme="minorHAnsi" w:hAnsi="Garamond" w:cs="Times New Roman"/>
          <w:color w:val="222222"/>
          <w:sz w:val="24"/>
          <w:szCs w:val="24"/>
        </w:rPr>
        <w:t xml:space="preserve"> të ligjit organik të Gjykatës,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1CD9C8D6" w14:textId="41FDE9DE"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1B2A92">
        <w:rPr>
          <w:rFonts w:ascii="Garamond" w:eastAsiaTheme="minorHAnsi" w:hAnsi="Garamond" w:cs="Times New Roman"/>
          <w:color w:val="000000"/>
          <w:sz w:val="24"/>
          <w:szCs w:val="24"/>
        </w:rPr>
        <w:t>8. Në çështjen në shqyrtim, kërkuesja ka kundërshtuar vendimin e Gjykatës së Lartë që ka pushuar gjykimin e kërkesës së saj për konstatimin e cenimit të së drejtës për gjykim brenda afatit të arsyeshëm dhe/ose përshpejtimin e procedurave, si dhe përmbajtjen e neneve 399/3, pika 1, dhe 399/4, pika 2, të KPC-së. Ajo pretendon se vendimi dhe dispozitat ligjore i kanë cenuar të drejtën për gjykim brenda afatit të arsyeshëm, të garantuar nga neni 42 i Kushtetutës.</w:t>
      </w:r>
    </w:p>
    <w:p w14:paraId="69FA73E2" w14:textId="5304781C"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1B2A92">
        <w:rPr>
          <w:rFonts w:ascii="Garamond" w:eastAsiaTheme="minorHAnsi" w:hAnsi="Garamond" w:cs="Times New Roman"/>
          <w:color w:val="000000"/>
          <w:sz w:val="24"/>
          <w:szCs w:val="24"/>
        </w:rPr>
        <w:t>9. Gjykata ka theksuar se, në zbatim të neneve 49, pika 3, shkronja “e” dhe 71, pika 2, të ligjit organik, objekt i ankimit kushtetues individual mund të jetë, krahas vendimit gjyqësor, edhe ligji ose akti normativ. Në këto raste, kërkuesi legjitimohet nëse janë plotë</w:t>
      </w:r>
      <w:r w:rsidR="001B2A92">
        <w:rPr>
          <w:rFonts w:ascii="Garamond" w:eastAsiaTheme="minorHAnsi" w:hAnsi="Garamond" w:cs="Times New Roman"/>
          <w:color w:val="000000"/>
          <w:sz w:val="24"/>
          <w:szCs w:val="24"/>
        </w:rPr>
        <w:t>suar bashkërisht këto kritere: i.</w:t>
      </w:r>
      <w:r w:rsidRPr="001B2A92">
        <w:rPr>
          <w:rFonts w:ascii="Garamond" w:eastAsiaTheme="minorHAnsi" w:hAnsi="Garamond" w:cs="Times New Roman"/>
          <w:color w:val="000000"/>
          <w:sz w:val="24"/>
          <w:szCs w:val="24"/>
        </w:rPr>
        <w:t xml:space="preserve"> legjitimimi </w:t>
      </w:r>
      <w:r w:rsidRPr="001B2A92">
        <w:rPr>
          <w:rFonts w:ascii="Garamond" w:eastAsiaTheme="minorHAnsi" w:hAnsi="Garamond" w:cs="Times New Roman"/>
          <w:i/>
          <w:iCs/>
          <w:color w:val="000000"/>
          <w:sz w:val="24"/>
          <w:szCs w:val="24"/>
        </w:rPr>
        <w:t>ratione personae</w:t>
      </w:r>
      <w:r w:rsidRPr="001B2A92">
        <w:rPr>
          <w:rFonts w:ascii="Garamond" w:eastAsiaTheme="minorHAnsi" w:hAnsi="Garamond" w:cs="Times New Roman"/>
          <w:color w:val="000000"/>
          <w:sz w:val="24"/>
          <w:szCs w:val="24"/>
        </w:rPr>
        <w:t>, në kuptimin që kërkuesi provon se është bartës i së drejtës kushtetuese të pretenduar të cenuar, përveç edhe interesin e tij për çështjen, pra cenimin e drejtpërdrejtë dhe r</w:t>
      </w:r>
      <w:r w:rsidR="001B2A92">
        <w:rPr>
          <w:rFonts w:ascii="Garamond" w:eastAsiaTheme="minorHAnsi" w:hAnsi="Garamond" w:cs="Times New Roman"/>
          <w:color w:val="000000"/>
          <w:sz w:val="24"/>
          <w:szCs w:val="24"/>
        </w:rPr>
        <w:t>eal të së drejtës kushtetuese; ii.</w:t>
      </w:r>
      <w:r w:rsidRPr="001B2A92">
        <w:rPr>
          <w:rFonts w:ascii="Garamond" w:eastAsiaTheme="minorHAnsi" w:hAnsi="Garamond" w:cs="Times New Roman"/>
          <w:color w:val="000000"/>
          <w:sz w:val="24"/>
          <w:szCs w:val="24"/>
        </w:rPr>
        <w:t xml:space="preserve"> shterimi i mjeteve juridike efektive për mbrojtjen e së drejtës kushtetuese të pretenduar të cenuar ose zbatueshmërinë e drejtpërdrejtë të akt</w:t>
      </w:r>
      <w:r w:rsidR="001B2A92">
        <w:rPr>
          <w:rFonts w:ascii="Garamond" w:eastAsiaTheme="minorHAnsi" w:hAnsi="Garamond" w:cs="Times New Roman"/>
          <w:color w:val="000000"/>
          <w:sz w:val="24"/>
          <w:szCs w:val="24"/>
        </w:rPr>
        <w:t xml:space="preserve">it të kundërshtuar; iii. </w:t>
      </w:r>
      <w:r w:rsidRPr="001B2A92">
        <w:rPr>
          <w:rFonts w:ascii="Garamond" w:eastAsiaTheme="minorHAnsi" w:hAnsi="Garamond" w:cs="Times New Roman"/>
          <w:color w:val="000000"/>
          <w:sz w:val="24"/>
          <w:szCs w:val="24"/>
        </w:rPr>
        <w:t xml:space="preserve">legjitimimi </w:t>
      </w:r>
      <w:r w:rsidRPr="001B2A92">
        <w:rPr>
          <w:rFonts w:ascii="Garamond" w:eastAsiaTheme="minorHAnsi" w:hAnsi="Garamond" w:cs="Times New Roman"/>
          <w:i/>
          <w:iCs/>
          <w:color w:val="000000"/>
          <w:sz w:val="24"/>
          <w:szCs w:val="24"/>
        </w:rPr>
        <w:t>ratione temporis</w:t>
      </w:r>
      <w:r w:rsidRPr="001B2A92">
        <w:rPr>
          <w:rFonts w:ascii="Garamond" w:eastAsiaTheme="minorHAnsi" w:hAnsi="Garamond" w:cs="Times New Roman"/>
          <w:color w:val="000000"/>
          <w:sz w:val="24"/>
          <w:szCs w:val="24"/>
        </w:rPr>
        <w:t>, në kuptimin që ankimi është paraqitur brenda afatit ligjor 4-mujor</w:t>
      </w:r>
      <w:r w:rsidR="001B2A92">
        <w:rPr>
          <w:rFonts w:ascii="Garamond" w:eastAsiaTheme="minorHAnsi" w:hAnsi="Garamond" w:cs="Times New Roman"/>
          <w:color w:val="000000"/>
          <w:sz w:val="24"/>
          <w:szCs w:val="24"/>
        </w:rPr>
        <w:t xml:space="preserve"> nga konstatimi i cenimit; dhe iv.</w:t>
      </w:r>
      <w:r w:rsidRPr="001B2A92">
        <w:rPr>
          <w:rFonts w:ascii="Garamond" w:eastAsiaTheme="minorHAnsi" w:hAnsi="Garamond" w:cs="Times New Roman"/>
          <w:color w:val="000000"/>
          <w:sz w:val="24"/>
          <w:szCs w:val="24"/>
        </w:rPr>
        <w:t xml:space="preserve"> legjitimimi </w:t>
      </w:r>
      <w:r w:rsidRPr="001B2A92">
        <w:rPr>
          <w:rFonts w:ascii="Garamond" w:eastAsiaTheme="minorHAnsi" w:hAnsi="Garamond" w:cs="Times New Roman"/>
          <w:i/>
          <w:iCs/>
          <w:color w:val="000000"/>
          <w:sz w:val="24"/>
          <w:szCs w:val="24"/>
        </w:rPr>
        <w:t>ratione materiae</w:t>
      </w:r>
      <w:r w:rsidRPr="001B2A92">
        <w:rPr>
          <w:rFonts w:ascii="Garamond" w:eastAsiaTheme="minorHAnsi" w:hAnsi="Garamond" w:cs="Times New Roman"/>
          <w:color w:val="000000"/>
          <w:sz w:val="24"/>
          <w:szCs w:val="24"/>
        </w:rPr>
        <w:t xml:space="preserve">, në kuptimin që kërkuesi provon se e drejta e pretenduar e cenuar bën pjesë në juridiksionin kushtetues dhe rivendosja e saj është e mundur nga shqyrtimi kushtetues i çështjes </w:t>
      </w:r>
      <w:r w:rsidRPr="001B2A92">
        <w:rPr>
          <w:rFonts w:ascii="Garamond" w:eastAsiaTheme="minorHAnsi" w:hAnsi="Garamond" w:cs="Times New Roman"/>
          <w:i/>
          <w:iCs/>
          <w:color w:val="000000"/>
          <w:sz w:val="24"/>
          <w:szCs w:val="24"/>
        </w:rPr>
        <w:t>(shih vendimet nr. 85, da</w:t>
      </w:r>
      <w:r w:rsidR="001B2A92">
        <w:rPr>
          <w:rFonts w:ascii="Garamond" w:eastAsiaTheme="minorHAnsi" w:hAnsi="Garamond" w:cs="Times New Roman"/>
          <w:i/>
          <w:iCs/>
          <w:color w:val="000000"/>
          <w:sz w:val="24"/>
          <w:szCs w:val="24"/>
        </w:rPr>
        <w:t xml:space="preserve">të 24.12.2024; nr. 34, datë 12.6.2023; nr. 31, datë </w:t>
      </w:r>
      <w:r w:rsidRPr="001B2A92">
        <w:rPr>
          <w:rFonts w:ascii="Garamond" w:eastAsiaTheme="minorHAnsi" w:hAnsi="Garamond" w:cs="Times New Roman"/>
          <w:i/>
          <w:iCs/>
          <w:color w:val="000000"/>
          <w:sz w:val="24"/>
          <w:szCs w:val="24"/>
        </w:rPr>
        <w:t>4.10.2021</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të Gjykatës Kushtetuese). </w:t>
      </w:r>
    </w:p>
    <w:p w14:paraId="483CA381" w14:textId="3DAE92E2"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10. Për sa i takon kriterit për legjitimimin </w:t>
      </w:r>
      <w:r w:rsidRPr="001B2A92">
        <w:rPr>
          <w:rFonts w:ascii="Garamond" w:eastAsiaTheme="minorHAnsi" w:hAnsi="Garamond" w:cs="Times New Roman"/>
          <w:i/>
          <w:iCs/>
          <w:color w:val="000000"/>
          <w:sz w:val="24"/>
          <w:szCs w:val="24"/>
        </w:rPr>
        <w:t>ratione personae</w:t>
      </w:r>
      <w:r w:rsidRPr="001B2A92">
        <w:rPr>
          <w:rFonts w:ascii="Garamond" w:eastAsiaTheme="minorHAnsi" w:hAnsi="Garamond" w:cs="Times New Roman"/>
          <w:color w:val="000000"/>
          <w:sz w:val="24"/>
          <w:szCs w:val="24"/>
        </w:rPr>
        <w:t xml:space="preserve">, Gjykata ka pohuar se sipas neneve 131, pika 1, shkronja “f” dhe 134, pikat 1, shkronja “i” dhe 2, të Kushtetutës, individi është subjekt i kushtëzuar. Si i tillë, ai mund të paraqesë ankim kushtetues individual vetëm për çështje që lidhen me interesat e tij të drejtpërdrejta, duke provuar se është cenuar në të drejtat e tij kushtetuese, pra se është viktimë e një shkeljeje dhe se pasojat nga akti i kundërshtuar janë të drejtpërdrejta dhe reale për të </w:t>
      </w:r>
      <w:r w:rsidRPr="001B2A92">
        <w:rPr>
          <w:rFonts w:ascii="Garamond" w:eastAsiaTheme="minorHAnsi" w:hAnsi="Garamond" w:cs="Times New Roman"/>
          <w:i/>
          <w:iCs/>
          <w:color w:val="000000"/>
          <w:sz w:val="24"/>
          <w:szCs w:val="24"/>
        </w:rPr>
        <w:t xml:space="preserve">(shih vendimet nr. 1, datë </w:t>
      </w:r>
      <w:r w:rsidR="001B2A92">
        <w:rPr>
          <w:rFonts w:ascii="Garamond" w:eastAsiaTheme="minorHAnsi" w:hAnsi="Garamond" w:cs="Times New Roman"/>
          <w:i/>
          <w:iCs/>
          <w:color w:val="000000"/>
          <w:sz w:val="24"/>
          <w:szCs w:val="24"/>
        </w:rPr>
        <w:t>25.</w:t>
      </w:r>
      <w:r w:rsidRPr="001B2A92">
        <w:rPr>
          <w:rFonts w:ascii="Garamond" w:eastAsiaTheme="minorHAnsi" w:hAnsi="Garamond" w:cs="Times New Roman"/>
          <w:i/>
          <w:iCs/>
          <w:color w:val="000000"/>
          <w:sz w:val="24"/>
          <w:szCs w:val="24"/>
        </w:rPr>
        <w:t>1.2024;  nr. 64, da</w:t>
      </w:r>
      <w:r w:rsidR="001B2A92">
        <w:rPr>
          <w:rFonts w:ascii="Garamond" w:eastAsiaTheme="minorHAnsi" w:hAnsi="Garamond" w:cs="Times New Roman"/>
          <w:i/>
          <w:iCs/>
          <w:color w:val="000000"/>
          <w:sz w:val="24"/>
          <w:szCs w:val="24"/>
        </w:rPr>
        <w:t>të 30.11.2023; nr. 44, datë 26.</w:t>
      </w:r>
      <w:r w:rsidRPr="001B2A92">
        <w:rPr>
          <w:rFonts w:ascii="Garamond" w:eastAsiaTheme="minorHAnsi" w:hAnsi="Garamond" w:cs="Times New Roman"/>
          <w:i/>
          <w:iCs/>
          <w:color w:val="000000"/>
          <w:sz w:val="24"/>
          <w:szCs w:val="24"/>
        </w:rPr>
        <w:t>9.2023</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të Gjykatës Kushtetuese)</w:t>
      </w:r>
      <w:r w:rsidRPr="001B2A92">
        <w:rPr>
          <w:rFonts w:ascii="Garamond" w:eastAsiaTheme="minorHAnsi" w:hAnsi="Garamond" w:cs="Times New Roman"/>
          <w:color w:val="000000"/>
          <w:sz w:val="24"/>
          <w:szCs w:val="24"/>
        </w:rPr>
        <w:t xml:space="preserve">. </w:t>
      </w:r>
    </w:p>
    <w:p w14:paraId="5959761C" w14:textId="68E08228"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1B2A92">
        <w:rPr>
          <w:rFonts w:ascii="Garamond" w:eastAsiaTheme="minorHAnsi" w:hAnsi="Garamond" w:cs="Times New Roman"/>
          <w:color w:val="000000"/>
          <w:sz w:val="24"/>
          <w:szCs w:val="24"/>
        </w:rPr>
        <w:t xml:space="preserve">11. Në rastin konkret, kërkuesja është palë ndërgjyqëse në procesin civil ku ajo pretendon cenimin e së drejtës për gjykim brenda afatit të arsyeshëm, ndaj legjitimohet </w:t>
      </w:r>
      <w:r w:rsidRPr="001B2A92">
        <w:rPr>
          <w:rFonts w:ascii="Garamond" w:eastAsiaTheme="minorHAnsi" w:hAnsi="Garamond" w:cs="Times New Roman"/>
          <w:i/>
          <w:iCs/>
          <w:color w:val="000000"/>
          <w:sz w:val="24"/>
          <w:szCs w:val="24"/>
        </w:rPr>
        <w:t>ratione personae</w:t>
      </w:r>
      <w:r w:rsidRPr="001B2A92">
        <w:rPr>
          <w:rFonts w:ascii="Garamond" w:eastAsiaTheme="minorHAnsi" w:hAnsi="Garamond" w:cs="Times New Roman"/>
          <w:color w:val="000000"/>
          <w:sz w:val="24"/>
          <w:szCs w:val="24"/>
        </w:rPr>
        <w:t xml:space="preserve"> për kundërshtimin e vendimit të Gjykatës së Lartë, pasi justifikon interesin në çështjen e parashtruar.</w:t>
      </w:r>
    </w:p>
    <w:p w14:paraId="5814FFBD" w14:textId="572CBC4E"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12. Për dispozitat ligjore të kundërshtuara, Gjykata konstaton se nenet 399/3, pika 1 dhe 399/4, pika 2, të KPC-së rregullojnë konceptin e shpërblimit të drejtë për shkeljen e afatit të arsyeshëm dhe kompetencën për gjykimin e kërkesëpadive për shpërblimin e dëmit sipas nenit 399/6, pika 3, të KPC-së. Gjykata ka pohuar se, në parim, pretendime të kësaj natyre duhet të analizohen të lidhura ngushtësisht me vendimet gjyqësore të dhëna bazuar në dispozitën ligjore të kundërshtuar </w:t>
      </w:r>
      <w:r w:rsidR="001B2A92">
        <w:rPr>
          <w:rFonts w:ascii="Garamond" w:eastAsiaTheme="minorHAnsi" w:hAnsi="Garamond" w:cs="Times New Roman"/>
          <w:i/>
          <w:iCs/>
          <w:color w:val="000000"/>
          <w:sz w:val="24"/>
          <w:szCs w:val="24"/>
        </w:rPr>
        <w:t>(shih vendimin nr. 12, datë 24.</w:t>
      </w:r>
      <w:r w:rsidRPr="001B2A92">
        <w:rPr>
          <w:rFonts w:ascii="Garamond" w:eastAsiaTheme="minorHAnsi" w:hAnsi="Garamond" w:cs="Times New Roman"/>
          <w:i/>
          <w:iCs/>
          <w:color w:val="000000"/>
          <w:sz w:val="24"/>
          <w:szCs w:val="24"/>
        </w:rPr>
        <w:t>5.2022</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të Gjykatës Kushtetuese)</w:t>
      </w:r>
      <w:r w:rsidRPr="001B2A92">
        <w:rPr>
          <w:rFonts w:ascii="Garamond" w:eastAsiaTheme="minorHAnsi" w:hAnsi="Garamond" w:cs="Times New Roman"/>
          <w:color w:val="000000"/>
          <w:sz w:val="24"/>
          <w:szCs w:val="24"/>
        </w:rPr>
        <w:t>. Në këtë rast, kërkuesja nuk është palë në një proces gjyqësor për shpërblimin e dëmit në kuptim të neneve 399/3</w:t>
      </w:r>
      <w:r w:rsidR="001B2A92">
        <w:rPr>
          <w:rFonts w:ascii="Garamond" w:eastAsiaTheme="minorHAnsi" w:hAnsi="Garamond" w:cs="Times New Roman"/>
          <w:color w:val="000000"/>
          <w:sz w:val="24"/>
          <w:szCs w:val="24"/>
        </w:rPr>
        <w:t>,</w:t>
      </w:r>
      <w:r w:rsidRPr="001B2A92">
        <w:rPr>
          <w:rFonts w:ascii="Garamond" w:eastAsiaTheme="minorHAnsi" w:hAnsi="Garamond" w:cs="Times New Roman"/>
          <w:color w:val="000000"/>
          <w:sz w:val="24"/>
          <w:szCs w:val="24"/>
        </w:rPr>
        <w:t xml:space="preserve"> pika 1 dhe 399/4</w:t>
      </w:r>
      <w:r w:rsidR="001B2A92">
        <w:rPr>
          <w:rFonts w:ascii="Garamond" w:eastAsiaTheme="minorHAnsi" w:hAnsi="Garamond" w:cs="Times New Roman"/>
          <w:color w:val="000000"/>
          <w:sz w:val="24"/>
          <w:szCs w:val="24"/>
        </w:rPr>
        <w:t>,</w:t>
      </w:r>
      <w:r w:rsidRPr="001B2A92">
        <w:rPr>
          <w:rFonts w:ascii="Garamond" w:eastAsiaTheme="minorHAnsi" w:hAnsi="Garamond" w:cs="Times New Roman"/>
          <w:color w:val="000000"/>
          <w:sz w:val="24"/>
          <w:szCs w:val="24"/>
        </w:rPr>
        <w:t xml:space="preserve"> pika 2, të lidhura me nenin 399/6, pika 3, të KPC-së. Për rrjedhojë, për sa kohë që cenimi i pretenduar i së drejtës për gjykimin brenda një afati të arsyeshëm nuk lidhet me zbatimin e dispozitave ligjore të kundërshtuara, Gjykata vlerëson se kërkuesja nuk legjitimohet </w:t>
      </w:r>
      <w:r w:rsidRPr="001B2A92">
        <w:rPr>
          <w:rFonts w:ascii="Garamond" w:eastAsiaTheme="minorHAnsi" w:hAnsi="Garamond" w:cs="Times New Roman"/>
          <w:i/>
          <w:iCs/>
          <w:color w:val="000000"/>
          <w:sz w:val="24"/>
          <w:szCs w:val="24"/>
        </w:rPr>
        <w:t>ratione personae</w:t>
      </w:r>
      <w:r w:rsidRPr="001B2A92">
        <w:rPr>
          <w:rFonts w:ascii="Garamond" w:eastAsiaTheme="minorHAnsi" w:hAnsi="Garamond" w:cs="Times New Roman"/>
          <w:color w:val="000000"/>
          <w:sz w:val="24"/>
          <w:szCs w:val="24"/>
        </w:rPr>
        <w:t xml:space="preserve"> për kërkimin që synon kontrollin kushtetues të tyre, pasi nuk justifikon interesin e saj real dhe të drejtpërdrejtë. Për rrjedhojë, kërkimi për shfuqizimin e dispozitave ligjore nuk mund të merret në shqyrtim.</w:t>
      </w:r>
    </w:p>
    <w:p w14:paraId="38A3E142" w14:textId="662333F4"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lastRenderedPageBreak/>
        <w:t xml:space="preserve">13. Për sa i përket kriterit të </w:t>
      </w:r>
      <w:r w:rsidRPr="001B2A92">
        <w:rPr>
          <w:rFonts w:ascii="Garamond" w:eastAsiaTheme="minorHAnsi" w:hAnsi="Garamond" w:cs="Times New Roman"/>
          <w:i/>
          <w:iCs/>
          <w:color w:val="000000"/>
          <w:sz w:val="24"/>
          <w:szCs w:val="24"/>
        </w:rPr>
        <w:t>shterimit të mjeteve juridike efektive</w:t>
      </w:r>
      <w:r w:rsidRPr="001B2A92">
        <w:rPr>
          <w:rFonts w:ascii="Garamond" w:eastAsiaTheme="minorHAnsi" w:hAnsi="Garamond" w:cs="Times New Roman"/>
          <w:color w:val="000000"/>
          <w:sz w:val="24"/>
          <w:szCs w:val="24"/>
        </w:rPr>
        <w:t xml:space="preserve">, të parashikuar nga neni 131, pika 1, shkronja “f”, i Kushtetutës dhe neni 71/a, pika 1, shkronja “a”, i ligjit organik të Gjykatës, kërkuesja ka paraqitur ankim kushtetues individual pasi ka përdorur mjetin juridik parandalues/përshpejtues të parashikuar nga KPC-ja. Ajo ka kërkuar konstatimin </w:t>
      </w:r>
      <w:r w:rsidRPr="001B2A92">
        <w:rPr>
          <w:rFonts w:ascii="Garamond" w:eastAsiaTheme="minorHAnsi" w:hAnsi="Garamond" w:cs="Times New Roman"/>
          <w:color w:val="222222"/>
          <w:sz w:val="24"/>
          <w:szCs w:val="24"/>
        </w:rPr>
        <w:t xml:space="preserve">e cenimit të së drejtës për gjykim brenda një afati të arsyeshëm dhe/ose përshpejtimin e procedurave të gjykimit në Gjykatën e Lartë, në bazë </w:t>
      </w:r>
      <w:r w:rsidRPr="001B2A92">
        <w:rPr>
          <w:rFonts w:ascii="Garamond" w:eastAsiaTheme="minorHAnsi" w:hAnsi="Garamond" w:cs="Times New Roman"/>
          <w:color w:val="000000"/>
          <w:sz w:val="24"/>
          <w:szCs w:val="24"/>
        </w:rPr>
        <w:t xml:space="preserve">të neneve 399/5 dhe 399/6, pika 1, shkronja “c”, të KPC-së, për të cilën ajo gjykatë ka vendosur pushimin e gjykimit. Në ankimin kushtetues individual, ajo ankohet si për kohëzgjatjen e gjykimit në Gjykatën e Lartë, ashtu edhe për kohëzgjatjen e procesit civil në tërësi, duke ngritur pretendime edhe për mungesën e efektivitetit të mjeteve të parashikuara nga KPC-ja për mbrojtjen e së drejtës për gjykim brenda një afati të arsyeshëm. </w:t>
      </w:r>
    </w:p>
    <w:p w14:paraId="02057487" w14:textId="65B68E61"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14. Gjykata Evropiane për të Drejtat e Njeriut </w:t>
      </w:r>
      <w:r w:rsidRPr="001B2A92">
        <w:rPr>
          <w:rFonts w:ascii="Garamond" w:eastAsiaTheme="minorHAnsi" w:hAnsi="Garamond" w:cs="Times New Roman"/>
          <w:i/>
          <w:iCs/>
          <w:color w:val="000000"/>
          <w:sz w:val="24"/>
          <w:szCs w:val="24"/>
        </w:rPr>
        <w:t>(GJEDNJ)</w:t>
      </w:r>
      <w:r w:rsidRPr="001B2A92">
        <w:rPr>
          <w:rFonts w:ascii="Garamond" w:eastAsiaTheme="minorHAnsi" w:hAnsi="Garamond" w:cs="Times New Roman"/>
          <w:color w:val="000000"/>
          <w:sz w:val="24"/>
          <w:szCs w:val="24"/>
        </w:rPr>
        <w:t xml:space="preserve"> ka pranuar se neni 13 i KEDNJ-së i lejon një shteti të zgjedhë midis një mjeti “parandalues ose përshpejtues”, i projektuar për të përshpejtuar procedurat në mënyrë që të parandalojë që ato të tejzgjasin dhe një mjeti “riparues, kompensues ose monetar” që parashikon korrigjimin </w:t>
      </w:r>
      <w:r w:rsidRPr="001B2A92">
        <w:rPr>
          <w:rFonts w:ascii="Garamond" w:eastAsiaTheme="minorHAnsi" w:hAnsi="Garamond" w:cs="Times New Roman"/>
          <w:i/>
          <w:iCs/>
          <w:color w:val="000000"/>
          <w:sz w:val="24"/>
          <w:szCs w:val="24"/>
        </w:rPr>
        <w:t>ex post facto</w:t>
      </w:r>
      <w:r w:rsidRPr="001B2A92">
        <w:rPr>
          <w:rFonts w:ascii="Garamond" w:eastAsiaTheme="minorHAnsi" w:hAnsi="Garamond" w:cs="Times New Roman"/>
          <w:color w:val="000000"/>
          <w:sz w:val="24"/>
          <w:szCs w:val="24"/>
        </w:rPr>
        <w:t xml:space="preserve"> për vonesat që kanë ndodhur tashmë, qoftë edhe nëse procedura është ende në shqyrtim. Ligjvënësi shqiptar ka parashikuar një zgjidhje të kombinuar përshpejtuese/parandaluese dhe kompensuese, në nenet 399/1 e vijues të KPC-së. Ky mekanizëm është vlerësuar, në parim, si efikas edhe nga GJEDNJ-ja, pasi mund të parandalojë vijimësinë e shkeljes së pretenduar të së drejtës së individit që çështja e tij të dëgjohet pa vonesa të tepërta, si dhe të garantojë korrigjimin e duhur për shkeljet që kanë ndodhur </w:t>
      </w:r>
      <w:r w:rsidR="001B2A92">
        <w:rPr>
          <w:rFonts w:ascii="Garamond" w:eastAsiaTheme="minorHAnsi" w:hAnsi="Garamond" w:cs="Times New Roman"/>
          <w:i/>
          <w:iCs/>
          <w:color w:val="000000"/>
          <w:sz w:val="24"/>
          <w:szCs w:val="24"/>
        </w:rPr>
        <w:t>(shih vendimet nr. 58, datë 17.9.2024; nr. 11, datë 28.2.2024; nr. 44, datë 26.</w:t>
      </w:r>
      <w:r w:rsidRPr="001B2A92">
        <w:rPr>
          <w:rFonts w:ascii="Garamond" w:eastAsiaTheme="minorHAnsi" w:hAnsi="Garamond" w:cs="Times New Roman"/>
          <w:i/>
          <w:iCs/>
          <w:color w:val="000000"/>
          <w:sz w:val="24"/>
          <w:szCs w:val="24"/>
        </w:rPr>
        <w:t>9.2023</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të Gjykatës Kushtetuese)</w:t>
      </w:r>
      <w:r w:rsidRPr="001B2A92">
        <w:rPr>
          <w:rFonts w:ascii="Garamond" w:eastAsiaTheme="minorHAnsi" w:hAnsi="Garamond" w:cs="Times New Roman"/>
          <w:color w:val="000000"/>
          <w:sz w:val="24"/>
          <w:szCs w:val="24"/>
        </w:rPr>
        <w:t>.</w:t>
      </w:r>
    </w:p>
    <w:p w14:paraId="26540076" w14:textId="23E8219C"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15. Në rastin në shqyrtim, Gjykata vëren se kërkuesja, në datën </w:t>
      </w:r>
      <w:r w:rsidRPr="001B2A92">
        <w:rPr>
          <w:rFonts w:ascii="Garamond" w:eastAsiaTheme="minorHAnsi" w:hAnsi="Garamond" w:cs="Times New Roman"/>
          <w:color w:val="222222"/>
          <w:sz w:val="24"/>
          <w:szCs w:val="24"/>
        </w:rPr>
        <w:t xml:space="preserve">25.11.2024, ka përdorur mjetin </w:t>
      </w:r>
      <w:r w:rsidRPr="001B2A92">
        <w:rPr>
          <w:rFonts w:ascii="Garamond" w:eastAsiaTheme="minorHAnsi" w:hAnsi="Garamond" w:cs="Times New Roman"/>
          <w:color w:val="000000"/>
          <w:sz w:val="24"/>
          <w:szCs w:val="24"/>
        </w:rPr>
        <w:t xml:space="preserve">parandalues/përshpejtues, por gjykimi i kërkesës së saj është pushuar me vendimin e </w:t>
      </w:r>
      <w:r w:rsidR="001B2A92">
        <w:rPr>
          <w:rFonts w:ascii="Garamond" w:eastAsiaTheme="minorHAnsi" w:hAnsi="Garamond" w:cs="Times New Roman"/>
          <w:color w:val="222222"/>
          <w:sz w:val="24"/>
          <w:szCs w:val="24"/>
        </w:rPr>
        <w:t>datës 16.</w:t>
      </w:r>
      <w:r w:rsidRPr="001B2A92">
        <w:rPr>
          <w:rFonts w:ascii="Garamond" w:eastAsiaTheme="minorHAnsi" w:hAnsi="Garamond" w:cs="Times New Roman"/>
          <w:color w:val="222222"/>
          <w:sz w:val="24"/>
          <w:szCs w:val="24"/>
        </w:rPr>
        <w:t xml:space="preserve">1.2025, të </w:t>
      </w:r>
      <w:r w:rsidRPr="001B2A92">
        <w:rPr>
          <w:rFonts w:ascii="Garamond" w:eastAsiaTheme="minorHAnsi" w:hAnsi="Garamond" w:cs="Times New Roman"/>
          <w:color w:val="000000"/>
          <w:sz w:val="24"/>
          <w:szCs w:val="24"/>
        </w:rPr>
        <w:t xml:space="preserve">Kolegjit Administrativ të Gjykatës së Lartë, </w:t>
      </w:r>
      <w:r w:rsidRPr="001B2A92">
        <w:rPr>
          <w:rFonts w:ascii="Garamond" w:eastAsiaTheme="minorHAnsi" w:hAnsi="Garamond" w:cs="Times New Roman"/>
          <w:color w:val="222222"/>
          <w:sz w:val="24"/>
          <w:szCs w:val="24"/>
        </w:rPr>
        <w:t>me arsyetimin se çështja civil</w:t>
      </w:r>
      <w:r w:rsidR="001B2A92">
        <w:rPr>
          <w:rFonts w:ascii="Garamond" w:eastAsiaTheme="minorHAnsi" w:hAnsi="Garamond" w:cs="Times New Roman"/>
          <w:color w:val="222222"/>
          <w:sz w:val="24"/>
          <w:szCs w:val="24"/>
        </w:rPr>
        <w:t>e do të shqyrtohej në datën 29.</w:t>
      </w:r>
      <w:r w:rsidRPr="001B2A92">
        <w:rPr>
          <w:rFonts w:ascii="Garamond" w:eastAsiaTheme="minorHAnsi" w:hAnsi="Garamond" w:cs="Times New Roman"/>
          <w:color w:val="222222"/>
          <w:sz w:val="24"/>
          <w:szCs w:val="24"/>
        </w:rPr>
        <w:t>1.2025 (</w:t>
      </w:r>
      <w:r w:rsidRPr="001B2A92">
        <w:rPr>
          <w:rFonts w:ascii="Garamond" w:eastAsiaTheme="minorHAnsi" w:hAnsi="Garamond" w:cs="Times New Roman"/>
          <w:i/>
          <w:iCs/>
          <w:color w:val="222222"/>
          <w:sz w:val="24"/>
          <w:szCs w:val="24"/>
        </w:rPr>
        <w:t>shih supra paragrafin 3</w:t>
      </w:r>
      <w:r w:rsidRPr="001B2A92">
        <w:rPr>
          <w:rFonts w:ascii="Garamond" w:eastAsiaTheme="minorHAnsi" w:hAnsi="Garamond" w:cs="Times New Roman"/>
          <w:color w:val="222222"/>
          <w:sz w:val="24"/>
          <w:szCs w:val="24"/>
        </w:rPr>
        <w:t xml:space="preserve">). Megjithatë, sipas </w:t>
      </w:r>
      <w:r w:rsidRPr="001B2A92">
        <w:rPr>
          <w:rFonts w:ascii="Garamond" w:eastAsiaTheme="minorHAnsi" w:hAnsi="Garamond" w:cs="Times New Roman"/>
          <w:color w:val="000000"/>
          <w:sz w:val="24"/>
          <w:szCs w:val="24"/>
        </w:rPr>
        <w:t xml:space="preserve">informacionit të përcjellë nga Gjykata e Lartë, por edhe të dhënave në faqen zyrtare të saj, çështja e kërkueses nuk është </w:t>
      </w:r>
      <w:r w:rsidR="001B2A92">
        <w:rPr>
          <w:rFonts w:ascii="Garamond" w:eastAsiaTheme="minorHAnsi" w:hAnsi="Garamond" w:cs="Times New Roman"/>
          <w:color w:val="000000"/>
          <w:sz w:val="24"/>
          <w:szCs w:val="24"/>
        </w:rPr>
        <w:t>ë</w:t>
      </w:r>
      <w:r w:rsidRPr="001B2A92">
        <w:rPr>
          <w:rFonts w:ascii="Garamond" w:eastAsiaTheme="minorHAnsi" w:hAnsi="Garamond" w:cs="Times New Roman"/>
          <w:color w:val="000000"/>
          <w:sz w:val="24"/>
          <w:szCs w:val="24"/>
        </w:rPr>
        <w:t>sht</w:t>
      </w:r>
      <w:r w:rsidR="001B2A92">
        <w:rPr>
          <w:rFonts w:ascii="Garamond" w:eastAsiaTheme="minorHAnsi" w:hAnsi="Garamond" w:cs="Times New Roman"/>
          <w:color w:val="000000"/>
          <w:sz w:val="24"/>
          <w:szCs w:val="24"/>
        </w:rPr>
        <w:t>ë</w:t>
      </w:r>
      <w:r w:rsidRPr="001B2A92">
        <w:rPr>
          <w:rFonts w:ascii="Garamond" w:eastAsiaTheme="minorHAnsi" w:hAnsi="Garamond" w:cs="Times New Roman"/>
          <w:color w:val="000000"/>
          <w:sz w:val="24"/>
          <w:szCs w:val="24"/>
        </w:rPr>
        <w:t xml:space="preserve"> shqyrtuar në datën e planifikuar, për shkak të </w:t>
      </w:r>
      <w:r w:rsidRPr="001B2A92">
        <w:rPr>
          <w:rFonts w:ascii="Garamond" w:eastAsiaTheme="minorHAnsi" w:hAnsi="Garamond" w:cs="Times New Roman"/>
          <w:color w:val="212529"/>
          <w:sz w:val="24"/>
          <w:szCs w:val="24"/>
        </w:rPr>
        <w:t>pengesës ligjore të trupit gjykues. Ajo ësh</w:t>
      </w:r>
      <w:r w:rsidR="001B2A92">
        <w:rPr>
          <w:rFonts w:ascii="Garamond" w:eastAsiaTheme="minorHAnsi" w:hAnsi="Garamond" w:cs="Times New Roman"/>
          <w:color w:val="212529"/>
          <w:sz w:val="24"/>
          <w:szCs w:val="24"/>
        </w:rPr>
        <w:t>të planifikuar për në datën 17.</w:t>
      </w:r>
      <w:r w:rsidRPr="001B2A92">
        <w:rPr>
          <w:rFonts w:ascii="Garamond" w:eastAsiaTheme="minorHAnsi" w:hAnsi="Garamond" w:cs="Times New Roman"/>
          <w:color w:val="212529"/>
          <w:sz w:val="24"/>
          <w:szCs w:val="24"/>
        </w:rPr>
        <w:t xml:space="preserve">9.2025, por sërish nuk është shqyrtuar për shkak të mosformimit të trupit gjykues. Çështja </w:t>
      </w:r>
      <w:r w:rsidR="001B2A92">
        <w:rPr>
          <w:rFonts w:ascii="Garamond" w:eastAsiaTheme="minorHAnsi" w:hAnsi="Garamond" w:cs="Times New Roman"/>
          <w:color w:val="212529"/>
          <w:sz w:val="24"/>
          <w:szCs w:val="24"/>
        </w:rPr>
        <w:t xml:space="preserve">është shqyrtuar vetëm në datën </w:t>
      </w:r>
      <w:r w:rsidRPr="001B2A92">
        <w:rPr>
          <w:rFonts w:ascii="Garamond" w:eastAsiaTheme="minorHAnsi" w:hAnsi="Garamond" w:cs="Times New Roman"/>
          <w:color w:val="212529"/>
          <w:sz w:val="24"/>
          <w:szCs w:val="24"/>
        </w:rPr>
        <w:t>5.11.2025 dhe Kolegji Civil i Gjykatës së Lartë ka vendosur prishjen e vendimit nr. 1255, datë 23.11.2016</w:t>
      </w:r>
      <w:r w:rsidR="001B2A92">
        <w:rPr>
          <w:rFonts w:ascii="Garamond" w:eastAsiaTheme="minorHAnsi" w:hAnsi="Garamond" w:cs="Times New Roman"/>
          <w:color w:val="212529"/>
          <w:sz w:val="24"/>
          <w:szCs w:val="24"/>
        </w:rPr>
        <w:t>,</w:t>
      </w:r>
      <w:r w:rsidRPr="001B2A92">
        <w:rPr>
          <w:rFonts w:ascii="Garamond" w:eastAsiaTheme="minorHAnsi" w:hAnsi="Garamond" w:cs="Times New Roman"/>
          <w:color w:val="212529"/>
          <w:sz w:val="24"/>
          <w:szCs w:val="24"/>
        </w:rPr>
        <w:t xml:space="preserve"> të Gjykatës së Apelit Vlorë dhe dërgimin e çështjes për rishqyrtim në Gjykatën e Apelit të Juridiksionit të Përgjithshëm. Në këto rrethana, </w:t>
      </w:r>
      <w:r w:rsidRPr="001B2A92">
        <w:rPr>
          <w:rFonts w:ascii="Garamond" w:eastAsiaTheme="minorHAnsi" w:hAnsi="Garamond" w:cs="Times New Roman"/>
          <w:color w:val="000000"/>
          <w:sz w:val="24"/>
          <w:szCs w:val="24"/>
        </w:rPr>
        <w:t>çështja civile e kërkueses është shqyrtuar pas 8 vjet e 6 muaj nga regjistrimi i saj në Gjykatën e Lartë dhe pas gati 1 viti nga përdorimi prej saj të mjetit parandalues dhe përshpejtues, duke përfunduar me dërgimin e saj për rishqyrtim në gjykatën e apelit. Për rrjedhojë, Gjykata çmon se mjetet juridike nuk kanë qenë efektive për përshpejtimin e procedurave dhe kërkuesja nuk ka më mjete juridike efektive në dispozicion, përveç paraqitjes së ankimit kushtetues individual.</w:t>
      </w:r>
    </w:p>
    <w:p w14:paraId="7FA28928" w14:textId="2B4CBE25"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16. Kërkuesja legjitimohet edhe </w:t>
      </w:r>
      <w:r w:rsidRPr="001B2A92">
        <w:rPr>
          <w:rFonts w:ascii="Garamond" w:eastAsiaTheme="minorHAnsi" w:hAnsi="Garamond" w:cs="Times New Roman"/>
          <w:i/>
          <w:iCs/>
          <w:color w:val="000000"/>
          <w:sz w:val="24"/>
          <w:szCs w:val="24"/>
        </w:rPr>
        <w:t>ratione temporis,</w:t>
      </w:r>
      <w:r w:rsidRPr="001B2A92">
        <w:rPr>
          <w:rFonts w:ascii="Garamond" w:eastAsiaTheme="minorHAnsi" w:hAnsi="Garamond" w:cs="Times New Roman"/>
          <w:color w:val="000000"/>
          <w:sz w:val="24"/>
          <w:szCs w:val="24"/>
        </w:rPr>
        <w:t xml:space="preserve"> në kuptim të përmbajtjes së nenit 71/a, pika 1, shkronja “b”, të ligjit organik të Gjykatës, pasi jo vetëm që shkelja është vazhduese, por edhe se vendimi i Gjykatës së Lartë objekt ankimi i është njoftuar përfaqësuesit të kërkueses në a</w:t>
      </w:r>
      <w:r w:rsidR="001B2A92">
        <w:rPr>
          <w:rFonts w:ascii="Garamond" w:eastAsiaTheme="minorHAnsi" w:hAnsi="Garamond" w:cs="Times New Roman"/>
          <w:color w:val="000000"/>
          <w:sz w:val="24"/>
          <w:szCs w:val="24"/>
        </w:rPr>
        <w:t>dresën elektronike në datën 11.</w:t>
      </w:r>
      <w:r w:rsidRPr="001B2A92">
        <w:rPr>
          <w:rFonts w:ascii="Garamond" w:eastAsiaTheme="minorHAnsi" w:hAnsi="Garamond" w:cs="Times New Roman"/>
          <w:color w:val="000000"/>
          <w:sz w:val="24"/>
          <w:szCs w:val="24"/>
        </w:rPr>
        <w:t xml:space="preserve">2.2025, kurse ankimi kushtetues individual është paraqitur në datën </w:t>
      </w:r>
      <w:r w:rsidR="001B2A92">
        <w:rPr>
          <w:rFonts w:ascii="Garamond" w:eastAsiaTheme="minorHAnsi" w:hAnsi="Garamond" w:cs="Times New Roman"/>
          <w:color w:val="222222"/>
          <w:sz w:val="24"/>
          <w:szCs w:val="24"/>
        </w:rPr>
        <w:t>9.</w:t>
      </w:r>
      <w:r w:rsidRPr="001B2A92">
        <w:rPr>
          <w:rFonts w:ascii="Garamond" w:eastAsiaTheme="minorHAnsi" w:hAnsi="Garamond" w:cs="Times New Roman"/>
          <w:color w:val="222222"/>
          <w:sz w:val="24"/>
          <w:szCs w:val="24"/>
        </w:rPr>
        <w:t xml:space="preserve">6.2025 (sipas shërbimit postar), pra </w:t>
      </w:r>
      <w:r w:rsidRPr="001B2A92">
        <w:rPr>
          <w:rFonts w:ascii="Garamond" w:eastAsiaTheme="minorHAnsi" w:hAnsi="Garamond" w:cs="Times New Roman"/>
          <w:color w:val="000000"/>
          <w:sz w:val="24"/>
          <w:szCs w:val="24"/>
        </w:rPr>
        <w:t>brenda afatit ligjor 4-mujor.</w:t>
      </w:r>
    </w:p>
    <w:p w14:paraId="1974AFA8" w14:textId="6BBF4B00"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17. Në drejtim të legjitimimit </w:t>
      </w:r>
      <w:r w:rsidRPr="001B2A92">
        <w:rPr>
          <w:rFonts w:ascii="Garamond" w:eastAsiaTheme="minorHAnsi" w:hAnsi="Garamond" w:cs="Times New Roman"/>
          <w:i/>
          <w:iCs/>
          <w:color w:val="000000"/>
          <w:sz w:val="24"/>
          <w:szCs w:val="24"/>
        </w:rPr>
        <w:t>ratione materiae</w:t>
      </w:r>
      <w:r w:rsidRPr="001B2A92">
        <w:rPr>
          <w:rFonts w:ascii="Garamond" w:eastAsiaTheme="minorHAnsi" w:hAnsi="Garamond" w:cs="Times New Roman"/>
          <w:color w:val="000000"/>
          <w:sz w:val="24"/>
          <w:szCs w:val="24"/>
        </w:rPr>
        <w:t xml:space="preserve">, kërkuesja pretendon cenimin e së drejtës për gjykim brenda afatit të arsyeshëm, të garantuar nga neni 42 i Kushtetutës, i cili </w:t>
      </w:r>
      <w:r w:rsidRPr="001B2A92">
        <w:rPr>
          <w:rFonts w:ascii="Garamond" w:eastAsiaTheme="minorHAnsi" w:hAnsi="Garamond" w:cs="Times New Roman"/>
          <w:i/>
          <w:iCs/>
          <w:color w:val="000000"/>
          <w:sz w:val="24"/>
          <w:szCs w:val="24"/>
        </w:rPr>
        <w:t>prima facie</w:t>
      </w:r>
      <w:r w:rsidRPr="001B2A92">
        <w:rPr>
          <w:rFonts w:ascii="Garamond" w:eastAsiaTheme="minorHAnsi" w:hAnsi="Garamond" w:cs="Times New Roman"/>
          <w:color w:val="000000"/>
          <w:sz w:val="24"/>
          <w:szCs w:val="24"/>
        </w:rPr>
        <w:t xml:space="preserve"> bën pjesë në juridiksionin kushtetues, ndaj do të analizohet në vijim.</w:t>
      </w:r>
    </w:p>
    <w:p w14:paraId="4A940CA8" w14:textId="47767865"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i/>
          <w:iCs/>
          <w:color w:val="000000"/>
          <w:sz w:val="24"/>
          <w:szCs w:val="24"/>
        </w:rPr>
        <w:t xml:space="preserve">B. Për themelin e pretendimeve </w:t>
      </w:r>
    </w:p>
    <w:p w14:paraId="2CB661D3" w14:textId="11FE60DA" w:rsidR="0006667F" w:rsidRPr="001B2A92" w:rsidRDefault="001B2A92"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i/>
          <w:iCs/>
          <w:color w:val="000000"/>
          <w:sz w:val="24"/>
          <w:szCs w:val="24"/>
        </w:rPr>
        <w:t>B.1</w:t>
      </w:r>
      <w:r w:rsidR="0006667F" w:rsidRPr="001B2A92">
        <w:rPr>
          <w:rFonts w:ascii="Garamond" w:eastAsiaTheme="minorHAnsi" w:hAnsi="Garamond" w:cs="Times New Roman"/>
          <w:i/>
          <w:iCs/>
          <w:color w:val="000000"/>
          <w:sz w:val="24"/>
          <w:szCs w:val="24"/>
        </w:rPr>
        <w:t xml:space="preserve"> Për cenimin e së drejtës për gjykim brenda një afati të arsyeshëm</w:t>
      </w:r>
    </w:p>
    <w:p w14:paraId="6BD3987E" w14:textId="230E5A48"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18. Kërkuesja ka pretenduar se Gjykata e Lartë nuk e ka shqyrtuar çështjen civile të saj brenda afatit 2-vjeçar të parashikuar nga neni 399/2, pika 1, shkronja “b”, të KPC-së. Ky shqyrtim tashmë ka zgjatur më shumë se 8 vjet, pa qenë ajo shkak i zvarritjes, ndërkohë që çështja nuk paraqitet komplekse dhe reforma në drejtësi nuk mund të përdoret si justifikim për vonesën. Zvarritja e gjykimit rrezikon gëzimin e së drejtës së pronës, ndërsa ajo është 84 vjeç. Sipas saj, pushimi i gjykimit të kërkesës për konstatimin e cenimit të afatit për shkak të planifikimit të një date gjykimi, e cila në fakt nuk u respektua, e ka privuar nga e drejta për të kërkuar shpërblimin e dëmit sipas nenit 399/4, pika 2, të KPC-së. Ajo thekson se kohëzgjatja tërësore e procesit ka kaluar 14 vjet dhe mund të dyfishohet në rast të rikthimit të çështjes në shkallë të parë.</w:t>
      </w:r>
    </w:p>
    <w:p w14:paraId="2F8E067F" w14:textId="48B1C92D"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19. Neni 42 i Kushtetutës parashikon, ndër të tjera, se kushdo për mbrojtjen e të drejtave të tij kushtetuese dhe ligjore ka të drejtën e një gjykimi brenda një afati të arsyeshëm. Në jurisprudencën e saj Gjykata ka vlerësuar se kohëzgjatja e gjykimit llogaritet nga momenti i fillimit të procesit deri në dhënien e vendimit, duke përfshirë edhe vonesat e lidhura me reformën në drejtësi, të cilat nuk mund të rëndojnë mbi palët ndërgjyqëse</w:t>
      </w:r>
      <w:r w:rsidR="001B2A92">
        <w:rPr>
          <w:rFonts w:ascii="Garamond" w:eastAsiaTheme="minorHAnsi" w:hAnsi="Garamond" w:cs="Times New Roman"/>
          <w:i/>
          <w:iCs/>
          <w:color w:val="000000"/>
          <w:sz w:val="24"/>
          <w:szCs w:val="24"/>
        </w:rPr>
        <w:t xml:space="preserve"> (shih vendimet nr. 15, datë 3.4.2025; nr. 57, datë 17.9.2024; nr. 2, datë 17.</w:t>
      </w:r>
      <w:r w:rsidRPr="001B2A92">
        <w:rPr>
          <w:rFonts w:ascii="Garamond" w:eastAsiaTheme="minorHAnsi" w:hAnsi="Garamond" w:cs="Times New Roman"/>
          <w:i/>
          <w:iCs/>
          <w:color w:val="000000"/>
          <w:sz w:val="24"/>
          <w:szCs w:val="24"/>
        </w:rPr>
        <w:t>2.2022</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të Gjykatës Kushtetuese)</w:t>
      </w:r>
      <w:r w:rsidRPr="001B2A92">
        <w:rPr>
          <w:rFonts w:ascii="Garamond" w:eastAsiaTheme="minorHAnsi" w:hAnsi="Garamond" w:cs="Times New Roman"/>
          <w:color w:val="000000"/>
          <w:sz w:val="24"/>
          <w:szCs w:val="24"/>
        </w:rPr>
        <w:t xml:space="preserve">. </w:t>
      </w:r>
    </w:p>
    <w:p w14:paraId="769BFF30" w14:textId="02D0BC91"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20. Në rastin konkret, mosmarrëveshja që po gjykohet në gjykatat e juridiksionit të zakonshëm lidhet me të drejtën e pronës, në kuadrin e procesit të kthimit dhe kompensimit të pronave. Procesi është vënë në </w:t>
      </w:r>
      <w:r w:rsidR="001B2A92">
        <w:rPr>
          <w:rFonts w:ascii="Garamond" w:eastAsiaTheme="minorHAnsi" w:hAnsi="Garamond" w:cs="Times New Roman"/>
          <w:color w:val="000000"/>
          <w:sz w:val="24"/>
          <w:szCs w:val="24"/>
        </w:rPr>
        <w:t>lëvizje nga kërkuesja në datën 9.</w:t>
      </w:r>
      <w:r w:rsidRPr="001B2A92">
        <w:rPr>
          <w:rFonts w:ascii="Garamond" w:eastAsiaTheme="minorHAnsi" w:hAnsi="Garamond" w:cs="Times New Roman"/>
          <w:color w:val="000000"/>
          <w:sz w:val="24"/>
          <w:szCs w:val="24"/>
        </w:rPr>
        <w:t xml:space="preserve">2.2011 dhe në shkallë të </w:t>
      </w:r>
      <w:r w:rsidR="001B2A92">
        <w:rPr>
          <w:rFonts w:ascii="Garamond" w:eastAsiaTheme="minorHAnsi" w:hAnsi="Garamond" w:cs="Times New Roman"/>
          <w:color w:val="000000"/>
          <w:sz w:val="24"/>
          <w:szCs w:val="24"/>
        </w:rPr>
        <w:t>parë ka përfunduar në datën 26.</w:t>
      </w:r>
      <w:r w:rsidRPr="001B2A92">
        <w:rPr>
          <w:rFonts w:ascii="Garamond" w:eastAsiaTheme="minorHAnsi" w:hAnsi="Garamond" w:cs="Times New Roman"/>
          <w:color w:val="000000"/>
          <w:sz w:val="24"/>
          <w:szCs w:val="24"/>
        </w:rPr>
        <w:t>2.2015, në favor të kërkueses, por pa pranuar sigurimin e padisë. Në apel çështja ka përfunduar në datën 23.11.2016, por pa vendim përfundimtar, ndërsa ajo është kthyer për rigjykim në shkallë të parë. Para se rigjykimi të vijonte, pala kundërshtare e kërkueses ka paraqitur rekurs dhe çështja është regjistruar në Gjykatën e Lartë n</w:t>
      </w:r>
      <w:r w:rsidR="001B2A92">
        <w:rPr>
          <w:rFonts w:ascii="Garamond" w:eastAsiaTheme="minorHAnsi" w:hAnsi="Garamond" w:cs="Times New Roman"/>
          <w:color w:val="000000"/>
          <w:sz w:val="24"/>
          <w:szCs w:val="24"/>
        </w:rPr>
        <w:t>ë datën 7.</w:t>
      </w:r>
      <w:r w:rsidRPr="001B2A92">
        <w:rPr>
          <w:rFonts w:ascii="Garamond" w:eastAsiaTheme="minorHAnsi" w:hAnsi="Garamond" w:cs="Times New Roman"/>
          <w:color w:val="000000"/>
          <w:sz w:val="24"/>
          <w:szCs w:val="24"/>
        </w:rPr>
        <w:t>5.2017. Përpjekjet e kërkueses për përshpejtim (kërke</w:t>
      </w:r>
      <w:r w:rsidR="001B2A92">
        <w:rPr>
          <w:rFonts w:ascii="Garamond" w:eastAsiaTheme="minorHAnsi" w:hAnsi="Garamond" w:cs="Times New Roman"/>
          <w:color w:val="000000"/>
          <w:sz w:val="24"/>
          <w:szCs w:val="24"/>
        </w:rPr>
        <w:t>sat e datave 7.11.2023 dhe 17.</w:t>
      </w:r>
      <w:r w:rsidRPr="001B2A92">
        <w:rPr>
          <w:rFonts w:ascii="Garamond" w:eastAsiaTheme="minorHAnsi" w:hAnsi="Garamond" w:cs="Times New Roman"/>
          <w:color w:val="000000"/>
          <w:sz w:val="24"/>
          <w:szCs w:val="24"/>
        </w:rPr>
        <w:t>1.2024) nuk kanë sjell rezultat. Në datën 25.11.2024</w:t>
      </w:r>
      <w:r w:rsidR="001B2A92">
        <w:rPr>
          <w:rFonts w:ascii="Garamond" w:eastAsiaTheme="minorHAnsi" w:hAnsi="Garamond" w:cs="Times New Roman"/>
          <w:color w:val="000000"/>
          <w:sz w:val="24"/>
          <w:szCs w:val="24"/>
        </w:rPr>
        <w:t>,</w:t>
      </w:r>
      <w:r w:rsidRPr="001B2A92">
        <w:rPr>
          <w:rFonts w:ascii="Garamond" w:eastAsiaTheme="minorHAnsi" w:hAnsi="Garamond" w:cs="Times New Roman"/>
          <w:color w:val="000000"/>
          <w:sz w:val="24"/>
          <w:szCs w:val="24"/>
        </w:rPr>
        <w:t xml:space="preserve"> ajo ka përdorur mjetin parandalues dhe përshpejtues, por Gjykata e Lartë ka pushuar gjykimin e kësaj kërkese, duke u mbështetur në planifikimin për shqyrtimin e çështjes civile. Në fakt, për shkak të pengesave ligjore dhe mosformimit të trupit gjykues, çështja </w:t>
      </w:r>
      <w:r w:rsidR="001B2A92">
        <w:rPr>
          <w:rFonts w:ascii="Garamond" w:eastAsiaTheme="minorHAnsi" w:hAnsi="Garamond" w:cs="Times New Roman"/>
          <w:color w:val="000000"/>
          <w:sz w:val="24"/>
          <w:szCs w:val="24"/>
        </w:rPr>
        <w:t xml:space="preserve">është shqyrtuar vetëm në datën </w:t>
      </w:r>
      <w:r w:rsidRPr="001B2A92">
        <w:rPr>
          <w:rFonts w:ascii="Garamond" w:eastAsiaTheme="minorHAnsi" w:hAnsi="Garamond" w:cs="Times New Roman"/>
          <w:color w:val="000000"/>
          <w:sz w:val="24"/>
          <w:szCs w:val="24"/>
        </w:rPr>
        <w:t xml:space="preserve">5.11.2025, duke u dërguar për rishqyrtim në gjykatën e apelit, e cila </w:t>
      </w:r>
      <w:r w:rsidRPr="001B2A92">
        <w:rPr>
          <w:rFonts w:ascii="Garamond" w:eastAsiaTheme="minorHAnsi" w:hAnsi="Garamond" w:cs="Times New Roman"/>
          <w:color w:val="222222"/>
          <w:sz w:val="24"/>
          <w:szCs w:val="24"/>
        </w:rPr>
        <w:t xml:space="preserve">tashmë duhet të shqyrtojë sërish çështjen. </w:t>
      </w:r>
    </w:p>
    <w:p w14:paraId="5999D876" w14:textId="586B52F1"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21. Gjykata konstaton se shqyrtimi i çështjes së kërkueses në Gjykatën e Lartë ka tejkaluar dukshëm afatin 2-vjeçar të parashikuar në nenin 399/2, pika 1, shkronja “b”, të KPC-së, përfshirë edhe zgjatjen e tij me 1 vit e 6 muaj të parashikuar në dispozitën kalimtare (neni 109, pika 4, shkronja “b”) të ligjit ndryshues të KPC-së (ligjit nr. 38/2017, datë 30.3.2017), i zbatueshëm në rastin konkret. </w:t>
      </w:r>
    </w:p>
    <w:p w14:paraId="7E1202CD" w14:textId="23683D43"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22. Në analizën e afatit të arsyeshëm, Gjykata ka theksuar se arsyeshmëria e kohëzgjatjes së procedurave vlerësohet </w:t>
      </w:r>
      <w:r w:rsidR="001B2A92">
        <w:rPr>
          <w:rFonts w:ascii="Garamond" w:eastAsiaTheme="minorHAnsi" w:hAnsi="Garamond" w:cs="Times New Roman"/>
          <w:color w:val="000000"/>
          <w:sz w:val="24"/>
          <w:szCs w:val="24"/>
        </w:rPr>
        <w:t>nën dritën e këtyre kritereve: i. sjellja e kërkuesit; ii. kompleksiteti i çështjes; iii. sjellja e autoriteteve; iv.</w:t>
      </w:r>
      <w:r w:rsidRPr="001B2A92">
        <w:rPr>
          <w:rFonts w:ascii="Garamond" w:eastAsiaTheme="minorHAnsi" w:hAnsi="Garamond" w:cs="Times New Roman"/>
          <w:color w:val="000000"/>
          <w:sz w:val="24"/>
          <w:szCs w:val="24"/>
        </w:rPr>
        <w:t xml:space="preserve"> rëndësia e asaj çfarë rrezikon kërkuesi (</w:t>
      </w:r>
      <w:r w:rsidR="001B2A92">
        <w:rPr>
          <w:rFonts w:ascii="Garamond" w:eastAsiaTheme="minorHAnsi" w:hAnsi="Garamond" w:cs="Times New Roman"/>
          <w:i/>
          <w:iCs/>
          <w:color w:val="000000"/>
          <w:sz w:val="24"/>
          <w:szCs w:val="24"/>
        </w:rPr>
        <w:t>shih vendimet nr. 15, datë 3.</w:t>
      </w:r>
      <w:r w:rsidRPr="001B2A92">
        <w:rPr>
          <w:rFonts w:ascii="Garamond" w:eastAsiaTheme="minorHAnsi" w:hAnsi="Garamond" w:cs="Times New Roman"/>
          <w:i/>
          <w:iCs/>
          <w:color w:val="000000"/>
          <w:sz w:val="24"/>
          <w:szCs w:val="24"/>
        </w:rPr>
        <w:t xml:space="preserve">4.2025; nr. </w:t>
      </w:r>
      <w:r w:rsidR="001B2A92">
        <w:rPr>
          <w:rFonts w:ascii="Garamond" w:eastAsiaTheme="minorHAnsi" w:hAnsi="Garamond" w:cs="Times New Roman"/>
          <w:i/>
          <w:iCs/>
          <w:color w:val="000000"/>
          <w:sz w:val="24"/>
          <w:szCs w:val="24"/>
        </w:rPr>
        <w:t>57, datë 17.9.2024; nr. 6, datë 16.</w:t>
      </w:r>
      <w:r w:rsidRPr="001B2A92">
        <w:rPr>
          <w:rFonts w:ascii="Garamond" w:eastAsiaTheme="minorHAnsi" w:hAnsi="Garamond" w:cs="Times New Roman"/>
          <w:i/>
          <w:iCs/>
          <w:color w:val="000000"/>
          <w:sz w:val="24"/>
          <w:szCs w:val="24"/>
        </w:rPr>
        <w:t>2.2023</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të Gjykatës Kushtetuese</w:t>
      </w:r>
      <w:r w:rsidRPr="001B2A92">
        <w:rPr>
          <w:rFonts w:ascii="Garamond" w:eastAsiaTheme="minorHAnsi" w:hAnsi="Garamond" w:cs="Times New Roman"/>
          <w:color w:val="000000"/>
          <w:sz w:val="24"/>
          <w:szCs w:val="24"/>
        </w:rPr>
        <w:t xml:space="preserve">). </w:t>
      </w:r>
    </w:p>
    <w:p w14:paraId="14026DCF" w14:textId="614601A7"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B2A92">
        <w:rPr>
          <w:rFonts w:ascii="Garamond" w:eastAsiaTheme="minorHAnsi" w:hAnsi="Garamond" w:cs="Times New Roman"/>
          <w:color w:val="000000"/>
          <w:sz w:val="24"/>
          <w:szCs w:val="24"/>
        </w:rPr>
        <w:t>23. Në lidhje me kriterin e fundit, në jurisprudencën kushtetuese është theksuar se duke pasur parasysh atë që është në rrezik për kërkuesin,</w:t>
      </w:r>
      <w:r w:rsidRPr="001B2A92">
        <w:rPr>
          <w:rFonts w:ascii="Garamond" w:eastAsiaTheme="minorHAnsi" w:hAnsi="Garamond" w:cs="Times New Roman"/>
          <w:b/>
          <w:bCs/>
          <w:color w:val="000000"/>
          <w:sz w:val="24"/>
          <w:szCs w:val="24"/>
        </w:rPr>
        <w:t xml:space="preserve"> </w:t>
      </w:r>
      <w:r w:rsidRPr="001B2A92">
        <w:rPr>
          <w:rFonts w:ascii="Garamond" w:eastAsiaTheme="minorHAnsi" w:hAnsi="Garamond" w:cs="Times New Roman"/>
          <w:color w:val="000000"/>
          <w:sz w:val="24"/>
          <w:szCs w:val="24"/>
        </w:rPr>
        <w:t xml:space="preserve">disa çështje që lidhen me interesa “vetjakë e jetësorë” nevojitet të trajtohen me shpejtësi e përparësi, të tilla si ato që lidhen me statusin civil, kujdestarinë e fëmijëve, marrëdhëniet e punësimit, sëmundjet e pashërueshme, pensionin etj., edhe pse kjo listë nuk mund të jetë shteruese dhe interesi i kërkuesit verifikohet rast pas rasti </w:t>
      </w:r>
      <w:r w:rsidRPr="001B2A92">
        <w:rPr>
          <w:rFonts w:ascii="Garamond" w:hAnsi="Garamond"/>
          <w:i/>
          <w:sz w:val="24"/>
          <w:szCs w:val="24"/>
        </w:rPr>
        <w:t xml:space="preserve">(shih vendimet nr. 43, datë </w:t>
      </w:r>
      <w:r w:rsidR="001B2A92" w:rsidRPr="001B2A92">
        <w:rPr>
          <w:rFonts w:ascii="Garamond" w:hAnsi="Garamond"/>
          <w:i/>
          <w:sz w:val="24"/>
          <w:szCs w:val="24"/>
        </w:rPr>
        <w:t>4.</w:t>
      </w:r>
      <w:r w:rsidRPr="001B2A92">
        <w:rPr>
          <w:rFonts w:ascii="Garamond" w:hAnsi="Garamond"/>
          <w:i/>
          <w:sz w:val="24"/>
          <w:szCs w:val="24"/>
        </w:rPr>
        <w:t xml:space="preserve">6.2024; </w:t>
      </w:r>
      <w:r w:rsidR="001B2A92" w:rsidRPr="001B2A92">
        <w:rPr>
          <w:rFonts w:ascii="Garamond" w:hAnsi="Garamond"/>
          <w:i/>
          <w:sz w:val="24"/>
          <w:szCs w:val="24"/>
        </w:rPr>
        <w:t>nr. 21, datë 4.4.2024; nr. 6, datë 16.</w:t>
      </w:r>
      <w:r w:rsidRPr="001B2A92">
        <w:rPr>
          <w:rFonts w:ascii="Garamond" w:hAnsi="Garamond"/>
          <w:i/>
          <w:sz w:val="24"/>
          <w:szCs w:val="24"/>
        </w:rPr>
        <w:t>2.2023</w:t>
      </w:r>
      <w:r w:rsidR="001B2A92" w:rsidRPr="001B2A92">
        <w:rPr>
          <w:rFonts w:ascii="Garamond" w:hAnsi="Garamond"/>
          <w:i/>
          <w:sz w:val="24"/>
          <w:szCs w:val="24"/>
        </w:rPr>
        <w:t>,</w:t>
      </w:r>
      <w:r w:rsidRPr="001B2A92">
        <w:rPr>
          <w:rFonts w:ascii="Garamond" w:hAnsi="Garamond"/>
          <w:i/>
          <w:sz w:val="24"/>
          <w:szCs w:val="24"/>
        </w:rPr>
        <w:t xml:space="preserve"> të Gjykatës Kushtetuese).</w:t>
      </w:r>
      <w:r w:rsidRPr="001B2A92">
        <w:rPr>
          <w:rFonts w:ascii="Garamond" w:eastAsiaTheme="minorHAnsi" w:hAnsi="Garamond" w:cs="Times New Roman"/>
          <w:color w:val="000000"/>
          <w:sz w:val="24"/>
          <w:szCs w:val="24"/>
        </w:rPr>
        <w:t xml:space="preserve"> Megjithatë, kur kohëzgjatja e gjykimit ka qenë e konsiderueshme, Gjykata ka gjetur shkelje të së drejtës për gjykim brenda një afati të arsyeshëm edhe në rastet që nuk kërkonin ndonjë trajtim të veçantë me përparësi, të tilla si mosmarrëveshjet për të drejtën e pronës të lidhura me</w:t>
      </w:r>
      <w:r w:rsidRPr="001B2A92">
        <w:rPr>
          <w:rFonts w:ascii="Garamond" w:eastAsiaTheme="minorHAnsi" w:hAnsi="Garamond" w:cs="Times New Roman"/>
          <w:b/>
          <w:bCs/>
          <w:color w:val="000000"/>
          <w:sz w:val="24"/>
          <w:szCs w:val="24"/>
        </w:rPr>
        <w:t xml:space="preserve"> </w:t>
      </w:r>
      <w:r w:rsidRPr="001B2A92">
        <w:rPr>
          <w:rFonts w:ascii="Garamond" w:eastAsiaTheme="minorHAnsi" w:hAnsi="Garamond" w:cs="Times New Roman"/>
          <w:color w:val="000000"/>
          <w:sz w:val="24"/>
          <w:szCs w:val="24"/>
        </w:rPr>
        <w:t xml:space="preserve">procesin e kthimit dhe kompensimit të pronave </w:t>
      </w:r>
      <w:r w:rsidR="001B2A92">
        <w:rPr>
          <w:rFonts w:ascii="Garamond" w:eastAsiaTheme="minorHAnsi" w:hAnsi="Garamond" w:cs="Times New Roman"/>
          <w:i/>
          <w:iCs/>
          <w:color w:val="000000"/>
          <w:sz w:val="24"/>
          <w:szCs w:val="24"/>
        </w:rPr>
        <w:t xml:space="preserve">(shih vendimin nr. 46, date </w:t>
      </w:r>
      <w:r w:rsidRPr="001B2A92">
        <w:rPr>
          <w:rFonts w:ascii="Garamond" w:eastAsiaTheme="minorHAnsi" w:hAnsi="Garamond" w:cs="Times New Roman"/>
          <w:i/>
          <w:iCs/>
          <w:color w:val="000000"/>
          <w:sz w:val="24"/>
          <w:szCs w:val="24"/>
        </w:rPr>
        <w:t>3.10.2023</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të Gjykatës Kushtetuese). </w:t>
      </w:r>
    </w:p>
    <w:p w14:paraId="3C3B5113" w14:textId="010944D9"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B2A92">
        <w:rPr>
          <w:rFonts w:ascii="Garamond" w:eastAsiaTheme="minorHAnsi" w:hAnsi="Garamond" w:cs="Times New Roman"/>
          <w:color w:val="000000"/>
          <w:sz w:val="24"/>
          <w:szCs w:val="24"/>
        </w:rPr>
        <w:t xml:space="preserve">24. Duke verifikuar zbatimin e këtyre kritereve dhe standardeve kushtetuese në rastin konkret, Gjykata konstaton fillimisht se Gjykata e Lartë në vendimin e kundërshtuar, ndonëse i ka evidentuar kriteret e vlerësimit të arsyeshmërisë së kohëzgjatjes së procedurave gjyqësore, nuk ka bërë asnjë vlerësim konkret në raport me rrethanat e çështjes së kërkueses. Në këto rrethana, Gjykatës i kërkohet të verifikojë vetë këto kritere mbështetur në jurisprudencën e saj dhe atë të GJEDNJ-së. </w:t>
      </w:r>
    </w:p>
    <w:p w14:paraId="4AA22C8E" w14:textId="74C9967B"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B2A92">
        <w:rPr>
          <w:rFonts w:ascii="Garamond" w:eastAsiaTheme="minorHAnsi" w:hAnsi="Garamond" w:cs="Times New Roman"/>
          <w:color w:val="000000"/>
          <w:sz w:val="24"/>
          <w:szCs w:val="24"/>
        </w:rPr>
        <w:t xml:space="preserve">25. Gjykata vëren se duhet të shqyrtojë kohëzgjatjen e procedurave të gjykimit në Gjykatën e Lartë, </w:t>
      </w:r>
      <w:r w:rsidR="001B2A92">
        <w:rPr>
          <w:rFonts w:ascii="Garamond" w:eastAsiaTheme="minorHAnsi" w:hAnsi="Garamond" w:cs="Times New Roman"/>
          <w:color w:val="000000"/>
          <w:sz w:val="24"/>
          <w:szCs w:val="24"/>
        </w:rPr>
        <w:t>konkretisht periudhën nga data 7.</w:t>
      </w:r>
      <w:r w:rsidRPr="001B2A92">
        <w:rPr>
          <w:rFonts w:ascii="Garamond" w:eastAsiaTheme="minorHAnsi" w:hAnsi="Garamond" w:cs="Times New Roman"/>
          <w:color w:val="000000"/>
          <w:sz w:val="24"/>
          <w:szCs w:val="24"/>
        </w:rPr>
        <w:t>5.2017 e regjistrimit të çështjes në atë gjykatë dhe deri në dat</w:t>
      </w:r>
      <w:r w:rsidR="001B2A92">
        <w:rPr>
          <w:rFonts w:ascii="Garamond" w:eastAsiaTheme="minorHAnsi" w:hAnsi="Garamond" w:cs="Times New Roman"/>
          <w:color w:val="000000"/>
          <w:sz w:val="24"/>
          <w:szCs w:val="24"/>
        </w:rPr>
        <w:t xml:space="preserve">ën </w:t>
      </w:r>
      <w:r w:rsidRPr="001B2A92">
        <w:rPr>
          <w:rFonts w:ascii="Garamond" w:eastAsiaTheme="minorHAnsi" w:hAnsi="Garamond" w:cs="Times New Roman"/>
          <w:color w:val="000000"/>
          <w:sz w:val="24"/>
          <w:szCs w:val="24"/>
        </w:rPr>
        <w:t>5.11.2025</w:t>
      </w:r>
      <w:r w:rsidR="001B2A92">
        <w:rPr>
          <w:rFonts w:ascii="Garamond" w:eastAsiaTheme="minorHAnsi" w:hAnsi="Garamond" w:cs="Times New Roman"/>
          <w:color w:val="000000"/>
          <w:sz w:val="24"/>
          <w:szCs w:val="24"/>
        </w:rPr>
        <w:t>,</w:t>
      </w:r>
      <w:r w:rsidRPr="001B2A92">
        <w:rPr>
          <w:rFonts w:ascii="Garamond" w:eastAsiaTheme="minorHAnsi" w:hAnsi="Garamond" w:cs="Times New Roman"/>
          <w:color w:val="000000"/>
          <w:sz w:val="24"/>
          <w:szCs w:val="24"/>
        </w:rPr>
        <w:t xml:space="preserve"> të përfundimit të shqyrtimit të saj. Po ashtu, ajo duhet të shqyrtojë edhe kohëzgjatjen tërësore të procedurave të gjykimit në të gjitha shkallët e gjykimit. Në këtë drejtim, Gjykata është shprehur se KPC-ja ka parashikuar jo vetëm kohëzgjatjen që konsiderohet e arsyeshme për secilën shkallë të procesit, por edhe të drejtën e individit palë në procedura që të përdorë mjetet parandaluese në secilën shkallë gjykimi. Edhe pse sipas ligjit zgjidhja përshpejtuese/parandaluese dhe kompensuese zbatohet për çdo shkallë dhe fazë të veçantë të procesit, kohëzgjatja e procedurave në secilën shkallë vlerësohet edhe në raport me kohëzgjatjen tërësore të procesit. Po sipas saj, edhe pse vlerësimi i kërkesave për shkelje të afatit të arsyeshëm, në kuptim të parashikimeve procedurale të neneve 399/1 e vijues të KPC-së, bëhet në përputhje me rrethanat konkrete të çdo çështjeje të veçantë, kohëzgjatjen tërësore të saj dhe pasojat e kësaj kohëzgjatjeje në të drejtat e kërkuesit, qëllimi parësor i këtyre mjeteve juridike është njohja e shkeljes së kërkesës për “afat të arsyeshëm” dhe parandalimi i zgjatjes në mënyrë të tepruar të afatit të procesit përmes përshpejtimit të tij dhe, në enventualitet, korrigjimi i vonesave të ndodhura përmes shpërblimit të demit </w:t>
      </w:r>
      <w:r w:rsidRPr="001B2A92">
        <w:rPr>
          <w:rFonts w:ascii="Garamond" w:eastAsiaTheme="minorHAnsi" w:hAnsi="Garamond" w:cs="Times New Roman"/>
          <w:i/>
          <w:iCs/>
          <w:color w:val="000000"/>
          <w:sz w:val="24"/>
          <w:szCs w:val="24"/>
        </w:rPr>
        <w:t xml:space="preserve">(shih </w:t>
      </w:r>
      <w:r w:rsidR="001B2A92">
        <w:rPr>
          <w:rFonts w:ascii="Garamond" w:eastAsiaTheme="minorHAnsi" w:hAnsi="Garamond" w:cs="Times New Roman"/>
          <w:i/>
          <w:iCs/>
          <w:color w:val="000000"/>
          <w:sz w:val="24"/>
          <w:szCs w:val="24"/>
        </w:rPr>
        <w:t>vendimin nr. 11, datë 28.</w:t>
      </w:r>
      <w:r w:rsidRPr="001B2A92">
        <w:rPr>
          <w:rFonts w:ascii="Garamond" w:eastAsiaTheme="minorHAnsi" w:hAnsi="Garamond" w:cs="Times New Roman"/>
          <w:i/>
          <w:iCs/>
          <w:color w:val="000000"/>
          <w:sz w:val="24"/>
          <w:szCs w:val="24"/>
        </w:rPr>
        <w:t>2.2025</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të Gjykatës Kushtetuese). </w:t>
      </w:r>
    </w:p>
    <w:p w14:paraId="4A941795" w14:textId="4EC40C53"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26. Për sa i takon </w:t>
      </w:r>
      <w:r w:rsidRPr="001B2A92">
        <w:rPr>
          <w:rFonts w:ascii="Garamond" w:eastAsiaTheme="minorHAnsi" w:hAnsi="Garamond" w:cs="Times New Roman"/>
          <w:i/>
          <w:iCs/>
          <w:color w:val="000000"/>
          <w:sz w:val="24"/>
          <w:szCs w:val="24"/>
        </w:rPr>
        <w:t>sjelljes së kërkueses</w:t>
      </w:r>
      <w:r w:rsidRPr="001B2A92">
        <w:rPr>
          <w:rFonts w:ascii="Garamond" w:eastAsiaTheme="minorHAnsi" w:hAnsi="Garamond" w:cs="Times New Roman"/>
          <w:color w:val="000000"/>
          <w:sz w:val="24"/>
          <w:szCs w:val="24"/>
        </w:rPr>
        <w:t xml:space="preserve">, Gjykata konstaton se ajo nuk ka kontribuar në vonesa, përkundrazi, kërkuesja ka kërkuar në mënyrë aktive përshpejtimin e procedurave. Nuk ka ndonjë rrethanë që të tregojë se kërkuesja është bërë shkas për tejzgjatjen e procedurave të gjykimit të çështjes së saj në Gjykatën e Lartë. </w:t>
      </w:r>
    </w:p>
    <w:p w14:paraId="2E597A5C" w14:textId="3C7AB906"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27. Për sa i përket </w:t>
      </w:r>
      <w:r w:rsidRPr="001B2A92">
        <w:rPr>
          <w:rFonts w:ascii="Garamond" w:eastAsiaTheme="minorHAnsi" w:hAnsi="Garamond" w:cs="Times New Roman"/>
          <w:i/>
          <w:iCs/>
          <w:color w:val="000000"/>
          <w:sz w:val="24"/>
          <w:szCs w:val="24"/>
        </w:rPr>
        <w:t>kompleksitetit të çështjes</w:t>
      </w:r>
      <w:r w:rsidRPr="001B2A92">
        <w:rPr>
          <w:rFonts w:ascii="Garamond" w:eastAsiaTheme="minorHAnsi" w:hAnsi="Garamond" w:cs="Times New Roman"/>
          <w:color w:val="000000"/>
          <w:sz w:val="24"/>
          <w:szCs w:val="24"/>
        </w:rPr>
        <w:t>, Gjykata vëren se ajo nuk paraqitet veçanërisht komplekse për nga objekti i kontrollit të Gjykatës së Lartë, ndërsa ai ka konsistuar në ligjshmërinë e një vendimi jopërfundimtar të gjykatës së apelit për kthimin e çështjes për rigjykim në shkallë të parë, çka nuk kërkon një shqyrtim të gjerë, sikurse edhe në fakt ka ndodhur, kur Gjykata e Lartë e ka përfunduar shqyrtimin brenda një seance. Në këtë kuptim, çështja nuk paraqitet komplekse, duke mos qenë ajo shkaku i tejzgjatjes së gjykimit në Gjykatën e Lartë.</w:t>
      </w:r>
    </w:p>
    <w:p w14:paraId="39B7DCFC" w14:textId="17B33009"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28.  Për sa i takon </w:t>
      </w:r>
      <w:r w:rsidRPr="001B2A92">
        <w:rPr>
          <w:rFonts w:ascii="Garamond" w:eastAsiaTheme="minorHAnsi" w:hAnsi="Garamond" w:cs="Times New Roman"/>
          <w:i/>
          <w:iCs/>
          <w:color w:val="000000"/>
          <w:sz w:val="24"/>
          <w:szCs w:val="24"/>
        </w:rPr>
        <w:t>sjelljes së autoriteteve</w:t>
      </w:r>
      <w:r w:rsidRPr="001B2A92">
        <w:rPr>
          <w:rFonts w:ascii="Garamond" w:eastAsiaTheme="minorHAnsi" w:hAnsi="Garamond" w:cs="Times New Roman"/>
          <w:color w:val="000000"/>
          <w:sz w:val="24"/>
          <w:szCs w:val="24"/>
        </w:rPr>
        <w:t xml:space="preserve">, Gjykata vëren se vonesa në fakt duket se, kryesisht, lidhet me mbingarkesën e Gjykatës së Lartë. Sipas informacionit të dërguar nga kjo e fundit, deri në datën 31.10.2025, pranë saj janë të regjistruara 12.043 çështje civile, ndërkohë që ngarkesa e gjyqtarit relator të çështjes së kërkueses është 2122 çështje në shqyrtim. </w:t>
      </w:r>
    </w:p>
    <w:p w14:paraId="5DA586E9" w14:textId="1EBD6489"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29. Gjykata ka vlerësuar më parë se tejzgjatja e procedurave gjyqësore lidhet kryesisht me ngarkesën e lartë në gjykatat e juridiksionit të zakonshëm, si pasojë e reformës në drejtësi. Megjithatë, pavarësisht rëndësisë së kësaj reforme, ligjvënësi dhe organet përgjegjëse duhet të marrin masa për të siguruar funksionimin normal të gjykatave dhe zbatimin e ligjit. Kjo gjendje është duke u zgjatur prej disa vitesh, prandaj edhe metodat e identifikuara nga vetë gjykatat dhe Këshilli i Lartë Gjyqësor, si organi kushtetues përgjegjës për mbarëvajtjen e pushtetit gjyqësor, tregojnë se mekanizmat e parashikuar nga nenet 399/1</w:t>
      </w:r>
      <w:r w:rsidR="001B2A92">
        <w:rPr>
          <w:rFonts w:ascii="Garamond" w:eastAsiaTheme="minorHAnsi" w:hAnsi="Garamond" w:cs="Times New Roman"/>
          <w:color w:val="000000"/>
          <w:sz w:val="24"/>
          <w:szCs w:val="24"/>
        </w:rPr>
        <w:t>–</w:t>
      </w:r>
      <w:r w:rsidRPr="001B2A92">
        <w:rPr>
          <w:rFonts w:ascii="Garamond" w:eastAsiaTheme="minorHAnsi" w:hAnsi="Garamond" w:cs="Times New Roman"/>
          <w:color w:val="000000"/>
          <w:sz w:val="24"/>
          <w:szCs w:val="24"/>
        </w:rPr>
        <w:t xml:space="preserve">399/12 të KPC-së i shërbejnë një kohe normale të veprimtarisë gjyqësore, pra jo situatës së jashtëzakonshme, në pikëpamje të volumit, që ndodhet tashmë sistemi i drejtësisë </w:t>
      </w:r>
      <w:r w:rsidR="001B2A92">
        <w:rPr>
          <w:rFonts w:ascii="Garamond" w:eastAsiaTheme="minorHAnsi" w:hAnsi="Garamond" w:cs="Times New Roman"/>
          <w:i/>
          <w:iCs/>
          <w:color w:val="000000"/>
          <w:sz w:val="24"/>
          <w:szCs w:val="24"/>
        </w:rPr>
        <w:t>(shih vendimet nr. 58, date 17.</w:t>
      </w:r>
      <w:r w:rsidRPr="001B2A92">
        <w:rPr>
          <w:rFonts w:ascii="Garamond" w:eastAsiaTheme="minorHAnsi" w:hAnsi="Garamond" w:cs="Times New Roman"/>
          <w:i/>
          <w:iCs/>
          <w:color w:val="000000"/>
          <w:sz w:val="24"/>
          <w:szCs w:val="24"/>
        </w:rPr>
        <w:t>9.2024; nr. 61, d</w:t>
      </w:r>
      <w:r w:rsidR="001B2A92">
        <w:rPr>
          <w:rFonts w:ascii="Garamond" w:eastAsiaTheme="minorHAnsi" w:hAnsi="Garamond" w:cs="Times New Roman"/>
          <w:i/>
          <w:iCs/>
          <w:color w:val="000000"/>
          <w:sz w:val="24"/>
          <w:szCs w:val="24"/>
        </w:rPr>
        <w:t>atë 20.11.2023; nr. 2, datë 17.</w:t>
      </w:r>
      <w:r w:rsidRPr="001B2A92">
        <w:rPr>
          <w:rFonts w:ascii="Garamond" w:eastAsiaTheme="minorHAnsi" w:hAnsi="Garamond" w:cs="Times New Roman"/>
          <w:i/>
          <w:iCs/>
          <w:color w:val="000000"/>
          <w:sz w:val="24"/>
          <w:szCs w:val="24"/>
        </w:rPr>
        <w:t>2.2022</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të </w:t>
      </w:r>
      <w:r w:rsidRPr="001B2A92">
        <w:rPr>
          <w:rFonts w:ascii="Garamond" w:eastAsiaTheme="minorHAnsi" w:hAnsi="Garamond" w:cs="Times New Roman"/>
          <w:i/>
          <w:iCs/>
          <w:color w:val="000000"/>
          <w:spacing w:val="15"/>
          <w:sz w:val="24"/>
          <w:szCs w:val="24"/>
        </w:rPr>
        <w:t>Gjykatës Kushtetuese</w:t>
      </w:r>
      <w:r w:rsidRPr="001B2A92">
        <w:rPr>
          <w:rFonts w:ascii="Garamond" w:eastAsiaTheme="minorHAnsi" w:hAnsi="Garamond" w:cs="Times New Roman"/>
          <w:i/>
          <w:iCs/>
          <w:color w:val="000000"/>
          <w:sz w:val="24"/>
          <w:szCs w:val="24"/>
        </w:rPr>
        <w:t>)</w:t>
      </w:r>
      <w:r w:rsidRPr="001B2A92">
        <w:rPr>
          <w:rFonts w:ascii="Garamond" w:eastAsiaTheme="minorHAnsi" w:hAnsi="Garamond" w:cs="Times New Roman"/>
          <w:color w:val="000000"/>
          <w:sz w:val="24"/>
          <w:szCs w:val="24"/>
        </w:rPr>
        <w:t xml:space="preserve">. </w:t>
      </w:r>
    </w:p>
    <w:p w14:paraId="323590E8" w14:textId="56BD4AB1"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B2A92">
        <w:rPr>
          <w:rFonts w:ascii="Garamond" w:eastAsiaTheme="minorHAnsi" w:hAnsi="Garamond" w:cs="Times New Roman"/>
          <w:color w:val="000000"/>
          <w:sz w:val="24"/>
          <w:szCs w:val="24"/>
        </w:rPr>
        <w:t xml:space="preserve">30. Në këtë drejtim, GJEDNJ-ja, ka pranuar sfidat e rëndësishme me të cilat është përballur gjyqësori shqiptar pas reformave të ndërmarra në dekadën e fundit, përfshirë edhe si rezultat i verifikimit të gjyqtarëve dhe vonesat nga autoritetet emëruese në plotësimin e vendeve të lira të krijuara në këtë mënyrë, përveç edhe përparimin domethënës në fusha të caktuara, në veçanti me uljen e vazhdueshme të numrit të madh të çështjeve të prapambetura që ishin në pritje para Gjykatës së Lartë në vitin 2020 dhe shkallën në rritje të zgjidhjes së çështjeve të vërejtura në disa vitet e fundit. Megjithatë, ajo ka vërejtur se kohët mesatare të përpunimit të çështjeve ende duken të konsiderueshme në gjykatën më të lartë kombëtare për të gjitha llojet e çështjeve. Këta faktorë të një natyre të përgjithshme, mund të merren parasysh nga Gjykata, në një masë të përshtatshme, në përcaktimin e çdo kohëzgjatjeje të tepërt të procedurave në një rast të veçantë. Në të njëjtën kohë, ato nuk janë të afta, më vete, të justifikojnë vonesa të një madhësie si ajo me të cilën është përballur kompania aplikuese në rastin aktual </w:t>
      </w:r>
      <w:r w:rsidRPr="001B2A92">
        <w:rPr>
          <w:rFonts w:ascii="Garamond" w:eastAsiaTheme="minorHAnsi" w:hAnsi="Garamond" w:cs="Times New Roman"/>
          <w:i/>
          <w:iCs/>
          <w:color w:val="000000"/>
          <w:sz w:val="24"/>
          <w:szCs w:val="24"/>
        </w:rPr>
        <w:t>(shih ARB sh.p.k</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dhe të tjerëve kundër Shqipërisë, 2025, §§ 121</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122).</w:t>
      </w:r>
    </w:p>
    <w:p w14:paraId="4C04DC36" w14:textId="1842A75C"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31. Për rrjedhojë, Gjykata vlerëson se vonesa në gjykimin e çështjes së kërkueses në Gjykatën e Lartë ka ardhur për shkak të sjelljes së autoriteteve.</w:t>
      </w:r>
    </w:p>
    <w:p w14:paraId="7180EBD7" w14:textId="36E75E3D" w:rsidR="0006667F" w:rsidRPr="001B2A92" w:rsidRDefault="0006667F" w:rsidP="001B2A92">
      <w:pPr>
        <w:spacing w:after="0" w:line="240" w:lineRule="auto"/>
        <w:ind w:firstLine="288"/>
        <w:jc w:val="both"/>
        <w:rPr>
          <w:rFonts w:ascii="Garamond" w:hAnsi="Garamond"/>
          <w:sz w:val="24"/>
          <w:szCs w:val="24"/>
        </w:rPr>
      </w:pPr>
      <w:r w:rsidRPr="001B2A92">
        <w:rPr>
          <w:rFonts w:ascii="Garamond" w:hAnsi="Garamond"/>
          <w:sz w:val="24"/>
          <w:szCs w:val="24"/>
        </w:rPr>
        <w:t>32. Për sa i përket rëndësisë së asaj çfarë rrezikon kërkuesja, Gjykata vëren se, edhe pse çështja nuk hyn në kategorinë e interesave “jetësore” që kërkojnë trajtim me përparësi, ajo lidhet me të drejtën e pronës dhe proceset e kthimit dhe kompensimit të pronave, ku Gjykata ka konstatuar më parë shkelje të afatit të arsyeshëm. Për më tepër, jo vetëm për shkak të asaj kohëzgjatje tërësore të procedurave në rastin konkret, por edhe rrethanave të veçanta të rastit, duket se çështja ka kërkuar trajtim me përparësi. Në këtë drejtim, përveç moshës së kërkueses, vlen të përmendet se procedura e gjykimit në Gjykatën e Lartë konsistonte në kontrollin e një vendimi jopërfundimtar të gjykatës së apelit, i cili pengonte zgjidhjen përfundimtare të mosmarrëveshjes, çka justifikonte trajtimin e saj me përparësi, në përputhje edhe me orientimet e Këshillit të Lartë Gjyqësor, në vendimin nr. 78, datë 30.5.2019</w:t>
      </w:r>
      <w:r w:rsidR="001B2A92" w:rsidRPr="001B2A92">
        <w:rPr>
          <w:rFonts w:ascii="Garamond" w:hAnsi="Garamond"/>
          <w:sz w:val="24"/>
          <w:szCs w:val="24"/>
        </w:rPr>
        <w:t>,</w:t>
      </w:r>
      <w:r w:rsidRPr="001B2A92">
        <w:rPr>
          <w:rFonts w:ascii="Garamond" w:hAnsi="Garamond"/>
          <w:sz w:val="24"/>
          <w:szCs w:val="24"/>
        </w:rPr>
        <w:t xml:space="preserve"> “Për kalendarin e shqyrtimit të çështjeve në gjykatën e apelit”, i nxjerr sipas delegimit të nenit 460, pika 4, të KPC-së dhe i zbatueshëm edhe për planifikimin e gjykimeve në Gjykatën e Lartë, referuar nenit 480, pika 2, të KPC-së. </w:t>
      </w:r>
    </w:p>
    <w:p w14:paraId="79E48A58" w14:textId="68F9B065"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B2A92">
        <w:rPr>
          <w:rFonts w:ascii="Garamond" w:eastAsiaTheme="minorHAnsi" w:hAnsi="Garamond" w:cs="Times New Roman"/>
          <w:color w:val="000000"/>
          <w:sz w:val="24"/>
          <w:szCs w:val="24"/>
        </w:rPr>
        <w:t>33. Në këtë drejtim, GJEDNJ-ja është shprehur se njeh, në përputhje me përfundimet e Gjykatës Kushtetuese se, ndërsa merren me çështje të prapambetura të konsiderueshme dhe kërkojnë të sigurojnë trajtim të drejtë të të gjitha çështjeve në pritje, gjykatat kombëtare mund të kenë hapësirë të kufizuar për të përdorur mjetet juridike përshpejtuese të parashikuara ng</w:t>
      </w:r>
      <w:r w:rsidR="001B2A92">
        <w:rPr>
          <w:rFonts w:ascii="Garamond" w:eastAsiaTheme="minorHAnsi" w:hAnsi="Garamond" w:cs="Times New Roman"/>
          <w:color w:val="000000"/>
          <w:sz w:val="24"/>
          <w:szCs w:val="24"/>
        </w:rPr>
        <w:t>a ligji kombëtar në çështjet jo</w:t>
      </w:r>
      <w:r w:rsidRPr="001B2A92">
        <w:rPr>
          <w:rFonts w:ascii="Garamond" w:eastAsiaTheme="minorHAnsi" w:hAnsi="Garamond" w:cs="Times New Roman"/>
          <w:color w:val="000000"/>
          <w:sz w:val="24"/>
          <w:szCs w:val="24"/>
        </w:rPr>
        <w:t xml:space="preserve">prioritare. Pavarësisht kësaj, Shteti i paditur është ende i detyruar të ofrojë një mjet efektiv kompensues në rrethana të tilla. </w:t>
      </w:r>
      <w:r w:rsidRPr="001B2A92">
        <w:rPr>
          <w:rFonts w:ascii="Garamond" w:eastAsiaTheme="minorHAnsi" w:hAnsi="Garamond" w:cs="Times New Roman"/>
          <w:i/>
          <w:iCs/>
          <w:color w:val="000000"/>
          <w:sz w:val="24"/>
          <w:szCs w:val="24"/>
        </w:rPr>
        <w:t>(shih ARB sh.p.k</w:t>
      </w:r>
      <w:r w:rsidR="001B2A92">
        <w:rPr>
          <w:rFonts w:ascii="Garamond" w:eastAsiaTheme="minorHAnsi" w:hAnsi="Garamond" w:cs="Times New Roman"/>
          <w:i/>
          <w:iCs/>
          <w:color w:val="000000"/>
          <w:sz w:val="24"/>
          <w:szCs w:val="24"/>
        </w:rPr>
        <w:t>.</w:t>
      </w:r>
      <w:r w:rsidRPr="001B2A92">
        <w:rPr>
          <w:rFonts w:ascii="Garamond" w:eastAsiaTheme="minorHAnsi" w:hAnsi="Garamond" w:cs="Times New Roman"/>
          <w:i/>
          <w:iCs/>
          <w:color w:val="000000"/>
          <w:sz w:val="24"/>
          <w:szCs w:val="24"/>
        </w:rPr>
        <w:t xml:space="preserve"> dhe të tjerëve kundër Shqipërisë, 2025, § 122).</w:t>
      </w:r>
    </w:p>
    <w:p w14:paraId="4F9C39E5" w14:textId="7890C463"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 xml:space="preserve">34. Në këto rrethana, duke pasur parasysh vonesën prej 8 vitesh e 6 muajsh para Gjykatës së Lartë, Gjykata vlerëson se kohëzgjatja e gjykimit të çështjes së kërkueses në këtë gjykatë ka tejkaluar afatin e arsyeshëm në kuptim të nenit 42 të Kushtetutës dhe nenit 6/1 të KEDNJ-së. Mjetet e parashikuara nga KPC-ja për parandalimin dhe korrigjimin e shkeljes së afatit në rastin konkret nuk kanë funksionuar në mënyrë efektive dhe sjellja e autoriteteve ka sjellë cenim të së drejtës së kërkueses për gjykim brenda një afati të arsyeshëm. </w:t>
      </w:r>
    </w:p>
    <w:p w14:paraId="3765DDA2" w14:textId="699D7CFC"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1B2A92">
        <w:rPr>
          <w:rFonts w:ascii="Garamond" w:eastAsiaTheme="minorHAnsi" w:hAnsi="Garamond" w:cs="Times New Roman"/>
          <w:color w:val="000000"/>
          <w:sz w:val="24"/>
          <w:szCs w:val="24"/>
        </w:rPr>
        <w:t xml:space="preserve">35. Në kushtet kur gjykimi i çështjes së kërkueses tashmë ka përfunduar në Gjykatën e Lartë, në përputhje me jurisprudencën e GJEDNJ-së si më lart, Gjykata vëren se mbetet të konstatohet vetëm cenimi i së drejtës së kërkueses për gjykim brenda një afati të arsyeshëm, njohje e shkeljes kjo, që sipas KPC-së, do t’i mundësonte kërkueses përdorimin efektiv të mjetit kompensues. Në këtë drejtim, Gjykata mban në konsideratë se, </w:t>
      </w:r>
      <w:r w:rsidRPr="001B2A92">
        <w:rPr>
          <w:rFonts w:ascii="Garamond" w:eastAsiaTheme="minorHAnsi" w:hAnsi="Garamond" w:cs="TimesNewRomanPSMT"/>
          <w:color w:val="000000"/>
          <w:sz w:val="24"/>
          <w:szCs w:val="24"/>
        </w:rPr>
        <w:t>në parim, statusi i “viktimës” përjashtohet vetëm nëse organet publike kanë njohur shkeljen, në mënyrë të shprehur ose në substancë, dhe më pas e kanë riparuar atë. Në lidhje me kohëzgjatjen e procedurave të gjykimit, çështja nëse kërkuesi ka marrë shpërblim të drejtë, është një çështje e rëndësishme dhe vendimi gjyqësor që cakton shpërblimin e drejtë përbën korrigjim të</w:t>
      </w:r>
      <w:r w:rsidRPr="001B2A92">
        <w:rPr>
          <w:rFonts w:ascii="Garamond" w:eastAsiaTheme="minorHAnsi" w:hAnsi="Garamond" w:cs="TimesNewRomanPSMT"/>
          <w:sz w:val="24"/>
          <w:szCs w:val="24"/>
        </w:rPr>
        <w:t xml:space="preserve"> mjaftueshëm, rast në të cilin individi nuk mund të pretendojë më se është viktimë e shkeljes (</w:t>
      </w:r>
      <w:r w:rsidR="001B2A92">
        <w:rPr>
          <w:rFonts w:ascii="Garamond" w:eastAsiaTheme="minorHAnsi" w:hAnsi="Garamond" w:cs="TimesNewRomanPS-ItalicMT"/>
          <w:i/>
          <w:iCs/>
          <w:sz w:val="24"/>
          <w:szCs w:val="24"/>
        </w:rPr>
        <w:t>shih vendimin nr. 44, datë 26.</w:t>
      </w:r>
      <w:r w:rsidRPr="001B2A92">
        <w:rPr>
          <w:rFonts w:ascii="Garamond" w:eastAsiaTheme="minorHAnsi" w:hAnsi="Garamond" w:cs="TimesNewRomanPS-ItalicMT"/>
          <w:i/>
          <w:iCs/>
          <w:sz w:val="24"/>
          <w:szCs w:val="24"/>
        </w:rPr>
        <w:t>9.2023</w:t>
      </w:r>
      <w:r w:rsidR="001B2A92">
        <w:rPr>
          <w:rFonts w:ascii="Garamond" w:eastAsiaTheme="minorHAnsi" w:hAnsi="Garamond" w:cs="TimesNewRomanPS-ItalicMT"/>
          <w:i/>
          <w:iCs/>
          <w:sz w:val="24"/>
          <w:szCs w:val="24"/>
        </w:rPr>
        <w:t>,</w:t>
      </w:r>
      <w:r w:rsidRPr="001B2A92">
        <w:rPr>
          <w:rFonts w:ascii="Garamond" w:eastAsiaTheme="minorHAnsi" w:hAnsi="Garamond" w:cs="TimesNewRomanPS-ItalicMT"/>
          <w:i/>
          <w:iCs/>
          <w:sz w:val="24"/>
          <w:szCs w:val="24"/>
        </w:rPr>
        <w:t xml:space="preserve"> të Gjykatës Kushtetuese</w:t>
      </w:r>
      <w:r w:rsidRPr="001B2A92">
        <w:rPr>
          <w:rFonts w:ascii="Garamond" w:eastAsiaTheme="minorHAnsi" w:hAnsi="Garamond" w:cs="TimesNewRomanPSMT"/>
          <w:sz w:val="24"/>
          <w:szCs w:val="24"/>
        </w:rPr>
        <w:t>).</w:t>
      </w:r>
    </w:p>
    <w:p w14:paraId="59F468B7" w14:textId="1A35432E" w:rsidR="0006667F" w:rsidRPr="001B2A92" w:rsidRDefault="0006667F" w:rsidP="0006667F">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36. Për rrjedhojë, Gjykata çmon se kërkesa e kërkueses pranohet vetëm për sa i përket konstatimit të cenimit të së drejtës për gjykim brenda një afati të arsyeshëm.</w:t>
      </w:r>
    </w:p>
    <w:p w14:paraId="1F3ED545" w14:textId="77777777" w:rsidR="0006667F" w:rsidRPr="001B2A92" w:rsidRDefault="0006667F" w:rsidP="0006667F">
      <w:pPr>
        <w:tabs>
          <w:tab w:val="left" w:pos="80"/>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i/>
          <w:iCs/>
          <w:color w:val="000000"/>
          <w:sz w:val="24"/>
          <w:szCs w:val="24"/>
        </w:rPr>
        <w:t>C. Për shpenzimet e përfaqësimit në Gjykatën Kushtetuese</w:t>
      </w:r>
    </w:p>
    <w:p w14:paraId="4888816C" w14:textId="3F131EB4" w:rsidR="0006667F" w:rsidRPr="001B2A92" w:rsidRDefault="0006667F" w:rsidP="0006667F">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37. Kërkuesja, me shkresën e datës 18.11.2025, përpara seancës plenare, bazuar në nenin 28 të ligjit organik të Gjykatës, ka kërkuar edhe pagimin e shpenzimeve gjyqësore për përgatitjen e ankimit kushtetues individual nga avokati i saj, duke paraqitur për këtë si provë faturën tatimore të datës 17.11.2025, lëshuar nga përfaqësuesi i saj, avokati Thomas Dhimolea, në vlerën 50,000 lekë (pa TVSH), me përshkrimin pagesë për ofrimin e shërbimit të përgatitjes së ankimit kushtetues individual.</w:t>
      </w:r>
    </w:p>
    <w:p w14:paraId="37D9DF68" w14:textId="646A1C3D" w:rsidR="0006667F" w:rsidRPr="001B2A92" w:rsidRDefault="0006667F" w:rsidP="0006667F">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B2A92">
        <w:rPr>
          <w:rFonts w:ascii="Garamond" w:eastAsiaTheme="minorHAnsi" w:hAnsi="Garamond" w:cs="Times New Roman"/>
          <w:color w:val="000000"/>
          <w:sz w:val="24"/>
          <w:szCs w:val="24"/>
        </w:rPr>
        <w:t>38. Gjykata vëren se neni 28 i ligjit organik të saj parashikon rregullat për shpenzimet gjyqësore. Sipas këtij neni, shpenzimet e procesit gjyqësor përpara saj u nënshtrohen rregullave të parashikuara në ligjin për tarifat gjyqësore (pika 1); ndërsa, kur vendos pranimin e ankimit kushtetues individual, Gjykata mund të shprehet edhe për shpenzimet e përfaqësimit, pjesërisht ose tërësisht, nëse kjo kërkohet nga kërkuesi (pika 2). Kjo dispozitë është konkretizuar edhe në nenin 14 të Rregullores për Procedurat Gjyqësore të Gjykatës, sipas të cilit kërkesa shoqërohet me aktin që provon shlyerjen e tarifave përkatëse (pika 2); si dhe, në rast pranimi të ankimit kushtetues individual, Gjykata shprehet në dispozitiv edhe për shpenzimet e përfaqësimit dhe masën e tyre, nëse kjo kërkohet nga kërkuesi (pika 4).</w:t>
      </w:r>
    </w:p>
    <w:p w14:paraId="3C5C6416" w14:textId="2FB7EEC2" w:rsidR="0006667F" w:rsidRPr="001B2A92" w:rsidRDefault="0006667F" w:rsidP="0006667F">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B2A92">
        <w:rPr>
          <w:rFonts w:ascii="Garamond" w:eastAsiaTheme="minorHAnsi" w:hAnsi="Garamond" w:cs="Times New Roman"/>
          <w:color w:val="000000"/>
          <w:sz w:val="24"/>
          <w:szCs w:val="24"/>
        </w:rPr>
        <w:t xml:space="preserve">39. Gjykata ka theksuar se, në parim, çështja e shpenzimeve të përfaqësimit në gjykimin kushtetues të ankimit individual është pjesë e procesit të rregullt ligjor dhe se refuzimi për mbulimin e tyre rrezikon të kufizojë, në mënyrë të pajustifikuar, të drejtën e individit për akses në gjykatë, në kuptim të nenit 42 të Kushtetutës. Sipas saj, në interpretim të dispozitave ligjore, disponimi për shpenzimet vihet në lëvizje vetëm me kërkesë formale nga ankuesi dhe një kërkesë e tillë mund të paraqitet së bashku me ankimin kushtetues individual deri në momentin e deklarimit të mbylljes së seancës plenare. Individi, është shprehur Gjykata, ka të drejtën e mbulimit të shpenzimeve vetëm nëse vërteton se ato janë kryer, kanë qenë të nevojshme dhe janë në masë të arsyeshme, duke paraqitur ai aktet që dokumentojnë masën e shpenzimeve të kryera për qëllime të procesit kushtetues, të cilat në çdo rast duhet të jenë të shoqëruara me fatura tatimore sipas legjislacionit në fuqi. Gjykata është shprehur se kriteret bazë për llogaritjen e masës lidhen me kompleksitetin e çështjes, nivelin e formimit dhe përvojën juridike të kërkuesit për të kuptuar çështjen, moshën dhe gjendjen financiare të tij, si dhe elemente të tjera që ndikojnë në vlerën e kërkuar </w:t>
      </w:r>
      <w:r w:rsidR="001B2A92">
        <w:rPr>
          <w:rFonts w:ascii="Garamond" w:eastAsiaTheme="minorHAnsi" w:hAnsi="Garamond" w:cs="Times New Roman"/>
          <w:i/>
          <w:iCs/>
          <w:color w:val="000000"/>
          <w:sz w:val="24"/>
          <w:szCs w:val="24"/>
        </w:rPr>
        <w:t>(shih vendimet nr. 54, datë 9.10.2025; nr. 47, datë 18.</w:t>
      </w:r>
      <w:r w:rsidRPr="001B2A92">
        <w:rPr>
          <w:rFonts w:ascii="Garamond" w:eastAsiaTheme="minorHAnsi" w:hAnsi="Garamond" w:cs="Times New Roman"/>
          <w:i/>
          <w:iCs/>
          <w:color w:val="000000"/>
          <w:sz w:val="24"/>
          <w:szCs w:val="24"/>
        </w:rPr>
        <w:t>9.2025, të Gjykatës Kushtetuese).</w:t>
      </w:r>
    </w:p>
    <w:p w14:paraId="3F786886" w14:textId="3E033DB1" w:rsidR="0006667F" w:rsidRPr="001B2A92" w:rsidRDefault="0006667F" w:rsidP="0006667F">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B2A92">
        <w:rPr>
          <w:rFonts w:ascii="Garamond" w:eastAsiaTheme="minorHAnsi" w:hAnsi="Garamond" w:cs="Times New Roman"/>
          <w:color w:val="000000"/>
          <w:sz w:val="24"/>
          <w:szCs w:val="24"/>
        </w:rPr>
        <w:t xml:space="preserve">40. Në lidhje me subjektin të cilit i ngarkohen shpenzimet e përfaqësimit, Gjykata është shprehur se natyra dhe objekti i gjykimit kushtetues ndryshojnë nga gjykimi i zakonshëm. Në gjykimin kushtetues, individi synon të mbrojë të drejtat themelore të cenuara si pasojë e veprimtarisë së autoriteteve publike, ku përfshihet edhe ajo e gjykatave të zakonshme, ndaj përgjegjësia për mbulimin e këtyre shpenzimeve i takon vetë shtetit. Kjo logjikë pasqyrohet edhe në rregullimet ligjore për kompensimin e shkeljes së të drejtës për gjykim brenda afatit të arsyeshëm, ku në gjykimin e zakonshëm thirren si të paditura Ministria e Drejtësisë dhe Ministria e Financave (neni 399/4, pika 2, i KPC-së) </w:t>
      </w:r>
      <w:r w:rsidR="001B2A92">
        <w:rPr>
          <w:rFonts w:ascii="Garamond" w:eastAsiaTheme="minorHAnsi" w:hAnsi="Garamond" w:cs="Times New Roman"/>
          <w:i/>
          <w:iCs/>
          <w:color w:val="000000"/>
          <w:sz w:val="24"/>
          <w:szCs w:val="24"/>
        </w:rPr>
        <w:t>(shih vendimet nr. 54, datë 9.10.2025; nr. 47, datë 18.</w:t>
      </w:r>
      <w:r w:rsidRPr="001B2A92">
        <w:rPr>
          <w:rFonts w:ascii="Garamond" w:eastAsiaTheme="minorHAnsi" w:hAnsi="Garamond" w:cs="Times New Roman"/>
          <w:i/>
          <w:iCs/>
          <w:color w:val="000000"/>
          <w:sz w:val="24"/>
          <w:szCs w:val="24"/>
        </w:rPr>
        <w:t>9.2025, të Gjykatës Kushtetuese).</w:t>
      </w:r>
    </w:p>
    <w:p w14:paraId="4F44CE31" w14:textId="476F37A0" w:rsidR="00EE233C" w:rsidRPr="001B2A92" w:rsidRDefault="00687546" w:rsidP="00687546">
      <w:pPr>
        <w:tabs>
          <w:tab w:val="left" w:pos="1080"/>
        </w:tabs>
        <w:autoSpaceDE w:val="0"/>
        <w:autoSpaceDN w:val="0"/>
        <w:adjustRightInd w:val="0"/>
        <w:spacing w:after="0" w:line="240" w:lineRule="auto"/>
        <w:ind w:firstLine="284"/>
        <w:jc w:val="both"/>
        <w:rPr>
          <w:rFonts w:ascii="Garamond" w:hAnsi="Garamond" w:cs="Times New Roman"/>
          <w:i/>
          <w:sz w:val="24"/>
          <w:szCs w:val="24"/>
        </w:rPr>
      </w:pPr>
      <w:r>
        <w:rPr>
          <w:rFonts w:ascii="Garamond" w:eastAsiaTheme="minorHAnsi" w:hAnsi="Garamond" w:cs="Times New Roman"/>
          <w:color w:val="000000"/>
          <w:sz w:val="24"/>
          <w:szCs w:val="24"/>
        </w:rPr>
        <w:t xml:space="preserve">41. </w:t>
      </w:r>
      <w:r w:rsidR="0006667F" w:rsidRPr="001B2A92">
        <w:rPr>
          <w:rFonts w:ascii="Garamond" w:eastAsiaTheme="minorHAnsi" w:hAnsi="Garamond" w:cs="Times New Roman"/>
          <w:color w:val="000000"/>
          <w:sz w:val="24"/>
          <w:szCs w:val="24"/>
        </w:rPr>
        <w:t xml:space="preserve">Mbi bazën e këtyre standardeve, Gjykata vëren se kërkimi i kërkueses për shpenzimet gjyqësore është paraqitur në formën e kërkuar dhe brenda afatit ligjor, pasi është depozituar me shkrim përpara seancës plenare. Po ashtu, shpenzimet e kërkuara gjyqësore kanë qenë të nevojshme, pasi lidhen me përgatitjen e ankimit kushtetues individual, të cilin, në mungesë të përvojës juridike të kërkueses për të kuptuar çështjen, por edhe moshën e saj, ajo nuk mund ta përgatiste vetë. Për sa i përket vërtetimit të shpenzimeve gjyqësore kërkuesja ka paraqitur faturën tatimore të lëshuar nga avokati, në të cilën përshkruhet shërbimi i ofruar dhe vlera e tij në masën 50 000 lekë. Megjithatë, duke mbajtur parasysh se çështja e përfunduar me këtë vendim nuk paraqitet komplekse, masa e arsyeshme e kompensimit të shpenzimeve të kërkueses për përgatitjen e ankimit kushtetues individual çmohet të jetë në vlerën 25 000 lekë, </w:t>
      </w:r>
      <w:r w:rsidR="00EE233C" w:rsidRPr="001B2A92">
        <w:rPr>
          <w:rFonts w:ascii="Garamond" w:eastAsia="Times New Roman" w:hAnsi="Garamond" w:cs="Times New Roman"/>
          <w:sz w:val="24"/>
          <w:szCs w:val="24"/>
          <w:lang w:eastAsia="sq-AL"/>
        </w:rPr>
        <w:t xml:space="preserve">vlerë kjo e parashikuar edhe nga udhëzimi i </w:t>
      </w:r>
      <w:r w:rsidR="001B2A92">
        <w:rPr>
          <w:rFonts w:ascii="Garamond" w:hAnsi="Garamond" w:cs="Times New Roman"/>
          <w:sz w:val="24"/>
          <w:szCs w:val="24"/>
        </w:rPr>
        <w:t>përbashkët nr. 18, datë 5.</w:t>
      </w:r>
      <w:r w:rsidR="00EE233C" w:rsidRPr="001B2A92">
        <w:rPr>
          <w:rFonts w:ascii="Garamond" w:hAnsi="Garamond" w:cs="Times New Roman"/>
          <w:sz w:val="24"/>
          <w:szCs w:val="24"/>
        </w:rPr>
        <w:t xml:space="preserve">8.2020, të ministrit të Drejtësisë dhe ministrit të Financave, “Për miratimin e kritereve të përfitimit të pagesave dhe tarifat e shpërblimit të avokatëve që ofrojnë ndihmë juridike dytësore”, në lidhje me </w:t>
      </w:r>
      <w:r w:rsidR="00EE233C" w:rsidRPr="001B2A92">
        <w:rPr>
          <w:rFonts w:ascii="Garamond" w:eastAsia="Times New Roman" w:hAnsi="Garamond" w:cs="Times New Roman"/>
          <w:sz w:val="24"/>
          <w:szCs w:val="24"/>
          <w:lang w:eastAsia="sq-AL"/>
        </w:rPr>
        <w:t>shërbimin juridik jashtëgjyqësor (përgatitje kërkese në Gjykatë). Këto shpenzime, duke pasur parasysh natyrën e çështjes konkrete, e cila lidhet me konstatimin e cenimit të së drejtës për proces të rregullt ligjor për shkak të kohëzgjatjes së paarsyeshme të procesit gjyqësor, i ngarkohen Ministrisë së Financave. Për rrjedhojë, Gjykata vlerëson se kërkesa për shpenzimet e përfaqësimit është e drejtë dhe pranohet vetëm për vlerën e 25 000 lekë</w:t>
      </w:r>
      <w:r w:rsidR="00EE233C" w:rsidRPr="001B2A92">
        <w:rPr>
          <w:rStyle w:val="FootnoteReference"/>
          <w:rFonts w:ascii="Garamond" w:hAnsi="Garamond" w:cs="Times New Roman"/>
          <w:sz w:val="24"/>
          <w:szCs w:val="24"/>
        </w:rPr>
        <w:footnoteReference w:id="2"/>
      </w:r>
      <w:r w:rsidR="00EE233C" w:rsidRPr="001B2A92">
        <w:rPr>
          <w:rFonts w:ascii="Garamond" w:eastAsia="Times New Roman" w:hAnsi="Garamond" w:cs="Times New Roman"/>
          <w:sz w:val="24"/>
          <w:szCs w:val="24"/>
          <w:lang w:eastAsia="sq-AL"/>
        </w:rPr>
        <w:t>.</w:t>
      </w:r>
    </w:p>
    <w:p w14:paraId="4F44CE32" w14:textId="1971B83B" w:rsidR="00EE233C" w:rsidRPr="001B2A92" w:rsidRDefault="00687546" w:rsidP="0006667F">
      <w:pPr>
        <w:tabs>
          <w:tab w:val="left" w:pos="1080"/>
        </w:tabs>
        <w:spacing w:after="0" w:line="240" w:lineRule="auto"/>
        <w:ind w:firstLine="284"/>
        <w:contextualSpacing/>
        <w:jc w:val="both"/>
        <w:rPr>
          <w:rFonts w:ascii="Garamond" w:hAnsi="Garamond" w:cs="Times New Roman"/>
          <w:i/>
          <w:sz w:val="24"/>
          <w:szCs w:val="24"/>
        </w:rPr>
      </w:pPr>
      <w:r>
        <w:rPr>
          <w:rFonts w:ascii="Garamond" w:hAnsi="Garamond" w:cs="Times New Roman"/>
          <w:sz w:val="24"/>
          <w:szCs w:val="24"/>
        </w:rPr>
        <w:t xml:space="preserve">42. </w:t>
      </w:r>
      <w:r w:rsidR="00EE233C" w:rsidRPr="001B2A92">
        <w:rPr>
          <w:rFonts w:ascii="Garamond" w:hAnsi="Garamond" w:cs="Times New Roman"/>
          <w:sz w:val="24"/>
          <w:szCs w:val="24"/>
        </w:rPr>
        <w:t xml:space="preserve">Në përfundim, Gjykata vlerëson se pretendimet e kërkueses janë të bazuara sipas arsyetimit të mësipërm, ndaj kërkesa pranohet pjesërisht. </w:t>
      </w:r>
    </w:p>
    <w:p w14:paraId="4F44CE33" w14:textId="77777777" w:rsidR="00EE233C" w:rsidRPr="001B2A92" w:rsidRDefault="00EE233C" w:rsidP="0006667F">
      <w:pPr>
        <w:shd w:val="clear" w:color="auto" w:fill="FFFFFF" w:themeFill="background1"/>
        <w:tabs>
          <w:tab w:val="left" w:pos="720"/>
          <w:tab w:val="left" w:pos="1080"/>
        </w:tabs>
        <w:spacing w:after="0" w:line="240" w:lineRule="auto"/>
        <w:ind w:firstLine="284"/>
        <w:rPr>
          <w:rFonts w:ascii="Garamond" w:hAnsi="Garamond" w:cs="Times New Roman"/>
          <w:b/>
          <w:bCs/>
          <w:sz w:val="24"/>
          <w:szCs w:val="24"/>
        </w:rPr>
      </w:pPr>
    </w:p>
    <w:p w14:paraId="4F44CE34" w14:textId="521C9F9C" w:rsidR="00EE233C" w:rsidRPr="001B2A92" w:rsidRDefault="00EE233C" w:rsidP="0006667F">
      <w:pPr>
        <w:shd w:val="clear" w:color="auto" w:fill="FFFFFF" w:themeFill="background1"/>
        <w:tabs>
          <w:tab w:val="left" w:pos="720"/>
          <w:tab w:val="left" w:pos="1080"/>
        </w:tabs>
        <w:spacing w:after="0" w:line="240" w:lineRule="auto"/>
        <w:ind w:firstLine="284"/>
        <w:jc w:val="center"/>
        <w:rPr>
          <w:rFonts w:ascii="Garamond" w:hAnsi="Garamond" w:cs="Times New Roman"/>
          <w:bCs/>
          <w:sz w:val="24"/>
          <w:szCs w:val="24"/>
        </w:rPr>
      </w:pPr>
      <w:r w:rsidRPr="001B2A92">
        <w:rPr>
          <w:rFonts w:ascii="Garamond" w:hAnsi="Garamond" w:cs="Times New Roman"/>
          <w:bCs/>
          <w:sz w:val="24"/>
          <w:szCs w:val="24"/>
        </w:rPr>
        <w:t>PËR KËTO ARSYE,</w:t>
      </w:r>
    </w:p>
    <w:p w14:paraId="2F23F439" w14:textId="77777777" w:rsidR="0063710F" w:rsidRPr="001B2A92" w:rsidRDefault="0063710F" w:rsidP="0006667F">
      <w:pPr>
        <w:shd w:val="clear" w:color="auto" w:fill="FFFFFF" w:themeFill="background1"/>
        <w:tabs>
          <w:tab w:val="left" w:pos="720"/>
          <w:tab w:val="left" w:pos="1080"/>
        </w:tabs>
        <w:spacing w:after="0" w:line="240" w:lineRule="auto"/>
        <w:ind w:firstLine="284"/>
        <w:jc w:val="center"/>
        <w:rPr>
          <w:rFonts w:ascii="Garamond" w:hAnsi="Garamond" w:cs="Times New Roman"/>
          <w:sz w:val="24"/>
          <w:szCs w:val="24"/>
        </w:rPr>
      </w:pPr>
    </w:p>
    <w:p w14:paraId="4F44CE35" w14:textId="69AB01F8" w:rsidR="00EE233C" w:rsidRPr="001B2A92" w:rsidRDefault="00EE233C" w:rsidP="0006667F">
      <w:pPr>
        <w:spacing w:after="0" w:line="240" w:lineRule="auto"/>
        <w:ind w:firstLine="284"/>
        <w:jc w:val="both"/>
        <w:rPr>
          <w:rFonts w:ascii="Garamond" w:hAnsi="Garamond" w:cs="Times New Roman"/>
          <w:sz w:val="24"/>
          <w:szCs w:val="24"/>
        </w:rPr>
      </w:pPr>
      <w:r w:rsidRPr="001B2A92">
        <w:rPr>
          <w:rFonts w:ascii="Garamond" w:hAnsi="Garamond" w:cs="Times New Roman"/>
          <w:sz w:val="24"/>
          <w:szCs w:val="24"/>
        </w:rPr>
        <w:t>Gjykata Kushtetuese, në mbështetje të neneve 131, pika 1, shkronja “f” dhe 134, pika 1, shkronja “i”, të Kushtetutës, si dhe neneve 72 e viju</w:t>
      </w:r>
      <w:r w:rsidR="001B2A92">
        <w:rPr>
          <w:rFonts w:ascii="Garamond" w:hAnsi="Garamond" w:cs="Times New Roman"/>
          <w:sz w:val="24"/>
          <w:szCs w:val="24"/>
        </w:rPr>
        <w:t>es, të ligjit nr. 8577, datë 10.</w:t>
      </w:r>
      <w:r w:rsidRPr="001B2A92">
        <w:rPr>
          <w:rFonts w:ascii="Garamond" w:hAnsi="Garamond" w:cs="Times New Roman"/>
          <w:sz w:val="24"/>
          <w:szCs w:val="24"/>
        </w:rPr>
        <w:t>2.2000</w:t>
      </w:r>
      <w:r w:rsidR="001B2A92">
        <w:rPr>
          <w:rFonts w:ascii="Garamond" w:hAnsi="Garamond" w:cs="Times New Roman"/>
          <w:sz w:val="24"/>
          <w:szCs w:val="24"/>
        </w:rPr>
        <w:t>,</w:t>
      </w:r>
      <w:r w:rsidRPr="001B2A92">
        <w:rPr>
          <w:rFonts w:ascii="Garamond" w:hAnsi="Garamond" w:cs="Times New Roman"/>
          <w:sz w:val="24"/>
          <w:szCs w:val="24"/>
        </w:rPr>
        <w:t xml:space="preserve"> “Për organizimin dhe funksionimin e Gjykatës Kushtetuese të Republikës së Shqipërisë”, të ndryshuar, njëzëri,</w:t>
      </w:r>
    </w:p>
    <w:p w14:paraId="4F44CE36" w14:textId="77777777" w:rsidR="00EE233C" w:rsidRPr="001B2A92" w:rsidRDefault="00EE233C" w:rsidP="0006667F">
      <w:pPr>
        <w:spacing w:after="0" w:line="240" w:lineRule="auto"/>
        <w:ind w:firstLine="284"/>
        <w:jc w:val="both"/>
        <w:rPr>
          <w:rFonts w:ascii="Garamond" w:hAnsi="Garamond" w:cs="Times New Roman"/>
          <w:b/>
          <w:bCs/>
          <w:sz w:val="24"/>
          <w:szCs w:val="24"/>
        </w:rPr>
      </w:pPr>
    </w:p>
    <w:p w14:paraId="3AB57844" w14:textId="77777777" w:rsidR="00687546" w:rsidRDefault="00687546" w:rsidP="0006667F">
      <w:pPr>
        <w:spacing w:after="0" w:line="240" w:lineRule="auto"/>
        <w:ind w:firstLine="284"/>
        <w:jc w:val="center"/>
        <w:rPr>
          <w:rFonts w:ascii="Garamond" w:hAnsi="Garamond" w:cs="Times New Roman"/>
          <w:bCs/>
          <w:sz w:val="24"/>
          <w:szCs w:val="24"/>
        </w:rPr>
      </w:pPr>
    </w:p>
    <w:p w14:paraId="5ED39175" w14:textId="77777777" w:rsidR="00687546" w:rsidRDefault="00687546" w:rsidP="0006667F">
      <w:pPr>
        <w:spacing w:after="0" w:line="240" w:lineRule="auto"/>
        <w:ind w:firstLine="284"/>
        <w:jc w:val="center"/>
        <w:rPr>
          <w:rFonts w:ascii="Garamond" w:hAnsi="Garamond" w:cs="Times New Roman"/>
          <w:bCs/>
          <w:sz w:val="24"/>
          <w:szCs w:val="24"/>
        </w:rPr>
      </w:pPr>
    </w:p>
    <w:p w14:paraId="75801DA7" w14:textId="77777777" w:rsidR="00687546" w:rsidRDefault="00687546" w:rsidP="0006667F">
      <w:pPr>
        <w:spacing w:after="0" w:line="240" w:lineRule="auto"/>
        <w:ind w:firstLine="284"/>
        <w:jc w:val="center"/>
        <w:rPr>
          <w:rFonts w:ascii="Garamond" w:hAnsi="Garamond" w:cs="Times New Roman"/>
          <w:bCs/>
          <w:sz w:val="24"/>
          <w:szCs w:val="24"/>
        </w:rPr>
      </w:pPr>
    </w:p>
    <w:p w14:paraId="4EFE7BF0" w14:textId="77777777" w:rsidR="00687546" w:rsidRDefault="00687546" w:rsidP="0006667F">
      <w:pPr>
        <w:spacing w:after="0" w:line="240" w:lineRule="auto"/>
        <w:ind w:firstLine="284"/>
        <w:jc w:val="center"/>
        <w:rPr>
          <w:rFonts w:ascii="Garamond" w:hAnsi="Garamond" w:cs="Times New Roman"/>
          <w:bCs/>
          <w:sz w:val="24"/>
          <w:szCs w:val="24"/>
        </w:rPr>
      </w:pPr>
    </w:p>
    <w:p w14:paraId="4F44CE37" w14:textId="023A64C7" w:rsidR="00EE233C" w:rsidRPr="001B2A92" w:rsidRDefault="00EE233C" w:rsidP="0006667F">
      <w:pPr>
        <w:spacing w:after="0" w:line="240" w:lineRule="auto"/>
        <w:ind w:firstLine="284"/>
        <w:jc w:val="center"/>
        <w:rPr>
          <w:rFonts w:ascii="Garamond" w:hAnsi="Garamond" w:cs="Times New Roman"/>
          <w:b/>
          <w:bCs/>
          <w:sz w:val="24"/>
          <w:szCs w:val="24"/>
        </w:rPr>
      </w:pPr>
      <w:bookmarkStart w:id="0" w:name="_GoBack"/>
      <w:bookmarkEnd w:id="0"/>
      <w:r w:rsidRPr="001B2A92">
        <w:rPr>
          <w:rFonts w:ascii="Garamond" w:hAnsi="Garamond" w:cs="Times New Roman"/>
          <w:bCs/>
          <w:sz w:val="24"/>
          <w:szCs w:val="24"/>
        </w:rPr>
        <w:t>VENDOSI</w:t>
      </w:r>
      <w:r w:rsidRPr="001B2A92">
        <w:rPr>
          <w:rFonts w:ascii="Garamond" w:hAnsi="Garamond" w:cs="Times New Roman"/>
          <w:b/>
          <w:bCs/>
          <w:sz w:val="24"/>
          <w:szCs w:val="24"/>
        </w:rPr>
        <w:t>:</w:t>
      </w:r>
    </w:p>
    <w:p w14:paraId="1538C59E" w14:textId="77777777" w:rsidR="0063710F" w:rsidRPr="001B2A92" w:rsidRDefault="0063710F" w:rsidP="0006667F">
      <w:pPr>
        <w:spacing w:after="0" w:line="240" w:lineRule="auto"/>
        <w:ind w:firstLine="284"/>
        <w:jc w:val="center"/>
        <w:rPr>
          <w:rFonts w:ascii="Garamond" w:hAnsi="Garamond" w:cs="Times New Roman"/>
          <w:b/>
          <w:bCs/>
          <w:sz w:val="24"/>
          <w:szCs w:val="24"/>
        </w:rPr>
      </w:pPr>
    </w:p>
    <w:p w14:paraId="71A7E9DA" w14:textId="1E99A2EC" w:rsidR="0063710F" w:rsidRPr="001B2A92" w:rsidRDefault="0063710F" w:rsidP="0063710F">
      <w:pPr>
        <w:tabs>
          <w:tab w:val="left" w:pos="1080"/>
        </w:tabs>
        <w:autoSpaceDE w:val="0"/>
        <w:autoSpaceDN w:val="0"/>
        <w:adjustRightInd w:val="0"/>
        <w:spacing w:after="0" w:line="240" w:lineRule="auto"/>
        <w:ind w:firstLine="280"/>
        <w:jc w:val="both"/>
        <w:rPr>
          <w:rFonts w:ascii="Garamond" w:eastAsiaTheme="minorHAnsi" w:hAnsi="Garamond" w:cs="Garamond"/>
          <w:color w:val="000000"/>
          <w:sz w:val="24"/>
          <w:szCs w:val="24"/>
        </w:rPr>
      </w:pPr>
      <w:bookmarkStart w:id="1" w:name="_Hlk217475486"/>
      <w:r w:rsidRPr="001B2A92">
        <w:rPr>
          <w:rFonts w:ascii="Garamond" w:eastAsiaTheme="minorHAnsi" w:hAnsi="Garamond" w:cs="Garamond"/>
          <w:color w:val="000000"/>
          <w:sz w:val="24"/>
          <w:szCs w:val="24"/>
        </w:rPr>
        <w:t>1. Pranimin e pjesërisht të kërkesës.</w:t>
      </w:r>
    </w:p>
    <w:p w14:paraId="51C34D1A" w14:textId="6B91DA3B" w:rsidR="0063710F" w:rsidRPr="001B2A92" w:rsidRDefault="0063710F" w:rsidP="0063710F">
      <w:pPr>
        <w:tabs>
          <w:tab w:val="left" w:pos="1080"/>
        </w:tabs>
        <w:autoSpaceDE w:val="0"/>
        <w:autoSpaceDN w:val="0"/>
        <w:adjustRightInd w:val="0"/>
        <w:spacing w:after="0" w:line="240" w:lineRule="auto"/>
        <w:ind w:firstLine="280"/>
        <w:jc w:val="both"/>
        <w:rPr>
          <w:rFonts w:ascii="Garamond" w:eastAsiaTheme="minorHAnsi" w:hAnsi="Garamond" w:cs="Garamond"/>
          <w:color w:val="000000"/>
          <w:sz w:val="24"/>
          <w:szCs w:val="24"/>
        </w:rPr>
      </w:pPr>
      <w:r w:rsidRPr="001B2A92">
        <w:rPr>
          <w:rFonts w:ascii="Garamond" w:eastAsiaTheme="minorHAnsi" w:hAnsi="Garamond" w:cs="Garamond"/>
          <w:color w:val="000000"/>
          <w:sz w:val="24"/>
          <w:szCs w:val="24"/>
        </w:rPr>
        <w:t>2. Shfuqizimin e ve</w:t>
      </w:r>
      <w:r w:rsidR="001B2A92">
        <w:rPr>
          <w:rFonts w:ascii="Garamond" w:eastAsiaTheme="minorHAnsi" w:hAnsi="Garamond" w:cs="Garamond"/>
          <w:color w:val="000000"/>
          <w:sz w:val="24"/>
          <w:szCs w:val="24"/>
        </w:rPr>
        <w:t>ndimit nr. 00-2025-61, datë 16.</w:t>
      </w:r>
      <w:r w:rsidRPr="001B2A92">
        <w:rPr>
          <w:rFonts w:ascii="Garamond" w:eastAsiaTheme="minorHAnsi" w:hAnsi="Garamond" w:cs="Garamond"/>
          <w:color w:val="000000"/>
          <w:sz w:val="24"/>
          <w:szCs w:val="24"/>
        </w:rPr>
        <w:t>1.2025</w:t>
      </w:r>
      <w:r w:rsidR="001B2A92">
        <w:rPr>
          <w:rFonts w:ascii="Garamond" w:eastAsiaTheme="minorHAnsi" w:hAnsi="Garamond" w:cs="Garamond"/>
          <w:color w:val="000000"/>
          <w:sz w:val="24"/>
          <w:szCs w:val="24"/>
        </w:rPr>
        <w:t>,</w:t>
      </w:r>
      <w:r w:rsidRPr="001B2A92">
        <w:rPr>
          <w:rFonts w:ascii="Garamond" w:eastAsiaTheme="minorHAnsi" w:hAnsi="Garamond" w:cs="Garamond"/>
          <w:color w:val="000000"/>
          <w:sz w:val="24"/>
          <w:szCs w:val="24"/>
        </w:rPr>
        <w:t xml:space="preserve"> të Kolegjit Administrativ të Gjykatës së Lartë.</w:t>
      </w:r>
    </w:p>
    <w:p w14:paraId="4C71B07E" w14:textId="77B0E75B" w:rsidR="0063710F" w:rsidRPr="001B2A92" w:rsidRDefault="0063710F" w:rsidP="0063710F">
      <w:pPr>
        <w:tabs>
          <w:tab w:val="left" w:pos="1080"/>
        </w:tabs>
        <w:autoSpaceDE w:val="0"/>
        <w:autoSpaceDN w:val="0"/>
        <w:adjustRightInd w:val="0"/>
        <w:spacing w:after="0" w:line="240" w:lineRule="auto"/>
        <w:ind w:firstLine="280"/>
        <w:jc w:val="both"/>
        <w:rPr>
          <w:rFonts w:ascii="Garamond" w:eastAsiaTheme="minorHAnsi" w:hAnsi="Garamond" w:cs="Garamond"/>
          <w:color w:val="000000"/>
          <w:sz w:val="24"/>
          <w:szCs w:val="24"/>
        </w:rPr>
      </w:pPr>
      <w:r w:rsidRPr="001B2A92">
        <w:rPr>
          <w:rFonts w:ascii="Garamond" w:eastAsiaTheme="minorHAnsi" w:hAnsi="Garamond" w:cs="Garamond"/>
          <w:color w:val="000000"/>
          <w:sz w:val="24"/>
          <w:szCs w:val="24"/>
        </w:rPr>
        <w:t>3. Konstatimin e cenimit të së drejtës së kërkueses për një gjykim brenda afatit të arsyeshëm.</w:t>
      </w:r>
    </w:p>
    <w:p w14:paraId="408CA7A4" w14:textId="56B1034A" w:rsidR="0063710F" w:rsidRPr="001B2A92" w:rsidRDefault="0063710F" w:rsidP="0063710F">
      <w:pPr>
        <w:tabs>
          <w:tab w:val="left" w:pos="1080"/>
        </w:tabs>
        <w:autoSpaceDE w:val="0"/>
        <w:autoSpaceDN w:val="0"/>
        <w:adjustRightInd w:val="0"/>
        <w:spacing w:after="0" w:line="240" w:lineRule="auto"/>
        <w:ind w:firstLine="280"/>
        <w:jc w:val="both"/>
        <w:rPr>
          <w:rFonts w:ascii="Garamond" w:eastAsiaTheme="minorHAnsi" w:hAnsi="Garamond" w:cs="Garamond"/>
          <w:color w:val="000000"/>
          <w:sz w:val="24"/>
          <w:szCs w:val="24"/>
        </w:rPr>
      </w:pPr>
      <w:r w:rsidRPr="001B2A92">
        <w:rPr>
          <w:rFonts w:ascii="Garamond" w:eastAsiaTheme="minorHAnsi" w:hAnsi="Garamond" w:cs="Garamond"/>
          <w:color w:val="000000"/>
          <w:sz w:val="24"/>
          <w:szCs w:val="24"/>
        </w:rPr>
        <w:t xml:space="preserve">4. Shpenzimet e përfaqësimit të kërkueses në vlerën 25 000 lekë i ngarkohen Ministrisë së Financave. </w:t>
      </w:r>
    </w:p>
    <w:p w14:paraId="4F44CE3C" w14:textId="77777777" w:rsidR="00EE233C" w:rsidRPr="001B2A92" w:rsidRDefault="00EE233C" w:rsidP="0006667F">
      <w:pPr>
        <w:spacing w:after="0" w:line="240" w:lineRule="auto"/>
        <w:ind w:firstLine="284"/>
        <w:jc w:val="both"/>
        <w:rPr>
          <w:rFonts w:ascii="Garamond" w:hAnsi="Garamond" w:cs="Times New Roman"/>
          <w:sz w:val="24"/>
          <w:szCs w:val="24"/>
        </w:rPr>
      </w:pPr>
      <w:r w:rsidRPr="001B2A92">
        <w:rPr>
          <w:rFonts w:ascii="Garamond" w:hAnsi="Garamond" w:cs="Times New Roman"/>
          <w:sz w:val="24"/>
          <w:szCs w:val="24"/>
        </w:rPr>
        <w:t>Ky vendim është përfundimtar dhe hyn në fuqi ditën e botimit në Fletoren Zyrtare.</w:t>
      </w:r>
    </w:p>
    <w:bookmarkEnd w:id="1"/>
    <w:p w14:paraId="4F44CE3D" w14:textId="556E0284" w:rsidR="00EE233C" w:rsidRPr="001B2A92" w:rsidRDefault="00EE233C" w:rsidP="0006667F">
      <w:pPr>
        <w:spacing w:after="0" w:line="240" w:lineRule="auto"/>
        <w:ind w:firstLine="284"/>
        <w:rPr>
          <w:rFonts w:ascii="Garamond" w:hAnsi="Garamond" w:cs="Times New Roman"/>
          <w:b/>
          <w:bCs/>
          <w:sz w:val="24"/>
          <w:szCs w:val="24"/>
        </w:rPr>
      </w:pPr>
      <w:r w:rsidRPr="001B2A92">
        <w:rPr>
          <w:rFonts w:ascii="Garamond" w:hAnsi="Garamond" w:cs="Times New Roman"/>
          <w:b/>
          <w:bCs/>
          <w:sz w:val="24"/>
          <w:szCs w:val="24"/>
        </w:rPr>
        <w:t>Marrë më 20.11.2025</w:t>
      </w:r>
      <w:r w:rsidR="001B2A92">
        <w:rPr>
          <w:rFonts w:ascii="Garamond" w:hAnsi="Garamond" w:cs="Times New Roman"/>
          <w:b/>
          <w:bCs/>
          <w:sz w:val="24"/>
          <w:szCs w:val="24"/>
        </w:rPr>
        <w:t>.</w:t>
      </w:r>
    </w:p>
    <w:p w14:paraId="4F44CE3E" w14:textId="7863702B" w:rsidR="00EE233C" w:rsidRPr="001B2A92" w:rsidRDefault="00EE233C" w:rsidP="0006667F">
      <w:pPr>
        <w:spacing w:after="0" w:line="240" w:lineRule="auto"/>
        <w:ind w:firstLine="284"/>
        <w:rPr>
          <w:rFonts w:ascii="Garamond" w:hAnsi="Garamond" w:cs="Times New Roman"/>
          <w:b/>
          <w:bCs/>
          <w:sz w:val="24"/>
          <w:szCs w:val="24"/>
        </w:rPr>
      </w:pPr>
      <w:r w:rsidRPr="001B2A92">
        <w:rPr>
          <w:rFonts w:ascii="Garamond" w:hAnsi="Garamond" w:cs="Times New Roman"/>
          <w:b/>
          <w:bCs/>
          <w:sz w:val="24"/>
          <w:szCs w:val="24"/>
        </w:rPr>
        <w:t xml:space="preserve">Shpallur më </w:t>
      </w:r>
      <w:r w:rsidR="00612F6F" w:rsidRPr="001B2A92">
        <w:rPr>
          <w:rFonts w:ascii="Garamond" w:hAnsi="Garamond" w:cs="Times New Roman"/>
          <w:b/>
          <w:bCs/>
          <w:sz w:val="24"/>
          <w:szCs w:val="24"/>
        </w:rPr>
        <w:t>24.12</w:t>
      </w:r>
      <w:r w:rsidRPr="001B2A92">
        <w:rPr>
          <w:rFonts w:ascii="Garamond" w:hAnsi="Garamond" w:cs="Times New Roman"/>
          <w:b/>
          <w:bCs/>
          <w:sz w:val="24"/>
          <w:szCs w:val="24"/>
        </w:rPr>
        <w:t>.2025</w:t>
      </w:r>
      <w:r w:rsidR="001B2A92">
        <w:rPr>
          <w:rFonts w:ascii="Garamond" w:hAnsi="Garamond" w:cs="Times New Roman"/>
          <w:b/>
          <w:bCs/>
          <w:sz w:val="24"/>
          <w:szCs w:val="24"/>
        </w:rPr>
        <w:t>.</w:t>
      </w:r>
    </w:p>
    <w:p w14:paraId="4F44CE3F" w14:textId="1FB9CE28" w:rsidR="00EE233C" w:rsidRPr="001B2A92" w:rsidRDefault="00EE233C" w:rsidP="0063710F">
      <w:pPr>
        <w:tabs>
          <w:tab w:val="left" w:pos="0"/>
        </w:tabs>
        <w:spacing w:after="0" w:line="240" w:lineRule="auto"/>
        <w:ind w:firstLine="284"/>
        <w:rPr>
          <w:rFonts w:ascii="Garamond" w:hAnsi="Garamond" w:cs="Times New Roman"/>
          <w:bCs/>
          <w:sz w:val="24"/>
          <w:szCs w:val="24"/>
        </w:rPr>
      </w:pPr>
    </w:p>
    <w:p w14:paraId="7EC98B91" w14:textId="717DF85D" w:rsidR="0063710F" w:rsidRPr="001B2A92" w:rsidRDefault="0063710F" w:rsidP="0063710F">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rPr>
          <w:rFonts w:ascii="Garamond" w:hAnsi="Garamond"/>
          <w:sz w:val="24"/>
          <w:szCs w:val="24"/>
        </w:rPr>
      </w:pPr>
      <w:r w:rsidRPr="001B2A92">
        <w:rPr>
          <w:rFonts w:ascii="Garamond" w:hAnsi="Garamond"/>
          <w:b/>
          <w:sz w:val="24"/>
          <w:szCs w:val="24"/>
        </w:rPr>
        <w:t>Kryetare</w:t>
      </w:r>
      <w:r w:rsidRPr="001B2A92">
        <w:rPr>
          <w:rFonts w:ascii="Garamond" w:hAnsi="Garamond"/>
          <w:sz w:val="24"/>
          <w:szCs w:val="24"/>
        </w:rPr>
        <w:t>:</w:t>
      </w:r>
      <w:r w:rsidRPr="001B2A92">
        <w:rPr>
          <w:rFonts w:ascii="Garamond" w:hAnsi="Garamond" w:cs="Times New Roman"/>
          <w:bCs/>
          <w:sz w:val="24"/>
          <w:szCs w:val="24"/>
        </w:rPr>
        <w:t xml:space="preserve"> Holta Zaçaj</w:t>
      </w:r>
    </w:p>
    <w:p w14:paraId="36268503" w14:textId="1D942D2A" w:rsidR="0063710F" w:rsidRPr="001B2A92" w:rsidRDefault="0063710F" w:rsidP="0063710F">
      <w:pPr>
        <w:tabs>
          <w:tab w:val="left" w:pos="0"/>
        </w:tabs>
        <w:spacing w:after="0" w:line="240" w:lineRule="auto"/>
        <w:ind w:firstLine="284"/>
        <w:rPr>
          <w:rFonts w:ascii="Garamond" w:hAnsi="Garamond"/>
          <w:sz w:val="24"/>
          <w:szCs w:val="24"/>
        </w:rPr>
      </w:pPr>
      <w:r w:rsidRPr="001B2A92">
        <w:rPr>
          <w:rFonts w:ascii="Garamond" w:hAnsi="Garamond"/>
          <w:b/>
          <w:sz w:val="24"/>
          <w:szCs w:val="24"/>
        </w:rPr>
        <w:t>Anëtarë</w:t>
      </w:r>
      <w:r w:rsidRPr="001B2A92">
        <w:rPr>
          <w:rFonts w:ascii="Garamond" w:hAnsi="Garamond"/>
          <w:sz w:val="24"/>
          <w:szCs w:val="24"/>
        </w:rPr>
        <w:t>:</w:t>
      </w:r>
      <w:r w:rsidRPr="001B2A92">
        <w:rPr>
          <w:rFonts w:ascii="Garamond" w:hAnsi="Garamond" w:cs="Times New Roman"/>
          <w:bCs/>
          <w:sz w:val="24"/>
          <w:szCs w:val="24"/>
        </w:rPr>
        <w:t xml:space="preserve"> Fiona Papajorgji, Marsida Xhaferllari, Genti Ibrahimi, Sandër Beci, Sonila Bejtja, Ilir Toska, Marjana Semini</w:t>
      </w:r>
    </w:p>
    <w:p w14:paraId="68A5E323" w14:textId="77777777" w:rsidR="0063710F" w:rsidRPr="001B2A92" w:rsidRDefault="0063710F" w:rsidP="0063710F">
      <w:pPr>
        <w:tabs>
          <w:tab w:val="left" w:pos="0"/>
        </w:tabs>
        <w:spacing w:after="0" w:line="240" w:lineRule="auto"/>
        <w:ind w:firstLine="284"/>
        <w:rPr>
          <w:rFonts w:ascii="Garamond" w:hAnsi="Garamond" w:cs="Times New Roman"/>
          <w:bCs/>
          <w:sz w:val="24"/>
          <w:szCs w:val="24"/>
        </w:rPr>
      </w:pPr>
    </w:p>
    <w:sectPr w:rsidR="0063710F" w:rsidRPr="001B2A92" w:rsidSect="001B2A92">
      <w:headerReference w:type="default" r:id="rId12"/>
      <w:pgSz w:w="11909" w:h="16834" w:code="9"/>
      <w:pgMar w:top="630" w:right="1440" w:bottom="1440" w:left="1440" w:header="720" w:footer="58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93CEE3" w14:textId="77777777" w:rsidR="007F12A5" w:rsidRDefault="007F12A5" w:rsidP="00EE233C">
      <w:pPr>
        <w:spacing w:after="0" w:line="240" w:lineRule="auto"/>
      </w:pPr>
      <w:r>
        <w:separator/>
      </w:r>
    </w:p>
  </w:endnote>
  <w:endnote w:type="continuationSeparator" w:id="0">
    <w:p w14:paraId="5528092F" w14:textId="77777777" w:rsidR="007F12A5" w:rsidRDefault="007F12A5" w:rsidP="00EE233C">
      <w:pPr>
        <w:spacing w:after="0" w:line="240" w:lineRule="auto"/>
      </w:pPr>
      <w:r>
        <w:continuationSeparator/>
      </w:r>
    </w:p>
  </w:endnote>
  <w:endnote w:type="continuationNotice" w:id="1">
    <w:p w14:paraId="088679FA" w14:textId="77777777" w:rsidR="007F12A5" w:rsidRDefault="007F12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DE0595" w14:textId="77777777" w:rsidR="007F12A5" w:rsidRDefault="007F12A5" w:rsidP="00EE233C">
      <w:pPr>
        <w:spacing w:after="0" w:line="240" w:lineRule="auto"/>
      </w:pPr>
      <w:r>
        <w:separator/>
      </w:r>
    </w:p>
  </w:footnote>
  <w:footnote w:type="continuationSeparator" w:id="0">
    <w:p w14:paraId="57371B6D" w14:textId="77777777" w:rsidR="007F12A5" w:rsidRDefault="007F12A5" w:rsidP="00EE233C">
      <w:pPr>
        <w:spacing w:after="0" w:line="240" w:lineRule="auto"/>
      </w:pPr>
      <w:r>
        <w:continuationSeparator/>
      </w:r>
    </w:p>
  </w:footnote>
  <w:footnote w:type="continuationNotice" w:id="1">
    <w:p w14:paraId="1C0F5062" w14:textId="77777777" w:rsidR="007F12A5" w:rsidRDefault="007F12A5">
      <w:pPr>
        <w:spacing w:after="0" w:line="240" w:lineRule="auto"/>
      </w:pPr>
    </w:p>
  </w:footnote>
  <w:footnote w:id="2">
    <w:p w14:paraId="4F44CE5D" w14:textId="77777777" w:rsidR="007F12A5" w:rsidRPr="0063710F" w:rsidRDefault="007F12A5" w:rsidP="0063710F">
      <w:pPr>
        <w:pStyle w:val="FootnoteText"/>
        <w:jc w:val="both"/>
        <w:rPr>
          <w:rFonts w:ascii="Garamond" w:hAnsi="Garamond"/>
          <w:lang w:val="en-US"/>
        </w:rPr>
      </w:pPr>
      <w:r w:rsidRPr="0063710F">
        <w:rPr>
          <w:rStyle w:val="FootnoteReference"/>
          <w:rFonts w:ascii="Garamond" w:hAnsi="Garamond"/>
        </w:rPr>
        <w:footnoteRef/>
      </w:r>
      <w:r w:rsidRPr="0063710F">
        <w:rPr>
          <w:rFonts w:ascii="Garamond" w:hAnsi="Garamond"/>
        </w:rPr>
        <w:t xml:space="preserve"> </w:t>
      </w:r>
      <w:r w:rsidRPr="0063710F">
        <w:rPr>
          <w:rFonts w:ascii="Garamond" w:hAnsi="Garamond"/>
          <w:lang w:val="en-US"/>
        </w:rPr>
        <w:t>Gjyqtarja Sonila Bejtja votoi për pranimin e të gjithë shumës së kërkuar.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4CE5A" w14:textId="77777777" w:rsidR="007F12A5" w:rsidRPr="00B5336A" w:rsidRDefault="007F12A5" w:rsidP="001B2A92">
    <w:pPr>
      <w:pStyle w:val="Header"/>
    </w:pPr>
    <w:r w:rsidRPr="00B5336A">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9596A"/>
    <w:multiLevelType w:val="multilevel"/>
    <w:tmpl w:val="10FAB90E"/>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054AD6"/>
    <w:multiLevelType w:val="hybridMultilevel"/>
    <w:tmpl w:val="F2009734"/>
    <w:lvl w:ilvl="0" w:tplc="44DE780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B172FDB"/>
    <w:multiLevelType w:val="multilevel"/>
    <w:tmpl w:val="D59EC52C"/>
    <w:lvl w:ilvl="0">
      <w:start w:val="7"/>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73927864"/>
    <w:multiLevelType w:val="multilevel"/>
    <w:tmpl w:val="65BC603E"/>
    <w:lvl w:ilvl="0">
      <w:start w:val="37"/>
      <w:numFmt w:val="decimal"/>
      <w:lvlText w:val="%1."/>
      <w:lvlJc w:val="left"/>
      <w:pPr>
        <w:ind w:left="360" w:hanging="360"/>
      </w:pPr>
      <w:rPr>
        <w:rFonts w:eastAsia="MS Mincho" w:hint="default"/>
        <w:b w:val="0"/>
        <w:i w:val="0"/>
      </w:rPr>
    </w:lvl>
    <w:lvl w:ilvl="1">
      <w:start w:val="1"/>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rPr>
    </w:lvl>
    <w:lvl w:ilvl="3">
      <w:start w:val="1"/>
      <w:numFmt w:val="decimal"/>
      <w:lvlText w:val="%1.%2.%3.%4."/>
      <w:lvlJc w:val="left"/>
      <w:pPr>
        <w:ind w:left="1800" w:hanging="720"/>
      </w:pPr>
      <w:rPr>
        <w:rFonts w:eastAsia="MS Mincho" w:hint="default"/>
        <w:b/>
      </w:rPr>
    </w:lvl>
    <w:lvl w:ilvl="4">
      <w:start w:val="1"/>
      <w:numFmt w:val="decimal"/>
      <w:lvlText w:val="%1.%2.%3.%4.%5."/>
      <w:lvlJc w:val="left"/>
      <w:pPr>
        <w:ind w:left="2520" w:hanging="1080"/>
      </w:pPr>
      <w:rPr>
        <w:rFonts w:eastAsia="MS Mincho" w:hint="default"/>
        <w:b/>
      </w:rPr>
    </w:lvl>
    <w:lvl w:ilvl="5">
      <w:start w:val="1"/>
      <w:numFmt w:val="decimal"/>
      <w:lvlText w:val="%1.%2.%3.%4.%5.%6."/>
      <w:lvlJc w:val="left"/>
      <w:pPr>
        <w:ind w:left="2880" w:hanging="1080"/>
      </w:pPr>
      <w:rPr>
        <w:rFonts w:eastAsia="MS Mincho" w:hint="default"/>
        <w:b/>
      </w:rPr>
    </w:lvl>
    <w:lvl w:ilvl="6">
      <w:start w:val="1"/>
      <w:numFmt w:val="decimal"/>
      <w:lvlText w:val="%1.%2.%3.%4.%5.%6.%7."/>
      <w:lvlJc w:val="left"/>
      <w:pPr>
        <w:ind w:left="3600" w:hanging="1440"/>
      </w:pPr>
      <w:rPr>
        <w:rFonts w:eastAsia="MS Mincho" w:hint="default"/>
        <w:b/>
      </w:rPr>
    </w:lvl>
    <w:lvl w:ilvl="7">
      <w:start w:val="1"/>
      <w:numFmt w:val="decimal"/>
      <w:lvlText w:val="%1.%2.%3.%4.%5.%6.%7.%8."/>
      <w:lvlJc w:val="left"/>
      <w:pPr>
        <w:ind w:left="3960" w:hanging="1440"/>
      </w:pPr>
      <w:rPr>
        <w:rFonts w:eastAsia="MS Mincho" w:hint="default"/>
        <w:b/>
      </w:rPr>
    </w:lvl>
    <w:lvl w:ilvl="8">
      <w:start w:val="1"/>
      <w:numFmt w:val="decimal"/>
      <w:lvlText w:val="%1.%2.%3.%4.%5.%6.%7.%8.%9."/>
      <w:lvlJc w:val="left"/>
      <w:pPr>
        <w:ind w:left="4680" w:hanging="1800"/>
      </w:pPr>
      <w:rPr>
        <w:rFonts w:eastAsia="MS Mincho" w:hint="default"/>
        <w:b/>
      </w:rPr>
    </w:lvl>
  </w:abstractNum>
  <w:abstractNum w:abstractNumId="5" w15:restartNumberingAfterBreak="0">
    <w:nsid w:val="74A417AB"/>
    <w:multiLevelType w:val="hybridMultilevel"/>
    <w:tmpl w:val="B240CD94"/>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33C"/>
    <w:rsid w:val="000034DB"/>
    <w:rsid w:val="0006667F"/>
    <w:rsid w:val="000A3FCF"/>
    <w:rsid w:val="000B62CF"/>
    <w:rsid w:val="00135C80"/>
    <w:rsid w:val="001B2A92"/>
    <w:rsid w:val="001B539E"/>
    <w:rsid w:val="001D0EA9"/>
    <w:rsid w:val="001F54DF"/>
    <w:rsid w:val="002A5841"/>
    <w:rsid w:val="002B4955"/>
    <w:rsid w:val="003D3AA3"/>
    <w:rsid w:val="00431EC0"/>
    <w:rsid w:val="00456E89"/>
    <w:rsid w:val="004777A1"/>
    <w:rsid w:val="004B2333"/>
    <w:rsid w:val="00546A6A"/>
    <w:rsid w:val="00566D23"/>
    <w:rsid w:val="0057650A"/>
    <w:rsid w:val="005851AA"/>
    <w:rsid w:val="005B73D5"/>
    <w:rsid w:val="00612F6F"/>
    <w:rsid w:val="0063710F"/>
    <w:rsid w:val="006702C4"/>
    <w:rsid w:val="00687546"/>
    <w:rsid w:val="00690EAE"/>
    <w:rsid w:val="006C4DA2"/>
    <w:rsid w:val="006C74AE"/>
    <w:rsid w:val="006F3391"/>
    <w:rsid w:val="007707D2"/>
    <w:rsid w:val="007E1971"/>
    <w:rsid w:val="007F12A5"/>
    <w:rsid w:val="00825D21"/>
    <w:rsid w:val="00852747"/>
    <w:rsid w:val="008602FB"/>
    <w:rsid w:val="008977C2"/>
    <w:rsid w:val="008B24B6"/>
    <w:rsid w:val="008D4976"/>
    <w:rsid w:val="008F0A92"/>
    <w:rsid w:val="00920002"/>
    <w:rsid w:val="00921CB7"/>
    <w:rsid w:val="009B108E"/>
    <w:rsid w:val="009B4FE1"/>
    <w:rsid w:val="00A517DE"/>
    <w:rsid w:val="00AA07B9"/>
    <w:rsid w:val="00AD1D18"/>
    <w:rsid w:val="00AE4906"/>
    <w:rsid w:val="00B9160E"/>
    <w:rsid w:val="00C80E6C"/>
    <w:rsid w:val="00CF5BCB"/>
    <w:rsid w:val="00D4762D"/>
    <w:rsid w:val="00D752E9"/>
    <w:rsid w:val="00E509D3"/>
    <w:rsid w:val="00E95EB7"/>
    <w:rsid w:val="00EA4A01"/>
    <w:rsid w:val="00EE233C"/>
    <w:rsid w:val="00F875A4"/>
    <w:rsid w:val="00FB1A41"/>
    <w:rsid w:val="00FD09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CDD6"/>
  <w15:chartTrackingRefBased/>
  <w15:docId w15:val="{28675BB8-DE2B-42DA-8205-E5BEBBEC9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33C"/>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33C"/>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E233C"/>
    <w:rPr>
      <w:rFonts w:eastAsia="MS Mincho"/>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E233C"/>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E233C"/>
    <w:rPr>
      <w:rFonts w:eastAsia="MS Mincho"/>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EE233C"/>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EE233C"/>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EE233C"/>
    <w:rPr>
      <w:vertAlign w:val="superscript"/>
    </w:rPr>
  </w:style>
  <w:style w:type="paragraph" w:customStyle="1" w:styleId="Char2">
    <w:name w:val="Char2"/>
    <w:basedOn w:val="Normal"/>
    <w:link w:val="FootnoteReference"/>
    <w:uiPriority w:val="99"/>
    <w:rsid w:val="00EE233C"/>
    <w:pPr>
      <w:spacing w:line="240" w:lineRule="exact"/>
    </w:pPr>
    <w:rPr>
      <w:rFonts w:eastAsiaTheme="minorHAnsi"/>
      <w:vertAlign w:val="superscript"/>
    </w:rPr>
  </w:style>
  <w:style w:type="character" w:customStyle="1" w:styleId="fontstyle01">
    <w:name w:val="fontstyle01"/>
    <w:basedOn w:val="DefaultParagraphFont"/>
    <w:rsid w:val="00EE233C"/>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EE233C"/>
    <w:rPr>
      <w:rFonts w:ascii="TimesNewRomanPS-ItalicMT" w:hAnsi="TimesNewRomanPS-ItalicMT" w:hint="default"/>
      <w:b w:val="0"/>
      <w:bCs w:val="0"/>
      <w:i/>
      <w:iCs/>
      <w:color w:val="000000"/>
      <w:sz w:val="24"/>
      <w:szCs w:val="24"/>
    </w:rPr>
  </w:style>
  <w:style w:type="character" w:customStyle="1" w:styleId="sbb9ee52a">
    <w:name w:val="sbb9ee52a"/>
    <w:basedOn w:val="DefaultParagraphFont"/>
    <w:rsid w:val="00EE233C"/>
  </w:style>
  <w:style w:type="paragraph" w:styleId="BalloonText">
    <w:name w:val="Balloon Text"/>
    <w:basedOn w:val="Normal"/>
    <w:link w:val="BalloonTextChar"/>
    <w:uiPriority w:val="99"/>
    <w:semiHidden/>
    <w:unhideWhenUsed/>
    <w:rsid w:val="00B916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60E"/>
    <w:rPr>
      <w:rFonts w:ascii="Segoe UI" w:eastAsia="MS Mincho" w:hAnsi="Segoe UI" w:cs="Segoe UI"/>
      <w:sz w:val="18"/>
      <w:szCs w:val="18"/>
    </w:rPr>
  </w:style>
  <w:style w:type="character" w:styleId="CommentReference">
    <w:name w:val="annotation reference"/>
    <w:basedOn w:val="DefaultParagraphFont"/>
    <w:uiPriority w:val="99"/>
    <w:semiHidden/>
    <w:unhideWhenUsed/>
    <w:rsid w:val="00FD0958"/>
    <w:rPr>
      <w:sz w:val="16"/>
      <w:szCs w:val="16"/>
    </w:rPr>
  </w:style>
  <w:style w:type="paragraph" w:styleId="CommentText">
    <w:name w:val="annotation text"/>
    <w:basedOn w:val="Normal"/>
    <w:link w:val="CommentTextChar"/>
    <w:uiPriority w:val="99"/>
    <w:semiHidden/>
    <w:unhideWhenUsed/>
    <w:rsid w:val="00FD0958"/>
    <w:pPr>
      <w:spacing w:line="240" w:lineRule="auto"/>
    </w:pPr>
    <w:rPr>
      <w:sz w:val="20"/>
      <w:szCs w:val="20"/>
    </w:rPr>
  </w:style>
  <w:style w:type="character" w:customStyle="1" w:styleId="CommentTextChar">
    <w:name w:val="Comment Text Char"/>
    <w:basedOn w:val="DefaultParagraphFont"/>
    <w:link w:val="CommentText"/>
    <w:uiPriority w:val="99"/>
    <w:semiHidden/>
    <w:rsid w:val="00FD0958"/>
    <w:rPr>
      <w:rFonts w:eastAsia="MS Mincho"/>
      <w:sz w:val="20"/>
      <w:szCs w:val="20"/>
    </w:rPr>
  </w:style>
  <w:style w:type="paragraph" w:styleId="CommentSubject">
    <w:name w:val="annotation subject"/>
    <w:basedOn w:val="CommentText"/>
    <w:next w:val="CommentText"/>
    <w:link w:val="CommentSubjectChar"/>
    <w:uiPriority w:val="99"/>
    <w:semiHidden/>
    <w:unhideWhenUsed/>
    <w:rsid w:val="00FD0958"/>
    <w:rPr>
      <w:b/>
      <w:bCs/>
    </w:rPr>
  </w:style>
  <w:style w:type="character" w:customStyle="1" w:styleId="CommentSubjectChar">
    <w:name w:val="Comment Subject Char"/>
    <w:basedOn w:val="CommentTextChar"/>
    <w:link w:val="CommentSubject"/>
    <w:uiPriority w:val="99"/>
    <w:semiHidden/>
    <w:rsid w:val="00FD0958"/>
    <w:rPr>
      <w:rFonts w:eastAsia="MS Mincho"/>
      <w:b/>
      <w:bCs/>
      <w:sz w:val="20"/>
      <w:szCs w:val="20"/>
    </w:rPr>
  </w:style>
  <w:style w:type="paragraph" w:styleId="Footer">
    <w:name w:val="footer"/>
    <w:basedOn w:val="Normal"/>
    <w:link w:val="FooterChar"/>
    <w:uiPriority w:val="99"/>
    <w:unhideWhenUsed/>
    <w:rsid w:val="00AD1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D18"/>
    <w:rPr>
      <w:rFonts w:eastAsia="MS Mincho"/>
    </w:rPr>
  </w:style>
  <w:style w:type="table" w:styleId="TableGrid">
    <w:name w:val="Table Grid"/>
    <w:basedOn w:val="TableNormal"/>
    <w:uiPriority w:val="39"/>
    <w:rsid w:val="00066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6E2A99D25C145769BB4B881CD7046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Nr_x002e__x0020_akti>
    <Data_x0020_e_x0020_Krijimit xmlns="0e656187-b300-4fb0-8bf4-3a50f872073c">2025-12-30T10:02:54Z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Shfuqiziin e vendimit nr.77205-00133-00-2024, datë 16.1.2025 të Kolegjit Administrative të Gjykatës së Lartë si të papajtueshëm me nenin 6 të KEDNJ-së. Konstatimin e shkeljes së afatit të arsyeshëm dhe përshpejtimin e prcedurave. Shfuqizimiin e fjalës "/ose"në nenin 399/3, pika 1 të Kodit të Procedurës Civile dhe, fjalinë "dhe nuk është ekzekutuar nga organi që ka kryer shkeljen vendim i gjykatës, sipas pikës 1 të këtij neni"në nenin 399/4, pika 2 të Kodit të Procedurës Civile, si të papajtueshë me nenin 6 dhe 13 të KEDNJ-së.Pagimin e shpenzieve gjyqësre.  </Titulli>
    <Modifikuesi xmlns="0e656187-b300-4fb0-8bf4-3a50f872073c">Fjora.Cahani</Modifikuesi>
    <Nr_x002e__x0020_prot_x0020_QBZ xmlns="0e656187-b300-4fb0-8bf4-3a50f872073c">2229</Nr_x002e__x0020_prot_x0020_QBZ>
    <Data_x0020_e_x0020_Modifikimit xmlns="0e656187-b300-4fb0-8bf4-3a50f872073c">2025-12-30T10:58:48Z</Data_x0020_e_x0020_Modifikimit>
    <Dekretuar xmlns="0e656187-b300-4fb0-8bf4-3a50f872073c">false</Dekretuar>
    <Data xmlns="0e656187-b300-4fb0-8bf4-3a50f872073c">2025-11-20T00:00:00Z</Data>
    <Nr_x002e__x0020_protokolli_x0020_i_x0020_aktit xmlns="0e656187-b300-4fb0-8bf4-3a50f872073c">32-A</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6E2A99D25C145769BB4B881CD7046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C25E64F-7AD7-4BEB-AD4E-45C4C62F6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C412861-B3D2-4948-AEB9-8860F8D7954F}">
  <ds:schemaRefs>
    <ds:schemaRef ds:uri="http://schemas.openxmlformats.org/package/2006/metadata/core-properties"/>
    <ds:schemaRef ds:uri="http://www.w3.org/XML/1998/namespace"/>
    <ds:schemaRef ds:uri="http://purl.org/dc/elements/1.1/"/>
    <ds:schemaRef ds:uri="http://schemas.microsoft.com/office/2006/metadata/properties"/>
    <ds:schemaRef ds:uri="http://purl.org/dc/dcmitype/"/>
    <ds:schemaRef ds:uri="http://schemas.microsoft.com/office/2006/documentManagement/types"/>
    <ds:schemaRef ds:uri="http://purl.org/dc/terms/"/>
    <ds:schemaRef ds:uri="0e656187-b300-4fb0-8bf4-3a50f872073c"/>
  </ds:schemaRefs>
</ds:datastoreItem>
</file>

<file path=customXml/itemProps3.xml><?xml version="1.0" encoding="utf-8"?>
<ds:datastoreItem xmlns:ds="http://schemas.openxmlformats.org/officeDocument/2006/customXml" ds:itemID="{DBECA129-C147-4E87-9CE8-B6BD2F62D179}">
  <ds:schemaRefs>
    <ds:schemaRef ds:uri="http://schemas.microsoft.com/sharepoint/v3/contenttype/forms"/>
  </ds:schemaRefs>
</ds:datastoreItem>
</file>

<file path=customXml/itemProps4.xml><?xml version="1.0" encoding="utf-8"?>
<ds:datastoreItem xmlns:ds="http://schemas.openxmlformats.org/officeDocument/2006/customXml" ds:itemID="{8358185E-DD82-4C07-99F6-1EC4AE8E408A}">
  <ds:schemaRefs>
    <ds:schemaRef ds:uri="http://schemas.microsoft.com/sharepoint/v3/contenttype/forms"/>
  </ds:schemaRefs>
</ds:datastoreItem>
</file>

<file path=customXml/itemProps5.xml><?xml version="1.0" encoding="utf-8"?>
<ds:datastoreItem xmlns:ds="http://schemas.openxmlformats.org/officeDocument/2006/customXml" ds:itemID="{6226A6B8-018B-43C0-8A21-96BEF8934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5328</Words>
  <Characters>30372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Shfuqiziin e vendimit nr.77205-00133-00-2024, datë 16.1.2025 të Kolegjit Administrative të Gjykatës së Lartë si të papajtueshëm me nenin 6 të KEDNJ-së. Konstatimin e shkeljes së afatit të arsyeshëm dhe përshpejtimin e prcedurave. Shfuqizimiin e fjalës "/o</vt:lpstr>
    </vt:vector>
  </TitlesOfParts>
  <Company>User</Company>
  <LinksUpToDate>false</LinksUpToDate>
  <CharactersWithSpaces>35629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Shfuqiziin e vendimit nr.77205-00133-00-2024, datë 16.1.2025 të Kolegjit Administrative të Gjykatës së Lartë si të papajtueshëm me nenin 6 të KEDNJ-së. Konstatimin e shkeljes së afatit të arsyeshëm dhe përshpejtimin e prcedurave. Shfuqizimiin e fjalës "/ose"në nenin 399/3, pika 1 të Kodit të Procedurës Civile dhe, fjalinë "dhe nuk është ekzekutuar nga organi që ka kryer shkeljen vendim i gjykatës, sipas pikës 1 të këtij neni"në nenin 399/4, pika 2 të Kodit të Procedurës Civile, si të papajtueshë me nenin 6 dhe 13 të KEDNJ-së.Pagimin e shpenzieve gjyqësre.</dc:title>
  <dc:creator>Ilir Toska</dc:creator>
  <cp:lastModifiedBy>Entela Suli</cp:lastModifiedBy>
  <cp:revision>7</cp:revision>
  <cp:lastPrinted>2025-12-24T12:33:00Z</cp:lastPrinted>
  <dcterms:created xsi:type="dcterms:W3CDTF">2025-12-29T14:28:00Z</dcterms:created>
  <dcterms:modified xsi:type="dcterms:W3CDTF">2025-12-30T10:28:00Z</dcterms:modified>
</cp:coreProperties>
</file>