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C84019" w14:textId="77777777" w:rsidR="00C852F1" w:rsidRPr="00CF59AA" w:rsidRDefault="00C852F1" w:rsidP="00C852F1">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644FEE46" w14:textId="6F58BA0F" w:rsidR="00C852F1" w:rsidRPr="00CF59AA" w:rsidRDefault="00C852F1" w:rsidP="00C852F1">
      <w:pPr>
        <w:autoSpaceDE w:val="0"/>
        <w:autoSpaceDN w:val="0"/>
        <w:adjustRightInd w:val="0"/>
        <w:spacing w:after="0" w:line="240" w:lineRule="auto"/>
        <w:ind w:firstLine="284"/>
        <w:jc w:val="center"/>
        <w:rPr>
          <w:rFonts w:ascii="Garamond" w:hAnsi="Garamond" w:cs="Times New Roman"/>
          <w:b/>
          <w:bCs/>
          <w:color w:val="000000"/>
          <w:sz w:val="24"/>
          <w:szCs w:val="24"/>
        </w:rPr>
      </w:pPr>
      <w:r w:rsidRPr="00CF59AA">
        <w:rPr>
          <w:rFonts w:ascii="Garamond" w:hAnsi="Garamond" w:cs="Times New Roman"/>
          <w:b/>
          <w:bCs/>
          <w:color w:val="000000"/>
          <w:sz w:val="24"/>
          <w:szCs w:val="24"/>
        </w:rPr>
        <w:t>VENDIM</w:t>
      </w:r>
    </w:p>
    <w:p w14:paraId="6974E28C" w14:textId="49270842" w:rsidR="00C852F1" w:rsidRPr="00CF59AA" w:rsidRDefault="00C852F1" w:rsidP="00C852F1">
      <w:pPr>
        <w:autoSpaceDE w:val="0"/>
        <w:autoSpaceDN w:val="0"/>
        <w:adjustRightInd w:val="0"/>
        <w:spacing w:after="0" w:line="240" w:lineRule="auto"/>
        <w:ind w:firstLine="284"/>
        <w:jc w:val="center"/>
        <w:rPr>
          <w:rFonts w:ascii="Garamond" w:hAnsi="Garamond" w:cs="Times New Roman"/>
          <w:b/>
          <w:bCs/>
          <w:color w:val="000000"/>
          <w:sz w:val="24"/>
          <w:szCs w:val="24"/>
        </w:rPr>
      </w:pPr>
      <w:r w:rsidRPr="00CF59AA">
        <w:rPr>
          <w:rFonts w:ascii="Garamond" w:hAnsi="Garamond" w:cs="Times New Roman"/>
          <w:b/>
          <w:bCs/>
          <w:color w:val="000000"/>
          <w:sz w:val="24"/>
          <w:szCs w:val="24"/>
        </w:rPr>
        <w:t>Nr.</w:t>
      </w:r>
      <w:r w:rsidR="00CF59AA" w:rsidRPr="00CF59AA">
        <w:rPr>
          <w:rFonts w:ascii="Garamond" w:hAnsi="Garamond" w:cs="Times New Roman"/>
          <w:b/>
          <w:bCs/>
          <w:color w:val="000000"/>
          <w:sz w:val="24"/>
          <w:szCs w:val="24"/>
        </w:rPr>
        <w:t xml:space="preserve"> </w:t>
      </w:r>
      <w:r w:rsidRPr="00CF59AA">
        <w:rPr>
          <w:rFonts w:ascii="Garamond" w:hAnsi="Garamond" w:cs="Times New Roman"/>
          <w:b/>
          <w:bCs/>
          <w:color w:val="000000"/>
          <w:sz w:val="24"/>
          <w:szCs w:val="24"/>
        </w:rPr>
        <w:t>77, datë 2.12.2025</w:t>
      </w:r>
    </w:p>
    <w:p w14:paraId="5BC66E0B" w14:textId="77777777" w:rsidR="00C852F1" w:rsidRPr="00CF59AA" w:rsidRDefault="00C852F1" w:rsidP="00C852F1">
      <w:pPr>
        <w:autoSpaceDE w:val="0"/>
        <w:autoSpaceDN w:val="0"/>
        <w:adjustRightInd w:val="0"/>
        <w:spacing w:after="0" w:line="240" w:lineRule="auto"/>
        <w:ind w:firstLine="284"/>
        <w:jc w:val="center"/>
        <w:rPr>
          <w:rFonts w:ascii="Garamond" w:hAnsi="Garamond" w:cs="Times New Roman"/>
          <w:b/>
          <w:bCs/>
          <w:color w:val="000000"/>
          <w:sz w:val="24"/>
          <w:szCs w:val="24"/>
        </w:rPr>
      </w:pPr>
    </w:p>
    <w:p w14:paraId="4423FD03" w14:textId="0F70740A" w:rsidR="00C852F1" w:rsidRPr="00CF59AA" w:rsidRDefault="00C852F1" w:rsidP="00C852F1">
      <w:pPr>
        <w:autoSpaceDE w:val="0"/>
        <w:autoSpaceDN w:val="0"/>
        <w:adjustRightInd w:val="0"/>
        <w:spacing w:after="0" w:line="240" w:lineRule="auto"/>
        <w:ind w:firstLine="284"/>
        <w:jc w:val="center"/>
        <w:rPr>
          <w:rFonts w:ascii="Garamond" w:hAnsi="Garamond" w:cs="Times New Roman"/>
          <w:b/>
          <w:bCs/>
          <w:color w:val="000000"/>
          <w:sz w:val="24"/>
          <w:szCs w:val="24"/>
        </w:rPr>
      </w:pPr>
      <w:r w:rsidRPr="00CF59AA">
        <w:rPr>
          <w:rFonts w:ascii="Garamond" w:hAnsi="Garamond" w:cs="Times New Roman"/>
          <w:b/>
          <w:bCs/>
          <w:color w:val="000000"/>
          <w:sz w:val="24"/>
          <w:szCs w:val="24"/>
        </w:rPr>
        <w:t>NË E</w:t>
      </w:r>
      <w:r w:rsidR="00CF59AA" w:rsidRPr="00CF59AA">
        <w:rPr>
          <w:rFonts w:ascii="Garamond" w:hAnsi="Garamond" w:cs="Times New Roman"/>
          <w:b/>
          <w:bCs/>
          <w:color w:val="000000"/>
          <w:sz w:val="24"/>
          <w:szCs w:val="24"/>
        </w:rPr>
        <w:t>MËR TË REPUBLIKËS SË SHQIPËRISË</w:t>
      </w:r>
    </w:p>
    <w:p w14:paraId="33AE2200" w14:textId="77777777" w:rsidR="00C852F1" w:rsidRPr="00CF59AA" w:rsidRDefault="00C852F1" w:rsidP="00C852F1">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u w:val="single"/>
        </w:rPr>
      </w:pPr>
    </w:p>
    <w:p w14:paraId="3A5B1F89" w14:textId="77777777" w:rsidR="00C852F1" w:rsidRPr="00CF59AA" w:rsidRDefault="00C852F1" w:rsidP="00C852F1">
      <w:pPr>
        <w:autoSpaceDE w:val="0"/>
        <w:autoSpaceDN w:val="0"/>
        <w:adjustRightInd w:val="0"/>
        <w:spacing w:after="0" w:line="240" w:lineRule="auto"/>
        <w:ind w:firstLine="284"/>
        <w:jc w:val="both"/>
        <w:rPr>
          <w:rFonts w:ascii="Garamond" w:hAnsi="Garamond" w:cs="Times New Roman"/>
          <w:color w:val="000000"/>
          <w:sz w:val="24"/>
          <w:szCs w:val="24"/>
        </w:rPr>
      </w:pPr>
      <w:r w:rsidRPr="00CF59AA">
        <w:rPr>
          <w:rFonts w:ascii="Garamond" w:hAnsi="Garamond" w:cs="Times New Roman"/>
          <w:color w:val="000000"/>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276"/>
      </w:tblGrid>
      <w:tr w:rsidR="000F10F0" w:rsidRPr="00CF59AA" w14:paraId="33CD1475" w14:textId="77777777" w:rsidTr="000F10F0">
        <w:tc>
          <w:tcPr>
            <w:tcW w:w="2405" w:type="dxa"/>
          </w:tcPr>
          <w:p w14:paraId="500956F3" w14:textId="77777777" w:rsidR="000F10F0" w:rsidRPr="00CF59AA" w:rsidRDefault="000F10F0" w:rsidP="00F02D20">
            <w:pPr>
              <w:autoSpaceDE w:val="0"/>
              <w:autoSpaceDN w:val="0"/>
              <w:adjustRightInd w:val="0"/>
              <w:rPr>
                <w:rFonts w:ascii="Garamond" w:hAnsi="Garamond" w:cs="Times New Roman"/>
                <w:color w:val="000000"/>
                <w:sz w:val="24"/>
                <w:szCs w:val="24"/>
              </w:rPr>
            </w:pPr>
            <w:proofErr w:type="spellStart"/>
            <w:r w:rsidRPr="00CF59AA">
              <w:rPr>
                <w:rFonts w:ascii="Garamond" w:hAnsi="Garamond" w:cs="Times New Roman"/>
                <w:color w:val="000000"/>
                <w:sz w:val="24"/>
                <w:szCs w:val="24"/>
              </w:rPr>
              <w:t>Marsida</w:t>
            </w:r>
            <w:proofErr w:type="spellEnd"/>
            <w:r w:rsidRPr="00CF59AA">
              <w:rPr>
                <w:rFonts w:ascii="Garamond" w:hAnsi="Garamond" w:cs="Times New Roman"/>
                <w:color w:val="000000"/>
                <w:sz w:val="24"/>
                <w:szCs w:val="24"/>
              </w:rPr>
              <w:t xml:space="preserve"> </w:t>
            </w:r>
            <w:proofErr w:type="spellStart"/>
            <w:r w:rsidRPr="00CF59AA">
              <w:rPr>
                <w:rFonts w:ascii="Garamond" w:hAnsi="Garamond" w:cs="Times New Roman"/>
                <w:color w:val="000000"/>
                <w:sz w:val="24"/>
                <w:szCs w:val="24"/>
              </w:rPr>
              <w:t>Xhaferllari</w:t>
            </w:r>
            <w:proofErr w:type="spellEnd"/>
          </w:p>
        </w:tc>
        <w:tc>
          <w:tcPr>
            <w:tcW w:w="1276" w:type="dxa"/>
          </w:tcPr>
          <w:p w14:paraId="11598EEF" w14:textId="22D9CCA0" w:rsidR="000F10F0" w:rsidRPr="00CF59AA" w:rsidRDefault="00CF59AA" w:rsidP="00F02D20">
            <w:pPr>
              <w:autoSpaceDE w:val="0"/>
              <w:autoSpaceDN w:val="0"/>
              <w:adjustRightInd w:val="0"/>
              <w:rPr>
                <w:rFonts w:ascii="Garamond" w:hAnsi="Garamond" w:cs="Times New Roman"/>
                <w:color w:val="000000"/>
                <w:sz w:val="24"/>
                <w:szCs w:val="24"/>
              </w:rPr>
            </w:pPr>
            <w:r w:rsidRPr="00CF59AA">
              <w:rPr>
                <w:rFonts w:ascii="Garamond" w:hAnsi="Garamond" w:cs="Times New Roman"/>
                <w:color w:val="000000"/>
                <w:sz w:val="24"/>
                <w:szCs w:val="24"/>
              </w:rPr>
              <w:t xml:space="preserve">kryesuese; </w:t>
            </w:r>
          </w:p>
        </w:tc>
      </w:tr>
      <w:tr w:rsidR="000F10F0" w:rsidRPr="00CF59AA" w14:paraId="5DF17749" w14:textId="77777777" w:rsidTr="000F10F0">
        <w:tc>
          <w:tcPr>
            <w:tcW w:w="2405" w:type="dxa"/>
          </w:tcPr>
          <w:p w14:paraId="5D9697BB" w14:textId="77777777" w:rsidR="000F10F0" w:rsidRPr="00CF59AA" w:rsidRDefault="000F10F0" w:rsidP="00F02D20">
            <w:pPr>
              <w:autoSpaceDE w:val="0"/>
              <w:autoSpaceDN w:val="0"/>
              <w:adjustRightInd w:val="0"/>
              <w:jc w:val="both"/>
              <w:rPr>
                <w:rFonts w:ascii="Garamond" w:hAnsi="Garamond" w:cs="Times New Roman"/>
                <w:color w:val="000000"/>
                <w:sz w:val="24"/>
                <w:szCs w:val="24"/>
              </w:rPr>
            </w:pPr>
            <w:proofErr w:type="spellStart"/>
            <w:r w:rsidRPr="00CF59AA">
              <w:rPr>
                <w:rFonts w:ascii="Garamond" w:hAnsi="Garamond" w:cs="Times New Roman"/>
                <w:color w:val="000000"/>
                <w:sz w:val="24"/>
                <w:szCs w:val="24"/>
              </w:rPr>
              <w:t>Fiona</w:t>
            </w:r>
            <w:proofErr w:type="spellEnd"/>
            <w:r w:rsidRPr="00CF59AA">
              <w:rPr>
                <w:rFonts w:ascii="Garamond" w:hAnsi="Garamond" w:cs="Times New Roman"/>
                <w:color w:val="000000"/>
                <w:sz w:val="24"/>
                <w:szCs w:val="24"/>
              </w:rPr>
              <w:t xml:space="preserve"> </w:t>
            </w:r>
            <w:proofErr w:type="spellStart"/>
            <w:r w:rsidRPr="00CF59AA">
              <w:rPr>
                <w:rFonts w:ascii="Garamond" w:hAnsi="Garamond" w:cs="Times New Roman"/>
                <w:color w:val="000000"/>
                <w:sz w:val="24"/>
                <w:szCs w:val="24"/>
              </w:rPr>
              <w:t>Papajorgji</w:t>
            </w:r>
            <w:proofErr w:type="spellEnd"/>
          </w:p>
        </w:tc>
        <w:tc>
          <w:tcPr>
            <w:tcW w:w="1276" w:type="dxa"/>
          </w:tcPr>
          <w:p w14:paraId="7547C8DB" w14:textId="0CE7B46C" w:rsidR="000F10F0" w:rsidRPr="00CF59AA" w:rsidRDefault="00CF59AA" w:rsidP="00F02D20">
            <w:pPr>
              <w:autoSpaceDE w:val="0"/>
              <w:autoSpaceDN w:val="0"/>
              <w:adjustRightInd w:val="0"/>
              <w:jc w:val="both"/>
              <w:rPr>
                <w:rFonts w:ascii="Garamond" w:hAnsi="Garamond" w:cs="Times New Roman"/>
                <w:color w:val="000000"/>
                <w:sz w:val="24"/>
                <w:szCs w:val="24"/>
              </w:rPr>
            </w:pPr>
            <w:r w:rsidRPr="00CF59AA">
              <w:rPr>
                <w:rFonts w:ascii="Garamond" w:hAnsi="Garamond" w:cs="Times New Roman"/>
                <w:color w:val="000000"/>
                <w:sz w:val="24"/>
                <w:szCs w:val="24"/>
              </w:rPr>
              <w:t>anëtare;</w:t>
            </w:r>
          </w:p>
        </w:tc>
      </w:tr>
      <w:tr w:rsidR="000F10F0" w:rsidRPr="00CF59AA" w14:paraId="42747180" w14:textId="77777777" w:rsidTr="000F10F0">
        <w:tc>
          <w:tcPr>
            <w:tcW w:w="2405" w:type="dxa"/>
          </w:tcPr>
          <w:p w14:paraId="137A23EF" w14:textId="2CA1CCED" w:rsidR="000F10F0" w:rsidRPr="00CF59AA" w:rsidRDefault="000F10F0" w:rsidP="00F02D20">
            <w:pPr>
              <w:autoSpaceDE w:val="0"/>
              <w:autoSpaceDN w:val="0"/>
              <w:adjustRightInd w:val="0"/>
              <w:rPr>
                <w:rFonts w:ascii="Garamond" w:hAnsi="Garamond" w:cs="Times New Roman"/>
                <w:color w:val="000000"/>
                <w:sz w:val="24"/>
                <w:szCs w:val="24"/>
              </w:rPr>
            </w:pPr>
            <w:proofErr w:type="spellStart"/>
            <w:r w:rsidRPr="00CF59AA">
              <w:rPr>
                <w:rFonts w:ascii="Garamond" w:hAnsi="Garamond" w:cs="Times New Roman"/>
                <w:color w:val="000000"/>
                <w:sz w:val="24"/>
                <w:szCs w:val="24"/>
              </w:rPr>
              <w:t>Sonila</w:t>
            </w:r>
            <w:proofErr w:type="spellEnd"/>
            <w:r w:rsidRPr="00CF59AA">
              <w:rPr>
                <w:rFonts w:ascii="Garamond" w:hAnsi="Garamond" w:cs="Times New Roman"/>
                <w:color w:val="000000"/>
                <w:sz w:val="24"/>
                <w:szCs w:val="24"/>
              </w:rPr>
              <w:t xml:space="preserve"> Bejtja</w:t>
            </w:r>
            <w:r w:rsidR="00B007C3">
              <w:rPr>
                <w:rFonts w:ascii="Garamond" w:hAnsi="Garamond" w:cs="Times New Roman"/>
                <w:color w:val="000000"/>
                <w:sz w:val="24"/>
                <w:szCs w:val="24"/>
              </w:rPr>
              <w:t xml:space="preserve"> </w:t>
            </w:r>
          </w:p>
        </w:tc>
        <w:tc>
          <w:tcPr>
            <w:tcW w:w="1276" w:type="dxa"/>
          </w:tcPr>
          <w:p w14:paraId="4FC13754" w14:textId="6470195B" w:rsidR="000F10F0" w:rsidRPr="00CF59AA" w:rsidRDefault="00CF59AA" w:rsidP="00F02D20">
            <w:pPr>
              <w:autoSpaceDE w:val="0"/>
              <w:autoSpaceDN w:val="0"/>
              <w:adjustRightInd w:val="0"/>
              <w:rPr>
                <w:rFonts w:ascii="Garamond" w:hAnsi="Garamond" w:cs="Times New Roman"/>
                <w:color w:val="000000"/>
                <w:sz w:val="24"/>
                <w:szCs w:val="24"/>
              </w:rPr>
            </w:pPr>
            <w:r w:rsidRPr="00CF59AA">
              <w:rPr>
                <w:rFonts w:ascii="Garamond" w:hAnsi="Garamond" w:cs="Times New Roman"/>
                <w:color w:val="000000"/>
                <w:sz w:val="24"/>
                <w:szCs w:val="24"/>
              </w:rPr>
              <w:t>anëtare;</w:t>
            </w:r>
          </w:p>
        </w:tc>
      </w:tr>
      <w:tr w:rsidR="000F10F0" w:rsidRPr="00CF59AA" w14:paraId="64C51D01" w14:textId="77777777" w:rsidTr="000F10F0">
        <w:tc>
          <w:tcPr>
            <w:tcW w:w="2405" w:type="dxa"/>
          </w:tcPr>
          <w:p w14:paraId="08330921" w14:textId="77777777" w:rsidR="000F10F0" w:rsidRPr="00CF59AA" w:rsidRDefault="000F10F0" w:rsidP="00F02D20">
            <w:pPr>
              <w:autoSpaceDE w:val="0"/>
              <w:autoSpaceDN w:val="0"/>
              <w:adjustRightInd w:val="0"/>
              <w:rPr>
                <w:rFonts w:ascii="Garamond" w:hAnsi="Garamond" w:cs="Times New Roman"/>
                <w:color w:val="000000"/>
                <w:sz w:val="24"/>
                <w:szCs w:val="24"/>
              </w:rPr>
            </w:pPr>
            <w:proofErr w:type="spellStart"/>
            <w:r w:rsidRPr="00CF59AA">
              <w:rPr>
                <w:rFonts w:ascii="Garamond" w:hAnsi="Garamond" w:cs="Times New Roman"/>
                <w:color w:val="000000"/>
                <w:sz w:val="24"/>
                <w:szCs w:val="24"/>
              </w:rPr>
              <w:t>Sandër</w:t>
            </w:r>
            <w:proofErr w:type="spellEnd"/>
            <w:r w:rsidRPr="00CF59AA">
              <w:rPr>
                <w:rFonts w:ascii="Garamond" w:hAnsi="Garamond" w:cs="Times New Roman"/>
                <w:color w:val="000000"/>
                <w:sz w:val="24"/>
                <w:szCs w:val="24"/>
              </w:rPr>
              <w:t xml:space="preserve"> Beci</w:t>
            </w:r>
          </w:p>
        </w:tc>
        <w:tc>
          <w:tcPr>
            <w:tcW w:w="1276" w:type="dxa"/>
          </w:tcPr>
          <w:p w14:paraId="28F1F15C" w14:textId="023DCAEE" w:rsidR="000F10F0" w:rsidRPr="00CF59AA" w:rsidRDefault="00CF59AA" w:rsidP="00F02D20">
            <w:pPr>
              <w:autoSpaceDE w:val="0"/>
              <w:autoSpaceDN w:val="0"/>
              <w:adjustRightInd w:val="0"/>
              <w:rPr>
                <w:rFonts w:ascii="Garamond" w:hAnsi="Garamond" w:cs="Times New Roman"/>
                <w:color w:val="000000"/>
                <w:sz w:val="24"/>
                <w:szCs w:val="24"/>
              </w:rPr>
            </w:pPr>
            <w:r w:rsidRPr="00CF59AA">
              <w:rPr>
                <w:rFonts w:ascii="Garamond" w:hAnsi="Garamond" w:cs="Times New Roman"/>
                <w:color w:val="000000"/>
                <w:sz w:val="24"/>
                <w:szCs w:val="24"/>
              </w:rPr>
              <w:t xml:space="preserve">anëtar; </w:t>
            </w:r>
          </w:p>
        </w:tc>
      </w:tr>
      <w:tr w:rsidR="000F10F0" w:rsidRPr="00CF59AA" w14:paraId="775800CB" w14:textId="77777777" w:rsidTr="000F10F0">
        <w:tc>
          <w:tcPr>
            <w:tcW w:w="2405" w:type="dxa"/>
          </w:tcPr>
          <w:p w14:paraId="78F68D3F" w14:textId="77777777" w:rsidR="000F10F0" w:rsidRPr="00CF59AA" w:rsidRDefault="000F10F0" w:rsidP="00F02D20">
            <w:pPr>
              <w:autoSpaceDE w:val="0"/>
              <w:autoSpaceDN w:val="0"/>
              <w:adjustRightInd w:val="0"/>
              <w:rPr>
                <w:rFonts w:ascii="Garamond" w:hAnsi="Garamond" w:cs="Times New Roman"/>
                <w:color w:val="000000"/>
                <w:sz w:val="24"/>
                <w:szCs w:val="24"/>
              </w:rPr>
            </w:pPr>
            <w:r w:rsidRPr="00CF59AA">
              <w:rPr>
                <w:rFonts w:ascii="Garamond" w:hAnsi="Garamond" w:cs="Times New Roman"/>
                <w:color w:val="000000"/>
                <w:sz w:val="24"/>
                <w:szCs w:val="24"/>
              </w:rPr>
              <w:t>Ilir Toska</w:t>
            </w:r>
          </w:p>
        </w:tc>
        <w:tc>
          <w:tcPr>
            <w:tcW w:w="1276" w:type="dxa"/>
          </w:tcPr>
          <w:p w14:paraId="25959A95" w14:textId="75941F45" w:rsidR="000F10F0" w:rsidRPr="00CF59AA" w:rsidRDefault="00CF59AA" w:rsidP="00F02D20">
            <w:pPr>
              <w:autoSpaceDE w:val="0"/>
              <w:autoSpaceDN w:val="0"/>
              <w:adjustRightInd w:val="0"/>
              <w:rPr>
                <w:rFonts w:ascii="Garamond" w:hAnsi="Garamond" w:cs="Times New Roman"/>
                <w:color w:val="000000"/>
                <w:sz w:val="24"/>
                <w:szCs w:val="24"/>
              </w:rPr>
            </w:pPr>
            <w:r w:rsidRPr="00CF59AA">
              <w:rPr>
                <w:rFonts w:ascii="Garamond" w:hAnsi="Garamond" w:cs="Times New Roman"/>
                <w:color w:val="000000"/>
                <w:sz w:val="24"/>
                <w:szCs w:val="24"/>
              </w:rPr>
              <w:t>anëtar;</w:t>
            </w:r>
          </w:p>
        </w:tc>
      </w:tr>
      <w:tr w:rsidR="000F10F0" w:rsidRPr="00CF59AA" w14:paraId="214B06D6" w14:textId="77777777" w:rsidTr="000F10F0">
        <w:tc>
          <w:tcPr>
            <w:tcW w:w="2405" w:type="dxa"/>
          </w:tcPr>
          <w:p w14:paraId="06237492" w14:textId="77777777" w:rsidR="000F10F0" w:rsidRPr="00CF59AA" w:rsidRDefault="000F10F0" w:rsidP="00F02D20">
            <w:pPr>
              <w:autoSpaceDE w:val="0"/>
              <w:autoSpaceDN w:val="0"/>
              <w:adjustRightInd w:val="0"/>
              <w:jc w:val="both"/>
              <w:rPr>
                <w:rFonts w:ascii="Garamond" w:hAnsi="Garamond" w:cs="Times New Roman"/>
                <w:color w:val="000000"/>
                <w:sz w:val="24"/>
                <w:szCs w:val="24"/>
              </w:rPr>
            </w:pPr>
            <w:proofErr w:type="spellStart"/>
            <w:r w:rsidRPr="00CF59AA">
              <w:rPr>
                <w:rFonts w:ascii="Garamond" w:hAnsi="Garamond" w:cs="Times New Roman"/>
                <w:color w:val="000000"/>
                <w:sz w:val="24"/>
                <w:szCs w:val="24"/>
              </w:rPr>
              <w:t>Marjana</w:t>
            </w:r>
            <w:proofErr w:type="spellEnd"/>
            <w:r w:rsidRPr="00CF59AA">
              <w:rPr>
                <w:rFonts w:ascii="Garamond" w:hAnsi="Garamond" w:cs="Times New Roman"/>
                <w:color w:val="000000"/>
                <w:sz w:val="24"/>
                <w:szCs w:val="24"/>
              </w:rPr>
              <w:t xml:space="preserve"> </w:t>
            </w:r>
            <w:proofErr w:type="spellStart"/>
            <w:r w:rsidRPr="00CF59AA">
              <w:rPr>
                <w:rFonts w:ascii="Garamond" w:hAnsi="Garamond" w:cs="Times New Roman"/>
                <w:color w:val="000000"/>
                <w:sz w:val="24"/>
                <w:szCs w:val="24"/>
              </w:rPr>
              <w:t>Semini</w:t>
            </w:r>
            <w:proofErr w:type="spellEnd"/>
          </w:p>
        </w:tc>
        <w:tc>
          <w:tcPr>
            <w:tcW w:w="1276" w:type="dxa"/>
          </w:tcPr>
          <w:p w14:paraId="193BAC3B" w14:textId="5C06F235" w:rsidR="000F10F0" w:rsidRPr="00CF59AA" w:rsidRDefault="00CF59AA" w:rsidP="00F02D20">
            <w:pPr>
              <w:autoSpaceDE w:val="0"/>
              <w:autoSpaceDN w:val="0"/>
              <w:adjustRightInd w:val="0"/>
              <w:jc w:val="both"/>
              <w:rPr>
                <w:rFonts w:ascii="Garamond" w:hAnsi="Garamond" w:cs="Times New Roman"/>
                <w:color w:val="000000"/>
                <w:sz w:val="24"/>
                <w:szCs w:val="24"/>
              </w:rPr>
            </w:pPr>
            <w:r w:rsidRPr="00CF59AA">
              <w:rPr>
                <w:rFonts w:ascii="Garamond" w:hAnsi="Garamond" w:cs="Times New Roman"/>
                <w:color w:val="000000"/>
                <w:sz w:val="24"/>
                <w:szCs w:val="24"/>
              </w:rPr>
              <w:t>anëtare;</w:t>
            </w:r>
          </w:p>
        </w:tc>
      </w:tr>
      <w:tr w:rsidR="000F10F0" w:rsidRPr="00CF59AA" w14:paraId="34C915F3" w14:textId="77777777" w:rsidTr="000F10F0">
        <w:tc>
          <w:tcPr>
            <w:tcW w:w="2405" w:type="dxa"/>
          </w:tcPr>
          <w:p w14:paraId="56520A72" w14:textId="77777777" w:rsidR="000F10F0" w:rsidRPr="00CF59AA" w:rsidRDefault="000F10F0" w:rsidP="00F02D20">
            <w:pPr>
              <w:autoSpaceDE w:val="0"/>
              <w:autoSpaceDN w:val="0"/>
              <w:adjustRightInd w:val="0"/>
              <w:rPr>
                <w:rFonts w:ascii="Garamond" w:hAnsi="Garamond" w:cs="Times New Roman"/>
                <w:color w:val="000000"/>
                <w:sz w:val="24"/>
                <w:szCs w:val="24"/>
              </w:rPr>
            </w:pPr>
            <w:r w:rsidRPr="00CF59AA">
              <w:rPr>
                <w:rFonts w:ascii="Garamond" w:hAnsi="Garamond" w:cs="Times New Roman"/>
                <w:color w:val="000000"/>
                <w:sz w:val="24"/>
                <w:szCs w:val="24"/>
              </w:rPr>
              <w:t>Genti Ibrahimi</w:t>
            </w:r>
          </w:p>
        </w:tc>
        <w:tc>
          <w:tcPr>
            <w:tcW w:w="1276" w:type="dxa"/>
          </w:tcPr>
          <w:p w14:paraId="246794ED" w14:textId="70B98EDA" w:rsidR="000F10F0" w:rsidRPr="00CF59AA" w:rsidRDefault="00CF59AA" w:rsidP="00F02D20">
            <w:pPr>
              <w:autoSpaceDE w:val="0"/>
              <w:autoSpaceDN w:val="0"/>
              <w:adjustRightInd w:val="0"/>
              <w:rPr>
                <w:rFonts w:ascii="Garamond" w:hAnsi="Garamond" w:cs="Times New Roman"/>
                <w:color w:val="000000"/>
                <w:sz w:val="24"/>
                <w:szCs w:val="24"/>
              </w:rPr>
            </w:pPr>
            <w:r w:rsidRPr="00CF59AA">
              <w:rPr>
                <w:rFonts w:ascii="Garamond" w:hAnsi="Garamond" w:cs="Times New Roman"/>
                <w:color w:val="000000"/>
                <w:sz w:val="24"/>
                <w:szCs w:val="24"/>
              </w:rPr>
              <w:t xml:space="preserve">anëtar; </w:t>
            </w:r>
          </w:p>
        </w:tc>
      </w:tr>
    </w:tbl>
    <w:p w14:paraId="37392051" w14:textId="350CBDBC" w:rsidR="00C852F1" w:rsidRPr="00CF59AA" w:rsidRDefault="00C852F1" w:rsidP="008A2F7C">
      <w:pPr>
        <w:autoSpaceDE w:val="0"/>
        <w:autoSpaceDN w:val="0"/>
        <w:adjustRightInd w:val="0"/>
        <w:spacing w:after="0" w:line="240" w:lineRule="auto"/>
        <w:ind w:firstLine="284"/>
        <w:jc w:val="both"/>
        <w:rPr>
          <w:rFonts w:ascii="Garamond" w:hAnsi="Garamond" w:cs="Times New Roman"/>
          <w:color w:val="000000"/>
          <w:sz w:val="24"/>
          <w:szCs w:val="24"/>
        </w:rPr>
      </w:pPr>
      <w:r w:rsidRPr="00CF59AA">
        <w:rPr>
          <w:rFonts w:ascii="Garamond" w:hAnsi="Garamond" w:cs="Times New Roman"/>
          <w:color w:val="000000"/>
          <w:sz w:val="24"/>
          <w:szCs w:val="24"/>
        </w:rPr>
        <w:t>me s</w:t>
      </w:r>
      <w:r w:rsidR="00CF59AA" w:rsidRPr="00CF59AA">
        <w:rPr>
          <w:rFonts w:ascii="Garamond" w:hAnsi="Garamond" w:cs="Times New Roman"/>
          <w:color w:val="000000"/>
          <w:sz w:val="24"/>
          <w:szCs w:val="24"/>
        </w:rPr>
        <w:t xml:space="preserve">ekretare </w:t>
      </w:r>
      <w:proofErr w:type="spellStart"/>
      <w:r w:rsidR="00CF59AA" w:rsidRPr="00CF59AA">
        <w:rPr>
          <w:rFonts w:ascii="Garamond" w:hAnsi="Garamond" w:cs="Times New Roman"/>
          <w:color w:val="000000"/>
          <w:sz w:val="24"/>
          <w:szCs w:val="24"/>
        </w:rPr>
        <w:t>Anjeza</w:t>
      </w:r>
      <w:proofErr w:type="spellEnd"/>
      <w:r w:rsidR="00CF59AA" w:rsidRPr="00CF59AA">
        <w:rPr>
          <w:rFonts w:ascii="Garamond" w:hAnsi="Garamond" w:cs="Times New Roman"/>
          <w:color w:val="000000"/>
          <w:sz w:val="24"/>
          <w:szCs w:val="24"/>
        </w:rPr>
        <w:t xml:space="preserve"> Puka, në datën </w:t>
      </w:r>
      <w:r w:rsidRPr="00CF59AA">
        <w:rPr>
          <w:rFonts w:ascii="Garamond" w:hAnsi="Garamond" w:cs="Times New Roman"/>
          <w:color w:val="000000"/>
          <w:sz w:val="24"/>
          <w:szCs w:val="24"/>
        </w:rPr>
        <w:t>2.12.2025</w:t>
      </w:r>
      <w:r w:rsidR="00CF59AA" w:rsidRPr="00CF59AA">
        <w:rPr>
          <w:rFonts w:ascii="Garamond" w:hAnsi="Garamond" w:cs="Times New Roman"/>
          <w:color w:val="000000"/>
          <w:sz w:val="24"/>
          <w:szCs w:val="24"/>
        </w:rPr>
        <w:t>,</w:t>
      </w:r>
      <w:r w:rsidRPr="00CF59AA">
        <w:rPr>
          <w:rFonts w:ascii="Garamond" w:hAnsi="Garamond" w:cs="Times New Roman"/>
          <w:color w:val="000000"/>
          <w:sz w:val="24"/>
          <w:szCs w:val="24"/>
        </w:rPr>
        <w:t xml:space="preserve"> mori në shqyrtim në seancë plenare mbi bazë të dokumenteve kërkesën nr. 12 (K) 2025 të Regjistrit Themeltar, që u përket:</w:t>
      </w:r>
    </w:p>
    <w:p w14:paraId="11278BE5" w14:textId="21C29F40" w:rsidR="00C852F1" w:rsidRPr="00CF59AA" w:rsidRDefault="00C852F1" w:rsidP="008A2F7C">
      <w:pPr>
        <w:tabs>
          <w:tab w:val="left" w:pos="720"/>
          <w:tab w:val="left" w:pos="1080"/>
          <w:tab w:val="left" w:pos="2880"/>
        </w:tabs>
        <w:autoSpaceDE w:val="0"/>
        <w:autoSpaceDN w:val="0"/>
        <w:adjustRightInd w:val="0"/>
        <w:spacing w:after="0" w:line="240" w:lineRule="auto"/>
        <w:ind w:firstLine="284"/>
        <w:jc w:val="both"/>
        <w:rPr>
          <w:rFonts w:ascii="Garamond" w:hAnsi="Garamond" w:cs="Times New Roman"/>
          <w:color w:val="000000"/>
          <w:sz w:val="24"/>
          <w:szCs w:val="24"/>
        </w:rPr>
      </w:pPr>
      <w:r w:rsidRPr="00CF59AA">
        <w:rPr>
          <w:rFonts w:ascii="Garamond" w:hAnsi="Garamond" w:cs="Times New Roman"/>
          <w:bCs/>
          <w:color w:val="000000"/>
          <w:sz w:val="24"/>
          <w:szCs w:val="24"/>
        </w:rPr>
        <w:t xml:space="preserve">KËRKUESE: </w:t>
      </w:r>
      <w:proofErr w:type="spellStart"/>
      <w:r w:rsidR="00CF59AA" w:rsidRPr="00CF59AA">
        <w:rPr>
          <w:rFonts w:ascii="Garamond" w:hAnsi="Garamond" w:cs="Times New Roman"/>
          <w:bCs/>
          <w:color w:val="000000"/>
          <w:sz w:val="24"/>
          <w:szCs w:val="24"/>
        </w:rPr>
        <w:t>Klodiana</w:t>
      </w:r>
      <w:proofErr w:type="spellEnd"/>
      <w:r w:rsidR="00CF59AA" w:rsidRPr="00CF59AA">
        <w:rPr>
          <w:rFonts w:ascii="Garamond" w:hAnsi="Garamond" w:cs="Times New Roman"/>
          <w:bCs/>
          <w:color w:val="000000"/>
          <w:sz w:val="24"/>
          <w:szCs w:val="24"/>
        </w:rPr>
        <w:t xml:space="preserve"> </w:t>
      </w:r>
      <w:proofErr w:type="spellStart"/>
      <w:r w:rsidR="00CF59AA" w:rsidRPr="00CF59AA">
        <w:rPr>
          <w:rFonts w:ascii="Garamond" w:hAnsi="Garamond" w:cs="Times New Roman"/>
          <w:bCs/>
          <w:color w:val="000000"/>
          <w:sz w:val="24"/>
          <w:szCs w:val="24"/>
        </w:rPr>
        <w:t>Cankja</w:t>
      </w:r>
      <w:proofErr w:type="spellEnd"/>
      <w:r w:rsidRPr="00CF59AA">
        <w:rPr>
          <w:rFonts w:ascii="Garamond" w:hAnsi="Garamond" w:cs="Times New Roman"/>
          <w:color w:val="000000"/>
          <w:sz w:val="24"/>
          <w:szCs w:val="24"/>
        </w:rPr>
        <w:t xml:space="preserve">, përfaqësuar nga avokat </w:t>
      </w:r>
      <w:proofErr w:type="spellStart"/>
      <w:r w:rsidRPr="00CF59AA">
        <w:rPr>
          <w:rFonts w:ascii="Garamond" w:hAnsi="Garamond" w:cs="Times New Roman"/>
          <w:color w:val="000000"/>
          <w:sz w:val="24"/>
          <w:szCs w:val="24"/>
        </w:rPr>
        <w:t>Rezart</w:t>
      </w:r>
      <w:proofErr w:type="spellEnd"/>
      <w:r w:rsidRPr="00CF59AA">
        <w:rPr>
          <w:rFonts w:ascii="Garamond" w:hAnsi="Garamond" w:cs="Times New Roman"/>
          <w:color w:val="000000"/>
          <w:sz w:val="24"/>
          <w:szCs w:val="24"/>
        </w:rPr>
        <w:t xml:space="preserve"> </w:t>
      </w:r>
      <w:proofErr w:type="spellStart"/>
      <w:r w:rsidRPr="00CF59AA">
        <w:rPr>
          <w:rFonts w:ascii="Garamond" w:hAnsi="Garamond" w:cs="Times New Roman"/>
          <w:color w:val="000000"/>
          <w:sz w:val="24"/>
          <w:szCs w:val="24"/>
        </w:rPr>
        <w:t>Tërshana</w:t>
      </w:r>
      <w:proofErr w:type="spellEnd"/>
      <w:r w:rsidRPr="00CF59AA">
        <w:rPr>
          <w:rFonts w:ascii="Garamond" w:hAnsi="Garamond" w:cs="Times New Roman"/>
          <w:color w:val="000000"/>
          <w:sz w:val="24"/>
          <w:szCs w:val="24"/>
        </w:rPr>
        <w:t>, me prokurë.</w:t>
      </w:r>
    </w:p>
    <w:p w14:paraId="3100B1BD" w14:textId="43ECD08E" w:rsidR="00C852F1" w:rsidRPr="008A2F7C" w:rsidRDefault="00C852F1" w:rsidP="008A2F7C">
      <w:pPr>
        <w:tabs>
          <w:tab w:val="left" w:pos="3600"/>
        </w:tabs>
        <w:autoSpaceDE w:val="0"/>
        <w:autoSpaceDN w:val="0"/>
        <w:adjustRightInd w:val="0"/>
        <w:spacing w:after="0" w:line="240" w:lineRule="auto"/>
        <w:ind w:firstLine="284"/>
        <w:jc w:val="both"/>
        <w:rPr>
          <w:rFonts w:ascii="Garamond" w:hAnsi="Garamond" w:cs="Times New Roman"/>
          <w:bCs/>
          <w:color w:val="000000"/>
          <w:sz w:val="24"/>
          <w:szCs w:val="24"/>
        </w:rPr>
      </w:pPr>
      <w:r w:rsidRPr="00CF59AA">
        <w:rPr>
          <w:rFonts w:ascii="Garamond" w:hAnsi="Garamond" w:cs="Times New Roman"/>
          <w:bCs/>
          <w:color w:val="000000"/>
          <w:sz w:val="24"/>
          <w:szCs w:val="24"/>
        </w:rPr>
        <w:t>SUBJEKTE TË INTERESUARA:</w:t>
      </w:r>
      <w:r w:rsidR="008A2F7C">
        <w:rPr>
          <w:rFonts w:ascii="Garamond" w:hAnsi="Garamond" w:cs="Times New Roman"/>
          <w:bCs/>
          <w:color w:val="000000"/>
          <w:sz w:val="24"/>
          <w:szCs w:val="24"/>
        </w:rPr>
        <w:t xml:space="preserve"> </w:t>
      </w:r>
      <w:r w:rsidR="00CF59AA" w:rsidRPr="00CF59AA">
        <w:rPr>
          <w:rFonts w:ascii="Garamond" w:hAnsi="Garamond" w:cs="Times New Roman"/>
          <w:bCs/>
          <w:color w:val="000000"/>
          <w:sz w:val="24"/>
          <w:szCs w:val="24"/>
        </w:rPr>
        <w:t>Departamenti i</w:t>
      </w:r>
      <w:r w:rsidRPr="00CF59AA">
        <w:rPr>
          <w:rFonts w:ascii="Garamond" w:hAnsi="Garamond" w:cs="Times New Roman"/>
          <w:bCs/>
          <w:color w:val="000000"/>
          <w:sz w:val="24"/>
          <w:szCs w:val="24"/>
        </w:rPr>
        <w:t xml:space="preserve"> </w:t>
      </w:r>
      <w:r w:rsidR="00CF59AA" w:rsidRPr="00CF59AA">
        <w:rPr>
          <w:rFonts w:ascii="Garamond" w:hAnsi="Garamond" w:cs="Times New Roman"/>
          <w:bCs/>
          <w:color w:val="000000"/>
          <w:sz w:val="24"/>
          <w:szCs w:val="24"/>
        </w:rPr>
        <w:t>Administratës Publike</w:t>
      </w:r>
      <w:r w:rsidRPr="00CF59AA">
        <w:rPr>
          <w:rFonts w:ascii="Garamond" w:hAnsi="Garamond" w:cs="Times New Roman"/>
          <w:bCs/>
          <w:color w:val="000000"/>
          <w:sz w:val="24"/>
          <w:szCs w:val="24"/>
        </w:rPr>
        <w:t xml:space="preserve">, </w:t>
      </w:r>
      <w:r w:rsidRPr="00CF59AA">
        <w:rPr>
          <w:rFonts w:ascii="Garamond" w:hAnsi="Garamond" w:cs="Times New Roman"/>
          <w:color w:val="000000"/>
          <w:sz w:val="24"/>
          <w:szCs w:val="24"/>
        </w:rPr>
        <w:t xml:space="preserve">përfaqësuar nga Enkela </w:t>
      </w:r>
      <w:proofErr w:type="spellStart"/>
      <w:r w:rsidRPr="00CF59AA">
        <w:rPr>
          <w:rFonts w:ascii="Garamond" w:hAnsi="Garamond" w:cs="Times New Roman"/>
          <w:color w:val="000000"/>
          <w:sz w:val="24"/>
          <w:szCs w:val="24"/>
        </w:rPr>
        <w:t>Dudushi</w:t>
      </w:r>
      <w:proofErr w:type="spellEnd"/>
      <w:r w:rsidRPr="00CF59AA">
        <w:rPr>
          <w:rFonts w:ascii="Garamond" w:hAnsi="Garamond" w:cs="Times New Roman"/>
          <w:color w:val="000000"/>
          <w:sz w:val="24"/>
          <w:szCs w:val="24"/>
        </w:rPr>
        <w:t xml:space="preserve">. </w:t>
      </w:r>
    </w:p>
    <w:p w14:paraId="02AF7156" w14:textId="44275121" w:rsidR="00C852F1" w:rsidRPr="00CF59AA" w:rsidRDefault="00CF59AA" w:rsidP="008A2F7C">
      <w:pPr>
        <w:autoSpaceDE w:val="0"/>
        <w:autoSpaceDN w:val="0"/>
        <w:adjustRightInd w:val="0"/>
        <w:spacing w:after="0" w:line="240" w:lineRule="auto"/>
        <w:ind w:firstLine="284"/>
        <w:jc w:val="both"/>
        <w:rPr>
          <w:rFonts w:ascii="Garamond" w:hAnsi="Garamond" w:cs="Times New Roman"/>
          <w:color w:val="000000"/>
          <w:sz w:val="24"/>
          <w:szCs w:val="24"/>
        </w:rPr>
      </w:pPr>
      <w:r w:rsidRPr="00CF59AA">
        <w:rPr>
          <w:rFonts w:ascii="Garamond" w:hAnsi="Garamond" w:cs="Times New Roman"/>
          <w:bCs/>
          <w:color w:val="000000"/>
          <w:sz w:val="24"/>
          <w:szCs w:val="24"/>
        </w:rPr>
        <w:t>Sekretari i</w:t>
      </w:r>
      <w:r w:rsidR="00C852F1" w:rsidRPr="00CF59AA">
        <w:rPr>
          <w:rFonts w:ascii="Garamond" w:hAnsi="Garamond" w:cs="Times New Roman"/>
          <w:bCs/>
          <w:color w:val="000000"/>
          <w:sz w:val="24"/>
          <w:szCs w:val="24"/>
        </w:rPr>
        <w:t xml:space="preserve"> </w:t>
      </w:r>
      <w:r w:rsidRPr="00CF59AA">
        <w:rPr>
          <w:rFonts w:ascii="Garamond" w:hAnsi="Garamond" w:cs="Times New Roman"/>
          <w:bCs/>
          <w:color w:val="000000"/>
          <w:sz w:val="24"/>
          <w:szCs w:val="24"/>
        </w:rPr>
        <w:t>Përgjithshëm i</w:t>
      </w:r>
      <w:r w:rsidR="00C852F1" w:rsidRPr="00CF59AA">
        <w:rPr>
          <w:rFonts w:ascii="Garamond" w:hAnsi="Garamond" w:cs="Times New Roman"/>
          <w:bCs/>
          <w:color w:val="000000"/>
          <w:sz w:val="24"/>
          <w:szCs w:val="24"/>
        </w:rPr>
        <w:t xml:space="preserve"> </w:t>
      </w:r>
      <w:r w:rsidRPr="00CF59AA">
        <w:rPr>
          <w:rFonts w:ascii="Garamond" w:hAnsi="Garamond" w:cs="Times New Roman"/>
          <w:bCs/>
          <w:color w:val="000000"/>
          <w:sz w:val="24"/>
          <w:szCs w:val="24"/>
        </w:rPr>
        <w:t>Këshillit të</w:t>
      </w:r>
      <w:r w:rsidR="00C852F1" w:rsidRPr="00CF59AA">
        <w:rPr>
          <w:rFonts w:ascii="Garamond" w:hAnsi="Garamond" w:cs="Times New Roman"/>
          <w:bCs/>
          <w:color w:val="000000"/>
          <w:sz w:val="24"/>
          <w:szCs w:val="24"/>
        </w:rPr>
        <w:t xml:space="preserve"> </w:t>
      </w:r>
      <w:r w:rsidRPr="00CF59AA">
        <w:rPr>
          <w:rFonts w:ascii="Garamond" w:hAnsi="Garamond" w:cs="Times New Roman"/>
          <w:bCs/>
          <w:color w:val="000000"/>
          <w:sz w:val="24"/>
          <w:szCs w:val="24"/>
        </w:rPr>
        <w:t>Ministrave</w:t>
      </w:r>
      <w:r w:rsidR="00C852F1" w:rsidRPr="00CF59AA">
        <w:rPr>
          <w:rFonts w:ascii="Garamond" w:hAnsi="Garamond" w:cs="Times New Roman"/>
          <w:bCs/>
          <w:color w:val="000000"/>
          <w:sz w:val="24"/>
          <w:szCs w:val="24"/>
        </w:rPr>
        <w:t xml:space="preserve">, </w:t>
      </w:r>
      <w:r w:rsidRPr="00CF59AA">
        <w:rPr>
          <w:rFonts w:ascii="Garamond" w:hAnsi="Garamond" w:cs="Times New Roman"/>
          <w:bCs/>
          <w:color w:val="000000"/>
          <w:sz w:val="24"/>
          <w:szCs w:val="24"/>
        </w:rPr>
        <w:t>Kryeministria e</w:t>
      </w:r>
      <w:r w:rsidR="00C852F1" w:rsidRPr="00CF59AA">
        <w:rPr>
          <w:rFonts w:ascii="Garamond" w:hAnsi="Garamond" w:cs="Times New Roman"/>
          <w:bCs/>
          <w:color w:val="000000"/>
          <w:sz w:val="24"/>
          <w:szCs w:val="24"/>
        </w:rPr>
        <w:t xml:space="preserve"> </w:t>
      </w:r>
      <w:r w:rsidRPr="00CF59AA">
        <w:rPr>
          <w:rFonts w:ascii="Garamond" w:hAnsi="Garamond" w:cs="Times New Roman"/>
          <w:bCs/>
          <w:color w:val="000000"/>
          <w:sz w:val="24"/>
          <w:szCs w:val="24"/>
        </w:rPr>
        <w:t>Republikës së</w:t>
      </w:r>
      <w:r w:rsidR="00C852F1" w:rsidRPr="00CF59AA">
        <w:rPr>
          <w:rFonts w:ascii="Garamond" w:hAnsi="Garamond" w:cs="Times New Roman"/>
          <w:bCs/>
          <w:color w:val="000000"/>
          <w:sz w:val="24"/>
          <w:szCs w:val="24"/>
        </w:rPr>
        <w:t xml:space="preserve"> </w:t>
      </w:r>
      <w:r w:rsidRPr="00CF59AA">
        <w:rPr>
          <w:rFonts w:ascii="Garamond" w:hAnsi="Garamond" w:cs="Times New Roman"/>
          <w:bCs/>
          <w:color w:val="000000"/>
          <w:sz w:val="24"/>
          <w:szCs w:val="24"/>
        </w:rPr>
        <w:t>Shqipërisë</w:t>
      </w:r>
      <w:r w:rsidR="00C852F1" w:rsidRPr="00CF59AA">
        <w:rPr>
          <w:rFonts w:ascii="Garamond" w:hAnsi="Garamond" w:cs="Times New Roman"/>
          <w:bCs/>
          <w:color w:val="000000"/>
          <w:sz w:val="24"/>
          <w:szCs w:val="24"/>
        </w:rPr>
        <w:t xml:space="preserve">, </w:t>
      </w:r>
      <w:r w:rsidR="00C852F1" w:rsidRPr="00CF59AA">
        <w:rPr>
          <w:rFonts w:ascii="Garamond" w:hAnsi="Garamond" w:cs="Times New Roman"/>
          <w:color w:val="000000"/>
          <w:sz w:val="24"/>
          <w:szCs w:val="24"/>
        </w:rPr>
        <w:t xml:space="preserve">përfaqësuar nga </w:t>
      </w:r>
      <w:proofErr w:type="spellStart"/>
      <w:r w:rsidR="00C852F1" w:rsidRPr="00CF59AA">
        <w:rPr>
          <w:rFonts w:ascii="Garamond" w:hAnsi="Garamond" w:cs="Times New Roman"/>
          <w:color w:val="000000"/>
          <w:sz w:val="24"/>
          <w:szCs w:val="24"/>
        </w:rPr>
        <w:t>Herald</w:t>
      </w:r>
      <w:proofErr w:type="spellEnd"/>
      <w:r w:rsidR="00C852F1" w:rsidRPr="00CF59AA">
        <w:rPr>
          <w:rFonts w:ascii="Garamond" w:hAnsi="Garamond" w:cs="Times New Roman"/>
          <w:color w:val="000000"/>
          <w:sz w:val="24"/>
          <w:szCs w:val="24"/>
        </w:rPr>
        <w:t xml:space="preserve"> </w:t>
      </w:r>
      <w:proofErr w:type="spellStart"/>
      <w:r w:rsidR="00C852F1" w:rsidRPr="00CF59AA">
        <w:rPr>
          <w:rFonts w:ascii="Garamond" w:hAnsi="Garamond" w:cs="Times New Roman"/>
          <w:color w:val="000000"/>
          <w:sz w:val="24"/>
          <w:szCs w:val="24"/>
        </w:rPr>
        <w:t>Jonuzaj</w:t>
      </w:r>
      <w:proofErr w:type="spellEnd"/>
      <w:r w:rsidR="00C852F1" w:rsidRPr="00CF59AA">
        <w:rPr>
          <w:rFonts w:ascii="Garamond" w:hAnsi="Garamond" w:cs="Times New Roman"/>
          <w:color w:val="000000"/>
          <w:sz w:val="24"/>
          <w:szCs w:val="24"/>
        </w:rPr>
        <w:t>, me autorizim.</w:t>
      </w:r>
    </w:p>
    <w:p w14:paraId="1F9BA345" w14:textId="0E1FDACE" w:rsidR="00C852F1" w:rsidRPr="00CF59AA" w:rsidRDefault="00CF59AA" w:rsidP="008A2F7C">
      <w:pPr>
        <w:autoSpaceDE w:val="0"/>
        <w:autoSpaceDN w:val="0"/>
        <w:adjustRightInd w:val="0"/>
        <w:spacing w:after="0" w:line="240" w:lineRule="auto"/>
        <w:ind w:firstLine="284"/>
        <w:jc w:val="both"/>
        <w:rPr>
          <w:rFonts w:ascii="Garamond" w:hAnsi="Garamond" w:cs="Times New Roman"/>
          <w:color w:val="000000"/>
          <w:sz w:val="24"/>
          <w:szCs w:val="24"/>
        </w:rPr>
      </w:pPr>
      <w:r w:rsidRPr="00CF59AA">
        <w:rPr>
          <w:rFonts w:ascii="Garamond" w:hAnsi="Garamond" w:cs="Times New Roman"/>
          <w:bCs/>
          <w:color w:val="000000"/>
          <w:sz w:val="24"/>
          <w:szCs w:val="24"/>
        </w:rPr>
        <w:t>Agjencia e</w:t>
      </w:r>
      <w:r w:rsidR="00C852F1" w:rsidRPr="00CF59AA">
        <w:rPr>
          <w:rFonts w:ascii="Garamond" w:hAnsi="Garamond" w:cs="Times New Roman"/>
          <w:bCs/>
          <w:color w:val="000000"/>
          <w:sz w:val="24"/>
          <w:szCs w:val="24"/>
        </w:rPr>
        <w:t xml:space="preserve"> </w:t>
      </w:r>
      <w:r w:rsidRPr="00CF59AA">
        <w:rPr>
          <w:rFonts w:ascii="Garamond" w:hAnsi="Garamond" w:cs="Times New Roman"/>
          <w:bCs/>
          <w:color w:val="000000"/>
          <w:sz w:val="24"/>
          <w:szCs w:val="24"/>
        </w:rPr>
        <w:t>Prokurimit Publik</w:t>
      </w:r>
      <w:r w:rsidR="00C852F1" w:rsidRPr="00CF59AA">
        <w:rPr>
          <w:rFonts w:ascii="Garamond" w:hAnsi="Garamond" w:cs="Times New Roman"/>
          <w:bCs/>
          <w:color w:val="000000"/>
          <w:sz w:val="24"/>
          <w:szCs w:val="24"/>
        </w:rPr>
        <w:t xml:space="preserve">, </w:t>
      </w:r>
      <w:r w:rsidR="00C852F1" w:rsidRPr="00CF59AA">
        <w:rPr>
          <w:rFonts w:ascii="Garamond" w:hAnsi="Garamond" w:cs="Times New Roman"/>
          <w:color w:val="000000"/>
          <w:sz w:val="24"/>
          <w:szCs w:val="24"/>
        </w:rPr>
        <w:t>përfaqësuar nga</w:t>
      </w:r>
      <w:r w:rsidR="00C852F1" w:rsidRPr="00CF59AA">
        <w:rPr>
          <w:rFonts w:ascii="Garamond" w:hAnsi="Garamond" w:cs="Times New Roman"/>
          <w:bCs/>
          <w:color w:val="000000"/>
          <w:sz w:val="24"/>
          <w:szCs w:val="24"/>
        </w:rPr>
        <w:t xml:space="preserve"> </w:t>
      </w:r>
      <w:r w:rsidR="00C852F1" w:rsidRPr="00CF59AA">
        <w:rPr>
          <w:rFonts w:ascii="Garamond" w:hAnsi="Garamond" w:cs="Times New Roman"/>
          <w:color w:val="000000"/>
          <w:sz w:val="24"/>
          <w:szCs w:val="24"/>
        </w:rPr>
        <w:t xml:space="preserve">Gjergji </w:t>
      </w:r>
      <w:proofErr w:type="spellStart"/>
      <w:r w:rsidR="00C852F1" w:rsidRPr="00CF59AA">
        <w:rPr>
          <w:rFonts w:ascii="Garamond" w:hAnsi="Garamond" w:cs="Times New Roman"/>
          <w:color w:val="000000"/>
          <w:sz w:val="24"/>
          <w:szCs w:val="24"/>
        </w:rPr>
        <w:t>Moçka</w:t>
      </w:r>
      <w:proofErr w:type="spellEnd"/>
      <w:r w:rsidR="00C852F1" w:rsidRPr="00CF59AA">
        <w:rPr>
          <w:rFonts w:ascii="Garamond" w:hAnsi="Garamond" w:cs="Times New Roman"/>
          <w:color w:val="000000"/>
          <w:sz w:val="24"/>
          <w:szCs w:val="24"/>
        </w:rPr>
        <w:t>.</w:t>
      </w:r>
    </w:p>
    <w:p w14:paraId="30D35C4C" w14:textId="28E4AF1A" w:rsidR="00C852F1" w:rsidRPr="00CF59AA" w:rsidRDefault="00CF59AA" w:rsidP="008A2F7C">
      <w:pPr>
        <w:autoSpaceDE w:val="0"/>
        <w:autoSpaceDN w:val="0"/>
        <w:adjustRightInd w:val="0"/>
        <w:spacing w:after="0" w:line="240" w:lineRule="auto"/>
        <w:ind w:firstLine="284"/>
        <w:jc w:val="both"/>
        <w:rPr>
          <w:rFonts w:ascii="Garamond" w:hAnsi="Garamond" w:cs="Times New Roman"/>
          <w:color w:val="000000"/>
          <w:sz w:val="24"/>
          <w:szCs w:val="24"/>
        </w:rPr>
      </w:pPr>
      <w:r w:rsidRPr="00CF59AA">
        <w:rPr>
          <w:rFonts w:ascii="Garamond" w:hAnsi="Garamond" w:cs="Times New Roman"/>
          <w:bCs/>
          <w:color w:val="000000"/>
          <w:sz w:val="24"/>
          <w:szCs w:val="24"/>
        </w:rPr>
        <w:t>Avokatura e</w:t>
      </w:r>
      <w:r w:rsidR="00C852F1" w:rsidRPr="00CF59AA">
        <w:rPr>
          <w:rFonts w:ascii="Garamond" w:hAnsi="Garamond" w:cs="Times New Roman"/>
          <w:bCs/>
          <w:color w:val="000000"/>
          <w:sz w:val="24"/>
          <w:szCs w:val="24"/>
        </w:rPr>
        <w:t xml:space="preserve"> </w:t>
      </w:r>
      <w:r w:rsidRPr="00CF59AA">
        <w:rPr>
          <w:rFonts w:ascii="Garamond" w:hAnsi="Garamond" w:cs="Times New Roman"/>
          <w:bCs/>
          <w:color w:val="000000"/>
          <w:sz w:val="24"/>
          <w:szCs w:val="24"/>
        </w:rPr>
        <w:t>Shtetit</w:t>
      </w:r>
      <w:r w:rsidR="00C852F1" w:rsidRPr="00CF59AA">
        <w:rPr>
          <w:rFonts w:ascii="Garamond" w:hAnsi="Garamond" w:cs="Times New Roman"/>
          <w:bCs/>
          <w:color w:val="000000"/>
          <w:sz w:val="24"/>
          <w:szCs w:val="24"/>
        </w:rPr>
        <w:t xml:space="preserve">, </w:t>
      </w:r>
      <w:r w:rsidR="00C852F1" w:rsidRPr="00CF59AA">
        <w:rPr>
          <w:rFonts w:ascii="Garamond" w:hAnsi="Garamond" w:cs="Times New Roman"/>
          <w:color w:val="000000"/>
          <w:sz w:val="24"/>
          <w:szCs w:val="24"/>
        </w:rPr>
        <w:t>përfaqësuar nga avokatja e shtetit, Irma Qosja.</w:t>
      </w:r>
    </w:p>
    <w:p w14:paraId="0C6FC547" w14:textId="67D6C76E" w:rsidR="00C852F1" w:rsidRPr="00CF59AA" w:rsidRDefault="00C852F1" w:rsidP="008A2F7C">
      <w:pPr>
        <w:tabs>
          <w:tab w:val="left" w:pos="720"/>
          <w:tab w:val="left" w:pos="1080"/>
          <w:tab w:val="left" w:pos="2880"/>
        </w:tabs>
        <w:autoSpaceDE w:val="0"/>
        <w:autoSpaceDN w:val="0"/>
        <w:adjustRightInd w:val="0"/>
        <w:spacing w:after="0" w:line="240" w:lineRule="auto"/>
        <w:ind w:firstLine="284"/>
        <w:jc w:val="both"/>
        <w:rPr>
          <w:rFonts w:ascii="Garamond" w:hAnsi="Garamond" w:cs="Times New Roman"/>
          <w:bCs/>
          <w:color w:val="000000"/>
          <w:sz w:val="24"/>
          <w:szCs w:val="24"/>
        </w:rPr>
      </w:pPr>
      <w:r w:rsidRPr="00CF59AA">
        <w:rPr>
          <w:rFonts w:ascii="Garamond" w:hAnsi="Garamond" w:cs="Times New Roman"/>
          <w:bCs/>
          <w:color w:val="000000"/>
          <w:sz w:val="24"/>
          <w:szCs w:val="24"/>
        </w:rPr>
        <w:t xml:space="preserve"> OBJEKTI: Shfuqizimi i vendimeve nr.</w:t>
      </w:r>
      <w:r w:rsidR="00CF59AA" w:rsidRPr="00CF59AA">
        <w:rPr>
          <w:rFonts w:ascii="Garamond" w:hAnsi="Garamond" w:cs="Times New Roman"/>
          <w:bCs/>
          <w:color w:val="000000"/>
          <w:sz w:val="24"/>
          <w:szCs w:val="24"/>
        </w:rPr>
        <w:t xml:space="preserve"> </w:t>
      </w:r>
      <w:r w:rsidRPr="00CF59AA">
        <w:rPr>
          <w:rFonts w:ascii="Garamond" w:hAnsi="Garamond" w:cs="Times New Roman"/>
          <w:bCs/>
          <w:color w:val="000000"/>
          <w:sz w:val="24"/>
          <w:szCs w:val="24"/>
        </w:rPr>
        <w:t>1060 (86-2023-1406), datë 14.12.2023</w:t>
      </w:r>
      <w:r w:rsidR="00CF59AA" w:rsidRPr="00CF59AA">
        <w:rPr>
          <w:rFonts w:ascii="Garamond" w:hAnsi="Garamond" w:cs="Times New Roman"/>
          <w:bCs/>
          <w:color w:val="000000"/>
          <w:sz w:val="24"/>
          <w:szCs w:val="24"/>
        </w:rPr>
        <w:t>,</w:t>
      </w:r>
      <w:r w:rsidRPr="00CF59AA">
        <w:rPr>
          <w:rFonts w:ascii="Garamond" w:hAnsi="Garamond" w:cs="Times New Roman"/>
          <w:bCs/>
          <w:color w:val="000000"/>
          <w:sz w:val="24"/>
          <w:szCs w:val="24"/>
        </w:rPr>
        <w:t xml:space="preserve"> të Gjykatës Administrative të Apelit; nr. 00-2024-4952, datë 11.12.2024</w:t>
      </w:r>
      <w:r w:rsidR="00CF59AA" w:rsidRPr="00CF59AA">
        <w:rPr>
          <w:rFonts w:ascii="Garamond" w:hAnsi="Garamond" w:cs="Times New Roman"/>
          <w:bCs/>
          <w:color w:val="000000"/>
          <w:sz w:val="24"/>
          <w:szCs w:val="24"/>
        </w:rPr>
        <w:t>,</w:t>
      </w:r>
      <w:r w:rsidRPr="00CF59AA">
        <w:rPr>
          <w:rFonts w:ascii="Garamond" w:hAnsi="Garamond" w:cs="Times New Roman"/>
          <w:bCs/>
          <w:color w:val="000000"/>
          <w:sz w:val="24"/>
          <w:szCs w:val="24"/>
        </w:rPr>
        <w:t xml:space="preserve"> të Kolegjit Administrativ të Gjykatës së Lartë, si të papajtueshme me Kushtetutën e Republikës së Shqipërisë.</w:t>
      </w:r>
    </w:p>
    <w:p w14:paraId="36EFF023" w14:textId="34144462" w:rsidR="00C852F1" w:rsidRPr="00CF59AA" w:rsidRDefault="00C852F1" w:rsidP="008A2F7C">
      <w:pPr>
        <w:tabs>
          <w:tab w:val="left" w:pos="720"/>
          <w:tab w:val="left" w:pos="1080"/>
          <w:tab w:val="left" w:pos="2880"/>
        </w:tabs>
        <w:autoSpaceDE w:val="0"/>
        <w:autoSpaceDN w:val="0"/>
        <w:adjustRightInd w:val="0"/>
        <w:spacing w:after="0" w:line="240" w:lineRule="auto"/>
        <w:ind w:firstLine="284"/>
        <w:jc w:val="both"/>
        <w:rPr>
          <w:rFonts w:ascii="Garamond" w:hAnsi="Garamond" w:cs="Times New Roman"/>
          <w:bCs/>
          <w:color w:val="000000"/>
          <w:sz w:val="24"/>
          <w:szCs w:val="24"/>
        </w:rPr>
      </w:pPr>
      <w:r w:rsidRPr="00CF59AA">
        <w:rPr>
          <w:rFonts w:ascii="Garamond" w:hAnsi="Garamond" w:cs="Times New Roman"/>
          <w:bCs/>
          <w:color w:val="000000"/>
          <w:sz w:val="24"/>
          <w:szCs w:val="24"/>
        </w:rPr>
        <w:t>Dërgimi i çështjes për rishqyrtim në Gjykatën Administrative të Apelit.</w:t>
      </w:r>
    </w:p>
    <w:p w14:paraId="76094A91" w14:textId="5B8B7E0C" w:rsidR="00C852F1" w:rsidRPr="00CF59AA" w:rsidRDefault="00C852F1" w:rsidP="008A2F7C">
      <w:pPr>
        <w:tabs>
          <w:tab w:val="left" w:pos="720"/>
          <w:tab w:val="left" w:pos="2880"/>
        </w:tabs>
        <w:autoSpaceDE w:val="0"/>
        <w:autoSpaceDN w:val="0"/>
        <w:adjustRightInd w:val="0"/>
        <w:spacing w:after="0" w:line="240" w:lineRule="auto"/>
        <w:ind w:firstLine="284"/>
        <w:jc w:val="both"/>
        <w:rPr>
          <w:rFonts w:ascii="Garamond" w:hAnsi="Garamond" w:cs="Times New Roman"/>
          <w:bCs/>
          <w:color w:val="000000"/>
          <w:sz w:val="24"/>
          <w:szCs w:val="24"/>
        </w:rPr>
      </w:pPr>
      <w:r w:rsidRPr="00CF59AA">
        <w:rPr>
          <w:rFonts w:ascii="Garamond" w:hAnsi="Garamond" w:cs="Times New Roman"/>
          <w:bCs/>
          <w:color w:val="000000"/>
          <w:sz w:val="24"/>
          <w:szCs w:val="24"/>
        </w:rPr>
        <w:t>BAZA LIGJORE: Nenet 4, 5, 18, 43, 44, 49, 107, 131, pika 1, shkronja “f”, 134, pikat 1, shkronja “i” dhe 2, 141 dhe 142 të Kushtetutës së Republikës së Shqipërisë (</w:t>
      </w:r>
      <w:r w:rsidRPr="00CF59AA">
        <w:rPr>
          <w:rFonts w:ascii="Garamond" w:hAnsi="Garamond" w:cs="Times New Roman"/>
          <w:bCs/>
          <w:i/>
          <w:iCs/>
          <w:color w:val="000000"/>
          <w:sz w:val="24"/>
          <w:szCs w:val="24"/>
        </w:rPr>
        <w:t>Kushtetuta</w:t>
      </w:r>
      <w:r w:rsidRPr="00CF59AA">
        <w:rPr>
          <w:rFonts w:ascii="Garamond" w:hAnsi="Garamond" w:cs="Times New Roman"/>
          <w:bCs/>
          <w:color w:val="000000"/>
          <w:sz w:val="24"/>
          <w:szCs w:val="24"/>
        </w:rPr>
        <w:t>); nenet</w:t>
      </w:r>
      <w:r w:rsidR="00B007C3">
        <w:rPr>
          <w:rFonts w:ascii="Garamond" w:hAnsi="Garamond" w:cs="Times New Roman"/>
          <w:bCs/>
          <w:color w:val="000000"/>
          <w:sz w:val="24"/>
          <w:szCs w:val="24"/>
        </w:rPr>
        <w:t xml:space="preserve"> </w:t>
      </w:r>
      <w:r w:rsidRPr="00CF59AA">
        <w:rPr>
          <w:rFonts w:ascii="Garamond" w:hAnsi="Garamond" w:cs="Times New Roman"/>
          <w:bCs/>
          <w:color w:val="000000"/>
          <w:sz w:val="24"/>
          <w:szCs w:val="24"/>
        </w:rPr>
        <w:t>27, 71 e në vij</w:t>
      </w:r>
      <w:r w:rsidR="00CF59AA" w:rsidRPr="00CF59AA">
        <w:rPr>
          <w:rFonts w:ascii="Garamond" w:hAnsi="Garamond" w:cs="Times New Roman"/>
          <w:bCs/>
          <w:color w:val="000000"/>
          <w:sz w:val="24"/>
          <w:szCs w:val="24"/>
        </w:rPr>
        <w:t>im të ligjit nr. 8577, datë 10.</w:t>
      </w:r>
      <w:r w:rsidRPr="00CF59AA">
        <w:rPr>
          <w:rFonts w:ascii="Garamond" w:hAnsi="Garamond" w:cs="Times New Roman"/>
          <w:bCs/>
          <w:color w:val="000000"/>
          <w:sz w:val="24"/>
          <w:szCs w:val="24"/>
        </w:rPr>
        <w:t>2.2000</w:t>
      </w:r>
      <w:r w:rsidR="00CF59AA" w:rsidRPr="00CF59AA">
        <w:rPr>
          <w:rFonts w:ascii="Garamond" w:hAnsi="Garamond" w:cs="Times New Roman"/>
          <w:bCs/>
          <w:color w:val="000000"/>
          <w:sz w:val="24"/>
          <w:szCs w:val="24"/>
        </w:rPr>
        <w:t>,</w:t>
      </w:r>
      <w:r w:rsidRPr="00CF59AA">
        <w:rPr>
          <w:rFonts w:ascii="Garamond" w:hAnsi="Garamond" w:cs="Times New Roman"/>
          <w:bCs/>
          <w:color w:val="000000"/>
          <w:sz w:val="24"/>
          <w:szCs w:val="24"/>
        </w:rPr>
        <w:t xml:space="preserve"> “Për organizimin dhe funksionimin e Gjykatës Kushtetuese të Republikës së Shqipërisë”, të ndryshuar </w:t>
      </w:r>
      <w:r w:rsidRPr="00CF59AA">
        <w:rPr>
          <w:rFonts w:ascii="Garamond" w:hAnsi="Garamond" w:cs="Times New Roman"/>
          <w:bCs/>
          <w:i/>
          <w:iCs/>
          <w:color w:val="000000"/>
          <w:sz w:val="24"/>
          <w:szCs w:val="24"/>
        </w:rPr>
        <w:t>(Ligji Organik i Gjykatës).</w:t>
      </w:r>
    </w:p>
    <w:p w14:paraId="5D7E923D" w14:textId="77777777" w:rsidR="00C852F1" w:rsidRPr="00CF59AA" w:rsidRDefault="00C852F1" w:rsidP="008A2F7C">
      <w:pPr>
        <w:tabs>
          <w:tab w:val="left" w:pos="720"/>
          <w:tab w:val="left" w:pos="2880"/>
        </w:tabs>
        <w:autoSpaceDE w:val="0"/>
        <w:autoSpaceDN w:val="0"/>
        <w:adjustRightInd w:val="0"/>
        <w:spacing w:after="0" w:line="240" w:lineRule="auto"/>
        <w:ind w:firstLine="284"/>
        <w:jc w:val="both"/>
        <w:rPr>
          <w:rFonts w:ascii="Garamond" w:hAnsi="Garamond" w:cs="Times New Roman"/>
          <w:bCs/>
          <w:color w:val="000000"/>
          <w:sz w:val="24"/>
          <w:szCs w:val="24"/>
        </w:rPr>
      </w:pPr>
    </w:p>
    <w:p w14:paraId="5BBD07D9" w14:textId="77777777" w:rsidR="00C852F1" w:rsidRPr="00CF59AA" w:rsidRDefault="00C852F1" w:rsidP="008A2F7C">
      <w:pPr>
        <w:autoSpaceDE w:val="0"/>
        <w:autoSpaceDN w:val="0"/>
        <w:adjustRightInd w:val="0"/>
        <w:spacing w:after="0" w:line="240" w:lineRule="auto"/>
        <w:ind w:firstLine="284"/>
        <w:jc w:val="center"/>
        <w:rPr>
          <w:rFonts w:ascii="Garamond" w:hAnsi="Garamond" w:cs="Times New Roman"/>
          <w:bCs/>
          <w:color w:val="000000"/>
          <w:sz w:val="24"/>
          <w:szCs w:val="24"/>
        </w:rPr>
      </w:pPr>
      <w:r w:rsidRPr="00CF59AA">
        <w:rPr>
          <w:rFonts w:ascii="Garamond" w:hAnsi="Garamond" w:cs="Times New Roman"/>
          <w:bCs/>
          <w:color w:val="000000"/>
          <w:sz w:val="24"/>
          <w:szCs w:val="24"/>
        </w:rPr>
        <w:t>GJYKATA KUSHTETUESE,</w:t>
      </w:r>
    </w:p>
    <w:p w14:paraId="1F94F51B" w14:textId="77777777" w:rsidR="000F10F0" w:rsidRPr="00CF59AA" w:rsidRDefault="000F10F0" w:rsidP="008A2F7C">
      <w:pPr>
        <w:autoSpaceDE w:val="0"/>
        <w:autoSpaceDN w:val="0"/>
        <w:adjustRightInd w:val="0"/>
        <w:spacing w:after="0" w:line="240" w:lineRule="auto"/>
        <w:ind w:firstLine="284"/>
        <w:jc w:val="both"/>
        <w:rPr>
          <w:rFonts w:ascii="Garamond" w:hAnsi="Garamond" w:cs="Times New Roman"/>
          <w:color w:val="000000"/>
          <w:sz w:val="24"/>
          <w:szCs w:val="24"/>
        </w:rPr>
      </w:pPr>
    </w:p>
    <w:p w14:paraId="7DE2F9ED" w14:textId="7B5469A9" w:rsidR="00C852F1" w:rsidRPr="00CF59AA" w:rsidRDefault="00C852F1" w:rsidP="00C852F1">
      <w:pPr>
        <w:autoSpaceDE w:val="0"/>
        <w:autoSpaceDN w:val="0"/>
        <w:adjustRightInd w:val="0"/>
        <w:spacing w:after="0" w:line="240" w:lineRule="auto"/>
        <w:ind w:firstLine="284"/>
        <w:jc w:val="both"/>
        <w:rPr>
          <w:rFonts w:ascii="Garamond" w:hAnsi="Garamond" w:cs="Times New Roman"/>
          <w:color w:val="000000"/>
          <w:sz w:val="24"/>
          <w:szCs w:val="24"/>
        </w:rPr>
      </w:pPr>
      <w:r w:rsidRPr="00CF59AA">
        <w:rPr>
          <w:rFonts w:ascii="Garamond" w:hAnsi="Garamond" w:cs="Times New Roman"/>
          <w:color w:val="000000"/>
          <w:sz w:val="24"/>
          <w:szCs w:val="24"/>
        </w:rPr>
        <w:t>pasi dëgjoi relatorin e çështjes</w:t>
      </w:r>
      <w:r w:rsidR="008A2F7C">
        <w:rPr>
          <w:rFonts w:ascii="Garamond" w:hAnsi="Garamond" w:cs="Times New Roman"/>
          <w:color w:val="000000"/>
          <w:sz w:val="24"/>
          <w:szCs w:val="24"/>
        </w:rPr>
        <w:t>,</w:t>
      </w:r>
      <w:r w:rsidRPr="00CF59AA">
        <w:rPr>
          <w:rFonts w:ascii="Garamond" w:hAnsi="Garamond" w:cs="Times New Roman"/>
          <w:color w:val="000000"/>
          <w:sz w:val="24"/>
          <w:szCs w:val="24"/>
        </w:rPr>
        <w:t xml:space="preserve"> Genti Ibrahimi, mori në shqyrtim parashtrimet dhe prapësimet me shkrim të kërkueses </w:t>
      </w:r>
      <w:proofErr w:type="spellStart"/>
      <w:r w:rsidRPr="00CF59AA">
        <w:rPr>
          <w:rFonts w:ascii="Garamond" w:hAnsi="Garamond" w:cs="Times New Roman"/>
          <w:color w:val="000000"/>
          <w:sz w:val="24"/>
          <w:szCs w:val="24"/>
        </w:rPr>
        <w:t>Klodiana</w:t>
      </w:r>
      <w:proofErr w:type="spellEnd"/>
      <w:r w:rsidRPr="00CF59AA">
        <w:rPr>
          <w:rFonts w:ascii="Garamond" w:hAnsi="Garamond" w:cs="Times New Roman"/>
          <w:color w:val="000000"/>
          <w:sz w:val="24"/>
          <w:szCs w:val="24"/>
        </w:rPr>
        <w:t xml:space="preserve"> </w:t>
      </w:r>
      <w:proofErr w:type="spellStart"/>
      <w:r w:rsidRPr="00CF59AA">
        <w:rPr>
          <w:rFonts w:ascii="Garamond" w:hAnsi="Garamond" w:cs="Times New Roman"/>
          <w:color w:val="000000"/>
          <w:sz w:val="24"/>
          <w:szCs w:val="24"/>
        </w:rPr>
        <w:t>Cankja</w:t>
      </w:r>
      <w:proofErr w:type="spellEnd"/>
      <w:r w:rsidRPr="00CF59AA">
        <w:rPr>
          <w:rFonts w:ascii="Garamond" w:hAnsi="Garamond" w:cs="Times New Roman"/>
          <w:color w:val="000000"/>
          <w:sz w:val="24"/>
          <w:szCs w:val="24"/>
        </w:rPr>
        <w:t xml:space="preserve"> (</w:t>
      </w:r>
      <w:r w:rsidRPr="00CF59AA">
        <w:rPr>
          <w:rFonts w:ascii="Garamond" w:hAnsi="Garamond" w:cs="Times New Roman"/>
          <w:i/>
          <w:iCs/>
          <w:color w:val="000000"/>
          <w:sz w:val="24"/>
          <w:szCs w:val="24"/>
        </w:rPr>
        <w:t>kërkuesja</w:t>
      </w:r>
      <w:r w:rsidRPr="00CF59AA">
        <w:rPr>
          <w:rFonts w:ascii="Garamond" w:hAnsi="Garamond" w:cs="Times New Roman"/>
          <w:color w:val="000000"/>
          <w:sz w:val="24"/>
          <w:szCs w:val="24"/>
        </w:rPr>
        <w:t>), e cila ka kërkuar pranimin e kërkesës, parashtrimet me shkrim të subjekteve të interesuara, sekretarit të përgjithshëm të Këshillit të Ministrave, Kryeministrisë së Republikës së Shqipërisë (</w:t>
      </w:r>
      <w:r w:rsidRPr="00CF59AA">
        <w:rPr>
          <w:rFonts w:ascii="Garamond" w:hAnsi="Garamond" w:cs="Times New Roman"/>
          <w:i/>
          <w:iCs/>
          <w:color w:val="000000"/>
          <w:sz w:val="24"/>
          <w:szCs w:val="24"/>
        </w:rPr>
        <w:t>Kryeministria</w:t>
      </w:r>
      <w:r w:rsidRPr="00CF59AA">
        <w:rPr>
          <w:rFonts w:ascii="Garamond" w:hAnsi="Garamond" w:cs="Times New Roman"/>
          <w:color w:val="000000"/>
          <w:sz w:val="24"/>
          <w:szCs w:val="24"/>
        </w:rPr>
        <w:t>), Departamentit të Administratës Publike (</w:t>
      </w:r>
      <w:proofErr w:type="spellStart"/>
      <w:r w:rsidRPr="00CF59AA">
        <w:rPr>
          <w:rFonts w:ascii="Garamond" w:hAnsi="Garamond" w:cs="Times New Roman"/>
          <w:i/>
          <w:iCs/>
          <w:color w:val="000000"/>
          <w:sz w:val="24"/>
          <w:szCs w:val="24"/>
        </w:rPr>
        <w:t>DAP</w:t>
      </w:r>
      <w:proofErr w:type="spellEnd"/>
      <w:r w:rsidRPr="00CF59AA">
        <w:rPr>
          <w:rFonts w:ascii="Garamond" w:hAnsi="Garamond" w:cs="Times New Roman"/>
          <w:color w:val="000000"/>
          <w:sz w:val="24"/>
          <w:szCs w:val="24"/>
        </w:rPr>
        <w:t>) dhe Avokaturës së Shtetit, që kanë kërkuar rrëzimin e kërkesës, konstatoi mungesën e parashtrimeve me shkrim të subjektit të interesuar, Agjencisë së Prokurimit Publik (</w:t>
      </w:r>
      <w:proofErr w:type="spellStart"/>
      <w:r w:rsidRPr="00CF59AA">
        <w:rPr>
          <w:rFonts w:ascii="Garamond" w:hAnsi="Garamond" w:cs="Times New Roman"/>
          <w:i/>
          <w:iCs/>
          <w:color w:val="000000"/>
          <w:sz w:val="24"/>
          <w:szCs w:val="24"/>
        </w:rPr>
        <w:t>APP</w:t>
      </w:r>
      <w:proofErr w:type="spellEnd"/>
      <w:r w:rsidRPr="00CF59AA">
        <w:rPr>
          <w:rFonts w:ascii="Garamond" w:hAnsi="Garamond" w:cs="Times New Roman"/>
          <w:color w:val="000000"/>
          <w:sz w:val="24"/>
          <w:szCs w:val="24"/>
        </w:rPr>
        <w:t>), i cili ka vënë në dijeni Gjykatën Kushtetuese (</w:t>
      </w:r>
      <w:r w:rsidRPr="00CF59AA">
        <w:rPr>
          <w:rFonts w:ascii="Garamond" w:hAnsi="Garamond" w:cs="Times New Roman"/>
          <w:i/>
          <w:iCs/>
          <w:color w:val="000000"/>
          <w:sz w:val="24"/>
          <w:szCs w:val="24"/>
        </w:rPr>
        <w:t>Gjykata</w:t>
      </w:r>
      <w:r w:rsidRPr="00CF59AA">
        <w:rPr>
          <w:rFonts w:ascii="Garamond" w:hAnsi="Garamond" w:cs="Times New Roman"/>
          <w:color w:val="000000"/>
          <w:sz w:val="24"/>
          <w:szCs w:val="24"/>
        </w:rPr>
        <w:t>) me sh</w:t>
      </w:r>
      <w:r w:rsidR="00CF59AA" w:rsidRPr="00CF59AA">
        <w:rPr>
          <w:rFonts w:ascii="Garamond" w:hAnsi="Garamond" w:cs="Times New Roman"/>
          <w:color w:val="000000"/>
          <w:sz w:val="24"/>
          <w:szCs w:val="24"/>
        </w:rPr>
        <w:t xml:space="preserve">kresën nr. 3929 </w:t>
      </w:r>
      <w:proofErr w:type="spellStart"/>
      <w:r w:rsidR="00CF59AA" w:rsidRPr="00CF59AA">
        <w:rPr>
          <w:rFonts w:ascii="Garamond" w:hAnsi="Garamond" w:cs="Times New Roman"/>
          <w:color w:val="000000"/>
          <w:sz w:val="24"/>
          <w:szCs w:val="24"/>
        </w:rPr>
        <w:t>prot</w:t>
      </w:r>
      <w:proofErr w:type="spellEnd"/>
      <w:r w:rsidR="00CF59AA" w:rsidRPr="00CF59AA">
        <w:rPr>
          <w:rFonts w:ascii="Garamond" w:hAnsi="Garamond" w:cs="Times New Roman"/>
          <w:color w:val="000000"/>
          <w:sz w:val="24"/>
          <w:szCs w:val="24"/>
        </w:rPr>
        <w:t>., datë 18.</w:t>
      </w:r>
      <w:r w:rsidRPr="00CF59AA">
        <w:rPr>
          <w:rFonts w:ascii="Garamond" w:hAnsi="Garamond" w:cs="Times New Roman"/>
          <w:color w:val="000000"/>
          <w:sz w:val="24"/>
          <w:szCs w:val="24"/>
        </w:rPr>
        <w:t>6.2025</w:t>
      </w:r>
      <w:r w:rsidR="00CF59AA" w:rsidRPr="00CF59AA">
        <w:rPr>
          <w:rFonts w:ascii="Garamond" w:hAnsi="Garamond" w:cs="Times New Roman"/>
          <w:color w:val="000000"/>
          <w:sz w:val="24"/>
          <w:szCs w:val="24"/>
        </w:rPr>
        <w:t>,</w:t>
      </w:r>
      <w:r w:rsidRPr="00CF59AA">
        <w:rPr>
          <w:rFonts w:ascii="Garamond" w:hAnsi="Garamond" w:cs="Times New Roman"/>
          <w:color w:val="000000"/>
          <w:sz w:val="24"/>
          <w:szCs w:val="24"/>
        </w:rPr>
        <w:t xml:space="preserve"> se nuk ka vendimmarrje të tij për kërkues</w:t>
      </w:r>
      <w:r w:rsidR="00CF59AA" w:rsidRPr="00CF59AA">
        <w:rPr>
          <w:rFonts w:ascii="Garamond" w:hAnsi="Garamond" w:cs="Times New Roman"/>
          <w:color w:val="000000"/>
          <w:sz w:val="24"/>
          <w:szCs w:val="24"/>
        </w:rPr>
        <w:t>en dhe vendimi nr. 311/2, datë 4.</w:t>
      </w:r>
      <w:r w:rsidRPr="00CF59AA">
        <w:rPr>
          <w:rFonts w:ascii="Garamond" w:hAnsi="Garamond" w:cs="Times New Roman"/>
          <w:color w:val="000000"/>
          <w:sz w:val="24"/>
          <w:szCs w:val="24"/>
        </w:rPr>
        <w:t>2.2014</w:t>
      </w:r>
      <w:r w:rsidR="008A2F7C">
        <w:rPr>
          <w:rFonts w:ascii="Garamond" w:hAnsi="Garamond" w:cs="Times New Roman"/>
          <w:color w:val="000000"/>
          <w:sz w:val="24"/>
          <w:szCs w:val="24"/>
        </w:rPr>
        <w:t>,</w:t>
      </w:r>
      <w:r w:rsidRPr="00CF59AA">
        <w:rPr>
          <w:rFonts w:ascii="Garamond" w:hAnsi="Garamond" w:cs="Times New Roman"/>
          <w:color w:val="000000"/>
          <w:sz w:val="24"/>
          <w:szCs w:val="24"/>
        </w:rPr>
        <w:t xml:space="preserve"> është nxjerrë nga sekretari i përgjithshëm i Këshillit të Ministrave, duke njoftuar edhe Avokaturën e Shtetit, si dhe diskutoi çështjen në tërësi, </w:t>
      </w:r>
    </w:p>
    <w:p w14:paraId="6AB64115" w14:textId="5AF6828D" w:rsidR="00C852F1" w:rsidRPr="00CF59AA" w:rsidRDefault="00C852F1" w:rsidP="00C852F1">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r w:rsidRPr="00CF59AA">
        <w:rPr>
          <w:rFonts w:ascii="Garamond" w:hAnsi="Garamond" w:cs="Times New Roman"/>
          <w:bCs/>
          <w:color w:val="000000"/>
          <w:sz w:val="24"/>
          <w:szCs w:val="24"/>
        </w:rPr>
        <w:t>VËREN:</w:t>
      </w:r>
    </w:p>
    <w:p w14:paraId="7EE624F6" w14:textId="77777777" w:rsidR="000F10F0" w:rsidRPr="00CF59AA" w:rsidRDefault="000F10F0" w:rsidP="00C852F1">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6CEBA023" w14:textId="308BD138" w:rsidR="00C852F1" w:rsidRPr="00CF59AA" w:rsidRDefault="00C852F1" w:rsidP="00C852F1">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CF59AA">
        <w:rPr>
          <w:rFonts w:ascii="Garamond" w:hAnsi="Garamond" w:cs="Times New Roman"/>
          <w:b/>
          <w:bCs/>
          <w:color w:val="000000"/>
          <w:sz w:val="24"/>
          <w:szCs w:val="24"/>
        </w:rPr>
        <w:t>I</w:t>
      </w:r>
    </w:p>
    <w:p w14:paraId="266B52EE" w14:textId="5E24E67B" w:rsidR="00C852F1" w:rsidRPr="00CF59AA" w:rsidRDefault="00C852F1" w:rsidP="000F10F0">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CF59AA">
        <w:rPr>
          <w:rFonts w:ascii="Garamond" w:hAnsi="Garamond" w:cs="Times New Roman"/>
          <w:b/>
          <w:bCs/>
          <w:color w:val="000000"/>
          <w:sz w:val="24"/>
          <w:szCs w:val="24"/>
        </w:rPr>
        <w:t>Rrethanat e çështjes</w:t>
      </w:r>
    </w:p>
    <w:p w14:paraId="5C6AAA8F" w14:textId="77777777" w:rsidR="000F10F0" w:rsidRPr="00CF59AA" w:rsidRDefault="000F10F0" w:rsidP="00C852F1">
      <w:pPr>
        <w:tabs>
          <w:tab w:val="left" w:pos="700"/>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7E5943CE" w14:textId="4E2E8FA2"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59AA">
        <w:rPr>
          <w:rFonts w:ascii="Garamond" w:hAnsi="Garamond" w:cs="Times New Roman"/>
          <w:color w:val="000000"/>
          <w:sz w:val="24"/>
          <w:szCs w:val="24"/>
        </w:rPr>
        <w:lastRenderedPageBreak/>
        <w:t xml:space="preserve">1. </w:t>
      </w:r>
      <w:r w:rsidRPr="00CF59AA">
        <w:rPr>
          <w:rFonts w:ascii="Garamond" w:hAnsi="Garamond" w:cs="Times New Roman"/>
          <w:sz w:val="24"/>
          <w:szCs w:val="24"/>
        </w:rPr>
        <w:t xml:space="preserve">Kërkuesja ka ushtruar detyrën e drejtoreshës së përgjithshme të </w:t>
      </w:r>
      <w:proofErr w:type="spellStart"/>
      <w:r w:rsidRPr="00CF59AA">
        <w:rPr>
          <w:rFonts w:ascii="Garamond" w:hAnsi="Garamond" w:cs="Times New Roman"/>
          <w:sz w:val="24"/>
          <w:szCs w:val="24"/>
        </w:rPr>
        <w:t>APP</w:t>
      </w:r>
      <w:proofErr w:type="spellEnd"/>
      <w:r w:rsidRPr="00CF59AA">
        <w:rPr>
          <w:rFonts w:ascii="Garamond" w:hAnsi="Garamond" w:cs="Times New Roman"/>
          <w:sz w:val="24"/>
          <w:szCs w:val="24"/>
        </w:rPr>
        <w:t>-së prej vitit 2005, ndërsa</w:t>
      </w:r>
      <w:r w:rsidR="00B007C3">
        <w:rPr>
          <w:rFonts w:ascii="Garamond" w:hAnsi="Garamond" w:cs="Times New Roman"/>
          <w:sz w:val="24"/>
          <w:szCs w:val="24"/>
        </w:rPr>
        <w:t xml:space="preserve"> </w:t>
      </w:r>
      <w:r w:rsidRPr="00CF59AA">
        <w:rPr>
          <w:rFonts w:ascii="Garamond" w:hAnsi="Garamond" w:cs="Times New Roman"/>
          <w:sz w:val="24"/>
          <w:szCs w:val="24"/>
        </w:rPr>
        <w:t>në vitin 2008 ka fituar statusin e nëpunësit civil. Në</w:t>
      </w:r>
      <w:r w:rsidR="00B007C3">
        <w:rPr>
          <w:rFonts w:ascii="Garamond" w:hAnsi="Garamond" w:cs="Times New Roman"/>
          <w:sz w:val="24"/>
          <w:szCs w:val="24"/>
        </w:rPr>
        <w:t xml:space="preserve"> vijim, me shkresën e datës 27.</w:t>
      </w:r>
      <w:r w:rsidRPr="00CF59AA">
        <w:rPr>
          <w:rFonts w:ascii="Garamond" w:hAnsi="Garamond" w:cs="Times New Roman"/>
          <w:sz w:val="24"/>
          <w:szCs w:val="24"/>
        </w:rPr>
        <w:t>1.2014</w:t>
      </w:r>
      <w:r w:rsidR="00B007C3">
        <w:rPr>
          <w:rFonts w:ascii="Garamond" w:hAnsi="Garamond" w:cs="Times New Roman"/>
          <w:sz w:val="24"/>
          <w:szCs w:val="24"/>
        </w:rPr>
        <w:t>,</w:t>
      </w:r>
      <w:r w:rsidRPr="00CF59AA">
        <w:rPr>
          <w:rFonts w:ascii="Garamond" w:hAnsi="Garamond" w:cs="Times New Roman"/>
          <w:sz w:val="24"/>
          <w:szCs w:val="24"/>
        </w:rPr>
        <w:t xml:space="preserve"> të sekretarit të përgjithshëm të Këshillit të Ministrave, kërkuesja është vënë në dijeni për fillimin e procedurës disiplinore të nisur ndaj saj, me pretendimin e disa shkeljeve disiplinore në u</w:t>
      </w:r>
      <w:r w:rsidR="00CF59AA" w:rsidRPr="00CF59AA">
        <w:rPr>
          <w:rFonts w:ascii="Garamond" w:hAnsi="Garamond" w:cs="Times New Roman"/>
          <w:sz w:val="24"/>
          <w:szCs w:val="24"/>
        </w:rPr>
        <w:t>shtrimin e detyrës së saj, si: i.</w:t>
      </w:r>
      <w:r w:rsidRPr="00CF59AA">
        <w:rPr>
          <w:rFonts w:ascii="Garamond" w:hAnsi="Garamond" w:cs="Times New Roman"/>
          <w:sz w:val="24"/>
          <w:szCs w:val="24"/>
        </w:rPr>
        <w:t xml:space="preserve"> moszbatimi dhe tejkalimi i funksioneve të përcaktuara me ligj nga </w:t>
      </w:r>
      <w:proofErr w:type="spellStart"/>
      <w:r w:rsidRPr="00CF59AA">
        <w:rPr>
          <w:rFonts w:ascii="Garamond" w:hAnsi="Garamond" w:cs="Times New Roman"/>
          <w:sz w:val="24"/>
          <w:szCs w:val="24"/>
        </w:rPr>
        <w:t>APP</w:t>
      </w:r>
      <w:proofErr w:type="spellEnd"/>
      <w:r w:rsidRPr="00CF59AA">
        <w:rPr>
          <w:rFonts w:ascii="Garamond" w:hAnsi="Garamond" w:cs="Times New Roman"/>
          <w:sz w:val="24"/>
          <w:szCs w:val="24"/>
        </w:rPr>
        <w:t xml:space="preserve">-ja për propozimet </w:t>
      </w:r>
      <w:r w:rsidR="00CF59AA" w:rsidRPr="00CF59AA">
        <w:rPr>
          <w:rFonts w:ascii="Garamond" w:hAnsi="Garamond" w:cs="Times New Roman"/>
          <w:sz w:val="24"/>
          <w:szCs w:val="24"/>
        </w:rPr>
        <w:t xml:space="preserve">për marrje masash disiplinore; </w:t>
      </w:r>
      <w:proofErr w:type="spellStart"/>
      <w:r w:rsidR="00CF59AA" w:rsidRPr="00CF59AA">
        <w:rPr>
          <w:rFonts w:ascii="Garamond" w:hAnsi="Garamond" w:cs="Times New Roman"/>
          <w:sz w:val="24"/>
          <w:szCs w:val="24"/>
        </w:rPr>
        <w:t>ii</w:t>
      </w:r>
      <w:proofErr w:type="spellEnd"/>
      <w:r w:rsidR="00CF59AA" w:rsidRPr="00CF59AA">
        <w:rPr>
          <w:rFonts w:ascii="Garamond" w:hAnsi="Garamond" w:cs="Times New Roman"/>
          <w:sz w:val="24"/>
          <w:szCs w:val="24"/>
        </w:rPr>
        <w:t>.</w:t>
      </w:r>
      <w:r w:rsidRPr="00CF59AA">
        <w:rPr>
          <w:rFonts w:ascii="Garamond" w:hAnsi="Garamond" w:cs="Times New Roman"/>
          <w:sz w:val="24"/>
          <w:szCs w:val="24"/>
        </w:rPr>
        <w:t xml:space="preserve"> </w:t>
      </w:r>
      <w:proofErr w:type="spellStart"/>
      <w:r w:rsidRPr="00CF59AA">
        <w:rPr>
          <w:rFonts w:ascii="Garamond" w:hAnsi="Garamond" w:cs="Times New Roman"/>
          <w:sz w:val="24"/>
          <w:szCs w:val="24"/>
        </w:rPr>
        <w:t>mosverifikimi</w:t>
      </w:r>
      <w:proofErr w:type="spellEnd"/>
      <w:r w:rsidRPr="00CF59AA">
        <w:rPr>
          <w:rFonts w:ascii="Garamond" w:hAnsi="Garamond" w:cs="Times New Roman"/>
          <w:sz w:val="24"/>
          <w:szCs w:val="24"/>
        </w:rPr>
        <w:t xml:space="preserve"> rast pas rasti i sistemit elektronik nga </w:t>
      </w:r>
      <w:proofErr w:type="spellStart"/>
      <w:r w:rsidRPr="00CF59AA">
        <w:rPr>
          <w:rFonts w:ascii="Garamond" w:hAnsi="Garamond" w:cs="Times New Roman"/>
          <w:sz w:val="24"/>
          <w:szCs w:val="24"/>
        </w:rPr>
        <w:t>APP</w:t>
      </w:r>
      <w:proofErr w:type="spellEnd"/>
      <w:r w:rsidRPr="00CF59AA">
        <w:rPr>
          <w:rFonts w:ascii="Garamond" w:hAnsi="Garamond" w:cs="Times New Roman"/>
          <w:sz w:val="24"/>
          <w:szCs w:val="24"/>
        </w:rPr>
        <w:t>-ja dhe i zbatimit të procedurave të prokurimeve publike pas nënshkrimit të kontratës, duke sjellë si pasojë shpalljen e fituesit pa përfunduar afatet ank</w:t>
      </w:r>
      <w:r w:rsidR="00CF59AA" w:rsidRPr="00CF59AA">
        <w:rPr>
          <w:rFonts w:ascii="Garamond" w:hAnsi="Garamond" w:cs="Times New Roman"/>
          <w:sz w:val="24"/>
          <w:szCs w:val="24"/>
        </w:rPr>
        <w:t xml:space="preserve">imore; </w:t>
      </w:r>
      <w:proofErr w:type="spellStart"/>
      <w:r w:rsidR="00CF59AA" w:rsidRPr="00CF59AA">
        <w:rPr>
          <w:rFonts w:ascii="Garamond" w:hAnsi="Garamond" w:cs="Times New Roman"/>
          <w:sz w:val="24"/>
          <w:szCs w:val="24"/>
        </w:rPr>
        <w:t>iii</w:t>
      </w:r>
      <w:proofErr w:type="spellEnd"/>
      <w:r w:rsidR="00CF59AA" w:rsidRPr="00CF59AA">
        <w:rPr>
          <w:rFonts w:ascii="Garamond" w:hAnsi="Garamond" w:cs="Times New Roman"/>
          <w:sz w:val="24"/>
          <w:szCs w:val="24"/>
        </w:rPr>
        <w:t>.</w:t>
      </w:r>
      <w:r w:rsidRPr="00CF59AA">
        <w:rPr>
          <w:rFonts w:ascii="Garamond" w:hAnsi="Garamond" w:cs="Times New Roman"/>
          <w:sz w:val="24"/>
          <w:szCs w:val="24"/>
        </w:rPr>
        <w:t xml:space="preserve"> </w:t>
      </w:r>
      <w:proofErr w:type="spellStart"/>
      <w:r w:rsidRPr="00CF59AA">
        <w:rPr>
          <w:rFonts w:ascii="Garamond" w:hAnsi="Garamond" w:cs="Times New Roman"/>
          <w:sz w:val="24"/>
          <w:szCs w:val="24"/>
        </w:rPr>
        <w:t>moskërkimi</w:t>
      </w:r>
      <w:proofErr w:type="spellEnd"/>
      <w:r w:rsidRPr="00CF59AA">
        <w:rPr>
          <w:rFonts w:ascii="Garamond" w:hAnsi="Garamond" w:cs="Times New Roman"/>
          <w:sz w:val="24"/>
          <w:szCs w:val="24"/>
        </w:rPr>
        <w:t xml:space="preserve"> i mendimit nga Komisioni i Prokurimit Publik për propozimet ose problematikat që ky i fundit mund të ketë hasur me kuadrin ligjor për sa u përket propozimeve për ndryshime ligjore të vitit 2012</w:t>
      </w:r>
      <w:r w:rsidR="008A2F7C">
        <w:rPr>
          <w:rFonts w:ascii="Garamond" w:hAnsi="Garamond" w:cs="Times New Roman"/>
          <w:sz w:val="24"/>
          <w:szCs w:val="24"/>
        </w:rPr>
        <w:t>,</w:t>
      </w:r>
      <w:r w:rsidRPr="00CF59AA">
        <w:rPr>
          <w:rFonts w:ascii="Garamond" w:hAnsi="Garamond" w:cs="Times New Roman"/>
          <w:sz w:val="24"/>
          <w:szCs w:val="24"/>
        </w:rPr>
        <w:t xml:space="preserve"> në ligjin nr. 9643, datë 20.11.2006</w:t>
      </w:r>
      <w:r w:rsidR="00CF59AA" w:rsidRPr="00CF59AA">
        <w:rPr>
          <w:rFonts w:ascii="Garamond" w:hAnsi="Garamond" w:cs="Times New Roman"/>
          <w:sz w:val="24"/>
          <w:szCs w:val="24"/>
        </w:rPr>
        <w:t>,</w:t>
      </w:r>
      <w:r w:rsidRPr="00CF59AA">
        <w:rPr>
          <w:rFonts w:ascii="Garamond" w:hAnsi="Garamond" w:cs="Times New Roman"/>
          <w:sz w:val="24"/>
          <w:szCs w:val="24"/>
        </w:rPr>
        <w:t xml:space="preserve"> “Për prokurimin publik” (</w:t>
      </w:r>
      <w:r w:rsidRPr="00CF59AA">
        <w:rPr>
          <w:rFonts w:ascii="Garamond" w:hAnsi="Garamond" w:cs="Times New Roman"/>
          <w:i/>
          <w:iCs/>
          <w:sz w:val="24"/>
          <w:szCs w:val="24"/>
        </w:rPr>
        <w:t>ligji nr. 9643/2006</w:t>
      </w:r>
      <w:r w:rsidRPr="00CF59AA">
        <w:rPr>
          <w:rFonts w:ascii="Garamond" w:hAnsi="Garamond" w:cs="Times New Roman"/>
          <w:sz w:val="24"/>
          <w:szCs w:val="24"/>
        </w:rPr>
        <w:t xml:space="preserve">), të shfuqizuar </w:t>
      </w:r>
      <w:r w:rsidR="00CF59AA" w:rsidRPr="00CF59AA">
        <w:rPr>
          <w:rFonts w:ascii="Garamond" w:hAnsi="Garamond" w:cs="Times New Roman"/>
          <w:sz w:val="24"/>
          <w:szCs w:val="24"/>
        </w:rPr>
        <w:t>dhe në ligjin nr. 125, datë 25.</w:t>
      </w:r>
      <w:r w:rsidRPr="00CF59AA">
        <w:rPr>
          <w:rFonts w:ascii="Garamond" w:hAnsi="Garamond" w:cs="Times New Roman"/>
          <w:sz w:val="24"/>
          <w:szCs w:val="24"/>
        </w:rPr>
        <w:t>4.2013</w:t>
      </w:r>
      <w:r w:rsidR="00CF59AA" w:rsidRPr="00CF59AA">
        <w:rPr>
          <w:rFonts w:ascii="Garamond" w:hAnsi="Garamond" w:cs="Times New Roman"/>
          <w:sz w:val="24"/>
          <w:szCs w:val="24"/>
        </w:rPr>
        <w:t>,</w:t>
      </w:r>
      <w:r w:rsidRPr="00CF59AA">
        <w:rPr>
          <w:rFonts w:ascii="Garamond" w:hAnsi="Garamond" w:cs="Times New Roman"/>
          <w:sz w:val="24"/>
          <w:szCs w:val="24"/>
        </w:rPr>
        <w:t xml:space="preserve"> “Për </w:t>
      </w:r>
      <w:r w:rsidR="008A2F7C" w:rsidRPr="00CF59AA">
        <w:rPr>
          <w:rFonts w:ascii="Garamond" w:hAnsi="Garamond" w:cs="Times New Roman"/>
          <w:sz w:val="24"/>
          <w:szCs w:val="24"/>
        </w:rPr>
        <w:t>koncesionet</w:t>
      </w:r>
      <w:r w:rsidRPr="00CF59AA">
        <w:rPr>
          <w:rFonts w:ascii="Garamond" w:hAnsi="Garamond" w:cs="Times New Roman"/>
          <w:sz w:val="24"/>
          <w:szCs w:val="24"/>
        </w:rPr>
        <w:t xml:space="preserve"> dhe partneritetin publik-privat” (</w:t>
      </w:r>
      <w:r w:rsidRPr="00CF59AA">
        <w:rPr>
          <w:rFonts w:ascii="Garamond" w:hAnsi="Garamond" w:cs="Times New Roman"/>
          <w:i/>
          <w:iCs/>
          <w:sz w:val="24"/>
          <w:szCs w:val="24"/>
        </w:rPr>
        <w:t>ligji nr.</w:t>
      </w:r>
      <w:r w:rsidR="00B007C3">
        <w:rPr>
          <w:rFonts w:ascii="Garamond" w:hAnsi="Garamond" w:cs="Times New Roman"/>
          <w:i/>
          <w:iCs/>
          <w:sz w:val="24"/>
          <w:szCs w:val="24"/>
        </w:rPr>
        <w:t xml:space="preserve"> </w:t>
      </w:r>
      <w:r w:rsidRPr="00CF59AA">
        <w:rPr>
          <w:rFonts w:ascii="Garamond" w:hAnsi="Garamond" w:cs="Times New Roman"/>
          <w:i/>
          <w:iCs/>
          <w:sz w:val="24"/>
          <w:szCs w:val="24"/>
        </w:rPr>
        <w:t>125/2013</w:t>
      </w:r>
      <w:r w:rsidRPr="00CF59AA">
        <w:rPr>
          <w:rFonts w:ascii="Garamond" w:hAnsi="Garamond" w:cs="Times New Roman"/>
          <w:sz w:val="24"/>
          <w:szCs w:val="24"/>
        </w:rPr>
        <w:t>), si dhe është ftuar të japë sqarime me shkrim, të dëgjohet vetë ose me përfaqësues ligjorë apo të paraqesë dës</w:t>
      </w:r>
      <w:r w:rsidR="00CF59AA" w:rsidRPr="00CF59AA">
        <w:rPr>
          <w:rFonts w:ascii="Garamond" w:hAnsi="Garamond" w:cs="Times New Roman"/>
          <w:sz w:val="24"/>
          <w:szCs w:val="24"/>
        </w:rPr>
        <w:t>hmitarë, duke caktuar datën 30.</w:t>
      </w:r>
      <w:r w:rsidRPr="00CF59AA">
        <w:rPr>
          <w:rFonts w:ascii="Garamond" w:hAnsi="Garamond" w:cs="Times New Roman"/>
          <w:sz w:val="24"/>
          <w:szCs w:val="24"/>
        </w:rPr>
        <w:t>1.2014</w:t>
      </w:r>
      <w:r w:rsidR="00CF59AA" w:rsidRPr="00CF59AA">
        <w:rPr>
          <w:rFonts w:ascii="Garamond" w:hAnsi="Garamond" w:cs="Times New Roman"/>
          <w:sz w:val="24"/>
          <w:szCs w:val="24"/>
        </w:rPr>
        <w:t>,</w:t>
      </w:r>
      <w:r w:rsidRPr="00CF59AA">
        <w:rPr>
          <w:rFonts w:ascii="Garamond" w:hAnsi="Garamond" w:cs="Times New Roman"/>
          <w:sz w:val="24"/>
          <w:szCs w:val="24"/>
        </w:rPr>
        <w:t xml:space="preserve"> për shqyrtimin e shkeljeve.</w:t>
      </w:r>
    </w:p>
    <w:p w14:paraId="418B43C0" w14:textId="6B491DCE" w:rsidR="00C852F1" w:rsidRPr="00CF59AA" w:rsidRDefault="00CF59AA" w:rsidP="00C852F1">
      <w:pPr>
        <w:tabs>
          <w:tab w:val="left" w:pos="70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59AA">
        <w:rPr>
          <w:rFonts w:ascii="Garamond" w:hAnsi="Garamond" w:cs="Times New Roman"/>
          <w:color w:val="000000"/>
          <w:sz w:val="24"/>
          <w:szCs w:val="24"/>
        </w:rPr>
        <w:t>2. Me shkresën e datës 30.</w:t>
      </w:r>
      <w:r w:rsidR="00C852F1" w:rsidRPr="00CF59AA">
        <w:rPr>
          <w:rFonts w:ascii="Garamond" w:hAnsi="Garamond" w:cs="Times New Roman"/>
          <w:color w:val="000000"/>
          <w:sz w:val="24"/>
          <w:szCs w:val="24"/>
        </w:rPr>
        <w:t>1.2014, kërkuesja ka dërguar sqarimet me shkrim pranë sekretarit të përgjithshëm të Këshillit të Ministrave, duke pretenduar se nuk i është vënë në dispozicion asnjë dokument ose material, në mënyrë që të marrë dijeni për rastet e referuara si shkelje të ligjit të prokurimit publik, duke i hequr mundësinë të mbrohet e të ketë tra</w:t>
      </w:r>
      <w:r w:rsidR="008A2F7C">
        <w:rPr>
          <w:rFonts w:ascii="Garamond" w:hAnsi="Garamond" w:cs="Times New Roman"/>
          <w:color w:val="000000"/>
          <w:sz w:val="24"/>
          <w:szCs w:val="24"/>
        </w:rPr>
        <w:t>n</w:t>
      </w:r>
      <w:r w:rsidR="00C852F1" w:rsidRPr="00CF59AA">
        <w:rPr>
          <w:rFonts w:ascii="Garamond" w:hAnsi="Garamond" w:cs="Times New Roman"/>
          <w:color w:val="000000"/>
          <w:sz w:val="24"/>
          <w:szCs w:val="24"/>
        </w:rPr>
        <w:t>sparencë për shkeljet e pretenduara. Në vijim, me vendimin nr. 3</w:t>
      </w:r>
      <w:r w:rsidRPr="00CF59AA">
        <w:rPr>
          <w:rFonts w:ascii="Garamond" w:hAnsi="Garamond" w:cs="Times New Roman"/>
          <w:color w:val="000000"/>
          <w:sz w:val="24"/>
          <w:szCs w:val="24"/>
        </w:rPr>
        <w:t xml:space="preserve">11/2 </w:t>
      </w:r>
      <w:proofErr w:type="spellStart"/>
      <w:r w:rsidRPr="00CF59AA">
        <w:rPr>
          <w:rFonts w:ascii="Garamond" w:hAnsi="Garamond" w:cs="Times New Roman"/>
          <w:color w:val="000000"/>
          <w:sz w:val="24"/>
          <w:szCs w:val="24"/>
        </w:rPr>
        <w:t>prot</w:t>
      </w:r>
      <w:proofErr w:type="spellEnd"/>
      <w:r w:rsidRPr="00CF59AA">
        <w:rPr>
          <w:rFonts w:ascii="Garamond" w:hAnsi="Garamond" w:cs="Times New Roman"/>
          <w:color w:val="000000"/>
          <w:sz w:val="24"/>
          <w:szCs w:val="24"/>
        </w:rPr>
        <w:t>., datë 4.</w:t>
      </w:r>
      <w:r w:rsidR="00C852F1" w:rsidRPr="00CF59AA">
        <w:rPr>
          <w:rFonts w:ascii="Garamond" w:hAnsi="Garamond" w:cs="Times New Roman"/>
          <w:color w:val="000000"/>
          <w:sz w:val="24"/>
          <w:szCs w:val="24"/>
        </w:rPr>
        <w:t xml:space="preserve">2.2014 </w:t>
      </w:r>
      <w:r w:rsidR="00C852F1" w:rsidRPr="00CF59AA">
        <w:rPr>
          <w:rFonts w:ascii="Garamond" w:hAnsi="Garamond" w:cs="Times New Roman"/>
          <w:i/>
          <w:iCs/>
          <w:sz w:val="24"/>
          <w:szCs w:val="24"/>
        </w:rPr>
        <w:t>(vendimi për largimin nga detyra)</w:t>
      </w:r>
      <w:r w:rsidR="00C852F1" w:rsidRPr="00CF59AA">
        <w:rPr>
          <w:rFonts w:ascii="Garamond" w:hAnsi="Garamond" w:cs="Times New Roman"/>
          <w:color w:val="000000"/>
          <w:sz w:val="24"/>
          <w:szCs w:val="24"/>
        </w:rPr>
        <w:t xml:space="preserve"> sekretari i përgjithshëm i Këshillit të Ministrave ka marrë ndaj kërkueses masën disiplinore të largimit nga shërbimi civil për të njëjtat shkelje të konstatuara</w:t>
      </w:r>
      <w:r w:rsidRPr="00CF59AA">
        <w:rPr>
          <w:rFonts w:ascii="Garamond" w:hAnsi="Garamond" w:cs="Times New Roman"/>
          <w:color w:val="000000"/>
          <w:sz w:val="24"/>
          <w:szCs w:val="24"/>
        </w:rPr>
        <w:t xml:space="preserve"> me shkresën e tij të datës 27.</w:t>
      </w:r>
      <w:r w:rsidR="00C852F1" w:rsidRPr="00CF59AA">
        <w:rPr>
          <w:rFonts w:ascii="Garamond" w:hAnsi="Garamond" w:cs="Times New Roman"/>
          <w:color w:val="000000"/>
          <w:sz w:val="24"/>
          <w:szCs w:val="24"/>
        </w:rPr>
        <w:t>1.2014</w:t>
      </w:r>
      <w:r w:rsidRPr="00CF59AA">
        <w:rPr>
          <w:rFonts w:ascii="Garamond" w:hAnsi="Garamond" w:cs="Times New Roman"/>
          <w:color w:val="000000"/>
          <w:sz w:val="24"/>
          <w:szCs w:val="24"/>
        </w:rPr>
        <w:t>,</w:t>
      </w:r>
      <w:r w:rsidR="00C852F1" w:rsidRPr="00CF59AA">
        <w:rPr>
          <w:rFonts w:ascii="Garamond" w:hAnsi="Garamond" w:cs="Times New Roman"/>
          <w:color w:val="000000"/>
          <w:sz w:val="24"/>
          <w:szCs w:val="24"/>
        </w:rPr>
        <w:t xml:space="preserve"> për fillimin e ecurisë disiplinore. </w:t>
      </w:r>
    </w:p>
    <w:p w14:paraId="16B2F7CA" w14:textId="3433C653"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59AA">
        <w:rPr>
          <w:rFonts w:ascii="Garamond" w:hAnsi="Garamond" w:cs="Times New Roman"/>
          <w:color w:val="000000"/>
          <w:sz w:val="24"/>
          <w:szCs w:val="24"/>
        </w:rPr>
        <w:t>3. Duke mos qenë dakord me vendimin e largimit nga detyra, kërkuesja ka paraqitur padi kundër Këshilli</w:t>
      </w:r>
      <w:r w:rsidR="00CF59AA" w:rsidRPr="00CF59AA">
        <w:rPr>
          <w:rFonts w:ascii="Garamond" w:hAnsi="Garamond" w:cs="Times New Roman"/>
          <w:color w:val="000000"/>
          <w:sz w:val="24"/>
          <w:szCs w:val="24"/>
        </w:rPr>
        <w:t>t të Ministrave, duke kërkuar: i.</w:t>
      </w:r>
      <w:r w:rsidRPr="00CF59AA">
        <w:rPr>
          <w:rFonts w:ascii="Garamond" w:hAnsi="Garamond" w:cs="Times New Roman"/>
          <w:color w:val="000000"/>
          <w:sz w:val="24"/>
          <w:szCs w:val="24"/>
        </w:rPr>
        <w:t xml:space="preserve"> anulimin e aktit administrativ, ven</w:t>
      </w:r>
      <w:r w:rsidR="00CF59AA" w:rsidRPr="00CF59AA">
        <w:rPr>
          <w:rFonts w:ascii="Garamond" w:hAnsi="Garamond" w:cs="Times New Roman"/>
          <w:color w:val="000000"/>
          <w:sz w:val="24"/>
          <w:szCs w:val="24"/>
        </w:rPr>
        <w:t xml:space="preserve">dimit për largimin nga detyra; </w:t>
      </w:r>
      <w:proofErr w:type="spellStart"/>
      <w:r w:rsidR="00CF59AA" w:rsidRPr="00CF59AA">
        <w:rPr>
          <w:rFonts w:ascii="Garamond" w:hAnsi="Garamond" w:cs="Times New Roman"/>
          <w:color w:val="000000"/>
          <w:sz w:val="24"/>
          <w:szCs w:val="24"/>
        </w:rPr>
        <w:t>ii</w:t>
      </w:r>
      <w:proofErr w:type="spellEnd"/>
      <w:r w:rsidR="00CF59AA" w:rsidRPr="00CF59AA">
        <w:rPr>
          <w:rFonts w:ascii="Garamond" w:hAnsi="Garamond" w:cs="Times New Roman"/>
          <w:color w:val="000000"/>
          <w:sz w:val="24"/>
          <w:szCs w:val="24"/>
        </w:rPr>
        <w:t>.</w:t>
      </w:r>
      <w:r w:rsidRPr="00CF59AA">
        <w:rPr>
          <w:rFonts w:ascii="Garamond" w:hAnsi="Garamond" w:cs="Times New Roman"/>
          <w:color w:val="000000"/>
          <w:sz w:val="24"/>
          <w:szCs w:val="24"/>
        </w:rPr>
        <w:t xml:space="preserve"> kthim</w:t>
      </w:r>
      <w:r w:rsidR="00CF59AA" w:rsidRPr="00CF59AA">
        <w:rPr>
          <w:rFonts w:ascii="Garamond" w:hAnsi="Garamond" w:cs="Times New Roman"/>
          <w:color w:val="000000"/>
          <w:sz w:val="24"/>
          <w:szCs w:val="24"/>
        </w:rPr>
        <w:t xml:space="preserve">in në pozicionin e mëparshëm; </w:t>
      </w:r>
      <w:proofErr w:type="spellStart"/>
      <w:r w:rsidR="00CF59AA" w:rsidRPr="00CF59AA">
        <w:rPr>
          <w:rFonts w:ascii="Garamond" w:hAnsi="Garamond" w:cs="Times New Roman"/>
          <w:color w:val="000000"/>
          <w:sz w:val="24"/>
          <w:szCs w:val="24"/>
        </w:rPr>
        <w:t>iii</w:t>
      </w:r>
      <w:proofErr w:type="spellEnd"/>
      <w:r w:rsidR="00CF59AA" w:rsidRPr="00CF59AA">
        <w:rPr>
          <w:rFonts w:ascii="Garamond" w:hAnsi="Garamond" w:cs="Times New Roman"/>
          <w:color w:val="000000"/>
          <w:sz w:val="24"/>
          <w:szCs w:val="24"/>
        </w:rPr>
        <w:t xml:space="preserve">. </w:t>
      </w:r>
      <w:r w:rsidRPr="00CF59AA">
        <w:rPr>
          <w:rFonts w:ascii="Garamond" w:hAnsi="Garamond" w:cs="Times New Roman"/>
          <w:color w:val="000000"/>
          <w:sz w:val="24"/>
          <w:szCs w:val="24"/>
        </w:rPr>
        <w:t>pagimin e pagës nga data e ndërprerjes së marrëdhënieve financiare deri në ditën e riemërimit në detyrë.</w:t>
      </w:r>
    </w:p>
    <w:p w14:paraId="6AD8CE75" w14:textId="03A9CBEF"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59AA">
        <w:rPr>
          <w:rFonts w:ascii="Garamond" w:hAnsi="Garamond" w:cs="Times New Roman"/>
          <w:color w:val="000000"/>
          <w:sz w:val="24"/>
          <w:szCs w:val="24"/>
        </w:rPr>
        <w:t>4.</w:t>
      </w:r>
      <w:r w:rsidR="00CF59AA" w:rsidRPr="00CF59AA">
        <w:rPr>
          <w:rFonts w:ascii="Garamond" w:hAnsi="Garamond" w:cs="Times New Roman"/>
          <w:color w:val="000000"/>
          <w:sz w:val="24"/>
          <w:szCs w:val="24"/>
        </w:rPr>
        <w:t xml:space="preserve"> Me vendimin nr. 2780, datë 29.</w:t>
      </w:r>
      <w:r w:rsidRPr="00CF59AA">
        <w:rPr>
          <w:rFonts w:ascii="Garamond" w:hAnsi="Garamond" w:cs="Times New Roman"/>
          <w:color w:val="000000"/>
          <w:sz w:val="24"/>
          <w:szCs w:val="24"/>
        </w:rPr>
        <w:t>5.2014, Gjykata Administrative e Shkallës së Parë Tiranë ka vendosur rrëzimin e padisë, me arsyetimin se Këshilli i Ministrave nuk ka legjitimitet pasiv për të qenë palë në procesin gjyqësor, pasi procedura është ndjekur nga Kryeministria. Mbi ankimin e kërkueses, Gjykata Administrative e Apelit, me vendimin nr. 3926, datë 17.11.2016, ka lënë në fuqi vendimin e gjykatës së shkallës së parë, ndërsa Kolegji Administrativ i Gjykatës së Lartë, me vendimin nr. 00-2</w:t>
      </w:r>
      <w:r w:rsidR="00CF59AA">
        <w:rPr>
          <w:rFonts w:ascii="Garamond" w:hAnsi="Garamond" w:cs="Times New Roman"/>
          <w:color w:val="000000"/>
          <w:sz w:val="24"/>
          <w:szCs w:val="24"/>
        </w:rPr>
        <w:t>023-3581, datë 28.</w:t>
      </w:r>
      <w:r w:rsidRPr="00CF59AA">
        <w:rPr>
          <w:rFonts w:ascii="Garamond" w:hAnsi="Garamond" w:cs="Times New Roman"/>
          <w:color w:val="000000"/>
          <w:sz w:val="24"/>
          <w:szCs w:val="24"/>
        </w:rPr>
        <w:t>9.2023, ka vendosur</w:t>
      </w:r>
      <w:r w:rsidR="00B007C3">
        <w:rPr>
          <w:rFonts w:ascii="Garamond" w:hAnsi="Garamond" w:cs="Times New Roman"/>
          <w:color w:val="000000"/>
          <w:sz w:val="24"/>
          <w:szCs w:val="24"/>
        </w:rPr>
        <w:t xml:space="preserve"> </w:t>
      </w:r>
      <w:r w:rsidRPr="00CF59AA">
        <w:rPr>
          <w:rFonts w:ascii="Garamond" w:hAnsi="Garamond" w:cs="Times New Roman"/>
          <w:color w:val="000000"/>
          <w:sz w:val="24"/>
          <w:szCs w:val="24"/>
        </w:rPr>
        <w:t xml:space="preserve">mospranimin e rekursit të kërkueses. </w:t>
      </w:r>
    </w:p>
    <w:p w14:paraId="1A7542B0" w14:textId="52EF8729" w:rsidR="00C852F1" w:rsidRPr="00CF59AA" w:rsidRDefault="00CF59AA" w:rsidP="00C852F1">
      <w:pPr>
        <w:tabs>
          <w:tab w:val="left" w:pos="70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5. Në datën 31.</w:t>
      </w:r>
      <w:r w:rsidR="00C852F1" w:rsidRPr="00CF59AA">
        <w:rPr>
          <w:rFonts w:ascii="Garamond" w:hAnsi="Garamond" w:cs="Times New Roman"/>
          <w:color w:val="000000"/>
          <w:sz w:val="24"/>
          <w:szCs w:val="24"/>
        </w:rPr>
        <w:t>1.2017</w:t>
      </w:r>
      <w:r w:rsidR="008A2F7C">
        <w:rPr>
          <w:rFonts w:ascii="Garamond" w:hAnsi="Garamond" w:cs="Times New Roman"/>
          <w:color w:val="000000"/>
          <w:sz w:val="24"/>
          <w:szCs w:val="24"/>
        </w:rPr>
        <w:t>,</w:t>
      </w:r>
      <w:r w:rsidR="00C852F1" w:rsidRPr="00CF59AA">
        <w:rPr>
          <w:rFonts w:ascii="Garamond" w:hAnsi="Garamond" w:cs="Times New Roman"/>
          <w:color w:val="000000"/>
          <w:sz w:val="24"/>
          <w:szCs w:val="24"/>
        </w:rPr>
        <w:t xml:space="preserve"> kërkuesja i është drejtuar sërish me padi Gjykatës Administrative të Shkallës së Parë Tiranë kundër </w:t>
      </w:r>
      <w:proofErr w:type="spellStart"/>
      <w:r w:rsidR="00C852F1" w:rsidRPr="00CF59AA">
        <w:rPr>
          <w:rFonts w:ascii="Garamond" w:hAnsi="Garamond" w:cs="Times New Roman"/>
          <w:color w:val="000000"/>
          <w:sz w:val="24"/>
          <w:szCs w:val="24"/>
        </w:rPr>
        <w:t>DAP</w:t>
      </w:r>
      <w:proofErr w:type="spellEnd"/>
      <w:r w:rsidR="00C852F1" w:rsidRPr="00CF59AA">
        <w:rPr>
          <w:rFonts w:ascii="Garamond" w:hAnsi="Garamond" w:cs="Times New Roman"/>
          <w:color w:val="000000"/>
          <w:sz w:val="24"/>
          <w:szCs w:val="24"/>
        </w:rPr>
        <w:t>-it, sekretarit të përgjithshëm të Këshillit të Ministrave, Kryeminist</w:t>
      </w:r>
      <w:r>
        <w:rPr>
          <w:rFonts w:ascii="Garamond" w:hAnsi="Garamond" w:cs="Times New Roman"/>
          <w:color w:val="000000"/>
          <w:sz w:val="24"/>
          <w:szCs w:val="24"/>
        </w:rPr>
        <w:t xml:space="preserve">risë dhe </w:t>
      </w:r>
      <w:proofErr w:type="spellStart"/>
      <w:r>
        <w:rPr>
          <w:rFonts w:ascii="Garamond" w:hAnsi="Garamond" w:cs="Times New Roman"/>
          <w:color w:val="000000"/>
          <w:sz w:val="24"/>
          <w:szCs w:val="24"/>
        </w:rPr>
        <w:t>APP</w:t>
      </w:r>
      <w:proofErr w:type="spellEnd"/>
      <w:r>
        <w:rPr>
          <w:rFonts w:ascii="Garamond" w:hAnsi="Garamond" w:cs="Times New Roman"/>
          <w:color w:val="000000"/>
          <w:sz w:val="24"/>
          <w:szCs w:val="24"/>
        </w:rPr>
        <w:t>-së, duke kërkuar: i.</w:t>
      </w:r>
      <w:r w:rsidR="00C852F1" w:rsidRPr="00CF59AA">
        <w:rPr>
          <w:rFonts w:ascii="Garamond" w:hAnsi="Garamond" w:cs="Times New Roman"/>
          <w:color w:val="000000"/>
          <w:sz w:val="24"/>
          <w:szCs w:val="24"/>
        </w:rPr>
        <w:t xml:space="preserve"> konstatimin e pavlefshmërisë absolute të vendimit për largimin nga detyra; </w:t>
      </w:r>
      <w:proofErr w:type="spellStart"/>
      <w:r>
        <w:rPr>
          <w:rFonts w:ascii="Garamond" w:hAnsi="Garamond" w:cs="Times New Roman"/>
          <w:color w:val="000000"/>
          <w:sz w:val="24"/>
          <w:szCs w:val="24"/>
        </w:rPr>
        <w:t>ii</w:t>
      </w:r>
      <w:proofErr w:type="spellEnd"/>
      <w:r>
        <w:rPr>
          <w:rFonts w:ascii="Garamond" w:hAnsi="Garamond" w:cs="Times New Roman"/>
          <w:color w:val="000000"/>
          <w:sz w:val="24"/>
          <w:szCs w:val="24"/>
        </w:rPr>
        <w:t>.</w:t>
      </w:r>
      <w:r w:rsidR="00C852F1" w:rsidRPr="00CF59AA">
        <w:rPr>
          <w:rFonts w:ascii="Garamond" w:hAnsi="Garamond" w:cs="Times New Roman"/>
          <w:color w:val="000000"/>
          <w:sz w:val="24"/>
          <w:szCs w:val="24"/>
        </w:rPr>
        <w:t xml:space="preserve"> kthimin në vendin e punës ose në një po</w:t>
      </w:r>
      <w:r>
        <w:rPr>
          <w:rFonts w:ascii="Garamond" w:hAnsi="Garamond" w:cs="Times New Roman"/>
          <w:color w:val="000000"/>
          <w:sz w:val="24"/>
          <w:szCs w:val="24"/>
        </w:rPr>
        <w:t xml:space="preserve">zicion të barasvlershëm me të; </w:t>
      </w:r>
      <w:proofErr w:type="spellStart"/>
      <w:r>
        <w:rPr>
          <w:rFonts w:ascii="Garamond" w:hAnsi="Garamond" w:cs="Times New Roman"/>
          <w:color w:val="000000"/>
          <w:sz w:val="24"/>
          <w:szCs w:val="24"/>
        </w:rPr>
        <w:t>iii</w:t>
      </w:r>
      <w:proofErr w:type="spellEnd"/>
      <w:r>
        <w:rPr>
          <w:rFonts w:ascii="Garamond" w:hAnsi="Garamond" w:cs="Times New Roman"/>
          <w:color w:val="000000"/>
          <w:sz w:val="24"/>
          <w:szCs w:val="24"/>
        </w:rPr>
        <w:t>.</w:t>
      </w:r>
      <w:r w:rsidR="00C852F1" w:rsidRPr="00CF59AA">
        <w:rPr>
          <w:rFonts w:ascii="Garamond" w:hAnsi="Garamond" w:cs="Times New Roman"/>
          <w:color w:val="000000"/>
          <w:sz w:val="24"/>
          <w:szCs w:val="24"/>
        </w:rPr>
        <w:t xml:space="preserve"> dhënien e pagës si drejtoreshë e përgjithshme e </w:t>
      </w:r>
      <w:proofErr w:type="spellStart"/>
      <w:r w:rsidR="00C852F1" w:rsidRPr="00CF59AA">
        <w:rPr>
          <w:rFonts w:ascii="Garamond" w:hAnsi="Garamond" w:cs="Times New Roman"/>
          <w:color w:val="000000"/>
          <w:sz w:val="24"/>
          <w:szCs w:val="24"/>
        </w:rPr>
        <w:t>APP</w:t>
      </w:r>
      <w:proofErr w:type="spellEnd"/>
      <w:r w:rsidR="00C852F1" w:rsidRPr="00CF59AA">
        <w:rPr>
          <w:rFonts w:ascii="Garamond" w:hAnsi="Garamond" w:cs="Times New Roman"/>
          <w:color w:val="000000"/>
          <w:sz w:val="24"/>
          <w:szCs w:val="24"/>
        </w:rPr>
        <w:t>-së ose të një pozicioni t</w:t>
      </w:r>
      <w:r>
        <w:rPr>
          <w:rFonts w:ascii="Garamond" w:hAnsi="Garamond" w:cs="Times New Roman"/>
          <w:color w:val="000000"/>
          <w:sz w:val="24"/>
          <w:szCs w:val="24"/>
        </w:rPr>
        <w:t>ë barasvlershëm me të</w:t>
      </w:r>
      <w:r w:rsidR="008A2F7C">
        <w:rPr>
          <w:rFonts w:ascii="Garamond" w:hAnsi="Garamond" w:cs="Times New Roman"/>
          <w:color w:val="000000"/>
          <w:sz w:val="24"/>
          <w:szCs w:val="24"/>
        </w:rPr>
        <w:t>,</w:t>
      </w:r>
      <w:r>
        <w:rPr>
          <w:rFonts w:ascii="Garamond" w:hAnsi="Garamond" w:cs="Times New Roman"/>
          <w:color w:val="000000"/>
          <w:sz w:val="24"/>
          <w:szCs w:val="24"/>
        </w:rPr>
        <w:t xml:space="preserve"> nga data 3.</w:t>
      </w:r>
      <w:r w:rsidR="00C852F1" w:rsidRPr="00CF59AA">
        <w:rPr>
          <w:rFonts w:ascii="Garamond" w:hAnsi="Garamond" w:cs="Times New Roman"/>
          <w:color w:val="000000"/>
          <w:sz w:val="24"/>
          <w:szCs w:val="24"/>
        </w:rPr>
        <w:t>4.2014 deri në ditën e kthimit në vendin e punës.</w:t>
      </w:r>
    </w:p>
    <w:p w14:paraId="1F8C07DF" w14:textId="7C3D1E94"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59AA">
        <w:rPr>
          <w:rFonts w:ascii="Garamond" w:hAnsi="Garamond" w:cs="Times New Roman"/>
          <w:color w:val="000000"/>
          <w:sz w:val="24"/>
          <w:szCs w:val="24"/>
        </w:rPr>
        <w:t>6. Me vendimin nr</w:t>
      </w:r>
      <w:r w:rsidR="00CF59AA">
        <w:rPr>
          <w:rFonts w:ascii="Garamond" w:hAnsi="Garamond" w:cs="Times New Roman"/>
          <w:color w:val="000000"/>
          <w:sz w:val="24"/>
          <w:szCs w:val="24"/>
        </w:rPr>
        <w:t>. 2056 (80-2017-2092), datë 15.</w:t>
      </w:r>
      <w:r w:rsidRPr="00CF59AA">
        <w:rPr>
          <w:rFonts w:ascii="Garamond" w:hAnsi="Garamond" w:cs="Times New Roman"/>
          <w:color w:val="000000"/>
          <w:sz w:val="24"/>
          <w:szCs w:val="24"/>
        </w:rPr>
        <w:t>5.2017, Gjykata Administrative e Shkallës së Parë Tiranë ka vendosur rrëzimin e padisë. Kundër këtij vendimi kërkuesja ka paraqitur ankim.</w:t>
      </w:r>
    </w:p>
    <w:p w14:paraId="5A16B6C0" w14:textId="0C73B0ED" w:rsidR="00C852F1" w:rsidRPr="00CF59AA" w:rsidRDefault="00C852F1" w:rsidP="00C852F1">
      <w:pPr>
        <w:tabs>
          <w:tab w:val="left" w:pos="720"/>
          <w:tab w:val="left" w:pos="1080"/>
        </w:tabs>
        <w:autoSpaceDE w:val="0"/>
        <w:autoSpaceDN w:val="0"/>
        <w:adjustRightInd w:val="0"/>
        <w:spacing w:after="0" w:line="240" w:lineRule="auto"/>
        <w:ind w:firstLine="284"/>
        <w:jc w:val="both"/>
        <w:rPr>
          <w:rFonts w:ascii="Garamond" w:hAnsi="Garamond" w:cs="Times New Roman"/>
          <w:sz w:val="24"/>
          <w:szCs w:val="24"/>
        </w:rPr>
      </w:pPr>
      <w:r w:rsidRPr="00CF59AA">
        <w:rPr>
          <w:rFonts w:ascii="Garamond" w:hAnsi="Garamond" w:cs="Times New Roman"/>
          <w:color w:val="000000"/>
          <w:sz w:val="24"/>
          <w:szCs w:val="24"/>
        </w:rPr>
        <w:t xml:space="preserve">7. Gjykata Administrative e Apelit, me vendimin nr. 1060 (86-2023-1406), datë 14.12.2023, ka vendosur lënien në fuqi të vendimit të shkallës së parë. Kundër këtij vendimi ka paraqitur rekurs kërkuesja. </w:t>
      </w:r>
    </w:p>
    <w:p w14:paraId="346DBB31" w14:textId="5DB98714"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59AA">
        <w:rPr>
          <w:rFonts w:ascii="Garamond" w:hAnsi="Garamond" w:cs="Times New Roman"/>
          <w:color w:val="000000"/>
          <w:sz w:val="24"/>
          <w:szCs w:val="24"/>
        </w:rPr>
        <w:t xml:space="preserve">8. Kolegji Administrativ i Gjykatës së </w:t>
      </w:r>
      <w:r w:rsidRPr="00CF59AA">
        <w:rPr>
          <w:rFonts w:ascii="Garamond" w:hAnsi="Garamond" w:cs="Times New Roman"/>
          <w:color w:val="000000"/>
          <w:spacing w:val="15"/>
          <w:sz w:val="24"/>
          <w:szCs w:val="24"/>
        </w:rPr>
        <w:t>Lartë</w:t>
      </w:r>
      <w:r w:rsidRPr="00CF59AA">
        <w:rPr>
          <w:rFonts w:ascii="Garamond" w:hAnsi="Garamond" w:cs="Times New Roman"/>
          <w:color w:val="000000"/>
          <w:sz w:val="24"/>
          <w:szCs w:val="24"/>
        </w:rPr>
        <w:t>, me vendimin nr. 00-2024-4952, datë 11.12.2024, ka vendosur mospranimin e rekursit të kërkueses, me arsyetimin se ai nuk përmbante</w:t>
      </w:r>
      <w:r w:rsidR="00B007C3">
        <w:rPr>
          <w:rFonts w:ascii="Garamond" w:hAnsi="Garamond" w:cs="Times New Roman"/>
          <w:color w:val="000000"/>
          <w:sz w:val="24"/>
          <w:szCs w:val="24"/>
        </w:rPr>
        <w:t xml:space="preserve"> </w:t>
      </w:r>
      <w:r w:rsidRPr="00CF59AA">
        <w:rPr>
          <w:rFonts w:ascii="Garamond" w:hAnsi="Garamond" w:cs="Times New Roman"/>
          <w:color w:val="000000"/>
          <w:sz w:val="24"/>
          <w:szCs w:val="24"/>
        </w:rPr>
        <w:t>shkaqe nga ato të parashikuara në n</w:t>
      </w:r>
      <w:r w:rsidR="00CF59AA">
        <w:rPr>
          <w:rFonts w:ascii="Garamond" w:hAnsi="Garamond" w:cs="Times New Roman"/>
          <w:color w:val="000000"/>
          <w:sz w:val="24"/>
          <w:szCs w:val="24"/>
        </w:rPr>
        <w:t>enin 58, të ligjit nr. 49, datë 3.</w:t>
      </w:r>
      <w:r w:rsidRPr="00CF59AA">
        <w:rPr>
          <w:rFonts w:ascii="Garamond" w:hAnsi="Garamond" w:cs="Times New Roman"/>
          <w:color w:val="000000"/>
          <w:sz w:val="24"/>
          <w:szCs w:val="24"/>
        </w:rPr>
        <w:t>5.2012</w:t>
      </w:r>
      <w:r w:rsidR="00CF59AA">
        <w:rPr>
          <w:rFonts w:ascii="Garamond" w:hAnsi="Garamond" w:cs="Times New Roman"/>
          <w:color w:val="000000"/>
          <w:sz w:val="24"/>
          <w:szCs w:val="24"/>
        </w:rPr>
        <w:t>,</w:t>
      </w:r>
      <w:r w:rsidRPr="00CF59AA">
        <w:rPr>
          <w:rFonts w:ascii="Garamond" w:hAnsi="Garamond" w:cs="Times New Roman"/>
          <w:color w:val="000000"/>
          <w:sz w:val="24"/>
          <w:szCs w:val="24"/>
        </w:rPr>
        <w:t xml:space="preserve"> “Për gjykatat administrative dhe gjykimin e mosmarrëveshjeve administrative”, të ndryshuar (</w:t>
      </w:r>
      <w:r w:rsidRPr="00CF59AA">
        <w:rPr>
          <w:rFonts w:ascii="Garamond" w:hAnsi="Garamond" w:cs="Times New Roman"/>
          <w:i/>
          <w:iCs/>
          <w:color w:val="000000"/>
          <w:sz w:val="24"/>
          <w:szCs w:val="24"/>
        </w:rPr>
        <w:t>ligji nr.49/2012</w:t>
      </w:r>
      <w:r w:rsidRPr="00CF59AA">
        <w:rPr>
          <w:rFonts w:ascii="Garamond" w:hAnsi="Garamond" w:cs="Times New Roman"/>
          <w:color w:val="000000"/>
          <w:sz w:val="24"/>
          <w:szCs w:val="24"/>
        </w:rPr>
        <w:t>).</w:t>
      </w:r>
    </w:p>
    <w:p w14:paraId="70B31FAA" w14:textId="12253412" w:rsidR="00C852F1" w:rsidRPr="00CF59AA" w:rsidRDefault="00CF59AA" w:rsidP="00C852F1">
      <w:pPr>
        <w:tabs>
          <w:tab w:val="left" w:pos="70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9. Në datën 11.</w:t>
      </w:r>
      <w:r w:rsidR="00C852F1" w:rsidRPr="00CF59AA">
        <w:rPr>
          <w:rFonts w:ascii="Garamond" w:hAnsi="Garamond" w:cs="Times New Roman"/>
          <w:color w:val="000000"/>
          <w:sz w:val="24"/>
          <w:szCs w:val="24"/>
        </w:rPr>
        <w:t>3.2025</w:t>
      </w:r>
      <w:r>
        <w:rPr>
          <w:rFonts w:ascii="Garamond" w:hAnsi="Garamond" w:cs="Times New Roman"/>
          <w:color w:val="000000"/>
          <w:sz w:val="24"/>
          <w:szCs w:val="24"/>
        </w:rPr>
        <w:t>,</w:t>
      </w:r>
      <w:r w:rsidR="00C852F1" w:rsidRPr="00CF59AA">
        <w:rPr>
          <w:rFonts w:ascii="Garamond" w:hAnsi="Garamond" w:cs="Times New Roman"/>
          <w:color w:val="000000"/>
          <w:sz w:val="24"/>
          <w:szCs w:val="24"/>
        </w:rPr>
        <w:t xml:space="preserve"> kërkuesja i është drejtuar Gjykatës me ankim kushtetues individual, sipas objektit të tij, i cili, pasi është plotësuar sipas kërkesave të Ligjit Organik të Gjy</w:t>
      </w:r>
      <w:r>
        <w:rPr>
          <w:rFonts w:ascii="Garamond" w:hAnsi="Garamond" w:cs="Times New Roman"/>
          <w:color w:val="000000"/>
          <w:sz w:val="24"/>
          <w:szCs w:val="24"/>
        </w:rPr>
        <w:t>katës, është regjistruar më 19.3.2025. Në datën 27.</w:t>
      </w:r>
      <w:r w:rsidR="00C852F1" w:rsidRPr="00CF59AA">
        <w:rPr>
          <w:rFonts w:ascii="Garamond" w:hAnsi="Garamond" w:cs="Times New Roman"/>
          <w:color w:val="000000"/>
          <w:sz w:val="24"/>
          <w:szCs w:val="24"/>
        </w:rPr>
        <w:t>5.2025</w:t>
      </w:r>
      <w:r>
        <w:rPr>
          <w:rFonts w:ascii="Garamond" w:hAnsi="Garamond" w:cs="Times New Roman"/>
          <w:color w:val="000000"/>
          <w:sz w:val="24"/>
          <w:szCs w:val="24"/>
        </w:rPr>
        <w:t>,</w:t>
      </w:r>
      <w:r w:rsidR="00C852F1" w:rsidRPr="00CF59AA">
        <w:rPr>
          <w:rFonts w:ascii="Garamond" w:hAnsi="Garamond" w:cs="Times New Roman"/>
          <w:color w:val="000000"/>
          <w:sz w:val="24"/>
          <w:szCs w:val="24"/>
        </w:rPr>
        <w:t xml:space="preserve"> Kolegji i Gjykatës ka vendosur kalimin e kërkesës për shqyrtim </w:t>
      </w:r>
      <w:r w:rsidR="00C852F1" w:rsidRPr="00CF59AA">
        <w:rPr>
          <w:rFonts w:ascii="Garamond" w:hAnsi="Garamond" w:cs="Times New Roman"/>
          <w:color w:val="000000"/>
          <w:sz w:val="24"/>
          <w:szCs w:val="24"/>
        </w:rPr>
        <w:lastRenderedPageBreak/>
        <w:t>paraprak në Mbledhjen</w:t>
      </w:r>
      <w:r>
        <w:rPr>
          <w:rFonts w:ascii="Garamond" w:hAnsi="Garamond" w:cs="Times New Roman"/>
          <w:color w:val="000000"/>
          <w:sz w:val="24"/>
          <w:szCs w:val="24"/>
        </w:rPr>
        <w:t xml:space="preserve"> e Gjyqtarëve, e cila në datën 3.</w:t>
      </w:r>
      <w:r w:rsidR="00C852F1" w:rsidRPr="00CF59AA">
        <w:rPr>
          <w:rFonts w:ascii="Garamond" w:hAnsi="Garamond" w:cs="Times New Roman"/>
          <w:color w:val="000000"/>
          <w:sz w:val="24"/>
          <w:szCs w:val="24"/>
        </w:rPr>
        <w:t>6.2025</w:t>
      </w:r>
      <w:r>
        <w:rPr>
          <w:rFonts w:ascii="Garamond" w:hAnsi="Garamond" w:cs="Times New Roman"/>
          <w:color w:val="000000"/>
          <w:sz w:val="24"/>
          <w:szCs w:val="24"/>
        </w:rPr>
        <w:t>,</w:t>
      </w:r>
      <w:r w:rsidR="00C852F1" w:rsidRPr="00CF59AA">
        <w:rPr>
          <w:rFonts w:ascii="Garamond" w:hAnsi="Garamond" w:cs="Times New Roman"/>
          <w:color w:val="000000"/>
          <w:sz w:val="24"/>
          <w:szCs w:val="24"/>
        </w:rPr>
        <w:t xml:space="preserve"> ka vendosur kalimin e çështjes për shqyrtim në seancë plenare mbi </w:t>
      </w:r>
      <w:r>
        <w:rPr>
          <w:rFonts w:ascii="Garamond" w:hAnsi="Garamond" w:cs="Times New Roman"/>
          <w:color w:val="000000"/>
          <w:sz w:val="24"/>
          <w:szCs w:val="24"/>
        </w:rPr>
        <w:t>bazë të dokumenteve.</w:t>
      </w:r>
      <w:r w:rsidR="00B007C3">
        <w:rPr>
          <w:rFonts w:ascii="Garamond" w:hAnsi="Garamond" w:cs="Times New Roman"/>
          <w:color w:val="000000"/>
          <w:sz w:val="24"/>
          <w:szCs w:val="24"/>
        </w:rPr>
        <w:t xml:space="preserve"> </w:t>
      </w:r>
      <w:r>
        <w:rPr>
          <w:rFonts w:ascii="Garamond" w:hAnsi="Garamond" w:cs="Times New Roman"/>
          <w:color w:val="000000"/>
          <w:sz w:val="24"/>
          <w:szCs w:val="24"/>
        </w:rPr>
        <w:t xml:space="preserve">Në datën </w:t>
      </w:r>
      <w:r w:rsidR="00C852F1" w:rsidRPr="00CF59AA">
        <w:rPr>
          <w:rFonts w:ascii="Garamond" w:hAnsi="Garamond" w:cs="Times New Roman"/>
          <w:color w:val="000000"/>
          <w:sz w:val="24"/>
          <w:szCs w:val="24"/>
        </w:rPr>
        <w:t>2.12.2025</w:t>
      </w:r>
      <w:r>
        <w:rPr>
          <w:rFonts w:ascii="Garamond" w:hAnsi="Garamond" w:cs="Times New Roman"/>
          <w:color w:val="000000"/>
          <w:sz w:val="24"/>
          <w:szCs w:val="24"/>
        </w:rPr>
        <w:t>,</w:t>
      </w:r>
      <w:r w:rsidR="00C852F1" w:rsidRPr="00CF59AA">
        <w:rPr>
          <w:rFonts w:ascii="Garamond" w:hAnsi="Garamond" w:cs="Times New Roman"/>
          <w:color w:val="000000"/>
          <w:sz w:val="24"/>
          <w:szCs w:val="24"/>
        </w:rPr>
        <w:t xml:space="preserve"> Mbledhja e Gjyqtarëve ka vendosur pranimin e kërkesës së një anëtari të saj për heqjen dorë nga shqyrtimi i kësaj çështjeje, për shkak se kishte marrë pjesë në dhënien e vendimit të Gjykatës së Lartë, objekt i ankimit kushtetues individual. </w:t>
      </w:r>
    </w:p>
    <w:p w14:paraId="22D2A6EF" w14:textId="77777777"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p>
    <w:p w14:paraId="065AE124" w14:textId="77777777" w:rsidR="00C852F1" w:rsidRPr="00CF59AA" w:rsidRDefault="00C852F1" w:rsidP="00C852F1">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roofErr w:type="spellStart"/>
      <w:r w:rsidRPr="00CF59AA">
        <w:rPr>
          <w:rFonts w:ascii="Garamond" w:hAnsi="Garamond" w:cs="Times New Roman"/>
          <w:b/>
          <w:bCs/>
          <w:color w:val="000000"/>
          <w:sz w:val="24"/>
          <w:szCs w:val="24"/>
        </w:rPr>
        <w:t>II</w:t>
      </w:r>
      <w:proofErr w:type="spellEnd"/>
    </w:p>
    <w:p w14:paraId="677BCC09" w14:textId="77777777" w:rsidR="00C852F1" w:rsidRPr="00CF59AA" w:rsidRDefault="00C852F1" w:rsidP="00C852F1">
      <w:pPr>
        <w:tabs>
          <w:tab w:val="left" w:pos="1080"/>
        </w:tabs>
        <w:autoSpaceDE w:val="0"/>
        <w:autoSpaceDN w:val="0"/>
        <w:adjustRightInd w:val="0"/>
        <w:spacing w:after="0" w:line="240" w:lineRule="auto"/>
        <w:ind w:firstLine="284"/>
        <w:jc w:val="center"/>
        <w:rPr>
          <w:rFonts w:ascii="Garamond" w:hAnsi="Garamond" w:cs="Calibri"/>
          <w:b/>
          <w:bCs/>
          <w:color w:val="000000"/>
          <w:sz w:val="24"/>
          <w:szCs w:val="24"/>
        </w:rPr>
      </w:pPr>
      <w:r w:rsidRPr="00CF59AA">
        <w:rPr>
          <w:rFonts w:ascii="Garamond" w:hAnsi="Garamond" w:cs="Times New Roman"/>
          <w:b/>
          <w:bCs/>
          <w:color w:val="000000"/>
          <w:sz w:val="24"/>
          <w:szCs w:val="24"/>
        </w:rPr>
        <w:t>Pretendimet në Gjykatën Kushtetuese</w:t>
      </w:r>
    </w:p>
    <w:p w14:paraId="6CA7B085" w14:textId="77777777" w:rsidR="000F10F0" w:rsidRPr="00CF59AA" w:rsidRDefault="000F10F0" w:rsidP="00C852F1">
      <w:pPr>
        <w:tabs>
          <w:tab w:val="left" w:pos="700"/>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134F6AAF" w14:textId="3DFB4C37"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CF59AA">
        <w:rPr>
          <w:rFonts w:ascii="Garamond" w:hAnsi="Garamond" w:cs="Times New Roman"/>
          <w:color w:val="000000"/>
          <w:sz w:val="24"/>
          <w:szCs w:val="24"/>
        </w:rPr>
        <w:t xml:space="preserve">10. </w:t>
      </w:r>
      <w:r w:rsidRPr="00CF59AA">
        <w:rPr>
          <w:rFonts w:ascii="Garamond" w:hAnsi="Garamond" w:cs="Times New Roman"/>
          <w:b/>
          <w:bCs/>
          <w:i/>
          <w:iCs/>
          <w:color w:val="000000"/>
          <w:sz w:val="24"/>
          <w:szCs w:val="24"/>
        </w:rPr>
        <w:t xml:space="preserve">Kërkuesja, </w:t>
      </w:r>
      <w:r w:rsidRPr="00CF59AA">
        <w:rPr>
          <w:rFonts w:ascii="Garamond" w:hAnsi="Garamond" w:cs="Times New Roman"/>
          <w:color w:val="000000"/>
          <w:sz w:val="24"/>
          <w:szCs w:val="24"/>
        </w:rPr>
        <w:t>në mënyrë të përmbledhur, ka parashtruar se vendimet e kundërshtuara i kanë cenuar:</w:t>
      </w:r>
    </w:p>
    <w:p w14:paraId="68BC8740" w14:textId="632E5C29" w:rsidR="00C852F1" w:rsidRPr="00CF59AA" w:rsidRDefault="00CF59AA" w:rsidP="00C852F1">
      <w:pPr>
        <w:tabs>
          <w:tab w:val="left" w:pos="700"/>
          <w:tab w:val="left" w:pos="1080"/>
          <w:tab w:val="left" w:pos="9360"/>
        </w:tabs>
        <w:autoSpaceDE w:val="0"/>
        <w:autoSpaceDN w:val="0"/>
        <w:adjustRightInd w:val="0"/>
        <w:spacing w:after="0" w:line="240" w:lineRule="auto"/>
        <w:ind w:firstLine="284"/>
        <w:jc w:val="both"/>
        <w:rPr>
          <w:rFonts w:ascii="Garamond" w:hAnsi="Garamond" w:cs="Times New Roman"/>
          <w:i/>
          <w:iCs/>
          <w:color w:val="000000"/>
          <w:sz w:val="24"/>
          <w:szCs w:val="24"/>
        </w:rPr>
      </w:pPr>
      <w:r>
        <w:rPr>
          <w:rFonts w:ascii="Garamond" w:hAnsi="Garamond" w:cs="Times New Roman"/>
          <w:color w:val="000000"/>
          <w:sz w:val="24"/>
          <w:szCs w:val="24"/>
        </w:rPr>
        <w:t>10.1</w:t>
      </w:r>
      <w:r w:rsidR="00C852F1" w:rsidRPr="00CF59AA">
        <w:rPr>
          <w:rFonts w:ascii="Garamond" w:hAnsi="Garamond" w:cs="Times New Roman"/>
          <w:color w:val="000000"/>
          <w:sz w:val="24"/>
          <w:szCs w:val="24"/>
        </w:rPr>
        <w:t xml:space="preserve"> </w:t>
      </w:r>
      <w:r w:rsidR="00C852F1" w:rsidRPr="00CF59AA">
        <w:rPr>
          <w:rFonts w:ascii="Garamond" w:hAnsi="Garamond" w:cs="Times New Roman"/>
          <w:i/>
          <w:iCs/>
          <w:color w:val="000000"/>
          <w:sz w:val="24"/>
          <w:szCs w:val="24"/>
        </w:rPr>
        <w:t xml:space="preserve">Të drejtën </w:t>
      </w:r>
      <w:r w:rsidR="00C852F1" w:rsidRPr="00CF59AA">
        <w:rPr>
          <w:rFonts w:ascii="Garamond" w:hAnsi="Garamond" w:cs="Times New Roman"/>
          <w:i/>
          <w:iCs/>
          <w:color w:val="222222"/>
          <w:sz w:val="24"/>
          <w:szCs w:val="24"/>
        </w:rPr>
        <w:t xml:space="preserve">për proces të rregullt ligjor, </w:t>
      </w:r>
      <w:r w:rsidR="00C852F1" w:rsidRPr="00CF59AA">
        <w:rPr>
          <w:rFonts w:ascii="Garamond" w:hAnsi="Garamond" w:cs="Times New Roman"/>
          <w:color w:val="222222"/>
          <w:sz w:val="24"/>
          <w:szCs w:val="24"/>
        </w:rPr>
        <w:t>të garantuar nga neni 42 i Kushtetutës, në drejtim të:</w:t>
      </w:r>
    </w:p>
    <w:p w14:paraId="239D8DA0" w14:textId="10C2962D" w:rsidR="00C852F1" w:rsidRPr="00CF59AA" w:rsidRDefault="00CF59AA" w:rsidP="00C852F1">
      <w:pPr>
        <w:tabs>
          <w:tab w:val="left" w:pos="700"/>
          <w:tab w:val="left" w:pos="980"/>
        </w:tabs>
        <w:autoSpaceDE w:val="0"/>
        <w:autoSpaceDN w:val="0"/>
        <w:adjustRightInd w:val="0"/>
        <w:spacing w:after="0" w:line="240" w:lineRule="auto"/>
        <w:ind w:firstLine="284"/>
        <w:jc w:val="both"/>
        <w:rPr>
          <w:rFonts w:ascii="Garamond" w:hAnsi="Garamond" w:cs="Times New Roman"/>
          <w:color w:val="222222"/>
          <w:sz w:val="24"/>
          <w:szCs w:val="24"/>
        </w:rPr>
      </w:pPr>
      <w:r>
        <w:rPr>
          <w:rFonts w:ascii="Garamond" w:hAnsi="Garamond" w:cs="Times New Roman"/>
          <w:color w:val="222222"/>
          <w:sz w:val="24"/>
          <w:szCs w:val="24"/>
        </w:rPr>
        <w:t>10.1.1</w:t>
      </w:r>
      <w:r w:rsidR="00C852F1" w:rsidRPr="00CF59AA">
        <w:rPr>
          <w:rFonts w:ascii="Garamond" w:hAnsi="Garamond" w:cs="Times New Roman"/>
          <w:i/>
          <w:iCs/>
          <w:color w:val="222222"/>
          <w:sz w:val="24"/>
          <w:szCs w:val="24"/>
        </w:rPr>
        <w:t xml:space="preserve"> Së drejtës së </w:t>
      </w:r>
      <w:proofErr w:type="spellStart"/>
      <w:r w:rsidR="00C852F1" w:rsidRPr="00CF59AA">
        <w:rPr>
          <w:rFonts w:ascii="Garamond" w:hAnsi="Garamond" w:cs="Times New Roman"/>
          <w:i/>
          <w:iCs/>
          <w:color w:val="222222"/>
          <w:sz w:val="24"/>
          <w:szCs w:val="24"/>
        </w:rPr>
        <w:t>aksesit</w:t>
      </w:r>
      <w:proofErr w:type="spellEnd"/>
      <w:r w:rsidR="00C852F1" w:rsidRPr="00CF59AA">
        <w:rPr>
          <w:rFonts w:ascii="Garamond" w:hAnsi="Garamond" w:cs="Times New Roman"/>
          <w:i/>
          <w:iCs/>
          <w:color w:val="222222"/>
          <w:sz w:val="24"/>
          <w:szCs w:val="24"/>
        </w:rPr>
        <w:t xml:space="preserve"> substancial,</w:t>
      </w:r>
      <w:r w:rsidR="00C852F1" w:rsidRPr="00CF59AA">
        <w:rPr>
          <w:rFonts w:ascii="Garamond" w:hAnsi="Garamond" w:cs="Times New Roman"/>
          <w:color w:val="222222"/>
          <w:sz w:val="24"/>
          <w:szCs w:val="24"/>
        </w:rPr>
        <w:t xml:space="preserve"> pasi Kolegji Administrativ nuk ka dhënë asnjë argument përse pretendimet e kërkueses, të ngritura në rekurs, nuk përbëjnë shkaqe nga ato të parashikuara në nenin 58</w:t>
      </w:r>
      <w:r>
        <w:rPr>
          <w:rFonts w:ascii="Garamond" w:hAnsi="Garamond" w:cs="Times New Roman"/>
          <w:color w:val="222222"/>
          <w:sz w:val="24"/>
          <w:szCs w:val="24"/>
        </w:rPr>
        <w:t>,</w:t>
      </w:r>
      <w:r w:rsidR="00C852F1" w:rsidRPr="00CF59AA">
        <w:rPr>
          <w:rFonts w:ascii="Garamond" w:hAnsi="Garamond" w:cs="Times New Roman"/>
          <w:color w:val="222222"/>
          <w:sz w:val="24"/>
          <w:szCs w:val="24"/>
        </w:rPr>
        <w:t xml:space="preserve"> të ligjit nr. 49/2012, ndërkohë që pretendohej zbatimi i gabuar i ligjit material e procedural dhe mosrespektimi i praktikës gjyqësore të Kolegjit Administrativ. Në këtë mënyrë gjykatat i kanë shkelur kërkueses të drejtën për garancitë dhe trajtimin e nëpunësve publikë, të garantuar nga nenet 4 dhe 107 të Kushtetutës.</w:t>
      </w:r>
    </w:p>
    <w:p w14:paraId="6E4EF1C3" w14:textId="120F11BB" w:rsidR="00C852F1" w:rsidRPr="00CF59AA" w:rsidRDefault="00CF59AA" w:rsidP="00C852F1">
      <w:pPr>
        <w:tabs>
          <w:tab w:val="left" w:pos="700"/>
          <w:tab w:val="left" w:pos="980"/>
        </w:tabs>
        <w:autoSpaceDE w:val="0"/>
        <w:autoSpaceDN w:val="0"/>
        <w:adjustRightInd w:val="0"/>
        <w:spacing w:after="0" w:line="240" w:lineRule="auto"/>
        <w:ind w:firstLine="284"/>
        <w:jc w:val="both"/>
        <w:rPr>
          <w:rFonts w:ascii="Garamond" w:hAnsi="Garamond" w:cs="Times New Roman"/>
          <w:color w:val="222222"/>
          <w:sz w:val="24"/>
          <w:szCs w:val="24"/>
        </w:rPr>
      </w:pPr>
      <w:r>
        <w:rPr>
          <w:rFonts w:ascii="Garamond" w:hAnsi="Garamond" w:cs="Times New Roman"/>
          <w:color w:val="000000"/>
          <w:sz w:val="24"/>
          <w:szCs w:val="24"/>
        </w:rPr>
        <w:t>10.1.2</w:t>
      </w:r>
      <w:r w:rsidR="00C852F1" w:rsidRPr="00CF59AA">
        <w:rPr>
          <w:rFonts w:ascii="Garamond" w:hAnsi="Garamond" w:cs="Times New Roman"/>
          <w:i/>
          <w:iCs/>
          <w:color w:val="000000"/>
          <w:sz w:val="24"/>
          <w:szCs w:val="24"/>
        </w:rPr>
        <w:t xml:space="preserve"> Parimit të barazisë së armëve dhe të </w:t>
      </w:r>
      <w:proofErr w:type="spellStart"/>
      <w:r w:rsidR="00C852F1" w:rsidRPr="00CF59AA">
        <w:rPr>
          <w:rFonts w:ascii="Garamond" w:hAnsi="Garamond" w:cs="Times New Roman"/>
          <w:i/>
          <w:iCs/>
          <w:color w:val="000000"/>
          <w:sz w:val="24"/>
          <w:szCs w:val="24"/>
        </w:rPr>
        <w:t>kontradiktoritetit</w:t>
      </w:r>
      <w:proofErr w:type="spellEnd"/>
      <w:r w:rsidR="00C852F1" w:rsidRPr="00CF59AA">
        <w:rPr>
          <w:rFonts w:ascii="Garamond" w:hAnsi="Garamond" w:cs="Times New Roman"/>
          <w:i/>
          <w:iCs/>
          <w:color w:val="000000"/>
          <w:sz w:val="24"/>
          <w:szCs w:val="24"/>
        </w:rPr>
        <w:t xml:space="preserve">, </w:t>
      </w:r>
      <w:r w:rsidR="00C852F1" w:rsidRPr="00CF59AA">
        <w:rPr>
          <w:rFonts w:ascii="Garamond" w:hAnsi="Garamond" w:cs="Times New Roman"/>
          <w:color w:val="222222"/>
          <w:sz w:val="24"/>
          <w:szCs w:val="24"/>
        </w:rPr>
        <w:t xml:space="preserve">pasi gjatë gjykimit në shkallë të parë dhe në apel, nga pala kundërshtare në procesin gjyqësor nuk është depozituar asnjë provë që të vërtetonte ndjekjen e procedurave të parashikuara nga legjislacioni për largimin nga shërbimi të një nëpunësi civil. </w:t>
      </w:r>
    </w:p>
    <w:p w14:paraId="659DC058" w14:textId="4A211160" w:rsidR="00C852F1" w:rsidRPr="00CF59AA" w:rsidRDefault="00C852F1" w:rsidP="00C852F1">
      <w:pPr>
        <w:tabs>
          <w:tab w:val="left" w:pos="700"/>
          <w:tab w:val="left" w:pos="980"/>
        </w:tabs>
        <w:autoSpaceDE w:val="0"/>
        <w:autoSpaceDN w:val="0"/>
        <w:adjustRightInd w:val="0"/>
        <w:spacing w:after="0" w:line="240" w:lineRule="auto"/>
        <w:ind w:firstLine="284"/>
        <w:jc w:val="both"/>
        <w:rPr>
          <w:rFonts w:ascii="Garamond" w:hAnsi="Garamond" w:cs="Times New Roman"/>
          <w:color w:val="222222"/>
          <w:sz w:val="24"/>
          <w:szCs w:val="24"/>
        </w:rPr>
      </w:pPr>
      <w:r w:rsidRPr="00CF59AA">
        <w:rPr>
          <w:rFonts w:ascii="Garamond" w:hAnsi="Garamond" w:cs="Times New Roman"/>
          <w:color w:val="222222"/>
          <w:sz w:val="24"/>
          <w:szCs w:val="24"/>
        </w:rPr>
        <w:t>10.1.3</w:t>
      </w:r>
      <w:r w:rsidR="00CF59AA">
        <w:rPr>
          <w:rFonts w:ascii="Garamond" w:hAnsi="Garamond" w:cs="Times New Roman"/>
          <w:i/>
          <w:iCs/>
          <w:color w:val="222222"/>
          <w:sz w:val="24"/>
          <w:szCs w:val="24"/>
        </w:rPr>
        <w:t xml:space="preserve"> </w:t>
      </w:r>
      <w:r w:rsidRPr="00CF59AA">
        <w:rPr>
          <w:rFonts w:ascii="Garamond" w:hAnsi="Garamond" w:cs="Times New Roman"/>
          <w:i/>
          <w:iCs/>
          <w:color w:val="222222"/>
          <w:sz w:val="24"/>
          <w:szCs w:val="24"/>
        </w:rPr>
        <w:t>Parimit të sigurisë juridike</w:t>
      </w:r>
      <w:r w:rsidRPr="00CF59AA">
        <w:rPr>
          <w:rFonts w:ascii="Garamond" w:hAnsi="Garamond" w:cs="Times New Roman"/>
          <w:color w:val="222222"/>
          <w:sz w:val="24"/>
          <w:szCs w:val="24"/>
        </w:rPr>
        <w:t xml:space="preserve">, </w:t>
      </w:r>
      <w:r w:rsidRPr="00CF59AA">
        <w:rPr>
          <w:rFonts w:ascii="Garamond" w:hAnsi="Garamond" w:cs="Times New Roman"/>
          <w:color w:val="000000"/>
          <w:sz w:val="24"/>
          <w:szCs w:val="24"/>
        </w:rPr>
        <w:t>pasi në rekurs kërkuesja ka argumentuar se gjykatat e faktit, teksa kanë arsyetuar se ligji i zbatueshëm në çështjen e saj ishte ligji nr. 8549, datë 11.11.1999</w:t>
      </w:r>
      <w:r w:rsidR="008A2F7C">
        <w:rPr>
          <w:rFonts w:ascii="Garamond" w:hAnsi="Garamond" w:cs="Times New Roman"/>
          <w:color w:val="000000"/>
          <w:sz w:val="24"/>
          <w:szCs w:val="24"/>
        </w:rPr>
        <w:t>,</w:t>
      </w:r>
      <w:r w:rsidRPr="00CF59AA">
        <w:rPr>
          <w:rFonts w:ascii="Garamond" w:hAnsi="Garamond" w:cs="Times New Roman"/>
          <w:color w:val="000000"/>
          <w:sz w:val="24"/>
          <w:szCs w:val="24"/>
        </w:rPr>
        <w:t xml:space="preserve"> “Statusi i nëpunësit civil” (</w:t>
      </w:r>
      <w:r w:rsidRPr="00CF59AA">
        <w:rPr>
          <w:rFonts w:ascii="Garamond" w:hAnsi="Garamond" w:cs="Times New Roman"/>
          <w:i/>
          <w:iCs/>
          <w:color w:val="000000"/>
          <w:sz w:val="24"/>
          <w:szCs w:val="24"/>
        </w:rPr>
        <w:t>ligji nr.</w:t>
      </w:r>
      <w:r w:rsidR="00CF59AA">
        <w:rPr>
          <w:rFonts w:ascii="Garamond" w:hAnsi="Garamond" w:cs="Times New Roman"/>
          <w:i/>
          <w:iCs/>
          <w:color w:val="000000"/>
          <w:sz w:val="24"/>
          <w:szCs w:val="24"/>
        </w:rPr>
        <w:t xml:space="preserve"> </w:t>
      </w:r>
      <w:r w:rsidRPr="00CF59AA">
        <w:rPr>
          <w:rFonts w:ascii="Garamond" w:hAnsi="Garamond" w:cs="Times New Roman"/>
          <w:i/>
          <w:iCs/>
          <w:color w:val="000000"/>
          <w:sz w:val="24"/>
          <w:szCs w:val="24"/>
        </w:rPr>
        <w:t>8549/1999</w:t>
      </w:r>
      <w:r w:rsidRPr="00CF59AA">
        <w:rPr>
          <w:rFonts w:ascii="Garamond" w:hAnsi="Garamond" w:cs="Times New Roman"/>
          <w:color w:val="000000"/>
          <w:sz w:val="24"/>
          <w:szCs w:val="24"/>
        </w:rPr>
        <w:t>), kanë vepruar në kundërshtim me ven</w:t>
      </w:r>
      <w:r w:rsidR="00CF59AA">
        <w:rPr>
          <w:rFonts w:ascii="Garamond" w:hAnsi="Garamond" w:cs="Times New Roman"/>
          <w:color w:val="000000"/>
          <w:sz w:val="24"/>
          <w:szCs w:val="24"/>
        </w:rPr>
        <w:t>dimin nr. 00-2014-730, datë 6.</w:t>
      </w:r>
      <w:r w:rsidRPr="00CF59AA">
        <w:rPr>
          <w:rFonts w:ascii="Garamond" w:hAnsi="Garamond" w:cs="Times New Roman"/>
          <w:color w:val="000000"/>
          <w:sz w:val="24"/>
          <w:szCs w:val="24"/>
        </w:rPr>
        <w:t>3.2014</w:t>
      </w:r>
      <w:r w:rsidR="00CF59AA">
        <w:rPr>
          <w:rFonts w:ascii="Garamond" w:hAnsi="Garamond" w:cs="Times New Roman"/>
          <w:color w:val="000000"/>
          <w:sz w:val="24"/>
          <w:szCs w:val="24"/>
        </w:rPr>
        <w:t>,</w:t>
      </w:r>
      <w:r w:rsidRPr="00CF59AA">
        <w:rPr>
          <w:rFonts w:ascii="Garamond" w:hAnsi="Garamond" w:cs="Times New Roman"/>
          <w:color w:val="000000"/>
          <w:sz w:val="24"/>
          <w:szCs w:val="24"/>
        </w:rPr>
        <w:t xml:space="preserve"> të Kolegjit Administrativ të Gjykatës së Lartë, sipas të cilit</w:t>
      </w:r>
      <w:r w:rsidR="00CF59AA">
        <w:rPr>
          <w:rFonts w:ascii="Garamond" w:hAnsi="Garamond" w:cs="Times New Roman"/>
          <w:color w:val="000000"/>
          <w:sz w:val="24"/>
          <w:szCs w:val="24"/>
        </w:rPr>
        <w:t xml:space="preserve"> ligji nr. 152, datë 30.</w:t>
      </w:r>
      <w:r w:rsidRPr="00CF59AA">
        <w:rPr>
          <w:rFonts w:ascii="Garamond" w:hAnsi="Garamond" w:cs="Times New Roman"/>
          <w:color w:val="000000"/>
          <w:sz w:val="24"/>
          <w:szCs w:val="24"/>
        </w:rPr>
        <w:t>5.2013</w:t>
      </w:r>
      <w:r w:rsidR="00CF59AA">
        <w:rPr>
          <w:rFonts w:ascii="Garamond" w:hAnsi="Garamond" w:cs="Times New Roman"/>
          <w:color w:val="000000"/>
          <w:sz w:val="24"/>
          <w:szCs w:val="24"/>
        </w:rPr>
        <w:t>,</w:t>
      </w:r>
      <w:r w:rsidRPr="00CF59AA">
        <w:rPr>
          <w:rFonts w:ascii="Garamond" w:hAnsi="Garamond" w:cs="Times New Roman"/>
          <w:color w:val="000000"/>
          <w:sz w:val="24"/>
          <w:szCs w:val="24"/>
        </w:rPr>
        <w:t xml:space="preserve"> “Për nëpunësin civil” (</w:t>
      </w:r>
      <w:r w:rsidRPr="00CF59AA">
        <w:rPr>
          <w:rFonts w:ascii="Garamond" w:hAnsi="Garamond" w:cs="Times New Roman"/>
          <w:i/>
          <w:iCs/>
          <w:color w:val="000000"/>
          <w:sz w:val="24"/>
          <w:szCs w:val="24"/>
        </w:rPr>
        <w:t>ligji nr.</w:t>
      </w:r>
      <w:r w:rsidR="00CF59AA">
        <w:rPr>
          <w:rFonts w:ascii="Garamond" w:hAnsi="Garamond" w:cs="Times New Roman"/>
          <w:i/>
          <w:iCs/>
          <w:color w:val="000000"/>
          <w:sz w:val="24"/>
          <w:szCs w:val="24"/>
        </w:rPr>
        <w:t xml:space="preserve"> </w:t>
      </w:r>
      <w:r w:rsidRPr="00CF59AA">
        <w:rPr>
          <w:rFonts w:ascii="Garamond" w:hAnsi="Garamond" w:cs="Times New Roman"/>
          <w:i/>
          <w:iCs/>
          <w:color w:val="000000"/>
          <w:sz w:val="24"/>
          <w:szCs w:val="24"/>
        </w:rPr>
        <w:t>152/2013</w:t>
      </w:r>
      <w:r w:rsidRPr="00CF59AA">
        <w:rPr>
          <w:rFonts w:ascii="Garamond" w:hAnsi="Garamond" w:cs="Times New Roman"/>
          <w:color w:val="000000"/>
          <w:sz w:val="24"/>
          <w:szCs w:val="24"/>
        </w:rPr>
        <w:t>) ishte i zbatueshëm nga</w:t>
      </w:r>
      <w:r w:rsidR="00CF59AA">
        <w:rPr>
          <w:rFonts w:ascii="Garamond" w:hAnsi="Garamond" w:cs="Times New Roman"/>
          <w:color w:val="000000"/>
          <w:sz w:val="24"/>
          <w:szCs w:val="24"/>
        </w:rPr>
        <w:t xml:space="preserve"> data e hyrjes në fuqi të tij (</w:t>
      </w:r>
      <w:r w:rsidRPr="00CF59AA">
        <w:rPr>
          <w:rFonts w:ascii="Garamond" w:hAnsi="Garamond" w:cs="Times New Roman"/>
          <w:color w:val="000000"/>
          <w:sz w:val="24"/>
          <w:szCs w:val="24"/>
        </w:rPr>
        <w:t>1.10.2013) për të gjitha çështjet që ishin në shqyrtim nga gjykatat, për sa kohë për to nuk kishte ende një vendim gjyqësor të formës së prerë.</w:t>
      </w:r>
    </w:p>
    <w:p w14:paraId="6FE8EF92" w14:textId="3C2C8413" w:rsidR="00C852F1" w:rsidRPr="00CF59AA" w:rsidRDefault="00CF59AA" w:rsidP="00C852F1">
      <w:pPr>
        <w:tabs>
          <w:tab w:val="left" w:pos="700"/>
          <w:tab w:val="left" w:pos="980"/>
        </w:tabs>
        <w:autoSpaceDE w:val="0"/>
        <w:autoSpaceDN w:val="0"/>
        <w:adjustRightInd w:val="0"/>
        <w:spacing w:after="0" w:line="240" w:lineRule="auto"/>
        <w:ind w:firstLine="284"/>
        <w:jc w:val="both"/>
        <w:rPr>
          <w:rFonts w:ascii="Garamond" w:hAnsi="Garamond" w:cs="Times New Roman"/>
          <w:color w:val="222222"/>
          <w:sz w:val="24"/>
          <w:szCs w:val="24"/>
        </w:rPr>
      </w:pPr>
      <w:r>
        <w:rPr>
          <w:rFonts w:ascii="Garamond" w:hAnsi="Garamond" w:cs="Times New Roman"/>
          <w:color w:val="222222"/>
          <w:sz w:val="24"/>
          <w:szCs w:val="24"/>
        </w:rPr>
        <w:t>10.1.4</w:t>
      </w:r>
      <w:r w:rsidR="00C852F1" w:rsidRPr="00CF59AA">
        <w:rPr>
          <w:rFonts w:ascii="Garamond" w:hAnsi="Garamond" w:cs="Times New Roman"/>
          <w:i/>
          <w:iCs/>
          <w:color w:val="222222"/>
          <w:sz w:val="24"/>
          <w:szCs w:val="24"/>
        </w:rPr>
        <w:t xml:space="preserve"> Standardit të arsyetimit të vendimit gjyqësor,</w:t>
      </w:r>
      <w:r w:rsidR="00C852F1" w:rsidRPr="00CF59AA">
        <w:rPr>
          <w:rFonts w:ascii="Garamond" w:hAnsi="Garamond" w:cs="Times New Roman"/>
          <w:color w:val="222222"/>
          <w:sz w:val="24"/>
          <w:szCs w:val="24"/>
        </w:rPr>
        <w:t xml:space="preserve"> pasi Kolegji Administrativ i Gjykatës së Lartë nuk ka pasqyruar kërkimet dhe argumentet e kërkueses në vendimmarrjen e tij, si dhe nuk ka arsyetuar përse kundërshtimet e ngritura</w:t>
      </w:r>
      <w:r w:rsidR="00B007C3">
        <w:rPr>
          <w:rFonts w:ascii="Garamond" w:hAnsi="Garamond" w:cs="Times New Roman"/>
          <w:color w:val="222222"/>
          <w:sz w:val="24"/>
          <w:szCs w:val="24"/>
        </w:rPr>
        <w:t xml:space="preserve"> </w:t>
      </w:r>
      <w:r w:rsidR="00C852F1" w:rsidRPr="00CF59AA">
        <w:rPr>
          <w:rFonts w:ascii="Garamond" w:hAnsi="Garamond" w:cs="Times New Roman"/>
          <w:color w:val="222222"/>
          <w:sz w:val="24"/>
          <w:szCs w:val="24"/>
        </w:rPr>
        <w:t>nga kërkuesja dhe që lidhen me zbatimin e ligjit dhe me praktikat e tjera identike të Gjykatës së Lartë, nuk përfshihen në rastet e parashikuara nga neni 58</w:t>
      </w:r>
      <w:r>
        <w:rPr>
          <w:rFonts w:ascii="Garamond" w:hAnsi="Garamond" w:cs="Times New Roman"/>
          <w:color w:val="222222"/>
          <w:sz w:val="24"/>
          <w:szCs w:val="24"/>
        </w:rPr>
        <w:t>,</w:t>
      </w:r>
      <w:r w:rsidR="00C852F1" w:rsidRPr="00CF59AA">
        <w:rPr>
          <w:rFonts w:ascii="Garamond" w:hAnsi="Garamond" w:cs="Times New Roman"/>
          <w:color w:val="222222"/>
          <w:sz w:val="24"/>
          <w:szCs w:val="24"/>
        </w:rPr>
        <w:t xml:space="preserve"> i ligjit nr. 49/2012. Argumentet e dhëna nga gjykatat e faktit janë kontradiktore, pasi edhe pse kanë konstatuar se asnjë nga shkeljet e pretenduara nga pala e paditur nuk bën referim në situata konkrete të kryera nga kërkuesja në shkelje të ligjit për prokurimin publik, në vendimmarrje kanë vlerësuar se vendimi i sekretarit të përgjithshëm </w:t>
      </w:r>
      <w:r w:rsidR="00C852F1" w:rsidRPr="00CF59AA">
        <w:rPr>
          <w:rFonts w:ascii="Garamond" w:hAnsi="Garamond" w:cs="Times New Roman"/>
          <w:color w:val="000000"/>
          <w:sz w:val="24"/>
          <w:szCs w:val="24"/>
        </w:rPr>
        <w:t>të K</w:t>
      </w:r>
      <w:r w:rsidR="00C852F1" w:rsidRPr="00CF59AA">
        <w:rPr>
          <w:rFonts w:ascii="Garamond" w:hAnsi="Garamond" w:cs="Times New Roman"/>
          <w:sz w:val="24"/>
          <w:szCs w:val="24"/>
        </w:rPr>
        <w:t xml:space="preserve">ëshillit të Ministrave nuk është një akt absolutisht i pavlefshëm. Gjykatat e faktit në arsyetimin e tyre për rrëzimin e konstatimit të pavlefshmërisë absolute të vendimit të sekretarit të përgjithshëm të Këshillit të Ministrave, kanë referuar </w:t>
      </w:r>
      <w:r w:rsidR="00C852F1" w:rsidRPr="00CF59AA">
        <w:rPr>
          <w:rFonts w:ascii="Garamond" w:hAnsi="Garamond" w:cs="Times New Roman"/>
          <w:color w:val="222222"/>
          <w:sz w:val="24"/>
          <w:szCs w:val="24"/>
        </w:rPr>
        <w:t xml:space="preserve">në vendimmarrjet e gjykatave të faktit të cilat kanë rrëzuar padinë e kërkueses për pavlefshmërinë relative për shkak të </w:t>
      </w:r>
      <w:proofErr w:type="spellStart"/>
      <w:r w:rsidR="00C852F1" w:rsidRPr="00CF59AA">
        <w:rPr>
          <w:rFonts w:ascii="Garamond" w:hAnsi="Garamond" w:cs="Times New Roman"/>
          <w:color w:val="222222"/>
          <w:sz w:val="24"/>
          <w:szCs w:val="24"/>
        </w:rPr>
        <w:t>ndërgjyqësisë</w:t>
      </w:r>
      <w:proofErr w:type="spellEnd"/>
      <w:r w:rsidR="00C852F1" w:rsidRPr="00CF59AA">
        <w:rPr>
          <w:rFonts w:ascii="Garamond" w:hAnsi="Garamond" w:cs="Times New Roman"/>
          <w:color w:val="222222"/>
          <w:sz w:val="24"/>
          <w:szCs w:val="24"/>
        </w:rPr>
        <w:t xml:space="preserve"> së gabuar, pa shqyrtuar në themel kërkimet e kërkueses paditëse. </w:t>
      </w:r>
    </w:p>
    <w:p w14:paraId="563B9AB1" w14:textId="66CEDCC5" w:rsidR="00C852F1" w:rsidRPr="00CF59AA" w:rsidRDefault="00CF59AA" w:rsidP="00C852F1">
      <w:pPr>
        <w:tabs>
          <w:tab w:val="left" w:pos="900"/>
          <w:tab w:val="left" w:pos="1080"/>
          <w:tab w:val="left" w:pos="9360"/>
        </w:tabs>
        <w:autoSpaceDE w:val="0"/>
        <w:autoSpaceDN w:val="0"/>
        <w:adjustRightInd w:val="0"/>
        <w:spacing w:after="0" w:line="240" w:lineRule="auto"/>
        <w:ind w:firstLine="284"/>
        <w:jc w:val="both"/>
        <w:rPr>
          <w:rFonts w:ascii="Garamond" w:hAnsi="Garamond" w:cs="Times New Roman"/>
          <w:color w:val="222222"/>
          <w:sz w:val="24"/>
          <w:szCs w:val="24"/>
        </w:rPr>
      </w:pPr>
      <w:r>
        <w:rPr>
          <w:rFonts w:ascii="Garamond" w:hAnsi="Garamond" w:cs="Times New Roman"/>
          <w:color w:val="222222"/>
          <w:sz w:val="24"/>
          <w:szCs w:val="24"/>
        </w:rPr>
        <w:t>10.2</w:t>
      </w:r>
      <w:r w:rsidR="00C852F1" w:rsidRPr="00CF59AA">
        <w:rPr>
          <w:rFonts w:ascii="Garamond" w:hAnsi="Garamond" w:cs="Times New Roman"/>
          <w:i/>
          <w:iCs/>
          <w:color w:val="222222"/>
          <w:sz w:val="24"/>
          <w:szCs w:val="24"/>
        </w:rPr>
        <w:t xml:space="preserve"> Të drejtën për t’u gjykuar nga një gjykatë e paanshme</w:t>
      </w:r>
      <w:r w:rsidR="00C852F1" w:rsidRPr="00CF59AA">
        <w:rPr>
          <w:rFonts w:ascii="Garamond" w:hAnsi="Garamond" w:cs="Times New Roman"/>
          <w:color w:val="222222"/>
          <w:sz w:val="24"/>
          <w:szCs w:val="24"/>
        </w:rPr>
        <w:t xml:space="preserve"> dhe </w:t>
      </w:r>
      <w:r w:rsidR="00C852F1" w:rsidRPr="00CF59AA">
        <w:rPr>
          <w:rFonts w:ascii="Garamond" w:hAnsi="Garamond" w:cs="Times New Roman"/>
          <w:i/>
          <w:iCs/>
          <w:color w:val="222222"/>
          <w:sz w:val="24"/>
          <w:szCs w:val="24"/>
        </w:rPr>
        <w:t>parimin e barazisë përpara ligjit</w:t>
      </w:r>
      <w:r w:rsidR="00C852F1" w:rsidRPr="00CF59AA">
        <w:rPr>
          <w:rFonts w:ascii="Garamond" w:hAnsi="Garamond" w:cs="Times New Roman"/>
          <w:color w:val="222222"/>
          <w:sz w:val="24"/>
          <w:szCs w:val="24"/>
        </w:rPr>
        <w:t>, pasi gjykatat e faktit kanë shfaqur qasje të ndryshme për çështje identike, për të cilat ka edhe praktikë nga Gjykata e Lartë.</w:t>
      </w:r>
    </w:p>
    <w:p w14:paraId="47AA4C72" w14:textId="30DD2828"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CF59AA">
        <w:rPr>
          <w:rFonts w:ascii="Garamond" w:hAnsi="Garamond" w:cs="Times New Roman"/>
          <w:color w:val="222222"/>
          <w:sz w:val="24"/>
          <w:szCs w:val="24"/>
        </w:rPr>
        <w:t xml:space="preserve">11. </w:t>
      </w:r>
      <w:r w:rsidRPr="00CF59AA">
        <w:rPr>
          <w:rFonts w:ascii="Garamond" w:hAnsi="Garamond" w:cs="Times New Roman"/>
          <w:b/>
          <w:bCs/>
          <w:i/>
          <w:iCs/>
          <w:color w:val="222222"/>
          <w:sz w:val="24"/>
          <w:szCs w:val="24"/>
        </w:rPr>
        <w:t>Subjektet e interesuara, sekretari i përgjithshëm i Këshillit të Ministrave, Kryeministria</w:t>
      </w:r>
      <w:r w:rsidRPr="00CF59AA">
        <w:rPr>
          <w:rFonts w:ascii="Garamond" w:hAnsi="Garamond" w:cs="Times New Roman"/>
          <w:color w:val="222222"/>
          <w:sz w:val="24"/>
          <w:szCs w:val="24"/>
        </w:rPr>
        <w:t xml:space="preserve"> dhe </w:t>
      </w:r>
      <w:r w:rsidRPr="00CF59AA">
        <w:rPr>
          <w:rFonts w:ascii="Garamond" w:hAnsi="Garamond" w:cs="Times New Roman"/>
          <w:b/>
          <w:bCs/>
          <w:i/>
          <w:iCs/>
          <w:color w:val="222222"/>
          <w:sz w:val="24"/>
          <w:szCs w:val="24"/>
        </w:rPr>
        <w:t xml:space="preserve">Avokatura e Shtetit, </w:t>
      </w:r>
      <w:r w:rsidRPr="00CF59AA">
        <w:rPr>
          <w:rFonts w:ascii="Garamond" w:hAnsi="Garamond" w:cs="Times New Roman"/>
          <w:color w:val="222222"/>
          <w:sz w:val="24"/>
          <w:szCs w:val="24"/>
        </w:rPr>
        <w:t>në mënyrë të përmbledhur, kanë prapësuar, si vijon:</w:t>
      </w:r>
    </w:p>
    <w:p w14:paraId="6B438A94" w14:textId="5A5490BA" w:rsidR="00C852F1" w:rsidRPr="00CF59AA" w:rsidRDefault="00CF59AA" w:rsidP="00C852F1">
      <w:pPr>
        <w:tabs>
          <w:tab w:val="left" w:pos="700"/>
          <w:tab w:val="left" w:pos="980"/>
        </w:tabs>
        <w:autoSpaceDE w:val="0"/>
        <w:autoSpaceDN w:val="0"/>
        <w:adjustRightInd w:val="0"/>
        <w:spacing w:after="0" w:line="240" w:lineRule="auto"/>
        <w:ind w:firstLine="284"/>
        <w:jc w:val="both"/>
        <w:rPr>
          <w:rFonts w:ascii="Garamond" w:hAnsi="Garamond" w:cs="Times New Roman"/>
          <w:color w:val="222222"/>
          <w:sz w:val="24"/>
          <w:szCs w:val="24"/>
        </w:rPr>
      </w:pPr>
      <w:r>
        <w:rPr>
          <w:rFonts w:ascii="Garamond" w:hAnsi="Garamond" w:cs="Times New Roman"/>
          <w:color w:val="222222"/>
          <w:sz w:val="24"/>
          <w:szCs w:val="24"/>
        </w:rPr>
        <w:t>11.1</w:t>
      </w:r>
      <w:r w:rsidR="00C852F1" w:rsidRPr="00CF59AA">
        <w:rPr>
          <w:rFonts w:ascii="Garamond" w:hAnsi="Garamond" w:cs="Times New Roman"/>
          <w:color w:val="222222"/>
          <w:sz w:val="24"/>
          <w:szCs w:val="24"/>
        </w:rPr>
        <w:t xml:space="preserve"> Pretendimi për cenimin e</w:t>
      </w:r>
      <w:r w:rsidR="00C852F1" w:rsidRPr="00CF59AA">
        <w:rPr>
          <w:rFonts w:ascii="Garamond" w:hAnsi="Garamond" w:cs="Times New Roman"/>
          <w:i/>
          <w:iCs/>
          <w:color w:val="222222"/>
          <w:sz w:val="24"/>
          <w:szCs w:val="24"/>
        </w:rPr>
        <w:t xml:space="preserve"> së drejtës së </w:t>
      </w:r>
      <w:proofErr w:type="spellStart"/>
      <w:r w:rsidR="00C852F1" w:rsidRPr="00CF59AA">
        <w:rPr>
          <w:rFonts w:ascii="Garamond" w:hAnsi="Garamond" w:cs="Times New Roman"/>
          <w:i/>
          <w:iCs/>
          <w:color w:val="222222"/>
          <w:sz w:val="24"/>
          <w:szCs w:val="24"/>
        </w:rPr>
        <w:t>aksesit</w:t>
      </w:r>
      <w:proofErr w:type="spellEnd"/>
      <w:r w:rsidR="00C852F1" w:rsidRPr="00CF59AA">
        <w:rPr>
          <w:rFonts w:ascii="Garamond" w:hAnsi="Garamond" w:cs="Times New Roman"/>
          <w:i/>
          <w:iCs/>
          <w:color w:val="222222"/>
          <w:sz w:val="24"/>
          <w:szCs w:val="24"/>
        </w:rPr>
        <w:t xml:space="preserve"> substancial</w:t>
      </w:r>
      <w:r w:rsidR="00C852F1" w:rsidRPr="00CF59AA">
        <w:rPr>
          <w:rFonts w:ascii="Garamond" w:hAnsi="Garamond" w:cs="Times New Roman"/>
          <w:color w:val="222222"/>
          <w:sz w:val="24"/>
          <w:szCs w:val="24"/>
        </w:rPr>
        <w:t xml:space="preserve"> nuk qëndron, pasi pretendimet e kërkueses për </w:t>
      </w:r>
      <w:proofErr w:type="spellStart"/>
      <w:r w:rsidR="00C852F1" w:rsidRPr="00CF59AA">
        <w:rPr>
          <w:rFonts w:ascii="Garamond" w:hAnsi="Garamond" w:cs="Times New Roman"/>
          <w:color w:val="222222"/>
          <w:sz w:val="24"/>
          <w:szCs w:val="24"/>
        </w:rPr>
        <w:t>mosmarrje</w:t>
      </w:r>
      <w:proofErr w:type="spellEnd"/>
      <w:r w:rsidR="00C852F1" w:rsidRPr="00CF59AA">
        <w:rPr>
          <w:rFonts w:ascii="Garamond" w:hAnsi="Garamond" w:cs="Times New Roman"/>
          <w:color w:val="222222"/>
          <w:sz w:val="24"/>
          <w:szCs w:val="24"/>
        </w:rPr>
        <w:t xml:space="preserve"> përgjigje shteruese për shkeljen e së drejtës për garancitë dhe trajtimin e nëpunësve publikë nuk janë ngritur në rekursin drejtuar Gjykatës së Lartë, për rrjedhojë nuk ka shteruar mjetet juridike në dispozicion. </w:t>
      </w:r>
    </w:p>
    <w:p w14:paraId="19282F74" w14:textId="59A2BBDF" w:rsidR="00C852F1" w:rsidRPr="00CF59AA" w:rsidRDefault="00CF59AA" w:rsidP="00C852F1">
      <w:pPr>
        <w:tabs>
          <w:tab w:val="left" w:pos="700"/>
          <w:tab w:val="left" w:pos="980"/>
        </w:tabs>
        <w:autoSpaceDE w:val="0"/>
        <w:autoSpaceDN w:val="0"/>
        <w:adjustRightInd w:val="0"/>
        <w:spacing w:after="0" w:line="240" w:lineRule="auto"/>
        <w:ind w:firstLine="284"/>
        <w:jc w:val="both"/>
        <w:rPr>
          <w:rFonts w:ascii="Garamond" w:hAnsi="Garamond" w:cs="Times New Roman"/>
          <w:color w:val="222222"/>
          <w:sz w:val="24"/>
          <w:szCs w:val="24"/>
        </w:rPr>
      </w:pPr>
      <w:r>
        <w:rPr>
          <w:rFonts w:ascii="Garamond" w:hAnsi="Garamond" w:cs="Times New Roman"/>
          <w:color w:val="000000"/>
          <w:sz w:val="24"/>
          <w:szCs w:val="24"/>
        </w:rPr>
        <w:lastRenderedPageBreak/>
        <w:t>11.2</w:t>
      </w:r>
      <w:r w:rsidR="00C852F1" w:rsidRPr="00CF59AA">
        <w:rPr>
          <w:rFonts w:ascii="Garamond" w:hAnsi="Garamond" w:cs="Times New Roman"/>
          <w:color w:val="000000"/>
          <w:sz w:val="24"/>
          <w:szCs w:val="24"/>
        </w:rPr>
        <w:t xml:space="preserve"> Pretendimet për </w:t>
      </w:r>
      <w:r w:rsidR="00C852F1" w:rsidRPr="00CF59AA">
        <w:rPr>
          <w:rFonts w:ascii="Garamond" w:hAnsi="Garamond" w:cs="Times New Roman"/>
          <w:i/>
          <w:iCs/>
          <w:color w:val="000000"/>
          <w:sz w:val="24"/>
          <w:szCs w:val="24"/>
        </w:rPr>
        <w:t xml:space="preserve">cenimin e </w:t>
      </w:r>
      <w:r w:rsidR="00C852F1" w:rsidRPr="00CF59AA">
        <w:rPr>
          <w:rFonts w:ascii="Garamond" w:hAnsi="Garamond" w:cs="Times New Roman"/>
          <w:i/>
          <w:iCs/>
          <w:color w:val="222222"/>
          <w:sz w:val="24"/>
          <w:szCs w:val="24"/>
        </w:rPr>
        <w:t>së drejtës për t’u gjykuar nga një gjykatë e paanshme</w:t>
      </w:r>
      <w:r w:rsidR="00B007C3">
        <w:rPr>
          <w:rFonts w:ascii="Garamond" w:hAnsi="Garamond" w:cs="Times New Roman"/>
          <w:color w:val="000000"/>
          <w:sz w:val="24"/>
          <w:szCs w:val="24"/>
        </w:rPr>
        <w:t xml:space="preserve"> </w:t>
      </w:r>
      <w:r w:rsidR="00C852F1" w:rsidRPr="00CF59AA">
        <w:rPr>
          <w:rFonts w:ascii="Garamond" w:hAnsi="Garamond" w:cs="Times New Roman"/>
          <w:color w:val="000000"/>
          <w:sz w:val="24"/>
          <w:szCs w:val="24"/>
        </w:rPr>
        <w:t xml:space="preserve">dhe </w:t>
      </w:r>
      <w:r w:rsidR="00C852F1" w:rsidRPr="00CF59AA">
        <w:rPr>
          <w:rFonts w:ascii="Garamond" w:hAnsi="Garamond" w:cs="Times New Roman"/>
          <w:i/>
          <w:iCs/>
          <w:color w:val="000000"/>
          <w:sz w:val="24"/>
          <w:szCs w:val="24"/>
        </w:rPr>
        <w:t>të</w:t>
      </w:r>
      <w:r w:rsidR="00C852F1" w:rsidRPr="00CF59AA">
        <w:rPr>
          <w:rFonts w:ascii="Garamond" w:hAnsi="Garamond" w:cs="Times New Roman"/>
          <w:color w:val="000000"/>
          <w:sz w:val="24"/>
          <w:szCs w:val="24"/>
        </w:rPr>
        <w:t xml:space="preserve"> </w:t>
      </w:r>
      <w:r w:rsidR="00C852F1" w:rsidRPr="00CF59AA">
        <w:rPr>
          <w:rFonts w:ascii="Garamond" w:hAnsi="Garamond" w:cs="Times New Roman"/>
          <w:i/>
          <w:iCs/>
          <w:color w:val="222222"/>
          <w:sz w:val="24"/>
          <w:szCs w:val="24"/>
        </w:rPr>
        <w:t>parimit të barazisë para ligjit</w:t>
      </w:r>
      <w:r w:rsidR="00C852F1" w:rsidRPr="00CF59AA">
        <w:rPr>
          <w:rFonts w:ascii="Garamond" w:hAnsi="Garamond" w:cs="Times New Roman"/>
          <w:color w:val="000000"/>
          <w:sz w:val="24"/>
          <w:szCs w:val="24"/>
        </w:rPr>
        <w:t xml:space="preserve"> nuk qëndrojnë, pasi kërkuesja nuk ka identifikuar asnjë fakt konkret që të tregojë anshmërinë ose mungesën e objektivitetit të gjykatave.</w:t>
      </w:r>
    </w:p>
    <w:p w14:paraId="35B126F8" w14:textId="73DCF004" w:rsidR="00C852F1" w:rsidRPr="00CF59AA" w:rsidRDefault="00CF59AA" w:rsidP="00C852F1">
      <w:pPr>
        <w:tabs>
          <w:tab w:val="left" w:pos="700"/>
          <w:tab w:val="left" w:pos="980"/>
        </w:tabs>
        <w:autoSpaceDE w:val="0"/>
        <w:autoSpaceDN w:val="0"/>
        <w:adjustRightInd w:val="0"/>
        <w:spacing w:after="0" w:line="240" w:lineRule="auto"/>
        <w:ind w:firstLine="284"/>
        <w:jc w:val="both"/>
        <w:rPr>
          <w:rFonts w:ascii="Garamond" w:hAnsi="Garamond" w:cs="Times New Roman"/>
          <w:color w:val="222222"/>
          <w:sz w:val="24"/>
          <w:szCs w:val="24"/>
        </w:rPr>
      </w:pPr>
      <w:r>
        <w:rPr>
          <w:rFonts w:ascii="Garamond" w:hAnsi="Garamond" w:cs="Times New Roman"/>
          <w:color w:val="000000"/>
          <w:sz w:val="24"/>
          <w:szCs w:val="24"/>
        </w:rPr>
        <w:t>11.3</w:t>
      </w:r>
      <w:r w:rsidR="00C852F1" w:rsidRPr="00CF59AA">
        <w:rPr>
          <w:rFonts w:ascii="Garamond" w:hAnsi="Garamond" w:cs="Times New Roman"/>
          <w:color w:val="000000"/>
          <w:sz w:val="24"/>
          <w:szCs w:val="24"/>
        </w:rPr>
        <w:t xml:space="preserve"> Pretendimi për </w:t>
      </w:r>
      <w:r w:rsidR="00C852F1" w:rsidRPr="00CF59AA">
        <w:rPr>
          <w:rFonts w:ascii="Garamond" w:hAnsi="Garamond" w:cs="Times New Roman"/>
          <w:i/>
          <w:iCs/>
          <w:color w:val="000000"/>
          <w:sz w:val="24"/>
          <w:szCs w:val="24"/>
        </w:rPr>
        <w:t xml:space="preserve">cenimin e parimit të barazisë së armëve dhe të </w:t>
      </w:r>
      <w:proofErr w:type="spellStart"/>
      <w:r w:rsidR="00C852F1" w:rsidRPr="00CF59AA">
        <w:rPr>
          <w:rFonts w:ascii="Garamond" w:hAnsi="Garamond" w:cs="Times New Roman"/>
          <w:i/>
          <w:iCs/>
          <w:color w:val="000000"/>
          <w:sz w:val="24"/>
          <w:szCs w:val="24"/>
        </w:rPr>
        <w:t>kontradiktoritetit</w:t>
      </w:r>
      <w:proofErr w:type="spellEnd"/>
      <w:r w:rsidR="00C852F1" w:rsidRPr="00CF59AA">
        <w:rPr>
          <w:rFonts w:ascii="Garamond" w:hAnsi="Garamond" w:cs="Times New Roman"/>
          <w:color w:val="000000"/>
          <w:sz w:val="24"/>
          <w:szCs w:val="24"/>
        </w:rPr>
        <w:t xml:space="preserve"> nuk qëndron, pasi vlerësimi i fakteve dhe i provave të administruara, si dhe interpretimi i ligjit është detyrë e gjykatave të juridiksionit të zakonshëm, ndërsa detyra e Gjykatës është të vlerësojë nëse gjatë procesit ka pasur shkelje të </w:t>
      </w:r>
      <w:proofErr w:type="spellStart"/>
      <w:r w:rsidR="00C852F1" w:rsidRPr="00CF59AA">
        <w:rPr>
          <w:rFonts w:ascii="Garamond" w:hAnsi="Garamond" w:cs="Times New Roman"/>
          <w:color w:val="000000"/>
          <w:sz w:val="24"/>
          <w:szCs w:val="24"/>
        </w:rPr>
        <w:t>të</w:t>
      </w:r>
      <w:proofErr w:type="spellEnd"/>
      <w:r w:rsidR="00C852F1" w:rsidRPr="00CF59AA">
        <w:rPr>
          <w:rFonts w:ascii="Garamond" w:hAnsi="Garamond" w:cs="Times New Roman"/>
          <w:color w:val="000000"/>
          <w:sz w:val="24"/>
          <w:szCs w:val="24"/>
        </w:rPr>
        <w:t xml:space="preserve"> drejtave kushtetuese, si dhe nëse zbatimi i ligjit ka qenë arbitrar.</w:t>
      </w:r>
    </w:p>
    <w:p w14:paraId="6830C9EA" w14:textId="17D71667" w:rsidR="00C852F1" w:rsidRPr="00CF59AA" w:rsidRDefault="00CF59AA" w:rsidP="00C852F1">
      <w:pPr>
        <w:tabs>
          <w:tab w:val="left" w:pos="700"/>
          <w:tab w:val="left" w:pos="980"/>
        </w:tabs>
        <w:autoSpaceDE w:val="0"/>
        <w:autoSpaceDN w:val="0"/>
        <w:adjustRightInd w:val="0"/>
        <w:spacing w:after="0" w:line="240" w:lineRule="auto"/>
        <w:ind w:firstLine="284"/>
        <w:jc w:val="both"/>
        <w:rPr>
          <w:rFonts w:ascii="Garamond" w:hAnsi="Garamond" w:cs="Times New Roman"/>
          <w:color w:val="222222"/>
          <w:sz w:val="24"/>
          <w:szCs w:val="24"/>
        </w:rPr>
      </w:pPr>
      <w:r>
        <w:rPr>
          <w:rFonts w:ascii="Garamond" w:hAnsi="Garamond" w:cs="Times New Roman"/>
          <w:color w:val="000000"/>
          <w:sz w:val="24"/>
          <w:szCs w:val="24"/>
        </w:rPr>
        <w:t>11.4</w:t>
      </w:r>
      <w:r w:rsidR="00C852F1" w:rsidRPr="00CF59AA">
        <w:rPr>
          <w:rFonts w:ascii="Garamond" w:hAnsi="Garamond" w:cs="Times New Roman"/>
          <w:color w:val="000000"/>
          <w:sz w:val="24"/>
          <w:szCs w:val="24"/>
        </w:rPr>
        <w:t xml:space="preserve"> Pretendimi për </w:t>
      </w:r>
      <w:r w:rsidR="00C852F1" w:rsidRPr="00CF59AA">
        <w:rPr>
          <w:rFonts w:ascii="Garamond" w:hAnsi="Garamond" w:cs="Times New Roman"/>
          <w:i/>
          <w:iCs/>
          <w:color w:val="000000"/>
          <w:sz w:val="24"/>
          <w:szCs w:val="24"/>
        </w:rPr>
        <w:t>cenimin e parimit të sigurisë juridike</w:t>
      </w:r>
      <w:r w:rsidR="00C852F1" w:rsidRPr="00CF59AA">
        <w:rPr>
          <w:rFonts w:ascii="Garamond" w:hAnsi="Garamond" w:cs="Times New Roman"/>
          <w:color w:val="000000"/>
          <w:sz w:val="24"/>
          <w:szCs w:val="24"/>
        </w:rPr>
        <w:t xml:space="preserve"> nuk qëndron, pasi për sa kohë që Kolegjet e Bashkuara të Gjykatës së Lartë nuk janë shprehur me vendim njësues për çështje të kësaj natyre, kërkuesi nuk mund të ketë pritshmëri të ligjshme për zbatimin e ligjit, në kushtet kur nuk është kryer një interpretim </w:t>
      </w:r>
      <w:proofErr w:type="spellStart"/>
      <w:r w:rsidR="00C852F1" w:rsidRPr="00CF59AA">
        <w:rPr>
          <w:rFonts w:ascii="Garamond" w:hAnsi="Garamond" w:cs="Times New Roman"/>
          <w:color w:val="000000"/>
          <w:sz w:val="24"/>
          <w:szCs w:val="24"/>
        </w:rPr>
        <w:t>unifikues</w:t>
      </w:r>
      <w:proofErr w:type="spellEnd"/>
      <w:r w:rsidR="00C852F1" w:rsidRPr="00CF59AA">
        <w:rPr>
          <w:rFonts w:ascii="Garamond" w:hAnsi="Garamond" w:cs="Times New Roman"/>
          <w:color w:val="000000"/>
          <w:sz w:val="24"/>
          <w:szCs w:val="24"/>
        </w:rPr>
        <w:t xml:space="preserve"> ose njësues në lidhje me të. Kërkuesja nuk ndodhet në kushtet e një të drejte të fituar nga ligji ose gjykata me vendim gjyqësor të formës së prerë, e cila të jetë vënë në dyshim nga vendimi i Gjykatës së Lartë. </w:t>
      </w:r>
    </w:p>
    <w:p w14:paraId="32BEFD56" w14:textId="12409873" w:rsidR="00C852F1" w:rsidRPr="00CF59AA" w:rsidRDefault="00CF59AA" w:rsidP="00C852F1">
      <w:pPr>
        <w:tabs>
          <w:tab w:val="left" w:pos="700"/>
          <w:tab w:val="left" w:pos="980"/>
        </w:tabs>
        <w:autoSpaceDE w:val="0"/>
        <w:autoSpaceDN w:val="0"/>
        <w:adjustRightInd w:val="0"/>
        <w:spacing w:after="0" w:line="240" w:lineRule="auto"/>
        <w:ind w:firstLine="284"/>
        <w:jc w:val="both"/>
        <w:rPr>
          <w:rFonts w:ascii="Garamond" w:hAnsi="Garamond" w:cs="Times New Roman"/>
          <w:color w:val="222222"/>
          <w:sz w:val="24"/>
          <w:szCs w:val="24"/>
        </w:rPr>
      </w:pPr>
      <w:r>
        <w:rPr>
          <w:rFonts w:ascii="Garamond" w:hAnsi="Garamond" w:cs="Times New Roman"/>
          <w:color w:val="000000"/>
          <w:sz w:val="24"/>
          <w:szCs w:val="24"/>
        </w:rPr>
        <w:t>11.5</w:t>
      </w:r>
      <w:r w:rsidR="00C852F1" w:rsidRPr="00CF59AA">
        <w:rPr>
          <w:rFonts w:ascii="Garamond" w:hAnsi="Garamond" w:cs="Times New Roman"/>
          <w:color w:val="000000"/>
          <w:sz w:val="24"/>
          <w:szCs w:val="24"/>
        </w:rPr>
        <w:t xml:space="preserve"> Pretendimi për cenimin e </w:t>
      </w:r>
      <w:r w:rsidR="00C852F1" w:rsidRPr="00CF59AA">
        <w:rPr>
          <w:rFonts w:ascii="Garamond" w:hAnsi="Garamond" w:cs="Times New Roman"/>
          <w:i/>
          <w:iCs/>
          <w:color w:val="000000"/>
          <w:sz w:val="24"/>
          <w:szCs w:val="24"/>
        </w:rPr>
        <w:t xml:space="preserve">standardit të arsyetimit të vendimit të lidhur me të drejtën e </w:t>
      </w:r>
      <w:proofErr w:type="spellStart"/>
      <w:r w:rsidR="00C852F1" w:rsidRPr="00CF59AA">
        <w:rPr>
          <w:rFonts w:ascii="Garamond" w:hAnsi="Garamond" w:cs="Times New Roman"/>
          <w:i/>
          <w:iCs/>
          <w:color w:val="000000"/>
          <w:sz w:val="24"/>
          <w:szCs w:val="24"/>
        </w:rPr>
        <w:t>aksesit</w:t>
      </w:r>
      <w:proofErr w:type="spellEnd"/>
      <w:r w:rsidR="00C852F1" w:rsidRPr="00CF59AA">
        <w:rPr>
          <w:rFonts w:ascii="Garamond" w:hAnsi="Garamond" w:cs="Times New Roman"/>
          <w:i/>
          <w:iCs/>
          <w:color w:val="000000"/>
          <w:sz w:val="24"/>
          <w:szCs w:val="24"/>
        </w:rPr>
        <w:t xml:space="preserve"> </w:t>
      </w:r>
      <w:r w:rsidR="00C852F1" w:rsidRPr="00CF59AA">
        <w:rPr>
          <w:rFonts w:ascii="Garamond" w:hAnsi="Garamond" w:cs="Times New Roman"/>
          <w:color w:val="000000"/>
          <w:sz w:val="24"/>
          <w:szCs w:val="24"/>
        </w:rPr>
        <w:t xml:space="preserve">nuk qëndron, pasi gjykata e apelit ka marrë në shqyrtim dhe ka analizuar pretendimet e kërkueses, duke u dhënë përgjigje shteruese, ndërsa Gjykata e Lartë ka vendosur mospranimin e rekursit, pasi nuk plotësonte kushtet paraprake të </w:t>
      </w:r>
      <w:proofErr w:type="spellStart"/>
      <w:r w:rsidR="00C852F1" w:rsidRPr="00CF59AA">
        <w:rPr>
          <w:rFonts w:ascii="Garamond" w:hAnsi="Garamond" w:cs="Times New Roman"/>
          <w:color w:val="000000"/>
          <w:sz w:val="24"/>
          <w:szCs w:val="24"/>
        </w:rPr>
        <w:t>pranueshmërisë</w:t>
      </w:r>
      <w:proofErr w:type="spellEnd"/>
      <w:r w:rsidR="00C852F1" w:rsidRPr="00CF59AA">
        <w:rPr>
          <w:rFonts w:ascii="Garamond" w:hAnsi="Garamond" w:cs="Times New Roman"/>
          <w:color w:val="000000"/>
          <w:sz w:val="24"/>
          <w:szCs w:val="24"/>
        </w:rPr>
        <w:t xml:space="preserve"> sipas nenit 480, shkronja “a”, të Kodit të Procedurës Civile (</w:t>
      </w:r>
      <w:proofErr w:type="spellStart"/>
      <w:r w:rsidR="00C852F1" w:rsidRPr="00CF59AA">
        <w:rPr>
          <w:rFonts w:ascii="Garamond" w:hAnsi="Garamond" w:cs="Times New Roman"/>
          <w:i/>
          <w:iCs/>
          <w:color w:val="000000"/>
          <w:sz w:val="24"/>
          <w:szCs w:val="24"/>
        </w:rPr>
        <w:t>KPC</w:t>
      </w:r>
      <w:proofErr w:type="spellEnd"/>
      <w:r w:rsidR="00C852F1" w:rsidRPr="00CF59AA">
        <w:rPr>
          <w:rFonts w:ascii="Garamond" w:hAnsi="Garamond" w:cs="Times New Roman"/>
          <w:color w:val="000000"/>
          <w:sz w:val="24"/>
          <w:szCs w:val="24"/>
        </w:rPr>
        <w:t xml:space="preserve">). Verifikimi i shkaqeve të rekursit përmes procedurës seleksionuese është veprimtari e domosdoshme në funksion të garantimit të </w:t>
      </w:r>
      <w:proofErr w:type="spellStart"/>
      <w:r w:rsidR="00C852F1" w:rsidRPr="00CF59AA">
        <w:rPr>
          <w:rFonts w:ascii="Garamond" w:hAnsi="Garamond" w:cs="Times New Roman"/>
          <w:color w:val="000000"/>
          <w:sz w:val="24"/>
          <w:szCs w:val="24"/>
        </w:rPr>
        <w:t>aksesit</w:t>
      </w:r>
      <w:proofErr w:type="spellEnd"/>
      <w:r w:rsidR="00C852F1" w:rsidRPr="00CF59AA">
        <w:rPr>
          <w:rFonts w:ascii="Garamond" w:hAnsi="Garamond" w:cs="Times New Roman"/>
          <w:color w:val="000000"/>
          <w:sz w:val="24"/>
          <w:szCs w:val="24"/>
        </w:rPr>
        <w:t xml:space="preserve"> në gjykatë vetëm të atyre çështjeve që parashikon ligji, duke lënë jashtë përzgjedhjes kërkesat e paarsyeshme dhe haptazi të pambështetura në ligj.</w:t>
      </w:r>
    </w:p>
    <w:p w14:paraId="64099239" w14:textId="38EAF14A"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CF59AA">
        <w:rPr>
          <w:rFonts w:ascii="Garamond" w:hAnsi="Garamond" w:cs="Times New Roman"/>
          <w:color w:val="222222"/>
          <w:sz w:val="24"/>
          <w:szCs w:val="24"/>
        </w:rPr>
        <w:t xml:space="preserve">12. </w:t>
      </w:r>
      <w:r w:rsidRPr="00CF59AA">
        <w:rPr>
          <w:rFonts w:ascii="Garamond" w:hAnsi="Garamond" w:cs="Times New Roman"/>
          <w:b/>
          <w:bCs/>
          <w:i/>
          <w:iCs/>
          <w:color w:val="222222"/>
          <w:sz w:val="24"/>
          <w:szCs w:val="24"/>
        </w:rPr>
        <w:t xml:space="preserve">Subjekti i interesuar, </w:t>
      </w:r>
      <w:proofErr w:type="spellStart"/>
      <w:r w:rsidRPr="00CF59AA">
        <w:rPr>
          <w:rFonts w:ascii="Garamond" w:hAnsi="Garamond" w:cs="Times New Roman"/>
          <w:b/>
          <w:bCs/>
          <w:i/>
          <w:iCs/>
          <w:color w:val="222222"/>
          <w:sz w:val="24"/>
          <w:szCs w:val="24"/>
        </w:rPr>
        <w:t>DAP</w:t>
      </w:r>
      <w:proofErr w:type="spellEnd"/>
      <w:r w:rsidRPr="00CF59AA">
        <w:rPr>
          <w:rFonts w:ascii="Garamond" w:hAnsi="Garamond" w:cs="Times New Roman"/>
          <w:b/>
          <w:bCs/>
          <w:i/>
          <w:iCs/>
          <w:color w:val="222222"/>
          <w:sz w:val="24"/>
          <w:szCs w:val="24"/>
        </w:rPr>
        <w:t xml:space="preserve">-i, </w:t>
      </w:r>
      <w:r w:rsidRPr="00CF59AA">
        <w:rPr>
          <w:rFonts w:ascii="Garamond" w:hAnsi="Garamond" w:cs="Times New Roman"/>
          <w:color w:val="222222"/>
          <w:sz w:val="24"/>
          <w:szCs w:val="24"/>
        </w:rPr>
        <w:t>në mënyrë të përmbledhur, ka prapësuar, si vijon:</w:t>
      </w:r>
    </w:p>
    <w:p w14:paraId="5E3B8792" w14:textId="51EA8145" w:rsidR="00C852F1" w:rsidRPr="00CF59AA" w:rsidRDefault="00CF59AA" w:rsidP="00C852F1">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Pr>
          <w:rFonts w:ascii="Garamond" w:hAnsi="Garamond" w:cs="Times New Roman"/>
          <w:color w:val="000000"/>
          <w:sz w:val="24"/>
          <w:szCs w:val="24"/>
        </w:rPr>
        <w:t>12.1</w:t>
      </w:r>
      <w:r w:rsidR="00C852F1" w:rsidRPr="00CF59AA">
        <w:rPr>
          <w:rFonts w:ascii="Garamond" w:hAnsi="Garamond" w:cs="Times New Roman"/>
          <w:color w:val="000000"/>
          <w:sz w:val="24"/>
          <w:szCs w:val="24"/>
        </w:rPr>
        <w:t xml:space="preserve"> Pretendimi për cenimin e </w:t>
      </w:r>
      <w:r w:rsidR="00C852F1" w:rsidRPr="00CF59AA">
        <w:rPr>
          <w:rFonts w:ascii="Garamond" w:hAnsi="Garamond" w:cs="Times New Roman"/>
          <w:i/>
          <w:iCs/>
          <w:color w:val="222222"/>
          <w:sz w:val="24"/>
          <w:szCs w:val="24"/>
        </w:rPr>
        <w:t>parimit të barazisë përpara ligjit</w:t>
      </w:r>
      <w:r w:rsidR="00C852F1" w:rsidRPr="00CF59AA">
        <w:rPr>
          <w:rFonts w:ascii="Garamond" w:hAnsi="Garamond" w:cs="Times New Roman"/>
          <w:color w:val="000000"/>
          <w:sz w:val="24"/>
          <w:szCs w:val="24"/>
        </w:rPr>
        <w:t xml:space="preserve"> nuk qëndron, pasi kërkuesja nuk ka përcaktuar se në cilat raste të ngjashme me çështjen e saj është respektuar ky parim, si dhe nëse ka pasur diskriminim ose favorizim të palëve të tjera </w:t>
      </w:r>
      <w:proofErr w:type="spellStart"/>
      <w:r w:rsidR="00C852F1" w:rsidRPr="00CF59AA">
        <w:rPr>
          <w:rFonts w:ascii="Garamond" w:hAnsi="Garamond" w:cs="Times New Roman"/>
          <w:color w:val="000000"/>
          <w:sz w:val="24"/>
          <w:szCs w:val="24"/>
        </w:rPr>
        <w:t>ndërgjyqëse</w:t>
      </w:r>
      <w:proofErr w:type="spellEnd"/>
      <w:r w:rsidR="00C852F1" w:rsidRPr="00CF59AA">
        <w:rPr>
          <w:rFonts w:ascii="Garamond" w:hAnsi="Garamond" w:cs="Times New Roman"/>
          <w:color w:val="000000"/>
          <w:sz w:val="24"/>
          <w:szCs w:val="24"/>
        </w:rPr>
        <w:t xml:space="preserve"> në gjykimin në Gjykatën Administrative të Apelit dhe në shqyrtimin e rekursit nga kolegji i Gjykatës së Lartë. Ndryshe nga sa pretendon kërkuesja, referimi në vendimmarrje i vendimit p</w:t>
      </w:r>
      <w:r>
        <w:rPr>
          <w:rFonts w:ascii="Garamond" w:hAnsi="Garamond" w:cs="Times New Roman"/>
          <w:color w:val="000000"/>
          <w:sz w:val="24"/>
          <w:szCs w:val="24"/>
        </w:rPr>
        <w:t>ilot nr. 00-2023-1699, datë 24.</w:t>
      </w:r>
      <w:r w:rsidR="00C852F1" w:rsidRPr="00CF59AA">
        <w:rPr>
          <w:rFonts w:ascii="Garamond" w:hAnsi="Garamond" w:cs="Times New Roman"/>
          <w:color w:val="000000"/>
          <w:sz w:val="24"/>
          <w:szCs w:val="24"/>
        </w:rPr>
        <w:t>4.2023</w:t>
      </w:r>
      <w:r>
        <w:rPr>
          <w:rFonts w:ascii="Garamond" w:hAnsi="Garamond" w:cs="Times New Roman"/>
          <w:color w:val="000000"/>
          <w:sz w:val="24"/>
          <w:szCs w:val="24"/>
        </w:rPr>
        <w:t>,</w:t>
      </w:r>
      <w:r w:rsidR="00C852F1" w:rsidRPr="00CF59AA">
        <w:rPr>
          <w:rFonts w:ascii="Garamond" w:hAnsi="Garamond" w:cs="Times New Roman"/>
          <w:color w:val="000000"/>
          <w:sz w:val="24"/>
          <w:szCs w:val="24"/>
        </w:rPr>
        <w:t xml:space="preserve"> i të njëjtit kolegj, ku është trajtuar procedura e shqyrtimit paraprak të </w:t>
      </w:r>
      <w:proofErr w:type="spellStart"/>
      <w:r w:rsidR="00C852F1" w:rsidRPr="00CF59AA">
        <w:rPr>
          <w:rFonts w:ascii="Garamond" w:hAnsi="Garamond" w:cs="Times New Roman"/>
          <w:color w:val="000000"/>
          <w:sz w:val="24"/>
          <w:szCs w:val="24"/>
        </w:rPr>
        <w:t>pranueshmërisë</w:t>
      </w:r>
      <w:proofErr w:type="spellEnd"/>
      <w:r w:rsidR="00C852F1" w:rsidRPr="00CF59AA">
        <w:rPr>
          <w:rFonts w:ascii="Garamond" w:hAnsi="Garamond" w:cs="Times New Roman"/>
          <w:color w:val="000000"/>
          <w:sz w:val="24"/>
          <w:szCs w:val="24"/>
        </w:rPr>
        <w:t xml:space="preserve"> së rekurseve dhe natyra seleksionuese e gjykatës, hedh poshtë pretendimin e saj për trajtim të pabarabartë ose diskriminues ndaj saj, veçanërisht në kushtet kur vendimi pilot ka për qëllim mbajtjen e qëndrimeve të njëjta për çështje të ngjashme gjatë procedurave seleksionuese. </w:t>
      </w:r>
    </w:p>
    <w:p w14:paraId="2CCCD756" w14:textId="3CCA6944" w:rsidR="00C852F1" w:rsidRPr="00CF59AA" w:rsidRDefault="00C852F1" w:rsidP="00C852F1">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CF59AA">
        <w:rPr>
          <w:rFonts w:ascii="Garamond" w:hAnsi="Garamond" w:cs="Times New Roman"/>
          <w:color w:val="000000"/>
          <w:sz w:val="24"/>
          <w:szCs w:val="24"/>
        </w:rPr>
        <w:t xml:space="preserve">12.2. Pretendimi për cenimin e </w:t>
      </w:r>
      <w:r w:rsidRPr="00CF59AA">
        <w:rPr>
          <w:rFonts w:ascii="Garamond" w:hAnsi="Garamond" w:cs="Times New Roman"/>
          <w:i/>
          <w:iCs/>
          <w:color w:val="000000"/>
          <w:sz w:val="24"/>
          <w:szCs w:val="24"/>
        </w:rPr>
        <w:t>parimit të sigurisë juridike</w:t>
      </w:r>
      <w:r w:rsidRPr="00CF59AA">
        <w:rPr>
          <w:rFonts w:ascii="Garamond" w:hAnsi="Garamond" w:cs="Times New Roman"/>
          <w:color w:val="000000"/>
          <w:sz w:val="24"/>
          <w:szCs w:val="24"/>
        </w:rPr>
        <w:t xml:space="preserve"> nuk qëndron, pasi vendimi i largimit nga detyra është nxjerrë në kohën kur zbatohej ligji nr. 8549/1999 për shkak të</w:t>
      </w:r>
      <w:r w:rsidR="00CF59AA">
        <w:rPr>
          <w:rFonts w:ascii="Garamond" w:hAnsi="Garamond" w:cs="Times New Roman"/>
          <w:color w:val="000000"/>
          <w:sz w:val="24"/>
          <w:szCs w:val="24"/>
        </w:rPr>
        <w:t xml:space="preserve"> aktit normativ nr. 5, datë 30.</w:t>
      </w:r>
      <w:r w:rsidRPr="00CF59AA">
        <w:rPr>
          <w:rFonts w:ascii="Garamond" w:hAnsi="Garamond" w:cs="Times New Roman"/>
          <w:color w:val="000000"/>
          <w:sz w:val="24"/>
          <w:szCs w:val="24"/>
        </w:rPr>
        <w:t>9.2013</w:t>
      </w:r>
      <w:r w:rsidR="00CF59AA">
        <w:rPr>
          <w:rFonts w:ascii="Garamond" w:hAnsi="Garamond" w:cs="Times New Roman"/>
          <w:color w:val="000000"/>
          <w:sz w:val="24"/>
          <w:szCs w:val="24"/>
        </w:rPr>
        <w:t>,</w:t>
      </w:r>
      <w:r w:rsidRPr="00CF59AA">
        <w:rPr>
          <w:rFonts w:ascii="Garamond" w:hAnsi="Garamond" w:cs="Times New Roman"/>
          <w:color w:val="000000"/>
          <w:sz w:val="24"/>
          <w:szCs w:val="24"/>
        </w:rPr>
        <w:t xml:space="preserve"> “Për disa ndryshime në ligjin nr.</w:t>
      </w:r>
      <w:r w:rsidR="00CF59AA">
        <w:rPr>
          <w:rFonts w:ascii="Garamond" w:hAnsi="Garamond" w:cs="Times New Roman"/>
          <w:color w:val="000000"/>
          <w:sz w:val="24"/>
          <w:szCs w:val="24"/>
        </w:rPr>
        <w:t xml:space="preserve"> </w:t>
      </w:r>
      <w:r w:rsidRPr="00CF59AA">
        <w:rPr>
          <w:rFonts w:ascii="Garamond" w:hAnsi="Garamond" w:cs="Times New Roman"/>
          <w:color w:val="000000"/>
          <w:sz w:val="24"/>
          <w:szCs w:val="24"/>
        </w:rPr>
        <w:t>152/2013</w:t>
      </w:r>
      <w:r w:rsidR="008A2F7C">
        <w:rPr>
          <w:rFonts w:ascii="Garamond" w:hAnsi="Garamond" w:cs="Times New Roman"/>
          <w:color w:val="000000"/>
          <w:sz w:val="24"/>
          <w:szCs w:val="24"/>
        </w:rPr>
        <w:t>,</w:t>
      </w:r>
      <w:r w:rsidRPr="00CF59AA">
        <w:rPr>
          <w:rFonts w:ascii="Garamond" w:hAnsi="Garamond" w:cs="Times New Roman"/>
          <w:color w:val="000000"/>
          <w:sz w:val="24"/>
          <w:szCs w:val="24"/>
        </w:rPr>
        <w:t xml:space="preserve"> </w:t>
      </w:r>
      <w:r w:rsidR="008A2F7C">
        <w:rPr>
          <w:rFonts w:ascii="Garamond" w:hAnsi="Garamond" w:cs="Times New Roman"/>
          <w:color w:val="000000"/>
          <w:sz w:val="24"/>
          <w:szCs w:val="24"/>
        </w:rPr>
        <w:t>‘</w:t>
      </w:r>
      <w:r w:rsidRPr="00CF59AA">
        <w:rPr>
          <w:rFonts w:ascii="Garamond" w:hAnsi="Garamond" w:cs="Times New Roman"/>
          <w:color w:val="000000"/>
          <w:sz w:val="24"/>
          <w:szCs w:val="24"/>
        </w:rPr>
        <w:t>Për nëpunësin civil</w:t>
      </w:r>
      <w:r w:rsidR="008A2F7C">
        <w:rPr>
          <w:rFonts w:ascii="Garamond" w:hAnsi="Garamond" w:cs="Times New Roman"/>
          <w:color w:val="000000"/>
          <w:sz w:val="24"/>
          <w:szCs w:val="24"/>
        </w:rPr>
        <w:t>’</w:t>
      </w:r>
      <w:r w:rsidRPr="00CF59AA">
        <w:rPr>
          <w:rFonts w:ascii="Garamond" w:hAnsi="Garamond" w:cs="Times New Roman"/>
          <w:color w:val="000000"/>
          <w:sz w:val="24"/>
          <w:szCs w:val="24"/>
        </w:rPr>
        <w:t xml:space="preserve">”, të Këshillit të Ministrave, që ka shtyrë fillimin e efekteve të ligjit të ri nr. 152/2013, edhe pse me pas ky akt u shfuqizua me vendimin nr. 5/2014 të Gjykatës, por pa pasoja prapavepruese në rastin e kërkueses, e cila e ka depozituar padinë në gjykatën </w:t>
      </w:r>
      <w:r w:rsidR="00CF59AA">
        <w:rPr>
          <w:rFonts w:ascii="Garamond" w:hAnsi="Garamond" w:cs="Times New Roman"/>
          <w:color w:val="000000"/>
          <w:sz w:val="24"/>
          <w:szCs w:val="24"/>
        </w:rPr>
        <w:t>e shkallës së parë në datën 31.</w:t>
      </w:r>
      <w:r w:rsidRPr="00CF59AA">
        <w:rPr>
          <w:rFonts w:ascii="Garamond" w:hAnsi="Garamond" w:cs="Times New Roman"/>
          <w:color w:val="000000"/>
          <w:sz w:val="24"/>
          <w:szCs w:val="24"/>
        </w:rPr>
        <w:t>1.2017, pra pas hyrjes në fuqi të vendimit nr. 5/2014</w:t>
      </w:r>
      <w:r w:rsidR="00CF59AA">
        <w:rPr>
          <w:rFonts w:ascii="Garamond" w:hAnsi="Garamond" w:cs="Times New Roman"/>
          <w:color w:val="000000"/>
          <w:sz w:val="24"/>
          <w:szCs w:val="24"/>
        </w:rPr>
        <w:t>,</w:t>
      </w:r>
      <w:r w:rsidRPr="00CF59AA">
        <w:rPr>
          <w:rFonts w:ascii="Garamond" w:hAnsi="Garamond" w:cs="Times New Roman"/>
          <w:color w:val="000000"/>
          <w:sz w:val="24"/>
          <w:szCs w:val="24"/>
        </w:rPr>
        <w:t xml:space="preserve"> të Gjykatës. Ve</w:t>
      </w:r>
      <w:r w:rsidR="00CF59AA">
        <w:rPr>
          <w:rFonts w:ascii="Garamond" w:hAnsi="Garamond" w:cs="Times New Roman"/>
          <w:color w:val="000000"/>
          <w:sz w:val="24"/>
          <w:szCs w:val="24"/>
        </w:rPr>
        <w:t>ndimi nr. 00-2014-730, datë 6.</w:t>
      </w:r>
      <w:r w:rsidRPr="00CF59AA">
        <w:rPr>
          <w:rFonts w:ascii="Garamond" w:hAnsi="Garamond" w:cs="Times New Roman"/>
          <w:color w:val="000000"/>
          <w:sz w:val="24"/>
          <w:szCs w:val="24"/>
        </w:rPr>
        <w:t xml:space="preserve">3.2014, të cilit i referohet kërkuesja, nuk përbën vendim </w:t>
      </w:r>
      <w:proofErr w:type="spellStart"/>
      <w:r w:rsidRPr="00CF59AA">
        <w:rPr>
          <w:rFonts w:ascii="Garamond" w:hAnsi="Garamond" w:cs="Times New Roman"/>
          <w:color w:val="000000"/>
          <w:sz w:val="24"/>
          <w:szCs w:val="24"/>
        </w:rPr>
        <w:t>unifikues</w:t>
      </w:r>
      <w:proofErr w:type="spellEnd"/>
      <w:r w:rsidRPr="00CF59AA">
        <w:rPr>
          <w:rFonts w:ascii="Garamond" w:hAnsi="Garamond" w:cs="Times New Roman"/>
          <w:color w:val="000000"/>
          <w:sz w:val="24"/>
          <w:szCs w:val="24"/>
        </w:rPr>
        <w:t xml:space="preserve"> që mund t’i sillte pritshmëri të ligjshme në zgjidhjen e çështjes nga gjykatat e juridiksionit të zakonshëm.</w:t>
      </w:r>
    </w:p>
    <w:p w14:paraId="496DDC47" w14:textId="1C3C6F6C" w:rsidR="00C852F1" w:rsidRPr="00CF59AA" w:rsidRDefault="00CF59AA" w:rsidP="00C852F1">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Pr>
          <w:rFonts w:ascii="Garamond" w:hAnsi="Garamond" w:cs="Times New Roman"/>
          <w:color w:val="000000"/>
          <w:sz w:val="24"/>
          <w:szCs w:val="24"/>
        </w:rPr>
        <w:t>12.3</w:t>
      </w:r>
      <w:r w:rsidR="00C852F1" w:rsidRPr="00CF59AA">
        <w:rPr>
          <w:rFonts w:ascii="Garamond" w:hAnsi="Garamond" w:cs="Times New Roman"/>
          <w:color w:val="000000"/>
          <w:sz w:val="24"/>
          <w:szCs w:val="24"/>
        </w:rPr>
        <w:t xml:space="preserve"> Pretendimi për cenimin e </w:t>
      </w:r>
      <w:r w:rsidR="00C852F1" w:rsidRPr="00CF59AA">
        <w:rPr>
          <w:rFonts w:ascii="Garamond" w:hAnsi="Garamond" w:cs="Times New Roman"/>
          <w:i/>
          <w:iCs/>
          <w:color w:val="000000"/>
          <w:sz w:val="24"/>
          <w:szCs w:val="24"/>
        </w:rPr>
        <w:t xml:space="preserve">standardit të arsyetimit të vendimit lidhur me të drejtën e </w:t>
      </w:r>
      <w:proofErr w:type="spellStart"/>
      <w:r w:rsidR="00C852F1" w:rsidRPr="00CF59AA">
        <w:rPr>
          <w:rFonts w:ascii="Garamond" w:hAnsi="Garamond" w:cs="Times New Roman"/>
          <w:i/>
          <w:iCs/>
          <w:color w:val="000000"/>
          <w:sz w:val="24"/>
          <w:szCs w:val="24"/>
        </w:rPr>
        <w:t>aksesit</w:t>
      </w:r>
      <w:proofErr w:type="spellEnd"/>
      <w:r w:rsidR="00C852F1" w:rsidRPr="00CF59AA">
        <w:rPr>
          <w:rFonts w:ascii="Garamond" w:hAnsi="Garamond" w:cs="Times New Roman"/>
          <w:color w:val="000000"/>
          <w:sz w:val="24"/>
          <w:szCs w:val="24"/>
        </w:rPr>
        <w:t xml:space="preserve"> nuk qëndron, pasi Gjykata e Lartë ka vendosur mospranimin e rekursit, pasi nuk plotësonte kushtet paraprake të </w:t>
      </w:r>
      <w:proofErr w:type="spellStart"/>
      <w:r w:rsidR="00C852F1" w:rsidRPr="00CF59AA">
        <w:rPr>
          <w:rFonts w:ascii="Garamond" w:hAnsi="Garamond" w:cs="Times New Roman"/>
          <w:color w:val="000000"/>
          <w:sz w:val="24"/>
          <w:szCs w:val="24"/>
        </w:rPr>
        <w:t>pranueshmërisë</w:t>
      </w:r>
      <w:proofErr w:type="spellEnd"/>
      <w:r w:rsidR="00C852F1" w:rsidRPr="00CF59AA">
        <w:rPr>
          <w:rFonts w:ascii="Garamond" w:hAnsi="Garamond" w:cs="Times New Roman"/>
          <w:color w:val="000000"/>
          <w:sz w:val="24"/>
          <w:szCs w:val="24"/>
        </w:rPr>
        <w:t xml:space="preserve"> sipas nenit 480, shkronja “a”, të </w:t>
      </w:r>
      <w:proofErr w:type="spellStart"/>
      <w:r w:rsidR="00C852F1" w:rsidRPr="00CF59AA">
        <w:rPr>
          <w:rFonts w:ascii="Garamond" w:hAnsi="Garamond" w:cs="Times New Roman"/>
          <w:color w:val="000000"/>
          <w:sz w:val="24"/>
          <w:szCs w:val="24"/>
        </w:rPr>
        <w:t>KPC</w:t>
      </w:r>
      <w:proofErr w:type="spellEnd"/>
      <w:r w:rsidR="00C852F1" w:rsidRPr="00CF59AA">
        <w:rPr>
          <w:rFonts w:ascii="Garamond" w:hAnsi="Garamond" w:cs="Times New Roman"/>
          <w:color w:val="000000"/>
          <w:sz w:val="24"/>
          <w:szCs w:val="24"/>
        </w:rPr>
        <w:t>-së. Për sa i përket</w:t>
      </w:r>
      <w:r w:rsidR="00C852F1" w:rsidRPr="00CF59AA">
        <w:rPr>
          <w:rFonts w:ascii="Garamond" w:hAnsi="Garamond" w:cs="Times New Roman"/>
          <w:color w:val="FF0000"/>
          <w:sz w:val="24"/>
          <w:szCs w:val="24"/>
        </w:rPr>
        <w:t xml:space="preserve"> </w:t>
      </w:r>
      <w:r w:rsidR="00C852F1" w:rsidRPr="00CF59AA">
        <w:rPr>
          <w:rFonts w:ascii="Garamond" w:hAnsi="Garamond" w:cs="Times New Roman"/>
          <w:color w:val="000000"/>
          <w:sz w:val="24"/>
          <w:szCs w:val="24"/>
        </w:rPr>
        <w:t xml:space="preserve">pretendimit se procedura disiplinore është kryer në kundërshtim me ligjin, ka rezultuar se veprimet e sekretarit të përgjithshëm kanë qenë të rregullta dhe </w:t>
      </w:r>
      <w:proofErr w:type="spellStart"/>
      <w:r w:rsidR="00C852F1" w:rsidRPr="00CF59AA">
        <w:rPr>
          <w:rFonts w:ascii="Garamond" w:hAnsi="Garamond" w:cs="Times New Roman"/>
          <w:color w:val="000000"/>
          <w:sz w:val="24"/>
          <w:szCs w:val="24"/>
        </w:rPr>
        <w:t>konform</w:t>
      </w:r>
      <w:proofErr w:type="spellEnd"/>
      <w:r w:rsidR="00C852F1" w:rsidRPr="00CF59AA">
        <w:rPr>
          <w:rFonts w:ascii="Garamond" w:hAnsi="Garamond" w:cs="Times New Roman"/>
          <w:color w:val="000000"/>
          <w:sz w:val="24"/>
          <w:szCs w:val="24"/>
        </w:rPr>
        <w:t xml:space="preserve"> ligjit. Gjykatat e faktit kanë marrë në shqyrtim dhe kanë analizuar e vlerësuar pretendimet e kërkueses, duke u dhënë përgjigje të arsyetuara, ndërkohë që këto </w:t>
      </w:r>
      <w:r w:rsidR="00C852F1" w:rsidRPr="00CF59AA">
        <w:rPr>
          <w:rFonts w:ascii="Garamond" w:hAnsi="Garamond" w:cs="Times New Roman"/>
          <w:color w:val="222222"/>
          <w:sz w:val="24"/>
          <w:szCs w:val="24"/>
        </w:rPr>
        <w:t>pretendime janë përsëritur në rekursin e saj, duke mos përmbushur asnjë nga shkaqet e parashikuara në nenin 58</w:t>
      </w:r>
      <w:r>
        <w:rPr>
          <w:rFonts w:ascii="Garamond" w:hAnsi="Garamond" w:cs="Times New Roman"/>
          <w:color w:val="222222"/>
          <w:sz w:val="24"/>
          <w:szCs w:val="24"/>
        </w:rPr>
        <w:t>,</w:t>
      </w:r>
      <w:r w:rsidR="00C852F1" w:rsidRPr="00CF59AA">
        <w:rPr>
          <w:rFonts w:ascii="Garamond" w:hAnsi="Garamond" w:cs="Times New Roman"/>
          <w:color w:val="222222"/>
          <w:sz w:val="24"/>
          <w:szCs w:val="24"/>
        </w:rPr>
        <w:t xml:space="preserve"> të ligjit nr. 49/2012. Gjykatat e faktit kanë mbajtur të njëjtin qëndrim, pra nuk janë vendime diametralisht të kundërta, për të cilat Gjykata e Lartë do të duhet të kishte ushtruar një rol aktiv.</w:t>
      </w:r>
    </w:p>
    <w:p w14:paraId="16A86810" w14:textId="77777777" w:rsidR="00C852F1" w:rsidRPr="00CF59AA" w:rsidRDefault="00C852F1" w:rsidP="00C852F1">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4A6EF003" w14:textId="77777777" w:rsidR="000F10F0" w:rsidRPr="00CF59AA" w:rsidRDefault="000F10F0" w:rsidP="00C852F1">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55ACE03D" w14:textId="1C7833FB" w:rsidR="00C852F1" w:rsidRPr="00CF59AA" w:rsidRDefault="00C852F1" w:rsidP="00C852F1">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roofErr w:type="spellStart"/>
      <w:r w:rsidRPr="00CF59AA">
        <w:rPr>
          <w:rFonts w:ascii="Garamond" w:hAnsi="Garamond" w:cs="Times New Roman"/>
          <w:b/>
          <w:bCs/>
          <w:color w:val="000000"/>
          <w:sz w:val="24"/>
          <w:szCs w:val="24"/>
        </w:rPr>
        <w:lastRenderedPageBreak/>
        <w:t>III</w:t>
      </w:r>
      <w:proofErr w:type="spellEnd"/>
    </w:p>
    <w:p w14:paraId="6423675D" w14:textId="77777777" w:rsidR="00C852F1" w:rsidRPr="00CF59AA" w:rsidRDefault="00C852F1" w:rsidP="00C852F1">
      <w:pPr>
        <w:tabs>
          <w:tab w:val="left" w:pos="1080"/>
        </w:tabs>
        <w:autoSpaceDE w:val="0"/>
        <w:autoSpaceDN w:val="0"/>
        <w:adjustRightInd w:val="0"/>
        <w:spacing w:after="0" w:line="240" w:lineRule="auto"/>
        <w:ind w:firstLine="284"/>
        <w:jc w:val="center"/>
        <w:rPr>
          <w:rFonts w:ascii="Garamond" w:hAnsi="Garamond" w:cs="Times New Roman"/>
          <w:color w:val="000000"/>
          <w:sz w:val="24"/>
          <w:szCs w:val="24"/>
        </w:rPr>
      </w:pPr>
      <w:r w:rsidRPr="00CF59AA">
        <w:rPr>
          <w:rFonts w:ascii="Garamond" w:hAnsi="Garamond" w:cs="Times New Roman"/>
          <w:b/>
          <w:bCs/>
          <w:color w:val="000000"/>
          <w:sz w:val="24"/>
          <w:szCs w:val="24"/>
        </w:rPr>
        <w:t>Vlerësimi i Gjykatës Kushtetuese</w:t>
      </w:r>
    </w:p>
    <w:p w14:paraId="4F8F1408" w14:textId="77777777" w:rsidR="000F10F0" w:rsidRPr="00CF59AA" w:rsidRDefault="000F10F0" w:rsidP="00C852F1">
      <w:pPr>
        <w:tabs>
          <w:tab w:val="left" w:pos="72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p>
    <w:p w14:paraId="3D414782" w14:textId="1CFA760A" w:rsidR="00C852F1" w:rsidRPr="00CF59AA" w:rsidRDefault="00C852F1" w:rsidP="00C852F1">
      <w:pPr>
        <w:tabs>
          <w:tab w:val="left" w:pos="72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CF59AA">
        <w:rPr>
          <w:rFonts w:ascii="Garamond" w:hAnsi="Garamond" w:cs="Times New Roman"/>
          <w:i/>
          <w:iCs/>
          <w:color w:val="000000"/>
          <w:sz w:val="24"/>
          <w:szCs w:val="24"/>
        </w:rPr>
        <w:t>A. Për legjitimimin e kërkueses</w:t>
      </w:r>
    </w:p>
    <w:p w14:paraId="0C610F36" w14:textId="7A9BB8B6"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CF59AA">
        <w:rPr>
          <w:rFonts w:ascii="Garamond" w:hAnsi="Garamond" w:cs="Times New Roman"/>
          <w:color w:val="000000"/>
          <w:sz w:val="24"/>
          <w:szCs w:val="24"/>
        </w:rPr>
        <w:t xml:space="preserve">13. Çështja e legjitimimit </w:t>
      </w:r>
      <w:r w:rsidRPr="00CF59AA">
        <w:rPr>
          <w:rFonts w:ascii="Garamond" w:hAnsi="Garamond" w:cs="Times New Roman"/>
          <w:i/>
          <w:iCs/>
          <w:color w:val="000000"/>
          <w:sz w:val="24"/>
          <w:szCs w:val="24"/>
        </w:rPr>
        <w:t>(</w:t>
      </w:r>
      <w:proofErr w:type="spellStart"/>
      <w:r w:rsidRPr="00CF59AA">
        <w:rPr>
          <w:rFonts w:ascii="Garamond" w:hAnsi="Garamond" w:cs="Times New Roman"/>
          <w:i/>
          <w:iCs/>
          <w:color w:val="000000"/>
          <w:sz w:val="24"/>
          <w:szCs w:val="24"/>
        </w:rPr>
        <w:t>locus</w:t>
      </w:r>
      <w:proofErr w:type="spellEnd"/>
      <w:r w:rsidRPr="00CF59AA">
        <w:rPr>
          <w:rFonts w:ascii="Garamond" w:hAnsi="Garamond" w:cs="Times New Roman"/>
          <w:i/>
          <w:iCs/>
          <w:color w:val="000000"/>
          <w:sz w:val="24"/>
          <w:szCs w:val="24"/>
        </w:rPr>
        <w:t xml:space="preserve"> </w:t>
      </w:r>
      <w:proofErr w:type="spellStart"/>
      <w:r w:rsidRPr="00CF59AA">
        <w:rPr>
          <w:rFonts w:ascii="Garamond" w:hAnsi="Garamond" w:cs="Times New Roman"/>
          <w:i/>
          <w:iCs/>
          <w:color w:val="000000"/>
          <w:sz w:val="24"/>
          <w:szCs w:val="24"/>
        </w:rPr>
        <w:t>standi</w:t>
      </w:r>
      <w:proofErr w:type="spellEnd"/>
      <w:r w:rsidRPr="00CF59AA">
        <w:rPr>
          <w:rFonts w:ascii="Garamond" w:hAnsi="Garamond" w:cs="Times New Roman"/>
          <w:i/>
          <w:iCs/>
          <w:color w:val="000000"/>
          <w:sz w:val="24"/>
          <w:szCs w:val="24"/>
        </w:rPr>
        <w:t>)</w:t>
      </w:r>
      <w:r w:rsidRPr="00CF59AA">
        <w:rPr>
          <w:rFonts w:ascii="Garamond" w:hAnsi="Garamond" w:cs="Times New Roman"/>
          <w:color w:val="000000"/>
          <w:sz w:val="24"/>
          <w:szCs w:val="24"/>
        </w:rPr>
        <w:t xml:space="preserve"> është një ndër aspektet kryesore që lidhet me vënien në lëvizje të një procesi kushtetues. Sipas neneve 131, pika 1, shkronja “f” dhe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Organik të Gjykatës, që lidhen me afatin e paraqitjes së kërkesës, pasojat negative të pësuara në mënyrë të drejtpërdrejtë e reale, shterimin e mjeteve juridike, mundësinë për rivendosjen e së drejtës së shkelur, si dhe rregullimet e veçanta ligjore të shqyrtimit paraprak të kërkesës. </w:t>
      </w:r>
    </w:p>
    <w:p w14:paraId="02913AF3" w14:textId="75DB25E0"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CF59AA">
        <w:rPr>
          <w:rFonts w:ascii="Garamond" w:hAnsi="Garamond" w:cs="Times New Roman"/>
          <w:color w:val="000000"/>
          <w:sz w:val="24"/>
          <w:szCs w:val="24"/>
        </w:rPr>
        <w:t xml:space="preserve">14. Në rastin në shqyrtim, Gjykata vlerëson se kërkuesja legjitimohet </w:t>
      </w:r>
      <w:proofErr w:type="spellStart"/>
      <w:r w:rsidRPr="00CF59AA">
        <w:rPr>
          <w:rFonts w:ascii="Garamond" w:hAnsi="Garamond" w:cs="Times New Roman"/>
          <w:i/>
          <w:iCs/>
          <w:color w:val="000000"/>
          <w:sz w:val="24"/>
          <w:szCs w:val="24"/>
        </w:rPr>
        <w:t>ratione</w:t>
      </w:r>
      <w:proofErr w:type="spellEnd"/>
      <w:r w:rsidRPr="00CF59AA">
        <w:rPr>
          <w:rFonts w:ascii="Garamond" w:hAnsi="Garamond" w:cs="Times New Roman"/>
          <w:i/>
          <w:iCs/>
          <w:color w:val="000000"/>
          <w:sz w:val="24"/>
          <w:szCs w:val="24"/>
        </w:rPr>
        <w:t xml:space="preserve"> </w:t>
      </w:r>
      <w:proofErr w:type="spellStart"/>
      <w:r w:rsidRPr="00CF59AA">
        <w:rPr>
          <w:rFonts w:ascii="Garamond" w:hAnsi="Garamond" w:cs="Times New Roman"/>
          <w:i/>
          <w:iCs/>
          <w:color w:val="000000"/>
          <w:sz w:val="24"/>
          <w:szCs w:val="24"/>
        </w:rPr>
        <w:t>personae</w:t>
      </w:r>
      <w:proofErr w:type="spellEnd"/>
      <w:r w:rsidRPr="00CF59AA">
        <w:rPr>
          <w:rFonts w:ascii="Garamond" w:hAnsi="Garamond" w:cs="Times New Roman"/>
          <w:i/>
          <w:iCs/>
          <w:color w:val="000000"/>
          <w:sz w:val="24"/>
          <w:szCs w:val="24"/>
        </w:rPr>
        <w:t>,</w:t>
      </w:r>
      <w:r w:rsidRPr="00CF59AA">
        <w:rPr>
          <w:rFonts w:ascii="Garamond" w:hAnsi="Garamond" w:cs="Times New Roman"/>
          <w:color w:val="000000"/>
          <w:sz w:val="24"/>
          <w:szCs w:val="24"/>
        </w:rPr>
        <w:t xml:space="preserve"> bazuar në nenet 131, pika 1, shkronja “f” dhe 134, pika 1, shkronja “i”, të Kushtetutës, pasi është palë </w:t>
      </w:r>
      <w:proofErr w:type="spellStart"/>
      <w:r w:rsidRPr="00CF59AA">
        <w:rPr>
          <w:rFonts w:ascii="Garamond" w:hAnsi="Garamond" w:cs="Times New Roman"/>
          <w:color w:val="000000"/>
          <w:sz w:val="24"/>
          <w:szCs w:val="24"/>
        </w:rPr>
        <w:t>ndërgjyqëse</w:t>
      </w:r>
      <w:proofErr w:type="spellEnd"/>
      <w:r w:rsidRPr="00CF59AA">
        <w:rPr>
          <w:rFonts w:ascii="Garamond" w:hAnsi="Garamond" w:cs="Times New Roman"/>
          <w:color w:val="000000"/>
          <w:sz w:val="24"/>
          <w:szCs w:val="24"/>
        </w:rPr>
        <w:t xml:space="preserve"> në procesin gjyqësor të kundërshtuar, ndaj ka interes të drejtpërdrejtë në çështjen e paraqitur.</w:t>
      </w:r>
    </w:p>
    <w:p w14:paraId="188F35D3" w14:textId="525C6071"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CF59AA">
        <w:rPr>
          <w:rFonts w:ascii="Garamond" w:hAnsi="Garamond" w:cs="Times New Roman"/>
          <w:color w:val="000000"/>
          <w:sz w:val="24"/>
          <w:szCs w:val="24"/>
        </w:rPr>
        <w:t xml:space="preserve">15. Në lidhje me kriterin e </w:t>
      </w:r>
      <w:r w:rsidRPr="00CF59AA">
        <w:rPr>
          <w:rFonts w:ascii="Garamond" w:hAnsi="Garamond" w:cs="Times New Roman"/>
          <w:i/>
          <w:iCs/>
          <w:color w:val="000000"/>
          <w:sz w:val="24"/>
          <w:szCs w:val="24"/>
        </w:rPr>
        <w:t>shterimit të mjeteve juridike efektive</w:t>
      </w:r>
      <w:r w:rsidRPr="00CF59AA">
        <w:rPr>
          <w:rFonts w:ascii="Garamond" w:hAnsi="Garamond" w:cs="Times New Roman"/>
          <w:color w:val="000000"/>
          <w:sz w:val="24"/>
          <w:szCs w:val="24"/>
        </w:rPr>
        <w:t xml:space="preserve">, sipas neneve 131, pika 1, shkronja “f” dhe 134, pika 1, shkronja “i”, të Kushtetutës, Gjykata vëren se subjektet e interesuara, </w:t>
      </w:r>
      <w:r w:rsidRPr="00CF59AA">
        <w:rPr>
          <w:rFonts w:ascii="Garamond" w:hAnsi="Garamond" w:cs="Times New Roman"/>
          <w:color w:val="222222"/>
          <w:sz w:val="24"/>
          <w:szCs w:val="24"/>
        </w:rPr>
        <w:t xml:space="preserve">sekretari i përgjithshëm i Këshillit të Ministrave, Kryeministria dhe Avokatura e Shtetit, kanë prapësuar se kërkuesja nuk ka shteruar mjetet juridike në dispozicion, pasi pretendimet në drejtim </w:t>
      </w:r>
      <w:r w:rsidRPr="00CF59AA">
        <w:rPr>
          <w:rFonts w:ascii="Garamond" w:hAnsi="Garamond" w:cs="Times New Roman"/>
          <w:i/>
          <w:iCs/>
          <w:color w:val="222222"/>
          <w:sz w:val="24"/>
          <w:szCs w:val="24"/>
        </w:rPr>
        <w:t xml:space="preserve">të së drejtës së </w:t>
      </w:r>
      <w:proofErr w:type="spellStart"/>
      <w:r w:rsidRPr="00CF59AA">
        <w:rPr>
          <w:rFonts w:ascii="Garamond" w:hAnsi="Garamond" w:cs="Times New Roman"/>
          <w:i/>
          <w:iCs/>
          <w:color w:val="222222"/>
          <w:sz w:val="24"/>
          <w:szCs w:val="24"/>
        </w:rPr>
        <w:t>aksesit</w:t>
      </w:r>
      <w:proofErr w:type="spellEnd"/>
      <w:r w:rsidRPr="00CF59AA">
        <w:rPr>
          <w:rFonts w:ascii="Garamond" w:hAnsi="Garamond" w:cs="Times New Roman"/>
          <w:i/>
          <w:iCs/>
          <w:color w:val="222222"/>
          <w:sz w:val="24"/>
          <w:szCs w:val="24"/>
        </w:rPr>
        <w:t xml:space="preserve"> </w:t>
      </w:r>
      <w:r w:rsidRPr="00CF59AA">
        <w:rPr>
          <w:rFonts w:ascii="Garamond" w:hAnsi="Garamond" w:cs="Times New Roman"/>
          <w:i/>
          <w:iCs/>
          <w:color w:val="000000"/>
          <w:sz w:val="24"/>
          <w:szCs w:val="24"/>
        </w:rPr>
        <w:t>substancial</w:t>
      </w:r>
      <w:r w:rsidRPr="00CF59AA">
        <w:rPr>
          <w:rFonts w:ascii="Garamond" w:hAnsi="Garamond" w:cs="Times New Roman"/>
          <w:sz w:val="24"/>
          <w:szCs w:val="24"/>
        </w:rPr>
        <w:t xml:space="preserve"> për </w:t>
      </w:r>
      <w:proofErr w:type="spellStart"/>
      <w:r w:rsidRPr="00CF59AA">
        <w:rPr>
          <w:rFonts w:ascii="Garamond" w:hAnsi="Garamond" w:cs="Times New Roman"/>
          <w:sz w:val="24"/>
          <w:szCs w:val="24"/>
        </w:rPr>
        <w:t>mosmarrje</w:t>
      </w:r>
      <w:proofErr w:type="spellEnd"/>
      <w:r w:rsidRPr="00CF59AA">
        <w:rPr>
          <w:rFonts w:ascii="Garamond" w:hAnsi="Garamond" w:cs="Times New Roman"/>
          <w:sz w:val="24"/>
          <w:szCs w:val="24"/>
        </w:rPr>
        <w:t xml:space="preserve"> përgjigje shteruese </w:t>
      </w:r>
      <w:r w:rsidRPr="00CF59AA">
        <w:rPr>
          <w:rFonts w:ascii="Garamond" w:hAnsi="Garamond" w:cs="Times New Roman"/>
          <w:color w:val="222222"/>
          <w:sz w:val="24"/>
          <w:szCs w:val="24"/>
        </w:rPr>
        <w:t xml:space="preserve">për shkeljen e së drejtës për garancitë dhe trajtimin e nëpunësve publikë nuk i ka ngritur në rekursin drejtuar Gjykatës së Lartë. </w:t>
      </w:r>
      <w:r w:rsidRPr="00CF59AA">
        <w:rPr>
          <w:rFonts w:ascii="Garamond" w:hAnsi="Garamond" w:cs="Times New Roman"/>
          <w:color w:val="000000"/>
          <w:sz w:val="24"/>
          <w:szCs w:val="24"/>
        </w:rPr>
        <w:t xml:space="preserve">Për këtë pretendim Gjykata konstaton se kërkuesja i ka parashtruar argumentet e saj </w:t>
      </w:r>
      <w:r w:rsidRPr="00CF59AA">
        <w:rPr>
          <w:rFonts w:ascii="Garamond" w:hAnsi="Garamond" w:cs="Times New Roman"/>
          <w:color w:val="222222"/>
          <w:sz w:val="24"/>
          <w:szCs w:val="24"/>
        </w:rPr>
        <w:t>për shkeljen e procedurave ligjore</w:t>
      </w:r>
      <w:r w:rsidRPr="00CF59AA">
        <w:rPr>
          <w:rFonts w:ascii="Garamond" w:hAnsi="Garamond" w:cs="Times New Roman"/>
          <w:color w:val="000000"/>
          <w:sz w:val="24"/>
          <w:szCs w:val="24"/>
        </w:rPr>
        <w:t xml:space="preserve"> </w:t>
      </w:r>
      <w:r w:rsidRPr="00CF59AA">
        <w:rPr>
          <w:rFonts w:ascii="Garamond" w:hAnsi="Garamond" w:cs="Times New Roman"/>
          <w:color w:val="222222"/>
          <w:sz w:val="24"/>
          <w:szCs w:val="24"/>
        </w:rPr>
        <w:t xml:space="preserve">prej të cilave rrjedh cenimi i thelbit të </w:t>
      </w:r>
      <w:proofErr w:type="spellStart"/>
      <w:r w:rsidRPr="00CF59AA">
        <w:rPr>
          <w:rFonts w:ascii="Garamond" w:hAnsi="Garamond" w:cs="Times New Roman"/>
          <w:color w:val="222222"/>
          <w:sz w:val="24"/>
          <w:szCs w:val="24"/>
        </w:rPr>
        <w:t>të</w:t>
      </w:r>
      <w:proofErr w:type="spellEnd"/>
      <w:r w:rsidRPr="00CF59AA">
        <w:rPr>
          <w:rFonts w:ascii="Garamond" w:hAnsi="Garamond" w:cs="Times New Roman"/>
          <w:color w:val="222222"/>
          <w:sz w:val="24"/>
          <w:szCs w:val="24"/>
        </w:rPr>
        <w:t xml:space="preserve"> drejtave të nëpunësit civil, të garantuara nga nenet 4 dhe 107 të Kushtetutës,</w:t>
      </w:r>
      <w:r w:rsidRPr="00CF59AA">
        <w:rPr>
          <w:rFonts w:ascii="Garamond" w:hAnsi="Garamond" w:cs="Times New Roman"/>
          <w:color w:val="000000"/>
          <w:sz w:val="24"/>
          <w:szCs w:val="24"/>
        </w:rPr>
        <w:t xml:space="preserve"> si në ankimin drejtuar gjykatës së apelit, ashtu edhe në rekursin e ushtruar në Gjykatën e Lartë,</w:t>
      </w:r>
      <w:r w:rsidRPr="00CF59AA">
        <w:rPr>
          <w:rFonts w:ascii="Garamond" w:hAnsi="Garamond" w:cs="Times New Roman"/>
          <w:color w:val="222222"/>
          <w:sz w:val="24"/>
          <w:szCs w:val="24"/>
        </w:rPr>
        <w:t xml:space="preserve"> për rrjedhojë Gjykata vlerëson se kërkuesja e plotëson kriterin për shterimin e mjeteve juridike efektive, </w:t>
      </w:r>
      <w:r w:rsidRPr="00CF59AA">
        <w:rPr>
          <w:rFonts w:ascii="Garamond" w:hAnsi="Garamond" w:cs="Times New Roman"/>
          <w:color w:val="000000"/>
          <w:sz w:val="24"/>
          <w:szCs w:val="24"/>
        </w:rPr>
        <w:t xml:space="preserve">si për pretendimin për cenimin e </w:t>
      </w:r>
      <w:proofErr w:type="spellStart"/>
      <w:r w:rsidRPr="00CF59AA">
        <w:rPr>
          <w:rFonts w:ascii="Garamond" w:hAnsi="Garamond" w:cs="Times New Roman"/>
          <w:color w:val="000000"/>
          <w:sz w:val="24"/>
          <w:szCs w:val="24"/>
        </w:rPr>
        <w:t>aksesit</w:t>
      </w:r>
      <w:proofErr w:type="spellEnd"/>
      <w:r w:rsidRPr="00CF59AA">
        <w:rPr>
          <w:rFonts w:ascii="Garamond" w:hAnsi="Garamond" w:cs="Times New Roman"/>
          <w:color w:val="000000"/>
          <w:sz w:val="24"/>
          <w:szCs w:val="24"/>
        </w:rPr>
        <w:t xml:space="preserve"> substancial, ashtu edhe </w:t>
      </w:r>
      <w:r w:rsidRPr="00CF59AA">
        <w:rPr>
          <w:rFonts w:ascii="Garamond" w:hAnsi="Garamond" w:cs="Times New Roman"/>
          <w:color w:val="222222"/>
          <w:sz w:val="24"/>
          <w:szCs w:val="24"/>
        </w:rPr>
        <w:t>për sa u përket pretendimeve të tjera të parashtruara në kërkesën drejtuar Gjykatës</w:t>
      </w:r>
      <w:r w:rsidRPr="00CF59AA">
        <w:rPr>
          <w:rFonts w:ascii="Garamond" w:hAnsi="Garamond" w:cs="Times New Roman"/>
          <w:color w:val="000000"/>
          <w:sz w:val="24"/>
          <w:szCs w:val="24"/>
        </w:rPr>
        <w:t>. Për rrjedhojë, ajo nuk ka mjet tjetër juridik në dispozicion për mbrojtjen e të drejtave të saj kushtetuese përveç paraqitjes së ankimit kushtetues individual.</w:t>
      </w:r>
    </w:p>
    <w:p w14:paraId="4910A650" w14:textId="59A3ACC3"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CF59AA">
        <w:rPr>
          <w:rFonts w:ascii="Garamond" w:hAnsi="Garamond" w:cs="Times New Roman"/>
          <w:color w:val="000000"/>
          <w:sz w:val="24"/>
          <w:szCs w:val="24"/>
        </w:rPr>
        <w:t xml:space="preserve">16. Lidhur me legjitimimin </w:t>
      </w:r>
      <w:proofErr w:type="spellStart"/>
      <w:r w:rsidRPr="00CF59AA">
        <w:rPr>
          <w:rFonts w:ascii="Garamond" w:hAnsi="Garamond" w:cs="Times New Roman"/>
          <w:i/>
          <w:iCs/>
          <w:color w:val="000000"/>
          <w:sz w:val="24"/>
          <w:szCs w:val="24"/>
        </w:rPr>
        <w:t>ratione</w:t>
      </w:r>
      <w:proofErr w:type="spellEnd"/>
      <w:r w:rsidRPr="00CF59AA">
        <w:rPr>
          <w:rFonts w:ascii="Garamond" w:hAnsi="Garamond" w:cs="Times New Roman"/>
          <w:i/>
          <w:iCs/>
          <w:color w:val="000000"/>
          <w:sz w:val="24"/>
          <w:szCs w:val="24"/>
        </w:rPr>
        <w:t xml:space="preserve"> </w:t>
      </w:r>
      <w:proofErr w:type="spellStart"/>
      <w:r w:rsidRPr="00CF59AA">
        <w:rPr>
          <w:rFonts w:ascii="Garamond" w:hAnsi="Garamond" w:cs="Times New Roman"/>
          <w:i/>
          <w:iCs/>
          <w:color w:val="000000"/>
          <w:sz w:val="24"/>
          <w:szCs w:val="24"/>
        </w:rPr>
        <w:t>temporis</w:t>
      </w:r>
      <w:proofErr w:type="spellEnd"/>
      <w:r w:rsidRPr="00CF59AA">
        <w:rPr>
          <w:rFonts w:ascii="Garamond" w:hAnsi="Garamond" w:cs="Times New Roman"/>
          <w:color w:val="000000"/>
          <w:sz w:val="24"/>
          <w:szCs w:val="24"/>
        </w:rPr>
        <w:t>, në kuptim të përmbajtjes së nenit 71/a, pika 1, shkronja “b”, të Ligjit Organik të Gjykatës, vendimi më i fundit në kohë i kundërshtuar, ai i Kolegjit Administrativ të Gjykatës së Lartë, mban datën 11.12.2024, ndërkohë që ankimi kushtetu</w:t>
      </w:r>
      <w:r w:rsidR="00CF59AA">
        <w:rPr>
          <w:rFonts w:ascii="Garamond" w:hAnsi="Garamond" w:cs="Times New Roman"/>
          <w:color w:val="000000"/>
          <w:sz w:val="24"/>
          <w:szCs w:val="24"/>
        </w:rPr>
        <w:t>es është paraqitur në datën 11.</w:t>
      </w:r>
      <w:r w:rsidRPr="00CF59AA">
        <w:rPr>
          <w:rFonts w:ascii="Garamond" w:hAnsi="Garamond" w:cs="Times New Roman"/>
          <w:color w:val="000000"/>
          <w:sz w:val="24"/>
          <w:szCs w:val="24"/>
        </w:rPr>
        <w:t>3.2025, brenda afatit ligjor 4-mujor.</w:t>
      </w:r>
    </w:p>
    <w:p w14:paraId="1EC9208F" w14:textId="603DC459"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CF59AA">
        <w:rPr>
          <w:rFonts w:ascii="Garamond" w:hAnsi="Garamond" w:cs="Times New Roman"/>
          <w:color w:val="000000"/>
          <w:sz w:val="24"/>
          <w:szCs w:val="24"/>
        </w:rPr>
        <w:t xml:space="preserve">17. Për sa i përket legjitimimit </w:t>
      </w:r>
      <w:proofErr w:type="spellStart"/>
      <w:r w:rsidRPr="00CF59AA">
        <w:rPr>
          <w:rFonts w:ascii="Garamond" w:hAnsi="Garamond" w:cs="Times New Roman"/>
          <w:i/>
          <w:iCs/>
          <w:color w:val="000000"/>
          <w:sz w:val="24"/>
          <w:szCs w:val="24"/>
        </w:rPr>
        <w:t>ratione</w:t>
      </w:r>
      <w:proofErr w:type="spellEnd"/>
      <w:r w:rsidRPr="00CF59AA">
        <w:rPr>
          <w:rFonts w:ascii="Garamond" w:hAnsi="Garamond" w:cs="Times New Roman"/>
          <w:i/>
          <w:iCs/>
          <w:color w:val="000000"/>
          <w:sz w:val="24"/>
          <w:szCs w:val="24"/>
        </w:rPr>
        <w:t xml:space="preserve"> </w:t>
      </w:r>
      <w:proofErr w:type="spellStart"/>
      <w:r w:rsidRPr="00CF59AA">
        <w:rPr>
          <w:rFonts w:ascii="Garamond" w:hAnsi="Garamond" w:cs="Times New Roman"/>
          <w:i/>
          <w:iCs/>
          <w:color w:val="000000"/>
          <w:sz w:val="24"/>
          <w:szCs w:val="24"/>
        </w:rPr>
        <w:t>materiae</w:t>
      </w:r>
      <w:proofErr w:type="spellEnd"/>
      <w:r w:rsidRPr="00CF59AA">
        <w:rPr>
          <w:rFonts w:ascii="Garamond" w:hAnsi="Garamond" w:cs="Times New Roman"/>
          <w:color w:val="000000"/>
          <w:sz w:val="24"/>
          <w:szCs w:val="24"/>
        </w:rPr>
        <w:t xml:space="preserve">, kërkuesja ka pretenduar cenimin e procesit të rregullt ligjor në drejtim të </w:t>
      </w:r>
      <w:r w:rsidRPr="00CF59AA">
        <w:rPr>
          <w:rFonts w:ascii="Garamond" w:hAnsi="Garamond" w:cs="Times New Roman"/>
          <w:i/>
          <w:iCs/>
          <w:color w:val="000000"/>
          <w:sz w:val="24"/>
          <w:szCs w:val="24"/>
        </w:rPr>
        <w:t xml:space="preserve">së drejtës së </w:t>
      </w:r>
      <w:proofErr w:type="spellStart"/>
      <w:r w:rsidRPr="00CF59AA">
        <w:rPr>
          <w:rFonts w:ascii="Garamond" w:hAnsi="Garamond" w:cs="Times New Roman"/>
          <w:i/>
          <w:iCs/>
          <w:color w:val="000000"/>
          <w:sz w:val="24"/>
          <w:szCs w:val="24"/>
        </w:rPr>
        <w:t>aksesit</w:t>
      </w:r>
      <w:proofErr w:type="spellEnd"/>
      <w:r w:rsidRPr="00CF59AA">
        <w:rPr>
          <w:rFonts w:ascii="Garamond" w:hAnsi="Garamond" w:cs="Times New Roman"/>
          <w:i/>
          <w:iCs/>
          <w:color w:val="000000"/>
          <w:sz w:val="24"/>
          <w:szCs w:val="24"/>
        </w:rPr>
        <w:t xml:space="preserve"> substancial</w:t>
      </w:r>
      <w:r w:rsidRPr="00CF59AA">
        <w:rPr>
          <w:rFonts w:ascii="Garamond" w:hAnsi="Garamond" w:cs="Times New Roman"/>
          <w:color w:val="000000"/>
          <w:sz w:val="24"/>
          <w:szCs w:val="24"/>
        </w:rPr>
        <w:t xml:space="preserve">, </w:t>
      </w:r>
      <w:r w:rsidRPr="00CF59AA">
        <w:rPr>
          <w:rFonts w:ascii="Garamond" w:hAnsi="Garamond" w:cs="Times New Roman"/>
          <w:i/>
          <w:iCs/>
          <w:color w:val="000000"/>
          <w:sz w:val="24"/>
          <w:szCs w:val="24"/>
        </w:rPr>
        <w:t>parimit të barazisë së armëve dhe të</w:t>
      </w:r>
      <w:r w:rsidR="00B007C3">
        <w:rPr>
          <w:rFonts w:ascii="Garamond" w:hAnsi="Garamond" w:cs="Times New Roman"/>
          <w:i/>
          <w:iCs/>
          <w:color w:val="000000"/>
          <w:sz w:val="24"/>
          <w:szCs w:val="24"/>
        </w:rPr>
        <w:t xml:space="preserve"> </w:t>
      </w:r>
      <w:proofErr w:type="spellStart"/>
      <w:r w:rsidRPr="00CF59AA">
        <w:rPr>
          <w:rFonts w:ascii="Garamond" w:hAnsi="Garamond" w:cs="Times New Roman"/>
          <w:i/>
          <w:iCs/>
          <w:color w:val="000000"/>
          <w:sz w:val="24"/>
          <w:szCs w:val="24"/>
        </w:rPr>
        <w:t>kontradiktoritetit</w:t>
      </w:r>
      <w:proofErr w:type="spellEnd"/>
      <w:r w:rsidRPr="00CF59AA">
        <w:rPr>
          <w:rFonts w:ascii="Garamond" w:hAnsi="Garamond" w:cs="Times New Roman"/>
          <w:i/>
          <w:iCs/>
          <w:color w:val="000000"/>
          <w:sz w:val="24"/>
          <w:szCs w:val="24"/>
        </w:rPr>
        <w:t>,</w:t>
      </w:r>
      <w:r w:rsidRPr="00CF59AA">
        <w:rPr>
          <w:rFonts w:ascii="Garamond" w:hAnsi="Garamond" w:cs="Times New Roman"/>
          <w:i/>
          <w:iCs/>
          <w:color w:val="222222"/>
          <w:sz w:val="24"/>
          <w:szCs w:val="24"/>
        </w:rPr>
        <w:t xml:space="preserve"> parimit të sigurisë juridike dhe të standardit të arsyetimit të vendimit gjyqësor, parimit të barazisë përpara ligjit</w:t>
      </w:r>
      <w:r w:rsidR="00B007C3">
        <w:rPr>
          <w:rFonts w:ascii="Garamond" w:hAnsi="Garamond" w:cs="Times New Roman"/>
          <w:i/>
          <w:iCs/>
          <w:color w:val="222222"/>
          <w:sz w:val="24"/>
          <w:szCs w:val="24"/>
        </w:rPr>
        <w:t xml:space="preserve"> </w:t>
      </w:r>
      <w:r w:rsidRPr="00CF59AA">
        <w:rPr>
          <w:rFonts w:ascii="Garamond" w:hAnsi="Garamond" w:cs="Times New Roman"/>
          <w:i/>
          <w:iCs/>
          <w:color w:val="222222"/>
          <w:sz w:val="24"/>
          <w:szCs w:val="24"/>
        </w:rPr>
        <w:t>dhe së drejtës për t’u gjykuar nga një gjykatë e paanshme.</w:t>
      </w:r>
    </w:p>
    <w:p w14:paraId="24F2CB18" w14:textId="4219C1E8"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CF59AA">
        <w:rPr>
          <w:rFonts w:ascii="Garamond" w:hAnsi="Garamond" w:cs="Times New Roman"/>
          <w:color w:val="000000"/>
          <w:sz w:val="24"/>
          <w:szCs w:val="24"/>
        </w:rPr>
        <w:t xml:space="preserve">18. Gjykata vëren se pretendimet për cenimin e </w:t>
      </w:r>
      <w:r w:rsidRPr="00CF59AA">
        <w:rPr>
          <w:rFonts w:ascii="Garamond" w:hAnsi="Garamond" w:cs="Times New Roman"/>
          <w:i/>
          <w:iCs/>
          <w:color w:val="000000"/>
          <w:sz w:val="24"/>
          <w:szCs w:val="24"/>
        </w:rPr>
        <w:t>p</w:t>
      </w:r>
      <w:r w:rsidRPr="00CF59AA">
        <w:rPr>
          <w:rFonts w:ascii="Garamond" w:hAnsi="Garamond" w:cs="Times New Roman"/>
          <w:i/>
          <w:iCs/>
          <w:color w:val="222222"/>
          <w:sz w:val="24"/>
          <w:szCs w:val="24"/>
        </w:rPr>
        <w:t>arimit të barazisë përpara ligjit,</w:t>
      </w:r>
      <w:r w:rsidRPr="00CF59AA">
        <w:rPr>
          <w:rFonts w:ascii="Garamond" w:hAnsi="Garamond" w:cs="Times New Roman"/>
          <w:color w:val="222222"/>
          <w:sz w:val="24"/>
          <w:szCs w:val="24"/>
        </w:rPr>
        <w:t xml:space="preserve"> të garantuar nga neni 18 i Kushtetutës dhe </w:t>
      </w:r>
      <w:r w:rsidRPr="00CF59AA">
        <w:rPr>
          <w:rFonts w:ascii="Garamond" w:hAnsi="Garamond" w:cs="Times New Roman"/>
          <w:i/>
          <w:iCs/>
          <w:color w:val="222222"/>
          <w:sz w:val="24"/>
          <w:szCs w:val="24"/>
        </w:rPr>
        <w:t>të së drejtës për t’u gjykuar nga një gjykatë e paanshme</w:t>
      </w:r>
      <w:r w:rsidRPr="00CF59AA">
        <w:rPr>
          <w:rFonts w:ascii="Garamond" w:hAnsi="Garamond" w:cs="Times New Roman"/>
          <w:color w:val="222222"/>
          <w:sz w:val="24"/>
          <w:szCs w:val="24"/>
        </w:rPr>
        <w:t>, kërkuesja i ka ndërlidhur me pretendimet për cenimin e parimit të sigurisë juridike, duke parashtruar, në mënyrë të përmbledhur, se gjykatat e faktit kanë shfaqur qasje të ndryshme për çështje identike,</w:t>
      </w:r>
      <w:r w:rsidR="00B007C3">
        <w:rPr>
          <w:rFonts w:ascii="Garamond" w:hAnsi="Garamond" w:cs="Times New Roman"/>
          <w:color w:val="222222"/>
          <w:sz w:val="24"/>
          <w:szCs w:val="24"/>
        </w:rPr>
        <w:t xml:space="preserve"> </w:t>
      </w:r>
      <w:r w:rsidRPr="00CF59AA">
        <w:rPr>
          <w:rFonts w:ascii="Garamond" w:hAnsi="Garamond" w:cs="Times New Roman"/>
          <w:color w:val="222222"/>
          <w:sz w:val="24"/>
          <w:szCs w:val="24"/>
        </w:rPr>
        <w:t xml:space="preserve">për të cilat ka edhe praktikë nga Gjykata e Lartë. Gjithashtu, sipas saj, </w:t>
      </w:r>
      <w:r w:rsidRPr="00CF59AA">
        <w:rPr>
          <w:rFonts w:ascii="Garamond" w:hAnsi="Garamond" w:cs="Times New Roman"/>
          <w:color w:val="000000"/>
          <w:sz w:val="24"/>
          <w:szCs w:val="24"/>
        </w:rPr>
        <w:t xml:space="preserve">në rekurs ishin ngritur çështje të rëndësishme të zbatimit të ligjit </w:t>
      </w:r>
      <w:r w:rsidRPr="00CF59AA">
        <w:rPr>
          <w:rFonts w:ascii="Garamond" w:hAnsi="Garamond" w:cs="Times New Roman"/>
          <w:color w:val="222222"/>
          <w:sz w:val="24"/>
          <w:szCs w:val="24"/>
        </w:rPr>
        <w:t>(nuk duhej zbatuar ligji nr. 8549/1999, por ligji nr. 152/2013)</w:t>
      </w:r>
      <w:r w:rsidRPr="00CF59AA">
        <w:rPr>
          <w:rFonts w:ascii="Garamond" w:hAnsi="Garamond" w:cs="Times New Roman"/>
          <w:color w:val="000000"/>
          <w:sz w:val="24"/>
          <w:szCs w:val="24"/>
        </w:rPr>
        <w:t xml:space="preserve"> dhe të praktikës gjyqësore (</w:t>
      </w:r>
      <w:r w:rsidR="00CF59AA">
        <w:rPr>
          <w:rFonts w:ascii="Garamond" w:hAnsi="Garamond" w:cs="Times New Roman"/>
          <w:color w:val="222222"/>
          <w:sz w:val="24"/>
          <w:szCs w:val="24"/>
        </w:rPr>
        <w:t>vendimi nr. 00-2014-730, datë 6.</w:t>
      </w:r>
      <w:r w:rsidRPr="00CF59AA">
        <w:rPr>
          <w:rFonts w:ascii="Garamond" w:hAnsi="Garamond" w:cs="Times New Roman"/>
          <w:color w:val="222222"/>
          <w:sz w:val="24"/>
          <w:szCs w:val="24"/>
        </w:rPr>
        <w:t>3.2014</w:t>
      </w:r>
      <w:r w:rsidR="00CF59AA">
        <w:rPr>
          <w:rFonts w:ascii="Garamond" w:hAnsi="Garamond" w:cs="Times New Roman"/>
          <w:color w:val="222222"/>
          <w:sz w:val="24"/>
          <w:szCs w:val="24"/>
        </w:rPr>
        <w:t>,</w:t>
      </w:r>
      <w:r w:rsidRPr="00CF59AA">
        <w:rPr>
          <w:rFonts w:ascii="Garamond" w:hAnsi="Garamond" w:cs="Times New Roman"/>
          <w:color w:val="222222"/>
          <w:sz w:val="24"/>
          <w:szCs w:val="24"/>
        </w:rPr>
        <w:t xml:space="preserve"> i Kolegjit Administrativ),</w:t>
      </w:r>
      <w:r w:rsidRPr="00CF59AA">
        <w:rPr>
          <w:rFonts w:ascii="Garamond" w:hAnsi="Garamond" w:cs="Times New Roman"/>
          <w:color w:val="000000"/>
          <w:sz w:val="24"/>
          <w:szCs w:val="24"/>
        </w:rPr>
        <w:t xml:space="preserve"> të cilat duhet të ishin trajtuar nga Kolegji Administrativ i Gjykatës së Lartë. Ndërkohë, subjektet e interesuara, </w:t>
      </w:r>
      <w:r w:rsidRPr="00CF59AA">
        <w:rPr>
          <w:rFonts w:ascii="Garamond" w:hAnsi="Garamond" w:cs="Times New Roman"/>
          <w:color w:val="222222"/>
          <w:sz w:val="24"/>
          <w:szCs w:val="24"/>
        </w:rPr>
        <w:t xml:space="preserve">sekretari i përgjithshëm i Këshillit të Ministrave, Kryeministria dhe Avokatura e Shtetit, kanë prapësuar </w:t>
      </w:r>
      <w:r w:rsidRPr="00CF59AA">
        <w:rPr>
          <w:rFonts w:ascii="Garamond" w:hAnsi="Garamond" w:cs="Times New Roman"/>
          <w:color w:val="000000"/>
          <w:sz w:val="24"/>
          <w:szCs w:val="24"/>
        </w:rPr>
        <w:t xml:space="preserve">se pretendimet e kërkueses nuk qëndrojnë, pasi nuk ka identifikuar asnjë fakt konkret për anshmëri ose mungesë objektiviteti të gjykatave, ndërkohë që nuk mund të ketë pritshmëri të ligjshme për zbatimin e ligjit në kushtet kur </w:t>
      </w:r>
      <w:r w:rsidRPr="00CF59AA">
        <w:rPr>
          <w:rFonts w:ascii="Garamond" w:hAnsi="Garamond" w:cs="Times New Roman"/>
          <w:color w:val="000000"/>
          <w:sz w:val="24"/>
          <w:szCs w:val="24"/>
        </w:rPr>
        <w:lastRenderedPageBreak/>
        <w:t xml:space="preserve">Kolegjet e Bashkuara të Gjykatës së Lartë nuk kanë kryer një interpretim </w:t>
      </w:r>
      <w:proofErr w:type="spellStart"/>
      <w:r w:rsidRPr="00CF59AA">
        <w:rPr>
          <w:rFonts w:ascii="Garamond" w:hAnsi="Garamond" w:cs="Times New Roman"/>
          <w:color w:val="000000"/>
          <w:sz w:val="24"/>
          <w:szCs w:val="24"/>
        </w:rPr>
        <w:t>unifikues</w:t>
      </w:r>
      <w:proofErr w:type="spellEnd"/>
      <w:r w:rsidRPr="00CF59AA">
        <w:rPr>
          <w:rFonts w:ascii="Garamond" w:hAnsi="Garamond" w:cs="Times New Roman"/>
          <w:color w:val="000000"/>
          <w:sz w:val="24"/>
          <w:szCs w:val="24"/>
        </w:rPr>
        <w:t xml:space="preserve"> ose njësues në lidhje me të. Po kështu, subjekti i interesuar, </w:t>
      </w:r>
      <w:proofErr w:type="spellStart"/>
      <w:r w:rsidRPr="00CF59AA">
        <w:rPr>
          <w:rFonts w:ascii="Garamond" w:hAnsi="Garamond" w:cs="Times New Roman"/>
          <w:color w:val="000000"/>
          <w:sz w:val="24"/>
          <w:szCs w:val="24"/>
        </w:rPr>
        <w:t>DAP</w:t>
      </w:r>
      <w:proofErr w:type="spellEnd"/>
      <w:r w:rsidRPr="00CF59AA">
        <w:rPr>
          <w:rFonts w:ascii="Garamond" w:hAnsi="Garamond" w:cs="Times New Roman"/>
          <w:color w:val="000000"/>
          <w:sz w:val="24"/>
          <w:szCs w:val="24"/>
        </w:rPr>
        <w:t xml:space="preserve">-i, ka prapësuar se kërkuesja nuk ka përcaktuar se cilat janë rastet e ngjashme me çështjen e saj, si dhe nëse ka pasur diskriminim ose favorizim të palëve të tjera </w:t>
      </w:r>
      <w:proofErr w:type="spellStart"/>
      <w:r w:rsidRPr="00CF59AA">
        <w:rPr>
          <w:rFonts w:ascii="Garamond" w:hAnsi="Garamond" w:cs="Times New Roman"/>
          <w:color w:val="000000"/>
          <w:sz w:val="24"/>
          <w:szCs w:val="24"/>
        </w:rPr>
        <w:t>ndërgjyqëse</w:t>
      </w:r>
      <w:proofErr w:type="spellEnd"/>
      <w:r w:rsidRPr="00CF59AA">
        <w:rPr>
          <w:rFonts w:ascii="Garamond" w:hAnsi="Garamond" w:cs="Times New Roman"/>
          <w:color w:val="000000"/>
          <w:sz w:val="24"/>
          <w:szCs w:val="24"/>
        </w:rPr>
        <w:t xml:space="preserve"> gjatë gjykimit në Gjykatën Administrative të Apelit dhe në shqyrtimin e rekursit nga kolegji i Gjykatës së Lartë. Sipas subjektit të interesuar, referimi i vendimit p</w:t>
      </w:r>
      <w:r w:rsidR="00CF59AA">
        <w:rPr>
          <w:rFonts w:ascii="Garamond" w:hAnsi="Garamond" w:cs="Times New Roman"/>
          <w:color w:val="000000"/>
          <w:sz w:val="24"/>
          <w:szCs w:val="24"/>
        </w:rPr>
        <w:t>ilot nr. 00-2023-1699, datë 24.</w:t>
      </w:r>
      <w:r w:rsidRPr="00CF59AA">
        <w:rPr>
          <w:rFonts w:ascii="Garamond" w:hAnsi="Garamond" w:cs="Times New Roman"/>
          <w:color w:val="000000"/>
          <w:sz w:val="24"/>
          <w:szCs w:val="24"/>
        </w:rPr>
        <w:t>4.2023</w:t>
      </w:r>
      <w:r w:rsidR="00CF59AA">
        <w:rPr>
          <w:rFonts w:ascii="Garamond" w:hAnsi="Garamond" w:cs="Times New Roman"/>
          <w:color w:val="000000"/>
          <w:sz w:val="24"/>
          <w:szCs w:val="24"/>
        </w:rPr>
        <w:t>,</w:t>
      </w:r>
      <w:r w:rsidRPr="00CF59AA">
        <w:rPr>
          <w:rFonts w:ascii="Garamond" w:hAnsi="Garamond" w:cs="Times New Roman"/>
          <w:color w:val="000000"/>
          <w:sz w:val="24"/>
          <w:szCs w:val="24"/>
        </w:rPr>
        <w:t xml:space="preserve"> i të njëjtit Kolegj Administrativ, ku është trajtuar procedura e shqyrtimit paraprak të </w:t>
      </w:r>
      <w:proofErr w:type="spellStart"/>
      <w:r w:rsidRPr="00CF59AA">
        <w:rPr>
          <w:rFonts w:ascii="Garamond" w:hAnsi="Garamond" w:cs="Times New Roman"/>
          <w:color w:val="000000"/>
          <w:sz w:val="24"/>
          <w:szCs w:val="24"/>
        </w:rPr>
        <w:t>pranueshmërisë</w:t>
      </w:r>
      <w:proofErr w:type="spellEnd"/>
      <w:r w:rsidRPr="00CF59AA">
        <w:rPr>
          <w:rFonts w:ascii="Garamond" w:hAnsi="Garamond" w:cs="Times New Roman"/>
          <w:color w:val="000000"/>
          <w:sz w:val="24"/>
          <w:szCs w:val="24"/>
        </w:rPr>
        <w:t xml:space="preserve"> së rekurseve dhe natyra seleksionuese e gjykatës, hedh poshtë pretendimin e kërkueses për trajtim të pabarabartë ose diskriminues ndaj saj, veçanërisht në kushtet kur vendimi pilot ka për qëllim mbajtjen e qëndrimeve të njëjta për çështje të ngjashme gjatë procedurave seleksionuese. </w:t>
      </w:r>
    </w:p>
    <w:p w14:paraId="11661397" w14:textId="7344C19C"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59AA">
        <w:rPr>
          <w:rFonts w:ascii="Garamond" w:hAnsi="Garamond" w:cs="Times New Roman"/>
          <w:color w:val="000000"/>
          <w:sz w:val="24"/>
          <w:szCs w:val="24"/>
        </w:rPr>
        <w:t xml:space="preserve">19. Gjykata në jurisprudencën e saj ka theksuar se fakti që gjykatat e zakonshme kanë vendosur ndryshe në një rast të ngjashëm, në vetvete nuk mund të mbështesë </w:t>
      </w:r>
      <w:r w:rsidRPr="00CF59AA">
        <w:rPr>
          <w:rFonts w:ascii="Garamond" w:hAnsi="Garamond" w:cs="Times New Roman"/>
          <w:i/>
          <w:iCs/>
          <w:color w:val="000000"/>
          <w:sz w:val="24"/>
          <w:szCs w:val="24"/>
        </w:rPr>
        <w:t xml:space="preserve">a </w:t>
      </w:r>
      <w:proofErr w:type="spellStart"/>
      <w:r w:rsidRPr="00CF59AA">
        <w:rPr>
          <w:rFonts w:ascii="Garamond" w:hAnsi="Garamond" w:cs="Times New Roman"/>
          <w:i/>
          <w:iCs/>
          <w:color w:val="000000"/>
          <w:sz w:val="24"/>
          <w:szCs w:val="24"/>
        </w:rPr>
        <w:t>priori</w:t>
      </w:r>
      <w:proofErr w:type="spellEnd"/>
      <w:r w:rsidRPr="00CF59AA">
        <w:rPr>
          <w:rFonts w:ascii="Garamond" w:hAnsi="Garamond" w:cs="Times New Roman"/>
          <w:color w:val="000000"/>
          <w:sz w:val="24"/>
          <w:szCs w:val="24"/>
        </w:rPr>
        <w:t xml:space="preserve"> pretendimin për shkeljen e parimit të barazisë përpara ligjit, </w:t>
      </w:r>
      <w:r w:rsidRPr="008A2F7C">
        <w:rPr>
          <w:rFonts w:ascii="Garamond" w:hAnsi="Garamond"/>
          <w:sz w:val="24"/>
          <w:szCs w:val="24"/>
        </w:rPr>
        <w:t>pasi mënyra e zgjidhjes së çështjes dhe e zbatimit të ligjit është e drejtë e çdo gjykate, për sa kohë çdo çështje konkrete është specifike dhe ka individualitetin e saj, harmonizuar edhe me rrethana, faktorë, motive ose prova gjyqësore, të cilat nuk mund të jenë të njëjta</w:t>
      </w:r>
      <w:r w:rsidRPr="00CF59AA">
        <w:rPr>
          <w:rFonts w:ascii="Garamond" w:hAnsi="Garamond" w:cs="Times New Roman"/>
          <w:color w:val="000000"/>
          <w:spacing w:val="-15"/>
          <w:sz w:val="24"/>
          <w:szCs w:val="24"/>
        </w:rPr>
        <w:t xml:space="preserve"> </w:t>
      </w:r>
      <w:r w:rsidRPr="008A2F7C">
        <w:rPr>
          <w:rFonts w:ascii="Garamond" w:hAnsi="Garamond"/>
          <w:i/>
          <w:sz w:val="24"/>
          <w:szCs w:val="24"/>
        </w:rPr>
        <w:t xml:space="preserve">(shih vendimet </w:t>
      </w:r>
      <w:r w:rsidR="00CF59AA" w:rsidRPr="008A2F7C">
        <w:rPr>
          <w:rFonts w:ascii="Garamond" w:hAnsi="Garamond"/>
          <w:i/>
          <w:sz w:val="24"/>
          <w:szCs w:val="24"/>
        </w:rPr>
        <w:t>nr. 19, datë 21.</w:t>
      </w:r>
      <w:r w:rsidRPr="008A2F7C">
        <w:rPr>
          <w:rFonts w:ascii="Garamond" w:hAnsi="Garamond"/>
          <w:i/>
          <w:sz w:val="24"/>
          <w:szCs w:val="24"/>
        </w:rPr>
        <w:t xml:space="preserve">3.2024; nr. 17, datë </w:t>
      </w:r>
      <w:r w:rsidR="00CF59AA" w:rsidRPr="008A2F7C">
        <w:rPr>
          <w:rFonts w:ascii="Garamond" w:hAnsi="Garamond"/>
          <w:i/>
          <w:sz w:val="24"/>
          <w:szCs w:val="24"/>
        </w:rPr>
        <w:t>23.</w:t>
      </w:r>
      <w:r w:rsidRPr="008A2F7C">
        <w:rPr>
          <w:rFonts w:ascii="Garamond" w:hAnsi="Garamond"/>
          <w:i/>
          <w:sz w:val="24"/>
          <w:szCs w:val="24"/>
        </w:rPr>
        <w:t>3.2023</w:t>
      </w:r>
      <w:r w:rsidR="00CF59AA" w:rsidRPr="008A2F7C">
        <w:rPr>
          <w:rFonts w:ascii="Garamond" w:hAnsi="Garamond"/>
          <w:i/>
          <w:sz w:val="24"/>
          <w:szCs w:val="24"/>
        </w:rPr>
        <w:t>,</w:t>
      </w:r>
      <w:r w:rsidRPr="008A2F7C">
        <w:rPr>
          <w:rFonts w:ascii="Garamond" w:hAnsi="Garamond"/>
          <w:i/>
          <w:sz w:val="24"/>
          <w:szCs w:val="24"/>
        </w:rPr>
        <w:t xml:space="preserve"> të Gjykatës Kushtetuese</w:t>
      </w:r>
      <w:r w:rsidRPr="00CF59AA">
        <w:rPr>
          <w:rFonts w:ascii="Garamond" w:hAnsi="Garamond" w:cs="Times New Roman"/>
          <w:color w:val="000000"/>
          <w:sz w:val="24"/>
          <w:szCs w:val="24"/>
        </w:rPr>
        <w:t>). Vetëm në rastet e ekzistencës së vendimeve njësuese/</w:t>
      </w:r>
      <w:proofErr w:type="spellStart"/>
      <w:r w:rsidRPr="00CF59AA">
        <w:rPr>
          <w:rFonts w:ascii="Garamond" w:hAnsi="Garamond" w:cs="Times New Roman"/>
          <w:color w:val="000000"/>
          <w:sz w:val="24"/>
          <w:szCs w:val="24"/>
        </w:rPr>
        <w:t>unifikuese</w:t>
      </w:r>
      <w:proofErr w:type="spellEnd"/>
      <w:r w:rsidRPr="00CF59AA">
        <w:rPr>
          <w:rFonts w:ascii="Garamond" w:hAnsi="Garamond" w:cs="Times New Roman"/>
          <w:color w:val="000000"/>
          <w:sz w:val="24"/>
          <w:szCs w:val="24"/>
        </w:rPr>
        <w:t xml:space="preserve">, gjykatat, duke mos analizuar çështjen </w:t>
      </w:r>
      <w:proofErr w:type="spellStart"/>
      <w:r w:rsidRPr="00CF59AA">
        <w:rPr>
          <w:rFonts w:ascii="Garamond" w:hAnsi="Garamond" w:cs="Times New Roman"/>
          <w:color w:val="000000"/>
          <w:sz w:val="24"/>
          <w:szCs w:val="24"/>
        </w:rPr>
        <w:t>konform</w:t>
      </w:r>
      <w:proofErr w:type="spellEnd"/>
      <w:r w:rsidRPr="00CF59AA">
        <w:rPr>
          <w:rFonts w:ascii="Garamond" w:hAnsi="Garamond" w:cs="Times New Roman"/>
          <w:color w:val="000000"/>
          <w:sz w:val="24"/>
          <w:szCs w:val="24"/>
        </w:rPr>
        <w:t xml:space="preserve"> këtyre vendimeve, cenojnë parimin e sigurisë juridike të kërkuesit për zbatimin e ligjit në harmoni me praktikën gjyqësore të kësaj gjykate (</w:t>
      </w:r>
      <w:r w:rsidRPr="00CF59AA">
        <w:rPr>
          <w:rFonts w:ascii="Garamond" w:hAnsi="Garamond" w:cs="Times New Roman"/>
          <w:i/>
          <w:iCs/>
          <w:sz w:val="24"/>
          <w:szCs w:val="24"/>
        </w:rPr>
        <w:t xml:space="preserve">shih vendimin </w:t>
      </w:r>
      <w:r w:rsidR="00CF59AA">
        <w:rPr>
          <w:rFonts w:ascii="Garamond" w:hAnsi="Garamond" w:cs="Times New Roman"/>
          <w:i/>
          <w:iCs/>
          <w:color w:val="000000"/>
          <w:sz w:val="24"/>
          <w:szCs w:val="24"/>
        </w:rPr>
        <w:t>nr. 47, datë 11.</w:t>
      </w:r>
      <w:r w:rsidRPr="00CF59AA">
        <w:rPr>
          <w:rFonts w:ascii="Garamond" w:hAnsi="Garamond" w:cs="Times New Roman"/>
          <w:i/>
          <w:iCs/>
          <w:color w:val="000000"/>
          <w:sz w:val="24"/>
          <w:szCs w:val="24"/>
        </w:rPr>
        <w:t>6.2024</w:t>
      </w:r>
      <w:r w:rsidR="00CF59AA">
        <w:rPr>
          <w:rFonts w:ascii="Garamond" w:hAnsi="Garamond" w:cs="Times New Roman"/>
          <w:i/>
          <w:iCs/>
          <w:color w:val="000000"/>
          <w:sz w:val="24"/>
          <w:szCs w:val="24"/>
        </w:rPr>
        <w:t>,</w:t>
      </w:r>
      <w:r w:rsidRPr="00CF59AA">
        <w:rPr>
          <w:rFonts w:ascii="Garamond" w:hAnsi="Garamond" w:cs="Times New Roman"/>
          <w:i/>
          <w:iCs/>
          <w:color w:val="000000"/>
          <w:sz w:val="24"/>
          <w:szCs w:val="24"/>
        </w:rPr>
        <w:t xml:space="preserve"> të Gjykatës Kushtetuese</w:t>
      </w:r>
      <w:r w:rsidRPr="00CF59AA">
        <w:rPr>
          <w:rFonts w:ascii="Garamond" w:hAnsi="Garamond" w:cs="Times New Roman"/>
          <w:color w:val="000000"/>
          <w:sz w:val="24"/>
          <w:szCs w:val="24"/>
        </w:rPr>
        <w:t>).</w:t>
      </w:r>
      <w:r w:rsidRPr="00CF59AA">
        <w:rPr>
          <w:rFonts w:ascii="Garamond" w:hAnsi="Garamond" w:cs="Times New Roman"/>
          <w:b/>
          <w:bCs/>
          <w:color w:val="000000"/>
          <w:sz w:val="24"/>
          <w:szCs w:val="24"/>
        </w:rPr>
        <w:t xml:space="preserve"> </w:t>
      </w:r>
      <w:r w:rsidRPr="00CF59AA">
        <w:rPr>
          <w:rFonts w:ascii="Garamond" w:hAnsi="Garamond" w:cs="Times New Roman"/>
          <w:color w:val="000000"/>
          <w:sz w:val="24"/>
          <w:szCs w:val="24"/>
        </w:rPr>
        <w:t>Referuar këtyre standardeve kushtetuese, në kushtet kur vendimet e referuara prej kërkueses nuk janë njësues/</w:t>
      </w:r>
      <w:proofErr w:type="spellStart"/>
      <w:r w:rsidRPr="00CF59AA">
        <w:rPr>
          <w:rFonts w:ascii="Garamond" w:hAnsi="Garamond" w:cs="Times New Roman"/>
          <w:color w:val="000000"/>
          <w:sz w:val="24"/>
          <w:szCs w:val="24"/>
        </w:rPr>
        <w:t>unifikues</w:t>
      </w:r>
      <w:proofErr w:type="spellEnd"/>
      <w:r w:rsidRPr="00CF59AA">
        <w:rPr>
          <w:rFonts w:ascii="Garamond" w:hAnsi="Garamond" w:cs="Times New Roman"/>
          <w:color w:val="000000"/>
          <w:sz w:val="24"/>
          <w:szCs w:val="24"/>
        </w:rPr>
        <w:t xml:space="preserve"> të praktikës gjyqësore, pra që të jenë të detyrueshëm për zbatim nga gjykatat e juridiksionit të zakonshëm, pretendimet e saj për cenimin e parimit të barazisë përpara ligjit dhe parimit të sigurisë juridike nuk mund të merren në shqyrtim.</w:t>
      </w:r>
      <w:r w:rsidRPr="00CF59AA">
        <w:rPr>
          <w:rFonts w:ascii="Garamond" w:hAnsi="Garamond" w:cs="Times New Roman"/>
          <w:color w:val="222222"/>
          <w:sz w:val="24"/>
          <w:szCs w:val="24"/>
        </w:rPr>
        <w:t xml:space="preserve"> </w:t>
      </w:r>
    </w:p>
    <w:p w14:paraId="140A405B" w14:textId="7F5B5769"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59AA">
        <w:rPr>
          <w:rFonts w:ascii="Garamond" w:hAnsi="Garamond" w:cs="Times New Roman"/>
          <w:color w:val="000000"/>
          <w:sz w:val="24"/>
          <w:szCs w:val="24"/>
        </w:rPr>
        <w:t xml:space="preserve">20. </w:t>
      </w:r>
      <w:r w:rsidRPr="00CF59AA">
        <w:rPr>
          <w:rFonts w:ascii="Garamond" w:hAnsi="Garamond" w:cs="Times New Roman"/>
          <w:color w:val="222222"/>
          <w:sz w:val="24"/>
          <w:szCs w:val="24"/>
        </w:rPr>
        <w:t xml:space="preserve">Kërkuesja ka pretenduar cenimin e </w:t>
      </w:r>
      <w:r w:rsidRPr="00CF59AA">
        <w:rPr>
          <w:rFonts w:ascii="Garamond" w:hAnsi="Garamond" w:cs="Times New Roman"/>
          <w:i/>
          <w:iCs/>
          <w:color w:val="222222"/>
          <w:sz w:val="24"/>
          <w:szCs w:val="24"/>
        </w:rPr>
        <w:t xml:space="preserve">së drejtës së </w:t>
      </w:r>
      <w:proofErr w:type="spellStart"/>
      <w:r w:rsidRPr="00CF59AA">
        <w:rPr>
          <w:rFonts w:ascii="Garamond" w:hAnsi="Garamond" w:cs="Times New Roman"/>
          <w:i/>
          <w:iCs/>
          <w:color w:val="222222"/>
          <w:sz w:val="24"/>
          <w:szCs w:val="24"/>
        </w:rPr>
        <w:t>aksesit</w:t>
      </w:r>
      <w:proofErr w:type="spellEnd"/>
      <w:r w:rsidRPr="00CF59AA">
        <w:rPr>
          <w:rFonts w:ascii="Garamond" w:hAnsi="Garamond" w:cs="Times New Roman"/>
          <w:i/>
          <w:iCs/>
          <w:color w:val="222222"/>
          <w:sz w:val="24"/>
          <w:szCs w:val="24"/>
        </w:rPr>
        <w:t xml:space="preserve"> substancial, të standardit të arsyetimit të vendimit gjyqësor, si dhe të parimit të barazisë së armëve e të </w:t>
      </w:r>
      <w:proofErr w:type="spellStart"/>
      <w:r w:rsidRPr="00CF59AA">
        <w:rPr>
          <w:rFonts w:ascii="Garamond" w:hAnsi="Garamond" w:cs="Times New Roman"/>
          <w:i/>
          <w:iCs/>
          <w:color w:val="222222"/>
          <w:sz w:val="24"/>
          <w:szCs w:val="24"/>
        </w:rPr>
        <w:t>kontradiktoritetit</w:t>
      </w:r>
      <w:proofErr w:type="spellEnd"/>
      <w:r w:rsidRPr="00CF59AA">
        <w:rPr>
          <w:rFonts w:ascii="Garamond" w:hAnsi="Garamond" w:cs="Times New Roman"/>
          <w:i/>
          <w:iCs/>
          <w:color w:val="222222"/>
          <w:sz w:val="24"/>
          <w:szCs w:val="24"/>
        </w:rPr>
        <w:t>,</w:t>
      </w:r>
      <w:r w:rsidRPr="00CF59AA">
        <w:rPr>
          <w:rFonts w:ascii="Garamond" w:hAnsi="Garamond" w:cs="Times New Roman"/>
          <w:color w:val="222222"/>
          <w:sz w:val="24"/>
          <w:szCs w:val="24"/>
        </w:rPr>
        <w:t xml:space="preserve"> duke parashtruar </w:t>
      </w:r>
      <w:r w:rsidRPr="00CF59AA">
        <w:rPr>
          <w:rFonts w:ascii="Garamond" w:hAnsi="Garamond" w:cs="Times New Roman"/>
          <w:color w:val="000000"/>
          <w:sz w:val="24"/>
          <w:szCs w:val="24"/>
        </w:rPr>
        <w:t xml:space="preserve">se gjykatat e juridiksionit të zakonshëm nuk kanë analizuar në themel nëse ekzistojnë ose ajo shkaqet e justifikuara për zgjidhjen e marrëdhënies së punës, në mungesë të provave për shkeljet e pretenduara nga punëdhënësi, të cilat e bëjnë aktin administrativ absolutisht të pavlefshëm. Duke pasur parasysh thelbin e argumenteve dhe ndërlidhjen mes tyre, Gjykata vlerëson t’i analizojë ato në këndvështrim të së </w:t>
      </w:r>
      <w:r w:rsidRPr="00CF59AA">
        <w:rPr>
          <w:rFonts w:ascii="Garamond" w:hAnsi="Garamond" w:cs="Times New Roman"/>
          <w:i/>
          <w:iCs/>
          <w:color w:val="000000"/>
          <w:sz w:val="24"/>
          <w:szCs w:val="24"/>
        </w:rPr>
        <w:t xml:space="preserve">drejtës së </w:t>
      </w:r>
      <w:proofErr w:type="spellStart"/>
      <w:r w:rsidRPr="00CF59AA">
        <w:rPr>
          <w:rFonts w:ascii="Garamond" w:hAnsi="Garamond" w:cs="Times New Roman"/>
          <w:i/>
          <w:iCs/>
          <w:color w:val="000000"/>
          <w:sz w:val="24"/>
          <w:szCs w:val="24"/>
        </w:rPr>
        <w:t>aksesit</w:t>
      </w:r>
      <w:proofErr w:type="spellEnd"/>
      <w:r w:rsidRPr="00CF59AA">
        <w:rPr>
          <w:rFonts w:ascii="Garamond" w:hAnsi="Garamond" w:cs="Times New Roman"/>
          <w:i/>
          <w:iCs/>
          <w:color w:val="000000"/>
          <w:sz w:val="24"/>
          <w:szCs w:val="24"/>
        </w:rPr>
        <w:t xml:space="preserve"> substancial të lidhur me standardin e arsyetimit të vendimit</w:t>
      </w:r>
      <w:r w:rsidRPr="00CF59AA">
        <w:rPr>
          <w:rFonts w:ascii="Garamond" w:hAnsi="Garamond" w:cs="Times New Roman"/>
          <w:color w:val="000000"/>
          <w:sz w:val="24"/>
          <w:szCs w:val="24"/>
        </w:rPr>
        <w:t>, të cilat janë me natyrë kushtetuese dhe hyjnë në juridiksionin e kësaj Gjykate.</w:t>
      </w:r>
    </w:p>
    <w:p w14:paraId="78C2C9D8" w14:textId="0EF787FF" w:rsidR="00C852F1" w:rsidRPr="00CF59AA" w:rsidRDefault="00C852F1" w:rsidP="00C852F1">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59AA">
        <w:rPr>
          <w:rFonts w:ascii="Garamond" w:hAnsi="Garamond" w:cs="Times New Roman"/>
          <w:i/>
          <w:iCs/>
          <w:color w:val="000000"/>
          <w:sz w:val="24"/>
          <w:szCs w:val="24"/>
        </w:rPr>
        <w:t>B. Për themelin e pretendimeve</w:t>
      </w:r>
    </w:p>
    <w:p w14:paraId="63C64FD0" w14:textId="658A8FB3" w:rsidR="00C852F1" w:rsidRPr="00CF59AA" w:rsidRDefault="00CF59AA" w:rsidP="00C852F1">
      <w:pPr>
        <w:tabs>
          <w:tab w:val="left" w:pos="72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Pr>
          <w:rFonts w:ascii="Garamond" w:hAnsi="Garamond" w:cs="Times New Roman"/>
          <w:i/>
          <w:iCs/>
          <w:color w:val="000000"/>
          <w:sz w:val="24"/>
          <w:szCs w:val="24"/>
        </w:rPr>
        <w:t>B.1</w:t>
      </w:r>
      <w:r w:rsidR="00C852F1" w:rsidRPr="00CF59AA">
        <w:rPr>
          <w:rFonts w:ascii="Garamond" w:hAnsi="Garamond" w:cs="Times New Roman"/>
          <w:i/>
          <w:iCs/>
          <w:color w:val="000000"/>
          <w:sz w:val="24"/>
          <w:szCs w:val="24"/>
        </w:rPr>
        <w:t xml:space="preserve"> Për cenimin e së drejtës së </w:t>
      </w:r>
      <w:proofErr w:type="spellStart"/>
      <w:r w:rsidR="00C852F1" w:rsidRPr="00CF59AA">
        <w:rPr>
          <w:rFonts w:ascii="Garamond" w:hAnsi="Garamond" w:cs="Times New Roman"/>
          <w:i/>
          <w:iCs/>
          <w:color w:val="000000"/>
          <w:sz w:val="24"/>
          <w:szCs w:val="24"/>
        </w:rPr>
        <w:t>aksesit</w:t>
      </w:r>
      <w:proofErr w:type="spellEnd"/>
      <w:r w:rsidR="00C852F1" w:rsidRPr="00CF59AA">
        <w:rPr>
          <w:rFonts w:ascii="Garamond" w:hAnsi="Garamond" w:cs="Times New Roman"/>
          <w:i/>
          <w:iCs/>
          <w:color w:val="000000"/>
          <w:sz w:val="24"/>
          <w:szCs w:val="24"/>
        </w:rPr>
        <w:t xml:space="preserve"> substancial të lidhur me standardin e arsyetimit të vendimit gjyqësor</w:t>
      </w:r>
    </w:p>
    <w:p w14:paraId="49F0D194" w14:textId="0FB7C3E9"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CF59AA">
        <w:rPr>
          <w:rFonts w:ascii="Garamond" w:hAnsi="Garamond" w:cs="Times New Roman"/>
          <w:color w:val="000000"/>
          <w:sz w:val="24"/>
          <w:szCs w:val="24"/>
        </w:rPr>
        <w:t xml:space="preserve">21. Kërkuesja ka pretenduar se </w:t>
      </w:r>
      <w:r w:rsidRPr="00CF59AA">
        <w:rPr>
          <w:rFonts w:ascii="Garamond" w:hAnsi="Garamond" w:cs="Times New Roman"/>
          <w:color w:val="222222"/>
          <w:sz w:val="24"/>
          <w:szCs w:val="24"/>
        </w:rPr>
        <w:t>Kolegji Administrativ, në dhomën e këshillimit, nuk ka dhënë asnjë argument përse pretendimet e kërkueses të ngritura në rekurs nuk përbëjnë shkaqe nga ato të parashikuara në nenin 58</w:t>
      </w:r>
      <w:r w:rsidR="00CF59AA">
        <w:rPr>
          <w:rFonts w:ascii="Garamond" w:hAnsi="Garamond" w:cs="Times New Roman"/>
          <w:color w:val="222222"/>
          <w:sz w:val="24"/>
          <w:szCs w:val="24"/>
        </w:rPr>
        <w:t>,</w:t>
      </w:r>
      <w:r w:rsidRPr="00CF59AA">
        <w:rPr>
          <w:rFonts w:ascii="Garamond" w:hAnsi="Garamond" w:cs="Times New Roman"/>
          <w:color w:val="222222"/>
          <w:sz w:val="24"/>
          <w:szCs w:val="24"/>
        </w:rPr>
        <w:t xml:space="preserve"> të ligjit nr. 49/2012, ndërkohë që në rekurs janë argumentuar e analizuar në mënyrë të qartë shkaqet ligjore, zbatimi i gabuar i ligjit material e procedural, si dhe shkalla e shkeljes, e cila duhet të trajtohet sipas praktikave të ndryshme gjyqësore. Sipas kërkueses, gjykata e apelit dhe Gjykata e Lartë i kanë shkelur të drejtën për garancitë dhe trajtimin e nëpunësve publikë, të garantuar nga nenet 4 dhe 107 të Kushtetutës. Po kështu, sipas kërkueses, gjatë gjykimit në shkallë të parë dhe në apel, nga pala kundërshtare në procesin gjyqësor nuk është depozituar asnjë provë që të vërtetonte ndjekjen e procedurave të parashikuara nga legjislacioni për largimin nga shërbimi të një nëpunësi civil. Sipas kërkueses, Kolegji Administrativ nuk ka pasqyruar kërkimet dhe argumentet e kërkueses në vendimmarrjen e tij, si dhe argumentet e dhëna nga gjykatat e faktit janë kontradiktore, pasi edhe pse kanë konstatuar se asnjë nga shkeljet e pretenduara nga pala e paditur nuk bën referim në situata konkrete të kryera nga kërkuesja në shkelje të ligjit për prokurimin publik, në vendimmarrje kanë vlerësuar se vendimi i sekretarit të përgjithshëm të Këshillit të Ministrave nuk është një akt absolutisht i pavlefshëm. Sipas kërkueses, gjykatat e faktit, në arsyetimin e tyre për rrëzimin e konstatimit të pavlefshmërisë absolute të vendimit të sekretarit të përgjithshëm të Këshillit të Ministrave, kanë referuar në vendimmarrjet e gjykatave të faktit, të cilat kanë rrëzuar padinë e kërkueses për </w:t>
      </w:r>
      <w:r w:rsidRPr="00CF59AA">
        <w:rPr>
          <w:rFonts w:ascii="Garamond" w:hAnsi="Garamond" w:cs="Times New Roman"/>
          <w:color w:val="222222"/>
          <w:sz w:val="24"/>
          <w:szCs w:val="24"/>
        </w:rPr>
        <w:lastRenderedPageBreak/>
        <w:t xml:space="preserve">pavlefshmërinë relative për shkak të </w:t>
      </w:r>
      <w:proofErr w:type="spellStart"/>
      <w:r w:rsidRPr="00CF59AA">
        <w:rPr>
          <w:rFonts w:ascii="Garamond" w:hAnsi="Garamond" w:cs="Times New Roman"/>
          <w:color w:val="222222"/>
          <w:sz w:val="24"/>
          <w:szCs w:val="24"/>
        </w:rPr>
        <w:t>ndërgjyqësisë</w:t>
      </w:r>
      <w:proofErr w:type="spellEnd"/>
      <w:r w:rsidRPr="00CF59AA">
        <w:rPr>
          <w:rFonts w:ascii="Garamond" w:hAnsi="Garamond" w:cs="Times New Roman"/>
          <w:color w:val="222222"/>
          <w:sz w:val="24"/>
          <w:szCs w:val="24"/>
        </w:rPr>
        <w:t xml:space="preserve"> së gabuar, pa shqyrtuar në themel kërkimet e kërkueses paditëse. </w:t>
      </w:r>
    </w:p>
    <w:p w14:paraId="36A4EDA3" w14:textId="66F1E66E"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CF59AA">
        <w:rPr>
          <w:rFonts w:ascii="Garamond" w:hAnsi="Garamond" w:cs="Times New Roman"/>
          <w:color w:val="000000"/>
          <w:sz w:val="24"/>
          <w:szCs w:val="24"/>
        </w:rPr>
        <w:t xml:space="preserve">22. Subjektet e interesuara, </w:t>
      </w:r>
      <w:r w:rsidRPr="00CF59AA">
        <w:rPr>
          <w:rFonts w:ascii="Garamond" w:hAnsi="Garamond" w:cs="Times New Roman"/>
          <w:color w:val="222222"/>
          <w:sz w:val="24"/>
          <w:szCs w:val="24"/>
        </w:rPr>
        <w:t xml:space="preserve">sekretari i përgjithshëm i Këshillit të Ministrave, Kryeministria dhe Avokatura e Shtetit, </w:t>
      </w:r>
      <w:r w:rsidRPr="00CF59AA">
        <w:rPr>
          <w:rFonts w:ascii="Garamond" w:hAnsi="Garamond" w:cs="Times New Roman"/>
          <w:color w:val="000000"/>
          <w:sz w:val="24"/>
          <w:szCs w:val="24"/>
        </w:rPr>
        <w:t xml:space="preserve">kanë prapësuar se gjykata e apelit ka marrë në shqyrtim dhe ka analizuar pretendimet e kërkueses, duke u dhënë përgjigje shteruese, ndërsa Gjykata e Lartë ka vendosur mospranimin e rekursit, pasi nuk plotësonte kushtet paraprake të </w:t>
      </w:r>
      <w:proofErr w:type="spellStart"/>
      <w:r w:rsidRPr="00CF59AA">
        <w:rPr>
          <w:rFonts w:ascii="Garamond" w:hAnsi="Garamond" w:cs="Times New Roman"/>
          <w:color w:val="000000"/>
          <w:sz w:val="24"/>
          <w:szCs w:val="24"/>
        </w:rPr>
        <w:t>pranueshmërisë</w:t>
      </w:r>
      <w:proofErr w:type="spellEnd"/>
      <w:r w:rsidRPr="00CF59AA">
        <w:rPr>
          <w:rFonts w:ascii="Garamond" w:hAnsi="Garamond" w:cs="Times New Roman"/>
          <w:color w:val="000000"/>
          <w:sz w:val="24"/>
          <w:szCs w:val="24"/>
        </w:rPr>
        <w:t xml:space="preserve"> sipas nenit 480, shkronja “a”, të </w:t>
      </w:r>
      <w:proofErr w:type="spellStart"/>
      <w:r w:rsidRPr="00CF59AA">
        <w:rPr>
          <w:rFonts w:ascii="Garamond" w:hAnsi="Garamond" w:cs="Times New Roman"/>
          <w:color w:val="000000"/>
          <w:sz w:val="24"/>
          <w:szCs w:val="24"/>
        </w:rPr>
        <w:t>KPC</w:t>
      </w:r>
      <w:proofErr w:type="spellEnd"/>
      <w:r w:rsidRPr="00CF59AA">
        <w:rPr>
          <w:rFonts w:ascii="Garamond" w:hAnsi="Garamond" w:cs="Times New Roman"/>
          <w:color w:val="000000"/>
          <w:sz w:val="24"/>
          <w:szCs w:val="24"/>
        </w:rPr>
        <w:t xml:space="preserve">-së dhe verifikimi i shkaqeve të rekursit përmes procedurës seleksionuese është veprimtari e domosdoshme në funksion të garantimit të </w:t>
      </w:r>
      <w:proofErr w:type="spellStart"/>
      <w:r w:rsidRPr="00CF59AA">
        <w:rPr>
          <w:rFonts w:ascii="Garamond" w:hAnsi="Garamond" w:cs="Times New Roman"/>
          <w:color w:val="000000"/>
          <w:sz w:val="24"/>
          <w:szCs w:val="24"/>
        </w:rPr>
        <w:t>aksesit</w:t>
      </w:r>
      <w:proofErr w:type="spellEnd"/>
      <w:r w:rsidRPr="00CF59AA">
        <w:rPr>
          <w:rFonts w:ascii="Garamond" w:hAnsi="Garamond" w:cs="Times New Roman"/>
          <w:color w:val="000000"/>
          <w:sz w:val="24"/>
          <w:szCs w:val="24"/>
        </w:rPr>
        <w:t xml:space="preserve"> në gjykatë vetëm të atyre çështjeve që parashikon ligji, duke lënë jashtë përzgjedhjes kërkesat e paarsyeshme dhe haptazi të pambështetura në ligj. </w:t>
      </w:r>
      <w:r w:rsidRPr="00CF59AA">
        <w:rPr>
          <w:rFonts w:ascii="Garamond" w:hAnsi="Garamond" w:cs="Times New Roman"/>
          <w:color w:val="222222"/>
          <w:sz w:val="24"/>
          <w:szCs w:val="24"/>
        </w:rPr>
        <w:t xml:space="preserve">Sipas tyre, </w:t>
      </w:r>
      <w:r w:rsidRPr="00CF59AA">
        <w:rPr>
          <w:rFonts w:ascii="Garamond" w:hAnsi="Garamond" w:cs="Times New Roman"/>
          <w:color w:val="000000"/>
          <w:sz w:val="24"/>
          <w:szCs w:val="24"/>
        </w:rPr>
        <w:t xml:space="preserve">vlerësimi i fakteve dhe i provave të administruara, si dhe interpretimi i ligjit është detyrë e gjykatave të juridiksionit të zakonshëm, ndërsa detyra e Gjykatës është të vlerësojë nëse gjatë procesit ka pasur shkelje të </w:t>
      </w:r>
      <w:proofErr w:type="spellStart"/>
      <w:r w:rsidRPr="00CF59AA">
        <w:rPr>
          <w:rFonts w:ascii="Garamond" w:hAnsi="Garamond" w:cs="Times New Roman"/>
          <w:color w:val="000000"/>
          <w:sz w:val="24"/>
          <w:szCs w:val="24"/>
        </w:rPr>
        <w:t>të</w:t>
      </w:r>
      <w:proofErr w:type="spellEnd"/>
      <w:r w:rsidRPr="00CF59AA">
        <w:rPr>
          <w:rFonts w:ascii="Garamond" w:hAnsi="Garamond" w:cs="Times New Roman"/>
          <w:color w:val="000000"/>
          <w:sz w:val="24"/>
          <w:szCs w:val="24"/>
        </w:rPr>
        <w:t xml:space="preserve"> drejtave kushtetuese, si dhe nëse zbatimi i ligjit ka qenë arbitrar.</w:t>
      </w:r>
    </w:p>
    <w:p w14:paraId="703D5C01" w14:textId="17E37B1E"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CF59AA">
        <w:rPr>
          <w:rFonts w:ascii="Garamond" w:hAnsi="Garamond" w:cs="Times New Roman"/>
          <w:color w:val="000000"/>
          <w:sz w:val="24"/>
          <w:szCs w:val="24"/>
        </w:rPr>
        <w:t xml:space="preserve">23. Subjekti i interesuar, </w:t>
      </w:r>
      <w:proofErr w:type="spellStart"/>
      <w:r w:rsidRPr="00CF59AA">
        <w:rPr>
          <w:rFonts w:ascii="Garamond" w:hAnsi="Garamond" w:cs="Times New Roman"/>
          <w:color w:val="000000"/>
          <w:sz w:val="24"/>
          <w:szCs w:val="24"/>
        </w:rPr>
        <w:t>DAP</w:t>
      </w:r>
      <w:proofErr w:type="spellEnd"/>
      <w:r w:rsidRPr="00CF59AA">
        <w:rPr>
          <w:rFonts w:ascii="Garamond" w:hAnsi="Garamond" w:cs="Times New Roman"/>
          <w:color w:val="000000"/>
          <w:sz w:val="24"/>
          <w:szCs w:val="24"/>
        </w:rPr>
        <w:t xml:space="preserve">-i, ka prapësuar se gjykatat e faktit kanë marrë në shqyrtim dhe kanë analizuar e vlerësuar pretendimet e kërkueses, duke u dhënë përgjigje të arsyetuara, ndërkohë që këto </w:t>
      </w:r>
      <w:r w:rsidRPr="00CF59AA">
        <w:rPr>
          <w:rFonts w:ascii="Garamond" w:hAnsi="Garamond" w:cs="Times New Roman"/>
          <w:color w:val="222222"/>
          <w:sz w:val="24"/>
          <w:szCs w:val="24"/>
        </w:rPr>
        <w:t>pretendime janë përsëritur në rekursin e saj, duke mos përmbushur asnjë nga shkaqet e parashikuara në nenin 58</w:t>
      </w:r>
      <w:r w:rsidR="00CF59AA">
        <w:rPr>
          <w:rFonts w:ascii="Garamond" w:hAnsi="Garamond" w:cs="Times New Roman"/>
          <w:color w:val="222222"/>
          <w:sz w:val="24"/>
          <w:szCs w:val="24"/>
        </w:rPr>
        <w:t>,</w:t>
      </w:r>
      <w:r w:rsidRPr="00CF59AA">
        <w:rPr>
          <w:rFonts w:ascii="Garamond" w:hAnsi="Garamond" w:cs="Times New Roman"/>
          <w:color w:val="222222"/>
          <w:sz w:val="24"/>
          <w:szCs w:val="24"/>
        </w:rPr>
        <w:t xml:space="preserve"> të ligjit nr. 49/2012.</w:t>
      </w:r>
      <w:r w:rsidRPr="00CF59AA">
        <w:rPr>
          <w:rFonts w:ascii="Garamond" w:hAnsi="Garamond" w:cs="Times New Roman"/>
          <w:color w:val="000000"/>
          <w:sz w:val="24"/>
          <w:szCs w:val="24"/>
        </w:rPr>
        <w:t xml:space="preserve"> Sipas subjektit të interesuar, pretendimi i kërkueses se procedura disiplinore është kryer në kundërshtim me ligjin nuk qëndron, pasi ka rezultuar e rregullt dhe </w:t>
      </w:r>
      <w:proofErr w:type="spellStart"/>
      <w:r w:rsidRPr="00CF59AA">
        <w:rPr>
          <w:rFonts w:ascii="Garamond" w:hAnsi="Garamond" w:cs="Times New Roman"/>
          <w:color w:val="000000"/>
          <w:sz w:val="24"/>
          <w:szCs w:val="24"/>
        </w:rPr>
        <w:t>konform</w:t>
      </w:r>
      <w:proofErr w:type="spellEnd"/>
      <w:r w:rsidRPr="00CF59AA">
        <w:rPr>
          <w:rFonts w:ascii="Garamond" w:hAnsi="Garamond" w:cs="Times New Roman"/>
          <w:color w:val="000000"/>
          <w:sz w:val="24"/>
          <w:szCs w:val="24"/>
        </w:rPr>
        <w:t xml:space="preserve"> ligjit. </w:t>
      </w:r>
      <w:r w:rsidRPr="00CF59AA">
        <w:rPr>
          <w:rFonts w:ascii="Garamond" w:hAnsi="Garamond" w:cs="Times New Roman"/>
          <w:color w:val="222222"/>
          <w:sz w:val="24"/>
          <w:szCs w:val="24"/>
        </w:rPr>
        <w:t>Sipas subjektit të interesuar, gjykatat e faktit kanë mbajtur të njëjtin qëndrim, pra nuk janë vendime diametralisht të kundërta, për të cilat Gjykata e Lartë do të duhet të kishte ushtruar një rol aktiv.</w:t>
      </w:r>
    </w:p>
    <w:p w14:paraId="7CFF91BD" w14:textId="4B33C709"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Calibri"/>
          <w:color w:val="000000"/>
          <w:spacing w:val="15"/>
          <w:sz w:val="24"/>
          <w:szCs w:val="24"/>
        </w:rPr>
      </w:pPr>
      <w:r w:rsidRPr="00CF59AA">
        <w:rPr>
          <w:rFonts w:ascii="Garamond" w:hAnsi="Garamond" w:cs="Times New Roman"/>
          <w:color w:val="000000"/>
          <w:sz w:val="24"/>
          <w:szCs w:val="24"/>
        </w:rPr>
        <w:t xml:space="preserve">24. Lidhur me të drejtën e </w:t>
      </w:r>
      <w:proofErr w:type="spellStart"/>
      <w:r w:rsidRPr="00CF59AA">
        <w:rPr>
          <w:rFonts w:ascii="Garamond" w:hAnsi="Garamond" w:cs="Times New Roman"/>
          <w:color w:val="000000"/>
          <w:sz w:val="24"/>
          <w:szCs w:val="24"/>
        </w:rPr>
        <w:t>aksesit</w:t>
      </w:r>
      <w:proofErr w:type="spellEnd"/>
      <w:r w:rsidRPr="00CF59AA">
        <w:rPr>
          <w:rFonts w:ascii="Garamond" w:hAnsi="Garamond" w:cs="Times New Roman"/>
          <w:color w:val="000000"/>
          <w:sz w:val="24"/>
          <w:szCs w:val="24"/>
        </w:rPr>
        <w:t xml:space="preserve">, Kushtetuta në nenin 42, pika 2, të saj sanksionon të drejtën e individit t’i drejtohet një gjykate, e cila do t’i dëgjojë pretendimet e tij dhe do të shpallë një vendim pas një gjykimi të drejtë dhe publik. E drejta e </w:t>
      </w:r>
      <w:proofErr w:type="spellStart"/>
      <w:r w:rsidRPr="00CF59AA">
        <w:rPr>
          <w:rFonts w:ascii="Garamond" w:hAnsi="Garamond" w:cs="Times New Roman"/>
          <w:color w:val="000000"/>
          <w:sz w:val="24"/>
          <w:szCs w:val="24"/>
        </w:rPr>
        <w:t>aksesit</w:t>
      </w:r>
      <w:proofErr w:type="spellEnd"/>
      <w:r w:rsidRPr="00CF59AA">
        <w:rPr>
          <w:rFonts w:ascii="Garamond" w:hAnsi="Garamond" w:cs="Times New Roman"/>
          <w:color w:val="000000"/>
          <w:sz w:val="24"/>
          <w:szCs w:val="24"/>
        </w:rPr>
        <w:t xml:space="preserve"> nuk përfshin vetëm të drejtën për të filluar një proces, por edhe të drejtën për të pasur, nga ana e gjykatës, një zgjidhje përfundimtare për mosmarrëveshjen objekt gjykimi, pasi </w:t>
      </w:r>
      <w:proofErr w:type="spellStart"/>
      <w:r w:rsidRPr="00CF59AA">
        <w:rPr>
          <w:rFonts w:ascii="Garamond" w:hAnsi="Garamond" w:cs="Times New Roman"/>
          <w:color w:val="000000"/>
          <w:sz w:val="24"/>
          <w:szCs w:val="24"/>
        </w:rPr>
        <w:t>aksesi</w:t>
      </w:r>
      <w:proofErr w:type="spellEnd"/>
      <w:r w:rsidRPr="00CF59AA">
        <w:rPr>
          <w:rFonts w:ascii="Garamond" w:hAnsi="Garamond" w:cs="Times New Roman"/>
          <w:color w:val="000000"/>
          <w:sz w:val="24"/>
          <w:szCs w:val="24"/>
        </w:rPr>
        <w:t xml:space="preserve"> në gjykatë duhet të jetë substantiv dhe jo thjesht formal (</w:t>
      </w:r>
      <w:r w:rsidR="00CF59AA">
        <w:rPr>
          <w:rFonts w:ascii="Garamond" w:hAnsi="Garamond" w:cs="Times New Roman"/>
          <w:i/>
          <w:iCs/>
          <w:color w:val="000000"/>
          <w:sz w:val="24"/>
          <w:szCs w:val="24"/>
        </w:rPr>
        <w:t>shih vendimet nr. 56, datë 25.</w:t>
      </w:r>
      <w:r w:rsidRPr="00CF59AA">
        <w:rPr>
          <w:rFonts w:ascii="Garamond" w:hAnsi="Garamond" w:cs="Times New Roman"/>
          <w:i/>
          <w:iCs/>
          <w:color w:val="000000"/>
          <w:sz w:val="24"/>
          <w:szCs w:val="24"/>
        </w:rPr>
        <w:t>7.2017; n</w:t>
      </w:r>
      <w:r w:rsidR="00CF59AA">
        <w:rPr>
          <w:rFonts w:ascii="Garamond" w:hAnsi="Garamond" w:cs="Times New Roman"/>
          <w:i/>
          <w:iCs/>
          <w:color w:val="000000"/>
          <w:sz w:val="24"/>
          <w:szCs w:val="24"/>
        </w:rPr>
        <w:t>r. 21, datë 20.</w:t>
      </w:r>
      <w:r w:rsidRPr="00CF59AA">
        <w:rPr>
          <w:rFonts w:ascii="Garamond" w:hAnsi="Garamond" w:cs="Times New Roman"/>
          <w:i/>
          <w:iCs/>
          <w:color w:val="000000"/>
          <w:sz w:val="24"/>
          <w:szCs w:val="24"/>
        </w:rPr>
        <w:t>3.2017; nr. 52, datë 14.11.2014</w:t>
      </w:r>
      <w:r w:rsidR="00CF59AA">
        <w:rPr>
          <w:rFonts w:ascii="Garamond" w:hAnsi="Garamond" w:cs="Times New Roman"/>
          <w:i/>
          <w:iCs/>
          <w:color w:val="000000"/>
          <w:sz w:val="24"/>
          <w:szCs w:val="24"/>
        </w:rPr>
        <w:t>,</w:t>
      </w:r>
      <w:r w:rsidRPr="00CF59AA">
        <w:rPr>
          <w:rFonts w:ascii="Garamond" w:hAnsi="Garamond" w:cs="Times New Roman"/>
          <w:i/>
          <w:iCs/>
          <w:color w:val="000000"/>
          <w:sz w:val="24"/>
          <w:szCs w:val="24"/>
        </w:rPr>
        <w:t xml:space="preserve"> të Gjykatës Kushtetuese</w:t>
      </w:r>
      <w:r w:rsidRPr="00CF59AA">
        <w:rPr>
          <w:rFonts w:ascii="Garamond" w:hAnsi="Garamond" w:cs="Times New Roman"/>
          <w:color w:val="000000"/>
          <w:sz w:val="24"/>
          <w:szCs w:val="24"/>
        </w:rPr>
        <w:t>). Mohimi i së drejtës për t’iu drejtuar gjykatës dhe për të marrë një përgjigje përfundimtare prej saj për pretendimet e ngritura përbën cenim të së drejtës themelore për proces të rregullt ligjor (</w:t>
      </w:r>
      <w:r w:rsidRPr="00CF59AA">
        <w:rPr>
          <w:rFonts w:ascii="Garamond" w:hAnsi="Garamond" w:cs="Times New Roman"/>
          <w:i/>
          <w:iCs/>
          <w:color w:val="000000"/>
          <w:sz w:val="24"/>
          <w:szCs w:val="24"/>
        </w:rPr>
        <w:t>shih vendim</w:t>
      </w:r>
      <w:r w:rsidR="00CF59AA">
        <w:rPr>
          <w:rFonts w:ascii="Garamond" w:hAnsi="Garamond" w:cs="Times New Roman"/>
          <w:i/>
          <w:iCs/>
          <w:color w:val="000000"/>
          <w:sz w:val="24"/>
          <w:szCs w:val="24"/>
        </w:rPr>
        <w:t>et nr. 12, datë 9.3.2021; nr. 3, datë 23.</w:t>
      </w:r>
      <w:r w:rsidRPr="00CF59AA">
        <w:rPr>
          <w:rFonts w:ascii="Garamond" w:hAnsi="Garamond" w:cs="Times New Roman"/>
          <w:i/>
          <w:iCs/>
          <w:color w:val="000000"/>
          <w:sz w:val="24"/>
          <w:szCs w:val="24"/>
        </w:rPr>
        <w:t>2.2016</w:t>
      </w:r>
      <w:r w:rsidR="00CF59AA">
        <w:rPr>
          <w:rFonts w:ascii="Garamond" w:hAnsi="Garamond" w:cs="Times New Roman"/>
          <w:i/>
          <w:iCs/>
          <w:color w:val="000000"/>
          <w:sz w:val="24"/>
          <w:szCs w:val="24"/>
        </w:rPr>
        <w:t>,</w:t>
      </w:r>
      <w:r w:rsidRPr="00CF59AA">
        <w:rPr>
          <w:rFonts w:ascii="Garamond" w:hAnsi="Garamond" w:cs="Times New Roman"/>
          <w:i/>
          <w:iCs/>
          <w:color w:val="000000"/>
          <w:sz w:val="24"/>
          <w:szCs w:val="24"/>
        </w:rPr>
        <w:t xml:space="preserve"> të Gjykatës Kushtetuese</w:t>
      </w:r>
      <w:r w:rsidRPr="00CF59AA">
        <w:rPr>
          <w:rFonts w:ascii="Garamond" w:hAnsi="Garamond" w:cs="Times New Roman"/>
          <w:color w:val="000000"/>
          <w:sz w:val="24"/>
          <w:szCs w:val="24"/>
        </w:rPr>
        <w:t xml:space="preserve">). </w:t>
      </w:r>
    </w:p>
    <w:p w14:paraId="7386F7C4" w14:textId="623AFAC6"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CF59AA">
        <w:rPr>
          <w:rFonts w:ascii="Garamond" w:hAnsi="Garamond" w:cs="Times New Roman"/>
          <w:color w:val="000000"/>
          <w:sz w:val="24"/>
          <w:szCs w:val="24"/>
        </w:rPr>
        <w:t xml:space="preserve">25. E drejta për proces të rregullt ligjor përfshin edhe të drejtën për të pasur një vendim gjyqësor të arsyetuar, që i garantohet individit nga nenet 42 dhe 142, pika 1, të Kushtetutës. Arsyetimi i vendimeve është element thelbësor i një vendimi të drejtë. Funksioni i një vendimi të arsyetuar është t’u tregojë palëve që ato janë dëgjuar, si dhe u jep mundësinë atyre ta kundërshtojnë atë </w:t>
      </w:r>
      <w:r w:rsidRPr="00CF59AA">
        <w:rPr>
          <w:rFonts w:ascii="Garamond" w:hAnsi="Garamond" w:cs="Times New Roman"/>
          <w:i/>
          <w:iCs/>
          <w:color w:val="000000"/>
          <w:sz w:val="24"/>
          <w:szCs w:val="24"/>
        </w:rPr>
        <w:t>(shih vendimet nr.</w:t>
      </w:r>
      <w:r w:rsidR="00CF59AA">
        <w:rPr>
          <w:rFonts w:ascii="Garamond" w:hAnsi="Garamond" w:cs="Times New Roman"/>
          <w:i/>
          <w:iCs/>
          <w:color w:val="000000"/>
          <w:sz w:val="24"/>
          <w:szCs w:val="24"/>
        </w:rPr>
        <w:t xml:space="preserve"> 19, datë 7.</w:t>
      </w:r>
      <w:r w:rsidRPr="00CF59AA">
        <w:rPr>
          <w:rFonts w:ascii="Garamond" w:hAnsi="Garamond" w:cs="Times New Roman"/>
          <w:i/>
          <w:iCs/>
          <w:color w:val="000000"/>
          <w:sz w:val="24"/>
          <w:szCs w:val="24"/>
        </w:rPr>
        <w:t>7.2022; nr.</w:t>
      </w:r>
      <w:r w:rsidR="00CF59AA">
        <w:rPr>
          <w:rFonts w:ascii="Garamond" w:hAnsi="Garamond" w:cs="Times New Roman"/>
          <w:i/>
          <w:iCs/>
          <w:color w:val="000000"/>
          <w:sz w:val="24"/>
          <w:szCs w:val="24"/>
        </w:rPr>
        <w:t xml:space="preserve"> 2, datë 11.2.2021; nr. 3, datë 20.</w:t>
      </w:r>
      <w:r w:rsidRPr="00CF59AA">
        <w:rPr>
          <w:rFonts w:ascii="Garamond" w:hAnsi="Garamond" w:cs="Times New Roman"/>
          <w:i/>
          <w:iCs/>
          <w:color w:val="000000"/>
          <w:sz w:val="24"/>
          <w:szCs w:val="24"/>
        </w:rPr>
        <w:t>1.2017</w:t>
      </w:r>
      <w:r w:rsidR="00CF59AA">
        <w:rPr>
          <w:rFonts w:ascii="Garamond" w:hAnsi="Garamond" w:cs="Times New Roman"/>
          <w:i/>
          <w:iCs/>
          <w:color w:val="000000"/>
          <w:sz w:val="24"/>
          <w:szCs w:val="24"/>
        </w:rPr>
        <w:t>,</w:t>
      </w:r>
      <w:r w:rsidRPr="00CF59AA">
        <w:rPr>
          <w:rFonts w:ascii="Garamond" w:hAnsi="Garamond" w:cs="Times New Roman"/>
          <w:i/>
          <w:iCs/>
          <w:color w:val="000000"/>
          <w:sz w:val="24"/>
          <w:szCs w:val="24"/>
        </w:rPr>
        <w:t xml:space="preserve"> të Gjykatës Kushtetuese</w:t>
      </w:r>
      <w:r w:rsidRPr="00CF59AA">
        <w:rPr>
          <w:rFonts w:ascii="Garamond" w:hAnsi="Garamond" w:cs="Times New Roman"/>
          <w:color w:val="000000"/>
          <w:sz w:val="24"/>
          <w:szCs w:val="24"/>
        </w:rPr>
        <w:t xml:space="preserve">). Standardi i arsyetimit është i lidhur edhe me respektimin e të drejtave të tjera kushtetuese, siç është e drejta e </w:t>
      </w:r>
      <w:proofErr w:type="spellStart"/>
      <w:r w:rsidRPr="00CF59AA">
        <w:rPr>
          <w:rFonts w:ascii="Garamond" w:hAnsi="Garamond" w:cs="Times New Roman"/>
          <w:color w:val="000000"/>
          <w:sz w:val="24"/>
          <w:szCs w:val="24"/>
        </w:rPr>
        <w:t>aksesit</w:t>
      </w:r>
      <w:proofErr w:type="spellEnd"/>
      <w:r w:rsidRPr="00CF59AA">
        <w:rPr>
          <w:rFonts w:ascii="Garamond" w:hAnsi="Garamond" w:cs="Times New Roman"/>
          <w:color w:val="000000"/>
          <w:sz w:val="24"/>
          <w:szCs w:val="24"/>
        </w:rPr>
        <w:t xml:space="preserve"> në gjykim dhe e drejta e ankimit efektiv (</w:t>
      </w:r>
      <w:r w:rsidRPr="00CF59AA">
        <w:rPr>
          <w:rFonts w:ascii="Garamond" w:hAnsi="Garamond" w:cs="Times New Roman"/>
          <w:i/>
          <w:iCs/>
          <w:color w:val="000000"/>
          <w:sz w:val="24"/>
          <w:szCs w:val="24"/>
        </w:rPr>
        <w:t>shih vendimet nr. 16,</w:t>
      </w:r>
      <w:r w:rsidR="00CF59AA">
        <w:rPr>
          <w:rFonts w:ascii="Garamond" w:hAnsi="Garamond" w:cs="Times New Roman"/>
          <w:i/>
          <w:iCs/>
          <w:color w:val="000000"/>
          <w:sz w:val="24"/>
          <w:szCs w:val="24"/>
        </w:rPr>
        <w:t xml:space="preserve"> datë 16.3.2021; nr. 45, datë 3.</w:t>
      </w:r>
      <w:r w:rsidRPr="00CF59AA">
        <w:rPr>
          <w:rFonts w:ascii="Garamond" w:hAnsi="Garamond" w:cs="Times New Roman"/>
          <w:i/>
          <w:iCs/>
          <w:color w:val="000000"/>
          <w:sz w:val="24"/>
          <w:szCs w:val="24"/>
        </w:rPr>
        <w:t>7.2017</w:t>
      </w:r>
      <w:r w:rsidR="00CF59AA">
        <w:rPr>
          <w:rFonts w:ascii="Garamond" w:hAnsi="Garamond" w:cs="Times New Roman"/>
          <w:i/>
          <w:iCs/>
          <w:color w:val="000000"/>
          <w:sz w:val="24"/>
          <w:szCs w:val="24"/>
        </w:rPr>
        <w:t>,</w:t>
      </w:r>
      <w:r w:rsidRPr="00CF59AA">
        <w:rPr>
          <w:rFonts w:ascii="Garamond" w:hAnsi="Garamond" w:cs="Times New Roman"/>
          <w:i/>
          <w:iCs/>
          <w:color w:val="000000"/>
          <w:sz w:val="24"/>
          <w:szCs w:val="24"/>
        </w:rPr>
        <w:t xml:space="preserve"> të Gjykatës Kushtetuese). </w:t>
      </w:r>
      <w:r w:rsidRPr="00CF59AA">
        <w:rPr>
          <w:rFonts w:ascii="Garamond" w:hAnsi="Garamond" w:cs="Times New Roman"/>
          <w:color w:val="000000"/>
          <w:sz w:val="24"/>
          <w:szCs w:val="24"/>
        </w:rPr>
        <w:t>Megjithatë, zbatimi i këtij parimi vlerësohet rast pas rasti, në varësi të rrethanave konkrete të çështjes. Ndërsa ka pohuar se interpretimi i ligjit është atribut i organeve që e zbatojnë atë, Gjykata ka theksuar se kur gjykatat e juridiksionit të zakonshëm, përmes interpretimit dhe zbatimit të ligjit në një çështje konkrete cenojnë parimet, standardet ose të drejtat kushtetuese, atëherë interpretimi i ligjit i nënshtrohet kontrollit kushtetues (</w:t>
      </w:r>
      <w:r w:rsidR="00CF59AA">
        <w:rPr>
          <w:rFonts w:ascii="Garamond" w:hAnsi="Garamond" w:cs="Times New Roman"/>
          <w:i/>
          <w:iCs/>
          <w:color w:val="000000"/>
          <w:sz w:val="24"/>
          <w:szCs w:val="24"/>
        </w:rPr>
        <w:t>shih vendimet nr. 19, datë 7.7.2022; nr. 3, datë 23.2.2016; nr. 62, datë 23.</w:t>
      </w:r>
      <w:r w:rsidRPr="00CF59AA">
        <w:rPr>
          <w:rFonts w:ascii="Garamond" w:hAnsi="Garamond" w:cs="Times New Roman"/>
          <w:i/>
          <w:iCs/>
          <w:color w:val="000000"/>
          <w:sz w:val="24"/>
          <w:szCs w:val="24"/>
        </w:rPr>
        <w:t>9.2015</w:t>
      </w:r>
      <w:r w:rsidR="00CF59AA">
        <w:rPr>
          <w:rFonts w:ascii="Garamond" w:hAnsi="Garamond" w:cs="Times New Roman"/>
          <w:i/>
          <w:iCs/>
          <w:color w:val="000000"/>
          <w:sz w:val="24"/>
          <w:szCs w:val="24"/>
        </w:rPr>
        <w:t>,</w:t>
      </w:r>
      <w:r w:rsidRPr="00CF59AA">
        <w:rPr>
          <w:rFonts w:ascii="Garamond" w:hAnsi="Garamond" w:cs="Times New Roman"/>
          <w:i/>
          <w:iCs/>
          <w:color w:val="000000"/>
          <w:sz w:val="24"/>
          <w:szCs w:val="24"/>
        </w:rPr>
        <w:t xml:space="preserve"> të Gjykatës Kushtetuese</w:t>
      </w:r>
      <w:r w:rsidRPr="00CF59AA">
        <w:rPr>
          <w:rFonts w:ascii="Garamond" w:hAnsi="Garamond" w:cs="Times New Roman"/>
          <w:color w:val="000000"/>
          <w:sz w:val="24"/>
          <w:szCs w:val="24"/>
        </w:rPr>
        <w:t>). Ajo nuk vepron si gjykatë e shkallës së katërt dhe për këtë arsye vendimet e gjykatave të juridiksionit të zakonshëm nuk vihen në dyshim, përveç rasteve kur gjetjet e tyre mund të konsiderohen si arbitrare ose haptazi të paarsyeshme. E thënë ndryshe, ajo vepron në rastin kur gabimi ligjor ose faktik nga gjykatat e juridiksionit të zakonshëm është aq i dukshëm, sa një gjykatë e kujdesshme nuk mund ta kishte bërë ndonjëherë ose i tillë që gjykimin e bën të padrejtë (</w:t>
      </w:r>
      <w:r w:rsidR="00CF59AA">
        <w:rPr>
          <w:rFonts w:ascii="Garamond" w:hAnsi="Garamond" w:cs="Times New Roman"/>
          <w:i/>
          <w:iCs/>
          <w:color w:val="000000"/>
          <w:sz w:val="24"/>
          <w:szCs w:val="24"/>
        </w:rPr>
        <w:t>shih vendimet nr. 14, datë 7.3.2024; nr. 30, datë 29.</w:t>
      </w:r>
      <w:r w:rsidRPr="00CF59AA">
        <w:rPr>
          <w:rFonts w:ascii="Garamond" w:hAnsi="Garamond" w:cs="Times New Roman"/>
          <w:i/>
          <w:iCs/>
          <w:color w:val="000000"/>
          <w:sz w:val="24"/>
          <w:szCs w:val="24"/>
        </w:rPr>
        <w:t>5.2023; nr. 33, datë 14.11.2022</w:t>
      </w:r>
      <w:r w:rsidR="00CF59AA">
        <w:rPr>
          <w:rFonts w:ascii="Garamond" w:hAnsi="Garamond" w:cs="Times New Roman"/>
          <w:i/>
          <w:iCs/>
          <w:color w:val="000000"/>
          <w:sz w:val="24"/>
          <w:szCs w:val="24"/>
        </w:rPr>
        <w:t>,</w:t>
      </w:r>
      <w:r w:rsidRPr="00CF59AA">
        <w:rPr>
          <w:rFonts w:ascii="Garamond" w:hAnsi="Garamond" w:cs="Times New Roman"/>
          <w:i/>
          <w:iCs/>
          <w:color w:val="000000"/>
          <w:sz w:val="24"/>
          <w:szCs w:val="24"/>
        </w:rPr>
        <w:t xml:space="preserve"> të Gjykatës Kushtetuese</w:t>
      </w:r>
      <w:r w:rsidRPr="00CF59AA">
        <w:rPr>
          <w:rFonts w:ascii="Garamond" w:hAnsi="Garamond" w:cs="Times New Roman"/>
          <w:color w:val="000000"/>
          <w:sz w:val="24"/>
          <w:szCs w:val="24"/>
        </w:rPr>
        <w:t xml:space="preserve">). </w:t>
      </w:r>
    </w:p>
    <w:p w14:paraId="1BDC2100" w14:textId="60908E8B"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CF59AA">
        <w:rPr>
          <w:rFonts w:ascii="Garamond" w:hAnsi="Garamond" w:cs="Times New Roman"/>
          <w:color w:val="000000"/>
          <w:sz w:val="24"/>
          <w:szCs w:val="24"/>
        </w:rPr>
        <w:t xml:space="preserve">26. Kurse për sa u përket vendimeve të dhëna nga Gjykata e Lartë në fazën e shqyrtimit paraprak të rekurseve, Gjykata ka theksuar se kur janë të pranishme pretendime që kanë të bëjnë me shkeljen e </w:t>
      </w:r>
      <w:r w:rsidRPr="00CF59AA">
        <w:rPr>
          <w:rFonts w:ascii="Garamond" w:hAnsi="Garamond" w:cs="Times New Roman"/>
          <w:color w:val="000000"/>
          <w:sz w:val="24"/>
          <w:szCs w:val="24"/>
        </w:rPr>
        <w:lastRenderedPageBreak/>
        <w:t xml:space="preserve">parimeve themelore të procesit gjyqësor, si dhe kur këto pretendime gjejnë pasqyrim në materialet e çështjes, vendimi i dhomës së këshillimit për mospranimin e rekursit vë në dyshim të drejtën për një proces të rregullt ligjor </w:t>
      </w:r>
      <w:r w:rsidR="00CF59AA">
        <w:rPr>
          <w:rFonts w:ascii="Garamond" w:hAnsi="Garamond" w:cs="Times New Roman"/>
          <w:i/>
          <w:iCs/>
          <w:color w:val="000000"/>
          <w:sz w:val="24"/>
          <w:szCs w:val="24"/>
        </w:rPr>
        <w:t>(shih vendimet nr. 2, datë 11.2.2021; nr. 22, datë 6.6.2011; nr. 19, datë 19.</w:t>
      </w:r>
      <w:r w:rsidRPr="00CF59AA">
        <w:rPr>
          <w:rFonts w:ascii="Garamond" w:hAnsi="Garamond" w:cs="Times New Roman"/>
          <w:i/>
          <w:iCs/>
          <w:color w:val="000000"/>
          <w:sz w:val="24"/>
          <w:szCs w:val="24"/>
        </w:rPr>
        <w:t>7.2005</w:t>
      </w:r>
      <w:r w:rsidR="00CF59AA">
        <w:rPr>
          <w:rFonts w:ascii="Garamond" w:hAnsi="Garamond" w:cs="Times New Roman"/>
          <w:i/>
          <w:iCs/>
          <w:color w:val="000000"/>
          <w:sz w:val="24"/>
          <w:szCs w:val="24"/>
        </w:rPr>
        <w:t>,</w:t>
      </w:r>
      <w:r w:rsidRPr="00CF59AA">
        <w:rPr>
          <w:rFonts w:ascii="Garamond" w:hAnsi="Garamond" w:cs="Times New Roman"/>
          <w:i/>
          <w:iCs/>
          <w:color w:val="000000"/>
          <w:sz w:val="24"/>
          <w:szCs w:val="24"/>
        </w:rPr>
        <w:t xml:space="preserve"> të Gjykatës Kushtetuese).</w:t>
      </w:r>
    </w:p>
    <w:p w14:paraId="66EACE25" w14:textId="1C92ACCB"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59AA">
        <w:rPr>
          <w:rFonts w:ascii="Garamond" w:hAnsi="Garamond" w:cs="Times New Roman"/>
          <w:color w:val="000000"/>
          <w:sz w:val="24"/>
          <w:szCs w:val="24"/>
        </w:rPr>
        <w:t xml:space="preserve">27. Bazuar në standardet kushtetuese të sipërcituara, Gjykata do të vlerësojë nëse kërkuesja ka marrë përgjigje përfundimtare për pretendimin thelbësor të parashtruar gjatë gjykimit të çështjes së saj, që ka të bëjë me (pa)ligjshmërinë e procedurës së nxjerrjes së aktit të largimit të saj nga detyra. </w:t>
      </w:r>
    </w:p>
    <w:p w14:paraId="58F356C7" w14:textId="2D7AFB87"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59AA">
        <w:rPr>
          <w:rFonts w:ascii="Garamond" w:hAnsi="Garamond" w:cs="Times New Roman"/>
          <w:color w:val="000000"/>
          <w:sz w:val="24"/>
          <w:szCs w:val="24"/>
        </w:rPr>
        <w:t xml:space="preserve">28. Në rastin në shqyrtim, Gjykata vëren se procesi gjyqësor është vënë në lëvizje nga kërkuesja, e cila ka kërkuar konstatimin e pavlefshmërisë absolute të aktit të largimit nga detyra, kthimin në vendin e punës ose në një pozicion të barasvlershëm me të, si dhe dhënien e pagës si drejtoreshë e përgjithshme e </w:t>
      </w:r>
      <w:proofErr w:type="spellStart"/>
      <w:r w:rsidRPr="00CF59AA">
        <w:rPr>
          <w:rFonts w:ascii="Garamond" w:hAnsi="Garamond" w:cs="Times New Roman"/>
          <w:color w:val="000000"/>
          <w:sz w:val="24"/>
          <w:szCs w:val="24"/>
        </w:rPr>
        <w:t>APP</w:t>
      </w:r>
      <w:proofErr w:type="spellEnd"/>
      <w:r w:rsidRPr="00CF59AA">
        <w:rPr>
          <w:rFonts w:ascii="Garamond" w:hAnsi="Garamond" w:cs="Times New Roman"/>
          <w:color w:val="000000"/>
          <w:sz w:val="24"/>
          <w:szCs w:val="24"/>
        </w:rPr>
        <w:t>-së ose pagën e një pozicioni t</w:t>
      </w:r>
      <w:r w:rsidR="00CF59AA">
        <w:rPr>
          <w:rFonts w:ascii="Garamond" w:hAnsi="Garamond" w:cs="Times New Roman"/>
          <w:color w:val="000000"/>
          <w:sz w:val="24"/>
          <w:szCs w:val="24"/>
        </w:rPr>
        <w:t>ë barasvlershëm me të</w:t>
      </w:r>
      <w:r w:rsidR="00E81A7C">
        <w:rPr>
          <w:rFonts w:ascii="Garamond" w:hAnsi="Garamond" w:cs="Times New Roman"/>
          <w:color w:val="000000"/>
          <w:sz w:val="24"/>
          <w:szCs w:val="24"/>
        </w:rPr>
        <w:t>,</w:t>
      </w:r>
      <w:r w:rsidR="00CF59AA">
        <w:rPr>
          <w:rFonts w:ascii="Garamond" w:hAnsi="Garamond" w:cs="Times New Roman"/>
          <w:color w:val="000000"/>
          <w:sz w:val="24"/>
          <w:szCs w:val="24"/>
        </w:rPr>
        <w:t xml:space="preserve"> nga data 3.</w:t>
      </w:r>
      <w:r w:rsidRPr="00CF59AA">
        <w:rPr>
          <w:rFonts w:ascii="Garamond" w:hAnsi="Garamond" w:cs="Times New Roman"/>
          <w:color w:val="000000"/>
          <w:sz w:val="24"/>
          <w:szCs w:val="24"/>
        </w:rPr>
        <w:t xml:space="preserve">4.2014 deri në ditën e kthimit në punë. Në padi kërkuesja ka parashtruar se largimi i saj nga shërbimi civil është bërë në mënyrë të paligjshme, pa u zbatuar procedurat ligjore, duke mos i vënë në dispozicion aktet që dokumentonin shkeljet konkrete të pretenduara se janë kryer prej saj. Kërkuesja, në thelb, ka pretenduar se procedura administrative (disiplinore) e ndjekur për lirimin e saj nga shërbimi civil ka qenë formale vetëm në dukje, për sa kohë në aspektin substancial asaj nuk i është garantuar e drejta e mbrojtjes, në kushtet kur shkeljet disiplinore të </w:t>
      </w:r>
      <w:proofErr w:type="spellStart"/>
      <w:r w:rsidRPr="00CF59AA">
        <w:rPr>
          <w:rFonts w:ascii="Garamond" w:hAnsi="Garamond" w:cs="Times New Roman"/>
          <w:color w:val="000000"/>
          <w:sz w:val="24"/>
          <w:szCs w:val="24"/>
        </w:rPr>
        <w:t>atribuara</w:t>
      </w:r>
      <w:proofErr w:type="spellEnd"/>
      <w:r w:rsidRPr="00CF59AA">
        <w:rPr>
          <w:rFonts w:ascii="Garamond" w:hAnsi="Garamond" w:cs="Times New Roman"/>
          <w:color w:val="000000"/>
          <w:sz w:val="24"/>
          <w:szCs w:val="24"/>
        </w:rPr>
        <w:t xml:space="preserve"> janë formuluar në mënyrë të përgjithshme dhe, për më tepër, ato as nuk janë shoqëruar me aktet dokumentare që, sipas subjektit të interesuar, vërtetonin shkeljet. Ndonëse ajo ka kërkuar sqarime dhe aktet përkatëse dokumentare, kërkesa e saj nuk është marrë parasysh dhe asaj i është</w:t>
      </w:r>
      <w:r w:rsidR="00B007C3">
        <w:rPr>
          <w:rFonts w:ascii="Garamond" w:hAnsi="Garamond" w:cs="Times New Roman"/>
          <w:color w:val="000000"/>
          <w:sz w:val="24"/>
          <w:szCs w:val="24"/>
        </w:rPr>
        <w:t xml:space="preserve"> </w:t>
      </w:r>
      <w:r w:rsidRPr="00CF59AA">
        <w:rPr>
          <w:rFonts w:ascii="Garamond" w:hAnsi="Garamond" w:cs="Times New Roman"/>
          <w:color w:val="000000"/>
          <w:sz w:val="24"/>
          <w:szCs w:val="24"/>
        </w:rPr>
        <w:t xml:space="preserve">dhënë menjëherë masa disiplinore ekstreme e largimit nga shërbimi civil. Në këtë kuptim, sipas kërkueses, ajo është vënë në pamundësi për të paraqitur pretendimet dhe provat e saj për ekzistencën e fakteve dhe, po ashtu, për kualifikimin e tyre si shkelje disiplinore, sikundër në vijim edhe për rëndësinë e atyre shkeljeve, në pikëpamje të </w:t>
      </w:r>
      <w:proofErr w:type="spellStart"/>
      <w:r w:rsidRPr="00CF59AA">
        <w:rPr>
          <w:rFonts w:ascii="Garamond" w:hAnsi="Garamond" w:cs="Times New Roman"/>
          <w:color w:val="000000"/>
          <w:sz w:val="24"/>
          <w:szCs w:val="24"/>
        </w:rPr>
        <w:t>proporcionalitetit</w:t>
      </w:r>
      <w:proofErr w:type="spellEnd"/>
      <w:r w:rsidRPr="00CF59AA">
        <w:rPr>
          <w:rFonts w:ascii="Garamond" w:hAnsi="Garamond" w:cs="Times New Roman"/>
          <w:color w:val="000000"/>
          <w:sz w:val="24"/>
          <w:szCs w:val="24"/>
        </w:rPr>
        <w:t xml:space="preserve"> të masës disiplinore të propozuar.</w:t>
      </w:r>
      <w:r w:rsidR="00B007C3">
        <w:rPr>
          <w:rFonts w:ascii="Garamond" w:hAnsi="Garamond" w:cs="Times New Roman"/>
          <w:color w:val="000000"/>
          <w:sz w:val="24"/>
          <w:szCs w:val="24"/>
        </w:rPr>
        <w:t xml:space="preserve"> </w:t>
      </w:r>
    </w:p>
    <w:p w14:paraId="0A54FB5E" w14:textId="3DDFBEFB"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59AA">
        <w:rPr>
          <w:rFonts w:ascii="Garamond" w:hAnsi="Garamond" w:cs="Times New Roman"/>
          <w:color w:val="000000"/>
          <w:sz w:val="24"/>
          <w:szCs w:val="24"/>
        </w:rPr>
        <w:t xml:space="preserve">29. Gjykata e shkallës së parë ka arritur në përfundimin se pretendimet e kërkueses kishin të bënin me pavlefshmërinë relative të aktit të largimit nga detyra, duke arsyetuar se verifikimi i ligjshmërisë ose paligjshmërisë së aktit të largimit nga detyra nuk i përket gjykimit për pavlefshmëri absolute të aktit, pasi analiza e shkeljeve disiplinore të pretenduara nga organi punëdhënës është analizë e ligjit material dhe jo e atij procedural, ndaj bëhet në gjykimin për shfuqizimin e aktit dhe jo në atë për pavlefshmërinë absolute të tij. Më tej, gjykata e shkallës së parë ka evidentuar se ato pretendime ishin zgjidhur me vendimin gjyqësor përfundimtar të mëparshëm që kishte rrëzuar padinë për pavlefshmëri relative të aktit të largimit nga detyra, për shkak të </w:t>
      </w:r>
      <w:proofErr w:type="spellStart"/>
      <w:r w:rsidRPr="00CF59AA">
        <w:rPr>
          <w:rFonts w:ascii="Garamond" w:hAnsi="Garamond" w:cs="Times New Roman"/>
          <w:color w:val="000000"/>
          <w:sz w:val="24"/>
          <w:szCs w:val="24"/>
        </w:rPr>
        <w:t>moslegjitimimit</w:t>
      </w:r>
      <w:proofErr w:type="spellEnd"/>
      <w:r w:rsidRPr="00CF59AA">
        <w:rPr>
          <w:rFonts w:ascii="Garamond" w:hAnsi="Garamond" w:cs="Times New Roman"/>
          <w:color w:val="000000"/>
          <w:sz w:val="24"/>
          <w:szCs w:val="24"/>
        </w:rPr>
        <w:t xml:space="preserve"> pasiv të palës së paditur. Kundër këtij vendimi ka ushtruar ankim kërkuesja, e cila ka pretenduar se nga provat e administruara në gjykimin në shkallë të parë dhe analiza ligjore e tyre, ka rezultuar e provuar se nuk është depozituar asnjë akt dokumentues i shkeljeve të pretenduara nga punëdhënësi, duke mos u zbatuar në këtë mënyrë procedurat ligjore të kërkuara nga legjislacioni për nxjerrjen e aktit të largimit </w:t>
      </w:r>
      <w:r w:rsidRPr="00CF59AA">
        <w:rPr>
          <w:rFonts w:ascii="Garamond" w:hAnsi="Garamond" w:cs="Times New Roman"/>
          <w:sz w:val="24"/>
          <w:szCs w:val="24"/>
        </w:rPr>
        <w:t>nga detyra.</w:t>
      </w:r>
      <w:r w:rsidR="00B007C3">
        <w:rPr>
          <w:rFonts w:ascii="Garamond" w:hAnsi="Garamond" w:cs="Times New Roman"/>
          <w:sz w:val="24"/>
          <w:szCs w:val="24"/>
        </w:rPr>
        <w:t xml:space="preserve"> </w:t>
      </w:r>
    </w:p>
    <w:p w14:paraId="793C0E46" w14:textId="4645AB00"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59AA">
        <w:rPr>
          <w:rFonts w:ascii="Garamond" w:hAnsi="Garamond" w:cs="Times New Roman"/>
          <w:color w:val="000000"/>
          <w:sz w:val="24"/>
          <w:szCs w:val="24"/>
        </w:rPr>
        <w:t>30.</w:t>
      </w:r>
      <w:r w:rsidR="00B007C3">
        <w:rPr>
          <w:rFonts w:ascii="Garamond" w:hAnsi="Garamond" w:cs="Times New Roman"/>
          <w:color w:val="000000"/>
          <w:sz w:val="24"/>
          <w:szCs w:val="24"/>
        </w:rPr>
        <w:t xml:space="preserve"> </w:t>
      </w:r>
      <w:r w:rsidRPr="00CF59AA">
        <w:rPr>
          <w:rFonts w:ascii="Garamond" w:hAnsi="Garamond" w:cs="Times New Roman"/>
          <w:color w:val="000000"/>
          <w:sz w:val="24"/>
          <w:szCs w:val="24"/>
        </w:rPr>
        <w:t>Ndërkohë, gjykata e apelit është ndalur fillimisht në natyrën e gjykimit, duke iu referuar neneve 35 dhe 37</w:t>
      </w:r>
      <w:r w:rsidR="00B007C3">
        <w:rPr>
          <w:rFonts w:ascii="Garamond" w:hAnsi="Garamond" w:cs="Times New Roman"/>
          <w:color w:val="000000"/>
          <w:sz w:val="24"/>
          <w:szCs w:val="24"/>
        </w:rPr>
        <w:t>,</w:t>
      </w:r>
      <w:r w:rsidRPr="00CF59AA">
        <w:rPr>
          <w:rFonts w:ascii="Garamond" w:hAnsi="Garamond" w:cs="Times New Roman"/>
          <w:color w:val="000000"/>
          <w:sz w:val="24"/>
          <w:szCs w:val="24"/>
        </w:rPr>
        <w:t xml:space="preserve"> të ligjit nr. 49/2012, të cilat kanë parashikuar se është detyrim i organit publik të provojë ligjshmërinë e aktit administrativ, të nxjerrë jo me kërkesë të paditësit dhe të fakteve të parashtruara e të vëna në themel të veprimtarisë së kundërshtuar në gjykatë, si dhe është gjykata ajo që shqyrton ligjshmërinë e veprimit administrativ që kundërshtohet, në bazë të provave të paraqitura nga palët dhe të situatës ligjore e faktike që ekzistonte në kohën e kryerjes së veprimit konkret administrativ. Sipas asaj gjykate, edhe pse është konstatuar se organi administrativ që ka disponuar me aktin e largimit nga shërbimi civil nuk i ka shoqëruar me praktika konkrete kategoritë e shkeljeve të pretenduara se janë kryer nga kërkuesja, në mënyrë që kjo e fundit të provonte para gjykatës se shkeljet disiplinore që i vihen në ngarkim nuk qëndrojnë, në thelb ato janë shkaqe që ligjvënësi i lidh me rastet e paligjshmërisë të aktit administrativ</w:t>
      </w:r>
      <w:r w:rsidRPr="00CF59AA">
        <w:rPr>
          <w:rFonts w:ascii="Garamond" w:hAnsi="Garamond" w:cs="Times New Roman"/>
          <w:sz w:val="24"/>
          <w:szCs w:val="24"/>
        </w:rPr>
        <w:t xml:space="preserve">, sipas nenit 118 të Kodit të Procedurës Administrative </w:t>
      </w:r>
      <w:r w:rsidRPr="00CF59AA">
        <w:rPr>
          <w:rFonts w:ascii="Garamond" w:hAnsi="Garamond" w:cs="Times New Roman"/>
          <w:i/>
          <w:iCs/>
          <w:sz w:val="24"/>
          <w:szCs w:val="24"/>
        </w:rPr>
        <w:t>(</w:t>
      </w:r>
      <w:proofErr w:type="spellStart"/>
      <w:r w:rsidRPr="00CF59AA">
        <w:rPr>
          <w:rFonts w:ascii="Garamond" w:hAnsi="Garamond" w:cs="Times New Roman"/>
          <w:i/>
          <w:iCs/>
          <w:sz w:val="24"/>
          <w:szCs w:val="24"/>
        </w:rPr>
        <w:t>KPA</w:t>
      </w:r>
      <w:proofErr w:type="spellEnd"/>
      <w:r w:rsidRPr="00CF59AA">
        <w:rPr>
          <w:rFonts w:ascii="Garamond" w:hAnsi="Garamond" w:cs="Times New Roman"/>
          <w:i/>
          <w:iCs/>
          <w:sz w:val="24"/>
          <w:szCs w:val="24"/>
        </w:rPr>
        <w:t>),</w:t>
      </w:r>
      <w:r w:rsidRPr="00CF59AA">
        <w:rPr>
          <w:rFonts w:ascii="Garamond" w:hAnsi="Garamond" w:cs="Times New Roman"/>
          <w:sz w:val="24"/>
          <w:szCs w:val="24"/>
        </w:rPr>
        <w:t xml:space="preserve"> të cilat pasi janë shqyrtuar, janë rrëzuar nga gjykatat e faktit në procesin për pavlefshmëri relative të aktit administrativ. Akti i largimit nga detyra nuk paraqet elemente</w:t>
      </w:r>
      <w:r w:rsidR="00B007C3">
        <w:rPr>
          <w:rFonts w:ascii="Garamond" w:hAnsi="Garamond" w:cs="Times New Roman"/>
          <w:sz w:val="24"/>
          <w:szCs w:val="24"/>
        </w:rPr>
        <w:t xml:space="preserve"> </w:t>
      </w:r>
      <w:r w:rsidRPr="00CF59AA">
        <w:rPr>
          <w:rFonts w:ascii="Garamond" w:hAnsi="Garamond" w:cs="Times New Roman"/>
          <w:sz w:val="24"/>
          <w:szCs w:val="24"/>
        </w:rPr>
        <w:t>të pavlefshmërisë absolute,</w:t>
      </w:r>
      <w:r w:rsidR="00B007C3">
        <w:rPr>
          <w:rFonts w:ascii="Garamond" w:hAnsi="Garamond" w:cs="Times New Roman"/>
          <w:sz w:val="24"/>
          <w:szCs w:val="24"/>
        </w:rPr>
        <w:t xml:space="preserve"> </w:t>
      </w:r>
      <w:r w:rsidRPr="00CF59AA">
        <w:rPr>
          <w:rFonts w:ascii="Garamond" w:hAnsi="Garamond" w:cs="Times New Roman"/>
          <w:sz w:val="24"/>
          <w:szCs w:val="24"/>
        </w:rPr>
        <w:t>pasi është marrë nga një organ administrativ i identifikuar dhe brenda kompetencës së tij të përcaktuar në nenin 8</w:t>
      </w:r>
      <w:r w:rsidR="00B007C3">
        <w:rPr>
          <w:rFonts w:ascii="Garamond" w:hAnsi="Garamond" w:cs="Times New Roman"/>
          <w:sz w:val="24"/>
          <w:szCs w:val="24"/>
        </w:rPr>
        <w:t>,</w:t>
      </w:r>
      <w:r w:rsidRPr="00CF59AA">
        <w:rPr>
          <w:rFonts w:ascii="Garamond" w:hAnsi="Garamond" w:cs="Times New Roman"/>
          <w:sz w:val="24"/>
          <w:szCs w:val="24"/>
        </w:rPr>
        <w:t xml:space="preserve"> të ligjit </w:t>
      </w:r>
      <w:r w:rsidR="00B007C3">
        <w:rPr>
          <w:rFonts w:ascii="Garamond" w:hAnsi="Garamond" w:cs="Times New Roman"/>
          <w:sz w:val="24"/>
          <w:szCs w:val="24"/>
        </w:rPr>
        <w:t>nr. 9000, datë 30.</w:t>
      </w:r>
      <w:r w:rsidRPr="00CF59AA">
        <w:rPr>
          <w:rFonts w:ascii="Garamond" w:hAnsi="Garamond" w:cs="Times New Roman"/>
          <w:sz w:val="24"/>
          <w:szCs w:val="24"/>
        </w:rPr>
        <w:t>1.2003</w:t>
      </w:r>
      <w:r w:rsidR="00B007C3">
        <w:rPr>
          <w:rFonts w:ascii="Garamond" w:hAnsi="Garamond" w:cs="Times New Roman"/>
          <w:sz w:val="24"/>
          <w:szCs w:val="24"/>
        </w:rPr>
        <w:t>,</w:t>
      </w:r>
      <w:r w:rsidRPr="00CF59AA">
        <w:rPr>
          <w:rFonts w:ascii="Garamond" w:hAnsi="Garamond" w:cs="Times New Roman"/>
          <w:sz w:val="24"/>
          <w:szCs w:val="24"/>
        </w:rPr>
        <w:t xml:space="preserve"> “Për organizimin dhe funksionimin e Këshillit të Ministrave”, nenin 25</w:t>
      </w:r>
      <w:r w:rsidR="00B007C3">
        <w:rPr>
          <w:rFonts w:ascii="Garamond" w:hAnsi="Garamond" w:cs="Times New Roman"/>
          <w:sz w:val="24"/>
          <w:szCs w:val="24"/>
        </w:rPr>
        <w:t>,</w:t>
      </w:r>
      <w:r w:rsidRPr="00CF59AA">
        <w:rPr>
          <w:rFonts w:ascii="Garamond" w:hAnsi="Garamond" w:cs="Times New Roman"/>
          <w:sz w:val="24"/>
          <w:szCs w:val="24"/>
        </w:rPr>
        <w:t xml:space="preserve"> të ligjit nr. 8549/1999</w:t>
      </w:r>
      <w:r w:rsidR="00B007C3">
        <w:rPr>
          <w:rFonts w:ascii="Garamond" w:hAnsi="Garamond" w:cs="Times New Roman"/>
          <w:sz w:val="24"/>
          <w:szCs w:val="24"/>
        </w:rPr>
        <w:t xml:space="preserve"> </w:t>
      </w:r>
      <w:r w:rsidRPr="00CF59AA">
        <w:rPr>
          <w:rFonts w:ascii="Garamond" w:hAnsi="Garamond" w:cs="Times New Roman"/>
          <w:sz w:val="24"/>
          <w:szCs w:val="24"/>
        </w:rPr>
        <w:t xml:space="preserve">(ligji i zbatueshëm në momentin e largimit të kërkueses nga shërbimi civil) dhe </w:t>
      </w:r>
      <w:proofErr w:type="spellStart"/>
      <w:r w:rsidRPr="00CF59AA">
        <w:rPr>
          <w:rFonts w:ascii="Garamond" w:hAnsi="Garamond" w:cs="Times New Roman"/>
          <w:sz w:val="24"/>
          <w:szCs w:val="24"/>
        </w:rPr>
        <w:t>VKM</w:t>
      </w:r>
      <w:proofErr w:type="spellEnd"/>
      <w:r w:rsidRPr="00CF59AA">
        <w:rPr>
          <w:rFonts w:ascii="Garamond" w:hAnsi="Garamond" w:cs="Times New Roman"/>
          <w:sz w:val="24"/>
          <w:szCs w:val="24"/>
        </w:rPr>
        <w:t>-</w:t>
      </w:r>
      <w:r w:rsidR="00B007C3">
        <w:rPr>
          <w:rFonts w:ascii="Garamond" w:hAnsi="Garamond" w:cs="Times New Roman"/>
          <w:sz w:val="24"/>
          <w:szCs w:val="24"/>
        </w:rPr>
        <w:t>së nr. 306, datë 13.</w:t>
      </w:r>
      <w:r w:rsidRPr="00CF59AA">
        <w:rPr>
          <w:rFonts w:ascii="Garamond" w:hAnsi="Garamond" w:cs="Times New Roman"/>
          <w:sz w:val="24"/>
          <w:szCs w:val="24"/>
        </w:rPr>
        <w:t>6.2000</w:t>
      </w:r>
      <w:r w:rsidR="00B007C3">
        <w:rPr>
          <w:rFonts w:ascii="Garamond" w:hAnsi="Garamond" w:cs="Times New Roman"/>
          <w:sz w:val="24"/>
          <w:szCs w:val="24"/>
        </w:rPr>
        <w:t>,</w:t>
      </w:r>
      <w:r w:rsidRPr="00CF59AA">
        <w:rPr>
          <w:rFonts w:ascii="Garamond" w:hAnsi="Garamond" w:cs="Times New Roman"/>
          <w:sz w:val="24"/>
          <w:szCs w:val="24"/>
        </w:rPr>
        <w:t xml:space="preserve"> “Për disiplinën në shërbimin civil”.</w:t>
      </w:r>
      <w:r w:rsidR="00B007C3">
        <w:rPr>
          <w:rFonts w:ascii="Garamond" w:hAnsi="Garamond" w:cs="Times New Roman"/>
          <w:sz w:val="24"/>
          <w:szCs w:val="24"/>
        </w:rPr>
        <w:t xml:space="preserve"> </w:t>
      </w:r>
      <w:r w:rsidRPr="00CF59AA">
        <w:rPr>
          <w:rFonts w:ascii="Garamond" w:hAnsi="Garamond" w:cs="Times New Roman"/>
          <w:sz w:val="24"/>
          <w:szCs w:val="24"/>
        </w:rPr>
        <w:t xml:space="preserve">Kundër këtij vendimi ka ushtruar rekurs kërkuesja, e cila ka pretenduar sërish se gjatë gjykimit nuk është paraqitur asnjë akt që të vërtetojë ndjekjen e procedurave të parashikuara nga ligji për nxjerrjen e aktit të largimit nga detyra, si dhe mungesa e provave shkresore e ka kthyer në një akt absolutisht të pavlefshëm. Në vijim, </w:t>
      </w:r>
      <w:r w:rsidRPr="00CF59AA">
        <w:rPr>
          <w:rFonts w:ascii="Garamond" w:hAnsi="Garamond" w:cs="Times New Roman"/>
          <w:color w:val="000000"/>
          <w:sz w:val="24"/>
          <w:szCs w:val="24"/>
        </w:rPr>
        <w:t xml:space="preserve">Gjykata e </w:t>
      </w:r>
      <w:r w:rsidRPr="00CF59AA">
        <w:rPr>
          <w:rFonts w:ascii="Garamond" w:hAnsi="Garamond" w:cs="Times New Roman"/>
          <w:color w:val="000000"/>
          <w:spacing w:val="15"/>
          <w:sz w:val="24"/>
          <w:szCs w:val="24"/>
        </w:rPr>
        <w:t>Lartë</w:t>
      </w:r>
      <w:r w:rsidRPr="00CF59AA">
        <w:rPr>
          <w:rFonts w:ascii="Garamond" w:hAnsi="Garamond" w:cs="Times New Roman"/>
          <w:color w:val="000000"/>
          <w:sz w:val="24"/>
          <w:szCs w:val="24"/>
        </w:rPr>
        <w:t xml:space="preserve"> ka vendosur mospranimin e rekursit të kërkueses, me arsyetimin se ai nuk përmbante shkaqe nga ato të parashikuara në nenin 58</w:t>
      </w:r>
      <w:r w:rsidR="00B007C3">
        <w:rPr>
          <w:rFonts w:ascii="Garamond" w:hAnsi="Garamond" w:cs="Times New Roman"/>
          <w:color w:val="000000"/>
          <w:sz w:val="24"/>
          <w:szCs w:val="24"/>
        </w:rPr>
        <w:t>,</w:t>
      </w:r>
      <w:r w:rsidRPr="00CF59AA">
        <w:rPr>
          <w:rFonts w:ascii="Garamond" w:hAnsi="Garamond" w:cs="Times New Roman"/>
          <w:color w:val="000000"/>
          <w:sz w:val="24"/>
          <w:szCs w:val="24"/>
        </w:rPr>
        <w:t xml:space="preserve"> të ligjit nr. 49/2012. </w:t>
      </w:r>
    </w:p>
    <w:p w14:paraId="0FFC9E6D" w14:textId="080E8122"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59AA">
        <w:rPr>
          <w:rFonts w:ascii="Garamond" w:hAnsi="Garamond" w:cs="Times New Roman"/>
          <w:color w:val="000000"/>
          <w:sz w:val="24"/>
          <w:szCs w:val="24"/>
        </w:rPr>
        <w:t xml:space="preserve">31. Për sa më sipër Gjykata vëren se, ndonëse në objektin e padisë së kërkueses është kërkuar konstatimi i pavlefshmërisë absolute të vendimit për largimin e saj nga shërbimi civil mbi shkakun se ai është nxjerrë në kundërshtim me procedurën e kërkuar nga ligji, duke iu referuar për këtë </w:t>
      </w:r>
      <w:proofErr w:type="spellStart"/>
      <w:r w:rsidRPr="00CF59AA">
        <w:rPr>
          <w:rFonts w:ascii="Garamond" w:hAnsi="Garamond" w:cs="Times New Roman"/>
          <w:color w:val="000000"/>
          <w:sz w:val="24"/>
          <w:szCs w:val="24"/>
        </w:rPr>
        <w:t>KPA</w:t>
      </w:r>
      <w:proofErr w:type="spellEnd"/>
      <w:r w:rsidRPr="00CF59AA">
        <w:rPr>
          <w:rFonts w:ascii="Garamond" w:hAnsi="Garamond" w:cs="Times New Roman"/>
          <w:color w:val="000000"/>
          <w:sz w:val="24"/>
          <w:szCs w:val="24"/>
        </w:rPr>
        <w:t xml:space="preserve">-së në fuqi (neni 116, shkronja “c”), gjykatat e zakonshme të faktit, këtij pretendimi të kërkueses, i janë përgjigjur se, në thelb, përmes tij, kundërshtohej ligjshmëria e aktit administrativ, pra synohej pavlefshmëria relative e tij sipas nenit 118 të </w:t>
      </w:r>
      <w:proofErr w:type="spellStart"/>
      <w:r w:rsidRPr="00CF59AA">
        <w:rPr>
          <w:rFonts w:ascii="Garamond" w:hAnsi="Garamond" w:cs="Times New Roman"/>
          <w:color w:val="000000"/>
          <w:sz w:val="24"/>
          <w:szCs w:val="24"/>
        </w:rPr>
        <w:t>KPA</w:t>
      </w:r>
      <w:proofErr w:type="spellEnd"/>
      <w:r w:rsidRPr="00CF59AA">
        <w:rPr>
          <w:rFonts w:ascii="Garamond" w:hAnsi="Garamond" w:cs="Times New Roman"/>
          <w:color w:val="000000"/>
          <w:sz w:val="24"/>
          <w:szCs w:val="24"/>
        </w:rPr>
        <w:t>-së, çka, sipas tyre, përbënte gjë të gjykuar. Po ashtu, gjykata e apelit ka arsyetuar edhe se akti i largimit nga detyra nuk paraqet elemente</w:t>
      </w:r>
      <w:r w:rsidR="00B007C3">
        <w:rPr>
          <w:rFonts w:ascii="Garamond" w:hAnsi="Garamond" w:cs="Times New Roman"/>
          <w:color w:val="000000"/>
          <w:sz w:val="24"/>
          <w:szCs w:val="24"/>
        </w:rPr>
        <w:t xml:space="preserve"> </w:t>
      </w:r>
      <w:r w:rsidRPr="00CF59AA">
        <w:rPr>
          <w:rFonts w:ascii="Garamond" w:hAnsi="Garamond" w:cs="Times New Roman"/>
          <w:color w:val="000000"/>
          <w:sz w:val="24"/>
          <w:szCs w:val="24"/>
        </w:rPr>
        <w:t>të pavlefshmërisë absolute</w:t>
      </w:r>
      <w:r w:rsidRPr="00CF59AA">
        <w:rPr>
          <w:rFonts w:ascii="Garamond" w:hAnsi="Garamond" w:cs="Times New Roman"/>
          <w:sz w:val="24"/>
          <w:szCs w:val="24"/>
        </w:rPr>
        <w:t>, pasi është marrë nga një organ administrativ i identifikuar dhe brenda kompetencës së tij, referuar shkronjave “a” dhe “b”</w:t>
      </w:r>
      <w:r w:rsidR="00B007C3">
        <w:rPr>
          <w:rFonts w:ascii="Garamond" w:hAnsi="Garamond" w:cs="Times New Roman"/>
          <w:sz w:val="24"/>
          <w:szCs w:val="24"/>
        </w:rPr>
        <w:t>,</w:t>
      </w:r>
      <w:r w:rsidRPr="00CF59AA">
        <w:rPr>
          <w:rFonts w:ascii="Garamond" w:hAnsi="Garamond" w:cs="Times New Roman"/>
          <w:sz w:val="24"/>
          <w:szCs w:val="24"/>
        </w:rPr>
        <w:t xml:space="preserve"> të nenit 116 të </w:t>
      </w:r>
      <w:proofErr w:type="spellStart"/>
      <w:r w:rsidRPr="00CF59AA">
        <w:rPr>
          <w:rFonts w:ascii="Garamond" w:hAnsi="Garamond" w:cs="Times New Roman"/>
          <w:sz w:val="24"/>
          <w:szCs w:val="24"/>
        </w:rPr>
        <w:t>KPA</w:t>
      </w:r>
      <w:proofErr w:type="spellEnd"/>
      <w:r w:rsidRPr="00CF59AA">
        <w:rPr>
          <w:rFonts w:ascii="Garamond" w:hAnsi="Garamond" w:cs="Times New Roman"/>
          <w:sz w:val="24"/>
          <w:szCs w:val="24"/>
        </w:rPr>
        <w:t xml:space="preserve">-së, por pa vënë në diskutim dhe kthyer përgjigje për shkakun e pretenduar nga kërkuesja sipas shkronjës “c” të këtij neni. </w:t>
      </w:r>
      <w:r w:rsidRPr="00CF59AA">
        <w:rPr>
          <w:rFonts w:ascii="Garamond" w:hAnsi="Garamond" w:cs="Times New Roman"/>
          <w:color w:val="000000"/>
          <w:sz w:val="24"/>
          <w:szCs w:val="24"/>
        </w:rPr>
        <w:t xml:space="preserve">Ndërkohë, Gjykata e Lartë, si gjykatë ligji, megjithëse ndodhej përpara një pretendimi me natyrë kushtetuese, atë të së drejtës së </w:t>
      </w:r>
      <w:proofErr w:type="spellStart"/>
      <w:r w:rsidRPr="00CF59AA">
        <w:rPr>
          <w:rFonts w:ascii="Garamond" w:hAnsi="Garamond" w:cs="Times New Roman"/>
          <w:color w:val="000000"/>
          <w:sz w:val="24"/>
          <w:szCs w:val="24"/>
        </w:rPr>
        <w:t>aksesit</w:t>
      </w:r>
      <w:proofErr w:type="spellEnd"/>
      <w:r w:rsidRPr="00CF59AA">
        <w:rPr>
          <w:rFonts w:ascii="Garamond" w:hAnsi="Garamond" w:cs="Times New Roman"/>
          <w:color w:val="000000"/>
          <w:sz w:val="24"/>
          <w:szCs w:val="24"/>
        </w:rPr>
        <w:t xml:space="preserve">, në ushtrim të funksionit të saj dhe parimit të </w:t>
      </w:r>
      <w:proofErr w:type="spellStart"/>
      <w:r w:rsidRPr="00CF59AA">
        <w:rPr>
          <w:rFonts w:ascii="Garamond" w:hAnsi="Garamond" w:cs="Times New Roman"/>
          <w:color w:val="000000"/>
          <w:sz w:val="24"/>
          <w:szCs w:val="24"/>
        </w:rPr>
        <w:t>subsidiaritetit</w:t>
      </w:r>
      <w:proofErr w:type="spellEnd"/>
      <w:r w:rsidRPr="00CF59AA">
        <w:rPr>
          <w:rFonts w:ascii="Garamond" w:hAnsi="Garamond" w:cs="Times New Roman"/>
          <w:color w:val="000000"/>
          <w:sz w:val="24"/>
          <w:szCs w:val="24"/>
        </w:rPr>
        <w:t xml:space="preserve"> duhej të kishte mbajtur një qëndrim të shprehur në drejtim të pretendimit të kërkueses. Mospranimi i rekursit të kërkueses nga Gjykata e Lartë, duke u mjaftuar vetëm me shqyrtimin </w:t>
      </w:r>
      <w:r w:rsidRPr="00CF59AA">
        <w:rPr>
          <w:rFonts w:ascii="Garamond" w:hAnsi="Garamond" w:cs="Times New Roman"/>
          <w:i/>
          <w:iCs/>
          <w:color w:val="000000"/>
          <w:sz w:val="24"/>
          <w:szCs w:val="24"/>
        </w:rPr>
        <w:t>de plano</w:t>
      </w:r>
      <w:r w:rsidRPr="00CF59AA">
        <w:rPr>
          <w:rFonts w:ascii="Garamond" w:hAnsi="Garamond" w:cs="Times New Roman"/>
          <w:color w:val="000000"/>
          <w:sz w:val="24"/>
          <w:szCs w:val="24"/>
        </w:rPr>
        <w:t xml:space="preserve"> të çështjes dhe me arsyetimin e kufizuar se shkaqet e rekursit nuk janë nga ato të parashikuara nga ligji, pa i dhënë përgjigje të arsyetuar pretendimit me natyrë kushtetuese, ka vënë në dyshim respektimin dhe mbrojtjen e të drejtave themelore kushtetuese të kërkueses.</w:t>
      </w:r>
    </w:p>
    <w:p w14:paraId="69566CF9" w14:textId="5F0080AF"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r w:rsidRPr="00CF59AA">
        <w:rPr>
          <w:rFonts w:ascii="Garamond" w:hAnsi="Garamond" w:cs="Times New Roman"/>
          <w:color w:val="000000"/>
          <w:sz w:val="24"/>
          <w:szCs w:val="24"/>
        </w:rPr>
        <w:t>32. Në përmbledhje të argumenteve të mësipërme, Gjykata arrin në përfundimin</w:t>
      </w:r>
      <w:r w:rsidR="00B007C3">
        <w:rPr>
          <w:rFonts w:ascii="Garamond" w:hAnsi="Garamond" w:cs="Times New Roman"/>
          <w:color w:val="000000"/>
          <w:sz w:val="24"/>
          <w:szCs w:val="24"/>
        </w:rPr>
        <w:t xml:space="preserve"> </w:t>
      </w:r>
      <w:r w:rsidRPr="00CF59AA">
        <w:rPr>
          <w:rFonts w:ascii="Garamond" w:hAnsi="Garamond" w:cs="Times New Roman"/>
          <w:color w:val="000000"/>
          <w:sz w:val="24"/>
          <w:szCs w:val="24"/>
        </w:rPr>
        <w:t xml:space="preserve">se në rastin konkret pretendimi i kërkueses për cenimin e së drejtës për proces të rregullt ligjor në drejtim të </w:t>
      </w:r>
      <w:proofErr w:type="spellStart"/>
      <w:r w:rsidRPr="00CF59AA">
        <w:rPr>
          <w:rFonts w:ascii="Garamond" w:hAnsi="Garamond" w:cs="Times New Roman"/>
          <w:color w:val="000000"/>
          <w:sz w:val="24"/>
          <w:szCs w:val="24"/>
        </w:rPr>
        <w:t>aksesit</w:t>
      </w:r>
      <w:proofErr w:type="spellEnd"/>
      <w:r w:rsidRPr="00CF59AA">
        <w:rPr>
          <w:rFonts w:ascii="Garamond" w:hAnsi="Garamond" w:cs="Times New Roman"/>
          <w:color w:val="000000"/>
          <w:sz w:val="24"/>
          <w:szCs w:val="24"/>
        </w:rPr>
        <w:t xml:space="preserve"> substancial të lidhur me standardin e arsyetimit të vendimit gjyqësor është i bazuar.</w:t>
      </w:r>
    </w:p>
    <w:p w14:paraId="339F8132" w14:textId="59505AED"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r w:rsidRPr="00CF59AA">
        <w:rPr>
          <w:rFonts w:ascii="Garamond" w:hAnsi="Garamond" w:cs="Times New Roman"/>
          <w:color w:val="000000"/>
          <w:sz w:val="24"/>
          <w:szCs w:val="24"/>
        </w:rPr>
        <w:t>33. Në përfundim, Gjykata çmon se kërkesa e kërkueses duhet të pranohet pjesërisht, sipas arsyetimit të mësipërm të këtij vendimi.</w:t>
      </w:r>
    </w:p>
    <w:p w14:paraId="092C34DB" w14:textId="77777777"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7FF4794A" w14:textId="77777777"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60DE13E0" w14:textId="77777777" w:rsidR="00C852F1" w:rsidRPr="00B007C3" w:rsidRDefault="00C852F1" w:rsidP="00C852F1">
      <w:pPr>
        <w:autoSpaceDE w:val="0"/>
        <w:autoSpaceDN w:val="0"/>
        <w:adjustRightInd w:val="0"/>
        <w:spacing w:after="0" w:line="240" w:lineRule="auto"/>
        <w:ind w:firstLine="284"/>
        <w:jc w:val="center"/>
        <w:rPr>
          <w:rFonts w:ascii="Garamond" w:hAnsi="Garamond" w:cs="Times New Roman"/>
          <w:color w:val="000000"/>
          <w:sz w:val="24"/>
          <w:szCs w:val="24"/>
        </w:rPr>
      </w:pPr>
      <w:r w:rsidRPr="00B007C3">
        <w:rPr>
          <w:rFonts w:ascii="Garamond" w:hAnsi="Garamond" w:cs="Times New Roman"/>
          <w:bCs/>
          <w:color w:val="000000"/>
          <w:sz w:val="24"/>
          <w:szCs w:val="24"/>
        </w:rPr>
        <w:t>PËR KËTO ARSYE,</w:t>
      </w:r>
    </w:p>
    <w:p w14:paraId="0968C999" w14:textId="77777777" w:rsidR="000F10F0" w:rsidRPr="00CF59AA" w:rsidRDefault="000F10F0" w:rsidP="00C852F1">
      <w:pPr>
        <w:autoSpaceDE w:val="0"/>
        <w:autoSpaceDN w:val="0"/>
        <w:adjustRightInd w:val="0"/>
        <w:spacing w:after="0" w:line="240" w:lineRule="auto"/>
        <w:ind w:firstLine="284"/>
        <w:jc w:val="both"/>
        <w:rPr>
          <w:rFonts w:ascii="Garamond" w:hAnsi="Garamond" w:cs="Times New Roman"/>
          <w:color w:val="000000"/>
          <w:sz w:val="24"/>
          <w:szCs w:val="24"/>
        </w:rPr>
      </w:pPr>
    </w:p>
    <w:p w14:paraId="42AD6C4A" w14:textId="5E9073F3" w:rsidR="00C852F1" w:rsidRPr="00CF59AA" w:rsidRDefault="00C852F1" w:rsidP="00C852F1">
      <w:pPr>
        <w:autoSpaceDE w:val="0"/>
        <w:autoSpaceDN w:val="0"/>
        <w:adjustRightInd w:val="0"/>
        <w:spacing w:after="0" w:line="240" w:lineRule="auto"/>
        <w:ind w:firstLine="284"/>
        <w:jc w:val="both"/>
        <w:rPr>
          <w:rFonts w:ascii="Garamond" w:hAnsi="Garamond" w:cs="Times New Roman"/>
          <w:color w:val="000000"/>
          <w:sz w:val="24"/>
          <w:szCs w:val="24"/>
        </w:rPr>
      </w:pPr>
      <w:r w:rsidRPr="00CF59AA">
        <w:rPr>
          <w:rFonts w:ascii="Garamond" w:hAnsi="Garamond" w:cs="Times New Roman"/>
          <w:color w:val="000000"/>
          <w:sz w:val="24"/>
          <w:szCs w:val="24"/>
        </w:rPr>
        <w:t>Gjykata Kushtetuese, në mbështetje të neneve 131, pika 1, shkronja “f” dhe 134, pika 1, shkronja “i”, të Kushtetutës, si dhe neneve 72 e vijues</w:t>
      </w:r>
      <w:r w:rsidR="00B007C3">
        <w:rPr>
          <w:rFonts w:ascii="Garamond" w:hAnsi="Garamond" w:cs="Times New Roman"/>
          <w:color w:val="000000"/>
          <w:sz w:val="24"/>
          <w:szCs w:val="24"/>
        </w:rPr>
        <w:t>, të ligjit nr. 8577, datë 10.</w:t>
      </w:r>
      <w:r w:rsidRPr="00CF59AA">
        <w:rPr>
          <w:rFonts w:ascii="Garamond" w:hAnsi="Garamond" w:cs="Times New Roman"/>
          <w:color w:val="000000"/>
          <w:sz w:val="24"/>
          <w:szCs w:val="24"/>
        </w:rPr>
        <w:t>2.2000</w:t>
      </w:r>
      <w:r w:rsidR="00B007C3">
        <w:rPr>
          <w:rFonts w:ascii="Garamond" w:hAnsi="Garamond" w:cs="Times New Roman"/>
          <w:color w:val="000000"/>
          <w:sz w:val="24"/>
          <w:szCs w:val="24"/>
        </w:rPr>
        <w:t>,</w:t>
      </w:r>
      <w:r w:rsidRPr="00CF59AA">
        <w:rPr>
          <w:rFonts w:ascii="Garamond" w:hAnsi="Garamond" w:cs="Times New Roman"/>
          <w:color w:val="000000"/>
          <w:sz w:val="24"/>
          <w:szCs w:val="24"/>
        </w:rPr>
        <w:t xml:space="preserve"> “Për organizimin dhe funksionimin e Gjykatës Kushtetuese të Republikës së Shqipërisë”, të ndryshuar, me shumicë votash,</w:t>
      </w:r>
    </w:p>
    <w:p w14:paraId="12202CA6" w14:textId="77777777" w:rsidR="00C852F1" w:rsidRPr="00CF59AA" w:rsidRDefault="00C852F1" w:rsidP="00C852F1">
      <w:pPr>
        <w:autoSpaceDE w:val="0"/>
        <w:autoSpaceDN w:val="0"/>
        <w:adjustRightInd w:val="0"/>
        <w:spacing w:after="0" w:line="240" w:lineRule="auto"/>
        <w:ind w:firstLine="284"/>
        <w:rPr>
          <w:rFonts w:ascii="Garamond" w:hAnsi="Garamond" w:cs="Times New Roman"/>
          <w:b/>
          <w:bCs/>
          <w:color w:val="000000"/>
          <w:sz w:val="24"/>
          <w:szCs w:val="24"/>
        </w:rPr>
      </w:pPr>
    </w:p>
    <w:p w14:paraId="775DA701" w14:textId="66DB6016" w:rsidR="00C852F1" w:rsidRPr="00CF59AA" w:rsidRDefault="00C852F1" w:rsidP="000F10F0">
      <w:pPr>
        <w:autoSpaceDE w:val="0"/>
        <w:autoSpaceDN w:val="0"/>
        <w:adjustRightInd w:val="0"/>
        <w:spacing w:after="0" w:line="240" w:lineRule="auto"/>
        <w:ind w:firstLine="284"/>
        <w:jc w:val="center"/>
        <w:rPr>
          <w:rFonts w:ascii="Garamond" w:hAnsi="Garamond" w:cs="Times New Roman"/>
          <w:bCs/>
          <w:color w:val="000000"/>
          <w:sz w:val="24"/>
          <w:szCs w:val="24"/>
        </w:rPr>
      </w:pPr>
      <w:r w:rsidRPr="00CF59AA">
        <w:rPr>
          <w:rFonts w:ascii="Garamond" w:hAnsi="Garamond" w:cs="Times New Roman"/>
          <w:bCs/>
          <w:color w:val="000000"/>
          <w:sz w:val="24"/>
          <w:szCs w:val="24"/>
        </w:rPr>
        <w:t>VENDOSI:</w:t>
      </w:r>
    </w:p>
    <w:p w14:paraId="005A7094" w14:textId="77777777" w:rsidR="000F10F0" w:rsidRPr="00CF59AA" w:rsidRDefault="000F10F0" w:rsidP="00C852F1">
      <w:pPr>
        <w:autoSpaceDE w:val="0"/>
        <w:autoSpaceDN w:val="0"/>
        <w:adjustRightInd w:val="0"/>
        <w:spacing w:after="0" w:line="240" w:lineRule="auto"/>
        <w:ind w:firstLine="284"/>
        <w:jc w:val="both"/>
        <w:rPr>
          <w:rFonts w:ascii="Garamond" w:hAnsi="Garamond" w:cs="Times New Roman"/>
          <w:color w:val="000000"/>
          <w:sz w:val="24"/>
          <w:szCs w:val="24"/>
        </w:rPr>
      </w:pPr>
    </w:p>
    <w:p w14:paraId="5EDCD53C" w14:textId="2267BA15" w:rsidR="00C852F1" w:rsidRPr="00CF59AA" w:rsidRDefault="00C852F1" w:rsidP="00C852F1">
      <w:pPr>
        <w:autoSpaceDE w:val="0"/>
        <w:autoSpaceDN w:val="0"/>
        <w:adjustRightInd w:val="0"/>
        <w:spacing w:after="0" w:line="240" w:lineRule="auto"/>
        <w:ind w:firstLine="284"/>
        <w:jc w:val="both"/>
        <w:rPr>
          <w:rFonts w:ascii="Garamond" w:hAnsi="Garamond" w:cs="Times New Roman"/>
          <w:color w:val="000000"/>
          <w:sz w:val="24"/>
          <w:szCs w:val="24"/>
        </w:rPr>
      </w:pPr>
      <w:r w:rsidRPr="00CF59AA">
        <w:rPr>
          <w:rFonts w:ascii="Garamond" w:hAnsi="Garamond" w:cs="Times New Roman"/>
          <w:color w:val="000000"/>
          <w:sz w:val="24"/>
          <w:szCs w:val="24"/>
        </w:rPr>
        <w:t xml:space="preserve">1. Pranimin pjesërisht të kërkesës. </w:t>
      </w:r>
    </w:p>
    <w:p w14:paraId="58ED5302" w14:textId="66BD1FCB" w:rsidR="00C852F1" w:rsidRPr="00CF59AA" w:rsidRDefault="00C852F1" w:rsidP="00C852F1">
      <w:pPr>
        <w:autoSpaceDE w:val="0"/>
        <w:autoSpaceDN w:val="0"/>
        <w:adjustRightInd w:val="0"/>
        <w:spacing w:after="0" w:line="240" w:lineRule="auto"/>
        <w:ind w:firstLine="284"/>
        <w:jc w:val="both"/>
        <w:rPr>
          <w:rFonts w:ascii="Garamond" w:hAnsi="Garamond" w:cs="Times New Roman"/>
          <w:color w:val="000000"/>
          <w:sz w:val="24"/>
          <w:szCs w:val="24"/>
        </w:rPr>
      </w:pPr>
      <w:r w:rsidRPr="00CF59AA">
        <w:rPr>
          <w:rFonts w:ascii="Garamond" w:hAnsi="Garamond" w:cs="Times New Roman"/>
          <w:color w:val="000000"/>
          <w:sz w:val="24"/>
          <w:szCs w:val="24"/>
        </w:rPr>
        <w:t>2. Shfuqizimin e vendimit nr. 00-2024-4952, datë 11.12.2024</w:t>
      </w:r>
      <w:r w:rsidR="00B007C3">
        <w:rPr>
          <w:rFonts w:ascii="Garamond" w:hAnsi="Garamond" w:cs="Times New Roman"/>
          <w:color w:val="000000"/>
          <w:sz w:val="24"/>
          <w:szCs w:val="24"/>
        </w:rPr>
        <w:t>,</w:t>
      </w:r>
      <w:r w:rsidRPr="00CF59AA">
        <w:rPr>
          <w:rFonts w:ascii="Garamond" w:hAnsi="Garamond" w:cs="Times New Roman"/>
          <w:color w:val="000000"/>
          <w:sz w:val="24"/>
          <w:szCs w:val="24"/>
        </w:rPr>
        <w:t xml:space="preserve"> të Kolegjit Administrativ të Gjykatës së Lartë, si të papajtueshëm me Kushtetutën e Republikës së Shqipërisë.</w:t>
      </w:r>
    </w:p>
    <w:p w14:paraId="2396695E" w14:textId="05F7315F" w:rsidR="00C852F1" w:rsidRPr="00CF59AA" w:rsidRDefault="00C852F1" w:rsidP="00C852F1">
      <w:pPr>
        <w:autoSpaceDE w:val="0"/>
        <w:autoSpaceDN w:val="0"/>
        <w:adjustRightInd w:val="0"/>
        <w:spacing w:after="0" w:line="240" w:lineRule="auto"/>
        <w:ind w:firstLine="284"/>
        <w:jc w:val="both"/>
        <w:rPr>
          <w:rFonts w:ascii="Garamond" w:hAnsi="Garamond" w:cs="Times New Roman"/>
          <w:color w:val="000000"/>
          <w:sz w:val="24"/>
          <w:szCs w:val="24"/>
        </w:rPr>
      </w:pPr>
      <w:r w:rsidRPr="00CF59AA">
        <w:rPr>
          <w:rFonts w:ascii="Garamond" w:hAnsi="Garamond" w:cs="Times New Roman"/>
          <w:color w:val="000000"/>
          <w:sz w:val="24"/>
          <w:szCs w:val="24"/>
        </w:rPr>
        <w:t>3. Dërgimin e çështjes për rishqyrtim në Gjykatën e Lartë.</w:t>
      </w:r>
    </w:p>
    <w:p w14:paraId="5C54F55E" w14:textId="0079ABE1" w:rsidR="00C852F1" w:rsidRDefault="00C852F1" w:rsidP="00C852F1">
      <w:pPr>
        <w:autoSpaceDE w:val="0"/>
        <w:autoSpaceDN w:val="0"/>
        <w:adjustRightInd w:val="0"/>
        <w:spacing w:after="0" w:line="240" w:lineRule="auto"/>
        <w:ind w:firstLine="284"/>
        <w:jc w:val="both"/>
        <w:rPr>
          <w:rFonts w:ascii="Garamond" w:hAnsi="Garamond" w:cs="Times New Roman"/>
          <w:color w:val="000000"/>
          <w:sz w:val="24"/>
          <w:szCs w:val="24"/>
        </w:rPr>
      </w:pPr>
      <w:r w:rsidRPr="00CF59AA">
        <w:rPr>
          <w:rFonts w:ascii="Garamond" w:hAnsi="Garamond" w:cs="Times New Roman"/>
          <w:color w:val="000000"/>
          <w:sz w:val="24"/>
          <w:szCs w:val="24"/>
        </w:rPr>
        <w:t>Ky vendim është përfundimtar dhe hyn në fuqi ditën e botimit në Fletoren Zyrtare.</w:t>
      </w:r>
    </w:p>
    <w:p w14:paraId="56C39740" w14:textId="77777777" w:rsidR="00B007C3" w:rsidRPr="00CF59AA" w:rsidRDefault="00B007C3" w:rsidP="00C852F1">
      <w:pPr>
        <w:autoSpaceDE w:val="0"/>
        <w:autoSpaceDN w:val="0"/>
        <w:adjustRightInd w:val="0"/>
        <w:spacing w:after="0" w:line="240" w:lineRule="auto"/>
        <w:ind w:firstLine="284"/>
        <w:jc w:val="both"/>
        <w:rPr>
          <w:rFonts w:ascii="Garamond" w:hAnsi="Garamond" w:cs="Times New Roman"/>
          <w:color w:val="000000"/>
          <w:sz w:val="24"/>
          <w:szCs w:val="24"/>
        </w:rPr>
      </w:pPr>
    </w:p>
    <w:p w14:paraId="4255F628" w14:textId="165BF228" w:rsidR="00C852F1" w:rsidRPr="00CF59AA" w:rsidRDefault="00B007C3" w:rsidP="00C852F1">
      <w:pPr>
        <w:autoSpaceDE w:val="0"/>
        <w:autoSpaceDN w:val="0"/>
        <w:adjustRightInd w:val="0"/>
        <w:spacing w:after="0" w:line="240" w:lineRule="auto"/>
        <w:ind w:firstLine="284"/>
        <w:rPr>
          <w:rFonts w:ascii="Garamond" w:hAnsi="Garamond" w:cs="Times New Roman"/>
          <w:b/>
          <w:bCs/>
          <w:sz w:val="24"/>
          <w:szCs w:val="24"/>
        </w:rPr>
      </w:pPr>
      <w:r>
        <w:rPr>
          <w:rFonts w:ascii="Garamond" w:hAnsi="Garamond" w:cs="Times New Roman"/>
          <w:b/>
          <w:bCs/>
          <w:color w:val="000000"/>
          <w:sz w:val="24"/>
          <w:szCs w:val="24"/>
        </w:rPr>
        <w:t xml:space="preserve">Marrë më </w:t>
      </w:r>
      <w:r w:rsidR="00C852F1" w:rsidRPr="00CF59AA">
        <w:rPr>
          <w:rFonts w:ascii="Garamond" w:hAnsi="Garamond" w:cs="Times New Roman"/>
          <w:b/>
          <w:bCs/>
          <w:color w:val="000000"/>
          <w:sz w:val="24"/>
          <w:szCs w:val="24"/>
        </w:rPr>
        <w:t>2.12.2025</w:t>
      </w:r>
      <w:r>
        <w:rPr>
          <w:rFonts w:ascii="Garamond" w:hAnsi="Garamond" w:cs="Times New Roman"/>
          <w:b/>
          <w:bCs/>
          <w:color w:val="000000"/>
          <w:sz w:val="24"/>
          <w:szCs w:val="24"/>
        </w:rPr>
        <w:t>.</w:t>
      </w:r>
    </w:p>
    <w:p w14:paraId="76D142A8" w14:textId="344CF3D7" w:rsidR="00C852F1" w:rsidRPr="00CF59AA" w:rsidRDefault="00B007C3" w:rsidP="00C852F1">
      <w:pPr>
        <w:autoSpaceDE w:val="0"/>
        <w:autoSpaceDN w:val="0"/>
        <w:adjustRightInd w:val="0"/>
        <w:spacing w:after="0" w:line="240" w:lineRule="auto"/>
        <w:ind w:firstLine="284"/>
        <w:rPr>
          <w:rFonts w:ascii="Garamond" w:hAnsi="Garamond" w:cs="Times New Roman"/>
          <w:b/>
          <w:bCs/>
          <w:color w:val="000000"/>
          <w:sz w:val="24"/>
          <w:szCs w:val="24"/>
        </w:rPr>
      </w:pPr>
      <w:r>
        <w:rPr>
          <w:rFonts w:ascii="Garamond" w:hAnsi="Garamond" w:cs="Times New Roman"/>
          <w:b/>
          <w:bCs/>
          <w:color w:val="000000"/>
          <w:sz w:val="24"/>
          <w:szCs w:val="24"/>
        </w:rPr>
        <w:t>Shpallur më 17.</w:t>
      </w:r>
      <w:r w:rsidR="00C852F1" w:rsidRPr="00CF59AA">
        <w:rPr>
          <w:rFonts w:ascii="Garamond" w:hAnsi="Garamond" w:cs="Times New Roman"/>
          <w:b/>
          <w:bCs/>
          <w:color w:val="000000"/>
          <w:sz w:val="24"/>
          <w:szCs w:val="24"/>
        </w:rPr>
        <w:t>2.2026</w:t>
      </w:r>
      <w:r>
        <w:rPr>
          <w:rFonts w:ascii="Garamond" w:hAnsi="Garamond" w:cs="Times New Roman"/>
          <w:b/>
          <w:bCs/>
          <w:color w:val="000000"/>
          <w:sz w:val="24"/>
          <w:szCs w:val="24"/>
        </w:rPr>
        <w:t>.</w:t>
      </w:r>
    </w:p>
    <w:p w14:paraId="54F716F9" w14:textId="090221DC" w:rsidR="00C852F1" w:rsidRPr="00CF59AA" w:rsidRDefault="00C852F1" w:rsidP="00C852F1">
      <w:pPr>
        <w:autoSpaceDE w:val="0"/>
        <w:autoSpaceDN w:val="0"/>
        <w:adjustRightInd w:val="0"/>
        <w:spacing w:after="0" w:line="240" w:lineRule="auto"/>
        <w:ind w:firstLine="284"/>
        <w:rPr>
          <w:rFonts w:ascii="Garamond" w:hAnsi="Garamond" w:cs="Times New Roman"/>
          <w:b/>
          <w:bCs/>
          <w:color w:val="000000"/>
          <w:sz w:val="24"/>
          <w:szCs w:val="24"/>
        </w:rPr>
      </w:pPr>
    </w:p>
    <w:p w14:paraId="31D99DAF" w14:textId="40B65F62" w:rsidR="000F10F0" w:rsidRPr="00CF59AA" w:rsidRDefault="00B007C3" w:rsidP="00C852F1">
      <w:pPr>
        <w:autoSpaceDE w:val="0"/>
        <w:autoSpaceDN w:val="0"/>
        <w:adjustRightInd w:val="0"/>
        <w:spacing w:after="0" w:line="240" w:lineRule="auto"/>
        <w:ind w:firstLine="284"/>
        <w:rPr>
          <w:rFonts w:ascii="Garamond" w:hAnsi="Garamond" w:cs="Times New Roman"/>
          <w:bCs/>
          <w:color w:val="000000"/>
          <w:sz w:val="24"/>
          <w:szCs w:val="24"/>
        </w:rPr>
      </w:pPr>
      <w:r>
        <w:rPr>
          <w:rFonts w:ascii="Garamond" w:hAnsi="Garamond" w:cs="Times New Roman"/>
          <w:b/>
          <w:bCs/>
          <w:color w:val="000000"/>
          <w:sz w:val="24"/>
          <w:szCs w:val="24"/>
        </w:rPr>
        <w:t>Kryesuese</w:t>
      </w:r>
      <w:r w:rsidR="000F10F0" w:rsidRPr="00CF59AA">
        <w:rPr>
          <w:rFonts w:ascii="Garamond" w:hAnsi="Garamond" w:cs="Times New Roman"/>
          <w:b/>
          <w:bCs/>
          <w:color w:val="000000"/>
          <w:sz w:val="24"/>
          <w:szCs w:val="24"/>
        </w:rPr>
        <w:t xml:space="preserve">: </w:t>
      </w:r>
      <w:proofErr w:type="spellStart"/>
      <w:r w:rsidR="000F10F0" w:rsidRPr="00CF59AA">
        <w:rPr>
          <w:rFonts w:ascii="Garamond" w:hAnsi="Garamond" w:cs="Times New Roman"/>
          <w:bCs/>
          <w:color w:val="000000"/>
          <w:sz w:val="24"/>
          <w:szCs w:val="24"/>
        </w:rPr>
        <w:t>Marsida</w:t>
      </w:r>
      <w:proofErr w:type="spellEnd"/>
      <w:r w:rsidR="000F10F0" w:rsidRPr="00CF59AA">
        <w:rPr>
          <w:rFonts w:ascii="Garamond" w:hAnsi="Garamond" w:cs="Times New Roman"/>
          <w:bCs/>
          <w:color w:val="000000"/>
          <w:sz w:val="24"/>
          <w:szCs w:val="24"/>
        </w:rPr>
        <w:t xml:space="preserve"> </w:t>
      </w:r>
      <w:proofErr w:type="spellStart"/>
      <w:r w:rsidR="000F10F0" w:rsidRPr="00CF59AA">
        <w:rPr>
          <w:rFonts w:ascii="Garamond" w:hAnsi="Garamond" w:cs="Times New Roman"/>
          <w:bCs/>
          <w:color w:val="000000"/>
          <w:sz w:val="24"/>
          <w:szCs w:val="24"/>
        </w:rPr>
        <w:t>Xhaferllari</w:t>
      </w:r>
      <w:proofErr w:type="spellEnd"/>
    </w:p>
    <w:p w14:paraId="03B1FECE" w14:textId="7513AB32" w:rsidR="000F10F0" w:rsidRPr="00CF59AA" w:rsidRDefault="000F10F0" w:rsidP="00C852F1">
      <w:pPr>
        <w:autoSpaceDE w:val="0"/>
        <w:autoSpaceDN w:val="0"/>
        <w:adjustRightInd w:val="0"/>
        <w:spacing w:after="0" w:line="240" w:lineRule="auto"/>
        <w:ind w:firstLine="284"/>
        <w:rPr>
          <w:rFonts w:ascii="Garamond" w:hAnsi="Garamond" w:cs="Times New Roman"/>
          <w:b/>
          <w:bCs/>
          <w:color w:val="000000"/>
          <w:sz w:val="24"/>
          <w:szCs w:val="24"/>
        </w:rPr>
      </w:pPr>
      <w:r w:rsidRPr="00CF59AA">
        <w:rPr>
          <w:rFonts w:ascii="Garamond" w:hAnsi="Garamond" w:cs="Times New Roman"/>
          <w:b/>
          <w:bCs/>
          <w:color w:val="000000"/>
          <w:sz w:val="24"/>
          <w:szCs w:val="24"/>
        </w:rPr>
        <w:t xml:space="preserve">Anëtarë: </w:t>
      </w:r>
      <w:proofErr w:type="spellStart"/>
      <w:r w:rsidRPr="00CF59AA">
        <w:rPr>
          <w:rFonts w:ascii="Garamond" w:hAnsi="Garamond" w:cs="Times New Roman"/>
          <w:bCs/>
          <w:color w:val="000000"/>
          <w:sz w:val="24"/>
          <w:szCs w:val="24"/>
        </w:rPr>
        <w:t>Sonila</w:t>
      </w:r>
      <w:proofErr w:type="spellEnd"/>
      <w:r w:rsidRPr="00CF59AA">
        <w:rPr>
          <w:rFonts w:ascii="Garamond" w:hAnsi="Garamond" w:cs="Times New Roman"/>
          <w:bCs/>
          <w:color w:val="000000"/>
          <w:sz w:val="24"/>
          <w:szCs w:val="24"/>
        </w:rPr>
        <w:t xml:space="preserve"> Bejtja</w:t>
      </w:r>
      <w:r w:rsidR="005A0071" w:rsidRPr="00CF59AA">
        <w:rPr>
          <w:rFonts w:ascii="Garamond" w:hAnsi="Garamond" w:cs="Times New Roman"/>
          <w:bCs/>
          <w:color w:val="000000"/>
          <w:sz w:val="24"/>
          <w:szCs w:val="24"/>
        </w:rPr>
        <w:t xml:space="preserve">, </w:t>
      </w:r>
      <w:proofErr w:type="spellStart"/>
      <w:r w:rsidR="005A0071" w:rsidRPr="00CF59AA">
        <w:rPr>
          <w:rFonts w:ascii="Garamond" w:hAnsi="Garamond" w:cs="Times New Roman"/>
          <w:bCs/>
          <w:color w:val="000000"/>
          <w:sz w:val="24"/>
          <w:szCs w:val="24"/>
        </w:rPr>
        <w:t>Fiona</w:t>
      </w:r>
      <w:proofErr w:type="spellEnd"/>
      <w:r w:rsidR="005A0071" w:rsidRPr="00CF59AA">
        <w:rPr>
          <w:rFonts w:ascii="Garamond" w:hAnsi="Garamond" w:cs="Times New Roman"/>
          <w:bCs/>
          <w:color w:val="000000"/>
          <w:sz w:val="24"/>
          <w:szCs w:val="24"/>
        </w:rPr>
        <w:t xml:space="preserve"> </w:t>
      </w:r>
      <w:proofErr w:type="spellStart"/>
      <w:r w:rsidR="005A0071" w:rsidRPr="00CF59AA">
        <w:rPr>
          <w:rFonts w:ascii="Garamond" w:hAnsi="Garamond" w:cs="Times New Roman"/>
          <w:bCs/>
          <w:color w:val="000000"/>
          <w:sz w:val="24"/>
          <w:szCs w:val="24"/>
        </w:rPr>
        <w:t>Papajorgji</w:t>
      </w:r>
      <w:proofErr w:type="spellEnd"/>
      <w:r w:rsidR="005A0071" w:rsidRPr="00CF59AA">
        <w:rPr>
          <w:rFonts w:ascii="Garamond" w:hAnsi="Garamond" w:cs="Times New Roman"/>
          <w:bCs/>
          <w:color w:val="000000"/>
          <w:sz w:val="24"/>
          <w:szCs w:val="24"/>
        </w:rPr>
        <w:t xml:space="preserve">, </w:t>
      </w:r>
      <w:proofErr w:type="spellStart"/>
      <w:r w:rsidR="005A0071" w:rsidRPr="00CF59AA">
        <w:rPr>
          <w:rFonts w:ascii="Garamond" w:hAnsi="Garamond" w:cs="Times New Roman"/>
          <w:bCs/>
          <w:color w:val="000000"/>
          <w:sz w:val="24"/>
          <w:szCs w:val="24"/>
        </w:rPr>
        <w:t>Sandër</w:t>
      </w:r>
      <w:proofErr w:type="spellEnd"/>
      <w:r w:rsidR="005A0071" w:rsidRPr="00CF59AA">
        <w:rPr>
          <w:rFonts w:ascii="Garamond" w:hAnsi="Garamond" w:cs="Times New Roman"/>
          <w:bCs/>
          <w:color w:val="000000"/>
          <w:sz w:val="24"/>
          <w:szCs w:val="24"/>
        </w:rPr>
        <w:t xml:space="preserve"> Beci, </w:t>
      </w:r>
      <w:proofErr w:type="spellStart"/>
      <w:r w:rsidR="005A0071" w:rsidRPr="00CF59AA">
        <w:rPr>
          <w:rFonts w:ascii="Garamond" w:hAnsi="Garamond" w:cs="Times New Roman"/>
          <w:bCs/>
          <w:color w:val="000000"/>
          <w:sz w:val="24"/>
          <w:szCs w:val="24"/>
        </w:rPr>
        <w:t>Marjana</w:t>
      </w:r>
      <w:proofErr w:type="spellEnd"/>
      <w:r w:rsidR="005A0071" w:rsidRPr="00CF59AA">
        <w:rPr>
          <w:rFonts w:ascii="Garamond" w:hAnsi="Garamond" w:cs="Times New Roman"/>
          <w:bCs/>
          <w:color w:val="000000"/>
          <w:sz w:val="24"/>
          <w:szCs w:val="24"/>
        </w:rPr>
        <w:t xml:space="preserve"> </w:t>
      </w:r>
      <w:proofErr w:type="spellStart"/>
      <w:r w:rsidR="005A0071" w:rsidRPr="00CF59AA">
        <w:rPr>
          <w:rFonts w:ascii="Garamond" w:hAnsi="Garamond" w:cs="Times New Roman"/>
          <w:bCs/>
          <w:color w:val="000000"/>
          <w:sz w:val="24"/>
          <w:szCs w:val="24"/>
        </w:rPr>
        <w:t>Semini</w:t>
      </w:r>
      <w:proofErr w:type="spellEnd"/>
      <w:r w:rsidR="005A0071" w:rsidRPr="00CF59AA">
        <w:rPr>
          <w:rFonts w:ascii="Garamond" w:hAnsi="Garamond" w:cs="Times New Roman"/>
          <w:bCs/>
          <w:color w:val="000000"/>
          <w:sz w:val="24"/>
          <w:szCs w:val="24"/>
        </w:rPr>
        <w:t>, Ilir Toska</w:t>
      </w:r>
    </w:p>
    <w:p w14:paraId="72049D0B" w14:textId="66CC17B7" w:rsidR="005A0071" w:rsidRPr="00CF59AA" w:rsidRDefault="005A0071" w:rsidP="00C852F1">
      <w:pPr>
        <w:tabs>
          <w:tab w:val="left" w:pos="0"/>
        </w:tabs>
        <w:autoSpaceDE w:val="0"/>
        <w:autoSpaceDN w:val="0"/>
        <w:adjustRightInd w:val="0"/>
        <w:spacing w:after="0" w:line="240" w:lineRule="auto"/>
        <w:ind w:firstLine="284"/>
        <w:rPr>
          <w:rFonts w:ascii="Garamond" w:hAnsi="Garamond" w:cs="Times New Roman"/>
          <w:bCs/>
          <w:color w:val="000000"/>
          <w:sz w:val="24"/>
          <w:szCs w:val="24"/>
        </w:rPr>
      </w:pPr>
      <w:r w:rsidRPr="00CF59AA">
        <w:rPr>
          <w:rFonts w:ascii="Garamond" w:hAnsi="Garamond" w:cs="Times New Roman"/>
          <w:b/>
          <w:bCs/>
          <w:color w:val="000000"/>
          <w:sz w:val="24"/>
          <w:szCs w:val="24"/>
        </w:rPr>
        <w:lastRenderedPageBreak/>
        <w:t>Anëtarë kundër:</w:t>
      </w:r>
      <w:r w:rsidRPr="00CF59AA">
        <w:rPr>
          <w:rFonts w:ascii="Garamond" w:hAnsi="Garamond" w:cs="Times New Roman"/>
          <w:bCs/>
          <w:color w:val="000000"/>
          <w:sz w:val="24"/>
          <w:szCs w:val="24"/>
        </w:rPr>
        <w:t xml:space="preserve"> Genti Ibrahimi</w:t>
      </w:r>
    </w:p>
    <w:p w14:paraId="2D761F22" w14:textId="77777777" w:rsidR="005A0071" w:rsidRPr="00CF59AA" w:rsidRDefault="005A0071" w:rsidP="00C852F1">
      <w:pPr>
        <w:tabs>
          <w:tab w:val="left" w:pos="0"/>
        </w:tabs>
        <w:autoSpaceDE w:val="0"/>
        <w:autoSpaceDN w:val="0"/>
        <w:adjustRightInd w:val="0"/>
        <w:spacing w:after="0" w:line="240" w:lineRule="auto"/>
        <w:ind w:firstLine="284"/>
        <w:rPr>
          <w:rFonts w:ascii="Garamond" w:hAnsi="Garamond" w:cs="Times New Roman"/>
          <w:bCs/>
          <w:color w:val="000000"/>
          <w:sz w:val="24"/>
          <w:szCs w:val="24"/>
        </w:rPr>
      </w:pPr>
    </w:p>
    <w:p w14:paraId="10BF6F69" w14:textId="77777777" w:rsidR="00C852F1" w:rsidRPr="00B007C3" w:rsidRDefault="00C852F1" w:rsidP="00C852F1">
      <w:pPr>
        <w:autoSpaceDE w:val="0"/>
        <w:autoSpaceDN w:val="0"/>
        <w:adjustRightInd w:val="0"/>
        <w:spacing w:after="0" w:line="240" w:lineRule="auto"/>
        <w:ind w:firstLine="284"/>
        <w:jc w:val="center"/>
        <w:rPr>
          <w:rFonts w:ascii="Garamond" w:hAnsi="Garamond" w:cs="Times New Roman"/>
          <w:bCs/>
          <w:color w:val="000000"/>
          <w:sz w:val="24"/>
          <w:szCs w:val="24"/>
        </w:rPr>
      </w:pPr>
      <w:r w:rsidRPr="00B007C3">
        <w:rPr>
          <w:rFonts w:ascii="Garamond" w:hAnsi="Garamond" w:cs="Times New Roman"/>
          <w:bCs/>
          <w:color w:val="000000"/>
          <w:sz w:val="24"/>
          <w:szCs w:val="24"/>
        </w:rPr>
        <w:t>MENDIM PAKICE</w:t>
      </w:r>
    </w:p>
    <w:p w14:paraId="1B21CE50" w14:textId="77777777" w:rsidR="00C852F1" w:rsidRPr="00CF59AA" w:rsidRDefault="00C852F1" w:rsidP="00C852F1">
      <w:pPr>
        <w:autoSpaceDE w:val="0"/>
        <w:autoSpaceDN w:val="0"/>
        <w:adjustRightInd w:val="0"/>
        <w:spacing w:after="0" w:line="240" w:lineRule="auto"/>
        <w:ind w:firstLine="284"/>
        <w:jc w:val="center"/>
        <w:rPr>
          <w:rFonts w:ascii="Garamond" w:hAnsi="Garamond" w:cs="Times New Roman"/>
          <w:b/>
          <w:bCs/>
          <w:color w:val="000000"/>
          <w:sz w:val="24"/>
          <w:szCs w:val="24"/>
        </w:rPr>
      </w:pPr>
    </w:p>
    <w:p w14:paraId="7AF48B41" w14:textId="5BFF78D6" w:rsidR="00C852F1" w:rsidRPr="00CF59AA" w:rsidRDefault="00C852F1" w:rsidP="00C852F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59AA">
        <w:rPr>
          <w:rFonts w:ascii="Garamond" w:hAnsi="Garamond" w:cs="Times New Roman"/>
          <w:color w:val="000000"/>
          <w:sz w:val="24"/>
          <w:szCs w:val="24"/>
        </w:rPr>
        <w:t xml:space="preserve">1. Në gjykimin kushtetues të çështjes që i përket kërkueses </w:t>
      </w:r>
      <w:proofErr w:type="spellStart"/>
      <w:r w:rsidRPr="00CF59AA">
        <w:rPr>
          <w:rFonts w:ascii="Garamond" w:hAnsi="Garamond" w:cs="Times New Roman"/>
          <w:color w:val="000000"/>
          <w:sz w:val="24"/>
          <w:szCs w:val="24"/>
        </w:rPr>
        <w:t>Klodiana</w:t>
      </w:r>
      <w:proofErr w:type="spellEnd"/>
      <w:r w:rsidRPr="00CF59AA">
        <w:rPr>
          <w:rFonts w:ascii="Garamond" w:hAnsi="Garamond" w:cs="Times New Roman"/>
          <w:color w:val="000000"/>
          <w:sz w:val="24"/>
          <w:szCs w:val="24"/>
        </w:rPr>
        <w:t xml:space="preserve"> </w:t>
      </w:r>
      <w:proofErr w:type="spellStart"/>
      <w:r w:rsidRPr="00CF59AA">
        <w:rPr>
          <w:rFonts w:ascii="Garamond" w:hAnsi="Garamond" w:cs="Times New Roman"/>
          <w:color w:val="000000"/>
          <w:sz w:val="24"/>
          <w:szCs w:val="24"/>
        </w:rPr>
        <w:t>Cankja</w:t>
      </w:r>
      <w:proofErr w:type="spellEnd"/>
      <w:r w:rsidRPr="00CF59AA">
        <w:rPr>
          <w:rFonts w:ascii="Garamond" w:hAnsi="Garamond" w:cs="Times New Roman"/>
          <w:color w:val="000000"/>
          <w:sz w:val="24"/>
          <w:szCs w:val="24"/>
        </w:rPr>
        <w:t>, me objekt: “</w:t>
      </w:r>
      <w:r w:rsidRPr="00CF59AA">
        <w:rPr>
          <w:rFonts w:ascii="Garamond" w:hAnsi="Garamond" w:cs="Times New Roman"/>
          <w:i/>
          <w:iCs/>
          <w:color w:val="000000"/>
          <w:sz w:val="24"/>
          <w:szCs w:val="24"/>
        </w:rPr>
        <w:t>Shfuqizimi i vendimeve nr.</w:t>
      </w:r>
      <w:r w:rsidR="00B007C3">
        <w:rPr>
          <w:rFonts w:ascii="Garamond" w:hAnsi="Garamond" w:cs="Times New Roman"/>
          <w:i/>
          <w:iCs/>
          <w:color w:val="000000"/>
          <w:sz w:val="24"/>
          <w:szCs w:val="24"/>
        </w:rPr>
        <w:t xml:space="preserve"> </w:t>
      </w:r>
      <w:r w:rsidRPr="00CF59AA">
        <w:rPr>
          <w:rFonts w:ascii="Garamond" w:hAnsi="Garamond" w:cs="Times New Roman"/>
          <w:i/>
          <w:iCs/>
          <w:color w:val="000000"/>
          <w:sz w:val="24"/>
          <w:szCs w:val="24"/>
        </w:rPr>
        <w:t>1060, datë 14.12.2023</w:t>
      </w:r>
      <w:r w:rsidR="00B007C3">
        <w:rPr>
          <w:rFonts w:ascii="Garamond" w:hAnsi="Garamond" w:cs="Times New Roman"/>
          <w:i/>
          <w:iCs/>
          <w:color w:val="000000"/>
          <w:sz w:val="24"/>
          <w:szCs w:val="24"/>
        </w:rPr>
        <w:t>,</w:t>
      </w:r>
      <w:r w:rsidRPr="00CF59AA">
        <w:rPr>
          <w:rFonts w:ascii="Garamond" w:hAnsi="Garamond" w:cs="Times New Roman"/>
          <w:i/>
          <w:iCs/>
          <w:color w:val="000000"/>
          <w:sz w:val="24"/>
          <w:szCs w:val="24"/>
        </w:rPr>
        <w:t xml:space="preserve"> të Gjykatës Administrative të Apelit dhe nr. 00-2024-4952, datë 11.12.2024</w:t>
      </w:r>
      <w:r w:rsidR="00B007C3">
        <w:rPr>
          <w:rFonts w:ascii="Garamond" w:hAnsi="Garamond" w:cs="Times New Roman"/>
          <w:i/>
          <w:iCs/>
          <w:color w:val="000000"/>
          <w:sz w:val="24"/>
          <w:szCs w:val="24"/>
        </w:rPr>
        <w:t>,</w:t>
      </w:r>
      <w:r w:rsidRPr="00CF59AA">
        <w:rPr>
          <w:rFonts w:ascii="Garamond" w:hAnsi="Garamond" w:cs="Times New Roman"/>
          <w:i/>
          <w:iCs/>
          <w:color w:val="000000"/>
          <w:sz w:val="24"/>
          <w:szCs w:val="24"/>
        </w:rPr>
        <w:t xml:space="preserve"> të Kolegjit Administrativ të Gjykatës së Lartë, si të papajtueshme me Kushtetutën e Republikës së Shqipërisë; dërgimi i çështjes për rishqyrtim në Gjykatën Administrative të Apelit”, </w:t>
      </w:r>
      <w:r w:rsidRPr="00CF59AA">
        <w:rPr>
          <w:rFonts w:ascii="Garamond" w:hAnsi="Garamond" w:cs="Times New Roman"/>
          <w:color w:val="000000"/>
          <w:sz w:val="24"/>
          <w:szCs w:val="24"/>
        </w:rPr>
        <w:t xml:space="preserve">jam kundër qëndrimit të shumicës për pranimin pjesërisht të kërkesës, pasi vlerësoj se kërkesa duhej të ishte rrëzuar. Në mbështetje të nenit 132, pika 3, të Kushtetutës dhe nenit 72, pika 8, të Ligjit Organik të Gjykatës, që parashikojnë publikimin e mendimit të pakicës së bashku me vendimin përfundimtar të Gjykatës, parashtroj në vijim argumentet që mbështesin qëndrimin kundër. </w:t>
      </w:r>
    </w:p>
    <w:p w14:paraId="128F45A9" w14:textId="621037BE" w:rsidR="00C852F1" w:rsidRPr="00CF59AA" w:rsidRDefault="00C852F1" w:rsidP="00C852F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59AA">
        <w:rPr>
          <w:rFonts w:ascii="Garamond" w:hAnsi="Garamond" w:cs="Times New Roman"/>
          <w:color w:val="000000"/>
          <w:sz w:val="24"/>
          <w:szCs w:val="24"/>
        </w:rPr>
        <w:t xml:space="preserve">2. Nga rrethanat e çështjes rezulton se kërkuesja është larguar nga detyra e drejtoreshës së përgjithshme të </w:t>
      </w:r>
      <w:proofErr w:type="spellStart"/>
      <w:r w:rsidRPr="00CF59AA">
        <w:rPr>
          <w:rFonts w:ascii="Garamond" w:hAnsi="Garamond" w:cs="Times New Roman"/>
          <w:color w:val="000000"/>
          <w:sz w:val="24"/>
          <w:szCs w:val="24"/>
        </w:rPr>
        <w:t>APP</w:t>
      </w:r>
      <w:proofErr w:type="spellEnd"/>
      <w:r w:rsidRPr="00CF59AA">
        <w:rPr>
          <w:rFonts w:ascii="Garamond" w:hAnsi="Garamond" w:cs="Times New Roman"/>
          <w:color w:val="000000"/>
          <w:sz w:val="24"/>
          <w:szCs w:val="24"/>
        </w:rPr>
        <w:t xml:space="preserve">-së pas marrjes së masës disiplinore të largimit nga shërbimi civil nga sekretari i përgjithshëm i Këshillit të Ministrave, për shkelje të procedurave disiplinore në ushtrimin e detyrës së saj. Duke mos qenë dakord me vendimin e largimit nga detyra, kërkuesja ka paraqitur padi kundër Këshillit të Ministrave, duke kërkuar anulimin e këtij vendimi, rikthimin në pozicionin e punës, si dhe pagimin e pagës. Gjykata e shkallës së parë ka vendosur rrëzimin e padisë për shkak të </w:t>
      </w:r>
      <w:proofErr w:type="spellStart"/>
      <w:r w:rsidRPr="00CF59AA">
        <w:rPr>
          <w:rFonts w:ascii="Garamond" w:hAnsi="Garamond" w:cs="Times New Roman"/>
          <w:color w:val="000000"/>
          <w:sz w:val="24"/>
          <w:szCs w:val="24"/>
        </w:rPr>
        <w:t>moslegjitimimit</w:t>
      </w:r>
      <w:proofErr w:type="spellEnd"/>
      <w:r w:rsidRPr="00CF59AA">
        <w:rPr>
          <w:rFonts w:ascii="Garamond" w:hAnsi="Garamond" w:cs="Times New Roman"/>
          <w:color w:val="000000"/>
          <w:sz w:val="24"/>
          <w:szCs w:val="24"/>
        </w:rPr>
        <w:t xml:space="preserve"> pasiv të palës së paditur, qëndrim i mbajtur edhe nga gjykata e apelit, ndërkohë që Gjykata e Lartë ka vendosur mospranimin e rekursit të saj. </w:t>
      </w:r>
      <w:r w:rsidRPr="00CF59AA">
        <w:rPr>
          <w:rFonts w:ascii="Garamond" w:hAnsi="Garamond" w:cs="Times New Roman"/>
          <w:sz w:val="24"/>
          <w:szCs w:val="24"/>
        </w:rPr>
        <w:t>Në vijim, kërkuesja i është drejtuar sërish gjykatës së shkallës së parë</w:t>
      </w:r>
      <w:r w:rsidRPr="00CF59AA">
        <w:rPr>
          <w:rFonts w:ascii="Garamond" w:hAnsi="Garamond" w:cs="Times New Roman"/>
          <w:color w:val="000000"/>
          <w:sz w:val="24"/>
          <w:szCs w:val="24"/>
        </w:rPr>
        <w:t xml:space="preserve">, duke kërkuar konstatimin e pavlefshmërisë absolute të aktit të largimit nga detyra, kthimin në vendin e punës ose në një pozicion të barasvlershëm me të, si dhe dhënien e pagës si drejtoreshë e përgjithshme e </w:t>
      </w:r>
      <w:proofErr w:type="spellStart"/>
      <w:r w:rsidRPr="00CF59AA">
        <w:rPr>
          <w:rFonts w:ascii="Garamond" w:hAnsi="Garamond" w:cs="Times New Roman"/>
          <w:color w:val="000000"/>
          <w:sz w:val="24"/>
          <w:szCs w:val="24"/>
        </w:rPr>
        <w:t>APP</w:t>
      </w:r>
      <w:proofErr w:type="spellEnd"/>
      <w:r w:rsidRPr="00CF59AA">
        <w:rPr>
          <w:rFonts w:ascii="Garamond" w:hAnsi="Garamond" w:cs="Times New Roman"/>
          <w:color w:val="000000"/>
          <w:sz w:val="24"/>
          <w:szCs w:val="24"/>
        </w:rPr>
        <w:t>-së ose pagën e një pozicioni t</w:t>
      </w:r>
      <w:r w:rsidR="00B007C3">
        <w:rPr>
          <w:rFonts w:ascii="Garamond" w:hAnsi="Garamond" w:cs="Times New Roman"/>
          <w:color w:val="000000"/>
          <w:sz w:val="24"/>
          <w:szCs w:val="24"/>
        </w:rPr>
        <w:t>ë barasvlershëm me të</w:t>
      </w:r>
      <w:r w:rsidR="00E81A7C">
        <w:rPr>
          <w:rFonts w:ascii="Garamond" w:hAnsi="Garamond" w:cs="Times New Roman"/>
          <w:color w:val="000000"/>
          <w:sz w:val="24"/>
          <w:szCs w:val="24"/>
        </w:rPr>
        <w:t>,</w:t>
      </w:r>
      <w:r w:rsidR="00B007C3">
        <w:rPr>
          <w:rFonts w:ascii="Garamond" w:hAnsi="Garamond" w:cs="Times New Roman"/>
          <w:color w:val="000000"/>
          <w:sz w:val="24"/>
          <w:szCs w:val="24"/>
        </w:rPr>
        <w:t xml:space="preserve"> nga data 3.</w:t>
      </w:r>
      <w:r w:rsidRPr="00CF59AA">
        <w:rPr>
          <w:rFonts w:ascii="Garamond" w:hAnsi="Garamond" w:cs="Times New Roman"/>
          <w:color w:val="000000"/>
          <w:sz w:val="24"/>
          <w:szCs w:val="24"/>
        </w:rPr>
        <w:t xml:space="preserve">4.2014 deri në ditën e kthimit në punë. Në padi kërkuesja ka parashtruar se largimi i saj nga shërbimi civil është bërë në mënyrë të paligjshme, pa u zbatuar procedurat ligjore, duke mos i vënë në dispozicion aktet që dokumentonin shkeljet konkrete të pretenduara se janë kryer prej saj. Kërkuesja, në thelb, ka pretenduar se procedura administrative (disiplinore) e ndjekur për lirimin e saj nga shërbimi civil ka qenë formale vetëm në dukje, për sa kohë në aspektin substancial asaj nuk i është garantuar e drejta e mbrojtjes, në kushtet kur shkeljet disiplinore të </w:t>
      </w:r>
      <w:proofErr w:type="spellStart"/>
      <w:r w:rsidRPr="00CF59AA">
        <w:rPr>
          <w:rFonts w:ascii="Garamond" w:hAnsi="Garamond" w:cs="Times New Roman"/>
          <w:color w:val="000000"/>
          <w:sz w:val="24"/>
          <w:szCs w:val="24"/>
        </w:rPr>
        <w:t>atribuara</w:t>
      </w:r>
      <w:proofErr w:type="spellEnd"/>
      <w:r w:rsidRPr="00CF59AA">
        <w:rPr>
          <w:rFonts w:ascii="Garamond" w:hAnsi="Garamond" w:cs="Times New Roman"/>
          <w:color w:val="000000"/>
          <w:sz w:val="24"/>
          <w:szCs w:val="24"/>
        </w:rPr>
        <w:t xml:space="preserve"> janë formuluar në mënyrë të përgjithshme dhe, për më tepër, ato as nuk janë shoqëruar me aktet dokumentare që, sipas subjektit të interesuar, vërtetonin shkeljet. Ndonëse ajo ka kërkuar sqarime dhe aktet përkatëse dokumentare, kërkesa e saj nuk është marrë parasysh dhe asaj i është dhënë menjëherë masa disiplinore ekstreme e largimit nga shërbimi civil. Në këtë kuptim, sipas kërkueses, ajo është vënë në pamundësi për të paraqitur pretendimet dhe provat e saj për ekzistencën e fakteve dhe, po ashtu, për kualifikimin e tyre si shkelje disiplinore, sikundër në vijim edhe për rëndësinë e atyre shkeljeve, në pikëpamje të </w:t>
      </w:r>
      <w:proofErr w:type="spellStart"/>
      <w:r w:rsidRPr="00CF59AA">
        <w:rPr>
          <w:rFonts w:ascii="Garamond" w:hAnsi="Garamond" w:cs="Times New Roman"/>
          <w:color w:val="000000"/>
          <w:sz w:val="24"/>
          <w:szCs w:val="24"/>
        </w:rPr>
        <w:t>proporcionalitetit</w:t>
      </w:r>
      <w:proofErr w:type="spellEnd"/>
      <w:r w:rsidRPr="00CF59AA">
        <w:rPr>
          <w:rFonts w:ascii="Garamond" w:hAnsi="Garamond" w:cs="Times New Roman"/>
          <w:color w:val="000000"/>
          <w:sz w:val="24"/>
          <w:szCs w:val="24"/>
        </w:rPr>
        <w:t xml:space="preserve"> të masës disiplinore të propozuar.</w:t>
      </w:r>
      <w:r w:rsidR="00B007C3">
        <w:rPr>
          <w:rFonts w:ascii="Garamond" w:hAnsi="Garamond" w:cs="Times New Roman"/>
          <w:color w:val="000000"/>
          <w:sz w:val="24"/>
          <w:szCs w:val="24"/>
        </w:rPr>
        <w:t xml:space="preserve"> </w:t>
      </w:r>
    </w:p>
    <w:p w14:paraId="1D70206A" w14:textId="1E7A9AB2" w:rsidR="00C852F1" w:rsidRPr="00CF59AA" w:rsidRDefault="00C852F1" w:rsidP="00C852F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59AA">
        <w:rPr>
          <w:rFonts w:ascii="Garamond" w:hAnsi="Garamond" w:cs="Times New Roman"/>
          <w:color w:val="000000"/>
          <w:sz w:val="24"/>
          <w:szCs w:val="24"/>
        </w:rPr>
        <w:t xml:space="preserve">3. Në këto kushte, kërkuesja i është drejtuar Gjykatës me ankim kushtetues individual duke ngritur, ndër të tjera, disa pretendime për cenimin e së drejtës për proces të rregullt ligjor, të cilat shumica ka vendosur t’i analizojë në drejtim të cenimit të së drejtës së </w:t>
      </w:r>
      <w:proofErr w:type="spellStart"/>
      <w:r w:rsidRPr="00CF59AA">
        <w:rPr>
          <w:rFonts w:ascii="Garamond" w:hAnsi="Garamond" w:cs="Times New Roman"/>
          <w:color w:val="000000"/>
          <w:sz w:val="24"/>
          <w:szCs w:val="24"/>
        </w:rPr>
        <w:t>aksesit</w:t>
      </w:r>
      <w:proofErr w:type="spellEnd"/>
      <w:r w:rsidRPr="00CF59AA">
        <w:rPr>
          <w:rFonts w:ascii="Garamond" w:hAnsi="Garamond" w:cs="Times New Roman"/>
          <w:color w:val="000000"/>
          <w:sz w:val="24"/>
          <w:szCs w:val="24"/>
        </w:rPr>
        <w:t xml:space="preserve"> të lidhur me standardin e arsyetimit të vendimit.</w:t>
      </w:r>
    </w:p>
    <w:p w14:paraId="719848F0" w14:textId="1045D038"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59AA">
        <w:rPr>
          <w:rFonts w:ascii="Garamond" w:hAnsi="Garamond" w:cs="Times New Roman"/>
          <w:color w:val="000000"/>
          <w:sz w:val="24"/>
          <w:szCs w:val="24"/>
        </w:rPr>
        <w:t xml:space="preserve">4. Konkretisht, shumica, pasi ka konstatuar se kërkuesja si në ankim, ashtu edhe në rekurs ka pretenduar se gjatë gjykimit nuk është paraqitur asnjë akt që të vërtetojë ndjekjen e procedurave të parashikuara nga ligji për nxjerrjen e aktit të largimit nga detyra, duke e kthyer atë në një akt absolutisht të pavlefshëm, ka analizuar faktin nëse Gjykata e Lartë ka marrë në shqyrtim dhe u ka kthyer përgjigje pretendimeve me natyrë kushtetuese të kërkueses. Sipas shumicës, ndonëse në objektin e padisë së kërkueses është kërkuar konstatimi i pavlefshmërisë absolute të vendimit për largimin e saj nga shërbimi civil, mbi shkakun se ai është nxjerrë në kundërshtim me procedurën e kërkuar nga ligji, duke iu referuar për këtë </w:t>
      </w:r>
      <w:proofErr w:type="spellStart"/>
      <w:r w:rsidRPr="00CF59AA">
        <w:rPr>
          <w:rFonts w:ascii="Garamond" w:hAnsi="Garamond" w:cs="Times New Roman"/>
          <w:color w:val="000000"/>
          <w:sz w:val="24"/>
          <w:szCs w:val="24"/>
        </w:rPr>
        <w:t>KPA</w:t>
      </w:r>
      <w:proofErr w:type="spellEnd"/>
      <w:r w:rsidRPr="00CF59AA">
        <w:rPr>
          <w:rFonts w:ascii="Garamond" w:hAnsi="Garamond" w:cs="Times New Roman"/>
          <w:color w:val="000000"/>
          <w:sz w:val="24"/>
          <w:szCs w:val="24"/>
        </w:rPr>
        <w:t xml:space="preserve">-së në fuqi (neni 116, shkronja “c”), gjykatat e zakonshme të faktit këtij pretendimi të kërkueses i janë përgjigjur se, në thelb, përmes tij kundërshtohej ligjshmëria e aktit administrativ, pra synohej pavlefshmëria relative e tij sipas nenit 118 të </w:t>
      </w:r>
      <w:proofErr w:type="spellStart"/>
      <w:r w:rsidRPr="00CF59AA">
        <w:rPr>
          <w:rFonts w:ascii="Garamond" w:hAnsi="Garamond" w:cs="Times New Roman"/>
          <w:color w:val="000000"/>
          <w:sz w:val="24"/>
          <w:szCs w:val="24"/>
        </w:rPr>
        <w:t>KPA</w:t>
      </w:r>
      <w:proofErr w:type="spellEnd"/>
      <w:r w:rsidRPr="00CF59AA">
        <w:rPr>
          <w:rFonts w:ascii="Garamond" w:hAnsi="Garamond" w:cs="Times New Roman"/>
          <w:color w:val="000000"/>
          <w:sz w:val="24"/>
          <w:szCs w:val="24"/>
        </w:rPr>
        <w:t xml:space="preserve">-së, çka, sipas tyre, </w:t>
      </w:r>
      <w:r w:rsidRPr="00CF59AA">
        <w:rPr>
          <w:rFonts w:ascii="Garamond" w:hAnsi="Garamond" w:cs="Times New Roman"/>
          <w:color w:val="000000"/>
          <w:sz w:val="24"/>
          <w:szCs w:val="24"/>
        </w:rPr>
        <w:lastRenderedPageBreak/>
        <w:t>përbënte gjë të gjykuar. Po ashtu, sipas shumicës, gjykata e apelit ka arsyetuar se akti i largimit nga detyra nuk paraqet elemente të pavlefshmërisë absolute, pasi është marrë nga një organ administrativ i identifikuar dhe brenda kompetencës së tij, referuar shkronjave “a” dhe “b”</w:t>
      </w:r>
      <w:r w:rsidR="00B007C3">
        <w:rPr>
          <w:rFonts w:ascii="Garamond" w:hAnsi="Garamond" w:cs="Times New Roman"/>
          <w:color w:val="000000"/>
          <w:sz w:val="24"/>
          <w:szCs w:val="24"/>
        </w:rPr>
        <w:t>,</w:t>
      </w:r>
      <w:r w:rsidRPr="00CF59AA">
        <w:rPr>
          <w:rFonts w:ascii="Garamond" w:hAnsi="Garamond" w:cs="Times New Roman"/>
          <w:color w:val="000000"/>
          <w:sz w:val="24"/>
          <w:szCs w:val="24"/>
        </w:rPr>
        <w:t xml:space="preserve"> të nenit 116</w:t>
      </w:r>
      <w:r w:rsidR="00B007C3">
        <w:rPr>
          <w:rFonts w:ascii="Garamond" w:hAnsi="Garamond" w:cs="Times New Roman"/>
          <w:color w:val="000000"/>
          <w:sz w:val="24"/>
          <w:szCs w:val="24"/>
        </w:rPr>
        <w:t>,</w:t>
      </w:r>
      <w:r w:rsidRPr="00CF59AA">
        <w:rPr>
          <w:rFonts w:ascii="Garamond" w:hAnsi="Garamond" w:cs="Times New Roman"/>
          <w:color w:val="000000"/>
          <w:sz w:val="24"/>
          <w:szCs w:val="24"/>
        </w:rPr>
        <w:t xml:space="preserve"> të </w:t>
      </w:r>
      <w:proofErr w:type="spellStart"/>
      <w:r w:rsidRPr="00CF59AA">
        <w:rPr>
          <w:rFonts w:ascii="Garamond" w:hAnsi="Garamond" w:cs="Times New Roman"/>
          <w:color w:val="000000"/>
          <w:sz w:val="24"/>
          <w:szCs w:val="24"/>
        </w:rPr>
        <w:t>KPA</w:t>
      </w:r>
      <w:proofErr w:type="spellEnd"/>
      <w:r w:rsidRPr="00CF59AA">
        <w:rPr>
          <w:rFonts w:ascii="Garamond" w:hAnsi="Garamond" w:cs="Times New Roman"/>
          <w:color w:val="000000"/>
          <w:sz w:val="24"/>
          <w:szCs w:val="24"/>
        </w:rPr>
        <w:t xml:space="preserve">-së, por pa vënë në diskutim dhe kthyer përgjigje për shkakun e pretenduar nga kërkuesja sipas shkronjës “c” të këtij neni. </w:t>
      </w:r>
    </w:p>
    <w:p w14:paraId="7A33157F" w14:textId="08E4F1C0"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r w:rsidRPr="00CF59AA">
        <w:rPr>
          <w:rFonts w:ascii="Garamond" w:hAnsi="Garamond" w:cs="Times New Roman"/>
          <w:color w:val="000000"/>
          <w:sz w:val="24"/>
          <w:szCs w:val="24"/>
        </w:rPr>
        <w:t xml:space="preserve">5. Ndërkohë, sipas shumicës, Gjykata e Lartë, si gjykatë ligji, megjithëse ndodhej përpara një pretendimi me natyrë kushtetuese, atë të së drejtës së </w:t>
      </w:r>
      <w:proofErr w:type="spellStart"/>
      <w:r w:rsidRPr="00CF59AA">
        <w:rPr>
          <w:rFonts w:ascii="Garamond" w:hAnsi="Garamond" w:cs="Times New Roman"/>
          <w:color w:val="000000"/>
          <w:sz w:val="24"/>
          <w:szCs w:val="24"/>
        </w:rPr>
        <w:t>aksesit</w:t>
      </w:r>
      <w:proofErr w:type="spellEnd"/>
      <w:r w:rsidRPr="00CF59AA">
        <w:rPr>
          <w:rFonts w:ascii="Garamond" w:hAnsi="Garamond" w:cs="Times New Roman"/>
          <w:color w:val="000000"/>
          <w:sz w:val="24"/>
          <w:szCs w:val="24"/>
        </w:rPr>
        <w:t xml:space="preserve">, në ushtrim të funksionit të saj dhe parimit të </w:t>
      </w:r>
      <w:proofErr w:type="spellStart"/>
      <w:r w:rsidRPr="00CF59AA">
        <w:rPr>
          <w:rFonts w:ascii="Garamond" w:hAnsi="Garamond" w:cs="Times New Roman"/>
          <w:color w:val="000000"/>
          <w:sz w:val="24"/>
          <w:szCs w:val="24"/>
        </w:rPr>
        <w:t>subsidiaritetit</w:t>
      </w:r>
      <w:proofErr w:type="spellEnd"/>
      <w:r w:rsidRPr="00CF59AA">
        <w:rPr>
          <w:rFonts w:ascii="Garamond" w:hAnsi="Garamond" w:cs="Times New Roman"/>
          <w:color w:val="000000"/>
          <w:sz w:val="24"/>
          <w:szCs w:val="24"/>
        </w:rPr>
        <w:t xml:space="preserve">, duhej të kishte mbajtur një qëndrim të shprehur në drejtim të pretendimit të kërkueses. Sipas shumicës, mospranimi i rekursit të kërkueses nga Gjykata e Lartë, duke u mjaftuar vetëm me shqyrtimin </w:t>
      </w:r>
      <w:r w:rsidRPr="00CF59AA">
        <w:rPr>
          <w:rFonts w:ascii="Garamond" w:hAnsi="Garamond" w:cs="Times New Roman"/>
          <w:i/>
          <w:iCs/>
          <w:color w:val="000000"/>
          <w:sz w:val="24"/>
          <w:szCs w:val="24"/>
        </w:rPr>
        <w:t>de plano</w:t>
      </w:r>
      <w:r w:rsidRPr="00CF59AA">
        <w:rPr>
          <w:rFonts w:ascii="Garamond" w:hAnsi="Garamond" w:cs="Times New Roman"/>
          <w:color w:val="000000"/>
          <w:sz w:val="24"/>
          <w:szCs w:val="24"/>
        </w:rPr>
        <w:t xml:space="preserve"> të çështjes dhe me arsyetimin e kufizuar se shkaqet e rekursit nuk janë nga ato të parashikuara nga ligji, pa i dhënë përgjigje të arsyetuar pretendimit me natyrë kushtetuese, ka vënë në dyshim respektimin dhe mbrojtjen e të drejtave themelore kushtetuese të kërkueses, si dhe të çon në përfundimin se pretendimi i saj për cenimin e së drejtës për proces të rregullt ligjor në drejtim të </w:t>
      </w:r>
      <w:proofErr w:type="spellStart"/>
      <w:r w:rsidRPr="00CF59AA">
        <w:rPr>
          <w:rFonts w:ascii="Garamond" w:hAnsi="Garamond" w:cs="Times New Roman"/>
          <w:color w:val="000000"/>
          <w:sz w:val="24"/>
          <w:szCs w:val="24"/>
        </w:rPr>
        <w:t>aksesit</w:t>
      </w:r>
      <w:proofErr w:type="spellEnd"/>
      <w:r w:rsidRPr="00CF59AA">
        <w:rPr>
          <w:rFonts w:ascii="Garamond" w:hAnsi="Garamond" w:cs="Times New Roman"/>
          <w:color w:val="000000"/>
          <w:sz w:val="24"/>
          <w:szCs w:val="24"/>
        </w:rPr>
        <w:t xml:space="preserve"> substancial të lidhur me standardin e arsyetimit të vendimit gjyqësor është i bazuar (</w:t>
      </w:r>
      <w:r w:rsidRPr="00CF59AA">
        <w:rPr>
          <w:rFonts w:ascii="Garamond" w:hAnsi="Garamond" w:cs="Times New Roman"/>
          <w:i/>
          <w:iCs/>
          <w:color w:val="000000"/>
          <w:sz w:val="24"/>
          <w:szCs w:val="24"/>
        </w:rPr>
        <w:t>shih paragrafët 31</w:t>
      </w:r>
      <w:r w:rsidR="00B007C3">
        <w:rPr>
          <w:rFonts w:ascii="Garamond" w:hAnsi="Garamond" w:cs="Times New Roman"/>
          <w:i/>
          <w:iCs/>
          <w:color w:val="000000"/>
          <w:sz w:val="24"/>
          <w:szCs w:val="24"/>
        </w:rPr>
        <w:t>–</w:t>
      </w:r>
      <w:r w:rsidRPr="00CF59AA">
        <w:rPr>
          <w:rFonts w:ascii="Garamond" w:hAnsi="Garamond" w:cs="Times New Roman"/>
          <w:i/>
          <w:iCs/>
          <w:color w:val="000000"/>
          <w:sz w:val="24"/>
          <w:szCs w:val="24"/>
        </w:rPr>
        <w:t>32 të vendimit</w:t>
      </w:r>
      <w:r w:rsidRPr="00CF59AA">
        <w:rPr>
          <w:rFonts w:ascii="Garamond" w:hAnsi="Garamond" w:cs="Times New Roman"/>
          <w:color w:val="000000"/>
          <w:sz w:val="24"/>
          <w:szCs w:val="24"/>
        </w:rPr>
        <w:t>).</w:t>
      </w:r>
    </w:p>
    <w:p w14:paraId="14CCA226" w14:textId="1B7DE8B3"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59AA">
        <w:rPr>
          <w:rFonts w:ascii="Garamond" w:hAnsi="Garamond" w:cs="Times New Roman"/>
          <w:color w:val="000000"/>
          <w:sz w:val="24"/>
          <w:szCs w:val="24"/>
        </w:rPr>
        <w:t xml:space="preserve">6. Nuk pajtohem me qëndrimin e shumicës në lidhje me këtë pretendim, pasi vlerësoj se Gjykata e Lartë ka vepruar brenda rolit dhe funksionit të saj kushtetues për interpretimin e ligjit. Në këtë kuptim, sikurse thekson edhe shumica, Gjykata në jurisprudencën e saj ka pohuar se e drejta e </w:t>
      </w:r>
      <w:proofErr w:type="spellStart"/>
      <w:r w:rsidRPr="00CF59AA">
        <w:rPr>
          <w:rFonts w:ascii="Garamond" w:hAnsi="Garamond" w:cs="Times New Roman"/>
          <w:color w:val="000000"/>
          <w:sz w:val="24"/>
          <w:szCs w:val="24"/>
        </w:rPr>
        <w:t>aksesit</w:t>
      </w:r>
      <w:proofErr w:type="spellEnd"/>
      <w:r w:rsidRPr="00CF59AA">
        <w:rPr>
          <w:rFonts w:ascii="Garamond" w:hAnsi="Garamond" w:cs="Times New Roman"/>
          <w:color w:val="000000"/>
          <w:sz w:val="24"/>
          <w:szCs w:val="24"/>
        </w:rPr>
        <w:t xml:space="preserve"> u garanton subjekteve të cenuara të drejtën t’i drejtohen një gjykate, e cila duhet të dëgjojë pretendimet e tyre dhe të shpallë një vendim pas një gjykimi të drejtë dhe publik</w:t>
      </w:r>
      <w:r w:rsidR="00B007C3">
        <w:rPr>
          <w:rFonts w:ascii="Garamond" w:hAnsi="Garamond" w:cs="Times New Roman"/>
          <w:color w:val="000000"/>
          <w:sz w:val="24"/>
          <w:szCs w:val="24"/>
        </w:rPr>
        <w:t xml:space="preserve"> </w:t>
      </w:r>
      <w:r w:rsidRPr="00CF59AA">
        <w:rPr>
          <w:rFonts w:ascii="Garamond" w:hAnsi="Garamond" w:cs="Times New Roman"/>
          <w:color w:val="000000"/>
          <w:sz w:val="24"/>
          <w:szCs w:val="24"/>
        </w:rPr>
        <w:t>(</w:t>
      </w:r>
      <w:r w:rsidRPr="00CF59AA">
        <w:rPr>
          <w:rFonts w:ascii="Garamond" w:hAnsi="Garamond" w:cs="Times New Roman"/>
          <w:i/>
          <w:iCs/>
          <w:color w:val="000000"/>
          <w:sz w:val="24"/>
          <w:szCs w:val="24"/>
        </w:rPr>
        <w:t>shih vendimet</w:t>
      </w:r>
      <w:r w:rsidRPr="00CF59AA">
        <w:rPr>
          <w:rFonts w:ascii="Garamond" w:hAnsi="Garamond" w:cs="Times New Roman"/>
          <w:b/>
          <w:bCs/>
          <w:color w:val="000000"/>
          <w:sz w:val="24"/>
          <w:szCs w:val="24"/>
        </w:rPr>
        <w:t xml:space="preserve"> </w:t>
      </w:r>
      <w:r w:rsidR="00B007C3">
        <w:rPr>
          <w:rFonts w:ascii="Garamond" w:hAnsi="Garamond" w:cs="Times New Roman"/>
          <w:i/>
          <w:iCs/>
          <w:color w:val="000000"/>
          <w:sz w:val="24"/>
          <w:szCs w:val="24"/>
        </w:rPr>
        <w:t>nr. 6, datë 22.2.2022; nr. 3, datë 23.</w:t>
      </w:r>
      <w:r w:rsidRPr="00CF59AA">
        <w:rPr>
          <w:rFonts w:ascii="Garamond" w:hAnsi="Garamond" w:cs="Times New Roman"/>
          <w:i/>
          <w:iCs/>
          <w:color w:val="000000"/>
          <w:sz w:val="24"/>
          <w:szCs w:val="24"/>
        </w:rPr>
        <w:t>2.2016</w:t>
      </w:r>
      <w:r w:rsidR="00B007C3">
        <w:rPr>
          <w:rFonts w:ascii="Garamond" w:hAnsi="Garamond" w:cs="Times New Roman"/>
          <w:i/>
          <w:iCs/>
          <w:color w:val="000000"/>
          <w:sz w:val="24"/>
          <w:szCs w:val="24"/>
        </w:rPr>
        <w:t>,</w:t>
      </w:r>
      <w:r w:rsidRPr="00CF59AA">
        <w:rPr>
          <w:rFonts w:ascii="Garamond" w:hAnsi="Garamond" w:cs="Times New Roman"/>
          <w:i/>
          <w:iCs/>
          <w:color w:val="000000"/>
          <w:sz w:val="24"/>
          <w:szCs w:val="24"/>
        </w:rPr>
        <w:t xml:space="preserve"> të Gjykatës Kushtetuese</w:t>
      </w:r>
      <w:r w:rsidRPr="00CF59AA">
        <w:rPr>
          <w:rFonts w:ascii="Garamond" w:hAnsi="Garamond" w:cs="Times New Roman"/>
          <w:color w:val="000000"/>
          <w:sz w:val="24"/>
          <w:szCs w:val="24"/>
        </w:rPr>
        <w:t>). Po ashtu, e drejta për proces të rregullt ligjor përfshin edhe të drejtën për të pasur një vendim gjyqësor të arsyetuar, që i garantohet individit nga nenet 42 dhe 142, pika 1, të Kushtetutës (</w:t>
      </w:r>
      <w:r w:rsidRPr="00CF59AA">
        <w:rPr>
          <w:rFonts w:ascii="Garamond" w:hAnsi="Garamond" w:cs="Times New Roman"/>
          <w:i/>
          <w:iCs/>
          <w:color w:val="000000"/>
          <w:sz w:val="24"/>
          <w:szCs w:val="24"/>
        </w:rPr>
        <w:t>shih</w:t>
      </w:r>
      <w:r w:rsidRPr="00CF59AA">
        <w:rPr>
          <w:rFonts w:ascii="Garamond" w:hAnsi="Garamond" w:cs="Times New Roman"/>
          <w:color w:val="000000"/>
          <w:sz w:val="24"/>
          <w:szCs w:val="24"/>
        </w:rPr>
        <w:t xml:space="preserve"> </w:t>
      </w:r>
      <w:r w:rsidR="00B007C3">
        <w:rPr>
          <w:rFonts w:ascii="Garamond" w:hAnsi="Garamond" w:cs="Times New Roman"/>
          <w:i/>
          <w:iCs/>
          <w:color w:val="000000"/>
          <w:sz w:val="24"/>
          <w:szCs w:val="24"/>
        </w:rPr>
        <w:t>vendimet nr. 19, datë 7.</w:t>
      </w:r>
      <w:r w:rsidRPr="00CF59AA">
        <w:rPr>
          <w:rFonts w:ascii="Garamond" w:hAnsi="Garamond" w:cs="Times New Roman"/>
          <w:i/>
          <w:iCs/>
          <w:color w:val="000000"/>
          <w:sz w:val="24"/>
          <w:szCs w:val="24"/>
        </w:rPr>
        <w:t>7.2022; nr. 2, d</w:t>
      </w:r>
      <w:r w:rsidR="00B007C3">
        <w:rPr>
          <w:rFonts w:ascii="Garamond" w:hAnsi="Garamond" w:cs="Times New Roman"/>
          <w:i/>
          <w:iCs/>
          <w:color w:val="000000"/>
          <w:sz w:val="24"/>
          <w:szCs w:val="24"/>
        </w:rPr>
        <w:t>atë 11.2.2021; nr. 3, datë 20.</w:t>
      </w:r>
      <w:r w:rsidRPr="00CF59AA">
        <w:rPr>
          <w:rFonts w:ascii="Garamond" w:hAnsi="Garamond" w:cs="Times New Roman"/>
          <w:i/>
          <w:iCs/>
          <w:color w:val="000000"/>
          <w:sz w:val="24"/>
          <w:szCs w:val="24"/>
        </w:rPr>
        <w:t>1.2017</w:t>
      </w:r>
      <w:r w:rsidR="00B007C3">
        <w:rPr>
          <w:rFonts w:ascii="Garamond" w:hAnsi="Garamond" w:cs="Times New Roman"/>
          <w:i/>
          <w:iCs/>
          <w:color w:val="000000"/>
          <w:sz w:val="24"/>
          <w:szCs w:val="24"/>
        </w:rPr>
        <w:t>,</w:t>
      </w:r>
      <w:r w:rsidRPr="00CF59AA">
        <w:rPr>
          <w:rFonts w:ascii="Garamond" w:hAnsi="Garamond" w:cs="Times New Roman"/>
          <w:i/>
          <w:iCs/>
          <w:color w:val="000000"/>
          <w:sz w:val="24"/>
          <w:szCs w:val="24"/>
        </w:rPr>
        <w:t xml:space="preserve"> të Gjykatës Kushtetuese</w:t>
      </w:r>
      <w:r w:rsidRPr="00CF59AA">
        <w:rPr>
          <w:rFonts w:ascii="Garamond" w:hAnsi="Garamond" w:cs="Times New Roman"/>
          <w:color w:val="000000"/>
          <w:sz w:val="24"/>
          <w:szCs w:val="24"/>
        </w:rPr>
        <w:t xml:space="preserve">). </w:t>
      </w:r>
    </w:p>
    <w:p w14:paraId="09754CC5" w14:textId="3BF5B244"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59AA">
        <w:rPr>
          <w:rFonts w:ascii="Garamond" w:hAnsi="Garamond" w:cs="Times New Roman"/>
          <w:color w:val="000000"/>
          <w:sz w:val="24"/>
          <w:szCs w:val="24"/>
        </w:rPr>
        <w:t xml:space="preserve">7. Gjithashtu, Gjykata ka theksuar se është detyrë e gjykatave të juridiksionit të zakonshëm të vlerësojnë faktet dhe provat e administruara, si dhe të interpretojnë ligjin për qëllim të procesit gjyqësor që ato zhvillojnë, ndërsa detyra e kësaj Gjykate është të shqyrtojë dhe vlerësojë nëse gjatë procesit gjyqësor ka pasur shkelje të </w:t>
      </w:r>
      <w:proofErr w:type="spellStart"/>
      <w:r w:rsidRPr="00CF59AA">
        <w:rPr>
          <w:rFonts w:ascii="Garamond" w:hAnsi="Garamond" w:cs="Times New Roman"/>
          <w:color w:val="000000"/>
          <w:sz w:val="24"/>
          <w:szCs w:val="24"/>
        </w:rPr>
        <w:t>të</w:t>
      </w:r>
      <w:proofErr w:type="spellEnd"/>
      <w:r w:rsidRPr="00CF59AA">
        <w:rPr>
          <w:rFonts w:ascii="Garamond" w:hAnsi="Garamond" w:cs="Times New Roman"/>
          <w:color w:val="000000"/>
          <w:sz w:val="24"/>
          <w:szCs w:val="24"/>
        </w:rPr>
        <w:t xml:space="preserve"> drejtave kushtetuese, si dhe nëse zbatimi i ligjit ka qenë eventualisht arbitrar, në kuptimin që të bjerë ndesh haptazi me konceptin e gjykimit të drejtë të përcaktuar në nenin 42 të Kushtetutës (</w:t>
      </w:r>
      <w:r w:rsidRPr="00CF59AA">
        <w:rPr>
          <w:rFonts w:ascii="Garamond" w:hAnsi="Garamond" w:cs="Times New Roman"/>
          <w:i/>
          <w:iCs/>
          <w:color w:val="000000"/>
          <w:sz w:val="24"/>
          <w:szCs w:val="24"/>
        </w:rPr>
        <w:t>shih vendim</w:t>
      </w:r>
      <w:r w:rsidR="00B007C3">
        <w:rPr>
          <w:rFonts w:ascii="Garamond" w:hAnsi="Garamond" w:cs="Times New Roman"/>
          <w:i/>
          <w:iCs/>
          <w:color w:val="000000"/>
          <w:sz w:val="24"/>
          <w:szCs w:val="24"/>
        </w:rPr>
        <w:t>et nr. 3, datë 23.2.2016; nr. 42, datë 7.</w:t>
      </w:r>
      <w:r w:rsidRPr="00CF59AA">
        <w:rPr>
          <w:rFonts w:ascii="Garamond" w:hAnsi="Garamond" w:cs="Times New Roman"/>
          <w:i/>
          <w:iCs/>
          <w:color w:val="000000"/>
          <w:sz w:val="24"/>
          <w:szCs w:val="24"/>
        </w:rPr>
        <w:t>7.2014</w:t>
      </w:r>
      <w:r w:rsidR="00B007C3">
        <w:rPr>
          <w:rFonts w:ascii="Garamond" w:hAnsi="Garamond" w:cs="Times New Roman"/>
          <w:i/>
          <w:iCs/>
          <w:color w:val="000000"/>
          <w:sz w:val="24"/>
          <w:szCs w:val="24"/>
        </w:rPr>
        <w:t>,</w:t>
      </w:r>
      <w:r w:rsidRPr="00CF59AA">
        <w:rPr>
          <w:rFonts w:ascii="Garamond" w:hAnsi="Garamond" w:cs="Times New Roman"/>
          <w:i/>
          <w:iCs/>
          <w:color w:val="000000"/>
          <w:sz w:val="24"/>
          <w:szCs w:val="24"/>
        </w:rPr>
        <w:t xml:space="preserve"> të Gjykatës Kushtetuese</w:t>
      </w:r>
      <w:r w:rsidRPr="00CF59AA">
        <w:rPr>
          <w:rFonts w:ascii="Garamond" w:hAnsi="Garamond" w:cs="Times New Roman"/>
          <w:color w:val="000000"/>
          <w:sz w:val="24"/>
          <w:szCs w:val="24"/>
        </w:rPr>
        <w:t>). Gjithsesi, Gjykata në çdo rast nuk vepron si gjykatë e shkallës së katërt, por ndërhyn atëherë kur gabimi ligjor ose faktik nga gjykatat e juridiksionit të zakonshëm është aq i dukshëm, sa një gjykatë e arsyeshme nuk mund ta kishte bërë ndonjëherë ose është i tillë që gjykimin e bën të padrejtë (</w:t>
      </w:r>
      <w:r w:rsidR="00B007C3">
        <w:rPr>
          <w:rFonts w:ascii="Garamond" w:hAnsi="Garamond" w:cs="Times New Roman"/>
          <w:i/>
          <w:iCs/>
          <w:color w:val="000000"/>
          <w:sz w:val="24"/>
          <w:szCs w:val="24"/>
        </w:rPr>
        <w:t>shih vendimin nr. 30, datë 29.</w:t>
      </w:r>
      <w:r w:rsidRPr="00CF59AA">
        <w:rPr>
          <w:rFonts w:ascii="Garamond" w:hAnsi="Garamond" w:cs="Times New Roman"/>
          <w:i/>
          <w:iCs/>
          <w:color w:val="000000"/>
          <w:sz w:val="24"/>
          <w:szCs w:val="24"/>
        </w:rPr>
        <w:t>5.2023</w:t>
      </w:r>
      <w:r w:rsidR="00B007C3">
        <w:rPr>
          <w:rFonts w:ascii="Garamond" w:hAnsi="Garamond" w:cs="Times New Roman"/>
          <w:i/>
          <w:iCs/>
          <w:color w:val="000000"/>
          <w:sz w:val="24"/>
          <w:szCs w:val="24"/>
        </w:rPr>
        <w:t>,</w:t>
      </w:r>
      <w:r w:rsidRPr="00CF59AA">
        <w:rPr>
          <w:rFonts w:ascii="Garamond" w:hAnsi="Garamond" w:cs="Times New Roman"/>
          <w:i/>
          <w:iCs/>
          <w:color w:val="000000"/>
          <w:sz w:val="24"/>
          <w:szCs w:val="24"/>
        </w:rPr>
        <w:t xml:space="preserve"> të Gjykatës Kushtetuese</w:t>
      </w:r>
      <w:r w:rsidRPr="00CF59AA">
        <w:rPr>
          <w:rFonts w:ascii="Garamond" w:hAnsi="Garamond" w:cs="Times New Roman"/>
          <w:color w:val="000000"/>
          <w:sz w:val="24"/>
          <w:szCs w:val="24"/>
        </w:rPr>
        <w:t>).</w:t>
      </w:r>
    </w:p>
    <w:p w14:paraId="740EE78C" w14:textId="23375BBA" w:rsidR="00C852F1" w:rsidRPr="00CF59AA" w:rsidRDefault="00C852F1" w:rsidP="00C852F1">
      <w:pPr>
        <w:tabs>
          <w:tab w:val="left" w:pos="70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59AA">
        <w:rPr>
          <w:rFonts w:ascii="Garamond" w:hAnsi="Garamond" w:cs="Times New Roman"/>
          <w:color w:val="000000"/>
          <w:sz w:val="24"/>
          <w:szCs w:val="24"/>
        </w:rPr>
        <w:t xml:space="preserve">8. Në rastin në shqyrtim Gjykata e Lartë, duke vendosur mospranimin e rekursit, ka arsyetuar se nuk plotësohen kushtet për </w:t>
      </w:r>
      <w:proofErr w:type="spellStart"/>
      <w:r w:rsidRPr="00CF59AA">
        <w:rPr>
          <w:rFonts w:ascii="Garamond" w:hAnsi="Garamond" w:cs="Times New Roman"/>
          <w:color w:val="000000"/>
          <w:sz w:val="24"/>
          <w:szCs w:val="24"/>
        </w:rPr>
        <w:t>pranueshmërinë</w:t>
      </w:r>
      <w:proofErr w:type="spellEnd"/>
      <w:r w:rsidRPr="00CF59AA">
        <w:rPr>
          <w:rFonts w:ascii="Garamond" w:hAnsi="Garamond" w:cs="Times New Roman"/>
          <w:color w:val="000000"/>
          <w:sz w:val="24"/>
          <w:szCs w:val="24"/>
        </w:rPr>
        <w:t xml:space="preserve"> e tij, pasi shkaqet e rekursit haptazi nuk mbështeten</w:t>
      </w:r>
      <w:r w:rsidR="00B007C3">
        <w:rPr>
          <w:rFonts w:ascii="Garamond" w:hAnsi="Garamond" w:cs="Times New Roman"/>
          <w:color w:val="000000"/>
          <w:sz w:val="24"/>
          <w:szCs w:val="24"/>
        </w:rPr>
        <w:t xml:space="preserve"> </w:t>
      </w:r>
      <w:r w:rsidRPr="00CF59AA">
        <w:rPr>
          <w:rFonts w:ascii="Garamond" w:hAnsi="Garamond" w:cs="Times New Roman"/>
          <w:color w:val="000000"/>
          <w:sz w:val="24"/>
          <w:szCs w:val="24"/>
        </w:rPr>
        <w:t>në asnjë nga rastet e parashikuara në nenin 58</w:t>
      </w:r>
      <w:r w:rsidR="00E81A7C">
        <w:rPr>
          <w:rFonts w:ascii="Garamond" w:hAnsi="Garamond" w:cs="Times New Roman"/>
          <w:color w:val="000000"/>
          <w:sz w:val="24"/>
          <w:szCs w:val="24"/>
        </w:rPr>
        <w:t>,</w:t>
      </w:r>
      <w:r w:rsidRPr="00CF59AA">
        <w:rPr>
          <w:rFonts w:ascii="Garamond" w:hAnsi="Garamond" w:cs="Times New Roman"/>
          <w:color w:val="000000"/>
          <w:sz w:val="24"/>
          <w:szCs w:val="24"/>
        </w:rPr>
        <w:t xml:space="preserve"> të ligjit nr. 49/2012, që bën të mundur cenimin në thelb të vendimit të gjykatës së apelit, si dhe është detyrë e kërkueses të parashtrojë qartësisht dhe në mënyrë të plotë shkaqet ligjore lidhur me zbatimin e gabuar të ligjit material ose procedural. Kjo do të thotë se Gjykata e Lartë, ndonëse nuk është shprehur </w:t>
      </w:r>
      <w:proofErr w:type="spellStart"/>
      <w:r w:rsidRPr="00CF59AA">
        <w:rPr>
          <w:rFonts w:ascii="Garamond" w:hAnsi="Garamond" w:cs="Times New Roman"/>
          <w:color w:val="000000"/>
          <w:sz w:val="24"/>
          <w:szCs w:val="24"/>
        </w:rPr>
        <w:t>specifikisht</w:t>
      </w:r>
      <w:proofErr w:type="spellEnd"/>
      <w:r w:rsidRPr="00CF59AA">
        <w:rPr>
          <w:rFonts w:ascii="Garamond" w:hAnsi="Garamond" w:cs="Times New Roman"/>
          <w:color w:val="000000"/>
          <w:sz w:val="24"/>
          <w:szCs w:val="24"/>
        </w:rPr>
        <w:t xml:space="preserve"> lidhur me pretendimin e kërkueses për të drejtën e </w:t>
      </w:r>
      <w:proofErr w:type="spellStart"/>
      <w:r w:rsidRPr="00CF59AA">
        <w:rPr>
          <w:rFonts w:ascii="Garamond" w:hAnsi="Garamond" w:cs="Times New Roman"/>
          <w:color w:val="000000"/>
          <w:sz w:val="24"/>
          <w:szCs w:val="24"/>
        </w:rPr>
        <w:t>aksesit</w:t>
      </w:r>
      <w:proofErr w:type="spellEnd"/>
      <w:r w:rsidRPr="00CF59AA">
        <w:rPr>
          <w:rFonts w:ascii="Garamond" w:hAnsi="Garamond" w:cs="Times New Roman"/>
          <w:color w:val="000000"/>
          <w:sz w:val="24"/>
          <w:szCs w:val="24"/>
        </w:rPr>
        <w:t>, në ushtrim të funksionit të saj, për sa kohë ka vlerësuar se nuk rezulton që gjykata e apelit të ketë lejuar shkelje procedurale që do ta bënin të pavlefshëm procesin dhe do të ndikonin në vendimmarrjen e saj (</w:t>
      </w:r>
      <w:r w:rsidRPr="00CF59AA">
        <w:rPr>
          <w:rFonts w:ascii="Garamond" w:hAnsi="Garamond" w:cs="Times New Roman"/>
          <w:i/>
          <w:iCs/>
          <w:color w:val="000000"/>
          <w:sz w:val="24"/>
          <w:szCs w:val="24"/>
        </w:rPr>
        <w:t>shih paragrafin 7 të vendimit të Gjykatës së Lartë</w:t>
      </w:r>
      <w:r w:rsidRPr="00CF59AA">
        <w:rPr>
          <w:rFonts w:ascii="Garamond" w:hAnsi="Garamond" w:cs="Times New Roman"/>
          <w:color w:val="000000"/>
          <w:sz w:val="24"/>
          <w:szCs w:val="24"/>
        </w:rPr>
        <w:t xml:space="preserve">), ka çmuar të drejtë qëndrimin dhe interpretimin ligjor që ka bërë kjo e fundit për mënyrën e zbatimit të ligjit. </w:t>
      </w:r>
    </w:p>
    <w:p w14:paraId="7AD5D8B9" w14:textId="6779ED7C" w:rsidR="00C852F1" w:rsidRPr="00CF59AA" w:rsidRDefault="00C852F1" w:rsidP="00C852F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59AA">
        <w:rPr>
          <w:rFonts w:ascii="Garamond" w:hAnsi="Garamond" w:cs="Times New Roman"/>
          <w:color w:val="000000"/>
          <w:sz w:val="24"/>
          <w:szCs w:val="24"/>
        </w:rPr>
        <w:t>9. Prandaj jam i mendimit se interpretimi që gjykata e apelit ka bërë, se akti i largimit nga detyra nuk paraqet elemente të pavlefshmërisë absolute, pasi është marrë nga një organ administrativ i identifikuar dhe brenda kompetencës së tij të përcaktuar në nenin</w:t>
      </w:r>
      <w:r w:rsidR="00B007C3">
        <w:rPr>
          <w:rFonts w:ascii="Garamond" w:hAnsi="Garamond" w:cs="Times New Roman"/>
          <w:color w:val="000000"/>
          <w:sz w:val="24"/>
          <w:szCs w:val="24"/>
        </w:rPr>
        <w:t xml:space="preserve"> 8, të ligjit nr. 9000, datë 30.</w:t>
      </w:r>
      <w:r w:rsidRPr="00CF59AA">
        <w:rPr>
          <w:rFonts w:ascii="Garamond" w:hAnsi="Garamond" w:cs="Times New Roman"/>
          <w:color w:val="000000"/>
          <w:sz w:val="24"/>
          <w:szCs w:val="24"/>
        </w:rPr>
        <w:t>1.2003</w:t>
      </w:r>
      <w:r w:rsidR="00B007C3">
        <w:rPr>
          <w:rFonts w:ascii="Garamond" w:hAnsi="Garamond" w:cs="Times New Roman"/>
          <w:color w:val="000000"/>
          <w:sz w:val="24"/>
          <w:szCs w:val="24"/>
        </w:rPr>
        <w:t>,</w:t>
      </w:r>
      <w:r w:rsidRPr="00CF59AA">
        <w:rPr>
          <w:rFonts w:ascii="Garamond" w:hAnsi="Garamond" w:cs="Times New Roman"/>
          <w:color w:val="000000"/>
          <w:sz w:val="24"/>
          <w:szCs w:val="24"/>
        </w:rPr>
        <w:t xml:space="preserve"> “Për organizimin dhe funksionimin e Këshillit të Ministrave”, nenin 25</w:t>
      </w:r>
      <w:r w:rsidR="00B007C3">
        <w:rPr>
          <w:rFonts w:ascii="Garamond" w:hAnsi="Garamond" w:cs="Times New Roman"/>
          <w:color w:val="000000"/>
          <w:sz w:val="24"/>
          <w:szCs w:val="24"/>
        </w:rPr>
        <w:t>,</w:t>
      </w:r>
      <w:r w:rsidRPr="00CF59AA">
        <w:rPr>
          <w:rFonts w:ascii="Garamond" w:hAnsi="Garamond" w:cs="Times New Roman"/>
          <w:color w:val="000000"/>
          <w:sz w:val="24"/>
          <w:szCs w:val="24"/>
        </w:rPr>
        <w:t xml:space="preserve"> të ligjit nr. 8549/1999</w:t>
      </w:r>
      <w:r w:rsidR="00B007C3">
        <w:rPr>
          <w:rFonts w:ascii="Garamond" w:hAnsi="Garamond" w:cs="Times New Roman"/>
          <w:color w:val="000000"/>
          <w:sz w:val="24"/>
          <w:szCs w:val="24"/>
        </w:rPr>
        <w:t xml:space="preserve"> </w:t>
      </w:r>
      <w:r w:rsidRPr="00CF59AA">
        <w:rPr>
          <w:rFonts w:ascii="Garamond" w:hAnsi="Garamond" w:cs="Times New Roman"/>
          <w:color w:val="000000"/>
          <w:sz w:val="24"/>
          <w:szCs w:val="24"/>
        </w:rPr>
        <w:t>(ligji i zbatueshëm në momentin e largimit të kërkueses nga shërbimi civi</w:t>
      </w:r>
      <w:r w:rsidR="00B007C3">
        <w:rPr>
          <w:rFonts w:ascii="Garamond" w:hAnsi="Garamond" w:cs="Times New Roman"/>
          <w:color w:val="000000"/>
          <w:sz w:val="24"/>
          <w:szCs w:val="24"/>
        </w:rPr>
        <w:t xml:space="preserve">l) dhe </w:t>
      </w:r>
      <w:proofErr w:type="spellStart"/>
      <w:r w:rsidR="00B007C3">
        <w:rPr>
          <w:rFonts w:ascii="Garamond" w:hAnsi="Garamond" w:cs="Times New Roman"/>
          <w:color w:val="000000"/>
          <w:sz w:val="24"/>
          <w:szCs w:val="24"/>
        </w:rPr>
        <w:t>VKM</w:t>
      </w:r>
      <w:proofErr w:type="spellEnd"/>
      <w:r w:rsidR="00B007C3">
        <w:rPr>
          <w:rFonts w:ascii="Garamond" w:hAnsi="Garamond" w:cs="Times New Roman"/>
          <w:color w:val="000000"/>
          <w:sz w:val="24"/>
          <w:szCs w:val="24"/>
        </w:rPr>
        <w:t>-në nr. 306, datë 13.</w:t>
      </w:r>
      <w:r w:rsidRPr="00CF59AA">
        <w:rPr>
          <w:rFonts w:ascii="Garamond" w:hAnsi="Garamond" w:cs="Times New Roman"/>
          <w:color w:val="000000"/>
          <w:sz w:val="24"/>
          <w:szCs w:val="24"/>
        </w:rPr>
        <w:t>6.2000</w:t>
      </w:r>
      <w:r w:rsidR="00B007C3">
        <w:rPr>
          <w:rFonts w:ascii="Garamond" w:hAnsi="Garamond" w:cs="Times New Roman"/>
          <w:color w:val="000000"/>
          <w:sz w:val="24"/>
          <w:szCs w:val="24"/>
        </w:rPr>
        <w:t>,</w:t>
      </w:r>
      <w:r w:rsidRPr="00CF59AA">
        <w:rPr>
          <w:rFonts w:ascii="Garamond" w:hAnsi="Garamond" w:cs="Times New Roman"/>
          <w:color w:val="000000"/>
          <w:sz w:val="24"/>
          <w:szCs w:val="24"/>
        </w:rPr>
        <w:t xml:space="preserve"> “Për disiplinën në shërbimin civil”, duket se është pranuar edhe nga Gjykata e Lartë. Për </w:t>
      </w:r>
      <w:r w:rsidRPr="00CF59AA">
        <w:rPr>
          <w:rFonts w:ascii="Garamond" w:hAnsi="Garamond" w:cs="Times New Roman"/>
          <w:color w:val="000000"/>
          <w:sz w:val="24"/>
          <w:szCs w:val="24"/>
        </w:rPr>
        <w:lastRenderedPageBreak/>
        <w:t xml:space="preserve">më tepër, fakti që Gjykata e Lartë ndodhej në kushtet e dy vendimeve me qëndrime të njëjta të dy gjykatave më të ulëta, nuk e detyron këtë gjykatë të shprehet në mënyrë të zgjeruar për secilin pretendim ose për mënyrën e zbatimit të ligjit nga gjykatat më të ulëta </w:t>
      </w:r>
      <w:r w:rsidRPr="00CF59AA">
        <w:rPr>
          <w:rFonts w:ascii="Garamond" w:hAnsi="Garamond" w:cs="Times New Roman"/>
          <w:i/>
          <w:iCs/>
          <w:color w:val="000000"/>
          <w:sz w:val="24"/>
          <w:szCs w:val="24"/>
        </w:rPr>
        <w:t>(shih vendimet nr. 39, da</w:t>
      </w:r>
      <w:r w:rsidR="00B007C3">
        <w:rPr>
          <w:rFonts w:ascii="Garamond" w:hAnsi="Garamond" w:cs="Times New Roman"/>
          <w:i/>
          <w:iCs/>
          <w:color w:val="000000"/>
          <w:sz w:val="24"/>
          <w:szCs w:val="24"/>
        </w:rPr>
        <w:t>të 25.6.2015; nr. 45, datë 29.</w:t>
      </w:r>
      <w:r w:rsidRPr="00CF59AA">
        <w:rPr>
          <w:rFonts w:ascii="Garamond" w:hAnsi="Garamond" w:cs="Times New Roman"/>
          <w:i/>
          <w:iCs/>
          <w:color w:val="000000"/>
          <w:sz w:val="24"/>
          <w:szCs w:val="24"/>
        </w:rPr>
        <w:t>6.2015</w:t>
      </w:r>
      <w:r w:rsidR="00B007C3">
        <w:rPr>
          <w:rFonts w:ascii="Garamond" w:hAnsi="Garamond" w:cs="Times New Roman"/>
          <w:i/>
          <w:iCs/>
          <w:color w:val="000000"/>
          <w:sz w:val="24"/>
          <w:szCs w:val="24"/>
        </w:rPr>
        <w:t>,</w:t>
      </w:r>
      <w:r w:rsidRPr="00CF59AA">
        <w:rPr>
          <w:rFonts w:ascii="Garamond" w:hAnsi="Garamond" w:cs="Times New Roman"/>
          <w:i/>
          <w:iCs/>
          <w:color w:val="000000"/>
          <w:sz w:val="24"/>
          <w:szCs w:val="24"/>
        </w:rPr>
        <w:t xml:space="preserve"> të Gjykatës Kushtetuese)</w:t>
      </w:r>
      <w:r w:rsidRPr="00CF59AA">
        <w:rPr>
          <w:rFonts w:ascii="Garamond" w:hAnsi="Garamond" w:cs="Times New Roman"/>
          <w:color w:val="000000"/>
          <w:sz w:val="24"/>
          <w:szCs w:val="24"/>
        </w:rPr>
        <w:t>. Kjo edhe në linjë me jurisprudencën kushtetuese, e cila ka pranuar se arsyetimi i kufizuar i Gjykatës së Lartë nuk cenon standardet e arsyetimit të vendimit gjyqësor dhe kjo formë arsyetimi është tashmë e konsoliduar në praktikën e saj (</w:t>
      </w:r>
      <w:r w:rsidR="00B007C3">
        <w:rPr>
          <w:rFonts w:ascii="Garamond" w:hAnsi="Garamond" w:cs="Times New Roman"/>
          <w:i/>
          <w:iCs/>
          <w:color w:val="000000"/>
          <w:sz w:val="24"/>
          <w:szCs w:val="24"/>
        </w:rPr>
        <w:t>shih vendimet nr. 16, datë 12.3.2024; nr. 16, datë 16.3.2021; nr. 9, datë 26.</w:t>
      </w:r>
      <w:r w:rsidRPr="00CF59AA">
        <w:rPr>
          <w:rFonts w:ascii="Garamond" w:hAnsi="Garamond" w:cs="Times New Roman"/>
          <w:i/>
          <w:iCs/>
          <w:color w:val="000000"/>
          <w:sz w:val="24"/>
          <w:szCs w:val="24"/>
        </w:rPr>
        <w:t>3.2018</w:t>
      </w:r>
      <w:r w:rsidR="00B007C3">
        <w:rPr>
          <w:rFonts w:ascii="Garamond" w:hAnsi="Garamond" w:cs="Times New Roman"/>
          <w:i/>
          <w:iCs/>
          <w:color w:val="000000"/>
          <w:sz w:val="24"/>
          <w:szCs w:val="24"/>
        </w:rPr>
        <w:t>,</w:t>
      </w:r>
      <w:r w:rsidRPr="00CF59AA">
        <w:rPr>
          <w:rFonts w:ascii="Garamond" w:hAnsi="Garamond" w:cs="Times New Roman"/>
          <w:i/>
          <w:iCs/>
          <w:color w:val="000000"/>
          <w:sz w:val="24"/>
          <w:szCs w:val="24"/>
        </w:rPr>
        <w:t xml:space="preserve"> të Gjykatës Kushtetuese</w:t>
      </w:r>
      <w:r w:rsidRPr="00CF59AA">
        <w:rPr>
          <w:rFonts w:ascii="Garamond" w:hAnsi="Garamond" w:cs="Times New Roman"/>
          <w:color w:val="000000"/>
          <w:sz w:val="24"/>
          <w:szCs w:val="24"/>
        </w:rPr>
        <w:t xml:space="preserve">). Në këtë këndvështrim, vendimmarrja e Gjykatës së Lartë, e cila ka vendosur mospranimin e rekursit të kërkueses, nuk duket të jetë arbitrare dhe e paarsyeshme. </w:t>
      </w:r>
    </w:p>
    <w:p w14:paraId="78E81C93" w14:textId="452B4116" w:rsidR="00C852F1" w:rsidRPr="00CF59AA" w:rsidRDefault="00C852F1" w:rsidP="00C852F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59AA">
        <w:rPr>
          <w:rFonts w:ascii="Garamond" w:hAnsi="Garamond" w:cs="Times New Roman"/>
          <w:color w:val="000000"/>
          <w:sz w:val="24"/>
          <w:szCs w:val="24"/>
        </w:rPr>
        <w:t xml:space="preserve">10. Për më tepër, sikurse rezulton nga përmbajtja e vendimeve gjyqësore, kërkuesja e ka ushtruar të drejtën e saj të paraqitjes së ankimit/rekursit, ku përmes një procesi gjyqësor, që ka analizuar themelin e çështjes, me vendim përfundimtar ka marrë përgjigje të arsyetuar për të gjitha pretendimet e saj, në veçanti për pavlefshmërinë absolute të aktit të largimit nga detyra, duke iu garantuar në këtë mënyrë edhe e drejta e </w:t>
      </w:r>
      <w:proofErr w:type="spellStart"/>
      <w:r w:rsidRPr="00CF59AA">
        <w:rPr>
          <w:rFonts w:ascii="Garamond" w:hAnsi="Garamond" w:cs="Times New Roman"/>
          <w:color w:val="000000"/>
          <w:sz w:val="24"/>
          <w:szCs w:val="24"/>
        </w:rPr>
        <w:t>aksesit</w:t>
      </w:r>
      <w:proofErr w:type="spellEnd"/>
      <w:r w:rsidRPr="00CF59AA">
        <w:rPr>
          <w:rFonts w:ascii="Garamond" w:hAnsi="Garamond" w:cs="Times New Roman"/>
          <w:color w:val="000000"/>
          <w:sz w:val="24"/>
          <w:szCs w:val="24"/>
        </w:rPr>
        <w:t xml:space="preserve">. Siç e ka theksuar Gjykata në disa raste, </w:t>
      </w:r>
      <w:proofErr w:type="spellStart"/>
      <w:r w:rsidRPr="00CF59AA">
        <w:rPr>
          <w:rFonts w:ascii="Garamond" w:hAnsi="Garamond" w:cs="Times New Roman"/>
          <w:color w:val="000000"/>
          <w:sz w:val="24"/>
          <w:szCs w:val="24"/>
        </w:rPr>
        <w:t>aksesi</w:t>
      </w:r>
      <w:proofErr w:type="spellEnd"/>
      <w:r w:rsidRPr="00CF59AA">
        <w:rPr>
          <w:rFonts w:ascii="Garamond" w:hAnsi="Garamond" w:cs="Times New Roman"/>
          <w:color w:val="000000"/>
          <w:sz w:val="24"/>
          <w:szCs w:val="24"/>
        </w:rPr>
        <w:t xml:space="preserve"> në gjykatë nuk është një e drejtë absolute, por ai mund të kufizohet në interes të parimeve të tjera të rëndësishme kushtetuese, si siguria juridike dhe në çdo rast është e nevojshme që subjektet e së drejtës të tregojnë </w:t>
      </w:r>
      <w:proofErr w:type="spellStart"/>
      <w:r w:rsidRPr="00CF59AA">
        <w:rPr>
          <w:rFonts w:ascii="Garamond" w:hAnsi="Garamond" w:cs="Times New Roman"/>
          <w:color w:val="000000"/>
          <w:sz w:val="24"/>
          <w:szCs w:val="24"/>
        </w:rPr>
        <w:t>diligjenc</w:t>
      </w:r>
      <w:bookmarkStart w:id="0" w:name="_GoBack"/>
      <w:bookmarkEnd w:id="0"/>
      <w:r w:rsidRPr="00CF59AA">
        <w:rPr>
          <w:rFonts w:ascii="Garamond" w:hAnsi="Garamond" w:cs="Times New Roman"/>
          <w:color w:val="000000"/>
          <w:sz w:val="24"/>
          <w:szCs w:val="24"/>
        </w:rPr>
        <w:t>ën</w:t>
      </w:r>
      <w:proofErr w:type="spellEnd"/>
      <w:r w:rsidRPr="00CF59AA">
        <w:rPr>
          <w:rFonts w:ascii="Garamond" w:hAnsi="Garamond" w:cs="Times New Roman"/>
          <w:color w:val="000000"/>
          <w:sz w:val="24"/>
          <w:szCs w:val="24"/>
        </w:rPr>
        <w:t xml:space="preserve"> e duhur qoftë në drejtim të respektimit të afateve procedurale, qoftë në drejtim të </w:t>
      </w:r>
      <w:proofErr w:type="spellStart"/>
      <w:r w:rsidRPr="00CF59AA">
        <w:rPr>
          <w:rFonts w:ascii="Garamond" w:hAnsi="Garamond" w:cs="Times New Roman"/>
          <w:color w:val="000000"/>
          <w:sz w:val="24"/>
          <w:szCs w:val="24"/>
        </w:rPr>
        <w:t>mirëformulimit</w:t>
      </w:r>
      <w:proofErr w:type="spellEnd"/>
      <w:r w:rsidRPr="00CF59AA">
        <w:rPr>
          <w:rFonts w:ascii="Garamond" w:hAnsi="Garamond" w:cs="Times New Roman"/>
          <w:color w:val="000000"/>
          <w:sz w:val="24"/>
          <w:szCs w:val="24"/>
        </w:rPr>
        <w:t xml:space="preserve"> të pretendimeve të tyre.</w:t>
      </w:r>
    </w:p>
    <w:p w14:paraId="7B9D3ED7" w14:textId="12C033F3" w:rsidR="00C852F1" w:rsidRPr="00CF59AA" w:rsidRDefault="00C852F1" w:rsidP="00C852F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F59AA">
        <w:rPr>
          <w:rFonts w:ascii="Garamond" w:hAnsi="Garamond" w:cs="Times New Roman"/>
          <w:color w:val="000000"/>
          <w:sz w:val="24"/>
          <w:szCs w:val="24"/>
        </w:rPr>
        <w:t xml:space="preserve">11. Në përfundim, unë, gjyqtari në pakicë, vlerësoj se pretendimi i kërkueses për cenimin e së drejtës së </w:t>
      </w:r>
      <w:proofErr w:type="spellStart"/>
      <w:r w:rsidRPr="00CF59AA">
        <w:rPr>
          <w:rFonts w:ascii="Garamond" w:hAnsi="Garamond" w:cs="Times New Roman"/>
          <w:color w:val="000000"/>
          <w:sz w:val="24"/>
          <w:szCs w:val="24"/>
        </w:rPr>
        <w:t>aksesit</w:t>
      </w:r>
      <w:proofErr w:type="spellEnd"/>
      <w:r w:rsidRPr="00CF59AA">
        <w:rPr>
          <w:rFonts w:ascii="Garamond" w:hAnsi="Garamond" w:cs="Times New Roman"/>
          <w:color w:val="000000"/>
          <w:sz w:val="24"/>
          <w:szCs w:val="24"/>
        </w:rPr>
        <w:t xml:space="preserve"> të lidhur me standardin e arsyetimit është i pabazuar, prandaj duhej të ishte vendosur rrëzimi i kërkesës.</w:t>
      </w:r>
    </w:p>
    <w:p w14:paraId="73A84A70" w14:textId="77777777" w:rsidR="005A0071" w:rsidRPr="00CF59AA" w:rsidRDefault="005A0071" w:rsidP="005A0071">
      <w:pPr>
        <w:tabs>
          <w:tab w:val="left" w:pos="0"/>
        </w:tabs>
        <w:autoSpaceDE w:val="0"/>
        <w:autoSpaceDN w:val="0"/>
        <w:adjustRightInd w:val="0"/>
        <w:spacing w:after="0" w:line="240" w:lineRule="auto"/>
        <w:ind w:firstLine="284"/>
        <w:rPr>
          <w:rFonts w:ascii="Garamond" w:hAnsi="Garamond" w:cs="Times New Roman"/>
          <w:b/>
          <w:bCs/>
          <w:color w:val="000000"/>
          <w:sz w:val="24"/>
          <w:szCs w:val="24"/>
        </w:rPr>
      </w:pPr>
    </w:p>
    <w:p w14:paraId="7CF108C4" w14:textId="7773C991" w:rsidR="005A0071" w:rsidRPr="00CF59AA" w:rsidRDefault="00B007C3" w:rsidP="005A0071">
      <w:pPr>
        <w:tabs>
          <w:tab w:val="left" w:pos="0"/>
        </w:tabs>
        <w:autoSpaceDE w:val="0"/>
        <w:autoSpaceDN w:val="0"/>
        <w:adjustRightInd w:val="0"/>
        <w:spacing w:after="0" w:line="240" w:lineRule="auto"/>
        <w:ind w:firstLine="284"/>
        <w:rPr>
          <w:rFonts w:ascii="Garamond" w:hAnsi="Garamond" w:cs="Times New Roman"/>
          <w:bCs/>
          <w:color w:val="000000"/>
          <w:sz w:val="24"/>
          <w:szCs w:val="24"/>
        </w:rPr>
      </w:pPr>
      <w:r>
        <w:rPr>
          <w:rFonts w:ascii="Garamond" w:hAnsi="Garamond" w:cs="Times New Roman"/>
          <w:b/>
          <w:bCs/>
          <w:color w:val="000000"/>
          <w:sz w:val="24"/>
          <w:szCs w:val="24"/>
        </w:rPr>
        <w:t>Anëtar</w:t>
      </w:r>
      <w:r w:rsidR="005A0071" w:rsidRPr="00CF59AA">
        <w:rPr>
          <w:rFonts w:ascii="Garamond" w:hAnsi="Garamond" w:cs="Times New Roman"/>
          <w:b/>
          <w:bCs/>
          <w:color w:val="000000"/>
          <w:sz w:val="24"/>
          <w:szCs w:val="24"/>
        </w:rPr>
        <w:t>:</w:t>
      </w:r>
      <w:r w:rsidR="005A0071" w:rsidRPr="00CF59AA">
        <w:rPr>
          <w:rFonts w:ascii="Garamond" w:hAnsi="Garamond" w:cs="Times New Roman"/>
          <w:bCs/>
          <w:color w:val="000000"/>
          <w:sz w:val="24"/>
          <w:szCs w:val="24"/>
        </w:rPr>
        <w:t xml:space="preserve"> Genti Ibrahimi</w:t>
      </w:r>
    </w:p>
    <w:p w14:paraId="11C249E4" w14:textId="23D7D239" w:rsidR="004B7240" w:rsidRPr="00CF59AA" w:rsidRDefault="004B7240" w:rsidP="005A0071">
      <w:pPr>
        <w:autoSpaceDE w:val="0"/>
        <w:autoSpaceDN w:val="0"/>
        <w:adjustRightInd w:val="0"/>
        <w:spacing w:after="0" w:line="240" w:lineRule="auto"/>
        <w:ind w:firstLine="284"/>
        <w:jc w:val="center"/>
        <w:rPr>
          <w:rFonts w:ascii="Garamond" w:hAnsi="Garamond"/>
          <w:sz w:val="24"/>
          <w:szCs w:val="24"/>
        </w:rPr>
      </w:pPr>
    </w:p>
    <w:sectPr w:rsidR="004B7240" w:rsidRPr="00CF59AA" w:rsidSect="00A94592">
      <w:footerReference w:type="default" r:id="rId11"/>
      <w:pgSz w:w="12240" w:h="15840"/>
      <w:pgMar w:top="1080" w:right="1440" w:bottom="1170" w:left="1440" w:header="720" w:footer="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1DD280" w16cex:dateUtc="2026-01-23T09:57:00Z"/>
</w16cex:commentsExtensible>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946F36" w14:textId="77777777" w:rsidR="00FA53B9" w:rsidRDefault="00FA53B9" w:rsidP="008E02D6">
      <w:pPr>
        <w:spacing w:after="0" w:line="240" w:lineRule="auto"/>
      </w:pPr>
      <w:r>
        <w:separator/>
      </w:r>
    </w:p>
  </w:endnote>
  <w:endnote w:type="continuationSeparator" w:id="0">
    <w:p w14:paraId="1927653F" w14:textId="77777777" w:rsidR="00FA53B9" w:rsidRDefault="00FA53B9" w:rsidP="008E02D6">
      <w:pPr>
        <w:spacing w:after="0" w:line="240" w:lineRule="auto"/>
      </w:pPr>
      <w:r>
        <w:continuationSeparator/>
      </w:r>
    </w:p>
  </w:endnote>
  <w:endnote w:type="continuationNotice" w:id="1">
    <w:p w14:paraId="60C06A1C" w14:textId="77777777" w:rsidR="00DA5C2E" w:rsidRDefault="00DA5C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00000001"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CB486" w14:textId="77777777" w:rsidR="00FA53B9" w:rsidRPr="001A7D29" w:rsidRDefault="00FA53B9" w:rsidP="00FA6098">
    <w:pPr>
      <w:tabs>
        <w:tab w:val="center" w:pos="4680"/>
        <w:tab w:val="right" w:pos="9360"/>
      </w:tabs>
      <w:spacing w:after="0" w:line="240" w:lineRule="auto"/>
    </w:pPr>
  </w:p>
  <w:p w14:paraId="61A6360B" w14:textId="77777777" w:rsidR="00FA53B9" w:rsidRDefault="00FA53B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F1E6E5" w14:textId="77777777" w:rsidR="00FA53B9" w:rsidRDefault="00FA53B9" w:rsidP="008E02D6">
      <w:pPr>
        <w:spacing w:after="0" w:line="240" w:lineRule="auto"/>
      </w:pPr>
      <w:r>
        <w:separator/>
      </w:r>
    </w:p>
  </w:footnote>
  <w:footnote w:type="continuationSeparator" w:id="0">
    <w:p w14:paraId="1937C8A6" w14:textId="77777777" w:rsidR="00FA53B9" w:rsidRDefault="00FA53B9" w:rsidP="008E02D6">
      <w:pPr>
        <w:spacing w:after="0" w:line="240" w:lineRule="auto"/>
      </w:pPr>
      <w:r>
        <w:continuationSeparator/>
      </w:r>
    </w:p>
  </w:footnote>
  <w:footnote w:type="continuationNotice" w:id="1">
    <w:p w14:paraId="57F72C4A" w14:textId="77777777" w:rsidR="00DA5C2E" w:rsidRDefault="00DA5C2E">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61D0C"/>
    <w:multiLevelType w:val="hybridMultilevel"/>
    <w:tmpl w:val="EC7A9D80"/>
    <w:lvl w:ilvl="0" w:tplc="59104BEC">
      <w:start w:val="2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12C45"/>
    <w:multiLevelType w:val="multilevel"/>
    <w:tmpl w:val="1B8C3A68"/>
    <w:lvl w:ilvl="0">
      <w:start w:val="7"/>
      <w:numFmt w:val="decimal"/>
      <w:lvlText w:val="%1."/>
      <w:lvlJc w:val="left"/>
      <w:pPr>
        <w:ind w:left="360" w:hanging="360"/>
      </w:pPr>
      <w:rPr>
        <w:rFonts w:hint="default"/>
        <w:b w:val="0"/>
        <w:i w:val="0"/>
      </w:rPr>
    </w:lvl>
    <w:lvl w:ilvl="1">
      <w:start w:val="1"/>
      <w:numFmt w:val="decimal"/>
      <w:lvlText w:val="%1.%2."/>
      <w:lvlJc w:val="left"/>
      <w:pPr>
        <w:ind w:left="1080" w:hanging="360"/>
      </w:pPr>
      <w:rPr>
        <w:rFonts w:hint="default"/>
        <w:b w:val="0"/>
        <w:i w:val="0"/>
      </w:rPr>
    </w:lvl>
    <w:lvl w:ilvl="2">
      <w:start w:val="1"/>
      <w:numFmt w:val="decimal"/>
      <w:lvlText w:val="%1.%2.%3."/>
      <w:lvlJc w:val="left"/>
      <w:pPr>
        <w:ind w:left="2160" w:hanging="720"/>
      </w:pPr>
      <w:rPr>
        <w:rFonts w:hint="default"/>
        <w:b w:val="0"/>
        <w:i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7A0375F"/>
    <w:multiLevelType w:val="multilevel"/>
    <w:tmpl w:val="D0841842"/>
    <w:lvl w:ilvl="0">
      <w:start w:val="6"/>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4E83642"/>
    <w:multiLevelType w:val="hybridMultilevel"/>
    <w:tmpl w:val="8DEAE208"/>
    <w:lvl w:ilvl="0" w:tplc="74288CA0">
      <w:start w:val="1"/>
      <w:numFmt w:val="upperRoman"/>
      <w:lvlText w:val="%1."/>
      <w:lvlJc w:val="left"/>
      <w:pPr>
        <w:ind w:left="721" w:hanging="720"/>
      </w:pPr>
      <w:rPr>
        <w:b/>
      </w:rPr>
    </w:lvl>
    <w:lvl w:ilvl="1" w:tplc="E7D8CCA4">
      <w:start w:val="1"/>
      <w:numFmt w:val="decimal"/>
      <w:lvlText w:val="%2."/>
      <w:lvlJc w:val="left"/>
      <w:pPr>
        <w:tabs>
          <w:tab w:val="num" w:pos="8441"/>
        </w:tabs>
        <w:ind w:left="8441"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71C44C9"/>
    <w:multiLevelType w:val="multilevel"/>
    <w:tmpl w:val="BE9AB7B0"/>
    <w:lvl w:ilvl="0">
      <w:start w:val="1"/>
      <w:numFmt w:val="decimal"/>
      <w:lvlText w:val="%1."/>
      <w:lvlJc w:val="left"/>
      <w:pPr>
        <w:ind w:left="4230" w:hanging="360"/>
      </w:pPr>
      <w:rPr>
        <w:rFonts w:ascii="Times New Roman" w:hAnsi="Times New Roman" w:cs="Times New Roman" w:hint="default"/>
        <w:b w:val="0"/>
        <w:i w:val="0"/>
        <w:color w:val="auto"/>
        <w:sz w:val="24"/>
        <w:szCs w:val="24"/>
      </w:rPr>
    </w:lvl>
    <w:lvl w:ilvl="1">
      <w:start w:val="1"/>
      <w:numFmt w:val="decimal"/>
      <w:isLgl/>
      <w:lvlText w:val="%1.%2."/>
      <w:lvlJc w:val="left"/>
      <w:pPr>
        <w:ind w:left="720" w:hanging="360"/>
      </w:pPr>
      <w:rPr>
        <w:b w:val="0"/>
        <w:i w:val="0"/>
      </w:rPr>
    </w:lvl>
    <w:lvl w:ilvl="2">
      <w:start w:val="1"/>
      <w:numFmt w:val="decimal"/>
      <w:isLgl/>
      <w:lvlText w:val="%1.%2.%3."/>
      <w:lvlJc w:val="left"/>
      <w:pPr>
        <w:ind w:left="1080" w:hanging="720"/>
      </w:pPr>
      <w:rPr>
        <w:i w:val="0"/>
      </w:rPr>
    </w:lvl>
    <w:lvl w:ilvl="3">
      <w:start w:val="1"/>
      <w:numFmt w:val="decimal"/>
      <w:isLgl/>
      <w:lvlText w:val="%1.%2.%3.%4."/>
      <w:lvlJc w:val="left"/>
      <w:pPr>
        <w:ind w:left="1080" w:hanging="720"/>
      </w:pPr>
      <w:rPr>
        <w:i w:val="0"/>
      </w:rPr>
    </w:lvl>
    <w:lvl w:ilvl="4">
      <w:start w:val="1"/>
      <w:numFmt w:val="decimal"/>
      <w:isLgl/>
      <w:lvlText w:val="%1.%2.%3.%4.%5."/>
      <w:lvlJc w:val="left"/>
      <w:pPr>
        <w:ind w:left="1440" w:hanging="1080"/>
      </w:pPr>
      <w:rPr>
        <w:i/>
      </w:rPr>
    </w:lvl>
    <w:lvl w:ilvl="5">
      <w:start w:val="1"/>
      <w:numFmt w:val="decimal"/>
      <w:isLgl/>
      <w:lvlText w:val="%1.%2.%3.%4.%5.%6."/>
      <w:lvlJc w:val="left"/>
      <w:pPr>
        <w:ind w:left="1440" w:hanging="1080"/>
      </w:pPr>
      <w:rPr>
        <w:i/>
      </w:rPr>
    </w:lvl>
    <w:lvl w:ilvl="6">
      <w:start w:val="1"/>
      <w:numFmt w:val="decimal"/>
      <w:isLgl/>
      <w:lvlText w:val="%1.%2.%3.%4.%5.%6.%7."/>
      <w:lvlJc w:val="left"/>
      <w:pPr>
        <w:ind w:left="1800" w:hanging="1440"/>
      </w:pPr>
      <w:rPr>
        <w:i/>
      </w:rPr>
    </w:lvl>
    <w:lvl w:ilvl="7">
      <w:start w:val="1"/>
      <w:numFmt w:val="decimal"/>
      <w:isLgl/>
      <w:lvlText w:val="%1.%2.%3.%4.%5.%6.%7.%8."/>
      <w:lvlJc w:val="left"/>
      <w:pPr>
        <w:ind w:left="1800" w:hanging="1440"/>
      </w:pPr>
      <w:rPr>
        <w:i/>
      </w:rPr>
    </w:lvl>
    <w:lvl w:ilvl="8">
      <w:start w:val="1"/>
      <w:numFmt w:val="decimal"/>
      <w:isLgl/>
      <w:lvlText w:val="%1.%2.%3.%4.%5.%6.%7.%8.%9."/>
      <w:lvlJc w:val="left"/>
      <w:pPr>
        <w:ind w:left="2160" w:hanging="1800"/>
      </w:pPr>
      <w:rPr>
        <w:i/>
      </w:rPr>
    </w:lvl>
  </w:abstractNum>
  <w:abstractNum w:abstractNumId="5" w15:restartNumberingAfterBreak="0">
    <w:nsid w:val="18942103"/>
    <w:multiLevelType w:val="multilevel"/>
    <w:tmpl w:val="46662868"/>
    <w:lvl w:ilvl="0">
      <w:start w:val="1"/>
      <w:numFmt w:val="decimal"/>
      <w:lvlText w:val="%1."/>
      <w:lvlJc w:val="left"/>
      <w:pPr>
        <w:ind w:left="5606" w:hanging="360"/>
      </w:pPr>
      <w:rPr>
        <w:rFonts w:hint="default"/>
        <w:b w:val="0"/>
        <w:i w:val="0"/>
        <w:iCs/>
      </w:rPr>
    </w:lvl>
    <w:lvl w:ilvl="1">
      <w:start w:val="1"/>
      <w:numFmt w:val="decimal"/>
      <w:isLgl/>
      <w:lvlText w:val="%1.%2"/>
      <w:lvlJc w:val="left"/>
      <w:pPr>
        <w:ind w:left="2035" w:hanging="360"/>
      </w:pPr>
      <w:rPr>
        <w:rFonts w:eastAsia="MS Mincho" w:hint="default"/>
        <w:i/>
        <w:color w:val="auto"/>
      </w:rPr>
    </w:lvl>
    <w:lvl w:ilvl="2">
      <w:start w:val="1"/>
      <w:numFmt w:val="decimal"/>
      <w:isLgl/>
      <w:lvlText w:val="%1.%2.%3"/>
      <w:lvlJc w:val="left"/>
      <w:pPr>
        <w:ind w:left="2395" w:hanging="720"/>
      </w:pPr>
      <w:rPr>
        <w:rFonts w:eastAsia="MS Mincho" w:hint="default"/>
        <w:i/>
        <w:color w:val="auto"/>
      </w:rPr>
    </w:lvl>
    <w:lvl w:ilvl="3">
      <w:start w:val="1"/>
      <w:numFmt w:val="decimal"/>
      <w:isLgl/>
      <w:lvlText w:val="%1.%2.%3.%4"/>
      <w:lvlJc w:val="left"/>
      <w:pPr>
        <w:ind w:left="2395" w:hanging="720"/>
      </w:pPr>
      <w:rPr>
        <w:rFonts w:eastAsia="MS Mincho" w:hint="default"/>
        <w:i/>
        <w:color w:val="auto"/>
      </w:rPr>
    </w:lvl>
    <w:lvl w:ilvl="4">
      <w:start w:val="1"/>
      <w:numFmt w:val="decimal"/>
      <w:isLgl/>
      <w:lvlText w:val="%1.%2.%3.%4.%5"/>
      <w:lvlJc w:val="left"/>
      <w:pPr>
        <w:ind w:left="2755" w:hanging="1080"/>
      </w:pPr>
      <w:rPr>
        <w:rFonts w:eastAsia="MS Mincho" w:hint="default"/>
        <w:i/>
        <w:color w:val="auto"/>
      </w:rPr>
    </w:lvl>
    <w:lvl w:ilvl="5">
      <w:start w:val="1"/>
      <w:numFmt w:val="decimal"/>
      <w:isLgl/>
      <w:lvlText w:val="%1.%2.%3.%4.%5.%6"/>
      <w:lvlJc w:val="left"/>
      <w:pPr>
        <w:ind w:left="2755" w:hanging="1080"/>
      </w:pPr>
      <w:rPr>
        <w:rFonts w:eastAsia="MS Mincho" w:hint="default"/>
        <w:i/>
        <w:color w:val="auto"/>
      </w:rPr>
    </w:lvl>
    <w:lvl w:ilvl="6">
      <w:start w:val="1"/>
      <w:numFmt w:val="decimal"/>
      <w:isLgl/>
      <w:lvlText w:val="%1.%2.%3.%4.%5.%6.%7"/>
      <w:lvlJc w:val="left"/>
      <w:pPr>
        <w:ind w:left="3115" w:hanging="1440"/>
      </w:pPr>
      <w:rPr>
        <w:rFonts w:eastAsia="MS Mincho" w:hint="default"/>
        <w:i/>
        <w:color w:val="auto"/>
      </w:rPr>
    </w:lvl>
    <w:lvl w:ilvl="7">
      <w:start w:val="1"/>
      <w:numFmt w:val="decimal"/>
      <w:isLgl/>
      <w:lvlText w:val="%1.%2.%3.%4.%5.%6.%7.%8"/>
      <w:lvlJc w:val="left"/>
      <w:pPr>
        <w:ind w:left="3115" w:hanging="1440"/>
      </w:pPr>
      <w:rPr>
        <w:rFonts w:eastAsia="MS Mincho" w:hint="default"/>
        <w:i/>
        <w:color w:val="auto"/>
      </w:rPr>
    </w:lvl>
    <w:lvl w:ilvl="8">
      <w:start w:val="1"/>
      <w:numFmt w:val="decimal"/>
      <w:isLgl/>
      <w:lvlText w:val="%1.%2.%3.%4.%5.%6.%7.%8.%9"/>
      <w:lvlJc w:val="left"/>
      <w:pPr>
        <w:ind w:left="3475" w:hanging="1800"/>
      </w:pPr>
      <w:rPr>
        <w:rFonts w:eastAsia="MS Mincho" w:hint="default"/>
        <w:i/>
        <w:color w:val="auto"/>
      </w:rPr>
    </w:lvl>
  </w:abstractNum>
  <w:abstractNum w:abstractNumId="6" w15:restartNumberingAfterBreak="0">
    <w:nsid w:val="1A4B76BA"/>
    <w:multiLevelType w:val="hybridMultilevel"/>
    <w:tmpl w:val="365275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306104"/>
    <w:multiLevelType w:val="hybridMultilevel"/>
    <w:tmpl w:val="B29ED126"/>
    <w:lvl w:ilvl="0" w:tplc="FFFFFFFF">
      <w:start w:val="1"/>
      <w:numFmt w:val="decimal"/>
      <w:lvlText w:val="%1."/>
      <w:lvlJc w:val="left"/>
      <w:pPr>
        <w:ind w:left="1495"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F42592E"/>
    <w:multiLevelType w:val="multilevel"/>
    <w:tmpl w:val="FDE028BC"/>
    <w:lvl w:ilvl="0">
      <w:start w:val="14"/>
      <w:numFmt w:val="decimal"/>
      <w:lvlText w:val="%1."/>
      <w:lvlJc w:val="left"/>
      <w:pPr>
        <w:ind w:left="5580" w:hanging="360"/>
      </w:pPr>
      <w:rPr>
        <w:rFonts w:hint="default"/>
        <w:i w:val="0"/>
        <w:strike w:val="0"/>
      </w:rPr>
    </w:lvl>
    <w:lvl w:ilvl="1">
      <w:start w:val="1"/>
      <w:numFmt w:val="decimal"/>
      <w:lvlText w:val="%1.%2."/>
      <w:lvlJc w:val="left"/>
      <w:pPr>
        <w:ind w:left="1620" w:hanging="360"/>
      </w:pPr>
      <w:rPr>
        <w:rFonts w:hint="default"/>
        <w:i w:val="0"/>
      </w:rPr>
    </w:lvl>
    <w:lvl w:ilvl="2">
      <w:start w:val="1"/>
      <w:numFmt w:val="decimal"/>
      <w:lvlText w:val="%1.%2.%3."/>
      <w:lvlJc w:val="left"/>
      <w:pPr>
        <w:ind w:left="3240" w:hanging="720"/>
      </w:pPr>
      <w:rPr>
        <w:rFonts w:hint="default"/>
        <w:i w:val="0"/>
      </w:rPr>
    </w:lvl>
    <w:lvl w:ilvl="3">
      <w:start w:val="1"/>
      <w:numFmt w:val="decimal"/>
      <w:lvlText w:val="%1.%2.%3.%4."/>
      <w:lvlJc w:val="left"/>
      <w:pPr>
        <w:ind w:left="4500" w:hanging="720"/>
      </w:pPr>
      <w:rPr>
        <w:rFonts w:hint="default"/>
        <w:i w:val="0"/>
      </w:rPr>
    </w:lvl>
    <w:lvl w:ilvl="4">
      <w:start w:val="1"/>
      <w:numFmt w:val="decimal"/>
      <w:lvlText w:val="%1.%2.%3.%4.%5."/>
      <w:lvlJc w:val="left"/>
      <w:pPr>
        <w:ind w:left="6120" w:hanging="1080"/>
      </w:pPr>
      <w:rPr>
        <w:rFonts w:hint="default"/>
        <w:i w:val="0"/>
      </w:rPr>
    </w:lvl>
    <w:lvl w:ilvl="5">
      <w:start w:val="1"/>
      <w:numFmt w:val="decimal"/>
      <w:lvlText w:val="%1.%2.%3.%4.%5.%6."/>
      <w:lvlJc w:val="left"/>
      <w:pPr>
        <w:ind w:left="7380" w:hanging="1080"/>
      </w:pPr>
      <w:rPr>
        <w:rFonts w:hint="default"/>
        <w:i w:val="0"/>
      </w:rPr>
    </w:lvl>
    <w:lvl w:ilvl="6">
      <w:start w:val="1"/>
      <w:numFmt w:val="decimal"/>
      <w:lvlText w:val="%1.%2.%3.%4.%5.%6.%7."/>
      <w:lvlJc w:val="left"/>
      <w:pPr>
        <w:ind w:left="9000" w:hanging="1440"/>
      </w:pPr>
      <w:rPr>
        <w:rFonts w:hint="default"/>
        <w:i w:val="0"/>
      </w:rPr>
    </w:lvl>
    <w:lvl w:ilvl="7">
      <w:start w:val="1"/>
      <w:numFmt w:val="decimal"/>
      <w:lvlText w:val="%1.%2.%3.%4.%5.%6.%7.%8."/>
      <w:lvlJc w:val="left"/>
      <w:pPr>
        <w:ind w:left="10260" w:hanging="1440"/>
      </w:pPr>
      <w:rPr>
        <w:rFonts w:hint="default"/>
        <w:i w:val="0"/>
      </w:rPr>
    </w:lvl>
    <w:lvl w:ilvl="8">
      <w:start w:val="1"/>
      <w:numFmt w:val="decimal"/>
      <w:lvlText w:val="%1.%2.%3.%4.%5.%6.%7.%8.%9."/>
      <w:lvlJc w:val="left"/>
      <w:pPr>
        <w:ind w:left="11880" w:hanging="1800"/>
      </w:pPr>
      <w:rPr>
        <w:rFonts w:hint="default"/>
        <w:i w:val="0"/>
      </w:rPr>
    </w:lvl>
  </w:abstractNum>
  <w:abstractNum w:abstractNumId="9" w15:restartNumberingAfterBreak="0">
    <w:nsid w:val="1FF77C73"/>
    <w:multiLevelType w:val="hybridMultilevel"/>
    <w:tmpl w:val="176E30BC"/>
    <w:lvl w:ilvl="0" w:tplc="FFFFFFFF">
      <w:start w:val="1"/>
      <w:numFmt w:val="decimal"/>
      <w:lvlText w:val="%1."/>
      <w:lvlJc w:val="left"/>
      <w:pPr>
        <w:ind w:left="1495" w:hanging="360"/>
      </w:pPr>
      <w:rPr>
        <w:rFonts w:hint="default"/>
        <w:b w:val="0"/>
        <w:i w:val="0"/>
        <w:i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33E353F"/>
    <w:multiLevelType w:val="multilevel"/>
    <w:tmpl w:val="6F825A58"/>
    <w:lvl w:ilvl="0">
      <w:start w:val="19"/>
      <w:numFmt w:val="decimal"/>
      <w:lvlText w:val="%1."/>
      <w:lvlJc w:val="left"/>
      <w:pPr>
        <w:ind w:left="1380" w:hanging="480"/>
      </w:pPr>
      <w:rPr>
        <w:rFonts w:eastAsia="MS Mincho" w:hint="default"/>
        <w:b w:val="0"/>
        <w:i w:val="0"/>
      </w:rPr>
    </w:lvl>
    <w:lvl w:ilvl="1">
      <w:start w:val="1"/>
      <w:numFmt w:val="decimal"/>
      <w:lvlText w:val="%1.%2."/>
      <w:lvlJc w:val="left"/>
      <w:pPr>
        <w:ind w:left="840" w:hanging="480"/>
      </w:pPr>
      <w:rPr>
        <w:rFonts w:eastAsia="MS Mincho" w:hint="default"/>
        <w:b w:val="0"/>
        <w:i w:val="0"/>
      </w:rPr>
    </w:lvl>
    <w:lvl w:ilvl="2">
      <w:start w:val="1"/>
      <w:numFmt w:val="decimal"/>
      <w:lvlText w:val="%1.%2.%3."/>
      <w:lvlJc w:val="left"/>
      <w:pPr>
        <w:ind w:left="1440" w:hanging="720"/>
      </w:pPr>
      <w:rPr>
        <w:rFonts w:eastAsia="MS Mincho" w:hint="default"/>
        <w:b w:val="0"/>
        <w:i/>
      </w:rPr>
    </w:lvl>
    <w:lvl w:ilvl="3">
      <w:start w:val="1"/>
      <w:numFmt w:val="decimal"/>
      <w:lvlText w:val="%1.%2.%3.%4."/>
      <w:lvlJc w:val="left"/>
      <w:pPr>
        <w:ind w:left="1800" w:hanging="720"/>
      </w:pPr>
      <w:rPr>
        <w:rFonts w:eastAsia="MS Mincho" w:hint="default"/>
        <w:b w:val="0"/>
        <w:i/>
      </w:rPr>
    </w:lvl>
    <w:lvl w:ilvl="4">
      <w:start w:val="1"/>
      <w:numFmt w:val="decimal"/>
      <w:lvlText w:val="%1.%2.%3.%4.%5."/>
      <w:lvlJc w:val="left"/>
      <w:pPr>
        <w:ind w:left="2520" w:hanging="1080"/>
      </w:pPr>
      <w:rPr>
        <w:rFonts w:eastAsia="MS Mincho" w:hint="default"/>
        <w:b w:val="0"/>
        <w:i/>
      </w:rPr>
    </w:lvl>
    <w:lvl w:ilvl="5">
      <w:start w:val="1"/>
      <w:numFmt w:val="decimal"/>
      <w:lvlText w:val="%1.%2.%3.%4.%5.%6."/>
      <w:lvlJc w:val="left"/>
      <w:pPr>
        <w:ind w:left="2880" w:hanging="1080"/>
      </w:pPr>
      <w:rPr>
        <w:rFonts w:eastAsia="MS Mincho" w:hint="default"/>
        <w:b w:val="0"/>
        <w:i/>
      </w:rPr>
    </w:lvl>
    <w:lvl w:ilvl="6">
      <w:start w:val="1"/>
      <w:numFmt w:val="decimal"/>
      <w:lvlText w:val="%1.%2.%3.%4.%5.%6.%7."/>
      <w:lvlJc w:val="left"/>
      <w:pPr>
        <w:ind w:left="3600" w:hanging="1440"/>
      </w:pPr>
      <w:rPr>
        <w:rFonts w:eastAsia="MS Mincho" w:hint="default"/>
        <w:b w:val="0"/>
        <w:i/>
      </w:rPr>
    </w:lvl>
    <w:lvl w:ilvl="7">
      <w:start w:val="1"/>
      <w:numFmt w:val="decimal"/>
      <w:lvlText w:val="%1.%2.%3.%4.%5.%6.%7.%8."/>
      <w:lvlJc w:val="left"/>
      <w:pPr>
        <w:ind w:left="3960" w:hanging="1440"/>
      </w:pPr>
      <w:rPr>
        <w:rFonts w:eastAsia="MS Mincho" w:hint="default"/>
        <w:b w:val="0"/>
        <w:i/>
      </w:rPr>
    </w:lvl>
    <w:lvl w:ilvl="8">
      <w:start w:val="1"/>
      <w:numFmt w:val="decimal"/>
      <w:lvlText w:val="%1.%2.%3.%4.%5.%6.%7.%8.%9."/>
      <w:lvlJc w:val="left"/>
      <w:pPr>
        <w:ind w:left="4680" w:hanging="1800"/>
      </w:pPr>
      <w:rPr>
        <w:rFonts w:eastAsia="MS Mincho" w:hint="default"/>
        <w:b w:val="0"/>
        <w:i/>
      </w:rPr>
    </w:lvl>
  </w:abstractNum>
  <w:abstractNum w:abstractNumId="11" w15:restartNumberingAfterBreak="0">
    <w:nsid w:val="24E06498"/>
    <w:multiLevelType w:val="multilevel"/>
    <w:tmpl w:val="451A71D8"/>
    <w:lvl w:ilvl="0">
      <w:start w:val="1"/>
      <w:numFmt w:val="decimal"/>
      <w:lvlText w:val="%1."/>
      <w:lvlJc w:val="left"/>
      <w:pPr>
        <w:ind w:left="3240" w:hanging="360"/>
      </w:pPr>
      <w:rPr>
        <w:rFonts w:hint="default"/>
        <w:b w:val="0"/>
        <w:i w:val="0"/>
        <w:iCs/>
      </w:rPr>
    </w:lvl>
    <w:lvl w:ilvl="1">
      <w:start w:val="1"/>
      <w:numFmt w:val="decimal"/>
      <w:isLgl/>
      <w:lvlText w:val="%1.%2"/>
      <w:lvlJc w:val="left"/>
      <w:pPr>
        <w:ind w:left="1890" w:hanging="360"/>
      </w:pPr>
      <w:rPr>
        <w:rFonts w:eastAsia="MS Mincho" w:hint="default"/>
        <w:i w:val="0"/>
        <w:color w:val="auto"/>
      </w:rPr>
    </w:lvl>
    <w:lvl w:ilvl="2">
      <w:start w:val="1"/>
      <w:numFmt w:val="decimal"/>
      <w:isLgl/>
      <w:lvlText w:val="%1.%2.%3"/>
      <w:lvlJc w:val="left"/>
      <w:pPr>
        <w:ind w:left="2395" w:hanging="720"/>
      </w:pPr>
      <w:rPr>
        <w:rFonts w:eastAsia="MS Mincho" w:hint="default"/>
        <w:i/>
        <w:color w:val="auto"/>
      </w:rPr>
    </w:lvl>
    <w:lvl w:ilvl="3">
      <w:start w:val="1"/>
      <w:numFmt w:val="decimal"/>
      <w:isLgl/>
      <w:lvlText w:val="%1.%2.%3.%4"/>
      <w:lvlJc w:val="left"/>
      <w:pPr>
        <w:ind w:left="2395" w:hanging="720"/>
      </w:pPr>
      <w:rPr>
        <w:rFonts w:eastAsia="MS Mincho" w:hint="default"/>
        <w:i/>
        <w:color w:val="auto"/>
      </w:rPr>
    </w:lvl>
    <w:lvl w:ilvl="4">
      <w:start w:val="1"/>
      <w:numFmt w:val="decimal"/>
      <w:isLgl/>
      <w:lvlText w:val="%1.%2.%3.%4.%5"/>
      <w:lvlJc w:val="left"/>
      <w:pPr>
        <w:ind w:left="2755" w:hanging="1080"/>
      </w:pPr>
      <w:rPr>
        <w:rFonts w:eastAsia="MS Mincho" w:hint="default"/>
        <w:i/>
        <w:color w:val="auto"/>
      </w:rPr>
    </w:lvl>
    <w:lvl w:ilvl="5">
      <w:start w:val="1"/>
      <w:numFmt w:val="decimal"/>
      <w:isLgl/>
      <w:lvlText w:val="%1.%2.%3.%4.%5.%6"/>
      <w:lvlJc w:val="left"/>
      <w:pPr>
        <w:ind w:left="2755" w:hanging="1080"/>
      </w:pPr>
      <w:rPr>
        <w:rFonts w:eastAsia="MS Mincho" w:hint="default"/>
        <w:i/>
        <w:color w:val="auto"/>
      </w:rPr>
    </w:lvl>
    <w:lvl w:ilvl="6">
      <w:start w:val="1"/>
      <w:numFmt w:val="decimal"/>
      <w:isLgl/>
      <w:lvlText w:val="%1.%2.%3.%4.%5.%6.%7"/>
      <w:lvlJc w:val="left"/>
      <w:pPr>
        <w:ind w:left="3115" w:hanging="1440"/>
      </w:pPr>
      <w:rPr>
        <w:rFonts w:eastAsia="MS Mincho" w:hint="default"/>
        <w:i/>
        <w:color w:val="auto"/>
      </w:rPr>
    </w:lvl>
    <w:lvl w:ilvl="7">
      <w:start w:val="1"/>
      <w:numFmt w:val="decimal"/>
      <w:isLgl/>
      <w:lvlText w:val="%1.%2.%3.%4.%5.%6.%7.%8"/>
      <w:lvlJc w:val="left"/>
      <w:pPr>
        <w:ind w:left="3115" w:hanging="1440"/>
      </w:pPr>
      <w:rPr>
        <w:rFonts w:eastAsia="MS Mincho" w:hint="default"/>
        <w:i/>
        <w:color w:val="auto"/>
      </w:rPr>
    </w:lvl>
    <w:lvl w:ilvl="8">
      <w:start w:val="1"/>
      <w:numFmt w:val="decimal"/>
      <w:isLgl/>
      <w:lvlText w:val="%1.%2.%3.%4.%5.%6.%7.%8.%9"/>
      <w:lvlJc w:val="left"/>
      <w:pPr>
        <w:ind w:left="3475" w:hanging="1800"/>
      </w:pPr>
      <w:rPr>
        <w:rFonts w:eastAsia="MS Mincho" w:hint="default"/>
        <w:i/>
        <w:color w:val="auto"/>
      </w:rPr>
    </w:lvl>
  </w:abstractNum>
  <w:abstractNum w:abstractNumId="12" w15:restartNumberingAfterBreak="0">
    <w:nsid w:val="25043624"/>
    <w:multiLevelType w:val="hybridMultilevel"/>
    <w:tmpl w:val="D60C3BEE"/>
    <w:lvl w:ilvl="0" w:tplc="957EB1E6">
      <w:start w:val="11"/>
      <w:numFmt w:val="decimal"/>
      <w:lvlText w:val="%1."/>
      <w:lvlJc w:val="left"/>
      <w:pPr>
        <w:ind w:left="3054"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690404"/>
    <w:multiLevelType w:val="multilevel"/>
    <w:tmpl w:val="A3CC4EE6"/>
    <w:lvl w:ilvl="0">
      <w:start w:val="9"/>
      <w:numFmt w:val="decimal"/>
      <w:lvlText w:val="%1."/>
      <w:lvlJc w:val="left"/>
      <w:pPr>
        <w:ind w:left="1080" w:hanging="360"/>
      </w:pPr>
      <w:rPr>
        <w:rFonts w:hint="default"/>
        <w:i w:val="0"/>
        <w:color w:val="auto"/>
      </w:rPr>
    </w:lvl>
    <w:lvl w:ilvl="1">
      <w:start w:val="2"/>
      <w:numFmt w:val="decimal"/>
      <w:lvlText w:val="%1.%2."/>
      <w:lvlJc w:val="left"/>
      <w:pPr>
        <w:ind w:left="1170" w:hanging="360"/>
      </w:pPr>
      <w:rPr>
        <w:rFonts w:hint="default"/>
        <w:i w:val="0"/>
      </w:rPr>
    </w:lvl>
    <w:lvl w:ilvl="2">
      <w:start w:val="1"/>
      <w:numFmt w:val="decimal"/>
      <w:lvlText w:val="%1.%2.%3."/>
      <w:lvlJc w:val="left"/>
      <w:pPr>
        <w:ind w:left="2340" w:hanging="720"/>
      </w:pPr>
      <w:rPr>
        <w:rFonts w:hint="default"/>
        <w:i/>
      </w:rPr>
    </w:lvl>
    <w:lvl w:ilvl="3">
      <w:start w:val="1"/>
      <w:numFmt w:val="decimal"/>
      <w:lvlText w:val="%1.%2.%3.%4."/>
      <w:lvlJc w:val="left"/>
      <w:pPr>
        <w:ind w:left="3150" w:hanging="720"/>
      </w:pPr>
      <w:rPr>
        <w:rFonts w:hint="default"/>
        <w:i/>
      </w:rPr>
    </w:lvl>
    <w:lvl w:ilvl="4">
      <w:start w:val="1"/>
      <w:numFmt w:val="decimal"/>
      <w:lvlText w:val="%1.%2.%3.%4.%5."/>
      <w:lvlJc w:val="left"/>
      <w:pPr>
        <w:ind w:left="4320" w:hanging="1080"/>
      </w:pPr>
      <w:rPr>
        <w:rFonts w:hint="default"/>
        <w:i/>
      </w:rPr>
    </w:lvl>
    <w:lvl w:ilvl="5">
      <w:start w:val="1"/>
      <w:numFmt w:val="decimal"/>
      <w:lvlText w:val="%1.%2.%3.%4.%5.%6."/>
      <w:lvlJc w:val="left"/>
      <w:pPr>
        <w:ind w:left="5130" w:hanging="1080"/>
      </w:pPr>
      <w:rPr>
        <w:rFonts w:hint="default"/>
        <w:i/>
      </w:rPr>
    </w:lvl>
    <w:lvl w:ilvl="6">
      <w:start w:val="1"/>
      <w:numFmt w:val="decimal"/>
      <w:lvlText w:val="%1.%2.%3.%4.%5.%6.%7."/>
      <w:lvlJc w:val="left"/>
      <w:pPr>
        <w:ind w:left="6300" w:hanging="1440"/>
      </w:pPr>
      <w:rPr>
        <w:rFonts w:hint="default"/>
        <w:i/>
      </w:rPr>
    </w:lvl>
    <w:lvl w:ilvl="7">
      <w:start w:val="1"/>
      <w:numFmt w:val="decimal"/>
      <w:lvlText w:val="%1.%2.%3.%4.%5.%6.%7.%8."/>
      <w:lvlJc w:val="left"/>
      <w:pPr>
        <w:ind w:left="7110" w:hanging="1440"/>
      </w:pPr>
      <w:rPr>
        <w:rFonts w:hint="default"/>
        <w:i/>
      </w:rPr>
    </w:lvl>
    <w:lvl w:ilvl="8">
      <w:start w:val="1"/>
      <w:numFmt w:val="decimal"/>
      <w:lvlText w:val="%1.%2.%3.%4.%5.%6.%7.%8.%9."/>
      <w:lvlJc w:val="left"/>
      <w:pPr>
        <w:ind w:left="8280" w:hanging="1800"/>
      </w:pPr>
      <w:rPr>
        <w:rFonts w:hint="default"/>
        <w:i/>
      </w:rPr>
    </w:lvl>
  </w:abstractNum>
  <w:abstractNum w:abstractNumId="14" w15:restartNumberingAfterBreak="0">
    <w:nsid w:val="2BFC268F"/>
    <w:multiLevelType w:val="hybridMultilevel"/>
    <w:tmpl w:val="9D5A2B74"/>
    <w:lvl w:ilvl="0" w:tplc="5DDADF8C">
      <w:start w:val="1"/>
      <w:numFmt w:val="upperLetter"/>
      <w:lvlText w:val="%1."/>
      <w:lvlJc w:val="left"/>
      <w:pPr>
        <w:ind w:left="1350" w:hanging="360"/>
      </w:pPr>
      <w:rPr>
        <w:b w:val="0"/>
        <w:i/>
      </w:rPr>
    </w:lvl>
    <w:lvl w:ilvl="1" w:tplc="04090019">
      <w:start w:val="1"/>
      <w:numFmt w:val="lowerLetter"/>
      <w:lvlText w:val="%2."/>
      <w:lvlJc w:val="left"/>
      <w:pPr>
        <w:ind w:left="2070" w:hanging="360"/>
      </w:pPr>
    </w:lvl>
    <w:lvl w:ilvl="2" w:tplc="0409001B">
      <w:start w:val="1"/>
      <w:numFmt w:val="lowerRoman"/>
      <w:lvlText w:val="%3."/>
      <w:lvlJc w:val="right"/>
      <w:pPr>
        <w:ind w:left="2790" w:hanging="180"/>
      </w:pPr>
    </w:lvl>
    <w:lvl w:ilvl="3" w:tplc="0409000F">
      <w:start w:val="1"/>
      <w:numFmt w:val="decimal"/>
      <w:lvlText w:val="%4."/>
      <w:lvlJc w:val="left"/>
      <w:pPr>
        <w:ind w:left="3510" w:hanging="360"/>
      </w:pPr>
    </w:lvl>
    <w:lvl w:ilvl="4" w:tplc="04090019">
      <w:start w:val="1"/>
      <w:numFmt w:val="lowerLetter"/>
      <w:lvlText w:val="%5."/>
      <w:lvlJc w:val="left"/>
      <w:pPr>
        <w:ind w:left="4230" w:hanging="360"/>
      </w:pPr>
    </w:lvl>
    <w:lvl w:ilvl="5" w:tplc="0409001B">
      <w:start w:val="1"/>
      <w:numFmt w:val="lowerRoman"/>
      <w:lvlText w:val="%6."/>
      <w:lvlJc w:val="right"/>
      <w:pPr>
        <w:ind w:left="4950" w:hanging="180"/>
      </w:pPr>
    </w:lvl>
    <w:lvl w:ilvl="6" w:tplc="0409000F">
      <w:start w:val="1"/>
      <w:numFmt w:val="decimal"/>
      <w:lvlText w:val="%7."/>
      <w:lvlJc w:val="left"/>
      <w:pPr>
        <w:ind w:left="5670" w:hanging="360"/>
      </w:pPr>
    </w:lvl>
    <w:lvl w:ilvl="7" w:tplc="04090019">
      <w:start w:val="1"/>
      <w:numFmt w:val="lowerLetter"/>
      <w:lvlText w:val="%8."/>
      <w:lvlJc w:val="left"/>
      <w:pPr>
        <w:ind w:left="6390" w:hanging="360"/>
      </w:pPr>
    </w:lvl>
    <w:lvl w:ilvl="8" w:tplc="0409001B">
      <w:start w:val="1"/>
      <w:numFmt w:val="lowerRoman"/>
      <w:lvlText w:val="%9."/>
      <w:lvlJc w:val="right"/>
      <w:pPr>
        <w:ind w:left="7110" w:hanging="180"/>
      </w:pPr>
    </w:lvl>
  </w:abstractNum>
  <w:abstractNum w:abstractNumId="15" w15:restartNumberingAfterBreak="0">
    <w:nsid w:val="2CA01EE1"/>
    <w:multiLevelType w:val="hybridMultilevel"/>
    <w:tmpl w:val="B29ED126"/>
    <w:lvl w:ilvl="0" w:tplc="FFFFFFFF">
      <w:start w:val="1"/>
      <w:numFmt w:val="decimal"/>
      <w:lvlText w:val="%1."/>
      <w:lvlJc w:val="left"/>
      <w:pPr>
        <w:ind w:left="1495"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D11207E"/>
    <w:multiLevelType w:val="multilevel"/>
    <w:tmpl w:val="AE28B9B0"/>
    <w:lvl w:ilvl="0">
      <w:start w:val="7"/>
      <w:numFmt w:val="decimal"/>
      <w:lvlText w:val="%1."/>
      <w:lvlJc w:val="left"/>
      <w:pPr>
        <w:ind w:left="540" w:hanging="540"/>
      </w:pPr>
      <w:rPr>
        <w:rFonts w:eastAsia="MS Mincho"/>
        <w:b w:val="0"/>
        <w:i w:val="0"/>
        <w:color w:val="auto"/>
      </w:rPr>
    </w:lvl>
    <w:lvl w:ilvl="1">
      <w:start w:val="1"/>
      <w:numFmt w:val="decimal"/>
      <w:lvlText w:val="%1.%2."/>
      <w:lvlJc w:val="left"/>
      <w:pPr>
        <w:ind w:left="1440" w:hanging="540"/>
      </w:pPr>
      <w:rPr>
        <w:rFonts w:eastAsia="MS Mincho"/>
        <w:i/>
        <w:color w:val="auto"/>
      </w:rPr>
    </w:lvl>
    <w:lvl w:ilvl="2">
      <w:start w:val="1"/>
      <w:numFmt w:val="decimal"/>
      <w:lvlText w:val="%1.%2.%3."/>
      <w:lvlJc w:val="left"/>
      <w:pPr>
        <w:ind w:left="2520" w:hanging="720"/>
      </w:pPr>
      <w:rPr>
        <w:rFonts w:eastAsia="MS Mincho"/>
        <w:i/>
        <w:color w:val="auto"/>
      </w:rPr>
    </w:lvl>
    <w:lvl w:ilvl="3">
      <w:start w:val="1"/>
      <w:numFmt w:val="decimal"/>
      <w:lvlText w:val="%1.%2.%3.%4."/>
      <w:lvlJc w:val="left"/>
      <w:pPr>
        <w:ind w:left="3420" w:hanging="720"/>
      </w:pPr>
      <w:rPr>
        <w:rFonts w:eastAsia="MS Mincho"/>
        <w:i/>
        <w:color w:val="auto"/>
      </w:rPr>
    </w:lvl>
    <w:lvl w:ilvl="4">
      <w:start w:val="1"/>
      <w:numFmt w:val="decimal"/>
      <w:lvlText w:val="%1.%2.%3.%4.%5."/>
      <w:lvlJc w:val="left"/>
      <w:pPr>
        <w:ind w:left="4680" w:hanging="1080"/>
      </w:pPr>
      <w:rPr>
        <w:rFonts w:eastAsia="MS Mincho"/>
        <w:i/>
        <w:color w:val="auto"/>
      </w:rPr>
    </w:lvl>
    <w:lvl w:ilvl="5">
      <w:start w:val="1"/>
      <w:numFmt w:val="decimal"/>
      <w:lvlText w:val="%1.%2.%3.%4.%5.%6."/>
      <w:lvlJc w:val="left"/>
      <w:pPr>
        <w:ind w:left="5580" w:hanging="1080"/>
      </w:pPr>
      <w:rPr>
        <w:rFonts w:eastAsia="MS Mincho"/>
        <w:i/>
        <w:color w:val="auto"/>
      </w:rPr>
    </w:lvl>
    <w:lvl w:ilvl="6">
      <w:start w:val="1"/>
      <w:numFmt w:val="decimal"/>
      <w:lvlText w:val="%1.%2.%3.%4.%5.%6.%7."/>
      <w:lvlJc w:val="left"/>
      <w:pPr>
        <w:ind w:left="6840" w:hanging="1440"/>
      </w:pPr>
      <w:rPr>
        <w:rFonts w:eastAsia="MS Mincho"/>
        <w:i/>
        <w:color w:val="auto"/>
      </w:rPr>
    </w:lvl>
    <w:lvl w:ilvl="7">
      <w:start w:val="1"/>
      <w:numFmt w:val="decimal"/>
      <w:lvlText w:val="%1.%2.%3.%4.%5.%6.%7.%8."/>
      <w:lvlJc w:val="left"/>
      <w:pPr>
        <w:ind w:left="7740" w:hanging="1440"/>
      </w:pPr>
      <w:rPr>
        <w:rFonts w:eastAsia="MS Mincho"/>
        <w:i/>
        <w:color w:val="auto"/>
      </w:rPr>
    </w:lvl>
    <w:lvl w:ilvl="8">
      <w:start w:val="1"/>
      <w:numFmt w:val="decimal"/>
      <w:lvlText w:val="%1.%2.%3.%4.%5.%6.%7.%8.%9."/>
      <w:lvlJc w:val="left"/>
      <w:pPr>
        <w:ind w:left="9000" w:hanging="1800"/>
      </w:pPr>
      <w:rPr>
        <w:rFonts w:eastAsia="MS Mincho"/>
        <w:i/>
        <w:color w:val="auto"/>
      </w:rPr>
    </w:lvl>
  </w:abstractNum>
  <w:abstractNum w:abstractNumId="17" w15:restartNumberingAfterBreak="0">
    <w:nsid w:val="388457CF"/>
    <w:multiLevelType w:val="hybridMultilevel"/>
    <w:tmpl w:val="A1A842EA"/>
    <w:lvl w:ilvl="0" w:tplc="8D0EDD0C">
      <w:start w:val="8"/>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F30498"/>
    <w:multiLevelType w:val="hybridMultilevel"/>
    <w:tmpl w:val="9A7C0EB4"/>
    <w:lvl w:ilvl="0" w:tplc="4A14715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9" w15:restartNumberingAfterBreak="0">
    <w:nsid w:val="38F71CFF"/>
    <w:multiLevelType w:val="multilevel"/>
    <w:tmpl w:val="2FE02A3C"/>
    <w:lvl w:ilvl="0">
      <w:start w:val="6"/>
      <w:numFmt w:val="decimal"/>
      <w:lvlText w:val="%1."/>
      <w:lvlJc w:val="left"/>
      <w:pPr>
        <w:ind w:left="2970" w:hanging="540"/>
      </w:pPr>
      <w:rPr>
        <w:rFonts w:hint="default"/>
        <w:i w:val="0"/>
      </w:rPr>
    </w:lvl>
    <w:lvl w:ilvl="1">
      <w:start w:val="1"/>
      <w:numFmt w:val="decimal"/>
      <w:lvlText w:val="%1.%2."/>
      <w:lvlJc w:val="left"/>
      <w:pPr>
        <w:ind w:left="540" w:hanging="54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0" w15:restartNumberingAfterBreak="0">
    <w:nsid w:val="3BAB45FC"/>
    <w:multiLevelType w:val="hybridMultilevel"/>
    <w:tmpl w:val="296A5414"/>
    <w:lvl w:ilvl="0" w:tplc="F3F8189C">
      <w:start w:val="1"/>
      <w:numFmt w:val="decimal"/>
      <w:lvlText w:val="%1."/>
      <w:lvlJc w:val="left"/>
      <w:pPr>
        <w:ind w:left="1080" w:hanging="360"/>
      </w:pPr>
      <w:rPr>
        <w:b w:val="0"/>
        <w:i w:val="0"/>
        <w:strike w:val="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21" w15:restartNumberingAfterBreak="0">
    <w:nsid w:val="42045B8F"/>
    <w:multiLevelType w:val="multilevel"/>
    <w:tmpl w:val="68668824"/>
    <w:lvl w:ilvl="0">
      <w:start w:val="17"/>
      <w:numFmt w:val="decimal"/>
      <w:lvlText w:val="%1."/>
      <w:lvlJc w:val="left"/>
      <w:pPr>
        <w:ind w:left="810" w:hanging="360"/>
      </w:pPr>
      <w:rPr>
        <w:rFonts w:ascii="Times New Roman" w:hAnsi="Times New Roman" w:cs="Times New Roman" w:hint="default"/>
        <w:b w:val="0"/>
        <w:i w:val="0"/>
        <w:sz w:val="24"/>
        <w:szCs w:val="24"/>
      </w:rPr>
    </w:lvl>
    <w:lvl w:ilvl="1">
      <w:start w:val="1"/>
      <w:numFmt w:val="decimal"/>
      <w:isLgl/>
      <w:lvlText w:val="%1.%2"/>
      <w:lvlJc w:val="left"/>
      <w:pPr>
        <w:ind w:left="1500" w:hanging="42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2" w15:restartNumberingAfterBreak="0">
    <w:nsid w:val="45B91C1B"/>
    <w:multiLevelType w:val="multilevel"/>
    <w:tmpl w:val="D5AE229E"/>
    <w:lvl w:ilvl="0">
      <w:start w:val="12"/>
      <w:numFmt w:val="decimal"/>
      <w:lvlText w:val="%1."/>
      <w:lvlJc w:val="left"/>
      <w:pPr>
        <w:ind w:left="93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3" w15:restartNumberingAfterBreak="0">
    <w:nsid w:val="46C419BD"/>
    <w:multiLevelType w:val="hybridMultilevel"/>
    <w:tmpl w:val="CBA65512"/>
    <w:lvl w:ilvl="0" w:tplc="0C3A8FEC">
      <w:start w:val="1"/>
      <w:numFmt w:val="upperLetter"/>
      <w:lvlText w:val="%1."/>
      <w:lvlJc w:val="left"/>
      <w:pPr>
        <w:ind w:left="720" w:hanging="360"/>
      </w:pPr>
      <w:rPr>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48E54289"/>
    <w:multiLevelType w:val="hybridMultilevel"/>
    <w:tmpl w:val="B29ED126"/>
    <w:lvl w:ilvl="0" w:tplc="FFFFFFFF">
      <w:start w:val="1"/>
      <w:numFmt w:val="decimal"/>
      <w:lvlText w:val="%1."/>
      <w:lvlJc w:val="left"/>
      <w:pPr>
        <w:ind w:left="1495"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9672D29"/>
    <w:multiLevelType w:val="multilevel"/>
    <w:tmpl w:val="7E1EAC7E"/>
    <w:lvl w:ilvl="0">
      <w:start w:val="1"/>
      <w:numFmt w:val="decimal"/>
      <w:lvlText w:val="%1."/>
      <w:lvlJc w:val="left"/>
      <w:pPr>
        <w:ind w:left="720" w:hanging="360"/>
      </w:pPr>
      <w:rPr>
        <w:i w:val="0"/>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6" w15:restartNumberingAfterBreak="0">
    <w:nsid w:val="4DED3583"/>
    <w:multiLevelType w:val="multilevel"/>
    <w:tmpl w:val="48425AF6"/>
    <w:lvl w:ilvl="0">
      <w:start w:val="9"/>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27" w15:restartNumberingAfterBreak="0">
    <w:nsid w:val="4EC947E4"/>
    <w:multiLevelType w:val="multilevel"/>
    <w:tmpl w:val="451A71D8"/>
    <w:lvl w:ilvl="0">
      <w:start w:val="1"/>
      <w:numFmt w:val="decimal"/>
      <w:lvlText w:val="%1."/>
      <w:lvlJc w:val="left"/>
      <w:pPr>
        <w:ind w:left="5310" w:hanging="360"/>
      </w:pPr>
      <w:rPr>
        <w:rFonts w:hint="default"/>
        <w:b w:val="0"/>
        <w:i w:val="0"/>
        <w:iCs/>
      </w:rPr>
    </w:lvl>
    <w:lvl w:ilvl="1">
      <w:start w:val="1"/>
      <w:numFmt w:val="decimal"/>
      <w:isLgl/>
      <w:lvlText w:val="%1.%2"/>
      <w:lvlJc w:val="left"/>
      <w:pPr>
        <w:ind w:left="1890" w:hanging="360"/>
      </w:pPr>
      <w:rPr>
        <w:rFonts w:eastAsia="MS Mincho" w:hint="default"/>
        <w:i w:val="0"/>
        <w:color w:val="auto"/>
      </w:rPr>
    </w:lvl>
    <w:lvl w:ilvl="2">
      <w:start w:val="1"/>
      <w:numFmt w:val="decimal"/>
      <w:isLgl/>
      <w:lvlText w:val="%1.%2.%3"/>
      <w:lvlJc w:val="left"/>
      <w:pPr>
        <w:ind w:left="2395" w:hanging="720"/>
      </w:pPr>
      <w:rPr>
        <w:rFonts w:eastAsia="MS Mincho" w:hint="default"/>
        <w:i/>
        <w:color w:val="auto"/>
      </w:rPr>
    </w:lvl>
    <w:lvl w:ilvl="3">
      <w:start w:val="1"/>
      <w:numFmt w:val="decimal"/>
      <w:isLgl/>
      <w:lvlText w:val="%1.%2.%3.%4"/>
      <w:lvlJc w:val="left"/>
      <w:pPr>
        <w:ind w:left="2395" w:hanging="720"/>
      </w:pPr>
      <w:rPr>
        <w:rFonts w:eastAsia="MS Mincho" w:hint="default"/>
        <w:i/>
        <w:color w:val="auto"/>
      </w:rPr>
    </w:lvl>
    <w:lvl w:ilvl="4">
      <w:start w:val="1"/>
      <w:numFmt w:val="decimal"/>
      <w:isLgl/>
      <w:lvlText w:val="%1.%2.%3.%4.%5"/>
      <w:lvlJc w:val="left"/>
      <w:pPr>
        <w:ind w:left="2755" w:hanging="1080"/>
      </w:pPr>
      <w:rPr>
        <w:rFonts w:eastAsia="MS Mincho" w:hint="default"/>
        <w:i/>
        <w:color w:val="auto"/>
      </w:rPr>
    </w:lvl>
    <w:lvl w:ilvl="5">
      <w:start w:val="1"/>
      <w:numFmt w:val="decimal"/>
      <w:isLgl/>
      <w:lvlText w:val="%1.%2.%3.%4.%5.%6"/>
      <w:lvlJc w:val="left"/>
      <w:pPr>
        <w:ind w:left="2755" w:hanging="1080"/>
      </w:pPr>
      <w:rPr>
        <w:rFonts w:eastAsia="MS Mincho" w:hint="default"/>
        <w:i/>
        <w:color w:val="auto"/>
      </w:rPr>
    </w:lvl>
    <w:lvl w:ilvl="6">
      <w:start w:val="1"/>
      <w:numFmt w:val="decimal"/>
      <w:isLgl/>
      <w:lvlText w:val="%1.%2.%3.%4.%5.%6.%7"/>
      <w:lvlJc w:val="left"/>
      <w:pPr>
        <w:ind w:left="3115" w:hanging="1440"/>
      </w:pPr>
      <w:rPr>
        <w:rFonts w:eastAsia="MS Mincho" w:hint="default"/>
        <w:i/>
        <w:color w:val="auto"/>
      </w:rPr>
    </w:lvl>
    <w:lvl w:ilvl="7">
      <w:start w:val="1"/>
      <w:numFmt w:val="decimal"/>
      <w:isLgl/>
      <w:lvlText w:val="%1.%2.%3.%4.%5.%6.%7.%8"/>
      <w:lvlJc w:val="left"/>
      <w:pPr>
        <w:ind w:left="3115" w:hanging="1440"/>
      </w:pPr>
      <w:rPr>
        <w:rFonts w:eastAsia="MS Mincho" w:hint="default"/>
        <w:i/>
        <w:color w:val="auto"/>
      </w:rPr>
    </w:lvl>
    <w:lvl w:ilvl="8">
      <w:start w:val="1"/>
      <w:numFmt w:val="decimal"/>
      <w:isLgl/>
      <w:lvlText w:val="%1.%2.%3.%4.%5.%6.%7.%8.%9"/>
      <w:lvlJc w:val="left"/>
      <w:pPr>
        <w:ind w:left="3475" w:hanging="1800"/>
      </w:pPr>
      <w:rPr>
        <w:rFonts w:eastAsia="MS Mincho" w:hint="default"/>
        <w:i/>
        <w:color w:val="auto"/>
      </w:rPr>
    </w:lvl>
  </w:abstractNum>
  <w:abstractNum w:abstractNumId="28" w15:restartNumberingAfterBreak="0">
    <w:nsid w:val="54A33A13"/>
    <w:multiLevelType w:val="multilevel"/>
    <w:tmpl w:val="5450D6D8"/>
    <w:lvl w:ilvl="0">
      <w:start w:val="1"/>
      <w:numFmt w:val="decimal"/>
      <w:lvlText w:val="%1."/>
      <w:lvlJc w:val="left"/>
      <w:pPr>
        <w:ind w:left="720" w:hanging="360"/>
      </w:pPr>
      <w:rPr>
        <w:rFonts w:ascii="Times New Roman" w:hAnsi="Times New Roman" w:cs="Times New Roman" w:hint="default"/>
        <w:b w:val="0"/>
        <w:i w:val="0"/>
        <w:sz w:val="24"/>
        <w:szCs w:val="24"/>
      </w:rPr>
    </w:lvl>
    <w:lvl w:ilvl="1">
      <w:start w:val="1"/>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160" w:hanging="1800"/>
      </w:pPr>
      <w:rPr>
        <w:rFonts w:hint="default"/>
        <w:i/>
      </w:rPr>
    </w:lvl>
  </w:abstractNum>
  <w:abstractNum w:abstractNumId="29" w15:restartNumberingAfterBreak="0">
    <w:nsid w:val="56524B4F"/>
    <w:multiLevelType w:val="hybridMultilevel"/>
    <w:tmpl w:val="A2A63776"/>
    <w:lvl w:ilvl="0" w:tplc="67F80E64">
      <w:start w:val="1"/>
      <w:numFmt w:val="decimal"/>
      <w:lvlText w:val="%1."/>
      <w:lvlJc w:val="left"/>
      <w:pPr>
        <w:ind w:left="1211" w:hanging="360"/>
      </w:pPr>
      <w:rPr>
        <w:b w:val="0"/>
        <w:i w:val="0"/>
      </w:rPr>
    </w:lvl>
    <w:lvl w:ilvl="1" w:tplc="1F9E7A12">
      <w:start w:val="1"/>
      <w:numFmt w:val="decimal"/>
      <w:lvlText w:val="8.%2."/>
      <w:lvlJc w:val="left"/>
      <w:pPr>
        <w:ind w:left="2160" w:hanging="360"/>
      </w:pPr>
      <w:rPr>
        <w:rFonts w:hint="default"/>
        <w:b w:val="0"/>
        <w:i w:val="0"/>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B1E635E"/>
    <w:multiLevelType w:val="hybridMultilevel"/>
    <w:tmpl w:val="559CD442"/>
    <w:lvl w:ilvl="0" w:tplc="0D2212BA">
      <w:start w:val="1"/>
      <w:numFmt w:val="decimal"/>
      <w:lvlText w:val="%1."/>
      <w:lvlJc w:val="left"/>
      <w:pPr>
        <w:ind w:left="1495" w:hanging="360"/>
      </w:pPr>
      <w:rPr>
        <w:rFonts w:hint="default"/>
        <w:b w:val="0"/>
        <w:i w:val="0"/>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D64ED0"/>
    <w:multiLevelType w:val="multilevel"/>
    <w:tmpl w:val="451A71D8"/>
    <w:lvl w:ilvl="0">
      <w:start w:val="1"/>
      <w:numFmt w:val="decimal"/>
      <w:lvlText w:val="%1."/>
      <w:lvlJc w:val="left"/>
      <w:pPr>
        <w:ind w:left="4410" w:hanging="360"/>
      </w:pPr>
      <w:rPr>
        <w:rFonts w:hint="default"/>
        <w:b w:val="0"/>
        <w:i w:val="0"/>
        <w:iCs/>
      </w:rPr>
    </w:lvl>
    <w:lvl w:ilvl="1">
      <w:start w:val="1"/>
      <w:numFmt w:val="decimal"/>
      <w:isLgl/>
      <w:lvlText w:val="%1.%2"/>
      <w:lvlJc w:val="left"/>
      <w:pPr>
        <w:ind w:left="1890" w:hanging="360"/>
      </w:pPr>
      <w:rPr>
        <w:rFonts w:eastAsia="MS Mincho" w:hint="default"/>
        <w:i w:val="0"/>
        <w:color w:val="auto"/>
      </w:rPr>
    </w:lvl>
    <w:lvl w:ilvl="2">
      <w:start w:val="1"/>
      <w:numFmt w:val="decimal"/>
      <w:isLgl/>
      <w:lvlText w:val="%1.%2.%3"/>
      <w:lvlJc w:val="left"/>
      <w:pPr>
        <w:ind w:left="2395" w:hanging="720"/>
      </w:pPr>
      <w:rPr>
        <w:rFonts w:eastAsia="MS Mincho" w:hint="default"/>
        <w:i/>
        <w:color w:val="auto"/>
      </w:rPr>
    </w:lvl>
    <w:lvl w:ilvl="3">
      <w:start w:val="1"/>
      <w:numFmt w:val="decimal"/>
      <w:isLgl/>
      <w:lvlText w:val="%1.%2.%3.%4"/>
      <w:lvlJc w:val="left"/>
      <w:pPr>
        <w:ind w:left="2395" w:hanging="720"/>
      </w:pPr>
      <w:rPr>
        <w:rFonts w:eastAsia="MS Mincho" w:hint="default"/>
        <w:i/>
        <w:color w:val="auto"/>
      </w:rPr>
    </w:lvl>
    <w:lvl w:ilvl="4">
      <w:start w:val="1"/>
      <w:numFmt w:val="decimal"/>
      <w:isLgl/>
      <w:lvlText w:val="%1.%2.%3.%4.%5"/>
      <w:lvlJc w:val="left"/>
      <w:pPr>
        <w:ind w:left="2755" w:hanging="1080"/>
      </w:pPr>
      <w:rPr>
        <w:rFonts w:eastAsia="MS Mincho" w:hint="default"/>
        <w:i/>
        <w:color w:val="auto"/>
      </w:rPr>
    </w:lvl>
    <w:lvl w:ilvl="5">
      <w:start w:val="1"/>
      <w:numFmt w:val="decimal"/>
      <w:isLgl/>
      <w:lvlText w:val="%1.%2.%3.%4.%5.%6"/>
      <w:lvlJc w:val="left"/>
      <w:pPr>
        <w:ind w:left="2755" w:hanging="1080"/>
      </w:pPr>
      <w:rPr>
        <w:rFonts w:eastAsia="MS Mincho" w:hint="default"/>
        <w:i/>
        <w:color w:val="auto"/>
      </w:rPr>
    </w:lvl>
    <w:lvl w:ilvl="6">
      <w:start w:val="1"/>
      <w:numFmt w:val="decimal"/>
      <w:isLgl/>
      <w:lvlText w:val="%1.%2.%3.%4.%5.%6.%7"/>
      <w:lvlJc w:val="left"/>
      <w:pPr>
        <w:ind w:left="3115" w:hanging="1440"/>
      </w:pPr>
      <w:rPr>
        <w:rFonts w:eastAsia="MS Mincho" w:hint="default"/>
        <w:i/>
        <w:color w:val="auto"/>
      </w:rPr>
    </w:lvl>
    <w:lvl w:ilvl="7">
      <w:start w:val="1"/>
      <w:numFmt w:val="decimal"/>
      <w:isLgl/>
      <w:lvlText w:val="%1.%2.%3.%4.%5.%6.%7.%8"/>
      <w:lvlJc w:val="left"/>
      <w:pPr>
        <w:ind w:left="3115" w:hanging="1440"/>
      </w:pPr>
      <w:rPr>
        <w:rFonts w:eastAsia="MS Mincho" w:hint="default"/>
        <w:i/>
        <w:color w:val="auto"/>
      </w:rPr>
    </w:lvl>
    <w:lvl w:ilvl="8">
      <w:start w:val="1"/>
      <w:numFmt w:val="decimal"/>
      <w:isLgl/>
      <w:lvlText w:val="%1.%2.%3.%4.%5.%6.%7.%8.%9"/>
      <w:lvlJc w:val="left"/>
      <w:pPr>
        <w:ind w:left="3475" w:hanging="1800"/>
      </w:pPr>
      <w:rPr>
        <w:rFonts w:eastAsia="MS Mincho" w:hint="default"/>
        <w:i/>
        <w:color w:val="auto"/>
      </w:rPr>
    </w:lvl>
  </w:abstractNum>
  <w:abstractNum w:abstractNumId="32" w15:restartNumberingAfterBreak="0">
    <w:nsid w:val="6B6C4DF1"/>
    <w:multiLevelType w:val="multilevel"/>
    <w:tmpl w:val="297A791E"/>
    <w:lvl w:ilvl="0">
      <w:start w:val="8"/>
      <w:numFmt w:val="decimal"/>
      <w:lvlText w:val="%1."/>
      <w:lvlJc w:val="left"/>
      <w:pPr>
        <w:ind w:left="360" w:hanging="360"/>
      </w:pPr>
      <w:rPr>
        <w:rFonts w:hint="default"/>
      </w:rPr>
    </w:lvl>
    <w:lvl w:ilvl="1">
      <w:start w:val="1"/>
      <w:numFmt w:val="decimal"/>
      <w:lvlText w:val="%1.%2."/>
      <w:lvlJc w:val="left"/>
      <w:pPr>
        <w:ind w:left="3621"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6EE63D55"/>
    <w:multiLevelType w:val="multilevel"/>
    <w:tmpl w:val="91A86458"/>
    <w:lvl w:ilvl="0">
      <w:start w:val="12"/>
      <w:numFmt w:val="decimal"/>
      <w:lvlText w:val="%1."/>
      <w:lvlJc w:val="left"/>
      <w:pPr>
        <w:ind w:left="480" w:hanging="480"/>
      </w:pPr>
      <w:rPr>
        <w:rFonts w:eastAsia="Times New Roman" w:hint="default"/>
        <w:b w:val="0"/>
        <w:color w:val="auto"/>
      </w:rPr>
    </w:lvl>
    <w:lvl w:ilvl="1">
      <w:start w:val="1"/>
      <w:numFmt w:val="decimal"/>
      <w:lvlText w:val="%1.%2."/>
      <w:lvlJc w:val="left"/>
      <w:pPr>
        <w:ind w:left="1560" w:hanging="480"/>
      </w:pPr>
      <w:rPr>
        <w:rFonts w:eastAsia="Times New Roman" w:hint="default"/>
        <w:color w:val="auto"/>
      </w:rPr>
    </w:lvl>
    <w:lvl w:ilvl="2">
      <w:start w:val="1"/>
      <w:numFmt w:val="decimal"/>
      <w:lvlText w:val="%1.%2.%3."/>
      <w:lvlJc w:val="left"/>
      <w:pPr>
        <w:ind w:left="2880" w:hanging="720"/>
      </w:pPr>
      <w:rPr>
        <w:rFonts w:eastAsia="Times New Roman" w:hint="default"/>
        <w:color w:val="auto"/>
      </w:rPr>
    </w:lvl>
    <w:lvl w:ilvl="3">
      <w:start w:val="1"/>
      <w:numFmt w:val="decimal"/>
      <w:lvlText w:val="%1.%2.%3.%4."/>
      <w:lvlJc w:val="left"/>
      <w:pPr>
        <w:ind w:left="3960" w:hanging="720"/>
      </w:pPr>
      <w:rPr>
        <w:rFonts w:eastAsia="Times New Roman" w:hint="default"/>
        <w:color w:val="auto"/>
      </w:rPr>
    </w:lvl>
    <w:lvl w:ilvl="4">
      <w:start w:val="1"/>
      <w:numFmt w:val="decimal"/>
      <w:lvlText w:val="%1.%2.%3.%4.%5."/>
      <w:lvlJc w:val="left"/>
      <w:pPr>
        <w:ind w:left="5400" w:hanging="1080"/>
      </w:pPr>
      <w:rPr>
        <w:rFonts w:eastAsia="Times New Roman" w:hint="default"/>
        <w:color w:val="auto"/>
      </w:rPr>
    </w:lvl>
    <w:lvl w:ilvl="5">
      <w:start w:val="1"/>
      <w:numFmt w:val="decimal"/>
      <w:lvlText w:val="%1.%2.%3.%4.%5.%6."/>
      <w:lvlJc w:val="left"/>
      <w:pPr>
        <w:ind w:left="6480" w:hanging="1080"/>
      </w:pPr>
      <w:rPr>
        <w:rFonts w:eastAsia="Times New Roman" w:hint="default"/>
        <w:color w:val="auto"/>
      </w:rPr>
    </w:lvl>
    <w:lvl w:ilvl="6">
      <w:start w:val="1"/>
      <w:numFmt w:val="decimal"/>
      <w:lvlText w:val="%1.%2.%3.%4.%5.%6.%7."/>
      <w:lvlJc w:val="left"/>
      <w:pPr>
        <w:ind w:left="7920" w:hanging="1440"/>
      </w:pPr>
      <w:rPr>
        <w:rFonts w:eastAsia="Times New Roman" w:hint="default"/>
        <w:color w:val="auto"/>
      </w:rPr>
    </w:lvl>
    <w:lvl w:ilvl="7">
      <w:start w:val="1"/>
      <w:numFmt w:val="decimal"/>
      <w:lvlText w:val="%1.%2.%3.%4.%5.%6.%7.%8."/>
      <w:lvlJc w:val="left"/>
      <w:pPr>
        <w:ind w:left="9000" w:hanging="1440"/>
      </w:pPr>
      <w:rPr>
        <w:rFonts w:eastAsia="Times New Roman" w:hint="default"/>
        <w:color w:val="auto"/>
      </w:rPr>
    </w:lvl>
    <w:lvl w:ilvl="8">
      <w:start w:val="1"/>
      <w:numFmt w:val="decimal"/>
      <w:lvlText w:val="%1.%2.%3.%4.%5.%6.%7.%8.%9."/>
      <w:lvlJc w:val="left"/>
      <w:pPr>
        <w:ind w:left="10440" w:hanging="1800"/>
      </w:pPr>
      <w:rPr>
        <w:rFonts w:eastAsia="Times New Roman" w:hint="default"/>
        <w:color w:val="auto"/>
      </w:rPr>
    </w:lvl>
  </w:abstractNum>
  <w:abstractNum w:abstractNumId="34" w15:restartNumberingAfterBreak="0">
    <w:nsid w:val="720F66DC"/>
    <w:multiLevelType w:val="hybridMultilevel"/>
    <w:tmpl w:val="176E30BC"/>
    <w:lvl w:ilvl="0" w:tplc="FFFFFFFF">
      <w:start w:val="1"/>
      <w:numFmt w:val="decimal"/>
      <w:lvlText w:val="%1."/>
      <w:lvlJc w:val="left"/>
      <w:pPr>
        <w:ind w:left="1495" w:hanging="360"/>
      </w:pPr>
      <w:rPr>
        <w:rFonts w:hint="default"/>
        <w:b w:val="0"/>
        <w:i w:val="0"/>
        <w:i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3067373"/>
    <w:multiLevelType w:val="multilevel"/>
    <w:tmpl w:val="E3280FFE"/>
    <w:lvl w:ilvl="0">
      <w:start w:val="7"/>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b w:val="0"/>
        <w:i/>
      </w:rPr>
    </w:lvl>
    <w:lvl w:ilvl="3">
      <w:start w:val="1"/>
      <w:numFmt w:val="decimal"/>
      <w:lvlText w:val="%1.%2.%3.%4."/>
      <w:lvlJc w:val="left"/>
      <w:pPr>
        <w:ind w:left="720" w:hanging="720"/>
      </w:pPr>
      <w:rPr>
        <w:rFonts w:hint="default"/>
        <w:b w:val="0"/>
        <w:i/>
      </w:rPr>
    </w:lvl>
    <w:lvl w:ilvl="4">
      <w:start w:val="1"/>
      <w:numFmt w:val="decimal"/>
      <w:lvlText w:val="%1.%2.%3.%4.%5."/>
      <w:lvlJc w:val="left"/>
      <w:pPr>
        <w:ind w:left="1080" w:hanging="1080"/>
      </w:pPr>
      <w:rPr>
        <w:rFonts w:hint="default"/>
        <w:b w:val="0"/>
        <w:i/>
      </w:rPr>
    </w:lvl>
    <w:lvl w:ilvl="5">
      <w:start w:val="1"/>
      <w:numFmt w:val="decimal"/>
      <w:lvlText w:val="%1.%2.%3.%4.%5.%6."/>
      <w:lvlJc w:val="left"/>
      <w:pPr>
        <w:ind w:left="1080" w:hanging="1080"/>
      </w:pPr>
      <w:rPr>
        <w:rFonts w:hint="default"/>
        <w:b w:val="0"/>
        <w:i/>
      </w:rPr>
    </w:lvl>
    <w:lvl w:ilvl="6">
      <w:start w:val="1"/>
      <w:numFmt w:val="decimal"/>
      <w:lvlText w:val="%1.%2.%3.%4.%5.%6.%7."/>
      <w:lvlJc w:val="left"/>
      <w:pPr>
        <w:ind w:left="1440" w:hanging="1440"/>
      </w:pPr>
      <w:rPr>
        <w:rFonts w:hint="default"/>
        <w:b w:val="0"/>
        <w:i/>
      </w:rPr>
    </w:lvl>
    <w:lvl w:ilvl="7">
      <w:start w:val="1"/>
      <w:numFmt w:val="decimal"/>
      <w:lvlText w:val="%1.%2.%3.%4.%5.%6.%7.%8."/>
      <w:lvlJc w:val="left"/>
      <w:pPr>
        <w:ind w:left="1440" w:hanging="1440"/>
      </w:pPr>
      <w:rPr>
        <w:rFonts w:hint="default"/>
        <w:b w:val="0"/>
        <w:i/>
      </w:rPr>
    </w:lvl>
    <w:lvl w:ilvl="8">
      <w:start w:val="1"/>
      <w:numFmt w:val="decimal"/>
      <w:lvlText w:val="%1.%2.%3.%4.%5.%6.%7.%8.%9."/>
      <w:lvlJc w:val="left"/>
      <w:pPr>
        <w:ind w:left="1800" w:hanging="1800"/>
      </w:pPr>
      <w:rPr>
        <w:rFonts w:hint="default"/>
        <w:b w:val="0"/>
        <w:i/>
      </w:rPr>
    </w:lvl>
  </w:abstractNum>
  <w:abstractNum w:abstractNumId="36" w15:restartNumberingAfterBreak="0">
    <w:nsid w:val="75B43FD5"/>
    <w:multiLevelType w:val="hybridMultilevel"/>
    <w:tmpl w:val="419A3FDA"/>
    <w:lvl w:ilvl="0" w:tplc="E5A69BB2">
      <w:start w:val="1"/>
      <w:numFmt w:val="decimal"/>
      <w:lvlText w:val="%1."/>
      <w:lvlJc w:val="left"/>
      <w:pPr>
        <w:ind w:left="72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7" w15:restartNumberingAfterBreak="0">
    <w:nsid w:val="7A77744D"/>
    <w:multiLevelType w:val="hybridMultilevel"/>
    <w:tmpl w:val="8EF869E6"/>
    <w:lvl w:ilvl="0" w:tplc="3906F35E">
      <w:start w:val="20"/>
      <w:numFmt w:val="decimal"/>
      <w:lvlText w:val="%1."/>
      <w:lvlJc w:val="left"/>
      <w:pPr>
        <w:ind w:left="1440" w:hanging="360"/>
      </w:pPr>
      <w:rPr>
        <w:rFonts w:ascii="Times New Roman" w:eastAsia="Batang" w:hAnsi="Times New Roman" w:cs="Times New Roman" w:hint="default"/>
        <w:b w:val="0"/>
        <w:bCs/>
        <w:i w:val="0"/>
        <w:iCs w:val="0"/>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C4655B6"/>
    <w:multiLevelType w:val="hybridMultilevel"/>
    <w:tmpl w:val="214CBDD4"/>
    <w:lvl w:ilvl="0" w:tplc="23549264">
      <w:start w:val="15"/>
      <w:numFmt w:val="decimal"/>
      <w:lvlText w:val="%1."/>
      <w:lvlJc w:val="left"/>
      <w:pPr>
        <w:ind w:left="1080" w:hanging="360"/>
      </w:pPr>
      <w:rPr>
        <w:rFonts w:eastAsia="Calibri"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0"/>
  </w:num>
  <w:num w:numId="2">
    <w:abstractNumId w:val="15"/>
  </w:num>
  <w:num w:numId="3">
    <w:abstractNumId w:val="7"/>
  </w:num>
  <w:num w:numId="4">
    <w:abstractNumId w:val="26"/>
  </w:num>
  <w:num w:numId="5">
    <w:abstractNumId w:val="21"/>
  </w:num>
  <w:num w:numId="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num>
  <w:num w:numId="8">
    <w:abstractNumId w:val="24"/>
  </w:num>
  <w:num w:numId="9">
    <w:abstractNumId w:val="9"/>
  </w:num>
  <w:num w:numId="10">
    <w:abstractNumId w:val="34"/>
  </w:num>
  <w:num w:numId="11">
    <w:abstractNumId w:val="37"/>
  </w:num>
  <w:num w:numId="12">
    <w:abstractNumId w:val="11"/>
  </w:num>
  <w:num w:numId="13">
    <w:abstractNumId w:val="3"/>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13"/>
  </w:num>
  <w:num w:numId="17">
    <w:abstractNumId w:val="25"/>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 w:numId="20">
    <w:abstractNumId w:val="32"/>
  </w:num>
  <w:num w:numId="21">
    <w:abstractNumId w:val="17"/>
  </w:num>
  <w:num w:numId="22">
    <w:abstractNumId w:val="12"/>
  </w:num>
  <w:num w:numId="23">
    <w:abstractNumId w:val="35"/>
  </w:num>
  <w:num w:numId="24">
    <w:abstractNumId w:val="22"/>
  </w:num>
  <w:num w:numId="25">
    <w:abstractNumId w:val="5"/>
  </w:num>
  <w:num w:numId="26">
    <w:abstractNumId w:val="1"/>
  </w:num>
  <w:num w:numId="27">
    <w:abstractNumId w:val="19"/>
  </w:num>
  <w:num w:numId="28">
    <w:abstractNumId w:val="29"/>
  </w:num>
  <w:num w:numId="29">
    <w:abstractNumId w:val="8"/>
  </w:num>
  <w:num w:numId="30">
    <w:abstractNumId w:val="28"/>
  </w:num>
  <w:num w:numId="31">
    <w:abstractNumId w:val="14"/>
  </w:num>
  <w:num w:numId="32">
    <w:abstractNumId w:val="31"/>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num>
  <w:num w:numId="35">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7"/>
  </w:num>
  <w:num w:numId="37">
    <w:abstractNumId w:val="38"/>
  </w:num>
  <w:num w:numId="38">
    <w:abstractNumId w:val="6"/>
  </w:num>
  <w:num w:numId="39">
    <w:abstractNumId w:val="0"/>
  </w:num>
  <w:num w:numId="40">
    <w:abstractNumId w:val="33"/>
  </w:num>
  <w:num w:numId="4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grammar="clean"/>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422"/>
    <w:rsid w:val="00007368"/>
    <w:rsid w:val="0001595F"/>
    <w:rsid w:val="000256B5"/>
    <w:rsid w:val="00031293"/>
    <w:rsid w:val="00036AE7"/>
    <w:rsid w:val="0004012D"/>
    <w:rsid w:val="000418B5"/>
    <w:rsid w:val="00041E87"/>
    <w:rsid w:val="00052331"/>
    <w:rsid w:val="00053165"/>
    <w:rsid w:val="000537A3"/>
    <w:rsid w:val="00064C72"/>
    <w:rsid w:val="00067880"/>
    <w:rsid w:val="00067AE4"/>
    <w:rsid w:val="000712FD"/>
    <w:rsid w:val="00076458"/>
    <w:rsid w:val="00085857"/>
    <w:rsid w:val="0009188C"/>
    <w:rsid w:val="0009216C"/>
    <w:rsid w:val="00093B73"/>
    <w:rsid w:val="00094BEB"/>
    <w:rsid w:val="00096241"/>
    <w:rsid w:val="00097C0C"/>
    <w:rsid w:val="000A6606"/>
    <w:rsid w:val="000A7F88"/>
    <w:rsid w:val="000B7147"/>
    <w:rsid w:val="000B7B0F"/>
    <w:rsid w:val="000D5176"/>
    <w:rsid w:val="000D592E"/>
    <w:rsid w:val="000E4271"/>
    <w:rsid w:val="000E763B"/>
    <w:rsid w:val="000E7698"/>
    <w:rsid w:val="000E7717"/>
    <w:rsid w:val="000F0310"/>
    <w:rsid w:val="000F10F0"/>
    <w:rsid w:val="000F429B"/>
    <w:rsid w:val="000F5ACA"/>
    <w:rsid w:val="000F6374"/>
    <w:rsid w:val="000F6C69"/>
    <w:rsid w:val="000F7F5A"/>
    <w:rsid w:val="00101EF7"/>
    <w:rsid w:val="00103B24"/>
    <w:rsid w:val="0010680C"/>
    <w:rsid w:val="00110EE3"/>
    <w:rsid w:val="00111350"/>
    <w:rsid w:val="0011348E"/>
    <w:rsid w:val="0011427A"/>
    <w:rsid w:val="00116BA0"/>
    <w:rsid w:val="0011710D"/>
    <w:rsid w:val="0012454C"/>
    <w:rsid w:val="001246A7"/>
    <w:rsid w:val="00126C2B"/>
    <w:rsid w:val="001401D9"/>
    <w:rsid w:val="00146DC6"/>
    <w:rsid w:val="00147633"/>
    <w:rsid w:val="00152608"/>
    <w:rsid w:val="0015406B"/>
    <w:rsid w:val="00163185"/>
    <w:rsid w:val="001668DB"/>
    <w:rsid w:val="00173940"/>
    <w:rsid w:val="00176B4C"/>
    <w:rsid w:val="00176C67"/>
    <w:rsid w:val="001778C2"/>
    <w:rsid w:val="00177DCD"/>
    <w:rsid w:val="001802D0"/>
    <w:rsid w:val="0018183E"/>
    <w:rsid w:val="00190034"/>
    <w:rsid w:val="001926F0"/>
    <w:rsid w:val="00196A86"/>
    <w:rsid w:val="001970B7"/>
    <w:rsid w:val="001A2D35"/>
    <w:rsid w:val="001A3889"/>
    <w:rsid w:val="001A488A"/>
    <w:rsid w:val="001A5B46"/>
    <w:rsid w:val="001A72B3"/>
    <w:rsid w:val="001A7647"/>
    <w:rsid w:val="001A7D29"/>
    <w:rsid w:val="001B0BED"/>
    <w:rsid w:val="001C207E"/>
    <w:rsid w:val="001C20CB"/>
    <w:rsid w:val="001C3348"/>
    <w:rsid w:val="001C4064"/>
    <w:rsid w:val="001C4F01"/>
    <w:rsid w:val="001D5739"/>
    <w:rsid w:val="001D6F1F"/>
    <w:rsid w:val="001E01FE"/>
    <w:rsid w:val="001E4614"/>
    <w:rsid w:val="001F57FF"/>
    <w:rsid w:val="001F63AB"/>
    <w:rsid w:val="001F7185"/>
    <w:rsid w:val="00202E71"/>
    <w:rsid w:val="00203A21"/>
    <w:rsid w:val="00207383"/>
    <w:rsid w:val="002107C6"/>
    <w:rsid w:val="00212DE8"/>
    <w:rsid w:val="00223B8C"/>
    <w:rsid w:val="00230C04"/>
    <w:rsid w:val="00231674"/>
    <w:rsid w:val="002316D8"/>
    <w:rsid w:val="00234CCA"/>
    <w:rsid w:val="00235EEA"/>
    <w:rsid w:val="002361DA"/>
    <w:rsid w:val="00240B01"/>
    <w:rsid w:val="00241785"/>
    <w:rsid w:val="00243C6D"/>
    <w:rsid w:val="00245B29"/>
    <w:rsid w:val="00250F5B"/>
    <w:rsid w:val="0025633E"/>
    <w:rsid w:val="002612BB"/>
    <w:rsid w:val="00261CFD"/>
    <w:rsid w:val="00262190"/>
    <w:rsid w:val="00262BB6"/>
    <w:rsid w:val="00263176"/>
    <w:rsid w:val="00270401"/>
    <w:rsid w:val="00271628"/>
    <w:rsid w:val="002721BD"/>
    <w:rsid w:val="00280707"/>
    <w:rsid w:val="002808FE"/>
    <w:rsid w:val="00280C5A"/>
    <w:rsid w:val="002822CB"/>
    <w:rsid w:val="00283E5D"/>
    <w:rsid w:val="0028404E"/>
    <w:rsid w:val="00284CE6"/>
    <w:rsid w:val="00287D8C"/>
    <w:rsid w:val="00287FD8"/>
    <w:rsid w:val="002902B9"/>
    <w:rsid w:val="002944D4"/>
    <w:rsid w:val="00294F40"/>
    <w:rsid w:val="002A0DB5"/>
    <w:rsid w:val="002A1F6D"/>
    <w:rsid w:val="002A2566"/>
    <w:rsid w:val="002A37CA"/>
    <w:rsid w:val="002A38C9"/>
    <w:rsid w:val="002A46BC"/>
    <w:rsid w:val="002A621F"/>
    <w:rsid w:val="002A7785"/>
    <w:rsid w:val="002B237A"/>
    <w:rsid w:val="002B33B7"/>
    <w:rsid w:val="002B5CBC"/>
    <w:rsid w:val="002C062E"/>
    <w:rsid w:val="002C0B08"/>
    <w:rsid w:val="002C227E"/>
    <w:rsid w:val="002C2481"/>
    <w:rsid w:val="002C6032"/>
    <w:rsid w:val="002C61A3"/>
    <w:rsid w:val="002D1611"/>
    <w:rsid w:val="002D2ADB"/>
    <w:rsid w:val="002D518B"/>
    <w:rsid w:val="002E26C4"/>
    <w:rsid w:val="002E47D0"/>
    <w:rsid w:val="002E66B3"/>
    <w:rsid w:val="002E6D4B"/>
    <w:rsid w:val="002F20D3"/>
    <w:rsid w:val="002F307E"/>
    <w:rsid w:val="002F509F"/>
    <w:rsid w:val="002F7027"/>
    <w:rsid w:val="00303608"/>
    <w:rsid w:val="00313648"/>
    <w:rsid w:val="00315C3E"/>
    <w:rsid w:val="00316A8D"/>
    <w:rsid w:val="00326039"/>
    <w:rsid w:val="00337426"/>
    <w:rsid w:val="0034096D"/>
    <w:rsid w:val="003532CE"/>
    <w:rsid w:val="00354D99"/>
    <w:rsid w:val="003624CA"/>
    <w:rsid w:val="00363444"/>
    <w:rsid w:val="0036561D"/>
    <w:rsid w:val="00365829"/>
    <w:rsid w:val="00375242"/>
    <w:rsid w:val="00375FE2"/>
    <w:rsid w:val="0038406A"/>
    <w:rsid w:val="00386E3A"/>
    <w:rsid w:val="00386FE8"/>
    <w:rsid w:val="003944F6"/>
    <w:rsid w:val="00396400"/>
    <w:rsid w:val="00397348"/>
    <w:rsid w:val="003A455D"/>
    <w:rsid w:val="003A4701"/>
    <w:rsid w:val="003A765C"/>
    <w:rsid w:val="003B21CD"/>
    <w:rsid w:val="003C0F50"/>
    <w:rsid w:val="003C5F4C"/>
    <w:rsid w:val="003C750D"/>
    <w:rsid w:val="003D4AE8"/>
    <w:rsid w:val="003F290B"/>
    <w:rsid w:val="003F44D5"/>
    <w:rsid w:val="00407C33"/>
    <w:rsid w:val="00412EE3"/>
    <w:rsid w:val="00413B7F"/>
    <w:rsid w:val="00417210"/>
    <w:rsid w:val="0042112E"/>
    <w:rsid w:val="00425584"/>
    <w:rsid w:val="00426DBB"/>
    <w:rsid w:val="004325FB"/>
    <w:rsid w:val="00433CA5"/>
    <w:rsid w:val="00435A71"/>
    <w:rsid w:val="00444871"/>
    <w:rsid w:val="00444B28"/>
    <w:rsid w:val="004468E8"/>
    <w:rsid w:val="00455B7C"/>
    <w:rsid w:val="0045739F"/>
    <w:rsid w:val="00464754"/>
    <w:rsid w:val="00465B82"/>
    <w:rsid w:val="00477591"/>
    <w:rsid w:val="00482EC4"/>
    <w:rsid w:val="00487841"/>
    <w:rsid w:val="00493202"/>
    <w:rsid w:val="00496DEB"/>
    <w:rsid w:val="00496FE7"/>
    <w:rsid w:val="004A0EFB"/>
    <w:rsid w:val="004A2EEC"/>
    <w:rsid w:val="004A488A"/>
    <w:rsid w:val="004A65DD"/>
    <w:rsid w:val="004A69A1"/>
    <w:rsid w:val="004A6A7F"/>
    <w:rsid w:val="004B36C6"/>
    <w:rsid w:val="004B504A"/>
    <w:rsid w:val="004B7240"/>
    <w:rsid w:val="004B7538"/>
    <w:rsid w:val="004C00B5"/>
    <w:rsid w:val="004C4ADB"/>
    <w:rsid w:val="004C7B8B"/>
    <w:rsid w:val="004D5932"/>
    <w:rsid w:val="004E4610"/>
    <w:rsid w:val="004F36A5"/>
    <w:rsid w:val="004F7E42"/>
    <w:rsid w:val="00500A1A"/>
    <w:rsid w:val="00507349"/>
    <w:rsid w:val="00512216"/>
    <w:rsid w:val="0051276B"/>
    <w:rsid w:val="005159C6"/>
    <w:rsid w:val="00520477"/>
    <w:rsid w:val="00520CD3"/>
    <w:rsid w:val="005234F9"/>
    <w:rsid w:val="005267E6"/>
    <w:rsid w:val="005300F1"/>
    <w:rsid w:val="00531DBA"/>
    <w:rsid w:val="00532148"/>
    <w:rsid w:val="00550E92"/>
    <w:rsid w:val="005534C9"/>
    <w:rsid w:val="00553B41"/>
    <w:rsid w:val="0056176A"/>
    <w:rsid w:val="005639C4"/>
    <w:rsid w:val="005652D5"/>
    <w:rsid w:val="0058104A"/>
    <w:rsid w:val="00583F6D"/>
    <w:rsid w:val="0058440C"/>
    <w:rsid w:val="0058655B"/>
    <w:rsid w:val="00591367"/>
    <w:rsid w:val="00592602"/>
    <w:rsid w:val="00594F5E"/>
    <w:rsid w:val="005959FE"/>
    <w:rsid w:val="0059632B"/>
    <w:rsid w:val="005A0071"/>
    <w:rsid w:val="005A59C6"/>
    <w:rsid w:val="005A6A6B"/>
    <w:rsid w:val="005B16CF"/>
    <w:rsid w:val="005B4066"/>
    <w:rsid w:val="005C0092"/>
    <w:rsid w:val="005C02E8"/>
    <w:rsid w:val="005C2E43"/>
    <w:rsid w:val="005D1AF8"/>
    <w:rsid w:val="005D4083"/>
    <w:rsid w:val="005D4F12"/>
    <w:rsid w:val="005D576B"/>
    <w:rsid w:val="005D62F4"/>
    <w:rsid w:val="005D7437"/>
    <w:rsid w:val="005E67F4"/>
    <w:rsid w:val="005F1DBF"/>
    <w:rsid w:val="005F5213"/>
    <w:rsid w:val="00600795"/>
    <w:rsid w:val="00602BE3"/>
    <w:rsid w:val="006040AD"/>
    <w:rsid w:val="0060573D"/>
    <w:rsid w:val="006076BA"/>
    <w:rsid w:val="006171CC"/>
    <w:rsid w:val="00620DDC"/>
    <w:rsid w:val="00622871"/>
    <w:rsid w:val="00623940"/>
    <w:rsid w:val="00630407"/>
    <w:rsid w:val="006350BE"/>
    <w:rsid w:val="00646559"/>
    <w:rsid w:val="006518A7"/>
    <w:rsid w:val="00652A2D"/>
    <w:rsid w:val="00660910"/>
    <w:rsid w:val="006657AD"/>
    <w:rsid w:val="00672261"/>
    <w:rsid w:val="0068440B"/>
    <w:rsid w:val="00693D54"/>
    <w:rsid w:val="006A0F53"/>
    <w:rsid w:val="006A1F4B"/>
    <w:rsid w:val="006B0D45"/>
    <w:rsid w:val="006B4B5F"/>
    <w:rsid w:val="006C0D46"/>
    <w:rsid w:val="006C2497"/>
    <w:rsid w:val="006C4E3C"/>
    <w:rsid w:val="006C5323"/>
    <w:rsid w:val="006C5A9A"/>
    <w:rsid w:val="006D444F"/>
    <w:rsid w:val="006D7FAD"/>
    <w:rsid w:val="006E0A5F"/>
    <w:rsid w:val="006E0D2B"/>
    <w:rsid w:val="006E264E"/>
    <w:rsid w:val="006E70F3"/>
    <w:rsid w:val="006F0ED5"/>
    <w:rsid w:val="007020DD"/>
    <w:rsid w:val="0070295D"/>
    <w:rsid w:val="00703265"/>
    <w:rsid w:val="007047F0"/>
    <w:rsid w:val="00706EEC"/>
    <w:rsid w:val="007229F1"/>
    <w:rsid w:val="00723285"/>
    <w:rsid w:val="007235EF"/>
    <w:rsid w:val="007258D5"/>
    <w:rsid w:val="00734346"/>
    <w:rsid w:val="007352A8"/>
    <w:rsid w:val="007432B1"/>
    <w:rsid w:val="007443D3"/>
    <w:rsid w:val="00747113"/>
    <w:rsid w:val="007476EA"/>
    <w:rsid w:val="0075797C"/>
    <w:rsid w:val="00761DD4"/>
    <w:rsid w:val="007724A3"/>
    <w:rsid w:val="00783BD8"/>
    <w:rsid w:val="00786A1C"/>
    <w:rsid w:val="00786DDD"/>
    <w:rsid w:val="00797FD9"/>
    <w:rsid w:val="007A03DE"/>
    <w:rsid w:val="007A4309"/>
    <w:rsid w:val="007B1821"/>
    <w:rsid w:val="007B4CB0"/>
    <w:rsid w:val="007C0343"/>
    <w:rsid w:val="007C59F4"/>
    <w:rsid w:val="007C633A"/>
    <w:rsid w:val="007C7570"/>
    <w:rsid w:val="007D1757"/>
    <w:rsid w:val="007D21A7"/>
    <w:rsid w:val="007D59DD"/>
    <w:rsid w:val="007E15DD"/>
    <w:rsid w:val="007E3363"/>
    <w:rsid w:val="007E7187"/>
    <w:rsid w:val="007F22B7"/>
    <w:rsid w:val="007F447E"/>
    <w:rsid w:val="007F6E41"/>
    <w:rsid w:val="007F7CB4"/>
    <w:rsid w:val="008018D6"/>
    <w:rsid w:val="00811D51"/>
    <w:rsid w:val="008151E8"/>
    <w:rsid w:val="00842DDE"/>
    <w:rsid w:val="008436F0"/>
    <w:rsid w:val="0084722C"/>
    <w:rsid w:val="00851FA7"/>
    <w:rsid w:val="00864205"/>
    <w:rsid w:val="00864BC4"/>
    <w:rsid w:val="00865B77"/>
    <w:rsid w:val="008719D9"/>
    <w:rsid w:val="008720E8"/>
    <w:rsid w:val="00874D07"/>
    <w:rsid w:val="0087511F"/>
    <w:rsid w:val="00875B33"/>
    <w:rsid w:val="00880096"/>
    <w:rsid w:val="00881606"/>
    <w:rsid w:val="00883F42"/>
    <w:rsid w:val="00884A52"/>
    <w:rsid w:val="0089005D"/>
    <w:rsid w:val="0089767D"/>
    <w:rsid w:val="008A16D4"/>
    <w:rsid w:val="008A2D1A"/>
    <w:rsid w:val="008A2F7C"/>
    <w:rsid w:val="008A35AB"/>
    <w:rsid w:val="008A4C26"/>
    <w:rsid w:val="008A689B"/>
    <w:rsid w:val="008B365B"/>
    <w:rsid w:val="008B4BA2"/>
    <w:rsid w:val="008B7469"/>
    <w:rsid w:val="008D29AC"/>
    <w:rsid w:val="008D34BD"/>
    <w:rsid w:val="008D5810"/>
    <w:rsid w:val="008D5A4C"/>
    <w:rsid w:val="008D62B6"/>
    <w:rsid w:val="008E02D6"/>
    <w:rsid w:val="008E0B11"/>
    <w:rsid w:val="008E2307"/>
    <w:rsid w:val="00901DEC"/>
    <w:rsid w:val="00904CFA"/>
    <w:rsid w:val="009164AC"/>
    <w:rsid w:val="00916C68"/>
    <w:rsid w:val="00921C40"/>
    <w:rsid w:val="00922415"/>
    <w:rsid w:val="00930699"/>
    <w:rsid w:val="00932CB3"/>
    <w:rsid w:val="0093545F"/>
    <w:rsid w:val="00937137"/>
    <w:rsid w:val="00937184"/>
    <w:rsid w:val="0094335F"/>
    <w:rsid w:val="00943E80"/>
    <w:rsid w:val="00950019"/>
    <w:rsid w:val="009508E0"/>
    <w:rsid w:val="00975E20"/>
    <w:rsid w:val="00976ED3"/>
    <w:rsid w:val="009770A1"/>
    <w:rsid w:val="00981C59"/>
    <w:rsid w:val="00984558"/>
    <w:rsid w:val="00985B3B"/>
    <w:rsid w:val="00991837"/>
    <w:rsid w:val="00992597"/>
    <w:rsid w:val="00995EEF"/>
    <w:rsid w:val="009A53E7"/>
    <w:rsid w:val="009B2549"/>
    <w:rsid w:val="009B3A20"/>
    <w:rsid w:val="009B462F"/>
    <w:rsid w:val="009C02AB"/>
    <w:rsid w:val="009D3DC2"/>
    <w:rsid w:val="009D66FD"/>
    <w:rsid w:val="009E53A2"/>
    <w:rsid w:val="009F1F43"/>
    <w:rsid w:val="009F3140"/>
    <w:rsid w:val="009F589A"/>
    <w:rsid w:val="009F7100"/>
    <w:rsid w:val="00A00A87"/>
    <w:rsid w:val="00A0215D"/>
    <w:rsid w:val="00A03B60"/>
    <w:rsid w:val="00A155F8"/>
    <w:rsid w:val="00A17DA7"/>
    <w:rsid w:val="00A22078"/>
    <w:rsid w:val="00A2463B"/>
    <w:rsid w:val="00A25422"/>
    <w:rsid w:val="00A25BDD"/>
    <w:rsid w:val="00A307FA"/>
    <w:rsid w:val="00A315C9"/>
    <w:rsid w:val="00A33B79"/>
    <w:rsid w:val="00A348C0"/>
    <w:rsid w:val="00A37F33"/>
    <w:rsid w:val="00A43347"/>
    <w:rsid w:val="00A439F6"/>
    <w:rsid w:val="00A4627D"/>
    <w:rsid w:val="00A47075"/>
    <w:rsid w:val="00A55A8A"/>
    <w:rsid w:val="00A5699A"/>
    <w:rsid w:val="00A57533"/>
    <w:rsid w:val="00A60312"/>
    <w:rsid w:val="00A60369"/>
    <w:rsid w:val="00A61657"/>
    <w:rsid w:val="00A61D50"/>
    <w:rsid w:val="00A65575"/>
    <w:rsid w:val="00A716CB"/>
    <w:rsid w:val="00A77B0B"/>
    <w:rsid w:val="00A80BD8"/>
    <w:rsid w:val="00A86D48"/>
    <w:rsid w:val="00A91289"/>
    <w:rsid w:val="00A94592"/>
    <w:rsid w:val="00A95853"/>
    <w:rsid w:val="00A96484"/>
    <w:rsid w:val="00AA198D"/>
    <w:rsid w:val="00AA5358"/>
    <w:rsid w:val="00AA5FE9"/>
    <w:rsid w:val="00AB3F82"/>
    <w:rsid w:val="00AB6113"/>
    <w:rsid w:val="00AB6811"/>
    <w:rsid w:val="00AC0128"/>
    <w:rsid w:val="00AC1E75"/>
    <w:rsid w:val="00AC70AA"/>
    <w:rsid w:val="00AD08F0"/>
    <w:rsid w:val="00AD3305"/>
    <w:rsid w:val="00AD7494"/>
    <w:rsid w:val="00AE210C"/>
    <w:rsid w:val="00AE291F"/>
    <w:rsid w:val="00AF260D"/>
    <w:rsid w:val="00AF29E7"/>
    <w:rsid w:val="00AF4A31"/>
    <w:rsid w:val="00AF6C48"/>
    <w:rsid w:val="00B007C3"/>
    <w:rsid w:val="00B10AF7"/>
    <w:rsid w:val="00B12156"/>
    <w:rsid w:val="00B1359F"/>
    <w:rsid w:val="00B159A0"/>
    <w:rsid w:val="00B16349"/>
    <w:rsid w:val="00B20636"/>
    <w:rsid w:val="00B3109F"/>
    <w:rsid w:val="00B32D1B"/>
    <w:rsid w:val="00B33366"/>
    <w:rsid w:val="00B41D4F"/>
    <w:rsid w:val="00B42074"/>
    <w:rsid w:val="00B433AD"/>
    <w:rsid w:val="00B44740"/>
    <w:rsid w:val="00B46DAA"/>
    <w:rsid w:val="00B546A7"/>
    <w:rsid w:val="00B549AF"/>
    <w:rsid w:val="00B55D03"/>
    <w:rsid w:val="00B61C03"/>
    <w:rsid w:val="00B67A33"/>
    <w:rsid w:val="00B71A8F"/>
    <w:rsid w:val="00B819B8"/>
    <w:rsid w:val="00B81B8B"/>
    <w:rsid w:val="00B82BB1"/>
    <w:rsid w:val="00B85B2D"/>
    <w:rsid w:val="00B90439"/>
    <w:rsid w:val="00B90747"/>
    <w:rsid w:val="00B919FC"/>
    <w:rsid w:val="00B925BC"/>
    <w:rsid w:val="00B92973"/>
    <w:rsid w:val="00B96493"/>
    <w:rsid w:val="00B96B5E"/>
    <w:rsid w:val="00BA402B"/>
    <w:rsid w:val="00BA6318"/>
    <w:rsid w:val="00BA6BAE"/>
    <w:rsid w:val="00BB0036"/>
    <w:rsid w:val="00BB2075"/>
    <w:rsid w:val="00BB72EA"/>
    <w:rsid w:val="00BC01C3"/>
    <w:rsid w:val="00BC0412"/>
    <w:rsid w:val="00BC07F4"/>
    <w:rsid w:val="00BC51B4"/>
    <w:rsid w:val="00BD17AE"/>
    <w:rsid w:val="00BD4883"/>
    <w:rsid w:val="00BD6013"/>
    <w:rsid w:val="00BD658F"/>
    <w:rsid w:val="00BD6ECE"/>
    <w:rsid w:val="00BE05C9"/>
    <w:rsid w:val="00BE077C"/>
    <w:rsid w:val="00BE44DA"/>
    <w:rsid w:val="00BF06C9"/>
    <w:rsid w:val="00BF5885"/>
    <w:rsid w:val="00C01172"/>
    <w:rsid w:val="00C0533A"/>
    <w:rsid w:val="00C06BFE"/>
    <w:rsid w:val="00C07859"/>
    <w:rsid w:val="00C149F9"/>
    <w:rsid w:val="00C2519B"/>
    <w:rsid w:val="00C25672"/>
    <w:rsid w:val="00C303CC"/>
    <w:rsid w:val="00C37B7E"/>
    <w:rsid w:val="00C4308F"/>
    <w:rsid w:val="00C451C6"/>
    <w:rsid w:val="00C547B2"/>
    <w:rsid w:val="00C575F5"/>
    <w:rsid w:val="00C60550"/>
    <w:rsid w:val="00C61AC2"/>
    <w:rsid w:val="00C62F26"/>
    <w:rsid w:val="00C648E4"/>
    <w:rsid w:val="00C712DF"/>
    <w:rsid w:val="00C73246"/>
    <w:rsid w:val="00C7444A"/>
    <w:rsid w:val="00C74A2E"/>
    <w:rsid w:val="00C76C7A"/>
    <w:rsid w:val="00C77F21"/>
    <w:rsid w:val="00C80E5F"/>
    <w:rsid w:val="00C850B3"/>
    <w:rsid w:val="00C852F1"/>
    <w:rsid w:val="00C87753"/>
    <w:rsid w:val="00C93650"/>
    <w:rsid w:val="00C96D08"/>
    <w:rsid w:val="00CA3BB9"/>
    <w:rsid w:val="00CA6686"/>
    <w:rsid w:val="00CA7289"/>
    <w:rsid w:val="00CB53EA"/>
    <w:rsid w:val="00CC1FE9"/>
    <w:rsid w:val="00CC29B4"/>
    <w:rsid w:val="00CD49A5"/>
    <w:rsid w:val="00CD6EFA"/>
    <w:rsid w:val="00CE3CA4"/>
    <w:rsid w:val="00CF0DFF"/>
    <w:rsid w:val="00CF3D27"/>
    <w:rsid w:val="00CF59AA"/>
    <w:rsid w:val="00CF6E25"/>
    <w:rsid w:val="00D00C18"/>
    <w:rsid w:val="00D03469"/>
    <w:rsid w:val="00D07A37"/>
    <w:rsid w:val="00D116CA"/>
    <w:rsid w:val="00D21646"/>
    <w:rsid w:val="00D24E9D"/>
    <w:rsid w:val="00D2744E"/>
    <w:rsid w:val="00D34CA7"/>
    <w:rsid w:val="00D45AF0"/>
    <w:rsid w:val="00D46331"/>
    <w:rsid w:val="00D46768"/>
    <w:rsid w:val="00D479E9"/>
    <w:rsid w:val="00D525DA"/>
    <w:rsid w:val="00D62CD7"/>
    <w:rsid w:val="00D74086"/>
    <w:rsid w:val="00D744F4"/>
    <w:rsid w:val="00D74556"/>
    <w:rsid w:val="00D754FB"/>
    <w:rsid w:val="00D83442"/>
    <w:rsid w:val="00D90034"/>
    <w:rsid w:val="00D94176"/>
    <w:rsid w:val="00DA3C09"/>
    <w:rsid w:val="00DA45A7"/>
    <w:rsid w:val="00DA5C2E"/>
    <w:rsid w:val="00DA6A25"/>
    <w:rsid w:val="00DB2F77"/>
    <w:rsid w:val="00DC0046"/>
    <w:rsid w:val="00DC5005"/>
    <w:rsid w:val="00DE10DC"/>
    <w:rsid w:val="00DE11A0"/>
    <w:rsid w:val="00DE43DA"/>
    <w:rsid w:val="00DF144B"/>
    <w:rsid w:val="00E102FC"/>
    <w:rsid w:val="00E10C87"/>
    <w:rsid w:val="00E14317"/>
    <w:rsid w:val="00E2342B"/>
    <w:rsid w:val="00E25160"/>
    <w:rsid w:val="00E25CF4"/>
    <w:rsid w:val="00E27203"/>
    <w:rsid w:val="00E276AB"/>
    <w:rsid w:val="00E30E69"/>
    <w:rsid w:val="00E31212"/>
    <w:rsid w:val="00E31D8E"/>
    <w:rsid w:val="00E32012"/>
    <w:rsid w:val="00E32632"/>
    <w:rsid w:val="00E3458E"/>
    <w:rsid w:val="00E41E14"/>
    <w:rsid w:val="00E440AA"/>
    <w:rsid w:val="00E46385"/>
    <w:rsid w:val="00E53173"/>
    <w:rsid w:val="00E55BB8"/>
    <w:rsid w:val="00E564EB"/>
    <w:rsid w:val="00E568D1"/>
    <w:rsid w:val="00E56999"/>
    <w:rsid w:val="00E64E94"/>
    <w:rsid w:val="00E679CF"/>
    <w:rsid w:val="00E7552E"/>
    <w:rsid w:val="00E80CB3"/>
    <w:rsid w:val="00E81A7C"/>
    <w:rsid w:val="00E85F2C"/>
    <w:rsid w:val="00E936A4"/>
    <w:rsid w:val="00E9640D"/>
    <w:rsid w:val="00E97963"/>
    <w:rsid w:val="00EA1F29"/>
    <w:rsid w:val="00EA4B3F"/>
    <w:rsid w:val="00EA6E2D"/>
    <w:rsid w:val="00EB2E99"/>
    <w:rsid w:val="00EB4790"/>
    <w:rsid w:val="00EB57CF"/>
    <w:rsid w:val="00EC5785"/>
    <w:rsid w:val="00ED0D70"/>
    <w:rsid w:val="00EE0722"/>
    <w:rsid w:val="00EE167D"/>
    <w:rsid w:val="00EE3143"/>
    <w:rsid w:val="00EE51B6"/>
    <w:rsid w:val="00EE564D"/>
    <w:rsid w:val="00EE7946"/>
    <w:rsid w:val="00EF4EFD"/>
    <w:rsid w:val="00EF577E"/>
    <w:rsid w:val="00EF6504"/>
    <w:rsid w:val="00F13957"/>
    <w:rsid w:val="00F17AD1"/>
    <w:rsid w:val="00F23D75"/>
    <w:rsid w:val="00F27F1E"/>
    <w:rsid w:val="00F32073"/>
    <w:rsid w:val="00F4135F"/>
    <w:rsid w:val="00F420A7"/>
    <w:rsid w:val="00F4499F"/>
    <w:rsid w:val="00F4578F"/>
    <w:rsid w:val="00F45EE8"/>
    <w:rsid w:val="00F46BF2"/>
    <w:rsid w:val="00F51FE3"/>
    <w:rsid w:val="00F5636C"/>
    <w:rsid w:val="00F5725D"/>
    <w:rsid w:val="00F61DF3"/>
    <w:rsid w:val="00F6720B"/>
    <w:rsid w:val="00F67D1B"/>
    <w:rsid w:val="00F717DC"/>
    <w:rsid w:val="00F76F42"/>
    <w:rsid w:val="00F8035B"/>
    <w:rsid w:val="00F8363E"/>
    <w:rsid w:val="00F848D0"/>
    <w:rsid w:val="00F91D85"/>
    <w:rsid w:val="00F91D87"/>
    <w:rsid w:val="00F91F84"/>
    <w:rsid w:val="00F973A4"/>
    <w:rsid w:val="00FA53B9"/>
    <w:rsid w:val="00FA6098"/>
    <w:rsid w:val="00FA6343"/>
    <w:rsid w:val="00FC138D"/>
    <w:rsid w:val="00FC1D51"/>
    <w:rsid w:val="00FC46F5"/>
    <w:rsid w:val="00FC65EA"/>
    <w:rsid w:val="00FD2D22"/>
    <w:rsid w:val="00FD373B"/>
    <w:rsid w:val="00FE54B2"/>
    <w:rsid w:val="00FE5C63"/>
    <w:rsid w:val="00FE5F47"/>
    <w:rsid w:val="00FF0327"/>
    <w:rsid w:val="00FF4C94"/>
    <w:rsid w:val="00FF5FE5"/>
    <w:rsid w:val="00FF78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53A1F71"/>
  <w15:chartTrackingRefBased/>
  <w15:docId w15:val="{48233146-93D7-4964-BE79-5D79860EE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5422"/>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
    <w:basedOn w:val="Normal"/>
    <w:link w:val="ListParagraphChar"/>
    <w:uiPriority w:val="34"/>
    <w:qFormat/>
    <w:rsid w:val="00A25422"/>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A25422"/>
  </w:style>
  <w:style w:type="paragraph" w:styleId="Header">
    <w:name w:val="header"/>
    <w:basedOn w:val="Normal"/>
    <w:link w:val="HeaderChar"/>
    <w:uiPriority w:val="99"/>
    <w:unhideWhenUsed/>
    <w:rsid w:val="00A254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5422"/>
  </w:style>
  <w:style w:type="paragraph" w:styleId="Footer">
    <w:name w:val="footer"/>
    <w:basedOn w:val="Normal"/>
    <w:link w:val="FooterChar"/>
    <w:uiPriority w:val="99"/>
    <w:unhideWhenUsed/>
    <w:rsid w:val="00A254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5422"/>
  </w:style>
  <w:style w:type="character" w:customStyle="1" w:styleId="NoSpacingChar">
    <w:name w:val="No Spacing Char"/>
    <w:link w:val="NoSpacing"/>
    <w:uiPriority w:val="1"/>
    <w:qFormat/>
    <w:locked/>
    <w:rsid w:val="00A25422"/>
    <w:rPr>
      <w:rFonts w:ascii="Calibri" w:eastAsia="Calibri" w:hAnsi="Calibri" w:cs="Times New Roman"/>
    </w:rPr>
  </w:style>
  <w:style w:type="paragraph" w:styleId="NoSpacing">
    <w:name w:val="No Spacing"/>
    <w:link w:val="NoSpacingChar"/>
    <w:uiPriority w:val="1"/>
    <w:qFormat/>
    <w:rsid w:val="00A25422"/>
    <w:pPr>
      <w:spacing w:after="0" w:line="240" w:lineRule="auto"/>
    </w:pPr>
    <w:rPr>
      <w:rFonts w:ascii="Calibri" w:eastAsia="Calibri" w:hAnsi="Calibri" w:cs="Times New Roman"/>
    </w:rPr>
  </w:style>
  <w:style w:type="character" w:styleId="PlaceholderText">
    <w:name w:val="Placeholder Text"/>
    <w:basedOn w:val="DefaultParagraphFont"/>
    <w:uiPriority w:val="99"/>
    <w:semiHidden/>
    <w:rsid w:val="00A25422"/>
    <w:rPr>
      <w:color w:val="808080"/>
    </w:rPr>
  </w:style>
  <w:style w:type="character" w:customStyle="1" w:styleId="hps">
    <w:name w:val="hps"/>
    <w:basedOn w:val="DefaultParagraphFont"/>
    <w:rsid w:val="00A25422"/>
  </w:style>
  <w:style w:type="character" w:styleId="CommentReference">
    <w:name w:val="annotation reference"/>
    <w:basedOn w:val="DefaultParagraphFont"/>
    <w:uiPriority w:val="99"/>
    <w:semiHidden/>
    <w:unhideWhenUsed/>
    <w:rsid w:val="00A25422"/>
    <w:rPr>
      <w:sz w:val="16"/>
      <w:szCs w:val="16"/>
    </w:rPr>
  </w:style>
  <w:style w:type="paragraph" w:styleId="CommentText">
    <w:name w:val="annotation text"/>
    <w:basedOn w:val="Normal"/>
    <w:link w:val="CommentTextChar"/>
    <w:uiPriority w:val="99"/>
    <w:semiHidden/>
    <w:unhideWhenUsed/>
    <w:rsid w:val="00A25422"/>
    <w:pPr>
      <w:spacing w:line="240" w:lineRule="auto"/>
    </w:pPr>
    <w:rPr>
      <w:sz w:val="20"/>
      <w:szCs w:val="20"/>
    </w:rPr>
  </w:style>
  <w:style w:type="character" w:customStyle="1" w:styleId="CommentTextChar">
    <w:name w:val="Comment Text Char"/>
    <w:basedOn w:val="DefaultParagraphFont"/>
    <w:link w:val="CommentText"/>
    <w:uiPriority w:val="99"/>
    <w:semiHidden/>
    <w:rsid w:val="00A25422"/>
    <w:rPr>
      <w:sz w:val="20"/>
      <w:szCs w:val="20"/>
    </w:rPr>
  </w:style>
  <w:style w:type="paragraph" w:styleId="CommentSubject">
    <w:name w:val="annotation subject"/>
    <w:basedOn w:val="CommentText"/>
    <w:next w:val="CommentText"/>
    <w:link w:val="CommentSubjectChar"/>
    <w:uiPriority w:val="99"/>
    <w:unhideWhenUsed/>
    <w:rsid w:val="00A25422"/>
    <w:rPr>
      <w:b/>
      <w:bCs/>
    </w:rPr>
  </w:style>
  <w:style w:type="character" w:customStyle="1" w:styleId="CommentSubjectChar">
    <w:name w:val="Comment Subject Char"/>
    <w:basedOn w:val="CommentTextChar"/>
    <w:link w:val="CommentSubject"/>
    <w:uiPriority w:val="99"/>
    <w:rsid w:val="00A25422"/>
    <w:rPr>
      <w:b/>
      <w:bCs/>
      <w:sz w:val="20"/>
      <w:szCs w:val="20"/>
    </w:rPr>
  </w:style>
  <w:style w:type="paragraph" w:styleId="BalloonText">
    <w:name w:val="Balloon Text"/>
    <w:basedOn w:val="Normal"/>
    <w:link w:val="BalloonTextChar"/>
    <w:uiPriority w:val="99"/>
    <w:semiHidden/>
    <w:unhideWhenUsed/>
    <w:rsid w:val="00A254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5422"/>
    <w:rPr>
      <w:rFonts w:ascii="Segoe UI" w:hAnsi="Segoe UI" w:cs="Segoe UI"/>
      <w:sz w:val="18"/>
      <w:szCs w:val="18"/>
    </w:rPr>
  </w:style>
  <w:style w:type="character" w:styleId="Hyperlink">
    <w:name w:val="Hyperlink"/>
    <w:basedOn w:val="DefaultParagraphFont"/>
    <w:uiPriority w:val="99"/>
    <w:semiHidden/>
    <w:unhideWhenUsed/>
    <w:rsid w:val="004B504A"/>
    <w:rPr>
      <w:color w:val="0000FF"/>
      <w:u w:val="single"/>
    </w:rPr>
  </w:style>
  <w:style w:type="paragraph" w:styleId="BodyTextIndent2">
    <w:name w:val="Body Text Indent 2"/>
    <w:basedOn w:val="Normal"/>
    <w:link w:val="BodyTextIndent2Char"/>
    <w:uiPriority w:val="99"/>
    <w:unhideWhenUsed/>
    <w:rsid w:val="00AC1E75"/>
    <w:pPr>
      <w:spacing w:after="0" w:line="360" w:lineRule="auto"/>
      <w:ind w:left="2880" w:hanging="2160"/>
      <w:jc w:val="both"/>
    </w:pPr>
    <w:rPr>
      <w:rFonts w:ascii="Times New Roman" w:hAnsi="Times New Roman" w:cs="Times New Roman"/>
      <w:b/>
      <w:sz w:val="24"/>
      <w:szCs w:val="24"/>
    </w:rPr>
  </w:style>
  <w:style w:type="character" w:customStyle="1" w:styleId="BodyTextIndent2Char">
    <w:name w:val="Body Text Indent 2 Char"/>
    <w:basedOn w:val="DefaultParagraphFont"/>
    <w:link w:val="BodyTextIndent2"/>
    <w:uiPriority w:val="99"/>
    <w:rsid w:val="00AC1E75"/>
    <w:rPr>
      <w:rFonts w:ascii="Times New Roman" w:hAnsi="Times New Roman" w:cs="Times New Roman"/>
      <w:b/>
      <w:sz w:val="24"/>
      <w:szCs w:val="24"/>
      <w:lang w:val="sq-AL"/>
    </w:rPr>
  </w:style>
  <w:style w:type="character" w:customStyle="1" w:styleId="sa36b60a1">
    <w:name w:val="sa36b60a1"/>
    <w:basedOn w:val="DefaultParagraphFont"/>
    <w:rsid w:val="0018183E"/>
  </w:style>
  <w:style w:type="table" w:styleId="TableGrid">
    <w:name w:val="Table Grid"/>
    <w:basedOn w:val="TableNormal"/>
    <w:uiPriority w:val="39"/>
    <w:rsid w:val="000F10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35105">
      <w:bodyDiv w:val="1"/>
      <w:marLeft w:val="0"/>
      <w:marRight w:val="0"/>
      <w:marTop w:val="0"/>
      <w:marBottom w:val="0"/>
      <w:divBdr>
        <w:top w:val="none" w:sz="0" w:space="0" w:color="auto"/>
        <w:left w:val="none" w:sz="0" w:space="0" w:color="auto"/>
        <w:bottom w:val="none" w:sz="0" w:space="0" w:color="auto"/>
        <w:right w:val="none" w:sz="0" w:space="0" w:color="auto"/>
      </w:divBdr>
    </w:div>
    <w:div w:id="316761288">
      <w:bodyDiv w:val="1"/>
      <w:marLeft w:val="0"/>
      <w:marRight w:val="0"/>
      <w:marTop w:val="0"/>
      <w:marBottom w:val="0"/>
      <w:divBdr>
        <w:top w:val="none" w:sz="0" w:space="0" w:color="auto"/>
        <w:left w:val="none" w:sz="0" w:space="0" w:color="auto"/>
        <w:bottom w:val="none" w:sz="0" w:space="0" w:color="auto"/>
        <w:right w:val="none" w:sz="0" w:space="0" w:color="auto"/>
      </w:divBdr>
    </w:div>
    <w:div w:id="1403331104">
      <w:bodyDiv w:val="1"/>
      <w:marLeft w:val="0"/>
      <w:marRight w:val="0"/>
      <w:marTop w:val="0"/>
      <w:marBottom w:val="0"/>
      <w:divBdr>
        <w:top w:val="none" w:sz="0" w:space="0" w:color="auto"/>
        <w:left w:val="none" w:sz="0" w:space="0" w:color="auto"/>
        <w:bottom w:val="none" w:sz="0" w:space="0" w:color="auto"/>
        <w:right w:val="none" w:sz="0" w:space="0" w:color="auto"/>
      </w:divBdr>
    </w:div>
    <w:div w:id="1921215348">
      <w:bodyDiv w:val="1"/>
      <w:marLeft w:val="0"/>
      <w:marRight w:val="0"/>
      <w:marTop w:val="0"/>
      <w:marBottom w:val="0"/>
      <w:divBdr>
        <w:top w:val="none" w:sz="0" w:space="0" w:color="auto"/>
        <w:left w:val="none" w:sz="0" w:space="0" w:color="auto"/>
        <w:bottom w:val="none" w:sz="0" w:space="0" w:color="auto"/>
        <w:right w:val="none" w:sz="0" w:space="0" w:color="auto"/>
      </w:divBdr>
    </w:div>
    <w:div w:id="2007514837">
      <w:bodyDiv w:val="1"/>
      <w:marLeft w:val="0"/>
      <w:marRight w:val="0"/>
      <w:marTop w:val="0"/>
      <w:marBottom w:val="0"/>
      <w:divBdr>
        <w:top w:val="none" w:sz="0" w:space="0" w:color="auto"/>
        <w:left w:val="none" w:sz="0" w:space="0" w:color="auto"/>
        <w:bottom w:val="none" w:sz="0" w:space="0" w:color="auto"/>
        <w:right w:val="none" w:sz="0" w:space="0" w:color="auto"/>
      </w:divBdr>
    </w:div>
    <w:div w:id="2074811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77</Nr_x002e__x0020_akti>
    <Data_x0020_e_x0020_Krijimit xmlns="0e656187-b300-4fb0-8bf4-3a50f872073c">2026-02-19T13:15:22Z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2026-02-19T00:00:00Z</Date_x0020_protokolli>
    <Titulli xmlns="0e656187-b300-4fb0-8bf4-3a50f872073c">Me objekt shfuqizimin e vendimeve nr.1060 (86-2023-1406), datë 14.12.2023 të Gjykatës Administrative të Apelit; nr. 00-2024-4952, datë 11.12.2024 të Kolegjit Administrativ të Gjykatës së Lartë, si të papajtueshme me Kushtetutën e Republikës së Shqipërisë. Dërgimin e çështjes për rishqyrtim në Gjykatën Administrative të Apelit.</Titulli>
    <Modifikuesi xmlns="0e656187-b300-4fb0-8bf4-3a50f872073c">ermira.bukaci</Modifikuesi>
    <Nr_x002e__x0020_prot_x0020_QBZ xmlns="0e656187-b300-4fb0-8bf4-3a50f872073c">365/1</Nr_x002e__x0020_prot_x0020_QBZ>
    <Data_x0020_e_x0020_Modifikimit xmlns="0e656187-b300-4fb0-8bf4-3a50f872073c">2026-02-19T13:56:22Z</Data_x0020_e_x0020_Modifikimit>
    <Dekretuar xmlns="0e656187-b300-4fb0-8bf4-3a50f872073c">false</Dekretuar>
    <Data xmlns="0e656187-b300-4fb0-8bf4-3a50f872073c">2025-12-02T00:00:00Z</Data>
    <Nr_x002e__x0020_protokolli_x0020_i_x0020_aktit xmlns="0e656187-b300-4fb0-8bf4-3a50f872073c">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6C550DA0B914C3EA12B632AEC8C4CD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55F10-3916-42DC-A850-0F92D01EE497}">
  <ds:schemaRefs>
    <ds:schemaRef ds:uri="http://www.w3.org/XML/1998/namespace"/>
    <ds:schemaRef ds:uri="http://schemas.microsoft.com/office/2006/metadata/properties"/>
    <ds:schemaRef ds:uri="http://purl.org/dc/terms/"/>
    <ds:schemaRef ds:uri="http://purl.org/dc/elements/1.1/"/>
    <ds:schemaRef ds:uri="http://schemas.microsoft.com/office/2006/documentManagement/types"/>
    <ds:schemaRef ds:uri="http://schemas.openxmlformats.org/package/2006/metadata/core-properties"/>
    <ds:schemaRef ds:uri="0e656187-b300-4fb0-8bf4-3a50f872073c"/>
    <ds:schemaRef ds:uri="http://purl.org/dc/dcmitype/"/>
  </ds:schemaRefs>
</ds:datastoreItem>
</file>

<file path=customXml/itemProps2.xml><?xml version="1.0" encoding="utf-8"?>
<ds:datastoreItem xmlns:ds="http://schemas.openxmlformats.org/officeDocument/2006/customXml" ds:itemID="{C28B8516-17F6-484B-840B-19199DA81760}">
  <ds:schemaRefs>
    <ds:schemaRef ds:uri="http://schemas.microsoft.com/sharepoint/v3/contenttype/forms"/>
  </ds:schemaRefs>
</ds:datastoreItem>
</file>

<file path=customXml/itemProps3.xml><?xml version="1.0" encoding="utf-8"?>
<ds:datastoreItem xmlns:ds="http://schemas.openxmlformats.org/officeDocument/2006/customXml" ds:itemID="{EFF2E96B-BF06-4C24-A44A-3D9A80BBF8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40C3903-7B56-4DBF-ADA2-D0F205618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12</Pages>
  <Words>7454</Words>
  <Characters>42490</Characters>
  <Application>Microsoft Office Word</Application>
  <DocSecurity>0</DocSecurity>
  <Lines>354</Lines>
  <Paragraphs>99</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Me objekt shfuqizimin e vendimeve nr.1060 (86-2023-1406), datë 14.12.2023 të Gjykatës Administrative të Apelit; nr. 00-2024-4952, datë 11.12.2024 të Kolegjit Administrativ të Gjykatës së Lartë, si të papajtueshme me Kushtetutën e Republikës së Shqipërisë.</vt:lpstr>
      <vt:lpstr/>
    </vt:vector>
  </TitlesOfParts>
  <Company>User</Company>
  <LinksUpToDate>false</LinksUpToDate>
  <CharactersWithSpaces>49845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nr.1060 (86-2023-1406), datë 14.12.2023 të Gjykatës Administrative të Apelit; nr. 00-2024-4952, datë 11.12.2024 të Kolegjit Administrativ të Gjykatës së Lartë, si të papajtueshme me Kushtetutën e Republikës së Shqipërisë. Dërgimin e çështjes për rishqyrtim në Gjykatën Administrative të Apelit.</dc:title>
  <dc:creator>Jonida Birce</dc:creator>
  <cp:lastModifiedBy>fjora.cahani</cp:lastModifiedBy>
  <cp:revision>9</cp:revision>
  <cp:lastPrinted>2026-02-17T12:35:00Z</cp:lastPrinted>
  <dcterms:created xsi:type="dcterms:W3CDTF">2026-02-19T12:18:00Z</dcterms:created>
  <dcterms:modified xsi:type="dcterms:W3CDTF">2026-02-20T10:05:00Z</dcterms:modified>
</cp:coreProperties>
</file>