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59773F" w14:textId="7BCBB54D" w:rsidR="00015CA2" w:rsidRPr="00E31272" w:rsidRDefault="00015CA2" w:rsidP="00015CA2">
      <w:pPr>
        <w:tabs>
          <w:tab w:val="left" w:pos="1080"/>
        </w:tabs>
        <w:spacing w:after="0" w:line="240" w:lineRule="auto"/>
        <w:ind w:firstLine="284"/>
        <w:jc w:val="center"/>
        <w:rPr>
          <w:rFonts w:ascii="Garamond" w:hAnsi="Garamond" w:cs="Times New Roman"/>
          <w:b/>
          <w:bCs/>
          <w:sz w:val="24"/>
          <w:szCs w:val="24"/>
        </w:rPr>
      </w:pPr>
      <w:r w:rsidRPr="00E31272">
        <w:rPr>
          <w:rFonts w:ascii="Garamond" w:hAnsi="Garamond" w:cs="Times New Roman"/>
          <w:b/>
          <w:bCs/>
          <w:sz w:val="24"/>
          <w:szCs w:val="24"/>
        </w:rPr>
        <w:t>VENDIM</w:t>
      </w:r>
    </w:p>
    <w:p w14:paraId="74407696" w14:textId="5F749F41" w:rsidR="00015CA2" w:rsidRPr="00E31272" w:rsidRDefault="00015CA2" w:rsidP="00015CA2">
      <w:pPr>
        <w:tabs>
          <w:tab w:val="left" w:pos="1080"/>
        </w:tabs>
        <w:spacing w:after="0" w:line="240" w:lineRule="auto"/>
        <w:ind w:firstLine="284"/>
        <w:jc w:val="center"/>
        <w:rPr>
          <w:rFonts w:ascii="Garamond" w:hAnsi="Garamond" w:cs="Times New Roman"/>
          <w:b/>
          <w:bCs/>
          <w:sz w:val="24"/>
          <w:szCs w:val="24"/>
        </w:rPr>
      </w:pPr>
      <w:r w:rsidRPr="00E31272">
        <w:rPr>
          <w:rFonts w:ascii="Garamond" w:hAnsi="Garamond" w:cs="Times New Roman"/>
          <w:b/>
          <w:bCs/>
          <w:sz w:val="24"/>
          <w:szCs w:val="24"/>
        </w:rPr>
        <w:t>Nr.</w:t>
      </w:r>
      <w:r w:rsidR="00E31272" w:rsidRPr="00E31272">
        <w:rPr>
          <w:rFonts w:ascii="Garamond" w:hAnsi="Garamond" w:cs="Times New Roman"/>
          <w:b/>
          <w:bCs/>
          <w:sz w:val="24"/>
          <w:szCs w:val="24"/>
        </w:rPr>
        <w:t xml:space="preserve"> </w:t>
      </w:r>
      <w:r w:rsidRPr="00E31272">
        <w:rPr>
          <w:rFonts w:ascii="Garamond" w:hAnsi="Garamond" w:cs="Times New Roman"/>
          <w:b/>
          <w:bCs/>
          <w:sz w:val="24"/>
          <w:szCs w:val="24"/>
        </w:rPr>
        <w:t>79, datë 12.12.2025</w:t>
      </w:r>
    </w:p>
    <w:p w14:paraId="389BDFA6" w14:textId="77777777" w:rsidR="00015CA2" w:rsidRPr="00E31272" w:rsidRDefault="00015CA2" w:rsidP="00015CA2">
      <w:pPr>
        <w:tabs>
          <w:tab w:val="left" w:pos="1080"/>
        </w:tabs>
        <w:spacing w:after="0" w:line="240" w:lineRule="auto"/>
        <w:ind w:firstLine="284"/>
        <w:jc w:val="center"/>
        <w:rPr>
          <w:rFonts w:ascii="Garamond" w:hAnsi="Garamond" w:cs="Times New Roman"/>
          <w:b/>
          <w:bCs/>
          <w:sz w:val="24"/>
          <w:szCs w:val="24"/>
        </w:rPr>
      </w:pPr>
    </w:p>
    <w:p w14:paraId="68125C5D" w14:textId="7E78A680" w:rsidR="00015CA2" w:rsidRPr="00E31272" w:rsidRDefault="00015CA2" w:rsidP="00015CA2">
      <w:pPr>
        <w:tabs>
          <w:tab w:val="left" w:pos="1080"/>
        </w:tabs>
        <w:spacing w:after="0" w:line="240" w:lineRule="auto"/>
        <w:ind w:firstLine="284"/>
        <w:jc w:val="center"/>
        <w:rPr>
          <w:rFonts w:ascii="Garamond" w:hAnsi="Garamond" w:cs="Times New Roman"/>
          <w:b/>
          <w:bCs/>
          <w:sz w:val="24"/>
          <w:szCs w:val="24"/>
        </w:rPr>
      </w:pPr>
      <w:r w:rsidRPr="00E31272">
        <w:rPr>
          <w:rFonts w:ascii="Garamond" w:hAnsi="Garamond" w:cs="Times New Roman"/>
          <w:b/>
          <w:bCs/>
          <w:sz w:val="24"/>
          <w:szCs w:val="24"/>
        </w:rPr>
        <w:t>NË E</w:t>
      </w:r>
      <w:r w:rsidR="00E31272" w:rsidRPr="00E31272">
        <w:rPr>
          <w:rFonts w:ascii="Garamond" w:hAnsi="Garamond" w:cs="Times New Roman"/>
          <w:b/>
          <w:bCs/>
          <w:sz w:val="24"/>
          <w:szCs w:val="24"/>
        </w:rPr>
        <w:t>MËR TË REPUBLIKËS SË SHQIPËRISË</w:t>
      </w:r>
    </w:p>
    <w:p w14:paraId="236E5000" w14:textId="77777777" w:rsidR="00015CA2" w:rsidRPr="00E31272" w:rsidRDefault="00015CA2" w:rsidP="00015CA2">
      <w:pPr>
        <w:tabs>
          <w:tab w:val="left" w:pos="1080"/>
        </w:tabs>
        <w:spacing w:after="0" w:line="240" w:lineRule="auto"/>
        <w:ind w:firstLine="284"/>
        <w:jc w:val="both"/>
        <w:rPr>
          <w:rFonts w:ascii="Garamond" w:hAnsi="Garamond" w:cs="Times New Roman"/>
          <w:sz w:val="24"/>
          <w:szCs w:val="24"/>
        </w:rPr>
      </w:pPr>
    </w:p>
    <w:p w14:paraId="59FFDF46" w14:textId="77777777" w:rsidR="00015CA2" w:rsidRPr="00E31272" w:rsidRDefault="00015CA2" w:rsidP="00015CA2">
      <w:pPr>
        <w:tabs>
          <w:tab w:val="left" w:pos="1080"/>
        </w:tabs>
        <w:spacing w:after="0" w:line="240" w:lineRule="auto"/>
        <w:ind w:firstLine="284"/>
        <w:jc w:val="both"/>
        <w:rPr>
          <w:rFonts w:ascii="Garamond" w:hAnsi="Garamond" w:cs="Times New Roman"/>
          <w:sz w:val="24"/>
          <w:szCs w:val="24"/>
        </w:rPr>
      </w:pPr>
      <w:r w:rsidRPr="00E31272">
        <w:rPr>
          <w:rFonts w:ascii="Garamond" w:hAnsi="Garamond" w:cs="Times New Roman"/>
          <w:sz w:val="24"/>
          <w:szCs w:val="24"/>
        </w:rPr>
        <w:t>Gjykata Kushtetuese e Republikës së Shqipërisë, e përbërë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1560"/>
      </w:tblGrid>
      <w:tr w:rsidR="000F4367" w:rsidRPr="00E31272" w14:paraId="2844277C" w14:textId="77777777" w:rsidTr="000F4367">
        <w:tc>
          <w:tcPr>
            <w:tcW w:w="2263" w:type="dxa"/>
          </w:tcPr>
          <w:p w14:paraId="74A18AB2" w14:textId="4BA132D5" w:rsidR="000F4367" w:rsidRPr="00E31272" w:rsidRDefault="000F4367" w:rsidP="00793304">
            <w:pPr>
              <w:jc w:val="both"/>
              <w:rPr>
                <w:rFonts w:ascii="Garamond" w:hAnsi="Garamond" w:cs="Times New Roman"/>
                <w:sz w:val="24"/>
                <w:szCs w:val="24"/>
              </w:rPr>
            </w:pPr>
            <w:proofErr w:type="spellStart"/>
            <w:r w:rsidRPr="00E31272">
              <w:rPr>
                <w:rFonts w:ascii="Garamond" w:hAnsi="Garamond" w:cs="Times New Roman"/>
                <w:sz w:val="24"/>
                <w:szCs w:val="24"/>
              </w:rPr>
              <w:t>Marsida</w:t>
            </w:r>
            <w:proofErr w:type="spellEnd"/>
            <w:r w:rsidRPr="00E31272">
              <w:rPr>
                <w:rFonts w:ascii="Garamond" w:hAnsi="Garamond" w:cs="Times New Roman"/>
                <w:sz w:val="24"/>
                <w:szCs w:val="24"/>
              </w:rPr>
              <w:t xml:space="preserve"> </w:t>
            </w:r>
            <w:proofErr w:type="spellStart"/>
            <w:r w:rsidRPr="00E31272">
              <w:rPr>
                <w:rFonts w:ascii="Garamond" w:hAnsi="Garamond" w:cs="Times New Roman"/>
                <w:sz w:val="24"/>
                <w:szCs w:val="24"/>
              </w:rPr>
              <w:t>Xhaferllari</w:t>
            </w:r>
            <w:proofErr w:type="spellEnd"/>
          </w:p>
        </w:tc>
        <w:tc>
          <w:tcPr>
            <w:tcW w:w="1560" w:type="dxa"/>
          </w:tcPr>
          <w:p w14:paraId="7452D1B6" w14:textId="2AF97EA9" w:rsidR="000F4367" w:rsidRPr="00E31272" w:rsidRDefault="00E31272" w:rsidP="00793304">
            <w:pPr>
              <w:jc w:val="both"/>
              <w:rPr>
                <w:rFonts w:ascii="Garamond" w:hAnsi="Garamond" w:cs="Times New Roman"/>
                <w:sz w:val="24"/>
                <w:szCs w:val="24"/>
              </w:rPr>
            </w:pPr>
            <w:r w:rsidRPr="00E31272">
              <w:rPr>
                <w:rFonts w:ascii="Garamond" w:hAnsi="Garamond" w:cs="Times New Roman"/>
                <w:sz w:val="24"/>
                <w:szCs w:val="24"/>
              </w:rPr>
              <w:t>kryesuese</w:t>
            </w:r>
            <w:r>
              <w:rPr>
                <w:rFonts w:ascii="Garamond" w:hAnsi="Garamond" w:cs="Times New Roman"/>
                <w:sz w:val="24"/>
                <w:szCs w:val="24"/>
              </w:rPr>
              <w:t>;</w:t>
            </w:r>
          </w:p>
        </w:tc>
      </w:tr>
      <w:tr w:rsidR="000F4367" w:rsidRPr="00E31272" w14:paraId="715D360D" w14:textId="77777777" w:rsidTr="000F4367">
        <w:tc>
          <w:tcPr>
            <w:tcW w:w="2263" w:type="dxa"/>
          </w:tcPr>
          <w:p w14:paraId="59AB76F8" w14:textId="77777777" w:rsidR="000F4367" w:rsidRPr="00E31272" w:rsidRDefault="000F4367" w:rsidP="00793304">
            <w:pPr>
              <w:jc w:val="both"/>
              <w:rPr>
                <w:rFonts w:ascii="Garamond" w:hAnsi="Garamond" w:cs="Times New Roman"/>
                <w:sz w:val="24"/>
                <w:szCs w:val="24"/>
              </w:rPr>
            </w:pPr>
            <w:proofErr w:type="spellStart"/>
            <w:r w:rsidRPr="00E31272">
              <w:rPr>
                <w:rFonts w:ascii="Garamond" w:hAnsi="Garamond" w:cs="Times New Roman"/>
                <w:sz w:val="24"/>
                <w:szCs w:val="24"/>
              </w:rPr>
              <w:t>Sonila</w:t>
            </w:r>
            <w:proofErr w:type="spellEnd"/>
            <w:r w:rsidRPr="00E31272">
              <w:rPr>
                <w:rFonts w:ascii="Garamond" w:hAnsi="Garamond" w:cs="Times New Roman"/>
                <w:sz w:val="24"/>
                <w:szCs w:val="24"/>
              </w:rPr>
              <w:t xml:space="preserve"> Bejtja</w:t>
            </w:r>
          </w:p>
        </w:tc>
        <w:tc>
          <w:tcPr>
            <w:tcW w:w="1560" w:type="dxa"/>
          </w:tcPr>
          <w:p w14:paraId="21FFE768" w14:textId="407CEF90" w:rsidR="000F4367" w:rsidRPr="00E31272" w:rsidRDefault="00E31272" w:rsidP="00793304">
            <w:pPr>
              <w:jc w:val="both"/>
              <w:rPr>
                <w:rFonts w:ascii="Garamond" w:hAnsi="Garamond" w:cs="Times New Roman"/>
                <w:sz w:val="24"/>
                <w:szCs w:val="24"/>
              </w:rPr>
            </w:pPr>
            <w:r w:rsidRPr="00E31272">
              <w:rPr>
                <w:rFonts w:ascii="Garamond" w:hAnsi="Garamond" w:cs="Times New Roman"/>
                <w:sz w:val="24"/>
                <w:szCs w:val="24"/>
              </w:rPr>
              <w:t xml:space="preserve"> anëtare</w:t>
            </w:r>
            <w:r>
              <w:rPr>
                <w:rFonts w:ascii="Garamond" w:hAnsi="Garamond" w:cs="Times New Roman"/>
                <w:sz w:val="24"/>
                <w:szCs w:val="24"/>
              </w:rPr>
              <w:t>;</w:t>
            </w:r>
          </w:p>
        </w:tc>
      </w:tr>
      <w:tr w:rsidR="000F4367" w:rsidRPr="00E31272" w14:paraId="5766157F" w14:textId="77777777" w:rsidTr="000F4367">
        <w:tc>
          <w:tcPr>
            <w:tcW w:w="2263" w:type="dxa"/>
          </w:tcPr>
          <w:p w14:paraId="1FEF968C" w14:textId="77777777" w:rsidR="000F4367" w:rsidRPr="00E31272" w:rsidRDefault="000F4367" w:rsidP="00793304">
            <w:pPr>
              <w:jc w:val="both"/>
              <w:rPr>
                <w:rFonts w:ascii="Garamond" w:hAnsi="Garamond" w:cs="Times New Roman"/>
                <w:sz w:val="24"/>
                <w:szCs w:val="24"/>
              </w:rPr>
            </w:pPr>
            <w:proofErr w:type="spellStart"/>
            <w:r w:rsidRPr="00E31272">
              <w:rPr>
                <w:rFonts w:ascii="Garamond" w:hAnsi="Garamond" w:cs="Times New Roman"/>
                <w:sz w:val="24"/>
                <w:szCs w:val="24"/>
              </w:rPr>
              <w:t>Sandër</w:t>
            </w:r>
            <w:proofErr w:type="spellEnd"/>
            <w:r w:rsidRPr="00E31272">
              <w:rPr>
                <w:rFonts w:ascii="Garamond" w:hAnsi="Garamond" w:cs="Times New Roman"/>
                <w:sz w:val="24"/>
                <w:szCs w:val="24"/>
              </w:rPr>
              <w:t xml:space="preserve"> Beci</w:t>
            </w:r>
          </w:p>
        </w:tc>
        <w:tc>
          <w:tcPr>
            <w:tcW w:w="1560" w:type="dxa"/>
          </w:tcPr>
          <w:p w14:paraId="456F3C38" w14:textId="06DE6524" w:rsidR="000F4367" w:rsidRPr="00E31272" w:rsidRDefault="00E31272" w:rsidP="00793304">
            <w:pPr>
              <w:jc w:val="both"/>
              <w:rPr>
                <w:rFonts w:ascii="Garamond" w:hAnsi="Garamond" w:cs="Times New Roman"/>
                <w:sz w:val="24"/>
                <w:szCs w:val="24"/>
              </w:rPr>
            </w:pPr>
            <w:r>
              <w:rPr>
                <w:rFonts w:ascii="Garamond" w:hAnsi="Garamond" w:cs="Times New Roman"/>
                <w:sz w:val="24"/>
                <w:szCs w:val="24"/>
              </w:rPr>
              <w:t xml:space="preserve"> anëtar;</w:t>
            </w:r>
            <w:r w:rsidRPr="00E31272">
              <w:rPr>
                <w:rFonts w:ascii="Garamond" w:hAnsi="Garamond" w:cs="Times New Roman"/>
                <w:sz w:val="24"/>
                <w:szCs w:val="24"/>
              </w:rPr>
              <w:t xml:space="preserve"> </w:t>
            </w:r>
          </w:p>
        </w:tc>
      </w:tr>
      <w:tr w:rsidR="000F4367" w:rsidRPr="00E31272" w14:paraId="4DE07523" w14:textId="77777777" w:rsidTr="000F4367">
        <w:tc>
          <w:tcPr>
            <w:tcW w:w="2263" w:type="dxa"/>
          </w:tcPr>
          <w:p w14:paraId="02538B39" w14:textId="77777777" w:rsidR="000F4367" w:rsidRPr="00E31272" w:rsidRDefault="000F4367" w:rsidP="00793304">
            <w:pPr>
              <w:jc w:val="both"/>
              <w:rPr>
                <w:rFonts w:ascii="Garamond" w:hAnsi="Garamond" w:cs="Times New Roman"/>
                <w:sz w:val="24"/>
                <w:szCs w:val="24"/>
              </w:rPr>
            </w:pPr>
            <w:r w:rsidRPr="00E31272">
              <w:rPr>
                <w:rFonts w:ascii="Garamond" w:hAnsi="Garamond" w:cs="Times New Roman"/>
                <w:sz w:val="24"/>
                <w:szCs w:val="24"/>
              </w:rPr>
              <w:t>Ilir Toska</w:t>
            </w:r>
          </w:p>
        </w:tc>
        <w:tc>
          <w:tcPr>
            <w:tcW w:w="1560" w:type="dxa"/>
          </w:tcPr>
          <w:p w14:paraId="5A10B444" w14:textId="1CDAC19D" w:rsidR="000F4367" w:rsidRPr="00E31272" w:rsidRDefault="00E31272" w:rsidP="00793304">
            <w:pPr>
              <w:jc w:val="both"/>
              <w:rPr>
                <w:rFonts w:ascii="Garamond" w:hAnsi="Garamond" w:cs="Times New Roman"/>
                <w:sz w:val="24"/>
                <w:szCs w:val="24"/>
              </w:rPr>
            </w:pPr>
            <w:r w:rsidRPr="00E31272">
              <w:rPr>
                <w:rFonts w:ascii="Garamond" w:hAnsi="Garamond" w:cs="Times New Roman"/>
                <w:sz w:val="24"/>
                <w:szCs w:val="24"/>
              </w:rPr>
              <w:t xml:space="preserve"> anëtar</w:t>
            </w:r>
            <w:r>
              <w:rPr>
                <w:rFonts w:ascii="Garamond" w:hAnsi="Garamond" w:cs="Times New Roman"/>
                <w:sz w:val="24"/>
                <w:szCs w:val="24"/>
              </w:rPr>
              <w:t>;</w:t>
            </w:r>
          </w:p>
        </w:tc>
      </w:tr>
      <w:tr w:rsidR="000F4367" w:rsidRPr="00E31272" w14:paraId="33298A98" w14:textId="77777777" w:rsidTr="000F4367">
        <w:tc>
          <w:tcPr>
            <w:tcW w:w="2263" w:type="dxa"/>
          </w:tcPr>
          <w:p w14:paraId="36FAA7CB" w14:textId="77777777" w:rsidR="000F4367" w:rsidRPr="00E31272" w:rsidRDefault="000F4367" w:rsidP="00793304">
            <w:pPr>
              <w:jc w:val="both"/>
              <w:rPr>
                <w:rFonts w:ascii="Garamond" w:hAnsi="Garamond" w:cs="Times New Roman"/>
                <w:sz w:val="24"/>
                <w:szCs w:val="24"/>
              </w:rPr>
            </w:pPr>
            <w:r w:rsidRPr="00E31272">
              <w:rPr>
                <w:rFonts w:ascii="Garamond" w:hAnsi="Garamond" w:cs="Times New Roman"/>
                <w:sz w:val="24"/>
                <w:szCs w:val="24"/>
              </w:rPr>
              <w:t>Genti Ibrahimi</w:t>
            </w:r>
          </w:p>
        </w:tc>
        <w:tc>
          <w:tcPr>
            <w:tcW w:w="1560" w:type="dxa"/>
          </w:tcPr>
          <w:p w14:paraId="4903D5B0" w14:textId="0F426BF8" w:rsidR="000F4367" w:rsidRPr="00E31272" w:rsidRDefault="00E31272" w:rsidP="00793304">
            <w:pPr>
              <w:jc w:val="both"/>
              <w:rPr>
                <w:rFonts w:ascii="Garamond" w:hAnsi="Garamond" w:cs="Times New Roman"/>
                <w:sz w:val="24"/>
                <w:szCs w:val="24"/>
              </w:rPr>
            </w:pPr>
            <w:r w:rsidRPr="00E31272">
              <w:rPr>
                <w:rFonts w:ascii="Garamond" w:hAnsi="Garamond" w:cs="Times New Roman"/>
                <w:sz w:val="24"/>
                <w:szCs w:val="24"/>
              </w:rPr>
              <w:t xml:space="preserve"> anëtar</w:t>
            </w:r>
            <w:r>
              <w:rPr>
                <w:rFonts w:ascii="Garamond" w:hAnsi="Garamond" w:cs="Times New Roman"/>
                <w:sz w:val="24"/>
                <w:szCs w:val="24"/>
              </w:rPr>
              <w:t>;</w:t>
            </w:r>
            <w:r w:rsidRPr="00E31272">
              <w:rPr>
                <w:rFonts w:ascii="Garamond" w:hAnsi="Garamond" w:cs="Times New Roman"/>
                <w:sz w:val="24"/>
                <w:szCs w:val="24"/>
              </w:rPr>
              <w:t xml:space="preserve"> </w:t>
            </w:r>
          </w:p>
        </w:tc>
      </w:tr>
      <w:tr w:rsidR="000F4367" w:rsidRPr="00E31272" w14:paraId="748A0DB0" w14:textId="77777777" w:rsidTr="000F4367">
        <w:tc>
          <w:tcPr>
            <w:tcW w:w="2263" w:type="dxa"/>
          </w:tcPr>
          <w:p w14:paraId="5BB6B1E6" w14:textId="77777777" w:rsidR="000F4367" w:rsidRPr="00E31272" w:rsidRDefault="000F4367" w:rsidP="00793304">
            <w:pPr>
              <w:jc w:val="both"/>
              <w:rPr>
                <w:rFonts w:ascii="Garamond" w:hAnsi="Garamond" w:cs="Times New Roman"/>
                <w:sz w:val="24"/>
                <w:szCs w:val="24"/>
              </w:rPr>
            </w:pPr>
            <w:proofErr w:type="spellStart"/>
            <w:r w:rsidRPr="00E31272">
              <w:rPr>
                <w:rFonts w:ascii="Garamond" w:hAnsi="Garamond" w:cs="Times New Roman"/>
                <w:sz w:val="24"/>
                <w:szCs w:val="24"/>
              </w:rPr>
              <w:t>Marjana</w:t>
            </w:r>
            <w:proofErr w:type="spellEnd"/>
            <w:r w:rsidRPr="00E31272">
              <w:rPr>
                <w:rFonts w:ascii="Garamond" w:hAnsi="Garamond" w:cs="Times New Roman"/>
                <w:sz w:val="24"/>
                <w:szCs w:val="24"/>
              </w:rPr>
              <w:t xml:space="preserve"> </w:t>
            </w:r>
            <w:proofErr w:type="spellStart"/>
            <w:r w:rsidRPr="00E31272">
              <w:rPr>
                <w:rFonts w:ascii="Garamond" w:hAnsi="Garamond" w:cs="Times New Roman"/>
                <w:sz w:val="24"/>
                <w:szCs w:val="24"/>
              </w:rPr>
              <w:t>Semini</w:t>
            </w:r>
            <w:proofErr w:type="spellEnd"/>
          </w:p>
        </w:tc>
        <w:tc>
          <w:tcPr>
            <w:tcW w:w="1560" w:type="dxa"/>
          </w:tcPr>
          <w:p w14:paraId="0AD3A5BE" w14:textId="0234CAF6" w:rsidR="000F4367" w:rsidRPr="00E31272" w:rsidRDefault="00E31272" w:rsidP="00793304">
            <w:pPr>
              <w:jc w:val="both"/>
              <w:rPr>
                <w:rFonts w:ascii="Garamond" w:hAnsi="Garamond" w:cs="Times New Roman"/>
                <w:sz w:val="24"/>
                <w:szCs w:val="24"/>
              </w:rPr>
            </w:pPr>
            <w:r w:rsidRPr="00E31272">
              <w:rPr>
                <w:rFonts w:ascii="Garamond" w:hAnsi="Garamond" w:cs="Times New Roman"/>
                <w:sz w:val="24"/>
                <w:szCs w:val="24"/>
              </w:rPr>
              <w:t>anëtare</w:t>
            </w:r>
            <w:r>
              <w:rPr>
                <w:rFonts w:ascii="Garamond" w:hAnsi="Garamond" w:cs="Times New Roman"/>
                <w:sz w:val="24"/>
                <w:szCs w:val="24"/>
              </w:rPr>
              <w:t>;</w:t>
            </w:r>
          </w:p>
        </w:tc>
      </w:tr>
      <w:tr w:rsidR="000F4367" w:rsidRPr="00E31272" w14:paraId="1C889444" w14:textId="77777777" w:rsidTr="000F4367">
        <w:tc>
          <w:tcPr>
            <w:tcW w:w="2263" w:type="dxa"/>
          </w:tcPr>
          <w:p w14:paraId="6F3C0475" w14:textId="77777777" w:rsidR="000F4367" w:rsidRPr="00E31272" w:rsidRDefault="000F4367" w:rsidP="00793304">
            <w:pPr>
              <w:jc w:val="both"/>
              <w:rPr>
                <w:rFonts w:ascii="Garamond" w:hAnsi="Garamond" w:cs="Times New Roman"/>
                <w:sz w:val="24"/>
                <w:szCs w:val="24"/>
              </w:rPr>
            </w:pPr>
            <w:proofErr w:type="spellStart"/>
            <w:r w:rsidRPr="00E31272">
              <w:rPr>
                <w:rFonts w:ascii="Garamond" w:hAnsi="Garamond" w:cs="Times New Roman"/>
                <w:sz w:val="24"/>
                <w:szCs w:val="24"/>
              </w:rPr>
              <w:t>Fiona</w:t>
            </w:r>
            <w:proofErr w:type="spellEnd"/>
            <w:r w:rsidRPr="00E31272">
              <w:rPr>
                <w:rFonts w:ascii="Garamond" w:hAnsi="Garamond" w:cs="Times New Roman"/>
                <w:sz w:val="24"/>
                <w:szCs w:val="24"/>
              </w:rPr>
              <w:t xml:space="preserve"> </w:t>
            </w:r>
            <w:proofErr w:type="spellStart"/>
            <w:r w:rsidRPr="00E31272">
              <w:rPr>
                <w:rFonts w:ascii="Garamond" w:hAnsi="Garamond" w:cs="Times New Roman"/>
                <w:sz w:val="24"/>
                <w:szCs w:val="24"/>
              </w:rPr>
              <w:t>Papajorgji</w:t>
            </w:r>
            <w:proofErr w:type="spellEnd"/>
          </w:p>
        </w:tc>
        <w:tc>
          <w:tcPr>
            <w:tcW w:w="1560" w:type="dxa"/>
          </w:tcPr>
          <w:p w14:paraId="6C83EF84" w14:textId="52193863" w:rsidR="000F4367" w:rsidRPr="00E31272" w:rsidRDefault="00E31272" w:rsidP="00793304">
            <w:pPr>
              <w:jc w:val="both"/>
              <w:rPr>
                <w:rFonts w:ascii="Garamond" w:hAnsi="Garamond" w:cs="Times New Roman"/>
                <w:sz w:val="24"/>
                <w:szCs w:val="24"/>
              </w:rPr>
            </w:pPr>
            <w:r>
              <w:rPr>
                <w:rFonts w:ascii="Garamond" w:hAnsi="Garamond" w:cs="Times New Roman"/>
                <w:sz w:val="24"/>
                <w:szCs w:val="24"/>
              </w:rPr>
              <w:t>anëtare,</w:t>
            </w:r>
          </w:p>
        </w:tc>
      </w:tr>
    </w:tbl>
    <w:p w14:paraId="22F14328" w14:textId="2C94FF0A" w:rsidR="00015CA2" w:rsidRPr="00E31272" w:rsidRDefault="00015CA2" w:rsidP="00015CA2">
      <w:pPr>
        <w:tabs>
          <w:tab w:val="left" w:pos="1080"/>
        </w:tabs>
        <w:spacing w:after="0" w:line="240" w:lineRule="auto"/>
        <w:ind w:firstLine="284"/>
        <w:jc w:val="both"/>
        <w:rPr>
          <w:rFonts w:ascii="Garamond" w:hAnsi="Garamond" w:cs="Times New Roman"/>
          <w:b/>
          <w:bCs/>
          <w:sz w:val="24"/>
          <w:szCs w:val="24"/>
        </w:rPr>
      </w:pPr>
      <w:r w:rsidRPr="00E31272">
        <w:rPr>
          <w:rFonts w:ascii="Garamond" w:hAnsi="Garamond" w:cs="Times New Roman"/>
          <w:sz w:val="24"/>
          <w:szCs w:val="24"/>
        </w:rPr>
        <w:t xml:space="preserve">me sekretare </w:t>
      </w:r>
      <w:proofErr w:type="spellStart"/>
      <w:r w:rsidRPr="00E31272">
        <w:rPr>
          <w:rFonts w:ascii="Garamond" w:hAnsi="Garamond" w:cs="Times New Roman"/>
          <w:sz w:val="24"/>
          <w:szCs w:val="24"/>
        </w:rPr>
        <w:t>Anjeza</w:t>
      </w:r>
      <w:proofErr w:type="spellEnd"/>
      <w:r w:rsidRPr="00E31272">
        <w:rPr>
          <w:rFonts w:ascii="Garamond" w:hAnsi="Garamond" w:cs="Times New Roman"/>
          <w:sz w:val="24"/>
          <w:szCs w:val="24"/>
        </w:rPr>
        <w:t xml:space="preserve"> Puka, në datën 12.12.2025</w:t>
      </w:r>
      <w:r w:rsidR="00E31272">
        <w:rPr>
          <w:rFonts w:ascii="Garamond" w:hAnsi="Garamond" w:cs="Times New Roman"/>
          <w:sz w:val="24"/>
          <w:szCs w:val="24"/>
        </w:rPr>
        <w:t>,</w:t>
      </w:r>
      <w:r w:rsidRPr="00E31272">
        <w:rPr>
          <w:rFonts w:ascii="Garamond" w:hAnsi="Garamond" w:cs="Times New Roman"/>
          <w:sz w:val="24"/>
          <w:szCs w:val="24"/>
        </w:rPr>
        <w:t xml:space="preserve"> mori në shqyrtim në seancë plenare mbi bazë të dokumenteve çështjen nr. 3 (H) 2025 të Regjistrit Themeltar, që u përket:</w:t>
      </w:r>
    </w:p>
    <w:p w14:paraId="44CEC4E1" w14:textId="241C8FCC" w:rsidR="00015CA2" w:rsidRPr="00E31272" w:rsidRDefault="00015CA2" w:rsidP="00015CA2">
      <w:pPr>
        <w:tabs>
          <w:tab w:val="left" w:pos="3600"/>
        </w:tabs>
        <w:spacing w:after="0" w:line="240" w:lineRule="auto"/>
        <w:ind w:firstLine="284"/>
        <w:jc w:val="both"/>
        <w:rPr>
          <w:rFonts w:ascii="Garamond" w:hAnsi="Garamond" w:cs="Times New Roman"/>
          <w:bCs/>
          <w:sz w:val="24"/>
          <w:szCs w:val="24"/>
        </w:rPr>
      </w:pPr>
      <w:r w:rsidRPr="00E31272">
        <w:rPr>
          <w:rFonts w:ascii="Garamond" w:hAnsi="Garamond" w:cs="Times New Roman"/>
          <w:bCs/>
          <w:sz w:val="24"/>
          <w:szCs w:val="24"/>
        </w:rPr>
        <w:t xml:space="preserve">KËRKUES: </w:t>
      </w:r>
      <w:proofErr w:type="spellStart"/>
      <w:r w:rsidRPr="00E31272">
        <w:rPr>
          <w:rFonts w:ascii="Garamond" w:hAnsi="Garamond" w:cs="Times New Roman"/>
          <w:bCs/>
          <w:sz w:val="24"/>
          <w:szCs w:val="24"/>
        </w:rPr>
        <w:t>HAJRI</w:t>
      </w:r>
      <w:proofErr w:type="spellEnd"/>
      <w:r w:rsidRPr="00E31272">
        <w:rPr>
          <w:rFonts w:ascii="Garamond" w:hAnsi="Garamond" w:cs="Times New Roman"/>
          <w:bCs/>
          <w:sz w:val="24"/>
          <w:szCs w:val="24"/>
        </w:rPr>
        <w:t xml:space="preserve"> </w:t>
      </w:r>
      <w:proofErr w:type="spellStart"/>
      <w:r w:rsidRPr="00E31272">
        <w:rPr>
          <w:rFonts w:ascii="Garamond" w:hAnsi="Garamond" w:cs="Times New Roman"/>
          <w:bCs/>
          <w:sz w:val="24"/>
          <w:szCs w:val="24"/>
        </w:rPr>
        <w:t>THAÇAJ</w:t>
      </w:r>
      <w:proofErr w:type="spellEnd"/>
    </w:p>
    <w:p w14:paraId="4B88E87E" w14:textId="77777777" w:rsidR="00015CA2" w:rsidRPr="00E31272" w:rsidRDefault="00015CA2" w:rsidP="00015CA2">
      <w:pPr>
        <w:tabs>
          <w:tab w:val="left" w:pos="1980"/>
          <w:tab w:val="left" w:pos="2160"/>
          <w:tab w:val="left" w:pos="2340"/>
          <w:tab w:val="left" w:pos="2820"/>
          <w:tab w:val="left" w:pos="2880"/>
        </w:tabs>
        <w:spacing w:after="0" w:line="240" w:lineRule="auto"/>
        <w:ind w:firstLine="284"/>
        <w:rPr>
          <w:rFonts w:ascii="Garamond" w:hAnsi="Garamond" w:cs="Times New Roman"/>
          <w:bCs/>
          <w:sz w:val="24"/>
          <w:szCs w:val="24"/>
        </w:rPr>
      </w:pPr>
      <w:r w:rsidRPr="00E31272">
        <w:rPr>
          <w:rFonts w:ascii="Garamond" w:hAnsi="Garamond" w:cs="Times New Roman"/>
          <w:bCs/>
          <w:sz w:val="24"/>
          <w:szCs w:val="24"/>
        </w:rPr>
        <w:t>SUBJEKT I INTERESUAR:</w:t>
      </w:r>
    </w:p>
    <w:p w14:paraId="5E4C0269" w14:textId="05C60C1C" w:rsidR="00015CA2" w:rsidRPr="00E31272" w:rsidRDefault="00015CA2" w:rsidP="00015CA2">
      <w:pPr>
        <w:tabs>
          <w:tab w:val="left" w:pos="3600"/>
        </w:tabs>
        <w:spacing w:after="0" w:line="240" w:lineRule="auto"/>
        <w:ind w:firstLine="284"/>
        <w:jc w:val="both"/>
        <w:rPr>
          <w:rFonts w:ascii="Garamond" w:hAnsi="Garamond"/>
          <w:bCs/>
          <w:sz w:val="24"/>
          <w:szCs w:val="24"/>
        </w:rPr>
      </w:pPr>
      <w:r w:rsidRPr="00E31272">
        <w:rPr>
          <w:rFonts w:ascii="Garamond" w:hAnsi="Garamond" w:cs="Times New Roman"/>
          <w:bCs/>
          <w:sz w:val="24"/>
          <w:szCs w:val="24"/>
        </w:rPr>
        <w:t>DREJTORIA RAJONALE E SIGURIMEVE SHOQËRORE TIRANË,</w:t>
      </w:r>
      <w:r w:rsidRPr="00E31272">
        <w:rPr>
          <w:rFonts w:ascii="Garamond" w:hAnsi="Garamond" w:cs="Times New Roman"/>
          <w:sz w:val="24"/>
          <w:szCs w:val="24"/>
        </w:rPr>
        <w:t xml:space="preserve"> në mungesë.</w:t>
      </w:r>
    </w:p>
    <w:p w14:paraId="5CEAADE4" w14:textId="1242594B" w:rsidR="00015CA2" w:rsidRPr="00E31272" w:rsidRDefault="00015CA2" w:rsidP="00015CA2">
      <w:pPr>
        <w:spacing w:after="0" w:line="240" w:lineRule="auto"/>
        <w:ind w:firstLine="284"/>
        <w:jc w:val="both"/>
        <w:rPr>
          <w:rFonts w:ascii="Garamond" w:hAnsi="Garamond" w:cs="Times New Roman"/>
          <w:bCs/>
          <w:sz w:val="24"/>
          <w:szCs w:val="24"/>
        </w:rPr>
      </w:pPr>
      <w:r w:rsidRPr="00E31272">
        <w:rPr>
          <w:rFonts w:ascii="Garamond" w:hAnsi="Garamond" w:cs="Times New Roman"/>
          <w:bCs/>
          <w:sz w:val="24"/>
          <w:szCs w:val="24"/>
        </w:rPr>
        <w:t>OBJEKTI: Shfuqizimi i vendimeve nr. 1040 (86-2023-1381), datë 11.12.2023</w:t>
      </w:r>
      <w:r w:rsidR="00E31272">
        <w:rPr>
          <w:rFonts w:ascii="Garamond" w:hAnsi="Garamond" w:cs="Times New Roman"/>
          <w:bCs/>
          <w:sz w:val="24"/>
          <w:szCs w:val="24"/>
        </w:rPr>
        <w:t>,</w:t>
      </w:r>
      <w:r w:rsidRPr="00E31272">
        <w:rPr>
          <w:rFonts w:ascii="Garamond" w:hAnsi="Garamond" w:cs="Times New Roman"/>
          <w:bCs/>
          <w:sz w:val="24"/>
          <w:szCs w:val="24"/>
        </w:rPr>
        <w:t xml:space="preserve"> të Gjykatës Administrative të Apelit; nr. 00-2024-4497, datë 22.10.2024</w:t>
      </w:r>
      <w:r w:rsidR="00E31272">
        <w:rPr>
          <w:rFonts w:ascii="Garamond" w:hAnsi="Garamond" w:cs="Times New Roman"/>
          <w:bCs/>
          <w:sz w:val="24"/>
          <w:szCs w:val="24"/>
        </w:rPr>
        <w:t>,</w:t>
      </w:r>
      <w:r w:rsidRPr="00E31272">
        <w:rPr>
          <w:rFonts w:ascii="Garamond" w:hAnsi="Garamond" w:cs="Times New Roman"/>
          <w:bCs/>
          <w:sz w:val="24"/>
          <w:szCs w:val="24"/>
        </w:rPr>
        <w:t xml:space="preserve"> të Kolegjit Administrativ të Gjykatës së Lartë dhe të vendimit </w:t>
      </w:r>
      <w:proofErr w:type="spellStart"/>
      <w:r w:rsidRPr="00E31272">
        <w:rPr>
          <w:rFonts w:ascii="Garamond" w:hAnsi="Garamond" w:cs="Times New Roman"/>
          <w:bCs/>
          <w:sz w:val="24"/>
          <w:szCs w:val="24"/>
        </w:rPr>
        <w:t>unifikues</w:t>
      </w:r>
      <w:proofErr w:type="spellEnd"/>
      <w:r w:rsidRPr="00E31272">
        <w:rPr>
          <w:rFonts w:ascii="Garamond" w:hAnsi="Garamond" w:cs="Times New Roman"/>
          <w:bCs/>
          <w:sz w:val="24"/>
          <w:szCs w:val="24"/>
        </w:rPr>
        <w:t xml:space="preserve"> nr. 3, datë 24.11.2016</w:t>
      </w:r>
      <w:r w:rsidR="00E31272">
        <w:rPr>
          <w:rFonts w:ascii="Garamond" w:hAnsi="Garamond" w:cs="Times New Roman"/>
          <w:bCs/>
          <w:sz w:val="24"/>
          <w:szCs w:val="24"/>
        </w:rPr>
        <w:t>,</w:t>
      </w:r>
      <w:r w:rsidRPr="00E31272">
        <w:rPr>
          <w:rFonts w:ascii="Garamond" w:hAnsi="Garamond" w:cs="Times New Roman"/>
          <w:bCs/>
          <w:sz w:val="24"/>
          <w:szCs w:val="24"/>
        </w:rPr>
        <w:t xml:space="preserve"> të Kolegjeve të Bashkuara të Gjykatës së Lartë, si të papajtueshme me Kushtetutën e Republikës së Shqipërisë. </w:t>
      </w:r>
    </w:p>
    <w:p w14:paraId="41E9F6F8" w14:textId="16685B4E" w:rsidR="00015CA2" w:rsidRPr="00E31272" w:rsidRDefault="00015CA2" w:rsidP="00015CA2">
      <w:pPr>
        <w:spacing w:after="0" w:line="240" w:lineRule="auto"/>
        <w:ind w:firstLine="284"/>
        <w:jc w:val="both"/>
        <w:rPr>
          <w:rFonts w:ascii="Garamond" w:hAnsi="Garamond"/>
          <w:sz w:val="24"/>
          <w:szCs w:val="24"/>
        </w:rPr>
      </w:pPr>
      <w:r w:rsidRPr="00E31272">
        <w:rPr>
          <w:rFonts w:ascii="Garamond" w:hAnsi="Garamond" w:cs="Times New Roman"/>
          <w:bCs/>
          <w:sz w:val="24"/>
          <w:szCs w:val="24"/>
        </w:rPr>
        <w:t xml:space="preserve">BAZA LIGJORE:  Nenet 4, pika 3, 7, 15, 42, 44, 55, 81, pika 1, 116, pika 1, 118, 124, 131, pika 1, shkronja “f”, 132, pika 1, 134, pika 1, shkronja “i”, 141, 142, pika 1, 145, 146, pika 2, 170, 174, 175 dhe 178 të Kushtetutës së Republikës së Shqipërisë </w:t>
      </w:r>
      <w:r w:rsidRPr="00E31272">
        <w:rPr>
          <w:rFonts w:ascii="Garamond" w:hAnsi="Garamond" w:cs="Times New Roman"/>
          <w:bCs/>
          <w:i/>
          <w:iCs/>
          <w:sz w:val="24"/>
          <w:szCs w:val="24"/>
        </w:rPr>
        <w:t>(Kushtetuta)</w:t>
      </w:r>
      <w:r w:rsidRPr="00E31272">
        <w:rPr>
          <w:rFonts w:ascii="Garamond" w:hAnsi="Garamond" w:cs="Times New Roman"/>
          <w:bCs/>
          <w:sz w:val="24"/>
          <w:szCs w:val="24"/>
        </w:rPr>
        <w:t>; nenet 1, 6, 14, 17, 18 dhe 41</w:t>
      </w:r>
      <w:r w:rsidR="00E31272">
        <w:rPr>
          <w:rFonts w:ascii="Garamond" w:hAnsi="Garamond" w:cs="Times New Roman"/>
          <w:bCs/>
          <w:sz w:val="24"/>
          <w:szCs w:val="24"/>
        </w:rPr>
        <w:t>,</w:t>
      </w:r>
      <w:r w:rsidRPr="00E31272">
        <w:rPr>
          <w:rFonts w:ascii="Garamond" w:hAnsi="Garamond" w:cs="Times New Roman"/>
          <w:bCs/>
          <w:sz w:val="24"/>
          <w:szCs w:val="24"/>
        </w:rPr>
        <w:t xml:space="preserve"> të Konventës Evropiane për të Drejtat e Nj</w:t>
      </w:r>
      <w:r w:rsidR="00E31272">
        <w:rPr>
          <w:rFonts w:ascii="Garamond" w:hAnsi="Garamond" w:cs="Times New Roman"/>
          <w:bCs/>
          <w:sz w:val="24"/>
          <w:szCs w:val="24"/>
        </w:rPr>
        <w:t>eriut; ligji nr. 8577, datë 10.</w:t>
      </w:r>
      <w:r w:rsidRPr="00E31272">
        <w:rPr>
          <w:rFonts w:ascii="Garamond" w:hAnsi="Garamond" w:cs="Times New Roman"/>
          <w:bCs/>
          <w:sz w:val="24"/>
          <w:szCs w:val="24"/>
        </w:rPr>
        <w:t>2.2000</w:t>
      </w:r>
      <w:r w:rsidR="00E31272">
        <w:rPr>
          <w:rFonts w:ascii="Garamond" w:hAnsi="Garamond" w:cs="Times New Roman"/>
          <w:bCs/>
          <w:sz w:val="24"/>
          <w:szCs w:val="24"/>
        </w:rPr>
        <w:t>,</w:t>
      </w:r>
      <w:r w:rsidRPr="00E31272">
        <w:rPr>
          <w:rFonts w:ascii="Garamond" w:hAnsi="Garamond" w:cs="Times New Roman"/>
          <w:bCs/>
          <w:sz w:val="24"/>
          <w:szCs w:val="24"/>
        </w:rPr>
        <w:t xml:space="preserve"> “Për organizimin dhe funksionimin e Gjykatës Kushtetuese të Republikës së Shqipërisë”, i ndryshuar </w:t>
      </w:r>
      <w:r w:rsidRPr="00E31272">
        <w:rPr>
          <w:rFonts w:ascii="Garamond" w:hAnsi="Garamond" w:cs="Times New Roman"/>
          <w:bCs/>
          <w:i/>
          <w:iCs/>
          <w:sz w:val="24"/>
          <w:szCs w:val="24"/>
        </w:rPr>
        <w:t>(Ligji Organik i Gjykatës)</w:t>
      </w:r>
      <w:r w:rsidRPr="00E31272">
        <w:rPr>
          <w:rFonts w:ascii="Garamond" w:hAnsi="Garamond"/>
          <w:bCs/>
          <w:sz w:val="24"/>
          <w:szCs w:val="24"/>
        </w:rPr>
        <w:t>.</w:t>
      </w:r>
    </w:p>
    <w:p w14:paraId="47B46AD9" w14:textId="77777777" w:rsidR="00015CA2" w:rsidRPr="00E31272" w:rsidRDefault="00015CA2" w:rsidP="00015CA2">
      <w:pPr>
        <w:pStyle w:val="BodyTextIndent2"/>
        <w:spacing w:after="0" w:line="240" w:lineRule="auto"/>
        <w:ind w:left="0" w:firstLine="284"/>
        <w:jc w:val="center"/>
        <w:rPr>
          <w:rFonts w:ascii="Garamond" w:hAnsi="Garamond" w:cs="Times New Roman"/>
          <w:bCs/>
          <w:sz w:val="24"/>
          <w:szCs w:val="24"/>
        </w:rPr>
      </w:pPr>
    </w:p>
    <w:p w14:paraId="6F73F01B" w14:textId="77777777" w:rsidR="00015CA2" w:rsidRPr="00E31272" w:rsidRDefault="00015CA2" w:rsidP="00015CA2">
      <w:pPr>
        <w:pStyle w:val="BodyTextIndent2"/>
        <w:spacing w:after="0" w:line="240" w:lineRule="auto"/>
        <w:ind w:left="0" w:firstLine="284"/>
        <w:jc w:val="center"/>
        <w:rPr>
          <w:rFonts w:ascii="Garamond" w:hAnsi="Garamond" w:cs="Times New Roman"/>
          <w:bCs/>
          <w:sz w:val="24"/>
          <w:szCs w:val="24"/>
        </w:rPr>
      </w:pPr>
      <w:r w:rsidRPr="00E31272">
        <w:rPr>
          <w:rFonts w:ascii="Garamond" w:hAnsi="Garamond" w:cs="Times New Roman"/>
          <w:bCs/>
          <w:sz w:val="24"/>
          <w:szCs w:val="24"/>
        </w:rPr>
        <w:t>GJYKATA KUSHTETUESE,</w:t>
      </w:r>
    </w:p>
    <w:p w14:paraId="7E620A4C" w14:textId="77777777" w:rsidR="000F4367" w:rsidRPr="00E31272" w:rsidRDefault="000F4367" w:rsidP="00015CA2">
      <w:pPr>
        <w:tabs>
          <w:tab w:val="left" w:pos="1080"/>
        </w:tabs>
        <w:spacing w:after="0" w:line="240" w:lineRule="auto"/>
        <w:ind w:firstLine="284"/>
        <w:jc w:val="both"/>
        <w:rPr>
          <w:rFonts w:ascii="Garamond" w:hAnsi="Garamond" w:cs="Times New Roman"/>
          <w:sz w:val="24"/>
          <w:szCs w:val="24"/>
        </w:rPr>
      </w:pPr>
    </w:p>
    <w:p w14:paraId="4DCF1D84" w14:textId="24CD988C" w:rsidR="00015CA2" w:rsidRPr="00E31272" w:rsidRDefault="00015CA2" w:rsidP="00015CA2">
      <w:pPr>
        <w:tabs>
          <w:tab w:val="left" w:pos="1080"/>
        </w:tabs>
        <w:spacing w:after="0" w:line="240" w:lineRule="auto"/>
        <w:ind w:firstLine="284"/>
        <w:jc w:val="both"/>
        <w:rPr>
          <w:rFonts w:ascii="Garamond" w:hAnsi="Garamond" w:cs="Times New Roman"/>
          <w:sz w:val="24"/>
          <w:szCs w:val="24"/>
        </w:rPr>
      </w:pPr>
      <w:r w:rsidRPr="00E31272">
        <w:rPr>
          <w:rFonts w:ascii="Garamond" w:hAnsi="Garamond" w:cs="Times New Roman"/>
          <w:sz w:val="24"/>
          <w:szCs w:val="24"/>
        </w:rPr>
        <w:t xml:space="preserve">pasi dëgjoi </w:t>
      </w:r>
      <w:proofErr w:type="spellStart"/>
      <w:r w:rsidRPr="00E31272">
        <w:rPr>
          <w:rFonts w:ascii="Garamond" w:hAnsi="Garamond" w:cs="Times New Roman"/>
          <w:sz w:val="24"/>
          <w:szCs w:val="24"/>
        </w:rPr>
        <w:t>relatoren</w:t>
      </w:r>
      <w:proofErr w:type="spellEnd"/>
      <w:r w:rsidRPr="00E31272">
        <w:rPr>
          <w:rFonts w:ascii="Garamond" w:hAnsi="Garamond" w:cs="Times New Roman"/>
          <w:sz w:val="24"/>
          <w:szCs w:val="24"/>
        </w:rPr>
        <w:t xml:space="preserve"> e çështjes </w:t>
      </w:r>
      <w:proofErr w:type="spellStart"/>
      <w:r w:rsidRPr="00E31272">
        <w:rPr>
          <w:rFonts w:ascii="Garamond" w:hAnsi="Garamond" w:cs="Times New Roman"/>
          <w:sz w:val="24"/>
          <w:szCs w:val="24"/>
        </w:rPr>
        <w:t>Fiona</w:t>
      </w:r>
      <w:proofErr w:type="spellEnd"/>
      <w:r w:rsidRPr="00E31272">
        <w:rPr>
          <w:rFonts w:ascii="Garamond" w:hAnsi="Garamond" w:cs="Times New Roman"/>
          <w:sz w:val="24"/>
          <w:szCs w:val="24"/>
        </w:rPr>
        <w:t xml:space="preserve"> </w:t>
      </w:r>
      <w:proofErr w:type="spellStart"/>
      <w:r w:rsidRPr="00E31272">
        <w:rPr>
          <w:rFonts w:ascii="Garamond" w:hAnsi="Garamond" w:cs="Times New Roman"/>
          <w:sz w:val="24"/>
          <w:szCs w:val="24"/>
        </w:rPr>
        <w:t>Papajorgji</w:t>
      </w:r>
      <w:proofErr w:type="spellEnd"/>
      <w:r w:rsidRPr="00E31272">
        <w:rPr>
          <w:rFonts w:ascii="Garamond" w:hAnsi="Garamond" w:cs="Times New Roman"/>
          <w:sz w:val="24"/>
          <w:szCs w:val="24"/>
        </w:rPr>
        <w:t xml:space="preserve">, mori në shqyrtim pretendimet me shkrim të kërkuesit </w:t>
      </w:r>
      <w:proofErr w:type="spellStart"/>
      <w:r w:rsidRPr="00E31272">
        <w:rPr>
          <w:rFonts w:ascii="Garamond" w:hAnsi="Garamond" w:cs="Times New Roman"/>
          <w:sz w:val="24"/>
          <w:szCs w:val="24"/>
        </w:rPr>
        <w:t>Hajri</w:t>
      </w:r>
      <w:proofErr w:type="spellEnd"/>
      <w:r w:rsidRPr="00E31272">
        <w:rPr>
          <w:rFonts w:ascii="Garamond" w:hAnsi="Garamond" w:cs="Times New Roman"/>
          <w:sz w:val="24"/>
          <w:szCs w:val="24"/>
        </w:rPr>
        <w:t xml:space="preserve"> </w:t>
      </w:r>
      <w:proofErr w:type="spellStart"/>
      <w:r w:rsidRPr="00E31272">
        <w:rPr>
          <w:rFonts w:ascii="Garamond" w:hAnsi="Garamond" w:cs="Times New Roman"/>
          <w:sz w:val="24"/>
          <w:szCs w:val="24"/>
        </w:rPr>
        <w:t>Thaçaj</w:t>
      </w:r>
      <w:proofErr w:type="spellEnd"/>
      <w:r w:rsidRPr="00E31272">
        <w:rPr>
          <w:rFonts w:ascii="Garamond" w:hAnsi="Garamond" w:cs="Times New Roman"/>
          <w:sz w:val="24"/>
          <w:szCs w:val="24"/>
        </w:rPr>
        <w:t xml:space="preserve"> (</w:t>
      </w:r>
      <w:r w:rsidRPr="00E31272">
        <w:rPr>
          <w:rFonts w:ascii="Garamond" w:hAnsi="Garamond" w:cs="Times New Roman"/>
          <w:i/>
          <w:iCs/>
          <w:sz w:val="24"/>
          <w:szCs w:val="24"/>
        </w:rPr>
        <w:t>kërkuesi)</w:t>
      </w:r>
      <w:r w:rsidRPr="00E31272">
        <w:rPr>
          <w:rFonts w:ascii="Garamond" w:hAnsi="Garamond" w:cs="Times New Roman"/>
          <w:sz w:val="24"/>
          <w:szCs w:val="24"/>
        </w:rPr>
        <w:t>, i cili ka kërkuar pranimin e kërkesës, konstatoi mungesën e prapësimeve me shkrim të subjektit të interesuar, Drejtorisë Rajonale të Sigurimeve Shoqërore (</w:t>
      </w:r>
      <w:proofErr w:type="spellStart"/>
      <w:r w:rsidRPr="00E31272">
        <w:rPr>
          <w:rFonts w:ascii="Garamond" w:hAnsi="Garamond" w:cs="Times New Roman"/>
          <w:i/>
          <w:iCs/>
          <w:sz w:val="24"/>
          <w:szCs w:val="24"/>
        </w:rPr>
        <w:t>DRSSH</w:t>
      </w:r>
      <w:proofErr w:type="spellEnd"/>
      <w:r w:rsidRPr="00E31272">
        <w:rPr>
          <w:rFonts w:ascii="Garamond" w:hAnsi="Garamond" w:cs="Times New Roman"/>
          <w:sz w:val="24"/>
          <w:szCs w:val="24"/>
        </w:rPr>
        <w:t>), Tiranë, si dhe diskutoi çështjen në tërësi,</w:t>
      </w:r>
    </w:p>
    <w:p w14:paraId="1DAC2566" w14:textId="77777777" w:rsidR="00015CA2" w:rsidRPr="00E31272" w:rsidRDefault="00015CA2" w:rsidP="00015CA2">
      <w:pPr>
        <w:tabs>
          <w:tab w:val="left" w:pos="1080"/>
        </w:tabs>
        <w:spacing w:after="0" w:line="240" w:lineRule="auto"/>
        <w:ind w:firstLine="284"/>
        <w:jc w:val="both"/>
        <w:rPr>
          <w:rFonts w:ascii="Garamond" w:hAnsi="Garamond" w:cs="Times New Roman"/>
          <w:sz w:val="24"/>
          <w:szCs w:val="24"/>
        </w:rPr>
      </w:pPr>
    </w:p>
    <w:p w14:paraId="702388BA" w14:textId="292142EF" w:rsidR="00015CA2" w:rsidRPr="00E31272" w:rsidRDefault="00015CA2" w:rsidP="00015CA2">
      <w:pPr>
        <w:tabs>
          <w:tab w:val="left" w:pos="1080"/>
        </w:tabs>
        <w:spacing w:after="0" w:line="240" w:lineRule="auto"/>
        <w:ind w:firstLine="284"/>
        <w:jc w:val="center"/>
        <w:rPr>
          <w:rFonts w:ascii="Garamond" w:hAnsi="Garamond" w:cs="Times New Roman"/>
          <w:bCs/>
          <w:sz w:val="24"/>
          <w:szCs w:val="24"/>
        </w:rPr>
      </w:pPr>
      <w:r w:rsidRPr="00E31272">
        <w:rPr>
          <w:rFonts w:ascii="Garamond" w:hAnsi="Garamond" w:cs="Times New Roman"/>
          <w:bCs/>
          <w:sz w:val="24"/>
          <w:szCs w:val="24"/>
        </w:rPr>
        <w:t>VËREN:</w:t>
      </w:r>
    </w:p>
    <w:p w14:paraId="23F07011" w14:textId="77777777" w:rsidR="000F4367" w:rsidRPr="00E31272" w:rsidRDefault="000F4367" w:rsidP="00015CA2">
      <w:pPr>
        <w:tabs>
          <w:tab w:val="left" w:pos="1080"/>
        </w:tabs>
        <w:spacing w:after="0" w:line="240" w:lineRule="auto"/>
        <w:ind w:firstLine="284"/>
        <w:jc w:val="center"/>
        <w:rPr>
          <w:rFonts w:ascii="Garamond" w:hAnsi="Garamond" w:cs="Times New Roman"/>
          <w:b/>
          <w:bCs/>
          <w:sz w:val="24"/>
          <w:szCs w:val="24"/>
        </w:rPr>
      </w:pPr>
    </w:p>
    <w:p w14:paraId="1E413D23" w14:textId="123204D7" w:rsidR="00015CA2" w:rsidRPr="00E31272" w:rsidRDefault="00015CA2" w:rsidP="00015CA2">
      <w:pPr>
        <w:tabs>
          <w:tab w:val="left" w:pos="1080"/>
        </w:tabs>
        <w:spacing w:after="0" w:line="240" w:lineRule="auto"/>
        <w:ind w:firstLine="284"/>
        <w:jc w:val="center"/>
        <w:rPr>
          <w:rFonts w:ascii="Garamond" w:hAnsi="Garamond" w:cs="Times New Roman"/>
          <w:b/>
          <w:bCs/>
          <w:sz w:val="24"/>
          <w:szCs w:val="24"/>
        </w:rPr>
      </w:pPr>
      <w:r w:rsidRPr="00E31272">
        <w:rPr>
          <w:rFonts w:ascii="Garamond" w:hAnsi="Garamond" w:cs="Times New Roman"/>
          <w:b/>
          <w:bCs/>
          <w:sz w:val="24"/>
          <w:szCs w:val="24"/>
        </w:rPr>
        <w:t>I</w:t>
      </w:r>
    </w:p>
    <w:p w14:paraId="47D31B0A" w14:textId="77777777" w:rsidR="00015CA2" w:rsidRPr="00E31272" w:rsidRDefault="00015CA2" w:rsidP="00015CA2">
      <w:pPr>
        <w:tabs>
          <w:tab w:val="left" w:pos="0"/>
          <w:tab w:val="left" w:pos="720"/>
          <w:tab w:val="left" w:pos="1080"/>
        </w:tabs>
        <w:spacing w:after="0" w:line="240" w:lineRule="auto"/>
        <w:ind w:firstLine="284"/>
        <w:jc w:val="center"/>
        <w:rPr>
          <w:rFonts w:ascii="Garamond" w:hAnsi="Garamond" w:cs="Times New Roman"/>
          <w:b/>
          <w:bCs/>
          <w:sz w:val="24"/>
          <w:szCs w:val="24"/>
        </w:rPr>
      </w:pPr>
      <w:r w:rsidRPr="00E31272">
        <w:rPr>
          <w:rFonts w:ascii="Garamond" w:hAnsi="Garamond" w:cs="Times New Roman"/>
          <w:b/>
          <w:bCs/>
          <w:sz w:val="24"/>
          <w:szCs w:val="24"/>
        </w:rPr>
        <w:t>Rrethanat e çështjes</w:t>
      </w:r>
    </w:p>
    <w:p w14:paraId="49B098E8" w14:textId="77777777" w:rsidR="000F4367" w:rsidRPr="00E31272" w:rsidRDefault="000F4367" w:rsidP="00015CA2">
      <w:pPr>
        <w:pStyle w:val="ListParagraph"/>
        <w:tabs>
          <w:tab w:val="left" w:pos="1080"/>
        </w:tabs>
        <w:spacing w:after="0" w:line="240" w:lineRule="auto"/>
        <w:ind w:left="0" w:firstLine="284"/>
        <w:jc w:val="both"/>
        <w:rPr>
          <w:rFonts w:ascii="Garamond" w:hAnsi="Garamond" w:cs="Times New Roman"/>
          <w:sz w:val="24"/>
          <w:szCs w:val="24"/>
          <w:lang w:val="sq-AL"/>
        </w:rPr>
      </w:pPr>
    </w:p>
    <w:p w14:paraId="08C138BC" w14:textId="25E464D5" w:rsidR="00015CA2" w:rsidRPr="00E31272" w:rsidRDefault="00015CA2" w:rsidP="00015CA2">
      <w:pPr>
        <w:pStyle w:val="ListParagraph"/>
        <w:tabs>
          <w:tab w:val="left" w:pos="1080"/>
        </w:tabs>
        <w:spacing w:after="0" w:line="240" w:lineRule="auto"/>
        <w:ind w:left="0" w:firstLine="284"/>
        <w:jc w:val="both"/>
        <w:rPr>
          <w:rFonts w:ascii="Garamond" w:hAnsi="Garamond" w:cs="Times New Roman"/>
          <w:sz w:val="24"/>
          <w:szCs w:val="24"/>
          <w:lang w:val="sq-AL"/>
        </w:rPr>
      </w:pPr>
      <w:r w:rsidRPr="00E31272">
        <w:rPr>
          <w:rFonts w:ascii="Garamond" w:hAnsi="Garamond" w:cs="Times New Roman"/>
          <w:sz w:val="24"/>
          <w:szCs w:val="24"/>
          <w:lang w:val="sq-AL"/>
        </w:rPr>
        <w:t>1. Kërkuesi ka qenë me detyrë oficer pranë Komandës së Zbulimit të Forcave Tokësore me gradën “Nënkolonel” deri në nxjerrjen në rezer</w:t>
      </w:r>
      <w:r w:rsidR="00E31272">
        <w:rPr>
          <w:rFonts w:ascii="Garamond" w:hAnsi="Garamond" w:cs="Times New Roman"/>
          <w:sz w:val="24"/>
          <w:szCs w:val="24"/>
          <w:lang w:val="sq-AL"/>
        </w:rPr>
        <w:t>vë me urdhrin nr. 355, datë 23.</w:t>
      </w:r>
      <w:r w:rsidRPr="00E31272">
        <w:rPr>
          <w:rFonts w:ascii="Garamond" w:hAnsi="Garamond" w:cs="Times New Roman"/>
          <w:sz w:val="24"/>
          <w:szCs w:val="24"/>
          <w:lang w:val="sq-AL"/>
        </w:rPr>
        <w:t xml:space="preserve">7.2003. Pas përfitimit të pagesës kalimtare në masën 23.479 lekë, kërkuesi i është drejtuar </w:t>
      </w:r>
      <w:proofErr w:type="spellStart"/>
      <w:r w:rsidRPr="00E31272">
        <w:rPr>
          <w:rFonts w:ascii="Garamond" w:hAnsi="Garamond" w:cs="Times New Roman"/>
          <w:sz w:val="24"/>
          <w:szCs w:val="24"/>
          <w:lang w:val="sq-AL"/>
        </w:rPr>
        <w:t>DRSSH</w:t>
      </w:r>
      <w:proofErr w:type="spellEnd"/>
      <w:r w:rsidRPr="00E31272">
        <w:rPr>
          <w:rFonts w:ascii="Garamond" w:hAnsi="Garamond" w:cs="Times New Roman"/>
          <w:sz w:val="24"/>
          <w:szCs w:val="24"/>
          <w:lang w:val="sq-AL"/>
        </w:rPr>
        <w:t>-së, Tiranë për përfitimin e pensionit të parakohshëm, e cila ka caktuar pensio</w:t>
      </w:r>
      <w:r w:rsidR="00E31272">
        <w:rPr>
          <w:rFonts w:ascii="Garamond" w:hAnsi="Garamond" w:cs="Times New Roman"/>
          <w:sz w:val="24"/>
          <w:szCs w:val="24"/>
          <w:lang w:val="sq-AL"/>
        </w:rPr>
        <w:t>nin me vendimin nr. 4394, datë 1.</w:t>
      </w:r>
      <w:r w:rsidRPr="00E31272">
        <w:rPr>
          <w:rFonts w:ascii="Garamond" w:hAnsi="Garamond" w:cs="Times New Roman"/>
          <w:sz w:val="24"/>
          <w:szCs w:val="24"/>
          <w:lang w:val="sq-AL"/>
        </w:rPr>
        <w:t xml:space="preserve">8.2005, në masën 15.693 lekë në muaj, për periudhën e shërbimit </w:t>
      </w:r>
      <w:r w:rsidR="00E31272">
        <w:rPr>
          <w:rFonts w:ascii="Garamond" w:hAnsi="Garamond" w:cs="Times New Roman"/>
          <w:sz w:val="24"/>
          <w:szCs w:val="24"/>
          <w:lang w:val="sq-AL"/>
        </w:rPr>
        <w:t>34 vjet. Ndërkohë, në datën 4.</w:t>
      </w:r>
      <w:r w:rsidRPr="00E31272">
        <w:rPr>
          <w:rFonts w:ascii="Garamond" w:hAnsi="Garamond" w:cs="Times New Roman"/>
          <w:sz w:val="24"/>
          <w:szCs w:val="24"/>
          <w:lang w:val="sq-AL"/>
        </w:rPr>
        <w:t>5.2016</w:t>
      </w:r>
      <w:r w:rsidR="00E31272">
        <w:rPr>
          <w:rFonts w:ascii="Garamond" w:hAnsi="Garamond" w:cs="Times New Roman"/>
          <w:sz w:val="24"/>
          <w:szCs w:val="24"/>
          <w:lang w:val="sq-AL"/>
        </w:rPr>
        <w:t>,</w:t>
      </w:r>
      <w:r w:rsidRPr="00E31272">
        <w:rPr>
          <w:rFonts w:ascii="Garamond" w:hAnsi="Garamond" w:cs="Times New Roman"/>
          <w:sz w:val="24"/>
          <w:szCs w:val="24"/>
          <w:lang w:val="sq-AL"/>
        </w:rPr>
        <w:t xml:space="preserve"> kërkuesi ka dalë në pension pleqërie.</w:t>
      </w:r>
    </w:p>
    <w:p w14:paraId="77AA3F90" w14:textId="2E552C4B" w:rsidR="00015CA2" w:rsidRPr="00E31272" w:rsidRDefault="00015CA2" w:rsidP="00015CA2">
      <w:pPr>
        <w:pStyle w:val="ListParagraph"/>
        <w:tabs>
          <w:tab w:val="left" w:pos="1080"/>
        </w:tabs>
        <w:spacing w:after="0" w:line="240" w:lineRule="auto"/>
        <w:ind w:left="0" w:firstLine="284"/>
        <w:jc w:val="both"/>
        <w:rPr>
          <w:rFonts w:ascii="Garamond" w:hAnsi="Garamond" w:cs="Times New Roman"/>
          <w:sz w:val="24"/>
          <w:szCs w:val="24"/>
          <w:lang w:val="sq-AL"/>
        </w:rPr>
      </w:pPr>
      <w:r w:rsidRPr="00E31272">
        <w:rPr>
          <w:rFonts w:ascii="Garamond" w:hAnsi="Garamond" w:cs="Times New Roman"/>
          <w:sz w:val="24"/>
          <w:szCs w:val="24"/>
          <w:lang w:val="sq-AL"/>
        </w:rPr>
        <w:lastRenderedPageBreak/>
        <w:t>2. Duke mos qenë dakord me masën e pensionit të parakohshëm, në datën 17.11.2006</w:t>
      </w:r>
      <w:r w:rsidR="00E31272">
        <w:rPr>
          <w:rFonts w:ascii="Garamond" w:hAnsi="Garamond" w:cs="Times New Roman"/>
          <w:sz w:val="24"/>
          <w:szCs w:val="24"/>
          <w:lang w:val="sq-AL"/>
        </w:rPr>
        <w:t>,</w:t>
      </w:r>
      <w:r w:rsidRPr="00E31272">
        <w:rPr>
          <w:rFonts w:ascii="Garamond" w:hAnsi="Garamond" w:cs="Times New Roman"/>
          <w:sz w:val="24"/>
          <w:szCs w:val="24"/>
          <w:lang w:val="sq-AL"/>
        </w:rPr>
        <w:t xml:space="preserve"> kërkuesi i është drejtuar gjykatës me kërkesëpadi, me objekt detyrimin e të paditurit të paguajë masën e pensionit të parakohshëm për vjetërsi shërbimi sipas nenit </w:t>
      </w:r>
      <w:r w:rsidR="00E31272">
        <w:rPr>
          <w:rFonts w:ascii="Garamond" w:hAnsi="Garamond" w:cs="Times New Roman"/>
          <w:sz w:val="24"/>
          <w:szCs w:val="24"/>
          <w:lang w:val="sq-AL"/>
        </w:rPr>
        <w:t>11, të ligjit nr. 8087, datë 13.</w:t>
      </w:r>
      <w:r w:rsidRPr="00E31272">
        <w:rPr>
          <w:rFonts w:ascii="Garamond" w:hAnsi="Garamond" w:cs="Times New Roman"/>
          <w:sz w:val="24"/>
          <w:szCs w:val="24"/>
          <w:lang w:val="sq-AL"/>
        </w:rPr>
        <w:t>3.1996 (</w:t>
      </w:r>
      <w:r w:rsidRPr="00E31272">
        <w:rPr>
          <w:rFonts w:ascii="Garamond" w:hAnsi="Garamond" w:cs="Times New Roman"/>
          <w:i/>
          <w:iCs/>
          <w:sz w:val="24"/>
          <w:szCs w:val="24"/>
          <w:lang w:val="sq-AL"/>
        </w:rPr>
        <w:t>ligj nr. 8087/1996</w:t>
      </w:r>
      <w:r w:rsidRPr="00E31272">
        <w:rPr>
          <w:rFonts w:ascii="Garamond" w:hAnsi="Garamond" w:cs="Times New Roman"/>
          <w:sz w:val="24"/>
          <w:szCs w:val="24"/>
          <w:lang w:val="sq-AL"/>
        </w:rPr>
        <w:t>). Gjykata e Rrethit Gjyqësor Tira</w:t>
      </w:r>
      <w:r w:rsidR="00E31272">
        <w:rPr>
          <w:rFonts w:ascii="Garamond" w:hAnsi="Garamond" w:cs="Times New Roman"/>
          <w:sz w:val="24"/>
          <w:szCs w:val="24"/>
          <w:lang w:val="sq-AL"/>
        </w:rPr>
        <w:t>në, me vendimin nr. 4887, datë 5.</w:t>
      </w:r>
      <w:r w:rsidRPr="00E31272">
        <w:rPr>
          <w:rFonts w:ascii="Garamond" w:hAnsi="Garamond" w:cs="Times New Roman"/>
          <w:sz w:val="24"/>
          <w:szCs w:val="24"/>
          <w:lang w:val="sq-AL"/>
        </w:rPr>
        <w:t xml:space="preserve">6.2009, ka vendosur: pranimin e kërkesëpadisë; detyrimin e palës së paditur, </w:t>
      </w:r>
      <w:proofErr w:type="spellStart"/>
      <w:r w:rsidRPr="00E31272">
        <w:rPr>
          <w:rFonts w:ascii="Garamond" w:hAnsi="Garamond" w:cs="Times New Roman"/>
          <w:sz w:val="24"/>
          <w:szCs w:val="24"/>
          <w:lang w:val="sq-AL"/>
        </w:rPr>
        <w:t>DRSSH</w:t>
      </w:r>
      <w:proofErr w:type="spellEnd"/>
      <w:r w:rsidRPr="00E31272">
        <w:rPr>
          <w:rFonts w:ascii="Garamond" w:hAnsi="Garamond" w:cs="Times New Roman"/>
          <w:sz w:val="24"/>
          <w:szCs w:val="24"/>
          <w:lang w:val="sq-AL"/>
        </w:rPr>
        <w:t>-së, Tiranë, të rillogarisë masën e pensionit të parakohshëm të kërkuesit në masën 50% të pagës referuese mbi të cilën është derdhur kontributi dhe për çdo vit tjetër të vjetërsisë të shërbimit mbi përcaktimin e mësipërm masa e pensionit shtohet me 2% të pagës referuese; detyrimin e palës së paditur t’i paguajë diferencën e masës së pensionit që nga data e fillimit të p</w:t>
      </w:r>
      <w:r w:rsidR="00E31272">
        <w:rPr>
          <w:rFonts w:ascii="Garamond" w:hAnsi="Garamond" w:cs="Times New Roman"/>
          <w:sz w:val="24"/>
          <w:szCs w:val="24"/>
          <w:lang w:val="sq-AL"/>
        </w:rPr>
        <w:t>ensionit 1.8.2005 deri në 30.</w:t>
      </w:r>
      <w:r w:rsidRPr="00E31272">
        <w:rPr>
          <w:rFonts w:ascii="Garamond" w:hAnsi="Garamond" w:cs="Times New Roman"/>
          <w:sz w:val="24"/>
          <w:szCs w:val="24"/>
          <w:lang w:val="sq-AL"/>
        </w:rPr>
        <w:t>4.2009.</w:t>
      </w:r>
      <w:r w:rsidRPr="00E31272">
        <w:rPr>
          <w:rFonts w:ascii="Garamond" w:hAnsi="Garamond" w:cs="Times New Roman"/>
          <w:b/>
          <w:bCs/>
          <w:sz w:val="24"/>
          <w:szCs w:val="24"/>
          <w:lang w:val="sq-AL"/>
        </w:rPr>
        <w:t xml:space="preserve"> </w:t>
      </w:r>
      <w:r w:rsidRPr="00E31272">
        <w:rPr>
          <w:rFonts w:ascii="Garamond" w:hAnsi="Garamond" w:cs="Times New Roman"/>
          <w:sz w:val="24"/>
          <w:szCs w:val="24"/>
          <w:lang w:val="sq-AL"/>
        </w:rPr>
        <w:t>Gjykata e Apelit Tiranë</w:t>
      </w:r>
      <w:r w:rsidR="00E31272">
        <w:rPr>
          <w:rFonts w:ascii="Garamond" w:hAnsi="Garamond" w:cs="Times New Roman"/>
          <w:sz w:val="24"/>
          <w:szCs w:val="24"/>
          <w:lang w:val="sq-AL"/>
        </w:rPr>
        <w:t>, me vendimin nr. 438, datë 12.</w:t>
      </w:r>
      <w:r w:rsidRPr="00E31272">
        <w:rPr>
          <w:rFonts w:ascii="Garamond" w:hAnsi="Garamond" w:cs="Times New Roman"/>
          <w:sz w:val="24"/>
          <w:szCs w:val="24"/>
          <w:lang w:val="sq-AL"/>
        </w:rPr>
        <w:t>3.2010, ka vendosur lënien në f</w:t>
      </w:r>
      <w:r w:rsidR="00E31272">
        <w:rPr>
          <w:rFonts w:ascii="Garamond" w:hAnsi="Garamond" w:cs="Times New Roman"/>
          <w:sz w:val="24"/>
          <w:szCs w:val="24"/>
          <w:lang w:val="sq-AL"/>
        </w:rPr>
        <w:t>uqi të vendimit nr. 4887, datë 5.</w:t>
      </w:r>
      <w:r w:rsidRPr="00E31272">
        <w:rPr>
          <w:rFonts w:ascii="Garamond" w:hAnsi="Garamond" w:cs="Times New Roman"/>
          <w:sz w:val="24"/>
          <w:szCs w:val="24"/>
          <w:lang w:val="sq-AL"/>
        </w:rPr>
        <w:t>6.2009</w:t>
      </w:r>
      <w:r w:rsidR="00E31272">
        <w:rPr>
          <w:rFonts w:ascii="Garamond" w:hAnsi="Garamond" w:cs="Times New Roman"/>
          <w:sz w:val="24"/>
          <w:szCs w:val="24"/>
          <w:lang w:val="sq-AL"/>
        </w:rPr>
        <w:t>,</w:t>
      </w:r>
      <w:r w:rsidRPr="00E31272">
        <w:rPr>
          <w:rFonts w:ascii="Garamond" w:hAnsi="Garamond" w:cs="Times New Roman"/>
          <w:sz w:val="24"/>
          <w:szCs w:val="24"/>
          <w:lang w:val="sq-AL"/>
        </w:rPr>
        <w:t xml:space="preserve"> të gjykatës së shkallës së parë. Me vendimin nr. 00-2012-2012, datë 11.10.2012</w:t>
      </w:r>
      <w:r w:rsidR="00E31272">
        <w:rPr>
          <w:rFonts w:ascii="Garamond" w:hAnsi="Garamond" w:cs="Times New Roman"/>
          <w:sz w:val="24"/>
          <w:szCs w:val="24"/>
          <w:lang w:val="sq-AL"/>
        </w:rPr>
        <w:t>,</w:t>
      </w:r>
      <w:r w:rsidRPr="00E31272">
        <w:rPr>
          <w:rFonts w:ascii="Garamond" w:hAnsi="Garamond" w:cs="Times New Roman"/>
          <w:sz w:val="24"/>
          <w:szCs w:val="24"/>
          <w:lang w:val="sq-AL"/>
        </w:rPr>
        <w:t xml:space="preserve"> të Kolegjit Civil të Gjykatës së Lartë ka vendosur mospranimin e rekursit të paraqitur nga </w:t>
      </w:r>
      <w:proofErr w:type="spellStart"/>
      <w:r w:rsidRPr="00E31272">
        <w:rPr>
          <w:rFonts w:ascii="Garamond" w:hAnsi="Garamond" w:cs="Times New Roman"/>
          <w:sz w:val="24"/>
          <w:szCs w:val="24"/>
          <w:lang w:val="sq-AL"/>
        </w:rPr>
        <w:t>DRSSH</w:t>
      </w:r>
      <w:proofErr w:type="spellEnd"/>
      <w:r w:rsidRPr="00E31272">
        <w:rPr>
          <w:rFonts w:ascii="Garamond" w:hAnsi="Garamond" w:cs="Times New Roman"/>
          <w:sz w:val="24"/>
          <w:szCs w:val="24"/>
          <w:lang w:val="sq-AL"/>
        </w:rPr>
        <w:t>-ja, Tiranë (</w:t>
      </w:r>
      <w:r w:rsidRPr="00E31272">
        <w:rPr>
          <w:rFonts w:ascii="Garamond" w:hAnsi="Garamond" w:cs="Times New Roman"/>
          <w:i/>
          <w:iCs/>
          <w:sz w:val="24"/>
          <w:szCs w:val="24"/>
          <w:lang w:val="sq-AL"/>
        </w:rPr>
        <w:t>procesi i parë gjyqësor</w:t>
      </w:r>
      <w:r w:rsidRPr="00E31272">
        <w:rPr>
          <w:rFonts w:ascii="Garamond" w:hAnsi="Garamond" w:cs="Times New Roman"/>
          <w:sz w:val="24"/>
          <w:szCs w:val="24"/>
          <w:lang w:val="sq-AL"/>
        </w:rPr>
        <w:t>). Në zbatim të këtyre vendimeve kërkuesit i është përllogaritur masa e pensionit në shumën 52.584 lekë në muaj.</w:t>
      </w:r>
    </w:p>
    <w:p w14:paraId="59556B27" w14:textId="6104921D" w:rsidR="00015CA2" w:rsidRPr="00E31272" w:rsidRDefault="00015CA2" w:rsidP="00015CA2">
      <w:pPr>
        <w:pStyle w:val="ListParagraph"/>
        <w:tabs>
          <w:tab w:val="left" w:pos="1080"/>
        </w:tabs>
        <w:spacing w:after="0" w:line="240" w:lineRule="auto"/>
        <w:ind w:left="0" w:firstLine="284"/>
        <w:jc w:val="both"/>
        <w:rPr>
          <w:rFonts w:ascii="Garamond" w:hAnsi="Garamond" w:cs="Times New Roman"/>
          <w:sz w:val="24"/>
          <w:szCs w:val="24"/>
          <w:lang w:val="sq-AL"/>
        </w:rPr>
      </w:pPr>
      <w:r w:rsidRPr="00E31272">
        <w:rPr>
          <w:rFonts w:ascii="Garamond" w:hAnsi="Garamond" w:cs="Times New Roman"/>
          <w:sz w:val="24"/>
          <w:szCs w:val="24"/>
          <w:lang w:val="sq-AL"/>
        </w:rPr>
        <w:t xml:space="preserve">3. </w:t>
      </w:r>
      <w:proofErr w:type="spellStart"/>
      <w:r w:rsidRPr="00E31272">
        <w:rPr>
          <w:rFonts w:ascii="Garamond" w:hAnsi="Garamond" w:cs="Times New Roman"/>
          <w:sz w:val="24"/>
          <w:szCs w:val="24"/>
          <w:lang w:val="sq-AL"/>
        </w:rPr>
        <w:t>DRSSH</w:t>
      </w:r>
      <w:proofErr w:type="spellEnd"/>
      <w:r w:rsidRPr="00E31272">
        <w:rPr>
          <w:rFonts w:ascii="Garamond" w:hAnsi="Garamond" w:cs="Times New Roman"/>
          <w:sz w:val="24"/>
          <w:szCs w:val="24"/>
          <w:lang w:val="sq-AL"/>
        </w:rPr>
        <w:t>-ja, Tiranë, në zbati</w:t>
      </w:r>
      <w:r w:rsidR="00E31272">
        <w:rPr>
          <w:rFonts w:ascii="Garamond" w:hAnsi="Garamond" w:cs="Times New Roman"/>
          <w:sz w:val="24"/>
          <w:szCs w:val="24"/>
          <w:lang w:val="sq-AL"/>
        </w:rPr>
        <w:t>m të ligjit nr. 10142, datë 15.</w:t>
      </w:r>
      <w:r w:rsidRPr="00E31272">
        <w:rPr>
          <w:rFonts w:ascii="Garamond" w:hAnsi="Garamond" w:cs="Times New Roman"/>
          <w:sz w:val="24"/>
          <w:szCs w:val="24"/>
          <w:lang w:val="sq-AL"/>
        </w:rPr>
        <w:t>5.2009</w:t>
      </w:r>
      <w:r w:rsidR="00E31272">
        <w:rPr>
          <w:rFonts w:ascii="Garamond" w:hAnsi="Garamond" w:cs="Times New Roman"/>
          <w:sz w:val="24"/>
          <w:szCs w:val="24"/>
          <w:lang w:val="sq-AL"/>
        </w:rPr>
        <w:t>,</w:t>
      </w:r>
      <w:r w:rsidRPr="00E31272">
        <w:rPr>
          <w:rFonts w:ascii="Garamond" w:hAnsi="Garamond" w:cs="Times New Roman"/>
          <w:sz w:val="24"/>
          <w:szCs w:val="24"/>
          <w:lang w:val="sq-AL"/>
        </w:rPr>
        <w:t xml:space="preserve"> “Për sigurimin shoqëror suplementar të ushtarakëve të Forcave të Armatosura, të punonjësve të Policisë së Shtetit, të Gardës së Republikës, të Shërbimit Informativ të Shtetit, të Policisë së Burgjeve, të Policisë së Mbrojtjes nga Zjarri dhe të Shpëtimit e të punonjësve të Shërbimit të Kontrollit të Brendshëm në Republikën e Shqipërisë” (</w:t>
      </w:r>
      <w:r w:rsidRPr="00E31272">
        <w:rPr>
          <w:rFonts w:ascii="Garamond" w:hAnsi="Garamond" w:cs="Times New Roman"/>
          <w:i/>
          <w:iCs/>
          <w:sz w:val="24"/>
          <w:szCs w:val="24"/>
          <w:lang w:val="sq-AL"/>
        </w:rPr>
        <w:t>ligj nr. 10142/2009</w:t>
      </w:r>
      <w:r w:rsidRPr="00E31272">
        <w:rPr>
          <w:rFonts w:ascii="Garamond" w:hAnsi="Garamond" w:cs="Times New Roman"/>
          <w:sz w:val="24"/>
          <w:szCs w:val="24"/>
          <w:lang w:val="sq-AL"/>
        </w:rPr>
        <w:t>), ka përllogaritur pensionin e parakohshëm të kërkuesit me të drejtë pag</w:t>
      </w:r>
      <w:r w:rsidR="00E31272">
        <w:rPr>
          <w:rFonts w:ascii="Garamond" w:hAnsi="Garamond" w:cs="Times New Roman"/>
          <w:sz w:val="24"/>
          <w:szCs w:val="24"/>
          <w:lang w:val="sq-AL"/>
        </w:rPr>
        <w:t>ese nga data 1.</w:t>
      </w:r>
      <w:r w:rsidRPr="00E31272">
        <w:rPr>
          <w:rFonts w:ascii="Garamond" w:hAnsi="Garamond" w:cs="Times New Roman"/>
          <w:sz w:val="24"/>
          <w:szCs w:val="24"/>
          <w:lang w:val="sq-AL"/>
        </w:rPr>
        <w:t>7.2009 në masën 21.439 lekë në muaj.</w:t>
      </w:r>
    </w:p>
    <w:p w14:paraId="3CFC8A1D" w14:textId="6F031589" w:rsidR="00015CA2" w:rsidRPr="00E31272" w:rsidRDefault="00015CA2" w:rsidP="00015CA2">
      <w:pPr>
        <w:pStyle w:val="ListParagraph"/>
        <w:tabs>
          <w:tab w:val="left" w:pos="1080"/>
        </w:tabs>
        <w:spacing w:after="0" w:line="240" w:lineRule="auto"/>
        <w:ind w:left="0" w:firstLine="284"/>
        <w:jc w:val="both"/>
        <w:rPr>
          <w:rFonts w:ascii="Garamond" w:hAnsi="Garamond" w:cs="Times New Roman"/>
          <w:sz w:val="24"/>
          <w:szCs w:val="24"/>
          <w:lang w:val="sq-AL"/>
        </w:rPr>
      </w:pPr>
      <w:r w:rsidRPr="00E31272">
        <w:rPr>
          <w:rFonts w:ascii="Garamond" w:hAnsi="Garamond" w:cs="Times New Roman"/>
          <w:sz w:val="24"/>
          <w:szCs w:val="24"/>
          <w:lang w:val="sq-AL"/>
        </w:rPr>
        <w:t>4</w:t>
      </w:r>
      <w:r w:rsidR="00E31272">
        <w:rPr>
          <w:rFonts w:ascii="Garamond" w:hAnsi="Garamond" w:cs="Times New Roman"/>
          <w:sz w:val="24"/>
          <w:szCs w:val="24"/>
          <w:lang w:val="sq-AL"/>
        </w:rPr>
        <w:t>.  Me vendimin nr. 33, datë 24.</w:t>
      </w:r>
      <w:r w:rsidRPr="00E31272">
        <w:rPr>
          <w:rFonts w:ascii="Garamond" w:hAnsi="Garamond" w:cs="Times New Roman"/>
          <w:sz w:val="24"/>
          <w:szCs w:val="24"/>
          <w:lang w:val="sq-AL"/>
        </w:rPr>
        <w:t>6.2010 (</w:t>
      </w:r>
      <w:r w:rsidRPr="00E31272">
        <w:rPr>
          <w:rFonts w:ascii="Garamond" w:hAnsi="Garamond" w:cs="Times New Roman"/>
          <w:i/>
          <w:iCs/>
          <w:sz w:val="24"/>
          <w:szCs w:val="24"/>
          <w:lang w:val="sq-AL"/>
        </w:rPr>
        <w:t>vendim nr. 33/2010</w:t>
      </w:r>
      <w:r w:rsidRPr="00E31272">
        <w:rPr>
          <w:rFonts w:ascii="Garamond" w:hAnsi="Garamond" w:cs="Times New Roman"/>
          <w:sz w:val="24"/>
          <w:szCs w:val="24"/>
          <w:lang w:val="sq-AL"/>
        </w:rPr>
        <w:t>) Gjykata Kushtetuese (</w:t>
      </w:r>
      <w:r w:rsidRPr="00E31272">
        <w:rPr>
          <w:rFonts w:ascii="Garamond" w:hAnsi="Garamond" w:cs="Times New Roman"/>
          <w:i/>
          <w:iCs/>
          <w:sz w:val="24"/>
          <w:szCs w:val="24"/>
          <w:lang w:val="sq-AL"/>
        </w:rPr>
        <w:t>Gjykata</w:t>
      </w:r>
      <w:r w:rsidRPr="00E31272">
        <w:rPr>
          <w:rFonts w:ascii="Garamond" w:hAnsi="Garamond" w:cs="Times New Roman"/>
          <w:sz w:val="24"/>
          <w:szCs w:val="24"/>
          <w:lang w:val="sq-AL"/>
        </w:rPr>
        <w:t>) ka vendosur shfuqizimin si antikushtetuese të pikës 2</w:t>
      </w:r>
      <w:r w:rsidR="00E31272">
        <w:rPr>
          <w:rFonts w:ascii="Garamond" w:hAnsi="Garamond" w:cs="Times New Roman"/>
          <w:sz w:val="24"/>
          <w:szCs w:val="24"/>
          <w:lang w:val="sq-AL"/>
        </w:rPr>
        <w:t>,</w:t>
      </w:r>
      <w:r w:rsidRPr="00E31272">
        <w:rPr>
          <w:rFonts w:ascii="Garamond" w:hAnsi="Garamond" w:cs="Times New Roman"/>
          <w:sz w:val="24"/>
          <w:szCs w:val="24"/>
          <w:lang w:val="sq-AL"/>
        </w:rPr>
        <w:t xml:space="preserve"> të nenit 14, si dhe të nenit 27</w:t>
      </w:r>
      <w:r w:rsidR="00E31272">
        <w:rPr>
          <w:rFonts w:ascii="Garamond" w:hAnsi="Garamond" w:cs="Times New Roman"/>
          <w:sz w:val="24"/>
          <w:szCs w:val="24"/>
          <w:lang w:val="sq-AL"/>
        </w:rPr>
        <w:t>,</w:t>
      </w:r>
      <w:r w:rsidRPr="00E31272">
        <w:rPr>
          <w:rFonts w:ascii="Garamond" w:hAnsi="Garamond" w:cs="Times New Roman"/>
          <w:sz w:val="24"/>
          <w:szCs w:val="24"/>
          <w:lang w:val="sq-AL"/>
        </w:rPr>
        <w:t xml:space="preserve"> të ligjit nr. 10142/2009. Në vijim të këtij vendimi, kërkuesi i është drejtuar sërish gjykatës, duke kërkuar detyrimin e palës së paditur, </w:t>
      </w:r>
      <w:proofErr w:type="spellStart"/>
      <w:r w:rsidRPr="00E31272">
        <w:rPr>
          <w:rFonts w:ascii="Garamond" w:hAnsi="Garamond" w:cs="Times New Roman"/>
          <w:sz w:val="24"/>
          <w:szCs w:val="24"/>
          <w:lang w:val="sq-AL"/>
        </w:rPr>
        <w:t>DRSSH</w:t>
      </w:r>
      <w:proofErr w:type="spellEnd"/>
      <w:r w:rsidRPr="00E31272">
        <w:rPr>
          <w:rFonts w:ascii="Garamond" w:hAnsi="Garamond" w:cs="Times New Roman"/>
          <w:sz w:val="24"/>
          <w:szCs w:val="24"/>
          <w:lang w:val="sq-AL"/>
        </w:rPr>
        <w:t>-së, Tiranë, për të vazhduar pagesën e pensionit të parakohshëm për vjetërsi shërbimi dhe shpërblimin e dëmit të shkaktuar si rezultat i moszbatimit të vendimit të Gjyk</w:t>
      </w:r>
      <w:r w:rsidR="00E31272">
        <w:rPr>
          <w:rFonts w:ascii="Garamond" w:hAnsi="Garamond" w:cs="Times New Roman"/>
          <w:sz w:val="24"/>
          <w:szCs w:val="24"/>
          <w:lang w:val="sq-AL"/>
        </w:rPr>
        <w:t>atës nr. 33/2010 për periudhën 1.5.2009–4.</w:t>
      </w:r>
      <w:r w:rsidRPr="00E31272">
        <w:rPr>
          <w:rFonts w:ascii="Garamond" w:hAnsi="Garamond" w:cs="Times New Roman"/>
          <w:sz w:val="24"/>
          <w:szCs w:val="24"/>
          <w:lang w:val="sq-AL"/>
        </w:rPr>
        <w:t>3.2013, duke e llogaritur pensionin e parakohshëm për vjetërsi shërbimi në masën 50% të pagës referuese mbi të cilën është derdhur kontributi dhe duke i shtuar kësaj mase 2% të pagës referuese për çdo vit shërbimi mbi periudhën 15 vjet si një të drejtë të fituar; indeksimin e pensionit të parakohshëm për vjetërsi shërbimi dhe shpërblimin e dëmit.</w:t>
      </w:r>
    </w:p>
    <w:p w14:paraId="3F4B574C" w14:textId="0974F10E" w:rsidR="00015CA2" w:rsidRPr="00E31272" w:rsidRDefault="00015CA2" w:rsidP="00015CA2">
      <w:pPr>
        <w:pStyle w:val="ListParagraph"/>
        <w:tabs>
          <w:tab w:val="left" w:pos="1080"/>
        </w:tabs>
        <w:spacing w:after="0" w:line="240" w:lineRule="auto"/>
        <w:ind w:left="0" w:firstLine="284"/>
        <w:jc w:val="both"/>
        <w:rPr>
          <w:rFonts w:ascii="Garamond" w:hAnsi="Garamond" w:cs="Times New Roman"/>
          <w:sz w:val="24"/>
          <w:szCs w:val="24"/>
          <w:lang w:val="sq-AL"/>
        </w:rPr>
      </w:pPr>
      <w:r w:rsidRPr="00E31272">
        <w:rPr>
          <w:rFonts w:ascii="Garamond" w:hAnsi="Garamond" w:cs="Times New Roman"/>
          <w:sz w:val="24"/>
          <w:szCs w:val="24"/>
          <w:lang w:val="sq-AL"/>
        </w:rPr>
        <w:t>5. Gjykata e Rrethit Gjyqësor Tiranë,</w:t>
      </w:r>
      <w:r w:rsidRPr="00E31272">
        <w:rPr>
          <w:rFonts w:ascii="Garamond" w:hAnsi="Garamond" w:cs="Times New Roman"/>
          <w:b/>
          <w:bCs/>
          <w:sz w:val="24"/>
          <w:szCs w:val="24"/>
          <w:lang w:val="sq-AL"/>
        </w:rPr>
        <w:t xml:space="preserve"> </w:t>
      </w:r>
      <w:r w:rsidRPr="00E31272">
        <w:rPr>
          <w:rFonts w:ascii="Garamond" w:hAnsi="Garamond" w:cs="Times New Roman"/>
          <w:sz w:val="24"/>
          <w:szCs w:val="24"/>
          <w:lang w:val="sq-AL"/>
        </w:rPr>
        <w:t xml:space="preserve">me vendimin nr. 10410, datë 21.10.2013, ka vendosur pranimin pjesërisht të kërkesëpadisë; detyrimin e palës së paditur, </w:t>
      </w:r>
      <w:proofErr w:type="spellStart"/>
      <w:r w:rsidRPr="00E31272">
        <w:rPr>
          <w:rFonts w:ascii="Garamond" w:hAnsi="Garamond" w:cs="Times New Roman"/>
          <w:sz w:val="24"/>
          <w:szCs w:val="24"/>
          <w:lang w:val="sq-AL"/>
        </w:rPr>
        <w:t>DRSSH</w:t>
      </w:r>
      <w:proofErr w:type="spellEnd"/>
      <w:r w:rsidRPr="00E31272">
        <w:rPr>
          <w:rFonts w:ascii="Garamond" w:hAnsi="Garamond" w:cs="Times New Roman"/>
          <w:sz w:val="24"/>
          <w:szCs w:val="24"/>
          <w:lang w:val="sq-AL"/>
        </w:rPr>
        <w:t>-së, Tiranë, për t’i paguar kërkuesit pensionin e parakohshëm për vjetërsi shërbimi në masën 50% të pagës referuese për 15 vjet shërbimi, duke i shtuar kësaj mase 2% të pagës referuese për çdo vit shërbimi mbi periudhën 15 vjet, duke u paguar diferenca midis masës së pensionit që do të dalë dhe masës së pensionit që kërkuesi ka përfituar për çdo muaj, duke filluar nga</w:t>
      </w:r>
      <w:r w:rsidR="00E31272">
        <w:rPr>
          <w:rFonts w:ascii="Garamond" w:hAnsi="Garamond" w:cs="Times New Roman"/>
          <w:sz w:val="24"/>
          <w:szCs w:val="24"/>
          <w:lang w:val="sq-AL"/>
        </w:rPr>
        <w:t xml:space="preserve"> data 1.5.2009 deri në datën 1.</w:t>
      </w:r>
      <w:r w:rsidRPr="00E31272">
        <w:rPr>
          <w:rFonts w:ascii="Garamond" w:hAnsi="Garamond" w:cs="Times New Roman"/>
          <w:sz w:val="24"/>
          <w:szCs w:val="24"/>
          <w:lang w:val="sq-AL"/>
        </w:rPr>
        <w:t>7.2009; detyrimin e palës së paditur për t’i paguar pensionin e parakohshëm për vjetë</w:t>
      </w:r>
      <w:r w:rsidR="00E31272">
        <w:rPr>
          <w:rFonts w:ascii="Garamond" w:hAnsi="Garamond" w:cs="Times New Roman"/>
          <w:sz w:val="24"/>
          <w:szCs w:val="24"/>
          <w:lang w:val="sq-AL"/>
        </w:rPr>
        <w:t>rsi shërbimi për periudhën nga 1.5.2009–1.</w:t>
      </w:r>
      <w:r w:rsidRPr="00E31272">
        <w:rPr>
          <w:rFonts w:ascii="Garamond" w:hAnsi="Garamond" w:cs="Times New Roman"/>
          <w:sz w:val="24"/>
          <w:szCs w:val="24"/>
          <w:lang w:val="sq-AL"/>
        </w:rPr>
        <w:t>7.2009</w:t>
      </w:r>
      <w:r w:rsidR="00E31272">
        <w:rPr>
          <w:rFonts w:ascii="Garamond" w:hAnsi="Garamond" w:cs="Times New Roman"/>
          <w:sz w:val="24"/>
          <w:szCs w:val="24"/>
          <w:lang w:val="sq-AL"/>
        </w:rPr>
        <w:t>,</w:t>
      </w:r>
      <w:r w:rsidRPr="00E31272">
        <w:rPr>
          <w:rFonts w:ascii="Garamond" w:hAnsi="Garamond" w:cs="Times New Roman"/>
          <w:sz w:val="24"/>
          <w:szCs w:val="24"/>
          <w:lang w:val="sq-AL"/>
        </w:rPr>
        <w:t xml:space="preserve"> bashkë me rritjet përkatëse; rrëzimin e kërkesëpadisë për sa i përket shpërblimit të dëmit. Kundër këtij vendimi ka paraqitur ankim kërkuesi dhe pala e paditur.</w:t>
      </w:r>
    </w:p>
    <w:p w14:paraId="4860D381" w14:textId="355A6609" w:rsidR="00015CA2" w:rsidRPr="00E31272" w:rsidRDefault="00015CA2" w:rsidP="00015CA2">
      <w:pPr>
        <w:pStyle w:val="ListParagraph"/>
        <w:tabs>
          <w:tab w:val="left" w:pos="1080"/>
        </w:tabs>
        <w:spacing w:after="0" w:line="240" w:lineRule="auto"/>
        <w:ind w:left="0" w:firstLine="284"/>
        <w:jc w:val="both"/>
        <w:rPr>
          <w:rFonts w:ascii="Garamond" w:hAnsi="Garamond" w:cs="Times New Roman"/>
          <w:sz w:val="24"/>
          <w:szCs w:val="24"/>
          <w:lang w:val="sq-AL"/>
        </w:rPr>
      </w:pPr>
      <w:r w:rsidRPr="00E31272">
        <w:rPr>
          <w:rFonts w:ascii="Garamond" w:hAnsi="Garamond" w:cs="Times New Roman"/>
          <w:sz w:val="24"/>
          <w:szCs w:val="24"/>
          <w:lang w:val="sq-AL"/>
        </w:rPr>
        <w:t>6. Gjykata e Apelit Tiranë,</w:t>
      </w:r>
      <w:r w:rsidR="00E31272">
        <w:rPr>
          <w:rFonts w:ascii="Garamond" w:hAnsi="Garamond" w:cs="Times New Roman"/>
          <w:sz w:val="24"/>
          <w:szCs w:val="24"/>
          <w:lang w:val="sq-AL"/>
        </w:rPr>
        <w:t xml:space="preserve"> me vendimin nr. 1591, datë 22.</w:t>
      </w:r>
      <w:r w:rsidRPr="00E31272">
        <w:rPr>
          <w:rFonts w:ascii="Garamond" w:hAnsi="Garamond" w:cs="Times New Roman"/>
          <w:sz w:val="24"/>
          <w:szCs w:val="24"/>
          <w:lang w:val="sq-AL"/>
        </w:rPr>
        <w:t xml:space="preserve">4.2014, ka vendosur </w:t>
      </w:r>
      <w:proofErr w:type="spellStart"/>
      <w:r w:rsidRPr="00E31272">
        <w:rPr>
          <w:rFonts w:ascii="Garamond" w:hAnsi="Garamond" w:cs="Times New Roman"/>
          <w:sz w:val="24"/>
          <w:szCs w:val="24"/>
          <w:lang w:val="sq-AL"/>
        </w:rPr>
        <w:t>moskompetencën</w:t>
      </w:r>
      <w:proofErr w:type="spellEnd"/>
      <w:r w:rsidRPr="00E31272">
        <w:rPr>
          <w:rFonts w:ascii="Garamond" w:hAnsi="Garamond" w:cs="Times New Roman"/>
          <w:sz w:val="24"/>
          <w:szCs w:val="24"/>
          <w:lang w:val="sq-AL"/>
        </w:rPr>
        <w:t xml:space="preserve"> e shqyrtimit të çështjes dhe dërgimin e akteve gjykatës kompetente, Gjykatës Administrative të Apelit. Kjo e fundit, me vendimin nr.  4331, datë 27.11.2014, ka vendosur lënien në fuqi të vendimit të Gjykatës së Rrethit Gjyqësor Tiranë nr. 10410, datë 21.10.2013. Kundër këtij vendimi ka paraqitur rekurs pala e paditur dhe kërkuesi. </w:t>
      </w:r>
    </w:p>
    <w:p w14:paraId="459ECDFC" w14:textId="581AF629" w:rsidR="00015CA2" w:rsidRPr="00E31272" w:rsidRDefault="00015CA2" w:rsidP="00015CA2">
      <w:pPr>
        <w:pStyle w:val="ListParagraph"/>
        <w:tabs>
          <w:tab w:val="left" w:pos="1080"/>
        </w:tabs>
        <w:spacing w:after="0" w:line="240" w:lineRule="auto"/>
        <w:ind w:left="0" w:firstLine="284"/>
        <w:jc w:val="both"/>
        <w:rPr>
          <w:rFonts w:ascii="Garamond" w:hAnsi="Garamond" w:cs="Times New Roman"/>
          <w:sz w:val="24"/>
          <w:szCs w:val="24"/>
          <w:lang w:val="sq-AL"/>
        </w:rPr>
      </w:pPr>
      <w:r w:rsidRPr="00E31272">
        <w:rPr>
          <w:rFonts w:ascii="Garamond" w:hAnsi="Garamond" w:cs="Times New Roman"/>
          <w:sz w:val="24"/>
          <w:szCs w:val="24"/>
          <w:lang w:val="sq-AL"/>
        </w:rPr>
        <w:t>7. Kolegji Administrativ i Gjykatës së Lartë, me vendimin nr. 00-2017-1</w:t>
      </w:r>
      <w:r w:rsidR="00E31272">
        <w:rPr>
          <w:rFonts w:ascii="Garamond" w:hAnsi="Garamond" w:cs="Times New Roman"/>
          <w:sz w:val="24"/>
          <w:szCs w:val="24"/>
          <w:lang w:val="sq-AL"/>
        </w:rPr>
        <w:t>378 (724), datë 23.</w:t>
      </w:r>
      <w:r w:rsidRPr="00E31272">
        <w:rPr>
          <w:rFonts w:ascii="Garamond" w:hAnsi="Garamond" w:cs="Times New Roman"/>
          <w:sz w:val="24"/>
          <w:szCs w:val="24"/>
          <w:lang w:val="sq-AL"/>
        </w:rPr>
        <w:t>6.2017, ka vendosur prishjen e vendimit nr.  4331, datë 27.11.2014</w:t>
      </w:r>
      <w:r w:rsidR="00E31272">
        <w:rPr>
          <w:rFonts w:ascii="Garamond" w:hAnsi="Garamond" w:cs="Times New Roman"/>
          <w:sz w:val="24"/>
          <w:szCs w:val="24"/>
          <w:lang w:val="sq-AL"/>
        </w:rPr>
        <w:t>,</w:t>
      </w:r>
      <w:r w:rsidRPr="00E31272">
        <w:rPr>
          <w:rFonts w:ascii="Garamond" w:hAnsi="Garamond" w:cs="Times New Roman"/>
          <w:sz w:val="24"/>
          <w:szCs w:val="24"/>
          <w:lang w:val="sq-AL"/>
        </w:rPr>
        <w:t xml:space="preserve"> të Gjykatës Administrative të Apelit dhe dërgimin e çështjes për rishqyrtim në këtë gjykatë, me tjetër trup gjykues, duke arsyetuar se gjykatat e faktit kanë zbatuar gabim ligjin material dhe në rigjykim duhet të analizohen faktet për të zgjidhur çështjen duke zbatuar ligjin sipas orientimeve të vendimit </w:t>
      </w:r>
      <w:proofErr w:type="spellStart"/>
      <w:r w:rsidRPr="00E31272">
        <w:rPr>
          <w:rFonts w:ascii="Garamond" w:hAnsi="Garamond" w:cs="Times New Roman"/>
          <w:sz w:val="24"/>
          <w:szCs w:val="24"/>
          <w:lang w:val="sq-AL"/>
        </w:rPr>
        <w:t>unifikues</w:t>
      </w:r>
      <w:proofErr w:type="spellEnd"/>
      <w:r w:rsidRPr="00E31272">
        <w:rPr>
          <w:rFonts w:ascii="Garamond" w:hAnsi="Garamond" w:cs="Times New Roman"/>
          <w:sz w:val="24"/>
          <w:szCs w:val="24"/>
          <w:lang w:val="sq-AL"/>
        </w:rPr>
        <w:t xml:space="preserve"> nr. 3, datë 24.11.2016</w:t>
      </w:r>
      <w:r w:rsidR="00E31272">
        <w:rPr>
          <w:rFonts w:ascii="Garamond" w:hAnsi="Garamond" w:cs="Times New Roman"/>
          <w:sz w:val="24"/>
          <w:szCs w:val="24"/>
          <w:lang w:val="sq-AL"/>
        </w:rPr>
        <w:t>,</w:t>
      </w:r>
      <w:r w:rsidRPr="00E31272">
        <w:rPr>
          <w:rFonts w:ascii="Garamond" w:hAnsi="Garamond" w:cs="Times New Roman"/>
          <w:sz w:val="24"/>
          <w:szCs w:val="24"/>
          <w:lang w:val="sq-AL"/>
        </w:rPr>
        <w:t xml:space="preserve"> të Kolegjeve </w:t>
      </w:r>
      <w:r w:rsidRPr="00E31272">
        <w:rPr>
          <w:rFonts w:ascii="Garamond" w:hAnsi="Garamond" w:cs="Times New Roman"/>
          <w:sz w:val="24"/>
          <w:szCs w:val="24"/>
          <w:lang w:val="sq-AL"/>
        </w:rPr>
        <w:lastRenderedPageBreak/>
        <w:t xml:space="preserve">të Bashkuara </w:t>
      </w:r>
      <w:r w:rsidRPr="00E31272">
        <w:rPr>
          <w:rFonts w:ascii="Garamond" w:hAnsi="Garamond" w:cs="Times New Roman"/>
          <w:i/>
          <w:iCs/>
          <w:sz w:val="24"/>
          <w:szCs w:val="24"/>
          <w:lang w:val="sq-AL"/>
        </w:rPr>
        <w:t xml:space="preserve">(vendimi </w:t>
      </w:r>
      <w:proofErr w:type="spellStart"/>
      <w:r w:rsidRPr="00E31272">
        <w:rPr>
          <w:rFonts w:ascii="Garamond" w:hAnsi="Garamond" w:cs="Times New Roman"/>
          <w:i/>
          <w:iCs/>
          <w:sz w:val="24"/>
          <w:szCs w:val="24"/>
          <w:lang w:val="sq-AL"/>
        </w:rPr>
        <w:t>unifikues</w:t>
      </w:r>
      <w:proofErr w:type="spellEnd"/>
      <w:r w:rsidRPr="00E31272">
        <w:rPr>
          <w:rFonts w:ascii="Garamond" w:hAnsi="Garamond" w:cs="Times New Roman"/>
          <w:i/>
          <w:iCs/>
          <w:sz w:val="24"/>
          <w:szCs w:val="24"/>
          <w:lang w:val="sq-AL"/>
        </w:rPr>
        <w:t xml:space="preserve"> nr. 3/2016).</w:t>
      </w:r>
      <w:r w:rsidRPr="00E31272">
        <w:rPr>
          <w:rFonts w:ascii="Garamond" w:hAnsi="Garamond" w:cs="Times New Roman"/>
          <w:sz w:val="24"/>
          <w:szCs w:val="24"/>
          <w:lang w:val="sq-AL"/>
        </w:rPr>
        <w:t xml:space="preserve"> Kundër këtij vendimi të Kolegjit Administrativ kërkuesi ka paraqitur ankim kushtetues individual në Gjykatë. Me vendimin nr. 21, datë 19.12.2019, Kolegji i Gjykatës ka vendosur </w:t>
      </w:r>
      <w:proofErr w:type="spellStart"/>
      <w:r w:rsidRPr="00E31272">
        <w:rPr>
          <w:rFonts w:ascii="Garamond" w:hAnsi="Garamond" w:cs="Times New Roman"/>
          <w:sz w:val="24"/>
          <w:szCs w:val="24"/>
          <w:lang w:val="sq-AL"/>
        </w:rPr>
        <w:t>moskalimin</w:t>
      </w:r>
      <w:proofErr w:type="spellEnd"/>
      <w:r w:rsidRPr="00E31272">
        <w:rPr>
          <w:rFonts w:ascii="Garamond" w:hAnsi="Garamond" w:cs="Times New Roman"/>
          <w:sz w:val="24"/>
          <w:szCs w:val="24"/>
          <w:lang w:val="sq-AL"/>
        </w:rPr>
        <w:t xml:space="preserve"> e çështjes për shqyrtim në seancë plenare, me arsyetimin se kërkuesi nuk kishte shteruar mjetet juridike efektive në kuptim të nenit 131, pika 1, shkronja “f”, si dhe kërkesa ishte paraqitur jashtë afatit ligjor 4-mujor.</w:t>
      </w:r>
    </w:p>
    <w:p w14:paraId="78511961" w14:textId="1D626055" w:rsidR="00015CA2" w:rsidRPr="00E31272" w:rsidRDefault="00015CA2" w:rsidP="00015CA2">
      <w:pPr>
        <w:pStyle w:val="ListParagraph"/>
        <w:tabs>
          <w:tab w:val="left" w:pos="1080"/>
        </w:tabs>
        <w:spacing w:after="0" w:line="240" w:lineRule="auto"/>
        <w:ind w:left="0" w:firstLine="284"/>
        <w:jc w:val="both"/>
        <w:rPr>
          <w:rFonts w:ascii="Garamond" w:hAnsi="Garamond" w:cs="Times New Roman"/>
          <w:sz w:val="24"/>
          <w:szCs w:val="24"/>
          <w:lang w:val="sq-AL"/>
        </w:rPr>
      </w:pPr>
      <w:r w:rsidRPr="00E31272">
        <w:rPr>
          <w:rFonts w:ascii="Garamond" w:hAnsi="Garamond" w:cs="Times New Roman"/>
          <w:sz w:val="24"/>
          <w:szCs w:val="24"/>
          <w:lang w:val="sq-AL"/>
        </w:rPr>
        <w:t>8. Në rigjykim, Gjykata Administrative e Apelit, me vendimin nr. 1040 (86-2023-1381), datë 11.12.2023, ka vendosur ndryshimin e vendimit nr. 10410, datë 21.10.2013</w:t>
      </w:r>
      <w:r w:rsidR="00E31272">
        <w:rPr>
          <w:rFonts w:ascii="Garamond" w:hAnsi="Garamond" w:cs="Times New Roman"/>
          <w:sz w:val="24"/>
          <w:szCs w:val="24"/>
          <w:lang w:val="sq-AL"/>
        </w:rPr>
        <w:t>,</w:t>
      </w:r>
      <w:r w:rsidRPr="00E31272">
        <w:rPr>
          <w:rFonts w:ascii="Garamond" w:hAnsi="Garamond" w:cs="Times New Roman"/>
          <w:sz w:val="24"/>
          <w:szCs w:val="24"/>
          <w:lang w:val="sq-AL"/>
        </w:rPr>
        <w:t xml:space="preserve"> të Gjykatës së Rrethit Gjyqësor Tiranë dhe rrëzimin e padisë. Kundër këtij vendimi ka ushtruar rekurs kërkuesi.</w:t>
      </w:r>
    </w:p>
    <w:p w14:paraId="5A47A076" w14:textId="0756DE06" w:rsidR="00015CA2" w:rsidRPr="00E31272" w:rsidRDefault="00015CA2" w:rsidP="00015CA2">
      <w:pPr>
        <w:pStyle w:val="ListParagraph"/>
        <w:tabs>
          <w:tab w:val="left" w:pos="1080"/>
        </w:tabs>
        <w:spacing w:after="0" w:line="240" w:lineRule="auto"/>
        <w:ind w:left="0" w:firstLine="284"/>
        <w:jc w:val="both"/>
        <w:rPr>
          <w:rFonts w:ascii="Garamond" w:hAnsi="Garamond" w:cs="Times New Roman"/>
          <w:sz w:val="24"/>
          <w:szCs w:val="24"/>
          <w:lang w:val="sq-AL"/>
        </w:rPr>
      </w:pPr>
      <w:r w:rsidRPr="00E31272">
        <w:rPr>
          <w:rFonts w:ascii="Garamond" w:hAnsi="Garamond" w:cs="Times New Roman"/>
          <w:sz w:val="24"/>
          <w:szCs w:val="24"/>
          <w:lang w:val="sq-AL"/>
        </w:rPr>
        <w:t>9. Kolegji Administrativ i Gjykatës së Lartë, me vendimin nr. 00-2024-4497, datë 22.10.2024, ka vendosur mospranimin e rekursit,</w:t>
      </w:r>
      <w:r w:rsidRPr="00E31272">
        <w:rPr>
          <w:rFonts w:ascii="Garamond" w:hAnsi="Garamond" w:cs="Times New Roman"/>
          <w:b/>
          <w:bCs/>
          <w:sz w:val="24"/>
          <w:szCs w:val="24"/>
          <w:lang w:val="sq-AL"/>
        </w:rPr>
        <w:t xml:space="preserve"> </w:t>
      </w:r>
      <w:r w:rsidRPr="00E31272">
        <w:rPr>
          <w:rFonts w:ascii="Garamond" w:hAnsi="Garamond" w:cs="Times New Roman"/>
          <w:sz w:val="24"/>
          <w:szCs w:val="24"/>
          <w:lang w:val="sq-AL"/>
        </w:rPr>
        <w:t>me arsyetimin se në të nuk ngriheshin shkaqe nga ato të parashikuara nga neni 58</w:t>
      </w:r>
      <w:r w:rsidR="00E31272">
        <w:rPr>
          <w:rFonts w:ascii="Garamond" w:hAnsi="Garamond" w:cs="Times New Roman"/>
          <w:sz w:val="24"/>
          <w:szCs w:val="24"/>
          <w:lang w:val="sq-AL"/>
        </w:rPr>
        <w:t>, i ligjit nr. 49, datë 3.</w:t>
      </w:r>
      <w:r w:rsidRPr="00E31272">
        <w:rPr>
          <w:rFonts w:ascii="Garamond" w:hAnsi="Garamond" w:cs="Times New Roman"/>
          <w:sz w:val="24"/>
          <w:szCs w:val="24"/>
          <w:lang w:val="sq-AL"/>
        </w:rPr>
        <w:t>5.2012</w:t>
      </w:r>
      <w:r w:rsidR="00E31272">
        <w:rPr>
          <w:rFonts w:ascii="Garamond" w:hAnsi="Garamond" w:cs="Times New Roman"/>
          <w:sz w:val="24"/>
          <w:szCs w:val="24"/>
          <w:lang w:val="sq-AL"/>
        </w:rPr>
        <w:t>,</w:t>
      </w:r>
      <w:r w:rsidRPr="00E31272">
        <w:rPr>
          <w:rFonts w:ascii="Garamond" w:hAnsi="Garamond" w:cs="Times New Roman"/>
          <w:sz w:val="24"/>
          <w:szCs w:val="24"/>
          <w:lang w:val="sq-AL"/>
        </w:rPr>
        <w:t xml:space="preserve"> “Për gjykatat administrative dhe gjykimin e mosmarrëveshjeve administrative”, të ndryshuar (</w:t>
      </w:r>
      <w:r w:rsidRPr="00E31272">
        <w:rPr>
          <w:rFonts w:ascii="Garamond" w:hAnsi="Garamond" w:cs="Times New Roman"/>
          <w:i/>
          <w:iCs/>
          <w:sz w:val="24"/>
          <w:szCs w:val="24"/>
          <w:lang w:val="sq-AL"/>
        </w:rPr>
        <w:t>ligj nr. 49/2012</w:t>
      </w:r>
      <w:r w:rsidRPr="00E31272">
        <w:rPr>
          <w:rFonts w:ascii="Garamond" w:hAnsi="Garamond" w:cs="Times New Roman"/>
          <w:sz w:val="24"/>
          <w:szCs w:val="24"/>
          <w:lang w:val="sq-AL"/>
        </w:rPr>
        <w:t>), (</w:t>
      </w:r>
      <w:r w:rsidRPr="00E31272">
        <w:rPr>
          <w:rFonts w:ascii="Garamond" w:hAnsi="Garamond" w:cs="Times New Roman"/>
          <w:i/>
          <w:iCs/>
          <w:sz w:val="24"/>
          <w:szCs w:val="24"/>
          <w:lang w:val="sq-AL"/>
        </w:rPr>
        <w:t>procesi i dytë gjyqësor</w:t>
      </w:r>
      <w:r w:rsidRPr="00E31272">
        <w:rPr>
          <w:rFonts w:ascii="Garamond" w:hAnsi="Garamond" w:cs="Times New Roman"/>
          <w:sz w:val="24"/>
          <w:szCs w:val="24"/>
          <w:lang w:val="sq-AL"/>
        </w:rPr>
        <w:t>).</w:t>
      </w:r>
    </w:p>
    <w:p w14:paraId="08E3C362" w14:textId="2B5067A0" w:rsidR="00015CA2" w:rsidRPr="00E31272" w:rsidRDefault="00E31272" w:rsidP="00015CA2">
      <w:pPr>
        <w:pStyle w:val="ListParagraph"/>
        <w:tabs>
          <w:tab w:val="left" w:pos="1080"/>
        </w:tabs>
        <w:spacing w:after="0" w:line="240" w:lineRule="auto"/>
        <w:ind w:left="0" w:firstLine="284"/>
        <w:jc w:val="both"/>
        <w:rPr>
          <w:rFonts w:ascii="Garamond" w:hAnsi="Garamond" w:cs="Times New Roman"/>
          <w:sz w:val="24"/>
          <w:szCs w:val="24"/>
          <w:lang w:val="sq-AL"/>
        </w:rPr>
      </w:pPr>
      <w:r>
        <w:rPr>
          <w:rFonts w:ascii="Garamond" w:hAnsi="Garamond" w:cs="Times New Roman"/>
          <w:sz w:val="24"/>
          <w:szCs w:val="24"/>
          <w:lang w:val="sq-AL"/>
        </w:rPr>
        <w:t>10. Në datën 19.</w:t>
      </w:r>
      <w:r w:rsidR="00015CA2" w:rsidRPr="00E31272">
        <w:rPr>
          <w:rFonts w:ascii="Garamond" w:hAnsi="Garamond" w:cs="Times New Roman"/>
          <w:sz w:val="24"/>
          <w:szCs w:val="24"/>
          <w:lang w:val="sq-AL"/>
        </w:rPr>
        <w:t>3.2025 (</w:t>
      </w:r>
      <w:r w:rsidR="00015CA2" w:rsidRPr="00E31272">
        <w:rPr>
          <w:rFonts w:ascii="Garamond" w:hAnsi="Garamond" w:cs="Times New Roman"/>
          <w:i/>
          <w:iCs/>
          <w:sz w:val="24"/>
          <w:szCs w:val="24"/>
          <w:lang w:val="sq-AL"/>
        </w:rPr>
        <w:t>sipas shënimit të shërbimit postar</w:t>
      </w:r>
      <w:r w:rsidR="00015CA2" w:rsidRPr="00E31272">
        <w:rPr>
          <w:rFonts w:ascii="Garamond" w:hAnsi="Garamond" w:cs="Times New Roman"/>
          <w:sz w:val="24"/>
          <w:szCs w:val="24"/>
          <w:lang w:val="sq-AL"/>
        </w:rPr>
        <w:t>) kërkuesi i është drejtuar Gjykatës me ankim kushtetues individual, sipas objektit të tij, i cili</w:t>
      </w:r>
      <w:r>
        <w:rPr>
          <w:rFonts w:ascii="Garamond" w:hAnsi="Garamond" w:cs="Times New Roman"/>
          <w:sz w:val="24"/>
          <w:szCs w:val="24"/>
          <w:lang w:val="sq-AL"/>
        </w:rPr>
        <w:t xml:space="preserve"> është regjistruar në datën 20.3.2025. Në datën 4.</w:t>
      </w:r>
      <w:r w:rsidR="00015CA2" w:rsidRPr="00E31272">
        <w:rPr>
          <w:rFonts w:ascii="Garamond" w:hAnsi="Garamond" w:cs="Times New Roman"/>
          <w:sz w:val="24"/>
          <w:szCs w:val="24"/>
          <w:lang w:val="sq-AL"/>
        </w:rPr>
        <w:t>6.2025</w:t>
      </w:r>
      <w:r>
        <w:rPr>
          <w:rFonts w:ascii="Garamond" w:hAnsi="Garamond" w:cs="Times New Roman"/>
          <w:sz w:val="24"/>
          <w:szCs w:val="24"/>
          <w:lang w:val="sq-AL"/>
        </w:rPr>
        <w:t>,</w:t>
      </w:r>
      <w:r w:rsidR="00015CA2" w:rsidRPr="00E31272">
        <w:rPr>
          <w:rFonts w:ascii="Garamond" w:hAnsi="Garamond" w:cs="Times New Roman"/>
          <w:sz w:val="24"/>
          <w:szCs w:val="24"/>
          <w:lang w:val="sq-AL"/>
        </w:rPr>
        <w:t xml:space="preserve"> Kolegji i Gjykatës ka vendosur kalimin e kërkesës për shqyrtim paraprak në Mbledhjen e </w:t>
      </w:r>
      <w:r>
        <w:rPr>
          <w:rFonts w:ascii="Garamond" w:hAnsi="Garamond" w:cs="Times New Roman"/>
          <w:sz w:val="24"/>
          <w:szCs w:val="24"/>
          <w:lang w:val="sq-AL"/>
        </w:rPr>
        <w:t>Gjyqtarëve, e cila në datën 18.</w:t>
      </w:r>
      <w:r w:rsidR="00015CA2" w:rsidRPr="00E31272">
        <w:rPr>
          <w:rFonts w:ascii="Garamond" w:hAnsi="Garamond" w:cs="Times New Roman"/>
          <w:sz w:val="24"/>
          <w:szCs w:val="24"/>
          <w:lang w:val="sq-AL"/>
        </w:rPr>
        <w:t>6.2025 ka vendosur kalimin e çështjes për shqyrtim në seancë plenare mbi bazë të dokumenteve. Me vendimin e datës 11.12.2025</w:t>
      </w:r>
      <w:r>
        <w:rPr>
          <w:rFonts w:ascii="Garamond" w:hAnsi="Garamond" w:cs="Times New Roman"/>
          <w:sz w:val="24"/>
          <w:szCs w:val="24"/>
          <w:lang w:val="sq-AL"/>
        </w:rPr>
        <w:t>,</w:t>
      </w:r>
      <w:r w:rsidR="00015CA2" w:rsidRPr="00E31272">
        <w:rPr>
          <w:rFonts w:ascii="Garamond" w:hAnsi="Garamond" w:cs="Times New Roman"/>
          <w:sz w:val="24"/>
          <w:szCs w:val="24"/>
          <w:lang w:val="sq-AL"/>
        </w:rPr>
        <w:t xml:space="preserve"> Mbledhja e Gjyqtarëve ka pranuar kërkesën e një gjyqtari për heqjen dorë nga shqyrtimi i çështjes.</w:t>
      </w:r>
    </w:p>
    <w:p w14:paraId="24CB4B63" w14:textId="77777777" w:rsidR="00015CA2" w:rsidRPr="00E31272" w:rsidRDefault="00015CA2" w:rsidP="00015CA2">
      <w:pPr>
        <w:tabs>
          <w:tab w:val="left" w:pos="1080"/>
        </w:tabs>
        <w:spacing w:after="0" w:line="240" w:lineRule="auto"/>
        <w:ind w:firstLine="284"/>
        <w:jc w:val="center"/>
        <w:rPr>
          <w:rFonts w:ascii="Garamond" w:hAnsi="Garamond"/>
          <w:b/>
          <w:bCs/>
          <w:sz w:val="24"/>
          <w:szCs w:val="24"/>
        </w:rPr>
      </w:pPr>
    </w:p>
    <w:p w14:paraId="2617E511" w14:textId="77777777" w:rsidR="00015CA2" w:rsidRPr="00E31272" w:rsidRDefault="00015CA2" w:rsidP="00015CA2">
      <w:pPr>
        <w:tabs>
          <w:tab w:val="left" w:pos="1080"/>
        </w:tabs>
        <w:spacing w:after="0" w:line="240" w:lineRule="auto"/>
        <w:ind w:firstLine="284"/>
        <w:jc w:val="center"/>
        <w:rPr>
          <w:rFonts w:ascii="Garamond" w:hAnsi="Garamond" w:cs="Times New Roman"/>
          <w:b/>
          <w:bCs/>
          <w:sz w:val="24"/>
          <w:szCs w:val="24"/>
        </w:rPr>
      </w:pPr>
      <w:proofErr w:type="spellStart"/>
      <w:r w:rsidRPr="00E31272">
        <w:rPr>
          <w:rFonts w:ascii="Garamond" w:hAnsi="Garamond" w:cs="Times New Roman"/>
          <w:b/>
          <w:bCs/>
          <w:sz w:val="24"/>
          <w:szCs w:val="24"/>
        </w:rPr>
        <w:t>II</w:t>
      </w:r>
      <w:proofErr w:type="spellEnd"/>
    </w:p>
    <w:p w14:paraId="7DBB7751" w14:textId="77777777" w:rsidR="00015CA2" w:rsidRPr="00E31272" w:rsidRDefault="00015CA2" w:rsidP="00015CA2">
      <w:pPr>
        <w:tabs>
          <w:tab w:val="left" w:pos="1080"/>
        </w:tabs>
        <w:spacing w:after="0" w:line="240" w:lineRule="auto"/>
        <w:ind w:firstLine="284"/>
        <w:jc w:val="center"/>
        <w:rPr>
          <w:rFonts w:ascii="Garamond" w:hAnsi="Garamond" w:cs="Times New Roman"/>
          <w:sz w:val="24"/>
          <w:szCs w:val="24"/>
        </w:rPr>
      </w:pPr>
      <w:r w:rsidRPr="00E31272">
        <w:rPr>
          <w:rFonts w:ascii="Garamond" w:hAnsi="Garamond" w:cs="Times New Roman"/>
          <w:b/>
          <w:bCs/>
          <w:sz w:val="24"/>
          <w:szCs w:val="24"/>
        </w:rPr>
        <w:t>Pretendimet në Gjykatën Kushtetuese</w:t>
      </w:r>
    </w:p>
    <w:p w14:paraId="0D895669" w14:textId="77777777" w:rsidR="00BC10C4" w:rsidRPr="00E31272" w:rsidRDefault="00BC10C4" w:rsidP="00015CA2">
      <w:pPr>
        <w:pStyle w:val="ListParagraph"/>
        <w:tabs>
          <w:tab w:val="left" w:pos="1080"/>
        </w:tabs>
        <w:spacing w:after="0" w:line="240" w:lineRule="auto"/>
        <w:ind w:left="0" w:firstLine="284"/>
        <w:jc w:val="both"/>
        <w:rPr>
          <w:rFonts w:ascii="Garamond" w:hAnsi="Garamond" w:cs="Times New Roman"/>
          <w:sz w:val="24"/>
          <w:szCs w:val="24"/>
          <w:lang w:val="sq-AL"/>
        </w:rPr>
      </w:pPr>
    </w:p>
    <w:p w14:paraId="1BDD5CD5" w14:textId="735135C9" w:rsidR="00015CA2" w:rsidRPr="00E31272" w:rsidRDefault="00015CA2" w:rsidP="00015CA2">
      <w:pPr>
        <w:pStyle w:val="ListParagraph"/>
        <w:tabs>
          <w:tab w:val="left" w:pos="1080"/>
        </w:tabs>
        <w:spacing w:after="0" w:line="240" w:lineRule="auto"/>
        <w:ind w:left="0" w:firstLine="284"/>
        <w:jc w:val="both"/>
        <w:rPr>
          <w:rFonts w:ascii="Garamond" w:hAnsi="Garamond" w:cs="Times New Roman"/>
          <w:sz w:val="24"/>
          <w:szCs w:val="24"/>
          <w:lang w:val="sq-AL"/>
        </w:rPr>
      </w:pPr>
      <w:r w:rsidRPr="00E31272">
        <w:rPr>
          <w:rFonts w:ascii="Garamond" w:hAnsi="Garamond" w:cs="Times New Roman"/>
          <w:sz w:val="24"/>
          <w:szCs w:val="24"/>
          <w:lang w:val="sq-AL"/>
        </w:rPr>
        <w:t xml:space="preserve">11. </w:t>
      </w:r>
      <w:r w:rsidRPr="00E31272">
        <w:rPr>
          <w:rFonts w:ascii="Garamond" w:hAnsi="Garamond" w:cs="Times New Roman"/>
          <w:b/>
          <w:bCs/>
          <w:i/>
          <w:iCs/>
          <w:sz w:val="24"/>
          <w:szCs w:val="24"/>
          <w:lang w:val="sq-AL"/>
        </w:rPr>
        <w:t>Kërkuesi,</w:t>
      </w:r>
      <w:r w:rsidRPr="00E31272">
        <w:rPr>
          <w:rFonts w:ascii="Garamond" w:hAnsi="Garamond" w:cs="Times New Roman"/>
          <w:sz w:val="24"/>
          <w:szCs w:val="24"/>
          <w:lang w:val="sq-AL"/>
        </w:rPr>
        <w:t xml:space="preserve"> në mënyrë të përmbledhur, ka pretenduar si vijon:</w:t>
      </w:r>
    </w:p>
    <w:p w14:paraId="163F1B57" w14:textId="7955AF43" w:rsidR="00015CA2" w:rsidRPr="00E31272" w:rsidRDefault="00015CA2" w:rsidP="00015CA2">
      <w:pPr>
        <w:pStyle w:val="ListParagraph"/>
        <w:tabs>
          <w:tab w:val="left" w:pos="1340"/>
        </w:tabs>
        <w:spacing w:after="0" w:line="240" w:lineRule="auto"/>
        <w:ind w:left="0" w:firstLine="284"/>
        <w:jc w:val="both"/>
        <w:rPr>
          <w:rFonts w:ascii="Garamond" w:hAnsi="Garamond" w:cs="Times New Roman"/>
          <w:sz w:val="24"/>
          <w:szCs w:val="24"/>
          <w:lang w:val="sq-AL"/>
        </w:rPr>
      </w:pPr>
      <w:r w:rsidRPr="00E31272">
        <w:rPr>
          <w:rFonts w:ascii="Garamond" w:hAnsi="Garamond" w:cs="Times New Roman"/>
          <w:i/>
          <w:iCs/>
          <w:sz w:val="24"/>
          <w:szCs w:val="24"/>
          <w:lang w:val="sq-AL"/>
        </w:rPr>
        <w:t xml:space="preserve">A. Vendimi </w:t>
      </w:r>
      <w:proofErr w:type="spellStart"/>
      <w:r w:rsidRPr="00E31272">
        <w:rPr>
          <w:rFonts w:ascii="Garamond" w:hAnsi="Garamond" w:cs="Times New Roman"/>
          <w:i/>
          <w:iCs/>
          <w:sz w:val="24"/>
          <w:szCs w:val="24"/>
          <w:lang w:val="sq-AL"/>
        </w:rPr>
        <w:t>unifikues</w:t>
      </w:r>
      <w:proofErr w:type="spellEnd"/>
      <w:r w:rsidRPr="00E31272">
        <w:rPr>
          <w:rFonts w:ascii="Garamond" w:hAnsi="Garamond" w:cs="Times New Roman"/>
          <w:i/>
          <w:iCs/>
          <w:sz w:val="24"/>
          <w:szCs w:val="24"/>
          <w:lang w:val="sq-AL"/>
        </w:rPr>
        <w:t xml:space="preserve"> nr. 3/2016 i Kolegjeve të Bashkuara të Gjykatës së Lartë ka cenuar:</w:t>
      </w:r>
    </w:p>
    <w:p w14:paraId="0E08A8C8" w14:textId="26697765" w:rsidR="00015CA2" w:rsidRPr="00E31272" w:rsidRDefault="00E31272" w:rsidP="00015CA2">
      <w:pPr>
        <w:pStyle w:val="ListParagraph"/>
        <w:tabs>
          <w:tab w:val="left" w:pos="1260"/>
        </w:tabs>
        <w:spacing w:after="0" w:line="240" w:lineRule="auto"/>
        <w:ind w:left="0" w:firstLine="284"/>
        <w:jc w:val="both"/>
        <w:rPr>
          <w:rFonts w:ascii="Garamond" w:hAnsi="Garamond" w:cs="Times New Roman"/>
          <w:sz w:val="24"/>
          <w:szCs w:val="24"/>
          <w:lang w:val="sq-AL"/>
        </w:rPr>
      </w:pPr>
      <w:r>
        <w:rPr>
          <w:rFonts w:ascii="Garamond" w:hAnsi="Garamond" w:cs="Times New Roman"/>
          <w:sz w:val="24"/>
          <w:szCs w:val="24"/>
          <w:lang w:val="sq-AL"/>
        </w:rPr>
        <w:t>11.1</w:t>
      </w:r>
      <w:r w:rsidR="00015CA2" w:rsidRPr="00E31272">
        <w:rPr>
          <w:rFonts w:ascii="Garamond" w:hAnsi="Garamond" w:cs="Times New Roman"/>
          <w:sz w:val="24"/>
          <w:szCs w:val="24"/>
          <w:lang w:val="sq-AL"/>
        </w:rPr>
        <w:t xml:space="preserve"> </w:t>
      </w:r>
      <w:r w:rsidR="00015CA2" w:rsidRPr="00E31272">
        <w:rPr>
          <w:rFonts w:ascii="Garamond" w:hAnsi="Garamond" w:cs="Times New Roman"/>
          <w:i/>
          <w:iCs/>
          <w:sz w:val="24"/>
          <w:szCs w:val="24"/>
          <w:lang w:val="sq-AL"/>
        </w:rPr>
        <w:t xml:space="preserve">Të drejtën për një proces të rregullt ligjor, </w:t>
      </w:r>
      <w:r w:rsidR="00015CA2" w:rsidRPr="00E31272">
        <w:rPr>
          <w:rFonts w:ascii="Garamond" w:hAnsi="Garamond" w:cs="Times New Roman"/>
          <w:sz w:val="24"/>
          <w:szCs w:val="24"/>
          <w:lang w:val="sq-AL"/>
        </w:rPr>
        <w:t>të garantuar nga neni 42 i Kushtetutës, në drejtim të:</w:t>
      </w:r>
    </w:p>
    <w:p w14:paraId="7D3FC1C4" w14:textId="405B6B6F" w:rsidR="00015CA2" w:rsidRPr="00E31272" w:rsidRDefault="00E31272" w:rsidP="00015CA2">
      <w:pPr>
        <w:pStyle w:val="ListParagraph"/>
        <w:tabs>
          <w:tab w:val="left" w:pos="1260"/>
        </w:tabs>
        <w:spacing w:after="0" w:line="240" w:lineRule="auto"/>
        <w:ind w:left="0" w:firstLine="284"/>
        <w:jc w:val="both"/>
        <w:rPr>
          <w:rFonts w:ascii="Garamond" w:hAnsi="Garamond" w:cs="Times New Roman"/>
          <w:sz w:val="24"/>
          <w:szCs w:val="24"/>
          <w:lang w:val="sq-AL"/>
        </w:rPr>
      </w:pPr>
      <w:r>
        <w:rPr>
          <w:rFonts w:ascii="Garamond" w:hAnsi="Garamond" w:cs="Times New Roman"/>
          <w:sz w:val="24"/>
          <w:szCs w:val="24"/>
          <w:lang w:val="sq-AL"/>
        </w:rPr>
        <w:t>11.1.1</w:t>
      </w:r>
      <w:r w:rsidR="00015CA2" w:rsidRPr="00E31272">
        <w:rPr>
          <w:rFonts w:ascii="Garamond" w:hAnsi="Garamond" w:cs="Times New Roman"/>
          <w:sz w:val="24"/>
          <w:szCs w:val="24"/>
          <w:lang w:val="sq-AL"/>
        </w:rPr>
        <w:t xml:space="preserve"> </w:t>
      </w:r>
      <w:r w:rsidR="00015CA2" w:rsidRPr="00E31272">
        <w:rPr>
          <w:rFonts w:ascii="Garamond" w:hAnsi="Garamond" w:cs="Times New Roman"/>
          <w:i/>
          <w:iCs/>
          <w:sz w:val="24"/>
          <w:szCs w:val="24"/>
          <w:lang w:val="sq-AL"/>
        </w:rPr>
        <w:t xml:space="preserve">Parimit të sigurisë juridike në drejtim të </w:t>
      </w:r>
      <w:proofErr w:type="spellStart"/>
      <w:r w:rsidR="00015CA2" w:rsidRPr="00E31272">
        <w:rPr>
          <w:rFonts w:ascii="Garamond" w:hAnsi="Garamond" w:cs="Times New Roman"/>
          <w:i/>
          <w:iCs/>
          <w:sz w:val="24"/>
          <w:szCs w:val="24"/>
          <w:lang w:val="sq-AL"/>
        </w:rPr>
        <w:t>të</w:t>
      </w:r>
      <w:proofErr w:type="spellEnd"/>
      <w:r w:rsidR="00015CA2" w:rsidRPr="00E31272">
        <w:rPr>
          <w:rFonts w:ascii="Garamond" w:hAnsi="Garamond" w:cs="Times New Roman"/>
          <w:i/>
          <w:iCs/>
          <w:sz w:val="24"/>
          <w:szCs w:val="24"/>
          <w:lang w:val="sq-AL"/>
        </w:rPr>
        <w:t xml:space="preserve"> drejtave të fituara dhe </w:t>
      </w:r>
      <w:proofErr w:type="spellStart"/>
      <w:r w:rsidR="00015CA2" w:rsidRPr="00E31272">
        <w:rPr>
          <w:rFonts w:ascii="Garamond" w:hAnsi="Garamond" w:cs="Times New Roman"/>
          <w:i/>
          <w:iCs/>
          <w:sz w:val="24"/>
          <w:szCs w:val="24"/>
          <w:lang w:val="sq-AL"/>
        </w:rPr>
        <w:t>res</w:t>
      </w:r>
      <w:proofErr w:type="spellEnd"/>
      <w:r w:rsidR="00015CA2" w:rsidRPr="00E31272">
        <w:rPr>
          <w:rFonts w:ascii="Garamond" w:hAnsi="Garamond" w:cs="Times New Roman"/>
          <w:i/>
          <w:iCs/>
          <w:sz w:val="24"/>
          <w:szCs w:val="24"/>
          <w:lang w:val="sq-AL"/>
        </w:rPr>
        <w:t xml:space="preserve"> </w:t>
      </w:r>
      <w:proofErr w:type="spellStart"/>
      <w:r w:rsidR="00015CA2" w:rsidRPr="00E31272">
        <w:rPr>
          <w:rFonts w:ascii="Garamond" w:hAnsi="Garamond" w:cs="Times New Roman"/>
          <w:i/>
          <w:iCs/>
          <w:sz w:val="24"/>
          <w:szCs w:val="24"/>
          <w:lang w:val="sq-AL"/>
        </w:rPr>
        <w:t>judicata</w:t>
      </w:r>
      <w:proofErr w:type="spellEnd"/>
      <w:r w:rsidR="00015CA2" w:rsidRPr="00E31272">
        <w:rPr>
          <w:rFonts w:ascii="Garamond" w:hAnsi="Garamond" w:cs="Times New Roman"/>
          <w:sz w:val="24"/>
          <w:szCs w:val="24"/>
          <w:lang w:val="sq-AL"/>
        </w:rPr>
        <w:t>, pasi kërkuesi ka përfituar pension të parakohshëm për vje</w:t>
      </w:r>
      <w:r>
        <w:rPr>
          <w:rFonts w:ascii="Garamond" w:hAnsi="Garamond" w:cs="Times New Roman"/>
          <w:sz w:val="24"/>
          <w:szCs w:val="24"/>
          <w:lang w:val="sq-AL"/>
        </w:rPr>
        <w:t>tërsi shërbimi për periudhën 1.8.2005–1.</w:t>
      </w:r>
      <w:r w:rsidR="00015CA2" w:rsidRPr="00E31272">
        <w:rPr>
          <w:rFonts w:ascii="Garamond" w:hAnsi="Garamond" w:cs="Times New Roman"/>
          <w:sz w:val="24"/>
          <w:szCs w:val="24"/>
          <w:lang w:val="sq-AL"/>
        </w:rPr>
        <w:t>7.2009 me vendim gjyqësor të formës së prerë. E drejta e këtij pensioni është fituar më parë edhe me ligjin nr. 8087/1996, të ndryshuar me ligjin nr. 8521/1999, nenin 49</w:t>
      </w:r>
      <w:r>
        <w:rPr>
          <w:rFonts w:ascii="Garamond" w:hAnsi="Garamond" w:cs="Times New Roman"/>
          <w:sz w:val="24"/>
          <w:szCs w:val="24"/>
          <w:lang w:val="sq-AL"/>
        </w:rPr>
        <w:t>,</w:t>
      </w:r>
      <w:r w:rsidR="00015CA2" w:rsidRPr="00E31272">
        <w:rPr>
          <w:rFonts w:ascii="Garamond" w:hAnsi="Garamond" w:cs="Times New Roman"/>
          <w:sz w:val="24"/>
          <w:szCs w:val="24"/>
          <w:lang w:val="sq-AL"/>
        </w:rPr>
        <w:t xml:space="preserve"> të ligjit nr. 9210/2004 dhe vendimin nr. 33/2013</w:t>
      </w:r>
      <w:r>
        <w:rPr>
          <w:rFonts w:ascii="Garamond" w:hAnsi="Garamond" w:cs="Times New Roman"/>
          <w:sz w:val="24"/>
          <w:szCs w:val="24"/>
          <w:lang w:val="sq-AL"/>
        </w:rPr>
        <w:t>,</w:t>
      </w:r>
      <w:r w:rsidR="00015CA2" w:rsidRPr="00E31272">
        <w:rPr>
          <w:rFonts w:ascii="Garamond" w:hAnsi="Garamond" w:cs="Times New Roman"/>
          <w:sz w:val="24"/>
          <w:szCs w:val="24"/>
          <w:lang w:val="sq-AL"/>
        </w:rPr>
        <w:t xml:space="preserve"> të Gjykatës. Pra, atij i lind e drejta e vazhdimësisë të së drejtës së fituar më parë deri në plotësimin e moshës për pension të plotë pleqërie. Gjykata e Lartë nuk ka marrë në konsideratë vendimin nr. 33/2010</w:t>
      </w:r>
      <w:r>
        <w:rPr>
          <w:rFonts w:ascii="Garamond" w:hAnsi="Garamond" w:cs="Times New Roman"/>
          <w:sz w:val="24"/>
          <w:szCs w:val="24"/>
          <w:lang w:val="sq-AL"/>
        </w:rPr>
        <w:t>,</w:t>
      </w:r>
      <w:r w:rsidR="00015CA2" w:rsidRPr="00E31272">
        <w:rPr>
          <w:rFonts w:ascii="Garamond" w:hAnsi="Garamond" w:cs="Times New Roman"/>
          <w:sz w:val="24"/>
          <w:szCs w:val="24"/>
          <w:lang w:val="sq-AL"/>
        </w:rPr>
        <w:t xml:space="preserve"> të Gjykatës, i cili ka hyrë në fuqi përpara vendimit nr. 2/2013 të kësaj të fundit dhe vendimit </w:t>
      </w:r>
      <w:proofErr w:type="spellStart"/>
      <w:r w:rsidR="00015CA2" w:rsidRPr="00E31272">
        <w:rPr>
          <w:rFonts w:ascii="Garamond" w:hAnsi="Garamond" w:cs="Times New Roman"/>
          <w:sz w:val="24"/>
          <w:szCs w:val="24"/>
          <w:lang w:val="sq-AL"/>
        </w:rPr>
        <w:t>unifikues</w:t>
      </w:r>
      <w:proofErr w:type="spellEnd"/>
      <w:r w:rsidR="00015CA2" w:rsidRPr="00E31272">
        <w:rPr>
          <w:rFonts w:ascii="Garamond" w:hAnsi="Garamond" w:cs="Times New Roman"/>
          <w:sz w:val="24"/>
          <w:szCs w:val="24"/>
          <w:lang w:val="sq-AL"/>
        </w:rPr>
        <w:t>. Vendimi nr. 2/2013</w:t>
      </w:r>
      <w:r>
        <w:rPr>
          <w:rFonts w:ascii="Garamond" w:hAnsi="Garamond" w:cs="Times New Roman"/>
          <w:sz w:val="24"/>
          <w:szCs w:val="24"/>
          <w:lang w:val="sq-AL"/>
        </w:rPr>
        <w:t>,</w:t>
      </w:r>
      <w:r w:rsidR="00015CA2" w:rsidRPr="00E31272">
        <w:rPr>
          <w:rFonts w:ascii="Garamond" w:hAnsi="Garamond" w:cs="Times New Roman"/>
          <w:sz w:val="24"/>
          <w:szCs w:val="24"/>
          <w:lang w:val="sq-AL"/>
        </w:rPr>
        <w:t xml:space="preserve"> i Gjykatës nuk e ka shfuqizuar vendimin e saj të mëparshëm, prandaj e drejta e pensionit të kërkuesit është fituar me vendimin nr. 33/2010.</w:t>
      </w:r>
    </w:p>
    <w:p w14:paraId="11F9767D" w14:textId="1693311F" w:rsidR="00015CA2" w:rsidRPr="00E31272" w:rsidRDefault="00E31272" w:rsidP="00015CA2">
      <w:pPr>
        <w:pStyle w:val="ListParagraph"/>
        <w:tabs>
          <w:tab w:val="left" w:pos="1260"/>
        </w:tabs>
        <w:spacing w:after="0" w:line="240" w:lineRule="auto"/>
        <w:ind w:left="0" w:firstLine="284"/>
        <w:jc w:val="both"/>
        <w:rPr>
          <w:rFonts w:ascii="Garamond" w:hAnsi="Garamond" w:cs="Times New Roman"/>
          <w:sz w:val="24"/>
          <w:szCs w:val="24"/>
          <w:lang w:val="sq-AL"/>
        </w:rPr>
      </w:pPr>
      <w:r>
        <w:rPr>
          <w:rFonts w:ascii="Garamond" w:hAnsi="Garamond" w:cs="Times New Roman"/>
          <w:sz w:val="24"/>
          <w:szCs w:val="24"/>
          <w:lang w:val="sq-AL"/>
        </w:rPr>
        <w:t xml:space="preserve">11.1.2 </w:t>
      </w:r>
      <w:r w:rsidR="00015CA2" w:rsidRPr="00E31272">
        <w:rPr>
          <w:rFonts w:ascii="Garamond" w:hAnsi="Garamond" w:cs="Times New Roman"/>
          <w:i/>
          <w:iCs/>
          <w:sz w:val="24"/>
          <w:szCs w:val="24"/>
          <w:lang w:val="sq-AL"/>
        </w:rPr>
        <w:t>Parimit të gjykimit të drejtë</w:t>
      </w:r>
      <w:r w:rsidR="00015CA2" w:rsidRPr="00E31272">
        <w:rPr>
          <w:rFonts w:ascii="Garamond" w:hAnsi="Garamond" w:cs="Times New Roman"/>
          <w:sz w:val="24"/>
          <w:szCs w:val="24"/>
          <w:lang w:val="sq-AL"/>
        </w:rPr>
        <w:t xml:space="preserve">, pasi e drejta e pensionit të </w:t>
      </w:r>
      <w:r>
        <w:rPr>
          <w:rFonts w:ascii="Garamond" w:hAnsi="Garamond" w:cs="Times New Roman"/>
          <w:sz w:val="24"/>
          <w:szCs w:val="24"/>
          <w:lang w:val="sq-AL"/>
        </w:rPr>
        <w:t>parakohshëm ka lindur në datën 1.</w:t>
      </w:r>
      <w:r w:rsidR="00015CA2" w:rsidRPr="00E31272">
        <w:rPr>
          <w:rFonts w:ascii="Garamond" w:hAnsi="Garamond" w:cs="Times New Roman"/>
          <w:sz w:val="24"/>
          <w:szCs w:val="24"/>
          <w:lang w:val="sq-AL"/>
        </w:rPr>
        <w:t>8.2005, pas hyrjes në fuqi të ligjit nr. 9210/2004 dhe neni 11</w:t>
      </w:r>
      <w:r>
        <w:rPr>
          <w:rFonts w:ascii="Garamond" w:hAnsi="Garamond" w:cs="Times New Roman"/>
          <w:sz w:val="24"/>
          <w:szCs w:val="24"/>
          <w:lang w:val="sq-AL"/>
        </w:rPr>
        <w:t>,</w:t>
      </w:r>
      <w:r w:rsidR="00015CA2" w:rsidRPr="00E31272">
        <w:rPr>
          <w:rFonts w:ascii="Garamond" w:hAnsi="Garamond" w:cs="Times New Roman"/>
          <w:sz w:val="24"/>
          <w:szCs w:val="24"/>
          <w:lang w:val="sq-AL"/>
        </w:rPr>
        <w:t xml:space="preserve"> i ligjit nr. 8087/1996</w:t>
      </w:r>
      <w:r>
        <w:rPr>
          <w:rFonts w:ascii="Garamond" w:hAnsi="Garamond" w:cs="Times New Roman"/>
          <w:sz w:val="24"/>
          <w:szCs w:val="24"/>
          <w:lang w:val="sq-AL"/>
        </w:rPr>
        <w:t>,</w:t>
      </w:r>
      <w:r w:rsidR="00015CA2" w:rsidRPr="00E31272">
        <w:rPr>
          <w:rFonts w:ascii="Garamond" w:hAnsi="Garamond" w:cs="Times New Roman"/>
          <w:sz w:val="24"/>
          <w:szCs w:val="24"/>
          <w:lang w:val="sq-AL"/>
        </w:rPr>
        <w:t xml:space="preserve"> duhet të zbatohet sipas nenit 49</w:t>
      </w:r>
      <w:r>
        <w:rPr>
          <w:rFonts w:ascii="Garamond" w:hAnsi="Garamond" w:cs="Times New Roman"/>
          <w:sz w:val="24"/>
          <w:szCs w:val="24"/>
          <w:lang w:val="sq-AL"/>
        </w:rPr>
        <w:t>,</w:t>
      </w:r>
      <w:r w:rsidR="00015CA2" w:rsidRPr="00E31272">
        <w:rPr>
          <w:rFonts w:ascii="Garamond" w:hAnsi="Garamond" w:cs="Times New Roman"/>
          <w:sz w:val="24"/>
          <w:szCs w:val="24"/>
          <w:lang w:val="sq-AL"/>
        </w:rPr>
        <w:t xml:space="preserve"> të ligjit 9210/2004, sipas të cilit shprehja “jo më shumë se masa e pensionit maksimal të pleqërisë në shkallë vendi” është shfuqizuar. Kolegjet e Bashkuara në vendimin </w:t>
      </w:r>
      <w:proofErr w:type="spellStart"/>
      <w:r w:rsidR="00015CA2" w:rsidRPr="00E31272">
        <w:rPr>
          <w:rFonts w:ascii="Garamond" w:hAnsi="Garamond" w:cs="Times New Roman"/>
          <w:sz w:val="24"/>
          <w:szCs w:val="24"/>
          <w:lang w:val="sq-AL"/>
        </w:rPr>
        <w:t>unifikues</w:t>
      </w:r>
      <w:proofErr w:type="spellEnd"/>
      <w:r w:rsidR="00015CA2" w:rsidRPr="00E31272">
        <w:rPr>
          <w:rFonts w:ascii="Garamond" w:hAnsi="Garamond" w:cs="Times New Roman"/>
          <w:sz w:val="24"/>
          <w:szCs w:val="24"/>
          <w:lang w:val="sq-AL"/>
        </w:rPr>
        <w:t xml:space="preserve"> nuk e kanë pranuar zbatimin e këtij neni, me argumentin se nuk ishin miratuar aktet nënligjore, ndonëse kanë pasur detyrimin e zbatimit të tij. Në këtë mënyrë ato kanë marrë kompetencat e organit ligjvënës, kanë shkelur nenin 141 të Kushtetutës dhe kanë ndryshuar ligjin pas një periudhe 11-vjeçare, ndonëse vendimet e gjykatave për pensionin e parakohshëm kishin marrë formë të prerë dhe ishin ekzekutuar. Gjykata në vendimin e saj nr. 2/2013 është mbështetur në prova fiktive të paraqitura nga subjektet e interesuara në atë gjykim, pa shifra dhe pa llogaritur borxhin publik. Për rrjedhojë, Gjykata duhet të konstatojë shkelje edhe të vendimit të saj nr. 2/2013.</w:t>
      </w:r>
    </w:p>
    <w:p w14:paraId="2A435DAC" w14:textId="4ACC5152" w:rsidR="00015CA2" w:rsidRPr="00E31272" w:rsidRDefault="00E31272" w:rsidP="00015CA2">
      <w:pPr>
        <w:pStyle w:val="ListParagraph"/>
        <w:tabs>
          <w:tab w:val="left" w:pos="1260"/>
        </w:tabs>
        <w:spacing w:after="0" w:line="240" w:lineRule="auto"/>
        <w:ind w:left="0" w:firstLine="284"/>
        <w:jc w:val="both"/>
        <w:rPr>
          <w:rFonts w:ascii="Garamond" w:hAnsi="Garamond" w:cs="Times New Roman"/>
          <w:sz w:val="24"/>
          <w:szCs w:val="24"/>
          <w:lang w:val="sq-AL"/>
        </w:rPr>
      </w:pPr>
      <w:r>
        <w:rPr>
          <w:rFonts w:ascii="Garamond" w:hAnsi="Garamond" w:cs="Times New Roman"/>
          <w:sz w:val="24"/>
          <w:szCs w:val="24"/>
          <w:lang w:val="sq-AL"/>
        </w:rPr>
        <w:t>11.2</w:t>
      </w:r>
      <w:r w:rsidR="00015CA2" w:rsidRPr="00E31272">
        <w:rPr>
          <w:rFonts w:ascii="Garamond" w:hAnsi="Garamond" w:cs="Times New Roman"/>
          <w:sz w:val="24"/>
          <w:szCs w:val="24"/>
          <w:lang w:val="sq-AL"/>
        </w:rPr>
        <w:t xml:space="preserve"> </w:t>
      </w:r>
      <w:r w:rsidR="00015CA2" w:rsidRPr="00E31272">
        <w:rPr>
          <w:rFonts w:ascii="Garamond" w:hAnsi="Garamond" w:cs="Times New Roman"/>
          <w:i/>
          <w:iCs/>
          <w:sz w:val="24"/>
          <w:szCs w:val="24"/>
          <w:lang w:val="sq-AL"/>
        </w:rPr>
        <w:t>Të drejtën për mbrojtjen shoqërore të punës</w:t>
      </w:r>
      <w:r w:rsidR="00015CA2" w:rsidRPr="00E31272">
        <w:rPr>
          <w:rFonts w:ascii="Garamond" w:hAnsi="Garamond" w:cs="Times New Roman"/>
          <w:sz w:val="24"/>
          <w:szCs w:val="24"/>
          <w:lang w:val="sq-AL"/>
        </w:rPr>
        <w:t xml:space="preserve">, të garantuar nga neni 49, paragrafi 2, i Kushtetutës, pasi vendimi </w:t>
      </w:r>
      <w:proofErr w:type="spellStart"/>
      <w:r w:rsidR="00015CA2" w:rsidRPr="00E31272">
        <w:rPr>
          <w:rFonts w:ascii="Garamond" w:hAnsi="Garamond" w:cs="Times New Roman"/>
          <w:sz w:val="24"/>
          <w:szCs w:val="24"/>
          <w:lang w:val="sq-AL"/>
        </w:rPr>
        <w:t>unifikues</w:t>
      </w:r>
      <w:proofErr w:type="spellEnd"/>
      <w:r w:rsidR="00015CA2" w:rsidRPr="00E31272">
        <w:rPr>
          <w:rFonts w:ascii="Garamond" w:hAnsi="Garamond" w:cs="Times New Roman"/>
          <w:sz w:val="24"/>
          <w:szCs w:val="24"/>
          <w:lang w:val="sq-AL"/>
        </w:rPr>
        <w:t xml:space="preserve"> nr. 3/2016</w:t>
      </w:r>
      <w:r>
        <w:rPr>
          <w:rFonts w:ascii="Garamond" w:hAnsi="Garamond" w:cs="Times New Roman"/>
          <w:sz w:val="24"/>
          <w:szCs w:val="24"/>
          <w:lang w:val="sq-AL"/>
        </w:rPr>
        <w:t>,</w:t>
      </w:r>
      <w:r w:rsidR="00015CA2" w:rsidRPr="00E31272">
        <w:rPr>
          <w:rFonts w:ascii="Garamond" w:hAnsi="Garamond" w:cs="Times New Roman"/>
          <w:sz w:val="24"/>
          <w:szCs w:val="24"/>
          <w:lang w:val="sq-AL"/>
        </w:rPr>
        <w:t xml:space="preserve"> ul në mënyrë të ndjeshme deri në 50% përfitimin financiar të pensionit të parakohshëm, duke e përgjysmuar dhe duke përkeqësuar situatën financiare dhe ekonomike nën </w:t>
      </w:r>
      <w:r w:rsidR="00015CA2" w:rsidRPr="00E31272">
        <w:rPr>
          <w:rFonts w:ascii="Garamond" w:hAnsi="Garamond" w:cs="Times New Roman"/>
          <w:sz w:val="24"/>
          <w:szCs w:val="24"/>
          <w:lang w:val="sq-AL"/>
        </w:rPr>
        <w:lastRenderedPageBreak/>
        <w:t>nivelin jetik, pra nën pagën minimale. Ushtarakët nuk kanë profesion tjetër dhe ata nuk mund të angazhohen në punë të tjera, pasi kjo kategori është e moshuar. Gjithashtu, ushtarakët nuk kanë të ardhura të tjera shtesë dhe familja jeton me pensionin e tyre. Ushtarakët nuk përfitojnë as të drejta suplementare financiare.</w:t>
      </w:r>
    </w:p>
    <w:p w14:paraId="756D552A" w14:textId="5EF22AB9" w:rsidR="00015CA2" w:rsidRPr="00E31272" w:rsidRDefault="00E31272" w:rsidP="00015CA2">
      <w:pPr>
        <w:pStyle w:val="ListParagraph"/>
        <w:tabs>
          <w:tab w:val="left" w:pos="1260"/>
        </w:tabs>
        <w:spacing w:after="0" w:line="240" w:lineRule="auto"/>
        <w:ind w:left="0" w:firstLine="284"/>
        <w:jc w:val="both"/>
        <w:rPr>
          <w:rFonts w:ascii="Garamond" w:hAnsi="Garamond" w:cs="Times New Roman"/>
          <w:sz w:val="24"/>
          <w:szCs w:val="24"/>
          <w:lang w:val="sq-AL"/>
        </w:rPr>
      </w:pPr>
      <w:r>
        <w:rPr>
          <w:rFonts w:ascii="Garamond" w:hAnsi="Garamond" w:cs="Times New Roman"/>
          <w:sz w:val="24"/>
          <w:szCs w:val="24"/>
          <w:lang w:val="sq-AL"/>
        </w:rPr>
        <w:t>11.3</w:t>
      </w:r>
      <w:r w:rsidR="00015CA2" w:rsidRPr="00E31272">
        <w:rPr>
          <w:rFonts w:ascii="Garamond" w:hAnsi="Garamond" w:cs="Times New Roman"/>
          <w:sz w:val="24"/>
          <w:szCs w:val="24"/>
          <w:lang w:val="sq-AL"/>
        </w:rPr>
        <w:t xml:space="preserve"> </w:t>
      </w:r>
      <w:r w:rsidR="00015CA2" w:rsidRPr="00E31272">
        <w:rPr>
          <w:rFonts w:ascii="Garamond" w:hAnsi="Garamond" w:cs="Times New Roman"/>
          <w:i/>
          <w:iCs/>
          <w:sz w:val="24"/>
          <w:szCs w:val="24"/>
          <w:lang w:val="sq-AL"/>
        </w:rPr>
        <w:t xml:space="preserve">Të drejtën për pension, </w:t>
      </w:r>
      <w:r w:rsidR="00015CA2" w:rsidRPr="00E31272">
        <w:rPr>
          <w:rFonts w:ascii="Garamond" w:hAnsi="Garamond" w:cs="Times New Roman"/>
          <w:sz w:val="24"/>
          <w:szCs w:val="24"/>
          <w:lang w:val="sq-AL"/>
        </w:rPr>
        <w:t>të garantuar nga neni 52 i Kushtetutës</w:t>
      </w:r>
      <w:r w:rsidR="00015CA2" w:rsidRPr="00E31272">
        <w:rPr>
          <w:rFonts w:ascii="Garamond" w:hAnsi="Garamond" w:cs="Times New Roman"/>
          <w:i/>
          <w:iCs/>
          <w:sz w:val="24"/>
          <w:szCs w:val="24"/>
          <w:lang w:val="sq-AL"/>
        </w:rPr>
        <w:t>,</w:t>
      </w:r>
      <w:r w:rsidR="00015CA2" w:rsidRPr="00E31272">
        <w:rPr>
          <w:rFonts w:ascii="Garamond" w:hAnsi="Garamond" w:cs="Times New Roman"/>
          <w:sz w:val="24"/>
          <w:szCs w:val="24"/>
          <w:lang w:val="sq-AL"/>
        </w:rPr>
        <w:t xml:space="preserve"> pasi kufizimi i pensionit të parakohshëm të ushtarakëve nuk plotëson kriteret e kufizimit të nenit 17 të Kushtetutës, pasi nuk është bërë për një interes publik. Po kështu, kufizimi nuk është bërë me ligj, por me vendime gjyqësore, si vendimi i Gjykatës nr. 33/2010 dhe vendimi </w:t>
      </w:r>
      <w:proofErr w:type="spellStart"/>
      <w:r w:rsidR="00015CA2" w:rsidRPr="00E31272">
        <w:rPr>
          <w:rFonts w:ascii="Garamond" w:hAnsi="Garamond" w:cs="Times New Roman"/>
          <w:sz w:val="24"/>
          <w:szCs w:val="24"/>
          <w:lang w:val="sq-AL"/>
        </w:rPr>
        <w:t>unifikues</w:t>
      </w:r>
      <w:proofErr w:type="spellEnd"/>
      <w:r w:rsidR="00015CA2" w:rsidRPr="00E31272">
        <w:rPr>
          <w:rFonts w:ascii="Garamond" w:hAnsi="Garamond" w:cs="Times New Roman"/>
          <w:sz w:val="24"/>
          <w:szCs w:val="24"/>
          <w:lang w:val="sq-AL"/>
        </w:rPr>
        <w:t xml:space="preserve"> nr. 3/2016. Ligji nr. 10142/2009</w:t>
      </w:r>
      <w:r>
        <w:rPr>
          <w:rFonts w:ascii="Garamond" w:hAnsi="Garamond" w:cs="Times New Roman"/>
          <w:sz w:val="24"/>
          <w:szCs w:val="24"/>
          <w:lang w:val="sq-AL"/>
        </w:rPr>
        <w:t>,</w:t>
      </w:r>
      <w:r w:rsidR="00015CA2" w:rsidRPr="00E31272">
        <w:rPr>
          <w:rFonts w:ascii="Garamond" w:hAnsi="Garamond" w:cs="Times New Roman"/>
          <w:sz w:val="24"/>
          <w:szCs w:val="24"/>
          <w:lang w:val="sq-AL"/>
        </w:rPr>
        <w:t xml:space="preserve"> nuk ka parashikuar shpenzimet financiare për zbatimin e tij. Kushtetuta dhe kuadri ligjor nuk parashikojnë kufizimin e pensionit të parakohshëm. Shkaqet e kufizimit të kësaj të drejte nga vendimi </w:t>
      </w:r>
      <w:proofErr w:type="spellStart"/>
      <w:r w:rsidR="00015CA2" w:rsidRPr="00E31272">
        <w:rPr>
          <w:rFonts w:ascii="Garamond" w:hAnsi="Garamond" w:cs="Times New Roman"/>
          <w:sz w:val="24"/>
          <w:szCs w:val="24"/>
          <w:lang w:val="sq-AL"/>
        </w:rPr>
        <w:t>unifikues</w:t>
      </w:r>
      <w:proofErr w:type="spellEnd"/>
      <w:r w:rsidR="00015CA2" w:rsidRPr="00E31272">
        <w:rPr>
          <w:rFonts w:ascii="Garamond" w:hAnsi="Garamond" w:cs="Times New Roman"/>
          <w:sz w:val="24"/>
          <w:szCs w:val="24"/>
          <w:lang w:val="sq-AL"/>
        </w:rPr>
        <w:t xml:space="preserve"> janë alogjike, pasi përballimi i pasojave në buxhetin e shtetit nuk mund të bëhet vetëm nëpërmjet kufizimit të </w:t>
      </w:r>
      <w:proofErr w:type="spellStart"/>
      <w:r w:rsidR="00015CA2" w:rsidRPr="00E31272">
        <w:rPr>
          <w:rFonts w:ascii="Garamond" w:hAnsi="Garamond" w:cs="Times New Roman"/>
          <w:sz w:val="24"/>
          <w:szCs w:val="24"/>
          <w:lang w:val="sq-AL"/>
        </w:rPr>
        <w:t>të</w:t>
      </w:r>
      <w:proofErr w:type="spellEnd"/>
      <w:r w:rsidR="00015CA2" w:rsidRPr="00E31272">
        <w:rPr>
          <w:rFonts w:ascii="Garamond" w:hAnsi="Garamond" w:cs="Times New Roman"/>
          <w:sz w:val="24"/>
          <w:szCs w:val="24"/>
          <w:lang w:val="sq-AL"/>
        </w:rPr>
        <w:t xml:space="preserve"> drejtave të ushtarakëve. </w:t>
      </w:r>
    </w:p>
    <w:p w14:paraId="7E69299C" w14:textId="3E1A7239" w:rsidR="00015CA2" w:rsidRPr="00E31272" w:rsidRDefault="00E31272" w:rsidP="00015CA2">
      <w:pPr>
        <w:pStyle w:val="ListParagraph"/>
        <w:tabs>
          <w:tab w:val="left" w:pos="1260"/>
        </w:tabs>
        <w:spacing w:after="0" w:line="240" w:lineRule="auto"/>
        <w:ind w:left="0" w:firstLine="284"/>
        <w:jc w:val="both"/>
        <w:rPr>
          <w:rFonts w:ascii="Garamond" w:hAnsi="Garamond" w:cs="Times New Roman"/>
          <w:sz w:val="24"/>
          <w:szCs w:val="24"/>
          <w:lang w:val="sq-AL"/>
        </w:rPr>
      </w:pPr>
      <w:r>
        <w:rPr>
          <w:rFonts w:ascii="Garamond" w:hAnsi="Garamond" w:cs="Times New Roman"/>
          <w:sz w:val="24"/>
          <w:szCs w:val="24"/>
          <w:lang w:val="sq-AL"/>
        </w:rPr>
        <w:t xml:space="preserve">11.4 </w:t>
      </w:r>
      <w:r w:rsidR="00015CA2" w:rsidRPr="00E31272">
        <w:rPr>
          <w:rFonts w:ascii="Garamond" w:hAnsi="Garamond" w:cs="Times New Roman"/>
          <w:i/>
          <w:iCs/>
          <w:sz w:val="24"/>
          <w:szCs w:val="24"/>
          <w:lang w:val="sq-AL"/>
        </w:rPr>
        <w:t xml:space="preserve">Parimin e </w:t>
      </w:r>
      <w:proofErr w:type="spellStart"/>
      <w:r w:rsidR="00015CA2" w:rsidRPr="00E31272">
        <w:rPr>
          <w:rFonts w:ascii="Garamond" w:hAnsi="Garamond" w:cs="Times New Roman"/>
          <w:i/>
          <w:iCs/>
          <w:sz w:val="24"/>
          <w:szCs w:val="24"/>
          <w:lang w:val="sq-AL"/>
        </w:rPr>
        <w:t>proporcionalitetit</w:t>
      </w:r>
      <w:proofErr w:type="spellEnd"/>
      <w:r w:rsidR="00015CA2" w:rsidRPr="00E31272">
        <w:rPr>
          <w:rFonts w:ascii="Garamond" w:hAnsi="Garamond" w:cs="Times New Roman"/>
          <w:sz w:val="24"/>
          <w:szCs w:val="24"/>
          <w:lang w:val="sq-AL"/>
        </w:rPr>
        <w:t>, të garantuar nga neni 17 i Kushtetutës, pasi pensioni i parakohshëm i llogaritur sipas vendimeve të formës së prerë ka qenë në masën 52.584 lekë, ndërsa pas prishjes së tyre nga Gjykata e Lartë ai është ulur në masën mbi 50%. Nga dalja e vendimit të Gjykatës nr. 2/2013</w:t>
      </w:r>
      <w:r>
        <w:rPr>
          <w:rFonts w:ascii="Garamond" w:hAnsi="Garamond" w:cs="Times New Roman"/>
          <w:sz w:val="24"/>
          <w:szCs w:val="24"/>
          <w:lang w:val="sq-AL"/>
        </w:rPr>
        <w:t>,</w:t>
      </w:r>
      <w:r w:rsidR="00015CA2" w:rsidRPr="00E31272">
        <w:rPr>
          <w:rFonts w:ascii="Garamond" w:hAnsi="Garamond" w:cs="Times New Roman"/>
          <w:sz w:val="24"/>
          <w:szCs w:val="24"/>
          <w:lang w:val="sq-AL"/>
        </w:rPr>
        <w:t xml:space="preserve"> deri në vendimin </w:t>
      </w:r>
      <w:proofErr w:type="spellStart"/>
      <w:r w:rsidR="00015CA2" w:rsidRPr="00E31272">
        <w:rPr>
          <w:rFonts w:ascii="Garamond" w:hAnsi="Garamond" w:cs="Times New Roman"/>
          <w:sz w:val="24"/>
          <w:szCs w:val="24"/>
          <w:lang w:val="sq-AL"/>
        </w:rPr>
        <w:t>unifikues</w:t>
      </w:r>
      <w:proofErr w:type="spellEnd"/>
      <w:r w:rsidR="00015CA2" w:rsidRPr="00E31272">
        <w:rPr>
          <w:rFonts w:ascii="Garamond" w:hAnsi="Garamond" w:cs="Times New Roman"/>
          <w:sz w:val="24"/>
          <w:szCs w:val="24"/>
          <w:lang w:val="sq-AL"/>
        </w:rPr>
        <w:t xml:space="preserve"> të vitit 2016 të Kolegjeve të Bashkuara të Gjykatës së Lartë ka kaluar një periudhë 3-vjeçare dhe ky vendim i fundit nuk ka marrë parasysh se interesi publik ka ndryshuar si rezultat i inflacionit, borxhit publik etj.</w:t>
      </w:r>
    </w:p>
    <w:p w14:paraId="236E4188" w14:textId="2076A140" w:rsidR="00015CA2" w:rsidRPr="00E31272" w:rsidRDefault="00E31272" w:rsidP="00015CA2">
      <w:pPr>
        <w:pStyle w:val="ListParagraph"/>
        <w:tabs>
          <w:tab w:val="left" w:pos="1260"/>
        </w:tabs>
        <w:spacing w:after="0" w:line="240" w:lineRule="auto"/>
        <w:ind w:left="0" w:firstLine="284"/>
        <w:jc w:val="both"/>
        <w:rPr>
          <w:rFonts w:ascii="Garamond" w:hAnsi="Garamond" w:cs="Times New Roman"/>
          <w:sz w:val="24"/>
          <w:szCs w:val="24"/>
          <w:lang w:val="sq-AL"/>
        </w:rPr>
      </w:pPr>
      <w:r>
        <w:rPr>
          <w:rFonts w:ascii="Garamond" w:hAnsi="Garamond" w:cs="Times New Roman"/>
          <w:sz w:val="24"/>
          <w:szCs w:val="24"/>
          <w:lang w:val="sq-AL"/>
        </w:rPr>
        <w:t>11.5</w:t>
      </w:r>
      <w:r w:rsidR="00015CA2" w:rsidRPr="00E31272">
        <w:rPr>
          <w:rFonts w:ascii="Garamond" w:hAnsi="Garamond" w:cs="Times New Roman"/>
          <w:sz w:val="24"/>
          <w:szCs w:val="24"/>
          <w:lang w:val="sq-AL"/>
        </w:rPr>
        <w:t xml:space="preserve"> </w:t>
      </w:r>
      <w:r w:rsidR="00015CA2" w:rsidRPr="00E31272">
        <w:rPr>
          <w:rFonts w:ascii="Garamond" w:hAnsi="Garamond" w:cs="Times New Roman"/>
          <w:i/>
          <w:iCs/>
          <w:sz w:val="24"/>
          <w:szCs w:val="24"/>
          <w:lang w:val="sq-AL"/>
        </w:rPr>
        <w:t xml:space="preserve">Parimin e barazisë përpara ligjit dhe </w:t>
      </w:r>
      <w:proofErr w:type="spellStart"/>
      <w:r w:rsidR="00015CA2" w:rsidRPr="00E31272">
        <w:rPr>
          <w:rFonts w:ascii="Garamond" w:hAnsi="Garamond" w:cs="Times New Roman"/>
          <w:i/>
          <w:iCs/>
          <w:sz w:val="24"/>
          <w:szCs w:val="24"/>
          <w:lang w:val="sq-AL"/>
        </w:rPr>
        <w:t>mosdiskriminimit</w:t>
      </w:r>
      <w:proofErr w:type="spellEnd"/>
      <w:r w:rsidR="00015CA2" w:rsidRPr="00E31272">
        <w:rPr>
          <w:rFonts w:ascii="Garamond" w:hAnsi="Garamond" w:cs="Times New Roman"/>
          <w:sz w:val="24"/>
          <w:szCs w:val="24"/>
          <w:lang w:val="sq-AL"/>
        </w:rPr>
        <w:t xml:space="preserve">, të garantuar nga neni 18 i Kushtetutës, pasi kufizimi i pensionit të parakohshëm është bërë vetëm për ushtarakët, për shkak të përkatësisë shoqërore të tyre dhe gjendjes ekonomike. Ndikimi në buxhetin e shtetit, reduktimi i borxhit publik etj. nuk mund të përballohen vetëm nga ushtarakët. Shumë kategori të tjera funksionarësh publikë nuk janë prekur nga ulja e pensionit të parakohshëm. Ky parim është cenuar nga vendimi </w:t>
      </w:r>
      <w:proofErr w:type="spellStart"/>
      <w:r w:rsidR="00015CA2" w:rsidRPr="00E31272">
        <w:rPr>
          <w:rFonts w:ascii="Garamond" w:hAnsi="Garamond" w:cs="Times New Roman"/>
          <w:sz w:val="24"/>
          <w:szCs w:val="24"/>
          <w:lang w:val="sq-AL"/>
        </w:rPr>
        <w:t>unifikues</w:t>
      </w:r>
      <w:proofErr w:type="spellEnd"/>
      <w:r w:rsidR="00015CA2" w:rsidRPr="00E31272">
        <w:rPr>
          <w:rFonts w:ascii="Garamond" w:hAnsi="Garamond" w:cs="Times New Roman"/>
          <w:sz w:val="24"/>
          <w:szCs w:val="24"/>
          <w:lang w:val="sq-AL"/>
        </w:rPr>
        <w:t xml:space="preserve"> nr. 3/2016, i cili ka prekur vetëm pensionet e ushtarakëve.</w:t>
      </w:r>
    </w:p>
    <w:p w14:paraId="57D4BB9F" w14:textId="448CEF6E" w:rsidR="00015CA2" w:rsidRPr="00E31272" w:rsidRDefault="00E31272" w:rsidP="00015CA2">
      <w:pPr>
        <w:pStyle w:val="ListParagraph"/>
        <w:tabs>
          <w:tab w:val="left" w:pos="1260"/>
        </w:tabs>
        <w:spacing w:after="0" w:line="240" w:lineRule="auto"/>
        <w:ind w:left="0" w:firstLine="284"/>
        <w:jc w:val="both"/>
        <w:rPr>
          <w:rFonts w:ascii="Garamond" w:hAnsi="Garamond" w:cs="Times New Roman"/>
          <w:sz w:val="24"/>
          <w:szCs w:val="24"/>
          <w:lang w:val="sq-AL"/>
        </w:rPr>
      </w:pPr>
      <w:r>
        <w:rPr>
          <w:rFonts w:ascii="Garamond" w:hAnsi="Garamond" w:cs="Times New Roman"/>
          <w:sz w:val="24"/>
          <w:szCs w:val="24"/>
          <w:lang w:val="sq-AL"/>
        </w:rPr>
        <w:t>11.6</w:t>
      </w:r>
      <w:r w:rsidR="00015CA2" w:rsidRPr="00E31272">
        <w:rPr>
          <w:rFonts w:ascii="Garamond" w:hAnsi="Garamond" w:cs="Times New Roman"/>
          <w:sz w:val="24"/>
          <w:szCs w:val="24"/>
          <w:lang w:val="sq-AL"/>
        </w:rPr>
        <w:t xml:space="preserve"> </w:t>
      </w:r>
      <w:r w:rsidR="00015CA2" w:rsidRPr="00E31272">
        <w:rPr>
          <w:rFonts w:ascii="Garamond" w:hAnsi="Garamond" w:cs="Times New Roman"/>
          <w:i/>
          <w:iCs/>
          <w:sz w:val="24"/>
          <w:szCs w:val="24"/>
          <w:lang w:val="sq-AL"/>
        </w:rPr>
        <w:t>Parimin e moszbatimit të fuqisë prapavepruese</w:t>
      </w:r>
      <w:r w:rsidR="00015CA2" w:rsidRPr="00E31272">
        <w:rPr>
          <w:rFonts w:ascii="Garamond" w:hAnsi="Garamond" w:cs="Times New Roman"/>
          <w:sz w:val="24"/>
          <w:szCs w:val="24"/>
          <w:lang w:val="sq-AL"/>
        </w:rPr>
        <w:t>, pasi pensioni i parakohshëm i kë</w:t>
      </w:r>
      <w:r>
        <w:rPr>
          <w:rFonts w:ascii="Garamond" w:hAnsi="Garamond" w:cs="Times New Roman"/>
          <w:sz w:val="24"/>
          <w:szCs w:val="24"/>
          <w:lang w:val="sq-AL"/>
        </w:rPr>
        <w:t>rkuesit është caktuar në datën 1.</w:t>
      </w:r>
      <w:r w:rsidR="00015CA2" w:rsidRPr="00E31272">
        <w:rPr>
          <w:rFonts w:ascii="Garamond" w:hAnsi="Garamond" w:cs="Times New Roman"/>
          <w:sz w:val="24"/>
          <w:szCs w:val="24"/>
          <w:lang w:val="sq-AL"/>
        </w:rPr>
        <w:t xml:space="preserve">8.2005, përpara hyrjes në fuqi të vendimit të Gjykatës nr. 3/2013 dhe vendimit </w:t>
      </w:r>
      <w:proofErr w:type="spellStart"/>
      <w:r w:rsidR="00015CA2" w:rsidRPr="00E31272">
        <w:rPr>
          <w:rFonts w:ascii="Garamond" w:hAnsi="Garamond" w:cs="Times New Roman"/>
          <w:sz w:val="24"/>
          <w:szCs w:val="24"/>
          <w:lang w:val="sq-AL"/>
        </w:rPr>
        <w:t>unifikues</w:t>
      </w:r>
      <w:proofErr w:type="spellEnd"/>
      <w:r w:rsidR="00015CA2" w:rsidRPr="00E31272">
        <w:rPr>
          <w:rFonts w:ascii="Garamond" w:hAnsi="Garamond" w:cs="Times New Roman"/>
          <w:sz w:val="24"/>
          <w:szCs w:val="24"/>
          <w:lang w:val="sq-AL"/>
        </w:rPr>
        <w:t xml:space="preserve"> dhe ligji i zbatueshëm ishte ligji në fuqi në kohën e lindjes të së drejtës, konkretisht ai nr. 8087/1996, i ndryshuar. Edhe Gjykata nuk mund të ndryshojë të drejtën e pensionit me një vendim tjetër të saj. Kolegjet e Bashkuara i kanë dhënë fuqi prapavepruese nenit 29</w:t>
      </w:r>
      <w:r>
        <w:rPr>
          <w:rFonts w:ascii="Garamond" w:hAnsi="Garamond" w:cs="Times New Roman"/>
          <w:sz w:val="24"/>
          <w:szCs w:val="24"/>
          <w:lang w:val="sq-AL"/>
        </w:rPr>
        <w:t>,</w:t>
      </w:r>
      <w:r w:rsidR="00015CA2" w:rsidRPr="00E31272">
        <w:rPr>
          <w:rFonts w:ascii="Garamond" w:hAnsi="Garamond" w:cs="Times New Roman"/>
          <w:sz w:val="24"/>
          <w:szCs w:val="24"/>
          <w:lang w:val="sq-AL"/>
        </w:rPr>
        <w:t xml:space="preserve"> të ligjit nr. 10142/2009, ndonëse ai parashikon se rillogaritja bëhet vetëm për ata persona për të cilët pensioni i parakohshëm nuk është caktuar, në ndryshim nga situata e kërkuesit, duke marrë kompetencat e pushtetit ligjvënës. </w:t>
      </w:r>
    </w:p>
    <w:p w14:paraId="172EABF7" w14:textId="65F13F47" w:rsidR="00015CA2" w:rsidRPr="00E31272" w:rsidRDefault="00E31272" w:rsidP="00015CA2">
      <w:pPr>
        <w:pStyle w:val="ListParagraph"/>
        <w:tabs>
          <w:tab w:val="left" w:pos="1260"/>
        </w:tabs>
        <w:spacing w:after="0" w:line="240" w:lineRule="auto"/>
        <w:ind w:left="0" w:firstLine="284"/>
        <w:jc w:val="both"/>
        <w:rPr>
          <w:rFonts w:ascii="Garamond" w:hAnsi="Garamond" w:cs="Times New Roman"/>
          <w:sz w:val="24"/>
          <w:szCs w:val="24"/>
          <w:lang w:val="sq-AL"/>
        </w:rPr>
      </w:pPr>
      <w:r>
        <w:rPr>
          <w:rFonts w:ascii="Garamond" w:hAnsi="Garamond" w:cs="Times New Roman"/>
          <w:sz w:val="24"/>
          <w:szCs w:val="24"/>
          <w:lang w:val="sq-AL"/>
        </w:rPr>
        <w:t xml:space="preserve">11.7 </w:t>
      </w:r>
      <w:r w:rsidR="00015CA2" w:rsidRPr="00E31272">
        <w:rPr>
          <w:rFonts w:ascii="Garamond" w:hAnsi="Garamond" w:cs="Times New Roman"/>
          <w:i/>
          <w:iCs/>
          <w:sz w:val="24"/>
          <w:szCs w:val="24"/>
          <w:lang w:val="sq-AL"/>
        </w:rPr>
        <w:t>Të drejtën për informim</w:t>
      </w:r>
      <w:r w:rsidR="00015CA2" w:rsidRPr="00E31272">
        <w:rPr>
          <w:rFonts w:ascii="Garamond" w:hAnsi="Garamond" w:cs="Times New Roman"/>
          <w:sz w:val="24"/>
          <w:szCs w:val="24"/>
          <w:lang w:val="sq-AL"/>
        </w:rPr>
        <w:t xml:space="preserve">, pasi Gjykata e Lartë nuk i ka vënë në dispozicion kërkuesit kopje të dosjes gjyqësore të vendimit </w:t>
      </w:r>
      <w:proofErr w:type="spellStart"/>
      <w:r w:rsidR="00015CA2" w:rsidRPr="00E31272">
        <w:rPr>
          <w:rFonts w:ascii="Garamond" w:hAnsi="Garamond" w:cs="Times New Roman"/>
          <w:sz w:val="24"/>
          <w:szCs w:val="24"/>
          <w:lang w:val="sq-AL"/>
        </w:rPr>
        <w:t>unifikues</w:t>
      </w:r>
      <w:proofErr w:type="spellEnd"/>
      <w:r w:rsidR="00015CA2" w:rsidRPr="00E31272">
        <w:rPr>
          <w:rFonts w:ascii="Garamond" w:hAnsi="Garamond" w:cs="Times New Roman"/>
          <w:sz w:val="24"/>
          <w:szCs w:val="24"/>
          <w:lang w:val="sq-AL"/>
        </w:rPr>
        <w:t xml:space="preserve"> nr. 3/2016</w:t>
      </w:r>
      <w:r>
        <w:rPr>
          <w:rFonts w:ascii="Garamond" w:hAnsi="Garamond" w:cs="Times New Roman"/>
          <w:sz w:val="24"/>
          <w:szCs w:val="24"/>
          <w:lang w:val="sq-AL"/>
        </w:rPr>
        <w:t>,</w:t>
      </w:r>
      <w:r w:rsidR="00015CA2" w:rsidRPr="00E31272">
        <w:rPr>
          <w:rFonts w:ascii="Garamond" w:hAnsi="Garamond" w:cs="Times New Roman"/>
          <w:sz w:val="24"/>
          <w:szCs w:val="24"/>
          <w:lang w:val="sq-AL"/>
        </w:rPr>
        <w:t xml:space="preserve"> të Kolegjeve të Bashkuara të Gjykatës së Lartë. Palë në atë gjykim ishte shoqata e ushtarakëve, pjesë e së cilës është edhe kërkuesi, për rrjedhojë ai ka të drejtë të njihet me dosjen gjyqësore që i përket vendimit </w:t>
      </w:r>
      <w:proofErr w:type="spellStart"/>
      <w:r w:rsidR="00015CA2" w:rsidRPr="00E31272">
        <w:rPr>
          <w:rFonts w:ascii="Garamond" w:hAnsi="Garamond" w:cs="Times New Roman"/>
          <w:sz w:val="24"/>
          <w:szCs w:val="24"/>
          <w:lang w:val="sq-AL"/>
        </w:rPr>
        <w:t>unifikues</w:t>
      </w:r>
      <w:proofErr w:type="spellEnd"/>
      <w:r w:rsidR="00015CA2" w:rsidRPr="00E31272">
        <w:rPr>
          <w:rFonts w:ascii="Garamond" w:hAnsi="Garamond" w:cs="Times New Roman"/>
          <w:sz w:val="24"/>
          <w:szCs w:val="24"/>
          <w:lang w:val="sq-AL"/>
        </w:rPr>
        <w:t xml:space="preserve">. Ky vendim i shtrin efektet financiare jo vetëm te palët </w:t>
      </w:r>
      <w:proofErr w:type="spellStart"/>
      <w:r w:rsidR="00015CA2" w:rsidRPr="00E31272">
        <w:rPr>
          <w:rFonts w:ascii="Garamond" w:hAnsi="Garamond" w:cs="Times New Roman"/>
          <w:sz w:val="24"/>
          <w:szCs w:val="24"/>
          <w:lang w:val="sq-AL"/>
        </w:rPr>
        <w:t>ndërgjyqëse</w:t>
      </w:r>
      <w:proofErr w:type="spellEnd"/>
      <w:r w:rsidR="00015CA2" w:rsidRPr="00E31272">
        <w:rPr>
          <w:rFonts w:ascii="Garamond" w:hAnsi="Garamond" w:cs="Times New Roman"/>
          <w:sz w:val="24"/>
          <w:szCs w:val="24"/>
          <w:lang w:val="sq-AL"/>
        </w:rPr>
        <w:t>, por tek të gjithë personat që preken prej tij.</w:t>
      </w:r>
    </w:p>
    <w:p w14:paraId="7487D71A" w14:textId="56A97723" w:rsidR="00015CA2" w:rsidRPr="00E31272" w:rsidRDefault="00E31272" w:rsidP="00015CA2">
      <w:pPr>
        <w:pStyle w:val="ListParagraph"/>
        <w:tabs>
          <w:tab w:val="left" w:pos="1260"/>
        </w:tabs>
        <w:spacing w:after="0" w:line="240" w:lineRule="auto"/>
        <w:ind w:left="0" w:firstLine="284"/>
        <w:jc w:val="both"/>
        <w:rPr>
          <w:rFonts w:ascii="Garamond" w:hAnsi="Garamond" w:cs="Times New Roman"/>
          <w:sz w:val="24"/>
          <w:szCs w:val="24"/>
          <w:lang w:val="sq-AL"/>
        </w:rPr>
      </w:pPr>
      <w:r>
        <w:rPr>
          <w:rFonts w:ascii="Garamond" w:hAnsi="Garamond" w:cs="Times New Roman"/>
          <w:sz w:val="24"/>
          <w:szCs w:val="24"/>
          <w:lang w:val="sq-AL"/>
        </w:rPr>
        <w:t>11.8</w:t>
      </w:r>
      <w:r w:rsidR="00015CA2" w:rsidRPr="00E31272">
        <w:rPr>
          <w:rFonts w:ascii="Garamond" w:hAnsi="Garamond" w:cs="Times New Roman"/>
          <w:sz w:val="24"/>
          <w:szCs w:val="24"/>
          <w:lang w:val="sq-AL"/>
        </w:rPr>
        <w:t xml:space="preserve"> </w:t>
      </w:r>
      <w:r w:rsidR="00015CA2" w:rsidRPr="00E31272">
        <w:rPr>
          <w:rFonts w:ascii="Garamond" w:hAnsi="Garamond" w:cs="Times New Roman"/>
          <w:i/>
          <w:iCs/>
          <w:sz w:val="24"/>
          <w:szCs w:val="24"/>
          <w:lang w:val="sq-AL"/>
        </w:rPr>
        <w:t>Parimin e ndarjes dhe balancimit të pushteteve</w:t>
      </w:r>
      <w:r w:rsidR="00015CA2" w:rsidRPr="00E31272">
        <w:rPr>
          <w:rFonts w:ascii="Garamond" w:hAnsi="Garamond" w:cs="Times New Roman"/>
          <w:sz w:val="24"/>
          <w:szCs w:val="24"/>
          <w:lang w:val="sq-AL"/>
        </w:rPr>
        <w:t>, pasi Gjykata e Lartë ka ndryshuar përmbajtjen e nenit 11, shkronja “b”, të ligjit nr. 8087/1996 dhe ka shfuqizuar nenin 49</w:t>
      </w:r>
      <w:r>
        <w:rPr>
          <w:rFonts w:ascii="Garamond" w:hAnsi="Garamond" w:cs="Times New Roman"/>
          <w:sz w:val="24"/>
          <w:szCs w:val="24"/>
          <w:lang w:val="sq-AL"/>
        </w:rPr>
        <w:t>,</w:t>
      </w:r>
      <w:r w:rsidR="00015CA2" w:rsidRPr="00E31272">
        <w:rPr>
          <w:rFonts w:ascii="Garamond" w:hAnsi="Garamond" w:cs="Times New Roman"/>
          <w:sz w:val="24"/>
          <w:szCs w:val="24"/>
          <w:lang w:val="sq-AL"/>
        </w:rPr>
        <w:t xml:space="preserve"> të ligjit nr. 9210/2004, duke shtuar fjalët “por masa e përgjithshme e pensionit të parakohshëm nuk mund të kalojë masën e pensionit maksimal të pleqërisë në shkallë vendi”. Kjo gjykatë nuk ka respektuar Kushtetutën, por ka vepruar në kundërshtim me nenet 7 dhe 141</w:t>
      </w:r>
      <w:r>
        <w:rPr>
          <w:rFonts w:ascii="Garamond" w:hAnsi="Garamond" w:cs="Times New Roman"/>
          <w:sz w:val="24"/>
          <w:szCs w:val="24"/>
          <w:lang w:val="sq-AL"/>
        </w:rPr>
        <w:t>,</w:t>
      </w:r>
      <w:r w:rsidR="00015CA2" w:rsidRPr="00E31272">
        <w:rPr>
          <w:rFonts w:ascii="Garamond" w:hAnsi="Garamond" w:cs="Times New Roman"/>
          <w:sz w:val="24"/>
          <w:szCs w:val="24"/>
          <w:lang w:val="sq-AL"/>
        </w:rPr>
        <w:t xml:space="preserve"> të saj. Neni 48</w:t>
      </w:r>
      <w:r>
        <w:rPr>
          <w:rFonts w:ascii="Garamond" w:hAnsi="Garamond" w:cs="Times New Roman"/>
          <w:sz w:val="24"/>
          <w:szCs w:val="24"/>
          <w:lang w:val="sq-AL"/>
        </w:rPr>
        <w:t>,</w:t>
      </w:r>
      <w:r w:rsidR="00015CA2" w:rsidRPr="00E31272">
        <w:rPr>
          <w:rFonts w:ascii="Garamond" w:hAnsi="Garamond" w:cs="Times New Roman"/>
          <w:sz w:val="24"/>
          <w:szCs w:val="24"/>
          <w:lang w:val="sq-AL"/>
        </w:rPr>
        <w:t xml:space="preserve"> i ligjit nr. 9210/2004</w:t>
      </w:r>
      <w:r>
        <w:rPr>
          <w:rFonts w:ascii="Garamond" w:hAnsi="Garamond" w:cs="Times New Roman"/>
          <w:sz w:val="24"/>
          <w:szCs w:val="24"/>
          <w:lang w:val="sq-AL"/>
        </w:rPr>
        <w:t>,</w:t>
      </w:r>
      <w:r w:rsidR="00015CA2" w:rsidRPr="00E31272">
        <w:rPr>
          <w:rFonts w:ascii="Garamond" w:hAnsi="Garamond" w:cs="Times New Roman"/>
          <w:sz w:val="24"/>
          <w:szCs w:val="24"/>
          <w:lang w:val="sq-AL"/>
        </w:rPr>
        <w:t xml:space="preserve"> nuk delegonte Këshillin e Ministrave të nxirrte akte nënligjore për zbatimin e nenit 49 të tij. Gjykata e Lartë ka marrë kompetencat e ligjvënësit. Ligji nr. 8087/1996 dhe neni 49</w:t>
      </w:r>
      <w:r>
        <w:rPr>
          <w:rFonts w:ascii="Garamond" w:hAnsi="Garamond" w:cs="Times New Roman"/>
          <w:sz w:val="24"/>
          <w:szCs w:val="24"/>
          <w:lang w:val="sq-AL"/>
        </w:rPr>
        <w:t>,</w:t>
      </w:r>
      <w:r w:rsidR="00015CA2" w:rsidRPr="00E31272">
        <w:rPr>
          <w:rFonts w:ascii="Garamond" w:hAnsi="Garamond" w:cs="Times New Roman"/>
          <w:sz w:val="24"/>
          <w:szCs w:val="24"/>
          <w:lang w:val="sq-AL"/>
        </w:rPr>
        <w:t xml:space="preserve"> i ligjit nr. 9210/2004</w:t>
      </w:r>
      <w:r>
        <w:rPr>
          <w:rFonts w:ascii="Garamond" w:hAnsi="Garamond" w:cs="Times New Roman"/>
          <w:sz w:val="24"/>
          <w:szCs w:val="24"/>
          <w:lang w:val="sq-AL"/>
        </w:rPr>
        <w:t>,</w:t>
      </w:r>
      <w:r w:rsidR="00015CA2" w:rsidRPr="00E31272">
        <w:rPr>
          <w:rFonts w:ascii="Garamond" w:hAnsi="Garamond" w:cs="Times New Roman"/>
          <w:sz w:val="24"/>
          <w:szCs w:val="24"/>
          <w:lang w:val="sq-AL"/>
        </w:rPr>
        <w:t xml:space="preserve"> </w:t>
      </w:r>
      <w:proofErr w:type="spellStart"/>
      <w:r w:rsidR="00015CA2" w:rsidRPr="00E31272">
        <w:rPr>
          <w:rFonts w:ascii="Garamond" w:hAnsi="Garamond" w:cs="Times New Roman"/>
          <w:sz w:val="24"/>
          <w:szCs w:val="24"/>
          <w:lang w:val="sq-AL"/>
        </w:rPr>
        <w:t>prevalojnë</w:t>
      </w:r>
      <w:proofErr w:type="spellEnd"/>
      <w:r w:rsidR="00015CA2" w:rsidRPr="00E31272">
        <w:rPr>
          <w:rFonts w:ascii="Garamond" w:hAnsi="Garamond" w:cs="Times New Roman"/>
          <w:sz w:val="24"/>
          <w:szCs w:val="24"/>
          <w:lang w:val="sq-AL"/>
        </w:rPr>
        <w:t xml:space="preserve"> mbi vendimin </w:t>
      </w:r>
      <w:proofErr w:type="spellStart"/>
      <w:r w:rsidR="00015CA2" w:rsidRPr="00E31272">
        <w:rPr>
          <w:rFonts w:ascii="Garamond" w:hAnsi="Garamond" w:cs="Times New Roman"/>
          <w:sz w:val="24"/>
          <w:szCs w:val="24"/>
          <w:lang w:val="sq-AL"/>
        </w:rPr>
        <w:t>unifikues</w:t>
      </w:r>
      <w:proofErr w:type="spellEnd"/>
      <w:r w:rsidR="00015CA2" w:rsidRPr="00E31272">
        <w:rPr>
          <w:rFonts w:ascii="Garamond" w:hAnsi="Garamond" w:cs="Times New Roman"/>
          <w:sz w:val="24"/>
          <w:szCs w:val="24"/>
          <w:lang w:val="sq-AL"/>
        </w:rPr>
        <w:t>, pra edhe njësimi i praktikës gjyqësore cenon parimin e ndarjes dhe balancimit të pushteteve.</w:t>
      </w:r>
    </w:p>
    <w:p w14:paraId="1A53FF60" w14:textId="3E4C531B" w:rsidR="00015CA2" w:rsidRPr="00E31272" w:rsidRDefault="00015CA2" w:rsidP="00015CA2">
      <w:pPr>
        <w:pStyle w:val="ListParagraph"/>
        <w:tabs>
          <w:tab w:val="left" w:pos="1260"/>
        </w:tabs>
        <w:spacing w:after="0" w:line="240" w:lineRule="auto"/>
        <w:ind w:left="0" w:firstLine="284"/>
        <w:jc w:val="both"/>
        <w:rPr>
          <w:rFonts w:ascii="Garamond" w:hAnsi="Garamond" w:cs="Times New Roman"/>
          <w:i/>
          <w:iCs/>
          <w:sz w:val="24"/>
          <w:szCs w:val="24"/>
          <w:lang w:val="sq-AL"/>
        </w:rPr>
      </w:pPr>
      <w:r w:rsidRPr="00E31272">
        <w:rPr>
          <w:rFonts w:ascii="Garamond" w:hAnsi="Garamond" w:cs="Times New Roman"/>
          <w:i/>
          <w:iCs/>
          <w:sz w:val="24"/>
          <w:szCs w:val="24"/>
          <w:lang w:val="sq-AL"/>
        </w:rPr>
        <w:t>B. Vendimi nr. 00-2024-4497, datë 22.10.2024</w:t>
      </w:r>
      <w:r w:rsidR="00E31272">
        <w:rPr>
          <w:rFonts w:ascii="Garamond" w:hAnsi="Garamond" w:cs="Times New Roman"/>
          <w:i/>
          <w:iCs/>
          <w:sz w:val="24"/>
          <w:szCs w:val="24"/>
          <w:lang w:val="sq-AL"/>
        </w:rPr>
        <w:t>,</w:t>
      </w:r>
      <w:r w:rsidRPr="00E31272">
        <w:rPr>
          <w:rFonts w:ascii="Garamond" w:hAnsi="Garamond" w:cs="Times New Roman"/>
          <w:i/>
          <w:iCs/>
          <w:sz w:val="24"/>
          <w:szCs w:val="24"/>
          <w:lang w:val="sq-AL"/>
        </w:rPr>
        <w:t xml:space="preserve"> i Kolegjit Administrativ të Gjykatës së Lartë</w:t>
      </w:r>
      <w:r w:rsidRPr="00E31272">
        <w:rPr>
          <w:rFonts w:ascii="Garamond" w:hAnsi="Garamond" w:cs="Times New Roman"/>
          <w:b/>
          <w:bCs/>
          <w:i/>
          <w:iCs/>
          <w:sz w:val="24"/>
          <w:szCs w:val="24"/>
          <w:lang w:val="sq-AL"/>
        </w:rPr>
        <w:t xml:space="preserve"> </w:t>
      </w:r>
      <w:r w:rsidRPr="00E31272">
        <w:rPr>
          <w:rFonts w:ascii="Garamond" w:hAnsi="Garamond" w:cs="Times New Roman"/>
          <w:i/>
          <w:iCs/>
          <w:sz w:val="24"/>
          <w:szCs w:val="24"/>
          <w:lang w:val="sq-AL"/>
        </w:rPr>
        <w:t>ka cenuar:</w:t>
      </w:r>
    </w:p>
    <w:p w14:paraId="2378D454" w14:textId="20BD8206" w:rsidR="00015CA2" w:rsidRPr="00E31272" w:rsidRDefault="00E31272" w:rsidP="00015CA2">
      <w:pPr>
        <w:pStyle w:val="ListParagraph"/>
        <w:tabs>
          <w:tab w:val="left" w:pos="1260"/>
        </w:tabs>
        <w:spacing w:after="0" w:line="240" w:lineRule="auto"/>
        <w:ind w:left="0" w:firstLine="284"/>
        <w:jc w:val="both"/>
        <w:rPr>
          <w:rFonts w:ascii="Garamond" w:hAnsi="Garamond" w:cs="Times New Roman"/>
          <w:sz w:val="24"/>
          <w:szCs w:val="24"/>
          <w:lang w:val="sq-AL"/>
        </w:rPr>
      </w:pPr>
      <w:r>
        <w:rPr>
          <w:rFonts w:ascii="Garamond" w:hAnsi="Garamond" w:cs="Times New Roman"/>
          <w:sz w:val="24"/>
          <w:szCs w:val="24"/>
          <w:lang w:val="sq-AL"/>
        </w:rPr>
        <w:t>11.9</w:t>
      </w:r>
      <w:r w:rsidR="00015CA2" w:rsidRPr="00E31272">
        <w:rPr>
          <w:rFonts w:ascii="Garamond" w:hAnsi="Garamond" w:cs="Times New Roman"/>
          <w:sz w:val="24"/>
          <w:szCs w:val="24"/>
          <w:lang w:val="sq-AL"/>
        </w:rPr>
        <w:t xml:space="preserve"> </w:t>
      </w:r>
      <w:r w:rsidR="00015CA2" w:rsidRPr="00E31272">
        <w:rPr>
          <w:rFonts w:ascii="Garamond" w:hAnsi="Garamond" w:cs="Times New Roman"/>
          <w:i/>
          <w:iCs/>
          <w:sz w:val="24"/>
          <w:szCs w:val="24"/>
          <w:lang w:val="sq-AL"/>
        </w:rPr>
        <w:t>Parimin e gjykimit të drejtë</w:t>
      </w:r>
      <w:r w:rsidR="00015CA2" w:rsidRPr="00E31272">
        <w:rPr>
          <w:rFonts w:ascii="Garamond" w:hAnsi="Garamond" w:cs="Times New Roman"/>
          <w:sz w:val="24"/>
          <w:szCs w:val="24"/>
          <w:lang w:val="sq-AL"/>
        </w:rPr>
        <w:t>, pasi rekursi i kërkuesit është paraqitur në përputhje me nenin 475 të Kodit të Procedurës Civile (</w:t>
      </w:r>
      <w:proofErr w:type="spellStart"/>
      <w:r w:rsidR="00015CA2" w:rsidRPr="00E31272">
        <w:rPr>
          <w:rFonts w:ascii="Garamond" w:hAnsi="Garamond" w:cs="Times New Roman"/>
          <w:sz w:val="24"/>
          <w:szCs w:val="24"/>
          <w:lang w:val="sq-AL"/>
        </w:rPr>
        <w:t>KPC</w:t>
      </w:r>
      <w:proofErr w:type="spellEnd"/>
      <w:r w:rsidR="00015CA2" w:rsidRPr="00E31272">
        <w:rPr>
          <w:rFonts w:ascii="Garamond" w:hAnsi="Garamond" w:cs="Times New Roman"/>
          <w:sz w:val="24"/>
          <w:szCs w:val="24"/>
          <w:lang w:val="sq-AL"/>
        </w:rPr>
        <w:t xml:space="preserve">), në të cilin janë pasqyruar shkaqet e parashikuara në nenin 58, </w:t>
      </w:r>
      <w:r w:rsidR="00015CA2" w:rsidRPr="00E31272">
        <w:rPr>
          <w:rFonts w:ascii="Garamond" w:hAnsi="Garamond" w:cs="Times New Roman"/>
          <w:sz w:val="24"/>
          <w:szCs w:val="24"/>
          <w:lang w:val="sq-AL"/>
        </w:rPr>
        <w:lastRenderedPageBreak/>
        <w:t xml:space="preserve">shkronja “a”, të ligjit nr. 49/2012. Vlerësimet e Kolegjit Administrativ të Gjykatës së Lartë janë </w:t>
      </w:r>
      <w:proofErr w:type="spellStart"/>
      <w:r w:rsidR="00015CA2" w:rsidRPr="00E31272">
        <w:rPr>
          <w:rFonts w:ascii="Garamond" w:hAnsi="Garamond" w:cs="Times New Roman"/>
          <w:sz w:val="24"/>
          <w:szCs w:val="24"/>
          <w:lang w:val="sq-AL"/>
        </w:rPr>
        <w:t>jologjike</w:t>
      </w:r>
      <w:proofErr w:type="spellEnd"/>
      <w:r w:rsidR="00015CA2" w:rsidRPr="00E31272">
        <w:rPr>
          <w:rFonts w:ascii="Garamond" w:hAnsi="Garamond" w:cs="Times New Roman"/>
          <w:sz w:val="24"/>
          <w:szCs w:val="24"/>
          <w:lang w:val="sq-AL"/>
        </w:rPr>
        <w:t>, ndonëse kërkuesi ka paraqitur shkaqe që lidhen me interpretimin e kuadrit ligjor për pensionin e parakohshëm të ushtarakëve.</w:t>
      </w:r>
    </w:p>
    <w:p w14:paraId="6D7654CF" w14:textId="133D9B6B" w:rsidR="00015CA2" w:rsidRPr="00E31272" w:rsidRDefault="00E31272" w:rsidP="00015CA2">
      <w:pPr>
        <w:pStyle w:val="ListParagraph"/>
        <w:tabs>
          <w:tab w:val="left" w:pos="1260"/>
        </w:tabs>
        <w:spacing w:after="0" w:line="240" w:lineRule="auto"/>
        <w:ind w:left="0" w:firstLine="284"/>
        <w:jc w:val="both"/>
        <w:rPr>
          <w:rFonts w:ascii="Garamond" w:hAnsi="Garamond" w:cs="Times New Roman"/>
          <w:sz w:val="24"/>
          <w:szCs w:val="24"/>
          <w:lang w:val="sq-AL"/>
        </w:rPr>
      </w:pPr>
      <w:r>
        <w:rPr>
          <w:rFonts w:ascii="Garamond" w:hAnsi="Garamond" w:cs="Times New Roman"/>
          <w:sz w:val="24"/>
          <w:szCs w:val="24"/>
          <w:lang w:val="sq-AL"/>
        </w:rPr>
        <w:t>11.10</w:t>
      </w:r>
      <w:r w:rsidR="00015CA2" w:rsidRPr="00E31272">
        <w:rPr>
          <w:rFonts w:ascii="Garamond" w:hAnsi="Garamond" w:cs="Times New Roman"/>
          <w:sz w:val="24"/>
          <w:szCs w:val="24"/>
          <w:lang w:val="sq-AL"/>
        </w:rPr>
        <w:t xml:space="preserve"> </w:t>
      </w:r>
      <w:r w:rsidR="00015CA2" w:rsidRPr="00E31272">
        <w:rPr>
          <w:rFonts w:ascii="Garamond" w:hAnsi="Garamond" w:cs="Times New Roman"/>
          <w:i/>
          <w:iCs/>
          <w:sz w:val="24"/>
          <w:szCs w:val="24"/>
          <w:lang w:val="sq-AL"/>
        </w:rPr>
        <w:t xml:space="preserve">Të drejtën e </w:t>
      </w:r>
      <w:proofErr w:type="spellStart"/>
      <w:r w:rsidR="00015CA2" w:rsidRPr="00E31272">
        <w:rPr>
          <w:rFonts w:ascii="Garamond" w:hAnsi="Garamond" w:cs="Times New Roman"/>
          <w:i/>
          <w:iCs/>
          <w:sz w:val="24"/>
          <w:szCs w:val="24"/>
          <w:lang w:val="sq-AL"/>
        </w:rPr>
        <w:t>aksesit</w:t>
      </w:r>
      <w:proofErr w:type="spellEnd"/>
      <w:r w:rsidR="00015CA2" w:rsidRPr="00E31272">
        <w:rPr>
          <w:rFonts w:ascii="Garamond" w:hAnsi="Garamond" w:cs="Times New Roman"/>
          <w:sz w:val="24"/>
          <w:szCs w:val="24"/>
          <w:lang w:val="sq-AL"/>
        </w:rPr>
        <w:t>, pasi Kolegji Administrativ i Gjykatës së Lartë ka keqinterpretuar rekursin, duke mos e gjykuar çështjen e tij.</w:t>
      </w:r>
    </w:p>
    <w:p w14:paraId="6FA06F2D" w14:textId="469DCC84" w:rsidR="00015CA2" w:rsidRPr="00E31272" w:rsidRDefault="00E31272" w:rsidP="00015CA2">
      <w:pPr>
        <w:pStyle w:val="ListParagraph"/>
        <w:tabs>
          <w:tab w:val="left" w:pos="1260"/>
        </w:tabs>
        <w:spacing w:after="0" w:line="240" w:lineRule="auto"/>
        <w:ind w:left="0" w:firstLine="284"/>
        <w:jc w:val="both"/>
        <w:rPr>
          <w:rFonts w:ascii="Garamond" w:hAnsi="Garamond" w:cs="Times New Roman"/>
          <w:sz w:val="24"/>
          <w:szCs w:val="24"/>
          <w:lang w:val="sq-AL"/>
        </w:rPr>
      </w:pPr>
      <w:r>
        <w:rPr>
          <w:rFonts w:ascii="Garamond" w:hAnsi="Garamond" w:cs="Times New Roman"/>
          <w:sz w:val="24"/>
          <w:szCs w:val="24"/>
          <w:lang w:val="sq-AL"/>
        </w:rPr>
        <w:t>11.11</w:t>
      </w:r>
      <w:r w:rsidR="00015CA2" w:rsidRPr="00E31272">
        <w:rPr>
          <w:rFonts w:ascii="Garamond" w:hAnsi="Garamond" w:cs="Times New Roman"/>
          <w:sz w:val="24"/>
          <w:szCs w:val="24"/>
          <w:lang w:val="sq-AL"/>
        </w:rPr>
        <w:t xml:space="preserve"> </w:t>
      </w:r>
      <w:r w:rsidR="00015CA2" w:rsidRPr="00E31272">
        <w:rPr>
          <w:rFonts w:ascii="Garamond" w:hAnsi="Garamond" w:cs="Times New Roman"/>
          <w:i/>
          <w:iCs/>
          <w:sz w:val="24"/>
          <w:szCs w:val="24"/>
          <w:lang w:val="sq-AL"/>
        </w:rPr>
        <w:t>Standardin e arsyetimit të vendimit</w:t>
      </w:r>
      <w:r w:rsidR="00015CA2" w:rsidRPr="00E31272">
        <w:rPr>
          <w:rFonts w:ascii="Garamond" w:hAnsi="Garamond" w:cs="Times New Roman"/>
          <w:sz w:val="24"/>
          <w:szCs w:val="24"/>
          <w:lang w:val="sq-AL"/>
        </w:rPr>
        <w:t xml:space="preserve">, pasi Gjykata e Lartë duhet të analizonte shkaqet e rekursit referuar nenit 58, shkronja “a”, të ligjit nr. 49/2012. Ajo gjykatë ka bërë një vlerësim </w:t>
      </w:r>
      <w:proofErr w:type="spellStart"/>
      <w:r w:rsidR="00015CA2" w:rsidRPr="00E31272">
        <w:rPr>
          <w:rFonts w:ascii="Garamond" w:hAnsi="Garamond" w:cs="Times New Roman"/>
          <w:sz w:val="24"/>
          <w:szCs w:val="24"/>
          <w:lang w:val="sq-AL"/>
        </w:rPr>
        <w:t>jologjik</w:t>
      </w:r>
      <w:proofErr w:type="spellEnd"/>
      <w:r w:rsidR="00015CA2" w:rsidRPr="00E31272">
        <w:rPr>
          <w:rFonts w:ascii="Garamond" w:hAnsi="Garamond" w:cs="Times New Roman"/>
          <w:sz w:val="24"/>
          <w:szCs w:val="24"/>
          <w:lang w:val="sq-AL"/>
        </w:rPr>
        <w:t xml:space="preserve"> dhe nuk është bazuar në nenin 480/a të </w:t>
      </w:r>
      <w:proofErr w:type="spellStart"/>
      <w:r w:rsidR="00015CA2" w:rsidRPr="00E31272">
        <w:rPr>
          <w:rFonts w:ascii="Garamond" w:hAnsi="Garamond" w:cs="Times New Roman"/>
          <w:sz w:val="24"/>
          <w:szCs w:val="24"/>
          <w:lang w:val="sq-AL"/>
        </w:rPr>
        <w:t>KPC</w:t>
      </w:r>
      <w:proofErr w:type="spellEnd"/>
      <w:r w:rsidR="00015CA2" w:rsidRPr="00E31272">
        <w:rPr>
          <w:rFonts w:ascii="Garamond" w:hAnsi="Garamond" w:cs="Times New Roman"/>
          <w:sz w:val="24"/>
          <w:szCs w:val="24"/>
          <w:lang w:val="sq-AL"/>
        </w:rPr>
        <w:t>-së dhe nenin 58</w:t>
      </w:r>
      <w:r>
        <w:rPr>
          <w:rFonts w:ascii="Garamond" w:hAnsi="Garamond" w:cs="Times New Roman"/>
          <w:sz w:val="24"/>
          <w:szCs w:val="24"/>
          <w:lang w:val="sq-AL"/>
        </w:rPr>
        <w:t>,</w:t>
      </w:r>
      <w:r w:rsidR="00015CA2" w:rsidRPr="00E31272">
        <w:rPr>
          <w:rFonts w:ascii="Garamond" w:hAnsi="Garamond" w:cs="Times New Roman"/>
          <w:sz w:val="24"/>
          <w:szCs w:val="24"/>
          <w:lang w:val="sq-AL"/>
        </w:rPr>
        <w:t xml:space="preserve"> të ligjit nr. 49/2012.</w:t>
      </w:r>
    </w:p>
    <w:p w14:paraId="78D5F36D" w14:textId="6CEA17D2" w:rsidR="00015CA2" w:rsidRPr="00E31272" w:rsidRDefault="00E31272" w:rsidP="00015CA2">
      <w:pPr>
        <w:pStyle w:val="ListParagraph"/>
        <w:tabs>
          <w:tab w:val="left" w:pos="1260"/>
        </w:tabs>
        <w:spacing w:after="0" w:line="240" w:lineRule="auto"/>
        <w:ind w:left="0" w:firstLine="284"/>
        <w:jc w:val="both"/>
        <w:rPr>
          <w:rFonts w:ascii="Garamond" w:hAnsi="Garamond" w:cs="Times New Roman"/>
          <w:sz w:val="24"/>
          <w:szCs w:val="24"/>
          <w:lang w:val="sq-AL"/>
        </w:rPr>
      </w:pPr>
      <w:r>
        <w:rPr>
          <w:rFonts w:ascii="Garamond" w:hAnsi="Garamond" w:cs="Times New Roman"/>
          <w:sz w:val="24"/>
          <w:szCs w:val="24"/>
          <w:lang w:val="sq-AL"/>
        </w:rPr>
        <w:t>11.12</w:t>
      </w:r>
      <w:r w:rsidR="00015CA2" w:rsidRPr="00E31272">
        <w:rPr>
          <w:rFonts w:ascii="Garamond" w:hAnsi="Garamond" w:cs="Times New Roman"/>
          <w:sz w:val="24"/>
          <w:szCs w:val="24"/>
          <w:lang w:val="sq-AL"/>
        </w:rPr>
        <w:t xml:space="preserve"> </w:t>
      </w:r>
      <w:r w:rsidR="00015CA2" w:rsidRPr="00E31272">
        <w:rPr>
          <w:rFonts w:ascii="Garamond" w:hAnsi="Garamond" w:cs="Times New Roman"/>
          <w:i/>
          <w:iCs/>
          <w:sz w:val="24"/>
          <w:szCs w:val="24"/>
          <w:lang w:val="sq-AL"/>
        </w:rPr>
        <w:t xml:space="preserve">Parimin e </w:t>
      </w:r>
      <w:proofErr w:type="spellStart"/>
      <w:r w:rsidR="00015CA2" w:rsidRPr="00E31272">
        <w:rPr>
          <w:rFonts w:ascii="Garamond" w:hAnsi="Garamond" w:cs="Times New Roman"/>
          <w:i/>
          <w:iCs/>
          <w:sz w:val="24"/>
          <w:szCs w:val="24"/>
          <w:lang w:val="sq-AL"/>
        </w:rPr>
        <w:t>subsidiaritetit</w:t>
      </w:r>
      <w:proofErr w:type="spellEnd"/>
      <w:r w:rsidR="00015CA2" w:rsidRPr="00E31272">
        <w:rPr>
          <w:rFonts w:ascii="Garamond" w:hAnsi="Garamond" w:cs="Times New Roman"/>
          <w:sz w:val="24"/>
          <w:szCs w:val="24"/>
          <w:lang w:val="sq-AL"/>
        </w:rPr>
        <w:t>, pasi Gjykata e Lartë nuk ka kontrolluar respektimin e standardeve kushtetuese dhe nuk ka analizuar pretendimet e paraqitura në rekurs, duke anashkaluar shkeljet kushtetuese.</w:t>
      </w:r>
    </w:p>
    <w:p w14:paraId="42E893F5" w14:textId="125D2BDA" w:rsidR="00015CA2" w:rsidRPr="00E31272" w:rsidRDefault="00E31272" w:rsidP="00015CA2">
      <w:pPr>
        <w:pStyle w:val="ListParagraph"/>
        <w:tabs>
          <w:tab w:val="left" w:pos="1260"/>
        </w:tabs>
        <w:spacing w:after="0" w:line="240" w:lineRule="auto"/>
        <w:ind w:left="0" w:firstLine="284"/>
        <w:jc w:val="both"/>
        <w:rPr>
          <w:rFonts w:ascii="Garamond" w:hAnsi="Garamond" w:cs="Times New Roman"/>
          <w:sz w:val="24"/>
          <w:szCs w:val="24"/>
          <w:lang w:val="sq-AL"/>
        </w:rPr>
      </w:pPr>
      <w:r>
        <w:rPr>
          <w:rFonts w:ascii="Garamond" w:hAnsi="Garamond" w:cs="Times New Roman"/>
          <w:sz w:val="24"/>
          <w:szCs w:val="24"/>
          <w:lang w:val="sq-AL"/>
        </w:rPr>
        <w:t>11.13</w:t>
      </w:r>
      <w:r w:rsidR="00015CA2" w:rsidRPr="00E31272">
        <w:rPr>
          <w:rFonts w:ascii="Garamond" w:hAnsi="Garamond" w:cs="Times New Roman"/>
          <w:sz w:val="24"/>
          <w:szCs w:val="24"/>
          <w:lang w:val="sq-AL"/>
        </w:rPr>
        <w:t xml:space="preserve"> </w:t>
      </w:r>
      <w:r w:rsidR="00015CA2" w:rsidRPr="00E31272">
        <w:rPr>
          <w:rFonts w:ascii="Garamond" w:hAnsi="Garamond" w:cs="Times New Roman"/>
          <w:i/>
          <w:iCs/>
          <w:sz w:val="24"/>
          <w:szCs w:val="24"/>
          <w:lang w:val="sq-AL"/>
        </w:rPr>
        <w:t xml:space="preserve">Parimin e </w:t>
      </w:r>
      <w:proofErr w:type="spellStart"/>
      <w:r w:rsidR="00015CA2" w:rsidRPr="00E31272">
        <w:rPr>
          <w:rFonts w:ascii="Garamond" w:hAnsi="Garamond" w:cs="Times New Roman"/>
          <w:i/>
          <w:iCs/>
          <w:sz w:val="24"/>
          <w:szCs w:val="24"/>
          <w:lang w:val="sq-AL"/>
        </w:rPr>
        <w:t>disponibilitetit</w:t>
      </w:r>
      <w:proofErr w:type="spellEnd"/>
      <w:r w:rsidR="00015CA2" w:rsidRPr="00E31272">
        <w:rPr>
          <w:rFonts w:ascii="Garamond" w:hAnsi="Garamond" w:cs="Times New Roman"/>
          <w:sz w:val="24"/>
          <w:szCs w:val="24"/>
          <w:lang w:val="sq-AL"/>
        </w:rPr>
        <w:t>, pasi Gjykata e Lartë nuk ka konstatuar se gjykata e apelit e ka gjykuar çështjen në kundërshtim me kufijtë e shqyrtimit gjyqësor.</w:t>
      </w:r>
    </w:p>
    <w:p w14:paraId="6F81057A" w14:textId="2EBBBE18" w:rsidR="00015CA2" w:rsidRPr="00E31272" w:rsidRDefault="00015CA2" w:rsidP="00015CA2">
      <w:pPr>
        <w:pStyle w:val="ListParagraph"/>
        <w:tabs>
          <w:tab w:val="left" w:pos="1260"/>
        </w:tabs>
        <w:spacing w:after="0" w:line="240" w:lineRule="auto"/>
        <w:ind w:left="0" w:firstLine="284"/>
        <w:jc w:val="both"/>
        <w:rPr>
          <w:rFonts w:ascii="Garamond" w:hAnsi="Garamond" w:cs="Times New Roman"/>
          <w:sz w:val="24"/>
          <w:szCs w:val="24"/>
          <w:lang w:val="sq-AL"/>
        </w:rPr>
      </w:pPr>
      <w:r w:rsidRPr="00E31272">
        <w:rPr>
          <w:rFonts w:ascii="Garamond" w:hAnsi="Garamond" w:cs="Times New Roman"/>
          <w:i/>
          <w:iCs/>
          <w:sz w:val="24"/>
          <w:szCs w:val="24"/>
          <w:lang w:val="sq-AL"/>
        </w:rPr>
        <w:t>C. Vendimi nr. 1040 (86-2023-1381), datë 11.12.2023</w:t>
      </w:r>
      <w:r w:rsidR="00E31272">
        <w:rPr>
          <w:rFonts w:ascii="Garamond" w:hAnsi="Garamond" w:cs="Times New Roman"/>
          <w:i/>
          <w:iCs/>
          <w:sz w:val="24"/>
          <w:szCs w:val="24"/>
          <w:lang w:val="sq-AL"/>
        </w:rPr>
        <w:t>,</w:t>
      </w:r>
      <w:r w:rsidRPr="00E31272">
        <w:rPr>
          <w:rFonts w:ascii="Garamond" w:hAnsi="Garamond" w:cs="Times New Roman"/>
          <w:i/>
          <w:iCs/>
          <w:sz w:val="24"/>
          <w:szCs w:val="24"/>
          <w:lang w:val="sq-AL"/>
        </w:rPr>
        <w:t xml:space="preserve"> i Gjykatës Administrative të Apelit ka cenuar:</w:t>
      </w:r>
      <w:r w:rsidRPr="00E31272">
        <w:rPr>
          <w:rFonts w:ascii="Garamond" w:hAnsi="Garamond" w:cs="Times New Roman"/>
          <w:b/>
          <w:bCs/>
          <w:i/>
          <w:iCs/>
          <w:sz w:val="24"/>
          <w:szCs w:val="24"/>
          <w:lang w:val="sq-AL"/>
        </w:rPr>
        <w:t xml:space="preserve"> </w:t>
      </w:r>
    </w:p>
    <w:p w14:paraId="43BC139A" w14:textId="02BD1BA8" w:rsidR="00015CA2" w:rsidRPr="00E31272" w:rsidRDefault="00E31272" w:rsidP="00015CA2">
      <w:pPr>
        <w:pStyle w:val="ListParagraph"/>
        <w:tabs>
          <w:tab w:val="left" w:pos="1260"/>
        </w:tabs>
        <w:spacing w:after="0" w:line="240" w:lineRule="auto"/>
        <w:ind w:left="0" w:firstLine="284"/>
        <w:jc w:val="both"/>
        <w:rPr>
          <w:rFonts w:ascii="Garamond" w:hAnsi="Garamond" w:cs="Times New Roman"/>
          <w:sz w:val="24"/>
          <w:szCs w:val="24"/>
          <w:lang w:val="sq-AL"/>
        </w:rPr>
      </w:pPr>
      <w:r>
        <w:rPr>
          <w:rFonts w:ascii="Garamond" w:hAnsi="Garamond" w:cs="Times New Roman"/>
          <w:sz w:val="24"/>
          <w:szCs w:val="24"/>
          <w:lang w:val="sq-AL"/>
        </w:rPr>
        <w:t>11.14</w:t>
      </w:r>
      <w:r w:rsidR="00015CA2" w:rsidRPr="00E31272">
        <w:rPr>
          <w:rFonts w:ascii="Garamond" w:hAnsi="Garamond" w:cs="Times New Roman"/>
          <w:sz w:val="24"/>
          <w:szCs w:val="24"/>
          <w:lang w:val="sq-AL"/>
        </w:rPr>
        <w:t xml:space="preserve"> </w:t>
      </w:r>
      <w:r w:rsidR="00015CA2" w:rsidRPr="00E31272">
        <w:rPr>
          <w:rFonts w:ascii="Garamond" w:hAnsi="Garamond" w:cs="Times New Roman"/>
          <w:i/>
          <w:iCs/>
          <w:sz w:val="24"/>
          <w:szCs w:val="24"/>
          <w:lang w:val="sq-AL"/>
        </w:rPr>
        <w:t>Të drejtën për proces të rregullt ligjor, në drejtim të:</w:t>
      </w:r>
    </w:p>
    <w:p w14:paraId="2148E592" w14:textId="04FEAC23" w:rsidR="00015CA2" w:rsidRPr="00E31272" w:rsidRDefault="00E31272" w:rsidP="00015CA2">
      <w:pPr>
        <w:pStyle w:val="ListParagraph"/>
        <w:tabs>
          <w:tab w:val="left" w:pos="1260"/>
        </w:tabs>
        <w:spacing w:after="0" w:line="240" w:lineRule="auto"/>
        <w:ind w:left="0" w:firstLine="284"/>
        <w:jc w:val="both"/>
        <w:rPr>
          <w:rFonts w:ascii="Garamond" w:hAnsi="Garamond" w:cs="Times New Roman"/>
          <w:sz w:val="24"/>
          <w:szCs w:val="24"/>
          <w:lang w:val="sq-AL"/>
        </w:rPr>
      </w:pPr>
      <w:r>
        <w:rPr>
          <w:rFonts w:ascii="Garamond" w:hAnsi="Garamond" w:cs="Times New Roman"/>
          <w:sz w:val="24"/>
          <w:szCs w:val="24"/>
          <w:lang w:val="sq-AL"/>
        </w:rPr>
        <w:t>11.14.1</w:t>
      </w:r>
      <w:r w:rsidR="00015CA2" w:rsidRPr="00E31272">
        <w:rPr>
          <w:rFonts w:ascii="Garamond" w:hAnsi="Garamond" w:cs="Times New Roman"/>
          <w:sz w:val="24"/>
          <w:szCs w:val="24"/>
          <w:lang w:val="sq-AL"/>
        </w:rPr>
        <w:t xml:space="preserve"> </w:t>
      </w:r>
      <w:r w:rsidR="00015CA2" w:rsidRPr="00E31272">
        <w:rPr>
          <w:rFonts w:ascii="Garamond" w:hAnsi="Garamond" w:cs="Times New Roman"/>
          <w:i/>
          <w:iCs/>
          <w:sz w:val="24"/>
          <w:szCs w:val="24"/>
          <w:lang w:val="sq-AL"/>
        </w:rPr>
        <w:t xml:space="preserve">Së drejtës së </w:t>
      </w:r>
      <w:proofErr w:type="spellStart"/>
      <w:r w:rsidR="00015CA2" w:rsidRPr="00E31272">
        <w:rPr>
          <w:rFonts w:ascii="Garamond" w:hAnsi="Garamond" w:cs="Times New Roman"/>
          <w:i/>
          <w:iCs/>
          <w:sz w:val="24"/>
          <w:szCs w:val="24"/>
          <w:lang w:val="sq-AL"/>
        </w:rPr>
        <w:t>aksesit</w:t>
      </w:r>
      <w:proofErr w:type="spellEnd"/>
      <w:r w:rsidR="00015CA2" w:rsidRPr="00E31272">
        <w:rPr>
          <w:rFonts w:ascii="Garamond" w:hAnsi="Garamond" w:cs="Times New Roman"/>
          <w:sz w:val="24"/>
          <w:szCs w:val="24"/>
          <w:lang w:val="sq-AL"/>
        </w:rPr>
        <w:t xml:space="preserve">, pasi Gjykata Administrative e Apelit nuk e ka njoftuar kërkuesin për datën dhe orën e zhvillimit të seancës gjyqësore në përputhje me nenin 460, pika 5, të </w:t>
      </w:r>
      <w:proofErr w:type="spellStart"/>
      <w:r w:rsidR="00015CA2" w:rsidRPr="00E31272">
        <w:rPr>
          <w:rFonts w:ascii="Garamond" w:hAnsi="Garamond" w:cs="Times New Roman"/>
          <w:sz w:val="24"/>
          <w:szCs w:val="24"/>
          <w:lang w:val="sq-AL"/>
        </w:rPr>
        <w:t>KPC</w:t>
      </w:r>
      <w:proofErr w:type="spellEnd"/>
      <w:r w:rsidR="00015CA2" w:rsidRPr="00E31272">
        <w:rPr>
          <w:rFonts w:ascii="Garamond" w:hAnsi="Garamond" w:cs="Times New Roman"/>
          <w:sz w:val="24"/>
          <w:szCs w:val="24"/>
          <w:lang w:val="sq-AL"/>
        </w:rPr>
        <w:t xml:space="preserve">-së. Në këtë mënyrë kërkuesit nuk i është dhënë mundësia për të paraqitur pretendimet e tij në lidhje me vendimin </w:t>
      </w:r>
      <w:proofErr w:type="spellStart"/>
      <w:r w:rsidR="00015CA2" w:rsidRPr="00E31272">
        <w:rPr>
          <w:rFonts w:ascii="Garamond" w:hAnsi="Garamond" w:cs="Times New Roman"/>
          <w:sz w:val="24"/>
          <w:szCs w:val="24"/>
          <w:lang w:val="sq-AL"/>
        </w:rPr>
        <w:t>unifikues</w:t>
      </w:r>
      <w:proofErr w:type="spellEnd"/>
      <w:r w:rsidR="00015CA2" w:rsidRPr="00E31272">
        <w:rPr>
          <w:rFonts w:ascii="Garamond" w:hAnsi="Garamond" w:cs="Times New Roman"/>
          <w:sz w:val="24"/>
          <w:szCs w:val="24"/>
          <w:lang w:val="sq-AL"/>
        </w:rPr>
        <w:t xml:space="preserve"> nr. 3/2016. </w:t>
      </w:r>
      <w:proofErr w:type="spellStart"/>
      <w:r w:rsidR="00015CA2" w:rsidRPr="00E31272">
        <w:rPr>
          <w:rFonts w:ascii="Garamond" w:hAnsi="Garamond" w:cs="Times New Roman"/>
          <w:sz w:val="24"/>
          <w:szCs w:val="24"/>
          <w:lang w:val="sq-AL"/>
        </w:rPr>
        <w:t>Mosnjoftimi</w:t>
      </w:r>
      <w:proofErr w:type="spellEnd"/>
      <w:r w:rsidR="00015CA2" w:rsidRPr="00E31272">
        <w:rPr>
          <w:rFonts w:ascii="Garamond" w:hAnsi="Garamond" w:cs="Times New Roman"/>
          <w:sz w:val="24"/>
          <w:szCs w:val="24"/>
          <w:lang w:val="sq-AL"/>
        </w:rPr>
        <w:t xml:space="preserve"> i kërkuesit ka sjellë si pasojë pamundësinë e tij për të kërkuar përjashtimin e relatorit të çështjes, E.</w:t>
      </w:r>
      <w:r>
        <w:rPr>
          <w:rFonts w:ascii="Garamond" w:hAnsi="Garamond" w:cs="Times New Roman"/>
          <w:sz w:val="24"/>
          <w:szCs w:val="24"/>
          <w:lang w:val="sq-AL"/>
        </w:rPr>
        <w:t xml:space="preserve"> </w:t>
      </w:r>
      <w:r w:rsidR="00015CA2" w:rsidRPr="00E31272">
        <w:rPr>
          <w:rFonts w:ascii="Garamond" w:hAnsi="Garamond" w:cs="Times New Roman"/>
          <w:sz w:val="24"/>
          <w:szCs w:val="24"/>
          <w:lang w:val="sq-AL"/>
        </w:rPr>
        <w:t>R., ndaj të cilit ai kishte paraqitur kallëzim penal.</w:t>
      </w:r>
    </w:p>
    <w:p w14:paraId="049BD7BA" w14:textId="59F27677" w:rsidR="00015CA2" w:rsidRPr="00E31272" w:rsidRDefault="00E31272" w:rsidP="00015CA2">
      <w:pPr>
        <w:pStyle w:val="ListParagraph"/>
        <w:tabs>
          <w:tab w:val="left" w:pos="1260"/>
        </w:tabs>
        <w:spacing w:after="0" w:line="240" w:lineRule="auto"/>
        <w:ind w:left="0" w:firstLine="284"/>
        <w:jc w:val="both"/>
        <w:rPr>
          <w:rFonts w:ascii="Garamond" w:hAnsi="Garamond" w:cs="Times New Roman"/>
          <w:sz w:val="24"/>
          <w:szCs w:val="24"/>
          <w:lang w:val="sq-AL"/>
        </w:rPr>
      </w:pPr>
      <w:r>
        <w:rPr>
          <w:rFonts w:ascii="Garamond" w:hAnsi="Garamond" w:cs="Times New Roman"/>
          <w:sz w:val="24"/>
          <w:szCs w:val="24"/>
          <w:lang w:val="sq-AL"/>
        </w:rPr>
        <w:t>11.14.2</w:t>
      </w:r>
      <w:r w:rsidR="00015CA2" w:rsidRPr="00E31272">
        <w:rPr>
          <w:rFonts w:ascii="Garamond" w:hAnsi="Garamond" w:cs="Times New Roman"/>
          <w:sz w:val="24"/>
          <w:szCs w:val="24"/>
          <w:lang w:val="sq-AL"/>
        </w:rPr>
        <w:t xml:space="preserve"> </w:t>
      </w:r>
      <w:r w:rsidR="00015CA2" w:rsidRPr="00E31272">
        <w:rPr>
          <w:rFonts w:ascii="Garamond" w:hAnsi="Garamond" w:cs="Times New Roman"/>
          <w:i/>
          <w:iCs/>
          <w:sz w:val="24"/>
          <w:szCs w:val="24"/>
          <w:lang w:val="sq-AL"/>
        </w:rPr>
        <w:t>Standardit të arsyetimit të vendimit</w:t>
      </w:r>
      <w:r w:rsidR="00015CA2" w:rsidRPr="00E31272">
        <w:rPr>
          <w:rFonts w:ascii="Garamond" w:hAnsi="Garamond" w:cs="Times New Roman"/>
          <w:sz w:val="24"/>
          <w:szCs w:val="24"/>
          <w:lang w:val="sq-AL"/>
        </w:rPr>
        <w:t>, pasi gjykata e apelit nuk është shprehur për pretendimet e kërkuesit të para</w:t>
      </w:r>
      <w:r>
        <w:rPr>
          <w:rFonts w:ascii="Garamond" w:hAnsi="Garamond" w:cs="Times New Roman"/>
          <w:sz w:val="24"/>
          <w:szCs w:val="24"/>
          <w:lang w:val="sq-AL"/>
        </w:rPr>
        <w:t>qitura në kërkesat e datave 19.</w:t>
      </w:r>
      <w:r w:rsidR="00015CA2" w:rsidRPr="00E31272">
        <w:rPr>
          <w:rFonts w:ascii="Garamond" w:hAnsi="Garamond" w:cs="Times New Roman"/>
          <w:sz w:val="24"/>
          <w:szCs w:val="24"/>
          <w:lang w:val="sq-AL"/>
        </w:rPr>
        <w:t>4.2</w:t>
      </w:r>
      <w:r>
        <w:rPr>
          <w:rFonts w:ascii="Garamond" w:hAnsi="Garamond" w:cs="Times New Roman"/>
          <w:sz w:val="24"/>
          <w:szCs w:val="24"/>
          <w:lang w:val="sq-AL"/>
        </w:rPr>
        <w:t>019, 28.</w:t>
      </w:r>
      <w:r w:rsidR="00015CA2" w:rsidRPr="00E31272">
        <w:rPr>
          <w:rFonts w:ascii="Garamond" w:hAnsi="Garamond" w:cs="Times New Roman"/>
          <w:sz w:val="24"/>
          <w:szCs w:val="24"/>
          <w:lang w:val="sq-AL"/>
        </w:rPr>
        <w:t>5.20</w:t>
      </w:r>
      <w:r>
        <w:rPr>
          <w:rFonts w:ascii="Garamond" w:hAnsi="Garamond" w:cs="Times New Roman"/>
          <w:sz w:val="24"/>
          <w:szCs w:val="24"/>
          <w:lang w:val="sq-AL"/>
        </w:rPr>
        <w:t>19 dhe parashtrimet e datës 16.</w:t>
      </w:r>
      <w:r w:rsidR="00015CA2" w:rsidRPr="00E31272">
        <w:rPr>
          <w:rFonts w:ascii="Garamond" w:hAnsi="Garamond" w:cs="Times New Roman"/>
          <w:sz w:val="24"/>
          <w:szCs w:val="24"/>
          <w:lang w:val="sq-AL"/>
        </w:rPr>
        <w:t xml:space="preserve">7.2019, kërkesat për themelin e vendimit, pretendimet lidhur me shkeljet kushtetuese, përparësinë e zbatimit të ligjit nr. 8087/1996, si dhe saktësinë e fakteve të pranuara nga gjykimi i mëparshëm. Kjo gjykatë nuk ka pasqyruar të dhënat e vendimit të kërkuesit, çka ngre dyshimin se bëhet fjalë për vendimin e një pale tjetër. Vendimit i mungon arsyetimi për zbatimin e ligjit, por thjesht bëhet referim në vendimmarrjen e Gjykatës së Lartë dhe vendimin </w:t>
      </w:r>
      <w:proofErr w:type="spellStart"/>
      <w:r w:rsidR="00015CA2" w:rsidRPr="00E31272">
        <w:rPr>
          <w:rFonts w:ascii="Garamond" w:hAnsi="Garamond" w:cs="Times New Roman"/>
          <w:sz w:val="24"/>
          <w:szCs w:val="24"/>
          <w:lang w:val="sq-AL"/>
        </w:rPr>
        <w:t>unifikues</w:t>
      </w:r>
      <w:proofErr w:type="spellEnd"/>
      <w:r w:rsidR="00015CA2" w:rsidRPr="00E31272">
        <w:rPr>
          <w:rFonts w:ascii="Garamond" w:hAnsi="Garamond" w:cs="Times New Roman"/>
          <w:sz w:val="24"/>
          <w:szCs w:val="24"/>
          <w:lang w:val="sq-AL"/>
        </w:rPr>
        <w:t>. Në këtë mënyrë kjo gjykatë nuk ka kryer hetim të plotë.</w:t>
      </w:r>
    </w:p>
    <w:p w14:paraId="69AFAB32" w14:textId="586C323F" w:rsidR="00015CA2" w:rsidRPr="00E31272" w:rsidRDefault="00E31272" w:rsidP="00015CA2">
      <w:pPr>
        <w:pStyle w:val="ListParagraph"/>
        <w:tabs>
          <w:tab w:val="left" w:pos="1260"/>
        </w:tabs>
        <w:spacing w:after="0" w:line="240" w:lineRule="auto"/>
        <w:ind w:left="0" w:firstLine="284"/>
        <w:jc w:val="both"/>
        <w:rPr>
          <w:rFonts w:ascii="Garamond" w:hAnsi="Garamond" w:cs="Times New Roman"/>
          <w:sz w:val="24"/>
          <w:szCs w:val="24"/>
          <w:lang w:val="sq-AL"/>
        </w:rPr>
      </w:pPr>
      <w:r>
        <w:rPr>
          <w:rFonts w:ascii="Garamond" w:hAnsi="Garamond" w:cs="Times New Roman"/>
          <w:sz w:val="24"/>
          <w:szCs w:val="24"/>
          <w:lang w:val="sq-AL"/>
        </w:rPr>
        <w:t>11.14.3</w:t>
      </w:r>
      <w:r w:rsidR="00015CA2" w:rsidRPr="00E31272">
        <w:rPr>
          <w:rFonts w:ascii="Garamond" w:hAnsi="Garamond" w:cs="Times New Roman"/>
          <w:sz w:val="24"/>
          <w:szCs w:val="24"/>
          <w:lang w:val="sq-AL"/>
        </w:rPr>
        <w:t xml:space="preserve"> </w:t>
      </w:r>
      <w:r w:rsidR="00015CA2" w:rsidRPr="00E31272">
        <w:rPr>
          <w:rFonts w:ascii="Garamond" w:hAnsi="Garamond" w:cs="Times New Roman"/>
          <w:i/>
          <w:iCs/>
          <w:sz w:val="24"/>
          <w:szCs w:val="24"/>
          <w:lang w:val="sq-AL"/>
        </w:rPr>
        <w:t xml:space="preserve">Parimit të </w:t>
      </w:r>
      <w:proofErr w:type="spellStart"/>
      <w:r w:rsidR="00015CA2" w:rsidRPr="00E31272">
        <w:rPr>
          <w:rFonts w:ascii="Garamond" w:hAnsi="Garamond" w:cs="Times New Roman"/>
          <w:i/>
          <w:iCs/>
          <w:sz w:val="24"/>
          <w:szCs w:val="24"/>
          <w:lang w:val="sq-AL"/>
        </w:rPr>
        <w:t>disponibilitetit</w:t>
      </w:r>
      <w:proofErr w:type="spellEnd"/>
      <w:r w:rsidR="00015CA2" w:rsidRPr="00E31272">
        <w:rPr>
          <w:rFonts w:ascii="Garamond" w:hAnsi="Garamond" w:cs="Times New Roman"/>
          <w:sz w:val="24"/>
          <w:szCs w:val="24"/>
          <w:lang w:val="sq-AL"/>
        </w:rPr>
        <w:t xml:space="preserve">, pasi gjykata e apelit nuk i është referuar situatës </w:t>
      </w:r>
      <w:r>
        <w:rPr>
          <w:rFonts w:ascii="Garamond" w:hAnsi="Garamond" w:cs="Times New Roman"/>
          <w:sz w:val="24"/>
          <w:szCs w:val="24"/>
          <w:lang w:val="sq-AL"/>
        </w:rPr>
        <w:t>ligjore që ekzistonte në datën 1.</w:t>
      </w:r>
      <w:r w:rsidR="00015CA2" w:rsidRPr="00E31272">
        <w:rPr>
          <w:rFonts w:ascii="Garamond" w:hAnsi="Garamond" w:cs="Times New Roman"/>
          <w:sz w:val="24"/>
          <w:szCs w:val="24"/>
          <w:lang w:val="sq-AL"/>
        </w:rPr>
        <w:t>8.2005, koha e përfitimit të pensionit të parakohshëm, pra pas hyrjes në fuqi të nenit 49</w:t>
      </w:r>
      <w:r>
        <w:rPr>
          <w:rFonts w:ascii="Garamond" w:hAnsi="Garamond" w:cs="Times New Roman"/>
          <w:sz w:val="24"/>
          <w:szCs w:val="24"/>
          <w:lang w:val="sq-AL"/>
        </w:rPr>
        <w:t>,</w:t>
      </w:r>
      <w:r w:rsidR="00015CA2" w:rsidRPr="00E31272">
        <w:rPr>
          <w:rFonts w:ascii="Garamond" w:hAnsi="Garamond" w:cs="Times New Roman"/>
          <w:sz w:val="24"/>
          <w:szCs w:val="24"/>
          <w:lang w:val="sq-AL"/>
        </w:rPr>
        <w:t xml:space="preserve"> të ligjit nr. 9210/2004.</w:t>
      </w:r>
    </w:p>
    <w:p w14:paraId="134798F3" w14:textId="5E62867F" w:rsidR="00015CA2" w:rsidRPr="00E31272" w:rsidRDefault="00E31272" w:rsidP="00015CA2">
      <w:pPr>
        <w:pStyle w:val="ListParagraph"/>
        <w:tabs>
          <w:tab w:val="left" w:pos="1260"/>
        </w:tabs>
        <w:spacing w:after="0" w:line="240" w:lineRule="auto"/>
        <w:ind w:left="0" w:firstLine="284"/>
        <w:jc w:val="both"/>
        <w:rPr>
          <w:rFonts w:ascii="Garamond" w:hAnsi="Garamond" w:cs="Times New Roman"/>
          <w:sz w:val="24"/>
          <w:szCs w:val="24"/>
          <w:lang w:val="sq-AL"/>
        </w:rPr>
      </w:pPr>
      <w:r>
        <w:rPr>
          <w:rFonts w:ascii="Garamond" w:hAnsi="Garamond" w:cs="Times New Roman"/>
          <w:sz w:val="24"/>
          <w:szCs w:val="24"/>
          <w:lang w:val="sq-AL"/>
        </w:rPr>
        <w:t>11.14.4</w:t>
      </w:r>
      <w:r w:rsidR="00015CA2" w:rsidRPr="00E31272">
        <w:rPr>
          <w:rFonts w:ascii="Garamond" w:hAnsi="Garamond" w:cs="Times New Roman"/>
          <w:sz w:val="24"/>
          <w:szCs w:val="24"/>
          <w:lang w:val="sq-AL"/>
        </w:rPr>
        <w:t xml:space="preserve"> </w:t>
      </w:r>
      <w:r w:rsidR="00015CA2" w:rsidRPr="00E31272">
        <w:rPr>
          <w:rFonts w:ascii="Garamond" w:hAnsi="Garamond" w:cs="Times New Roman"/>
          <w:i/>
          <w:iCs/>
          <w:sz w:val="24"/>
          <w:szCs w:val="24"/>
          <w:lang w:val="sq-AL"/>
        </w:rPr>
        <w:t>Së drejtës për t’u gjykuar nga një gjykatë e paanshme</w:t>
      </w:r>
      <w:r w:rsidR="00015CA2" w:rsidRPr="00E31272">
        <w:rPr>
          <w:rFonts w:ascii="Garamond" w:hAnsi="Garamond" w:cs="Times New Roman"/>
          <w:sz w:val="24"/>
          <w:szCs w:val="24"/>
          <w:lang w:val="sq-AL"/>
        </w:rPr>
        <w:t>, pasi relatori i çështjes është në konflikt interesi me kërkuesin, për shkak se ai ka paraqitur kallëzim penal për këtë gjyqtar.</w:t>
      </w:r>
    </w:p>
    <w:p w14:paraId="3CC35873" w14:textId="07BA8A5A" w:rsidR="00015CA2" w:rsidRPr="00E31272" w:rsidRDefault="00E31272" w:rsidP="00015CA2">
      <w:pPr>
        <w:pStyle w:val="ListParagraph"/>
        <w:tabs>
          <w:tab w:val="left" w:pos="1260"/>
        </w:tabs>
        <w:spacing w:after="0" w:line="240" w:lineRule="auto"/>
        <w:ind w:left="0" w:firstLine="284"/>
        <w:jc w:val="both"/>
        <w:rPr>
          <w:rFonts w:ascii="Garamond" w:hAnsi="Garamond" w:cs="Times New Roman"/>
          <w:sz w:val="24"/>
          <w:szCs w:val="24"/>
          <w:lang w:val="sq-AL"/>
        </w:rPr>
      </w:pPr>
      <w:r>
        <w:rPr>
          <w:rFonts w:ascii="Garamond" w:hAnsi="Garamond" w:cs="Times New Roman"/>
          <w:sz w:val="24"/>
          <w:szCs w:val="24"/>
          <w:lang w:val="sq-AL"/>
        </w:rPr>
        <w:t>11.14.5</w:t>
      </w:r>
      <w:r w:rsidR="00015CA2" w:rsidRPr="00E31272">
        <w:rPr>
          <w:rFonts w:ascii="Garamond" w:hAnsi="Garamond" w:cs="Times New Roman"/>
          <w:sz w:val="24"/>
          <w:szCs w:val="24"/>
          <w:lang w:val="sq-AL"/>
        </w:rPr>
        <w:t xml:space="preserve"> </w:t>
      </w:r>
      <w:r w:rsidR="00015CA2" w:rsidRPr="00E31272">
        <w:rPr>
          <w:rFonts w:ascii="Garamond" w:hAnsi="Garamond" w:cs="Times New Roman"/>
          <w:i/>
          <w:iCs/>
          <w:sz w:val="24"/>
          <w:szCs w:val="24"/>
          <w:lang w:val="sq-AL"/>
        </w:rPr>
        <w:t>Parimit të gjykimit të drejtë</w:t>
      </w:r>
      <w:r w:rsidR="00015CA2" w:rsidRPr="00E31272">
        <w:rPr>
          <w:rFonts w:ascii="Garamond" w:hAnsi="Garamond" w:cs="Times New Roman"/>
          <w:sz w:val="24"/>
          <w:szCs w:val="24"/>
          <w:lang w:val="sq-AL"/>
        </w:rPr>
        <w:t>, pasi vendimi i gjykatës së apelit nuk është bazuar në të drejtën e fituar me ligjet e mëparshme dhe llogaritja e pensionit të parakohshëm nuk është bërë sipas të drejtës së fituar më parë.</w:t>
      </w:r>
    </w:p>
    <w:p w14:paraId="2D251A22" w14:textId="223996E9" w:rsidR="00015CA2" w:rsidRPr="00E31272" w:rsidRDefault="00015CA2" w:rsidP="00015CA2">
      <w:pPr>
        <w:pStyle w:val="ListParagraph"/>
        <w:tabs>
          <w:tab w:val="left" w:pos="980"/>
          <w:tab w:val="left" w:pos="1080"/>
        </w:tabs>
        <w:spacing w:after="0" w:line="240" w:lineRule="auto"/>
        <w:ind w:left="0" w:firstLine="284"/>
        <w:jc w:val="both"/>
        <w:rPr>
          <w:rFonts w:ascii="Garamond" w:hAnsi="Garamond" w:cs="Times New Roman"/>
          <w:sz w:val="24"/>
          <w:szCs w:val="24"/>
          <w:lang w:val="sq-AL"/>
        </w:rPr>
      </w:pPr>
      <w:r w:rsidRPr="00E31272">
        <w:rPr>
          <w:rFonts w:ascii="Garamond" w:hAnsi="Garamond" w:cs="Times New Roman"/>
          <w:b/>
          <w:bCs/>
          <w:sz w:val="24"/>
          <w:szCs w:val="24"/>
          <w:lang w:val="sq-AL"/>
        </w:rPr>
        <w:t xml:space="preserve">12. </w:t>
      </w:r>
      <w:r w:rsidRPr="00E31272">
        <w:rPr>
          <w:rFonts w:ascii="Garamond" w:hAnsi="Garamond" w:cs="Times New Roman"/>
          <w:b/>
          <w:bCs/>
          <w:i/>
          <w:iCs/>
          <w:sz w:val="24"/>
          <w:szCs w:val="24"/>
          <w:lang w:val="sq-AL"/>
        </w:rPr>
        <w:t xml:space="preserve">Subjekti i interesuar, </w:t>
      </w:r>
      <w:proofErr w:type="spellStart"/>
      <w:r w:rsidRPr="00E31272">
        <w:rPr>
          <w:rFonts w:ascii="Garamond" w:hAnsi="Garamond" w:cs="Times New Roman"/>
          <w:b/>
          <w:bCs/>
          <w:i/>
          <w:iCs/>
          <w:sz w:val="24"/>
          <w:szCs w:val="24"/>
          <w:lang w:val="sq-AL"/>
        </w:rPr>
        <w:t>DRSSH</w:t>
      </w:r>
      <w:proofErr w:type="spellEnd"/>
      <w:r w:rsidRPr="00E31272">
        <w:rPr>
          <w:rFonts w:ascii="Garamond" w:hAnsi="Garamond" w:cs="Times New Roman"/>
          <w:b/>
          <w:bCs/>
          <w:i/>
          <w:iCs/>
          <w:sz w:val="24"/>
          <w:szCs w:val="24"/>
          <w:lang w:val="sq-AL"/>
        </w:rPr>
        <w:t>-ja, Tiranë,</w:t>
      </w:r>
      <w:r w:rsidRPr="00E31272">
        <w:rPr>
          <w:rFonts w:ascii="Garamond" w:hAnsi="Garamond" w:cs="Times New Roman"/>
          <w:sz w:val="24"/>
          <w:szCs w:val="24"/>
          <w:lang w:val="sq-AL"/>
        </w:rPr>
        <w:t xml:space="preserve"> nuk ka paraqitur prapësime me shkrim, megjithëse është njoftuar rregullisht nga Gjykata.</w:t>
      </w:r>
    </w:p>
    <w:p w14:paraId="0368427A" w14:textId="77777777" w:rsidR="00015CA2" w:rsidRPr="00E31272" w:rsidRDefault="00015CA2" w:rsidP="00015CA2">
      <w:pPr>
        <w:pStyle w:val="ListParagraph"/>
        <w:tabs>
          <w:tab w:val="left" w:pos="980"/>
          <w:tab w:val="left" w:pos="1080"/>
        </w:tabs>
        <w:spacing w:after="0" w:line="240" w:lineRule="auto"/>
        <w:ind w:left="0" w:firstLine="284"/>
        <w:jc w:val="center"/>
        <w:rPr>
          <w:rFonts w:ascii="Garamond" w:hAnsi="Garamond" w:cs="Times New Roman"/>
          <w:b/>
          <w:bCs/>
          <w:sz w:val="24"/>
          <w:szCs w:val="24"/>
          <w:lang w:val="sq-AL"/>
        </w:rPr>
      </w:pPr>
    </w:p>
    <w:p w14:paraId="51CAF7AB" w14:textId="77777777" w:rsidR="00015CA2" w:rsidRPr="00E31272" w:rsidRDefault="00015CA2" w:rsidP="00015CA2">
      <w:pPr>
        <w:pStyle w:val="ListParagraph"/>
        <w:tabs>
          <w:tab w:val="left" w:pos="980"/>
          <w:tab w:val="left" w:pos="1080"/>
        </w:tabs>
        <w:spacing w:after="0" w:line="240" w:lineRule="auto"/>
        <w:ind w:left="0" w:firstLine="284"/>
        <w:jc w:val="center"/>
        <w:rPr>
          <w:rFonts w:ascii="Garamond" w:hAnsi="Garamond" w:cs="Times New Roman"/>
          <w:b/>
          <w:bCs/>
          <w:sz w:val="24"/>
          <w:szCs w:val="24"/>
          <w:lang w:val="sq-AL"/>
        </w:rPr>
      </w:pPr>
      <w:proofErr w:type="spellStart"/>
      <w:r w:rsidRPr="00E31272">
        <w:rPr>
          <w:rFonts w:ascii="Garamond" w:hAnsi="Garamond" w:cs="Times New Roman"/>
          <w:b/>
          <w:bCs/>
          <w:sz w:val="24"/>
          <w:szCs w:val="24"/>
          <w:lang w:val="sq-AL"/>
        </w:rPr>
        <w:t>III</w:t>
      </w:r>
      <w:proofErr w:type="spellEnd"/>
    </w:p>
    <w:p w14:paraId="728C418C" w14:textId="77777777" w:rsidR="00015CA2" w:rsidRPr="00E31272" w:rsidRDefault="00015CA2" w:rsidP="00015CA2">
      <w:pPr>
        <w:pStyle w:val="ListParagraph"/>
        <w:tabs>
          <w:tab w:val="left" w:pos="980"/>
          <w:tab w:val="left" w:pos="1080"/>
        </w:tabs>
        <w:spacing w:after="0" w:line="240" w:lineRule="auto"/>
        <w:ind w:left="0" w:firstLine="284"/>
        <w:jc w:val="center"/>
        <w:rPr>
          <w:rFonts w:ascii="Garamond" w:hAnsi="Garamond" w:cs="Times New Roman"/>
          <w:b/>
          <w:bCs/>
          <w:sz w:val="24"/>
          <w:szCs w:val="24"/>
          <w:lang w:val="sq-AL"/>
        </w:rPr>
      </w:pPr>
      <w:r w:rsidRPr="00E31272">
        <w:rPr>
          <w:rFonts w:ascii="Garamond" w:hAnsi="Garamond" w:cs="Times New Roman"/>
          <w:b/>
          <w:bCs/>
          <w:sz w:val="24"/>
          <w:szCs w:val="24"/>
          <w:lang w:val="sq-AL"/>
        </w:rPr>
        <w:t>Vlerësimi i Gjykatës Kushtetuese</w:t>
      </w:r>
    </w:p>
    <w:p w14:paraId="5C39FEF3" w14:textId="77777777" w:rsidR="00BC10C4" w:rsidRPr="00E31272" w:rsidRDefault="00BC10C4" w:rsidP="00015CA2">
      <w:pPr>
        <w:pStyle w:val="ListParagraph"/>
        <w:tabs>
          <w:tab w:val="left" w:pos="980"/>
          <w:tab w:val="left" w:pos="1080"/>
        </w:tabs>
        <w:spacing w:after="0" w:line="240" w:lineRule="auto"/>
        <w:ind w:left="0" w:firstLine="284"/>
        <w:jc w:val="both"/>
        <w:rPr>
          <w:rFonts w:ascii="Garamond" w:hAnsi="Garamond" w:cs="Times New Roman"/>
          <w:i/>
          <w:iCs/>
          <w:sz w:val="24"/>
          <w:szCs w:val="24"/>
          <w:lang w:val="sq-AL"/>
        </w:rPr>
      </w:pPr>
    </w:p>
    <w:p w14:paraId="09BB7D51" w14:textId="68C4AD52" w:rsidR="00015CA2" w:rsidRPr="00E31272" w:rsidRDefault="00015CA2" w:rsidP="00015CA2">
      <w:pPr>
        <w:pStyle w:val="ListParagraph"/>
        <w:tabs>
          <w:tab w:val="left" w:pos="980"/>
          <w:tab w:val="left" w:pos="1080"/>
        </w:tabs>
        <w:spacing w:after="0" w:line="240" w:lineRule="auto"/>
        <w:ind w:left="0" w:firstLine="284"/>
        <w:jc w:val="both"/>
        <w:rPr>
          <w:rFonts w:ascii="Garamond" w:hAnsi="Garamond" w:cs="Times New Roman"/>
          <w:sz w:val="24"/>
          <w:szCs w:val="24"/>
          <w:lang w:val="sq-AL"/>
        </w:rPr>
      </w:pPr>
      <w:r w:rsidRPr="00E31272">
        <w:rPr>
          <w:rFonts w:ascii="Garamond" w:hAnsi="Garamond" w:cs="Times New Roman"/>
          <w:i/>
          <w:iCs/>
          <w:sz w:val="24"/>
          <w:szCs w:val="24"/>
          <w:lang w:val="sq-AL"/>
        </w:rPr>
        <w:t>A. Për legjitimimin e kërkuesit</w:t>
      </w:r>
    </w:p>
    <w:p w14:paraId="78C33DCD" w14:textId="722C13AB" w:rsidR="00015CA2" w:rsidRPr="00E31272" w:rsidRDefault="00015CA2" w:rsidP="00015CA2">
      <w:pPr>
        <w:pStyle w:val="ListParagraph"/>
        <w:tabs>
          <w:tab w:val="left" w:pos="980"/>
          <w:tab w:val="left" w:pos="1080"/>
        </w:tabs>
        <w:spacing w:after="0" w:line="240" w:lineRule="auto"/>
        <w:ind w:left="0" w:firstLine="284"/>
        <w:jc w:val="both"/>
        <w:rPr>
          <w:rFonts w:ascii="Garamond" w:hAnsi="Garamond" w:cs="Times New Roman"/>
          <w:sz w:val="24"/>
          <w:szCs w:val="24"/>
          <w:lang w:val="sq-AL"/>
        </w:rPr>
      </w:pPr>
      <w:r w:rsidRPr="00E31272">
        <w:rPr>
          <w:rFonts w:ascii="Garamond" w:hAnsi="Garamond" w:cs="Times New Roman"/>
          <w:sz w:val="24"/>
          <w:szCs w:val="24"/>
          <w:lang w:val="sq-AL"/>
        </w:rPr>
        <w:t>13. Çështja e legjitimimit (</w:t>
      </w:r>
      <w:proofErr w:type="spellStart"/>
      <w:r w:rsidRPr="00E31272">
        <w:rPr>
          <w:rFonts w:ascii="Garamond" w:hAnsi="Garamond" w:cs="Times New Roman"/>
          <w:i/>
          <w:iCs/>
          <w:sz w:val="24"/>
          <w:szCs w:val="24"/>
          <w:lang w:val="sq-AL"/>
        </w:rPr>
        <w:t>locus</w:t>
      </w:r>
      <w:proofErr w:type="spellEnd"/>
      <w:r w:rsidRPr="00E31272">
        <w:rPr>
          <w:rFonts w:ascii="Garamond" w:hAnsi="Garamond" w:cs="Times New Roman"/>
          <w:i/>
          <w:iCs/>
          <w:sz w:val="24"/>
          <w:szCs w:val="24"/>
          <w:lang w:val="sq-AL"/>
        </w:rPr>
        <w:t xml:space="preserve"> </w:t>
      </w:r>
      <w:proofErr w:type="spellStart"/>
      <w:r w:rsidRPr="00E31272">
        <w:rPr>
          <w:rFonts w:ascii="Garamond" w:hAnsi="Garamond" w:cs="Times New Roman"/>
          <w:i/>
          <w:iCs/>
          <w:sz w:val="24"/>
          <w:szCs w:val="24"/>
          <w:lang w:val="sq-AL"/>
        </w:rPr>
        <w:t>standi</w:t>
      </w:r>
      <w:proofErr w:type="spellEnd"/>
      <w:r w:rsidRPr="00E31272">
        <w:rPr>
          <w:rFonts w:ascii="Garamond" w:hAnsi="Garamond" w:cs="Times New Roman"/>
          <w:sz w:val="24"/>
          <w:szCs w:val="24"/>
          <w:lang w:val="sq-AL"/>
        </w:rPr>
        <w:t xml:space="preserve">) është një ndër aspektet kryesore që lidhet me nisjen e një procesi kushtetues. Sipas neneve 131, pika 1, shkronja “f” dhe 134, pikat 1, shkronja “i” dhe 2, të Kushtetutës, si dhe nenit 71 të Ligjit Organik të Gjykatës, çdo individ, person fizik ose juridik, subjekt i së drejtës private dhe publike, mund të vërë në lëvizje Gjykatën për gjykimin përfundimtar të ankesave kundër çdo akti të pushtetit publik ose vendimi gjyqësor që cenon të drejtat dhe liritë </w:t>
      </w:r>
      <w:r w:rsidRPr="00E31272">
        <w:rPr>
          <w:rFonts w:ascii="Garamond" w:hAnsi="Garamond" w:cs="Times New Roman"/>
          <w:sz w:val="24"/>
          <w:szCs w:val="24"/>
          <w:lang w:val="sq-AL"/>
        </w:rPr>
        <w:lastRenderedPageBreak/>
        <w:t xml:space="preserve">themelore të garantuara në Kushtetutë. Ankimi kushtetues individual, në çdo rast, duhet të plotësojë kriteret </w:t>
      </w:r>
      <w:proofErr w:type="spellStart"/>
      <w:r w:rsidRPr="00E31272">
        <w:rPr>
          <w:rFonts w:ascii="Garamond" w:hAnsi="Garamond" w:cs="Times New Roman"/>
          <w:sz w:val="24"/>
          <w:szCs w:val="24"/>
          <w:lang w:val="sq-AL"/>
        </w:rPr>
        <w:t>kumulative</w:t>
      </w:r>
      <w:proofErr w:type="spellEnd"/>
      <w:r w:rsidRPr="00E31272">
        <w:rPr>
          <w:rFonts w:ascii="Garamond" w:hAnsi="Garamond" w:cs="Times New Roman"/>
          <w:sz w:val="24"/>
          <w:szCs w:val="24"/>
          <w:lang w:val="sq-AL"/>
        </w:rPr>
        <w:t xml:space="preserve"> të nenit 71/a të Ligjit Organik të Gjykatës, që lidhen me shterimin e mjeteve juridike, afatin e paraqitjes së kërkesës, pasojat negative të pësuara në mënyrë të drejtpërdrejtë e reale dhe mundësinë për rivendosjen e së drejtës së shkelur.</w:t>
      </w:r>
    </w:p>
    <w:p w14:paraId="7526D635" w14:textId="17066889" w:rsidR="00015CA2" w:rsidRPr="00E31272" w:rsidRDefault="00015CA2" w:rsidP="00015CA2">
      <w:pPr>
        <w:pStyle w:val="ListParagraph"/>
        <w:tabs>
          <w:tab w:val="left" w:pos="980"/>
          <w:tab w:val="left" w:pos="1080"/>
        </w:tabs>
        <w:spacing w:after="0" w:line="240" w:lineRule="auto"/>
        <w:ind w:left="0" w:firstLine="284"/>
        <w:jc w:val="both"/>
        <w:rPr>
          <w:rFonts w:ascii="Garamond" w:hAnsi="Garamond" w:cs="Times New Roman"/>
          <w:sz w:val="24"/>
          <w:szCs w:val="24"/>
          <w:lang w:val="sq-AL"/>
        </w:rPr>
      </w:pPr>
      <w:r w:rsidRPr="00E31272">
        <w:rPr>
          <w:rFonts w:ascii="Garamond" w:hAnsi="Garamond" w:cs="Times New Roman"/>
          <w:sz w:val="24"/>
          <w:szCs w:val="24"/>
          <w:lang w:val="sq-AL"/>
        </w:rPr>
        <w:t xml:space="preserve">14. Gjykata vëren se kërkuesi, si individ, legjitimohet </w:t>
      </w:r>
      <w:proofErr w:type="spellStart"/>
      <w:r w:rsidRPr="00E31272">
        <w:rPr>
          <w:rFonts w:ascii="Garamond" w:hAnsi="Garamond" w:cs="Times New Roman"/>
          <w:i/>
          <w:iCs/>
          <w:sz w:val="24"/>
          <w:szCs w:val="24"/>
          <w:lang w:val="sq-AL"/>
        </w:rPr>
        <w:t>ratione</w:t>
      </w:r>
      <w:proofErr w:type="spellEnd"/>
      <w:r w:rsidRPr="00E31272">
        <w:rPr>
          <w:rFonts w:ascii="Garamond" w:hAnsi="Garamond" w:cs="Times New Roman"/>
          <w:i/>
          <w:iCs/>
          <w:sz w:val="24"/>
          <w:szCs w:val="24"/>
          <w:lang w:val="sq-AL"/>
        </w:rPr>
        <w:t xml:space="preserve"> </w:t>
      </w:r>
      <w:proofErr w:type="spellStart"/>
      <w:r w:rsidRPr="00E31272">
        <w:rPr>
          <w:rFonts w:ascii="Garamond" w:hAnsi="Garamond" w:cs="Times New Roman"/>
          <w:i/>
          <w:iCs/>
          <w:sz w:val="24"/>
          <w:szCs w:val="24"/>
          <w:lang w:val="sq-AL"/>
        </w:rPr>
        <w:t>personae</w:t>
      </w:r>
      <w:proofErr w:type="spellEnd"/>
      <w:r w:rsidRPr="00E31272">
        <w:rPr>
          <w:rFonts w:ascii="Garamond" w:hAnsi="Garamond" w:cs="Times New Roman"/>
          <w:i/>
          <w:iCs/>
          <w:sz w:val="24"/>
          <w:szCs w:val="24"/>
          <w:lang w:val="sq-AL"/>
        </w:rPr>
        <w:t>,</w:t>
      </w:r>
      <w:r w:rsidRPr="00E31272">
        <w:rPr>
          <w:rFonts w:ascii="Garamond" w:hAnsi="Garamond" w:cs="Times New Roman"/>
          <w:sz w:val="24"/>
          <w:szCs w:val="24"/>
          <w:lang w:val="sq-AL"/>
        </w:rPr>
        <w:t xml:space="preserve"> në kuptim të neneve 131, pika 1, shkronja “f” dhe 134, pika 1, shkronja “i”, të Kushtetutës, për kundërshtimin e vendimeve nr. 1040 (86-2023-1381), datë 11.12.2023</w:t>
      </w:r>
      <w:r w:rsidR="00E31272">
        <w:rPr>
          <w:rFonts w:ascii="Garamond" w:hAnsi="Garamond" w:cs="Times New Roman"/>
          <w:sz w:val="24"/>
          <w:szCs w:val="24"/>
          <w:lang w:val="sq-AL"/>
        </w:rPr>
        <w:t>,</w:t>
      </w:r>
      <w:r w:rsidRPr="00E31272">
        <w:rPr>
          <w:rFonts w:ascii="Garamond" w:hAnsi="Garamond" w:cs="Times New Roman"/>
          <w:sz w:val="24"/>
          <w:szCs w:val="24"/>
          <w:lang w:val="sq-AL"/>
        </w:rPr>
        <w:t xml:space="preserve"> të Gjykatës Administrative të Apelit dhe nr. 00-2024-4497, datë 22.10.2024</w:t>
      </w:r>
      <w:r w:rsidR="00E31272">
        <w:rPr>
          <w:rFonts w:ascii="Garamond" w:hAnsi="Garamond" w:cs="Times New Roman"/>
          <w:sz w:val="24"/>
          <w:szCs w:val="24"/>
          <w:lang w:val="sq-AL"/>
        </w:rPr>
        <w:t>,</w:t>
      </w:r>
      <w:r w:rsidRPr="00E31272">
        <w:rPr>
          <w:rFonts w:ascii="Garamond" w:hAnsi="Garamond" w:cs="Times New Roman"/>
          <w:sz w:val="24"/>
          <w:szCs w:val="24"/>
          <w:lang w:val="sq-AL"/>
        </w:rPr>
        <w:t xml:space="preserve"> të Kolegjit Administrativ të Gjykatës së Lartë, pasi ka qenë palë në procesin gjyqësor ndaj të cilit ka ngritur pretendime në këtë Gjykatë, për rrjedhojë ka interes të drejtpërdrejtë në çështjen e parashtruar.</w:t>
      </w:r>
    </w:p>
    <w:p w14:paraId="6DF4AF74" w14:textId="429136E2" w:rsidR="00015CA2" w:rsidRPr="00E31272" w:rsidRDefault="00015CA2" w:rsidP="00015CA2">
      <w:pPr>
        <w:pStyle w:val="ListParagraph"/>
        <w:tabs>
          <w:tab w:val="left" w:pos="980"/>
          <w:tab w:val="left" w:pos="1080"/>
        </w:tabs>
        <w:spacing w:after="0" w:line="240" w:lineRule="auto"/>
        <w:ind w:left="0" w:firstLine="284"/>
        <w:jc w:val="both"/>
        <w:rPr>
          <w:rFonts w:ascii="Garamond" w:hAnsi="Garamond" w:cs="Times New Roman"/>
          <w:sz w:val="24"/>
          <w:szCs w:val="24"/>
          <w:lang w:val="sq-AL"/>
        </w:rPr>
      </w:pPr>
      <w:r w:rsidRPr="00E31272">
        <w:rPr>
          <w:rFonts w:ascii="Garamond" w:hAnsi="Garamond" w:cs="Times New Roman"/>
          <w:sz w:val="24"/>
          <w:szCs w:val="24"/>
          <w:lang w:val="sq-AL"/>
        </w:rPr>
        <w:t xml:space="preserve">15. Për sa i takon vendimit </w:t>
      </w:r>
      <w:proofErr w:type="spellStart"/>
      <w:r w:rsidRPr="00E31272">
        <w:rPr>
          <w:rFonts w:ascii="Garamond" w:hAnsi="Garamond" w:cs="Times New Roman"/>
          <w:sz w:val="24"/>
          <w:szCs w:val="24"/>
          <w:lang w:val="sq-AL"/>
        </w:rPr>
        <w:t>unifikues</w:t>
      </w:r>
      <w:proofErr w:type="spellEnd"/>
      <w:r w:rsidRPr="00E31272">
        <w:rPr>
          <w:rFonts w:ascii="Garamond" w:hAnsi="Garamond" w:cs="Times New Roman"/>
          <w:sz w:val="24"/>
          <w:szCs w:val="24"/>
          <w:lang w:val="sq-AL"/>
        </w:rPr>
        <w:t xml:space="preserve"> nr. 3/2016</w:t>
      </w:r>
      <w:r w:rsidR="00E31272">
        <w:rPr>
          <w:rFonts w:ascii="Garamond" w:hAnsi="Garamond" w:cs="Times New Roman"/>
          <w:sz w:val="24"/>
          <w:szCs w:val="24"/>
          <w:lang w:val="sq-AL"/>
        </w:rPr>
        <w:t>,</w:t>
      </w:r>
      <w:r w:rsidRPr="00E31272">
        <w:rPr>
          <w:rFonts w:ascii="Garamond" w:hAnsi="Garamond" w:cs="Times New Roman"/>
          <w:sz w:val="24"/>
          <w:szCs w:val="24"/>
          <w:lang w:val="sq-AL"/>
        </w:rPr>
        <w:t xml:space="preserve"> të Kolegjeve të Bashkuara të Gjykatës së Lartë, gjithashtu objekt i ankimit kushtetues individual, Gjykata vëren se sipas jurisprudencës kushtetuese, në kuptim të neneve 131, pika 1, shkronja “f” dhe 134, pikat 1, shkronja “i” dhe 2, të Kushtetutës, individi duhet të provojë interesin e tij, si në aspektin procedural, ashtu edhe në atë substancial. Kjo, sepse individi, si subjekt i kushtëzuar, mund të bëjë kërkesë në Gjykatë vetëm për çështje që lidhen me interesat e tij të drejtpërdrejta, si dhe të provojë se në çfarë mënyre ai është cenuar në të drejtat e tij kushtetuese, pra se është viktimë e një shkeljeje dhe se pasojat nga akti i kundërshtuar janë të drejtpërdrejta dhe reale për të </w:t>
      </w:r>
      <w:r w:rsidRPr="00E31272">
        <w:rPr>
          <w:rFonts w:ascii="Garamond" w:hAnsi="Garamond" w:cs="Times New Roman"/>
          <w:i/>
          <w:iCs/>
          <w:sz w:val="24"/>
          <w:szCs w:val="24"/>
          <w:lang w:val="sq-AL"/>
        </w:rPr>
        <w:t>(shih vendimet nr. 59,</w:t>
      </w:r>
      <w:r w:rsidR="00E31272">
        <w:rPr>
          <w:rFonts w:ascii="Garamond" w:hAnsi="Garamond" w:cs="Times New Roman"/>
          <w:i/>
          <w:iCs/>
          <w:sz w:val="24"/>
          <w:szCs w:val="24"/>
          <w:lang w:val="sq-AL"/>
        </w:rPr>
        <w:t xml:space="preserve"> datë 16.10.2025; nr. 77, datë 5.11.2024; nr. 44, datë 26.</w:t>
      </w:r>
      <w:r w:rsidRPr="00E31272">
        <w:rPr>
          <w:rFonts w:ascii="Garamond" w:hAnsi="Garamond" w:cs="Times New Roman"/>
          <w:i/>
          <w:iCs/>
          <w:sz w:val="24"/>
          <w:szCs w:val="24"/>
          <w:lang w:val="sq-AL"/>
        </w:rPr>
        <w:t>9.2023</w:t>
      </w:r>
      <w:r w:rsidR="00E31272">
        <w:rPr>
          <w:rFonts w:ascii="Garamond" w:hAnsi="Garamond" w:cs="Times New Roman"/>
          <w:i/>
          <w:iCs/>
          <w:sz w:val="24"/>
          <w:szCs w:val="24"/>
          <w:lang w:val="sq-AL"/>
        </w:rPr>
        <w:t>,</w:t>
      </w:r>
      <w:r w:rsidRPr="00E31272">
        <w:rPr>
          <w:rFonts w:ascii="Garamond" w:hAnsi="Garamond" w:cs="Times New Roman"/>
          <w:i/>
          <w:iCs/>
          <w:sz w:val="24"/>
          <w:szCs w:val="24"/>
          <w:lang w:val="sq-AL"/>
        </w:rPr>
        <w:t xml:space="preserve"> të Gjykatës Kushtetuese)</w:t>
      </w:r>
      <w:r w:rsidRPr="00E31272">
        <w:rPr>
          <w:rFonts w:ascii="Garamond" w:hAnsi="Garamond" w:cs="Times New Roman"/>
          <w:sz w:val="24"/>
          <w:szCs w:val="24"/>
          <w:lang w:val="sq-AL"/>
        </w:rPr>
        <w:t xml:space="preserve">. Në rastin konkret, kërkuesi nuk ka qenë palë në procesin ku është dhënë vendimi </w:t>
      </w:r>
      <w:proofErr w:type="spellStart"/>
      <w:r w:rsidRPr="00E31272">
        <w:rPr>
          <w:rFonts w:ascii="Garamond" w:hAnsi="Garamond" w:cs="Times New Roman"/>
          <w:sz w:val="24"/>
          <w:szCs w:val="24"/>
          <w:lang w:val="sq-AL"/>
        </w:rPr>
        <w:t>unifikues</w:t>
      </w:r>
      <w:proofErr w:type="spellEnd"/>
      <w:r w:rsidRPr="00E31272">
        <w:rPr>
          <w:rFonts w:ascii="Garamond" w:hAnsi="Garamond" w:cs="Times New Roman"/>
          <w:sz w:val="24"/>
          <w:szCs w:val="24"/>
          <w:lang w:val="sq-AL"/>
        </w:rPr>
        <w:t xml:space="preserve"> i kundërshtuar, ndaj, në aspektin procedural, ai nuk legjitimohet </w:t>
      </w:r>
      <w:proofErr w:type="spellStart"/>
      <w:r w:rsidRPr="00E31272">
        <w:rPr>
          <w:rFonts w:ascii="Garamond" w:hAnsi="Garamond" w:cs="Times New Roman"/>
          <w:i/>
          <w:iCs/>
          <w:sz w:val="24"/>
          <w:szCs w:val="24"/>
          <w:lang w:val="sq-AL"/>
        </w:rPr>
        <w:t>ratione</w:t>
      </w:r>
      <w:proofErr w:type="spellEnd"/>
      <w:r w:rsidRPr="00E31272">
        <w:rPr>
          <w:rFonts w:ascii="Garamond" w:hAnsi="Garamond" w:cs="Times New Roman"/>
          <w:i/>
          <w:iCs/>
          <w:sz w:val="24"/>
          <w:szCs w:val="24"/>
          <w:lang w:val="sq-AL"/>
        </w:rPr>
        <w:t xml:space="preserve"> </w:t>
      </w:r>
      <w:proofErr w:type="spellStart"/>
      <w:r w:rsidRPr="00E31272">
        <w:rPr>
          <w:rFonts w:ascii="Garamond" w:hAnsi="Garamond" w:cs="Times New Roman"/>
          <w:i/>
          <w:iCs/>
          <w:sz w:val="24"/>
          <w:szCs w:val="24"/>
          <w:lang w:val="sq-AL"/>
        </w:rPr>
        <w:t>personae</w:t>
      </w:r>
      <w:proofErr w:type="spellEnd"/>
      <w:r w:rsidRPr="00E31272">
        <w:rPr>
          <w:rFonts w:ascii="Garamond" w:hAnsi="Garamond" w:cs="Times New Roman"/>
          <w:sz w:val="24"/>
          <w:szCs w:val="24"/>
          <w:lang w:val="sq-AL"/>
        </w:rPr>
        <w:t xml:space="preserve"> për kundërshtimin e tij. Megjithatë, në aspektin substancial, Gjykata çmon të analizojë përmbajtjen e vendimit </w:t>
      </w:r>
      <w:proofErr w:type="spellStart"/>
      <w:r w:rsidRPr="00E31272">
        <w:rPr>
          <w:rFonts w:ascii="Garamond" w:hAnsi="Garamond" w:cs="Times New Roman"/>
          <w:sz w:val="24"/>
          <w:szCs w:val="24"/>
          <w:lang w:val="sq-AL"/>
        </w:rPr>
        <w:t>unifikues</w:t>
      </w:r>
      <w:proofErr w:type="spellEnd"/>
      <w:r w:rsidRPr="00E31272">
        <w:rPr>
          <w:rFonts w:ascii="Garamond" w:hAnsi="Garamond" w:cs="Times New Roman"/>
          <w:sz w:val="24"/>
          <w:szCs w:val="24"/>
          <w:lang w:val="sq-AL"/>
        </w:rPr>
        <w:t xml:space="preserve"> për aq sa referuar atij gjykatat e zakonshme kanë interpretuar dhe zbatuar ligjin në çështjen konkrete.</w:t>
      </w:r>
    </w:p>
    <w:p w14:paraId="5EFBED40" w14:textId="3C33FD8A" w:rsidR="00015CA2" w:rsidRPr="00E31272" w:rsidRDefault="00015CA2" w:rsidP="00015CA2">
      <w:pPr>
        <w:pStyle w:val="ListParagraph"/>
        <w:tabs>
          <w:tab w:val="left" w:pos="980"/>
          <w:tab w:val="left" w:pos="1080"/>
        </w:tabs>
        <w:spacing w:after="0" w:line="240" w:lineRule="auto"/>
        <w:ind w:left="0" w:firstLine="284"/>
        <w:jc w:val="both"/>
        <w:rPr>
          <w:rFonts w:ascii="Garamond" w:hAnsi="Garamond" w:cs="Times New Roman"/>
          <w:sz w:val="24"/>
          <w:szCs w:val="24"/>
          <w:lang w:val="sq-AL"/>
        </w:rPr>
      </w:pPr>
      <w:r w:rsidRPr="00E31272">
        <w:rPr>
          <w:rFonts w:ascii="Garamond" w:hAnsi="Garamond" w:cs="Times New Roman"/>
          <w:sz w:val="24"/>
          <w:szCs w:val="24"/>
          <w:lang w:val="sq-AL"/>
        </w:rPr>
        <w:t xml:space="preserve">16. Në lidhje me kriterin e </w:t>
      </w:r>
      <w:r w:rsidRPr="00E31272">
        <w:rPr>
          <w:rFonts w:ascii="Garamond" w:hAnsi="Garamond" w:cs="Times New Roman"/>
          <w:i/>
          <w:iCs/>
          <w:sz w:val="24"/>
          <w:szCs w:val="24"/>
          <w:lang w:val="sq-AL"/>
        </w:rPr>
        <w:t>shterimit të mjeteve juridike efektive</w:t>
      </w:r>
      <w:r w:rsidRPr="00E31272">
        <w:rPr>
          <w:rFonts w:ascii="Garamond" w:hAnsi="Garamond" w:cs="Times New Roman"/>
          <w:sz w:val="24"/>
          <w:szCs w:val="24"/>
          <w:lang w:val="sq-AL"/>
        </w:rPr>
        <w:t xml:space="preserve">, në kuptim të nenit 131, pika 1, shkronja “f”, të Kushtetutës, Gjykata vendos për gjykimin përfundimtar të ankesave të individëve, pasi të jenë shteruar të gjitha mjetet juridike efektive për mbrojtjen e të drejtave kushtetuese, që individi pretendon se i janë cenuar nga akti i pushtetit publik. Kriteri për shterimin e mjeteve nënkupton jo vetëm që individi t’u jetë drejtuar të gjitha shkallëve të zakonshme të gjykimit, por edhe që të gjitha pretendimet që ngre në këtë Gjykatë t’i ketë paraqitur më parë, të paktën në substancë, duke respektuar kërkesat formale dhe afatet e parashikuara në ligjin procedural </w:t>
      </w:r>
      <w:r w:rsidR="00E31272">
        <w:rPr>
          <w:rFonts w:ascii="Garamond" w:hAnsi="Garamond" w:cs="Times New Roman"/>
          <w:i/>
          <w:iCs/>
          <w:sz w:val="24"/>
          <w:szCs w:val="24"/>
          <w:lang w:val="sq-AL"/>
        </w:rPr>
        <w:t>(shih vendimet nr. 50, datë 20.</w:t>
      </w:r>
      <w:r w:rsidRPr="00E31272">
        <w:rPr>
          <w:rFonts w:ascii="Garamond" w:hAnsi="Garamond" w:cs="Times New Roman"/>
          <w:i/>
          <w:iCs/>
          <w:sz w:val="24"/>
          <w:szCs w:val="24"/>
          <w:lang w:val="sq-AL"/>
        </w:rPr>
        <w:t>6.2024; nr. 65,</w:t>
      </w:r>
      <w:r w:rsidR="00E31272">
        <w:rPr>
          <w:rFonts w:ascii="Garamond" w:hAnsi="Garamond" w:cs="Times New Roman"/>
          <w:i/>
          <w:iCs/>
          <w:sz w:val="24"/>
          <w:szCs w:val="24"/>
          <w:lang w:val="sq-AL"/>
        </w:rPr>
        <w:t xml:space="preserve"> datë 30.11.2023; nr. 31, datë </w:t>
      </w:r>
      <w:r w:rsidRPr="00E31272">
        <w:rPr>
          <w:rFonts w:ascii="Garamond" w:hAnsi="Garamond" w:cs="Times New Roman"/>
          <w:i/>
          <w:iCs/>
          <w:sz w:val="24"/>
          <w:szCs w:val="24"/>
          <w:lang w:val="sq-AL"/>
        </w:rPr>
        <w:t>3.11.2021</w:t>
      </w:r>
      <w:r w:rsidR="00E31272">
        <w:rPr>
          <w:rFonts w:ascii="Garamond" w:hAnsi="Garamond" w:cs="Times New Roman"/>
          <w:i/>
          <w:iCs/>
          <w:sz w:val="24"/>
          <w:szCs w:val="24"/>
          <w:lang w:val="sq-AL"/>
        </w:rPr>
        <w:t>,</w:t>
      </w:r>
      <w:r w:rsidRPr="00E31272">
        <w:rPr>
          <w:rFonts w:ascii="Garamond" w:hAnsi="Garamond" w:cs="Times New Roman"/>
          <w:i/>
          <w:iCs/>
          <w:sz w:val="24"/>
          <w:szCs w:val="24"/>
          <w:lang w:val="sq-AL"/>
        </w:rPr>
        <w:t xml:space="preserve"> të Gjykatës Kushtetuese)</w:t>
      </w:r>
      <w:r w:rsidRPr="00E31272">
        <w:rPr>
          <w:rFonts w:ascii="Garamond" w:hAnsi="Garamond" w:cs="Times New Roman"/>
          <w:sz w:val="24"/>
          <w:szCs w:val="24"/>
          <w:lang w:val="sq-AL"/>
        </w:rPr>
        <w:t>.</w:t>
      </w:r>
    </w:p>
    <w:p w14:paraId="01C990B0" w14:textId="0E4A5F51" w:rsidR="00015CA2" w:rsidRPr="00E31272" w:rsidRDefault="00015CA2" w:rsidP="00015CA2">
      <w:pPr>
        <w:pStyle w:val="ListParagraph"/>
        <w:tabs>
          <w:tab w:val="left" w:pos="980"/>
          <w:tab w:val="left" w:pos="1080"/>
        </w:tabs>
        <w:spacing w:after="0" w:line="240" w:lineRule="auto"/>
        <w:ind w:left="0" w:firstLine="284"/>
        <w:jc w:val="both"/>
        <w:rPr>
          <w:rFonts w:ascii="Garamond" w:hAnsi="Garamond" w:cs="Times New Roman"/>
          <w:sz w:val="24"/>
          <w:szCs w:val="24"/>
          <w:lang w:val="sq-AL"/>
        </w:rPr>
      </w:pPr>
      <w:r w:rsidRPr="00E31272">
        <w:rPr>
          <w:rFonts w:ascii="Garamond" w:hAnsi="Garamond" w:cs="Times New Roman"/>
          <w:sz w:val="24"/>
          <w:szCs w:val="24"/>
          <w:lang w:val="sq-AL"/>
        </w:rPr>
        <w:t xml:space="preserve">17. Gjykata vëren se kërkuesi, ndër të tjera, ka pretenduar cenimin e së drejtës për t’u gjykuar nga një gjykatë e paanshme, pasi relatori i çështjes në gjykatën e apelit ka qenë në konflikt interesi me kërkuesin, për shkak se ka paraqitur kallëzim penal për këtë gjyqtar. Lidhur me këtë pretendim, kërkuesi ka pretenduar se Gjykata Administrative e Apelit nuk e ka njoftuar për datën dhe orën e zhvillimit të seancës gjyqësore, në mënyrë që atij t’i jepej mundësia për të kërkuar përjashtimin e tij nga gjykimi i çështjes. </w:t>
      </w:r>
    </w:p>
    <w:p w14:paraId="2CC05AA6" w14:textId="31925B65" w:rsidR="00015CA2" w:rsidRPr="00E31272" w:rsidRDefault="00015CA2" w:rsidP="00015CA2">
      <w:pPr>
        <w:pStyle w:val="ListParagraph"/>
        <w:tabs>
          <w:tab w:val="left" w:pos="980"/>
          <w:tab w:val="left" w:pos="1080"/>
        </w:tabs>
        <w:spacing w:after="0" w:line="240" w:lineRule="auto"/>
        <w:ind w:left="0" w:firstLine="284"/>
        <w:jc w:val="both"/>
        <w:rPr>
          <w:rFonts w:ascii="Garamond" w:hAnsi="Garamond" w:cs="Times New Roman"/>
          <w:sz w:val="24"/>
          <w:szCs w:val="24"/>
          <w:lang w:val="sq-AL"/>
        </w:rPr>
      </w:pPr>
      <w:r w:rsidRPr="00E31272">
        <w:rPr>
          <w:rFonts w:ascii="Garamond" w:hAnsi="Garamond" w:cs="Times New Roman"/>
          <w:sz w:val="24"/>
          <w:szCs w:val="24"/>
          <w:lang w:val="sq-AL"/>
        </w:rPr>
        <w:t>18. Bazuar në nenin 49</w:t>
      </w:r>
      <w:r w:rsidR="00E31272">
        <w:rPr>
          <w:rFonts w:ascii="Garamond" w:hAnsi="Garamond" w:cs="Times New Roman"/>
          <w:sz w:val="24"/>
          <w:szCs w:val="24"/>
          <w:lang w:val="sq-AL"/>
        </w:rPr>
        <w:t>,</w:t>
      </w:r>
      <w:r w:rsidRPr="00E31272">
        <w:rPr>
          <w:rFonts w:ascii="Garamond" w:hAnsi="Garamond" w:cs="Times New Roman"/>
          <w:sz w:val="24"/>
          <w:szCs w:val="24"/>
          <w:lang w:val="sq-AL"/>
        </w:rPr>
        <w:t xml:space="preserve"> të ligjit nr. 49/2012, Gjykata vëren se shqyrtimi i ankimit në Gjykatën Administrative të Apelit si rregull bëhet mbi bazë të dokumenteve në dhomën e këshillimit dhe sekretaria e gjykatës njofton palët rregullisht sipas rregullave procedurale në gjykimin civil në Gjykatën e Lartë, për përbërjen e trupit gjykues, datën, orën dhe vendin e shqyrtimit të çështjes, të paktën 15 ditë përpara. Ndërkohë, rregullat procedurale në gjykimin civil në Gjykatën e Lartë, pikërisht neni 482, paragrafi i tretë, i </w:t>
      </w:r>
      <w:proofErr w:type="spellStart"/>
      <w:r w:rsidRPr="00E31272">
        <w:rPr>
          <w:rFonts w:ascii="Garamond" w:hAnsi="Garamond" w:cs="Times New Roman"/>
          <w:sz w:val="24"/>
          <w:szCs w:val="24"/>
          <w:lang w:val="sq-AL"/>
        </w:rPr>
        <w:t>KPC</w:t>
      </w:r>
      <w:proofErr w:type="spellEnd"/>
      <w:r w:rsidRPr="00E31272">
        <w:rPr>
          <w:rFonts w:ascii="Garamond" w:hAnsi="Garamond" w:cs="Times New Roman"/>
          <w:sz w:val="24"/>
          <w:szCs w:val="24"/>
          <w:lang w:val="sq-AL"/>
        </w:rPr>
        <w:t>-së, parashikojnë se njoftimi i palëve nga sekretaria gjyqësore bëhet përmes shpalljes së listave të shqyrtimit të rekurseve të paktën 15 ditë përpara datës së shqyrtimit.</w:t>
      </w:r>
    </w:p>
    <w:p w14:paraId="6A625A50" w14:textId="5C182278" w:rsidR="00015CA2" w:rsidRPr="00E31272" w:rsidRDefault="00015CA2" w:rsidP="00015CA2">
      <w:pPr>
        <w:pStyle w:val="ListParagraph"/>
        <w:tabs>
          <w:tab w:val="left" w:pos="980"/>
          <w:tab w:val="left" w:pos="1080"/>
        </w:tabs>
        <w:spacing w:after="0" w:line="240" w:lineRule="auto"/>
        <w:ind w:left="0" w:firstLine="284"/>
        <w:jc w:val="both"/>
        <w:rPr>
          <w:rFonts w:ascii="Garamond" w:hAnsi="Garamond" w:cs="Times New Roman"/>
          <w:sz w:val="24"/>
          <w:szCs w:val="24"/>
          <w:lang w:val="sq-AL"/>
        </w:rPr>
      </w:pPr>
      <w:r w:rsidRPr="00E31272">
        <w:rPr>
          <w:rFonts w:ascii="Garamond" w:hAnsi="Garamond" w:cs="Times New Roman"/>
          <w:sz w:val="24"/>
          <w:szCs w:val="24"/>
          <w:lang w:val="sq-AL"/>
        </w:rPr>
        <w:t>19. Në rastin konkret, referuar akteve të dosjes gjyqësore të administruar për qëllime të gjykimit kushtetues,</w:t>
      </w:r>
      <w:r w:rsidR="00E31272">
        <w:rPr>
          <w:rFonts w:ascii="Garamond" w:hAnsi="Garamond" w:cs="Times New Roman"/>
          <w:sz w:val="24"/>
          <w:szCs w:val="24"/>
          <w:lang w:val="sq-AL"/>
        </w:rPr>
        <w:t xml:space="preserve"> seanca e planifikuar në datën </w:t>
      </w:r>
      <w:r w:rsidRPr="00E31272">
        <w:rPr>
          <w:rFonts w:ascii="Garamond" w:hAnsi="Garamond" w:cs="Times New Roman"/>
          <w:sz w:val="24"/>
          <w:szCs w:val="24"/>
          <w:lang w:val="sq-AL"/>
        </w:rPr>
        <w:t>8.10.2023</w:t>
      </w:r>
      <w:r w:rsidR="00E31272">
        <w:rPr>
          <w:rFonts w:ascii="Garamond" w:hAnsi="Garamond" w:cs="Times New Roman"/>
          <w:sz w:val="24"/>
          <w:szCs w:val="24"/>
          <w:lang w:val="sq-AL"/>
        </w:rPr>
        <w:t>,</w:t>
      </w:r>
      <w:r w:rsidRPr="00E31272">
        <w:rPr>
          <w:rFonts w:ascii="Garamond" w:hAnsi="Garamond" w:cs="Times New Roman"/>
          <w:sz w:val="24"/>
          <w:szCs w:val="24"/>
          <w:lang w:val="sq-AL"/>
        </w:rPr>
        <w:t xml:space="preserve"> në Gjykatën Administrative të Apelit nuk është zhvilluar për shkak të </w:t>
      </w:r>
      <w:proofErr w:type="spellStart"/>
      <w:r w:rsidRPr="00E31272">
        <w:rPr>
          <w:rFonts w:ascii="Garamond" w:hAnsi="Garamond" w:cs="Times New Roman"/>
          <w:sz w:val="24"/>
          <w:szCs w:val="24"/>
          <w:lang w:val="sq-AL"/>
        </w:rPr>
        <w:t>mosformimit</w:t>
      </w:r>
      <w:proofErr w:type="spellEnd"/>
      <w:r w:rsidRPr="00E31272">
        <w:rPr>
          <w:rFonts w:ascii="Garamond" w:hAnsi="Garamond" w:cs="Times New Roman"/>
          <w:sz w:val="24"/>
          <w:szCs w:val="24"/>
          <w:lang w:val="sq-AL"/>
        </w:rPr>
        <w:t xml:space="preserve"> të trupit gjykues, si rrjedhojë e kërkesës për dorëheqje të gjyqtares E.</w:t>
      </w:r>
      <w:r w:rsidR="00E31272">
        <w:rPr>
          <w:rFonts w:ascii="Garamond" w:hAnsi="Garamond" w:cs="Times New Roman"/>
          <w:sz w:val="24"/>
          <w:szCs w:val="24"/>
          <w:lang w:val="sq-AL"/>
        </w:rPr>
        <w:t xml:space="preserve"> </w:t>
      </w:r>
      <w:r w:rsidRPr="00E31272">
        <w:rPr>
          <w:rFonts w:ascii="Garamond" w:hAnsi="Garamond" w:cs="Times New Roman"/>
          <w:sz w:val="24"/>
          <w:szCs w:val="24"/>
          <w:lang w:val="sq-AL"/>
        </w:rPr>
        <w:t xml:space="preserve">Ç., e cila është pranuar nga zëvendëskryetari i asaj gjykate. Më tej është proceduar me plotësimin e </w:t>
      </w:r>
      <w:r w:rsidRPr="00E31272">
        <w:rPr>
          <w:rFonts w:ascii="Garamond" w:hAnsi="Garamond" w:cs="Times New Roman"/>
          <w:sz w:val="24"/>
          <w:szCs w:val="24"/>
          <w:lang w:val="sq-AL"/>
        </w:rPr>
        <w:lastRenderedPageBreak/>
        <w:t xml:space="preserve">përbërjes së trupit gjykues nëpërmjet shortit elektronik. Seanca e planifikuar është shtyrë me qëllim njoftimin e palëve </w:t>
      </w:r>
      <w:proofErr w:type="spellStart"/>
      <w:r w:rsidRPr="00E31272">
        <w:rPr>
          <w:rFonts w:ascii="Garamond" w:hAnsi="Garamond" w:cs="Times New Roman"/>
          <w:sz w:val="24"/>
          <w:szCs w:val="24"/>
          <w:lang w:val="sq-AL"/>
        </w:rPr>
        <w:t>ndërgjyqëse</w:t>
      </w:r>
      <w:proofErr w:type="spellEnd"/>
      <w:r w:rsidRPr="00E31272">
        <w:rPr>
          <w:rFonts w:ascii="Garamond" w:hAnsi="Garamond" w:cs="Times New Roman"/>
          <w:sz w:val="24"/>
          <w:szCs w:val="24"/>
          <w:lang w:val="sq-AL"/>
        </w:rPr>
        <w:t xml:space="preserve"> me shpallje publike në ambientet e gjykatës dhe në faqen zyrtare të saj. Njoftimi për datën dhe orën, si dhe përbërjen e trupit gjykues rezulton të jetë shpallur në datën 17.11.2023. Në kuptim të këtyre rrethanave, Gjykata çmon se gjykata e apelit ka vepruar në përputhje me parashikimet ligjore për sa i përket njoftimit të palëve. Në këto kushte, ndonëse kërkuesi rezulton të jetë njoftuar rregullisht, ai nuk ka paraqitur kërkesë për përjashtimin e gjyqtarit E.</w:t>
      </w:r>
      <w:r w:rsidR="00E31272">
        <w:rPr>
          <w:rFonts w:ascii="Garamond" w:hAnsi="Garamond" w:cs="Times New Roman"/>
          <w:sz w:val="24"/>
          <w:szCs w:val="24"/>
          <w:lang w:val="sq-AL"/>
        </w:rPr>
        <w:t xml:space="preserve"> </w:t>
      </w:r>
      <w:r w:rsidRPr="00E31272">
        <w:rPr>
          <w:rFonts w:ascii="Garamond" w:hAnsi="Garamond" w:cs="Times New Roman"/>
          <w:sz w:val="24"/>
          <w:szCs w:val="24"/>
          <w:lang w:val="sq-AL"/>
        </w:rPr>
        <w:t xml:space="preserve">R. nga gjykimi i çështjes së tij. Për rrjedhojë, për pretendimin e cenimit të së drejtës për t’u gjykuar nga një gjykatë e paanshme, ai nuk ka shteruar mjetet ligjore në dispozicion, në kuptim të nenit 131, pika 1, shkronja “f”, të Kushtetutës. Ndërsa për sa u përket pretendimeve të tjera, ai nuk ka mjet tjetër juridik në dispozicion për mbrojtjen e të drejtave të tij kushtetuese përveç paraqitjes së ankimit kushtetues individual. </w:t>
      </w:r>
    </w:p>
    <w:p w14:paraId="5A2F8EE5" w14:textId="32F6DB8C" w:rsidR="00015CA2" w:rsidRPr="00E31272" w:rsidRDefault="00015CA2" w:rsidP="00015CA2">
      <w:pPr>
        <w:pStyle w:val="ListParagraph"/>
        <w:tabs>
          <w:tab w:val="left" w:pos="980"/>
          <w:tab w:val="left" w:pos="1080"/>
        </w:tabs>
        <w:spacing w:after="0" w:line="240" w:lineRule="auto"/>
        <w:ind w:left="0" w:firstLine="284"/>
        <w:jc w:val="both"/>
        <w:rPr>
          <w:rFonts w:ascii="Garamond" w:hAnsi="Garamond" w:cs="Times New Roman"/>
          <w:sz w:val="24"/>
          <w:szCs w:val="24"/>
          <w:lang w:val="sq-AL"/>
        </w:rPr>
      </w:pPr>
      <w:r w:rsidRPr="00E31272">
        <w:rPr>
          <w:rFonts w:ascii="Garamond" w:hAnsi="Garamond" w:cs="Times New Roman"/>
          <w:sz w:val="24"/>
          <w:szCs w:val="24"/>
          <w:lang w:val="sq-AL"/>
        </w:rPr>
        <w:t xml:space="preserve">20. Lidhur me legjitimimin </w:t>
      </w:r>
      <w:proofErr w:type="spellStart"/>
      <w:r w:rsidRPr="00E31272">
        <w:rPr>
          <w:rFonts w:ascii="Garamond" w:hAnsi="Garamond" w:cs="Times New Roman"/>
          <w:i/>
          <w:iCs/>
          <w:sz w:val="24"/>
          <w:szCs w:val="24"/>
          <w:lang w:val="sq-AL"/>
        </w:rPr>
        <w:t>ratione</w:t>
      </w:r>
      <w:proofErr w:type="spellEnd"/>
      <w:r w:rsidRPr="00E31272">
        <w:rPr>
          <w:rFonts w:ascii="Garamond" w:hAnsi="Garamond" w:cs="Times New Roman"/>
          <w:i/>
          <w:iCs/>
          <w:sz w:val="24"/>
          <w:szCs w:val="24"/>
          <w:lang w:val="sq-AL"/>
        </w:rPr>
        <w:t xml:space="preserve"> </w:t>
      </w:r>
      <w:proofErr w:type="spellStart"/>
      <w:r w:rsidRPr="00E31272">
        <w:rPr>
          <w:rFonts w:ascii="Garamond" w:hAnsi="Garamond" w:cs="Times New Roman"/>
          <w:i/>
          <w:iCs/>
          <w:sz w:val="24"/>
          <w:szCs w:val="24"/>
          <w:lang w:val="sq-AL"/>
        </w:rPr>
        <w:t>temporis</w:t>
      </w:r>
      <w:proofErr w:type="spellEnd"/>
      <w:r w:rsidRPr="00E31272">
        <w:rPr>
          <w:rFonts w:ascii="Garamond" w:hAnsi="Garamond" w:cs="Times New Roman"/>
          <w:sz w:val="24"/>
          <w:szCs w:val="24"/>
          <w:lang w:val="sq-AL"/>
        </w:rPr>
        <w:t>, neni 71/a, pika 1, shkronja “b”, i Ligjit Organik të Gjykatës ka parashikuar afatin ligjor 4-mujor nga konstatimi i cenimit për paraqitjen e ankimit kushtetues individual. Në rastin konkret, vendimi më i fundit në kohë i kundërshtuar, ai i Kolegjit Administrativ të Gjykatës së Lartë, mban datën 22.10.2024, i cili është publikuar në faqen zyrtare të kësaj gjykate në datën 20.11.2024, ndërsa kërkesa është paraqit</w:t>
      </w:r>
      <w:r w:rsidR="00E31272">
        <w:rPr>
          <w:rFonts w:ascii="Garamond" w:hAnsi="Garamond" w:cs="Times New Roman"/>
          <w:sz w:val="24"/>
          <w:szCs w:val="24"/>
          <w:lang w:val="sq-AL"/>
        </w:rPr>
        <w:t>ur në këtë Gjykatë, në datën 15.</w:t>
      </w:r>
      <w:r w:rsidRPr="00E31272">
        <w:rPr>
          <w:rFonts w:ascii="Garamond" w:hAnsi="Garamond" w:cs="Times New Roman"/>
          <w:sz w:val="24"/>
          <w:szCs w:val="24"/>
          <w:lang w:val="sq-AL"/>
        </w:rPr>
        <w:t>1.2025, pra brenda afatit ligjor 4-mujor.</w:t>
      </w:r>
    </w:p>
    <w:p w14:paraId="6D89CD3E" w14:textId="1DB8DD40" w:rsidR="00015CA2" w:rsidRPr="00E31272" w:rsidRDefault="00015CA2" w:rsidP="00015CA2">
      <w:pPr>
        <w:pStyle w:val="ListParagraph"/>
        <w:tabs>
          <w:tab w:val="left" w:pos="980"/>
          <w:tab w:val="left" w:pos="1080"/>
        </w:tabs>
        <w:spacing w:after="0" w:line="240" w:lineRule="auto"/>
        <w:ind w:left="0" w:firstLine="284"/>
        <w:jc w:val="both"/>
        <w:rPr>
          <w:rFonts w:ascii="Garamond" w:hAnsi="Garamond" w:cs="Times New Roman"/>
          <w:i/>
          <w:iCs/>
          <w:sz w:val="24"/>
          <w:szCs w:val="24"/>
          <w:lang w:val="sq-AL"/>
        </w:rPr>
      </w:pPr>
      <w:r w:rsidRPr="00E31272">
        <w:rPr>
          <w:rFonts w:ascii="Garamond" w:hAnsi="Garamond" w:cs="Times New Roman"/>
          <w:sz w:val="24"/>
          <w:szCs w:val="24"/>
          <w:lang w:val="sq-AL"/>
        </w:rPr>
        <w:t xml:space="preserve">21. Për sa u përket pretendimeve për cenimin e parimit të </w:t>
      </w:r>
      <w:proofErr w:type="spellStart"/>
      <w:r w:rsidRPr="00E31272">
        <w:rPr>
          <w:rFonts w:ascii="Garamond" w:hAnsi="Garamond" w:cs="Times New Roman"/>
          <w:sz w:val="24"/>
          <w:szCs w:val="24"/>
          <w:lang w:val="sq-AL"/>
        </w:rPr>
        <w:t>disponibilitetit</w:t>
      </w:r>
      <w:proofErr w:type="spellEnd"/>
      <w:r w:rsidRPr="00E31272">
        <w:rPr>
          <w:rFonts w:ascii="Garamond" w:hAnsi="Garamond" w:cs="Times New Roman"/>
          <w:sz w:val="24"/>
          <w:szCs w:val="24"/>
          <w:lang w:val="sq-AL"/>
        </w:rPr>
        <w:t xml:space="preserve"> dhe </w:t>
      </w:r>
      <w:proofErr w:type="spellStart"/>
      <w:r w:rsidRPr="00E31272">
        <w:rPr>
          <w:rFonts w:ascii="Garamond" w:hAnsi="Garamond" w:cs="Times New Roman"/>
          <w:sz w:val="24"/>
          <w:szCs w:val="24"/>
          <w:lang w:val="sq-AL"/>
        </w:rPr>
        <w:t>subsidiaritetit</w:t>
      </w:r>
      <w:proofErr w:type="spellEnd"/>
      <w:r w:rsidRPr="00E31272">
        <w:rPr>
          <w:rFonts w:ascii="Garamond" w:hAnsi="Garamond" w:cs="Times New Roman"/>
          <w:sz w:val="24"/>
          <w:szCs w:val="24"/>
          <w:lang w:val="sq-AL"/>
        </w:rPr>
        <w:t xml:space="preserve"> nga Gjykata e Lartë, si dhe të parimit të ndarjes dhe balancimit të pushteteve nga vendimi </w:t>
      </w:r>
      <w:proofErr w:type="spellStart"/>
      <w:r w:rsidRPr="00E31272">
        <w:rPr>
          <w:rFonts w:ascii="Garamond" w:hAnsi="Garamond" w:cs="Times New Roman"/>
          <w:sz w:val="24"/>
          <w:szCs w:val="24"/>
          <w:lang w:val="sq-AL"/>
        </w:rPr>
        <w:t>unifikues</w:t>
      </w:r>
      <w:proofErr w:type="spellEnd"/>
      <w:r w:rsidRPr="00E31272">
        <w:rPr>
          <w:rFonts w:ascii="Garamond" w:hAnsi="Garamond" w:cs="Times New Roman"/>
          <w:sz w:val="24"/>
          <w:szCs w:val="24"/>
          <w:lang w:val="sq-AL"/>
        </w:rPr>
        <w:t>, Gjykata vëren se kërkuesi i ka paraqitur për herë të parë në parasht</w:t>
      </w:r>
      <w:r w:rsidR="00E31272">
        <w:rPr>
          <w:rFonts w:ascii="Garamond" w:hAnsi="Garamond" w:cs="Times New Roman"/>
          <w:sz w:val="24"/>
          <w:szCs w:val="24"/>
          <w:lang w:val="sq-AL"/>
        </w:rPr>
        <w:t>rimet para seancës të datës 22.</w:t>
      </w:r>
      <w:r w:rsidRPr="00E31272">
        <w:rPr>
          <w:rFonts w:ascii="Garamond" w:hAnsi="Garamond" w:cs="Times New Roman"/>
          <w:sz w:val="24"/>
          <w:szCs w:val="24"/>
          <w:lang w:val="sq-AL"/>
        </w:rPr>
        <w:t xml:space="preserve">7.2025, pra si të tilla ato përbëjnë shtesë të shkaqeve të ankimit kushtetues individual. Referuar nenit 1, pika 2, të Ligjit Organik të Gjykatës dhe nenit 185 të </w:t>
      </w:r>
      <w:proofErr w:type="spellStart"/>
      <w:r w:rsidRPr="00E31272">
        <w:rPr>
          <w:rFonts w:ascii="Garamond" w:hAnsi="Garamond" w:cs="Times New Roman"/>
          <w:sz w:val="24"/>
          <w:szCs w:val="24"/>
          <w:lang w:val="sq-AL"/>
        </w:rPr>
        <w:t>KPC</w:t>
      </w:r>
      <w:proofErr w:type="spellEnd"/>
      <w:r w:rsidRPr="00E31272">
        <w:rPr>
          <w:rFonts w:ascii="Garamond" w:hAnsi="Garamond" w:cs="Times New Roman"/>
          <w:sz w:val="24"/>
          <w:szCs w:val="24"/>
          <w:lang w:val="sq-AL"/>
        </w:rPr>
        <w:t>-së, shkaqet e ankimit kushtetues mund të ndryshohen (shtohen ose pakësohen) deri në momentin që vendoset kalimi i çështjes për shqyrtim në seancë plenare (</w:t>
      </w:r>
      <w:r w:rsidRPr="00E31272">
        <w:rPr>
          <w:rFonts w:ascii="Garamond" w:hAnsi="Garamond" w:cs="Times New Roman"/>
          <w:i/>
          <w:iCs/>
          <w:sz w:val="24"/>
          <w:szCs w:val="24"/>
          <w:lang w:val="sq-AL"/>
        </w:rPr>
        <w:t>shih vendimin nr. 63, datë 20.11.2023</w:t>
      </w:r>
      <w:r w:rsidR="00E31272">
        <w:rPr>
          <w:rFonts w:ascii="Garamond" w:hAnsi="Garamond" w:cs="Times New Roman"/>
          <w:i/>
          <w:iCs/>
          <w:sz w:val="24"/>
          <w:szCs w:val="24"/>
          <w:lang w:val="sq-AL"/>
        </w:rPr>
        <w:t>,</w:t>
      </w:r>
      <w:r w:rsidRPr="00E31272">
        <w:rPr>
          <w:rFonts w:ascii="Garamond" w:hAnsi="Garamond" w:cs="Times New Roman"/>
          <w:i/>
          <w:iCs/>
          <w:sz w:val="24"/>
          <w:szCs w:val="24"/>
          <w:lang w:val="sq-AL"/>
        </w:rPr>
        <w:t xml:space="preserve"> të Gjykatës Kushtetuese</w:t>
      </w:r>
      <w:r w:rsidRPr="00E31272">
        <w:rPr>
          <w:rFonts w:ascii="Garamond" w:hAnsi="Garamond" w:cs="Times New Roman"/>
          <w:sz w:val="24"/>
          <w:szCs w:val="24"/>
          <w:lang w:val="sq-AL"/>
        </w:rPr>
        <w:t>). Për rrjedhojë, Gjykata çmon se këto pretendime të reja nuk mund të merren në shqyrtim, pasi ato janë paraqitur nga kërkuesi pasi ishte vendosur kalimi i çështjes në seancë plenare.</w:t>
      </w:r>
    </w:p>
    <w:p w14:paraId="5A93AC7F" w14:textId="39EF4051" w:rsidR="00015CA2" w:rsidRPr="00E31272" w:rsidRDefault="00015CA2" w:rsidP="00015CA2">
      <w:pPr>
        <w:pStyle w:val="ListParagraph"/>
        <w:tabs>
          <w:tab w:val="left" w:pos="980"/>
          <w:tab w:val="left" w:pos="1080"/>
        </w:tabs>
        <w:spacing w:after="0" w:line="240" w:lineRule="auto"/>
        <w:ind w:left="0" w:firstLine="284"/>
        <w:jc w:val="both"/>
        <w:rPr>
          <w:rFonts w:ascii="Garamond" w:hAnsi="Garamond" w:cs="Times New Roman"/>
          <w:sz w:val="24"/>
          <w:szCs w:val="24"/>
          <w:lang w:val="sq-AL"/>
        </w:rPr>
      </w:pPr>
      <w:r w:rsidRPr="00E31272">
        <w:rPr>
          <w:rFonts w:ascii="Garamond" w:hAnsi="Garamond" w:cs="Times New Roman"/>
          <w:sz w:val="24"/>
          <w:szCs w:val="24"/>
          <w:lang w:val="sq-AL"/>
        </w:rPr>
        <w:t xml:space="preserve">22. Në lidhje me legjitimimin </w:t>
      </w:r>
      <w:proofErr w:type="spellStart"/>
      <w:r w:rsidRPr="00E31272">
        <w:rPr>
          <w:rFonts w:ascii="Garamond" w:hAnsi="Garamond" w:cs="Times New Roman"/>
          <w:i/>
          <w:iCs/>
          <w:sz w:val="24"/>
          <w:szCs w:val="24"/>
          <w:lang w:val="sq-AL"/>
        </w:rPr>
        <w:t>ratione</w:t>
      </w:r>
      <w:proofErr w:type="spellEnd"/>
      <w:r w:rsidRPr="00E31272">
        <w:rPr>
          <w:rFonts w:ascii="Garamond" w:hAnsi="Garamond" w:cs="Times New Roman"/>
          <w:i/>
          <w:iCs/>
          <w:sz w:val="24"/>
          <w:szCs w:val="24"/>
          <w:lang w:val="sq-AL"/>
        </w:rPr>
        <w:t xml:space="preserve"> </w:t>
      </w:r>
      <w:proofErr w:type="spellStart"/>
      <w:r w:rsidRPr="00E31272">
        <w:rPr>
          <w:rFonts w:ascii="Garamond" w:hAnsi="Garamond" w:cs="Times New Roman"/>
          <w:i/>
          <w:iCs/>
          <w:sz w:val="24"/>
          <w:szCs w:val="24"/>
          <w:lang w:val="sq-AL"/>
        </w:rPr>
        <w:t>materiae</w:t>
      </w:r>
      <w:proofErr w:type="spellEnd"/>
      <w:r w:rsidRPr="00E31272">
        <w:rPr>
          <w:rFonts w:ascii="Garamond" w:hAnsi="Garamond" w:cs="Times New Roman"/>
          <w:sz w:val="24"/>
          <w:szCs w:val="24"/>
          <w:lang w:val="sq-AL"/>
        </w:rPr>
        <w:t xml:space="preserve">, Gjykata vëren se kërkuesi për procesin gjyqësor për masën e pensionit të parakohshëm për vjetërsi shërbimi ka pretenduar cenimin e së </w:t>
      </w:r>
      <w:r w:rsidRPr="00E31272">
        <w:rPr>
          <w:rFonts w:ascii="Garamond" w:hAnsi="Garamond" w:cs="Times New Roman"/>
          <w:i/>
          <w:iCs/>
          <w:sz w:val="24"/>
          <w:szCs w:val="24"/>
          <w:lang w:val="sq-AL"/>
        </w:rPr>
        <w:t>drejtës për proces të rregullt ligjor,</w:t>
      </w:r>
      <w:r w:rsidRPr="00E31272">
        <w:rPr>
          <w:rFonts w:ascii="Garamond" w:hAnsi="Garamond" w:cs="Times New Roman"/>
          <w:sz w:val="24"/>
          <w:szCs w:val="24"/>
          <w:lang w:val="sq-AL"/>
        </w:rPr>
        <w:t xml:space="preserve"> si në gjykatën e apelit, ashtu edhe në Gjykatën e Lartë, në drejtim </w:t>
      </w:r>
      <w:r w:rsidRPr="00E31272">
        <w:rPr>
          <w:rFonts w:ascii="Garamond" w:hAnsi="Garamond" w:cs="Times New Roman"/>
          <w:i/>
          <w:iCs/>
          <w:sz w:val="24"/>
          <w:szCs w:val="24"/>
          <w:lang w:val="sq-AL"/>
        </w:rPr>
        <w:t>të parimit të gjykimit të drejtë</w:t>
      </w:r>
      <w:r w:rsidRPr="00E31272">
        <w:rPr>
          <w:rFonts w:ascii="Garamond" w:hAnsi="Garamond" w:cs="Times New Roman"/>
          <w:sz w:val="24"/>
          <w:szCs w:val="24"/>
          <w:lang w:val="sq-AL"/>
        </w:rPr>
        <w:t xml:space="preserve">, </w:t>
      </w:r>
      <w:r w:rsidRPr="00E31272">
        <w:rPr>
          <w:rFonts w:ascii="Garamond" w:hAnsi="Garamond" w:cs="Times New Roman"/>
          <w:i/>
          <w:iCs/>
          <w:sz w:val="24"/>
          <w:szCs w:val="24"/>
          <w:lang w:val="sq-AL"/>
        </w:rPr>
        <w:t xml:space="preserve">së drejtës së </w:t>
      </w:r>
      <w:proofErr w:type="spellStart"/>
      <w:r w:rsidRPr="00E31272">
        <w:rPr>
          <w:rFonts w:ascii="Garamond" w:hAnsi="Garamond" w:cs="Times New Roman"/>
          <w:i/>
          <w:iCs/>
          <w:sz w:val="24"/>
          <w:szCs w:val="24"/>
          <w:lang w:val="sq-AL"/>
        </w:rPr>
        <w:t>aksesit</w:t>
      </w:r>
      <w:proofErr w:type="spellEnd"/>
      <w:r w:rsidRPr="00E31272">
        <w:rPr>
          <w:rFonts w:ascii="Garamond" w:hAnsi="Garamond" w:cs="Times New Roman"/>
          <w:sz w:val="24"/>
          <w:szCs w:val="24"/>
          <w:lang w:val="sq-AL"/>
        </w:rPr>
        <w:t xml:space="preserve">, </w:t>
      </w:r>
      <w:r w:rsidRPr="00E31272">
        <w:rPr>
          <w:rFonts w:ascii="Garamond" w:hAnsi="Garamond" w:cs="Times New Roman"/>
          <w:i/>
          <w:iCs/>
          <w:sz w:val="24"/>
          <w:szCs w:val="24"/>
          <w:lang w:val="sq-AL"/>
        </w:rPr>
        <w:t>standardit të arsyetimit të vendimit</w:t>
      </w:r>
      <w:r w:rsidRPr="00E31272">
        <w:rPr>
          <w:rFonts w:ascii="Garamond" w:hAnsi="Garamond" w:cs="Times New Roman"/>
          <w:sz w:val="24"/>
          <w:szCs w:val="24"/>
          <w:lang w:val="sq-AL"/>
        </w:rPr>
        <w:t xml:space="preserve"> dhe </w:t>
      </w:r>
      <w:r w:rsidRPr="00E31272">
        <w:rPr>
          <w:rFonts w:ascii="Garamond" w:hAnsi="Garamond" w:cs="Times New Roman"/>
          <w:i/>
          <w:iCs/>
          <w:sz w:val="24"/>
          <w:szCs w:val="24"/>
          <w:lang w:val="sq-AL"/>
        </w:rPr>
        <w:t xml:space="preserve">parimit të </w:t>
      </w:r>
      <w:proofErr w:type="spellStart"/>
      <w:r w:rsidRPr="00E31272">
        <w:rPr>
          <w:rFonts w:ascii="Garamond" w:hAnsi="Garamond" w:cs="Times New Roman"/>
          <w:i/>
          <w:iCs/>
          <w:sz w:val="24"/>
          <w:szCs w:val="24"/>
          <w:lang w:val="sq-AL"/>
        </w:rPr>
        <w:t>disponibilitetit</w:t>
      </w:r>
      <w:proofErr w:type="spellEnd"/>
      <w:r w:rsidRPr="00E31272">
        <w:rPr>
          <w:rFonts w:ascii="Garamond" w:hAnsi="Garamond" w:cs="Times New Roman"/>
          <w:sz w:val="24"/>
          <w:szCs w:val="24"/>
          <w:lang w:val="sq-AL"/>
        </w:rPr>
        <w:t xml:space="preserve">. </w:t>
      </w:r>
    </w:p>
    <w:p w14:paraId="6E4D7068" w14:textId="051A8AAD" w:rsidR="00015CA2" w:rsidRPr="00E31272" w:rsidRDefault="00015CA2" w:rsidP="00015CA2">
      <w:pPr>
        <w:pStyle w:val="ListParagraph"/>
        <w:tabs>
          <w:tab w:val="left" w:pos="980"/>
          <w:tab w:val="left" w:pos="1080"/>
        </w:tabs>
        <w:spacing w:after="0" w:line="240" w:lineRule="auto"/>
        <w:ind w:left="0" w:firstLine="284"/>
        <w:jc w:val="both"/>
        <w:rPr>
          <w:rFonts w:ascii="Garamond" w:hAnsi="Garamond" w:cs="Times New Roman"/>
          <w:sz w:val="24"/>
          <w:szCs w:val="24"/>
          <w:lang w:val="sq-AL"/>
        </w:rPr>
      </w:pPr>
      <w:r w:rsidRPr="00E31272">
        <w:rPr>
          <w:rFonts w:ascii="Garamond" w:hAnsi="Garamond" w:cs="Times New Roman"/>
          <w:sz w:val="24"/>
          <w:szCs w:val="24"/>
          <w:lang w:val="sq-AL"/>
        </w:rPr>
        <w:t xml:space="preserve">23. Për sa i përket pretendimit për cenimin e </w:t>
      </w:r>
      <w:r w:rsidRPr="00E31272">
        <w:rPr>
          <w:rFonts w:ascii="Garamond" w:hAnsi="Garamond" w:cs="Times New Roman"/>
          <w:i/>
          <w:iCs/>
          <w:sz w:val="24"/>
          <w:szCs w:val="24"/>
          <w:lang w:val="sq-AL"/>
        </w:rPr>
        <w:t xml:space="preserve">së drejtës së </w:t>
      </w:r>
      <w:proofErr w:type="spellStart"/>
      <w:r w:rsidRPr="00E31272">
        <w:rPr>
          <w:rFonts w:ascii="Garamond" w:hAnsi="Garamond" w:cs="Times New Roman"/>
          <w:i/>
          <w:iCs/>
          <w:sz w:val="24"/>
          <w:szCs w:val="24"/>
          <w:lang w:val="sq-AL"/>
        </w:rPr>
        <w:t>aksesit</w:t>
      </w:r>
      <w:proofErr w:type="spellEnd"/>
      <w:r w:rsidRPr="00E31272">
        <w:rPr>
          <w:rFonts w:ascii="Garamond" w:hAnsi="Garamond" w:cs="Times New Roman"/>
          <w:sz w:val="24"/>
          <w:szCs w:val="24"/>
          <w:lang w:val="sq-AL"/>
        </w:rPr>
        <w:t>, kërkuesi ka pretenduar se Gjykata Administrative e Apelit nuk e ka njoftuar për datën dhe orën e zhvillimit të seancës gjyqësore. Gjykata, në kushtet kur konstatoi se njoftimi i kërkuesit është bërë në përputhje me parashikimet ligjore përkatëse (</w:t>
      </w:r>
      <w:r w:rsidRPr="00E31272">
        <w:rPr>
          <w:rFonts w:ascii="Garamond" w:hAnsi="Garamond" w:cs="Times New Roman"/>
          <w:i/>
          <w:iCs/>
          <w:sz w:val="24"/>
          <w:szCs w:val="24"/>
          <w:lang w:val="sq-AL"/>
        </w:rPr>
        <w:t>shih paragrafin 19 të vendimit</w:t>
      </w:r>
      <w:r w:rsidRPr="00E31272">
        <w:rPr>
          <w:rFonts w:ascii="Garamond" w:hAnsi="Garamond" w:cs="Times New Roman"/>
          <w:sz w:val="24"/>
          <w:szCs w:val="24"/>
          <w:lang w:val="sq-AL"/>
        </w:rPr>
        <w:t>), çmon se pretendimi i tij është haptazi i pabazuar. Ndërsa për sa i përket pretendimit për cenimin e kësaj të drejte nga Gjykata e Lartë, kërkuesi ka argumentuar se kjo e fundit ka keqinterpretuar rekursin, duke mos e gjykuar çështjen e tij, pretendim i cili bazuar në thelbin e tij do të analizohet në kuadër të parimit të gjykimit të drejtë.</w:t>
      </w:r>
    </w:p>
    <w:p w14:paraId="2BDE31AE" w14:textId="4382BCDC" w:rsidR="00015CA2" w:rsidRPr="00E31272" w:rsidRDefault="00015CA2" w:rsidP="00015CA2">
      <w:pPr>
        <w:pStyle w:val="ListParagraph"/>
        <w:tabs>
          <w:tab w:val="left" w:pos="980"/>
          <w:tab w:val="left" w:pos="1080"/>
        </w:tabs>
        <w:spacing w:after="0" w:line="240" w:lineRule="auto"/>
        <w:ind w:left="0" w:firstLine="284"/>
        <w:jc w:val="both"/>
        <w:rPr>
          <w:rFonts w:ascii="Garamond" w:hAnsi="Garamond" w:cs="Times New Roman"/>
          <w:sz w:val="24"/>
          <w:szCs w:val="24"/>
          <w:lang w:val="sq-AL"/>
        </w:rPr>
      </w:pPr>
      <w:r w:rsidRPr="00E31272">
        <w:rPr>
          <w:rFonts w:ascii="Garamond" w:hAnsi="Garamond" w:cs="Times New Roman"/>
          <w:sz w:val="24"/>
          <w:szCs w:val="24"/>
          <w:lang w:val="sq-AL"/>
        </w:rPr>
        <w:t xml:space="preserve">24. Për sa u takon pretendimeve për cenimin e parimit të gjykimit të drejtë, standardit të arsyetimit të vendimit dhe parimit të </w:t>
      </w:r>
      <w:proofErr w:type="spellStart"/>
      <w:r w:rsidRPr="00E31272">
        <w:rPr>
          <w:rFonts w:ascii="Garamond" w:hAnsi="Garamond" w:cs="Times New Roman"/>
          <w:sz w:val="24"/>
          <w:szCs w:val="24"/>
          <w:lang w:val="sq-AL"/>
        </w:rPr>
        <w:t>disponibilitetit</w:t>
      </w:r>
      <w:proofErr w:type="spellEnd"/>
      <w:r w:rsidRPr="00E31272">
        <w:rPr>
          <w:rFonts w:ascii="Garamond" w:hAnsi="Garamond" w:cs="Times New Roman"/>
          <w:sz w:val="24"/>
          <w:szCs w:val="24"/>
          <w:lang w:val="sq-AL"/>
        </w:rPr>
        <w:t xml:space="preserve">, Gjykata vëren se, për sa kohë, në thelb, kërkuesi ka paraqitur të njëjtat argumente që lidhen me mënyrën e interpretimit të ligjit nga gjykatat e zakonshme, ato do të trajtohen në vijim në drejtim të së drejtës për gjykim të drejtë, të parashikuar në nenin 42 të Kushtetutës, të lidhur me parimin e sigurisë juridike.   </w:t>
      </w:r>
    </w:p>
    <w:p w14:paraId="477E735D" w14:textId="77777777" w:rsidR="00015CA2" w:rsidRPr="00E31272" w:rsidRDefault="00015CA2" w:rsidP="00015CA2">
      <w:pPr>
        <w:tabs>
          <w:tab w:val="left" w:pos="720"/>
          <w:tab w:val="left" w:pos="1080"/>
        </w:tabs>
        <w:spacing w:after="0" w:line="240" w:lineRule="auto"/>
        <w:ind w:firstLine="284"/>
        <w:jc w:val="both"/>
        <w:rPr>
          <w:rFonts w:ascii="Garamond" w:hAnsi="Garamond" w:cs="Times New Roman"/>
          <w:i/>
          <w:iCs/>
          <w:sz w:val="24"/>
          <w:szCs w:val="24"/>
        </w:rPr>
      </w:pPr>
      <w:r w:rsidRPr="00E31272">
        <w:rPr>
          <w:rFonts w:ascii="Garamond" w:hAnsi="Garamond" w:cs="Times New Roman"/>
          <w:i/>
          <w:iCs/>
          <w:sz w:val="24"/>
          <w:szCs w:val="24"/>
        </w:rPr>
        <w:t>B. Për themelin e pretendimeve</w:t>
      </w:r>
    </w:p>
    <w:p w14:paraId="591C9292" w14:textId="7760A329" w:rsidR="00015CA2" w:rsidRPr="00E31272" w:rsidRDefault="00E31272" w:rsidP="00015CA2">
      <w:pPr>
        <w:pStyle w:val="ListParagraph"/>
        <w:tabs>
          <w:tab w:val="left" w:pos="980"/>
          <w:tab w:val="left" w:pos="1080"/>
        </w:tabs>
        <w:spacing w:after="0" w:line="240" w:lineRule="auto"/>
        <w:ind w:left="0" w:firstLine="284"/>
        <w:jc w:val="both"/>
        <w:rPr>
          <w:rFonts w:ascii="Garamond" w:hAnsi="Garamond" w:cs="Times New Roman"/>
          <w:sz w:val="24"/>
          <w:szCs w:val="24"/>
          <w:lang w:val="sq-AL"/>
        </w:rPr>
      </w:pPr>
      <w:proofErr w:type="spellStart"/>
      <w:r>
        <w:rPr>
          <w:rFonts w:ascii="Garamond" w:hAnsi="Garamond" w:cs="Times New Roman"/>
          <w:i/>
          <w:iCs/>
          <w:sz w:val="24"/>
          <w:szCs w:val="24"/>
          <w:lang w:val="sq-AL"/>
        </w:rPr>
        <w:t>B.1</w:t>
      </w:r>
      <w:proofErr w:type="spellEnd"/>
      <w:r w:rsidR="00015CA2" w:rsidRPr="00E31272">
        <w:rPr>
          <w:rFonts w:ascii="Garamond" w:hAnsi="Garamond" w:cs="Times New Roman"/>
          <w:i/>
          <w:iCs/>
          <w:sz w:val="24"/>
          <w:szCs w:val="24"/>
          <w:lang w:val="sq-AL"/>
        </w:rPr>
        <w:t xml:space="preserve"> Për cenimin e së drejtës për gjykim të drejtë të lidhur me parimin e sigurisë juridike  </w:t>
      </w:r>
    </w:p>
    <w:p w14:paraId="382FD86F" w14:textId="2E2543B5" w:rsidR="00015CA2" w:rsidRPr="00E31272" w:rsidRDefault="00015CA2" w:rsidP="00015CA2">
      <w:pPr>
        <w:pStyle w:val="ListParagraph"/>
        <w:tabs>
          <w:tab w:val="left" w:pos="980"/>
          <w:tab w:val="left" w:pos="1080"/>
        </w:tabs>
        <w:spacing w:after="0" w:line="240" w:lineRule="auto"/>
        <w:ind w:left="0" w:firstLine="284"/>
        <w:jc w:val="both"/>
        <w:rPr>
          <w:rFonts w:ascii="Garamond" w:hAnsi="Garamond" w:cs="Times New Roman"/>
          <w:sz w:val="24"/>
          <w:szCs w:val="24"/>
          <w:lang w:val="sq-AL"/>
        </w:rPr>
      </w:pPr>
      <w:r w:rsidRPr="00E31272">
        <w:rPr>
          <w:rFonts w:ascii="Garamond" w:hAnsi="Garamond" w:cs="Times New Roman"/>
          <w:sz w:val="24"/>
          <w:szCs w:val="24"/>
          <w:lang w:val="sq-AL"/>
        </w:rPr>
        <w:t xml:space="preserve">25. Kërkuesi ka pretenduar se gjykata e apelit nuk është shprehur në lidhje me objektin e kërkesave dhe parashtrimeve të tij, për pretendimet lidhur me shkeljet kushtetuese, përparësinë e zbatimit të ligjit nr. 8087/1996 dhe saktësinë e fakteve të pranuara nga gjykimi i mëparshëm. Sipas tij, e drejta e pensionit të parakohshëm është një e drejtë e fituar më parë me ligjin nr. 8087/1996 dhe vendimin nr. </w:t>
      </w:r>
      <w:r w:rsidRPr="00E31272">
        <w:rPr>
          <w:rFonts w:ascii="Garamond" w:hAnsi="Garamond" w:cs="Times New Roman"/>
          <w:sz w:val="24"/>
          <w:szCs w:val="24"/>
          <w:lang w:val="sq-AL"/>
        </w:rPr>
        <w:lastRenderedPageBreak/>
        <w:t>33/2013</w:t>
      </w:r>
      <w:r w:rsidR="00793304">
        <w:rPr>
          <w:rFonts w:ascii="Garamond" w:hAnsi="Garamond" w:cs="Times New Roman"/>
          <w:sz w:val="24"/>
          <w:szCs w:val="24"/>
          <w:lang w:val="sq-AL"/>
        </w:rPr>
        <w:t>,</w:t>
      </w:r>
      <w:r w:rsidRPr="00E31272">
        <w:rPr>
          <w:rFonts w:ascii="Garamond" w:hAnsi="Garamond" w:cs="Times New Roman"/>
          <w:sz w:val="24"/>
          <w:szCs w:val="24"/>
          <w:lang w:val="sq-AL"/>
        </w:rPr>
        <w:t xml:space="preserve"> të Gjykatës, si dhe me vendime gjyqësore të formës së prerë. E drejta e pensionit të </w:t>
      </w:r>
      <w:r w:rsidR="00E31272">
        <w:rPr>
          <w:rFonts w:ascii="Garamond" w:hAnsi="Garamond" w:cs="Times New Roman"/>
          <w:sz w:val="24"/>
          <w:szCs w:val="24"/>
          <w:lang w:val="sq-AL"/>
        </w:rPr>
        <w:t>parakohshëm ka lindur në datën 1.</w:t>
      </w:r>
      <w:r w:rsidRPr="00E31272">
        <w:rPr>
          <w:rFonts w:ascii="Garamond" w:hAnsi="Garamond" w:cs="Times New Roman"/>
          <w:sz w:val="24"/>
          <w:szCs w:val="24"/>
          <w:lang w:val="sq-AL"/>
        </w:rPr>
        <w:t>8.2005, pas hyrjes në fuqi të ligjit nr. 9210/2004 dhe neni 11</w:t>
      </w:r>
      <w:r w:rsidR="00E31272">
        <w:rPr>
          <w:rFonts w:ascii="Garamond" w:hAnsi="Garamond" w:cs="Times New Roman"/>
          <w:sz w:val="24"/>
          <w:szCs w:val="24"/>
          <w:lang w:val="sq-AL"/>
        </w:rPr>
        <w:t>,</w:t>
      </w:r>
      <w:r w:rsidRPr="00E31272">
        <w:rPr>
          <w:rFonts w:ascii="Garamond" w:hAnsi="Garamond" w:cs="Times New Roman"/>
          <w:sz w:val="24"/>
          <w:szCs w:val="24"/>
          <w:lang w:val="sq-AL"/>
        </w:rPr>
        <w:t xml:space="preserve"> i ligjit nr. 8087/1996</w:t>
      </w:r>
      <w:r w:rsidR="00793304">
        <w:rPr>
          <w:rFonts w:ascii="Garamond" w:hAnsi="Garamond" w:cs="Times New Roman"/>
          <w:sz w:val="24"/>
          <w:szCs w:val="24"/>
          <w:lang w:val="sq-AL"/>
        </w:rPr>
        <w:t>,</w:t>
      </w:r>
      <w:r w:rsidRPr="00E31272">
        <w:rPr>
          <w:rFonts w:ascii="Garamond" w:hAnsi="Garamond" w:cs="Times New Roman"/>
          <w:sz w:val="24"/>
          <w:szCs w:val="24"/>
          <w:lang w:val="sq-AL"/>
        </w:rPr>
        <w:t xml:space="preserve"> duhet të zbatohet sipas nenit 49</w:t>
      </w:r>
      <w:r w:rsidR="00E31272">
        <w:rPr>
          <w:rFonts w:ascii="Garamond" w:hAnsi="Garamond" w:cs="Times New Roman"/>
          <w:sz w:val="24"/>
          <w:szCs w:val="24"/>
          <w:lang w:val="sq-AL"/>
        </w:rPr>
        <w:t>,</w:t>
      </w:r>
      <w:r w:rsidRPr="00E31272">
        <w:rPr>
          <w:rFonts w:ascii="Garamond" w:hAnsi="Garamond" w:cs="Times New Roman"/>
          <w:sz w:val="24"/>
          <w:szCs w:val="24"/>
          <w:lang w:val="sq-AL"/>
        </w:rPr>
        <w:t xml:space="preserve"> të ligjit 9210/2004, sipas të cilit shprehja “jo më shumë se masa e pensionit maksimal të pleqërisë në shkallë vendi” ishte shfuqizuar. Sipas kërkuesit, pensioni i parakohshë</w:t>
      </w:r>
      <w:r w:rsidR="00E31272">
        <w:rPr>
          <w:rFonts w:ascii="Garamond" w:hAnsi="Garamond" w:cs="Times New Roman"/>
          <w:sz w:val="24"/>
          <w:szCs w:val="24"/>
          <w:lang w:val="sq-AL"/>
        </w:rPr>
        <w:t>m i tij është caktuar në datën 1.</w:t>
      </w:r>
      <w:r w:rsidRPr="00E31272">
        <w:rPr>
          <w:rFonts w:ascii="Garamond" w:hAnsi="Garamond" w:cs="Times New Roman"/>
          <w:sz w:val="24"/>
          <w:szCs w:val="24"/>
          <w:lang w:val="sq-AL"/>
        </w:rPr>
        <w:t xml:space="preserve">8.2005, përpara hyrjes në fuqi të vendimit të Gjykatës nr. 3/2013 dhe vendimit </w:t>
      </w:r>
      <w:proofErr w:type="spellStart"/>
      <w:r w:rsidRPr="00E31272">
        <w:rPr>
          <w:rFonts w:ascii="Garamond" w:hAnsi="Garamond" w:cs="Times New Roman"/>
          <w:sz w:val="24"/>
          <w:szCs w:val="24"/>
          <w:lang w:val="sq-AL"/>
        </w:rPr>
        <w:t>unifikues</w:t>
      </w:r>
      <w:proofErr w:type="spellEnd"/>
      <w:r w:rsidRPr="00E31272">
        <w:rPr>
          <w:rFonts w:ascii="Garamond" w:hAnsi="Garamond" w:cs="Times New Roman"/>
          <w:sz w:val="24"/>
          <w:szCs w:val="24"/>
          <w:lang w:val="sq-AL"/>
        </w:rPr>
        <w:t xml:space="preserve"> dhe ligji i zbatueshëm ishte ligji në fuqi në kohën e lindjes të së drejtës, konkretisht ai nr. 8087/1996, i ndryshuar. Po kështu, sipas kërkuesit, Gjykata e Lartë nuk ka analizuar shkaqet e rekursit referuar nenit 58</w:t>
      </w:r>
      <w:r w:rsidR="00E31272">
        <w:rPr>
          <w:rFonts w:ascii="Garamond" w:hAnsi="Garamond" w:cs="Times New Roman"/>
          <w:sz w:val="24"/>
          <w:szCs w:val="24"/>
          <w:lang w:val="sq-AL"/>
        </w:rPr>
        <w:t>,</w:t>
      </w:r>
      <w:r w:rsidRPr="00E31272">
        <w:rPr>
          <w:rFonts w:ascii="Garamond" w:hAnsi="Garamond" w:cs="Times New Roman"/>
          <w:sz w:val="24"/>
          <w:szCs w:val="24"/>
          <w:lang w:val="sq-AL"/>
        </w:rPr>
        <w:t xml:space="preserve"> të ligjit nr. 49/2012, ndonëse ai ka paraqitur shkaqe që lidhen me interpretimin e kuadrit ligjor për pensionin e parakohshëm të ushtarakëve.</w:t>
      </w:r>
    </w:p>
    <w:p w14:paraId="1E8EFBA9" w14:textId="2C795F26" w:rsidR="00015CA2" w:rsidRPr="00E31272" w:rsidRDefault="00015CA2" w:rsidP="00015CA2">
      <w:pPr>
        <w:pStyle w:val="ListParagraph"/>
        <w:tabs>
          <w:tab w:val="left" w:pos="980"/>
          <w:tab w:val="left" w:pos="1080"/>
        </w:tabs>
        <w:spacing w:after="0" w:line="240" w:lineRule="auto"/>
        <w:ind w:left="0" w:firstLine="284"/>
        <w:jc w:val="both"/>
        <w:rPr>
          <w:rFonts w:ascii="Garamond" w:hAnsi="Garamond" w:cs="Times New Roman"/>
          <w:sz w:val="24"/>
          <w:szCs w:val="24"/>
          <w:lang w:val="sq-AL"/>
        </w:rPr>
      </w:pPr>
      <w:r w:rsidRPr="00E31272">
        <w:rPr>
          <w:rFonts w:ascii="Garamond" w:hAnsi="Garamond" w:cs="Times New Roman"/>
          <w:sz w:val="24"/>
          <w:szCs w:val="24"/>
          <w:lang w:val="sq-AL"/>
        </w:rPr>
        <w:t xml:space="preserve">26. Neni 42, pika 2, i Kushtetutës, ndër të tjera, parashikon se kushdo, për mbrojtjen e të drejtave, të lirive dhe të interesave të tij kushtetues dhe ligjorë, ka të drejtën e një gjykimi të drejtë.  Gjykata në jurisprudencën e saj ka pohuar se detyra e saj është të vlerësojë nëse gjatë procesit gjyqësor ka pasur shkelje të </w:t>
      </w:r>
      <w:proofErr w:type="spellStart"/>
      <w:r w:rsidRPr="00E31272">
        <w:rPr>
          <w:rFonts w:ascii="Garamond" w:hAnsi="Garamond" w:cs="Times New Roman"/>
          <w:sz w:val="24"/>
          <w:szCs w:val="24"/>
          <w:lang w:val="sq-AL"/>
        </w:rPr>
        <w:t>të</w:t>
      </w:r>
      <w:proofErr w:type="spellEnd"/>
      <w:r w:rsidRPr="00E31272">
        <w:rPr>
          <w:rFonts w:ascii="Garamond" w:hAnsi="Garamond" w:cs="Times New Roman"/>
          <w:sz w:val="24"/>
          <w:szCs w:val="24"/>
          <w:lang w:val="sq-AL"/>
        </w:rPr>
        <w:t xml:space="preserve"> drejtave kushtetuese, si dhe nëse zbatimi i ligjit ka qenë eventualisht arbitrar, në kuptimin që të bjerë ndesh haptazi me konceptin e gjykimit të drejtë të përcaktuar në nenin 42 të Kushtetutës. Ajo nuk vepron si gjykatë e shkallës së katërt dhe për këtë arsye vendimet e gjykatave të juridiksionit të zakonshëm nuk vihen në dyshim, përveç rasteve kur gjetjet e tyre mund të konsiderohen si arbitrare ose haptazi të paarsyeshme. E thënë ndryshe, Gjykata vepron në rastin kur gabimi ligjor ose faktik nga gjykatat e juridiksionit të zakonshëm është aq i dukshëm, sa një gjykatë e kujdesshme nuk mund ta kishte bërë ndonjëherë ose i tillë që gjykimin e bën të padrejtë (</w:t>
      </w:r>
      <w:r w:rsidR="00E31272">
        <w:rPr>
          <w:rFonts w:ascii="Garamond" w:hAnsi="Garamond" w:cs="Times New Roman"/>
          <w:i/>
          <w:iCs/>
          <w:sz w:val="24"/>
          <w:szCs w:val="24"/>
          <w:lang w:val="sq-AL"/>
        </w:rPr>
        <w:t>shih vendimet nr. 34, datë 27.</w:t>
      </w:r>
      <w:r w:rsidRPr="00E31272">
        <w:rPr>
          <w:rFonts w:ascii="Garamond" w:hAnsi="Garamond" w:cs="Times New Roman"/>
          <w:i/>
          <w:iCs/>
          <w:sz w:val="24"/>
          <w:szCs w:val="24"/>
          <w:lang w:val="sq-AL"/>
        </w:rPr>
        <w:t>5.2025; nr. 25, da</w:t>
      </w:r>
      <w:r w:rsidR="00E31272">
        <w:rPr>
          <w:rFonts w:ascii="Garamond" w:hAnsi="Garamond" w:cs="Times New Roman"/>
          <w:i/>
          <w:iCs/>
          <w:sz w:val="24"/>
          <w:szCs w:val="24"/>
          <w:lang w:val="sq-AL"/>
        </w:rPr>
        <w:t>të 23.4.2025; nr. 24, datë 23.</w:t>
      </w:r>
      <w:r w:rsidRPr="00E31272">
        <w:rPr>
          <w:rFonts w:ascii="Garamond" w:hAnsi="Garamond" w:cs="Times New Roman"/>
          <w:i/>
          <w:iCs/>
          <w:sz w:val="24"/>
          <w:szCs w:val="24"/>
          <w:lang w:val="sq-AL"/>
        </w:rPr>
        <w:t>4.2025</w:t>
      </w:r>
      <w:r w:rsidR="00E31272">
        <w:rPr>
          <w:rFonts w:ascii="Garamond" w:hAnsi="Garamond" w:cs="Times New Roman"/>
          <w:i/>
          <w:iCs/>
          <w:sz w:val="24"/>
          <w:szCs w:val="24"/>
          <w:lang w:val="sq-AL"/>
        </w:rPr>
        <w:t>,</w:t>
      </w:r>
      <w:r w:rsidRPr="00E31272">
        <w:rPr>
          <w:rFonts w:ascii="Garamond" w:hAnsi="Garamond" w:cs="Times New Roman"/>
          <w:i/>
          <w:iCs/>
          <w:sz w:val="24"/>
          <w:szCs w:val="24"/>
          <w:lang w:val="sq-AL"/>
        </w:rPr>
        <w:t xml:space="preserve"> të Gjykatës Kushtetuese).</w:t>
      </w:r>
      <w:r w:rsidRPr="00E31272">
        <w:rPr>
          <w:rFonts w:ascii="Garamond" w:hAnsi="Garamond" w:cs="Times New Roman"/>
          <w:sz w:val="24"/>
          <w:szCs w:val="24"/>
          <w:lang w:val="sq-AL"/>
        </w:rPr>
        <w:t xml:space="preserve"> </w:t>
      </w:r>
    </w:p>
    <w:p w14:paraId="6E5933FF" w14:textId="45749D71" w:rsidR="00015CA2" w:rsidRPr="00E31272" w:rsidRDefault="00015CA2" w:rsidP="00015CA2">
      <w:pPr>
        <w:pStyle w:val="ListParagraph"/>
        <w:tabs>
          <w:tab w:val="left" w:pos="980"/>
          <w:tab w:val="left" w:pos="1080"/>
        </w:tabs>
        <w:spacing w:after="0" w:line="240" w:lineRule="auto"/>
        <w:ind w:left="0" w:firstLine="284"/>
        <w:jc w:val="both"/>
        <w:rPr>
          <w:rFonts w:ascii="Garamond" w:hAnsi="Garamond" w:cs="Times New Roman"/>
          <w:sz w:val="24"/>
          <w:szCs w:val="24"/>
          <w:lang w:val="sq-AL"/>
        </w:rPr>
      </w:pPr>
      <w:r w:rsidRPr="00E31272">
        <w:rPr>
          <w:rFonts w:ascii="Garamond" w:hAnsi="Garamond" w:cs="Times New Roman"/>
          <w:sz w:val="24"/>
          <w:szCs w:val="24"/>
          <w:lang w:val="sq-AL"/>
        </w:rPr>
        <w:t xml:space="preserve">27. Për sa i përket parimit të sigurisë juridike, si një nga elementet e parimit të shtetit të së drejtës, Gjykata ka theksuar se, ai përfshin, mes të tjerash, besueshmërinë e qytetarëve te shteti dhe pandryshueshmërinë e ligjit për marrëdhëniet e rregulluara. Besueshmëria ka të bëjë me bindjen e individit se nuk duhet të shqetësohet vazhdimisht ose të jetojë me frikë për ndryshueshmërinë dhe pasojat negative të akteve juridike, të cilat mund të cenojnë jetën e tij private ose profesionale dhe të përkeqësojnë një gjendje të vendosur me akte të mëparshme. Nëse masat e marra shpien në përkeqësimin në mënyrë të paarsyeshme të gjendjes ligjore të personave të tjerë, mohojnë të drejtat e fituara ose injorojnë interesat legjitimë të tyre, atëherë do të rrezikohet arritja e qëllimit madhor të ndërtimit të shtetit të së drejtës. Në këtë kuptim, parimi i sigurisë juridike nuk shfaqet asnjëherë si i tillë në vetvete, por shoqërohet me mbrojtjen e të drejtave të fituara, vazhdimësinë ligjore, qartësinë dhe përcaktueshmërinë në normimin e marrëdhënieve juridike dhe respektimin e </w:t>
      </w:r>
      <w:proofErr w:type="spellStart"/>
      <w:r w:rsidRPr="00E31272">
        <w:rPr>
          <w:rFonts w:ascii="Garamond" w:hAnsi="Garamond" w:cs="Times New Roman"/>
          <w:sz w:val="24"/>
          <w:szCs w:val="24"/>
          <w:lang w:val="sq-AL"/>
        </w:rPr>
        <w:t>pritshmërive</w:t>
      </w:r>
      <w:proofErr w:type="spellEnd"/>
      <w:r w:rsidRPr="00E31272">
        <w:rPr>
          <w:rFonts w:ascii="Garamond" w:hAnsi="Garamond" w:cs="Times New Roman"/>
          <w:sz w:val="24"/>
          <w:szCs w:val="24"/>
          <w:lang w:val="sq-AL"/>
        </w:rPr>
        <w:t xml:space="preserve"> legjitime (</w:t>
      </w:r>
      <w:r w:rsidRPr="00E31272">
        <w:rPr>
          <w:rFonts w:ascii="Garamond" w:hAnsi="Garamond" w:cs="Times New Roman"/>
          <w:i/>
          <w:iCs/>
          <w:sz w:val="24"/>
          <w:szCs w:val="24"/>
          <w:lang w:val="sq-AL"/>
        </w:rPr>
        <w:t>shih</w:t>
      </w:r>
      <w:r w:rsidRPr="00E31272">
        <w:rPr>
          <w:rFonts w:ascii="Garamond" w:hAnsi="Garamond" w:cs="Times New Roman"/>
          <w:sz w:val="24"/>
          <w:szCs w:val="24"/>
          <w:lang w:val="sq-AL"/>
        </w:rPr>
        <w:t xml:space="preserve"> </w:t>
      </w:r>
      <w:r w:rsidR="00E31272">
        <w:rPr>
          <w:rFonts w:ascii="Garamond" w:hAnsi="Garamond" w:cs="Times New Roman"/>
          <w:i/>
          <w:iCs/>
          <w:sz w:val="24"/>
          <w:szCs w:val="24"/>
          <w:lang w:val="sq-AL"/>
        </w:rPr>
        <w:t>vendimet nr. 25, datë 23.4.2025; nr. 10, datë 29.</w:t>
      </w:r>
      <w:r w:rsidRPr="00E31272">
        <w:rPr>
          <w:rFonts w:ascii="Garamond" w:hAnsi="Garamond" w:cs="Times New Roman"/>
          <w:i/>
          <w:iCs/>
          <w:sz w:val="24"/>
          <w:szCs w:val="24"/>
          <w:lang w:val="sq-AL"/>
        </w:rPr>
        <w:t>2.2016</w:t>
      </w:r>
      <w:r w:rsidR="00E31272">
        <w:rPr>
          <w:rFonts w:ascii="Garamond" w:hAnsi="Garamond" w:cs="Times New Roman"/>
          <w:i/>
          <w:iCs/>
          <w:sz w:val="24"/>
          <w:szCs w:val="24"/>
          <w:lang w:val="sq-AL"/>
        </w:rPr>
        <w:t>,</w:t>
      </w:r>
      <w:r w:rsidRPr="00E31272">
        <w:rPr>
          <w:rFonts w:ascii="Garamond" w:hAnsi="Garamond" w:cs="Times New Roman"/>
          <w:i/>
          <w:iCs/>
          <w:sz w:val="24"/>
          <w:szCs w:val="24"/>
          <w:lang w:val="sq-AL"/>
        </w:rPr>
        <w:t xml:space="preserve"> të Gjykatës Kushtetuese</w:t>
      </w:r>
      <w:r w:rsidRPr="00E31272">
        <w:rPr>
          <w:rFonts w:ascii="Garamond" w:hAnsi="Garamond" w:cs="Times New Roman"/>
          <w:sz w:val="24"/>
          <w:szCs w:val="24"/>
          <w:lang w:val="sq-AL"/>
        </w:rPr>
        <w:t xml:space="preserve">). </w:t>
      </w:r>
    </w:p>
    <w:p w14:paraId="6F2CA0EA" w14:textId="23B0C6CE" w:rsidR="00015CA2" w:rsidRPr="00E31272" w:rsidRDefault="00015CA2" w:rsidP="00015CA2">
      <w:pPr>
        <w:pStyle w:val="ListParagraph"/>
        <w:tabs>
          <w:tab w:val="left" w:pos="980"/>
          <w:tab w:val="left" w:pos="1080"/>
        </w:tabs>
        <w:spacing w:after="0" w:line="240" w:lineRule="auto"/>
        <w:ind w:left="0" w:firstLine="284"/>
        <w:jc w:val="both"/>
        <w:rPr>
          <w:rFonts w:ascii="Garamond" w:hAnsi="Garamond" w:cs="Times New Roman"/>
          <w:sz w:val="24"/>
          <w:szCs w:val="24"/>
          <w:lang w:val="sq-AL"/>
        </w:rPr>
      </w:pPr>
      <w:r w:rsidRPr="00E31272">
        <w:rPr>
          <w:rFonts w:ascii="Garamond" w:hAnsi="Garamond" w:cs="Times New Roman"/>
          <w:sz w:val="24"/>
          <w:szCs w:val="24"/>
          <w:lang w:val="sq-AL"/>
        </w:rPr>
        <w:t xml:space="preserve">28. Po në drejtim të parimit të sigurisë juridike, Gjykata është shprehur se ai përfshin edhe ndalimin e fuqisë prapavepruese të normave juridike, i cili nënkupton se është e pamundur të gjykohen, sipas normave ligjore në fuqi, sjellje njerëzore, fakte ligjore ose marrëdhënie ligjore që kanë ndodhur përpara se këto norma të hynin në fuqi. Si rregull, ligjet i shtrijnë efektet e tyre në kohën e ardhme dhe fuqia prapavepruese zbatohet në raste </w:t>
      </w:r>
      <w:proofErr w:type="spellStart"/>
      <w:r w:rsidRPr="00E31272">
        <w:rPr>
          <w:rFonts w:ascii="Garamond" w:hAnsi="Garamond" w:cs="Times New Roman"/>
          <w:sz w:val="24"/>
          <w:szCs w:val="24"/>
          <w:lang w:val="sq-AL"/>
        </w:rPr>
        <w:t>përjashtimore</w:t>
      </w:r>
      <w:proofErr w:type="spellEnd"/>
      <w:r w:rsidRPr="00E31272">
        <w:rPr>
          <w:rFonts w:ascii="Garamond" w:hAnsi="Garamond" w:cs="Times New Roman"/>
          <w:sz w:val="24"/>
          <w:szCs w:val="24"/>
          <w:lang w:val="sq-AL"/>
        </w:rPr>
        <w:t>, sepse, në të kundërt, mund të krijohen situata me pasoja të paparashikuara (</w:t>
      </w:r>
      <w:r w:rsidR="00E31272">
        <w:rPr>
          <w:rFonts w:ascii="Garamond" w:hAnsi="Garamond" w:cs="Times New Roman"/>
          <w:i/>
          <w:iCs/>
          <w:sz w:val="24"/>
          <w:szCs w:val="24"/>
          <w:lang w:val="sq-AL"/>
        </w:rPr>
        <w:t>shih vendimet nr. 34, datë 27.</w:t>
      </w:r>
      <w:r w:rsidRPr="00E31272">
        <w:rPr>
          <w:rFonts w:ascii="Garamond" w:hAnsi="Garamond" w:cs="Times New Roman"/>
          <w:i/>
          <w:iCs/>
          <w:sz w:val="24"/>
          <w:szCs w:val="24"/>
          <w:lang w:val="sq-AL"/>
        </w:rPr>
        <w:t xml:space="preserve">5.2025; nr. </w:t>
      </w:r>
      <w:r w:rsidR="00E31272">
        <w:rPr>
          <w:rFonts w:ascii="Garamond" w:hAnsi="Garamond" w:cs="Times New Roman"/>
          <w:i/>
          <w:iCs/>
          <w:sz w:val="24"/>
          <w:szCs w:val="24"/>
          <w:lang w:val="sq-AL"/>
        </w:rPr>
        <w:t xml:space="preserve">78, datë </w:t>
      </w:r>
      <w:r w:rsidRPr="00E31272">
        <w:rPr>
          <w:rFonts w:ascii="Garamond" w:hAnsi="Garamond" w:cs="Times New Roman"/>
          <w:i/>
          <w:iCs/>
          <w:sz w:val="24"/>
          <w:szCs w:val="24"/>
          <w:lang w:val="sq-AL"/>
        </w:rPr>
        <w:t>6.11.2024</w:t>
      </w:r>
      <w:r w:rsidR="00E31272">
        <w:rPr>
          <w:rFonts w:ascii="Garamond" w:hAnsi="Garamond" w:cs="Times New Roman"/>
          <w:i/>
          <w:iCs/>
          <w:sz w:val="24"/>
          <w:szCs w:val="24"/>
          <w:lang w:val="sq-AL"/>
        </w:rPr>
        <w:t>,</w:t>
      </w:r>
      <w:r w:rsidRPr="00E31272">
        <w:rPr>
          <w:rFonts w:ascii="Garamond" w:hAnsi="Garamond" w:cs="Times New Roman"/>
          <w:sz w:val="24"/>
          <w:szCs w:val="24"/>
          <w:lang w:val="sq-AL"/>
        </w:rPr>
        <w:t xml:space="preserve"> </w:t>
      </w:r>
      <w:r w:rsidRPr="00E31272">
        <w:rPr>
          <w:rFonts w:ascii="Garamond" w:hAnsi="Garamond" w:cs="Times New Roman"/>
          <w:i/>
          <w:iCs/>
          <w:sz w:val="24"/>
          <w:szCs w:val="24"/>
          <w:lang w:val="sq-AL"/>
        </w:rPr>
        <w:t>të Gjykatës Kushtetuese)</w:t>
      </w:r>
      <w:r w:rsidRPr="00E31272">
        <w:rPr>
          <w:rFonts w:ascii="Garamond" w:hAnsi="Garamond" w:cs="Times New Roman"/>
          <w:sz w:val="24"/>
          <w:szCs w:val="24"/>
          <w:lang w:val="sq-AL"/>
        </w:rPr>
        <w:t>. Fuqia prapavepruese zbatohet si përjashtim në ligjet penale favorizuese, në ligjet që ndërhyjnë për të rregulluar me ligj situata të paligjshme të krijuara më parë, në ligjet që interpretojnë anët e errëta ose të paqarta të një ligji të mëparshëm ose në ndonjë rast tjetër ku paraqitet domosdoshmëria për të shmangur pasoja të rënda, negative ose të pandreqshme (</w:t>
      </w:r>
      <w:r w:rsidR="00E31272">
        <w:rPr>
          <w:rFonts w:ascii="Garamond" w:hAnsi="Garamond" w:cs="Times New Roman"/>
          <w:i/>
          <w:iCs/>
          <w:sz w:val="24"/>
          <w:szCs w:val="24"/>
          <w:lang w:val="sq-AL"/>
        </w:rPr>
        <w:t>shih vendimet nr. 34, datë 27.5.2025; nr. 9, datë 26.</w:t>
      </w:r>
      <w:r w:rsidRPr="00E31272">
        <w:rPr>
          <w:rFonts w:ascii="Garamond" w:hAnsi="Garamond" w:cs="Times New Roman"/>
          <w:i/>
          <w:iCs/>
          <w:sz w:val="24"/>
          <w:szCs w:val="24"/>
          <w:lang w:val="sq-AL"/>
        </w:rPr>
        <w:t>2.2007</w:t>
      </w:r>
      <w:r w:rsidR="00E31272">
        <w:rPr>
          <w:rFonts w:ascii="Garamond" w:hAnsi="Garamond" w:cs="Times New Roman"/>
          <w:i/>
          <w:iCs/>
          <w:sz w:val="24"/>
          <w:szCs w:val="24"/>
          <w:lang w:val="sq-AL"/>
        </w:rPr>
        <w:t>,</w:t>
      </w:r>
      <w:r w:rsidRPr="00E31272">
        <w:rPr>
          <w:rFonts w:ascii="Garamond" w:hAnsi="Garamond" w:cs="Times New Roman"/>
          <w:i/>
          <w:iCs/>
          <w:sz w:val="24"/>
          <w:szCs w:val="24"/>
          <w:lang w:val="sq-AL"/>
        </w:rPr>
        <w:t xml:space="preserve"> të Gjykatës Kushtetuese</w:t>
      </w:r>
      <w:r w:rsidRPr="00E31272">
        <w:rPr>
          <w:rFonts w:ascii="Garamond" w:hAnsi="Garamond" w:cs="Times New Roman"/>
          <w:sz w:val="24"/>
          <w:szCs w:val="24"/>
          <w:lang w:val="sq-AL"/>
        </w:rPr>
        <w:t>). Nocioni i fuqisë prapavepruese është i pranishëm në rastet kur një normë ligjore aplikohet për gjëra tashmë të vendosura në të kaluarën. Në aspektin kushtetues, ligji me fuqi prapavepruese është i kundërshtueshëm në qoftë se cenon të drejtat e fituara me ligjet ekzistuese ose krijon një detyrim të ri për sa u përket transaksioneve të shkuara (</w:t>
      </w:r>
      <w:r w:rsidRPr="00E31272">
        <w:rPr>
          <w:rFonts w:ascii="Garamond" w:hAnsi="Garamond" w:cs="Times New Roman"/>
          <w:i/>
          <w:iCs/>
          <w:sz w:val="24"/>
          <w:szCs w:val="24"/>
          <w:lang w:val="sq-AL"/>
        </w:rPr>
        <w:t>shih vendimet nr. 34, d</w:t>
      </w:r>
      <w:r w:rsidR="00E31272">
        <w:rPr>
          <w:rFonts w:ascii="Garamond" w:hAnsi="Garamond" w:cs="Times New Roman"/>
          <w:i/>
          <w:iCs/>
          <w:sz w:val="24"/>
          <w:szCs w:val="24"/>
          <w:lang w:val="sq-AL"/>
        </w:rPr>
        <w:t>atë 27.5.2025; nr. 1, datë 31.</w:t>
      </w:r>
      <w:r w:rsidRPr="00E31272">
        <w:rPr>
          <w:rFonts w:ascii="Garamond" w:hAnsi="Garamond" w:cs="Times New Roman"/>
          <w:i/>
          <w:iCs/>
          <w:sz w:val="24"/>
          <w:szCs w:val="24"/>
          <w:lang w:val="sq-AL"/>
        </w:rPr>
        <w:t>1.2003</w:t>
      </w:r>
      <w:r w:rsidR="00E31272">
        <w:rPr>
          <w:rFonts w:ascii="Garamond" w:hAnsi="Garamond" w:cs="Times New Roman"/>
          <w:i/>
          <w:iCs/>
          <w:sz w:val="24"/>
          <w:szCs w:val="24"/>
          <w:lang w:val="sq-AL"/>
        </w:rPr>
        <w:t>,</w:t>
      </w:r>
      <w:r w:rsidRPr="00E31272">
        <w:rPr>
          <w:rFonts w:ascii="Garamond" w:hAnsi="Garamond" w:cs="Times New Roman"/>
          <w:i/>
          <w:iCs/>
          <w:sz w:val="24"/>
          <w:szCs w:val="24"/>
          <w:lang w:val="sq-AL"/>
        </w:rPr>
        <w:t xml:space="preserve"> të Gjykatës Kushtetuese</w:t>
      </w:r>
      <w:r w:rsidRPr="00E31272">
        <w:rPr>
          <w:rFonts w:ascii="Garamond" w:hAnsi="Garamond" w:cs="Times New Roman"/>
          <w:sz w:val="24"/>
          <w:szCs w:val="24"/>
          <w:lang w:val="sq-AL"/>
        </w:rPr>
        <w:t>).</w:t>
      </w:r>
    </w:p>
    <w:p w14:paraId="1E2624C6" w14:textId="2A138A7F" w:rsidR="00015CA2" w:rsidRPr="00E31272" w:rsidRDefault="00015CA2" w:rsidP="00015CA2">
      <w:pPr>
        <w:pStyle w:val="ListParagraph"/>
        <w:tabs>
          <w:tab w:val="left" w:pos="980"/>
          <w:tab w:val="left" w:pos="1080"/>
        </w:tabs>
        <w:spacing w:after="0" w:line="240" w:lineRule="auto"/>
        <w:ind w:left="0" w:firstLine="284"/>
        <w:jc w:val="both"/>
        <w:rPr>
          <w:rFonts w:ascii="Garamond" w:hAnsi="Garamond" w:cs="Times New Roman"/>
          <w:sz w:val="24"/>
          <w:szCs w:val="24"/>
          <w:lang w:val="sq-AL"/>
        </w:rPr>
      </w:pPr>
      <w:r w:rsidRPr="00E31272">
        <w:rPr>
          <w:rFonts w:ascii="Garamond" w:hAnsi="Garamond" w:cs="Times New Roman"/>
          <w:sz w:val="24"/>
          <w:szCs w:val="24"/>
          <w:lang w:val="sq-AL"/>
        </w:rPr>
        <w:lastRenderedPageBreak/>
        <w:t xml:space="preserve">29. Gjykata gjithashtu çmon të ritheksojë edhe se pensioni i parakohshëm për vjetërsi shërbimi jepet në konsideratë të natyrës së punës të ushtarakëve, të cilët pas ndërprerjes së karrierës, me ose pa dëshirën e tyre, e kanë të vështirë të gjejnë një vend pune të një niveli të krahasueshëm me funksionet që ushtronin. Prandaj ligjvënësi parashikoi krijimin e një sistemi përfitimesh suplementare që të garantohej ruajtja e një niveli të krahasueshëm jetese dhe ekonomik për ushtarakët e Forcave të Armatosura, të cilëve u ndërpriteshin marrëdhëniet e punës. Në këtë këndvështrim, pensioni i parakohshëm për vjetërsi shërbimi mbrohet nga parimi i sigurisë juridike </w:t>
      </w:r>
      <w:r w:rsidR="00E31272">
        <w:rPr>
          <w:rFonts w:ascii="Garamond" w:hAnsi="Garamond" w:cs="Times New Roman"/>
          <w:i/>
          <w:iCs/>
          <w:sz w:val="24"/>
          <w:szCs w:val="24"/>
          <w:lang w:val="sq-AL"/>
        </w:rPr>
        <w:t>(shih vendimet nr. 34, datë 27.5.2025; nr. 25, datë 23.4.2025; nr. 33, datë 24.</w:t>
      </w:r>
      <w:r w:rsidRPr="00E31272">
        <w:rPr>
          <w:rFonts w:ascii="Garamond" w:hAnsi="Garamond" w:cs="Times New Roman"/>
          <w:i/>
          <w:iCs/>
          <w:sz w:val="24"/>
          <w:szCs w:val="24"/>
          <w:lang w:val="sq-AL"/>
        </w:rPr>
        <w:t>6.2010</w:t>
      </w:r>
      <w:r w:rsidR="00E31272">
        <w:rPr>
          <w:rFonts w:ascii="Garamond" w:hAnsi="Garamond" w:cs="Times New Roman"/>
          <w:i/>
          <w:iCs/>
          <w:sz w:val="24"/>
          <w:szCs w:val="24"/>
          <w:lang w:val="sq-AL"/>
        </w:rPr>
        <w:t>,</w:t>
      </w:r>
      <w:r w:rsidRPr="00E31272">
        <w:rPr>
          <w:rFonts w:ascii="Garamond" w:hAnsi="Garamond" w:cs="Times New Roman"/>
          <w:i/>
          <w:iCs/>
          <w:sz w:val="24"/>
          <w:szCs w:val="24"/>
          <w:lang w:val="sq-AL"/>
        </w:rPr>
        <w:t xml:space="preserve"> të Gjykatës Kushtetuese).</w:t>
      </w:r>
    </w:p>
    <w:p w14:paraId="385D8BD5" w14:textId="35AEDC65" w:rsidR="00015CA2" w:rsidRPr="00E31272" w:rsidRDefault="00015CA2" w:rsidP="00015CA2">
      <w:pPr>
        <w:pStyle w:val="ListParagraph"/>
        <w:tabs>
          <w:tab w:val="left" w:pos="980"/>
          <w:tab w:val="left" w:pos="1080"/>
        </w:tabs>
        <w:spacing w:after="0" w:line="240" w:lineRule="auto"/>
        <w:ind w:left="0" w:firstLine="284"/>
        <w:jc w:val="both"/>
        <w:rPr>
          <w:rFonts w:ascii="Garamond" w:hAnsi="Garamond" w:cs="Times New Roman"/>
          <w:sz w:val="24"/>
          <w:szCs w:val="24"/>
          <w:lang w:val="sq-AL"/>
        </w:rPr>
      </w:pPr>
      <w:r w:rsidRPr="00E31272">
        <w:rPr>
          <w:rFonts w:ascii="Garamond" w:hAnsi="Garamond" w:cs="Times New Roman"/>
          <w:sz w:val="24"/>
          <w:szCs w:val="24"/>
          <w:lang w:val="sq-AL"/>
        </w:rPr>
        <w:t>30. Në praktikën e saj Gjykata ka marrë tashmë në analizë pretendimet për masën e pensionit të parakohshëm për vjetërsi shërbimi për ish-ushtarakët në disa raste (</w:t>
      </w:r>
      <w:r w:rsidRPr="00E31272">
        <w:rPr>
          <w:rFonts w:ascii="Garamond" w:hAnsi="Garamond" w:cs="Times New Roman"/>
          <w:i/>
          <w:iCs/>
          <w:sz w:val="24"/>
          <w:szCs w:val="24"/>
          <w:lang w:val="sq-AL"/>
        </w:rPr>
        <w:t>shih vendimet nr. 74, datë 20.11.2025; nr. 59, datë 16.10.2025; nr. 34, da</w:t>
      </w:r>
      <w:r w:rsidR="00E31272">
        <w:rPr>
          <w:rFonts w:ascii="Garamond" w:hAnsi="Garamond" w:cs="Times New Roman"/>
          <w:i/>
          <w:iCs/>
          <w:sz w:val="24"/>
          <w:szCs w:val="24"/>
          <w:lang w:val="sq-AL"/>
        </w:rPr>
        <w:t>të 27.5.2025; nr. 25, datë 23.4.2025; nr. 24, datë 23.</w:t>
      </w:r>
      <w:r w:rsidRPr="00E31272">
        <w:rPr>
          <w:rFonts w:ascii="Garamond" w:hAnsi="Garamond" w:cs="Times New Roman"/>
          <w:i/>
          <w:iCs/>
          <w:sz w:val="24"/>
          <w:szCs w:val="24"/>
          <w:lang w:val="sq-AL"/>
        </w:rPr>
        <w:t>4.2025</w:t>
      </w:r>
      <w:r w:rsidR="00E31272">
        <w:rPr>
          <w:rFonts w:ascii="Garamond" w:hAnsi="Garamond" w:cs="Times New Roman"/>
          <w:i/>
          <w:iCs/>
          <w:sz w:val="24"/>
          <w:szCs w:val="24"/>
          <w:lang w:val="sq-AL"/>
        </w:rPr>
        <w:t>,</w:t>
      </w:r>
      <w:r w:rsidRPr="00E31272">
        <w:rPr>
          <w:rFonts w:ascii="Garamond" w:hAnsi="Garamond" w:cs="Times New Roman"/>
          <w:i/>
          <w:iCs/>
          <w:sz w:val="24"/>
          <w:szCs w:val="24"/>
          <w:lang w:val="sq-AL"/>
        </w:rPr>
        <w:t xml:space="preserve"> të Gjykatës Kushtetuese), </w:t>
      </w:r>
      <w:r w:rsidRPr="00E31272">
        <w:rPr>
          <w:rFonts w:ascii="Garamond" w:hAnsi="Garamond" w:cs="Times New Roman"/>
          <w:sz w:val="24"/>
          <w:szCs w:val="24"/>
          <w:lang w:val="sq-AL"/>
        </w:rPr>
        <w:t xml:space="preserve">prandaj për legjislacionin që ka rregulluar ndër vite të drejtën e pensionit të parakohshëm për vjetërsi shërbimi për ushtarakët e Forcave të Armatosura, kontrollin e tyre kushtetues dhe për sa u përket përfundimeve njësuese të vendimit </w:t>
      </w:r>
      <w:proofErr w:type="spellStart"/>
      <w:r w:rsidRPr="00E31272">
        <w:rPr>
          <w:rFonts w:ascii="Garamond" w:hAnsi="Garamond" w:cs="Times New Roman"/>
          <w:sz w:val="24"/>
          <w:szCs w:val="24"/>
          <w:lang w:val="sq-AL"/>
        </w:rPr>
        <w:t>unifikues</w:t>
      </w:r>
      <w:proofErr w:type="spellEnd"/>
      <w:r w:rsidRPr="00E31272">
        <w:rPr>
          <w:rFonts w:ascii="Garamond" w:hAnsi="Garamond" w:cs="Times New Roman"/>
          <w:sz w:val="24"/>
          <w:szCs w:val="24"/>
          <w:lang w:val="sq-AL"/>
        </w:rPr>
        <w:t xml:space="preserve"> nr. 3/2016 të Kolegjeve të Bashkuara të Gjykatës së Lartë për zbatimin në kohë dhe efektin prapaveprues të legjislacionit për pensionin e parakohshëm, si dhe skemën e zbatueshme për llogaritjen e masës së këtij pensioni, çmon të mos ndalet në evidentimin e tij në hollësi edhe në këtë vendim. </w:t>
      </w:r>
    </w:p>
    <w:p w14:paraId="77CA444A" w14:textId="09D4C59D" w:rsidR="00015CA2" w:rsidRPr="00E31272" w:rsidRDefault="00015CA2" w:rsidP="00015CA2">
      <w:pPr>
        <w:pStyle w:val="ListParagraph"/>
        <w:tabs>
          <w:tab w:val="left" w:pos="980"/>
          <w:tab w:val="left" w:pos="1080"/>
        </w:tabs>
        <w:spacing w:after="0" w:line="240" w:lineRule="auto"/>
        <w:ind w:left="0" w:firstLine="284"/>
        <w:jc w:val="both"/>
        <w:rPr>
          <w:rFonts w:ascii="Garamond" w:hAnsi="Garamond" w:cs="Times New Roman"/>
          <w:sz w:val="24"/>
          <w:szCs w:val="24"/>
          <w:lang w:val="sq-AL"/>
        </w:rPr>
      </w:pPr>
      <w:r w:rsidRPr="00E31272">
        <w:rPr>
          <w:rFonts w:ascii="Garamond" w:hAnsi="Garamond" w:cs="Times New Roman"/>
          <w:sz w:val="24"/>
          <w:szCs w:val="24"/>
          <w:lang w:val="sq-AL"/>
        </w:rPr>
        <w:t xml:space="preserve">31. Në referim të sa më sipër, nisur nga thelbi i parashtrimeve të kërkuesit, si dhe bazuar në standardet kushtetuese të sipërcituara, Gjykata në vijim do të analizojë nëse interpretimi që Gjykata Administrative e Apelit dhe Gjykata e Lartë i kanë bërë ligjit material të zbatueshëm në mosmarrëveshjen objekt gjykimi i ka cenuar kërkuesit të drejtën për pension të parakohshëm për vjetërsi shërbimi të përfituar për shkak të parashikimeve ligjore, pra nëse në interpretimin që ato gjykata i kanë bërë ligjit të zbatueshëm në rastin e kërkuesit ka ose jo elemente të arbitraritetit. </w:t>
      </w:r>
    </w:p>
    <w:p w14:paraId="25AAC9E3" w14:textId="2ABE05BF" w:rsidR="00015CA2" w:rsidRPr="00E31272" w:rsidRDefault="00015CA2" w:rsidP="00015CA2">
      <w:pPr>
        <w:pStyle w:val="ListParagraph"/>
        <w:tabs>
          <w:tab w:val="left" w:pos="980"/>
          <w:tab w:val="left" w:pos="1080"/>
        </w:tabs>
        <w:spacing w:after="0" w:line="240" w:lineRule="auto"/>
        <w:ind w:left="0" w:firstLine="284"/>
        <w:jc w:val="both"/>
        <w:rPr>
          <w:rFonts w:ascii="Garamond" w:hAnsi="Garamond" w:cs="Times New Roman"/>
          <w:sz w:val="24"/>
          <w:szCs w:val="24"/>
          <w:lang w:val="sq-AL"/>
        </w:rPr>
      </w:pPr>
      <w:r w:rsidRPr="00E31272">
        <w:rPr>
          <w:rFonts w:ascii="Garamond" w:hAnsi="Garamond" w:cs="Times New Roman"/>
          <w:sz w:val="24"/>
          <w:szCs w:val="24"/>
          <w:lang w:val="sq-AL"/>
        </w:rPr>
        <w:t>32. Po kështu, Gjykata sjell në vëmendje se pretendimet e kërkuesit për sa i përket së drejtës për pension të parakohshëm lidhen si me periudhën para hyrjes në fuqi të ligjit nr. 10149/2009, ashtu dhe me periudhën</w:t>
      </w:r>
      <w:r w:rsidR="00E31272">
        <w:rPr>
          <w:rFonts w:ascii="Garamond" w:hAnsi="Garamond" w:cs="Times New Roman"/>
          <w:sz w:val="24"/>
          <w:szCs w:val="24"/>
          <w:lang w:val="sq-AL"/>
        </w:rPr>
        <w:t xml:space="preserve"> pas hyrjes në fuqi të tij (1.</w:t>
      </w:r>
      <w:r w:rsidRPr="00E31272">
        <w:rPr>
          <w:rFonts w:ascii="Garamond" w:hAnsi="Garamond" w:cs="Times New Roman"/>
          <w:sz w:val="24"/>
          <w:szCs w:val="24"/>
          <w:lang w:val="sq-AL"/>
        </w:rPr>
        <w:t>7.2009). Në këtë drejtim, ndonëse në rastin e kërkuesit e drejta e pensionit të parakohshëm për periudhën deri në hyrjen në fuqi të ligjit nr. 10149/2009</w:t>
      </w:r>
      <w:r w:rsidR="00E31272">
        <w:rPr>
          <w:rFonts w:ascii="Garamond" w:hAnsi="Garamond" w:cs="Times New Roman"/>
          <w:sz w:val="24"/>
          <w:szCs w:val="24"/>
          <w:lang w:val="sq-AL"/>
        </w:rPr>
        <w:t>,</w:t>
      </w:r>
      <w:r w:rsidRPr="00E31272">
        <w:rPr>
          <w:rFonts w:ascii="Garamond" w:hAnsi="Garamond" w:cs="Times New Roman"/>
          <w:sz w:val="24"/>
          <w:szCs w:val="24"/>
          <w:lang w:val="sq-AL"/>
        </w:rPr>
        <w:t xml:space="preserve"> i korrespondon një </w:t>
      </w:r>
      <w:r w:rsidR="00E31272">
        <w:rPr>
          <w:rFonts w:ascii="Garamond" w:hAnsi="Garamond" w:cs="Times New Roman"/>
          <w:sz w:val="24"/>
          <w:szCs w:val="24"/>
          <w:lang w:val="sq-AL"/>
        </w:rPr>
        <w:t>periudhe të shkurtër kohore (1.5.2009–1.</w:t>
      </w:r>
      <w:r w:rsidRPr="00E31272">
        <w:rPr>
          <w:rFonts w:ascii="Garamond" w:hAnsi="Garamond" w:cs="Times New Roman"/>
          <w:sz w:val="24"/>
          <w:szCs w:val="24"/>
          <w:lang w:val="sq-AL"/>
        </w:rPr>
        <w:t>7.2009) e për pasojë një vlere relativisht të vogël monetare, duke mbajtur në konsideratë se pensioni i parakohshëm për ushtarakët e Forcave të Armatosura garanton ruajtjen e një niveli të krahasueshëm jetese dhe ekonomike për ta, Gjykata çmon ta analizojë pretendimin e tij edhe për këtë periudhë.</w:t>
      </w:r>
    </w:p>
    <w:p w14:paraId="240FDECF" w14:textId="1D400294" w:rsidR="00015CA2" w:rsidRPr="00E31272" w:rsidRDefault="00015CA2" w:rsidP="00015CA2">
      <w:pPr>
        <w:pStyle w:val="ListParagraph"/>
        <w:tabs>
          <w:tab w:val="left" w:pos="980"/>
          <w:tab w:val="left" w:pos="1080"/>
        </w:tabs>
        <w:spacing w:after="0" w:line="240" w:lineRule="auto"/>
        <w:ind w:left="0" w:firstLine="284"/>
        <w:jc w:val="both"/>
        <w:rPr>
          <w:rFonts w:ascii="Garamond" w:hAnsi="Garamond" w:cs="Times New Roman"/>
          <w:sz w:val="24"/>
          <w:szCs w:val="24"/>
          <w:lang w:val="sq-AL"/>
        </w:rPr>
      </w:pPr>
      <w:r w:rsidRPr="00E31272">
        <w:rPr>
          <w:rFonts w:ascii="Garamond" w:hAnsi="Garamond" w:cs="Times New Roman"/>
          <w:sz w:val="24"/>
          <w:szCs w:val="24"/>
          <w:lang w:val="sq-AL"/>
        </w:rPr>
        <w:t>33. Konkretisht</w:t>
      </w:r>
      <w:r w:rsidR="00E31272">
        <w:rPr>
          <w:rFonts w:ascii="Garamond" w:hAnsi="Garamond" w:cs="Times New Roman"/>
          <w:sz w:val="24"/>
          <w:szCs w:val="24"/>
          <w:lang w:val="sq-AL"/>
        </w:rPr>
        <w:t>, Gjykata vëren se në datën 23.</w:t>
      </w:r>
      <w:r w:rsidRPr="00E31272">
        <w:rPr>
          <w:rFonts w:ascii="Garamond" w:hAnsi="Garamond" w:cs="Times New Roman"/>
          <w:sz w:val="24"/>
          <w:szCs w:val="24"/>
          <w:lang w:val="sq-AL"/>
        </w:rPr>
        <w:t>7.2003</w:t>
      </w:r>
      <w:r w:rsidR="00E31272">
        <w:rPr>
          <w:rFonts w:ascii="Garamond" w:hAnsi="Garamond" w:cs="Times New Roman"/>
          <w:sz w:val="24"/>
          <w:szCs w:val="24"/>
          <w:lang w:val="sq-AL"/>
        </w:rPr>
        <w:t>,</w:t>
      </w:r>
      <w:r w:rsidRPr="00E31272">
        <w:rPr>
          <w:rFonts w:ascii="Garamond" w:hAnsi="Garamond" w:cs="Times New Roman"/>
          <w:sz w:val="24"/>
          <w:szCs w:val="24"/>
          <w:lang w:val="sq-AL"/>
        </w:rPr>
        <w:t xml:space="preserve"> kërkuesi është nxjerrë në rezervë, pasi ka shërbyer si oficer aktiv me gradën “Nënkolonel”. Fillimisht, ai është trajtuar me pagesë kalimtare bazuar në ligjin nr. 8087/1996, të ndryshuar. E drejta e pensionit të parak</w:t>
      </w:r>
      <w:r w:rsidR="00E31272">
        <w:rPr>
          <w:rFonts w:ascii="Garamond" w:hAnsi="Garamond" w:cs="Times New Roman"/>
          <w:sz w:val="24"/>
          <w:szCs w:val="24"/>
          <w:lang w:val="sq-AL"/>
        </w:rPr>
        <w:t>ohshëm i ka lindur në datën 1.</w:t>
      </w:r>
      <w:r w:rsidRPr="00E31272">
        <w:rPr>
          <w:rFonts w:ascii="Garamond" w:hAnsi="Garamond" w:cs="Times New Roman"/>
          <w:sz w:val="24"/>
          <w:szCs w:val="24"/>
          <w:lang w:val="sq-AL"/>
        </w:rPr>
        <w:t>8.2005, masa e të cilit është kundërshtuar nga kërkuesi në gjykatë. Për procesin e parë gjyqësor, Gjykata e Rrethit Gjyqësor Tiranë në vitin 2009 ka vendosur pranimin e kërkesëpadisë së kërkuesit dhe se atij duhet t’i kthehen diferencat</w:t>
      </w:r>
      <w:r w:rsidR="00E31272">
        <w:rPr>
          <w:rFonts w:ascii="Garamond" w:hAnsi="Garamond" w:cs="Times New Roman"/>
          <w:sz w:val="24"/>
          <w:szCs w:val="24"/>
          <w:lang w:val="sq-AL"/>
        </w:rPr>
        <w:t xml:space="preserve"> e masës së pensionit nga data 1.</w:t>
      </w:r>
      <w:r w:rsidRPr="00E31272">
        <w:rPr>
          <w:rFonts w:ascii="Garamond" w:hAnsi="Garamond" w:cs="Times New Roman"/>
          <w:sz w:val="24"/>
          <w:szCs w:val="24"/>
          <w:lang w:val="sq-AL"/>
        </w:rPr>
        <w:t>8.2005, kur i ka lin</w:t>
      </w:r>
      <w:r w:rsidR="00E31272">
        <w:rPr>
          <w:rFonts w:ascii="Garamond" w:hAnsi="Garamond" w:cs="Times New Roman"/>
          <w:sz w:val="24"/>
          <w:szCs w:val="24"/>
          <w:lang w:val="sq-AL"/>
        </w:rPr>
        <w:t>dur e drejta, deri në datën 30.</w:t>
      </w:r>
      <w:r w:rsidRPr="00E31272">
        <w:rPr>
          <w:rFonts w:ascii="Garamond" w:hAnsi="Garamond" w:cs="Times New Roman"/>
          <w:sz w:val="24"/>
          <w:szCs w:val="24"/>
          <w:lang w:val="sq-AL"/>
        </w:rPr>
        <w:t>4.2009. Ky vendim është lënë në fuqi nga gjykata e apelit, ndërsa Gjykata e Lartë ka vendosur mospranimin e rekursit të palës së paditur.</w:t>
      </w:r>
    </w:p>
    <w:p w14:paraId="0FE380C5" w14:textId="66A3340C" w:rsidR="00015CA2" w:rsidRPr="00E31272" w:rsidRDefault="00015CA2" w:rsidP="00015CA2">
      <w:pPr>
        <w:pStyle w:val="ListParagraph"/>
        <w:tabs>
          <w:tab w:val="left" w:pos="980"/>
          <w:tab w:val="left" w:pos="1080"/>
        </w:tabs>
        <w:spacing w:after="0" w:line="240" w:lineRule="auto"/>
        <w:ind w:left="0" w:firstLine="284"/>
        <w:jc w:val="both"/>
        <w:rPr>
          <w:rFonts w:ascii="Garamond" w:hAnsi="Garamond" w:cs="Times New Roman"/>
          <w:sz w:val="24"/>
          <w:szCs w:val="24"/>
          <w:lang w:val="sq-AL"/>
        </w:rPr>
      </w:pPr>
      <w:r w:rsidRPr="00E31272">
        <w:rPr>
          <w:rFonts w:ascii="Garamond" w:hAnsi="Garamond" w:cs="Times New Roman"/>
          <w:sz w:val="24"/>
          <w:szCs w:val="24"/>
          <w:lang w:val="sq-AL"/>
        </w:rPr>
        <w:t>34. Në vijim të vendimit nr. 33/2010</w:t>
      </w:r>
      <w:r w:rsidR="00793304">
        <w:rPr>
          <w:rFonts w:ascii="Garamond" w:hAnsi="Garamond" w:cs="Times New Roman"/>
          <w:sz w:val="24"/>
          <w:szCs w:val="24"/>
          <w:lang w:val="sq-AL"/>
        </w:rPr>
        <w:t>,</w:t>
      </w:r>
      <w:r w:rsidRPr="00E31272">
        <w:rPr>
          <w:rFonts w:ascii="Garamond" w:hAnsi="Garamond" w:cs="Times New Roman"/>
          <w:sz w:val="24"/>
          <w:szCs w:val="24"/>
          <w:lang w:val="sq-AL"/>
        </w:rPr>
        <w:t xml:space="preserve"> të Gjykatës, kërkuesi i është drejtuar gjykatës me kërkesëpadi, me objekt detyrimin e palës së paditur, </w:t>
      </w:r>
      <w:proofErr w:type="spellStart"/>
      <w:r w:rsidRPr="00E31272">
        <w:rPr>
          <w:rFonts w:ascii="Garamond" w:hAnsi="Garamond" w:cs="Times New Roman"/>
          <w:sz w:val="24"/>
          <w:szCs w:val="24"/>
          <w:lang w:val="sq-AL"/>
        </w:rPr>
        <w:t>DRSSH</w:t>
      </w:r>
      <w:proofErr w:type="spellEnd"/>
      <w:r w:rsidRPr="00E31272">
        <w:rPr>
          <w:rFonts w:ascii="Garamond" w:hAnsi="Garamond" w:cs="Times New Roman"/>
          <w:sz w:val="24"/>
          <w:szCs w:val="24"/>
          <w:lang w:val="sq-AL"/>
        </w:rPr>
        <w:t>-së, Tiranë, për të vazhduar pagesën e pensionit të parakohshëm për vjetërsi shërbimi dhe shpërblimin e dëmit të shkaktuar si rezultat i moszbatimit të vendimit të Gjyk</w:t>
      </w:r>
      <w:r w:rsidR="00E31272">
        <w:rPr>
          <w:rFonts w:ascii="Garamond" w:hAnsi="Garamond" w:cs="Times New Roman"/>
          <w:sz w:val="24"/>
          <w:szCs w:val="24"/>
          <w:lang w:val="sq-AL"/>
        </w:rPr>
        <w:t>atës nr. 33/2010, për periudhën 1.5.2009–4.</w:t>
      </w:r>
      <w:r w:rsidRPr="00E31272">
        <w:rPr>
          <w:rFonts w:ascii="Garamond" w:hAnsi="Garamond" w:cs="Times New Roman"/>
          <w:sz w:val="24"/>
          <w:szCs w:val="24"/>
          <w:lang w:val="sq-AL"/>
        </w:rPr>
        <w:t xml:space="preserve">3.2013, duke e llogaritur pensionin e parakohshëm për vjetërsi shërbimi në masën 50% të pagës referuese mbi të cilën është derdhur kontributi dhe duke i shtuar kësaj mase 2% të pagës referuese për çdo vit shërbimi mbi periudhën 15 vjet si një e drejtë e fituar; indeksimin e pensionit të parakohshëm për vjetërsi shërbimi dhe shpërblimin e dëmit. </w:t>
      </w:r>
    </w:p>
    <w:p w14:paraId="25CFC9AE" w14:textId="0264C12E" w:rsidR="00015CA2" w:rsidRPr="00E31272" w:rsidRDefault="00015CA2" w:rsidP="00015CA2">
      <w:pPr>
        <w:pStyle w:val="ListParagraph"/>
        <w:tabs>
          <w:tab w:val="left" w:pos="980"/>
          <w:tab w:val="left" w:pos="1080"/>
        </w:tabs>
        <w:spacing w:after="0" w:line="240" w:lineRule="auto"/>
        <w:ind w:left="0" w:firstLine="284"/>
        <w:jc w:val="both"/>
        <w:rPr>
          <w:rFonts w:ascii="Garamond" w:hAnsi="Garamond" w:cs="Times New Roman"/>
          <w:sz w:val="24"/>
          <w:szCs w:val="24"/>
          <w:lang w:val="sq-AL"/>
        </w:rPr>
      </w:pPr>
      <w:r w:rsidRPr="00E31272">
        <w:rPr>
          <w:rFonts w:ascii="Garamond" w:hAnsi="Garamond" w:cs="Times New Roman"/>
          <w:sz w:val="24"/>
          <w:szCs w:val="24"/>
          <w:lang w:val="sq-AL"/>
        </w:rPr>
        <w:lastRenderedPageBreak/>
        <w:t>35. Për procesin e dytë gjyqësor, objekt kundërshtimi, Gjykata e Rrethit Gjyqësor Tiranë,</w:t>
      </w:r>
      <w:r w:rsidRPr="00E31272">
        <w:rPr>
          <w:rFonts w:ascii="Garamond" w:hAnsi="Garamond" w:cs="Times New Roman"/>
          <w:b/>
          <w:bCs/>
          <w:sz w:val="24"/>
          <w:szCs w:val="24"/>
          <w:lang w:val="sq-AL"/>
        </w:rPr>
        <w:t xml:space="preserve"> </w:t>
      </w:r>
      <w:r w:rsidRPr="00E31272">
        <w:rPr>
          <w:rFonts w:ascii="Garamond" w:hAnsi="Garamond" w:cs="Times New Roman"/>
          <w:sz w:val="24"/>
          <w:szCs w:val="24"/>
          <w:lang w:val="sq-AL"/>
        </w:rPr>
        <w:t xml:space="preserve">me vendimin nr. 10410, datë 21.10.2013, ka vendosur pranimin pjesërisht të kërkesëpadisë dhe detyrimin e palës së paditur për të paguar pensionin e parakohshëm për vjetërsi shërbimi në masën 50% të pagës referuese për 15 vjet shërbimi, duke i shtuar kësaj mase 2% të pagës referuese për çdo vit shërbimi mbi periudhën 15 vjet, duke u paguar diferenca midis masës së pensionit që do të dalë dhe masës së pensionit që kërkuesi ka përfituar për </w:t>
      </w:r>
      <w:r w:rsidR="00E31272">
        <w:rPr>
          <w:rFonts w:ascii="Garamond" w:hAnsi="Garamond" w:cs="Times New Roman"/>
          <w:sz w:val="24"/>
          <w:szCs w:val="24"/>
          <w:lang w:val="sq-AL"/>
        </w:rPr>
        <w:t>çdo muaj duke filluar nga data 1.5.2009 deri në datën 1.</w:t>
      </w:r>
      <w:r w:rsidRPr="00E31272">
        <w:rPr>
          <w:rFonts w:ascii="Garamond" w:hAnsi="Garamond" w:cs="Times New Roman"/>
          <w:sz w:val="24"/>
          <w:szCs w:val="24"/>
          <w:lang w:val="sq-AL"/>
        </w:rPr>
        <w:t>7.2009; detyrimin për t’i paguar pensionin e parakohshë</w:t>
      </w:r>
      <w:r w:rsidR="00E31272">
        <w:rPr>
          <w:rFonts w:ascii="Garamond" w:hAnsi="Garamond" w:cs="Times New Roman"/>
          <w:sz w:val="24"/>
          <w:szCs w:val="24"/>
          <w:lang w:val="sq-AL"/>
        </w:rPr>
        <w:t>m për periudhën nga 1.5.2009–1.</w:t>
      </w:r>
      <w:r w:rsidRPr="00E31272">
        <w:rPr>
          <w:rFonts w:ascii="Garamond" w:hAnsi="Garamond" w:cs="Times New Roman"/>
          <w:sz w:val="24"/>
          <w:szCs w:val="24"/>
          <w:lang w:val="sq-AL"/>
        </w:rPr>
        <w:t xml:space="preserve">7.2009 bashkë me rritjet përkatëse dhe rrëzimin e kërkesëpadisë për sa i përket shpërblimit të dëmit. Kjo gjykatë ka arsyetuar se ligji i zbatueshëm për zgjidhjen e mosmarrëveshjes është ligji nr. 8087/1996, i ndryshuar me ligjin nr. 8521/1999. Sipas saj, </w:t>
      </w:r>
      <w:proofErr w:type="spellStart"/>
      <w:r w:rsidRPr="00E31272">
        <w:rPr>
          <w:rFonts w:ascii="Garamond" w:hAnsi="Garamond" w:cs="Times New Roman"/>
          <w:sz w:val="24"/>
          <w:szCs w:val="24"/>
          <w:lang w:val="sq-AL"/>
        </w:rPr>
        <w:t>DRSSH</w:t>
      </w:r>
      <w:proofErr w:type="spellEnd"/>
      <w:r w:rsidRPr="00E31272">
        <w:rPr>
          <w:rFonts w:ascii="Garamond" w:hAnsi="Garamond" w:cs="Times New Roman"/>
          <w:sz w:val="24"/>
          <w:szCs w:val="24"/>
          <w:lang w:val="sq-AL"/>
        </w:rPr>
        <w:t>-ja ka gabuar në përllogaritje, pasi kufizimi “jo më shumë se pensioni maksimal në shkallë vendi” ka qenë i shfuqizuar kur kërkuesi ka dalë në rezervë dhe prandaj atij duhet t’i paguhet diferenca</w:t>
      </w:r>
      <w:r w:rsidR="00793304">
        <w:rPr>
          <w:rFonts w:ascii="Garamond" w:hAnsi="Garamond" w:cs="Times New Roman"/>
          <w:sz w:val="24"/>
          <w:szCs w:val="24"/>
          <w:lang w:val="sq-AL"/>
        </w:rPr>
        <w:t xml:space="preserve"> e masës së pensionit nga data 1.5.2009 deri në datën 1.</w:t>
      </w:r>
      <w:r w:rsidRPr="00E31272">
        <w:rPr>
          <w:rFonts w:ascii="Garamond" w:hAnsi="Garamond" w:cs="Times New Roman"/>
          <w:sz w:val="24"/>
          <w:szCs w:val="24"/>
          <w:lang w:val="sq-AL"/>
        </w:rPr>
        <w:t xml:space="preserve">7.2009. Kjo gjykatë gjithashtu ka pranuar edhe kërkimin për indeksimin e pensionit të parakohshëm. </w:t>
      </w:r>
    </w:p>
    <w:p w14:paraId="2F78CFF5" w14:textId="47B5B6E9" w:rsidR="00015CA2" w:rsidRPr="00E31272" w:rsidRDefault="00015CA2" w:rsidP="00015CA2">
      <w:pPr>
        <w:pStyle w:val="ListParagraph"/>
        <w:tabs>
          <w:tab w:val="left" w:pos="980"/>
          <w:tab w:val="left" w:pos="1080"/>
        </w:tabs>
        <w:spacing w:after="0" w:line="240" w:lineRule="auto"/>
        <w:ind w:left="0" w:firstLine="284"/>
        <w:jc w:val="both"/>
        <w:rPr>
          <w:rFonts w:ascii="Garamond" w:hAnsi="Garamond" w:cs="Times New Roman"/>
          <w:sz w:val="24"/>
          <w:szCs w:val="24"/>
          <w:lang w:val="sq-AL"/>
        </w:rPr>
      </w:pPr>
      <w:r w:rsidRPr="00E31272">
        <w:rPr>
          <w:rFonts w:ascii="Garamond" w:hAnsi="Garamond" w:cs="Times New Roman"/>
          <w:sz w:val="24"/>
          <w:szCs w:val="24"/>
          <w:lang w:val="sq-AL"/>
        </w:rPr>
        <w:t>36. Gjykata Administrative e Apelit, si gjykata kompetente për shqyrtimin e çështjes, me vendimin nr.  4331, datë 27.11.2014, ka vendosur lënien në fuqi të vendimit të Gjykatës së Rrethit Gjyqësor Tiranë. Sipas saj, në momentin kur kërkuesi ka dalë në rezervë, shprehja “por jo më shumë se pensioni maksimal në shkallë vendi” në nenin 49</w:t>
      </w:r>
      <w:r w:rsidR="00E31272">
        <w:rPr>
          <w:rFonts w:ascii="Garamond" w:hAnsi="Garamond" w:cs="Times New Roman"/>
          <w:sz w:val="24"/>
          <w:szCs w:val="24"/>
          <w:lang w:val="sq-AL"/>
        </w:rPr>
        <w:t>,</w:t>
      </w:r>
      <w:r w:rsidRPr="00E31272">
        <w:rPr>
          <w:rFonts w:ascii="Garamond" w:hAnsi="Garamond" w:cs="Times New Roman"/>
          <w:sz w:val="24"/>
          <w:szCs w:val="24"/>
          <w:lang w:val="sq-AL"/>
        </w:rPr>
        <w:t xml:space="preserve"> të ligjit 9210/2004</w:t>
      </w:r>
      <w:r w:rsidR="00E31272">
        <w:rPr>
          <w:rFonts w:ascii="Garamond" w:hAnsi="Garamond" w:cs="Times New Roman"/>
          <w:sz w:val="24"/>
          <w:szCs w:val="24"/>
          <w:lang w:val="sq-AL"/>
        </w:rPr>
        <w:t>,</w:t>
      </w:r>
      <w:r w:rsidRPr="00E31272">
        <w:rPr>
          <w:rFonts w:ascii="Garamond" w:hAnsi="Garamond" w:cs="Times New Roman"/>
          <w:sz w:val="24"/>
          <w:szCs w:val="24"/>
          <w:lang w:val="sq-AL"/>
        </w:rPr>
        <w:t xml:space="preserve"> është shfuqizuar dhe pala e paditur duhet të bazohej në nenin 35</w:t>
      </w:r>
      <w:r w:rsidR="00E31272">
        <w:rPr>
          <w:rFonts w:ascii="Garamond" w:hAnsi="Garamond" w:cs="Times New Roman"/>
          <w:sz w:val="24"/>
          <w:szCs w:val="24"/>
          <w:lang w:val="sq-AL"/>
        </w:rPr>
        <w:t>,</w:t>
      </w:r>
      <w:r w:rsidRPr="00E31272">
        <w:rPr>
          <w:rFonts w:ascii="Garamond" w:hAnsi="Garamond" w:cs="Times New Roman"/>
          <w:sz w:val="24"/>
          <w:szCs w:val="24"/>
          <w:lang w:val="sq-AL"/>
        </w:rPr>
        <w:t xml:space="preserve"> të ligjit 9210/2004, i cili parashikonte se oficerët gëzojnë të drejtën e pensionit të parakohshëm për vjetërsi shërbimi në masën 50 % të pagës mujore deri në plotësimin e kushteve për përfitimin e pensionit të pleqërisë dhe për çdo vit tjetër shërbimi mbi kufirin e mësipërm ushtarakut i jepet një shtesë pensioni në masën 2 për qind të pagës mujore. Për rrjedhojë, sipas gjykatës, pala e paditur duhet të bazohej në nenet 13 dhe 14</w:t>
      </w:r>
      <w:r w:rsidR="00E31272">
        <w:rPr>
          <w:rFonts w:ascii="Garamond" w:hAnsi="Garamond" w:cs="Times New Roman"/>
          <w:sz w:val="24"/>
          <w:szCs w:val="24"/>
          <w:lang w:val="sq-AL"/>
        </w:rPr>
        <w:t>,</w:t>
      </w:r>
      <w:r w:rsidRPr="00E31272">
        <w:rPr>
          <w:rFonts w:ascii="Garamond" w:hAnsi="Garamond" w:cs="Times New Roman"/>
          <w:sz w:val="24"/>
          <w:szCs w:val="24"/>
          <w:lang w:val="sq-AL"/>
        </w:rPr>
        <w:t xml:space="preserve"> të ligjit nr. 9418/2005, të ndryshuar me ligjin nr. 9481/2006 dhe t’i paguajë kërkuesit diferencën e masës së pensionit nga da</w:t>
      </w:r>
      <w:r w:rsidR="00E31272">
        <w:rPr>
          <w:rFonts w:ascii="Garamond" w:hAnsi="Garamond" w:cs="Times New Roman"/>
          <w:sz w:val="24"/>
          <w:szCs w:val="24"/>
          <w:lang w:val="sq-AL"/>
        </w:rPr>
        <w:t>ta 1.5.2009 deri në datën 1.</w:t>
      </w:r>
      <w:r w:rsidRPr="00E31272">
        <w:rPr>
          <w:rFonts w:ascii="Garamond" w:hAnsi="Garamond" w:cs="Times New Roman"/>
          <w:sz w:val="24"/>
          <w:szCs w:val="24"/>
          <w:lang w:val="sq-AL"/>
        </w:rPr>
        <w:t xml:space="preserve">7.2009. </w:t>
      </w:r>
    </w:p>
    <w:p w14:paraId="48CEC93D" w14:textId="2136D6B9" w:rsidR="00015CA2" w:rsidRPr="00E31272" w:rsidRDefault="00015CA2" w:rsidP="00015CA2">
      <w:pPr>
        <w:pStyle w:val="ListParagraph"/>
        <w:tabs>
          <w:tab w:val="left" w:pos="980"/>
          <w:tab w:val="left" w:pos="1080"/>
        </w:tabs>
        <w:spacing w:after="0" w:line="240" w:lineRule="auto"/>
        <w:ind w:left="0" w:firstLine="284"/>
        <w:jc w:val="both"/>
        <w:rPr>
          <w:rFonts w:ascii="Garamond" w:hAnsi="Garamond" w:cs="Times New Roman"/>
          <w:sz w:val="24"/>
          <w:szCs w:val="24"/>
          <w:lang w:val="sq-AL"/>
        </w:rPr>
      </w:pPr>
      <w:r w:rsidRPr="00E31272">
        <w:rPr>
          <w:rFonts w:ascii="Garamond" w:hAnsi="Garamond" w:cs="Times New Roman"/>
          <w:sz w:val="24"/>
          <w:szCs w:val="24"/>
          <w:lang w:val="sq-AL"/>
        </w:rPr>
        <w:t>37. Kolegji Administrativ i Gjykatës së Lartë në vitin 2017 ka vendosur prishjen e vendimit nr. 4331, datë 27.11.2014</w:t>
      </w:r>
      <w:r w:rsidR="00E31272">
        <w:rPr>
          <w:rFonts w:ascii="Garamond" w:hAnsi="Garamond" w:cs="Times New Roman"/>
          <w:sz w:val="24"/>
          <w:szCs w:val="24"/>
          <w:lang w:val="sq-AL"/>
        </w:rPr>
        <w:t>,</w:t>
      </w:r>
      <w:r w:rsidRPr="00E31272">
        <w:rPr>
          <w:rFonts w:ascii="Garamond" w:hAnsi="Garamond" w:cs="Times New Roman"/>
          <w:sz w:val="24"/>
          <w:szCs w:val="24"/>
          <w:lang w:val="sq-AL"/>
        </w:rPr>
        <w:t xml:space="preserve"> të Gjykatës Administrative të Apelit dhe dërgimin e çështjes për rishqyrtim në këtë gjykatë, me tjetër trup gjykues. Ky kolegj ka arsyetuar se gjykatat e faktit kanë zbatuar gabim ligjin material dhe në rigjykim duhet të analizohen faktet për të zgjidhur çështjen duke zbatuar ligjin sipas orientimeve të vendimit </w:t>
      </w:r>
      <w:proofErr w:type="spellStart"/>
      <w:r w:rsidRPr="00E31272">
        <w:rPr>
          <w:rFonts w:ascii="Garamond" w:hAnsi="Garamond" w:cs="Times New Roman"/>
          <w:sz w:val="24"/>
          <w:szCs w:val="24"/>
          <w:lang w:val="sq-AL"/>
        </w:rPr>
        <w:t>unifikues</w:t>
      </w:r>
      <w:proofErr w:type="spellEnd"/>
      <w:r w:rsidRPr="00E31272">
        <w:rPr>
          <w:rFonts w:ascii="Garamond" w:hAnsi="Garamond" w:cs="Times New Roman"/>
          <w:sz w:val="24"/>
          <w:szCs w:val="24"/>
          <w:lang w:val="sq-AL"/>
        </w:rPr>
        <w:t xml:space="preserve"> nr. 3/2016 të Kolegjeve të Bashkuara</w:t>
      </w:r>
      <w:r w:rsidRPr="00E31272">
        <w:rPr>
          <w:rFonts w:ascii="Garamond" w:hAnsi="Garamond" w:cs="Times New Roman"/>
          <w:i/>
          <w:iCs/>
          <w:sz w:val="24"/>
          <w:szCs w:val="24"/>
          <w:lang w:val="sq-AL"/>
        </w:rPr>
        <w:t>.</w:t>
      </w:r>
    </w:p>
    <w:p w14:paraId="400AFDD4" w14:textId="53975830" w:rsidR="00015CA2" w:rsidRPr="00E31272" w:rsidRDefault="00015CA2" w:rsidP="00015CA2">
      <w:pPr>
        <w:pStyle w:val="ListParagraph"/>
        <w:tabs>
          <w:tab w:val="left" w:pos="980"/>
          <w:tab w:val="left" w:pos="1080"/>
        </w:tabs>
        <w:spacing w:after="0" w:line="240" w:lineRule="auto"/>
        <w:ind w:left="0" w:firstLine="284"/>
        <w:jc w:val="both"/>
        <w:rPr>
          <w:rFonts w:ascii="Garamond" w:hAnsi="Garamond" w:cs="Times New Roman"/>
          <w:sz w:val="24"/>
          <w:szCs w:val="24"/>
          <w:lang w:val="sq-AL"/>
        </w:rPr>
      </w:pPr>
      <w:r w:rsidRPr="00E31272">
        <w:rPr>
          <w:rFonts w:ascii="Garamond" w:hAnsi="Garamond" w:cs="Times New Roman"/>
          <w:sz w:val="24"/>
          <w:szCs w:val="24"/>
          <w:lang w:val="sq-AL"/>
        </w:rPr>
        <w:t>38. Në rigjykim, Gjykata Administrative e Apelit, me vendimin nr. 1040 (86-2023-1381), datë 11.12.2023, ka vendosur ndryshimin e vendimit nr. 10410, datë 21.10.2013</w:t>
      </w:r>
      <w:r w:rsidR="00E31272">
        <w:rPr>
          <w:rFonts w:ascii="Garamond" w:hAnsi="Garamond" w:cs="Times New Roman"/>
          <w:sz w:val="24"/>
          <w:szCs w:val="24"/>
          <w:lang w:val="sq-AL"/>
        </w:rPr>
        <w:t>,</w:t>
      </w:r>
      <w:r w:rsidRPr="00E31272">
        <w:rPr>
          <w:rFonts w:ascii="Garamond" w:hAnsi="Garamond" w:cs="Times New Roman"/>
          <w:sz w:val="24"/>
          <w:szCs w:val="24"/>
          <w:lang w:val="sq-AL"/>
        </w:rPr>
        <w:t xml:space="preserve"> të Gjykatës së Rrethit Gjyqësor Tiranë dhe rrëzimin e padisë. Ajo gjykatë ka arsyetuar se gjykata e shkallës së parë ka interpretuar në mënyrë të gabuar nenin 11</w:t>
      </w:r>
      <w:r w:rsidR="00E31272">
        <w:rPr>
          <w:rFonts w:ascii="Garamond" w:hAnsi="Garamond" w:cs="Times New Roman"/>
          <w:sz w:val="24"/>
          <w:szCs w:val="24"/>
          <w:lang w:val="sq-AL"/>
        </w:rPr>
        <w:t>,</w:t>
      </w:r>
      <w:r w:rsidRPr="00E31272">
        <w:rPr>
          <w:rFonts w:ascii="Garamond" w:hAnsi="Garamond" w:cs="Times New Roman"/>
          <w:sz w:val="24"/>
          <w:szCs w:val="24"/>
          <w:lang w:val="sq-AL"/>
        </w:rPr>
        <w:t xml:space="preserve"> të ligjit nr. 8087/1996, të ndryshuar me ligjin nr. 8251/1999, duke e vendosur kufizimin e masës maksimale të pensionit në shkallë vendi te shtesa për vjetërsi dhe jo në masën totale të pensionit. Në këtë konkluzion gjykata e apelit ka arritur duke u mbështetur në arsyetimin e vendimit </w:t>
      </w:r>
      <w:proofErr w:type="spellStart"/>
      <w:r w:rsidRPr="00E31272">
        <w:rPr>
          <w:rFonts w:ascii="Garamond" w:hAnsi="Garamond" w:cs="Times New Roman"/>
          <w:sz w:val="24"/>
          <w:szCs w:val="24"/>
          <w:lang w:val="sq-AL"/>
        </w:rPr>
        <w:t>unifikues</w:t>
      </w:r>
      <w:proofErr w:type="spellEnd"/>
      <w:r w:rsidRPr="00E31272">
        <w:rPr>
          <w:rFonts w:ascii="Garamond" w:hAnsi="Garamond" w:cs="Times New Roman"/>
          <w:sz w:val="24"/>
          <w:szCs w:val="24"/>
          <w:lang w:val="sq-AL"/>
        </w:rPr>
        <w:t xml:space="preserve"> nr. 3/2016</w:t>
      </w:r>
      <w:r w:rsidR="00E31272">
        <w:rPr>
          <w:rFonts w:ascii="Garamond" w:hAnsi="Garamond" w:cs="Times New Roman"/>
          <w:sz w:val="24"/>
          <w:szCs w:val="24"/>
          <w:lang w:val="sq-AL"/>
        </w:rPr>
        <w:t>,</w:t>
      </w:r>
      <w:r w:rsidRPr="00E31272">
        <w:rPr>
          <w:rFonts w:ascii="Garamond" w:hAnsi="Garamond" w:cs="Times New Roman"/>
          <w:sz w:val="24"/>
          <w:szCs w:val="24"/>
          <w:lang w:val="sq-AL"/>
        </w:rPr>
        <w:t xml:space="preserve"> të Kolegjeve të Bashkuara.</w:t>
      </w:r>
    </w:p>
    <w:p w14:paraId="00B89199" w14:textId="3C2E46B6" w:rsidR="00015CA2" w:rsidRPr="00E31272" w:rsidRDefault="00015CA2" w:rsidP="00015CA2">
      <w:pPr>
        <w:pStyle w:val="ListParagraph"/>
        <w:tabs>
          <w:tab w:val="left" w:pos="980"/>
          <w:tab w:val="left" w:pos="1080"/>
        </w:tabs>
        <w:spacing w:after="0" w:line="240" w:lineRule="auto"/>
        <w:ind w:left="0" w:firstLine="284"/>
        <w:jc w:val="both"/>
        <w:rPr>
          <w:rFonts w:ascii="Garamond" w:hAnsi="Garamond" w:cs="Times New Roman"/>
          <w:sz w:val="24"/>
          <w:szCs w:val="24"/>
          <w:lang w:val="sq-AL"/>
        </w:rPr>
      </w:pPr>
      <w:r w:rsidRPr="00E31272">
        <w:rPr>
          <w:rFonts w:ascii="Garamond" w:hAnsi="Garamond" w:cs="Times New Roman"/>
          <w:sz w:val="24"/>
          <w:szCs w:val="24"/>
          <w:lang w:val="sq-AL"/>
        </w:rPr>
        <w:t>39. Kolegji Administrativ i Gjykatës së Lartë, me vendimin nr. 00-2024-4497, datë 22.10.2024, ka vendosur mospranimin e rekursit,</w:t>
      </w:r>
      <w:r w:rsidRPr="00E31272">
        <w:rPr>
          <w:rFonts w:ascii="Garamond" w:hAnsi="Garamond" w:cs="Times New Roman"/>
          <w:b/>
          <w:bCs/>
          <w:sz w:val="24"/>
          <w:szCs w:val="24"/>
          <w:lang w:val="sq-AL"/>
        </w:rPr>
        <w:t xml:space="preserve"> </w:t>
      </w:r>
      <w:r w:rsidRPr="00E31272">
        <w:rPr>
          <w:rFonts w:ascii="Garamond" w:hAnsi="Garamond" w:cs="Times New Roman"/>
          <w:sz w:val="24"/>
          <w:szCs w:val="24"/>
          <w:lang w:val="sq-AL"/>
        </w:rPr>
        <w:t>me arsyetimin se në të nuk ngriheshin shkaqe nga ato të parashikuara nga neni 58</w:t>
      </w:r>
      <w:r w:rsidR="00E31272">
        <w:rPr>
          <w:rFonts w:ascii="Garamond" w:hAnsi="Garamond" w:cs="Times New Roman"/>
          <w:sz w:val="24"/>
          <w:szCs w:val="24"/>
          <w:lang w:val="sq-AL"/>
        </w:rPr>
        <w:t>,</w:t>
      </w:r>
      <w:r w:rsidRPr="00E31272">
        <w:rPr>
          <w:rFonts w:ascii="Garamond" w:hAnsi="Garamond" w:cs="Times New Roman"/>
          <w:sz w:val="24"/>
          <w:szCs w:val="24"/>
          <w:lang w:val="sq-AL"/>
        </w:rPr>
        <w:t xml:space="preserve"> i ligjit nr. 49/2021. Sipas këtij kolegji, është detyrë e palës </w:t>
      </w:r>
      <w:proofErr w:type="spellStart"/>
      <w:r w:rsidRPr="00E31272">
        <w:rPr>
          <w:rFonts w:ascii="Garamond" w:hAnsi="Garamond" w:cs="Times New Roman"/>
          <w:sz w:val="24"/>
          <w:szCs w:val="24"/>
          <w:lang w:val="sq-AL"/>
        </w:rPr>
        <w:t>rekursuese</w:t>
      </w:r>
      <w:proofErr w:type="spellEnd"/>
      <w:r w:rsidRPr="00E31272">
        <w:rPr>
          <w:rFonts w:ascii="Garamond" w:hAnsi="Garamond" w:cs="Times New Roman"/>
          <w:sz w:val="24"/>
          <w:szCs w:val="24"/>
          <w:lang w:val="sq-AL"/>
        </w:rPr>
        <w:t xml:space="preserve"> të parashtrojë qartësisht dhe në mënyrë të plotë në rekurs shkaqet ligjore, duke argumentuar se përse është zbatuar në mënyrë të gabuar nga gjykata ligji material ose procedural dhe përse shkalla e shkeljes është e një rëndësie themelore për njësimin, sigurinë dhe/ose zhvillimin e praktikës gjyqësore, si dhe cilat janë ato shkelje të rënda procedurale që ndikojnë dukshëm në dhënien e vendimit. Po sipas kolegjit, nëse shkaqet ligjore nuk arrihen të parashtrohen dhe të argumentohen sipas kërkesave që ka neni 58</w:t>
      </w:r>
      <w:r w:rsidR="00E31272">
        <w:rPr>
          <w:rFonts w:ascii="Garamond" w:hAnsi="Garamond" w:cs="Times New Roman"/>
          <w:sz w:val="24"/>
          <w:szCs w:val="24"/>
          <w:lang w:val="sq-AL"/>
        </w:rPr>
        <w:t>,</w:t>
      </w:r>
      <w:r w:rsidRPr="00E31272">
        <w:rPr>
          <w:rFonts w:ascii="Garamond" w:hAnsi="Garamond" w:cs="Times New Roman"/>
          <w:sz w:val="24"/>
          <w:szCs w:val="24"/>
          <w:lang w:val="sq-AL"/>
        </w:rPr>
        <w:t xml:space="preserve"> i ligjit nr. 49/2012, atëherë Gjykata e Lartë është e detyruar të vendos mospranimin e rekursit. </w:t>
      </w:r>
    </w:p>
    <w:p w14:paraId="43B65D6B" w14:textId="70566D72" w:rsidR="00015CA2" w:rsidRPr="00E31272" w:rsidRDefault="00015CA2" w:rsidP="00015CA2">
      <w:pPr>
        <w:pStyle w:val="ListParagraph"/>
        <w:tabs>
          <w:tab w:val="left" w:pos="980"/>
          <w:tab w:val="left" w:pos="1080"/>
        </w:tabs>
        <w:spacing w:after="0" w:line="240" w:lineRule="auto"/>
        <w:ind w:left="0" w:firstLine="284"/>
        <w:jc w:val="both"/>
        <w:rPr>
          <w:rFonts w:ascii="Garamond" w:hAnsi="Garamond" w:cs="Times New Roman"/>
          <w:sz w:val="24"/>
          <w:szCs w:val="24"/>
          <w:lang w:val="sq-AL"/>
        </w:rPr>
      </w:pPr>
      <w:r w:rsidRPr="00E31272">
        <w:rPr>
          <w:rFonts w:ascii="Garamond" w:hAnsi="Garamond" w:cs="Times New Roman"/>
          <w:sz w:val="24"/>
          <w:szCs w:val="24"/>
          <w:lang w:val="sq-AL"/>
        </w:rPr>
        <w:t>40. Duke marrë në konsideratë rrethanat e rastit konkret dhe bazuar në standardet kushtetuese të mësipërme, Gjykata vëren se kërkuesit i ka lindur e drejta për pensi</w:t>
      </w:r>
      <w:r w:rsidR="00E31272">
        <w:rPr>
          <w:rFonts w:ascii="Garamond" w:hAnsi="Garamond" w:cs="Times New Roman"/>
          <w:sz w:val="24"/>
          <w:szCs w:val="24"/>
          <w:lang w:val="sq-AL"/>
        </w:rPr>
        <w:t>on të parakohshëm në datën 1.</w:t>
      </w:r>
      <w:r w:rsidRPr="00E31272">
        <w:rPr>
          <w:rFonts w:ascii="Garamond" w:hAnsi="Garamond" w:cs="Times New Roman"/>
          <w:sz w:val="24"/>
          <w:szCs w:val="24"/>
          <w:lang w:val="sq-AL"/>
        </w:rPr>
        <w:t>8.2005, moment në të cilin zbatohej ligji 9210/2004. Në pikën 3</w:t>
      </w:r>
      <w:r w:rsidR="00E31272">
        <w:rPr>
          <w:rFonts w:ascii="Garamond" w:hAnsi="Garamond" w:cs="Times New Roman"/>
          <w:sz w:val="24"/>
          <w:szCs w:val="24"/>
          <w:lang w:val="sq-AL"/>
        </w:rPr>
        <w:t>,</w:t>
      </w:r>
      <w:r w:rsidRPr="00E31272">
        <w:rPr>
          <w:rFonts w:ascii="Garamond" w:hAnsi="Garamond" w:cs="Times New Roman"/>
          <w:sz w:val="24"/>
          <w:szCs w:val="24"/>
          <w:lang w:val="sq-AL"/>
        </w:rPr>
        <w:t xml:space="preserve"> të nenit 35</w:t>
      </w:r>
      <w:r w:rsidR="00E31272">
        <w:rPr>
          <w:rFonts w:ascii="Garamond" w:hAnsi="Garamond" w:cs="Times New Roman"/>
          <w:sz w:val="24"/>
          <w:szCs w:val="24"/>
          <w:lang w:val="sq-AL"/>
        </w:rPr>
        <w:t>,</w:t>
      </w:r>
      <w:r w:rsidRPr="00E31272">
        <w:rPr>
          <w:rFonts w:ascii="Garamond" w:hAnsi="Garamond" w:cs="Times New Roman"/>
          <w:sz w:val="24"/>
          <w:szCs w:val="24"/>
          <w:lang w:val="sq-AL"/>
        </w:rPr>
        <w:t xml:space="preserve"> të këtij ligji ishte </w:t>
      </w:r>
      <w:r w:rsidRPr="00E31272">
        <w:rPr>
          <w:rFonts w:ascii="Garamond" w:hAnsi="Garamond" w:cs="Times New Roman"/>
          <w:sz w:val="24"/>
          <w:szCs w:val="24"/>
          <w:lang w:val="sq-AL"/>
        </w:rPr>
        <w:lastRenderedPageBreak/>
        <w:t>përcaktuar se kriteret dhe kushtet e përfitimit të pensionit të parakohshëm për vjetërsi shërbimi përcaktoheshin në ligjin nr. 8087/1996, të ndryshuar me ligjin nr. 8521/1999. Në nenin 11 të ligjit të fundit parashikohej se masa e pensionit të parakohshëm për vjetërsi shërbimi ishte 50% e pagës referuese mbi të cilën ishte derdhur kontributi dhe për çdo vit tjetër të vjetërsisë së shërbimit mbi përcaktimin e mësipërm, masa e pensionit shtohej me 2% të pagës referuese, por jo më shumë se masa e pensionit maksimal të pleqërisë në shkallë vendi. Ndërkohë, për shkak të shfuqizimit me ligjin nr. 9210/2004</w:t>
      </w:r>
      <w:r w:rsidR="00E31272">
        <w:rPr>
          <w:rFonts w:ascii="Garamond" w:hAnsi="Garamond" w:cs="Times New Roman"/>
          <w:sz w:val="24"/>
          <w:szCs w:val="24"/>
          <w:lang w:val="sq-AL"/>
        </w:rPr>
        <w:t>,</w:t>
      </w:r>
      <w:r w:rsidRPr="00E31272">
        <w:rPr>
          <w:rFonts w:ascii="Garamond" w:hAnsi="Garamond" w:cs="Times New Roman"/>
          <w:sz w:val="24"/>
          <w:szCs w:val="24"/>
          <w:lang w:val="sq-AL"/>
        </w:rPr>
        <w:t xml:space="preserve"> të tavanit të masës së pensionit maksimal të pleqërisë, por edhe të vendimmarrjeve të gjykatave të juridiksionit të zakonshëm gjatë procesit të parë gjyqësor, kërkuesi kishte pritshmëri të ligjshme se ai do të përfitonte nga ky shfuqizim, pra se ndaj atij nuk do të zbatohej ky kufizim në masën e pensionit të parakohshëm të paktën deri në momentin e hyrjes në fuqi të ligjit nr. 10142/2009.</w:t>
      </w:r>
    </w:p>
    <w:p w14:paraId="462AAC9C" w14:textId="3EB1A759" w:rsidR="00015CA2" w:rsidRPr="00E31272" w:rsidRDefault="00015CA2" w:rsidP="00015CA2">
      <w:pPr>
        <w:pStyle w:val="ListParagraph"/>
        <w:tabs>
          <w:tab w:val="left" w:pos="700"/>
          <w:tab w:val="left" w:pos="1080"/>
        </w:tabs>
        <w:spacing w:after="0" w:line="240" w:lineRule="auto"/>
        <w:ind w:left="0" w:firstLine="284"/>
        <w:jc w:val="both"/>
        <w:rPr>
          <w:rFonts w:ascii="Garamond" w:hAnsi="Garamond" w:cs="Times New Roman"/>
          <w:sz w:val="24"/>
          <w:szCs w:val="24"/>
          <w:lang w:val="sq-AL"/>
        </w:rPr>
      </w:pPr>
      <w:r w:rsidRPr="00E31272">
        <w:rPr>
          <w:rFonts w:ascii="Garamond" w:hAnsi="Garamond" w:cs="Times New Roman"/>
          <w:sz w:val="24"/>
          <w:szCs w:val="24"/>
          <w:lang w:val="sq-AL"/>
        </w:rPr>
        <w:t>41. Nisur nga sa më sipër, për sa i përket periudhës së përfitimit nga kërkuesi të pensioni</w:t>
      </w:r>
      <w:r w:rsidR="00E31272">
        <w:rPr>
          <w:rFonts w:ascii="Garamond" w:hAnsi="Garamond" w:cs="Times New Roman"/>
          <w:sz w:val="24"/>
          <w:szCs w:val="24"/>
          <w:lang w:val="sq-AL"/>
        </w:rPr>
        <w:t>t të parakohshëm deri në datën 1.</w:t>
      </w:r>
      <w:r w:rsidRPr="00E31272">
        <w:rPr>
          <w:rFonts w:ascii="Garamond" w:hAnsi="Garamond" w:cs="Times New Roman"/>
          <w:sz w:val="24"/>
          <w:szCs w:val="24"/>
          <w:lang w:val="sq-AL"/>
        </w:rPr>
        <w:t>7.2009, Gjykata, në linjë edhe me vendimmarrjen e mëparshme të saj, vëren se pavarësisht shfuqizimit të tavanit maksimal të pensionit të parakohshëm me nenin 49 të ligjit nr. 9210/2004, Gjykata Administrative e Apelit nuk e ka përllogaritur masën e pensionit sipas parashikimit ligjor në fuqi për atë periudhë, por ka përcaktuar se masa e përgjithshme e pensionit të parakohshëm nuk mund të kalojë masën e pensionit maksimal të pleqërisë në shkallë vendi, duke vlerësuar se ligji nr. 9210/2004</w:t>
      </w:r>
      <w:r w:rsidR="00E31272">
        <w:rPr>
          <w:rFonts w:ascii="Garamond" w:hAnsi="Garamond" w:cs="Times New Roman"/>
          <w:sz w:val="24"/>
          <w:szCs w:val="24"/>
          <w:lang w:val="sq-AL"/>
        </w:rPr>
        <w:t>,</w:t>
      </w:r>
      <w:r w:rsidRPr="00E31272">
        <w:rPr>
          <w:rFonts w:ascii="Garamond" w:hAnsi="Garamond" w:cs="Times New Roman"/>
          <w:sz w:val="24"/>
          <w:szCs w:val="24"/>
          <w:lang w:val="sq-AL"/>
        </w:rPr>
        <w:t xml:space="preserve"> nuk mund të zbatohej për mungesë të daljes së akteve nënligjore për zbatimin e tij.</w:t>
      </w:r>
    </w:p>
    <w:p w14:paraId="6E2CC0B3" w14:textId="2329E20C" w:rsidR="00015CA2" w:rsidRPr="00E31272" w:rsidRDefault="00015CA2" w:rsidP="00015CA2">
      <w:pPr>
        <w:pStyle w:val="ListParagraph"/>
        <w:tabs>
          <w:tab w:val="left" w:pos="700"/>
          <w:tab w:val="left" w:pos="1080"/>
        </w:tabs>
        <w:spacing w:after="0" w:line="240" w:lineRule="auto"/>
        <w:ind w:left="0" w:firstLine="284"/>
        <w:jc w:val="both"/>
        <w:rPr>
          <w:rFonts w:ascii="Garamond" w:hAnsi="Garamond" w:cs="Times New Roman"/>
          <w:sz w:val="24"/>
          <w:szCs w:val="24"/>
          <w:lang w:val="sq-AL"/>
        </w:rPr>
      </w:pPr>
      <w:r w:rsidRPr="00E31272">
        <w:rPr>
          <w:rFonts w:ascii="Garamond" w:hAnsi="Garamond" w:cs="Times New Roman"/>
          <w:sz w:val="24"/>
          <w:szCs w:val="24"/>
          <w:lang w:val="sq-AL"/>
        </w:rPr>
        <w:t>42. Duke arsyetuar si më lart, Gjykata Administrative e Apelit nuk duket se ka mbajtur parasysh rregullimet e nenit 37, pika 1, të ligjit nr. 49/2012, sipas të cilit gjykata e shqyrton ligjshmërinë e veprimit administrativ që kundërshtohet në bazë të situatës ligjore dhe faktike që ekzistonte në kohën e kryerjes së veprimit konkret administrativ, duke mos marrë në konsideratë përllogaritjen e masës së pensionit, kushtet dhe kriteret, sipas parashikimeve ligjore në fuqi për atë periudhë. Prandaj, në vlerësimin e Gjykatës vendimi i gjykatës së apelit nuk duket se ka përmbushur konceptin e një gjykimi të drejtë në kuptim të parashikimit të nenit 42 të Kushtetutës.</w:t>
      </w:r>
    </w:p>
    <w:p w14:paraId="45E97FAC" w14:textId="3B81AF5B" w:rsidR="00015CA2" w:rsidRPr="00E31272" w:rsidRDefault="00015CA2" w:rsidP="00015CA2">
      <w:pPr>
        <w:pStyle w:val="ListParagraph"/>
        <w:tabs>
          <w:tab w:val="left" w:pos="700"/>
          <w:tab w:val="left" w:pos="1080"/>
        </w:tabs>
        <w:spacing w:after="0" w:line="240" w:lineRule="auto"/>
        <w:ind w:left="0" w:firstLine="284"/>
        <w:jc w:val="both"/>
        <w:rPr>
          <w:rFonts w:ascii="Garamond" w:hAnsi="Garamond" w:cs="Times New Roman"/>
          <w:sz w:val="24"/>
          <w:szCs w:val="24"/>
          <w:lang w:val="sq-AL"/>
        </w:rPr>
      </w:pPr>
      <w:r w:rsidRPr="00E31272">
        <w:rPr>
          <w:rFonts w:ascii="Garamond" w:hAnsi="Garamond" w:cs="Times New Roman"/>
          <w:sz w:val="24"/>
          <w:szCs w:val="24"/>
          <w:lang w:val="sq-AL"/>
        </w:rPr>
        <w:t>43. Nga ana tjetër, Gjykata vëren se përmbajtja e ligjit nr. 9210/2004, si dhe mënyra e interpretimit të tij nga gjykata e apelit nuk rezultojnë të jenë analizuar nga Gjykata e Lartë. Gjithashtu, ajo nuk shprehet pse në rastin në shqyrtim kishte vend për zbatimin e vendimi</w:t>
      </w:r>
      <w:r w:rsidR="00E31272">
        <w:rPr>
          <w:rFonts w:ascii="Garamond" w:hAnsi="Garamond" w:cs="Times New Roman"/>
          <w:sz w:val="24"/>
          <w:szCs w:val="24"/>
          <w:lang w:val="sq-AL"/>
        </w:rPr>
        <w:t xml:space="preserve">t </w:t>
      </w:r>
      <w:proofErr w:type="spellStart"/>
      <w:r w:rsidR="00E31272">
        <w:rPr>
          <w:rFonts w:ascii="Garamond" w:hAnsi="Garamond" w:cs="Times New Roman"/>
          <w:sz w:val="24"/>
          <w:szCs w:val="24"/>
          <w:lang w:val="sq-AL"/>
        </w:rPr>
        <w:t>unifikues</w:t>
      </w:r>
      <w:proofErr w:type="spellEnd"/>
      <w:r w:rsidR="00E31272">
        <w:rPr>
          <w:rFonts w:ascii="Garamond" w:hAnsi="Garamond" w:cs="Times New Roman"/>
          <w:sz w:val="24"/>
          <w:szCs w:val="24"/>
          <w:lang w:val="sq-AL"/>
        </w:rPr>
        <w:t xml:space="preserve"> edhe për periudhën 1.5.2009–1.</w:t>
      </w:r>
      <w:r w:rsidRPr="00E31272">
        <w:rPr>
          <w:rFonts w:ascii="Garamond" w:hAnsi="Garamond" w:cs="Times New Roman"/>
          <w:sz w:val="24"/>
          <w:szCs w:val="24"/>
          <w:lang w:val="sq-AL"/>
        </w:rPr>
        <w:t xml:space="preserve">7.2009, si dhe përse ligji i identifikuar si i zbatueshëm për këtë periudhë vijon të përmbajë kufizim të masës së pensionit të parakohshëm (jo më shumë se masa e pensionit maksimal të pleqërisë në shkallë vendi), në një kohë kur ky kufizim është shfuqizuar. Në këtë drejtim, nuk duket se Gjykata e Lartë u ka dhënë përgjigje shkaqeve të paraqitura në rekurs lidhur me </w:t>
      </w:r>
      <w:proofErr w:type="spellStart"/>
      <w:r w:rsidRPr="00E31272">
        <w:rPr>
          <w:rFonts w:ascii="Garamond" w:hAnsi="Garamond" w:cs="Times New Roman"/>
          <w:sz w:val="24"/>
          <w:szCs w:val="24"/>
          <w:lang w:val="sq-AL"/>
        </w:rPr>
        <w:t>zbatueshmërinë</w:t>
      </w:r>
      <w:proofErr w:type="spellEnd"/>
      <w:r w:rsidRPr="00E31272">
        <w:rPr>
          <w:rFonts w:ascii="Garamond" w:hAnsi="Garamond" w:cs="Times New Roman"/>
          <w:sz w:val="24"/>
          <w:szCs w:val="24"/>
          <w:lang w:val="sq-AL"/>
        </w:rPr>
        <w:t xml:space="preserve"> e kritereve ligjore të parashikuara nga ligji nr. 8087/1996, i ndryshuar me ligjin nr. 8521/199</w:t>
      </w:r>
      <w:r w:rsidR="00793304">
        <w:rPr>
          <w:rFonts w:ascii="Garamond" w:hAnsi="Garamond" w:cs="Times New Roman"/>
          <w:sz w:val="24"/>
          <w:szCs w:val="24"/>
          <w:lang w:val="sq-AL"/>
        </w:rPr>
        <w:t>9, për periudhën 1.5.2009–1.</w:t>
      </w:r>
      <w:r w:rsidRPr="00E31272">
        <w:rPr>
          <w:rFonts w:ascii="Garamond" w:hAnsi="Garamond" w:cs="Times New Roman"/>
          <w:sz w:val="24"/>
          <w:szCs w:val="24"/>
          <w:lang w:val="sq-AL"/>
        </w:rPr>
        <w:t>7.2009, si pasojë e shfuqizimit me ligjin nr. 9210/2004 të masës së tavanit të pensionit të parakohshëm apo se ajo (Gjykata e Lartë) ka dhënë mjaftueshëm argumente për identifikimin e ligjit të zbatueshëm dhe për mënyrën e interpretimit të tij nga gjykata e  apelit.</w:t>
      </w:r>
    </w:p>
    <w:p w14:paraId="29D3D203" w14:textId="4399DEFC" w:rsidR="00015CA2" w:rsidRPr="00E31272" w:rsidRDefault="00015CA2" w:rsidP="00015CA2">
      <w:pPr>
        <w:pStyle w:val="ListParagraph"/>
        <w:tabs>
          <w:tab w:val="left" w:pos="700"/>
          <w:tab w:val="left" w:pos="1080"/>
        </w:tabs>
        <w:spacing w:after="0" w:line="240" w:lineRule="auto"/>
        <w:ind w:left="0" w:firstLine="284"/>
        <w:jc w:val="both"/>
        <w:rPr>
          <w:rFonts w:ascii="Garamond" w:hAnsi="Garamond" w:cs="Times New Roman"/>
          <w:sz w:val="24"/>
          <w:szCs w:val="24"/>
          <w:lang w:val="sq-AL"/>
        </w:rPr>
      </w:pPr>
      <w:r w:rsidRPr="00E31272">
        <w:rPr>
          <w:rFonts w:ascii="Garamond" w:hAnsi="Garamond" w:cs="Times New Roman"/>
          <w:sz w:val="24"/>
          <w:szCs w:val="24"/>
          <w:lang w:val="sq-AL"/>
        </w:rPr>
        <w:t>44. Nisur nga sa më lart, Gjykata vlerëson se Gjykata e Lartë, si gjykatë ligji, duhet t’u kthente përgjigje pretendimeve të kërkuesit për ligjin e zbatueshëm dhe kriteret e përcaktimit të pensionit të parakohshëm për vjetërsi shërbimi. Pra, ajo gjykatë nuk mund të mjaftohej me një arsyetim të kufizuar, por duhet të mbante qëndrim dhe të arsyetonte qoftë për sa i përket ligjit të zbatueshëm, ashtu edhe në veçanti nëse kufizimi “jo më shumë se masa e pensionit maksimal të pleqërisë në shkallë vendi” pë</w:t>
      </w:r>
      <w:r w:rsidR="00793304">
        <w:rPr>
          <w:rFonts w:ascii="Garamond" w:hAnsi="Garamond" w:cs="Times New Roman"/>
          <w:sz w:val="24"/>
          <w:szCs w:val="24"/>
          <w:lang w:val="sq-AL"/>
        </w:rPr>
        <w:t>rfshinte edhe periudhën kohore 1.5.2009–1.</w:t>
      </w:r>
      <w:r w:rsidRPr="00E31272">
        <w:rPr>
          <w:rFonts w:ascii="Garamond" w:hAnsi="Garamond" w:cs="Times New Roman"/>
          <w:sz w:val="24"/>
          <w:szCs w:val="24"/>
          <w:lang w:val="sq-AL"/>
        </w:rPr>
        <w:t xml:space="preserve">7.2009. Prandaj vendimi i saj nuk plotëson kërkesat për një gjykim të drejtë në drejtim të standardit të arsyetimit të vendimit gjyqësor, duke i cenuar kërkuesit edhe parimin e sigurisë juridike në drejtim të së drejtës për pension të parakohshëm të fituar prej tij nga ligji, </w:t>
      </w:r>
      <w:r w:rsidR="00793304">
        <w:rPr>
          <w:rFonts w:ascii="Garamond" w:hAnsi="Garamond" w:cs="Times New Roman"/>
          <w:sz w:val="24"/>
          <w:szCs w:val="24"/>
          <w:lang w:val="sq-AL"/>
        </w:rPr>
        <w:t>të paktën për periudhën kohore 1.5.2009–1.</w:t>
      </w:r>
      <w:r w:rsidRPr="00E31272">
        <w:rPr>
          <w:rFonts w:ascii="Garamond" w:hAnsi="Garamond" w:cs="Times New Roman"/>
          <w:sz w:val="24"/>
          <w:szCs w:val="24"/>
          <w:lang w:val="sq-AL"/>
        </w:rPr>
        <w:t xml:space="preserve">7.2009. Në këto kushte, Gjykata, nisur edhe nga roli </w:t>
      </w:r>
      <w:proofErr w:type="spellStart"/>
      <w:r w:rsidRPr="00E31272">
        <w:rPr>
          <w:rFonts w:ascii="Garamond" w:hAnsi="Garamond" w:cs="Times New Roman"/>
          <w:sz w:val="24"/>
          <w:szCs w:val="24"/>
          <w:lang w:val="sq-AL"/>
        </w:rPr>
        <w:t>subsidiar</w:t>
      </w:r>
      <w:proofErr w:type="spellEnd"/>
      <w:r w:rsidRPr="00E31272">
        <w:rPr>
          <w:rFonts w:ascii="Garamond" w:hAnsi="Garamond" w:cs="Times New Roman"/>
          <w:sz w:val="24"/>
          <w:szCs w:val="24"/>
          <w:lang w:val="sq-AL"/>
        </w:rPr>
        <w:t xml:space="preserve"> i saj në respektimin e të drejtave dhe lirive themelore të njeriut, vlerëson se i përket Gjykatës së Lartë të kontrollojë ligjshmërinë e vendimmarrjes së gjykatave të faktit për interpretimin e ligjit material prej tyre, prandaj duhet të shfuqizohet vetëm vendimi i saj.</w:t>
      </w:r>
    </w:p>
    <w:p w14:paraId="3E2C7F7A" w14:textId="639D741E" w:rsidR="00015CA2" w:rsidRPr="00E31272" w:rsidRDefault="00015CA2" w:rsidP="00015CA2">
      <w:pPr>
        <w:pStyle w:val="ListParagraph"/>
        <w:tabs>
          <w:tab w:val="left" w:pos="980"/>
          <w:tab w:val="left" w:pos="1080"/>
        </w:tabs>
        <w:spacing w:after="0" w:line="240" w:lineRule="auto"/>
        <w:ind w:left="0" w:firstLine="284"/>
        <w:jc w:val="both"/>
        <w:rPr>
          <w:rFonts w:ascii="Garamond" w:hAnsi="Garamond" w:cs="Times New Roman"/>
          <w:sz w:val="24"/>
          <w:szCs w:val="24"/>
          <w:lang w:val="sq-AL"/>
        </w:rPr>
      </w:pPr>
      <w:r w:rsidRPr="00E31272">
        <w:rPr>
          <w:rFonts w:ascii="Garamond" w:hAnsi="Garamond" w:cs="Times New Roman"/>
          <w:sz w:val="24"/>
          <w:szCs w:val="24"/>
          <w:lang w:val="sq-AL"/>
        </w:rPr>
        <w:lastRenderedPageBreak/>
        <w:t>45. Po kështu, Gjykata vëren se kërkuesi ka ngritur pretendime e</w:t>
      </w:r>
      <w:r w:rsidR="00793304">
        <w:rPr>
          <w:rFonts w:ascii="Garamond" w:hAnsi="Garamond" w:cs="Times New Roman"/>
          <w:sz w:val="24"/>
          <w:szCs w:val="24"/>
          <w:lang w:val="sq-AL"/>
        </w:rPr>
        <w:t>dhe për periudhën pas datës 1.</w:t>
      </w:r>
      <w:r w:rsidRPr="00E31272">
        <w:rPr>
          <w:rFonts w:ascii="Garamond" w:hAnsi="Garamond" w:cs="Times New Roman"/>
          <w:sz w:val="24"/>
          <w:szCs w:val="24"/>
          <w:lang w:val="sq-AL"/>
        </w:rPr>
        <w:t>7.2009, pas hyrjes në fuqi të ligjit</w:t>
      </w:r>
      <w:r w:rsidR="00793304">
        <w:rPr>
          <w:rFonts w:ascii="Garamond" w:hAnsi="Garamond" w:cs="Times New Roman"/>
          <w:sz w:val="24"/>
          <w:szCs w:val="24"/>
          <w:lang w:val="sq-AL"/>
        </w:rPr>
        <w:t xml:space="preserve"> nr. 10142/2009, deri në datën 4.</w:t>
      </w:r>
      <w:r w:rsidRPr="00E31272">
        <w:rPr>
          <w:rFonts w:ascii="Garamond" w:hAnsi="Garamond" w:cs="Times New Roman"/>
          <w:sz w:val="24"/>
          <w:szCs w:val="24"/>
          <w:lang w:val="sq-AL"/>
        </w:rPr>
        <w:t>3.2013 (</w:t>
      </w:r>
      <w:r w:rsidRPr="00E31272">
        <w:rPr>
          <w:rFonts w:ascii="Garamond" w:hAnsi="Garamond" w:cs="Times New Roman"/>
          <w:i/>
          <w:iCs/>
          <w:sz w:val="24"/>
          <w:szCs w:val="24"/>
          <w:lang w:val="sq-AL"/>
        </w:rPr>
        <w:t>datë kur ka hyrë në fuqi vendimi nr. 2/2013 i Gjykatës</w:t>
      </w:r>
      <w:r w:rsidRPr="00E31272">
        <w:rPr>
          <w:rFonts w:ascii="Garamond" w:hAnsi="Garamond" w:cs="Times New Roman"/>
          <w:sz w:val="24"/>
          <w:szCs w:val="24"/>
          <w:lang w:val="sq-AL"/>
        </w:rPr>
        <w:t>). Lidhur me këto pretendime të kërkuesit, Gjykata, sikurse është shprehur edhe më parë (</w:t>
      </w:r>
      <w:r w:rsidRPr="00E31272">
        <w:rPr>
          <w:rFonts w:ascii="Garamond" w:hAnsi="Garamond" w:cs="Times New Roman"/>
          <w:i/>
          <w:iCs/>
          <w:sz w:val="24"/>
          <w:szCs w:val="24"/>
          <w:lang w:val="sq-AL"/>
        </w:rPr>
        <w:t>shih vendimin nr. 59, datë 16.10.2025</w:t>
      </w:r>
      <w:r w:rsidR="00793304">
        <w:rPr>
          <w:rFonts w:ascii="Garamond" w:hAnsi="Garamond" w:cs="Times New Roman"/>
          <w:i/>
          <w:iCs/>
          <w:sz w:val="24"/>
          <w:szCs w:val="24"/>
          <w:lang w:val="sq-AL"/>
        </w:rPr>
        <w:t>,</w:t>
      </w:r>
      <w:r w:rsidRPr="00E31272">
        <w:rPr>
          <w:rFonts w:ascii="Garamond" w:hAnsi="Garamond" w:cs="Times New Roman"/>
          <w:i/>
          <w:iCs/>
          <w:sz w:val="24"/>
          <w:szCs w:val="24"/>
          <w:lang w:val="sq-AL"/>
        </w:rPr>
        <w:t xml:space="preserve"> të Gjykatës Kushtetuese</w:t>
      </w:r>
      <w:r w:rsidRPr="00E31272">
        <w:rPr>
          <w:rFonts w:ascii="Garamond" w:hAnsi="Garamond" w:cs="Times New Roman"/>
          <w:sz w:val="24"/>
          <w:szCs w:val="24"/>
          <w:lang w:val="sq-AL"/>
        </w:rPr>
        <w:t>), vëren se interpretimi i nenit 29</w:t>
      </w:r>
      <w:r w:rsidR="00793304">
        <w:rPr>
          <w:rFonts w:ascii="Garamond" w:hAnsi="Garamond" w:cs="Times New Roman"/>
          <w:sz w:val="24"/>
          <w:szCs w:val="24"/>
          <w:lang w:val="sq-AL"/>
        </w:rPr>
        <w:t>,</w:t>
      </w:r>
      <w:r w:rsidRPr="00E31272">
        <w:rPr>
          <w:rFonts w:ascii="Garamond" w:hAnsi="Garamond" w:cs="Times New Roman"/>
          <w:sz w:val="24"/>
          <w:szCs w:val="24"/>
          <w:lang w:val="sq-AL"/>
        </w:rPr>
        <w:t xml:space="preserve"> të ligjit nr. 10142/2009, për periudhën pas hyrjes në fuqi</w:t>
      </w:r>
      <w:r w:rsidR="00793304">
        <w:rPr>
          <w:rFonts w:ascii="Garamond" w:hAnsi="Garamond" w:cs="Times New Roman"/>
          <w:sz w:val="24"/>
          <w:szCs w:val="24"/>
          <w:lang w:val="sq-AL"/>
        </w:rPr>
        <w:t xml:space="preserve"> të këtij ligji, pra pas datës 1.</w:t>
      </w:r>
      <w:r w:rsidRPr="00E31272">
        <w:rPr>
          <w:rFonts w:ascii="Garamond" w:hAnsi="Garamond" w:cs="Times New Roman"/>
          <w:sz w:val="24"/>
          <w:szCs w:val="24"/>
          <w:lang w:val="sq-AL"/>
        </w:rPr>
        <w:t>7.2009, nga gjykata e apelit dhe pranimi i tij nga Gjykata e Lartë nuk duket i paarsyeshëm dhe që të bjerë ndesh me jurisprudencën e Gjykatës, pra i tillë që e bën gjykimin të padrejtë. Prandaj, pretendimet e kërkuesit në lidhje me të drejtën e pensioni</w:t>
      </w:r>
      <w:r w:rsidR="00793304">
        <w:rPr>
          <w:rFonts w:ascii="Garamond" w:hAnsi="Garamond" w:cs="Times New Roman"/>
          <w:sz w:val="24"/>
          <w:szCs w:val="24"/>
          <w:lang w:val="sq-AL"/>
        </w:rPr>
        <w:t>t të parakohshëm për periudhën 1.7.2009–4.</w:t>
      </w:r>
      <w:r w:rsidRPr="00E31272">
        <w:rPr>
          <w:rFonts w:ascii="Garamond" w:hAnsi="Garamond" w:cs="Times New Roman"/>
          <w:sz w:val="24"/>
          <w:szCs w:val="24"/>
          <w:lang w:val="sq-AL"/>
        </w:rPr>
        <w:t>3.2013</w:t>
      </w:r>
      <w:r w:rsidR="00793304">
        <w:rPr>
          <w:rFonts w:ascii="Garamond" w:hAnsi="Garamond" w:cs="Times New Roman"/>
          <w:sz w:val="24"/>
          <w:szCs w:val="24"/>
          <w:lang w:val="sq-AL"/>
        </w:rPr>
        <w:t>,</w:t>
      </w:r>
      <w:r w:rsidRPr="00E31272">
        <w:rPr>
          <w:rFonts w:ascii="Garamond" w:hAnsi="Garamond" w:cs="Times New Roman"/>
          <w:sz w:val="24"/>
          <w:szCs w:val="24"/>
          <w:lang w:val="sq-AL"/>
        </w:rPr>
        <w:t xml:space="preserve"> janë të pabazuara.</w:t>
      </w:r>
    </w:p>
    <w:p w14:paraId="4C23429D" w14:textId="0C7E9E48" w:rsidR="00015CA2" w:rsidRPr="00E31272" w:rsidRDefault="00015CA2" w:rsidP="00015CA2">
      <w:pPr>
        <w:pStyle w:val="ListParagraph"/>
        <w:tabs>
          <w:tab w:val="left" w:pos="980"/>
          <w:tab w:val="left" w:pos="1080"/>
        </w:tabs>
        <w:spacing w:after="0" w:line="240" w:lineRule="auto"/>
        <w:ind w:left="0" w:firstLine="284"/>
        <w:jc w:val="both"/>
        <w:rPr>
          <w:rFonts w:ascii="Garamond" w:hAnsi="Garamond" w:cs="Times New Roman"/>
          <w:sz w:val="24"/>
          <w:szCs w:val="24"/>
          <w:lang w:val="sq-AL"/>
        </w:rPr>
      </w:pPr>
      <w:r w:rsidRPr="00E31272">
        <w:rPr>
          <w:rFonts w:ascii="Garamond" w:hAnsi="Garamond" w:cs="Times New Roman"/>
          <w:sz w:val="24"/>
          <w:szCs w:val="24"/>
          <w:lang w:val="sq-AL"/>
        </w:rPr>
        <w:t xml:space="preserve">46. Në përfundim, Gjykata çmon se, sipas arsyetimit të mësipërm të këtij vendimi, kërkesa është e bazuar, ndaj ajo pranohet </w:t>
      </w:r>
      <w:r w:rsidRPr="00E31272">
        <w:rPr>
          <w:rFonts w:ascii="Garamond" w:hAnsi="Garamond" w:cs="Times New Roman"/>
          <w:color w:val="222222"/>
          <w:sz w:val="24"/>
          <w:szCs w:val="24"/>
          <w:lang w:val="sq-AL"/>
        </w:rPr>
        <w:t>pjesërisht.</w:t>
      </w:r>
    </w:p>
    <w:p w14:paraId="7FBF4BF6" w14:textId="77777777" w:rsidR="00015CA2" w:rsidRPr="00E31272" w:rsidRDefault="00015CA2" w:rsidP="00015CA2">
      <w:pPr>
        <w:tabs>
          <w:tab w:val="left" w:pos="1080"/>
        </w:tabs>
        <w:spacing w:after="0" w:line="240" w:lineRule="auto"/>
        <w:ind w:firstLine="284"/>
        <w:rPr>
          <w:rFonts w:ascii="Garamond" w:hAnsi="Garamond" w:cs="Times New Roman"/>
          <w:b/>
          <w:bCs/>
          <w:sz w:val="24"/>
          <w:szCs w:val="24"/>
        </w:rPr>
      </w:pPr>
    </w:p>
    <w:p w14:paraId="68D20EC8" w14:textId="77777777" w:rsidR="00015CA2" w:rsidRPr="00E31272" w:rsidRDefault="00015CA2" w:rsidP="00015CA2">
      <w:pPr>
        <w:tabs>
          <w:tab w:val="left" w:pos="1080"/>
        </w:tabs>
        <w:spacing w:after="0" w:line="240" w:lineRule="auto"/>
        <w:ind w:firstLine="284"/>
        <w:jc w:val="center"/>
        <w:rPr>
          <w:rFonts w:ascii="Garamond" w:hAnsi="Garamond" w:cs="Times New Roman"/>
          <w:sz w:val="24"/>
          <w:szCs w:val="24"/>
        </w:rPr>
      </w:pPr>
      <w:r w:rsidRPr="00E31272">
        <w:rPr>
          <w:rFonts w:ascii="Garamond" w:hAnsi="Garamond" w:cs="Times New Roman"/>
          <w:bCs/>
          <w:sz w:val="24"/>
          <w:szCs w:val="24"/>
        </w:rPr>
        <w:t>PËR KËTO ARSYE,</w:t>
      </w:r>
    </w:p>
    <w:p w14:paraId="0A8496E6" w14:textId="77777777" w:rsidR="00BC10C4" w:rsidRPr="00E31272" w:rsidRDefault="00BC10C4" w:rsidP="00015CA2">
      <w:pPr>
        <w:tabs>
          <w:tab w:val="left" w:pos="1080"/>
        </w:tabs>
        <w:spacing w:after="0" w:line="240" w:lineRule="auto"/>
        <w:ind w:firstLine="284"/>
        <w:jc w:val="both"/>
        <w:rPr>
          <w:rFonts w:ascii="Garamond" w:hAnsi="Garamond" w:cs="Times New Roman"/>
          <w:sz w:val="24"/>
          <w:szCs w:val="24"/>
        </w:rPr>
      </w:pPr>
    </w:p>
    <w:p w14:paraId="5D8DF695" w14:textId="4C973430" w:rsidR="00015CA2" w:rsidRPr="00E31272" w:rsidRDefault="00015CA2" w:rsidP="00015CA2">
      <w:pPr>
        <w:tabs>
          <w:tab w:val="left" w:pos="1080"/>
        </w:tabs>
        <w:spacing w:after="0" w:line="240" w:lineRule="auto"/>
        <w:ind w:firstLine="284"/>
        <w:jc w:val="both"/>
        <w:rPr>
          <w:rFonts w:ascii="Garamond" w:hAnsi="Garamond" w:cs="Times New Roman"/>
          <w:sz w:val="24"/>
          <w:szCs w:val="24"/>
        </w:rPr>
      </w:pPr>
      <w:r w:rsidRPr="00E31272">
        <w:rPr>
          <w:rFonts w:ascii="Garamond" w:hAnsi="Garamond" w:cs="Times New Roman"/>
          <w:sz w:val="24"/>
          <w:szCs w:val="24"/>
        </w:rPr>
        <w:t>Gjykata Kushtetuese, në mbështetje të neneve 131, pika 1, shkronja “f” dhe 134, pika 1, shkronja “i”, të Kushtetutës, si dhe nenit 72</w:t>
      </w:r>
      <w:r w:rsidR="00793304">
        <w:rPr>
          <w:rFonts w:ascii="Garamond" w:hAnsi="Garamond" w:cs="Times New Roman"/>
          <w:sz w:val="24"/>
          <w:szCs w:val="24"/>
        </w:rPr>
        <w:t>,</w:t>
      </w:r>
      <w:r w:rsidRPr="00E31272">
        <w:rPr>
          <w:rFonts w:ascii="Garamond" w:hAnsi="Garamond" w:cs="Times New Roman"/>
          <w:sz w:val="24"/>
          <w:szCs w:val="24"/>
        </w:rPr>
        <w:t xml:space="preserve"> të ligjit nr. </w:t>
      </w:r>
      <w:r w:rsidR="00793304">
        <w:rPr>
          <w:rFonts w:ascii="Garamond" w:hAnsi="Garamond" w:cs="Times New Roman"/>
          <w:sz w:val="24"/>
          <w:szCs w:val="24"/>
        </w:rPr>
        <w:t>8577, datë 10.</w:t>
      </w:r>
      <w:r w:rsidRPr="00E31272">
        <w:rPr>
          <w:rFonts w:ascii="Garamond" w:hAnsi="Garamond" w:cs="Times New Roman"/>
          <w:sz w:val="24"/>
          <w:szCs w:val="24"/>
        </w:rPr>
        <w:t>2.2000</w:t>
      </w:r>
      <w:r w:rsidR="00793304">
        <w:rPr>
          <w:rFonts w:ascii="Garamond" w:hAnsi="Garamond" w:cs="Times New Roman"/>
          <w:sz w:val="24"/>
          <w:szCs w:val="24"/>
        </w:rPr>
        <w:t>,</w:t>
      </w:r>
      <w:r w:rsidRPr="00E31272">
        <w:rPr>
          <w:rFonts w:ascii="Garamond" w:hAnsi="Garamond" w:cs="Times New Roman"/>
          <w:sz w:val="24"/>
          <w:szCs w:val="24"/>
        </w:rPr>
        <w:t xml:space="preserve"> “Për organizimin dhe funksionimin e Gjykatës Kushtetuese të Republikës së Shqipërisë”, të ndryshuar, njëzëri.</w:t>
      </w:r>
    </w:p>
    <w:p w14:paraId="0A6A6995" w14:textId="77777777" w:rsidR="00BC10C4" w:rsidRPr="00E31272" w:rsidRDefault="00BC10C4" w:rsidP="00015CA2">
      <w:pPr>
        <w:tabs>
          <w:tab w:val="left" w:pos="1080"/>
        </w:tabs>
        <w:spacing w:after="0" w:line="240" w:lineRule="auto"/>
        <w:ind w:firstLine="284"/>
        <w:jc w:val="center"/>
        <w:rPr>
          <w:rFonts w:ascii="Garamond" w:hAnsi="Garamond" w:cs="Times New Roman"/>
          <w:b/>
          <w:bCs/>
          <w:sz w:val="24"/>
          <w:szCs w:val="24"/>
        </w:rPr>
      </w:pPr>
    </w:p>
    <w:p w14:paraId="2A39897F" w14:textId="110890B4" w:rsidR="00015CA2" w:rsidRPr="00E31272" w:rsidRDefault="00015CA2" w:rsidP="00015CA2">
      <w:pPr>
        <w:tabs>
          <w:tab w:val="left" w:pos="1080"/>
        </w:tabs>
        <w:spacing w:after="0" w:line="240" w:lineRule="auto"/>
        <w:ind w:firstLine="284"/>
        <w:jc w:val="center"/>
        <w:rPr>
          <w:rFonts w:ascii="Garamond" w:hAnsi="Garamond" w:cs="Times New Roman"/>
          <w:bCs/>
          <w:sz w:val="24"/>
          <w:szCs w:val="24"/>
        </w:rPr>
      </w:pPr>
      <w:r w:rsidRPr="00E31272">
        <w:rPr>
          <w:rFonts w:ascii="Garamond" w:hAnsi="Garamond" w:cs="Times New Roman"/>
          <w:bCs/>
          <w:sz w:val="24"/>
          <w:szCs w:val="24"/>
        </w:rPr>
        <w:t>VENDOSI:</w:t>
      </w:r>
    </w:p>
    <w:p w14:paraId="7DDDE5AE" w14:textId="77777777" w:rsidR="00BC10C4" w:rsidRPr="00E31272" w:rsidRDefault="00BC10C4" w:rsidP="00015CA2">
      <w:pPr>
        <w:spacing w:after="0" w:line="240" w:lineRule="auto"/>
        <w:ind w:firstLine="284"/>
        <w:jc w:val="both"/>
        <w:rPr>
          <w:rFonts w:ascii="Garamond" w:hAnsi="Garamond" w:cs="Times New Roman"/>
          <w:sz w:val="24"/>
          <w:szCs w:val="24"/>
        </w:rPr>
      </w:pPr>
    </w:p>
    <w:p w14:paraId="7C5C9F08" w14:textId="10A3FAEC" w:rsidR="00015CA2" w:rsidRPr="00E31272" w:rsidRDefault="00015CA2" w:rsidP="00015CA2">
      <w:pPr>
        <w:spacing w:after="0" w:line="240" w:lineRule="auto"/>
        <w:ind w:firstLine="284"/>
        <w:jc w:val="both"/>
        <w:rPr>
          <w:rFonts w:ascii="Garamond" w:hAnsi="Garamond" w:cs="Times New Roman"/>
          <w:sz w:val="24"/>
          <w:szCs w:val="24"/>
        </w:rPr>
      </w:pPr>
      <w:r w:rsidRPr="00E31272">
        <w:rPr>
          <w:rFonts w:ascii="Garamond" w:hAnsi="Garamond" w:cs="Times New Roman"/>
          <w:sz w:val="24"/>
          <w:szCs w:val="24"/>
        </w:rPr>
        <w:t>1. Pranimin pjesërisht të kërkesës.</w:t>
      </w:r>
    </w:p>
    <w:p w14:paraId="084DE434" w14:textId="5FB9EE3A" w:rsidR="00015CA2" w:rsidRPr="00E31272" w:rsidRDefault="00015CA2" w:rsidP="00015CA2">
      <w:pPr>
        <w:spacing w:after="0" w:line="240" w:lineRule="auto"/>
        <w:ind w:firstLine="284"/>
        <w:jc w:val="both"/>
        <w:rPr>
          <w:rFonts w:ascii="Garamond" w:hAnsi="Garamond" w:cs="Times New Roman"/>
          <w:sz w:val="24"/>
          <w:szCs w:val="24"/>
        </w:rPr>
      </w:pPr>
      <w:r w:rsidRPr="00E31272">
        <w:rPr>
          <w:rFonts w:ascii="Garamond" w:hAnsi="Garamond" w:cs="Times New Roman"/>
          <w:sz w:val="24"/>
          <w:szCs w:val="24"/>
        </w:rPr>
        <w:t>2. Shfuqizimin e vendimit nr. 00-2024-4497, datë 22.10.2024</w:t>
      </w:r>
      <w:r w:rsidR="00793304">
        <w:rPr>
          <w:rFonts w:ascii="Garamond" w:hAnsi="Garamond" w:cs="Times New Roman"/>
          <w:sz w:val="24"/>
          <w:szCs w:val="24"/>
        </w:rPr>
        <w:t>,</w:t>
      </w:r>
      <w:r w:rsidRPr="00E31272">
        <w:rPr>
          <w:rFonts w:ascii="Garamond" w:hAnsi="Garamond" w:cs="Times New Roman"/>
          <w:sz w:val="24"/>
          <w:szCs w:val="24"/>
        </w:rPr>
        <w:t xml:space="preserve"> të Kolegjit Administrativ të Gjykatës së Lartë, si të papajtueshëm me Kushtetutën.</w:t>
      </w:r>
    </w:p>
    <w:p w14:paraId="2F3860C1" w14:textId="77777777" w:rsidR="00015CA2" w:rsidRPr="00E31272" w:rsidRDefault="00015CA2" w:rsidP="00015CA2">
      <w:pPr>
        <w:spacing w:after="0" w:line="240" w:lineRule="auto"/>
        <w:ind w:firstLine="284"/>
        <w:jc w:val="both"/>
        <w:rPr>
          <w:rFonts w:ascii="Garamond" w:hAnsi="Garamond" w:cs="Times New Roman"/>
          <w:sz w:val="24"/>
          <w:szCs w:val="24"/>
        </w:rPr>
      </w:pPr>
      <w:r w:rsidRPr="00E31272">
        <w:rPr>
          <w:rFonts w:ascii="Garamond" w:hAnsi="Garamond" w:cs="Times New Roman"/>
          <w:sz w:val="24"/>
          <w:szCs w:val="24"/>
        </w:rPr>
        <w:t>3. Dërgimin e çështjes për shqyrtim në Gjykatën e Lartë.</w:t>
      </w:r>
    </w:p>
    <w:p w14:paraId="20E498FE" w14:textId="1EBB27F4" w:rsidR="00015CA2" w:rsidRDefault="00015CA2" w:rsidP="00015CA2">
      <w:pPr>
        <w:tabs>
          <w:tab w:val="left" w:pos="720"/>
        </w:tabs>
        <w:spacing w:after="0" w:line="240" w:lineRule="auto"/>
        <w:ind w:firstLine="284"/>
        <w:jc w:val="both"/>
        <w:rPr>
          <w:rFonts w:ascii="Garamond" w:hAnsi="Garamond" w:cs="Times New Roman"/>
          <w:sz w:val="24"/>
          <w:szCs w:val="24"/>
        </w:rPr>
      </w:pPr>
      <w:r w:rsidRPr="00E31272">
        <w:rPr>
          <w:rFonts w:ascii="Garamond" w:hAnsi="Garamond" w:cs="Times New Roman"/>
          <w:sz w:val="24"/>
          <w:szCs w:val="24"/>
        </w:rPr>
        <w:t xml:space="preserve"> Ky vendim është përfundimtar dhe hyn në fuqi ditën e botimit në Fletoren Zyrtare.</w:t>
      </w:r>
    </w:p>
    <w:p w14:paraId="4371E44B" w14:textId="77777777" w:rsidR="00793304" w:rsidRPr="00E31272" w:rsidRDefault="00793304" w:rsidP="00015CA2">
      <w:pPr>
        <w:tabs>
          <w:tab w:val="left" w:pos="720"/>
        </w:tabs>
        <w:spacing w:after="0" w:line="240" w:lineRule="auto"/>
        <w:ind w:firstLine="284"/>
        <w:jc w:val="both"/>
        <w:rPr>
          <w:rFonts w:ascii="Garamond" w:hAnsi="Garamond" w:cs="Times New Roman"/>
          <w:sz w:val="24"/>
          <w:szCs w:val="24"/>
        </w:rPr>
      </w:pPr>
    </w:p>
    <w:p w14:paraId="7CCE09AF" w14:textId="5516FD39" w:rsidR="00015CA2" w:rsidRPr="00E31272" w:rsidRDefault="00015CA2" w:rsidP="00015CA2">
      <w:pPr>
        <w:tabs>
          <w:tab w:val="left" w:pos="1080"/>
        </w:tabs>
        <w:spacing w:after="0" w:line="240" w:lineRule="auto"/>
        <w:ind w:firstLine="284"/>
        <w:rPr>
          <w:rFonts w:ascii="Garamond" w:hAnsi="Garamond" w:cs="Times New Roman"/>
          <w:b/>
          <w:bCs/>
          <w:sz w:val="24"/>
          <w:szCs w:val="24"/>
        </w:rPr>
      </w:pPr>
      <w:r w:rsidRPr="00E31272">
        <w:rPr>
          <w:rFonts w:ascii="Garamond" w:hAnsi="Garamond" w:cs="Times New Roman"/>
          <w:b/>
          <w:bCs/>
          <w:sz w:val="24"/>
          <w:szCs w:val="24"/>
        </w:rPr>
        <w:t>Marrë më 12.12.2025</w:t>
      </w:r>
      <w:r w:rsidR="00793304">
        <w:rPr>
          <w:rFonts w:ascii="Garamond" w:hAnsi="Garamond" w:cs="Times New Roman"/>
          <w:b/>
          <w:bCs/>
          <w:sz w:val="24"/>
          <w:szCs w:val="24"/>
        </w:rPr>
        <w:t>.</w:t>
      </w:r>
    </w:p>
    <w:p w14:paraId="07566E5F" w14:textId="6DFD515D" w:rsidR="00015CA2" w:rsidRPr="00E31272" w:rsidRDefault="00793304" w:rsidP="00015CA2">
      <w:pPr>
        <w:tabs>
          <w:tab w:val="left" w:pos="1080"/>
        </w:tabs>
        <w:spacing w:after="0" w:line="240" w:lineRule="auto"/>
        <w:ind w:firstLine="284"/>
        <w:rPr>
          <w:rFonts w:ascii="Garamond" w:hAnsi="Garamond" w:cs="Times New Roman"/>
          <w:b/>
          <w:bCs/>
          <w:sz w:val="24"/>
          <w:szCs w:val="24"/>
        </w:rPr>
      </w:pPr>
      <w:r>
        <w:rPr>
          <w:rFonts w:ascii="Garamond" w:hAnsi="Garamond" w:cs="Times New Roman"/>
          <w:b/>
          <w:bCs/>
          <w:sz w:val="24"/>
          <w:szCs w:val="24"/>
        </w:rPr>
        <w:t>Shpallur më 12.</w:t>
      </w:r>
      <w:r w:rsidR="00015CA2" w:rsidRPr="00E31272">
        <w:rPr>
          <w:rFonts w:ascii="Garamond" w:hAnsi="Garamond" w:cs="Times New Roman"/>
          <w:b/>
          <w:bCs/>
          <w:sz w:val="24"/>
          <w:szCs w:val="24"/>
        </w:rPr>
        <w:t>1.2026</w:t>
      </w:r>
      <w:r>
        <w:rPr>
          <w:rFonts w:ascii="Garamond" w:hAnsi="Garamond" w:cs="Times New Roman"/>
          <w:b/>
          <w:bCs/>
          <w:sz w:val="24"/>
          <w:szCs w:val="24"/>
        </w:rPr>
        <w:t>.</w:t>
      </w:r>
    </w:p>
    <w:p w14:paraId="19D4E64A" w14:textId="44C13C05" w:rsidR="00015CA2" w:rsidRPr="00E31272" w:rsidRDefault="00015CA2" w:rsidP="00015CA2">
      <w:pPr>
        <w:tabs>
          <w:tab w:val="left" w:pos="1080"/>
        </w:tabs>
        <w:spacing w:after="0" w:line="240" w:lineRule="auto"/>
        <w:ind w:firstLine="284"/>
        <w:rPr>
          <w:rFonts w:ascii="Garamond" w:hAnsi="Garamond" w:cs="Times New Roman"/>
          <w:b/>
          <w:bCs/>
          <w:sz w:val="24"/>
          <w:szCs w:val="24"/>
        </w:rPr>
      </w:pPr>
    </w:p>
    <w:p w14:paraId="442876BD" w14:textId="662F213B" w:rsidR="00BC10C4" w:rsidRPr="00E31272" w:rsidRDefault="00BC10C4" w:rsidP="00015CA2">
      <w:pPr>
        <w:tabs>
          <w:tab w:val="left" w:pos="1080"/>
        </w:tabs>
        <w:spacing w:after="0" w:line="240" w:lineRule="auto"/>
        <w:ind w:firstLine="284"/>
        <w:rPr>
          <w:rFonts w:ascii="Garamond" w:hAnsi="Garamond" w:cs="Times New Roman"/>
          <w:b/>
          <w:bCs/>
          <w:sz w:val="24"/>
          <w:szCs w:val="24"/>
        </w:rPr>
      </w:pPr>
      <w:r w:rsidRPr="00E31272">
        <w:rPr>
          <w:rFonts w:ascii="Garamond" w:hAnsi="Garamond" w:cs="Times New Roman"/>
          <w:b/>
          <w:bCs/>
          <w:sz w:val="24"/>
          <w:szCs w:val="24"/>
        </w:rPr>
        <w:t>Krye</w:t>
      </w:r>
      <w:r w:rsidR="005D4841">
        <w:rPr>
          <w:rFonts w:ascii="Garamond" w:hAnsi="Garamond" w:cs="Times New Roman"/>
          <w:b/>
          <w:bCs/>
          <w:sz w:val="24"/>
          <w:szCs w:val="24"/>
        </w:rPr>
        <w:t>suese</w:t>
      </w:r>
      <w:bookmarkStart w:id="0" w:name="_GoBack"/>
      <w:bookmarkEnd w:id="0"/>
      <w:r w:rsidRPr="00E31272">
        <w:rPr>
          <w:rFonts w:ascii="Garamond" w:hAnsi="Garamond" w:cs="Times New Roman"/>
          <w:b/>
          <w:bCs/>
          <w:sz w:val="24"/>
          <w:szCs w:val="24"/>
        </w:rPr>
        <w:t>:</w:t>
      </w:r>
      <w:r w:rsidRPr="00E31272">
        <w:rPr>
          <w:rFonts w:ascii="Garamond" w:hAnsi="Garamond" w:cs="Times New Roman"/>
          <w:bCs/>
          <w:sz w:val="24"/>
          <w:szCs w:val="24"/>
        </w:rPr>
        <w:t xml:space="preserve"> </w:t>
      </w:r>
      <w:proofErr w:type="spellStart"/>
      <w:r w:rsidRPr="00E31272">
        <w:rPr>
          <w:rFonts w:ascii="Garamond" w:hAnsi="Garamond" w:cs="Times New Roman"/>
          <w:bCs/>
          <w:sz w:val="24"/>
          <w:szCs w:val="24"/>
        </w:rPr>
        <w:t>Marsida</w:t>
      </w:r>
      <w:proofErr w:type="spellEnd"/>
      <w:r w:rsidRPr="00E31272">
        <w:rPr>
          <w:rFonts w:ascii="Garamond" w:hAnsi="Garamond" w:cs="Times New Roman"/>
          <w:bCs/>
          <w:sz w:val="24"/>
          <w:szCs w:val="24"/>
        </w:rPr>
        <w:t xml:space="preserve"> </w:t>
      </w:r>
      <w:proofErr w:type="spellStart"/>
      <w:r w:rsidRPr="00E31272">
        <w:rPr>
          <w:rFonts w:ascii="Garamond" w:hAnsi="Garamond" w:cs="Times New Roman"/>
          <w:bCs/>
          <w:sz w:val="24"/>
          <w:szCs w:val="24"/>
        </w:rPr>
        <w:t>Xhaferllari</w:t>
      </w:r>
      <w:proofErr w:type="spellEnd"/>
    </w:p>
    <w:p w14:paraId="03A7B4DB" w14:textId="515DC2F4" w:rsidR="00BC10C4" w:rsidRPr="00E31272" w:rsidRDefault="009175E7" w:rsidP="00015CA2">
      <w:pPr>
        <w:tabs>
          <w:tab w:val="left" w:pos="1080"/>
        </w:tabs>
        <w:spacing w:after="0" w:line="240" w:lineRule="auto"/>
        <w:ind w:firstLine="284"/>
        <w:rPr>
          <w:rFonts w:ascii="Garamond" w:hAnsi="Garamond" w:cs="Times New Roman"/>
          <w:bCs/>
          <w:sz w:val="24"/>
          <w:szCs w:val="24"/>
        </w:rPr>
      </w:pPr>
      <w:r w:rsidRPr="00E31272">
        <w:rPr>
          <w:rFonts w:ascii="Garamond" w:hAnsi="Garamond" w:cs="Times New Roman"/>
          <w:b/>
          <w:bCs/>
          <w:sz w:val="24"/>
          <w:szCs w:val="24"/>
        </w:rPr>
        <w:t xml:space="preserve">Anëtarë: </w:t>
      </w:r>
      <w:proofErr w:type="spellStart"/>
      <w:r w:rsidRPr="00E31272">
        <w:rPr>
          <w:rFonts w:ascii="Garamond" w:hAnsi="Garamond" w:cs="Times New Roman"/>
          <w:bCs/>
          <w:sz w:val="24"/>
          <w:szCs w:val="24"/>
        </w:rPr>
        <w:t>Sandër</w:t>
      </w:r>
      <w:proofErr w:type="spellEnd"/>
      <w:r w:rsidRPr="00E31272">
        <w:rPr>
          <w:rFonts w:ascii="Garamond" w:hAnsi="Garamond" w:cs="Times New Roman"/>
          <w:bCs/>
          <w:sz w:val="24"/>
          <w:szCs w:val="24"/>
        </w:rPr>
        <w:t xml:space="preserve"> Beci, </w:t>
      </w:r>
      <w:proofErr w:type="spellStart"/>
      <w:r w:rsidRPr="00E31272">
        <w:rPr>
          <w:rFonts w:ascii="Garamond" w:hAnsi="Garamond" w:cs="Times New Roman"/>
          <w:bCs/>
          <w:sz w:val="24"/>
          <w:szCs w:val="24"/>
        </w:rPr>
        <w:t>Sonila</w:t>
      </w:r>
      <w:proofErr w:type="spellEnd"/>
      <w:r w:rsidRPr="00E31272">
        <w:rPr>
          <w:rFonts w:ascii="Garamond" w:hAnsi="Garamond" w:cs="Times New Roman"/>
          <w:bCs/>
          <w:sz w:val="24"/>
          <w:szCs w:val="24"/>
        </w:rPr>
        <w:t xml:space="preserve"> Bejtja, Genti Ibrahimi, Ilir Toska, </w:t>
      </w:r>
      <w:proofErr w:type="spellStart"/>
      <w:r w:rsidRPr="00E31272">
        <w:rPr>
          <w:rFonts w:ascii="Garamond" w:hAnsi="Garamond" w:cs="Times New Roman"/>
          <w:bCs/>
          <w:sz w:val="24"/>
          <w:szCs w:val="24"/>
        </w:rPr>
        <w:t>Fiona</w:t>
      </w:r>
      <w:proofErr w:type="spellEnd"/>
      <w:r w:rsidRPr="00E31272">
        <w:rPr>
          <w:rFonts w:ascii="Garamond" w:hAnsi="Garamond" w:cs="Times New Roman"/>
          <w:bCs/>
          <w:sz w:val="24"/>
          <w:szCs w:val="24"/>
        </w:rPr>
        <w:t xml:space="preserve"> </w:t>
      </w:r>
      <w:proofErr w:type="spellStart"/>
      <w:r w:rsidRPr="00E31272">
        <w:rPr>
          <w:rFonts w:ascii="Garamond" w:hAnsi="Garamond" w:cs="Times New Roman"/>
          <w:bCs/>
          <w:sz w:val="24"/>
          <w:szCs w:val="24"/>
        </w:rPr>
        <w:t>Papajorgji</w:t>
      </w:r>
      <w:proofErr w:type="spellEnd"/>
      <w:r w:rsidRPr="00E31272">
        <w:rPr>
          <w:rFonts w:ascii="Garamond" w:hAnsi="Garamond" w:cs="Times New Roman"/>
          <w:bCs/>
          <w:sz w:val="24"/>
          <w:szCs w:val="24"/>
        </w:rPr>
        <w:t xml:space="preserve">, </w:t>
      </w:r>
      <w:proofErr w:type="spellStart"/>
      <w:r w:rsidRPr="00E31272">
        <w:rPr>
          <w:rFonts w:ascii="Garamond" w:hAnsi="Garamond" w:cs="Times New Roman"/>
          <w:bCs/>
          <w:sz w:val="24"/>
          <w:szCs w:val="24"/>
        </w:rPr>
        <w:t>Marjana</w:t>
      </w:r>
      <w:proofErr w:type="spellEnd"/>
      <w:r w:rsidRPr="00E31272">
        <w:rPr>
          <w:rFonts w:ascii="Garamond" w:hAnsi="Garamond" w:cs="Times New Roman"/>
          <w:bCs/>
          <w:sz w:val="24"/>
          <w:szCs w:val="24"/>
        </w:rPr>
        <w:t xml:space="preserve"> </w:t>
      </w:r>
      <w:proofErr w:type="spellStart"/>
      <w:r w:rsidRPr="00E31272">
        <w:rPr>
          <w:rFonts w:ascii="Garamond" w:hAnsi="Garamond" w:cs="Times New Roman"/>
          <w:bCs/>
          <w:sz w:val="24"/>
          <w:szCs w:val="24"/>
        </w:rPr>
        <w:t>Semini</w:t>
      </w:r>
      <w:proofErr w:type="spellEnd"/>
    </w:p>
    <w:p w14:paraId="737974E3" w14:textId="77777777" w:rsidR="009175E7" w:rsidRPr="00E31272" w:rsidRDefault="009175E7" w:rsidP="00015CA2">
      <w:pPr>
        <w:tabs>
          <w:tab w:val="left" w:pos="80"/>
          <w:tab w:val="left" w:pos="1080"/>
        </w:tabs>
        <w:spacing w:after="0" w:line="240" w:lineRule="auto"/>
        <w:ind w:firstLine="284"/>
        <w:jc w:val="both"/>
        <w:rPr>
          <w:rFonts w:ascii="Garamond" w:hAnsi="Garamond" w:cs="Times New Roman"/>
          <w:bCs/>
          <w:sz w:val="24"/>
          <w:szCs w:val="24"/>
        </w:rPr>
      </w:pPr>
    </w:p>
    <w:p w14:paraId="7E47AB84" w14:textId="77777777" w:rsidR="00015CA2" w:rsidRPr="00E31272" w:rsidRDefault="00015CA2" w:rsidP="00015CA2">
      <w:pPr>
        <w:spacing w:after="0" w:line="240" w:lineRule="auto"/>
        <w:ind w:firstLine="284"/>
        <w:jc w:val="center"/>
        <w:rPr>
          <w:rFonts w:ascii="Garamond" w:hAnsi="Garamond" w:cs="Times New Roman"/>
          <w:sz w:val="24"/>
          <w:szCs w:val="24"/>
        </w:rPr>
      </w:pPr>
    </w:p>
    <w:p w14:paraId="1E31C9E4" w14:textId="77777777" w:rsidR="00D70FA1" w:rsidRPr="00E31272" w:rsidRDefault="00D70FA1" w:rsidP="00015CA2">
      <w:pPr>
        <w:spacing w:after="0" w:line="240" w:lineRule="auto"/>
        <w:ind w:firstLine="284"/>
        <w:rPr>
          <w:rFonts w:ascii="Garamond" w:hAnsi="Garamond"/>
          <w:sz w:val="24"/>
          <w:szCs w:val="24"/>
        </w:rPr>
      </w:pPr>
    </w:p>
    <w:sectPr w:rsidR="00D70FA1" w:rsidRPr="00E31272" w:rsidSect="00793304">
      <w:pgSz w:w="12240" w:h="15840"/>
      <w:pgMar w:top="1440" w:right="1440" w:bottom="1440" w:left="1440" w:header="720" w:footer="720" w:gutter="0"/>
      <w:cols w:space="720"/>
      <w:noEndnote/>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D402634" w16cex:dateUtc="2026-01-09T20:17:00Z"/>
  <w16cex:commentExtensible w16cex:durableId="3CD861B5" w16cex:dateUtc="2026-01-09T20:36:00Z"/>
  <w16cex:commentExtensible w16cex:durableId="3CA87765" w16cex:dateUtc="2026-01-09T21:01:00Z"/>
  <w16cex:commentExtensible w16cex:durableId="2ADB0C32" w16cex:dateUtc="2026-01-09T21:14:00Z"/>
  <w16cex:commentExtensible w16cex:durableId="3C00A446" w16cex:dateUtc="2026-01-10T12:46:00Z"/>
  <w16cex:commentExtensible w16cex:durableId="3B1D3622" w16cex:dateUtc="2026-01-09T21:33:00Z"/>
  <w16cex:commentExtensible w16cex:durableId="1EA19115" w16cex:dateUtc="2026-01-10T13:26:00Z"/>
  <w16cex:commentExtensible w16cex:durableId="50879163" w16cex:dateUtc="2026-01-10T14:29:00Z"/>
  <w16cex:commentExtensible w16cex:durableId="675F4FFC" w16cex:dateUtc="2026-01-10T14:57:00Z"/>
  <w16cex:commentExtensible w16cex:durableId="4CEB8F14" w16cex:dateUtc="2026-01-10T16:03: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AC6124" w14:textId="77777777" w:rsidR="005D4841" w:rsidRDefault="005D4841" w:rsidP="0054325A">
      <w:pPr>
        <w:spacing w:after="0" w:line="240" w:lineRule="auto"/>
      </w:pPr>
      <w:r>
        <w:separator/>
      </w:r>
    </w:p>
  </w:endnote>
  <w:endnote w:type="continuationSeparator" w:id="0">
    <w:p w14:paraId="1040E6C6" w14:textId="77777777" w:rsidR="005D4841" w:rsidRDefault="005D4841" w:rsidP="0054325A">
      <w:pPr>
        <w:spacing w:after="0" w:line="240" w:lineRule="auto"/>
      </w:pPr>
      <w:r>
        <w:continuationSeparator/>
      </w:r>
    </w:p>
  </w:endnote>
  <w:endnote w:type="continuationNotice" w:id="1">
    <w:p w14:paraId="0AB69C73" w14:textId="77777777" w:rsidR="005D4841" w:rsidRDefault="005D484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ED4B79" w14:textId="77777777" w:rsidR="005D4841" w:rsidRDefault="005D4841" w:rsidP="0054325A">
      <w:pPr>
        <w:spacing w:after="0" w:line="240" w:lineRule="auto"/>
      </w:pPr>
      <w:r>
        <w:separator/>
      </w:r>
    </w:p>
  </w:footnote>
  <w:footnote w:type="continuationSeparator" w:id="0">
    <w:p w14:paraId="7722F361" w14:textId="77777777" w:rsidR="005D4841" w:rsidRDefault="005D4841" w:rsidP="0054325A">
      <w:pPr>
        <w:spacing w:after="0" w:line="240" w:lineRule="auto"/>
      </w:pPr>
      <w:r>
        <w:continuationSeparator/>
      </w:r>
    </w:p>
  </w:footnote>
  <w:footnote w:type="continuationNotice" w:id="1">
    <w:p w14:paraId="2F0A33B3" w14:textId="77777777" w:rsidR="005D4841" w:rsidRDefault="005D484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D3F36"/>
    <w:multiLevelType w:val="hybridMultilevel"/>
    <w:tmpl w:val="6B24DDBE"/>
    <w:lvl w:ilvl="0" w:tplc="281AE9E2">
      <w:start w:val="1"/>
      <w:numFmt w:val="decimal"/>
      <w:lvlText w:val="%1."/>
      <w:lvlJc w:val="left"/>
      <w:pPr>
        <w:ind w:left="786" w:hanging="36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626C35"/>
    <w:multiLevelType w:val="multilevel"/>
    <w:tmpl w:val="03727E1E"/>
    <w:lvl w:ilvl="0">
      <w:start w:val="9"/>
      <w:numFmt w:val="decimal"/>
      <w:lvlText w:val="%1."/>
      <w:lvlJc w:val="left"/>
      <w:pPr>
        <w:ind w:left="360" w:hanging="360"/>
      </w:pPr>
      <w:rPr>
        <w:rFonts w:eastAsiaTheme="minorHAnsi" w:hint="default"/>
        <w:i/>
      </w:rPr>
    </w:lvl>
    <w:lvl w:ilvl="1">
      <w:start w:val="1"/>
      <w:numFmt w:val="decimal"/>
      <w:lvlText w:val="%1.%2."/>
      <w:lvlJc w:val="left"/>
      <w:pPr>
        <w:ind w:left="1800" w:hanging="360"/>
      </w:pPr>
      <w:rPr>
        <w:rFonts w:eastAsiaTheme="minorHAnsi" w:hint="default"/>
        <w:i w:val="0"/>
      </w:rPr>
    </w:lvl>
    <w:lvl w:ilvl="2">
      <w:start w:val="1"/>
      <w:numFmt w:val="decimal"/>
      <w:lvlText w:val="%1.%2.%3."/>
      <w:lvlJc w:val="left"/>
      <w:pPr>
        <w:ind w:left="3600" w:hanging="720"/>
      </w:pPr>
      <w:rPr>
        <w:rFonts w:eastAsiaTheme="minorHAnsi" w:hint="default"/>
        <w:i/>
      </w:rPr>
    </w:lvl>
    <w:lvl w:ilvl="3">
      <w:start w:val="1"/>
      <w:numFmt w:val="decimal"/>
      <w:lvlText w:val="%1.%2.%3.%4."/>
      <w:lvlJc w:val="left"/>
      <w:pPr>
        <w:ind w:left="5040" w:hanging="720"/>
      </w:pPr>
      <w:rPr>
        <w:rFonts w:eastAsiaTheme="minorHAnsi" w:hint="default"/>
        <w:i/>
      </w:rPr>
    </w:lvl>
    <w:lvl w:ilvl="4">
      <w:start w:val="1"/>
      <w:numFmt w:val="decimal"/>
      <w:lvlText w:val="%1.%2.%3.%4.%5."/>
      <w:lvlJc w:val="left"/>
      <w:pPr>
        <w:ind w:left="6840" w:hanging="1080"/>
      </w:pPr>
      <w:rPr>
        <w:rFonts w:eastAsiaTheme="minorHAnsi" w:hint="default"/>
        <w:i/>
      </w:rPr>
    </w:lvl>
    <w:lvl w:ilvl="5">
      <w:start w:val="1"/>
      <w:numFmt w:val="decimal"/>
      <w:lvlText w:val="%1.%2.%3.%4.%5.%6."/>
      <w:lvlJc w:val="left"/>
      <w:pPr>
        <w:ind w:left="8280" w:hanging="1080"/>
      </w:pPr>
      <w:rPr>
        <w:rFonts w:eastAsiaTheme="minorHAnsi" w:hint="default"/>
        <w:i/>
      </w:rPr>
    </w:lvl>
    <w:lvl w:ilvl="6">
      <w:start w:val="1"/>
      <w:numFmt w:val="decimal"/>
      <w:lvlText w:val="%1.%2.%3.%4.%5.%6.%7."/>
      <w:lvlJc w:val="left"/>
      <w:pPr>
        <w:ind w:left="10080" w:hanging="1440"/>
      </w:pPr>
      <w:rPr>
        <w:rFonts w:eastAsiaTheme="minorHAnsi" w:hint="default"/>
        <w:i/>
      </w:rPr>
    </w:lvl>
    <w:lvl w:ilvl="7">
      <w:start w:val="1"/>
      <w:numFmt w:val="decimal"/>
      <w:lvlText w:val="%1.%2.%3.%4.%5.%6.%7.%8."/>
      <w:lvlJc w:val="left"/>
      <w:pPr>
        <w:ind w:left="11520" w:hanging="1440"/>
      </w:pPr>
      <w:rPr>
        <w:rFonts w:eastAsiaTheme="minorHAnsi" w:hint="default"/>
        <w:i/>
      </w:rPr>
    </w:lvl>
    <w:lvl w:ilvl="8">
      <w:start w:val="1"/>
      <w:numFmt w:val="decimal"/>
      <w:lvlText w:val="%1.%2.%3.%4.%5.%6.%7.%8.%9."/>
      <w:lvlJc w:val="left"/>
      <w:pPr>
        <w:ind w:left="13320" w:hanging="1800"/>
      </w:pPr>
      <w:rPr>
        <w:rFonts w:eastAsiaTheme="minorHAnsi" w:hint="default"/>
        <w:i/>
      </w:rPr>
    </w:lvl>
  </w:abstractNum>
  <w:abstractNum w:abstractNumId="2" w15:restartNumberingAfterBreak="0">
    <w:nsid w:val="094140AC"/>
    <w:multiLevelType w:val="hybridMultilevel"/>
    <w:tmpl w:val="C874BCD0"/>
    <w:lvl w:ilvl="0" w:tplc="2BBE7A5C">
      <w:start w:val="1"/>
      <w:numFmt w:val="decimal"/>
      <w:lvlText w:val="%1."/>
      <w:lvlJc w:val="left"/>
      <w:pPr>
        <w:ind w:left="1440" w:hanging="360"/>
      </w:pPr>
      <w:rPr>
        <w:rFonts w:ascii="Times New Roman" w:eastAsia="Times New Roman" w:hAnsi="Times New Roman" w:cs="Times New Roman"/>
        <w:b w:val="0"/>
        <w:i w:val="0"/>
        <w:sz w:val="24"/>
        <w:szCs w:val="24"/>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B876E80"/>
    <w:multiLevelType w:val="hybridMultilevel"/>
    <w:tmpl w:val="D936894C"/>
    <w:lvl w:ilvl="0" w:tplc="ADECAA2E">
      <w:start w:val="14"/>
      <w:numFmt w:val="decimal"/>
      <w:lvlText w:val="%1."/>
      <w:lvlJc w:val="left"/>
      <w:pPr>
        <w:ind w:left="1440" w:hanging="360"/>
      </w:pPr>
      <w:rPr>
        <w:rFonts w:ascii="Times New Roman" w:eastAsia="Times New Roman" w:hAnsi="Times New Roman" w:cs="Times New Roman" w:hint="default"/>
        <w:b w:val="0"/>
        <w:i w:val="0"/>
        <w:sz w:val="24"/>
        <w:szCs w:val="24"/>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 w15:restartNumberingAfterBreak="0">
    <w:nsid w:val="1A310E62"/>
    <w:multiLevelType w:val="multilevel"/>
    <w:tmpl w:val="99EEB880"/>
    <w:lvl w:ilvl="0">
      <w:start w:val="11"/>
      <w:numFmt w:val="decimal"/>
      <w:lvlText w:val="%1."/>
      <w:lvlJc w:val="left"/>
      <w:pPr>
        <w:ind w:left="480" w:hanging="480"/>
      </w:pPr>
      <w:rPr>
        <w:rFonts w:eastAsia="Times New Roman" w:hint="default"/>
      </w:rPr>
    </w:lvl>
    <w:lvl w:ilvl="1">
      <w:start w:val="1"/>
      <w:numFmt w:val="decimal"/>
      <w:lvlText w:val="%1.%2."/>
      <w:lvlJc w:val="left"/>
      <w:pPr>
        <w:ind w:left="1740" w:hanging="480"/>
      </w:pPr>
      <w:rPr>
        <w:rFonts w:eastAsia="Times New Roman" w:hint="default"/>
        <w:b w:val="0"/>
        <w:i w:val="0"/>
      </w:rPr>
    </w:lvl>
    <w:lvl w:ilvl="2">
      <w:start w:val="1"/>
      <w:numFmt w:val="decimal"/>
      <w:lvlText w:val="%1.%2.%3."/>
      <w:lvlJc w:val="left"/>
      <w:pPr>
        <w:ind w:left="3240" w:hanging="720"/>
      </w:pPr>
      <w:rPr>
        <w:rFonts w:eastAsia="Times New Roman" w:hint="default"/>
      </w:rPr>
    </w:lvl>
    <w:lvl w:ilvl="3">
      <w:start w:val="1"/>
      <w:numFmt w:val="decimal"/>
      <w:lvlText w:val="%1.%2.%3.%4."/>
      <w:lvlJc w:val="left"/>
      <w:pPr>
        <w:ind w:left="4500" w:hanging="720"/>
      </w:pPr>
      <w:rPr>
        <w:rFonts w:eastAsia="Times New Roman" w:hint="default"/>
      </w:rPr>
    </w:lvl>
    <w:lvl w:ilvl="4">
      <w:start w:val="1"/>
      <w:numFmt w:val="decimal"/>
      <w:lvlText w:val="%1.%2.%3.%4.%5."/>
      <w:lvlJc w:val="left"/>
      <w:pPr>
        <w:ind w:left="6120" w:hanging="1080"/>
      </w:pPr>
      <w:rPr>
        <w:rFonts w:eastAsia="Times New Roman" w:hint="default"/>
      </w:rPr>
    </w:lvl>
    <w:lvl w:ilvl="5">
      <w:start w:val="1"/>
      <w:numFmt w:val="decimal"/>
      <w:lvlText w:val="%1.%2.%3.%4.%5.%6."/>
      <w:lvlJc w:val="left"/>
      <w:pPr>
        <w:ind w:left="7380" w:hanging="1080"/>
      </w:pPr>
      <w:rPr>
        <w:rFonts w:eastAsia="Times New Roman" w:hint="default"/>
      </w:rPr>
    </w:lvl>
    <w:lvl w:ilvl="6">
      <w:start w:val="1"/>
      <w:numFmt w:val="decimal"/>
      <w:lvlText w:val="%1.%2.%3.%4.%5.%6.%7."/>
      <w:lvlJc w:val="left"/>
      <w:pPr>
        <w:ind w:left="9000" w:hanging="1440"/>
      </w:pPr>
      <w:rPr>
        <w:rFonts w:eastAsia="Times New Roman" w:hint="default"/>
      </w:rPr>
    </w:lvl>
    <w:lvl w:ilvl="7">
      <w:start w:val="1"/>
      <w:numFmt w:val="decimal"/>
      <w:lvlText w:val="%1.%2.%3.%4.%5.%6.%7.%8."/>
      <w:lvlJc w:val="left"/>
      <w:pPr>
        <w:ind w:left="10260" w:hanging="1440"/>
      </w:pPr>
      <w:rPr>
        <w:rFonts w:eastAsia="Times New Roman" w:hint="default"/>
      </w:rPr>
    </w:lvl>
    <w:lvl w:ilvl="8">
      <w:start w:val="1"/>
      <w:numFmt w:val="decimal"/>
      <w:lvlText w:val="%1.%2.%3.%4.%5.%6.%7.%8.%9."/>
      <w:lvlJc w:val="left"/>
      <w:pPr>
        <w:ind w:left="11880" w:hanging="1800"/>
      </w:pPr>
      <w:rPr>
        <w:rFonts w:eastAsia="Times New Roman" w:hint="default"/>
      </w:rPr>
    </w:lvl>
  </w:abstractNum>
  <w:abstractNum w:abstractNumId="5" w15:restartNumberingAfterBreak="0">
    <w:nsid w:val="3A2840B3"/>
    <w:multiLevelType w:val="multilevel"/>
    <w:tmpl w:val="498E5FBE"/>
    <w:lvl w:ilvl="0">
      <w:start w:val="17"/>
      <w:numFmt w:val="decimal"/>
      <w:lvlText w:val="%1."/>
      <w:lvlJc w:val="left"/>
      <w:pPr>
        <w:ind w:left="480" w:hanging="480"/>
      </w:pPr>
      <w:rPr>
        <w:rFonts w:eastAsia="Calibri" w:hint="default"/>
        <w:b w:val="0"/>
        <w:i w:val="0"/>
      </w:rPr>
    </w:lvl>
    <w:lvl w:ilvl="1">
      <w:start w:val="1"/>
      <w:numFmt w:val="decimal"/>
      <w:lvlText w:val="%1.%2."/>
      <w:lvlJc w:val="left"/>
      <w:pPr>
        <w:ind w:left="1200" w:hanging="480"/>
      </w:pPr>
      <w:rPr>
        <w:rFonts w:eastAsia="Calibri" w:hint="default"/>
        <w:b w:val="0"/>
        <w:i w:val="0"/>
      </w:rPr>
    </w:lvl>
    <w:lvl w:ilvl="2">
      <w:start w:val="1"/>
      <w:numFmt w:val="decimal"/>
      <w:lvlText w:val="%1.%2.%3."/>
      <w:lvlJc w:val="left"/>
      <w:pPr>
        <w:ind w:left="2160" w:hanging="720"/>
      </w:pPr>
      <w:rPr>
        <w:rFonts w:eastAsia="Calibri" w:hint="default"/>
        <w:b w:val="0"/>
        <w:i w:val="0"/>
      </w:rPr>
    </w:lvl>
    <w:lvl w:ilvl="3">
      <w:start w:val="1"/>
      <w:numFmt w:val="decimal"/>
      <w:lvlText w:val="%1.%2.%3.%4."/>
      <w:lvlJc w:val="left"/>
      <w:pPr>
        <w:ind w:left="2880" w:hanging="720"/>
      </w:pPr>
      <w:rPr>
        <w:rFonts w:eastAsia="Calibri" w:hint="default"/>
        <w:b/>
        <w:i/>
      </w:rPr>
    </w:lvl>
    <w:lvl w:ilvl="4">
      <w:start w:val="1"/>
      <w:numFmt w:val="decimal"/>
      <w:lvlText w:val="%1.%2.%3.%4.%5."/>
      <w:lvlJc w:val="left"/>
      <w:pPr>
        <w:ind w:left="3960" w:hanging="1080"/>
      </w:pPr>
      <w:rPr>
        <w:rFonts w:eastAsia="Calibri" w:hint="default"/>
        <w:b/>
        <w:i/>
      </w:rPr>
    </w:lvl>
    <w:lvl w:ilvl="5">
      <w:start w:val="1"/>
      <w:numFmt w:val="decimal"/>
      <w:lvlText w:val="%1.%2.%3.%4.%5.%6."/>
      <w:lvlJc w:val="left"/>
      <w:pPr>
        <w:ind w:left="4680" w:hanging="1080"/>
      </w:pPr>
      <w:rPr>
        <w:rFonts w:eastAsia="Calibri" w:hint="default"/>
        <w:b/>
        <w:i/>
      </w:rPr>
    </w:lvl>
    <w:lvl w:ilvl="6">
      <w:start w:val="1"/>
      <w:numFmt w:val="decimal"/>
      <w:lvlText w:val="%1.%2.%3.%4.%5.%6.%7."/>
      <w:lvlJc w:val="left"/>
      <w:pPr>
        <w:ind w:left="5760" w:hanging="1440"/>
      </w:pPr>
      <w:rPr>
        <w:rFonts w:eastAsia="Calibri" w:hint="default"/>
        <w:b/>
        <w:i/>
      </w:rPr>
    </w:lvl>
    <w:lvl w:ilvl="7">
      <w:start w:val="1"/>
      <w:numFmt w:val="decimal"/>
      <w:lvlText w:val="%1.%2.%3.%4.%5.%6.%7.%8."/>
      <w:lvlJc w:val="left"/>
      <w:pPr>
        <w:ind w:left="6480" w:hanging="1440"/>
      </w:pPr>
      <w:rPr>
        <w:rFonts w:eastAsia="Calibri" w:hint="default"/>
        <w:b/>
        <w:i/>
      </w:rPr>
    </w:lvl>
    <w:lvl w:ilvl="8">
      <w:start w:val="1"/>
      <w:numFmt w:val="decimal"/>
      <w:lvlText w:val="%1.%2.%3.%4.%5.%6.%7.%8.%9."/>
      <w:lvlJc w:val="left"/>
      <w:pPr>
        <w:ind w:left="7560" w:hanging="1800"/>
      </w:pPr>
      <w:rPr>
        <w:rFonts w:eastAsia="Calibri" w:hint="default"/>
        <w:b/>
        <w:i/>
      </w:rPr>
    </w:lvl>
  </w:abstractNum>
  <w:abstractNum w:abstractNumId="6" w15:restartNumberingAfterBreak="0">
    <w:nsid w:val="3FFB39E7"/>
    <w:multiLevelType w:val="multilevel"/>
    <w:tmpl w:val="F9B431CA"/>
    <w:lvl w:ilvl="0">
      <w:start w:val="9"/>
      <w:numFmt w:val="decimal"/>
      <w:lvlText w:val="%1."/>
      <w:lvlJc w:val="left"/>
      <w:pPr>
        <w:ind w:left="360" w:hanging="360"/>
      </w:pPr>
      <w:rPr>
        <w:rFonts w:hint="default"/>
        <w:b w:val="0"/>
        <w:i w:val="0"/>
      </w:rPr>
    </w:lvl>
    <w:lvl w:ilvl="1">
      <w:start w:val="1"/>
      <w:numFmt w:val="decimal"/>
      <w:lvlText w:val="%1.%2."/>
      <w:lvlJc w:val="left"/>
      <w:pPr>
        <w:ind w:left="1080" w:hanging="720"/>
      </w:pPr>
      <w:rPr>
        <w:rFonts w:hint="default"/>
        <w:b w:val="0"/>
        <w:i w:val="0"/>
      </w:rPr>
    </w:lvl>
    <w:lvl w:ilvl="2">
      <w:start w:val="1"/>
      <w:numFmt w:val="decimal"/>
      <w:lvlText w:val="%1.%2.%3."/>
      <w:lvlJc w:val="left"/>
      <w:pPr>
        <w:ind w:left="1440" w:hanging="720"/>
      </w:pPr>
      <w:rPr>
        <w:rFonts w:hint="default"/>
        <w:b w:val="0"/>
        <w:i w:val="0"/>
      </w:rPr>
    </w:lvl>
    <w:lvl w:ilvl="3">
      <w:start w:val="1"/>
      <w:numFmt w:val="decimal"/>
      <w:lvlText w:val="%1.%2.%3.%4."/>
      <w:lvlJc w:val="left"/>
      <w:pPr>
        <w:ind w:left="2160" w:hanging="1080"/>
      </w:pPr>
      <w:rPr>
        <w:rFonts w:hint="default"/>
        <w:b w:val="0"/>
        <w:i w:val="0"/>
      </w:rPr>
    </w:lvl>
    <w:lvl w:ilvl="4">
      <w:start w:val="1"/>
      <w:numFmt w:val="decimal"/>
      <w:lvlText w:val="%1.%2.%3.%4.%5."/>
      <w:lvlJc w:val="left"/>
      <w:pPr>
        <w:ind w:left="2520" w:hanging="1080"/>
      </w:pPr>
      <w:rPr>
        <w:rFonts w:hint="default"/>
        <w:b w:val="0"/>
        <w:i/>
      </w:rPr>
    </w:lvl>
    <w:lvl w:ilvl="5">
      <w:start w:val="1"/>
      <w:numFmt w:val="decimal"/>
      <w:lvlText w:val="%1.%2.%3.%4.%5.%6."/>
      <w:lvlJc w:val="left"/>
      <w:pPr>
        <w:ind w:left="3240" w:hanging="1440"/>
      </w:pPr>
      <w:rPr>
        <w:rFonts w:hint="default"/>
        <w:b w:val="0"/>
        <w:i/>
      </w:rPr>
    </w:lvl>
    <w:lvl w:ilvl="6">
      <w:start w:val="1"/>
      <w:numFmt w:val="decimal"/>
      <w:lvlText w:val="%1.%2.%3.%4.%5.%6.%7."/>
      <w:lvlJc w:val="left"/>
      <w:pPr>
        <w:ind w:left="3600" w:hanging="1440"/>
      </w:pPr>
      <w:rPr>
        <w:rFonts w:hint="default"/>
        <w:b w:val="0"/>
        <w:i/>
      </w:rPr>
    </w:lvl>
    <w:lvl w:ilvl="7">
      <w:start w:val="1"/>
      <w:numFmt w:val="decimal"/>
      <w:lvlText w:val="%1.%2.%3.%4.%5.%6.%7.%8."/>
      <w:lvlJc w:val="left"/>
      <w:pPr>
        <w:ind w:left="4320" w:hanging="1800"/>
      </w:pPr>
      <w:rPr>
        <w:rFonts w:hint="default"/>
        <w:b w:val="0"/>
        <w:i/>
      </w:rPr>
    </w:lvl>
    <w:lvl w:ilvl="8">
      <w:start w:val="1"/>
      <w:numFmt w:val="decimal"/>
      <w:lvlText w:val="%1.%2.%3.%4.%5.%6.%7.%8.%9."/>
      <w:lvlJc w:val="left"/>
      <w:pPr>
        <w:ind w:left="4680" w:hanging="1800"/>
      </w:pPr>
      <w:rPr>
        <w:rFonts w:hint="default"/>
        <w:b w:val="0"/>
        <w:i/>
      </w:rPr>
    </w:lvl>
  </w:abstractNum>
  <w:abstractNum w:abstractNumId="7" w15:restartNumberingAfterBreak="0">
    <w:nsid w:val="41C55913"/>
    <w:multiLevelType w:val="multilevel"/>
    <w:tmpl w:val="A2761BCE"/>
    <w:lvl w:ilvl="0">
      <w:start w:val="8"/>
      <w:numFmt w:val="decimal"/>
      <w:lvlText w:val="%1."/>
      <w:lvlJc w:val="left"/>
      <w:pPr>
        <w:ind w:left="360" w:hanging="360"/>
      </w:pPr>
      <w:rPr>
        <w:rFonts w:eastAsiaTheme="minorHAnsi" w:hint="default"/>
        <w:i/>
      </w:rPr>
    </w:lvl>
    <w:lvl w:ilvl="1">
      <w:start w:val="1"/>
      <w:numFmt w:val="decimal"/>
      <w:lvlText w:val="%1.%2."/>
      <w:lvlJc w:val="left"/>
      <w:pPr>
        <w:ind w:left="1080" w:hanging="360"/>
      </w:pPr>
      <w:rPr>
        <w:rFonts w:eastAsiaTheme="minorHAnsi" w:hint="default"/>
        <w:i w:val="0"/>
      </w:rPr>
    </w:lvl>
    <w:lvl w:ilvl="2">
      <w:start w:val="1"/>
      <w:numFmt w:val="decimal"/>
      <w:lvlText w:val="%1.%2.%3."/>
      <w:lvlJc w:val="left"/>
      <w:pPr>
        <w:ind w:left="2160" w:hanging="720"/>
      </w:pPr>
      <w:rPr>
        <w:rFonts w:eastAsiaTheme="minorHAnsi" w:hint="default"/>
        <w:i w:val="0"/>
      </w:rPr>
    </w:lvl>
    <w:lvl w:ilvl="3">
      <w:start w:val="1"/>
      <w:numFmt w:val="decimal"/>
      <w:lvlText w:val="%1.%2.%3.%4."/>
      <w:lvlJc w:val="left"/>
      <w:pPr>
        <w:ind w:left="2880" w:hanging="720"/>
      </w:pPr>
      <w:rPr>
        <w:rFonts w:eastAsiaTheme="minorHAnsi" w:hint="default"/>
        <w:i/>
      </w:rPr>
    </w:lvl>
    <w:lvl w:ilvl="4">
      <w:start w:val="1"/>
      <w:numFmt w:val="decimal"/>
      <w:lvlText w:val="%1.%2.%3.%4.%5."/>
      <w:lvlJc w:val="left"/>
      <w:pPr>
        <w:ind w:left="3960" w:hanging="1080"/>
      </w:pPr>
      <w:rPr>
        <w:rFonts w:eastAsiaTheme="minorHAnsi" w:hint="default"/>
        <w:i/>
      </w:rPr>
    </w:lvl>
    <w:lvl w:ilvl="5">
      <w:start w:val="1"/>
      <w:numFmt w:val="decimal"/>
      <w:lvlText w:val="%1.%2.%3.%4.%5.%6."/>
      <w:lvlJc w:val="left"/>
      <w:pPr>
        <w:ind w:left="4680" w:hanging="1080"/>
      </w:pPr>
      <w:rPr>
        <w:rFonts w:eastAsiaTheme="minorHAnsi" w:hint="default"/>
        <w:i/>
      </w:rPr>
    </w:lvl>
    <w:lvl w:ilvl="6">
      <w:start w:val="1"/>
      <w:numFmt w:val="decimal"/>
      <w:lvlText w:val="%1.%2.%3.%4.%5.%6.%7."/>
      <w:lvlJc w:val="left"/>
      <w:pPr>
        <w:ind w:left="5760" w:hanging="1440"/>
      </w:pPr>
      <w:rPr>
        <w:rFonts w:eastAsiaTheme="minorHAnsi" w:hint="default"/>
        <w:i/>
      </w:rPr>
    </w:lvl>
    <w:lvl w:ilvl="7">
      <w:start w:val="1"/>
      <w:numFmt w:val="decimal"/>
      <w:lvlText w:val="%1.%2.%3.%4.%5.%6.%7.%8."/>
      <w:lvlJc w:val="left"/>
      <w:pPr>
        <w:ind w:left="6480" w:hanging="1440"/>
      </w:pPr>
      <w:rPr>
        <w:rFonts w:eastAsiaTheme="minorHAnsi" w:hint="default"/>
        <w:i/>
      </w:rPr>
    </w:lvl>
    <w:lvl w:ilvl="8">
      <w:start w:val="1"/>
      <w:numFmt w:val="decimal"/>
      <w:lvlText w:val="%1.%2.%3.%4.%5.%6.%7.%8.%9."/>
      <w:lvlJc w:val="left"/>
      <w:pPr>
        <w:ind w:left="7560" w:hanging="1800"/>
      </w:pPr>
      <w:rPr>
        <w:rFonts w:eastAsiaTheme="minorHAnsi" w:hint="default"/>
        <w:i/>
      </w:rPr>
    </w:lvl>
  </w:abstractNum>
  <w:abstractNum w:abstractNumId="8" w15:restartNumberingAfterBreak="0">
    <w:nsid w:val="45A4605B"/>
    <w:multiLevelType w:val="hybridMultilevel"/>
    <w:tmpl w:val="BA22324A"/>
    <w:lvl w:ilvl="0" w:tplc="DDF6CAF6">
      <w:start w:val="1"/>
      <w:numFmt w:val="upperLetter"/>
      <w:lvlText w:val="%1."/>
      <w:lvlJc w:val="left"/>
      <w:pPr>
        <w:ind w:left="1260" w:hanging="45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9" w15:restartNumberingAfterBreak="0">
    <w:nsid w:val="4FC2085C"/>
    <w:multiLevelType w:val="multilevel"/>
    <w:tmpl w:val="58CC1FD0"/>
    <w:lvl w:ilvl="0">
      <w:start w:val="1"/>
      <w:numFmt w:val="decimal"/>
      <w:lvlText w:val="%1."/>
      <w:lvlJc w:val="left"/>
      <w:pPr>
        <w:ind w:left="990" w:hanging="360"/>
      </w:pPr>
      <w:rPr>
        <w:rFonts w:eastAsiaTheme="minorHAnsi" w:hint="default"/>
        <w:i w:val="0"/>
      </w:rPr>
    </w:lvl>
    <w:lvl w:ilvl="1">
      <w:start w:val="1"/>
      <w:numFmt w:val="decimal"/>
      <w:isLgl/>
      <w:lvlText w:val="%1.%2."/>
      <w:lvlJc w:val="left"/>
      <w:pPr>
        <w:ind w:left="720" w:hanging="360"/>
      </w:pPr>
      <w:rPr>
        <w:rFonts w:ascii="Times New Roman" w:hAnsi="Times New Roman" w:cs="Times New Roman" w:hint="default"/>
        <w:i w:val="0"/>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ascii="Times New Roman" w:hAnsi="Times New Roman" w:cs="Times New Roman" w:hint="default"/>
        <w:sz w:val="24"/>
        <w:szCs w:val="24"/>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00C1B98"/>
    <w:multiLevelType w:val="multilevel"/>
    <w:tmpl w:val="A5308B78"/>
    <w:lvl w:ilvl="0">
      <w:start w:val="10"/>
      <w:numFmt w:val="decimal"/>
      <w:lvlText w:val="%1."/>
      <w:lvlJc w:val="left"/>
      <w:pPr>
        <w:ind w:left="480" w:hanging="480"/>
      </w:pPr>
      <w:rPr>
        <w:rFonts w:eastAsiaTheme="minorHAnsi" w:hint="default"/>
        <w:i/>
      </w:rPr>
    </w:lvl>
    <w:lvl w:ilvl="1">
      <w:start w:val="1"/>
      <w:numFmt w:val="decimal"/>
      <w:lvlText w:val="%1.%2."/>
      <w:lvlJc w:val="left"/>
      <w:pPr>
        <w:ind w:left="2280" w:hanging="480"/>
      </w:pPr>
      <w:rPr>
        <w:rFonts w:eastAsiaTheme="minorHAnsi" w:hint="default"/>
        <w:i w:val="0"/>
      </w:rPr>
    </w:lvl>
    <w:lvl w:ilvl="2">
      <w:start w:val="1"/>
      <w:numFmt w:val="decimal"/>
      <w:lvlText w:val="%1.%2.%3."/>
      <w:lvlJc w:val="left"/>
      <w:pPr>
        <w:ind w:left="4320" w:hanging="720"/>
      </w:pPr>
      <w:rPr>
        <w:rFonts w:eastAsiaTheme="minorHAnsi" w:hint="default"/>
        <w:i/>
      </w:rPr>
    </w:lvl>
    <w:lvl w:ilvl="3">
      <w:start w:val="1"/>
      <w:numFmt w:val="decimal"/>
      <w:lvlText w:val="%1.%2.%3.%4."/>
      <w:lvlJc w:val="left"/>
      <w:pPr>
        <w:ind w:left="6120" w:hanging="720"/>
      </w:pPr>
      <w:rPr>
        <w:rFonts w:eastAsiaTheme="minorHAnsi" w:hint="default"/>
        <w:i/>
      </w:rPr>
    </w:lvl>
    <w:lvl w:ilvl="4">
      <w:start w:val="1"/>
      <w:numFmt w:val="decimal"/>
      <w:lvlText w:val="%1.%2.%3.%4.%5."/>
      <w:lvlJc w:val="left"/>
      <w:pPr>
        <w:ind w:left="8280" w:hanging="1080"/>
      </w:pPr>
      <w:rPr>
        <w:rFonts w:eastAsiaTheme="minorHAnsi" w:hint="default"/>
        <w:i/>
      </w:rPr>
    </w:lvl>
    <w:lvl w:ilvl="5">
      <w:start w:val="1"/>
      <w:numFmt w:val="decimal"/>
      <w:lvlText w:val="%1.%2.%3.%4.%5.%6."/>
      <w:lvlJc w:val="left"/>
      <w:pPr>
        <w:ind w:left="10080" w:hanging="1080"/>
      </w:pPr>
      <w:rPr>
        <w:rFonts w:eastAsiaTheme="minorHAnsi" w:hint="default"/>
        <w:i/>
      </w:rPr>
    </w:lvl>
    <w:lvl w:ilvl="6">
      <w:start w:val="1"/>
      <w:numFmt w:val="decimal"/>
      <w:lvlText w:val="%1.%2.%3.%4.%5.%6.%7."/>
      <w:lvlJc w:val="left"/>
      <w:pPr>
        <w:ind w:left="12240" w:hanging="1440"/>
      </w:pPr>
      <w:rPr>
        <w:rFonts w:eastAsiaTheme="minorHAnsi" w:hint="default"/>
        <w:i/>
      </w:rPr>
    </w:lvl>
    <w:lvl w:ilvl="7">
      <w:start w:val="1"/>
      <w:numFmt w:val="decimal"/>
      <w:lvlText w:val="%1.%2.%3.%4.%5.%6.%7.%8."/>
      <w:lvlJc w:val="left"/>
      <w:pPr>
        <w:ind w:left="14040" w:hanging="1440"/>
      </w:pPr>
      <w:rPr>
        <w:rFonts w:eastAsiaTheme="minorHAnsi" w:hint="default"/>
        <w:i/>
      </w:rPr>
    </w:lvl>
    <w:lvl w:ilvl="8">
      <w:start w:val="1"/>
      <w:numFmt w:val="decimal"/>
      <w:lvlText w:val="%1.%2.%3.%4.%5.%6.%7.%8.%9."/>
      <w:lvlJc w:val="left"/>
      <w:pPr>
        <w:ind w:left="16200" w:hanging="1800"/>
      </w:pPr>
      <w:rPr>
        <w:rFonts w:eastAsiaTheme="minorHAnsi" w:hint="default"/>
        <w:i/>
      </w:rPr>
    </w:lvl>
  </w:abstractNum>
  <w:abstractNum w:abstractNumId="11" w15:restartNumberingAfterBreak="0">
    <w:nsid w:val="506D3D71"/>
    <w:multiLevelType w:val="hybridMultilevel"/>
    <w:tmpl w:val="EAB0F5E0"/>
    <w:lvl w:ilvl="0" w:tplc="198434E6">
      <w:start w:val="1"/>
      <w:numFmt w:val="upperLetter"/>
      <w:lvlText w:val="%1."/>
      <w:lvlJc w:val="left"/>
      <w:pPr>
        <w:ind w:left="1080" w:hanging="360"/>
      </w:pPr>
      <w:rPr>
        <w:rFonts w:eastAsiaTheme="minorHAnsi" w:hint="default"/>
        <w:i/>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2" w15:restartNumberingAfterBreak="0">
    <w:nsid w:val="54A33A13"/>
    <w:multiLevelType w:val="multilevel"/>
    <w:tmpl w:val="5450D6D8"/>
    <w:lvl w:ilvl="0">
      <w:start w:val="1"/>
      <w:numFmt w:val="decimal"/>
      <w:lvlText w:val="%1."/>
      <w:lvlJc w:val="left"/>
      <w:pPr>
        <w:ind w:left="720" w:hanging="360"/>
      </w:pPr>
      <w:rPr>
        <w:rFonts w:ascii="Times New Roman" w:hAnsi="Times New Roman" w:cs="Times New Roman" w:hint="default"/>
        <w:b w:val="0"/>
        <w:i w:val="0"/>
        <w:sz w:val="24"/>
        <w:szCs w:val="24"/>
      </w:rPr>
    </w:lvl>
    <w:lvl w:ilvl="1">
      <w:start w:val="1"/>
      <w:numFmt w:val="decimal"/>
      <w:isLgl/>
      <w:lvlText w:val="%1.%2."/>
      <w:lvlJc w:val="left"/>
      <w:pPr>
        <w:ind w:left="1080" w:hanging="72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440" w:hanging="108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800" w:hanging="144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2160" w:hanging="1800"/>
      </w:pPr>
      <w:rPr>
        <w:rFonts w:hint="default"/>
        <w:i/>
      </w:rPr>
    </w:lvl>
    <w:lvl w:ilvl="8">
      <w:start w:val="1"/>
      <w:numFmt w:val="decimal"/>
      <w:isLgl/>
      <w:lvlText w:val="%1.%2.%3.%4.%5.%6.%7.%8.%9."/>
      <w:lvlJc w:val="left"/>
      <w:pPr>
        <w:ind w:left="2160" w:hanging="1800"/>
      </w:pPr>
      <w:rPr>
        <w:rFonts w:hint="default"/>
        <w:i/>
      </w:rPr>
    </w:lvl>
  </w:abstractNum>
  <w:abstractNum w:abstractNumId="13" w15:restartNumberingAfterBreak="0">
    <w:nsid w:val="5B1E635E"/>
    <w:multiLevelType w:val="hybridMultilevel"/>
    <w:tmpl w:val="559CD442"/>
    <w:lvl w:ilvl="0" w:tplc="0D2212BA">
      <w:start w:val="1"/>
      <w:numFmt w:val="decimal"/>
      <w:lvlText w:val="%1."/>
      <w:lvlJc w:val="left"/>
      <w:pPr>
        <w:ind w:left="6456" w:hanging="360"/>
      </w:pPr>
      <w:rPr>
        <w:rFonts w:hint="default"/>
        <w:b w:val="0"/>
        <w:i w:val="0"/>
        <w:i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ECB6BDD"/>
    <w:multiLevelType w:val="hybridMultilevel"/>
    <w:tmpl w:val="EF122748"/>
    <w:lvl w:ilvl="0" w:tplc="2C2E3EA6">
      <w:start w:val="1"/>
      <w:numFmt w:val="upperLetter"/>
      <w:lvlText w:val="%1."/>
      <w:lvlJc w:val="left"/>
      <w:pPr>
        <w:ind w:left="1080" w:hanging="360"/>
      </w:pPr>
      <w:rPr>
        <w:rFonts w:eastAsiaTheme="minorHAnsi" w:hint="default"/>
        <w:i/>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5" w15:restartNumberingAfterBreak="0">
    <w:nsid w:val="77345630"/>
    <w:multiLevelType w:val="hybridMultilevel"/>
    <w:tmpl w:val="4BAA0900"/>
    <w:lvl w:ilvl="0" w:tplc="8D94E418">
      <w:start w:val="11"/>
      <w:numFmt w:val="decimal"/>
      <w:lvlText w:val="%1."/>
      <w:lvlJc w:val="left"/>
      <w:pPr>
        <w:ind w:left="78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7B24AA0"/>
    <w:multiLevelType w:val="multilevel"/>
    <w:tmpl w:val="0B8421B6"/>
    <w:lvl w:ilvl="0">
      <w:start w:val="1"/>
      <w:numFmt w:val="decimal"/>
      <w:lvlText w:val="%1."/>
      <w:lvlJc w:val="left"/>
      <w:pPr>
        <w:ind w:left="1260" w:hanging="360"/>
      </w:pPr>
      <w:rPr>
        <w:rFonts w:ascii="Times New Roman" w:hAnsi="Times New Roman" w:cs="Times New Roman" w:hint="default"/>
        <w:b w:val="0"/>
        <w:i w:val="0"/>
        <w:sz w:val="24"/>
        <w:szCs w:val="24"/>
      </w:rPr>
    </w:lvl>
    <w:lvl w:ilvl="1">
      <w:start w:val="1"/>
      <w:numFmt w:val="decimal"/>
      <w:isLgl/>
      <w:lvlText w:val="%1.%2."/>
      <w:lvlJc w:val="left"/>
      <w:pPr>
        <w:ind w:left="720" w:hanging="36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17" w15:restartNumberingAfterBreak="0">
    <w:nsid w:val="7E8D28DA"/>
    <w:multiLevelType w:val="multilevel"/>
    <w:tmpl w:val="5D6A4212"/>
    <w:lvl w:ilvl="0">
      <w:start w:val="11"/>
      <w:numFmt w:val="decimal"/>
      <w:lvlText w:val="%1."/>
      <w:lvlJc w:val="left"/>
      <w:pPr>
        <w:ind w:left="480" w:hanging="480"/>
      </w:pPr>
      <w:rPr>
        <w:rFonts w:ascii="Times New Roman" w:eastAsiaTheme="minorHAnsi" w:hAnsi="Times New Roman" w:cs="Times New Roman" w:hint="default"/>
        <w:i w:val="0"/>
        <w:sz w:val="24"/>
        <w:szCs w:val="24"/>
      </w:rPr>
    </w:lvl>
    <w:lvl w:ilvl="1">
      <w:start w:val="1"/>
      <w:numFmt w:val="decimal"/>
      <w:lvlText w:val="%1.%2."/>
      <w:lvlJc w:val="left"/>
      <w:pPr>
        <w:ind w:left="2190" w:hanging="480"/>
      </w:pPr>
      <w:rPr>
        <w:rFonts w:eastAsiaTheme="minorHAnsi" w:hint="default"/>
        <w:i w:val="0"/>
      </w:rPr>
    </w:lvl>
    <w:lvl w:ilvl="2">
      <w:start w:val="1"/>
      <w:numFmt w:val="decimal"/>
      <w:lvlText w:val="%1.%2.%3."/>
      <w:lvlJc w:val="left"/>
      <w:pPr>
        <w:ind w:left="4140" w:hanging="720"/>
      </w:pPr>
      <w:rPr>
        <w:rFonts w:eastAsiaTheme="minorHAnsi" w:hint="default"/>
        <w:i w:val="0"/>
      </w:rPr>
    </w:lvl>
    <w:lvl w:ilvl="3">
      <w:start w:val="1"/>
      <w:numFmt w:val="decimal"/>
      <w:lvlText w:val="%1.%2.%3.%4."/>
      <w:lvlJc w:val="left"/>
      <w:pPr>
        <w:ind w:left="5850" w:hanging="720"/>
      </w:pPr>
      <w:rPr>
        <w:rFonts w:eastAsiaTheme="minorHAnsi" w:hint="default"/>
        <w:i/>
      </w:rPr>
    </w:lvl>
    <w:lvl w:ilvl="4">
      <w:start w:val="1"/>
      <w:numFmt w:val="decimal"/>
      <w:lvlText w:val="%1.%2.%3.%4.%5."/>
      <w:lvlJc w:val="left"/>
      <w:pPr>
        <w:ind w:left="7920" w:hanging="1080"/>
      </w:pPr>
      <w:rPr>
        <w:rFonts w:eastAsiaTheme="minorHAnsi" w:hint="default"/>
        <w:i/>
      </w:rPr>
    </w:lvl>
    <w:lvl w:ilvl="5">
      <w:start w:val="1"/>
      <w:numFmt w:val="decimal"/>
      <w:lvlText w:val="%1.%2.%3.%4.%5.%6."/>
      <w:lvlJc w:val="left"/>
      <w:pPr>
        <w:ind w:left="9630" w:hanging="1080"/>
      </w:pPr>
      <w:rPr>
        <w:rFonts w:eastAsiaTheme="minorHAnsi" w:hint="default"/>
        <w:i/>
      </w:rPr>
    </w:lvl>
    <w:lvl w:ilvl="6">
      <w:start w:val="1"/>
      <w:numFmt w:val="decimal"/>
      <w:lvlText w:val="%1.%2.%3.%4.%5.%6.%7."/>
      <w:lvlJc w:val="left"/>
      <w:pPr>
        <w:ind w:left="11700" w:hanging="1440"/>
      </w:pPr>
      <w:rPr>
        <w:rFonts w:eastAsiaTheme="minorHAnsi" w:hint="default"/>
        <w:i/>
      </w:rPr>
    </w:lvl>
    <w:lvl w:ilvl="7">
      <w:start w:val="1"/>
      <w:numFmt w:val="decimal"/>
      <w:lvlText w:val="%1.%2.%3.%4.%5.%6.%7.%8."/>
      <w:lvlJc w:val="left"/>
      <w:pPr>
        <w:ind w:left="13410" w:hanging="1440"/>
      </w:pPr>
      <w:rPr>
        <w:rFonts w:eastAsiaTheme="minorHAnsi" w:hint="default"/>
        <w:i/>
      </w:rPr>
    </w:lvl>
    <w:lvl w:ilvl="8">
      <w:start w:val="1"/>
      <w:numFmt w:val="decimal"/>
      <w:lvlText w:val="%1.%2.%3.%4.%5.%6.%7.%8.%9."/>
      <w:lvlJc w:val="left"/>
      <w:pPr>
        <w:ind w:left="15480" w:hanging="1800"/>
      </w:pPr>
      <w:rPr>
        <w:rFonts w:eastAsiaTheme="minorHAnsi" w:hint="default"/>
        <w:i/>
      </w:rPr>
    </w:lvl>
  </w:abstractNum>
  <w:abstractNum w:abstractNumId="18" w15:restartNumberingAfterBreak="0">
    <w:nsid w:val="7F8A1AA7"/>
    <w:multiLevelType w:val="hybridMultilevel"/>
    <w:tmpl w:val="48D2304A"/>
    <w:lvl w:ilvl="0" w:tplc="673A91EE">
      <w:start w:val="29"/>
      <w:numFmt w:val="decimal"/>
      <w:lvlText w:val="%1."/>
      <w:lvlJc w:val="left"/>
      <w:pPr>
        <w:ind w:left="1440" w:hanging="360"/>
      </w:pPr>
      <w:rPr>
        <w:rFonts w:ascii="Times New Roman" w:eastAsia="Times New Roman" w:hAnsi="Times New Roman" w:cs="Times New Roman" w:hint="default"/>
        <w:b w:val="0"/>
        <w:i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2"/>
  </w:num>
  <w:num w:numId="2">
    <w:abstractNumId w:val="8"/>
  </w:num>
  <w:num w:numId="3">
    <w:abstractNumId w:val="7"/>
  </w:num>
  <w:num w:numId="4">
    <w:abstractNumId w:val="11"/>
  </w:num>
  <w:num w:numId="5">
    <w:abstractNumId w:val="1"/>
  </w:num>
  <w:num w:numId="6">
    <w:abstractNumId w:val="10"/>
  </w:num>
  <w:num w:numId="7">
    <w:abstractNumId w:val="17"/>
  </w:num>
  <w:num w:numId="8">
    <w:abstractNumId w:val="18"/>
    <w:lvlOverride w:ilvl="0">
      <w:startOverride w:val="2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16"/>
  </w:num>
  <w:num w:numId="11">
    <w:abstractNumId w:val="2"/>
  </w:num>
  <w:num w:numId="12">
    <w:abstractNumId w:val="3"/>
  </w:num>
  <w:num w:numId="13">
    <w:abstractNumId w:val="14"/>
  </w:num>
  <w:num w:numId="14">
    <w:abstractNumId w:val="12"/>
  </w:num>
  <w:num w:numId="15">
    <w:abstractNumId w:val="13"/>
  </w:num>
  <w:num w:numId="16">
    <w:abstractNumId w:val="9"/>
  </w:num>
  <w:num w:numId="17">
    <w:abstractNumId w:val="4"/>
  </w:num>
  <w:num w:numId="18">
    <w:abstractNumId w:val="15"/>
  </w:num>
  <w:num w:numId="19">
    <w:abstractNumId w:val="5"/>
  </w:num>
  <w:num w:numId="20">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D4E"/>
    <w:rsid w:val="00001D24"/>
    <w:rsid w:val="0001003D"/>
    <w:rsid w:val="00015CA2"/>
    <w:rsid w:val="00020C78"/>
    <w:rsid w:val="00023205"/>
    <w:rsid w:val="00034FE2"/>
    <w:rsid w:val="00037587"/>
    <w:rsid w:val="000375B3"/>
    <w:rsid w:val="00041EBE"/>
    <w:rsid w:val="0004243C"/>
    <w:rsid w:val="00042B54"/>
    <w:rsid w:val="000455EE"/>
    <w:rsid w:val="000514D0"/>
    <w:rsid w:val="00056CA4"/>
    <w:rsid w:val="00061337"/>
    <w:rsid w:val="00062056"/>
    <w:rsid w:val="00062EE6"/>
    <w:rsid w:val="0007313C"/>
    <w:rsid w:val="00077374"/>
    <w:rsid w:val="00086510"/>
    <w:rsid w:val="000871FA"/>
    <w:rsid w:val="000903B5"/>
    <w:rsid w:val="00096CA9"/>
    <w:rsid w:val="000A095E"/>
    <w:rsid w:val="000A2FA1"/>
    <w:rsid w:val="000D6CC1"/>
    <w:rsid w:val="000E60D4"/>
    <w:rsid w:val="000F4367"/>
    <w:rsid w:val="000F5C85"/>
    <w:rsid w:val="000F6791"/>
    <w:rsid w:val="0010219C"/>
    <w:rsid w:val="001233D6"/>
    <w:rsid w:val="00124218"/>
    <w:rsid w:val="001279DD"/>
    <w:rsid w:val="001340BA"/>
    <w:rsid w:val="00140EB9"/>
    <w:rsid w:val="001444FA"/>
    <w:rsid w:val="00145047"/>
    <w:rsid w:val="00145CB3"/>
    <w:rsid w:val="001464C9"/>
    <w:rsid w:val="00153456"/>
    <w:rsid w:val="00157F1A"/>
    <w:rsid w:val="00163FED"/>
    <w:rsid w:val="00164A6A"/>
    <w:rsid w:val="00171408"/>
    <w:rsid w:val="00172897"/>
    <w:rsid w:val="00173F50"/>
    <w:rsid w:val="001817B4"/>
    <w:rsid w:val="001833C9"/>
    <w:rsid w:val="0018355D"/>
    <w:rsid w:val="001876CC"/>
    <w:rsid w:val="001A3EE8"/>
    <w:rsid w:val="001A4DF9"/>
    <w:rsid w:val="001B24B5"/>
    <w:rsid w:val="001B5B04"/>
    <w:rsid w:val="001B73E5"/>
    <w:rsid w:val="001D7E4B"/>
    <w:rsid w:val="001E245D"/>
    <w:rsid w:val="00200130"/>
    <w:rsid w:val="002052F5"/>
    <w:rsid w:val="00205724"/>
    <w:rsid w:val="00207132"/>
    <w:rsid w:val="00210185"/>
    <w:rsid w:val="00234F9C"/>
    <w:rsid w:val="00256399"/>
    <w:rsid w:val="00266DB8"/>
    <w:rsid w:val="00283FB5"/>
    <w:rsid w:val="0028760B"/>
    <w:rsid w:val="002A0FB7"/>
    <w:rsid w:val="002A3828"/>
    <w:rsid w:val="002B36CB"/>
    <w:rsid w:val="002B39FB"/>
    <w:rsid w:val="002C692B"/>
    <w:rsid w:val="002D36B8"/>
    <w:rsid w:val="002E1223"/>
    <w:rsid w:val="002E1CCF"/>
    <w:rsid w:val="002F0BA1"/>
    <w:rsid w:val="002F260F"/>
    <w:rsid w:val="002F5DCB"/>
    <w:rsid w:val="00304C8A"/>
    <w:rsid w:val="00314DC4"/>
    <w:rsid w:val="00315442"/>
    <w:rsid w:val="00315808"/>
    <w:rsid w:val="00315C9E"/>
    <w:rsid w:val="00317559"/>
    <w:rsid w:val="0032653D"/>
    <w:rsid w:val="00334FE9"/>
    <w:rsid w:val="003404DE"/>
    <w:rsid w:val="003445EC"/>
    <w:rsid w:val="00354388"/>
    <w:rsid w:val="00357E7F"/>
    <w:rsid w:val="00362823"/>
    <w:rsid w:val="003712A2"/>
    <w:rsid w:val="00376083"/>
    <w:rsid w:val="0038119D"/>
    <w:rsid w:val="00383FD4"/>
    <w:rsid w:val="0038673C"/>
    <w:rsid w:val="00396C0D"/>
    <w:rsid w:val="003A07DD"/>
    <w:rsid w:val="003A0BF1"/>
    <w:rsid w:val="003A7DEB"/>
    <w:rsid w:val="003B298A"/>
    <w:rsid w:val="003B7A1C"/>
    <w:rsid w:val="003C2E1D"/>
    <w:rsid w:val="003C3997"/>
    <w:rsid w:val="003C3CF4"/>
    <w:rsid w:val="003C7201"/>
    <w:rsid w:val="003D06CF"/>
    <w:rsid w:val="003D0BFB"/>
    <w:rsid w:val="003D1D4C"/>
    <w:rsid w:val="003D2B0F"/>
    <w:rsid w:val="003D5B2D"/>
    <w:rsid w:val="003E3C37"/>
    <w:rsid w:val="003E4F1B"/>
    <w:rsid w:val="003E524F"/>
    <w:rsid w:val="003E55DC"/>
    <w:rsid w:val="003E7E24"/>
    <w:rsid w:val="004029ED"/>
    <w:rsid w:val="00413B56"/>
    <w:rsid w:val="00426E31"/>
    <w:rsid w:val="00440D4E"/>
    <w:rsid w:val="004441E7"/>
    <w:rsid w:val="00455097"/>
    <w:rsid w:val="00464229"/>
    <w:rsid w:val="00481268"/>
    <w:rsid w:val="004A561C"/>
    <w:rsid w:val="004B4041"/>
    <w:rsid w:val="004C2828"/>
    <w:rsid w:val="004C35AF"/>
    <w:rsid w:val="004C65DD"/>
    <w:rsid w:val="004C6F95"/>
    <w:rsid w:val="004D7761"/>
    <w:rsid w:val="004E2E98"/>
    <w:rsid w:val="004F5E67"/>
    <w:rsid w:val="005031C4"/>
    <w:rsid w:val="005034B0"/>
    <w:rsid w:val="00505EAE"/>
    <w:rsid w:val="00516691"/>
    <w:rsid w:val="00523C0B"/>
    <w:rsid w:val="00525F02"/>
    <w:rsid w:val="0053044F"/>
    <w:rsid w:val="00534F87"/>
    <w:rsid w:val="00536D09"/>
    <w:rsid w:val="0054325A"/>
    <w:rsid w:val="00557290"/>
    <w:rsid w:val="00562EDE"/>
    <w:rsid w:val="00565F08"/>
    <w:rsid w:val="00580965"/>
    <w:rsid w:val="005864A8"/>
    <w:rsid w:val="005909A2"/>
    <w:rsid w:val="00596BDB"/>
    <w:rsid w:val="005A5602"/>
    <w:rsid w:val="005C1701"/>
    <w:rsid w:val="005D4841"/>
    <w:rsid w:val="005E157B"/>
    <w:rsid w:val="005E6A71"/>
    <w:rsid w:val="005F50CA"/>
    <w:rsid w:val="00620A9F"/>
    <w:rsid w:val="00624B17"/>
    <w:rsid w:val="00631057"/>
    <w:rsid w:val="00631D86"/>
    <w:rsid w:val="0063238C"/>
    <w:rsid w:val="00653DB1"/>
    <w:rsid w:val="006540C6"/>
    <w:rsid w:val="00661709"/>
    <w:rsid w:val="00665CBF"/>
    <w:rsid w:val="006707A4"/>
    <w:rsid w:val="006728EF"/>
    <w:rsid w:val="006A1BB8"/>
    <w:rsid w:val="006A2ADF"/>
    <w:rsid w:val="006A3015"/>
    <w:rsid w:val="006B4779"/>
    <w:rsid w:val="006B5B34"/>
    <w:rsid w:val="006C3BE4"/>
    <w:rsid w:val="006C7FF6"/>
    <w:rsid w:val="006E4F63"/>
    <w:rsid w:val="006E5E40"/>
    <w:rsid w:val="006F0D4B"/>
    <w:rsid w:val="006F0DF8"/>
    <w:rsid w:val="006F13C0"/>
    <w:rsid w:val="006F2360"/>
    <w:rsid w:val="006F24B6"/>
    <w:rsid w:val="0070431F"/>
    <w:rsid w:val="00711998"/>
    <w:rsid w:val="00716AC7"/>
    <w:rsid w:val="00721348"/>
    <w:rsid w:val="00736949"/>
    <w:rsid w:val="00742049"/>
    <w:rsid w:val="0074479D"/>
    <w:rsid w:val="0074639C"/>
    <w:rsid w:val="00750147"/>
    <w:rsid w:val="0075612C"/>
    <w:rsid w:val="00757D5E"/>
    <w:rsid w:val="00760514"/>
    <w:rsid w:val="00765E08"/>
    <w:rsid w:val="00766EAC"/>
    <w:rsid w:val="0078137C"/>
    <w:rsid w:val="007813ED"/>
    <w:rsid w:val="00787612"/>
    <w:rsid w:val="0079222F"/>
    <w:rsid w:val="00793304"/>
    <w:rsid w:val="0079405D"/>
    <w:rsid w:val="007A48E2"/>
    <w:rsid w:val="007B379C"/>
    <w:rsid w:val="007B49C1"/>
    <w:rsid w:val="007C0092"/>
    <w:rsid w:val="007C3A09"/>
    <w:rsid w:val="007C5224"/>
    <w:rsid w:val="007C6FB9"/>
    <w:rsid w:val="007D0FB9"/>
    <w:rsid w:val="007E51F1"/>
    <w:rsid w:val="007F299B"/>
    <w:rsid w:val="007F4A25"/>
    <w:rsid w:val="0080075D"/>
    <w:rsid w:val="00822E6A"/>
    <w:rsid w:val="00823EC8"/>
    <w:rsid w:val="00832BD4"/>
    <w:rsid w:val="00837612"/>
    <w:rsid w:val="008402D4"/>
    <w:rsid w:val="00842158"/>
    <w:rsid w:val="00844130"/>
    <w:rsid w:val="008476DC"/>
    <w:rsid w:val="00855F01"/>
    <w:rsid w:val="0085659F"/>
    <w:rsid w:val="00863FD7"/>
    <w:rsid w:val="0086408C"/>
    <w:rsid w:val="00870961"/>
    <w:rsid w:val="00874A23"/>
    <w:rsid w:val="00876DF8"/>
    <w:rsid w:val="00886628"/>
    <w:rsid w:val="00894C5C"/>
    <w:rsid w:val="008A0EDE"/>
    <w:rsid w:val="008C0E38"/>
    <w:rsid w:val="008C2110"/>
    <w:rsid w:val="008D4179"/>
    <w:rsid w:val="008E46F5"/>
    <w:rsid w:val="008E71F7"/>
    <w:rsid w:val="008F1E2E"/>
    <w:rsid w:val="008F3F09"/>
    <w:rsid w:val="009012A4"/>
    <w:rsid w:val="00914AD0"/>
    <w:rsid w:val="00915722"/>
    <w:rsid w:val="009175E7"/>
    <w:rsid w:val="009229A0"/>
    <w:rsid w:val="0093018B"/>
    <w:rsid w:val="00934B2C"/>
    <w:rsid w:val="009377FF"/>
    <w:rsid w:val="00945575"/>
    <w:rsid w:val="00955F23"/>
    <w:rsid w:val="00956829"/>
    <w:rsid w:val="009640C3"/>
    <w:rsid w:val="009842E5"/>
    <w:rsid w:val="0098697F"/>
    <w:rsid w:val="00991377"/>
    <w:rsid w:val="00997ACC"/>
    <w:rsid w:val="009A04DF"/>
    <w:rsid w:val="009B0C36"/>
    <w:rsid w:val="009C0305"/>
    <w:rsid w:val="009C2E51"/>
    <w:rsid w:val="009C3C51"/>
    <w:rsid w:val="009C618B"/>
    <w:rsid w:val="009D4CAF"/>
    <w:rsid w:val="009E1670"/>
    <w:rsid w:val="009E21FC"/>
    <w:rsid w:val="009F3C5C"/>
    <w:rsid w:val="009F3D71"/>
    <w:rsid w:val="00A00A44"/>
    <w:rsid w:val="00A12B46"/>
    <w:rsid w:val="00A12D95"/>
    <w:rsid w:val="00A14FDB"/>
    <w:rsid w:val="00A1703F"/>
    <w:rsid w:val="00A214B6"/>
    <w:rsid w:val="00A21E47"/>
    <w:rsid w:val="00A27590"/>
    <w:rsid w:val="00A27B16"/>
    <w:rsid w:val="00A31432"/>
    <w:rsid w:val="00A40283"/>
    <w:rsid w:val="00A438DF"/>
    <w:rsid w:val="00A43B7F"/>
    <w:rsid w:val="00A44E22"/>
    <w:rsid w:val="00A5532B"/>
    <w:rsid w:val="00A57EB9"/>
    <w:rsid w:val="00A6035A"/>
    <w:rsid w:val="00A65CAA"/>
    <w:rsid w:val="00A73056"/>
    <w:rsid w:val="00A74D7C"/>
    <w:rsid w:val="00A77A69"/>
    <w:rsid w:val="00A83FC3"/>
    <w:rsid w:val="00A84E6C"/>
    <w:rsid w:val="00A8606D"/>
    <w:rsid w:val="00A8651F"/>
    <w:rsid w:val="00A93F92"/>
    <w:rsid w:val="00AA1EF7"/>
    <w:rsid w:val="00AA1FC3"/>
    <w:rsid w:val="00AA3D8F"/>
    <w:rsid w:val="00AB2509"/>
    <w:rsid w:val="00AD177D"/>
    <w:rsid w:val="00AE0A6D"/>
    <w:rsid w:val="00AF05E0"/>
    <w:rsid w:val="00B07653"/>
    <w:rsid w:val="00B15E39"/>
    <w:rsid w:val="00B30BAB"/>
    <w:rsid w:val="00B3419F"/>
    <w:rsid w:val="00B57C3B"/>
    <w:rsid w:val="00B63788"/>
    <w:rsid w:val="00B718A9"/>
    <w:rsid w:val="00B72402"/>
    <w:rsid w:val="00B77503"/>
    <w:rsid w:val="00B8048E"/>
    <w:rsid w:val="00B81557"/>
    <w:rsid w:val="00B841E3"/>
    <w:rsid w:val="00B86E4A"/>
    <w:rsid w:val="00B91722"/>
    <w:rsid w:val="00B9194A"/>
    <w:rsid w:val="00B96047"/>
    <w:rsid w:val="00BA280D"/>
    <w:rsid w:val="00BA6CF8"/>
    <w:rsid w:val="00BB33BB"/>
    <w:rsid w:val="00BB5CAD"/>
    <w:rsid w:val="00BC10C4"/>
    <w:rsid w:val="00BC38BF"/>
    <w:rsid w:val="00BC3B9C"/>
    <w:rsid w:val="00BC3FAA"/>
    <w:rsid w:val="00BE1D8F"/>
    <w:rsid w:val="00BE64BF"/>
    <w:rsid w:val="00BF1EA6"/>
    <w:rsid w:val="00BF2DB8"/>
    <w:rsid w:val="00BF6465"/>
    <w:rsid w:val="00C05775"/>
    <w:rsid w:val="00C12FDD"/>
    <w:rsid w:val="00C1615E"/>
    <w:rsid w:val="00C33997"/>
    <w:rsid w:val="00C52F93"/>
    <w:rsid w:val="00C71523"/>
    <w:rsid w:val="00C715FB"/>
    <w:rsid w:val="00C93597"/>
    <w:rsid w:val="00CA5ADA"/>
    <w:rsid w:val="00CB14B9"/>
    <w:rsid w:val="00CC1A61"/>
    <w:rsid w:val="00CC3ADC"/>
    <w:rsid w:val="00CC5A14"/>
    <w:rsid w:val="00CD153E"/>
    <w:rsid w:val="00CD479D"/>
    <w:rsid w:val="00CE3EAF"/>
    <w:rsid w:val="00CF4D02"/>
    <w:rsid w:val="00CF7C79"/>
    <w:rsid w:val="00D026D5"/>
    <w:rsid w:val="00D16812"/>
    <w:rsid w:val="00D25629"/>
    <w:rsid w:val="00D375B3"/>
    <w:rsid w:val="00D42D40"/>
    <w:rsid w:val="00D536B8"/>
    <w:rsid w:val="00D54EEE"/>
    <w:rsid w:val="00D62FAC"/>
    <w:rsid w:val="00D63134"/>
    <w:rsid w:val="00D63C32"/>
    <w:rsid w:val="00D66BA9"/>
    <w:rsid w:val="00D70FA1"/>
    <w:rsid w:val="00D767FD"/>
    <w:rsid w:val="00D77E5F"/>
    <w:rsid w:val="00D8155C"/>
    <w:rsid w:val="00D82CBE"/>
    <w:rsid w:val="00D93DC1"/>
    <w:rsid w:val="00D96D3B"/>
    <w:rsid w:val="00DA0187"/>
    <w:rsid w:val="00DA38A7"/>
    <w:rsid w:val="00DA58DE"/>
    <w:rsid w:val="00DB00FA"/>
    <w:rsid w:val="00DB023E"/>
    <w:rsid w:val="00DB232F"/>
    <w:rsid w:val="00DB24C3"/>
    <w:rsid w:val="00DC1029"/>
    <w:rsid w:val="00DC12DB"/>
    <w:rsid w:val="00DC6BAF"/>
    <w:rsid w:val="00DC7574"/>
    <w:rsid w:val="00DC7E02"/>
    <w:rsid w:val="00DE67B8"/>
    <w:rsid w:val="00E0667A"/>
    <w:rsid w:val="00E13898"/>
    <w:rsid w:val="00E30C64"/>
    <w:rsid w:val="00E31272"/>
    <w:rsid w:val="00E36BAF"/>
    <w:rsid w:val="00E434A7"/>
    <w:rsid w:val="00E563AD"/>
    <w:rsid w:val="00E6036C"/>
    <w:rsid w:val="00E7406F"/>
    <w:rsid w:val="00E76B54"/>
    <w:rsid w:val="00E77D22"/>
    <w:rsid w:val="00E82154"/>
    <w:rsid w:val="00E90410"/>
    <w:rsid w:val="00E90D75"/>
    <w:rsid w:val="00E95115"/>
    <w:rsid w:val="00E9653E"/>
    <w:rsid w:val="00E96A6C"/>
    <w:rsid w:val="00EA0145"/>
    <w:rsid w:val="00EA02A6"/>
    <w:rsid w:val="00EA1A3C"/>
    <w:rsid w:val="00EB3E14"/>
    <w:rsid w:val="00EB49A9"/>
    <w:rsid w:val="00EB6E59"/>
    <w:rsid w:val="00EC2294"/>
    <w:rsid w:val="00EE1B28"/>
    <w:rsid w:val="00EE2CF9"/>
    <w:rsid w:val="00EF2C8F"/>
    <w:rsid w:val="00EF647C"/>
    <w:rsid w:val="00F0623F"/>
    <w:rsid w:val="00F10F65"/>
    <w:rsid w:val="00F24370"/>
    <w:rsid w:val="00F303BE"/>
    <w:rsid w:val="00F31C1D"/>
    <w:rsid w:val="00F332FF"/>
    <w:rsid w:val="00F366BC"/>
    <w:rsid w:val="00F413AC"/>
    <w:rsid w:val="00F41504"/>
    <w:rsid w:val="00F540B5"/>
    <w:rsid w:val="00F542D7"/>
    <w:rsid w:val="00F62DAA"/>
    <w:rsid w:val="00F63C84"/>
    <w:rsid w:val="00F70227"/>
    <w:rsid w:val="00F7231A"/>
    <w:rsid w:val="00F740B5"/>
    <w:rsid w:val="00F93D3F"/>
    <w:rsid w:val="00F94B26"/>
    <w:rsid w:val="00F9680D"/>
    <w:rsid w:val="00F97B4E"/>
    <w:rsid w:val="00FA279E"/>
    <w:rsid w:val="00FA5EAD"/>
    <w:rsid w:val="00FB23B2"/>
    <w:rsid w:val="00FB2EBC"/>
    <w:rsid w:val="00FB736C"/>
    <w:rsid w:val="00FD0DB0"/>
    <w:rsid w:val="00FE5E20"/>
    <w:rsid w:val="00FF12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E31C95F"/>
  <w15:chartTrackingRefBased/>
  <w15:docId w15:val="{07D61AFF-1765-4326-9181-B82E22CEB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paragraph" w:styleId="Heading1">
    <w:name w:val="heading 1"/>
    <w:basedOn w:val="Normal"/>
    <w:next w:val="Normal"/>
    <w:link w:val="Heading1Char"/>
    <w:uiPriority w:val="9"/>
    <w:qFormat/>
    <w:rsid w:val="008C0E38"/>
    <w:pPr>
      <w:keepNext/>
      <w:keepLines/>
      <w:spacing w:before="240" w:after="0" w:line="276" w:lineRule="auto"/>
      <w:outlineLvl w:val="0"/>
    </w:pPr>
    <w:rPr>
      <w:rFonts w:ascii="Calibri Light" w:eastAsia="Times New Roman" w:hAnsi="Calibri Light" w:cs="Times New Roman"/>
      <w:color w:val="2F5496"/>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440D4E"/>
    <w:pPr>
      <w:ind w:left="720"/>
      <w:contextualSpacing/>
    </w:pPr>
    <w:rPr>
      <w:lang w:val="en-US"/>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440D4E"/>
  </w:style>
  <w:style w:type="paragraph" w:styleId="Footer">
    <w:name w:val="footer"/>
    <w:basedOn w:val="Normal"/>
    <w:link w:val="FooterChar"/>
    <w:uiPriority w:val="99"/>
    <w:unhideWhenUsed/>
    <w:rsid w:val="00481268"/>
    <w:pPr>
      <w:tabs>
        <w:tab w:val="center" w:pos="4680"/>
        <w:tab w:val="right" w:pos="9360"/>
      </w:tabs>
      <w:spacing w:after="200" w:line="276" w:lineRule="auto"/>
    </w:pPr>
    <w:rPr>
      <w:rFonts w:ascii="Calibri" w:eastAsia="Calibri" w:hAnsi="Calibri" w:cs="Times New Roman"/>
    </w:rPr>
  </w:style>
  <w:style w:type="character" w:customStyle="1" w:styleId="FooterChar">
    <w:name w:val="Footer Char"/>
    <w:basedOn w:val="DefaultParagraphFont"/>
    <w:link w:val="Footer"/>
    <w:uiPriority w:val="99"/>
    <w:rsid w:val="00481268"/>
    <w:rPr>
      <w:rFonts w:ascii="Calibri" w:eastAsia="Calibri" w:hAnsi="Calibri" w:cs="Times New Roman"/>
      <w:lang w:val="sq-AL"/>
    </w:rPr>
  </w:style>
  <w:style w:type="paragraph" w:styleId="Header">
    <w:name w:val="header"/>
    <w:basedOn w:val="Normal"/>
    <w:link w:val="HeaderChar"/>
    <w:uiPriority w:val="99"/>
    <w:unhideWhenUsed/>
    <w:rsid w:val="00481268"/>
    <w:pPr>
      <w:tabs>
        <w:tab w:val="center" w:pos="4680"/>
        <w:tab w:val="right" w:pos="9360"/>
      </w:tabs>
      <w:spacing w:after="0" w:line="240" w:lineRule="auto"/>
    </w:pPr>
    <w:rPr>
      <w:rFonts w:ascii="Calibri" w:eastAsia="Calibri" w:hAnsi="Calibri" w:cs="Times New Roman"/>
    </w:rPr>
  </w:style>
  <w:style w:type="character" w:customStyle="1" w:styleId="HeaderChar">
    <w:name w:val="Header Char"/>
    <w:basedOn w:val="DefaultParagraphFont"/>
    <w:link w:val="Header"/>
    <w:uiPriority w:val="99"/>
    <w:rsid w:val="00481268"/>
    <w:rPr>
      <w:rFonts w:ascii="Calibri" w:eastAsia="Calibri" w:hAnsi="Calibri" w:cs="Times New Roman"/>
      <w:lang w:val="sq-AL"/>
    </w:rPr>
  </w:style>
  <w:style w:type="character" w:customStyle="1" w:styleId="y2iqfc">
    <w:name w:val="y2iqfc"/>
    <w:rsid w:val="00481268"/>
  </w:style>
  <w:style w:type="paragraph" w:styleId="BodyTextIndent2">
    <w:name w:val="Body Text Indent 2"/>
    <w:basedOn w:val="Normal"/>
    <w:link w:val="BodyTextIndent2Char"/>
    <w:uiPriority w:val="99"/>
    <w:unhideWhenUsed/>
    <w:rsid w:val="00481268"/>
    <w:pPr>
      <w:spacing w:after="120" w:line="480" w:lineRule="auto"/>
      <w:ind w:left="360"/>
    </w:pPr>
  </w:style>
  <w:style w:type="character" w:customStyle="1" w:styleId="BodyTextIndent2Char">
    <w:name w:val="Body Text Indent 2 Char"/>
    <w:basedOn w:val="DefaultParagraphFont"/>
    <w:link w:val="BodyTextIndent2"/>
    <w:uiPriority w:val="99"/>
    <w:rsid w:val="00481268"/>
    <w:rPr>
      <w:lang w:val="sq-AL"/>
    </w:rPr>
  </w:style>
  <w:style w:type="character" w:styleId="CommentReference">
    <w:name w:val="annotation reference"/>
    <w:basedOn w:val="DefaultParagraphFont"/>
    <w:uiPriority w:val="99"/>
    <w:semiHidden/>
    <w:unhideWhenUsed/>
    <w:rsid w:val="00481268"/>
    <w:rPr>
      <w:sz w:val="16"/>
      <w:szCs w:val="16"/>
    </w:rPr>
  </w:style>
  <w:style w:type="paragraph" w:styleId="CommentText">
    <w:name w:val="annotation text"/>
    <w:basedOn w:val="Normal"/>
    <w:link w:val="CommentTextChar"/>
    <w:uiPriority w:val="99"/>
    <w:unhideWhenUsed/>
    <w:rsid w:val="00481268"/>
    <w:pPr>
      <w:spacing w:after="200"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481268"/>
    <w:rPr>
      <w:rFonts w:ascii="Calibri" w:eastAsia="Calibri" w:hAnsi="Calibri"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481268"/>
    <w:rPr>
      <w:b/>
      <w:bCs/>
    </w:rPr>
  </w:style>
  <w:style w:type="character" w:customStyle="1" w:styleId="CommentSubjectChar">
    <w:name w:val="Comment Subject Char"/>
    <w:basedOn w:val="CommentTextChar"/>
    <w:link w:val="CommentSubject"/>
    <w:uiPriority w:val="99"/>
    <w:semiHidden/>
    <w:rsid w:val="00481268"/>
    <w:rPr>
      <w:rFonts w:ascii="Calibri" w:eastAsia="Calibri" w:hAnsi="Calibri" w:cs="Times New Roman"/>
      <w:b/>
      <w:bCs/>
      <w:sz w:val="20"/>
      <w:szCs w:val="20"/>
      <w:lang w:val="sq-AL"/>
    </w:rPr>
  </w:style>
  <w:style w:type="paragraph" w:styleId="BalloonText">
    <w:name w:val="Balloon Text"/>
    <w:basedOn w:val="Normal"/>
    <w:link w:val="BalloonTextChar"/>
    <w:uiPriority w:val="99"/>
    <w:semiHidden/>
    <w:unhideWhenUsed/>
    <w:rsid w:val="00481268"/>
    <w:pPr>
      <w:spacing w:after="0" w:line="240" w:lineRule="auto"/>
    </w:pPr>
    <w:rPr>
      <w:rFonts w:ascii="Segoe UI" w:eastAsia="Calibri" w:hAnsi="Segoe UI" w:cs="Segoe UI"/>
      <w:sz w:val="18"/>
      <w:szCs w:val="18"/>
    </w:rPr>
  </w:style>
  <w:style w:type="character" w:customStyle="1" w:styleId="BalloonTextChar">
    <w:name w:val="Balloon Text Char"/>
    <w:basedOn w:val="DefaultParagraphFont"/>
    <w:link w:val="BalloonText"/>
    <w:uiPriority w:val="99"/>
    <w:semiHidden/>
    <w:rsid w:val="00481268"/>
    <w:rPr>
      <w:rFonts w:ascii="Segoe UI" w:eastAsia="Calibri" w:hAnsi="Segoe UI" w:cs="Segoe UI"/>
      <w:sz w:val="18"/>
      <w:szCs w:val="18"/>
      <w:lang w:val="sq-AL"/>
    </w:rPr>
  </w:style>
  <w:style w:type="paragraph" w:styleId="BodyTextIndent">
    <w:name w:val="Body Text Indent"/>
    <w:basedOn w:val="Normal"/>
    <w:link w:val="BodyTextIndentChar"/>
    <w:uiPriority w:val="99"/>
    <w:semiHidden/>
    <w:unhideWhenUsed/>
    <w:rsid w:val="00481268"/>
    <w:pPr>
      <w:spacing w:after="120" w:line="276" w:lineRule="auto"/>
      <w:ind w:left="360"/>
    </w:pPr>
    <w:rPr>
      <w:rFonts w:ascii="Calibri" w:eastAsia="Calibri" w:hAnsi="Calibri" w:cs="Times New Roman"/>
    </w:rPr>
  </w:style>
  <w:style w:type="character" w:customStyle="1" w:styleId="BodyTextIndentChar">
    <w:name w:val="Body Text Indent Char"/>
    <w:basedOn w:val="DefaultParagraphFont"/>
    <w:link w:val="BodyTextIndent"/>
    <w:uiPriority w:val="99"/>
    <w:semiHidden/>
    <w:rsid w:val="00481268"/>
    <w:rPr>
      <w:rFonts w:ascii="Calibri" w:eastAsia="Calibri" w:hAnsi="Calibri" w:cs="Times New Roman"/>
      <w:lang w:val="sq-AL"/>
    </w:rPr>
  </w:style>
  <w:style w:type="paragraph" w:styleId="NormalWeb">
    <w:name w:val="Normal (Web)"/>
    <w:basedOn w:val="Normal"/>
    <w:uiPriority w:val="99"/>
    <w:unhideWhenUsed/>
    <w:rsid w:val="00481268"/>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BodyText212pt">
    <w:name w:val="Body Text 2 + 12 pt"/>
    <w:aliases w:val="Justified,Line spacing:  1.5 lines"/>
    <w:basedOn w:val="BodyText2"/>
    <w:rsid w:val="00481268"/>
    <w:pPr>
      <w:spacing w:line="360" w:lineRule="auto"/>
      <w:jc w:val="both"/>
    </w:pPr>
    <w:rPr>
      <w:rFonts w:ascii="Times New Roman" w:eastAsia="MS Mincho" w:hAnsi="Times New Roman"/>
      <w:bCs/>
      <w:sz w:val="24"/>
      <w:szCs w:val="24"/>
    </w:rPr>
  </w:style>
  <w:style w:type="paragraph" w:styleId="BodyText2">
    <w:name w:val="Body Text 2"/>
    <w:basedOn w:val="Normal"/>
    <w:link w:val="BodyText2Char"/>
    <w:uiPriority w:val="99"/>
    <w:semiHidden/>
    <w:unhideWhenUsed/>
    <w:rsid w:val="00481268"/>
    <w:pPr>
      <w:spacing w:after="120" w:line="480" w:lineRule="auto"/>
    </w:pPr>
    <w:rPr>
      <w:rFonts w:ascii="Calibri" w:eastAsia="Calibri" w:hAnsi="Calibri" w:cs="Times New Roman"/>
    </w:rPr>
  </w:style>
  <w:style w:type="character" w:customStyle="1" w:styleId="BodyText2Char">
    <w:name w:val="Body Text 2 Char"/>
    <w:basedOn w:val="DefaultParagraphFont"/>
    <w:link w:val="BodyText2"/>
    <w:uiPriority w:val="99"/>
    <w:semiHidden/>
    <w:rsid w:val="00481268"/>
    <w:rPr>
      <w:rFonts w:ascii="Calibri" w:eastAsia="Calibri" w:hAnsi="Calibri" w:cs="Times New Roman"/>
      <w:lang w:val="sq-AL"/>
    </w:rPr>
  </w:style>
  <w:style w:type="character" w:customStyle="1" w:styleId="ParagrafiChar">
    <w:name w:val="Paragrafi Char"/>
    <w:basedOn w:val="DefaultParagraphFont"/>
    <w:link w:val="Paragrafi"/>
    <w:locked/>
    <w:rsid w:val="00481268"/>
    <w:rPr>
      <w:rFonts w:ascii="CG Times" w:hAnsi="CG Times"/>
    </w:rPr>
  </w:style>
  <w:style w:type="paragraph" w:customStyle="1" w:styleId="Paragrafi">
    <w:name w:val="Paragrafi"/>
    <w:basedOn w:val="Normal"/>
    <w:link w:val="ParagrafiChar"/>
    <w:rsid w:val="00481268"/>
    <w:pPr>
      <w:spacing w:after="0" w:line="240" w:lineRule="auto"/>
      <w:ind w:firstLine="720"/>
      <w:jc w:val="both"/>
    </w:pPr>
    <w:rPr>
      <w:rFonts w:ascii="CG Times" w:hAnsi="CG Times"/>
      <w:lang w:val="en-US"/>
    </w:rPr>
  </w:style>
  <w:style w:type="paragraph" w:customStyle="1" w:styleId="KreuNr">
    <w:name w:val="Kreu_Nr"/>
    <w:basedOn w:val="Normal"/>
    <w:rsid w:val="00481268"/>
    <w:pPr>
      <w:keepNext/>
      <w:spacing w:after="0" w:line="240" w:lineRule="auto"/>
      <w:jc w:val="center"/>
    </w:pPr>
    <w:rPr>
      <w:rFonts w:ascii="CG Times" w:hAnsi="CG Times" w:cs="Calibri"/>
      <w:caps/>
      <w:lang w:val="en-US"/>
    </w:rPr>
  </w:style>
  <w:style w:type="paragraph" w:customStyle="1" w:styleId="NeniNr">
    <w:name w:val="Neni_Nr"/>
    <w:basedOn w:val="Normal"/>
    <w:rsid w:val="00481268"/>
    <w:pPr>
      <w:keepNext/>
      <w:spacing w:after="0" w:line="240" w:lineRule="auto"/>
      <w:jc w:val="center"/>
    </w:pPr>
    <w:rPr>
      <w:rFonts w:ascii="CG Times" w:hAnsi="CG Times" w:cs="Calibri"/>
      <w:lang w:val="en-US"/>
    </w:rPr>
  </w:style>
  <w:style w:type="character" w:customStyle="1" w:styleId="NeniTitullChar">
    <w:name w:val="Neni_Titull Char"/>
    <w:basedOn w:val="DefaultParagraphFont"/>
    <w:link w:val="NeniTitull"/>
    <w:locked/>
    <w:rsid w:val="00481268"/>
    <w:rPr>
      <w:rFonts w:ascii="CG Times" w:hAnsi="CG Times"/>
      <w:b/>
      <w:bCs/>
    </w:rPr>
  </w:style>
  <w:style w:type="paragraph" w:customStyle="1" w:styleId="NeniTitull">
    <w:name w:val="Neni_Titull"/>
    <w:basedOn w:val="Normal"/>
    <w:link w:val="NeniTitullChar"/>
    <w:rsid w:val="00481268"/>
    <w:pPr>
      <w:keepNext/>
      <w:spacing w:after="0" w:line="240" w:lineRule="auto"/>
      <w:jc w:val="center"/>
    </w:pPr>
    <w:rPr>
      <w:rFonts w:ascii="CG Times" w:hAnsi="CG Times"/>
      <w:b/>
      <w:bCs/>
      <w:lang w:val="en-US"/>
    </w:rPr>
  </w:style>
  <w:style w:type="character" w:customStyle="1" w:styleId="sbb9ee52a">
    <w:name w:val="sbb9ee52a"/>
    <w:rsid w:val="00481268"/>
  </w:style>
  <w:style w:type="character" w:customStyle="1" w:styleId="Bodytext3">
    <w:name w:val="Body text (3)_"/>
    <w:basedOn w:val="DefaultParagraphFont"/>
    <w:link w:val="Bodytext31"/>
    <w:uiPriority w:val="99"/>
    <w:locked/>
    <w:rsid w:val="00481268"/>
    <w:rPr>
      <w:i/>
      <w:iCs/>
      <w:shd w:val="clear" w:color="auto" w:fill="FFFFFF"/>
    </w:rPr>
  </w:style>
  <w:style w:type="paragraph" w:customStyle="1" w:styleId="Bodytext31">
    <w:name w:val="Body text (3)1"/>
    <w:basedOn w:val="Normal"/>
    <w:link w:val="Bodytext3"/>
    <w:uiPriority w:val="99"/>
    <w:rsid w:val="00481268"/>
    <w:pPr>
      <w:shd w:val="clear" w:color="auto" w:fill="FFFFFF"/>
      <w:spacing w:before="180" w:after="0" w:line="202" w:lineRule="exact"/>
      <w:ind w:hanging="480"/>
      <w:jc w:val="both"/>
    </w:pPr>
    <w:rPr>
      <w:i/>
      <w:iCs/>
      <w:lang w:val="en-US"/>
    </w:rPr>
  </w:style>
  <w:style w:type="paragraph" w:styleId="TOC3">
    <w:name w:val="toc 3"/>
    <w:basedOn w:val="Normal"/>
    <w:uiPriority w:val="1"/>
    <w:qFormat/>
    <w:rsid w:val="00481268"/>
    <w:pPr>
      <w:widowControl w:val="0"/>
      <w:autoSpaceDE w:val="0"/>
      <w:autoSpaceDN w:val="0"/>
      <w:spacing w:after="0" w:line="288" w:lineRule="exact"/>
      <w:ind w:left="659" w:hanging="245"/>
    </w:pPr>
    <w:rPr>
      <w:rFonts w:ascii="Calibri" w:eastAsia="Calibri" w:hAnsi="Calibri" w:cs="Calibri"/>
      <w:b/>
      <w:bCs/>
      <w:sz w:val="24"/>
      <w:szCs w:val="24"/>
    </w:rPr>
  </w:style>
  <w:style w:type="paragraph" w:styleId="FootnoteText">
    <w:name w:val="footnote text"/>
    <w:aliases w:val="Footnote Text Char1 Char Char Char,Footnote Text Char Char Char Char Char,single space,footnote text,fn,FOOTNOTES,Footnote Text Char2 Char,Footnote Text Char1 Char Char,Footnote Text Char2 Char Char Char,Footnote Text Char1,Car,f,Char Char"/>
    <w:basedOn w:val="Normal"/>
    <w:link w:val="FootnoteTextChar"/>
    <w:unhideWhenUsed/>
    <w:qFormat/>
    <w:rsid w:val="00481268"/>
    <w:pPr>
      <w:spacing w:after="0" w:line="240" w:lineRule="auto"/>
    </w:pPr>
    <w:rPr>
      <w:rFonts w:ascii="Calibri" w:eastAsia="Calibri" w:hAnsi="Calibri" w:cs="Times New Roman"/>
      <w:sz w:val="20"/>
      <w:szCs w:val="20"/>
    </w:rPr>
  </w:style>
  <w:style w:type="character" w:customStyle="1" w:styleId="FootnoteTextChar">
    <w:name w:val="Footnote Text Char"/>
    <w:aliases w:val="Footnote Text Char1 Char Char Char Char,Footnote Text Char Char Char Char Char Char,single space Char,footnote text Char,fn Char,FOOTNOTES Char,Footnote Text Char2 Char Char,Footnote Text Char1 Char Char Char1,Footnote Text Char1 Char"/>
    <w:basedOn w:val="DefaultParagraphFont"/>
    <w:link w:val="FootnoteText"/>
    <w:rsid w:val="00481268"/>
    <w:rPr>
      <w:rFonts w:ascii="Calibri" w:eastAsia="Calibri" w:hAnsi="Calibri" w:cs="Times New Roman"/>
      <w:sz w:val="20"/>
      <w:szCs w:val="20"/>
      <w:lang w:val="sq-AL"/>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Fn Re"/>
    <w:basedOn w:val="DefaultParagraphFont"/>
    <w:link w:val="BVIfnr"/>
    <w:uiPriority w:val="99"/>
    <w:unhideWhenUsed/>
    <w:qFormat/>
    <w:rsid w:val="00481268"/>
    <w:rPr>
      <w:vertAlign w:val="superscript"/>
    </w:rPr>
  </w:style>
  <w:style w:type="character" w:customStyle="1" w:styleId="Heading1Char">
    <w:name w:val="Heading 1 Char"/>
    <w:basedOn w:val="DefaultParagraphFont"/>
    <w:link w:val="Heading1"/>
    <w:uiPriority w:val="9"/>
    <w:rsid w:val="008C0E38"/>
    <w:rPr>
      <w:rFonts w:ascii="Calibri Light" w:eastAsia="Times New Roman" w:hAnsi="Calibri Light" w:cs="Times New Roman"/>
      <w:color w:val="2F5496"/>
      <w:sz w:val="32"/>
      <w:szCs w:val="32"/>
    </w:rPr>
  </w:style>
  <w:style w:type="paragraph" w:styleId="Revision">
    <w:name w:val="Revision"/>
    <w:hidden/>
    <w:uiPriority w:val="99"/>
    <w:semiHidden/>
    <w:rsid w:val="00A74D7C"/>
    <w:pPr>
      <w:spacing w:after="0" w:line="240" w:lineRule="auto"/>
    </w:pPr>
    <w:rPr>
      <w:rFonts w:ascii="Calibri" w:eastAsia="Calibri" w:hAnsi="Calibri" w:cs="Times New Roman"/>
      <w:lang w:val="sq-AL"/>
    </w:rPr>
  </w:style>
  <w:style w:type="character" w:customStyle="1" w:styleId="hps">
    <w:name w:val="hps"/>
    <w:rsid w:val="00D96D3B"/>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AE0A6D"/>
    <w:pPr>
      <w:spacing w:line="240" w:lineRule="exact"/>
    </w:pPr>
    <w:rPr>
      <w:vertAlign w:val="superscript"/>
      <w:lang w:val="en-US"/>
    </w:rPr>
  </w:style>
  <w:style w:type="paragraph" w:customStyle="1" w:styleId="Default">
    <w:name w:val="Default"/>
    <w:rsid w:val="00D82CBE"/>
    <w:pPr>
      <w:autoSpaceDE w:val="0"/>
      <w:autoSpaceDN w:val="0"/>
      <w:adjustRightInd w:val="0"/>
      <w:spacing w:after="0" w:line="240" w:lineRule="auto"/>
    </w:pPr>
    <w:rPr>
      <w:rFonts w:ascii="Times New Roman" w:eastAsia="Calibri" w:hAnsi="Times New Roman" w:cs="Times New Roman"/>
      <w:color w:val="000000"/>
      <w:sz w:val="24"/>
      <w:szCs w:val="24"/>
    </w:rPr>
  </w:style>
  <w:style w:type="table" w:styleId="TableGrid">
    <w:name w:val="Table Grid"/>
    <w:basedOn w:val="TableNormal"/>
    <w:uiPriority w:val="39"/>
    <w:rsid w:val="000F43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0301694">
      <w:bodyDiv w:val="1"/>
      <w:marLeft w:val="0"/>
      <w:marRight w:val="0"/>
      <w:marTop w:val="0"/>
      <w:marBottom w:val="0"/>
      <w:divBdr>
        <w:top w:val="none" w:sz="0" w:space="0" w:color="auto"/>
        <w:left w:val="none" w:sz="0" w:space="0" w:color="auto"/>
        <w:bottom w:val="none" w:sz="0" w:space="0" w:color="auto"/>
        <w:right w:val="none" w:sz="0" w:space="0" w:color="auto"/>
      </w:divBdr>
    </w:div>
    <w:div w:id="1461413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microsoft.com/office/2018/08/relationships/commentsExtensible" Target="commentsExtensi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DF4ADE0ECBD14BD2B445417FDDB79C6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79</Nr_x002e__x0020_akti>
    <Data_x0020_e_x0020_Krijimit xmlns="0e656187-b300-4fb0-8bf4-3a50f872073c">2026-01-15T14:15:58Z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2026-01-15T00:00:00Z</Date_x0020_protokolli>
    <Titulli xmlns="0e656187-b300-4fb0-8bf4-3a50f872073c">Me objekt shfuqizimin e vendimeve nr. 1040 (86-2023-1381), datë 11.12.2023 të Gjykatës Administrative të Apelit; nr. 00-2024-4497, datë 22.10.2024 të Kolegjit Administrativ të Gjykatës së Lartë dhe të vendimit unifikues nr. 3, datë 24.11.2016 të Kolegjeve të Bashkuara të Gjykatës së Lartë, si të papajtueshme me Kushtetutën e Republikës së Shqipërisë.</Titulli>
    <Modifikuesi xmlns="0e656187-b300-4fb0-8bf4-3a50f872073c">Fjora.Cahani</Modifikuesi>
    <Nr_x002e__x0020_prot_x0020_QBZ xmlns="0e656187-b300-4fb0-8bf4-3a50f872073c">73/1</Nr_x002e__x0020_prot_x0020_QBZ>
    <Data_x0020_e_x0020_Modifikimit xmlns="0e656187-b300-4fb0-8bf4-3a50f872073c">2026-01-16T10:55:44Z</Data_x0020_e_x0020_Modifikimit>
    <Dekretuar xmlns="0e656187-b300-4fb0-8bf4-3a50f872073c">false</Dekretuar>
    <Data xmlns="0e656187-b300-4fb0-8bf4-3a50f872073c">2025-12-12T00:00:00Z</Data>
    <Nr_x002e__x0020_protokolli_x0020_i_x0020_aktit xmlns="0e656187-b300-4fb0-8bf4-3a50f872073c">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F4ADE0ECBD14BD2B445417FDDB79C6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4E5E5A2C-B7AA-4BBC-B742-DEA9412221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8597F799-2002-42C7-B804-5221389C33D0}">
  <ds:schemaRefs>
    <ds:schemaRef ds:uri="http://schemas.microsoft.com/office/2006/documentManagement/types"/>
    <ds:schemaRef ds:uri="http://purl.org/dc/dcmitype/"/>
    <ds:schemaRef ds:uri="http://schemas.microsoft.com/office/2006/metadata/properties"/>
    <ds:schemaRef ds:uri="http://purl.org/dc/terms/"/>
    <ds:schemaRef ds:uri="http://schemas.openxmlformats.org/package/2006/metadata/core-properties"/>
    <ds:schemaRef ds:uri="0e656187-b300-4fb0-8bf4-3a50f872073c"/>
    <ds:schemaRef ds:uri="http://www.w3.org/XML/1998/namespace"/>
    <ds:schemaRef ds:uri="http://purl.org/dc/elements/1.1/"/>
  </ds:schemaRefs>
</ds:datastoreItem>
</file>

<file path=customXml/itemProps3.xml><?xml version="1.0" encoding="utf-8"?>
<ds:datastoreItem xmlns:ds="http://schemas.openxmlformats.org/officeDocument/2006/customXml" ds:itemID="{291136C4-4B4B-47D2-91DD-7897D5BA69CD}">
  <ds:schemaRefs>
    <ds:schemaRef ds:uri="http://schemas.microsoft.com/sharepoint/v3/contenttype/forms"/>
  </ds:schemaRefs>
</ds:datastoreItem>
</file>

<file path=customXml/itemProps4.xml><?xml version="1.0" encoding="utf-8"?>
<ds:datastoreItem xmlns:ds="http://schemas.openxmlformats.org/officeDocument/2006/customXml" ds:itemID="{2010A1BD-2A79-49BB-8498-7CF6C54DA0C2}">
  <ds:schemaRefs>
    <ds:schemaRef ds:uri="http://schemas.microsoft.com/sharepoint/v3/contenttype/forms"/>
  </ds:schemaRefs>
</ds:datastoreItem>
</file>

<file path=customXml/itemProps5.xml><?xml version="1.0" encoding="utf-8"?>
<ds:datastoreItem xmlns:ds="http://schemas.openxmlformats.org/officeDocument/2006/customXml" ds:itemID="{B59DD890-8318-4E06-B0D7-4B6E5EE6EF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12</Pages>
  <Words>7275</Words>
  <Characters>41471</Characters>
  <Application>Microsoft Office Word</Application>
  <DocSecurity>0</DocSecurity>
  <Lines>345</Lines>
  <Paragraphs>97</Paragraphs>
  <ScaleCrop>false</ScaleCrop>
  <HeadingPairs>
    <vt:vector size="2" baseType="variant">
      <vt:variant>
        <vt:lpstr>Title</vt:lpstr>
      </vt:variant>
      <vt:variant>
        <vt:i4>1</vt:i4>
      </vt:variant>
    </vt:vector>
  </HeadingPairs>
  <TitlesOfParts>
    <vt:vector size="1" baseType="lpstr">
      <vt:lpstr>Me objekt shfuqizimin e vendimeve nr. 1040 (86-2023-1381), datë 11.12.2023 të Gjykatës Administrative të Apelit; nr. 00-2024-4497, datë 22.10.2024 të Kolegjit Administrativ të Gjykatës së Lartë dhe të vendimit unifikues nr. 3, datë 24.11.2016 të Kolegjeve</vt:lpstr>
    </vt:vector>
  </TitlesOfParts>
  <Company>User</Company>
  <LinksUpToDate>false</LinksUpToDate>
  <CharactersWithSpaces>48649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vendimeve nr. 1040 (86-2023-1381), datë 11.12.2023 të Gjykatës Administrative të Apelit; nr. 00-2024-4497, datë 22.10.2024 të Kolegjit Administrativ të Gjykatës së Lartë dhe të vendimit unifikues nr. 3, datë 24.11.2016 të Kolegjeve të Bashkuara të Gjykatës së Lartë, si të papajtueshme me Kushtetutën e Republikës së Shqipërisë.</dc:title>
  <dc:creator>Ela Elezi</dc:creator>
  <cp:lastModifiedBy>Valeta Kaftalli</cp:lastModifiedBy>
  <cp:revision>9</cp:revision>
  <cp:lastPrinted>2026-01-12T15:17:00Z</cp:lastPrinted>
  <dcterms:created xsi:type="dcterms:W3CDTF">2026-01-15T13:18:00Z</dcterms:created>
  <dcterms:modified xsi:type="dcterms:W3CDTF">2026-01-16T11:38:00Z</dcterms:modified>
</cp:coreProperties>
</file>