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CBE15" w14:textId="77777777" w:rsidR="0092462B" w:rsidRPr="006970A2" w:rsidRDefault="0092462B" w:rsidP="0092462B">
      <w:pPr>
        <w:spacing w:after="0" w:line="240" w:lineRule="auto"/>
        <w:ind w:firstLine="284"/>
        <w:jc w:val="center"/>
        <w:rPr>
          <w:rFonts w:ascii="Garamond" w:hAnsi="Garamond" w:cs="Times New Roman"/>
          <w:b/>
          <w:bCs/>
          <w:sz w:val="24"/>
          <w:szCs w:val="24"/>
        </w:rPr>
      </w:pPr>
      <w:r w:rsidRPr="006970A2">
        <w:rPr>
          <w:rFonts w:ascii="Garamond" w:hAnsi="Garamond" w:cs="Times New Roman"/>
          <w:b/>
          <w:bCs/>
          <w:sz w:val="24"/>
          <w:szCs w:val="24"/>
        </w:rPr>
        <w:t>VENDIM</w:t>
      </w:r>
    </w:p>
    <w:p w14:paraId="7984ED0A" w14:textId="77777777" w:rsidR="0092462B" w:rsidRDefault="0092462B" w:rsidP="0092462B">
      <w:pPr>
        <w:keepNext/>
        <w:keepLines/>
        <w:spacing w:after="0" w:line="240" w:lineRule="auto"/>
        <w:ind w:firstLine="284"/>
        <w:jc w:val="center"/>
        <w:outlineLvl w:val="2"/>
        <w:rPr>
          <w:rFonts w:ascii="Garamond" w:eastAsia="Calibri" w:hAnsi="Garamond" w:cs="Calibri"/>
          <w:b/>
          <w:sz w:val="24"/>
          <w:szCs w:val="24"/>
          <w:lang w:eastAsia="zh-CN"/>
        </w:rPr>
      </w:pPr>
      <w:r w:rsidRPr="006970A2">
        <w:rPr>
          <w:rFonts w:ascii="Garamond" w:eastAsia="Calibri" w:hAnsi="Garamond" w:cs="Calibri"/>
          <w:b/>
          <w:sz w:val="24"/>
          <w:szCs w:val="24"/>
          <w:lang w:eastAsia="zh-CN"/>
        </w:rPr>
        <w:t>Nr. 80, datë 16.12.2025</w:t>
      </w:r>
    </w:p>
    <w:p w14:paraId="7B86886C" w14:textId="77777777" w:rsidR="0092462B" w:rsidRPr="006970A2" w:rsidRDefault="0092462B" w:rsidP="0092462B">
      <w:pPr>
        <w:keepNext/>
        <w:keepLines/>
        <w:spacing w:after="0" w:line="240" w:lineRule="auto"/>
        <w:ind w:firstLine="284"/>
        <w:jc w:val="center"/>
        <w:outlineLvl w:val="2"/>
        <w:rPr>
          <w:rFonts w:ascii="Garamond" w:eastAsia="Calibri" w:hAnsi="Garamond" w:cs="Calibri"/>
          <w:b/>
          <w:sz w:val="24"/>
          <w:szCs w:val="24"/>
          <w:lang w:eastAsia="zh-CN"/>
        </w:rPr>
      </w:pPr>
    </w:p>
    <w:p w14:paraId="732C97BC" w14:textId="0C7A4A64" w:rsidR="0092462B" w:rsidRPr="006970A2" w:rsidRDefault="0092462B" w:rsidP="0092462B">
      <w:pPr>
        <w:spacing w:after="0" w:line="240" w:lineRule="auto"/>
        <w:ind w:firstLine="284"/>
        <w:jc w:val="center"/>
        <w:rPr>
          <w:rFonts w:ascii="Garamond" w:hAnsi="Garamond" w:cs="Times New Roman"/>
          <w:b/>
          <w:bCs/>
          <w:sz w:val="24"/>
          <w:szCs w:val="24"/>
        </w:rPr>
      </w:pPr>
      <w:r w:rsidRPr="006970A2">
        <w:rPr>
          <w:rFonts w:ascii="Garamond" w:hAnsi="Garamond" w:cs="Times New Roman"/>
          <w:b/>
          <w:bCs/>
          <w:sz w:val="24"/>
          <w:szCs w:val="24"/>
        </w:rPr>
        <w:t>NË EMËR TË REPUBLIKËS SË SHQIPËRISË</w:t>
      </w:r>
    </w:p>
    <w:p w14:paraId="10C5F4EC" w14:textId="77777777" w:rsidR="0092462B" w:rsidRPr="006970A2" w:rsidRDefault="0092462B" w:rsidP="0092462B">
      <w:pPr>
        <w:spacing w:after="0" w:line="240" w:lineRule="auto"/>
        <w:ind w:firstLine="284"/>
        <w:jc w:val="center"/>
        <w:rPr>
          <w:rFonts w:ascii="Garamond" w:hAnsi="Garamond" w:cs="Times New Roman"/>
          <w:b/>
          <w:bCs/>
          <w:sz w:val="24"/>
          <w:szCs w:val="24"/>
        </w:rPr>
      </w:pPr>
    </w:p>
    <w:p w14:paraId="1551AB53" w14:textId="77777777" w:rsidR="0092462B" w:rsidRPr="006970A2" w:rsidRDefault="0092462B" w:rsidP="0092462B">
      <w:pPr>
        <w:spacing w:after="0" w:line="240" w:lineRule="auto"/>
        <w:ind w:firstLine="284"/>
        <w:jc w:val="both"/>
        <w:rPr>
          <w:rFonts w:ascii="Garamond" w:hAnsi="Garamond" w:cs="Times New Roman"/>
          <w:sz w:val="24"/>
          <w:szCs w:val="24"/>
        </w:rPr>
      </w:pPr>
      <w:r w:rsidRPr="006970A2">
        <w:rPr>
          <w:rFonts w:ascii="Garamond" w:hAnsi="Garamond" w:cs="Times New Roman"/>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693"/>
      </w:tblGrid>
      <w:tr w:rsidR="0092462B" w:rsidRPr="006970A2" w14:paraId="46809AF7" w14:textId="77777777" w:rsidTr="00AB3446">
        <w:tc>
          <w:tcPr>
            <w:tcW w:w="2972" w:type="dxa"/>
          </w:tcPr>
          <w:p w14:paraId="79263B5B" w14:textId="77777777" w:rsidR="0092462B" w:rsidRPr="006970A2" w:rsidRDefault="0092462B" w:rsidP="00AB3446">
            <w:pPr>
              <w:ind w:firstLine="284"/>
              <w:jc w:val="both"/>
              <w:rPr>
                <w:rFonts w:ascii="Garamond" w:hAnsi="Garamond" w:cs="Times New Roman"/>
                <w:sz w:val="24"/>
                <w:szCs w:val="24"/>
              </w:rPr>
            </w:pPr>
            <w:proofErr w:type="spellStart"/>
            <w:r w:rsidRPr="006970A2">
              <w:rPr>
                <w:rFonts w:ascii="Garamond" w:hAnsi="Garamond" w:cs="Times New Roman"/>
                <w:sz w:val="24"/>
                <w:szCs w:val="24"/>
              </w:rPr>
              <w:t>Marsida</w:t>
            </w:r>
            <w:proofErr w:type="spellEnd"/>
            <w:r w:rsidRPr="006970A2">
              <w:rPr>
                <w:rFonts w:ascii="Garamond" w:hAnsi="Garamond" w:cs="Times New Roman"/>
                <w:sz w:val="24"/>
                <w:szCs w:val="24"/>
              </w:rPr>
              <w:t xml:space="preserve"> </w:t>
            </w:r>
            <w:proofErr w:type="spellStart"/>
            <w:r w:rsidRPr="006970A2">
              <w:rPr>
                <w:rFonts w:ascii="Garamond" w:hAnsi="Garamond" w:cs="Times New Roman"/>
                <w:sz w:val="24"/>
                <w:szCs w:val="24"/>
              </w:rPr>
              <w:t>Xhaferllari</w:t>
            </w:r>
            <w:proofErr w:type="spellEnd"/>
          </w:p>
        </w:tc>
        <w:tc>
          <w:tcPr>
            <w:tcW w:w="2693" w:type="dxa"/>
          </w:tcPr>
          <w:p w14:paraId="4AC018B4" w14:textId="18EDC6B8" w:rsidR="0092462B" w:rsidRPr="006970A2" w:rsidRDefault="00FA7A28" w:rsidP="00AB3446">
            <w:pPr>
              <w:ind w:firstLine="284"/>
              <w:jc w:val="both"/>
              <w:rPr>
                <w:rFonts w:ascii="Garamond" w:hAnsi="Garamond" w:cs="Times New Roman"/>
                <w:sz w:val="24"/>
                <w:szCs w:val="24"/>
              </w:rPr>
            </w:pPr>
            <w:r w:rsidRPr="006970A2">
              <w:rPr>
                <w:rFonts w:ascii="Garamond" w:hAnsi="Garamond" w:cs="Times New Roman"/>
                <w:sz w:val="24"/>
                <w:szCs w:val="24"/>
              </w:rPr>
              <w:t>kryesuese</w:t>
            </w:r>
            <w:r>
              <w:rPr>
                <w:rFonts w:ascii="Garamond" w:hAnsi="Garamond" w:cs="Times New Roman"/>
                <w:sz w:val="24"/>
                <w:szCs w:val="24"/>
              </w:rPr>
              <w:t>,</w:t>
            </w:r>
          </w:p>
        </w:tc>
      </w:tr>
      <w:tr w:rsidR="0092462B" w:rsidRPr="006970A2" w14:paraId="5DB0D655" w14:textId="77777777" w:rsidTr="00AB3446">
        <w:tc>
          <w:tcPr>
            <w:tcW w:w="2972" w:type="dxa"/>
          </w:tcPr>
          <w:p w14:paraId="4EC5CCF2" w14:textId="77777777" w:rsidR="0092462B" w:rsidRPr="006970A2" w:rsidRDefault="0092462B" w:rsidP="00AB3446">
            <w:pPr>
              <w:ind w:firstLine="284"/>
              <w:jc w:val="both"/>
              <w:rPr>
                <w:rFonts w:ascii="Garamond" w:hAnsi="Garamond" w:cs="Times New Roman"/>
                <w:sz w:val="24"/>
                <w:szCs w:val="24"/>
              </w:rPr>
            </w:pPr>
            <w:proofErr w:type="spellStart"/>
            <w:r w:rsidRPr="006970A2">
              <w:rPr>
                <w:rFonts w:ascii="Garamond" w:hAnsi="Garamond" w:cs="Times New Roman"/>
                <w:sz w:val="24"/>
                <w:szCs w:val="24"/>
              </w:rPr>
              <w:t>Fiona</w:t>
            </w:r>
            <w:proofErr w:type="spellEnd"/>
            <w:r w:rsidRPr="006970A2">
              <w:rPr>
                <w:rFonts w:ascii="Garamond" w:hAnsi="Garamond" w:cs="Times New Roman"/>
                <w:sz w:val="24"/>
                <w:szCs w:val="24"/>
              </w:rPr>
              <w:t xml:space="preserve"> </w:t>
            </w:r>
            <w:proofErr w:type="spellStart"/>
            <w:r w:rsidRPr="006970A2">
              <w:rPr>
                <w:rFonts w:ascii="Garamond" w:hAnsi="Garamond" w:cs="Times New Roman"/>
                <w:sz w:val="24"/>
                <w:szCs w:val="24"/>
              </w:rPr>
              <w:t>Papajorgji</w:t>
            </w:r>
            <w:proofErr w:type="spellEnd"/>
          </w:p>
        </w:tc>
        <w:tc>
          <w:tcPr>
            <w:tcW w:w="2693" w:type="dxa"/>
          </w:tcPr>
          <w:p w14:paraId="15544A3E" w14:textId="5767F818" w:rsidR="0092462B" w:rsidRPr="006970A2" w:rsidRDefault="00FA7A28" w:rsidP="00AB3446">
            <w:pPr>
              <w:ind w:firstLine="284"/>
              <w:jc w:val="both"/>
              <w:rPr>
                <w:rFonts w:ascii="Garamond" w:hAnsi="Garamond" w:cs="Times New Roman"/>
                <w:sz w:val="24"/>
                <w:szCs w:val="24"/>
              </w:rPr>
            </w:pPr>
            <w:r w:rsidRPr="006970A2">
              <w:rPr>
                <w:rFonts w:ascii="Garamond" w:hAnsi="Garamond" w:cs="Times New Roman"/>
                <w:sz w:val="24"/>
                <w:szCs w:val="24"/>
              </w:rPr>
              <w:t>anëtare</w:t>
            </w:r>
            <w:r>
              <w:rPr>
                <w:rFonts w:ascii="Garamond" w:hAnsi="Garamond" w:cs="Times New Roman"/>
                <w:sz w:val="24"/>
                <w:szCs w:val="24"/>
              </w:rPr>
              <w:t>,</w:t>
            </w:r>
          </w:p>
        </w:tc>
      </w:tr>
      <w:tr w:rsidR="0092462B" w:rsidRPr="006970A2" w14:paraId="502D3171" w14:textId="77777777" w:rsidTr="00AB3446">
        <w:tc>
          <w:tcPr>
            <w:tcW w:w="2972" w:type="dxa"/>
          </w:tcPr>
          <w:p w14:paraId="641B625A" w14:textId="77777777" w:rsidR="0092462B" w:rsidRPr="006970A2" w:rsidRDefault="0092462B" w:rsidP="00AB3446">
            <w:pPr>
              <w:ind w:firstLine="284"/>
              <w:jc w:val="both"/>
              <w:rPr>
                <w:rFonts w:ascii="Garamond" w:hAnsi="Garamond" w:cs="Times New Roman"/>
                <w:sz w:val="24"/>
                <w:szCs w:val="24"/>
              </w:rPr>
            </w:pPr>
            <w:proofErr w:type="spellStart"/>
            <w:r w:rsidRPr="006970A2">
              <w:rPr>
                <w:rFonts w:ascii="Garamond" w:hAnsi="Garamond" w:cs="Times New Roman"/>
                <w:sz w:val="24"/>
                <w:szCs w:val="24"/>
              </w:rPr>
              <w:t>Sonila</w:t>
            </w:r>
            <w:proofErr w:type="spellEnd"/>
            <w:r w:rsidRPr="006970A2">
              <w:rPr>
                <w:rFonts w:ascii="Garamond" w:hAnsi="Garamond" w:cs="Times New Roman"/>
                <w:sz w:val="24"/>
                <w:szCs w:val="24"/>
              </w:rPr>
              <w:t xml:space="preserve"> Bejtja</w:t>
            </w:r>
          </w:p>
        </w:tc>
        <w:tc>
          <w:tcPr>
            <w:tcW w:w="2693" w:type="dxa"/>
          </w:tcPr>
          <w:p w14:paraId="099910FB" w14:textId="679FBD84" w:rsidR="0092462B" w:rsidRPr="006970A2" w:rsidRDefault="00FA7A28" w:rsidP="00AB3446">
            <w:pPr>
              <w:ind w:firstLine="284"/>
              <w:jc w:val="both"/>
              <w:rPr>
                <w:rFonts w:ascii="Garamond" w:hAnsi="Garamond" w:cs="Times New Roman"/>
                <w:sz w:val="24"/>
                <w:szCs w:val="24"/>
              </w:rPr>
            </w:pPr>
            <w:r w:rsidRPr="006970A2">
              <w:rPr>
                <w:rFonts w:ascii="Garamond" w:hAnsi="Garamond" w:cs="Times New Roman"/>
                <w:sz w:val="24"/>
                <w:szCs w:val="24"/>
              </w:rPr>
              <w:t>anëtare</w:t>
            </w:r>
            <w:r>
              <w:rPr>
                <w:rFonts w:ascii="Garamond" w:hAnsi="Garamond" w:cs="Times New Roman"/>
                <w:sz w:val="24"/>
                <w:szCs w:val="24"/>
              </w:rPr>
              <w:t>,</w:t>
            </w:r>
          </w:p>
        </w:tc>
      </w:tr>
      <w:tr w:rsidR="0092462B" w:rsidRPr="006970A2" w14:paraId="62A41465" w14:textId="77777777" w:rsidTr="00AB3446">
        <w:tc>
          <w:tcPr>
            <w:tcW w:w="2972" w:type="dxa"/>
          </w:tcPr>
          <w:p w14:paraId="70CEA818" w14:textId="77777777" w:rsidR="0092462B" w:rsidRPr="006970A2" w:rsidRDefault="0092462B" w:rsidP="00AB3446">
            <w:pPr>
              <w:ind w:firstLine="284"/>
              <w:jc w:val="both"/>
              <w:rPr>
                <w:rFonts w:ascii="Garamond" w:hAnsi="Garamond" w:cs="Times New Roman"/>
                <w:sz w:val="24"/>
                <w:szCs w:val="24"/>
              </w:rPr>
            </w:pPr>
            <w:proofErr w:type="spellStart"/>
            <w:r w:rsidRPr="006970A2">
              <w:rPr>
                <w:rFonts w:ascii="Garamond" w:hAnsi="Garamond" w:cs="Times New Roman"/>
                <w:sz w:val="24"/>
                <w:szCs w:val="24"/>
              </w:rPr>
              <w:t>Sandër</w:t>
            </w:r>
            <w:proofErr w:type="spellEnd"/>
            <w:r w:rsidRPr="006970A2">
              <w:rPr>
                <w:rFonts w:ascii="Garamond" w:hAnsi="Garamond" w:cs="Times New Roman"/>
                <w:sz w:val="24"/>
                <w:szCs w:val="24"/>
              </w:rPr>
              <w:t xml:space="preserve"> Beci</w:t>
            </w:r>
          </w:p>
        </w:tc>
        <w:tc>
          <w:tcPr>
            <w:tcW w:w="2693" w:type="dxa"/>
          </w:tcPr>
          <w:p w14:paraId="43139E13" w14:textId="0FD1A5FE" w:rsidR="0092462B" w:rsidRPr="006970A2" w:rsidRDefault="00FA7A28" w:rsidP="00AB3446">
            <w:pPr>
              <w:ind w:firstLine="284"/>
              <w:jc w:val="both"/>
              <w:rPr>
                <w:rFonts w:ascii="Garamond" w:hAnsi="Garamond" w:cs="Times New Roman"/>
                <w:sz w:val="24"/>
                <w:szCs w:val="24"/>
              </w:rPr>
            </w:pPr>
            <w:r w:rsidRPr="006970A2">
              <w:rPr>
                <w:rFonts w:ascii="Garamond" w:hAnsi="Garamond" w:cs="Times New Roman"/>
                <w:sz w:val="24"/>
                <w:szCs w:val="24"/>
              </w:rPr>
              <w:t>anëtar</w:t>
            </w:r>
            <w:r>
              <w:rPr>
                <w:rFonts w:ascii="Garamond" w:hAnsi="Garamond" w:cs="Times New Roman"/>
                <w:sz w:val="24"/>
                <w:szCs w:val="24"/>
              </w:rPr>
              <w:t>,</w:t>
            </w:r>
          </w:p>
        </w:tc>
      </w:tr>
      <w:tr w:rsidR="0092462B" w:rsidRPr="006970A2" w14:paraId="0405FB8E" w14:textId="77777777" w:rsidTr="00AB3446">
        <w:tc>
          <w:tcPr>
            <w:tcW w:w="2972" w:type="dxa"/>
          </w:tcPr>
          <w:p w14:paraId="4BAF4A32" w14:textId="77777777" w:rsidR="0092462B" w:rsidRPr="006970A2" w:rsidRDefault="0092462B" w:rsidP="00AB3446">
            <w:pPr>
              <w:ind w:firstLine="284"/>
              <w:jc w:val="both"/>
              <w:rPr>
                <w:rFonts w:ascii="Garamond" w:hAnsi="Garamond" w:cs="Times New Roman"/>
                <w:sz w:val="24"/>
                <w:szCs w:val="24"/>
              </w:rPr>
            </w:pPr>
            <w:r w:rsidRPr="006970A2">
              <w:rPr>
                <w:rFonts w:ascii="Garamond" w:hAnsi="Garamond" w:cs="Times New Roman"/>
                <w:sz w:val="24"/>
                <w:szCs w:val="24"/>
              </w:rPr>
              <w:t>Ilir Toska</w:t>
            </w:r>
          </w:p>
        </w:tc>
        <w:tc>
          <w:tcPr>
            <w:tcW w:w="2693" w:type="dxa"/>
          </w:tcPr>
          <w:p w14:paraId="1EBE4266" w14:textId="16384025" w:rsidR="0092462B" w:rsidRPr="006970A2" w:rsidRDefault="00FA7A28" w:rsidP="00AB3446">
            <w:pPr>
              <w:ind w:firstLine="284"/>
              <w:jc w:val="both"/>
              <w:rPr>
                <w:rFonts w:ascii="Garamond" w:hAnsi="Garamond" w:cs="Times New Roman"/>
                <w:sz w:val="24"/>
                <w:szCs w:val="24"/>
              </w:rPr>
            </w:pPr>
            <w:r w:rsidRPr="006970A2">
              <w:rPr>
                <w:rFonts w:ascii="Garamond" w:hAnsi="Garamond" w:cs="Times New Roman"/>
                <w:sz w:val="24"/>
                <w:szCs w:val="24"/>
              </w:rPr>
              <w:t>anëtar</w:t>
            </w:r>
            <w:r>
              <w:rPr>
                <w:rFonts w:ascii="Garamond" w:hAnsi="Garamond" w:cs="Times New Roman"/>
                <w:sz w:val="24"/>
                <w:szCs w:val="24"/>
              </w:rPr>
              <w:t>,</w:t>
            </w:r>
          </w:p>
        </w:tc>
      </w:tr>
      <w:tr w:rsidR="0092462B" w:rsidRPr="006970A2" w14:paraId="01F649D9" w14:textId="77777777" w:rsidTr="00AB3446">
        <w:tc>
          <w:tcPr>
            <w:tcW w:w="2972" w:type="dxa"/>
          </w:tcPr>
          <w:p w14:paraId="74902869" w14:textId="77777777" w:rsidR="0092462B" w:rsidRPr="006970A2" w:rsidRDefault="0092462B" w:rsidP="00AB3446">
            <w:pPr>
              <w:ind w:firstLine="284"/>
              <w:jc w:val="both"/>
              <w:rPr>
                <w:rFonts w:ascii="Garamond" w:hAnsi="Garamond" w:cs="Times New Roman"/>
                <w:sz w:val="24"/>
                <w:szCs w:val="24"/>
              </w:rPr>
            </w:pPr>
            <w:r w:rsidRPr="006970A2">
              <w:rPr>
                <w:rFonts w:ascii="Garamond" w:hAnsi="Garamond" w:cs="Times New Roman"/>
                <w:sz w:val="24"/>
                <w:szCs w:val="24"/>
              </w:rPr>
              <w:t>Genti Ibrahimi</w:t>
            </w:r>
          </w:p>
        </w:tc>
        <w:tc>
          <w:tcPr>
            <w:tcW w:w="2693" w:type="dxa"/>
          </w:tcPr>
          <w:p w14:paraId="596B3C54" w14:textId="35452C3D" w:rsidR="0092462B" w:rsidRPr="006970A2" w:rsidRDefault="00FA7A28" w:rsidP="00AB3446">
            <w:pPr>
              <w:ind w:firstLine="284"/>
              <w:jc w:val="both"/>
              <w:rPr>
                <w:rFonts w:ascii="Garamond" w:hAnsi="Garamond" w:cs="Times New Roman"/>
                <w:sz w:val="24"/>
                <w:szCs w:val="24"/>
              </w:rPr>
            </w:pPr>
            <w:r w:rsidRPr="006970A2">
              <w:rPr>
                <w:rFonts w:ascii="Garamond" w:hAnsi="Garamond" w:cs="Times New Roman"/>
                <w:sz w:val="24"/>
                <w:szCs w:val="24"/>
              </w:rPr>
              <w:t>anëtar</w:t>
            </w:r>
            <w:r>
              <w:rPr>
                <w:rFonts w:ascii="Garamond" w:hAnsi="Garamond" w:cs="Times New Roman"/>
                <w:sz w:val="24"/>
                <w:szCs w:val="24"/>
              </w:rPr>
              <w:t>,</w:t>
            </w:r>
          </w:p>
        </w:tc>
      </w:tr>
      <w:tr w:rsidR="0092462B" w:rsidRPr="006970A2" w14:paraId="13CCFCE2" w14:textId="77777777" w:rsidTr="00AB3446">
        <w:tc>
          <w:tcPr>
            <w:tcW w:w="2972" w:type="dxa"/>
          </w:tcPr>
          <w:p w14:paraId="607BA973" w14:textId="77777777" w:rsidR="0092462B" w:rsidRPr="006970A2" w:rsidRDefault="0092462B" w:rsidP="00AB3446">
            <w:pPr>
              <w:ind w:firstLine="284"/>
              <w:jc w:val="both"/>
              <w:rPr>
                <w:rFonts w:ascii="Garamond" w:hAnsi="Garamond" w:cs="Times New Roman"/>
                <w:sz w:val="24"/>
                <w:szCs w:val="24"/>
              </w:rPr>
            </w:pPr>
            <w:proofErr w:type="spellStart"/>
            <w:r w:rsidRPr="006970A2">
              <w:rPr>
                <w:rFonts w:ascii="Garamond" w:hAnsi="Garamond" w:cs="Times New Roman"/>
                <w:sz w:val="24"/>
                <w:szCs w:val="24"/>
              </w:rPr>
              <w:t>Asim</w:t>
            </w:r>
            <w:proofErr w:type="spellEnd"/>
            <w:r w:rsidRPr="006970A2">
              <w:rPr>
                <w:rFonts w:ascii="Garamond" w:hAnsi="Garamond" w:cs="Times New Roman"/>
                <w:sz w:val="24"/>
                <w:szCs w:val="24"/>
              </w:rPr>
              <w:t xml:space="preserve"> </w:t>
            </w:r>
            <w:proofErr w:type="spellStart"/>
            <w:r w:rsidRPr="006970A2">
              <w:rPr>
                <w:rFonts w:ascii="Garamond" w:hAnsi="Garamond" w:cs="Times New Roman"/>
                <w:sz w:val="24"/>
                <w:szCs w:val="24"/>
              </w:rPr>
              <w:t>Vokshi</w:t>
            </w:r>
            <w:proofErr w:type="spellEnd"/>
          </w:p>
        </w:tc>
        <w:tc>
          <w:tcPr>
            <w:tcW w:w="2693" w:type="dxa"/>
          </w:tcPr>
          <w:p w14:paraId="032093A6" w14:textId="3476CE3B" w:rsidR="0092462B" w:rsidRPr="006970A2" w:rsidRDefault="00FA7A28" w:rsidP="00AB3446">
            <w:pPr>
              <w:ind w:firstLine="284"/>
              <w:jc w:val="both"/>
              <w:rPr>
                <w:rFonts w:ascii="Garamond" w:hAnsi="Garamond" w:cs="Times New Roman"/>
                <w:sz w:val="24"/>
                <w:szCs w:val="24"/>
              </w:rPr>
            </w:pPr>
            <w:r w:rsidRPr="006970A2">
              <w:rPr>
                <w:rFonts w:ascii="Garamond" w:hAnsi="Garamond" w:cs="Times New Roman"/>
                <w:sz w:val="24"/>
                <w:szCs w:val="24"/>
              </w:rPr>
              <w:t>anëtar</w:t>
            </w:r>
            <w:r>
              <w:rPr>
                <w:rFonts w:ascii="Garamond" w:hAnsi="Garamond" w:cs="Times New Roman"/>
                <w:sz w:val="24"/>
                <w:szCs w:val="24"/>
              </w:rPr>
              <w:t>,</w:t>
            </w:r>
          </w:p>
        </w:tc>
      </w:tr>
      <w:tr w:rsidR="0092462B" w:rsidRPr="006970A2" w14:paraId="4FBD9F7B" w14:textId="77777777" w:rsidTr="00AB3446">
        <w:tc>
          <w:tcPr>
            <w:tcW w:w="2972" w:type="dxa"/>
          </w:tcPr>
          <w:p w14:paraId="3A0E18B6" w14:textId="77777777" w:rsidR="0092462B" w:rsidRPr="006970A2" w:rsidRDefault="0092462B" w:rsidP="00AB3446">
            <w:pPr>
              <w:ind w:firstLine="284"/>
              <w:jc w:val="both"/>
              <w:rPr>
                <w:rFonts w:ascii="Garamond" w:hAnsi="Garamond" w:cs="Times New Roman"/>
                <w:sz w:val="24"/>
                <w:szCs w:val="24"/>
              </w:rPr>
            </w:pPr>
            <w:proofErr w:type="spellStart"/>
            <w:r w:rsidRPr="006970A2">
              <w:rPr>
                <w:rFonts w:ascii="Garamond" w:hAnsi="Garamond" w:cs="Times New Roman"/>
                <w:sz w:val="24"/>
                <w:szCs w:val="24"/>
              </w:rPr>
              <w:t>Marjana</w:t>
            </w:r>
            <w:proofErr w:type="spellEnd"/>
            <w:r w:rsidRPr="006970A2">
              <w:rPr>
                <w:rFonts w:ascii="Garamond" w:hAnsi="Garamond" w:cs="Times New Roman"/>
                <w:sz w:val="24"/>
                <w:szCs w:val="24"/>
              </w:rPr>
              <w:t xml:space="preserve"> </w:t>
            </w:r>
            <w:proofErr w:type="spellStart"/>
            <w:r w:rsidRPr="006970A2">
              <w:rPr>
                <w:rFonts w:ascii="Garamond" w:hAnsi="Garamond" w:cs="Times New Roman"/>
                <w:sz w:val="24"/>
                <w:szCs w:val="24"/>
              </w:rPr>
              <w:t>Semini</w:t>
            </w:r>
            <w:proofErr w:type="spellEnd"/>
          </w:p>
        </w:tc>
        <w:tc>
          <w:tcPr>
            <w:tcW w:w="2693" w:type="dxa"/>
          </w:tcPr>
          <w:p w14:paraId="49D6C7D9" w14:textId="700D76C4" w:rsidR="0092462B" w:rsidRPr="006970A2" w:rsidRDefault="00FA7A28" w:rsidP="00AB3446">
            <w:pPr>
              <w:ind w:firstLine="284"/>
              <w:jc w:val="both"/>
              <w:rPr>
                <w:rFonts w:ascii="Garamond" w:hAnsi="Garamond" w:cs="Times New Roman"/>
                <w:sz w:val="24"/>
                <w:szCs w:val="24"/>
              </w:rPr>
            </w:pPr>
            <w:r w:rsidRPr="006970A2">
              <w:rPr>
                <w:rFonts w:ascii="Garamond" w:hAnsi="Garamond" w:cs="Times New Roman"/>
                <w:sz w:val="24"/>
                <w:szCs w:val="24"/>
              </w:rPr>
              <w:t>anëtare</w:t>
            </w:r>
            <w:r>
              <w:rPr>
                <w:rFonts w:ascii="Garamond" w:hAnsi="Garamond" w:cs="Times New Roman"/>
                <w:sz w:val="24"/>
                <w:szCs w:val="24"/>
              </w:rPr>
              <w:t>,</w:t>
            </w:r>
          </w:p>
        </w:tc>
      </w:tr>
    </w:tbl>
    <w:p w14:paraId="389C0EBF" w14:textId="77777777" w:rsidR="0092462B" w:rsidRPr="006970A2" w:rsidRDefault="0092462B" w:rsidP="0092462B">
      <w:pPr>
        <w:spacing w:after="0" w:line="240" w:lineRule="auto"/>
        <w:ind w:firstLine="284"/>
        <w:jc w:val="both"/>
        <w:rPr>
          <w:rFonts w:ascii="Garamond" w:hAnsi="Garamond" w:cs="Times New Roman"/>
          <w:sz w:val="24"/>
          <w:szCs w:val="24"/>
        </w:rPr>
      </w:pPr>
      <w:r w:rsidRPr="006970A2">
        <w:rPr>
          <w:rFonts w:ascii="Garamond" w:hAnsi="Garamond" w:cs="Times New Roman"/>
          <w:sz w:val="24"/>
          <w:szCs w:val="24"/>
        </w:rPr>
        <w:t xml:space="preserve">me sekretare </w:t>
      </w:r>
      <w:proofErr w:type="spellStart"/>
      <w:r w:rsidRPr="006970A2">
        <w:rPr>
          <w:rFonts w:ascii="Garamond" w:hAnsi="Garamond" w:cs="Times New Roman"/>
          <w:sz w:val="24"/>
          <w:szCs w:val="24"/>
        </w:rPr>
        <w:t>Anjeza</w:t>
      </w:r>
      <w:proofErr w:type="spellEnd"/>
      <w:r w:rsidRPr="006970A2">
        <w:rPr>
          <w:rFonts w:ascii="Garamond" w:hAnsi="Garamond" w:cs="Times New Roman"/>
          <w:sz w:val="24"/>
          <w:szCs w:val="24"/>
        </w:rPr>
        <w:t xml:space="preserve"> Puka, në datën 12.12.2025 mori në shqyrtim në seancë plenare mbi bazë të dokumenteve çështjen nr. 1 (Gj) 2025 të</w:t>
      </w:r>
      <w:r w:rsidRPr="006970A2">
        <w:rPr>
          <w:rFonts w:ascii="Garamond" w:hAnsi="Garamond" w:cs="Times New Roman"/>
          <w:b/>
          <w:bCs/>
          <w:sz w:val="24"/>
          <w:szCs w:val="24"/>
        </w:rPr>
        <w:t xml:space="preserve"> </w:t>
      </w:r>
      <w:r w:rsidRPr="006970A2">
        <w:rPr>
          <w:rFonts w:ascii="Garamond" w:hAnsi="Garamond" w:cs="Times New Roman"/>
          <w:sz w:val="24"/>
          <w:szCs w:val="24"/>
        </w:rPr>
        <w:t>Regjistrit Themeltar që u përket:</w:t>
      </w:r>
    </w:p>
    <w:p w14:paraId="55EE7FCA" w14:textId="40583F47" w:rsidR="0092462B" w:rsidRPr="006970A2" w:rsidRDefault="0092462B" w:rsidP="0092462B">
      <w:pPr>
        <w:tabs>
          <w:tab w:val="left" w:pos="1080"/>
        </w:tabs>
        <w:spacing w:after="0" w:line="240" w:lineRule="auto"/>
        <w:ind w:firstLine="284"/>
        <w:jc w:val="both"/>
        <w:rPr>
          <w:rFonts w:ascii="Garamond" w:hAnsi="Garamond" w:cs="Times New Roman"/>
          <w:sz w:val="24"/>
          <w:szCs w:val="24"/>
        </w:rPr>
      </w:pPr>
      <w:r w:rsidRPr="006970A2">
        <w:rPr>
          <w:rFonts w:ascii="Garamond" w:hAnsi="Garamond" w:cs="Times New Roman"/>
          <w:bCs/>
          <w:sz w:val="24"/>
          <w:szCs w:val="24"/>
        </w:rPr>
        <w:t xml:space="preserve">KËRKUES: </w:t>
      </w:r>
      <w:r w:rsidR="00655954" w:rsidRPr="006970A2">
        <w:rPr>
          <w:rFonts w:ascii="Garamond" w:hAnsi="Garamond" w:cs="Times New Roman"/>
          <w:bCs/>
          <w:sz w:val="24"/>
          <w:szCs w:val="24"/>
        </w:rPr>
        <w:t>Gjergj Sokoli</w:t>
      </w:r>
      <w:r w:rsidRPr="006970A2">
        <w:rPr>
          <w:rFonts w:ascii="Garamond" w:hAnsi="Garamond" w:cs="Times New Roman"/>
          <w:bCs/>
          <w:sz w:val="24"/>
          <w:szCs w:val="24"/>
        </w:rPr>
        <w:t xml:space="preserve">, </w:t>
      </w:r>
      <w:r w:rsidRPr="006970A2">
        <w:rPr>
          <w:rFonts w:ascii="Garamond" w:hAnsi="Garamond" w:cs="Times New Roman"/>
          <w:sz w:val="24"/>
          <w:szCs w:val="24"/>
        </w:rPr>
        <w:t xml:space="preserve">përfaqësuar nga avokat Sokol </w:t>
      </w:r>
      <w:proofErr w:type="spellStart"/>
      <w:r w:rsidRPr="006970A2">
        <w:rPr>
          <w:rFonts w:ascii="Garamond" w:hAnsi="Garamond" w:cs="Times New Roman"/>
          <w:sz w:val="24"/>
          <w:szCs w:val="24"/>
        </w:rPr>
        <w:t>Dedndreaj</w:t>
      </w:r>
      <w:proofErr w:type="spellEnd"/>
      <w:r w:rsidRPr="006970A2">
        <w:rPr>
          <w:rFonts w:ascii="Garamond" w:hAnsi="Garamond" w:cs="Times New Roman"/>
          <w:sz w:val="24"/>
          <w:szCs w:val="24"/>
        </w:rPr>
        <w:t>, me prokurë të posaçme.</w:t>
      </w:r>
    </w:p>
    <w:p w14:paraId="39A95062" w14:textId="77777777" w:rsidR="0092462B" w:rsidRPr="006970A2" w:rsidRDefault="0092462B" w:rsidP="0092462B">
      <w:pPr>
        <w:tabs>
          <w:tab w:val="left" w:pos="1080"/>
        </w:tabs>
        <w:spacing w:after="0" w:line="240" w:lineRule="auto"/>
        <w:ind w:firstLine="284"/>
        <w:jc w:val="both"/>
        <w:rPr>
          <w:rFonts w:ascii="Garamond" w:hAnsi="Garamond" w:cs="Times New Roman"/>
          <w:bCs/>
          <w:sz w:val="24"/>
          <w:szCs w:val="24"/>
        </w:rPr>
      </w:pPr>
      <w:r w:rsidRPr="006970A2">
        <w:rPr>
          <w:rFonts w:ascii="Garamond" w:hAnsi="Garamond" w:cs="Times New Roman"/>
          <w:bCs/>
          <w:sz w:val="24"/>
          <w:szCs w:val="24"/>
        </w:rPr>
        <w:t>SUBJEKTE TË INTERESUARA:</w:t>
      </w:r>
    </w:p>
    <w:p w14:paraId="2F7D9DF0" w14:textId="58CD4FC5" w:rsidR="0092462B" w:rsidRPr="006970A2" w:rsidRDefault="00655954" w:rsidP="0092462B">
      <w:pPr>
        <w:tabs>
          <w:tab w:val="left" w:pos="1080"/>
        </w:tabs>
        <w:spacing w:after="0" w:line="240" w:lineRule="auto"/>
        <w:ind w:firstLine="284"/>
        <w:jc w:val="both"/>
        <w:rPr>
          <w:rFonts w:ascii="Garamond" w:hAnsi="Garamond" w:cs="Times New Roman"/>
          <w:bCs/>
          <w:sz w:val="24"/>
          <w:szCs w:val="24"/>
        </w:rPr>
      </w:pPr>
      <w:r w:rsidRPr="006970A2">
        <w:rPr>
          <w:rFonts w:ascii="Garamond" w:hAnsi="Garamond" w:cs="Times New Roman"/>
          <w:bCs/>
          <w:sz w:val="24"/>
          <w:szCs w:val="24"/>
        </w:rPr>
        <w:t>Drejtoria e Përgjithshme e Policisë së Shtetit</w:t>
      </w:r>
      <w:r w:rsidR="0092462B" w:rsidRPr="006970A2">
        <w:rPr>
          <w:rFonts w:ascii="Garamond" w:hAnsi="Garamond" w:cs="Times New Roman"/>
          <w:bCs/>
          <w:sz w:val="24"/>
          <w:szCs w:val="24"/>
        </w:rPr>
        <w:t xml:space="preserve">, </w:t>
      </w:r>
      <w:r w:rsidR="0092462B" w:rsidRPr="006970A2">
        <w:rPr>
          <w:rFonts w:ascii="Garamond" w:hAnsi="Garamond" w:cs="Times New Roman"/>
          <w:sz w:val="24"/>
          <w:szCs w:val="24"/>
        </w:rPr>
        <w:t xml:space="preserve">përfaqësuar nga drejtori i përgjithshëm Ilir </w:t>
      </w:r>
      <w:proofErr w:type="spellStart"/>
      <w:r w:rsidR="0092462B" w:rsidRPr="006970A2">
        <w:rPr>
          <w:rFonts w:ascii="Garamond" w:hAnsi="Garamond" w:cs="Times New Roman"/>
          <w:sz w:val="24"/>
          <w:szCs w:val="24"/>
        </w:rPr>
        <w:t>Proda</w:t>
      </w:r>
      <w:proofErr w:type="spellEnd"/>
      <w:r w:rsidR="0092462B" w:rsidRPr="006970A2">
        <w:rPr>
          <w:rFonts w:ascii="Garamond" w:hAnsi="Garamond" w:cs="Times New Roman"/>
          <w:sz w:val="24"/>
          <w:szCs w:val="24"/>
        </w:rPr>
        <w:t>.</w:t>
      </w:r>
    </w:p>
    <w:p w14:paraId="0120CDF8" w14:textId="14ADA209" w:rsidR="0092462B" w:rsidRPr="006970A2" w:rsidRDefault="0092462B" w:rsidP="0092462B">
      <w:pPr>
        <w:tabs>
          <w:tab w:val="left" w:pos="1080"/>
        </w:tabs>
        <w:spacing w:after="0" w:line="240" w:lineRule="auto"/>
        <w:ind w:firstLine="284"/>
        <w:jc w:val="both"/>
        <w:rPr>
          <w:rFonts w:ascii="Garamond" w:hAnsi="Garamond" w:cs="Times New Roman"/>
          <w:bCs/>
          <w:caps/>
          <w:sz w:val="24"/>
          <w:szCs w:val="24"/>
        </w:rPr>
      </w:pPr>
      <w:r w:rsidRPr="006970A2">
        <w:rPr>
          <w:rFonts w:ascii="Garamond" w:hAnsi="Garamond" w:cs="Times New Roman"/>
          <w:bCs/>
          <w:caps/>
          <w:sz w:val="24"/>
          <w:szCs w:val="24"/>
        </w:rPr>
        <w:t xml:space="preserve">Avokatura e Shtetit, </w:t>
      </w:r>
      <w:r w:rsidRPr="006970A2">
        <w:rPr>
          <w:rFonts w:ascii="Garamond" w:hAnsi="Garamond" w:cs="Times New Roman"/>
          <w:sz w:val="24"/>
          <w:szCs w:val="24"/>
        </w:rPr>
        <w:t>përfaqësuar nga avokati i shtetit Irma Qosja.</w:t>
      </w:r>
    </w:p>
    <w:p w14:paraId="628A4509" w14:textId="05E1C73F" w:rsidR="0092462B" w:rsidRPr="006970A2" w:rsidRDefault="0092462B" w:rsidP="0092462B">
      <w:pPr>
        <w:tabs>
          <w:tab w:val="left" w:pos="1080"/>
        </w:tabs>
        <w:spacing w:after="0" w:line="240" w:lineRule="auto"/>
        <w:ind w:firstLine="284"/>
        <w:jc w:val="both"/>
        <w:rPr>
          <w:rFonts w:ascii="Garamond" w:hAnsi="Garamond" w:cs="Times New Roman"/>
          <w:bCs/>
          <w:sz w:val="24"/>
          <w:szCs w:val="24"/>
        </w:rPr>
      </w:pPr>
      <w:r w:rsidRPr="006970A2">
        <w:rPr>
          <w:rFonts w:ascii="Garamond" w:hAnsi="Garamond" w:cs="Times New Roman"/>
          <w:bCs/>
          <w:sz w:val="24"/>
          <w:szCs w:val="24"/>
        </w:rPr>
        <w:t>OBJEKTI: Shfuqizimi i vendimeve nr. 117 (86-2021-58), datë 24.2.2021</w:t>
      </w:r>
      <w:r w:rsidR="006B7B64">
        <w:rPr>
          <w:rFonts w:ascii="Garamond" w:hAnsi="Garamond" w:cs="Times New Roman"/>
          <w:bCs/>
          <w:sz w:val="24"/>
          <w:szCs w:val="24"/>
        </w:rPr>
        <w:t>,</w:t>
      </w:r>
      <w:r w:rsidRPr="006970A2">
        <w:rPr>
          <w:rFonts w:ascii="Garamond" w:hAnsi="Garamond" w:cs="Times New Roman"/>
          <w:bCs/>
          <w:sz w:val="24"/>
          <w:szCs w:val="24"/>
        </w:rPr>
        <w:t xml:space="preserve"> të Gjykatës Administrative të Apelit; nr. 00-2024-3623, datë 24.9.2024</w:t>
      </w:r>
      <w:r w:rsidR="006B7B64">
        <w:rPr>
          <w:rFonts w:ascii="Garamond" w:hAnsi="Garamond" w:cs="Times New Roman"/>
          <w:bCs/>
          <w:sz w:val="24"/>
          <w:szCs w:val="24"/>
        </w:rPr>
        <w:t>,</w:t>
      </w:r>
      <w:r w:rsidRPr="006970A2">
        <w:rPr>
          <w:rFonts w:ascii="Garamond" w:hAnsi="Garamond" w:cs="Times New Roman"/>
          <w:bCs/>
          <w:sz w:val="24"/>
          <w:szCs w:val="24"/>
        </w:rPr>
        <w:t xml:space="preserve"> të Kolegjit Administrativ të Gjykatës së Lartë, si të papajtueshme me Kushtetutën e Republikës së Shqipërisë.</w:t>
      </w:r>
    </w:p>
    <w:p w14:paraId="6D874EF9" w14:textId="7BD7AA44" w:rsidR="0092462B" w:rsidRPr="006970A2" w:rsidRDefault="0092462B" w:rsidP="0092462B">
      <w:pPr>
        <w:tabs>
          <w:tab w:val="left" w:pos="1080"/>
        </w:tabs>
        <w:spacing w:after="0" w:line="240" w:lineRule="auto"/>
        <w:ind w:firstLine="284"/>
        <w:jc w:val="both"/>
        <w:rPr>
          <w:rFonts w:ascii="Garamond" w:hAnsi="Garamond" w:cs="Times New Roman"/>
          <w:bCs/>
          <w:i/>
          <w:iCs/>
          <w:sz w:val="24"/>
          <w:szCs w:val="24"/>
        </w:rPr>
      </w:pPr>
      <w:r w:rsidRPr="006970A2">
        <w:rPr>
          <w:rFonts w:ascii="Garamond" w:hAnsi="Garamond" w:cs="Times New Roman"/>
          <w:bCs/>
          <w:sz w:val="24"/>
          <w:szCs w:val="24"/>
        </w:rPr>
        <w:t xml:space="preserve">BAZA LIGJORE: Nenet 42, 131, pika 1, shkronja “f”, 134, pika 1, shkronja “i” dhe 142, pika 1, të Kushtetutës së Republikës së Shqipërisë </w:t>
      </w:r>
      <w:r w:rsidRPr="006970A2">
        <w:rPr>
          <w:rFonts w:ascii="Garamond" w:hAnsi="Garamond" w:cs="Times New Roman"/>
          <w:bCs/>
          <w:i/>
          <w:iCs/>
          <w:sz w:val="24"/>
          <w:szCs w:val="24"/>
        </w:rPr>
        <w:t>(Kushtetuta)</w:t>
      </w:r>
      <w:r w:rsidRPr="006970A2">
        <w:rPr>
          <w:rFonts w:ascii="Garamond" w:hAnsi="Garamond" w:cs="Times New Roman"/>
          <w:bCs/>
          <w:sz w:val="24"/>
          <w:szCs w:val="24"/>
        </w:rPr>
        <w:t>; neni 6 i Konventës Evropiane për të Drejtat e Njeriut; ligji nr. 8577, datë 10.2.2000</w:t>
      </w:r>
      <w:r w:rsidR="008420FD">
        <w:rPr>
          <w:rFonts w:ascii="Garamond" w:hAnsi="Garamond" w:cs="Times New Roman"/>
          <w:bCs/>
          <w:sz w:val="24"/>
          <w:szCs w:val="24"/>
        </w:rPr>
        <w:t>,</w:t>
      </w:r>
      <w:r w:rsidRPr="006970A2">
        <w:rPr>
          <w:rFonts w:ascii="Garamond" w:hAnsi="Garamond" w:cs="Times New Roman"/>
          <w:bCs/>
          <w:sz w:val="24"/>
          <w:szCs w:val="24"/>
        </w:rPr>
        <w:t xml:space="preserve"> “Për organizimin dhe funksionimin e Gjykatës Kushtetuese të Republikës së Shqipërisë”, i  ndryshuar </w:t>
      </w:r>
      <w:r w:rsidRPr="00655954">
        <w:rPr>
          <w:rFonts w:ascii="Garamond" w:hAnsi="Garamond" w:cs="Times New Roman"/>
          <w:bCs/>
          <w:i/>
          <w:iCs/>
          <w:sz w:val="24"/>
          <w:szCs w:val="24"/>
        </w:rPr>
        <w:t>(Ligji Organik i Gjykatës).</w:t>
      </w:r>
    </w:p>
    <w:p w14:paraId="7AED908D" w14:textId="77777777" w:rsidR="0092462B" w:rsidRPr="006970A2" w:rsidRDefault="0092462B" w:rsidP="0092462B">
      <w:pPr>
        <w:tabs>
          <w:tab w:val="left" w:pos="1080"/>
        </w:tabs>
        <w:spacing w:after="0" w:line="240" w:lineRule="auto"/>
        <w:ind w:firstLine="284"/>
        <w:jc w:val="both"/>
        <w:rPr>
          <w:rFonts w:ascii="Garamond" w:hAnsi="Garamond" w:cs="Times New Roman"/>
          <w:b/>
          <w:bCs/>
          <w:i/>
          <w:iCs/>
          <w:sz w:val="24"/>
          <w:szCs w:val="24"/>
        </w:rPr>
      </w:pPr>
    </w:p>
    <w:p w14:paraId="06CF7939" w14:textId="77777777" w:rsidR="0092462B" w:rsidRDefault="0092462B" w:rsidP="0092462B">
      <w:pPr>
        <w:spacing w:after="0" w:line="240" w:lineRule="auto"/>
        <w:ind w:firstLine="284"/>
        <w:jc w:val="center"/>
        <w:rPr>
          <w:rFonts w:ascii="Garamond" w:hAnsi="Garamond" w:cs="Times New Roman"/>
          <w:bCs/>
          <w:sz w:val="24"/>
          <w:szCs w:val="24"/>
        </w:rPr>
      </w:pPr>
      <w:r w:rsidRPr="006970A2">
        <w:rPr>
          <w:rFonts w:ascii="Garamond" w:hAnsi="Garamond" w:cs="Times New Roman"/>
          <w:bCs/>
          <w:sz w:val="24"/>
          <w:szCs w:val="24"/>
        </w:rPr>
        <w:t>GJYKATA KUSHTETUESE,</w:t>
      </w:r>
    </w:p>
    <w:p w14:paraId="606A26E5" w14:textId="77777777" w:rsidR="0092462B" w:rsidRPr="006970A2" w:rsidRDefault="0092462B" w:rsidP="0092462B">
      <w:pPr>
        <w:spacing w:after="0" w:line="240" w:lineRule="auto"/>
        <w:ind w:firstLine="284"/>
        <w:jc w:val="center"/>
        <w:rPr>
          <w:rFonts w:ascii="Garamond" w:hAnsi="Garamond" w:cs="Times New Roman"/>
          <w:bCs/>
          <w:sz w:val="24"/>
          <w:szCs w:val="24"/>
        </w:rPr>
      </w:pPr>
    </w:p>
    <w:p w14:paraId="6362F8F4" w14:textId="77777777" w:rsidR="0092462B" w:rsidRPr="006970A2" w:rsidRDefault="0092462B" w:rsidP="0092462B">
      <w:pPr>
        <w:tabs>
          <w:tab w:val="left" w:pos="1080"/>
        </w:tabs>
        <w:spacing w:after="0" w:line="240" w:lineRule="auto"/>
        <w:ind w:firstLine="284"/>
        <w:jc w:val="both"/>
        <w:rPr>
          <w:rFonts w:ascii="Garamond" w:hAnsi="Garamond" w:cs="Times New Roman"/>
          <w:sz w:val="24"/>
          <w:szCs w:val="24"/>
        </w:rPr>
      </w:pPr>
      <w:r w:rsidRPr="006970A2">
        <w:rPr>
          <w:rFonts w:ascii="Garamond" w:hAnsi="Garamond" w:cs="Times New Roman"/>
          <w:sz w:val="24"/>
          <w:szCs w:val="24"/>
        </w:rPr>
        <w:t xml:space="preserve">pasi dëgjoi </w:t>
      </w:r>
      <w:proofErr w:type="spellStart"/>
      <w:r w:rsidRPr="006970A2">
        <w:rPr>
          <w:rFonts w:ascii="Garamond" w:hAnsi="Garamond" w:cs="Times New Roman"/>
          <w:sz w:val="24"/>
          <w:szCs w:val="24"/>
        </w:rPr>
        <w:t>relatoren</w:t>
      </w:r>
      <w:proofErr w:type="spellEnd"/>
      <w:r w:rsidRPr="006970A2">
        <w:rPr>
          <w:rFonts w:ascii="Garamond" w:hAnsi="Garamond" w:cs="Times New Roman"/>
          <w:sz w:val="24"/>
          <w:szCs w:val="24"/>
        </w:rPr>
        <w:t xml:space="preserve"> e çështjes </w:t>
      </w:r>
      <w:proofErr w:type="spellStart"/>
      <w:r w:rsidRPr="006970A2">
        <w:rPr>
          <w:rFonts w:ascii="Garamond" w:hAnsi="Garamond" w:cs="Times New Roman"/>
          <w:sz w:val="24"/>
          <w:szCs w:val="24"/>
        </w:rPr>
        <w:t>Marjana</w:t>
      </w:r>
      <w:proofErr w:type="spellEnd"/>
      <w:r w:rsidRPr="006970A2">
        <w:rPr>
          <w:rFonts w:ascii="Garamond" w:hAnsi="Garamond" w:cs="Times New Roman"/>
          <w:sz w:val="24"/>
          <w:szCs w:val="24"/>
        </w:rPr>
        <w:t xml:space="preserve"> </w:t>
      </w:r>
      <w:proofErr w:type="spellStart"/>
      <w:r w:rsidRPr="006970A2">
        <w:rPr>
          <w:rFonts w:ascii="Garamond" w:hAnsi="Garamond" w:cs="Times New Roman"/>
          <w:sz w:val="24"/>
          <w:szCs w:val="24"/>
        </w:rPr>
        <w:t>Semini</w:t>
      </w:r>
      <w:proofErr w:type="spellEnd"/>
      <w:r w:rsidRPr="006970A2">
        <w:rPr>
          <w:rFonts w:ascii="Garamond" w:hAnsi="Garamond" w:cs="Times New Roman"/>
          <w:sz w:val="24"/>
          <w:szCs w:val="24"/>
        </w:rPr>
        <w:t xml:space="preserve">, mori në shqyrtim pretendimet e kërkuesit Gjergj Sokoli </w:t>
      </w:r>
      <w:r w:rsidRPr="006970A2">
        <w:rPr>
          <w:rFonts w:ascii="Garamond" w:hAnsi="Garamond" w:cs="Times New Roman"/>
          <w:i/>
          <w:iCs/>
          <w:sz w:val="24"/>
          <w:szCs w:val="24"/>
        </w:rPr>
        <w:t>(kërkuesi)</w:t>
      </w:r>
      <w:r w:rsidRPr="006970A2">
        <w:rPr>
          <w:rFonts w:ascii="Garamond" w:hAnsi="Garamond" w:cs="Times New Roman"/>
          <w:sz w:val="24"/>
          <w:szCs w:val="24"/>
        </w:rPr>
        <w:t xml:space="preserve">, i cili ka kërkuar pranimin e kërkesës, prapësimet me shkrim të subjekteve të interesuara, Drejtorisë së Përgjithshme të Policisë së Shtetit </w:t>
      </w:r>
      <w:r w:rsidRPr="006970A2">
        <w:rPr>
          <w:rFonts w:ascii="Garamond" w:hAnsi="Garamond" w:cs="Times New Roman"/>
          <w:i/>
          <w:iCs/>
          <w:sz w:val="24"/>
          <w:szCs w:val="24"/>
        </w:rPr>
        <w:t>(</w:t>
      </w:r>
      <w:proofErr w:type="spellStart"/>
      <w:r w:rsidRPr="006970A2">
        <w:rPr>
          <w:rFonts w:ascii="Garamond" w:hAnsi="Garamond" w:cs="Times New Roman"/>
          <w:i/>
          <w:iCs/>
          <w:sz w:val="24"/>
          <w:szCs w:val="24"/>
        </w:rPr>
        <w:t>DPPSH</w:t>
      </w:r>
      <w:proofErr w:type="spellEnd"/>
      <w:r w:rsidRPr="006970A2">
        <w:rPr>
          <w:rFonts w:ascii="Garamond" w:hAnsi="Garamond" w:cs="Times New Roman"/>
          <w:i/>
          <w:iCs/>
          <w:sz w:val="24"/>
          <w:szCs w:val="24"/>
        </w:rPr>
        <w:t>)</w:t>
      </w:r>
      <w:r w:rsidRPr="006970A2">
        <w:rPr>
          <w:rFonts w:ascii="Garamond" w:hAnsi="Garamond" w:cs="Times New Roman"/>
          <w:sz w:val="24"/>
          <w:szCs w:val="24"/>
        </w:rPr>
        <w:t xml:space="preserve"> dhe Avokaturës së Shtetit, që kanë kërkuar rrëzimin e kërkesës, si dhe diskutoi çështjen në tërësi,</w:t>
      </w:r>
    </w:p>
    <w:p w14:paraId="66F599B5" w14:textId="77777777" w:rsidR="0092462B" w:rsidRPr="006970A2" w:rsidRDefault="0092462B" w:rsidP="0092462B">
      <w:pPr>
        <w:tabs>
          <w:tab w:val="left" w:pos="4520"/>
        </w:tabs>
        <w:spacing w:after="0" w:line="240" w:lineRule="auto"/>
        <w:ind w:firstLine="284"/>
        <w:jc w:val="both"/>
        <w:rPr>
          <w:rFonts w:ascii="Garamond" w:hAnsi="Garamond"/>
          <w:sz w:val="24"/>
          <w:szCs w:val="24"/>
        </w:rPr>
      </w:pPr>
    </w:p>
    <w:p w14:paraId="77169243" w14:textId="77777777" w:rsidR="0092462B" w:rsidRDefault="0092462B" w:rsidP="0092462B">
      <w:pPr>
        <w:spacing w:after="0" w:line="240" w:lineRule="auto"/>
        <w:ind w:firstLine="284"/>
        <w:jc w:val="center"/>
        <w:rPr>
          <w:rFonts w:ascii="Garamond" w:hAnsi="Garamond" w:cs="Times New Roman"/>
          <w:bCs/>
          <w:sz w:val="24"/>
          <w:szCs w:val="24"/>
        </w:rPr>
      </w:pPr>
      <w:r w:rsidRPr="006970A2">
        <w:rPr>
          <w:rFonts w:ascii="Garamond" w:hAnsi="Garamond" w:cs="Times New Roman"/>
          <w:bCs/>
          <w:sz w:val="24"/>
          <w:szCs w:val="24"/>
        </w:rPr>
        <w:t>VËREN:</w:t>
      </w:r>
    </w:p>
    <w:p w14:paraId="37F6088E" w14:textId="77777777" w:rsidR="0092462B" w:rsidRPr="006970A2" w:rsidRDefault="0092462B" w:rsidP="0092462B">
      <w:pPr>
        <w:spacing w:after="0" w:line="240" w:lineRule="auto"/>
        <w:ind w:firstLine="284"/>
        <w:jc w:val="center"/>
        <w:rPr>
          <w:rFonts w:ascii="Garamond" w:hAnsi="Garamond" w:cs="Times New Roman"/>
          <w:bCs/>
          <w:sz w:val="24"/>
          <w:szCs w:val="24"/>
        </w:rPr>
      </w:pPr>
    </w:p>
    <w:p w14:paraId="74B2FEEF" w14:textId="77777777" w:rsidR="0092462B" w:rsidRPr="006970A2" w:rsidRDefault="0092462B" w:rsidP="0092462B">
      <w:pPr>
        <w:tabs>
          <w:tab w:val="left" w:pos="1080"/>
        </w:tabs>
        <w:spacing w:after="0" w:line="240" w:lineRule="auto"/>
        <w:ind w:firstLine="284"/>
        <w:jc w:val="center"/>
        <w:rPr>
          <w:rFonts w:ascii="Garamond" w:hAnsi="Garamond" w:cs="Times New Roman"/>
          <w:b/>
          <w:bCs/>
          <w:sz w:val="24"/>
          <w:szCs w:val="24"/>
        </w:rPr>
      </w:pPr>
      <w:r w:rsidRPr="006970A2">
        <w:rPr>
          <w:rFonts w:ascii="Garamond" w:hAnsi="Garamond" w:cs="Times New Roman"/>
          <w:b/>
          <w:bCs/>
          <w:sz w:val="24"/>
          <w:szCs w:val="24"/>
        </w:rPr>
        <w:t>I</w:t>
      </w:r>
    </w:p>
    <w:p w14:paraId="11EAFE61" w14:textId="77777777" w:rsidR="0092462B" w:rsidRDefault="0092462B" w:rsidP="0092462B">
      <w:pPr>
        <w:tabs>
          <w:tab w:val="left" w:pos="1080"/>
        </w:tabs>
        <w:spacing w:after="0" w:line="240" w:lineRule="auto"/>
        <w:ind w:firstLine="284"/>
        <w:jc w:val="center"/>
        <w:rPr>
          <w:rFonts w:ascii="Garamond" w:hAnsi="Garamond" w:cs="Times New Roman"/>
          <w:b/>
          <w:bCs/>
          <w:sz w:val="24"/>
          <w:szCs w:val="24"/>
        </w:rPr>
      </w:pPr>
      <w:r w:rsidRPr="006970A2">
        <w:rPr>
          <w:rFonts w:ascii="Garamond" w:hAnsi="Garamond" w:cs="Times New Roman"/>
          <w:b/>
          <w:bCs/>
          <w:sz w:val="24"/>
          <w:szCs w:val="24"/>
        </w:rPr>
        <w:t>Rrethanat e çështjes</w:t>
      </w:r>
    </w:p>
    <w:p w14:paraId="7F2D83E9" w14:textId="77777777" w:rsidR="0092462B" w:rsidRPr="006970A2" w:rsidRDefault="0092462B" w:rsidP="0092462B">
      <w:pPr>
        <w:tabs>
          <w:tab w:val="left" w:pos="1080"/>
        </w:tabs>
        <w:spacing w:after="0" w:line="240" w:lineRule="auto"/>
        <w:ind w:firstLine="284"/>
        <w:jc w:val="center"/>
        <w:rPr>
          <w:rFonts w:ascii="Garamond" w:hAnsi="Garamond" w:cs="Times New Roman"/>
          <w:b/>
          <w:bCs/>
          <w:sz w:val="24"/>
          <w:szCs w:val="24"/>
        </w:rPr>
      </w:pPr>
    </w:p>
    <w:p w14:paraId="102A7616" w14:textId="78624961" w:rsidR="0092462B" w:rsidRPr="006970A2" w:rsidRDefault="0092462B" w:rsidP="0092462B">
      <w:pPr>
        <w:pStyle w:val="ListParagraph"/>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cs="Times New Roman"/>
          <w:b/>
          <w:bCs/>
          <w:i/>
          <w:iCs/>
          <w:sz w:val="24"/>
          <w:szCs w:val="24"/>
        </w:rPr>
      </w:pPr>
      <w:r w:rsidRPr="006970A2">
        <w:rPr>
          <w:rFonts w:ascii="Garamond" w:hAnsi="Garamond" w:cs="Times New Roman"/>
          <w:sz w:val="24"/>
          <w:szCs w:val="24"/>
        </w:rPr>
        <w:t xml:space="preserve">1. Kërkuesi ka qenë punonjës policie në detyrën “shef i Seksionit” dhe “specialist” në seksionin kundër trafiqeve të paligjshme, në seksionin kundër krimit të organizuar në Drejtorinë e Policisë së Qarkut Korçë nga muaji qershor i vitit 2006 deri në datën 13.1.2007. Në datën 31.1.2007 kërkuesi është ndaluar si i dyshuar për kryerjen e veprës penale të ushtrimit të ndikimit të paligjshëm ndaj personave që ushtrojnë funksione publike. Me shkresën nr. 301 </w:t>
      </w:r>
      <w:proofErr w:type="spellStart"/>
      <w:r w:rsidRPr="006970A2">
        <w:rPr>
          <w:rFonts w:ascii="Garamond" w:hAnsi="Garamond" w:cs="Times New Roman"/>
          <w:sz w:val="24"/>
          <w:szCs w:val="24"/>
        </w:rPr>
        <w:t>prot</w:t>
      </w:r>
      <w:proofErr w:type="spellEnd"/>
      <w:r w:rsidRPr="006970A2">
        <w:rPr>
          <w:rFonts w:ascii="Garamond" w:hAnsi="Garamond" w:cs="Times New Roman"/>
          <w:sz w:val="24"/>
          <w:szCs w:val="24"/>
        </w:rPr>
        <w:t>., datë 25.1.2007 të Drejtorisë së Policisë së Qarkut Korçë, ai është pezulluar paraprakisht nga detyra, me motivacionin se ndaj tij kishte filluar procedimi penal</w:t>
      </w:r>
      <w:r w:rsidRPr="006970A2">
        <w:rPr>
          <w:rFonts w:ascii="Garamond" w:hAnsi="Garamond" w:cs="Times New Roman"/>
          <w:i/>
          <w:iCs/>
          <w:sz w:val="24"/>
          <w:szCs w:val="24"/>
        </w:rPr>
        <w:t xml:space="preserve">. </w:t>
      </w:r>
      <w:r w:rsidRPr="006970A2">
        <w:rPr>
          <w:rFonts w:ascii="Garamond" w:hAnsi="Garamond" w:cs="Times New Roman"/>
          <w:sz w:val="24"/>
          <w:szCs w:val="24"/>
        </w:rPr>
        <w:t xml:space="preserve">Me urdhrin nr. 133/1, datë 25.1.2007 </w:t>
      </w:r>
      <w:r w:rsidRPr="006970A2">
        <w:rPr>
          <w:rFonts w:ascii="Garamond" w:hAnsi="Garamond" w:cs="Times New Roman"/>
          <w:i/>
          <w:iCs/>
          <w:sz w:val="24"/>
          <w:szCs w:val="24"/>
        </w:rPr>
        <w:t>(urdhri për përjashtimin)</w:t>
      </w:r>
      <w:r w:rsidRPr="006970A2">
        <w:rPr>
          <w:rFonts w:ascii="Garamond" w:hAnsi="Garamond" w:cs="Times New Roman"/>
          <w:sz w:val="24"/>
          <w:szCs w:val="24"/>
        </w:rPr>
        <w:t xml:space="preserve"> të drejtorit të përgjithshëm të Policisë së Shtetit, kërkuesi është përjashtuar nga Policia e Shtetit, me motivacionin </w:t>
      </w:r>
      <w:r w:rsidRPr="00917ACC">
        <w:rPr>
          <w:rFonts w:ascii="Garamond" w:hAnsi="Garamond"/>
          <w:i/>
          <w:iCs/>
          <w:sz w:val="24"/>
          <w:szCs w:val="24"/>
        </w:rPr>
        <w:t>“Për shkelje të betimit, abuzime të rënda me atributet e policisë dhe me mirëbesimin e publikut dhe për veprime që cenojnë në mënyrë të pariparueshme ligjin dhe detyrën”,</w:t>
      </w:r>
      <w:r w:rsidRPr="006970A2">
        <w:rPr>
          <w:rFonts w:ascii="Garamond" w:hAnsi="Garamond" w:cs="Times New Roman"/>
          <w:sz w:val="24"/>
          <w:szCs w:val="24"/>
        </w:rPr>
        <w:t xml:space="preserve"> duke urdhëruar edhe ndërprerjen e marrëdhënieve financiare.</w:t>
      </w:r>
    </w:p>
    <w:p w14:paraId="4800E7F5" w14:textId="7B28BAB0"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2. Pas shqyrtimit të çështjes penale, Gjykata e Rrethit Gjyqësor Korçë, me vendimin nr. 258, datë 25.9.2007, ka vendosur deklarimin fajtor të kërkuesit për kryerjen e veprës penale “Ushtrimi i ndikimit të paligjshëm ndaj personave që ushtrojnë funksione publike”, të parashikuar nga neni 245/1, paragrafi i dytë, i Kodit Penal dhe dënimin me 2 vjet burgim dhe 500 000 lekë gjobë, vendim </w:t>
      </w:r>
      <w:r w:rsidRPr="006970A2">
        <w:rPr>
          <w:rFonts w:ascii="Garamond" w:hAnsi="Garamond" w:cs="Times New Roman"/>
          <w:sz w:val="24"/>
          <w:szCs w:val="24"/>
        </w:rPr>
        <w:lastRenderedPageBreak/>
        <w:t>i cili është lënë në fuqi me vendimin nr. 133, datë 23.11.2007</w:t>
      </w:r>
      <w:r w:rsidR="006B7B64">
        <w:rPr>
          <w:rFonts w:ascii="Garamond" w:hAnsi="Garamond" w:cs="Times New Roman"/>
          <w:sz w:val="24"/>
          <w:szCs w:val="24"/>
        </w:rPr>
        <w:t>,</w:t>
      </w:r>
      <w:r w:rsidRPr="006970A2">
        <w:rPr>
          <w:rFonts w:ascii="Garamond" w:hAnsi="Garamond" w:cs="Times New Roman"/>
          <w:sz w:val="24"/>
          <w:szCs w:val="24"/>
        </w:rPr>
        <w:t xml:space="preserve"> të Gjykatës së Apelit Korçë. Kolegji Penal i Gjykatës së Lartë, me vendimin nr. 637, datë 25.11.2009, ka vendosur prishjen e vendimeve të gjykatës së shkallës së parë dhe të apelit, si dhe kthimin e çështjes për rigjykim në Gjykatën e Rrethit Gjyqësor Korçë. Me shkresën nr. 446 </w:t>
      </w:r>
      <w:proofErr w:type="spellStart"/>
      <w:r w:rsidRPr="006970A2">
        <w:rPr>
          <w:rFonts w:ascii="Garamond" w:hAnsi="Garamond" w:cs="Times New Roman"/>
          <w:sz w:val="24"/>
          <w:szCs w:val="24"/>
        </w:rPr>
        <w:t>prot</w:t>
      </w:r>
      <w:proofErr w:type="spellEnd"/>
      <w:r w:rsidRPr="006970A2">
        <w:rPr>
          <w:rFonts w:ascii="Garamond" w:hAnsi="Garamond" w:cs="Times New Roman"/>
          <w:sz w:val="24"/>
          <w:szCs w:val="24"/>
        </w:rPr>
        <w:t xml:space="preserve">., datë 8.5.2008, kërkuesi është liruar nga Institucioni i Ekzekutimit të Dënimeve Penale. Pasi çështja është dërguar për rigjykim në Gjykatën e Rrethit Gjyqësor Korçë, Prokuroria pranë Gjykatës së Rrethit Gjyqësor Korçë, bazuar në nenin 377 të Kodit të Procedurës Penale </w:t>
      </w:r>
      <w:r w:rsidRPr="006970A2">
        <w:rPr>
          <w:rFonts w:ascii="Garamond" w:hAnsi="Garamond" w:cs="Times New Roman"/>
          <w:i/>
          <w:iCs/>
          <w:sz w:val="24"/>
          <w:szCs w:val="24"/>
        </w:rPr>
        <w:t>(</w:t>
      </w:r>
      <w:proofErr w:type="spellStart"/>
      <w:r w:rsidRPr="006970A2">
        <w:rPr>
          <w:rFonts w:ascii="Garamond" w:hAnsi="Garamond" w:cs="Times New Roman"/>
          <w:i/>
          <w:iCs/>
          <w:sz w:val="24"/>
          <w:szCs w:val="24"/>
        </w:rPr>
        <w:t>KPP</w:t>
      </w:r>
      <w:proofErr w:type="spellEnd"/>
      <w:r w:rsidRPr="006970A2">
        <w:rPr>
          <w:rFonts w:ascii="Garamond" w:hAnsi="Garamond" w:cs="Times New Roman"/>
          <w:i/>
          <w:iCs/>
          <w:sz w:val="24"/>
          <w:szCs w:val="24"/>
        </w:rPr>
        <w:t>),</w:t>
      </w:r>
      <w:r w:rsidRPr="006970A2">
        <w:rPr>
          <w:rFonts w:ascii="Garamond" w:hAnsi="Garamond" w:cs="Times New Roman"/>
          <w:sz w:val="24"/>
          <w:szCs w:val="24"/>
        </w:rPr>
        <w:t xml:space="preserve"> ka tërhequr akuzën dhe Gjykata e Rrethit Gjyqësor Korçë ka vendosur kalimin e akteve të çështjes penale Prokurorisë pranë Gjykatës së Rrethit Gjyqësor Korçë, e cila në datën 20.9.2010 ka vendosur pushimin e hetimit në ngarkim të kërkuesit. Nga përmbajtja e dosjes gjyqësore të administruar për efekt të gjykimit kushtetues ka rezultuar se në datën 9.1.2013 kërkuesi i është drejtuar Gjykatës së Rrethit Gjyqësor Korçë me kërkesëpadi për kompensimin e burgimit të padrejtë për periudhën nga 31.1.2007 deri në 8.5.2008.</w:t>
      </w:r>
    </w:p>
    <w:p w14:paraId="65CF8428" w14:textId="57C322A3" w:rsidR="0092462B" w:rsidRPr="006970A2" w:rsidRDefault="0092462B" w:rsidP="0092462B">
      <w:pPr>
        <w:pStyle w:val="ListParagraph"/>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3. Kërkuesi në datën 4.10.2013 i është drejtuar me kërkesëpadi Gjykatës së Rrethit Gjyqësor Tiranë, duke kërkuar detyrimin e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 xml:space="preserve">-së/palë e paditur për të paguar pagën mujore nga data e arrestimit deri në momentin e përfundimit të shqyrtimit të padisë, për të paguar pagesën e avokatit, rikthimin në vendin e mëparshëm të punës, si dhe dëmshpërblimin shëndetësor dhe moral. Gjykata e Rrethit Gjyqësor Tiranë, me vendimin nr. 642, datë 23.1.2014, ka vendosur shpalljen e </w:t>
      </w:r>
      <w:proofErr w:type="spellStart"/>
      <w:r w:rsidRPr="006970A2">
        <w:rPr>
          <w:rFonts w:ascii="Garamond" w:hAnsi="Garamond" w:cs="Times New Roman"/>
          <w:sz w:val="24"/>
          <w:szCs w:val="24"/>
        </w:rPr>
        <w:t>moskompetencës</w:t>
      </w:r>
      <w:proofErr w:type="spellEnd"/>
      <w:r w:rsidRPr="006970A2">
        <w:rPr>
          <w:rFonts w:ascii="Garamond" w:hAnsi="Garamond" w:cs="Times New Roman"/>
          <w:sz w:val="24"/>
          <w:szCs w:val="24"/>
        </w:rPr>
        <w:t xml:space="preserve"> lëndore dhe dërgimin e akteve Gjykatës Administrative të Shkallës së Parë Tiranë, e cila, me vendimin nr. 2414, datë 15.5.2014, ka vendosur deklarimin e </w:t>
      </w:r>
      <w:proofErr w:type="spellStart"/>
      <w:r w:rsidRPr="006970A2">
        <w:rPr>
          <w:rFonts w:ascii="Garamond" w:hAnsi="Garamond" w:cs="Times New Roman"/>
          <w:sz w:val="24"/>
          <w:szCs w:val="24"/>
        </w:rPr>
        <w:t>moskompetencës</w:t>
      </w:r>
      <w:proofErr w:type="spellEnd"/>
      <w:r w:rsidRPr="006970A2">
        <w:rPr>
          <w:rFonts w:ascii="Garamond" w:hAnsi="Garamond" w:cs="Times New Roman"/>
          <w:sz w:val="24"/>
          <w:szCs w:val="24"/>
        </w:rPr>
        <w:t xml:space="preserve"> tokësore dhe dërgimin e akteve Gjykatës Administrative të Shkallës së Parë Korçë. Sipas akteve që ndodhen në dosjen gjyqësore rezulton se gjatë kohës që çështja ka qenë duke u shqyrtuar në Gjykatën Administrative të Shkallës së Parë Korçë, në datën 26.6.2014 subjekti i interesuar, si palë e paditur në atë gjykim, ka depozituar disa prova shkresore, mes tyre edhe urdhrin për përjashtimin e kërkuesit nga strukturat e policisë. Gjykata Administrative e Shkallës së Parë Korçë në seancat përgatitore të zhvilluara në datat 5.9.2014 dhe 3.10.2014, ku kërkuesi ka qenë i pranishëm, është shprehur për faktin se subjekti i interesuar ka depozituar këto prova, mes tyre edhe urdhrin për përjashtimin. Në vijim, Gjykata Administrative e Shkallës së Parë Korçë, me vendimin nr. 517 akti, datë 3.10.2014, ka vendosur t’i parashtrojë Gjykatës së Lartë çështjen e mosmarrëveshjes së kompetencës tokësore mes Gjykatës Administrative të Shkallës së Parë Korçë dhe Gjykatës Administrative të Shkallës së Parë Tiranë, si dhe të vazhdojë shqyrtimin e çështjes deri në një vendim të Gjykatës së Lartë. Në lidhje me shqyrtimin e mosmarrëveshjes së kompetencës tokësore, Gjykata e Lartë, me vendimin nr. 00-2014-4100, datë 20.11.2014, ka vlerësuar Gjykatën Administrative të Shkallës së Parë Tiranë si gjykata kompetente për zgjidhjen e çështjes. </w:t>
      </w:r>
    </w:p>
    <w:p w14:paraId="650DF0C9" w14:textId="19CBFAB4" w:rsidR="0092462B" w:rsidRPr="006970A2" w:rsidRDefault="0092462B" w:rsidP="0092462B">
      <w:pPr>
        <w:pStyle w:val="ListParagraph"/>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4. Pas shqyrtimit të themelit të çështjes, Gjykata Administrative e Shkallës së Parë Tiranë, me vendimin nr. 2895 (80-2015-1485), datë 28.5.2015, ka vendosur pranimin pjesërisht të padisë dhe dëmshpërblimin e kërkuesit me 12 (dymbëdhjetë) paga për shkak të zgjidhjes së kontratës së punës pa shkaqe të arsyeshme. Pas ankimit të kërkuesit dhe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-së, Gjykata Administrative e Apelit, me vendimin nr. 2369, datë 25.5.2017, ka vendosur prishjen e vendimit të Gjykatës Administrative të Shkallës së Parë Tiranë dhe kthimin e çështjes për rishqyrtim në po atë gjykatë, me tjetër trup gjykues.</w:t>
      </w:r>
    </w:p>
    <w:p w14:paraId="62DB2B54" w14:textId="7414BA3A" w:rsidR="0092462B" w:rsidRPr="006970A2" w:rsidRDefault="0092462B" w:rsidP="0092462B">
      <w:pPr>
        <w:pStyle w:val="ListParagraph"/>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5. Në rigjykim, Gjykata Administrative e Shkallës së Parë Tiranë, me vendimin nr. 258 (80-2018-260), datë 1.2.2018, ka vendosur pranimin pjesërisht të padisë dhe detyrimin e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-së t’i paguajë kërkuesit si dëmshpërblim pagën e 12 (dymbëdhjetë) muajve punë, për shkak të paligjshmërisë së përjashtimit të tij nga Policia e Shtetit dhe rrëzimin e padisë për kërkimet e tjera, si të pabazuara në ligj</w:t>
      </w:r>
      <w:r w:rsidRPr="006970A2">
        <w:rPr>
          <w:rFonts w:ascii="Garamond" w:hAnsi="Garamond" w:cs="Times New Roman"/>
          <w:i/>
          <w:iCs/>
          <w:sz w:val="24"/>
          <w:szCs w:val="24"/>
        </w:rPr>
        <w:t xml:space="preserve">. </w:t>
      </w:r>
      <w:r w:rsidRPr="006970A2">
        <w:rPr>
          <w:rFonts w:ascii="Garamond" w:hAnsi="Garamond" w:cs="Times New Roman"/>
          <w:sz w:val="24"/>
          <w:szCs w:val="24"/>
        </w:rPr>
        <w:t xml:space="preserve">Ndaj vendimit ka paraqitur ankim subjekti i interesuar,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 xml:space="preserve">-ja, ndërsa kërkuesi në datën 3.11.2020 ka paraqitur parashtrime me shkrim. Gjykata Administrative e Apelit, me vendimin nr. 117 (86-2021-58), datë 24.2.2021, ka vendosur prishjen e vendimit të Gjykatës Administrative të Shkallës së Parë Tiranë dhe pushimin e gjykimit të çështjes për pjesën e pranimit të padisë. Në mënyrë të përmbledhur, Gjykata Administrative e Apelit ka arsyetuar se padia ishte paraqitur jashtë afatit ligjor 30-ditor nga momenti i marrjes dijeni për urdhrin e përjashtimit. </w:t>
      </w:r>
    </w:p>
    <w:p w14:paraId="0D1A2D54" w14:textId="562AA3C3" w:rsidR="0092462B" w:rsidRPr="006970A2" w:rsidRDefault="0092462B" w:rsidP="0092462B">
      <w:pPr>
        <w:pStyle w:val="ListParagraph"/>
        <w:tabs>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cs="Times New Roman"/>
          <w:i/>
          <w:iCs/>
          <w:sz w:val="24"/>
          <w:szCs w:val="24"/>
        </w:rPr>
      </w:pPr>
      <w:r w:rsidRPr="006970A2">
        <w:rPr>
          <w:rFonts w:ascii="Garamond" w:hAnsi="Garamond" w:cs="Times New Roman"/>
          <w:sz w:val="24"/>
          <w:szCs w:val="24"/>
        </w:rPr>
        <w:t xml:space="preserve">6. Në datën 20.4.2021 kërkuesi ka ushtruar rekurs në Gjykatën e Lartë dhe në datën 3.5.2024 ka paraqitur kërkesë për përshpejtimin e shqyrtimit të çështjes, e cila është pranuar nga gjyqtari relator. Kolegji Administrativ i Gjykatës së Lartë, me vendimin nr. 00-2024-3623, datë 24.9.2024, të marrë në dhomën e këshillimit, ka vendosur mospranimin e rekursit, pasi nuk përmbante shkaqe nga ato të parashikuara në nenin 58 të ligjit nr. 49/2012 “Për gjykatat administrative dhe gjykimin e mosmarrëveshjeve administrative”, të ndryshuar </w:t>
      </w:r>
      <w:r w:rsidRPr="006970A2">
        <w:rPr>
          <w:rFonts w:ascii="Garamond" w:hAnsi="Garamond" w:cs="Times New Roman"/>
          <w:i/>
          <w:iCs/>
          <w:sz w:val="24"/>
          <w:szCs w:val="24"/>
        </w:rPr>
        <w:t>(ligji nr. 49/2012).</w:t>
      </w:r>
    </w:p>
    <w:p w14:paraId="4049B400" w14:textId="7A84407F" w:rsidR="0092462B"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7. Kërkuesi në datën 21.1.2025 </w:t>
      </w:r>
      <w:r w:rsidRPr="006970A2">
        <w:rPr>
          <w:rFonts w:ascii="Garamond" w:hAnsi="Garamond" w:cs="Times New Roman"/>
          <w:i/>
          <w:iCs/>
          <w:sz w:val="24"/>
          <w:szCs w:val="24"/>
        </w:rPr>
        <w:t>(data e shërbimit postar)</w:t>
      </w:r>
      <w:r w:rsidRPr="006970A2">
        <w:rPr>
          <w:rFonts w:ascii="Garamond" w:hAnsi="Garamond" w:cs="Times New Roman"/>
          <w:sz w:val="24"/>
          <w:szCs w:val="24"/>
        </w:rPr>
        <w:t xml:space="preserve"> i është drejtuar Gjykatës Kushtetuese </w:t>
      </w:r>
      <w:r w:rsidRPr="006970A2">
        <w:rPr>
          <w:rFonts w:ascii="Garamond" w:hAnsi="Garamond" w:cs="Times New Roman"/>
          <w:i/>
          <w:iCs/>
          <w:sz w:val="24"/>
          <w:szCs w:val="24"/>
        </w:rPr>
        <w:t>(Gjykata)</w:t>
      </w:r>
      <w:r w:rsidRPr="006970A2">
        <w:rPr>
          <w:rFonts w:ascii="Garamond" w:hAnsi="Garamond" w:cs="Times New Roman"/>
          <w:sz w:val="24"/>
          <w:szCs w:val="24"/>
        </w:rPr>
        <w:t xml:space="preserve"> me ankim kushtetues individual sipas objektit. Kolegji i Gjykatës në datën 11.4.2025 ka vendosur kalimin e çështjes për shqyrtim në seancë plenare mbi bazë të dokumenteve.</w:t>
      </w:r>
    </w:p>
    <w:p w14:paraId="668B3E96" w14:textId="77777777" w:rsidR="0092462B" w:rsidRPr="006970A2" w:rsidRDefault="0092462B" w:rsidP="0092462B">
      <w:pPr>
        <w:pStyle w:val="ListParagraph"/>
        <w:tabs>
          <w:tab w:val="left" w:pos="1080"/>
        </w:tabs>
        <w:spacing w:after="0" w:line="240" w:lineRule="auto"/>
        <w:ind w:left="0" w:firstLine="284"/>
        <w:jc w:val="both"/>
        <w:rPr>
          <w:rFonts w:ascii="Garamond" w:hAnsi="Garamond" w:cs="Times New Roman"/>
          <w:i/>
          <w:iCs/>
          <w:sz w:val="24"/>
          <w:szCs w:val="24"/>
        </w:rPr>
      </w:pPr>
    </w:p>
    <w:p w14:paraId="06ECF17D" w14:textId="77777777" w:rsidR="0092462B" w:rsidRDefault="0092462B" w:rsidP="0092462B">
      <w:pPr>
        <w:tabs>
          <w:tab w:val="left" w:pos="1080"/>
        </w:tabs>
        <w:spacing w:after="0" w:line="240" w:lineRule="auto"/>
        <w:ind w:firstLine="284"/>
        <w:jc w:val="center"/>
        <w:rPr>
          <w:rFonts w:ascii="Garamond" w:hAnsi="Garamond" w:cs="Times New Roman"/>
          <w:b/>
          <w:bCs/>
          <w:sz w:val="24"/>
          <w:szCs w:val="24"/>
        </w:rPr>
      </w:pPr>
      <w:proofErr w:type="spellStart"/>
      <w:r w:rsidRPr="006970A2">
        <w:rPr>
          <w:rFonts w:ascii="Garamond" w:hAnsi="Garamond" w:cs="Times New Roman"/>
          <w:b/>
          <w:bCs/>
          <w:sz w:val="24"/>
          <w:szCs w:val="24"/>
        </w:rPr>
        <w:t>II</w:t>
      </w:r>
      <w:proofErr w:type="spellEnd"/>
    </w:p>
    <w:p w14:paraId="4AF8F897" w14:textId="77777777" w:rsidR="0092462B" w:rsidRDefault="0092462B" w:rsidP="0092462B">
      <w:pPr>
        <w:tabs>
          <w:tab w:val="left" w:pos="1080"/>
        </w:tabs>
        <w:spacing w:after="0" w:line="240" w:lineRule="auto"/>
        <w:ind w:firstLine="284"/>
        <w:jc w:val="center"/>
        <w:rPr>
          <w:rFonts w:ascii="Garamond" w:hAnsi="Garamond" w:cs="Times New Roman"/>
          <w:b/>
          <w:bCs/>
          <w:sz w:val="24"/>
          <w:szCs w:val="24"/>
        </w:rPr>
      </w:pPr>
      <w:r w:rsidRPr="006970A2">
        <w:rPr>
          <w:rFonts w:ascii="Garamond" w:hAnsi="Garamond" w:cs="Times New Roman"/>
          <w:b/>
          <w:bCs/>
          <w:sz w:val="24"/>
          <w:szCs w:val="24"/>
        </w:rPr>
        <w:t>Pretendimet në Gjykatën Kushtetuese</w:t>
      </w:r>
    </w:p>
    <w:p w14:paraId="4C658AD4" w14:textId="77777777" w:rsidR="0092462B" w:rsidRPr="006970A2" w:rsidRDefault="0092462B" w:rsidP="0092462B">
      <w:pPr>
        <w:tabs>
          <w:tab w:val="left" w:pos="1080"/>
        </w:tabs>
        <w:spacing w:after="0" w:line="240" w:lineRule="auto"/>
        <w:ind w:firstLine="284"/>
        <w:jc w:val="center"/>
        <w:rPr>
          <w:rFonts w:ascii="Garamond" w:hAnsi="Garamond" w:cs="Times New Roman"/>
          <w:b/>
          <w:bCs/>
          <w:sz w:val="24"/>
          <w:szCs w:val="24"/>
        </w:rPr>
      </w:pPr>
    </w:p>
    <w:p w14:paraId="6E8BB5EA" w14:textId="77777777" w:rsidR="0092462B" w:rsidRPr="006970A2" w:rsidRDefault="0092462B" w:rsidP="0092462B">
      <w:pPr>
        <w:pStyle w:val="BodyTextIndent"/>
        <w:tabs>
          <w:tab w:val="left" w:pos="1080"/>
          <w:tab w:val="left" w:pos="1440"/>
        </w:tabs>
        <w:spacing w:after="0" w:line="240" w:lineRule="auto"/>
        <w:ind w:left="0" w:firstLine="284"/>
        <w:rPr>
          <w:rFonts w:ascii="Garamond" w:hAnsi="Garamond"/>
          <w:sz w:val="24"/>
          <w:szCs w:val="24"/>
        </w:rPr>
      </w:pPr>
      <w:r w:rsidRPr="006970A2">
        <w:rPr>
          <w:rFonts w:ascii="Garamond" w:hAnsi="Garamond"/>
          <w:color w:val="222222"/>
          <w:sz w:val="24"/>
          <w:szCs w:val="24"/>
        </w:rPr>
        <w:t xml:space="preserve">8. </w:t>
      </w:r>
      <w:r w:rsidRPr="006970A2">
        <w:rPr>
          <w:rFonts w:ascii="Garamond" w:hAnsi="Garamond"/>
          <w:b/>
          <w:bCs/>
          <w:i/>
          <w:iCs/>
          <w:color w:val="222222"/>
          <w:sz w:val="24"/>
          <w:szCs w:val="24"/>
        </w:rPr>
        <w:t xml:space="preserve"> Kërkuesi</w:t>
      </w:r>
      <w:r w:rsidRPr="006970A2">
        <w:rPr>
          <w:rFonts w:ascii="Garamond" w:hAnsi="Garamond"/>
          <w:b/>
          <w:bCs/>
          <w:color w:val="222222"/>
          <w:sz w:val="24"/>
          <w:szCs w:val="24"/>
        </w:rPr>
        <w:t>,</w:t>
      </w:r>
      <w:r w:rsidRPr="006970A2">
        <w:rPr>
          <w:rFonts w:ascii="Garamond" w:hAnsi="Garamond"/>
          <w:color w:val="222222"/>
          <w:sz w:val="24"/>
          <w:szCs w:val="24"/>
        </w:rPr>
        <w:t xml:space="preserve"> në mënyrë të përmbledhur, ka pretenduar se</w:t>
      </w:r>
      <w:r w:rsidRPr="006970A2">
        <w:rPr>
          <w:rFonts w:ascii="Garamond" w:hAnsi="Garamond"/>
          <w:sz w:val="24"/>
          <w:szCs w:val="24"/>
        </w:rPr>
        <w:t xml:space="preserve"> janë cenuar:</w:t>
      </w:r>
    </w:p>
    <w:p w14:paraId="00CEB61E" w14:textId="3EAB3981" w:rsidR="0092462B" w:rsidRPr="006970A2" w:rsidRDefault="0092462B" w:rsidP="0092462B">
      <w:pPr>
        <w:pStyle w:val="BodyTextIndent"/>
        <w:tabs>
          <w:tab w:val="left" w:pos="1080"/>
        </w:tabs>
        <w:spacing w:after="0" w:line="240" w:lineRule="auto"/>
        <w:ind w:left="0" w:firstLine="284"/>
        <w:rPr>
          <w:rFonts w:ascii="Garamond" w:hAnsi="Garamond"/>
          <w:sz w:val="24"/>
          <w:szCs w:val="24"/>
        </w:rPr>
      </w:pPr>
      <w:r w:rsidRPr="006970A2">
        <w:rPr>
          <w:rFonts w:ascii="Garamond" w:hAnsi="Garamond"/>
          <w:sz w:val="24"/>
          <w:szCs w:val="24"/>
        </w:rPr>
        <w:t xml:space="preserve">8.1. </w:t>
      </w:r>
      <w:r w:rsidRPr="006970A2">
        <w:rPr>
          <w:rFonts w:ascii="Garamond" w:hAnsi="Garamond"/>
          <w:i/>
          <w:iCs/>
          <w:sz w:val="24"/>
          <w:szCs w:val="24"/>
        </w:rPr>
        <w:t xml:space="preserve">E drejta e </w:t>
      </w:r>
      <w:proofErr w:type="spellStart"/>
      <w:r w:rsidRPr="006970A2">
        <w:rPr>
          <w:rFonts w:ascii="Garamond" w:hAnsi="Garamond"/>
          <w:i/>
          <w:iCs/>
          <w:sz w:val="24"/>
          <w:szCs w:val="24"/>
        </w:rPr>
        <w:t>aksesit</w:t>
      </w:r>
      <w:proofErr w:type="spellEnd"/>
      <w:r w:rsidRPr="006970A2">
        <w:rPr>
          <w:rFonts w:ascii="Garamond" w:hAnsi="Garamond"/>
          <w:i/>
          <w:iCs/>
          <w:sz w:val="24"/>
          <w:szCs w:val="24"/>
        </w:rPr>
        <w:t xml:space="preserve"> substancial e lidhur me të drejtën për t’u dëgjuar dhe t’u mbrojtur</w:t>
      </w:r>
      <w:r w:rsidRPr="006970A2">
        <w:rPr>
          <w:rFonts w:ascii="Garamond" w:hAnsi="Garamond"/>
          <w:sz w:val="24"/>
          <w:szCs w:val="24"/>
        </w:rPr>
        <w:t xml:space="preserve">, pasi Gjykata Administrative e Apelit duke vendosur pushimin e çështjes dhe Kolegji Administrativ i Gjykatës së Lartë mospranimin e rekursit, nuk kanë shqyrtuar në themel pretendimet e ngritura, për rrjedhojë është kufizuar e drejta për t’u dëgjuar dhe për t’u mbrojtur. Urdhri për përjashtimin nga policia nuk është komunikuar asnjëherë, megjithëse kërkuesi ka kërkuar disa herë vënien e tij në dispozicion. Për këtë akt kërkuesi ka marrë dijeni vetëm në seancën paraprake të datës 20.4.2015 në Gjykatën Administrative të Shkallës së Parë Tiranë dhe pas marrjes dijeni ka kërkuar shtimin e objektit të padisë për shfuqizimin e urdhrit. Për këtë arsye, vendimi i Gjykatës Administrative të Apelit është në kundërshtim me rrethanat e çështjes dhe situatën ligjore, sepse është i bazuar vetëm në </w:t>
      </w:r>
      <w:proofErr w:type="spellStart"/>
      <w:r w:rsidRPr="006970A2">
        <w:rPr>
          <w:rFonts w:ascii="Garamond" w:hAnsi="Garamond"/>
          <w:sz w:val="24"/>
          <w:szCs w:val="24"/>
        </w:rPr>
        <w:t>indicie</w:t>
      </w:r>
      <w:proofErr w:type="spellEnd"/>
      <w:r w:rsidRPr="006970A2">
        <w:rPr>
          <w:rFonts w:ascii="Garamond" w:hAnsi="Garamond"/>
          <w:sz w:val="24"/>
          <w:szCs w:val="24"/>
        </w:rPr>
        <w:t xml:space="preserve"> ose </w:t>
      </w:r>
      <w:proofErr w:type="spellStart"/>
      <w:r w:rsidRPr="006970A2">
        <w:rPr>
          <w:rFonts w:ascii="Garamond" w:hAnsi="Garamond"/>
          <w:sz w:val="24"/>
          <w:szCs w:val="24"/>
        </w:rPr>
        <w:t>hamendësime</w:t>
      </w:r>
      <w:proofErr w:type="spellEnd"/>
      <w:r w:rsidRPr="006970A2">
        <w:rPr>
          <w:rFonts w:ascii="Garamond" w:hAnsi="Garamond"/>
          <w:sz w:val="24"/>
          <w:szCs w:val="24"/>
        </w:rPr>
        <w:t xml:space="preserve"> të </w:t>
      </w:r>
      <w:proofErr w:type="spellStart"/>
      <w:r w:rsidRPr="006970A2">
        <w:rPr>
          <w:rFonts w:ascii="Garamond" w:hAnsi="Garamond"/>
          <w:sz w:val="24"/>
          <w:szCs w:val="24"/>
        </w:rPr>
        <w:t>paverifikuara</w:t>
      </w:r>
      <w:proofErr w:type="spellEnd"/>
      <w:r w:rsidRPr="006970A2">
        <w:rPr>
          <w:rFonts w:ascii="Garamond" w:hAnsi="Garamond"/>
          <w:sz w:val="24"/>
          <w:szCs w:val="24"/>
        </w:rPr>
        <w:t xml:space="preserve">, kur sipas nenit 29 të ligjit nr. 8553, datë 25.11.1999 “Për Policinë e Shtetit” </w:t>
      </w:r>
      <w:r w:rsidRPr="006970A2">
        <w:rPr>
          <w:rFonts w:ascii="Garamond" w:hAnsi="Garamond"/>
          <w:i/>
          <w:iCs/>
          <w:sz w:val="24"/>
          <w:szCs w:val="24"/>
        </w:rPr>
        <w:t>(ligji nr. 8553/1999)</w:t>
      </w:r>
      <w:r w:rsidRPr="006970A2">
        <w:rPr>
          <w:rFonts w:ascii="Garamond" w:hAnsi="Garamond"/>
          <w:sz w:val="24"/>
          <w:szCs w:val="24"/>
        </w:rPr>
        <w:t xml:space="preserve"> parashikohet detyrimi për komunikimin e aktit drejtpërdrejt. Gjykata Administrative e Apelit kishte detyrimin për të shqyrtuar në themel pretendimet dhe </w:t>
      </w:r>
      <w:proofErr w:type="spellStart"/>
      <w:r w:rsidRPr="006970A2">
        <w:rPr>
          <w:rFonts w:ascii="Garamond" w:hAnsi="Garamond"/>
          <w:sz w:val="24"/>
          <w:szCs w:val="24"/>
        </w:rPr>
        <w:t>disponimi</w:t>
      </w:r>
      <w:proofErr w:type="spellEnd"/>
      <w:r w:rsidRPr="006970A2">
        <w:rPr>
          <w:rFonts w:ascii="Garamond" w:hAnsi="Garamond"/>
          <w:sz w:val="24"/>
          <w:szCs w:val="24"/>
        </w:rPr>
        <w:t xml:space="preserve"> i saj ka cenuar të drejtën e </w:t>
      </w:r>
      <w:proofErr w:type="spellStart"/>
      <w:r w:rsidRPr="006970A2">
        <w:rPr>
          <w:rFonts w:ascii="Garamond" w:hAnsi="Garamond"/>
          <w:sz w:val="24"/>
          <w:szCs w:val="24"/>
        </w:rPr>
        <w:t>aksesit</w:t>
      </w:r>
      <w:proofErr w:type="spellEnd"/>
      <w:r w:rsidRPr="006970A2">
        <w:rPr>
          <w:rFonts w:ascii="Garamond" w:hAnsi="Garamond"/>
          <w:sz w:val="24"/>
          <w:szCs w:val="24"/>
        </w:rPr>
        <w:t xml:space="preserve">. Komunikimi i drejtpërdrejtë i vendimit për  përjashtimin është i lidhur edhe me ushtrimin në mënyrë efektive jo vetëm të së drejtës për ankim, por edhe për realizimin e një mbrojtjeje efektive, pasi pa njohur shkaqet që kanë shërbyer si bazë për dhënien e masës disiplinore, kërkuesi nuk mund të ushtrojë në mënyrë efektive të drejtën për t’u mbrojtur duke paraqitur argumente, shkaqe dhe kundërshtime për motivet ku është bazuar masa disiplinore. Edhe Gjykata e Lartë, nëpërmjet vendimit të saj, nuk i ka dhënë mundësi kërkuesit për t’u dëgjuar, duke shkelur të drejtën e </w:t>
      </w:r>
      <w:proofErr w:type="spellStart"/>
      <w:r w:rsidRPr="006970A2">
        <w:rPr>
          <w:rFonts w:ascii="Garamond" w:hAnsi="Garamond"/>
          <w:sz w:val="24"/>
          <w:szCs w:val="24"/>
        </w:rPr>
        <w:t>aksesit</w:t>
      </w:r>
      <w:proofErr w:type="spellEnd"/>
      <w:r w:rsidRPr="006970A2">
        <w:rPr>
          <w:rFonts w:ascii="Garamond" w:hAnsi="Garamond"/>
          <w:sz w:val="24"/>
          <w:szCs w:val="24"/>
        </w:rPr>
        <w:t>.</w:t>
      </w:r>
    </w:p>
    <w:p w14:paraId="152D43CA" w14:textId="77777777" w:rsidR="0092462B" w:rsidRPr="006970A2" w:rsidRDefault="0092462B" w:rsidP="0092462B">
      <w:pPr>
        <w:pStyle w:val="BodyTextIndent"/>
        <w:tabs>
          <w:tab w:val="left" w:pos="1080"/>
        </w:tabs>
        <w:spacing w:after="0" w:line="240" w:lineRule="auto"/>
        <w:ind w:left="0" w:firstLine="284"/>
        <w:rPr>
          <w:rFonts w:ascii="Garamond" w:hAnsi="Garamond"/>
          <w:sz w:val="24"/>
          <w:szCs w:val="24"/>
        </w:rPr>
      </w:pPr>
      <w:r w:rsidRPr="006970A2">
        <w:rPr>
          <w:rFonts w:ascii="Garamond" w:hAnsi="Garamond"/>
          <w:sz w:val="24"/>
          <w:szCs w:val="24"/>
        </w:rPr>
        <w:t xml:space="preserve">8.2. </w:t>
      </w:r>
      <w:r w:rsidRPr="006970A2">
        <w:rPr>
          <w:rFonts w:ascii="Garamond" w:hAnsi="Garamond"/>
          <w:i/>
          <w:iCs/>
          <w:sz w:val="24"/>
          <w:szCs w:val="24"/>
        </w:rPr>
        <w:t xml:space="preserve"> Parimi i barazisë së armëve dhe </w:t>
      </w:r>
      <w:proofErr w:type="spellStart"/>
      <w:r w:rsidRPr="006970A2">
        <w:rPr>
          <w:rFonts w:ascii="Garamond" w:hAnsi="Garamond"/>
          <w:i/>
          <w:iCs/>
          <w:sz w:val="24"/>
          <w:szCs w:val="24"/>
        </w:rPr>
        <w:t>kontradiktoritetit</w:t>
      </w:r>
      <w:proofErr w:type="spellEnd"/>
      <w:r w:rsidRPr="006970A2">
        <w:rPr>
          <w:rFonts w:ascii="Garamond" w:hAnsi="Garamond"/>
          <w:i/>
          <w:iCs/>
          <w:sz w:val="24"/>
          <w:szCs w:val="24"/>
        </w:rPr>
        <w:t xml:space="preserve">, </w:t>
      </w:r>
      <w:r w:rsidRPr="006970A2">
        <w:rPr>
          <w:rFonts w:ascii="Garamond" w:hAnsi="Garamond"/>
          <w:sz w:val="24"/>
          <w:szCs w:val="24"/>
        </w:rPr>
        <w:t>pasi Gjykata Administrative e Apelit nuk ka përmbushur detyrimin për t’u dhënë mundësi të barabarta palëve në gjykim.</w:t>
      </w:r>
    </w:p>
    <w:p w14:paraId="048E5A47" w14:textId="602E8DB3" w:rsidR="0092462B" w:rsidRPr="006970A2" w:rsidRDefault="0092462B" w:rsidP="0092462B">
      <w:pPr>
        <w:pStyle w:val="BodyTextIndent"/>
        <w:tabs>
          <w:tab w:val="left" w:pos="1080"/>
        </w:tabs>
        <w:spacing w:after="0" w:line="240" w:lineRule="auto"/>
        <w:ind w:left="0" w:firstLine="284"/>
        <w:rPr>
          <w:rFonts w:ascii="Garamond" w:hAnsi="Garamond"/>
          <w:sz w:val="24"/>
          <w:szCs w:val="24"/>
        </w:rPr>
      </w:pPr>
      <w:r w:rsidRPr="006970A2">
        <w:rPr>
          <w:rFonts w:ascii="Garamond" w:hAnsi="Garamond"/>
          <w:sz w:val="24"/>
          <w:szCs w:val="24"/>
        </w:rPr>
        <w:t xml:space="preserve">8.3. </w:t>
      </w:r>
      <w:r w:rsidRPr="006970A2">
        <w:rPr>
          <w:rFonts w:ascii="Garamond" w:hAnsi="Garamond"/>
          <w:i/>
          <w:iCs/>
          <w:sz w:val="24"/>
          <w:szCs w:val="24"/>
        </w:rPr>
        <w:t xml:space="preserve"> Standardi i arsyetimit të vendimit gjyqësor, </w:t>
      </w:r>
      <w:r w:rsidRPr="006970A2">
        <w:rPr>
          <w:rFonts w:ascii="Garamond" w:hAnsi="Garamond"/>
          <w:sz w:val="24"/>
          <w:szCs w:val="24"/>
        </w:rPr>
        <w:t xml:space="preserve">pasi Gjykata e Lartë nuk ka analizuar dhe arsyetuar asnjë prej shkaqeve ligjore të ngritura në rekurs, megjithëse ishin të lidhura me cenimin e parimeve kushtetuese si gjatë gjykimit, ashtu edhe në procedimin disiplinor, gjatë të cilit nuk është zbatuar asnjë e drejtë për kërkuesin. Shkeljet kanë qenë flagrante dhe kalojnë kufijtë e pavlefshmërisë absolute për shkak të shkeljes së hapur të ligjit. Për kërkuesin nuk është kryer asnjë procedurë hetimi disiplinor dhe nuk është kryer asnjë njoftim për urdhrin për përjashtimin. Në datën 25.1.2007 kur </w:t>
      </w:r>
      <w:proofErr w:type="spellStart"/>
      <w:r w:rsidRPr="006970A2">
        <w:rPr>
          <w:rFonts w:ascii="Garamond" w:hAnsi="Garamond"/>
          <w:sz w:val="24"/>
          <w:szCs w:val="24"/>
        </w:rPr>
        <w:t>DPPSH</w:t>
      </w:r>
      <w:proofErr w:type="spellEnd"/>
      <w:r w:rsidRPr="006970A2">
        <w:rPr>
          <w:rFonts w:ascii="Garamond" w:hAnsi="Garamond"/>
          <w:sz w:val="24"/>
          <w:szCs w:val="24"/>
        </w:rPr>
        <w:t xml:space="preserve">-ja ka nxjerrë urdhrin për lirimin, kërkuesi ka qenë në gjendje arresti (prej datës 13.1.2007). Dhënia e masës disiplinore është bërë pa u kryer asnjë verifikim për faktet, pa u marrë deklaratë nga dëshmitarët dhe pa u komunikuar me kërkuesin për shkeljet që i atribuoheshin, për rrjedhojë moszbatimi i procedurës e bën urdhrin të marrë në shkelje të ligjit dhe procedurës. Gjykata e Lartë duhet të kishte vlerësuar nëse kërkuesit i ishte dhënë mundësia për t’u dëgjuar për pretendimet e tij përpara organit administrativ. Megjithëse kërkuesi ka parashtruar se nuk ka marrë dijeni për urdhrin e lirimit, si gjykata e apelit dhe Gjykata e Lartë nuk e kanë marrë në analizë dhe nuk e kanë arsyetuar këtë pretendim. Vendimi i Gjykatës së Lartë është i paarsyetuar, nuk janë pasqyruar shkaqet e parashtruara në rekurs dhe në parashtrimet shtesë, që ishin për cenimin e së drejtës së </w:t>
      </w:r>
      <w:proofErr w:type="spellStart"/>
      <w:r w:rsidRPr="006970A2">
        <w:rPr>
          <w:rFonts w:ascii="Garamond" w:hAnsi="Garamond"/>
          <w:sz w:val="24"/>
          <w:szCs w:val="24"/>
        </w:rPr>
        <w:t>aksesit</w:t>
      </w:r>
      <w:proofErr w:type="spellEnd"/>
      <w:r w:rsidRPr="006970A2">
        <w:rPr>
          <w:rFonts w:ascii="Garamond" w:hAnsi="Garamond"/>
          <w:sz w:val="24"/>
          <w:szCs w:val="24"/>
        </w:rPr>
        <w:t>, të së drejtës për punë, të garantuar në nenin 49 të Kushtetutës dhe për dëmshpërblim, sipas nenit 44 të Kushtetutës. Për këto arsye, vendimi i Gjykatës së Lartë ka vënë në dyshim të drejtën për t’u dëgjuar dhe për të marrë përgjigje për pretendimet e parashtruara në rekurs, qoftë me arsyetim minimal.</w:t>
      </w:r>
    </w:p>
    <w:p w14:paraId="642A161E" w14:textId="77777777" w:rsidR="0092462B" w:rsidRPr="006970A2" w:rsidRDefault="0092462B" w:rsidP="0092462B">
      <w:pPr>
        <w:pStyle w:val="BodyTextIndent"/>
        <w:tabs>
          <w:tab w:val="left" w:pos="1080"/>
        </w:tabs>
        <w:spacing w:after="0" w:line="240" w:lineRule="auto"/>
        <w:ind w:left="0" w:firstLine="284"/>
        <w:rPr>
          <w:rFonts w:ascii="Garamond" w:hAnsi="Garamond"/>
          <w:sz w:val="24"/>
          <w:szCs w:val="24"/>
        </w:rPr>
      </w:pPr>
      <w:r w:rsidRPr="006970A2">
        <w:rPr>
          <w:rFonts w:ascii="Garamond" w:hAnsi="Garamond"/>
          <w:sz w:val="24"/>
          <w:szCs w:val="24"/>
        </w:rPr>
        <w:t xml:space="preserve">9. </w:t>
      </w:r>
      <w:r w:rsidRPr="006970A2">
        <w:rPr>
          <w:rFonts w:ascii="Garamond" w:hAnsi="Garamond"/>
          <w:b/>
          <w:bCs/>
          <w:i/>
          <w:iCs/>
          <w:sz w:val="24"/>
          <w:szCs w:val="24"/>
        </w:rPr>
        <w:t xml:space="preserve"> Subjekti i interesuar, </w:t>
      </w:r>
      <w:proofErr w:type="spellStart"/>
      <w:r w:rsidRPr="006970A2">
        <w:rPr>
          <w:rFonts w:ascii="Garamond" w:hAnsi="Garamond"/>
          <w:b/>
          <w:bCs/>
          <w:i/>
          <w:iCs/>
          <w:sz w:val="24"/>
          <w:szCs w:val="24"/>
        </w:rPr>
        <w:t>DPPSH</w:t>
      </w:r>
      <w:proofErr w:type="spellEnd"/>
      <w:r w:rsidRPr="006970A2">
        <w:rPr>
          <w:rFonts w:ascii="Garamond" w:hAnsi="Garamond"/>
          <w:b/>
          <w:bCs/>
          <w:i/>
          <w:iCs/>
          <w:sz w:val="24"/>
          <w:szCs w:val="24"/>
        </w:rPr>
        <w:t>-ja,</w:t>
      </w:r>
      <w:r w:rsidRPr="006970A2">
        <w:rPr>
          <w:rFonts w:ascii="Garamond" w:hAnsi="Garamond"/>
          <w:sz w:val="24"/>
          <w:szCs w:val="24"/>
        </w:rPr>
        <w:t xml:space="preserve"> ka prapësuar, si vijon:</w:t>
      </w:r>
    </w:p>
    <w:p w14:paraId="3D9F678F" w14:textId="77777777" w:rsidR="0092462B" w:rsidRPr="006970A2" w:rsidRDefault="0092462B" w:rsidP="0092462B">
      <w:pPr>
        <w:pStyle w:val="BodyTextIndent"/>
        <w:tabs>
          <w:tab w:val="left" w:pos="1080"/>
        </w:tabs>
        <w:spacing w:after="0" w:line="240" w:lineRule="auto"/>
        <w:ind w:left="0" w:firstLine="284"/>
        <w:rPr>
          <w:rFonts w:ascii="Garamond" w:hAnsi="Garamond"/>
          <w:sz w:val="24"/>
          <w:szCs w:val="24"/>
        </w:rPr>
      </w:pPr>
      <w:r w:rsidRPr="006970A2">
        <w:rPr>
          <w:rFonts w:ascii="Garamond" w:hAnsi="Garamond"/>
          <w:sz w:val="24"/>
          <w:szCs w:val="24"/>
        </w:rPr>
        <w:t xml:space="preserve">9.1. </w:t>
      </w:r>
      <w:r w:rsidRPr="006970A2">
        <w:rPr>
          <w:rFonts w:ascii="Garamond" w:hAnsi="Garamond"/>
          <w:i/>
          <w:iCs/>
          <w:sz w:val="24"/>
          <w:szCs w:val="24"/>
        </w:rPr>
        <w:t xml:space="preserve"> Pretendimi për cenimin e së drejtës për t’u dëgjuar,</w:t>
      </w:r>
      <w:r w:rsidRPr="006970A2">
        <w:rPr>
          <w:rFonts w:ascii="Garamond" w:hAnsi="Garamond"/>
          <w:sz w:val="24"/>
          <w:szCs w:val="24"/>
        </w:rPr>
        <w:t xml:space="preserve"> për shkak të mungesës së dijenisë/komunikimit të urdhrit për përjashtimin, është i pabazuar. Nga materialet që ndodhen në dosje është e provuar se kërkuesi ka marrë dijeni për vendimin e përjashtimit nga Policia e Shtetit, pasi ai ka qenë në gjendje arresti dhe ndaj tij ka filluar çështja penale. Kërkuesi ka kërkuar që të rikthehej në Policinë e Shtetit dhe ka ngritur padi në gjykatë në lidhje me këto kërkime, fakt që tregon se ka qenë në dijeni të largimit. Gjithashtu, kërkuesi pretendimin për </w:t>
      </w:r>
      <w:proofErr w:type="spellStart"/>
      <w:r w:rsidRPr="006970A2">
        <w:rPr>
          <w:rFonts w:ascii="Garamond" w:hAnsi="Garamond"/>
          <w:sz w:val="24"/>
          <w:szCs w:val="24"/>
        </w:rPr>
        <w:t>mosnjoftimin</w:t>
      </w:r>
      <w:proofErr w:type="spellEnd"/>
      <w:r w:rsidRPr="006970A2">
        <w:rPr>
          <w:rFonts w:ascii="Garamond" w:hAnsi="Garamond"/>
          <w:sz w:val="24"/>
          <w:szCs w:val="24"/>
        </w:rPr>
        <w:t xml:space="preserve"> e urdhrit për përjashtimin nga strukturat e Policisë së Shtetit nuk e ka ngritur më parë në instancat gjyqësore. Kërkuesi nuk ka arritur të argumentojë pretendimet e tij në nivel kushtetues, por është përqendruar në mënyrën se si është ndjekur procedura administrative nga organi publik. Vlerësimi i afatit të parashkrimit të padisë është element thelbësor i zhvillimit të procesit dhe i legjitimitetit të tij, pasi lidhet drejtpërdrejt me ekzistencën e së drejtës së padisë. Në çështjen në shqyrtim, gjykata e apelit ka çmuar se e drejta e kërkuesit për shqyrtimin e kërkimeve të tij kundër aktit për përjashtimin nga Policia e Shtetit dhe rivendosjen e pasojave është shuar për shkak të kalimit të afatit ligjor, të parashikuar nga ligji i posaçëm. Për këtë shkak, bazuar në nenin 112 të Kodit Civil kërkuesi nuk mund t’i mbrojë të drejtat e tij të pretenduara të cenuara nga ndërprerja e kontratës së shërbimit publik nëpërmjet gjykatës dhe kjo e fundit nuk mund t’i marrë në shqyrtim gjyqësor. </w:t>
      </w:r>
    </w:p>
    <w:p w14:paraId="2754B543" w14:textId="77777777" w:rsidR="0092462B" w:rsidRPr="006970A2" w:rsidRDefault="0092462B" w:rsidP="0092462B">
      <w:pPr>
        <w:pStyle w:val="BodyTextIndent"/>
        <w:tabs>
          <w:tab w:val="left" w:pos="1080"/>
        </w:tabs>
        <w:spacing w:after="0" w:line="240" w:lineRule="auto"/>
        <w:ind w:left="0" w:firstLine="284"/>
        <w:rPr>
          <w:rFonts w:ascii="Garamond" w:hAnsi="Garamond"/>
          <w:sz w:val="24"/>
          <w:szCs w:val="24"/>
        </w:rPr>
      </w:pPr>
      <w:r w:rsidRPr="006970A2">
        <w:rPr>
          <w:rFonts w:ascii="Garamond" w:hAnsi="Garamond"/>
          <w:sz w:val="24"/>
          <w:szCs w:val="24"/>
        </w:rPr>
        <w:t xml:space="preserve">10. </w:t>
      </w:r>
      <w:r w:rsidRPr="006970A2">
        <w:rPr>
          <w:rFonts w:ascii="Garamond" w:hAnsi="Garamond"/>
          <w:b/>
          <w:bCs/>
          <w:i/>
          <w:iCs/>
          <w:sz w:val="24"/>
          <w:szCs w:val="24"/>
        </w:rPr>
        <w:t>Subjekti i interesuar, Avokatura e Shtetit</w:t>
      </w:r>
      <w:r w:rsidRPr="006970A2">
        <w:rPr>
          <w:rFonts w:ascii="Garamond" w:hAnsi="Garamond"/>
          <w:sz w:val="24"/>
          <w:szCs w:val="24"/>
        </w:rPr>
        <w:t>, ka prapësuar si vijon:</w:t>
      </w:r>
    </w:p>
    <w:p w14:paraId="77BA9CC9" w14:textId="5A393C4E" w:rsidR="0092462B" w:rsidRPr="006970A2" w:rsidRDefault="0092462B" w:rsidP="0092462B">
      <w:pPr>
        <w:pStyle w:val="BodyTextIndent"/>
        <w:tabs>
          <w:tab w:val="left" w:pos="1080"/>
        </w:tabs>
        <w:spacing w:after="0" w:line="240" w:lineRule="auto"/>
        <w:ind w:left="0" w:firstLine="284"/>
        <w:rPr>
          <w:rFonts w:ascii="Garamond" w:hAnsi="Garamond"/>
          <w:sz w:val="24"/>
          <w:szCs w:val="24"/>
        </w:rPr>
      </w:pPr>
      <w:r w:rsidRPr="006970A2">
        <w:rPr>
          <w:rFonts w:ascii="Garamond" w:hAnsi="Garamond"/>
          <w:sz w:val="24"/>
          <w:szCs w:val="24"/>
        </w:rPr>
        <w:t xml:space="preserve">10.1. </w:t>
      </w:r>
      <w:r w:rsidRPr="006970A2">
        <w:rPr>
          <w:rFonts w:ascii="Garamond" w:hAnsi="Garamond"/>
          <w:i/>
          <w:iCs/>
          <w:sz w:val="24"/>
          <w:szCs w:val="24"/>
        </w:rPr>
        <w:t xml:space="preserve">Pretendimi për cenimin e së drejtës së </w:t>
      </w:r>
      <w:proofErr w:type="spellStart"/>
      <w:r w:rsidRPr="006970A2">
        <w:rPr>
          <w:rFonts w:ascii="Garamond" w:hAnsi="Garamond"/>
          <w:i/>
          <w:iCs/>
          <w:sz w:val="24"/>
          <w:szCs w:val="24"/>
        </w:rPr>
        <w:t>aksesit</w:t>
      </w:r>
      <w:proofErr w:type="spellEnd"/>
      <w:r w:rsidRPr="006970A2">
        <w:rPr>
          <w:rFonts w:ascii="Garamond" w:hAnsi="Garamond"/>
          <w:i/>
          <w:iCs/>
          <w:sz w:val="24"/>
          <w:szCs w:val="24"/>
        </w:rPr>
        <w:t xml:space="preserve"> substancial të lidhur me të drejtën për t’u dëgjuar e për t’u mbrojtur </w:t>
      </w:r>
      <w:r w:rsidRPr="006970A2">
        <w:rPr>
          <w:rFonts w:ascii="Garamond" w:hAnsi="Garamond"/>
          <w:sz w:val="24"/>
          <w:szCs w:val="24"/>
        </w:rPr>
        <w:t xml:space="preserve">është i pabazuar. Pretendimet e ngritura nga kërkuesi për cenimin e procesit të rregullt ligjor gjatë procesit disiplinor janë ngritur vetëm në parashtrimet drejtuar Kolegjit Administrativ dhe jo në rekurs. Në këto rrethana kërkimet e tij kanë rënë në dekadencë, për sa kohë nuk janë ngritur në rekurs në mënyrë që edhe pala e paditur të njihej me to dhe të paraqiste parashtrimet e saj. Vlen të theksohet se edhe në rast se çështja kthehet për rigjykim në Gjykatën e Lartë, kërkuesi nuk mund të paraqesë asnjë pretendim shtesë. Çdo pretendim që nuk është parashtruar në rekurs konsiderohet sikur është hequr dorë. Pretendimi i kërkuesit se ka marrë dijeni për përjashtimin e tij nga Policia e Shtetit pas më shumë se 8 vjetësh është i pabazuar. Ai ka marrë dijeni për ndërprerjen e marrëdhënieve të punës si i përjashtuar nga Policia e Shtetit së paku në datën 1.11.2011, kur ka bërë kërkesë për rikthimin në punë dhe kërkesëpadia është paraqitur jashtë afatit 30-ditor që ka njohur ligji i posaçëm nr. 8553/1999. Kërkuesi nuk ka arritur të provojë se është privuar nga e drejta për të parashtruar pretendimet e tij për cenimin e së drejtës së </w:t>
      </w:r>
      <w:proofErr w:type="spellStart"/>
      <w:r w:rsidRPr="006970A2">
        <w:rPr>
          <w:rFonts w:ascii="Garamond" w:hAnsi="Garamond"/>
          <w:sz w:val="24"/>
          <w:szCs w:val="24"/>
        </w:rPr>
        <w:t>aksesit</w:t>
      </w:r>
      <w:proofErr w:type="spellEnd"/>
      <w:r w:rsidRPr="006970A2">
        <w:rPr>
          <w:rFonts w:ascii="Garamond" w:hAnsi="Garamond"/>
          <w:sz w:val="24"/>
          <w:szCs w:val="24"/>
        </w:rPr>
        <w:t>.</w:t>
      </w:r>
    </w:p>
    <w:p w14:paraId="4D1DB5DE" w14:textId="77777777" w:rsidR="0092462B" w:rsidRPr="006970A2" w:rsidRDefault="0092462B" w:rsidP="0092462B">
      <w:pPr>
        <w:pStyle w:val="BodyTextIndent"/>
        <w:tabs>
          <w:tab w:val="left" w:pos="1080"/>
        </w:tabs>
        <w:spacing w:after="0" w:line="240" w:lineRule="auto"/>
        <w:ind w:left="0" w:firstLine="284"/>
        <w:rPr>
          <w:rFonts w:ascii="Garamond" w:hAnsi="Garamond"/>
          <w:sz w:val="24"/>
          <w:szCs w:val="24"/>
        </w:rPr>
      </w:pPr>
      <w:r w:rsidRPr="006970A2">
        <w:rPr>
          <w:rFonts w:ascii="Garamond" w:hAnsi="Garamond"/>
          <w:sz w:val="24"/>
          <w:szCs w:val="24"/>
        </w:rPr>
        <w:t xml:space="preserve">10.2. </w:t>
      </w:r>
      <w:r w:rsidRPr="006970A2">
        <w:rPr>
          <w:rFonts w:ascii="Garamond" w:hAnsi="Garamond"/>
          <w:i/>
          <w:iCs/>
          <w:sz w:val="24"/>
          <w:szCs w:val="24"/>
        </w:rPr>
        <w:t xml:space="preserve">Pretendimin për cenimin e parimit të barazisë së armëve dhe </w:t>
      </w:r>
      <w:proofErr w:type="spellStart"/>
      <w:r w:rsidRPr="006970A2">
        <w:rPr>
          <w:rFonts w:ascii="Garamond" w:hAnsi="Garamond"/>
          <w:i/>
          <w:iCs/>
          <w:sz w:val="24"/>
          <w:szCs w:val="24"/>
        </w:rPr>
        <w:t>kontradiktoritetit</w:t>
      </w:r>
      <w:proofErr w:type="spellEnd"/>
      <w:r w:rsidRPr="006970A2">
        <w:rPr>
          <w:rFonts w:ascii="Garamond" w:hAnsi="Garamond"/>
          <w:i/>
          <w:iCs/>
          <w:sz w:val="24"/>
          <w:szCs w:val="24"/>
        </w:rPr>
        <w:t xml:space="preserve"> </w:t>
      </w:r>
      <w:r w:rsidRPr="006970A2">
        <w:rPr>
          <w:rFonts w:ascii="Garamond" w:hAnsi="Garamond"/>
          <w:sz w:val="24"/>
          <w:szCs w:val="24"/>
        </w:rPr>
        <w:t>kërkuesi e ka parashtruar vetëm në mënyrë deklarative, duke pasqyruar disa qëndrime të kësaj Gjykate. Për më tepër, nga aktet rezulton se kërkuesi ka pasur mundësi për të ndjekur të gjithë hapat proceduralë dhe për të paraqitur mbrojtjen e tij. Nëse kërkuesi ka dështuar të paraqesë brenda afatit pretendime ose të ndjekë rrugët e duhura të ankimit, kjo nuk i atribuohet shkeljes nga ana e gjykatave, por neglizhencës ose strategjisë së tij.</w:t>
      </w:r>
    </w:p>
    <w:p w14:paraId="07D6E064" w14:textId="77777777" w:rsidR="0092462B" w:rsidRPr="006970A2" w:rsidRDefault="0092462B" w:rsidP="0092462B">
      <w:pPr>
        <w:pStyle w:val="BodyTextIndent"/>
        <w:tabs>
          <w:tab w:val="left" w:pos="1080"/>
        </w:tabs>
        <w:spacing w:after="0" w:line="240" w:lineRule="auto"/>
        <w:ind w:left="0" w:firstLine="284"/>
        <w:rPr>
          <w:rFonts w:ascii="Garamond" w:hAnsi="Garamond"/>
          <w:sz w:val="24"/>
          <w:szCs w:val="24"/>
        </w:rPr>
      </w:pPr>
      <w:r w:rsidRPr="006970A2">
        <w:rPr>
          <w:rFonts w:ascii="Garamond" w:hAnsi="Garamond"/>
          <w:sz w:val="24"/>
          <w:szCs w:val="24"/>
        </w:rPr>
        <w:t xml:space="preserve">10.3. </w:t>
      </w:r>
      <w:r w:rsidRPr="006970A2">
        <w:rPr>
          <w:rFonts w:ascii="Garamond" w:hAnsi="Garamond"/>
          <w:i/>
          <w:iCs/>
          <w:sz w:val="24"/>
          <w:szCs w:val="24"/>
        </w:rPr>
        <w:t>Pretendimi për cenimin e standardit të arsyetimit të vendimit gjyqësor është i pabazuar</w:t>
      </w:r>
      <w:r w:rsidRPr="006970A2">
        <w:rPr>
          <w:rFonts w:ascii="Garamond" w:hAnsi="Garamond"/>
          <w:sz w:val="24"/>
          <w:szCs w:val="24"/>
        </w:rPr>
        <w:t xml:space="preserve">. Kërkimi për </w:t>
      </w:r>
      <w:proofErr w:type="spellStart"/>
      <w:r w:rsidRPr="006970A2">
        <w:rPr>
          <w:rFonts w:ascii="Garamond" w:hAnsi="Garamond"/>
          <w:sz w:val="24"/>
          <w:szCs w:val="24"/>
        </w:rPr>
        <w:t>mosnjoftimin</w:t>
      </w:r>
      <w:proofErr w:type="spellEnd"/>
      <w:r w:rsidRPr="006970A2">
        <w:rPr>
          <w:rFonts w:ascii="Garamond" w:hAnsi="Garamond"/>
          <w:sz w:val="24"/>
          <w:szCs w:val="24"/>
        </w:rPr>
        <w:t xml:space="preserve"> e urdhrit për përjashtimin nuk përbëjnë objekt shqyrtimi në Gjykatë, pasi në thelb argumentet e tij nuk paraqesin asnjë cenim të natyrës kushtetuese, por kanë të bëjnë me vlerësimin e provave nga gjykatat e zakonshme. Gjithashtu, pretendimi i kërkuesit për t’u dëgjuar në fazën administrative të dhënies së masës disiplinore është shqyrtuar në mënyrë të plotë nga Gjykata Administrative e Apelit, e cila i ka vlerësuar pretendimet të pabazuara. Edhe vendimi i Gjykatës së Lartë i përmbush standardet për arsyetimin e vendimit gjyqësor.</w:t>
      </w:r>
    </w:p>
    <w:p w14:paraId="596B0E87" w14:textId="77777777" w:rsidR="0092462B" w:rsidRPr="006970A2" w:rsidRDefault="0092462B" w:rsidP="0092462B">
      <w:pPr>
        <w:pStyle w:val="BodyTextIndent"/>
        <w:spacing w:after="0" w:line="240" w:lineRule="auto"/>
        <w:ind w:left="0" w:firstLine="284"/>
        <w:rPr>
          <w:rFonts w:ascii="Garamond" w:hAnsi="Garamond"/>
          <w:sz w:val="24"/>
          <w:szCs w:val="24"/>
        </w:rPr>
      </w:pPr>
    </w:p>
    <w:p w14:paraId="7B1945B4" w14:textId="77777777" w:rsidR="0092462B" w:rsidRPr="006970A2" w:rsidRDefault="0092462B" w:rsidP="0092462B">
      <w:pPr>
        <w:tabs>
          <w:tab w:val="left" w:pos="1080"/>
        </w:tabs>
        <w:spacing w:after="0" w:line="240" w:lineRule="auto"/>
        <w:ind w:firstLine="284"/>
        <w:jc w:val="center"/>
        <w:rPr>
          <w:rFonts w:ascii="Garamond" w:hAnsi="Garamond" w:cs="Times New Roman"/>
          <w:b/>
          <w:bCs/>
          <w:sz w:val="24"/>
          <w:szCs w:val="24"/>
        </w:rPr>
      </w:pPr>
      <w:proofErr w:type="spellStart"/>
      <w:r w:rsidRPr="006970A2">
        <w:rPr>
          <w:rFonts w:ascii="Garamond" w:hAnsi="Garamond" w:cs="Times New Roman"/>
          <w:b/>
          <w:bCs/>
          <w:sz w:val="24"/>
          <w:szCs w:val="24"/>
        </w:rPr>
        <w:t>III</w:t>
      </w:r>
      <w:proofErr w:type="spellEnd"/>
    </w:p>
    <w:p w14:paraId="1394037A" w14:textId="77777777" w:rsidR="0092462B" w:rsidRDefault="0092462B" w:rsidP="0092462B">
      <w:pPr>
        <w:tabs>
          <w:tab w:val="left" w:pos="1080"/>
        </w:tabs>
        <w:spacing w:after="0" w:line="240" w:lineRule="auto"/>
        <w:ind w:firstLine="284"/>
        <w:jc w:val="center"/>
        <w:rPr>
          <w:rFonts w:ascii="Garamond" w:hAnsi="Garamond" w:cs="Times New Roman"/>
          <w:b/>
          <w:bCs/>
          <w:sz w:val="24"/>
          <w:szCs w:val="24"/>
        </w:rPr>
      </w:pPr>
      <w:r w:rsidRPr="006970A2">
        <w:rPr>
          <w:rFonts w:ascii="Garamond" w:hAnsi="Garamond" w:cs="Times New Roman"/>
          <w:b/>
          <w:bCs/>
          <w:sz w:val="24"/>
          <w:szCs w:val="24"/>
        </w:rPr>
        <w:t>Vlerësimi i Gjykatës Kushtetuese</w:t>
      </w:r>
    </w:p>
    <w:p w14:paraId="3056272E" w14:textId="77777777" w:rsidR="0092462B" w:rsidRPr="006970A2" w:rsidRDefault="0092462B" w:rsidP="0092462B">
      <w:pPr>
        <w:tabs>
          <w:tab w:val="left" w:pos="1080"/>
        </w:tabs>
        <w:spacing w:after="0" w:line="240" w:lineRule="auto"/>
        <w:ind w:firstLine="284"/>
        <w:jc w:val="center"/>
        <w:rPr>
          <w:rFonts w:ascii="Garamond" w:hAnsi="Garamond" w:cs="Times New Roman"/>
          <w:b/>
          <w:bCs/>
          <w:sz w:val="24"/>
          <w:szCs w:val="24"/>
        </w:rPr>
      </w:pPr>
    </w:p>
    <w:p w14:paraId="7429CA9A" w14:textId="77777777" w:rsidR="0092462B" w:rsidRPr="006970A2" w:rsidRDefault="0092462B" w:rsidP="0092462B">
      <w:pPr>
        <w:tabs>
          <w:tab w:val="left" w:pos="1080"/>
        </w:tabs>
        <w:spacing w:after="0" w:line="240" w:lineRule="auto"/>
        <w:ind w:firstLine="284"/>
        <w:jc w:val="both"/>
        <w:rPr>
          <w:rFonts w:ascii="Garamond" w:hAnsi="Garamond" w:cs="Times New Roman"/>
          <w:i/>
          <w:iCs/>
          <w:sz w:val="24"/>
          <w:szCs w:val="24"/>
        </w:rPr>
      </w:pPr>
      <w:r w:rsidRPr="006970A2">
        <w:rPr>
          <w:rFonts w:ascii="Garamond" w:hAnsi="Garamond" w:cs="Times New Roman"/>
          <w:i/>
          <w:iCs/>
          <w:sz w:val="24"/>
          <w:szCs w:val="24"/>
        </w:rPr>
        <w:t>A. Për legjitimimin e kërkuesit</w:t>
      </w:r>
    </w:p>
    <w:p w14:paraId="024E6D4F" w14:textId="77777777" w:rsidR="0092462B" w:rsidRPr="006970A2" w:rsidRDefault="0092462B" w:rsidP="0092462B">
      <w:pPr>
        <w:pStyle w:val="BodyTextIndent2"/>
        <w:tabs>
          <w:tab w:val="left" w:pos="1080"/>
        </w:tabs>
        <w:spacing w:after="0" w:line="240" w:lineRule="auto"/>
        <w:ind w:left="0" w:firstLine="284"/>
        <w:jc w:val="both"/>
        <w:rPr>
          <w:rFonts w:ascii="Garamond" w:hAnsi="Garamond" w:cs="Times New Roman"/>
          <w:b/>
          <w:bCs/>
          <w:sz w:val="24"/>
          <w:szCs w:val="24"/>
        </w:rPr>
      </w:pPr>
      <w:r w:rsidRPr="006970A2">
        <w:rPr>
          <w:rFonts w:ascii="Garamond" w:hAnsi="Garamond" w:cs="Times New Roman"/>
          <w:sz w:val="24"/>
          <w:szCs w:val="24"/>
        </w:rPr>
        <w:t xml:space="preserve">11. Çështja e legjitimimit </w:t>
      </w:r>
      <w:r w:rsidRPr="003F45FD">
        <w:rPr>
          <w:rFonts w:ascii="Garamond" w:hAnsi="Garamond" w:cs="Times New Roman"/>
          <w:i/>
          <w:iCs/>
          <w:sz w:val="24"/>
          <w:szCs w:val="24"/>
        </w:rPr>
        <w:t>(</w:t>
      </w:r>
      <w:proofErr w:type="spellStart"/>
      <w:r w:rsidRPr="003F45FD">
        <w:rPr>
          <w:rFonts w:ascii="Garamond" w:hAnsi="Garamond" w:cs="Times New Roman"/>
          <w:i/>
          <w:iCs/>
          <w:sz w:val="24"/>
          <w:szCs w:val="24"/>
        </w:rPr>
        <w:t>locus</w:t>
      </w:r>
      <w:proofErr w:type="spellEnd"/>
      <w:r w:rsidRPr="003F45FD">
        <w:rPr>
          <w:rFonts w:ascii="Garamond" w:hAnsi="Garamond" w:cs="Times New Roman"/>
          <w:i/>
          <w:iCs/>
          <w:sz w:val="24"/>
          <w:szCs w:val="24"/>
        </w:rPr>
        <w:t xml:space="preserve"> </w:t>
      </w:r>
      <w:proofErr w:type="spellStart"/>
      <w:r w:rsidRPr="003F45FD">
        <w:rPr>
          <w:rFonts w:ascii="Garamond" w:hAnsi="Garamond" w:cs="Times New Roman"/>
          <w:i/>
          <w:iCs/>
          <w:sz w:val="24"/>
          <w:szCs w:val="24"/>
        </w:rPr>
        <w:t>standi</w:t>
      </w:r>
      <w:proofErr w:type="spellEnd"/>
      <w:r w:rsidRPr="003F45FD">
        <w:rPr>
          <w:rFonts w:ascii="Garamond" w:hAnsi="Garamond" w:cs="Times New Roman"/>
          <w:i/>
          <w:iCs/>
          <w:sz w:val="24"/>
          <w:szCs w:val="24"/>
        </w:rPr>
        <w:t>)</w:t>
      </w:r>
      <w:r w:rsidRPr="006970A2">
        <w:rPr>
          <w:rFonts w:ascii="Garamond" w:hAnsi="Garamond" w:cs="Times New Roman"/>
          <w:sz w:val="24"/>
          <w:szCs w:val="24"/>
        </w:rPr>
        <w:t xml:space="preserve"> është një ndër aspektet kryesore që lidhet me nisjen e një procesi kushtetues. Referuar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Organik të Gjykatës,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15C430D1" w14:textId="77777777" w:rsidR="0092462B" w:rsidRPr="006970A2" w:rsidRDefault="0092462B" w:rsidP="0092462B">
      <w:pPr>
        <w:pStyle w:val="BodyTextIndent2"/>
        <w:tabs>
          <w:tab w:val="left" w:pos="1080"/>
        </w:tabs>
        <w:spacing w:after="0" w:line="240" w:lineRule="auto"/>
        <w:ind w:left="0" w:firstLine="284"/>
        <w:jc w:val="both"/>
        <w:rPr>
          <w:rFonts w:ascii="Garamond" w:hAnsi="Garamond" w:cs="Times New Roman"/>
          <w:b/>
          <w:bCs/>
          <w:sz w:val="24"/>
          <w:szCs w:val="24"/>
        </w:rPr>
      </w:pPr>
      <w:r w:rsidRPr="006970A2">
        <w:rPr>
          <w:rFonts w:ascii="Garamond" w:hAnsi="Garamond" w:cs="Times New Roman"/>
          <w:sz w:val="24"/>
          <w:szCs w:val="24"/>
        </w:rPr>
        <w:t xml:space="preserve">12. Gjykata vlerëson se kërkuesi, si bartës i të drejtave dhe lirive themelore kushtetuese, legjitimohet </w:t>
      </w:r>
      <w:proofErr w:type="spellStart"/>
      <w:r w:rsidRPr="006970A2">
        <w:rPr>
          <w:rFonts w:ascii="Garamond" w:hAnsi="Garamond" w:cs="Times New Roman"/>
          <w:i/>
          <w:iCs/>
          <w:sz w:val="24"/>
          <w:szCs w:val="24"/>
        </w:rPr>
        <w:t>ratione</w:t>
      </w:r>
      <w:proofErr w:type="spellEnd"/>
      <w:r w:rsidRPr="006970A2">
        <w:rPr>
          <w:rFonts w:ascii="Garamond" w:hAnsi="Garamond" w:cs="Times New Roman"/>
          <w:i/>
          <w:iCs/>
          <w:sz w:val="24"/>
          <w:szCs w:val="24"/>
        </w:rPr>
        <w:t xml:space="preserve"> </w:t>
      </w:r>
      <w:proofErr w:type="spellStart"/>
      <w:r w:rsidRPr="006970A2">
        <w:rPr>
          <w:rFonts w:ascii="Garamond" w:hAnsi="Garamond" w:cs="Times New Roman"/>
          <w:i/>
          <w:iCs/>
          <w:sz w:val="24"/>
          <w:szCs w:val="24"/>
        </w:rPr>
        <w:t>personae</w:t>
      </w:r>
      <w:proofErr w:type="spellEnd"/>
      <w:r w:rsidRPr="006970A2">
        <w:rPr>
          <w:rFonts w:ascii="Garamond" w:hAnsi="Garamond" w:cs="Times New Roman"/>
          <w:sz w:val="24"/>
          <w:szCs w:val="24"/>
        </w:rPr>
        <w:t xml:space="preserve">, bazuar në nenet 131, pika 1, shkronja “f” dhe 134, pika 1, shkronja “i”, të Kushtetutës, pasi është palë </w:t>
      </w:r>
      <w:proofErr w:type="spellStart"/>
      <w:r w:rsidRPr="006970A2">
        <w:rPr>
          <w:rFonts w:ascii="Garamond" w:hAnsi="Garamond" w:cs="Times New Roman"/>
          <w:sz w:val="24"/>
          <w:szCs w:val="24"/>
        </w:rPr>
        <w:t>ndërgjyqëse</w:t>
      </w:r>
      <w:proofErr w:type="spellEnd"/>
      <w:r w:rsidRPr="006970A2">
        <w:rPr>
          <w:rFonts w:ascii="Garamond" w:hAnsi="Garamond" w:cs="Times New Roman"/>
          <w:sz w:val="24"/>
          <w:szCs w:val="24"/>
        </w:rPr>
        <w:t xml:space="preserve"> në procesin gjyqësor ndaj të cilit ka ngritur pretendime.</w:t>
      </w:r>
    </w:p>
    <w:p w14:paraId="22916F7D" w14:textId="77777777"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13. Në lidhje me kriterin e </w:t>
      </w:r>
      <w:r w:rsidRPr="006970A2">
        <w:rPr>
          <w:rFonts w:ascii="Garamond" w:hAnsi="Garamond" w:cs="Times New Roman"/>
          <w:i/>
          <w:iCs/>
          <w:sz w:val="24"/>
          <w:szCs w:val="24"/>
        </w:rPr>
        <w:t>shterimit të mjeteve juridike efektive</w:t>
      </w:r>
      <w:r w:rsidRPr="006970A2">
        <w:rPr>
          <w:rFonts w:ascii="Garamond" w:hAnsi="Garamond" w:cs="Times New Roman"/>
          <w:sz w:val="24"/>
          <w:szCs w:val="24"/>
        </w:rPr>
        <w:t xml:space="preserve">, në kuptim të nenit 131, pika 1, shkronja “f”, të Kushtetutës, Gjykata konstaton se subjekti i interesuar, Avokatura e Shtetit, ka pretenduar se kërkimet për cenimin e procesit të rregullt ligjor gjatë procesit disiplinor të tij, të zhvilluar nga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 xml:space="preserve">-ja, janë ngritur vetëm në parashtrimet drejtuar Kolegjit Administrativ dhe jo në rekurs. Gjykata vëren se në ankimin kushtetues individual kërkuesi nuk ka ngritur pretendime në lidhje me procesin disiplinor (administrativ), për rrjedhojë pretendimi i subjektit të interesuar në këtë drejtim është i pabazuar. Ndërkohë, subjekti tjetër i interesuar,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 xml:space="preserve">-ja, ka prapësuar se kërkuesi pretendimin për </w:t>
      </w:r>
      <w:proofErr w:type="spellStart"/>
      <w:r w:rsidRPr="006970A2">
        <w:rPr>
          <w:rFonts w:ascii="Garamond" w:hAnsi="Garamond" w:cs="Times New Roman"/>
          <w:sz w:val="24"/>
          <w:szCs w:val="24"/>
        </w:rPr>
        <w:t>mosnjoftimin</w:t>
      </w:r>
      <w:proofErr w:type="spellEnd"/>
      <w:r w:rsidRPr="006970A2">
        <w:rPr>
          <w:rFonts w:ascii="Garamond" w:hAnsi="Garamond" w:cs="Times New Roman"/>
          <w:sz w:val="24"/>
          <w:szCs w:val="24"/>
        </w:rPr>
        <w:t xml:space="preserve"> e urdhrit për përjashtimin nga strukturat e Policisë së Shtetit nuk e ka ngritur më parë në instancat gjyqësore. Gjykata, nisur nga fakti se thelbi i pretendimeve të kërkuesit lidhet me marrjen dijeni </w:t>
      </w:r>
      <w:proofErr w:type="spellStart"/>
      <w:r w:rsidRPr="006970A2">
        <w:rPr>
          <w:rFonts w:ascii="Garamond" w:hAnsi="Garamond" w:cs="Times New Roman"/>
          <w:sz w:val="24"/>
          <w:szCs w:val="24"/>
        </w:rPr>
        <w:t>efektivisht</w:t>
      </w:r>
      <w:proofErr w:type="spellEnd"/>
      <w:r w:rsidRPr="006970A2">
        <w:rPr>
          <w:rFonts w:ascii="Garamond" w:hAnsi="Garamond" w:cs="Times New Roman"/>
          <w:sz w:val="24"/>
          <w:szCs w:val="24"/>
        </w:rPr>
        <w:t xml:space="preserve"> për urdhrin për përjashtimin, do ta analizojë këtë pretendim së bashku me themelin e pretendimeve. </w:t>
      </w:r>
    </w:p>
    <w:p w14:paraId="406EC34F" w14:textId="77777777"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14. Në vijim, Gjykata vlerëson se kërkuesi i është drejtuar Gjykatës me ankim kushtetues individual pas përfundimit të procesit gjyqësor në të tria shkallët e sistemit gjyqësor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14:paraId="744790AD" w14:textId="758B1BDD"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15. Lidhur me legjitimimin </w:t>
      </w:r>
      <w:proofErr w:type="spellStart"/>
      <w:r w:rsidRPr="006970A2">
        <w:rPr>
          <w:rFonts w:ascii="Garamond" w:hAnsi="Garamond" w:cs="Times New Roman"/>
          <w:i/>
          <w:iCs/>
          <w:sz w:val="24"/>
          <w:szCs w:val="24"/>
        </w:rPr>
        <w:t>ratione</w:t>
      </w:r>
      <w:proofErr w:type="spellEnd"/>
      <w:r w:rsidRPr="006970A2">
        <w:rPr>
          <w:rFonts w:ascii="Garamond" w:hAnsi="Garamond" w:cs="Times New Roman"/>
          <w:i/>
          <w:iCs/>
          <w:sz w:val="24"/>
          <w:szCs w:val="24"/>
        </w:rPr>
        <w:t xml:space="preserve"> </w:t>
      </w:r>
      <w:proofErr w:type="spellStart"/>
      <w:r w:rsidRPr="006970A2">
        <w:rPr>
          <w:rFonts w:ascii="Garamond" w:hAnsi="Garamond" w:cs="Times New Roman"/>
          <w:i/>
          <w:iCs/>
          <w:sz w:val="24"/>
          <w:szCs w:val="24"/>
        </w:rPr>
        <w:t>temporis</w:t>
      </w:r>
      <w:proofErr w:type="spellEnd"/>
      <w:r w:rsidRPr="006970A2">
        <w:rPr>
          <w:rFonts w:ascii="Garamond" w:hAnsi="Garamond" w:cs="Times New Roman"/>
          <w:sz w:val="24"/>
          <w:szCs w:val="24"/>
        </w:rPr>
        <w:t xml:space="preserve">, neni 71/a, pika 1, shkronja “b”, i Ligjit Organik të Gjykatës ka parashikuar afatin ligjor 4-mujor nga konstatimi i cenimit për paraqitjen e ankimit kushtetues individual. Vendimi i kundërshtuar i Gjykatës së Lartë mban datën 24.9.2024, ndërsa kërkesa është paraqitur në Gjykatë në datën 21.1.2025, pra brenda afatit ligjor 4-mujor. </w:t>
      </w:r>
    </w:p>
    <w:p w14:paraId="78863B06" w14:textId="77777777"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16. Për sa i takon legjitimimit </w:t>
      </w:r>
      <w:proofErr w:type="spellStart"/>
      <w:r w:rsidRPr="006970A2">
        <w:rPr>
          <w:rFonts w:ascii="Garamond" w:hAnsi="Garamond" w:cs="Times New Roman"/>
          <w:i/>
          <w:iCs/>
          <w:sz w:val="24"/>
          <w:szCs w:val="24"/>
        </w:rPr>
        <w:t>ratione</w:t>
      </w:r>
      <w:proofErr w:type="spellEnd"/>
      <w:r w:rsidRPr="006970A2">
        <w:rPr>
          <w:rFonts w:ascii="Garamond" w:hAnsi="Garamond" w:cs="Times New Roman"/>
          <w:i/>
          <w:iCs/>
          <w:sz w:val="24"/>
          <w:szCs w:val="24"/>
        </w:rPr>
        <w:t xml:space="preserve"> </w:t>
      </w:r>
      <w:proofErr w:type="spellStart"/>
      <w:r w:rsidRPr="006970A2">
        <w:rPr>
          <w:rFonts w:ascii="Garamond" w:hAnsi="Garamond" w:cs="Times New Roman"/>
          <w:i/>
          <w:iCs/>
          <w:sz w:val="24"/>
          <w:szCs w:val="24"/>
        </w:rPr>
        <w:t>materiae</w:t>
      </w:r>
      <w:proofErr w:type="spellEnd"/>
      <w:r w:rsidRPr="006970A2">
        <w:rPr>
          <w:rFonts w:ascii="Garamond" w:hAnsi="Garamond" w:cs="Times New Roman"/>
          <w:sz w:val="24"/>
          <w:szCs w:val="24"/>
        </w:rPr>
        <w:t xml:space="preserve">, Gjykata vëren se kërkuesi i ka paraqitur pretendimet për cenimin e së drejtës për proces të rregullt ligjor në drejtim të së drejtës së </w:t>
      </w:r>
      <w:proofErr w:type="spellStart"/>
      <w:r w:rsidRPr="006970A2">
        <w:rPr>
          <w:rFonts w:ascii="Garamond" w:hAnsi="Garamond" w:cs="Times New Roman"/>
          <w:sz w:val="24"/>
          <w:szCs w:val="24"/>
        </w:rPr>
        <w:t>aksesit</w:t>
      </w:r>
      <w:proofErr w:type="spellEnd"/>
      <w:r w:rsidRPr="006970A2">
        <w:rPr>
          <w:rFonts w:ascii="Garamond" w:hAnsi="Garamond" w:cs="Times New Roman"/>
          <w:sz w:val="24"/>
          <w:szCs w:val="24"/>
        </w:rPr>
        <w:t xml:space="preserve"> substancial të lidhur me të drejtën për t’u dëgjuar e mbrojtur, parimit të barazisë së armëve e </w:t>
      </w:r>
      <w:proofErr w:type="spellStart"/>
      <w:r w:rsidRPr="006970A2">
        <w:rPr>
          <w:rFonts w:ascii="Garamond" w:hAnsi="Garamond" w:cs="Times New Roman"/>
          <w:sz w:val="24"/>
          <w:szCs w:val="24"/>
        </w:rPr>
        <w:t>kontradiktoritetit</w:t>
      </w:r>
      <w:proofErr w:type="spellEnd"/>
      <w:r w:rsidRPr="006970A2">
        <w:rPr>
          <w:rFonts w:ascii="Garamond" w:hAnsi="Garamond" w:cs="Times New Roman"/>
          <w:sz w:val="24"/>
          <w:szCs w:val="24"/>
        </w:rPr>
        <w:t xml:space="preserve">, si dhe të së drejtës për t’u dëgjuar të lidhur me standardin e arsyetimit të vendimit gjyqësor. </w:t>
      </w:r>
    </w:p>
    <w:p w14:paraId="509350E3" w14:textId="77777777"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17. Për pretendimin e cenimit </w:t>
      </w:r>
      <w:r w:rsidRPr="006970A2">
        <w:rPr>
          <w:rFonts w:ascii="Garamond" w:hAnsi="Garamond" w:cs="Times New Roman"/>
          <w:i/>
          <w:iCs/>
          <w:sz w:val="24"/>
          <w:szCs w:val="24"/>
        </w:rPr>
        <w:t xml:space="preserve">të parimit të barazisë së armëve dhe të </w:t>
      </w:r>
      <w:proofErr w:type="spellStart"/>
      <w:r w:rsidRPr="006970A2">
        <w:rPr>
          <w:rFonts w:ascii="Garamond" w:hAnsi="Garamond" w:cs="Times New Roman"/>
          <w:i/>
          <w:iCs/>
          <w:sz w:val="24"/>
          <w:szCs w:val="24"/>
        </w:rPr>
        <w:t>kontradiktoritetit</w:t>
      </w:r>
      <w:proofErr w:type="spellEnd"/>
      <w:r w:rsidRPr="006970A2">
        <w:rPr>
          <w:rFonts w:ascii="Garamond" w:hAnsi="Garamond" w:cs="Times New Roman"/>
          <w:sz w:val="24"/>
          <w:szCs w:val="24"/>
        </w:rPr>
        <w:t xml:space="preserve">, në këtë Gjykatë kërkuesi ka parashtruar vetëm referenca në jurisprudencën kushtetuese, por nuk ka parashtruar argumente konkrete për të provuar këtë pretendim në nivel kushtetues. Në këto rrethana, Gjykata vlerëson se pretendimi nuk mund të merret në shqyrtim. </w:t>
      </w:r>
    </w:p>
    <w:p w14:paraId="3E92EA1C" w14:textId="77777777" w:rsidR="0092462B" w:rsidRPr="006970A2" w:rsidRDefault="0092462B" w:rsidP="0092462B">
      <w:pPr>
        <w:pStyle w:val="ListParagraph"/>
        <w:tabs>
          <w:tab w:val="left" w:pos="720"/>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18. Në lidhje me pretendimet e tjera, Gjykata konstaton se kërkuesi pretendimin për cenimin e së </w:t>
      </w:r>
      <w:r w:rsidRPr="006970A2">
        <w:rPr>
          <w:rFonts w:ascii="Garamond" w:hAnsi="Garamond" w:cs="Times New Roman"/>
          <w:i/>
          <w:iCs/>
          <w:sz w:val="24"/>
          <w:szCs w:val="24"/>
        </w:rPr>
        <w:t>drejtës për t’u dëgjuar e për t’u mbrojtur</w:t>
      </w:r>
      <w:r w:rsidRPr="006970A2">
        <w:rPr>
          <w:rFonts w:ascii="Garamond" w:hAnsi="Garamond" w:cs="Times New Roman"/>
          <w:sz w:val="24"/>
          <w:szCs w:val="24"/>
        </w:rPr>
        <w:t xml:space="preserve"> e ka ndërlidhur </w:t>
      </w:r>
      <w:r w:rsidRPr="006970A2">
        <w:rPr>
          <w:rFonts w:ascii="Garamond" w:hAnsi="Garamond" w:cs="Times New Roman"/>
          <w:i/>
          <w:iCs/>
          <w:sz w:val="24"/>
          <w:szCs w:val="24"/>
        </w:rPr>
        <w:t xml:space="preserve">me cenimin e së drejtës së </w:t>
      </w:r>
      <w:proofErr w:type="spellStart"/>
      <w:r w:rsidRPr="006970A2">
        <w:rPr>
          <w:rFonts w:ascii="Garamond" w:hAnsi="Garamond" w:cs="Times New Roman"/>
          <w:i/>
          <w:iCs/>
          <w:sz w:val="24"/>
          <w:szCs w:val="24"/>
        </w:rPr>
        <w:t>aksesit</w:t>
      </w:r>
      <w:proofErr w:type="spellEnd"/>
      <w:r w:rsidRPr="006970A2">
        <w:rPr>
          <w:rFonts w:ascii="Garamond" w:hAnsi="Garamond" w:cs="Times New Roman"/>
          <w:i/>
          <w:iCs/>
          <w:sz w:val="24"/>
          <w:szCs w:val="24"/>
        </w:rPr>
        <w:t xml:space="preserve"> substancial</w:t>
      </w:r>
      <w:r w:rsidRPr="006970A2">
        <w:rPr>
          <w:rFonts w:ascii="Garamond" w:hAnsi="Garamond" w:cs="Times New Roman"/>
          <w:sz w:val="24"/>
          <w:szCs w:val="24"/>
        </w:rPr>
        <w:t xml:space="preserve">, për këtë arsye ato do të trajtohen në drejtim të </w:t>
      </w:r>
      <w:r w:rsidRPr="006970A2">
        <w:rPr>
          <w:rFonts w:ascii="Garamond" w:hAnsi="Garamond" w:cs="Times New Roman"/>
          <w:i/>
          <w:iCs/>
          <w:sz w:val="24"/>
          <w:szCs w:val="24"/>
        </w:rPr>
        <w:t xml:space="preserve">së drejtës së </w:t>
      </w:r>
      <w:proofErr w:type="spellStart"/>
      <w:r w:rsidRPr="006970A2">
        <w:rPr>
          <w:rFonts w:ascii="Garamond" w:hAnsi="Garamond" w:cs="Times New Roman"/>
          <w:i/>
          <w:iCs/>
          <w:sz w:val="24"/>
          <w:szCs w:val="24"/>
        </w:rPr>
        <w:t>aksesit</w:t>
      </w:r>
      <w:proofErr w:type="spellEnd"/>
      <w:r w:rsidRPr="006970A2">
        <w:rPr>
          <w:rFonts w:ascii="Garamond" w:hAnsi="Garamond" w:cs="Times New Roman"/>
          <w:i/>
          <w:iCs/>
          <w:sz w:val="24"/>
          <w:szCs w:val="24"/>
        </w:rPr>
        <w:t xml:space="preserve"> substancial</w:t>
      </w:r>
      <w:r w:rsidRPr="006970A2">
        <w:rPr>
          <w:rFonts w:ascii="Garamond" w:hAnsi="Garamond" w:cs="Times New Roman"/>
          <w:sz w:val="24"/>
          <w:szCs w:val="24"/>
        </w:rPr>
        <w:t xml:space="preserve">. Në vijim, Gjykata vlerëson se duke nisur nga fakti që argumentet e parashtruara nga kërkuesi në thelb i referohen mënyrës së arsyetimit të vendimeve gjyqësore të marra nga Gjykata Administrative e Apelit dhe Gjykata e Lartë për sa i përket momentit të marrjes dijeni të urdhrit për përjashtimin nga strukturat e policisë dhe mënyrës së interpretimit të ligjit të zbatueshëm, duke e konsideruar kërkesëpadinë si të paraqitur jashtë afatit ligjor, të gjitha pretendimet do të analizohen së bashku në drejtim </w:t>
      </w:r>
      <w:r w:rsidRPr="006970A2">
        <w:rPr>
          <w:rFonts w:ascii="Garamond" w:hAnsi="Garamond" w:cs="Times New Roman"/>
          <w:i/>
          <w:iCs/>
          <w:sz w:val="24"/>
          <w:szCs w:val="24"/>
        </w:rPr>
        <w:t xml:space="preserve">të së drejtës së </w:t>
      </w:r>
      <w:proofErr w:type="spellStart"/>
      <w:r w:rsidRPr="006970A2">
        <w:rPr>
          <w:rFonts w:ascii="Garamond" w:hAnsi="Garamond" w:cs="Times New Roman"/>
          <w:i/>
          <w:iCs/>
          <w:sz w:val="24"/>
          <w:szCs w:val="24"/>
        </w:rPr>
        <w:t>aksesit</w:t>
      </w:r>
      <w:proofErr w:type="spellEnd"/>
      <w:r w:rsidRPr="006970A2">
        <w:rPr>
          <w:rFonts w:ascii="Garamond" w:hAnsi="Garamond" w:cs="Times New Roman"/>
          <w:i/>
          <w:iCs/>
          <w:sz w:val="24"/>
          <w:szCs w:val="24"/>
        </w:rPr>
        <w:t xml:space="preserve"> substancial të lidhur me standardin e arsyetimit të vendimit gjyqësor</w:t>
      </w:r>
      <w:r w:rsidRPr="006970A2">
        <w:rPr>
          <w:rFonts w:ascii="Garamond" w:hAnsi="Garamond" w:cs="Times New Roman"/>
          <w:sz w:val="24"/>
          <w:szCs w:val="24"/>
        </w:rPr>
        <w:t xml:space="preserve">. </w:t>
      </w:r>
    </w:p>
    <w:p w14:paraId="252BFF41" w14:textId="77777777" w:rsidR="0092462B" w:rsidRPr="006970A2" w:rsidRDefault="0092462B" w:rsidP="0092462B">
      <w:pPr>
        <w:pStyle w:val="BodyTextIndent2"/>
        <w:tabs>
          <w:tab w:val="left" w:pos="1080"/>
        </w:tabs>
        <w:spacing w:after="0" w:line="240" w:lineRule="auto"/>
        <w:ind w:left="0" w:firstLine="284"/>
        <w:jc w:val="both"/>
        <w:rPr>
          <w:rFonts w:ascii="Garamond" w:hAnsi="Garamond" w:cs="Times New Roman"/>
          <w:i/>
          <w:iCs/>
          <w:spacing w:val="15"/>
          <w:sz w:val="24"/>
          <w:szCs w:val="24"/>
        </w:rPr>
      </w:pPr>
      <w:r w:rsidRPr="006970A2">
        <w:rPr>
          <w:rFonts w:ascii="Garamond" w:hAnsi="Garamond" w:cs="Times New Roman"/>
          <w:i/>
          <w:iCs/>
          <w:spacing w:val="15"/>
          <w:sz w:val="24"/>
          <w:szCs w:val="24"/>
        </w:rPr>
        <w:t>B. Për themelin e pretendimeve</w:t>
      </w:r>
    </w:p>
    <w:p w14:paraId="23EC143E" w14:textId="77777777" w:rsidR="0092462B" w:rsidRPr="006970A2" w:rsidRDefault="0092462B" w:rsidP="0092462B">
      <w:pPr>
        <w:pStyle w:val="BodyTextIndent2"/>
        <w:tabs>
          <w:tab w:val="left" w:pos="1080"/>
        </w:tabs>
        <w:spacing w:after="0" w:line="240" w:lineRule="auto"/>
        <w:ind w:left="0" w:firstLine="284"/>
        <w:jc w:val="both"/>
        <w:rPr>
          <w:rFonts w:ascii="Garamond" w:hAnsi="Garamond" w:cs="Times New Roman"/>
          <w:spacing w:val="15"/>
          <w:sz w:val="24"/>
          <w:szCs w:val="24"/>
        </w:rPr>
      </w:pPr>
      <w:r w:rsidRPr="006970A2">
        <w:rPr>
          <w:rFonts w:ascii="Garamond" w:hAnsi="Garamond" w:cs="Times New Roman"/>
          <w:i/>
          <w:iCs/>
          <w:sz w:val="24"/>
          <w:szCs w:val="24"/>
        </w:rPr>
        <w:t xml:space="preserve">B.1. Për cenimin e së drejtës së </w:t>
      </w:r>
      <w:proofErr w:type="spellStart"/>
      <w:r w:rsidRPr="006970A2">
        <w:rPr>
          <w:rFonts w:ascii="Garamond" w:hAnsi="Garamond" w:cs="Times New Roman"/>
          <w:i/>
          <w:iCs/>
          <w:sz w:val="24"/>
          <w:szCs w:val="24"/>
        </w:rPr>
        <w:t>aksesit</w:t>
      </w:r>
      <w:proofErr w:type="spellEnd"/>
      <w:r w:rsidRPr="006970A2">
        <w:rPr>
          <w:rFonts w:ascii="Garamond" w:hAnsi="Garamond" w:cs="Times New Roman"/>
          <w:i/>
          <w:iCs/>
          <w:sz w:val="24"/>
          <w:szCs w:val="24"/>
        </w:rPr>
        <w:t xml:space="preserve"> substancial të lidhur me standardin e arsyetimit të vendimit gjyqësor</w:t>
      </w:r>
    </w:p>
    <w:p w14:paraId="32D147C5" w14:textId="77777777" w:rsidR="0092462B" w:rsidRPr="006970A2" w:rsidRDefault="0092462B" w:rsidP="0092462B">
      <w:pPr>
        <w:pStyle w:val="BodyTextIndent2"/>
        <w:tabs>
          <w:tab w:val="left" w:pos="1080"/>
        </w:tabs>
        <w:spacing w:after="0" w:line="240" w:lineRule="auto"/>
        <w:ind w:left="0" w:firstLine="284"/>
        <w:jc w:val="both"/>
        <w:rPr>
          <w:rFonts w:ascii="Garamond" w:hAnsi="Garamond" w:cs="Times New Roman"/>
          <w:spacing w:val="15"/>
          <w:sz w:val="24"/>
          <w:szCs w:val="24"/>
        </w:rPr>
      </w:pPr>
      <w:r w:rsidRPr="003F45FD">
        <w:rPr>
          <w:rFonts w:ascii="Garamond" w:hAnsi="Garamond"/>
          <w:sz w:val="24"/>
          <w:szCs w:val="24"/>
        </w:rPr>
        <w:t xml:space="preserve">19. Kërkuesi ka pretenduar se Gjykata Administrative e Apelit duke vendosur pushimin e çështjes për shkak të paraqitjes së kërkesëpadisë jashtë afatit, si dhe Gjykata e Lartë duke vendosur mospranimin e rekursit nuk kanë shqyrtuar në themel pretendimin kryesor për </w:t>
      </w:r>
      <w:proofErr w:type="spellStart"/>
      <w:r w:rsidRPr="003F45FD">
        <w:rPr>
          <w:rFonts w:ascii="Garamond" w:hAnsi="Garamond"/>
          <w:sz w:val="24"/>
          <w:szCs w:val="24"/>
        </w:rPr>
        <w:t>mosnjoftimin</w:t>
      </w:r>
      <w:proofErr w:type="spellEnd"/>
      <w:r w:rsidRPr="003F45FD">
        <w:rPr>
          <w:rFonts w:ascii="Garamond" w:hAnsi="Garamond"/>
          <w:sz w:val="24"/>
          <w:szCs w:val="24"/>
        </w:rPr>
        <w:t xml:space="preserve"> e urdhrit për përjashtimin. </w:t>
      </w:r>
      <w:r w:rsidRPr="006970A2">
        <w:rPr>
          <w:rFonts w:ascii="Garamond" w:hAnsi="Garamond" w:cs="Times New Roman"/>
          <w:sz w:val="24"/>
          <w:szCs w:val="24"/>
        </w:rPr>
        <w:t xml:space="preserve">Arsyetimi i Gjykatës Administrative të Apelit se kërkimi për shfuqizimin e këtij urdhri është paraqitur jashtë afatit ligjor 30-ditor bie në kundërshtim me rrethanat e çështjes, situatën ligjore dhe është i bazuar vetëm në </w:t>
      </w:r>
      <w:proofErr w:type="spellStart"/>
      <w:r w:rsidRPr="006970A2">
        <w:rPr>
          <w:rFonts w:ascii="Garamond" w:hAnsi="Garamond" w:cs="Times New Roman"/>
          <w:sz w:val="24"/>
          <w:szCs w:val="24"/>
        </w:rPr>
        <w:t>hamendësime</w:t>
      </w:r>
      <w:proofErr w:type="spellEnd"/>
      <w:r w:rsidRPr="006970A2">
        <w:rPr>
          <w:rFonts w:ascii="Garamond" w:hAnsi="Garamond" w:cs="Times New Roman"/>
          <w:sz w:val="24"/>
          <w:szCs w:val="24"/>
        </w:rPr>
        <w:t xml:space="preserve"> të </w:t>
      </w:r>
      <w:proofErr w:type="spellStart"/>
      <w:r w:rsidRPr="006970A2">
        <w:rPr>
          <w:rFonts w:ascii="Garamond" w:hAnsi="Garamond" w:cs="Times New Roman"/>
          <w:sz w:val="24"/>
          <w:szCs w:val="24"/>
        </w:rPr>
        <w:t>paverifikuara</w:t>
      </w:r>
      <w:proofErr w:type="spellEnd"/>
      <w:r w:rsidRPr="006970A2">
        <w:rPr>
          <w:rFonts w:ascii="Garamond" w:hAnsi="Garamond" w:cs="Times New Roman"/>
          <w:sz w:val="24"/>
          <w:szCs w:val="24"/>
        </w:rPr>
        <w:t>. Sipas kërkuesit, urdhri për përjashtimin nuk i është njoftuar asnjëherë drejtpërdrejt dhe ai ka marrë dijeni vetëm gjatë seancës paraprake të zhvilluar në Gjykatën Administrative të Shkallës së Parë Tiranë.</w:t>
      </w:r>
    </w:p>
    <w:p w14:paraId="21BB21B7" w14:textId="77777777" w:rsidR="0092462B" w:rsidRPr="00750A12" w:rsidRDefault="0092462B" w:rsidP="00750A12">
      <w:pPr>
        <w:spacing w:after="0" w:line="240" w:lineRule="auto"/>
        <w:ind w:firstLine="288"/>
        <w:jc w:val="both"/>
        <w:rPr>
          <w:rFonts w:ascii="Garamond" w:hAnsi="Garamond"/>
          <w:spacing w:val="15"/>
        </w:rPr>
      </w:pPr>
      <w:r w:rsidRPr="00750A12">
        <w:rPr>
          <w:rFonts w:ascii="Garamond" w:hAnsi="Garamond"/>
          <w:spacing w:val="15"/>
        </w:rPr>
        <w:t xml:space="preserve">20. Subjekti i interesuar, </w:t>
      </w:r>
      <w:proofErr w:type="spellStart"/>
      <w:r w:rsidRPr="00750A12">
        <w:rPr>
          <w:rFonts w:ascii="Garamond" w:hAnsi="Garamond"/>
          <w:spacing w:val="15"/>
        </w:rPr>
        <w:t>DPPSH</w:t>
      </w:r>
      <w:proofErr w:type="spellEnd"/>
      <w:r w:rsidRPr="00750A12">
        <w:rPr>
          <w:rFonts w:ascii="Garamond" w:hAnsi="Garamond"/>
          <w:spacing w:val="15"/>
        </w:rPr>
        <w:t>-ja, ka prapësuar se</w:t>
      </w:r>
      <w:r w:rsidRPr="00750A12">
        <w:rPr>
          <w:rFonts w:ascii="Garamond" w:hAnsi="Garamond"/>
        </w:rPr>
        <w:t xml:space="preserve"> kërkuesi ka qenë në dijeni për urdhrin për përjashtimin, pasi ka qenë në gjendje arresti për shkak të fillimit të procedimit penal. Pas përfundimit të çështjes penale ai ka kërkuar që të rikthehej në Policinë e Shtetit, duke ngritur padi në gjykatë në lidhje me këto çështje. Gjithashtu, kërkuesi në ankimin kushtetues individual nuk ka arritur të argumentojë pretendimet e tij në nivel kushtetues. </w:t>
      </w:r>
    </w:p>
    <w:p w14:paraId="23093875" w14:textId="77777777" w:rsidR="0092462B" w:rsidRPr="00750A12" w:rsidRDefault="0092462B" w:rsidP="00750A12">
      <w:pPr>
        <w:spacing w:after="0" w:line="240" w:lineRule="auto"/>
        <w:ind w:firstLine="288"/>
        <w:jc w:val="both"/>
        <w:rPr>
          <w:rFonts w:ascii="Garamond" w:hAnsi="Garamond"/>
          <w:spacing w:val="15"/>
        </w:rPr>
      </w:pPr>
      <w:r w:rsidRPr="00750A12">
        <w:rPr>
          <w:rFonts w:ascii="Garamond" w:hAnsi="Garamond"/>
          <w:spacing w:val="15"/>
        </w:rPr>
        <w:t>21. Subjekti i interesuar, Avokatura e Shtetit, ka prapësuar se p</w:t>
      </w:r>
      <w:r w:rsidRPr="00750A12">
        <w:rPr>
          <w:rFonts w:ascii="Garamond" w:hAnsi="Garamond"/>
        </w:rPr>
        <w:t>retendimi i kërkuesit se ka marrë dijeni për përjashtimin e tij nga Policia e Shtetit pas më shumë se 8 vjetësh është i pabazuar. Ai ka marrë dijeni për ndërprerjen e marrëdhënieve të punës si i përjashtuar nga Policia e Shtetit së paku kur ka bërë kërkesë për rikthimin në punë dhe më pas i është drejtuar me padi gjykatës administrative të shkallës së parë, dukshëm jashtë afatit 30-ditor që ka njohur ligji i posaçëm nr. 8553/1999.</w:t>
      </w:r>
    </w:p>
    <w:p w14:paraId="33C7A537" w14:textId="295EC9DF"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22. Gjykata ka vlerësuar vazhdimisht se administrimi i mirë i drejtësisë fillon me garancinë që një individ të ketë </w:t>
      </w:r>
      <w:proofErr w:type="spellStart"/>
      <w:r w:rsidRPr="006970A2">
        <w:rPr>
          <w:rFonts w:ascii="Garamond" w:hAnsi="Garamond" w:cs="Times New Roman"/>
          <w:sz w:val="24"/>
          <w:szCs w:val="24"/>
        </w:rPr>
        <w:t>akses</w:t>
      </w:r>
      <w:proofErr w:type="spellEnd"/>
      <w:r w:rsidRPr="006970A2">
        <w:rPr>
          <w:rFonts w:ascii="Garamond" w:hAnsi="Garamond" w:cs="Times New Roman"/>
          <w:sz w:val="24"/>
          <w:szCs w:val="24"/>
        </w:rPr>
        <w:t xml:space="preserve">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çështjen, pasi </w:t>
      </w:r>
      <w:proofErr w:type="spellStart"/>
      <w:r w:rsidRPr="006970A2">
        <w:rPr>
          <w:rFonts w:ascii="Garamond" w:hAnsi="Garamond" w:cs="Times New Roman"/>
          <w:sz w:val="24"/>
          <w:szCs w:val="24"/>
        </w:rPr>
        <w:t>aksesi</w:t>
      </w:r>
      <w:proofErr w:type="spellEnd"/>
      <w:r w:rsidRPr="006970A2">
        <w:rPr>
          <w:rFonts w:ascii="Garamond" w:hAnsi="Garamond" w:cs="Times New Roman"/>
          <w:sz w:val="24"/>
          <w:szCs w:val="24"/>
        </w:rPr>
        <w:t xml:space="preserve"> në gjykatë duhet të jetë substantiv dhe jo thjesht formal </w:t>
      </w:r>
      <w:r w:rsidRPr="006970A2">
        <w:rPr>
          <w:rFonts w:ascii="Garamond" w:hAnsi="Garamond" w:cs="Times New Roman"/>
          <w:i/>
          <w:iCs/>
          <w:sz w:val="24"/>
          <w:szCs w:val="24"/>
        </w:rPr>
        <w:t>(shih vendimet nr. 5, datë 22.2.2022; nr. 22, datë 29.4.2021; nr. 3, datë 23.2.2016</w:t>
      </w:r>
      <w:r w:rsidR="0023297E">
        <w:rPr>
          <w:rFonts w:ascii="Garamond" w:hAnsi="Garamond" w:cs="Times New Roman"/>
          <w:i/>
          <w:iCs/>
          <w:sz w:val="24"/>
          <w:szCs w:val="24"/>
        </w:rPr>
        <w:t>,</w:t>
      </w:r>
      <w:r w:rsidRPr="006970A2">
        <w:rPr>
          <w:rFonts w:ascii="Garamond" w:hAnsi="Garamond" w:cs="Times New Roman"/>
          <w:i/>
          <w:iCs/>
          <w:sz w:val="24"/>
          <w:szCs w:val="24"/>
        </w:rPr>
        <w:t xml:space="preserve"> të Gjykatës Kushtetuese)</w:t>
      </w:r>
      <w:r w:rsidRPr="006970A2">
        <w:rPr>
          <w:rFonts w:ascii="Garamond" w:hAnsi="Garamond" w:cs="Times New Roman"/>
          <w:sz w:val="24"/>
          <w:szCs w:val="24"/>
        </w:rPr>
        <w:t>.</w:t>
      </w:r>
    </w:p>
    <w:p w14:paraId="0D19F81D" w14:textId="34733AF1"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23. Lidhur me arsyetimin e vendimeve gjyqësore, Gjykata ka pohuar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6970A2">
        <w:rPr>
          <w:rFonts w:ascii="Garamond" w:hAnsi="Garamond" w:cs="Times New Roman"/>
          <w:i/>
          <w:iCs/>
          <w:sz w:val="24"/>
          <w:szCs w:val="24"/>
        </w:rPr>
        <w:t>shih vendimet nr. 21, datë 26.9.2022; nr. 67, datë 10.11.2017</w:t>
      </w:r>
      <w:r w:rsidR="0023297E">
        <w:rPr>
          <w:rFonts w:ascii="Garamond" w:hAnsi="Garamond" w:cs="Times New Roman"/>
          <w:i/>
          <w:iCs/>
          <w:sz w:val="24"/>
          <w:szCs w:val="24"/>
        </w:rPr>
        <w:t>,</w:t>
      </w:r>
      <w:r w:rsidRPr="006970A2">
        <w:rPr>
          <w:rFonts w:ascii="Garamond" w:hAnsi="Garamond" w:cs="Times New Roman"/>
          <w:i/>
          <w:iCs/>
          <w:sz w:val="24"/>
          <w:szCs w:val="24"/>
        </w:rPr>
        <w:t xml:space="preserve"> të Gjykatës Kushtetuese</w:t>
      </w:r>
      <w:r w:rsidRPr="006970A2">
        <w:rPr>
          <w:rFonts w:ascii="Garamond" w:hAnsi="Garamond" w:cs="Times New Roman"/>
          <w:sz w:val="24"/>
          <w:szCs w:val="24"/>
        </w:rPr>
        <w:t>).</w:t>
      </w:r>
    </w:p>
    <w:p w14:paraId="38502ECD" w14:textId="44C92ACC"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24. Gjykata ka pohuar në mënyrë konstante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w:t>
      </w:r>
      <w:proofErr w:type="spellStart"/>
      <w:r w:rsidRPr="006970A2">
        <w:rPr>
          <w:rFonts w:ascii="Garamond" w:hAnsi="Garamond" w:cs="Times New Roman"/>
          <w:sz w:val="24"/>
          <w:szCs w:val="24"/>
        </w:rPr>
        <w:t>të</w:t>
      </w:r>
      <w:proofErr w:type="spellEnd"/>
      <w:r w:rsidRPr="006970A2">
        <w:rPr>
          <w:rFonts w:ascii="Garamond" w:hAnsi="Garamond" w:cs="Times New Roman"/>
          <w:sz w:val="24"/>
          <w:szCs w:val="24"/>
        </w:rPr>
        <w:t xml:space="preserve"> drejtave kushtetuese, si dhe nëse zbatimi i ligjit ka qenë eventualisht arbitrar, në kuptimin që të bjerë ndesh haptazi me konceptin e gjykimit të drejtë të përcaktuar në nenin 42 të Kushtetutës (</w:t>
      </w:r>
      <w:r w:rsidRPr="006970A2">
        <w:rPr>
          <w:rFonts w:ascii="Garamond" w:hAnsi="Garamond" w:cs="Times New Roman"/>
          <w:i/>
          <w:iCs/>
          <w:sz w:val="24"/>
          <w:szCs w:val="24"/>
        </w:rPr>
        <w:t>shih vendimet nr. 30, datë 29.5.2023; nr. 33, datë 14.11.2022; nr. 3, datë 23.2.2016</w:t>
      </w:r>
      <w:r w:rsidR="0023297E">
        <w:rPr>
          <w:rFonts w:ascii="Garamond" w:hAnsi="Garamond" w:cs="Times New Roman"/>
          <w:i/>
          <w:iCs/>
          <w:sz w:val="24"/>
          <w:szCs w:val="24"/>
        </w:rPr>
        <w:t>,</w:t>
      </w:r>
      <w:r w:rsidRPr="006970A2">
        <w:rPr>
          <w:rFonts w:ascii="Garamond" w:hAnsi="Garamond" w:cs="Times New Roman"/>
          <w:i/>
          <w:iCs/>
          <w:sz w:val="24"/>
          <w:szCs w:val="24"/>
        </w:rPr>
        <w:t xml:space="preserve"> të Gjykatës Kushtetuese</w:t>
      </w:r>
      <w:r w:rsidRPr="006970A2">
        <w:rPr>
          <w:rFonts w:ascii="Garamond" w:hAnsi="Garamond" w:cs="Times New Roman"/>
          <w:sz w:val="24"/>
          <w:szCs w:val="24"/>
        </w:rPr>
        <w:t>). Gjykata nuk vepron si shkallë e katërt gjykimi, por ajo ndërhyn atëherë kur gabimi ligjor ose faktik nga gjykatat e juridiksionit të zakonshëm është aq i dukshëm, sa një gjykatë e kujdesshme nuk mund ta kishte bërë ndonjëherë ose është i tillë që gjykimin e bën të padrejtë (</w:t>
      </w:r>
      <w:r w:rsidRPr="006970A2">
        <w:rPr>
          <w:rFonts w:ascii="Garamond" w:hAnsi="Garamond" w:cs="Times New Roman"/>
          <w:i/>
          <w:iCs/>
          <w:sz w:val="24"/>
          <w:szCs w:val="24"/>
        </w:rPr>
        <w:t>shih vendimet nr. 59, datë 14.11.2023; nr. 30, datë 29.5.2023</w:t>
      </w:r>
      <w:r w:rsidR="0023297E">
        <w:rPr>
          <w:rFonts w:ascii="Garamond" w:hAnsi="Garamond" w:cs="Times New Roman"/>
          <w:i/>
          <w:iCs/>
          <w:sz w:val="24"/>
          <w:szCs w:val="24"/>
        </w:rPr>
        <w:t>,</w:t>
      </w:r>
      <w:r w:rsidRPr="006970A2">
        <w:rPr>
          <w:rFonts w:ascii="Garamond" w:hAnsi="Garamond" w:cs="Times New Roman"/>
          <w:i/>
          <w:iCs/>
          <w:sz w:val="24"/>
          <w:szCs w:val="24"/>
        </w:rPr>
        <w:t xml:space="preserve"> të Gjykatës Kushtetuese</w:t>
      </w:r>
      <w:r w:rsidRPr="006970A2">
        <w:rPr>
          <w:rFonts w:ascii="Garamond" w:hAnsi="Garamond" w:cs="Times New Roman"/>
          <w:sz w:val="24"/>
          <w:szCs w:val="24"/>
        </w:rPr>
        <w:t xml:space="preserve">). </w:t>
      </w:r>
    </w:p>
    <w:p w14:paraId="77204623" w14:textId="77777777" w:rsidR="0092462B" w:rsidRPr="006970A2" w:rsidRDefault="0092462B" w:rsidP="0092462B">
      <w:pPr>
        <w:pStyle w:val="ListParagraph"/>
        <w:tabs>
          <w:tab w:val="left" w:pos="1080"/>
        </w:tabs>
        <w:spacing w:after="0" w:line="240" w:lineRule="auto"/>
        <w:ind w:left="0" w:firstLine="284"/>
        <w:jc w:val="both"/>
        <w:rPr>
          <w:rFonts w:ascii="Garamond" w:hAnsi="Garamond" w:cs="Times New Roman"/>
          <w:spacing w:val="15"/>
          <w:sz w:val="24"/>
          <w:szCs w:val="24"/>
        </w:rPr>
      </w:pPr>
      <w:r w:rsidRPr="006970A2">
        <w:rPr>
          <w:rFonts w:ascii="Garamond" w:hAnsi="Garamond" w:cs="Times New Roman"/>
          <w:sz w:val="24"/>
          <w:szCs w:val="24"/>
        </w:rPr>
        <w:t xml:space="preserve">25. Në këndvështrim të standardeve të mësipërme kushtetuese, Gjykata do të vlerësojë nëse kërkuesi ka marrë përgjigje për pretendimin thelbësor të parashtruar gjatë gjykimit të çështjes së tij për momentin e marrjes dijeni të urdhrit për përjashtimin, si dhe nëse ky kërkim është vlerësuar nga Gjykata Administrative e Apelit dhe Gjykata e Lartë në kuadër të garancive që ofron neni 42 i Kushtetutës për procesin e rregullt ligjor. Në këtë kuptim do të analizohet nëse interpretimi i ligjit të zbatueshëm nga gjykatat për zgjidhjen e çështjes, duke e konsideruar kërkesëpadinë si të paraqitur jashtë afatit ligjor, ka qenë ose jo arbitrar në këndvështrimin kushtetues në drejtim të </w:t>
      </w:r>
      <w:r w:rsidRPr="006970A2">
        <w:rPr>
          <w:rFonts w:ascii="Garamond" w:hAnsi="Garamond" w:cs="Times New Roman"/>
          <w:i/>
          <w:iCs/>
          <w:sz w:val="24"/>
          <w:szCs w:val="24"/>
        </w:rPr>
        <w:t xml:space="preserve">së drejtës së </w:t>
      </w:r>
      <w:proofErr w:type="spellStart"/>
      <w:r w:rsidRPr="006970A2">
        <w:rPr>
          <w:rFonts w:ascii="Garamond" w:hAnsi="Garamond" w:cs="Times New Roman"/>
          <w:i/>
          <w:iCs/>
          <w:sz w:val="24"/>
          <w:szCs w:val="24"/>
        </w:rPr>
        <w:t>aksesit</w:t>
      </w:r>
      <w:proofErr w:type="spellEnd"/>
      <w:r w:rsidRPr="006970A2">
        <w:rPr>
          <w:rFonts w:ascii="Garamond" w:hAnsi="Garamond" w:cs="Times New Roman"/>
          <w:i/>
          <w:iCs/>
          <w:sz w:val="24"/>
          <w:szCs w:val="24"/>
        </w:rPr>
        <w:t xml:space="preserve"> të lidhur me standardin e arsyetimit të vendimit gjyqësor</w:t>
      </w:r>
      <w:r w:rsidRPr="006970A2">
        <w:rPr>
          <w:rFonts w:ascii="Garamond" w:hAnsi="Garamond" w:cs="Times New Roman"/>
          <w:sz w:val="24"/>
          <w:szCs w:val="24"/>
        </w:rPr>
        <w:t>.</w:t>
      </w:r>
    </w:p>
    <w:p w14:paraId="2C2F9A7D" w14:textId="60CB5247"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pacing w:val="15"/>
          <w:sz w:val="24"/>
          <w:szCs w:val="24"/>
        </w:rPr>
        <w:t>26. Në rastin konkret, Gjykata vëren se pas fillimit të procedimit penal nga Prokuroria pranë Gjykatës së Rrethit Gjyqësor Korçë, kërkuesi është përjashtuar nga Policia e Shtetit me motivacionin “</w:t>
      </w:r>
      <w:r w:rsidRPr="006970A2">
        <w:rPr>
          <w:rFonts w:ascii="Garamond" w:hAnsi="Garamond" w:cs="Times New Roman"/>
          <w:i/>
          <w:iCs/>
          <w:spacing w:val="15"/>
          <w:sz w:val="24"/>
          <w:szCs w:val="24"/>
        </w:rPr>
        <w:t>Për shkelje të betimit, abuzime të rënda me atributet e policisë dhe me mirëbesimin e publikut dhe për veprime që cenojnë në mënyrë të pariparueshme ligjin dhe detyrën</w:t>
      </w:r>
      <w:r w:rsidRPr="006970A2">
        <w:rPr>
          <w:rFonts w:ascii="Garamond" w:hAnsi="Garamond" w:cs="Times New Roman"/>
          <w:spacing w:val="15"/>
          <w:sz w:val="24"/>
          <w:szCs w:val="24"/>
        </w:rPr>
        <w:t xml:space="preserve">”. Ndërkohë, </w:t>
      </w:r>
      <w:r w:rsidRPr="006970A2">
        <w:rPr>
          <w:rFonts w:ascii="Garamond" w:hAnsi="Garamond" w:cs="Times New Roman"/>
          <w:sz w:val="24"/>
          <w:szCs w:val="24"/>
        </w:rPr>
        <w:t xml:space="preserve">sikurse rezultoi edhe nga rrethanat e çështjes, Prokuroria pranë Gjykatës së Rrethit Gjyqësor Korçë në datën 20.9.2010 ka vendosur pushimin e hetimit në ngarkim të kërkuesit. Në vijim, nga materialet e dosjes gjyqësore rezulton së kërkuesi, me kërkesën e datës 1.11.2011 drejtuar Drejtorisë së Policisë së Qarkut Lezhë, ka kërkuar rikthimin në strukturat e Policisë së Shtetit dhe nuk rezulton të ketë marrë përgjigje nga kjo e fundit. </w:t>
      </w:r>
    </w:p>
    <w:p w14:paraId="394664EF" w14:textId="732054BE"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27. Në datën 4.10.2013 kërkuesi i është drejtuar me padi Gjykatës së Rrethit Gjyqësor Tiranë duke kërkuar detyrimin e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 xml:space="preserve">-së për të paguar pagën mujore nga data e arrestimit deri në momentin e përfundimit të shqyrtimit të padisë, për të paguar pagesën e avokatit, rikthimin në vendin e mëparshëm të punës, si dhe dëmshpërblimin shëndetësor dhe moral. Sikur u parashtrua në rrethanat e çështjes </w:t>
      </w:r>
      <w:r w:rsidRPr="006970A2">
        <w:rPr>
          <w:rFonts w:ascii="Garamond" w:hAnsi="Garamond" w:cs="Times New Roman"/>
          <w:i/>
          <w:iCs/>
          <w:sz w:val="24"/>
          <w:szCs w:val="24"/>
        </w:rPr>
        <w:t xml:space="preserve">(shih paragrafin 3 të vendimit), </w:t>
      </w:r>
      <w:r w:rsidRPr="006970A2">
        <w:rPr>
          <w:rFonts w:ascii="Garamond" w:hAnsi="Garamond" w:cs="Times New Roman"/>
          <w:sz w:val="24"/>
          <w:szCs w:val="24"/>
        </w:rPr>
        <w:t xml:space="preserve">Gjykata e Rrethit Gjyqësor Tiranë ka vendosur shpalljen e </w:t>
      </w:r>
      <w:proofErr w:type="spellStart"/>
      <w:r w:rsidRPr="006970A2">
        <w:rPr>
          <w:rFonts w:ascii="Garamond" w:hAnsi="Garamond" w:cs="Times New Roman"/>
          <w:sz w:val="24"/>
          <w:szCs w:val="24"/>
        </w:rPr>
        <w:t>moskompetencës</w:t>
      </w:r>
      <w:proofErr w:type="spellEnd"/>
      <w:r w:rsidRPr="006970A2">
        <w:rPr>
          <w:rFonts w:ascii="Garamond" w:hAnsi="Garamond" w:cs="Times New Roman"/>
          <w:sz w:val="24"/>
          <w:szCs w:val="24"/>
        </w:rPr>
        <w:t xml:space="preserve"> lëndore dhe dërgimin e akteve Gjykatës Administrative të Shkallës së Parë Tiranë, e cila, nga ana e saj, ka vendosur deklarimin e </w:t>
      </w:r>
      <w:proofErr w:type="spellStart"/>
      <w:r w:rsidRPr="006970A2">
        <w:rPr>
          <w:rFonts w:ascii="Garamond" w:hAnsi="Garamond" w:cs="Times New Roman"/>
          <w:sz w:val="24"/>
          <w:szCs w:val="24"/>
        </w:rPr>
        <w:t>moskompetencës</w:t>
      </w:r>
      <w:proofErr w:type="spellEnd"/>
      <w:r w:rsidRPr="006970A2">
        <w:rPr>
          <w:rFonts w:ascii="Garamond" w:hAnsi="Garamond" w:cs="Times New Roman"/>
          <w:sz w:val="24"/>
          <w:szCs w:val="24"/>
        </w:rPr>
        <w:t xml:space="preserve"> tokësore dhe dërgimin e akteve Gjykatës Administrative të Shkallës së Parë Korçë. </w:t>
      </w:r>
    </w:p>
    <w:p w14:paraId="5C9AEF27" w14:textId="5EEBAAA4"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28. Gjykata vëren se sipas akteve që ndodhen në dosjen gjyqësore, gjatë kohës që çështja ka qenë duke u shqyrtuar në Gjykatën Administrative të Shkallës së Parë Korçë, rezulton se: </w:t>
      </w:r>
      <w:r w:rsidRPr="006970A2">
        <w:rPr>
          <w:rFonts w:ascii="Garamond" w:hAnsi="Garamond" w:cs="Times New Roman"/>
          <w:i/>
          <w:iCs/>
          <w:sz w:val="24"/>
          <w:szCs w:val="24"/>
        </w:rPr>
        <w:t>së pari</w:t>
      </w:r>
      <w:r w:rsidRPr="006970A2">
        <w:rPr>
          <w:rFonts w:ascii="Garamond" w:hAnsi="Garamond" w:cs="Times New Roman"/>
          <w:sz w:val="24"/>
          <w:szCs w:val="24"/>
        </w:rPr>
        <w:t xml:space="preserve">, subjekti i interesuar,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-ja, me shkresën e datës 24.6.2014  (e cila mban shënimin nga sekretaria gjyqësore “</w:t>
      </w:r>
      <w:r w:rsidRPr="006970A2">
        <w:rPr>
          <w:rFonts w:ascii="Garamond" w:hAnsi="Garamond" w:cs="Times New Roman"/>
          <w:i/>
          <w:iCs/>
          <w:sz w:val="24"/>
          <w:szCs w:val="24"/>
        </w:rPr>
        <w:t>depozituar nga pala e paditur në datën 26.6.2014</w:t>
      </w:r>
      <w:r w:rsidRPr="006970A2">
        <w:rPr>
          <w:rFonts w:ascii="Garamond" w:hAnsi="Garamond" w:cs="Times New Roman"/>
          <w:sz w:val="24"/>
          <w:szCs w:val="24"/>
        </w:rPr>
        <w:t xml:space="preserve">”), ka depozituar provat shkresore në funksion të atij procesi gjyqësor, ku mes tyre është edhe një kopje e urdhrit për përjashtimin e kërkuesit nga strukturat e policisë; </w:t>
      </w:r>
      <w:r w:rsidRPr="006970A2">
        <w:rPr>
          <w:rFonts w:ascii="Garamond" w:hAnsi="Garamond" w:cs="Times New Roman"/>
          <w:i/>
          <w:iCs/>
          <w:sz w:val="24"/>
          <w:szCs w:val="24"/>
        </w:rPr>
        <w:t xml:space="preserve">së dyti, </w:t>
      </w:r>
      <w:r w:rsidRPr="006970A2">
        <w:rPr>
          <w:rFonts w:ascii="Garamond" w:hAnsi="Garamond" w:cs="Times New Roman"/>
          <w:sz w:val="24"/>
          <w:szCs w:val="24"/>
        </w:rPr>
        <w:t>nga procesverbalet e seancave përgatitore të zhvilluara në datat 5.9.2014 dhe 3.10.2014, gjatë të cilave kërkuesi ka qenë i pranishëm, rezulton se Gjykata Administrative e Shkallës së Parë Korçë ka administruar provat e depozituara nga subjekti i interesuar me shkresën e sipërcituar të datës 24.6.2014, mes tyre edhe urdhrin për përjashtimin e kërkuesit nga strukturat e policisë. Në kushtet kur kërkuesi ka qenë i pranishëm gjatë këtyre dy seancave përgatitore kur Gjykata Administrative e Shkallës së Parë Korçë ka administruar urdhrin për përjashtimin nga strukturat e policisë, Gjykata vlerëson se ai ka marrë dijeni për të, për rrjedhojë nuk qëndron pretendimi i tij se nuk ka marrë dijeni për urdhrin e përjashtimit.</w:t>
      </w:r>
    </w:p>
    <w:p w14:paraId="3ED58C33" w14:textId="1AA4E3FD"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29. Në vijim, Gjykata Administrative e Shkallës së Parë Korçë, me vendimin nr. 517 akti, datë 3.10.2014, ka vendosur t’i parashtrojë Gjykatës së Lartë çështjen e mosmarrëveshjes së kompetencës tokësore dhe vazhdimin e shqyrtimit të çështjes deri në shprehjen me vendim të Gjykatës së Lartë. Pas zgjidhjes së mosmarrëveshjes së kompetencës dhe caktimit të Gjykatës Administrative të Shkallës së Parë Tiranë si gjykatë kompetente, </w:t>
      </w:r>
      <w:r w:rsidRPr="006970A2">
        <w:rPr>
          <w:rFonts w:ascii="Garamond" w:hAnsi="Garamond" w:cs="Times New Roman"/>
          <w:spacing w:val="15"/>
          <w:sz w:val="24"/>
          <w:szCs w:val="24"/>
        </w:rPr>
        <w:t>ç</w:t>
      </w:r>
      <w:r w:rsidRPr="006970A2">
        <w:rPr>
          <w:rFonts w:ascii="Garamond" w:hAnsi="Garamond" w:cs="Times New Roman"/>
          <w:sz w:val="24"/>
          <w:szCs w:val="24"/>
        </w:rPr>
        <w:t xml:space="preserve">ështja është regjistruar në datën 20.3.2015. Nga përmbajtja e dosjes gjyqësore rezulton se në seancën përgatitore të datës 20.4.2015 të zhvilluar në Gjykatën Administrative të Shkallës së Parë Tiranë,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 xml:space="preserve">-ja ka paraqitur përsëri prova shkresore, mes të cilave edhe urdhrin për përjashtimin. Kërkuesi ka qenë i pranishëm në atë seancë, duke marrë dijeni për këto prova. Seanca e radhës (e datës 5.5.2015) nuk është zhvilluar për shkak të mosparaqitjes së kërkuesit për arsye shëndetësore. Ndërsa në seancën e datës 18.5.2015 kërkuesi ka paraqitur kërkesë për shtimin e objektit të padisë, duke kërkuar edhe shfuqizimin e urdhrit për përjashtimin dhe sipas përmbajtjes së kësaj kërkese rezulton se ai ka pretenduar se ka marrë dijeni për këtë akt pas vënies në dispozicion nga subjekti i interesuar në kuadër të hetimit gjyqësor të çështjes. Në seancën e fundit, të datës 28.5.2015, pas administrimit të provave të paraqitura nga palët </w:t>
      </w:r>
      <w:proofErr w:type="spellStart"/>
      <w:r w:rsidRPr="006970A2">
        <w:rPr>
          <w:rFonts w:ascii="Garamond" w:hAnsi="Garamond" w:cs="Times New Roman"/>
          <w:sz w:val="24"/>
          <w:szCs w:val="24"/>
        </w:rPr>
        <w:t>ndërgjyqëse</w:t>
      </w:r>
      <w:proofErr w:type="spellEnd"/>
      <w:r w:rsidRPr="006970A2">
        <w:rPr>
          <w:rFonts w:ascii="Garamond" w:hAnsi="Garamond" w:cs="Times New Roman"/>
          <w:sz w:val="24"/>
          <w:szCs w:val="24"/>
        </w:rPr>
        <w:t>,</w:t>
      </w:r>
      <w:r w:rsidRPr="006970A2">
        <w:rPr>
          <w:rFonts w:ascii="Garamond" w:hAnsi="Garamond" w:cs="Times New Roman"/>
          <w:b/>
          <w:bCs/>
          <w:sz w:val="24"/>
          <w:szCs w:val="24"/>
        </w:rPr>
        <w:t xml:space="preserve"> </w:t>
      </w:r>
      <w:r w:rsidRPr="006970A2">
        <w:rPr>
          <w:rFonts w:ascii="Garamond" w:hAnsi="Garamond" w:cs="Times New Roman"/>
          <w:sz w:val="24"/>
          <w:szCs w:val="24"/>
        </w:rPr>
        <w:t xml:space="preserve">Gjykata Administrative e Shkallës së Parë Tiranë ka vendosur pranimin pjesërisht të padisë dhe detyrimin e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-së t’i paguajë kërkuesit dëmshpërblim me 12 (dymbëdhjetë) muaj pagë, për shkak të zgjidhjes së kontratës së punës pa shkaqe të arsyeshme dhe rrëzimin e padisë për kërkimet e tjera, si të pabazuara në ligj</w:t>
      </w:r>
      <w:r w:rsidRPr="006970A2">
        <w:rPr>
          <w:rFonts w:ascii="Garamond" w:hAnsi="Garamond" w:cs="Times New Roman"/>
          <w:i/>
          <w:iCs/>
          <w:sz w:val="24"/>
          <w:szCs w:val="24"/>
        </w:rPr>
        <w:t>.</w:t>
      </w:r>
      <w:r w:rsidRPr="006970A2">
        <w:rPr>
          <w:rFonts w:ascii="Garamond" w:hAnsi="Garamond" w:cs="Times New Roman"/>
          <w:sz w:val="24"/>
          <w:szCs w:val="24"/>
        </w:rPr>
        <w:t xml:space="preserve"> Kjo gjykatë ka arsyetuar se pretendimi i kërkuesit për shfuqizimin e urdhrit për përjashtimin është i pabazuar, pasi urdhri nuk është një akt administrativ, shfaqje e vullnetit të administratës publike gjatë ushtrimit të funksioneve të saj, por është shfaqje e vullnetit të administratës publike në cilësinë e punëdhënësit për zgjidhjen e kontratës së punës, për të cilën mund të ngrihet padi për kërkimin e pasojave që rrjedhin nga zgjidhja e kontratës së punës. Këtë qëndrim Gjykata Administrative e Shkallës së Parë Tiranë e ka bazuar edhe në vendimin </w:t>
      </w:r>
      <w:proofErr w:type="spellStart"/>
      <w:r w:rsidRPr="006970A2">
        <w:rPr>
          <w:rFonts w:ascii="Garamond" w:hAnsi="Garamond" w:cs="Times New Roman"/>
          <w:sz w:val="24"/>
          <w:szCs w:val="24"/>
        </w:rPr>
        <w:t>unifikues</w:t>
      </w:r>
      <w:proofErr w:type="spellEnd"/>
      <w:r w:rsidRPr="006970A2">
        <w:rPr>
          <w:rFonts w:ascii="Garamond" w:hAnsi="Garamond" w:cs="Times New Roman"/>
          <w:sz w:val="24"/>
          <w:szCs w:val="24"/>
        </w:rPr>
        <w:t xml:space="preserve"> nr. 7, datë 1.6.2011 të Gjykatës së Lartë </w:t>
      </w:r>
      <w:r w:rsidRPr="006970A2">
        <w:rPr>
          <w:rFonts w:ascii="Garamond" w:hAnsi="Garamond" w:cs="Times New Roman"/>
          <w:i/>
          <w:iCs/>
          <w:sz w:val="24"/>
          <w:szCs w:val="24"/>
        </w:rPr>
        <w:t>(shih faqet 5</w:t>
      </w:r>
      <w:r w:rsidR="006B7B64">
        <w:rPr>
          <w:rFonts w:ascii="Garamond" w:hAnsi="Garamond" w:cs="Times New Roman"/>
          <w:i/>
          <w:iCs/>
          <w:sz w:val="24"/>
          <w:szCs w:val="24"/>
        </w:rPr>
        <w:t>–</w:t>
      </w:r>
      <w:r w:rsidRPr="006970A2">
        <w:rPr>
          <w:rFonts w:ascii="Garamond" w:hAnsi="Garamond" w:cs="Times New Roman"/>
          <w:i/>
          <w:iCs/>
          <w:sz w:val="24"/>
          <w:szCs w:val="24"/>
        </w:rPr>
        <w:t>8 të vendimit të Gjykatës Administrative të Shkallës së Parë Tiranë).</w:t>
      </w:r>
      <w:r w:rsidRPr="006970A2">
        <w:rPr>
          <w:rFonts w:ascii="Garamond" w:hAnsi="Garamond" w:cs="Times New Roman"/>
          <w:sz w:val="24"/>
          <w:szCs w:val="24"/>
        </w:rPr>
        <w:t xml:space="preserve"> </w:t>
      </w:r>
    </w:p>
    <w:p w14:paraId="217062FC" w14:textId="77777777"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30. Pas ankimit të kërkuesit dhe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-së, Gjykata Administrative e Apelit ka vendosur prishjen e vendimit të Gjykatës Administrative të Shkallës së Parë Tiranë dhe kthimin e çështjes për rishqyrtim në po atë gjykatë, me tjetër trup gjykues, duke arsyetuar se gjykata e shkallës së parë ka shkelur rëndë rregullat për zgjidhjen e kërkimeve të palëve, duke mos u shprehur për të gjitha kërkimet në tërësi dhe ka vepruar në kundërshtim me dispozitat e Kodit të Procedurës Civile.</w:t>
      </w:r>
    </w:p>
    <w:p w14:paraId="6F922AF2" w14:textId="3A5FECE4"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31. Në rigjykim, Gjykata Administrative e Shkallës së Parë Tiranë ka vendosur kryerjen e ekspertimit vlerësues të dëmit pasuror dhe </w:t>
      </w:r>
      <w:proofErr w:type="spellStart"/>
      <w:r w:rsidRPr="006970A2">
        <w:rPr>
          <w:rFonts w:ascii="Garamond" w:hAnsi="Garamond" w:cs="Times New Roman"/>
          <w:sz w:val="24"/>
          <w:szCs w:val="24"/>
        </w:rPr>
        <w:t>jopasuror</w:t>
      </w:r>
      <w:proofErr w:type="spellEnd"/>
      <w:r w:rsidRPr="006970A2">
        <w:rPr>
          <w:rFonts w:ascii="Garamond" w:hAnsi="Garamond" w:cs="Times New Roman"/>
          <w:sz w:val="24"/>
          <w:szCs w:val="24"/>
        </w:rPr>
        <w:t>, si dhe mjeko-ligjor të kërkuesit. Në përfundim, Gjykata Administrative e Shkallës së Parë Tiranë ka vendosur pranimin pjesërisht të padisë, dëmshpërblimin me pagë për 12 (dymbëdhjetë) muaj punë, për shkak të paligjshmërisë së përjashtimit të tij nga Policia e Shtetit dhe rrëzimin e padisë për kërkimet e tjera, si të pabazuara në ligj</w:t>
      </w:r>
      <w:r w:rsidRPr="006970A2">
        <w:rPr>
          <w:rFonts w:ascii="Garamond" w:hAnsi="Garamond" w:cs="Times New Roman"/>
          <w:i/>
          <w:iCs/>
          <w:sz w:val="24"/>
          <w:szCs w:val="24"/>
        </w:rPr>
        <w:t xml:space="preserve">. </w:t>
      </w:r>
      <w:r w:rsidRPr="006970A2">
        <w:rPr>
          <w:rFonts w:ascii="Garamond" w:hAnsi="Garamond" w:cs="Times New Roman"/>
          <w:sz w:val="24"/>
          <w:szCs w:val="24"/>
        </w:rPr>
        <w:t xml:space="preserve">Ndaj vendimit ka paraqitur ankim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 xml:space="preserve">-ja, ndërsa kërkuesi në datën 3.11.2020 ka paraqitur parashtrime me shkrim. Gjykata Administrative e Apelit, mes të tjerave, ka vendosur prishjen e vendimit të Gjykatës Administrative të Shkallës së Parë Tiranë dhe pushimin e gjykimit të çështjes për kërkimet lidhur me shfuqizimin e urdhrit për përjashtimin. Gjykata e apelit ka arritur në përfundimin se e drejta e kërkuesit për t’iu drejtuar me ankim gjykatës së juridiksionit të zakonshëm për kundërshtimin e urdhrit për përjashtimin është ushtruar tej afatit 30-ditor të parashikuar nga ligji i posaçëm. Kërkuesit i janë ndërprerë marrëdhëniet e punës dhe ato financiare në datën 13.1.2007. Padia objekt i këtij procesi është ngritur pas përfundimit të një procesi tjetër gjyqësor, për kompensimin për burgimin e padrejtë (i përfunduar në datën 15.4.2013) dhe sipas vendimit përkatës të Gjykatës së Rrethit Gjyqësor Korçë, gjatë atij procesi janë administruar akte të tjera të korrespondencës mes kërkuesit dhe punëdhënësit, si dhe kartela e punësimit. Sipas gjykatës së apelit, pretendimi i kërkuesit se nuk ka qenë në dijeni të urdhrit për përjashtimin dhe se ka marrë dijeni për këtë urdhër në datën 20.4.2015 (gjatë seancës paraprake të zhvilluar në Gjykatën Administrative të Shkallës së Parë Tiranë) është i pabazuar, pasi provat shkresore, duke përfshirë edhe urdhrin për përjashtimin, janë depozituar nga punëdhënësi edhe me herët, në datën 24.6.2014 </w:t>
      </w:r>
      <w:r w:rsidRPr="006970A2">
        <w:rPr>
          <w:rFonts w:ascii="Garamond" w:hAnsi="Garamond" w:cs="Times New Roman"/>
          <w:i/>
          <w:iCs/>
          <w:sz w:val="24"/>
          <w:szCs w:val="24"/>
        </w:rPr>
        <w:t>(shih paragrafin 28 të vendimit)</w:t>
      </w:r>
      <w:r w:rsidRPr="006970A2">
        <w:rPr>
          <w:rFonts w:ascii="Garamond" w:hAnsi="Garamond" w:cs="Times New Roman"/>
          <w:sz w:val="24"/>
          <w:szCs w:val="24"/>
        </w:rPr>
        <w:t>. Ndërsa Kolegji Administrativ i Gjykatës së Lartë në dhomën e këshillimit ka vendosur mospranimin e rekursit, pasi nuk përmbante shkaqe nga ato të parashikuara në nenin 58 të ligjit nr. 49/2012</w:t>
      </w:r>
      <w:r w:rsidRPr="006970A2">
        <w:rPr>
          <w:rFonts w:ascii="Garamond" w:hAnsi="Garamond" w:cs="Times New Roman"/>
          <w:i/>
          <w:iCs/>
          <w:sz w:val="24"/>
          <w:szCs w:val="24"/>
        </w:rPr>
        <w:t xml:space="preserve">. </w:t>
      </w:r>
      <w:r w:rsidRPr="006970A2">
        <w:rPr>
          <w:rFonts w:ascii="Garamond" w:hAnsi="Garamond" w:cs="Times New Roman"/>
          <w:sz w:val="24"/>
          <w:szCs w:val="24"/>
        </w:rPr>
        <w:t xml:space="preserve">Gjykata e Lartë ka vlerësuar se nuk rezulton që Gjykata Administrative e Apelit të mos ketë garantuar zhvillimin e një hetimi të plotë dhe të gjithanshëm të çështjes ose të mos ketë sqaruar rrethanat dhe faktet që lidhen me mosmarrëveshjen objekt gjykimi dhe se parashtrimi në rekurs i pretendimeve që lidhen vetëm me çështje të vlerësimit të provave del jashtë juridiksionit rishikues dhe ekskluzivisht ligjor të Gjykatës së Lartë </w:t>
      </w:r>
      <w:r w:rsidRPr="006970A2">
        <w:rPr>
          <w:rFonts w:ascii="Garamond" w:hAnsi="Garamond" w:cs="Times New Roman"/>
          <w:i/>
          <w:iCs/>
          <w:sz w:val="24"/>
          <w:szCs w:val="24"/>
        </w:rPr>
        <w:t>(shih faqen 8 të vendimit të Kolegjit Administrativ të Gjykatës së Lartë).</w:t>
      </w:r>
    </w:p>
    <w:p w14:paraId="5586781B" w14:textId="182C17A5" w:rsidR="0092462B" w:rsidRPr="006970A2" w:rsidRDefault="0092462B" w:rsidP="0092462B">
      <w:pPr>
        <w:pStyle w:val="ListParagraph"/>
        <w:tabs>
          <w:tab w:val="left" w:pos="1080"/>
        </w:tabs>
        <w:spacing w:after="0" w:line="240" w:lineRule="auto"/>
        <w:ind w:left="0" w:firstLine="284"/>
        <w:jc w:val="both"/>
        <w:rPr>
          <w:rFonts w:ascii="Garamond" w:hAnsi="Garamond" w:cs="Times New Roman"/>
          <w:i/>
          <w:iCs/>
          <w:sz w:val="24"/>
          <w:szCs w:val="24"/>
        </w:rPr>
      </w:pPr>
      <w:r w:rsidRPr="006970A2">
        <w:rPr>
          <w:rFonts w:ascii="Garamond" w:hAnsi="Garamond" w:cs="Times New Roman"/>
          <w:sz w:val="24"/>
          <w:szCs w:val="24"/>
        </w:rPr>
        <w:t xml:space="preserve">32. Nga analiza në tërësi e rrethanave të çështjes dhe vendimeve gjyqësore, Gjykata vëren se kërkimi thelbësor i kërkuesit i ngritur gjatë procesit gjyqësor lidhet me marrjen dijeni të urdhrit </w:t>
      </w:r>
      <w:r w:rsidRPr="006970A2">
        <w:rPr>
          <w:rFonts w:ascii="Garamond" w:hAnsi="Garamond" w:cs="Times New Roman"/>
          <w:spacing w:val="15"/>
          <w:sz w:val="24"/>
          <w:szCs w:val="24"/>
        </w:rPr>
        <w:t xml:space="preserve">për përjashtimin nga strukturat e policisë. Kërkuesi ka pretenduar se urdhri nuk i është komunikuar drejtpërdrejt dhe se ai ka marrë dijeni vetëm në datën 20.4.2015 gjatë zhvillimit të seancës paraprake në Gjykatën Administrative të Shkallës së Parë Tiranë, kur nga subjekti i interesuar, </w:t>
      </w:r>
      <w:proofErr w:type="spellStart"/>
      <w:r w:rsidRPr="006970A2">
        <w:rPr>
          <w:rFonts w:ascii="Garamond" w:hAnsi="Garamond" w:cs="Times New Roman"/>
          <w:spacing w:val="15"/>
          <w:sz w:val="24"/>
          <w:szCs w:val="24"/>
        </w:rPr>
        <w:t>DPPSH</w:t>
      </w:r>
      <w:proofErr w:type="spellEnd"/>
      <w:r w:rsidRPr="006970A2">
        <w:rPr>
          <w:rFonts w:ascii="Garamond" w:hAnsi="Garamond" w:cs="Times New Roman"/>
          <w:spacing w:val="15"/>
          <w:sz w:val="24"/>
          <w:szCs w:val="24"/>
        </w:rPr>
        <w:t xml:space="preserve">-ja, janë paraqitur provat në funksion të procesit gjyqësor objekt kundërshtimi edhe në këtë Gjykatë. Në fakt, sikur u parashtrua më sipër </w:t>
      </w:r>
      <w:r w:rsidRPr="006970A2">
        <w:rPr>
          <w:rFonts w:ascii="Garamond" w:hAnsi="Garamond" w:cs="Times New Roman"/>
          <w:i/>
          <w:iCs/>
          <w:spacing w:val="15"/>
          <w:sz w:val="24"/>
          <w:szCs w:val="24"/>
        </w:rPr>
        <w:t>(shih paragrafin 28 të vendimit),</w:t>
      </w:r>
      <w:r w:rsidRPr="006970A2">
        <w:rPr>
          <w:rFonts w:ascii="Garamond" w:hAnsi="Garamond" w:cs="Times New Roman"/>
          <w:spacing w:val="15"/>
          <w:sz w:val="24"/>
          <w:szCs w:val="24"/>
        </w:rPr>
        <w:t xml:space="preserve"> procesi gjyqësor ka nisur në Gjykatën Administrative të Shkallës së Parë Korçë dhe gjatë dy seancave përgatitore të zhvilluara në atë gjykatë, ku kërkuesi ka qenë i pranishëm, janë cituar provat e depozituara nga subjekti i interesuar në datën 26.6.2014 (me shkresën e datën 24.6.2014), mes tyre edhe një kopje e urdhrit për përjashtimin e kërkuesit nga strukturat e policisë. Në këto kushte dhe bazuar në provat e administruara,</w:t>
      </w:r>
      <w:r w:rsidRPr="006970A2">
        <w:rPr>
          <w:rFonts w:ascii="Garamond" w:hAnsi="Garamond" w:cs="Times New Roman"/>
          <w:sz w:val="24"/>
          <w:szCs w:val="24"/>
        </w:rPr>
        <w:t xml:space="preserve"> Gjykata Administrative e Apelit ka analizuar të gjitha rrethanat dhe ka arritur në përfundimin se kërkuesi ka qenë në dijeni të urdhrit për përjashtimin të paktën në datën 1.11.2011, kur ka bërë kërkesë për rikthimin në strukturat e Policisë së Shtetit, por në çdo rast ai ka marrë dijeni gjatë seancave përgatitore të zhvilluara në Gjykatën Administrative të Shkallës së Parë Korçë dhe se padia e tij për shfuqizimin e urdhrit për përjashtimin nga strukturat e policisë është paraqitur jashtë afatit ligjor 30-ditor të parashikuar në ligjin specifik. </w:t>
      </w:r>
    </w:p>
    <w:p w14:paraId="22BA76C2" w14:textId="65B52B21" w:rsidR="0092462B" w:rsidRPr="006970A2" w:rsidRDefault="0092462B" w:rsidP="0092462B">
      <w:pPr>
        <w:pStyle w:val="ListParagraph"/>
        <w:tabs>
          <w:tab w:val="left" w:pos="1080"/>
        </w:tabs>
        <w:spacing w:after="0" w:line="240" w:lineRule="auto"/>
        <w:ind w:left="0" w:firstLine="284"/>
        <w:jc w:val="both"/>
        <w:rPr>
          <w:rFonts w:ascii="Garamond" w:hAnsi="Garamond" w:cs="Times New Roman"/>
          <w:i/>
          <w:iCs/>
          <w:sz w:val="24"/>
          <w:szCs w:val="24"/>
        </w:rPr>
      </w:pPr>
      <w:r w:rsidRPr="006970A2">
        <w:rPr>
          <w:rFonts w:ascii="Garamond" w:hAnsi="Garamond" w:cs="Times New Roman"/>
          <w:sz w:val="24"/>
          <w:szCs w:val="24"/>
        </w:rPr>
        <w:t>33. Në vijim, Gjykata vlerëson të evidentojë se, si rregull, gjatë procesit administrativ për largimin nga detyra,</w:t>
      </w:r>
      <w:r w:rsidRPr="006970A2">
        <w:rPr>
          <w:rFonts w:ascii="Garamond" w:hAnsi="Garamond"/>
          <w:sz w:val="24"/>
          <w:szCs w:val="24"/>
        </w:rPr>
        <w:t xml:space="preserve"> </w:t>
      </w:r>
      <w:r w:rsidRPr="006970A2">
        <w:rPr>
          <w:rFonts w:ascii="Garamond" w:hAnsi="Garamond" w:cs="Times New Roman"/>
          <w:sz w:val="24"/>
          <w:szCs w:val="24"/>
        </w:rPr>
        <w:t xml:space="preserve">administrata, si punëdhënëse, nuk mund t’i shmanget detyrimit për t’i njoftuar individit aktin e largimit nga detyra. Megjithatë, Gjykata vëren se kërkuesi ka qenë në dijeni të ndërprerjes së marrëdhënieve të punës, për rrjedhojë edhe të ndërprerjes së marrëdhënieve financiare, për shkak të arrestimit të tij, sepse: </w:t>
      </w:r>
      <w:r w:rsidRPr="006970A2">
        <w:rPr>
          <w:rFonts w:ascii="Garamond" w:hAnsi="Garamond" w:cs="Times New Roman"/>
          <w:i/>
          <w:iCs/>
          <w:sz w:val="24"/>
          <w:szCs w:val="24"/>
        </w:rPr>
        <w:t>së pari,</w:t>
      </w:r>
      <w:r w:rsidRPr="006970A2">
        <w:rPr>
          <w:rFonts w:ascii="Garamond" w:hAnsi="Garamond" w:cs="Times New Roman"/>
          <w:sz w:val="24"/>
          <w:szCs w:val="24"/>
        </w:rPr>
        <w:t xml:space="preserve"> në datën 9.1.2013 kërkuesi i është drejtuar Gjykatës së Rrethit Gjyqësor Korçë me kërkesëpadi për kompensimin e burgimit të padrejtë dhe gjatë këtij procesi gjyqësor ai i është referuar faktit që është i papunë, ndërkohë që rezulton se Drejtoria e Policisë së Qarkut Korçë ka depozituar prova shkresore, përfshirë edhe urdhrin për përjashtimin e kërkuesit nga policia; </w:t>
      </w:r>
      <w:r w:rsidRPr="006970A2">
        <w:rPr>
          <w:rFonts w:ascii="Garamond" w:hAnsi="Garamond" w:cs="Times New Roman"/>
          <w:i/>
          <w:iCs/>
          <w:sz w:val="24"/>
          <w:szCs w:val="24"/>
        </w:rPr>
        <w:t>së dyti,</w:t>
      </w:r>
      <w:r w:rsidRPr="006970A2">
        <w:rPr>
          <w:rFonts w:ascii="Garamond" w:hAnsi="Garamond" w:cs="Times New Roman"/>
          <w:sz w:val="24"/>
          <w:szCs w:val="24"/>
        </w:rPr>
        <w:t xml:space="preserve"> kërkuesi, që në momentin e depozitimit të padisë, në objektin e saj ka kërkuar edhe rikthimin në punë, duke lënë të nënkuptuar se ai i referohet faktit që nuk është më në marrëdhënie pune; </w:t>
      </w:r>
      <w:r w:rsidRPr="006970A2">
        <w:rPr>
          <w:rFonts w:ascii="Garamond" w:hAnsi="Garamond" w:cs="Times New Roman"/>
          <w:i/>
          <w:iCs/>
          <w:sz w:val="24"/>
          <w:szCs w:val="24"/>
        </w:rPr>
        <w:t>së treti,</w:t>
      </w:r>
      <w:r w:rsidRPr="006970A2">
        <w:rPr>
          <w:rFonts w:ascii="Garamond" w:hAnsi="Garamond" w:cs="Times New Roman"/>
          <w:sz w:val="24"/>
          <w:szCs w:val="24"/>
        </w:rPr>
        <w:t xml:space="preserve"> ndonëse kërkuesi ka pretenduar se në seancën e datës 20.4.2015 është njohur me urdhrin e përjashtimit dhe ka paraqitur kërkesë për shtimin e objektit të padisë, duke kërkuar edhe shfuqizimin e atij urdhri, nga përmbajtja e dosjes gjyqësore të administruar për efekt të gjykimit kushtetues rezulton se ai ka marrë dijeni më parë gjatë gjykimit në Gjykatën Administrative të Shkallës së Parë Korçë. Më konkretisht, në datën 26.6.2014 kur nga subjekti i interesuar janë depozituar prova shkresore, mes tyre edhe urdhri për përjashtimin e kërkuesit, të cilat janë administruar nga Gjykata Administrative e Shkallës së Parë Korçë; </w:t>
      </w:r>
      <w:r w:rsidRPr="006970A2">
        <w:rPr>
          <w:rFonts w:ascii="Garamond" w:hAnsi="Garamond" w:cs="Times New Roman"/>
          <w:i/>
          <w:iCs/>
          <w:sz w:val="24"/>
          <w:szCs w:val="24"/>
        </w:rPr>
        <w:t>së katërti</w:t>
      </w:r>
      <w:r w:rsidRPr="006970A2">
        <w:rPr>
          <w:rFonts w:ascii="Garamond" w:hAnsi="Garamond" w:cs="Times New Roman"/>
          <w:sz w:val="24"/>
          <w:szCs w:val="24"/>
        </w:rPr>
        <w:t xml:space="preserve">, edhe Gjykata Administrative e Apelit e ka argumentuar qëndrimin e saj për </w:t>
      </w:r>
      <w:proofErr w:type="spellStart"/>
      <w:r w:rsidRPr="006970A2">
        <w:rPr>
          <w:rFonts w:ascii="Garamond" w:hAnsi="Garamond" w:cs="Times New Roman"/>
          <w:sz w:val="24"/>
          <w:szCs w:val="24"/>
        </w:rPr>
        <w:t>pabazueshmërinë</w:t>
      </w:r>
      <w:proofErr w:type="spellEnd"/>
      <w:r w:rsidRPr="006970A2">
        <w:rPr>
          <w:rFonts w:ascii="Garamond" w:hAnsi="Garamond" w:cs="Times New Roman"/>
          <w:sz w:val="24"/>
          <w:szCs w:val="24"/>
        </w:rPr>
        <w:t xml:space="preserve"> e pretendimit të kërkuesit për </w:t>
      </w:r>
      <w:proofErr w:type="spellStart"/>
      <w:r w:rsidRPr="006970A2">
        <w:rPr>
          <w:rFonts w:ascii="Garamond" w:hAnsi="Garamond" w:cs="Times New Roman"/>
          <w:sz w:val="24"/>
          <w:szCs w:val="24"/>
        </w:rPr>
        <w:t>mosmarrjen</w:t>
      </w:r>
      <w:proofErr w:type="spellEnd"/>
      <w:r w:rsidRPr="006970A2">
        <w:rPr>
          <w:rFonts w:ascii="Garamond" w:hAnsi="Garamond" w:cs="Times New Roman"/>
          <w:sz w:val="24"/>
          <w:szCs w:val="24"/>
        </w:rPr>
        <w:t xml:space="preserve"> dijeni të urdhrit për përjashtimin, duke vënë në dukje se argumenti i tij për marrjen dijeni për atë urdhër vetëm në datën 20.4.2015 (gjatë seancës paraprake të zhvilluar në Gjykatën Administrative të Shkallës së Parë Tiranë) nuk mbështetet në fakte e në prova. Ndonëse nga përmbajtja e dosjes gjyqësore rezulton se në seancën paraprake të datës 20.4.2015 në gjykimin në Gjykatën Administrative të Shkallës së Parë Tiranë, </w:t>
      </w:r>
      <w:proofErr w:type="spellStart"/>
      <w:r w:rsidRPr="006970A2">
        <w:rPr>
          <w:rFonts w:ascii="Garamond" w:hAnsi="Garamond" w:cs="Times New Roman"/>
          <w:sz w:val="24"/>
          <w:szCs w:val="24"/>
        </w:rPr>
        <w:t>DPPSH</w:t>
      </w:r>
      <w:proofErr w:type="spellEnd"/>
      <w:r w:rsidRPr="006970A2">
        <w:rPr>
          <w:rFonts w:ascii="Garamond" w:hAnsi="Garamond" w:cs="Times New Roman"/>
          <w:sz w:val="24"/>
          <w:szCs w:val="24"/>
        </w:rPr>
        <w:t xml:space="preserve">-ja ka paraqitur urdhrin për përjashtimin e kërkuesit nga Policia e Shtetit, kjo nuk ka qenë hera e parë që ky urdhër paraqitej si provë në atë proces gjyqësor. Gjykata Administrative e Apelit ka konstatuar se të njëjtat akte janë paraqitur më herët nga subjekti i interesuar në vitin 2014 (me shkresën e datës 24.6.2014) gjatë gjykimit në Gjykatën Administrative të Shkallës së Parë Korçë, për rrjedhojë kërkesëpadia e tij është vlerësuar e paraqitur jashtë afatit ligjor 30-ditor sipas ligjit specifik. </w:t>
      </w:r>
    </w:p>
    <w:p w14:paraId="666AA6DF" w14:textId="77777777" w:rsidR="0092462B" w:rsidRPr="006970A2" w:rsidRDefault="0092462B" w:rsidP="0092462B">
      <w:pPr>
        <w:pStyle w:val="ListParagraph"/>
        <w:tabs>
          <w:tab w:val="left" w:pos="1080"/>
        </w:tabs>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 xml:space="preserve">34. Për sa më sipër, Gjykata vlerëson se vendimet e gjykatave të juridiksionit të zakonshëm i përmbushin elementet e vendosura nga jurisprudenca kushtetuese për standardin e arsyetimit të vendimit gjyqësor. Ato kanë arsyetuar vendimet e tyre bazuar në </w:t>
      </w:r>
      <w:r w:rsidRPr="006970A2">
        <w:rPr>
          <w:rFonts w:ascii="Garamond" w:hAnsi="Garamond" w:cs="Times New Roman"/>
          <w:color w:val="231F20"/>
          <w:sz w:val="24"/>
          <w:szCs w:val="24"/>
        </w:rPr>
        <w:t>provat e administruara në gjykim, të shqyrtuara dhe vlerësuara në tërësi dhe në harmoni me njëra-tjetrën.</w:t>
      </w:r>
      <w:r w:rsidRPr="006970A2">
        <w:rPr>
          <w:rFonts w:ascii="Garamond" w:hAnsi="Garamond" w:cs="Times New Roman"/>
          <w:sz w:val="24"/>
          <w:szCs w:val="24"/>
        </w:rPr>
        <w:t xml:space="preserve"> Gjykata e apelit i ka dhënë përgjigje të arsyetuar pretendimit të kërkuesit për marrjen dijeni të urdhrit për përjashtimin, duke parashtruar argumente për rrëzimin e tij dhe interpretimi që i ka bërë ligjit për zgjidhjen e mosmarrëveshjes, nisur edhe nga periudha e gjatë që ka kaluar nga momenti kur ka ndodhur largimi nga detyra i kërkuesit deri në paraqitjen e kërkesëpadisë, nuk rezulton të jetë arbitrar në këndvështrimin kushtetues, pasi kërkuesi ka marrë përgjigje të arsyetuar për kërkimin e tij. Gjithashtu, arsyetimi i kufizuar i vendimit të Gjykatës së Lartë është në përputhje me standardet e Gjykatës për këto lloj vendimesh, duke përmbushur kriteret në drejtim të standardit të arsyetimit të vendimit gjyqësor.</w:t>
      </w:r>
    </w:p>
    <w:p w14:paraId="2490B445" w14:textId="77777777" w:rsidR="0092462B" w:rsidRPr="006970A2" w:rsidRDefault="0092462B" w:rsidP="0092462B">
      <w:pPr>
        <w:pStyle w:val="ListParagraph"/>
        <w:tabs>
          <w:tab w:val="left" w:pos="1080"/>
        </w:tabs>
        <w:spacing w:after="0" w:line="240" w:lineRule="auto"/>
        <w:ind w:left="0" w:firstLine="284"/>
        <w:jc w:val="both"/>
        <w:rPr>
          <w:rFonts w:ascii="Garamond" w:hAnsi="Garamond" w:cs="Times New Roman"/>
          <w:i/>
          <w:iCs/>
          <w:sz w:val="24"/>
          <w:szCs w:val="24"/>
        </w:rPr>
      </w:pPr>
      <w:r w:rsidRPr="006970A2">
        <w:rPr>
          <w:rFonts w:ascii="Garamond" w:hAnsi="Garamond" w:cs="Times New Roman"/>
          <w:sz w:val="24"/>
          <w:szCs w:val="24"/>
        </w:rPr>
        <w:t xml:space="preserve">35. Për rrjedhojë, në përfundim, Gjykata çmon se pretendimi i kërkuesit për cenimin e </w:t>
      </w:r>
      <w:r w:rsidRPr="006970A2">
        <w:rPr>
          <w:rFonts w:ascii="Garamond" w:hAnsi="Garamond" w:cs="Times New Roman"/>
          <w:i/>
          <w:iCs/>
          <w:sz w:val="24"/>
          <w:szCs w:val="24"/>
        </w:rPr>
        <w:t xml:space="preserve">së drejtës së </w:t>
      </w:r>
      <w:proofErr w:type="spellStart"/>
      <w:r w:rsidRPr="006970A2">
        <w:rPr>
          <w:rFonts w:ascii="Garamond" w:hAnsi="Garamond" w:cs="Times New Roman"/>
          <w:i/>
          <w:iCs/>
          <w:sz w:val="24"/>
          <w:szCs w:val="24"/>
        </w:rPr>
        <w:t>aksesit</w:t>
      </w:r>
      <w:proofErr w:type="spellEnd"/>
      <w:r w:rsidRPr="006970A2">
        <w:rPr>
          <w:rFonts w:ascii="Garamond" w:hAnsi="Garamond" w:cs="Times New Roman"/>
          <w:i/>
          <w:iCs/>
          <w:sz w:val="24"/>
          <w:szCs w:val="24"/>
        </w:rPr>
        <w:t xml:space="preserve"> substancial të lidhur me standardin e arsyetimit të vendimit gjyqësor</w:t>
      </w:r>
      <w:r w:rsidRPr="006970A2">
        <w:rPr>
          <w:rFonts w:ascii="Garamond" w:hAnsi="Garamond" w:cs="Times New Roman"/>
          <w:sz w:val="24"/>
          <w:szCs w:val="24"/>
        </w:rPr>
        <w:t xml:space="preserve"> është i pabazuar, sipas arsyetimit të mësipërm të këtij vendimi, ndaj dhe kërkesa duhet të rrëzohet.</w:t>
      </w:r>
    </w:p>
    <w:p w14:paraId="5E608D30" w14:textId="77777777" w:rsidR="0092462B" w:rsidRPr="006970A2" w:rsidRDefault="0092462B" w:rsidP="0092462B">
      <w:pPr>
        <w:spacing w:after="0" w:line="240" w:lineRule="auto"/>
        <w:ind w:firstLine="284"/>
        <w:jc w:val="center"/>
        <w:rPr>
          <w:rFonts w:ascii="Garamond" w:hAnsi="Garamond"/>
          <w:b/>
          <w:bCs/>
          <w:sz w:val="24"/>
          <w:szCs w:val="24"/>
        </w:rPr>
      </w:pPr>
    </w:p>
    <w:p w14:paraId="39154746" w14:textId="77777777" w:rsidR="0092462B" w:rsidRDefault="0092462B" w:rsidP="0092462B">
      <w:pPr>
        <w:spacing w:after="0" w:line="240" w:lineRule="auto"/>
        <w:ind w:firstLine="284"/>
        <w:jc w:val="center"/>
        <w:rPr>
          <w:rFonts w:ascii="Garamond" w:hAnsi="Garamond" w:cs="Times New Roman"/>
          <w:bCs/>
          <w:sz w:val="24"/>
          <w:szCs w:val="24"/>
        </w:rPr>
      </w:pPr>
      <w:r w:rsidRPr="006970A2">
        <w:rPr>
          <w:rFonts w:ascii="Garamond" w:hAnsi="Garamond" w:cs="Times New Roman"/>
          <w:bCs/>
          <w:sz w:val="24"/>
          <w:szCs w:val="24"/>
        </w:rPr>
        <w:t>PËR KËTO ARSYE,</w:t>
      </w:r>
    </w:p>
    <w:p w14:paraId="005C244C" w14:textId="77777777" w:rsidR="0092462B" w:rsidRPr="006970A2" w:rsidRDefault="0092462B" w:rsidP="0092462B">
      <w:pPr>
        <w:spacing w:after="0" w:line="240" w:lineRule="auto"/>
        <w:ind w:firstLine="284"/>
        <w:jc w:val="center"/>
        <w:rPr>
          <w:rFonts w:ascii="Garamond" w:hAnsi="Garamond"/>
          <w:sz w:val="24"/>
          <w:szCs w:val="24"/>
        </w:rPr>
      </w:pPr>
    </w:p>
    <w:p w14:paraId="69E91F3F" w14:textId="487D9943" w:rsidR="0092462B" w:rsidRPr="006970A2" w:rsidRDefault="0092462B" w:rsidP="0092462B">
      <w:pPr>
        <w:spacing w:after="0" w:line="240" w:lineRule="auto"/>
        <w:ind w:firstLine="284"/>
        <w:jc w:val="both"/>
        <w:rPr>
          <w:rFonts w:ascii="Garamond" w:hAnsi="Garamond" w:cs="Times New Roman"/>
          <w:sz w:val="24"/>
          <w:szCs w:val="24"/>
        </w:rPr>
      </w:pPr>
      <w:r w:rsidRPr="006970A2">
        <w:rPr>
          <w:rFonts w:ascii="Garamond" w:hAnsi="Garamond" w:cs="Times New Roman"/>
          <w:sz w:val="24"/>
          <w:szCs w:val="24"/>
        </w:rPr>
        <w:t>Gjykata Kushtetuese, në mbështetje të neneve 131, pika 1, shkronja “f” dhe 134, pika 1, shkronja “i”, të Kushtetutës, si dhe nenit 72 të ligjit nr. 8577, datë 10.2.2000</w:t>
      </w:r>
      <w:r w:rsidR="0023297E">
        <w:rPr>
          <w:rFonts w:ascii="Garamond" w:hAnsi="Garamond" w:cs="Times New Roman"/>
          <w:sz w:val="24"/>
          <w:szCs w:val="24"/>
        </w:rPr>
        <w:t>,</w:t>
      </w:r>
      <w:r w:rsidRPr="006970A2">
        <w:rPr>
          <w:rFonts w:ascii="Garamond" w:hAnsi="Garamond" w:cs="Times New Roman"/>
          <w:sz w:val="24"/>
          <w:szCs w:val="24"/>
        </w:rPr>
        <w:t xml:space="preserve"> “Për organizimin dhe funksionimin e Gjykatës Kushtetuese të Republikës së Shqipërisë”, të ndryshuar, njëzëri,</w:t>
      </w:r>
    </w:p>
    <w:p w14:paraId="2F60911A" w14:textId="77777777" w:rsidR="0092462B" w:rsidRPr="006970A2" w:rsidRDefault="0092462B" w:rsidP="0092462B">
      <w:pPr>
        <w:spacing w:after="0" w:line="240" w:lineRule="auto"/>
        <w:ind w:firstLine="284"/>
        <w:jc w:val="both"/>
        <w:rPr>
          <w:rFonts w:ascii="Garamond" w:hAnsi="Garamond" w:cs="Times New Roman"/>
          <w:sz w:val="24"/>
          <w:szCs w:val="24"/>
        </w:rPr>
      </w:pPr>
    </w:p>
    <w:p w14:paraId="26AB52D0" w14:textId="77777777" w:rsidR="0092462B" w:rsidRDefault="0092462B" w:rsidP="0092462B">
      <w:pPr>
        <w:spacing w:after="0" w:line="240" w:lineRule="auto"/>
        <w:ind w:firstLine="284"/>
        <w:jc w:val="center"/>
        <w:rPr>
          <w:rFonts w:ascii="Garamond" w:hAnsi="Garamond" w:cs="Times New Roman"/>
          <w:bCs/>
          <w:sz w:val="24"/>
          <w:szCs w:val="24"/>
        </w:rPr>
      </w:pPr>
      <w:r w:rsidRPr="006970A2">
        <w:rPr>
          <w:rFonts w:ascii="Garamond" w:hAnsi="Garamond" w:cs="Times New Roman"/>
          <w:bCs/>
          <w:sz w:val="24"/>
          <w:szCs w:val="24"/>
        </w:rPr>
        <w:t>VENDOSI:</w:t>
      </w:r>
    </w:p>
    <w:p w14:paraId="1594AA2A" w14:textId="77777777" w:rsidR="0092462B" w:rsidRPr="006970A2" w:rsidRDefault="0092462B" w:rsidP="0092462B">
      <w:pPr>
        <w:spacing w:after="0" w:line="240" w:lineRule="auto"/>
        <w:ind w:firstLine="284"/>
        <w:jc w:val="center"/>
        <w:rPr>
          <w:rFonts w:ascii="Garamond" w:hAnsi="Garamond" w:cs="Times New Roman"/>
          <w:bCs/>
          <w:sz w:val="24"/>
          <w:szCs w:val="24"/>
        </w:rPr>
      </w:pPr>
    </w:p>
    <w:p w14:paraId="0350D45E" w14:textId="77777777" w:rsidR="0092462B" w:rsidRPr="006970A2" w:rsidRDefault="0092462B" w:rsidP="0092462B">
      <w:pPr>
        <w:pStyle w:val="ListParagraph"/>
        <w:spacing w:after="0" w:line="240" w:lineRule="auto"/>
        <w:ind w:left="0" w:firstLine="284"/>
        <w:jc w:val="both"/>
        <w:rPr>
          <w:rFonts w:ascii="Garamond" w:hAnsi="Garamond" w:cs="Times New Roman"/>
          <w:sz w:val="24"/>
          <w:szCs w:val="24"/>
        </w:rPr>
      </w:pPr>
      <w:r w:rsidRPr="006970A2">
        <w:rPr>
          <w:rFonts w:ascii="Garamond" w:hAnsi="Garamond" w:cs="Times New Roman"/>
          <w:sz w:val="24"/>
          <w:szCs w:val="24"/>
        </w:rPr>
        <w:t>1. Rrëzimin e kërkesës</w:t>
      </w:r>
    </w:p>
    <w:p w14:paraId="4EEFDC16" w14:textId="77777777" w:rsidR="0092462B" w:rsidRDefault="0092462B" w:rsidP="0092462B">
      <w:pPr>
        <w:tabs>
          <w:tab w:val="left" w:pos="1800"/>
        </w:tabs>
        <w:spacing w:after="0" w:line="240" w:lineRule="auto"/>
        <w:ind w:firstLine="284"/>
        <w:jc w:val="both"/>
        <w:rPr>
          <w:rFonts w:ascii="Garamond" w:hAnsi="Garamond" w:cs="Times New Roman"/>
          <w:sz w:val="24"/>
          <w:szCs w:val="24"/>
        </w:rPr>
      </w:pPr>
      <w:r w:rsidRPr="006970A2">
        <w:rPr>
          <w:rFonts w:ascii="Garamond" w:hAnsi="Garamond" w:cs="Times New Roman"/>
          <w:sz w:val="24"/>
          <w:szCs w:val="24"/>
        </w:rPr>
        <w:t>Ky vendim është përfundimtar dhe hyn në fuqi ditën e botimit në Fletoren Zyrtare.</w:t>
      </w:r>
    </w:p>
    <w:p w14:paraId="62DB0BD6" w14:textId="77777777" w:rsidR="0092462B" w:rsidRPr="006970A2" w:rsidRDefault="0092462B" w:rsidP="0092462B">
      <w:pPr>
        <w:tabs>
          <w:tab w:val="left" w:pos="1800"/>
        </w:tabs>
        <w:spacing w:after="0" w:line="240" w:lineRule="auto"/>
        <w:ind w:firstLine="284"/>
        <w:jc w:val="both"/>
        <w:rPr>
          <w:rFonts w:ascii="Garamond" w:hAnsi="Garamond" w:cs="Times New Roman"/>
          <w:sz w:val="24"/>
          <w:szCs w:val="24"/>
        </w:rPr>
      </w:pPr>
    </w:p>
    <w:p w14:paraId="08620B67" w14:textId="156D74D6" w:rsidR="0092462B" w:rsidRPr="006970A2" w:rsidRDefault="0092462B" w:rsidP="0092462B">
      <w:pPr>
        <w:keepNext/>
        <w:spacing w:after="0" w:line="240" w:lineRule="auto"/>
        <w:ind w:firstLine="284"/>
        <w:jc w:val="both"/>
        <w:rPr>
          <w:rFonts w:ascii="Garamond" w:hAnsi="Garamond" w:cs="Times New Roman"/>
          <w:b/>
          <w:bCs/>
          <w:sz w:val="24"/>
          <w:szCs w:val="24"/>
        </w:rPr>
      </w:pPr>
      <w:r w:rsidRPr="006970A2">
        <w:rPr>
          <w:rFonts w:ascii="Garamond" w:hAnsi="Garamond" w:cs="Times New Roman"/>
          <w:b/>
          <w:bCs/>
          <w:sz w:val="24"/>
          <w:szCs w:val="24"/>
        </w:rPr>
        <w:t>Marrë më 16.12.2025</w:t>
      </w:r>
      <w:r w:rsidR="0023297E">
        <w:rPr>
          <w:rFonts w:ascii="Garamond" w:hAnsi="Garamond" w:cs="Times New Roman"/>
          <w:b/>
          <w:bCs/>
          <w:sz w:val="24"/>
          <w:szCs w:val="24"/>
        </w:rPr>
        <w:t>.</w:t>
      </w:r>
    </w:p>
    <w:p w14:paraId="345C2F28" w14:textId="119C5DBE" w:rsidR="0092462B" w:rsidRDefault="0092462B" w:rsidP="0092462B">
      <w:pPr>
        <w:keepNext/>
        <w:spacing w:after="0" w:line="240" w:lineRule="auto"/>
        <w:ind w:firstLine="284"/>
        <w:jc w:val="both"/>
        <w:rPr>
          <w:rFonts w:ascii="Garamond" w:hAnsi="Garamond" w:cs="Times New Roman"/>
          <w:b/>
          <w:bCs/>
          <w:sz w:val="24"/>
          <w:szCs w:val="24"/>
        </w:rPr>
      </w:pPr>
      <w:r w:rsidRPr="006970A2">
        <w:rPr>
          <w:rFonts w:ascii="Garamond" w:hAnsi="Garamond" w:cs="Times New Roman"/>
          <w:b/>
          <w:bCs/>
          <w:sz w:val="24"/>
          <w:szCs w:val="24"/>
        </w:rPr>
        <w:t>Shpallur më 4.2.2026</w:t>
      </w:r>
      <w:r w:rsidR="0023297E">
        <w:rPr>
          <w:rFonts w:ascii="Garamond" w:hAnsi="Garamond" w:cs="Times New Roman"/>
          <w:b/>
          <w:bCs/>
          <w:sz w:val="24"/>
          <w:szCs w:val="24"/>
        </w:rPr>
        <w:t>.</w:t>
      </w:r>
    </w:p>
    <w:p w14:paraId="4F89E8F9" w14:textId="77777777" w:rsidR="0092462B" w:rsidRPr="00910FD9" w:rsidRDefault="0092462B" w:rsidP="0092462B">
      <w:pPr>
        <w:keepNext/>
        <w:spacing w:after="0" w:line="240" w:lineRule="auto"/>
        <w:ind w:firstLine="284"/>
        <w:jc w:val="both"/>
        <w:rPr>
          <w:rFonts w:ascii="Garamond" w:hAnsi="Garamond" w:cs="Times New Roman"/>
          <w:bCs/>
          <w:sz w:val="24"/>
          <w:szCs w:val="24"/>
        </w:rPr>
      </w:pPr>
    </w:p>
    <w:p w14:paraId="78BB7152" w14:textId="6C464D9F" w:rsidR="0092462B" w:rsidRDefault="009D2F21" w:rsidP="0092462B">
      <w:pPr>
        <w:spacing w:after="0" w:line="240" w:lineRule="auto"/>
        <w:ind w:firstLine="284"/>
        <w:jc w:val="both"/>
        <w:rPr>
          <w:rFonts w:ascii="Garamond" w:hAnsi="Garamond" w:cs="Times New Roman"/>
          <w:bCs/>
          <w:sz w:val="24"/>
          <w:szCs w:val="24"/>
        </w:rPr>
      </w:pPr>
      <w:r>
        <w:rPr>
          <w:rFonts w:ascii="Garamond" w:hAnsi="Garamond" w:cs="Times New Roman"/>
          <w:b/>
          <w:bCs/>
          <w:color w:val="000000"/>
          <w:sz w:val="24"/>
          <w:szCs w:val="24"/>
          <w:lang w:eastAsia="sq-AL"/>
        </w:rPr>
        <w:t>Kryesuese</w:t>
      </w:r>
      <w:bookmarkStart w:id="0" w:name="_GoBack"/>
      <w:bookmarkEnd w:id="0"/>
      <w:r w:rsidR="0092462B">
        <w:rPr>
          <w:rFonts w:ascii="Garamond" w:hAnsi="Garamond" w:cs="Times New Roman"/>
          <w:b/>
          <w:bCs/>
          <w:color w:val="000000"/>
          <w:sz w:val="24"/>
          <w:szCs w:val="24"/>
          <w:lang w:eastAsia="sq-AL"/>
        </w:rPr>
        <w:t xml:space="preserve">: </w:t>
      </w:r>
      <w:proofErr w:type="spellStart"/>
      <w:r w:rsidR="0092462B" w:rsidRPr="00910FD9">
        <w:rPr>
          <w:rFonts w:ascii="Garamond" w:hAnsi="Garamond" w:cs="Times New Roman"/>
          <w:bCs/>
          <w:sz w:val="24"/>
          <w:szCs w:val="24"/>
        </w:rPr>
        <w:t>Marsida</w:t>
      </w:r>
      <w:proofErr w:type="spellEnd"/>
      <w:r w:rsidR="0092462B" w:rsidRPr="00910FD9">
        <w:rPr>
          <w:rFonts w:ascii="Garamond" w:hAnsi="Garamond" w:cs="Times New Roman"/>
          <w:bCs/>
          <w:sz w:val="24"/>
          <w:szCs w:val="24"/>
        </w:rPr>
        <w:t xml:space="preserve"> </w:t>
      </w:r>
      <w:proofErr w:type="spellStart"/>
      <w:r w:rsidR="0092462B" w:rsidRPr="00910FD9">
        <w:rPr>
          <w:rFonts w:ascii="Garamond" w:hAnsi="Garamond" w:cs="Times New Roman"/>
          <w:bCs/>
          <w:sz w:val="24"/>
          <w:szCs w:val="24"/>
        </w:rPr>
        <w:t>Xhaferllari</w:t>
      </w:r>
      <w:proofErr w:type="spellEnd"/>
    </w:p>
    <w:p w14:paraId="49F740F6" w14:textId="77777777" w:rsidR="0092462B" w:rsidRDefault="0092462B" w:rsidP="0092462B">
      <w:pPr>
        <w:spacing w:after="0" w:line="240" w:lineRule="auto"/>
        <w:ind w:firstLine="284"/>
        <w:jc w:val="both"/>
        <w:rPr>
          <w:rFonts w:ascii="Garamond" w:hAnsi="Garamond" w:cs="Times New Roman"/>
          <w:bCs/>
          <w:sz w:val="24"/>
          <w:szCs w:val="24"/>
        </w:rPr>
      </w:pPr>
      <w:r>
        <w:rPr>
          <w:rFonts w:ascii="Garamond" w:hAnsi="Garamond" w:cs="Times New Roman"/>
          <w:b/>
          <w:bCs/>
          <w:color w:val="000000"/>
          <w:sz w:val="24"/>
          <w:szCs w:val="24"/>
          <w:lang w:eastAsia="sq-AL"/>
        </w:rPr>
        <w:t>Anëtarë:</w:t>
      </w:r>
      <w:r w:rsidRPr="00910FD9">
        <w:rPr>
          <w:rFonts w:ascii="Garamond" w:hAnsi="Garamond" w:cs="Times New Roman"/>
          <w:bCs/>
          <w:sz w:val="24"/>
          <w:szCs w:val="24"/>
        </w:rPr>
        <w:t xml:space="preserve"> </w:t>
      </w:r>
      <w:proofErr w:type="spellStart"/>
      <w:r w:rsidRPr="00910FD9">
        <w:rPr>
          <w:rFonts w:ascii="Garamond" w:hAnsi="Garamond" w:cs="Times New Roman"/>
          <w:bCs/>
          <w:sz w:val="24"/>
          <w:szCs w:val="24"/>
        </w:rPr>
        <w:t>Fiona</w:t>
      </w:r>
      <w:proofErr w:type="spellEnd"/>
      <w:r w:rsidRPr="00910FD9">
        <w:rPr>
          <w:rFonts w:ascii="Garamond" w:hAnsi="Garamond" w:cs="Times New Roman"/>
          <w:bCs/>
          <w:sz w:val="24"/>
          <w:szCs w:val="24"/>
        </w:rPr>
        <w:t xml:space="preserve"> </w:t>
      </w:r>
      <w:proofErr w:type="spellStart"/>
      <w:r w:rsidRPr="00910FD9">
        <w:rPr>
          <w:rFonts w:ascii="Garamond" w:hAnsi="Garamond" w:cs="Times New Roman"/>
          <w:bCs/>
          <w:sz w:val="24"/>
          <w:szCs w:val="24"/>
        </w:rPr>
        <w:t>Papajorgji</w:t>
      </w:r>
      <w:proofErr w:type="spellEnd"/>
      <w:r>
        <w:rPr>
          <w:rFonts w:ascii="Garamond" w:hAnsi="Garamond" w:cs="Times New Roman"/>
          <w:bCs/>
          <w:sz w:val="24"/>
          <w:szCs w:val="24"/>
        </w:rPr>
        <w:t xml:space="preserve">, </w:t>
      </w:r>
      <w:proofErr w:type="spellStart"/>
      <w:r w:rsidRPr="00910FD9">
        <w:rPr>
          <w:rFonts w:ascii="Garamond" w:hAnsi="Garamond" w:cs="Times New Roman"/>
          <w:bCs/>
          <w:sz w:val="24"/>
          <w:szCs w:val="24"/>
        </w:rPr>
        <w:t>Sonila</w:t>
      </w:r>
      <w:proofErr w:type="spellEnd"/>
      <w:r w:rsidRPr="00910FD9">
        <w:rPr>
          <w:rFonts w:ascii="Garamond" w:hAnsi="Garamond" w:cs="Times New Roman"/>
          <w:bCs/>
          <w:sz w:val="24"/>
          <w:szCs w:val="24"/>
        </w:rPr>
        <w:t xml:space="preserve"> Bejtja</w:t>
      </w:r>
      <w:r>
        <w:rPr>
          <w:rFonts w:ascii="Garamond" w:hAnsi="Garamond" w:cs="Times New Roman"/>
          <w:bCs/>
          <w:sz w:val="24"/>
          <w:szCs w:val="24"/>
        </w:rPr>
        <w:t>,</w:t>
      </w:r>
      <w:r w:rsidRPr="00910FD9">
        <w:rPr>
          <w:rFonts w:ascii="Garamond" w:hAnsi="Garamond" w:cs="Times New Roman"/>
          <w:bCs/>
          <w:sz w:val="24"/>
          <w:szCs w:val="24"/>
        </w:rPr>
        <w:t xml:space="preserve"> </w:t>
      </w:r>
      <w:proofErr w:type="spellStart"/>
      <w:r w:rsidRPr="00910FD9">
        <w:rPr>
          <w:rFonts w:ascii="Garamond" w:hAnsi="Garamond" w:cs="Times New Roman"/>
          <w:bCs/>
          <w:sz w:val="24"/>
          <w:szCs w:val="24"/>
        </w:rPr>
        <w:t>Sandër</w:t>
      </w:r>
      <w:proofErr w:type="spellEnd"/>
      <w:r w:rsidRPr="00910FD9">
        <w:rPr>
          <w:rFonts w:ascii="Garamond" w:hAnsi="Garamond" w:cs="Times New Roman"/>
          <w:bCs/>
          <w:sz w:val="24"/>
          <w:szCs w:val="24"/>
        </w:rPr>
        <w:t xml:space="preserve"> Beci</w:t>
      </w:r>
      <w:r>
        <w:rPr>
          <w:rFonts w:ascii="Garamond" w:hAnsi="Garamond" w:cs="Times New Roman"/>
          <w:bCs/>
          <w:sz w:val="24"/>
          <w:szCs w:val="24"/>
        </w:rPr>
        <w:t>,</w:t>
      </w:r>
      <w:r w:rsidRPr="00910FD9">
        <w:rPr>
          <w:rFonts w:ascii="Garamond" w:hAnsi="Garamond" w:cs="Times New Roman"/>
          <w:bCs/>
          <w:sz w:val="24"/>
          <w:szCs w:val="24"/>
        </w:rPr>
        <w:t xml:space="preserve"> Ilir Toska</w:t>
      </w:r>
      <w:r>
        <w:rPr>
          <w:rFonts w:ascii="Garamond" w:hAnsi="Garamond" w:cs="Times New Roman"/>
          <w:bCs/>
          <w:sz w:val="24"/>
          <w:szCs w:val="24"/>
        </w:rPr>
        <w:t xml:space="preserve">, </w:t>
      </w:r>
      <w:r w:rsidRPr="00910FD9">
        <w:rPr>
          <w:rFonts w:ascii="Garamond" w:hAnsi="Garamond" w:cs="Times New Roman"/>
          <w:bCs/>
          <w:sz w:val="24"/>
          <w:szCs w:val="24"/>
        </w:rPr>
        <w:t>Genti Ibrahimi</w:t>
      </w:r>
      <w:r>
        <w:rPr>
          <w:rFonts w:ascii="Garamond" w:hAnsi="Garamond" w:cs="Times New Roman"/>
          <w:bCs/>
          <w:sz w:val="24"/>
          <w:szCs w:val="24"/>
        </w:rPr>
        <w:t xml:space="preserve">, </w:t>
      </w:r>
      <w:proofErr w:type="spellStart"/>
      <w:r w:rsidRPr="00910FD9">
        <w:rPr>
          <w:rFonts w:ascii="Garamond" w:hAnsi="Garamond" w:cs="Times New Roman"/>
          <w:bCs/>
          <w:sz w:val="24"/>
          <w:szCs w:val="24"/>
        </w:rPr>
        <w:t>Asim</w:t>
      </w:r>
      <w:proofErr w:type="spellEnd"/>
      <w:r w:rsidRPr="00910FD9">
        <w:rPr>
          <w:rFonts w:ascii="Garamond" w:hAnsi="Garamond" w:cs="Times New Roman"/>
          <w:bCs/>
          <w:sz w:val="24"/>
          <w:szCs w:val="24"/>
        </w:rPr>
        <w:t xml:space="preserve"> </w:t>
      </w:r>
      <w:proofErr w:type="spellStart"/>
      <w:r w:rsidRPr="00910FD9">
        <w:rPr>
          <w:rFonts w:ascii="Garamond" w:hAnsi="Garamond" w:cs="Times New Roman"/>
          <w:bCs/>
          <w:sz w:val="24"/>
          <w:szCs w:val="24"/>
        </w:rPr>
        <w:t>Vokshi</w:t>
      </w:r>
      <w:proofErr w:type="spellEnd"/>
      <w:r>
        <w:rPr>
          <w:rFonts w:ascii="Garamond" w:hAnsi="Garamond" w:cs="Times New Roman"/>
          <w:bCs/>
          <w:sz w:val="24"/>
          <w:szCs w:val="24"/>
        </w:rPr>
        <w:t xml:space="preserve">, </w:t>
      </w:r>
      <w:proofErr w:type="spellStart"/>
      <w:r w:rsidRPr="00910FD9">
        <w:rPr>
          <w:rFonts w:ascii="Garamond" w:hAnsi="Garamond" w:cs="Times New Roman"/>
          <w:bCs/>
          <w:sz w:val="24"/>
          <w:szCs w:val="24"/>
        </w:rPr>
        <w:t>Marjana</w:t>
      </w:r>
      <w:proofErr w:type="spellEnd"/>
      <w:r w:rsidRPr="00910FD9">
        <w:rPr>
          <w:rFonts w:ascii="Garamond" w:hAnsi="Garamond" w:cs="Times New Roman"/>
          <w:bCs/>
          <w:sz w:val="24"/>
          <w:szCs w:val="24"/>
        </w:rPr>
        <w:t xml:space="preserve"> </w:t>
      </w:r>
      <w:proofErr w:type="spellStart"/>
      <w:r w:rsidRPr="00910FD9">
        <w:rPr>
          <w:rFonts w:ascii="Garamond" w:hAnsi="Garamond" w:cs="Times New Roman"/>
          <w:bCs/>
          <w:sz w:val="24"/>
          <w:szCs w:val="24"/>
        </w:rPr>
        <w:t>Semini</w:t>
      </w:r>
      <w:proofErr w:type="spellEnd"/>
      <w:r>
        <w:rPr>
          <w:rFonts w:ascii="Garamond" w:hAnsi="Garamond" w:cs="Times New Roman"/>
          <w:bCs/>
          <w:sz w:val="24"/>
          <w:szCs w:val="24"/>
        </w:rPr>
        <w:t>.</w:t>
      </w:r>
    </w:p>
    <w:p w14:paraId="3104A6A1" w14:textId="1E937FE8" w:rsidR="00910FD9" w:rsidRPr="0092462B" w:rsidRDefault="00910FD9" w:rsidP="0092462B"/>
    <w:sectPr w:rsidR="00910FD9" w:rsidRPr="0092462B" w:rsidSect="00455657">
      <w:headerReference w:type="default" r:id="rId10"/>
      <w:pgSz w:w="11909" w:h="16834" w:code="9"/>
      <w:pgMar w:top="720" w:right="1440" w:bottom="1170" w:left="1440" w:header="720" w:footer="225"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D63C1" w14:textId="77777777" w:rsidR="00AB3446" w:rsidRDefault="00AB3446" w:rsidP="00823AC4">
      <w:pPr>
        <w:spacing w:after="0" w:line="240" w:lineRule="auto"/>
      </w:pPr>
      <w:r>
        <w:separator/>
      </w:r>
    </w:p>
  </w:endnote>
  <w:endnote w:type="continuationSeparator" w:id="0">
    <w:p w14:paraId="524967BB" w14:textId="77777777" w:rsidR="00AB3446" w:rsidRDefault="00AB3446" w:rsidP="00823AC4">
      <w:pPr>
        <w:spacing w:after="0" w:line="240" w:lineRule="auto"/>
      </w:pPr>
      <w:r>
        <w:continuationSeparator/>
      </w:r>
    </w:p>
  </w:endnote>
  <w:endnote w:type="continuationNotice" w:id="1">
    <w:p w14:paraId="33B87257" w14:textId="77777777" w:rsidR="00AB3446" w:rsidRDefault="00AB34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11120" w14:textId="77777777" w:rsidR="00AB3446" w:rsidRDefault="00AB3446" w:rsidP="00823AC4">
      <w:pPr>
        <w:spacing w:after="0" w:line="240" w:lineRule="auto"/>
      </w:pPr>
      <w:r>
        <w:separator/>
      </w:r>
    </w:p>
  </w:footnote>
  <w:footnote w:type="continuationSeparator" w:id="0">
    <w:p w14:paraId="34CD481C" w14:textId="77777777" w:rsidR="00AB3446" w:rsidRDefault="00AB3446" w:rsidP="00823AC4">
      <w:pPr>
        <w:spacing w:after="0" w:line="240" w:lineRule="auto"/>
      </w:pPr>
      <w:r>
        <w:continuationSeparator/>
      </w:r>
    </w:p>
  </w:footnote>
  <w:footnote w:type="continuationNotice" w:id="1">
    <w:p w14:paraId="307C49DF" w14:textId="77777777" w:rsidR="00AB3446" w:rsidRDefault="00AB344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27602" w14:textId="3A55D3F3" w:rsidR="00AB3446" w:rsidRPr="0092462B" w:rsidRDefault="00AB3446" w:rsidP="0092462B">
    <w:pPr>
      <w:pStyle w:val="Header"/>
      <w:ind w:left="3330" w:hanging="3330"/>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20BD"/>
    <w:multiLevelType w:val="hybridMultilevel"/>
    <w:tmpl w:val="762E2E04"/>
    <w:lvl w:ilvl="0" w:tplc="5ABEB33C">
      <w:start w:val="2"/>
      <w:numFmt w:val="decimal"/>
      <w:lvlText w:val="%1."/>
      <w:lvlJc w:val="left"/>
      <w:pPr>
        <w:tabs>
          <w:tab w:val="num" w:pos="928"/>
        </w:tabs>
        <w:ind w:left="92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83642"/>
    <w:multiLevelType w:val="hybridMultilevel"/>
    <w:tmpl w:val="C8AC1D04"/>
    <w:lvl w:ilvl="0" w:tplc="65280AF6">
      <w:start w:val="1"/>
      <w:numFmt w:val="upperRoman"/>
      <w:lvlText w:val="%1."/>
      <w:lvlJc w:val="left"/>
      <w:pPr>
        <w:ind w:left="721" w:hanging="720"/>
      </w:pPr>
      <w:rPr>
        <w:b w:val="0"/>
      </w:rPr>
    </w:lvl>
    <w:lvl w:ilvl="1" w:tplc="E7D8CCA4">
      <w:start w:val="1"/>
      <w:numFmt w:val="decimal"/>
      <w:lvlText w:val="%2."/>
      <w:lvlJc w:val="left"/>
      <w:pPr>
        <w:tabs>
          <w:tab w:val="num" w:pos="928"/>
        </w:tabs>
        <w:ind w:left="928"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1C44C9"/>
    <w:multiLevelType w:val="multilevel"/>
    <w:tmpl w:val="2F88D000"/>
    <w:lvl w:ilvl="0">
      <w:start w:val="1"/>
      <w:numFmt w:val="decimal"/>
      <w:lvlText w:val="%1."/>
      <w:lvlJc w:val="left"/>
      <w:pPr>
        <w:ind w:left="378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3" w15:restartNumberingAfterBreak="0">
    <w:nsid w:val="174D0C9D"/>
    <w:multiLevelType w:val="multilevel"/>
    <w:tmpl w:val="20B05FCA"/>
    <w:lvl w:ilvl="0">
      <w:start w:val="1"/>
      <w:numFmt w:val="decimal"/>
      <w:lvlText w:val="%1."/>
      <w:lvlJc w:val="left"/>
      <w:pPr>
        <w:ind w:left="1620" w:hanging="720"/>
      </w:pPr>
      <w:rPr>
        <w:rFonts w:ascii="Times New Roman" w:eastAsia="Times New Roman" w:hAnsi="Times New Roman" w:cs="Times New Roman"/>
        <w:b w:val="0"/>
        <w:i w:val="0"/>
        <w:strike w:val="0"/>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4" w15:restartNumberingAfterBreak="0">
    <w:nsid w:val="177B6FD1"/>
    <w:multiLevelType w:val="multilevel"/>
    <w:tmpl w:val="ECB09C78"/>
    <w:lvl w:ilvl="0">
      <w:start w:val="1"/>
      <w:numFmt w:val="decimal"/>
      <w:lvlText w:val="%1."/>
      <w:lvlJc w:val="left"/>
      <w:pPr>
        <w:ind w:left="1080" w:hanging="360"/>
      </w:pPr>
      <w:rPr>
        <w:b w:val="0"/>
        <w:color w:val="auto"/>
      </w:rPr>
    </w:lvl>
    <w:lvl w:ilvl="1">
      <w:start w:val="1"/>
      <w:numFmt w:val="decimal"/>
      <w:isLgl/>
      <w:lvlText w:val="%1.%2"/>
      <w:lvlJc w:val="left"/>
      <w:pPr>
        <w:ind w:left="1080" w:hanging="360"/>
      </w:pPr>
      <w:rPr>
        <w:color w:val="auto"/>
      </w:r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5" w15:restartNumberingAfterBreak="0">
    <w:nsid w:val="233E353F"/>
    <w:multiLevelType w:val="multilevel"/>
    <w:tmpl w:val="B074FCD6"/>
    <w:lvl w:ilvl="0">
      <w:start w:val="19"/>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6" w15:restartNumberingAfterBreak="0">
    <w:nsid w:val="25515F4F"/>
    <w:multiLevelType w:val="hybridMultilevel"/>
    <w:tmpl w:val="80C0B5E2"/>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624C5"/>
    <w:multiLevelType w:val="hybridMultilevel"/>
    <w:tmpl w:val="1520F50A"/>
    <w:lvl w:ilvl="0" w:tplc="03FE7D12">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8"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263A08"/>
    <w:multiLevelType w:val="hybridMultilevel"/>
    <w:tmpl w:val="043267D0"/>
    <w:lvl w:ilvl="0" w:tplc="A81CA41C">
      <w:start w:val="13"/>
      <w:numFmt w:val="decimal"/>
      <w:lvlText w:val="%1."/>
      <w:lvlJc w:val="left"/>
      <w:pPr>
        <w:ind w:left="1170" w:hanging="360"/>
      </w:pPr>
      <w:rPr>
        <w:rFonts w:ascii="Times New Roman" w:eastAsia="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1" w15:restartNumberingAfterBreak="0">
    <w:nsid w:val="4C535F69"/>
    <w:multiLevelType w:val="multilevel"/>
    <w:tmpl w:val="37B698C6"/>
    <w:lvl w:ilvl="0">
      <w:start w:val="8"/>
      <w:numFmt w:val="decimal"/>
      <w:lvlText w:val="%1."/>
      <w:lvlJc w:val="left"/>
      <w:pPr>
        <w:tabs>
          <w:tab w:val="num" w:pos="1440"/>
        </w:tabs>
        <w:ind w:left="1440" w:hanging="360"/>
      </w:pPr>
      <w:rPr>
        <w:rFonts w:hint="default"/>
        <w:b w:val="0"/>
        <w:i w:val="0"/>
      </w:rPr>
    </w:lvl>
    <w:lvl w:ilvl="1">
      <w:start w:val="1"/>
      <w:numFmt w:val="decimal"/>
      <w:isLgl/>
      <w:lvlText w:val="%1.%2."/>
      <w:lvlJc w:val="left"/>
      <w:pPr>
        <w:ind w:left="1500" w:hanging="4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15:restartNumberingAfterBreak="0">
    <w:nsid w:val="56524B4F"/>
    <w:multiLevelType w:val="multilevel"/>
    <w:tmpl w:val="F14EE18A"/>
    <w:lvl w:ilvl="0">
      <w:start w:val="11"/>
      <w:numFmt w:val="decimal"/>
      <w:lvlText w:val="%1."/>
      <w:lvlJc w:val="left"/>
      <w:pPr>
        <w:ind w:left="108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CE3299C"/>
    <w:multiLevelType w:val="multilevel"/>
    <w:tmpl w:val="E42A9A24"/>
    <w:lvl w:ilvl="0">
      <w:start w:val="24"/>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14" w15:restartNumberingAfterBreak="0">
    <w:nsid w:val="65095D07"/>
    <w:multiLevelType w:val="multilevel"/>
    <w:tmpl w:val="218A193C"/>
    <w:lvl w:ilvl="0">
      <w:start w:val="1"/>
      <w:numFmt w:val="decimal"/>
      <w:lvlText w:val="%1."/>
      <w:lvlJc w:val="left"/>
      <w:pPr>
        <w:ind w:left="252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5" w15:restartNumberingAfterBreak="0">
    <w:nsid w:val="6B364109"/>
    <w:multiLevelType w:val="hybridMultilevel"/>
    <w:tmpl w:val="19BC970C"/>
    <w:lvl w:ilvl="0" w:tplc="4E627A44">
      <w:start w:val="1"/>
      <w:numFmt w:val="decimal"/>
      <w:lvlText w:val="%1."/>
      <w:lvlJc w:val="left"/>
      <w:pPr>
        <w:ind w:left="928" w:hanging="360"/>
      </w:pPr>
      <w:rPr>
        <w:rFonts w:ascii="Times New Roman" w:eastAsia="Times New Roman" w:hAnsi="Times New Roman" w:cs="Times New Roman"/>
        <w:b w:val="0"/>
        <w:i w:val="0"/>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B5723D3"/>
    <w:multiLevelType w:val="hybridMultilevel"/>
    <w:tmpl w:val="C9009368"/>
    <w:lvl w:ilvl="0" w:tplc="DADCED8C">
      <w:start w:val="19"/>
      <w:numFmt w:val="decimal"/>
      <w:lvlText w:val="%1."/>
      <w:lvlJc w:val="left"/>
      <w:pPr>
        <w:ind w:left="117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453D56"/>
    <w:multiLevelType w:val="multilevel"/>
    <w:tmpl w:val="E86E5A04"/>
    <w:lvl w:ilvl="0">
      <w:start w:val="31"/>
      <w:numFmt w:val="decimal"/>
      <w:lvlText w:val="%1."/>
      <w:lvlJc w:val="left"/>
      <w:pPr>
        <w:ind w:left="1260" w:hanging="360"/>
      </w:pPr>
      <w:rPr>
        <w:rFonts w:ascii="Times New Roman" w:eastAsia="Calibri" w:hAnsi="Times New Roman" w:cs="Times New Roman"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val="0"/>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18" w15:restartNumberingAfterBreak="0">
    <w:nsid w:val="7913211A"/>
    <w:multiLevelType w:val="hybridMultilevel"/>
    <w:tmpl w:val="80C80500"/>
    <w:lvl w:ilvl="0" w:tplc="7194A15C">
      <w:start w:val="7"/>
      <w:numFmt w:val="decimal"/>
      <w:lvlText w:val="%1."/>
      <w:lvlJc w:val="left"/>
      <w:pPr>
        <w:ind w:left="1080" w:hanging="360"/>
      </w:pPr>
      <w:rPr>
        <w:rFonts w:hint="default"/>
        <w:b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7"/>
  </w:num>
  <w:num w:numId="3">
    <w:abstractNumId w:val="11"/>
  </w:num>
  <w:num w:numId="4">
    <w:abstractNumId w:val="12"/>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0"/>
  </w:num>
  <w:num w:numId="11">
    <w:abstractNumId w:val="17"/>
  </w:num>
  <w:num w:numId="12">
    <w:abstractNumId w:val="8"/>
  </w:num>
  <w:num w:numId="13">
    <w:abstractNumId w:val="16"/>
  </w:num>
  <w:num w:numId="14">
    <w:abstractNumId w:val="10"/>
  </w:num>
  <w:num w:numId="15">
    <w:abstractNumId w:val="13"/>
  </w:num>
  <w:num w:numId="16">
    <w:abstractNumId w:val="9"/>
  </w:num>
  <w:num w:numId="17">
    <w:abstractNumId w:val="6"/>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6"/>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31A"/>
    <w:rsid w:val="000012EF"/>
    <w:rsid w:val="0000308B"/>
    <w:rsid w:val="000052CE"/>
    <w:rsid w:val="00007318"/>
    <w:rsid w:val="000108C0"/>
    <w:rsid w:val="00011B27"/>
    <w:rsid w:val="00011F08"/>
    <w:rsid w:val="0001526B"/>
    <w:rsid w:val="00016367"/>
    <w:rsid w:val="000205F1"/>
    <w:rsid w:val="00020EC7"/>
    <w:rsid w:val="000215DE"/>
    <w:rsid w:val="00023016"/>
    <w:rsid w:val="0002526E"/>
    <w:rsid w:val="00030B4C"/>
    <w:rsid w:val="00030F78"/>
    <w:rsid w:val="00031756"/>
    <w:rsid w:val="00034BB4"/>
    <w:rsid w:val="00036087"/>
    <w:rsid w:val="00041040"/>
    <w:rsid w:val="0004253E"/>
    <w:rsid w:val="0004479D"/>
    <w:rsid w:val="000465D3"/>
    <w:rsid w:val="00051A6F"/>
    <w:rsid w:val="00052BFA"/>
    <w:rsid w:val="00054034"/>
    <w:rsid w:val="00054886"/>
    <w:rsid w:val="00061D8A"/>
    <w:rsid w:val="00061DB1"/>
    <w:rsid w:val="000635C2"/>
    <w:rsid w:val="000805A1"/>
    <w:rsid w:val="00082768"/>
    <w:rsid w:val="00082F7D"/>
    <w:rsid w:val="00084974"/>
    <w:rsid w:val="00085FFE"/>
    <w:rsid w:val="00087820"/>
    <w:rsid w:val="00094AB4"/>
    <w:rsid w:val="000950BB"/>
    <w:rsid w:val="00096698"/>
    <w:rsid w:val="00096C83"/>
    <w:rsid w:val="000A607D"/>
    <w:rsid w:val="000A7690"/>
    <w:rsid w:val="000A7BC3"/>
    <w:rsid w:val="000B30D0"/>
    <w:rsid w:val="000B4CF6"/>
    <w:rsid w:val="000B5F5F"/>
    <w:rsid w:val="000B69C1"/>
    <w:rsid w:val="000C08FE"/>
    <w:rsid w:val="000D338B"/>
    <w:rsid w:val="000D3F1C"/>
    <w:rsid w:val="000D4B64"/>
    <w:rsid w:val="000D4B92"/>
    <w:rsid w:val="000D7BB4"/>
    <w:rsid w:val="000D7EC5"/>
    <w:rsid w:val="000E188F"/>
    <w:rsid w:val="000E2155"/>
    <w:rsid w:val="000E2499"/>
    <w:rsid w:val="000E2695"/>
    <w:rsid w:val="000E27C8"/>
    <w:rsid w:val="000F4363"/>
    <w:rsid w:val="000F449B"/>
    <w:rsid w:val="00100045"/>
    <w:rsid w:val="00103B43"/>
    <w:rsid w:val="0011090E"/>
    <w:rsid w:val="00115B1F"/>
    <w:rsid w:val="00120DF8"/>
    <w:rsid w:val="00122E11"/>
    <w:rsid w:val="00125FA6"/>
    <w:rsid w:val="00127ABD"/>
    <w:rsid w:val="0013264C"/>
    <w:rsid w:val="001336C0"/>
    <w:rsid w:val="001346D3"/>
    <w:rsid w:val="001401D4"/>
    <w:rsid w:val="00145062"/>
    <w:rsid w:val="00146284"/>
    <w:rsid w:val="00146595"/>
    <w:rsid w:val="00150938"/>
    <w:rsid w:val="0015123E"/>
    <w:rsid w:val="00151AF1"/>
    <w:rsid w:val="00151D94"/>
    <w:rsid w:val="00155F6B"/>
    <w:rsid w:val="00164E9C"/>
    <w:rsid w:val="00165726"/>
    <w:rsid w:val="001675F6"/>
    <w:rsid w:val="001702E1"/>
    <w:rsid w:val="00170A16"/>
    <w:rsid w:val="00172C5C"/>
    <w:rsid w:val="00173BEA"/>
    <w:rsid w:val="00176842"/>
    <w:rsid w:val="0017702F"/>
    <w:rsid w:val="001818DF"/>
    <w:rsid w:val="00182C52"/>
    <w:rsid w:val="00185CD0"/>
    <w:rsid w:val="00191A3C"/>
    <w:rsid w:val="00192036"/>
    <w:rsid w:val="001961B7"/>
    <w:rsid w:val="001A3DA3"/>
    <w:rsid w:val="001A67E3"/>
    <w:rsid w:val="001A79A5"/>
    <w:rsid w:val="001B0908"/>
    <w:rsid w:val="001B6A44"/>
    <w:rsid w:val="001C084C"/>
    <w:rsid w:val="001C0993"/>
    <w:rsid w:val="001C32D4"/>
    <w:rsid w:val="001C6C04"/>
    <w:rsid w:val="001D3BA5"/>
    <w:rsid w:val="001D3E8B"/>
    <w:rsid w:val="001D5AB6"/>
    <w:rsid w:val="001D5DA7"/>
    <w:rsid w:val="001D738B"/>
    <w:rsid w:val="001E5806"/>
    <w:rsid w:val="001E7F69"/>
    <w:rsid w:val="001F09EE"/>
    <w:rsid w:val="001F2220"/>
    <w:rsid w:val="001F25D9"/>
    <w:rsid w:val="001F4ACD"/>
    <w:rsid w:val="001F5DFC"/>
    <w:rsid w:val="00202E75"/>
    <w:rsid w:val="00203C93"/>
    <w:rsid w:val="00206546"/>
    <w:rsid w:val="00206BE7"/>
    <w:rsid w:val="00211062"/>
    <w:rsid w:val="00214B33"/>
    <w:rsid w:val="0021544F"/>
    <w:rsid w:val="0022215D"/>
    <w:rsid w:val="00222C0D"/>
    <w:rsid w:val="002312C4"/>
    <w:rsid w:val="0023297E"/>
    <w:rsid w:val="00233E2C"/>
    <w:rsid w:val="0023623B"/>
    <w:rsid w:val="002372D3"/>
    <w:rsid w:val="0024006E"/>
    <w:rsid w:val="0024599B"/>
    <w:rsid w:val="00245C86"/>
    <w:rsid w:val="00256FE9"/>
    <w:rsid w:val="0025776D"/>
    <w:rsid w:val="0026325E"/>
    <w:rsid w:val="002637A9"/>
    <w:rsid w:val="0027565E"/>
    <w:rsid w:val="002758E0"/>
    <w:rsid w:val="0027759C"/>
    <w:rsid w:val="00280447"/>
    <w:rsid w:val="00283689"/>
    <w:rsid w:val="00283EDB"/>
    <w:rsid w:val="002863B5"/>
    <w:rsid w:val="00286D26"/>
    <w:rsid w:val="00287A42"/>
    <w:rsid w:val="00293502"/>
    <w:rsid w:val="00295DB6"/>
    <w:rsid w:val="002A1BB2"/>
    <w:rsid w:val="002A2E03"/>
    <w:rsid w:val="002A4D0C"/>
    <w:rsid w:val="002A4EBA"/>
    <w:rsid w:val="002B03E5"/>
    <w:rsid w:val="002B09BB"/>
    <w:rsid w:val="002B0ECA"/>
    <w:rsid w:val="002B5DAC"/>
    <w:rsid w:val="002B6D64"/>
    <w:rsid w:val="002C137D"/>
    <w:rsid w:val="002C3644"/>
    <w:rsid w:val="002C3CD6"/>
    <w:rsid w:val="002C66A6"/>
    <w:rsid w:val="002D3646"/>
    <w:rsid w:val="002D7AAF"/>
    <w:rsid w:val="002E0C67"/>
    <w:rsid w:val="002E1B0C"/>
    <w:rsid w:val="002E1FBB"/>
    <w:rsid w:val="002E4D04"/>
    <w:rsid w:val="002E5A52"/>
    <w:rsid w:val="002E61BD"/>
    <w:rsid w:val="002E717C"/>
    <w:rsid w:val="002F1C09"/>
    <w:rsid w:val="002F62B4"/>
    <w:rsid w:val="00301720"/>
    <w:rsid w:val="00303E3D"/>
    <w:rsid w:val="003042BD"/>
    <w:rsid w:val="0030539B"/>
    <w:rsid w:val="00313F0D"/>
    <w:rsid w:val="00314183"/>
    <w:rsid w:val="00315A21"/>
    <w:rsid w:val="00317A55"/>
    <w:rsid w:val="003203D3"/>
    <w:rsid w:val="00320809"/>
    <w:rsid w:val="003228FB"/>
    <w:rsid w:val="00322EE1"/>
    <w:rsid w:val="003239FD"/>
    <w:rsid w:val="003319E1"/>
    <w:rsid w:val="00332C80"/>
    <w:rsid w:val="0033394B"/>
    <w:rsid w:val="00336C75"/>
    <w:rsid w:val="00344648"/>
    <w:rsid w:val="00350354"/>
    <w:rsid w:val="003570E0"/>
    <w:rsid w:val="00360E06"/>
    <w:rsid w:val="00362757"/>
    <w:rsid w:val="003703AB"/>
    <w:rsid w:val="00370D47"/>
    <w:rsid w:val="00370EE4"/>
    <w:rsid w:val="003760A9"/>
    <w:rsid w:val="0037619C"/>
    <w:rsid w:val="0037700D"/>
    <w:rsid w:val="00382820"/>
    <w:rsid w:val="0038430B"/>
    <w:rsid w:val="00384DA5"/>
    <w:rsid w:val="00384E16"/>
    <w:rsid w:val="003853C0"/>
    <w:rsid w:val="0038622A"/>
    <w:rsid w:val="003872FF"/>
    <w:rsid w:val="003931BF"/>
    <w:rsid w:val="00394A77"/>
    <w:rsid w:val="003A1733"/>
    <w:rsid w:val="003A2109"/>
    <w:rsid w:val="003A5184"/>
    <w:rsid w:val="003A6A1A"/>
    <w:rsid w:val="003B0C20"/>
    <w:rsid w:val="003B28EE"/>
    <w:rsid w:val="003C0304"/>
    <w:rsid w:val="003C12E3"/>
    <w:rsid w:val="003C54F3"/>
    <w:rsid w:val="003D35C9"/>
    <w:rsid w:val="003D3D9F"/>
    <w:rsid w:val="003D655C"/>
    <w:rsid w:val="003E0BD4"/>
    <w:rsid w:val="003E1B93"/>
    <w:rsid w:val="003E6B4C"/>
    <w:rsid w:val="003F080A"/>
    <w:rsid w:val="003F45FD"/>
    <w:rsid w:val="003F4D3C"/>
    <w:rsid w:val="003F5DCA"/>
    <w:rsid w:val="003F6469"/>
    <w:rsid w:val="003F670F"/>
    <w:rsid w:val="0040051E"/>
    <w:rsid w:val="0040053E"/>
    <w:rsid w:val="00402251"/>
    <w:rsid w:val="0040354B"/>
    <w:rsid w:val="00404C89"/>
    <w:rsid w:val="004103B3"/>
    <w:rsid w:val="00412D05"/>
    <w:rsid w:val="00420260"/>
    <w:rsid w:val="00423ECE"/>
    <w:rsid w:val="0042565B"/>
    <w:rsid w:val="00425E6A"/>
    <w:rsid w:val="00426E1B"/>
    <w:rsid w:val="00427B98"/>
    <w:rsid w:val="00432EF2"/>
    <w:rsid w:val="004375FF"/>
    <w:rsid w:val="00437EAA"/>
    <w:rsid w:val="00440170"/>
    <w:rsid w:val="0044437A"/>
    <w:rsid w:val="00444CA0"/>
    <w:rsid w:val="00447203"/>
    <w:rsid w:val="00452849"/>
    <w:rsid w:val="0045296B"/>
    <w:rsid w:val="00453A87"/>
    <w:rsid w:val="00453D84"/>
    <w:rsid w:val="00455657"/>
    <w:rsid w:val="00461B5A"/>
    <w:rsid w:val="00462B2C"/>
    <w:rsid w:val="00471316"/>
    <w:rsid w:val="00473ACF"/>
    <w:rsid w:val="004748EE"/>
    <w:rsid w:val="00476CF9"/>
    <w:rsid w:val="00480F68"/>
    <w:rsid w:val="004855DB"/>
    <w:rsid w:val="0048677D"/>
    <w:rsid w:val="0048731A"/>
    <w:rsid w:val="0048737A"/>
    <w:rsid w:val="00491F14"/>
    <w:rsid w:val="004925EA"/>
    <w:rsid w:val="00496B27"/>
    <w:rsid w:val="00496B6D"/>
    <w:rsid w:val="004979E1"/>
    <w:rsid w:val="004A48A6"/>
    <w:rsid w:val="004A58CB"/>
    <w:rsid w:val="004A5B2F"/>
    <w:rsid w:val="004A633A"/>
    <w:rsid w:val="004A65D7"/>
    <w:rsid w:val="004B177B"/>
    <w:rsid w:val="004B2718"/>
    <w:rsid w:val="004B3972"/>
    <w:rsid w:val="004B6546"/>
    <w:rsid w:val="004B7026"/>
    <w:rsid w:val="004B79A1"/>
    <w:rsid w:val="004C24AC"/>
    <w:rsid w:val="004C3B3F"/>
    <w:rsid w:val="004C67DD"/>
    <w:rsid w:val="004C7888"/>
    <w:rsid w:val="004C7AA8"/>
    <w:rsid w:val="004C7B6D"/>
    <w:rsid w:val="004C7D51"/>
    <w:rsid w:val="004D0FFA"/>
    <w:rsid w:val="004D4C0C"/>
    <w:rsid w:val="004D57DA"/>
    <w:rsid w:val="004D5CC0"/>
    <w:rsid w:val="004D6222"/>
    <w:rsid w:val="004E086B"/>
    <w:rsid w:val="004F3886"/>
    <w:rsid w:val="004F58C4"/>
    <w:rsid w:val="004F607C"/>
    <w:rsid w:val="005042EE"/>
    <w:rsid w:val="0050614A"/>
    <w:rsid w:val="005076F5"/>
    <w:rsid w:val="00513B56"/>
    <w:rsid w:val="00513FF0"/>
    <w:rsid w:val="00515653"/>
    <w:rsid w:val="00523A40"/>
    <w:rsid w:val="00525491"/>
    <w:rsid w:val="00527731"/>
    <w:rsid w:val="005277C8"/>
    <w:rsid w:val="00527980"/>
    <w:rsid w:val="00527F0A"/>
    <w:rsid w:val="0053168E"/>
    <w:rsid w:val="00533704"/>
    <w:rsid w:val="00533EA1"/>
    <w:rsid w:val="00535B11"/>
    <w:rsid w:val="0054386C"/>
    <w:rsid w:val="00545507"/>
    <w:rsid w:val="005468DC"/>
    <w:rsid w:val="00546A13"/>
    <w:rsid w:val="00547409"/>
    <w:rsid w:val="00550FF2"/>
    <w:rsid w:val="0055334E"/>
    <w:rsid w:val="0055501B"/>
    <w:rsid w:val="00555968"/>
    <w:rsid w:val="00556942"/>
    <w:rsid w:val="00557DF3"/>
    <w:rsid w:val="00561DAC"/>
    <w:rsid w:val="005630C6"/>
    <w:rsid w:val="00564480"/>
    <w:rsid w:val="005679D9"/>
    <w:rsid w:val="00570CC9"/>
    <w:rsid w:val="0057138C"/>
    <w:rsid w:val="00575014"/>
    <w:rsid w:val="00576CFF"/>
    <w:rsid w:val="00582D76"/>
    <w:rsid w:val="00586481"/>
    <w:rsid w:val="00587DFE"/>
    <w:rsid w:val="00594699"/>
    <w:rsid w:val="00596ABB"/>
    <w:rsid w:val="005A09A5"/>
    <w:rsid w:val="005A2DA6"/>
    <w:rsid w:val="005A2F35"/>
    <w:rsid w:val="005A39B7"/>
    <w:rsid w:val="005A6DF6"/>
    <w:rsid w:val="005B1D3B"/>
    <w:rsid w:val="005B249A"/>
    <w:rsid w:val="005C0D75"/>
    <w:rsid w:val="005C1F93"/>
    <w:rsid w:val="005C380B"/>
    <w:rsid w:val="005C4333"/>
    <w:rsid w:val="005C4990"/>
    <w:rsid w:val="005C583C"/>
    <w:rsid w:val="005C77FA"/>
    <w:rsid w:val="005D3DD9"/>
    <w:rsid w:val="005D564D"/>
    <w:rsid w:val="005D662C"/>
    <w:rsid w:val="005D7659"/>
    <w:rsid w:val="005E7A98"/>
    <w:rsid w:val="005F2098"/>
    <w:rsid w:val="005F21E9"/>
    <w:rsid w:val="005F3D8F"/>
    <w:rsid w:val="005F51D4"/>
    <w:rsid w:val="005F6249"/>
    <w:rsid w:val="005F72D3"/>
    <w:rsid w:val="00600FC9"/>
    <w:rsid w:val="00601937"/>
    <w:rsid w:val="00606858"/>
    <w:rsid w:val="00612CF2"/>
    <w:rsid w:val="00616ECE"/>
    <w:rsid w:val="0061762A"/>
    <w:rsid w:val="00622BEB"/>
    <w:rsid w:val="0062586B"/>
    <w:rsid w:val="00625A31"/>
    <w:rsid w:val="00625AAD"/>
    <w:rsid w:val="0062793F"/>
    <w:rsid w:val="0063052C"/>
    <w:rsid w:val="006306FF"/>
    <w:rsid w:val="00631377"/>
    <w:rsid w:val="00631E50"/>
    <w:rsid w:val="006320A2"/>
    <w:rsid w:val="0063308D"/>
    <w:rsid w:val="006438DF"/>
    <w:rsid w:val="006502EB"/>
    <w:rsid w:val="0065485D"/>
    <w:rsid w:val="00655954"/>
    <w:rsid w:val="00662892"/>
    <w:rsid w:val="00663E59"/>
    <w:rsid w:val="00665094"/>
    <w:rsid w:val="00674E51"/>
    <w:rsid w:val="00677513"/>
    <w:rsid w:val="006817B5"/>
    <w:rsid w:val="0068459C"/>
    <w:rsid w:val="00685915"/>
    <w:rsid w:val="0068773C"/>
    <w:rsid w:val="0069191B"/>
    <w:rsid w:val="00695DDC"/>
    <w:rsid w:val="006970A2"/>
    <w:rsid w:val="006A17EA"/>
    <w:rsid w:val="006A3181"/>
    <w:rsid w:val="006A4489"/>
    <w:rsid w:val="006B3F07"/>
    <w:rsid w:val="006B3F24"/>
    <w:rsid w:val="006B544E"/>
    <w:rsid w:val="006B6883"/>
    <w:rsid w:val="006B73E2"/>
    <w:rsid w:val="006B7B64"/>
    <w:rsid w:val="006C36BE"/>
    <w:rsid w:val="006C436A"/>
    <w:rsid w:val="006C463C"/>
    <w:rsid w:val="006C465D"/>
    <w:rsid w:val="006C6276"/>
    <w:rsid w:val="006D1383"/>
    <w:rsid w:val="006D1E6A"/>
    <w:rsid w:val="006D27BE"/>
    <w:rsid w:val="006D3121"/>
    <w:rsid w:val="006D6FF7"/>
    <w:rsid w:val="006D7573"/>
    <w:rsid w:val="006D7E16"/>
    <w:rsid w:val="006E0C7E"/>
    <w:rsid w:val="006E1ECD"/>
    <w:rsid w:val="006E31B7"/>
    <w:rsid w:val="006E3B13"/>
    <w:rsid w:val="006E4DFF"/>
    <w:rsid w:val="006E543A"/>
    <w:rsid w:val="006F3ECA"/>
    <w:rsid w:val="006F5120"/>
    <w:rsid w:val="006F5F97"/>
    <w:rsid w:val="007009BE"/>
    <w:rsid w:val="00702B93"/>
    <w:rsid w:val="007048D0"/>
    <w:rsid w:val="00705FBD"/>
    <w:rsid w:val="007065E2"/>
    <w:rsid w:val="00707B81"/>
    <w:rsid w:val="007128BC"/>
    <w:rsid w:val="00714E2D"/>
    <w:rsid w:val="00714E3F"/>
    <w:rsid w:val="007157B5"/>
    <w:rsid w:val="00715C09"/>
    <w:rsid w:val="00716540"/>
    <w:rsid w:val="007266D4"/>
    <w:rsid w:val="007336CE"/>
    <w:rsid w:val="007342CC"/>
    <w:rsid w:val="00736EF0"/>
    <w:rsid w:val="00742928"/>
    <w:rsid w:val="0074309D"/>
    <w:rsid w:val="00744A3C"/>
    <w:rsid w:val="00745C28"/>
    <w:rsid w:val="0075049C"/>
    <w:rsid w:val="00750A12"/>
    <w:rsid w:val="00753A2C"/>
    <w:rsid w:val="00754F7A"/>
    <w:rsid w:val="00755B66"/>
    <w:rsid w:val="0076082F"/>
    <w:rsid w:val="00766911"/>
    <w:rsid w:val="00767747"/>
    <w:rsid w:val="0076779E"/>
    <w:rsid w:val="007709E6"/>
    <w:rsid w:val="00771820"/>
    <w:rsid w:val="00776359"/>
    <w:rsid w:val="00776EAE"/>
    <w:rsid w:val="00777AF2"/>
    <w:rsid w:val="0078467D"/>
    <w:rsid w:val="00786903"/>
    <w:rsid w:val="007873C6"/>
    <w:rsid w:val="0079400E"/>
    <w:rsid w:val="0079442B"/>
    <w:rsid w:val="0079502D"/>
    <w:rsid w:val="007956EE"/>
    <w:rsid w:val="007A12FB"/>
    <w:rsid w:val="007A13AD"/>
    <w:rsid w:val="007A4943"/>
    <w:rsid w:val="007B3C71"/>
    <w:rsid w:val="007B4470"/>
    <w:rsid w:val="007B654E"/>
    <w:rsid w:val="007B7871"/>
    <w:rsid w:val="007C1AD6"/>
    <w:rsid w:val="007C1D97"/>
    <w:rsid w:val="007C2A7A"/>
    <w:rsid w:val="007C4BFC"/>
    <w:rsid w:val="007C63C2"/>
    <w:rsid w:val="007D00CE"/>
    <w:rsid w:val="007D3D4E"/>
    <w:rsid w:val="007D5BED"/>
    <w:rsid w:val="007D73CC"/>
    <w:rsid w:val="007E315B"/>
    <w:rsid w:val="007E736F"/>
    <w:rsid w:val="007E7537"/>
    <w:rsid w:val="007F6E16"/>
    <w:rsid w:val="00804026"/>
    <w:rsid w:val="0080520B"/>
    <w:rsid w:val="00805279"/>
    <w:rsid w:val="00811DA8"/>
    <w:rsid w:val="0081200C"/>
    <w:rsid w:val="00812331"/>
    <w:rsid w:val="00812E63"/>
    <w:rsid w:val="00813764"/>
    <w:rsid w:val="008145A5"/>
    <w:rsid w:val="00815046"/>
    <w:rsid w:val="008159B9"/>
    <w:rsid w:val="00816BA0"/>
    <w:rsid w:val="008204E0"/>
    <w:rsid w:val="00821CF7"/>
    <w:rsid w:val="0082255D"/>
    <w:rsid w:val="00823AC4"/>
    <w:rsid w:val="00825819"/>
    <w:rsid w:val="0083036A"/>
    <w:rsid w:val="0083102B"/>
    <w:rsid w:val="00833D75"/>
    <w:rsid w:val="008420FD"/>
    <w:rsid w:val="00843712"/>
    <w:rsid w:val="00846D98"/>
    <w:rsid w:val="00846E0B"/>
    <w:rsid w:val="00850B36"/>
    <w:rsid w:val="00852AA1"/>
    <w:rsid w:val="008578F1"/>
    <w:rsid w:val="00860DC0"/>
    <w:rsid w:val="0086121D"/>
    <w:rsid w:val="00861414"/>
    <w:rsid w:val="008615EE"/>
    <w:rsid w:val="00862105"/>
    <w:rsid w:val="008634F1"/>
    <w:rsid w:val="00863803"/>
    <w:rsid w:val="008673C4"/>
    <w:rsid w:val="00870915"/>
    <w:rsid w:val="0087159D"/>
    <w:rsid w:val="00871FE5"/>
    <w:rsid w:val="00872DE2"/>
    <w:rsid w:val="008763F2"/>
    <w:rsid w:val="008764B8"/>
    <w:rsid w:val="00876F01"/>
    <w:rsid w:val="00880438"/>
    <w:rsid w:val="00882E5E"/>
    <w:rsid w:val="008845CD"/>
    <w:rsid w:val="00887E8D"/>
    <w:rsid w:val="008901E2"/>
    <w:rsid w:val="00892DDB"/>
    <w:rsid w:val="008A3250"/>
    <w:rsid w:val="008A407E"/>
    <w:rsid w:val="008A4ABF"/>
    <w:rsid w:val="008A51FC"/>
    <w:rsid w:val="008B3C90"/>
    <w:rsid w:val="008B3DEF"/>
    <w:rsid w:val="008B4C64"/>
    <w:rsid w:val="008B7151"/>
    <w:rsid w:val="008C2584"/>
    <w:rsid w:val="008C36C3"/>
    <w:rsid w:val="008C5DF2"/>
    <w:rsid w:val="008C66E6"/>
    <w:rsid w:val="008D20F6"/>
    <w:rsid w:val="008E3F8A"/>
    <w:rsid w:val="008E5969"/>
    <w:rsid w:val="008E7BB6"/>
    <w:rsid w:val="008F1009"/>
    <w:rsid w:val="008F49CE"/>
    <w:rsid w:val="008F6D89"/>
    <w:rsid w:val="00900EAF"/>
    <w:rsid w:val="00903988"/>
    <w:rsid w:val="009054AD"/>
    <w:rsid w:val="00907B55"/>
    <w:rsid w:val="00907B90"/>
    <w:rsid w:val="00910FD9"/>
    <w:rsid w:val="00917ACC"/>
    <w:rsid w:val="00920877"/>
    <w:rsid w:val="009221FF"/>
    <w:rsid w:val="00922457"/>
    <w:rsid w:val="00922A96"/>
    <w:rsid w:val="0092462B"/>
    <w:rsid w:val="0092463D"/>
    <w:rsid w:val="00924F53"/>
    <w:rsid w:val="00930E0B"/>
    <w:rsid w:val="00932BAB"/>
    <w:rsid w:val="00933864"/>
    <w:rsid w:val="00934AF4"/>
    <w:rsid w:val="00936FD5"/>
    <w:rsid w:val="00941A18"/>
    <w:rsid w:val="009506A9"/>
    <w:rsid w:val="00950777"/>
    <w:rsid w:val="00954D6F"/>
    <w:rsid w:val="00955218"/>
    <w:rsid w:val="00955C32"/>
    <w:rsid w:val="0095673F"/>
    <w:rsid w:val="00960DCB"/>
    <w:rsid w:val="009614D7"/>
    <w:rsid w:val="009633E2"/>
    <w:rsid w:val="00967CD6"/>
    <w:rsid w:val="00967EE4"/>
    <w:rsid w:val="0097008E"/>
    <w:rsid w:val="009721B5"/>
    <w:rsid w:val="00972B3E"/>
    <w:rsid w:val="00973969"/>
    <w:rsid w:val="00974279"/>
    <w:rsid w:val="00974EE4"/>
    <w:rsid w:val="00974F9D"/>
    <w:rsid w:val="00976C80"/>
    <w:rsid w:val="009772CD"/>
    <w:rsid w:val="009774C6"/>
    <w:rsid w:val="00987A1E"/>
    <w:rsid w:val="009907D0"/>
    <w:rsid w:val="00991584"/>
    <w:rsid w:val="00993C69"/>
    <w:rsid w:val="00996A0C"/>
    <w:rsid w:val="009A02AB"/>
    <w:rsid w:val="009A41F9"/>
    <w:rsid w:val="009A48DA"/>
    <w:rsid w:val="009A6753"/>
    <w:rsid w:val="009A7326"/>
    <w:rsid w:val="009B14F6"/>
    <w:rsid w:val="009B5FCE"/>
    <w:rsid w:val="009B6B56"/>
    <w:rsid w:val="009C0DBF"/>
    <w:rsid w:val="009C1F20"/>
    <w:rsid w:val="009C3776"/>
    <w:rsid w:val="009C5997"/>
    <w:rsid w:val="009C5CFF"/>
    <w:rsid w:val="009D2F21"/>
    <w:rsid w:val="009E4784"/>
    <w:rsid w:val="009E4C5B"/>
    <w:rsid w:val="009E7133"/>
    <w:rsid w:val="009F0649"/>
    <w:rsid w:val="009F10CA"/>
    <w:rsid w:val="009F4C14"/>
    <w:rsid w:val="009F5B54"/>
    <w:rsid w:val="00A01583"/>
    <w:rsid w:val="00A019E6"/>
    <w:rsid w:val="00A027EB"/>
    <w:rsid w:val="00A042C4"/>
    <w:rsid w:val="00A04DD7"/>
    <w:rsid w:val="00A13540"/>
    <w:rsid w:val="00A16057"/>
    <w:rsid w:val="00A23610"/>
    <w:rsid w:val="00A23DD8"/>
    <w:rsid w:val="00A2457D"/>
    <w:rsid w:val="00A2494C"/>
    <w:rsid w:val="00A273F2"/>
    <w:rsid w:val="00A33723"/>
    <w:rsid w:val="00A36EA7"/>
    <w:rsid w:val="00A41538"/>
    <w:rsid w:val="00A415E8"/>
    <w:rsid w:val="00A44721"/>
    <w:rsid w:val="00A51031"/>
    <w:rsid w:val="00A519DB"/>
    <w:rsid w:val="00A557DB"/>
    <w:rsid w:val="00A61B08"/>
    <w:rsid w:val="00A64B82"/>
    <w:rsid w:val="00A65794"/>
    <w:rsid w:val="00A70CD2"/>
    <w:rsid w:val="00A7350E"/>
    <w:rsid w:val="00A75A5D"/>
    <w:rsid w:val="00A80ADC"/>
    <w:rsid w:val="00A82E55"/>
    <w:rsid w:val="00A84AB4"/>
    <w:rsid w:val="00A85A30"/>
    <w:rsid w:val="00A8730A"/>
    <w:rsid w:val="00A92E15"/>
    <w:rsid w:val="00A94072"/>
    <w:rsid w:val="00AA1732"/>
    <w:rsid w:val="00AA2EEC"/>
    <w:rsid w:val="00AA30DC"/>
    <w:rsid w:val="00AA4A39"/>
    <w:rsid w:val="00AA5ADD"/>
    <w:rsid w:val="00AA67DA"/>
    <w:rsid w:val="00AA6B9C"/>
    <w:rsid w:val="00AB0417"/>
    <w:rsid w:val="00AB3446"/>
    <w:rsid w:val="00AB363F"/>
    <w:rsid w:val="00AC0748"/>
    <w:rsid w:val="00AC0CBC"/>
    <w:rsid w:val="00AC3F5F"/>
    <w:rsid w:val="00AC7463"/>
    <w:rsid w:val="00AD024F"/>
    <w:rsid w:val="00AD0DD1"/>
    <w:rsid w:val="00AD4EC8"/>
    <w:rsid w:val="00AD6773"/>
    <w:rsid w:val="00AE2C02"/>
    <w:rsid w:val="00AE2F68"/>
    <w:rsid w:val="00AE547E"/>
    <w:rsid w:val="00AE79AD"/>
    <w:rsid w:val="00AF069A"/>
    <w:rsid w:val="00B0656A"/>
    <w:rsid w:val="00B16612"/>
    <w:rsid w:val="00B16DA9"/>
    <w:rsid w:val="00B212D8"/>
    <w:rsid w:val="00B2522B"/>
    <w:rsid w:val="00B25D8A"/>
    <w:rsid w:val="00B27785"/>
    <w:rsid w:val="00B30134"/>
    <w:rsid w:val="00B328B9"/>
    <w:rsid w:val="00B34286"/>
    <w:rsid w:val="00B34EF2"/>
    <w:rsid w:val="00B35A96"/>
    <w:rsid w:val="00B35D8A"/>
    <w:rsid w:val="00B36BAF"/>
    <w:rsid w:val="00B41887"/>
    <w:rsid w:val="00B41B9C"/>
    <w:rsid w:val="00B428EA"/>
    <w:rsid w:val="00B533E3"/>
    <w:rsid w:val="00B54340"/>
    <w:rsid w:val="00B54A09"/>
    <w:rsid w:val="00B550C3"/>
    <w:rsid w:val="00B55A4B"/>
    <w:rsid w:val="00B55D48"/>
    <w:rsid w:val="00B56C9F"/>
    <w:rsid w:val="00B57D88"/>
    <w:rsid w:val="00B71569"/>
    <w:rsid w:val="00B724A7"/>
    <w:rsid w:val="00B72AE2"/>
    <w:rsid w:val="00B763C9"/>
    <w:rsid w:val="00B80C2A"/>
    <w:rsid w:val="00B81071"/>
    <w:rsid w:val="00B816AE"/>
    <w:rsid w:val="00B8199A"/>
    <w:rsid w:val="00B82978"/>
    <w:rsid w:val="00B82A68"/>
    <w:rsid w:val="00B842B0"/>
    <w:rsid w:val="00B85064"/>
    <w:rsid w:val="00B87413"/>
    <w:rsid w:val="00B920FF"/>
    <w:rsid w:val="00BA16C2"/>
    <w:rsid w:val="00BA48D0"/>
    <w:rsid w:val="00BA508B"/>
    <w:rsid w:val="00BA6149"/>
    <w:rsid w:val="00BB3678"/>
    <w:rsid w:val="00BB5B41"/>
    <w:rsid w:val="00BC32B6"/>
    <w:rsid w:val="00BC75EE"/>
    <w:rsid w:val="00BD1CD4"/>
    <w:rsid w:val="00BD38AA"/>
    <w:rsid w:val="00BD4693"/>
    <w:rsid w:val="00BD669E"/>
    <w:rsid w:val="00BE15B0"/>
    <w:rsid w:val="00BE4CFD"/>
    <w:rsid w:val="00BE7A53"/>
    <w:rsid w:val="00BF517F"/>
    <w:rsid w:val="00BF539E"/>
    <w:rsid w:val="00BF53E3"/>
    <w:rsid w:val="00BF595D"/>
    <w:rsid w:val="00BF69AD"/>
    <w:rsid w:val="00C02A5D"/>
    <w:rsid w:val="00C04819"/>
    <w:rsid w:val="00C04BE8"/>
    <w:rsid w:val="00C04F56"/>
    <w:rsid w:val="00C1047F"/>
    <w:rsid w:val="00C1075A"/>
    <w:rsid w:val="00C14B8D"/>
    <w:rsid w:val="00C16520"/>
    <w:rsid w:val="00C16C39"/>
    <w:rsid w:val="00C241C7"/>
    <w:rsid w:val="00C25388"/>
    <w:rsid w:val="00C273CE"/>
    <w:rsid w:val="00C2766D"/>
    <w:rsid w:val="00C27C90"/>
    <w:rsid w:val="00C31799"/>
    <w:rsid w:val="00C3459B"/>
    <w:rsid w:val="00C3703B"/>
    <w:rsid w:val="00C4306A"/>
    <w:rsid w:val="00C43E40"/>
    <w:rsid w:val="00C46B58"/>
    <w:rsid w:val="00C47F2E"/>
    <w:rsid w:val="00C50072"/>
    <w:rsid w:val="00C50FBD"/>
    <w:rsid w:val="00C614D1"/>
    <w:rsid w:val="00C63E98"/>
    <w:rsid w:val="00C66BBE"/>
    <w:rsid w:val="00C70163"/>
    <w:rsid w:val="00C7039B"/>
    <w:rsid w:val="00C738A6"/>
    <w:rsid w:val="00C76795"/>
    <w:rsid w:val="00C76CF1"/>
    <w:rsid w:val="00C83C2F"/>
    <w:rsid w:val="00C85642"/>
    <w:rsid w:val="00C945F1"/>
    <w:rsid w:val="00C95480"/>
    <w:rsid w:val="00CA5249"/>
    <w:rsid w:val="00CA5DA5"/>
    <w:rsid w:val="00CA6A92"/>
    <w:rsid w:val="00CA6D0D"/>
    <w:rsid w:val="00CB021C"/>
    <w:rsid w:val="00CB1822"/>
    <w:rsid w:val="00CB2ECA"/>
    <w:rsid w:val="00CB4C05"/>
    <w:rsid w:val="00CB58F3"/>
    <w:rsid w:val="00CC126E"/>
    <w:rsid w:val="00CC18B7"/>
    <w:rsid w:val="00CC23A3"/>
    <w:rsid w:val="00CC4453"/>
    <w:rsid w:val="00CC5154"/>
    <w:rsid w:val="00CC7F55"/>
    <w:rsid w:val="00CD1597"/>
    <w:rsid w:val="00CD2530"/>
    <w:rsid w:val="00CD49E9"/>
    <w:rsid w:val="00CD5089"/>
    <w:rsid w:val="00CD52A6"/>
    <w:rsid w:val="00CE1EDD"/>
    <w:rsid w:val="00CE28DC"/>
    <w:rsid w:val="00CE4322"/>
    <w:rsid w:val="00CE5F63"/>
    <w:rsid w:val="00CE6268"/>
    <w:rsid w:val="00CE6A37"/>
    <w:rsid w:val="00CF051B"/>
    <w:rsid w:val="00CF0B9D"/>
    <w:rsid w:val="00CF0FCE"/>
    <w:rsid w:val="00CF7B25"/>
    <w:rsid w:val="00D005DD"/>
    <w:rsid w:val="00D0165C"/>
    <w:rsid w:val="00D03FEB"/>
    <w:rsid w:val="00D07F1F"/>
    <w:rsid w:val="00D108ED"/>
    <w:rsid w:val="00D11E8F"/>
    <w:rsid w:val="00D12DDB"/>
    <w:rsid w:val="00D13C1D"/>
    <w:rsid w:val="00D170FD"/>
    <w:rsid w:val="00D173FA"/>
    <w:rsid w:val="00D315D2"/>
    <w:rsid w:val="00D418D0"/>
    <w:rsid w:val="00D43CAE"/>
    <w:rsid w:val="00D47DD7"/>
    <w:rsid w:val="00D55818"/>
    <w:rsid w:val="00D6214A"/>
    <w:rsid w:val="00D6225E"/>
    <w:rsid w:val="00D720AF"/>
    <w:rsid w:val="00D72AFD"/>
    <w:rsid w:val="00D75FEC"/>
    <w:rsid w:val="00D77CE0"/>
    <w:rsid w:val="00D82C3C"/>
    <w:rsid w:val="00D83333"/>
    <w:rsid w:val="00D84D4B"/>
    <w:rsid w:val="00D92055"/>
    <w:rsid w:val="00D929BF"/>
    <w:rsid w:val="00D92B86"/>
    <w:rsid w:val="00D9367E"/>
    <w:rsid w:val="00D96471"/>
    <w:rsid w:val="00D97579"/>
    <w:rsid w:val="00DA1867"/>
    <w:rsid w:val="00DA32B0"/>
    <w:rsid w:val="00DA3FA6"/>
    <w:rsid w:val="00DA4D03"/>
    <w:rsid w:val="00DB11BE"/>
    <w:rsid w:val="00DB36AB"/>
    <w:rsid w:val="00DB395D"/>
    <w:rsid w:val="00DB417A"/>
    <w:rsid w:val="00DB71FC"/>
    <w:rsid w:val="00DC0738"/>
    <w:rsid w:val="00DC1718"/>
    <w:rsid w:val="00DC4AE2"/>
    <w:rsid w:val="00DC5AE1"/>
    <w:rsid w:val="00DC707C"/>
    <w:rsid w:val="00DC71D0"/>
    <w:rsid w:val="00DC7E45"/>
    <w:rsid w:val="00DD08E3"/>
    <w:rsid w:val="00DD0D22"/>
    <w:rsid w:val="00DD1A9A"/>
    <w:rsid w:val="00DD654E"/>
    <w:rsid w:val="00DD77DE"/>
    <w:rsid w:val="00DE4444"/>
    <w:rsid w:val="00DE5104"/>
    <w:rsid w:val="00DE65EF"/>
    <w:rsid w:val="00DE7331"/>
    <w:rsid w:val="00DE7752"/>
    <w:rsid w:val="00DE77A5"/>
    <w:rsid w:val="00DF21A9"/>
    <w:rsid w:val="00DF2370"/>
    <w:rsid w:val="00DF26E7"/>
    <w:rsid w:val="00DF396A"/>
    <w:rsid w:val="00DF4541"/>
    <w:rsid w:val="00DF6836"/>
    <w:rsid w:val="00E013F3"/>
    <w:rsid w:val="00E10680"/>
    <w:rsid w:val="00E1178E"/>
    <w:rsid w:val="00E149E9"/>
    <w:rsid w:val="00E17029"/>
    <w:rsid w:val="00E1734C"/>
    <w:rsid w:val="00E20398"/>
    <w:rsid w:val="00E20F9D"/>
    <w:rsid w:val="00E2115E"/>
    <w:rsid w:val="00E2292D"/>
    <w:rsid w:val="00E252CF"/>
    <w:rsid w:val="00E35CEF"/>
    <w:rsid w:val="00E402FE"/>
    <w:rsid w:val="00E40CAD"/>
    <w:rsid w:val="00E40E16"/>
    <w:rsid w:val="00E4130E"/>
    <w:rsid w:val="00E43576"/>
    <w:rsid w:val="00E43D48"/>
    <w:rsid w:val="00E510AF"/>
    <w:rsid w:val="00E52E83"/>
    <w:rsid w:val="00E6110B"/>
    <w:rsid w:val="00E63FED"/>
    <w:rsid w:val="00E6540E"/>
    <w:rsid w:val="00E77B52"/>
    <w:rsid w:val="00E80C27"/>
    <w:rsid w:val="00E81F20"/>
    <w:rsid w:val="00E82DE2"/>
    <w:rsid w:val="00E830CD"/>
    <w:rsid w:val="00E87C88"/>
    <w:rsid w:val="00E9191B"/>
    <w:rsid w:val="00E92E71"/>
    <w:rsid w:val="00EA4C20"/>
    <w:rsid w:val="00EA7796"/>
    <w:rsid w:val="00EB1C70"/>
    <w:rsid w:val="00EB49BA"/>
    <w:rsid w:val="00EB5144"/>
    <w:rsid w:val="00EB636C"/>
    <w:rsid w:val="00EC018B"/>
    <w:rsid w:val="00EC0E84"/>
    <w:rsid w:val="00EC0FAB"/>
    <w:rsid w:val="00EC7EDD"/>
    <w:rsid w:val="00ED0107"/>
    <w:rsid w:val="00ED1423"/>
    <w:rsid w:val="00ED1AF4"/>
    <w:rsid w:val="00ED24EB"/>
    <w:rsid w:val="00ED417D"/>
    <w:rsid w:val="00ED45EE"/>
    <w:rsid w:val="00ED498B"/>
    <w:rsid w:val="00ED5C67"/>
    <w:rsid w:val="00ED6D14"/>
    <w:rsid w:val="00EE1D79"/>
    <w:rsid w:val="00EE3832"/>
    <w:rsid w:val="00EE6FC8"/>
    <w:rsid w:val="00EF179F"/>
    <w:rsid w:val="00EF1AF6"/>
    <w:rsid w:val="00EF360B"/>
    <w:rsid w:val="00EF4C21"/>
    <w:rsid w:val="00EF5247"/>
    <w:rsid w:val="00EF6BB7"/>
    <w:rsid w:val="00F0047A"/>
    <w:rsid w:val="00F01877"/>
    <w:rsid w:val="00F05203"/>
    <w:rsid w:val="00F0610C"/>
    <w:rsid w:val="00F066EF"/>
    <w:rsid w:val="00F06B7E"/>
    <w:rsid w:val="00F0729B"/>
    <w:rsid w:val="00F10A76"/>
    <w:rsid w:val="00F1352B"/>
    <w:rsid w:val="00F21455"/>
    <w:rsid w:val="00F22CED"/>
    <w:rsid w:val="00F232D7"/>
    <w:rsid w:val="00F2381D"/>
    <w:rsid w:val="00F2623B"/>
    <w:rsid w:val="00F30B1E"/>
    <w:rsid w:val="00F33B7A"/>
    <w:rsid w:val="00F34B47"/>
    <w:rsid w:val="00F37219"/>
    <w:rsid w:val="00F446B1"/>
    <w:rsid w:val="00F44897"/>
    <w:rsid w:val="00F47E30"/>
    <w:rsid w:val="00F502C8"/>
    <w:rsid w:val="00F505C7"/>
    <w:rsid w:val="00F54A6F"/>
    <w:rsid w:val="00F555A0"/>
    <w:rsid w:val="00F630A4"/>
    <w:rsid w:val="00F80D68"/>
    <w:rsid w:val="00F81017"/>
    <w:rsid w:val="00F85ABB"/>
    <w:rsid w:val="00F866ED"/>
    <w:rsid w:val="00F90C0E"/>
    <w:rsid w:val="00F94BB6"/>
    <w:rsid w:val="00F958BB"/>
    <w:rsid w:val="00F95AF8"/>
    <w:rsid w:val="00FA256A"/>
    <w:rsid w:val="00FA27A4"/>
    <w:rsid w:val="00FA6B99"/>
    <w:rsid w:val="00FA6C61"/>
    <w:rsid w:val="00FA7A28"/>
    <w:rsid w:val="00FB4558"/>
    <w:rsid w:val="00FC28B2"/>
    <w:rsid w:val="00FC30DC"/>
    <w:rsid w:val="00FC3255"/>
    <w:rsid w:val="00FC408D"/>
    <w:rsid w:val="00FC4D09"/>
    <w:rsid w:val="00FC6805"/>
    <w:rsid w:val="00FD0F0F"/>
    <w:rsid w:val="00FD1080"/>
    <w:rsid w:val="00FD1A3F"/>
    <w:rsid w:val="00FD57F8"/>
    <w:rsid w:val="00FD6255"/>
    <w:rsid w:val="00FE0511"/>
    <w:rsid w:val="00FE456F"/>
    <w:rsid w:val="00FF01D0"/>
    <w:rsid w:val="00FF1F92"/>
    <w:rsid w:val="00FF3230"/>
    <w:rsid w:val="00FF4E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2E2C13"/>
  <w15:chartTrackingRefBased/>
  <w15:docId w15:val="{62D71F27-7052-44EF-AEFC-EEA3CC8B2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3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31A"/>
  </w:style>
  <w:style w:type="paragraph" w:styleId="Footer">
    <w:name w:val="footer"/>
    <w:basedOn w:val="Normal"/>
    <w:link w:val="FooterChar"/>
    <w:uiPriority w:val="99"/>
    <w:unhideWhenUsed/>
    <w:rsid w:val="00487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31A"/>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8731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48731A"/>
  </w:style>
  <w:style w:type="paragraph" w:styleId="BodyTextIndent">
    <w:name w:val="Body Text Indent"/>
    <w:basedOn w:val="Normal"/>
    <w:link w:val="BodyTextIndentChar"/>
    <w:uiPriority w:val="99"/>
    <w:unhideWhenUsed/>
    <w:rsid w:val="0048731A"/>
    <w:pPr>
      <w:spacing w:after="120" w:line="360" w:lineRule="auto"/>
      <w:ind w:left="360"/>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48731A"/>
    <w:rPr>
      <w:rFonts w:ascii="Calibri" w:eastAsia="Calibri" w:hAnsi="Calibri" w:cs="Times New Roman"/>
    </w:rPr>
  </w:style>
  <w:style w:type="paragraph" w:styleId="BodyTextIndent2">
    <w:name w:val="Body Text Indent 2"/>
    <w:basedOn w:val="Normal"/>
    <w:link w:val="BodyTextIndent2Char"/>
    <w:uiPriority w:val="99"/>
    <w:unhideWhenUsed/>
    <w:rsid w:val="0048731A"/>
    <w:pPr>
      <w:spacing w:after="120" w:line="480" w:lineRule="auto"/>
      <w:ind w:left="360"/>
    </w:pPr>
  </w:style>
  <w:style w:type="character" w:customStyle="1" w:styleId="BodyTextIndent2Char">
    <w:name w:val="Body Text Indent 2 Char"/>
    <w:basedOn w:val="DefaultParagraphFont"/>
    <w:link w:val="BodyTextIndent2"/>
    <w:uiPriority w:val="99"/>
    <w:rsid w:val="0048731A"/>
  </w:style>
  <w:style w:type="character" w:customStyle="1" w:styleId="s68f5eaef">
    <w:name w:val="s68f5eaef"/>
    <w:basedOn w:val="DefaultParagraphFont"/>
    <w:rsid w:val="0048731A"/>
  </w:style>
  <w:style w:type="paragraph" w:styleId="FootnoteText">
    <w:name w:val="footnote text"/>
    <w:basedOn w:val="Normal"/>
    <w:link w:val="FootnoteTextChar"/>
    <w:uiPriority w:val="99"/>
    <w:semiHidden/>
    <w:unhideWhenUsed/>
    <w:rsid w:val="004873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31A"/>
    <w:rPr>
      <w:sz w:val="20"/>
      <w:szCs w:val="20"/>
    </w:rPr>
  </w:style>
  <w:style w:type="character" w:styleId="FootnoteReference">
    <w:name w:val="footnote reference"/>
    <w:basedOn w:val="DefaultParagraphFont"/>
    <w:uiPriority w:val="99"/>
    <w:semiHidden/>
    <w:unhideWhenUsed/>
    <w:rsid w:val="0048731A"/>
    <w:rPr>
      <w:vertAlign w:val="superscript"/>
    </w:rPr>
  </w:style>
  <w:style w:type="character" w:styleId="CommentReference">
    <w:name w:val="annotation reference"/>
    <w:basedOn w:val="DefaultParagraphFont"/>
    <w:uiPriority w:val="99"/>
    <w:semiHidden/>
    <w:unhideWhenUsed/>
    <w:rsid w:val="0048731A"/>
    <w:rPr>
      <w:sz w:val="16"/>
      <w:szCs w:val="16"/>
    </w:rPr>
  </w:style>
  <w:style w:type="paragraph" w:styleId="CommentText">
    <w:name w:val="annotation text"/>
    <w:basedOn w:val="Normal"/>
    <w:link w:val="CommentTextChar"/>
    <w:uiPriority w:val="99"/>
    <w:semiHidden/>
    <w:unhideWhenUsed/>
    <w:rsid w:val="0048731A"/>
    <w:pPr>
      <w:spacing w:line="240" w:lineRule="auto"/>
    </w:pPr>
    <w:rPr>
      <w:sz w:val="20"/>
      <w:szCs w:val="20"/>
    </w:rPr>
  </w:style>
  <w:style w:type="character" w:customStyle="1" w:styleId="CommentTextChar">
    <w:name w:val="Comment Text Char"/>
    <w:basedOn w:val="DefaultParagraphFont"/>
    <w:link w:val="CommentText"/>
    <w:uiPriority w:val="99"/>
    <w:semiHidden/>
    <w:rsid w:val="0048731A"/>
    <w:rPr>
      <w:sz w:val="20"/>
      <w:szCs w:val="20"/>
    </w:rPr>
  </w:style>
  <w:style w:type="paragraph" w:styleId="CommentSubject">
    <w:name w:val="annotation subject"/>
    <w:basedOn w:val="CommentText"/>
    <w:next w:val="CommentText"/>
    <w:link w:val="CommentSubjectChar"/>
    <w:uiPriority w:val="99"/>
    <w:semiHidden/>
    <w:unhideWhenUsed/>
    <w:rsid w:val="0048731A"/>
    <w:rPr>
      <w:b/>
      <w:bCs/>
    </w:rPr>
  </w:style>
  <w:style w:type="character" w:customStyle="1" w:styleId="CommentSubjectChar">
    <w:name w:val="Comment Subject Char"/>
    <w:basedOn w:val="CommentTextChar"/>
    <w:link w:val="CommentSubject"/>
    <w:uiPriority w:val="99"/>
    <w:semiHidden/>
    <w:rsid w:val="0048731A"/>
    <w:rPr>
      <w:b/>
      <w:bCs/>
      <w:sz w:val="20"/>
      <w:szCs w:val="20"/>
    </w:rPr>
  </w:style>
  <w:style w:type="paragraph" w:styleId="BalloonText">
    <w:name w:val="Balloon Text"/>
    <w:basedOn w:val="Normal"/>
    <w:link w:val="BalloonTextChar"/>
    <w:uiPriority w:val="99"/>
    <w:semiHidden/>
    <w:unhideWhenUsed/>
    <w:rsid w:val="004873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31A"/>
    <w:rPr>
      <w:rFonts w:ascii="Segoe UI" w:hAnsi="Segoe UI" w:cs="Segoe UI"/>
      <w:sz w:val="18"/>
      <w:szCs w:val="18"/>
    </w:rPr>
  </w:style>
  <w:style w:type="character" w:customStyle="1" w:styleId="Bodytext3">
    <w:name w:val="Body text (3)_"/>
    <w:basedOn w:val="DefaultParagraphFont"/>
    <w:link w:val="Bodytext31"/>
    <w:uiPriority w:val="99"/>
    <w:locked/>
    <w:rsid w:val="0048731A"/>
    <w:rPr>
      <w:i/>
      <w:iCs/>
      <w:shd w:val="clear" w:color="auto" w:fill="FFFFFF"/>
    </w:rPr>
  </w:style>
  <w:style w:type="paragraph" w:customStyle="1" w:styleId="Bodytext31">
    <w:name w:val="Body text (3)1"/>
    <w:basedOn w:val="Normal"/>
    <w:link w:val="Bodytext3"/>
    <w:uiPriority w:val="99"/>
    <w:rsid w:val="0048731A"/>
    <w:pPr>
      <w:shd w:val="clear" w:color="auto" w:fill="FFFFFF"/>
      <w:spacing w:before="180" w:after="0" w:line="202" w:lineRule="exact"/>
      <w:ind w:hanging="480"/>
      <w:jc w:val="both"/>
    </w:pPr>
    <w:rPr>
      <w:i/>
      <w:iCs/>
    </w:rPr>
  </w:style>
  <w:style w:type="paragraph" w:styleId="Revision">
    <w:name w:val="Revision"/>
    <w:hidden/>
    <w:uiPriority w:val="99"/>
    <w:semiHidden/>
    <w:rsid w:val="000A607D"/>
    <w:pPr>
      <w:spacing w:after="0" w:line="240" w:lineRule="auto"/>
    </w:pPr>
  </w:style>
  <w:style w:type="table" w:styleId="TableGrid">
    <w:name w:val="Table Grid"/>
    <w:basedOn w:val="TableNormal"/>
    <w:uiPriority w:val="39"/>
    <w:rsid w:val="00697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932301">
      <w:bodyDiv w:val="1"/>
      <w:marLeft w:val="0"/>
      <w:marRight w:val="0"/>
      <w:marTop w:val="0"/>
      <w:marBottom w:val="0"/>
      <w:divBdr>
        <w:top w:val="none" w:sz="0" w:space="0" w:color="auto"/>
        <w:left w:val="none" w:sz="0" w:space="0" w:color="auto"/>
        <w:bottom w:val="none" w:sz="0" w:space="0" w:color="auto"/>
        <w:right w:val="none" w:sz="0" w:space="0" w:color="auto"/>
      </w:divBdr>
    </w:div>
    <w:div w:id="207474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1DECD00D5E34754A83DDC5BE4BCA1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2026-02-10T10:23:55Z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2026-02-09T00:00:00Z</Date_x0020_protokolli>
    <Titulli xmlns="0e656187-b300-4fb0-8bf4-3a50f872073c">Me objekt shfuqizimin e vendimeve nr. 117 (86-2021-58), datë 24.2.2021 të Gjykatës Administrative të Apelit; nr. 00- 2024-3623, datë 24.9.2024 të Kolegjit Administrativ të Gjykatës së Lartë, si të papajtueshme me Kushtetutën e Republikës së Shqipërisë</Titulli>
    <Modifikuesi xmlns="0e656187-b300-4fb0-8bf4-3a50f872073c">alma.lisaku</Modifikuesi>
    <Nr_x002e__x0020_prot_x0020_QBZ xmlns="0e656187-b300-4fb0-8bf4-3a50f872073c">277/1</Nr_x002e__x0020_prot_x0020_QBZ>
    <Data_x0020_e_x0020_Modifikimit xmlns="0e656187-b300-4fb0-8bf4-3a50f872073c">2026-02-10T13:01:03Z</Data_x0020_e_x0020_Modifikimit>
    <Dekretuar xmlns="0e656187-b300-4fb0-8bf4-3a50f872073c">false</Dekretuar>
    <Data xmlns="0e656187-b300-4fb0-8bf4-3a50f872073c">2025-12-16T00:00:00Z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15A0265E-F799-4741-8707-DDC5B917EBCC}">
  <ds:schemaRefs>
    <ds:schemaRef ds:uri="http://schemas.microsoft.com/sharepoint/v3/contenttype/forms"/>
  </ds:schemaRefs>
</ds:datastoreItem>
</file>

<file path=customXml/itemProps2.xml><?xml version="1.0" encoding="utf-8"?>
<ds:datastoreItem xmlns:ds="http://schemas.openxmlformats.org/officeDocument/2006/customXml" ds:itemID="{626E3C50-31E8-403E-B693-EE7A83508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C4933F9-5601-4719-A8BC-8B6749A234A7}">
  <ds:schemaRefs>
    <ds:schemaRef ds:uri="http://purl.org/dc/terms/"/>
    <ds:schemaRef ds:uri="http://purl.org/dc/dcmitype/"/>
    <ds:schemaRef ds:uri="http://schemas.microsoft.com/office/2006/metadata/properties"/>
    <ds:schemaRef ds:uri="http://schemas.microsoft.com/office/2006/documentManagement/types"/>
    <ds:schemaRef ds:uri="http://www.w3.org/XML/1998/namespace"/>
    <ds:schemaRef ds:uri="http://purl.org/dc/elements/1.1/"/>
    <ds:schemaRef ds:uri="http://schemas.openxmlformats.org/package/2006/metadata/core-propertie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6126</Words>
  <Characters>34922</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Me objekt shfuqizimin e vendimeve nr. 117 (86-2021-58), datë 24.2.2021 të Gjykatës Administrative të Apelit; nr. 00- 2024-3623, datë 24.9.2024 të Kolegjit Administrativ të Gjykatës së Lartë, si të papajtueshme me Kushtetutën e Republikës së Shqipërisë</vt:lpstr>
    </vt:vector>
  </TitlesOfParts>
  <Company>User</Company>
  <LinksUpToDate>false</LinksUpToDate>
  <CharactersWithSpaces>40967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117 (86-2021-58), datë 24.2.2021 të Gjykatës Administrative të Apelit; nr. 00- 2024-3623, datë 24.9.2024 të Kolegjit Administrativ të Gjykatës së Lartë, si të papajtueshme me Kushtetutën e Republikës së Shqipërisë</dc:title>
  <dc:creator>Jonida Kondili</dc:creator>
  <cp:lastModifiedBy>Valeta.Kaftalli</cp:lastModifiedBy>
  <cp:revision>17</cp:revision>
  <cp:lastPrinted>2026-02-03T12:59:00Z</cp:lastPrinted>
  <dcterms:created xsi:type="dcterms:W3CDTF">2026-02-10T09:30:00Z</dcterms:created>
  <dcterms:modified xsi:type="dcterms:W3CDTF">2026-02-11T11:20:00Z</dcterms:modified>
</cp:coreProperties>
</file>