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144422" w14:textId="77777777" w:rsidR="00AA242A" w:rsidRPr="00AA242A" w:rsidRDefault="00AA242A" w:rsidP="00AA242A">
      <w:pPr>
        <w:autoSpaceDE w:val="0"/>
        <w:autoSpaceDN w:val="0"/>
        <w:adjustRightInd w:val="0"/>
        <w:spacing w:after="0" w:line="240" w:lineRule="auto"/>
        <w:ind w:firstLine="284"/>
        <w:jc w:val="center"/>
        <w:rPr>
          <w:rFonts w:ascii="Garamond" w:hAnsi="Garamond" w:cs="Times New Roman"/>
          <w:b/>
          <w:bCs/>
          <w:color w:val="000000"/>
          <w:sz w:val="24"/>
          <w:szCs w:val="24"/>
        </w:rPr>
      </w:pPr>
      <w:bookmarkStart w:id="0" w:name="_Hlk221796642"/>
      <w:r w:rsidRPr="00AA242A">
        <w:rPr>
          <w:rFonts w:ascii="Garamond" w:hAnsi="Garamond" w:cs="Times New Roman"/>
          <w:b/>
          <w:bCs/>
          <w:color w:val="000000"/>
          <w:sz w:val="24"/>
          <w:szCs w:val="24"/>
        </w:rPr>
        <w:t>VENDIM</w:t>
      </w:r>
    </w:p>
    <w:p w14:paraId="0386AFEF" w14:textId="59469EE0" w:rsidR="00AA242A" w:rsidRPr="00AA242A" w:rsidRDefault="00AA242A" w:rsidP="00AA242A">
      <w:pPr>
        <w:autoSpaceDE w:val="0"/>
        <w:autoSpaceDN w:val="0"/>
        <w:adjustRightInd w:val="0"/>
        <w:spacing w:after="0" w:line="240" w:lineRule="auto"/>
        <w:ind w:firstLine="284"/>
        <w:jc w:val="center"/>
        <w:rPr>
          <w:rFonts w:ascii="Garamond" w:hAnsi="Garamond" w:cs="Times New Roman"/>
          <w:b/>
          <w:bCs/>
          <w:color w:val="000000"/>
          <w:sz w:val="24"/>
          <w:szCs w:val="24"/>
        </w:rPr>
      </w:pPr>
      <w:r w:rsidRPr="00AA242A">
        <w:rPr>
          <w:rFonts w:ascii="Garamond" w:hAnsi="Garamond" w:cs="Times New Roman"/>
          <w:b/>
          <w:bCs/>
          <w:color w:val="000000"/>
          <w:sz w:val="24"/>
          <w:szCs w:val="24"/>
        </w:rPr>
        <w:t>Nr.</w:t>
      </w:r>
      <w:r w:rsidR="000E3BDB">
        <w:rPr>
          <w:rFonts w:ascii="Garamond" w:hAnsi="Garamond" w:cs="Times New Roman"/>
          <w:b/>
          <w:bCs/>
          <w:color w:val="000000"/>
          <w:sz w:val="24"/>
          <w:szCs w:val="24"/>
        </w:rPr>
        <w:t xml:space="preserve"> </w:t>
      </w:r>
      <w:r w:rsidRPr="00AA242A">
        <w:rPr>
          <w:rFonts w:ascii="Garamond" w:hAnsi="Garamond" w:cs="Times New Roman"/>
          <w:b/>
          <w:bCs/>
          <w:color w:val="000000"/>
          <w:sz w:val="24"/>
          <w:szCs w:val="24"/>
        </w:rPr>
        <w:t>5, datë 26.1.2026</w:t>
      </w:r>
    </w:p>
    <w:p w14:paraId="43312F6F" w14:textId="77777777" w:rsidR="00AA242A" w:rsidRDefault="00AA242A" w:rsidP="00AA242A">
      <w:pPr>
        <w:autoSpaceDE w:val="0"/>
        <w:autoSpaceDN w:val="0"/>
        <w:adjustRightInd w:val="0"/>
        <w:spacing w:after="0" w:line="240" w:lineRule="auto"/>
        <w:ind w:firstLine="284"/>
        <w:jc w:val="center"/>
        <w:rPr>
          <w:rFonts w:ascii="Garamond" w:hAnsi="Garamond" w:cs="Times New Roman"/>
          <w:b/>
          <w:bCs/>
          <w:color w:val="000000"/>
          <w:sz w:val="24"/>
          <w:szCs w:val="24"/>
        </w:rPr>
      </w:pPr>
    </w:p>
    <w:p w14:paraId="611826BC" w14:textId="5718461D" w:rsidR="00AA242A" w:rsidRPr="00AA242A" w:rsidRDefault="00AA242A" w:rsidP="00AA242A">
      <w:pPr>
        <w:autoSpaceDE w:val="0"/>
        <w:autoSpaceDN w:val="0"/>
        <w:adjustRightInd w:val="0"/>
        <w:spacing w:after="0" w:line="240" w:lineRule="auto"/>
        <w:ind w:firstLine="284"/>
        <w:jc w:val="center"/>
        <w:rPr>
          <w:rFonts w:ascii="Garamond" w:hAnsi="Garamond" w:cs="Times New Roman"/>
          <w:b/>
          <w:bCs/>
          <w:color w:val="000000"/>
          <w:sz w:val="24"/>
          <w:szCs w:val="24"/>
        </w:rPr>
      </w:pPr>
      <w:r w:rsidRPr="00AA242A">
        <w:rPr>
          <w:rFonts w:ascii="Garamond" w:hAnsi="Garamond" w:cs="Times New Roman"/>
          <w:b/>
          <w:bCs/>
          <w:color w:val="000000"/>
          <w:sz w:val="24"/>
          <w:szCs w:val="24"/>
        </w:rPr>
        <w:t>NË EMËR TË REPUBLIKËS SË SHQIPËRISË</w:t>
      </w:r>
    </w:p>
    <w:p w14:paraId="7692DC00" w14:textId="77777777" w:rsidR="00AA242A" w:rsidRPr="00AA242A" w:rsidRDefault="00AA242A" w:rsidP="00AA242A">
      <w:pPr>
        <w:autoSpaceDE w:val="0"/>
        <w:autoSpaceDN w:val="0"/>
        <w:adjustRightInd w:val="0"/>
        <w:spacing w:after="0" w:line="240" w:lineRule="auto"/>
        <w:ind w:firstLine="284"/>
        <w:jc w:val="both"/>
        <w:rPr>
          <w:rFonts w:ascii="Garamond" w:hAnsi="Garamond" w:cs="Times New Roman"/>
          <w:color w:val="000000"/>
          <w:sz w:val="24"/>
          <w:szCs w:val="24"/>
        </w:rPr>
      </w:pPr>
    </w:p>
    <w:p w14:paraId="7B0EE6CE" w14:textId="77777777" w:rsidR="00AA242A" w:rsidRPr="00AA242A" w:rsidRDefault="00AA242A" w:rsidP="00AA242A">
      <w:pPr>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90312A" w:rsidRPr="00AA242A" w14:paraId="7D781234" w14:textId="77777777" w:rsidTr="0090312A">
        <w:tc>
          <w:tcPr>
            <w:tcW w:w="2263" w:type="dxa"/>
          </w:tcPr>
          <w:p w14:paraId="1A55D178" w14:textId="77777777" w:rsidR="0090312A" w:rsidRPr="00AA242A" w:rsidRDefault="0090312A" w:rsidP="000E3BDB">
            <w:pPr>
              <w:autoSpaceDE w:val="0"/>
              <w:autoSpaceDN w:val="0"/>
              <w:adjustRightInd w:val="0"/>
              <w:jc w:val="both"/>
              <w:rPr>
                <w:rFonts w:ascii="Garamond" w:hAnsi="Garamond" w:cs="Times New Roman"/>
                <w:color w:val="000000"/>
                <w:sz w:val="24"/>
                <w:szCs w:val="24"/>
              </w:rPr>
            </w:pPr>
            <w:proofErr w:type="spellStart"/>
            <w:r w:rsidRPr="00AA242A">
              <w:rPr>
                <w:rFonts w:ascii="Garamond" w:hAnsi="Garamond" w:cs="Times New Roman"/>
                <w:color w:val="000000"/>
                <w:sz w:val="24"/>
                <w:szCs w:val="24"/>
              </w:rPr>
              <w:t>Fiona</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Papajorgji</w:t>
            </w:r>
            <w:proofErr w:type="spellEnd"/>
          </w:p>
        </w:tc>
        <w:tc>
          <w:tcPr>
            <w:tcW w:w="1276" w:type="dxa"/>
          </w:tcPr>
          <w:p w14:paraId="6951AD73" w14:textId="1812AB03" w:rsidR="0090312A" w:rsidRPr="00AA242A" w:rsidRDefault="000E3BDB" w:rsidP="000E3BDB">
            <w:pPr>
              <w:autoSpaceDE w:val="0"/>
              <w:autoSpaceDN w:val="0"/>
              <w:adjustRightInd w:val="0"/>
              <w:rPr>
                <w:rFonts w:ascii="Garamond" w:hAnsi="Garamond" w:cs="Times New Roman"/>
                <w:color w:val="000000"/>
                <w:sz w:val="24"/>
                <w:szCs w:val="24"/>
              </w:rPr>
            </w:pPr>
            <w:r w:rsidRPr="00AA242A">
              <w:rPr>
                <w:rFonts w:ascii="Garamond" w:hAnsi="Garamond" w:cs="Times New Roman"/>
                <w:color w:val="000000"/>
                <w:sz w:val="24"/>
                <w:szCs w:val="24"/>
              </w:rPr>
              <w:t>kryetare</w:t>
            </w:r>
            <w:r>
              <w:rPr>
                <w:rFonts w:ascii="Garamond" w:hAnsi="Garamond" w:cs="Times New Roman"/>
                <w:color w:val="000000"/>
                <w:sz w:val="24"/>
                <w:szCs w:val="24"/>
              </w:rPr>
              <w:t>;</w:t>
            </w:r>
          </w:p>
        </w:tc>
      </w:tr>
      <w:tr w:rsidR="0090312A" w:rsidRPr="00AA242A" w14:paraId="2EC604E0" w14:textId="77777777" w:rsidTr="0090312A">
        <w:tc>
          <w:tcPr>
            <w:tcW w:w="2263" w:type="dxa"/>
          </w:tcPr>
          <w:p w14:paraId="025F57A5" w14:textId="77777777" w:rsidR="0090312A" w:rsidRPr="00AA242A" w:rsidRDefault="0090312A" w:rsidP="000E3BDB">
            <w:pPr>
              <w:autoSpaceDE w:val="0"/>
              <w:autoSpaceDN w:val="0"/>
              <w:adjustRightInd w:val="0"/>
              <w:jc w:val="both"/>
              <w:rPr>
                <w:rFonts w:ascii="Garamond" w:hAnsi="Garamond" w:cs="Times New Roman"/>
                <w:color w:val="000000"/>
                <w:sz w:val="24"/>
                <w:szCs w:val="24"/>
              </w:rPr>
            </w:pPr>
            <w:proofErr w:type="spellStart"/>
            <w:r w:rsidRPr="00AA242A">
              <w:rPr>
                <w:rFonts w:ascii="Garamond" w:hAnsi="Garamond" w:cs="Times New Roman"/>
                <w:color w:val="000000"/>
                <w:sz w:val="24"/>
                <w:szCs w:val="24"/>
              </w:rPr>
              <w:t>Marsida</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Xhaferllari</w:t>
            </w:r>
            <w:proofErr w:type="spellEnd"/>
          </w:p>
        </w:tc>
        <w:tc>
          <w:tcPr>
            <w:tcW w:w="1276" w:type="dxa"/>
          </w:tcPr>
          <w:p w14:paraId="1EB20712" w14:textId="2074FDA7" w:rsidR="0090312A" w:rsidRPr="00AA242A" w:rsidRDefault="000E3BDB" w:rsidP="000E3BDB">
            <w:pPr>
              <w:autoSpaceDE w:val="0"/>
              <w:autoSpaceDN w:val="0"/>
              <w:adjustRightInd w:val="0"/>
              <w:rPr>
                <w:rFonts w:ascii="Garamond" w:hAnsi="Garamond" w:cs="Times New Roman"/>
                <w:color w:val="000000"/>
                <w:sz w:val="24"/>
                <w:szCs w:val="24"/>
              </w:rPr>
            </w:pPr>
            <w:r w:rsidRPr="00AA242A">
              <w:rPr>
                <w:rFonts w:ascii="Garamond" w:hAnsi="Garamond" w:cs="Times New Roman"/>
                <w:color w:val="000000"/>
                <w:sz w:val="24"/>
                <w:szCs w:val="24"/>
              </w:rPr>
              <w:t>anëtare</w:t>
            </w:r>
            <w:r>
              <w:rPr>
                <w:rFonts w:ascii="Garamond" w:hAnsi="Garamond" w:cs="Times New Roman"/>
                <w:color w:val="000000"/>
                <w:sz w:val="24"/>
                <w:szCs w:val="24"/>
              </w:rPr>
              <w:t>;</w:t>
            </w:r>
            <w:r w:rsidRPr="00AA242A">
              <w:rPr>
                <w:rFonts w:ascii="Garamond" w:hAnsi="Garamond" w:cs="Times New Roman"/>
                <w:color w:val="000000"/>
                <w:sz w:val="24"/>
                <w:szCs w:val="24"/>
              </w:rPr>
              <w:t xml:space="preserve"> </w:t>
            </w:r>
          </w:p>
        </w:tc>
      </w:tr>
      <w:tr w:rsidR="0090312A" w:rsidRPr="00AA242A" w14:paraId="631212EB" w14:textId="77777777" w:rsidTr="0090312A">
        <w:tc>
          <w:tcPr>
            <w:tcW w:w="2263" w:type="dxa"/>
          </w:tcPr>
          <w:p w14:paraId="7DB5CCDA" w14:textId="77777777" w:rsidR="0090312A" w:rsidRPr="00AA242A" w:rsidRDefault="0090312A" w:rsidP="000E3BDB">
            <w:pPr>
              <w:autoSpaceDE w:val="0"/>
              <w:autoSpaceDN w:val="0"/>
              <w:adjustRightInd w:val="0"/>
              <w:jc w:val="both"/>
              <w:rPr>
                <w:rFonts w:ascii="Garamond" w:hAnsi="Garamond" w:cs="Times New Roman"/>
                <w:color w:val="000000"/>
                <w:sz w:val="24"/>
                <w:szCs w:val="24"/>
              </w:rPr>
            </w:pPr>
            <w:proofErr w:type="spellStart"/>
            <w:r w:rsidRPr="00AA242A">
              <w:rPr>
                <w:rFonts w:ascii="Garamond" w:hAnsi="Garamond" w:cs="Times New Roman"/>
                <w:color w:val="000000"/>
                <w:sz w:val="24"/>
                <w:szCs w:val="24"/>
              </w:rPr>
              <w:t>Sonila</w:t>
            </w:r>
            <w:proofErr w:type="spellEnd"/>
            <w:r w:rsidRPr="00AA242A">
              <w:rPr>
                <w:rFonts w:ascii="Garamond" w:hAnsi="Garamond" w:cs="Times New Roman"/>
                <w:color w:val="000000"/>
                <w:sz w:val="24"/>
                <w:szCs w:val="24"/>
              </w:rPr>
              <w:t xml:space="preserve"> Bejtja</w:t>
            </w:r>
          </w:p>
        </w:tc>
        <w:tc>
          <w:tcPr>
            <w:tcW w:w="1276" w:type="dxa"/>
          </w:tcPr>
          <w:p w14:paraId="4280D256" w14:textId="2A163BB1" w:rsidR="0090312A" w:rsidRPr="00AA242A" w:rsidRDefault="000E3BDB" w:rsidP="000E3BDB">
            <w:pPr>
              <w:autoSpaceDE w:val="0"/>
              <w:autoSpaceDN w:val="0"/>
              <w:adjustRightInd w:val="0"/>
              <w:rPr>
                <w:rFonts w:ascii="Garamond" w:hAnsi="Garamond" w:cs="Times New Roman"/>
                <w:color w:val="000000"/>
                <w:sz w:val="24"/>
                <w:szCs w:val="24"/>
              </w:rPr>
            </w:pPr>
            <w:r w:rsidRPr="00AA242A">
              <w:rPr>
                <w:rFonts w:ascii="Garamond" w:hAnsi="Garamond" w:cs="Times New Roman"/>
                <w:color w:val="000000"/>
                <w:sz w:val="24"/>
                <w:szCs w:val="24"/>
              </w:rPr>
              <w:t>anëtare</w:t>
            </w:r>
            <w:r>
              <w:rPr>
                <w:rFonts w:ascii="Garamond" w:hAnsi="Garamond" w:cs="Times New Roman"/>
                <w:color w:val="000000"/>
                <w:sz w:val="24"/>
                <w:szCs w:val="24"/>
              </w:rPr>
              <w:t>;</w:t>
            </w:r>
          </w:p>
        </w:tc>
      </w:tr>
      <w:tr w:rsidR="0090312A" w:rsidRPr="00AA242A" w14:paraId="3678470C" w14:textId="77777777" w:rsidTr="0090312A">
        <w:tc>
          <w:tcPr>
            <w:tcW w:w="2263" w:type="dxa"/>
          </w:tcPr>
          <w:p w14:paraId="476CADDE" w14:textId="77777777" w:rsidR="0090312A" w:rsidRPr="00AA242A" w:rsidRDefault="0090312A" w:rsidP="000E3BDB">
            <w:pPr>
              <w:autoSpaceDE w:val="0"/>
              <w:autoSpaceDN w:val="0"/>
              <w:adjustRightInd w:val="0"/>
              <w:jc w:val="both"/>
              <w:rPr>
                <w:rFonts w:ascii="Garamond" w:hAnsi="Garamond" w:cs="Times New Roman"/>
                <w:color w:val="000000"/>
                <w:sz w:val="24"/>
                <w:szCs w:val="24"/>
              </w:rPr>
            </w:pPr>
            <w:r w:rsidRPr="00AA242A">
              <w:rPr>
                <w:rFonts w:ascii="Garamond" w:hAnsi="Garamond" w:cs="Times New Roman"/>
                <w:color w:val="000000"/>
                <w:sz w:val="24"/>
                <w:szCs w:val="24"/>
              </w:rPr>
              <w:t>Genti Ibrahimi</w:t>
            </w:r>
          </w:p>
        </w:tc>
        <w:tc>
          <w:tcPr>
            <w:tcW w:w="1276" w:type="dxa"/>
          </w:tcPr>
          <w:p w14:paraId="2F56F817" w14:textId="3452B8C0" w:rsidR="0090312A" w:rsidRPr="00AA242A" w:rsidRDefault="000E3BDB" w:rsidP="000E3BDB">
            <w:pPr>
              <w:autoSpaceDE w:val="0"/>
              <w:autoSpaceDN w:val="0"/>
              <w:adjustRightInd w:val="0"/>
              <w:rPr>
                <w:rFonts w:ascii="Garamond" w:hAnsi="Garamond" w:cs="Times New Roman"/>
                <w:color w:val="000000"/>
                <w:sz w:val="24"/>
                <w:szCs w:val="24"/>
              </w:rPr>
            </w:pPr>
            <w:r w:rsidRPr="00AA242A">
              <w:rPr>
                <w:rFonts w:ascii="Garamond" w:hAnsi="Garamond" w:cs="Times New Roman"/>
                <w:color w:val="000000"/>
                <w:sz w:val="24"/>
                <w:szCs w:val="24"/>
              </w:rPr>
              <w:t>anëtar</w:t>
            </w:r>
            <w:r>
              <w:rPr>
                <w:rFonts w:ascii="Garamond" w:hAnsi="Garamond" w:cs="Times New Roman"/>
                <w:color w:val="000000"/>
                <w:sz w:val="24"/>
                <w:szCs w:val="24"/>
              </w:rPr>
              <w:t>;</w:t>
            </w:r>
          </w:p>
        </w:tc>
      </w:tr>
      <w:tr w:rsidR="0090312A" w:rsidRPr="00AA242A" w14:paraId="5F0E61B3" w14:textId="77777777" w:rsidTr="0090312A">
        <w:tc>
          <w:tcPr>
            <w:tcW w:w="2263" w:type="dxa"/>
          </w:tcPr>
          <w:p w14:paraId="3F4A7625" w14:textId="77777777" w:rsidR="0090312A" w:rsidRPr="00AA242A" w:rsidRDefault="0090312A" w:rsidP="000E3BDB">
            <w:pPr>
              <w:autoSpaceDE w:val="0"/>
              <w:autoSpaceDN w:val="0"/>
              <w:adjustRightInd w:val="0"/>
              <w:jc w:val="both"/>
              <w:rPr>
                <w:rFonts w:ascii="Garamond" w:hAnsi="Garamond" w:cs="Times New Roman"/>
                <w:color w:val="000000"/>
                <w:sz w:val="24"/>
                <w:szCs w:val="24"/>
              </w:rPr>
            </w:pPr>
            <w:proofErr w:type="spellStart"/>
            <w:r w:rsidRPr="00AA242A">
              <w:rPr>
                <w:rFonts w:ascii="Garamond" w:hAnsi="Garamond" w:cs="Times New Roman"/>
                <w:color w:val="000000"/>
                <w:sz w:val="24"/>
                <w:szCs w:val="24"/>
              </w:rPr>
              <w:t>Marjana</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Semini</w:t>
            </w:r>
            <w:proofErr w:type="spellEnd"/>
          </w:p>
        </w:tc>
        <w:tc>
          <w:tcPr>
            <w:tcW w:w="1276" w:type="dxa"/>
          </w:tcPr>
          <w:p w14:paraId="26A33AAA" w14:textId="31FCBC09" w:rsidR="0090312A" w:rsidRPr="00AA242A" w:rsidRDefault="000E3BDB" w:rsidP="000E3BDB">
            <w:pPr>
              <w:autoSpaceDE w:val="0"/>
              <w:autoSpaceDN w:val="0"/>
              <w:adjustRightInd w:val="0"/>
              <w:rPr>
                <w:rFonts w:ascii="Garamond" w:hAnsi="Garamond" w:cs="Times New Roman"/>
                <w:color w:val="000000"/>
                <w:sz w:val="24"/>
                <w:szCs w:val="24"/>
              </w:rPr>
            </w:pPr>
            <w:r w:rsidRPr="00AA242A">
              <w:rPr>
                <w:rFonts w:ascii="Garamond" w:hAnsi="Garamond" w:cs="Times New Roman"/>
                <w:color w:val="000000"/>
                <w:sz w:val="24"/>
                <w:szCs w:val="24"/>
              </w:rPr>
              <w:t>anëtare</w:t>
            </w:r>
            <w:r>
              <w:rPr>
                <w:rFonts w:ascii="Garamond" w:hAnsi="Garamond" w:cs="Times New Roman"/>
                <w:color w:val="000000"/>
                <w:sz w:val="24"/>
                <w:szCs w:val="24"/>
              </w:rPr>
              <w:t>;</w:t>
            </w:r>
          </w:p>
        </w:tc>
      </w:tr>
      <w:tr w:rsidR="0090312A" w:rsidRPr="00AA242A" w14:paraId="2E6F750C" w14:textId="77777777" w:rsidTr="0090312A">
        <w:tc>
          <w:tcPr>
            <w:tcW w:w="2263" w:type="dxa"/>
          </w:tcPr>
          <w:p w14:paraId="45C6F6FB" w14:textId="77777777" w:rsidR="0090312A" w:rsidRPr="00AA242A" w:rsidRDefault="0090312A" w:rsidP="000E3BDB">
            <w:pPr>
              <w:autoSpaceDE w:val="0"/>
              <w:autoSpaceDN w:val="0"/>
              <w:adjustRightInd w:val="0"/>
              <w:jc w:val="both"/>
              <w:rPr>
                <w:rFonts w:ascii="Garamond" w:hAnsi="Garamond" w:cs="Times New Roman"/>
                <w:color w:val="000000"/>
                <w:sz w:val="24"/>
                <w:szCs w:val="24"/>
              </w:rPr>
            </w:pPr>
            <w:proofErr w:type="spellStart"/>
            <w:r w:rsidRPr="00AA242A">
              <w:rPr>
                <w:rFonts w:ascii="Garamond" w:hAnsi="Garamond" w:cs="Times New Roman"/>
                <w:color w:val="000000"/>
                <w:sz w:val="24"/>
                <w:szCs w:val="24"/>
              </w:rPr>
              <w:t>Asim</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Vokshi</w:t>
            </w:r>
            <w:proofErr w:type="spellEnd"/>
          </w:p>
        </w:tc>
        <w:tc>
          <w:tcPr>
            <w:tcW w:w="1276" w:type="dxa"/>
          </w:tcPr>
          <w:p w14:paraId="7CFDC4AF" w14:textId="47C66ABA" w:rsidR="0090312A" w:rsidRPr="00AA242A" w:rsidRDefault="000E3BDB" w:rsidP="000E3BDB">
            <w:pPr>
              <w:autoSpaceDE w:val="0"/>
              <w:autoSpaceDN w:val="0"/>
              <w:adjustRightInd w:val="0"/>
              <w:rPr>
                <w:rFonts w:ascii="Garamond" w:hAnsi="Garamond" w:cs="Times New Roman"/>
                <w:color w:val="000000"/>
                <w:sz w:val="24"/>
                <w:szCs w:val="24"/>
              </w:rPr>
            </w:pPr>
            <w:r w:rsidRPr="00AA242A">
              <w:rPr>
                <w:rFonts w:ascii="Garamond" w:hAnsi="Garamond" w:cs="Times New Roman"/>
                <w:color w:val="000000"/>
                <w:sz w:val="24"/>
                <w:szCs w:val="24"/>
              </w:rPr>
              <w:t>anëtar</w:t>
            </w:r>
            <w:r>
              <w:rPr>
                <w:rFonts w:ascii="Garamond" w:hAnsi="Garamond" w:cs="Times New Roman"/>
                <w:color w:val="000000"/>
                <w:sz w:val="24"/>
                <w:szCs w:val="24"/>
              </w:rPr>
              <w:t>;</w:t>
            </w:r>
          </w:p>
        </w:tc>
      </w:tr>
      <w:tr w:rsidR="0090312A" w:rsidRPr="00AA242A" w14:paraId="5B0D3C27" w14:textId="77777777" w:rsidTr="0090312A">
        <w:tc>
          <w:tcPr>
            <w:tcW w:w="2263" w:type="dxa"/>
          </w:tcPr>
          <w:p w14:paraId="04EA106D" w14:textId="77777777" w:rsidR="0090312A" w:rsidRPr="00AA242A" w:rsidRDefault="0090312A" w:rsidP="000E3BDB">
            <w:pPr>
              <w:autoSpaceDE w:val="0"/>
              <w:autoSpaceDN w:val="0"/>
              <w:adjustRightInd w:val="0"/>
              <w:jc w:val="both"/>
              <w:rPr>
                <w:rFonts w:ascii="Garamond" w:hAnsi="Garamond" w:cs="Times New Roman"/>
                <w:color w:val="000000"/>
                <w:sz w:val="24"/>
                <w:szCs w:val="24"/>
              </w:rPr>
            </w:pPr>
            <w:proofErr w:type="spellStart"/>
            <w:r w:rsidRPr="00AA242A">
              <w:rPr>
                <w:rFonts w:ascii="Garamond" w:hAnsi="Garamond" w:cs="Times New Roman"/>
                <w:color w:val="000000"/>
                <w:sz w:val="24"/>
                <w:szCs w:val="24"/>
              </w:rPr>
              <w:t>Sandër</w:t>
            </w:r>
            <w:proofErr w:type="spellEnd"/>
            <w:r w:rsidRPr="00AA242A">
              <w:rPr>
                <w:rFonts w:ascii="Garamond" w:hAnsi="Garamond" w:cs="Times New Roman"/>
                <w:color w:val="000000"/>
                <w:sz w:val="24"/>
                <w:szCs w:val="24"/>
              </w:rPr>
              <w:t xml:space="preserve"> Beci</w:t>
            </w:r>
          </w:p>
        </w:tc>
        <w:tc>
          <w:tcPr>
            <w:tcW w:w="1276" w:type="dxa"/>
          </w:tcPr>
          <w:p w14:paraId="2284C884" w14:textId="21F94A06" w:rsidR="0090312A" w:rsidRPr="00AA242A" w:rsidRDefault="000E3BDB" w:rsidP="000E3BDB">
            <w:pPr>
              <w:autoSpaceDE w:val="0"/>
              <w:autoSpaceDN w:val="0"/>
              <w:adjustRightInd w:val="0"/>
              <w:rPr>
                <w:rFonts w:ascii="Garamond" w:hAnsi="Garamond" w:cs="Times New Roman"/>
                <w:color w:val="000000"/>
                <w:sz w:val="24"/>
                <w:szCs w:val="24"/>
              </w:rPr>
            </w:pPr>
            <w:r w:rsidRPr="00AA242A">
              <w:rPr>
                <w:rFonts w:ascii="Garamond" w:hAnsi="Garamond" w:cs="Times New Roman"/>
                <w:color w:val="000000"/>
                <w:sz w:val="24"/>
                <w:szCs w:val="24"/>
              </w:rPr>
              <w:t>anëtar</w:t>
            </w:r>
            <w:r>
              <w:rPr>
                <w:rFonts w:ascii="Garamond" w:hAnsi="Garamond" w:cs="Times New Roman"/>
                <w:color w:val="000000"/>
                <w:sz w:val="24"/>
                <w:szCs w:val="24"/>
              </w:rPr>
              <w:t>,</w:t>
            </w:r>
          </w:p>
        </w:tc>
      </w:tr>
    </w:tbl>
    <w:p w14:paraId="209F31FF" w14:textId="77777777" w:rsidR="00AA242A" w:rsidRPr="00AA242A" w:rsidRDefault="00AA242A" w:rsidP="00AA242A">
      <w:pPr>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me sekretare </w:t>
      </w:r>
      <w:proofErr w:type="spellStart"/>
      <w:r w:rsidRPr="00AA242A">
        <w:rPr>
          <w:rFonts w:ascii="Garamond" w:hAnsi="Garamond" w:cs="Times New Roman"/>
          <w:color w:val="000000"/>
          <w:sz w:val="24"/>
          <w:szCs w:val="24"/>
        </w:rPr>
        <w:t>Anjeza</w:t>
      </w:r>
      <w:proofErr w:type="spellEnd"/>
      <w:r w:rsidRPr="00AA242A">
        <w:rPr>
          <w:rFonts w:ascii="Garamond" w:hAnsi="Garamond" w:cs="Times New Roman"/>
          <w:color w:val="000000"/>
          <w:sz w:val="24"/>
          <w:szCs w:val="24"/>
        </w:rPr>
        <w:t xml:space="preserve"> Puka, në datën 18.11.2025 mori në shqyrtim në seancë plenare mbi bazë të dokumenteve çështjen nr. 1 (Z) 2025 të Regjistrit Themeltar</w:t>
      </w:r>
      <w:r w:rsidRPr="00AA242A">
        <w:rPr>
          <w:rFonts w:ascii="Garamond" w:hAnsi="Garamond" w:cs="Times New Roman"/>
          <w:b/>
          <w:bCs/>
          <w:color w:val="000000"/>
          <w:sz w:val="24"/>
          <w:szCs w:val="24"/>
        </w:rPr>
        <w:t xml:space="preserve"> </w:t>
      </w:r>
      <w:r w:rsidRPr="00AA242A">
        <w:rPr>
          <w:rFonts w:ascii="Garamond" w:hAnsi="Garamond" w:cs="Times New Roman"/>
          <w:color w:val="000000"/>
          <w:sz w:val="24"/>
          <w:szCs w:val="24"/>
        </w:rPr>
        <w:t>që u përket:</w:t>
      </w:r>
    </w:p>
    <w:p w14:paraId="439E09D9" w14:textId="47CA839E"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bCs/>
          <w:color w:val="000000"/>
          <w:sz w:val="24"/>
          <w:szCs w:val="24"/>
        </w:rPr>
        <w:t>KËRKUES:</w:t>
      </w:r>
      <w:r w:rsidR="000E3BDB">
        <w:rPr>
          <w:rFonts w:ascii="Garamond" w:hAnsi="Garamond" w:cs="Times New Roman"/>
          <w:bCs/>
          <w:color w:val="000000"/>
          <w:sz w:val="24"/>
          <w:szCs w:val="24"/>
        </w:rPr>
        <w:t xml:space="preserve"> </w:t>
      </w:r>
      <w:proofErr w:type="spellStart"/>
      <w:r w:rsidR="000E3BDB" w:rsidRPr="00AA242A">
        <w:rPr>
          <w:rFonts w:ascii="Garamond" w:hAnsi="Garamond" w:cs="Times New Roman"/>
          <w:bCs/>
          <w:color w:val="000000"/>
          <w:sz w:val="24"/>
          <w:szCs w:val="24"/>
        </w:rPr>
        <w:t>Zoica</w:t>
      </w:r>
      <w:proofErr w:type="spellEnd"/>
      <w:r w:rsidR="000E3BDB" w:rsidRPr="00AA242A">
        <w:rPr>
          <w:rFonts w:ascii="Garamond" w:hAnsi="Garamond" w:cs="Times New Roman"/>
          <w:bCs/>
          <w:color w:val="000000"/>
          <w:sz w:val="24"/>
          <w:szCs w:val="24"/>
        </w:rPr>
        <w:t xml:space="preserve"> </w:t>
      </w:r>
      <w:proofErr w:type="spellStart"/>
      <w:r w:rsidR="000E3BDB" w:rsidRPr="00AA242A">
        <w:rPr>
          <w:rFonts w:ascii="Garamond" w:hAnsi="Garamond" w:cs="Times New Roman"/>
          <w:bCs/>
          <w:color w:val="000000"/>
          <w:sz w:val="24"/>
          <w:szCs w:val="24"/>
        </w:rPr>
        <w:t>Lina</w:t>
      </w:r>
      <w:proofErr w:type="spellEnd"/>
      <w:r w:rsidR="000E3BDB" w:rsidRPr="00AA242A">
        <w:rPr>
          <w:rFonts w:ascii="Garamond" w:hAnsi="Garamond" w:cs="Times New Roman"/>
          <w:bCs/>
          <w:color w:val="000000"/>
          <w:sz w:val="24"/>
          <w:szCs w:val="24"/>
        </w:rPr>
        <w:t xml:space="preserve">, </w:t>
      </w:r>
      <w:proofErr w:type="spellStart"/>
      <w:r w:rsidR="000E3BDB" w:rsidRPr="00AA242A">
        <w:rPr>
          <w:rFonts w:ascii="Garamond" w:hAnsi="Garamond" w:cs="Times New Roman"/>
          <w:bCs/>
          <w:color w:val="000000"/>
          <w:sz w:val="24"/>
          <w:szCs w:val="24"/>
        </w:rPr>
        <w:t>Ilirjan</w:t>
      </w:r>
      <w:proofErr w:type="spellEnd"/>
      <w:r w:rsidR="000E3BDB" w:rsidRPr="00AA242A">
        <w:rPr>
          <w:rFonts w:ascii="Garamond" w:hAnsi="Garamond" w:cs="Times New Roman"/>
          <w:bCs/>
          <w:color w:val="000000"/>
          <w:sz w:val="24"/>
          <w:szCs w:val="24"/>
        </w:rPr>
        <w:t xml:space="preserve"> </w:t>
      </w:r>
      <w:proofErr w:type="spellStart"/>
      <w:r w:rsidR="000E3BDB" w:rsidRPr="00AA242A">
        <w:rPr>
          <w:rFonts w:ascii="Garamond" w:hAnsi="Garamond" w:cs="Times New Roman"/>
          <w:bCs/>
          <w:color w:val="000000"/>
          <w:sz w:val="24"/>
          <w:szCs w:val="24"/>
        </w:rPr>
        <w:t>Lina</w:t>
      </w:r>
      <w:proofErr w:type="spellEnd"/>
      <w:r w:rsidRPr="00AA242A">
        <w:rPr>
          <w:rFonts w:ascii="Garamond" w:hAnsi="Garamond" w:cs="Times New Roman"/>
          <w:bCs/>
          <w:caps/>
          <w:color w:val="000000"/>
          <w:sz w:val="24"/>
          <w:szCs w:val="24"/>
        </w:rPr>
        <w:t xml:space="preserve">, </w:t>
      </w:r>
      <w:r w:rsidRPr="00AA242A">
        <w:rPr>
          <w:rFonts w:ascii="Garamond" w:hAnsi="Garamond" w:cs="Times New Roman"/>
          <w:color w:val="000000"/>
          <w:sz w:val="24"/>
          <w:szCs w:val="24"/>
        </w:rPr>
        <w:t xml:space="preserve">përfaqësuar nga avokati </w:t>
      </w:r>
      <w:proofErr w:type="spellStart"/>
      <w:r w:rsidRPr="00AA242A">
        <w:rPr>
          <w:rFonts w:ascii="Garamond" w:hAnsi="Garamond" w:cs="Times New Roman"/>
          <w:color w:val="000000"/>
          <w:sz w:val="24"/>
          <w:szCs w:val="24"/>
        </w:rPr>
        <w:t>Kostandin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Trandafili</w:t>
      </w:r>
      <w:proofErr w:type="spellEnd"/>
      <w:r w:rsidRPr="00AA242A">
        <w:rPr>
          <w:rFonts w:ascii="Garamond" w:hAnsi="Garamond" w:cs="Times New Roman"/>
          <w:color w:val="000000"/>
          <w:sz w:val="24"/>
          <w:szCs w:val="24"/>
        </w:rPr>
        <w:t>, me prokurë.</w:t>
      </w:r>
    </w:p>
    <w:p w14:paraId="2F7B443D" w14:textId="77777777"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AA242A">
        <w:rPr>
          <w:rFonts w:ascii="Garamond" w:hAnsi="Garamond" w:cs="Times New Roman"/>
          <w:bCs/>
          <w:color w:val="000000"/>
          <w:sz w:val="24"/>
          <w:szCs w:val="24"/>
        </w:rPr>
        <w:t>SUBJEKT I INTERESUAR:</w:t>
      </w:r>
    </w:p>
    <w:p w14:paraId="26F59EBF" w14:textId="7E273B3F" w:rsidR="00AA242A" w:rsidRPr="00AA242A" w:rsidRDefault="000E3BDB" w:rsidP="00AA242A">
      <w:pPr>
        <w:tabs>
          <w:tab w:val="left" w:pos="1080"/>
        </w:tabs>
        <w:autoSpaceDE w:val="0"/>
        <w:autoSpaceDN w:val="0"/>
        <w:adjustRightInd w:val="0"/>
        <w:spacing w:after="0" w:line="240" w:lineRule="auto"/>
        <w:ind w:firstLine="284"/>
        <w:jc w:val="both"/>
        <w:rPr>
          <w:rFonts w:ascii="Garamond" w:hAnsi="Garamond" w:cs="Times New Roman"/>
          <w:bCs/>
          <w:caps/>
          <w:color w:val="000000"/>
          <w:sz w:val="24"/>
          <w:szCs w:val="24"/>
        </w:rPr>
      </w:pPr>
      <w:r w:rsidRPr="00AA242A">
        <w:rPr>
          <w:rFonts w:ascii="Garamond" w:hAnsi="Garamond" w:cs="Times New Roman"/>
          <w:bCs/>
          <w:color w:val="000000"/>
          <w:sz w:val="24"/>
          <w:szCs w:val="24"/>
        </w:rPr>
        <w:t>Shoqëria e Sigurimeve “</w:t>
      </w:r>
      <w:proofErr w:type="spellStart"/>
      <w:r w:rsidRPr="00AA242A">
        <w:rPr>
          <w:rFonts w:ascii="Garamond" w:hAnsi="Garamond" w:cs="Times New Roman"/>
          <w:bCs/>
          <w:color w:val="000000"/>
          <w:sz w:val="24"/>
          <w:szCs w:val="24"/>
        </w:rPr>
        <w:t>Intersig</w:t>
      </w:r>
      <w:proofErr w:type="spellEnd"/>
      <w:r w:rsidRPr="00AA242A">
        <w:rPr>
          <w:rFonts w:ascii="Garamond" w:hAnsi="Garamond" w:cs="Times New Roman"/>
          <w:bCs/>
          <w:color w:val="000000"/>
          <w:sz w:val="24"/>
          <w:szCs w:val="24"/>
        </w:rPr>
        <w:t xml:space="preserve"> </w:t>
      </w:r>
      <w:proofErr w:type="spellStart"/>
      <w:r w:rsidRPr="00AA242A">
        <w:rPr>
          <w:rFonts w:ascii="Garamond" w:hAnsi="Garamond" w:cs="Times New Roman"/>
          <w:bCs/>
          <w:color w:val="000000"/>
          <w:sz w:val="24"/>
          <w:szCs w:val="24"/>
        </w:rPr>
        <w:t>Vienna</w:t>
      </w:r>
      <w:proofErr w:type="spellEnd"/>
      <w:r w:rsidRPr="00AA242A">
        <w:rPr>
          <w:rFonts w:ascii="Garamond" w:hAnsi="Garamond" w:cs="Times New Roman"/>
          <w:bCs/>
          <w:color w:val="000000"/>
          <w:sz w:val="24"/>
          <w:szCs w:val="24"/>
        </w:rPr>
        <w:t xml:space="preserve"> </w:t>
      </w:r>
      <w:proofErr w:type="spellStart"/>
      <w:r w:rsidRPr="00AA242A">
        <w:rPr>
          <w:rFonts w:ascii="Garamond" w:hAnsi="Garamond" w:cs="Times New Roman"/>
          <w:bCs/>
          <w:color w:val="000000"/>
          <w:sz w:val="24"/>
          <w:szCs w:val="24"/>
        </w:rPr>
        <w:t>Insurance</w:t>
      </w:r>
      <w:proofErr w:type="spellEnd"/>
      <w:r w:rsidRPr="00AA242A">
        <w:rPr>
          <w:rFonts w:ascii="Garamond" w:hAnsi="Garamond" w:cs="Times New Roman"/>
          <w:bCs/>
          <w:color w:val="000000"/>
          <w:sz w:val="24"/>
          <w:szCs w:val="24"/>
        </w:rPr>
        <w:t xml:space="preserve"> </w:t>
      </w:r>
      <w:proofErr w:type="spellStart"/>
      <w:r w:rsidRPr="00AA242A">
        <w:rPr>
          <w:rFonts w:ascii="Garamond" w:hAnsi="Garamond" w:cs="Times New Roman"/>
          <w:bCs/>
          <w:color w:val="000000"/>
          <w:sz w:val="24"/>
          <w:szCs w:val="24"/>
        </w:rPr>
        <w:t>Group</w:t>
      </w:r>
      <w:proofErr w:type="spellEnd"/>
      <w:r w:rsidRPr="00AA242A">
        <w:rPr>
          <w:rFonts w:ascii="Garamond" w:hAnsi="Garamond" w:cs="Times New Roman"/>
          <w:bCs/>
          <w:color w:val="000000"/>
          <w:sz w:val="24"/>
          <w:szCs w:val="24"/>
        </w:rPr>
        <w:t xml:space="preserve">” </w:t>
      </w:r>
      <w:proofErr w:type="spellStart"/>
      <w:r w:rsidRPr="00AA242A">
        <w:rPr>
          <w:rFonts w:ascii="Garamond" w:hAnsi="Garamond" w:cs="Times New Roman"/>
          <w:bCs/>
          <w:color w:val="000000"/>
          <w:sz w:val="24"/>
          <w:szCs w:val="24"/>
        </w:rPr>
        <w:t>sh.a</w:t>
      </w:r>
      <w:proofErr w:type="spellEnd"/>
      <w:r w:rsidRPr="00AA242A">
        <w:rPr>
          <w:rFonts w:ascii="Garamond" w:hAnsi="Garamond" w:cs="Times New Roman"/>
          <w:bCs/>
          <w:color w:val="000000"/>
          <w:sz w:val="24"/>
          <w:szCs w:val="24"/>
        </w:rPr>
        <w:t xml:space="preserve">., </w:t>
      </w:r>
      <w:r w:rsidR="00AA242A" w:rsidRPr="00AA242A">
        <w:rPr>
          <w:rFonts w:ascii="Garamond" w:hAnsi="Garamond" w:cs="Times New Roman"/>
          <w:color w:val="000000"/>
          <w:sz w:val="24"/>
          <w:szCs w:val="24"/>
        </w:rPr>
        <w:t xml:space="preserve">përfaqësuar nga avokatja Dorina </w:t>
      </w:r>
      <w:proofErr w:type="spellStart"/>
      <w:r w:rsidR="00AA242A" w:rsidRPr="00AA242A">
        <w:rPr>
          <w:rFonts w:ascii="Garamond" w:hAnsi="Garamond" w:cs="Times New Roman"/>
          <w:color w:val="000000"/>
          <w:sz w:val="24"/>
          <w:szCs w:val="24"/>
        </w:rPr>
        <w:t>Mustafaraj</w:t>
      </w:r>
      <w:proofErr w:type="spellEnd"/>
      <w:r w:rsidR="00AA242A" w:rsidRPr="00AA242A">
        <w:rPr>
          <w:rFonts w:ascii="Garamond" w:hAnsi="Garamond" w:cs="Times New Roman"/>
          <w:color w:val="000000"/>
          <w:sz w:val="24"/>
          <w:szCs w:val="24"/>
        </w:rPr>
        <w:t>, me prokurë.</w:t>
      </w:r>
    </w:p>
    <w:p w14:paraId="6A7700F9" w14:textId="616BE3FD" w:rsidR="00AA242A" w:rsidRPr="00AA242A" w:rsidRDefault="00AA242A" w:rsidP="00AA242A">
      <w:pPr>
        <w:autoSpaceDE w:val="0"/>
        <w:autoSpaceDN w:val="0"/>
        <w:adjustRightInd w:val="0"/>
        <w:spacing w:after="0" w:line="240" w:lineRule="auto"/>
        <w:ind w:firstLine="284"/>
        <w:jc w:val="both"/>
        <w:rPr>
          <w:rFonts w:ascii="Garamond" w:hAnsi="Garamond" w:cs="Times New Roman"/>
          <w:bCs/>
          <w:color w:val="000000"/>
          <w:sz w:val="24"/>
          <w:szCs w:val="24"/>
        </w:rPr>
      </w:pPr>
      <w:r w:rsidRPr="00AA242A">
        <w:rPr>
          <w:rFonts w:ascii="Garamond" w:hAnsi="Garamond" w:cs="Times New Roman"/>
          <w:bCs/>
          <w:color w:val="000000"/>
          <w:sz w:val="24"/>
          <w:szCs w:val="24"/>
        </w:rPr>
        <w:t>OBJEKTI:</w:t>
      </w:r>
      <w:r w:rsidRPr="0090312A">
        <w:rPr>
          <w:rFonts w:ascii="Garamond" w:hAnsi="Garamond" w:cs="Times New Roman"/>
          <w:bCs/>
          <w:color w:val="000000"/>
          <w:sz w:val="24"/>
          <w:szCs w:val="24"/>
        </w:rPr>
        <w:t xml:space="preserve"> </w:t>
      </w:r>
      <w:r w:rsidRPr="00AA242A">
        <w:rPr>
          <w:rFonts w:ascii="Garamond" w:hAnsi="Garamond" w:cs="Times New Roman"/>
          <w:bCs/>
          <w:color w:val="000000"/>
          <w:sz w:val="24"/>
          <w:szCs w:val="24"/>
        </w:rPr>
        <w:t>Shfuqizimi i vendimeve nr. 6791, datë 11.6.2014</w:t>
      </w:r>
      <w:r w:rsidR="00647B2D">
        <w:rPr>
          <w:rFonts w:ascii="Garamond" w:hAnsi="Garamond" w:cs="Times New Roman"/>
          <w:bCs/>
          <w:color w:val="000000"/>
          <w:sz w:val="24"/>
          <w:szCs w:val="24"/>
        </w:rPr>
        <w:t>,</w:t>
      </w:r>
      <w:r w:rsidRPr="00AA242A">
        <w:rPr>
          <w:rFonts w:ascii="Garamond" w:hAnsi="Garamond" w:cs="Times New Roman"/>
          <w:bCs/>
          <w:color w:val="000000"/>
          <w:sz w:val="24"/>
          <w:szCs w:val="24"/>
        </w:rPr>
        <w:t xml:space="preserve"> të Gjykatës së Rrethit Gjyqësor Tiranë; nr. 730, datë 4.4.2016</w:t>
      </w:r>
      <w:r w:rsidR="00647B2D">
        <w:rPr>
          <w:rFonts w:ascii="Garamond" w:hAnsi="Garamond" w:cs="Times New Roman"/>
          <w:bCs/>
          <w:color w:val="000000"/>
          <w:sz w:val="24"/>
          <w:szCs w:val="24"/>
        </w:rPr>
        <w:t>,</w:t>
      </w:r>
      <w:r w:rsidRPr="00AA242A">
        <w:rPr>
          <w:rFonts w:ascii="Garamond" w:hAnsi="Garamond" w:cs="Times New Roman"/>
          <w:bCs/>
          <w:color w:val="000000"/>
          <w:sz w:val="24"/>
          <w:szCs w:val="24"/>
        </w:rPr>
        <w:t xml:space="preserve"> të Gjykatës së Apelit Tiranë; nr. 00-2024- 3871 (394), datë 26.6.2024</w:t>
      </w:r>
      <w:r w:rsidR="00647B2D">
        <w:rPr>
          <w:rFonts w:ascii="Garamond" w:hAnsi="Garamond" w:cs="Times New Roman"/>
          <w:bCs/>
          <w:color w:val="000000"/>
          <w:sz w:val="24"/>
          <w:szCs w:val="24"/>
        </w:rPr>
        <w:t>,</w:t>
      </w:r>
      <w:r w:rsidRPr="00AA242A">
        <w:rPr>
          <w:rFonts w:ascii="Garamond" w:hAnsi="Garamond" w:cs="Times New Roman"/>
          <w:bCs/>
          <w:color w:val="000000"/>
          <w:sz w:val="24"/>
          <w:szCs w:val="24"/>
        </w:rPr>
        <w:t xml:space="preserve"> të Kolegjit Civil të Gjykatës së Lartë, si të papajtueshme me Kushtetutën e Republikës së Shqipërisë.</w:t>
      </w:r>
    </w:p>
    <w:p w14:paraId="62106ADD" w14:textId="7CBB6222"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AA242A">
        <w:rPr>
          <w:rFonts w:ascii="Garamond" w:hAnsi="Garamond" w:cs="Times New Roman"/>
          <w:bCs/>
          <w:color w:val="000000"/>
          <w:sz w:val="24"/>
          <w:szCs w:val="24"/>
        </w:rPr>
        <w:t>BAZA LIGJORE:</w:t>
      </w:r>
      <w:r w:rsidRPr="0090312A">
        <w:rPr>
          <w:rFonts w:ascii="Garamond" w:hAnsi="Garamond" w:cs="Times New Roman"/>
          <w:bCs/>
          <w:color w:val="000000"/>
          <w:sz w:val="24"/>
          <w:szCs w:val="24"/>
        </w:rPr>
        <w:t xml:space="preserve"> </w:t>
      </w:r>
      <w:r w:rsidRPr="00AA242A">
        <w:rPr>
          <w:rFonts w:ascii="Garamond" w:hAnsi="Garamond" w:cs="Times New Roman"/>
          <w:bCs/>
          <w:color w:val="000000"/>
          <w:sz w:val="24"/>
          <w:szCs w:val="24"/>
        </w:rPr>
        <w:t xml:space="preserve">Nenet 41, 42, 131, pika 1 shkronja “f” dhe 134, pika 1, shkronja “i”, të Kushtetutës së Republikës së Shqipërisë </w:t>
      </w:r>
      <w:r w:rsidRPr="00AA242A">
        <w:rPr>
          <w:rFonts w:ascii="Garamond" w:hAnsi="Garamond" w:cs="Times New Roman"/>
          <w:bCs/>
          <w:i/>
          <w:iCs/>
          <w:color w:val="000000"/>
          <w:sz w:val="24"/>
          <w:szCs w:val="24"/>
        </w:rPr>
        <w:t>(Kushtetuta)</w:t>
      </w:r>
      <w:r w:rsidRPr="00AA242A">
        <w:rPr>
          <w:rFonts w:ascii="Garamond" w:hAnsi="Garamond" w:cs="Times New Roman"/>
          <w:bCs/>
          <w:color w:val="000000"/>
          <w:sz w:val="24"/>
          <w:szCs w:val="24"/>
        </w:rPr>
        <w:t xml:space="preserve">; nenet 6, 13 dhe 14 të Konventës Evropiane për të Drejtat e Njeriut </w:t>
      </w:r>
      <w:r w:rsidRPr="00AA242A">
        <w:rPr>
          <w:rFonts w:ascii="Garamond" w:hAnsi="Garamond" w:cs="Times New Roman"/>
          <w:bCs/>
          <w:i/>
          <w:iCs/>
          <w:color w:val="000000"/>
          <w:sz w:val="24"/>
          <w:szCs w:val="24"/>
        </w:rPr>
        <w:t>(</w:t>
      </w:r>
      <w:proofErr w:type="spellStart"/>
      <w:r w:rsidRPr="00AA242A">
        <w:rPr>
          <w:rFonts w:ascii="Garamond" w:hAnsi="Garamond" w:cs="Times New Roman"/>
          <w:bCs/>
          <w:i/>
          <w:iCs/>
          <w:color w:val="000000"/>
          <w:sz w:val="24"/>
          <w:szCs w:val="24"/>
        </w:rPr>
        <w:t>KEDNJ</w:t>
      </w:r>
      <w:proofErr w:type="spellEnd"/>
      <w:r w:rsidRPr="00AA242A">
        <w:rPr>
          <w:rFonts w:ascii="Garamond" w:hAnsi="Garamond" w:cs="Times New Roman"/>
          <w:bCs/>
          <w:i/>
          <w:iCs/>
          <w:color w:val="000000"/>
          <w:sz w:val="24"/>
          <w:szCs w:val="24"/>
        </w:rPr>
        <w:t xml:space="preserve">) </w:t>
      </w:r>
      <w:r w:rsidRPr="00AA242A">
        <w:rPr>
          <w:rFonts w:ascii="Garamond" w:hAnsi="Garamond" w:cs="Times New Roman"/>
          <w:bCs/>
          <w:color w:val="000000"/>
          <w:sz w:val="24"/>
          <w:szCs w:val="24"/>
        </w:rPr>
        <w:t>dhe</w:t>
      </w:r>
      <w:r w:rsidRPr="00AA242A">
        <w:rPr>
          <w:rFonts w:ascii="Garamond" w:hAnsi="Garamond" w:cs="Times New Roman"/>
          <w:bCs/>
          <w:i/>
          <w:iCs/>
          <w:color w:val="000000"/>
          <w:sz w:val="24"/>
          <w:szCs w:val="24"/>
        </w:rPr>
        <w:t xml:space="preserve"> </w:t>
      </w:r>
      <w:r w:rsidRPr="00AA242A">
        <w:rPr>
          <w:rFonts w:ascii="Garamond" w:hAnsi="Garamond" w:cs="Times New Roman"/>
          <w:bCs/>
          <w:color w:val="000000"/>
          <w:sz w:val="24"/>
          <w:szCs w:val="24"/>
        </w:rPr>
        <w:t>neni 1 i Protokollit 12 të saj; ligji nr. 8577, datë 10.2.2000</w:t>
      </w:r>
      <w:r w:rsidR="00647B2D">
        <w:rPr>
          <w:rFonts w:ascii="Garamond" w:hAnsi="Garamond" w:cs="Times New Roman"/>
          <w:bCs/>
          <w:color w:val="000000"/>
          <w:sz w:val="24"/>
          <w:szCs w:val="24"/>
        </w:rPr>
        <w:t>,</w:t>
      </w:r>
      <w:r w:rsidRPr="00AA242A">
        <w:rPr>
          <w:rFonts w:ascii="Garamond" w:hAnsi="Garamond" w:cs="Times New Roman"/>
          <w:bCs/>
          <w:color w:val="000000"/>
          <w:sz w:val="24"/>
          <w:szCs w:val="24"/>
        </w:rPr>
        <w:t xml:space="preserve"> “Për organizimin dhe funksionimin e Gjykatës Kushtetuese të Republikës së Shqipërisë”, i ndryshuar </w:t>
      </w:r>
      <w:r w:rsidRPr="00AA242A">
        <w:rPr>
          <w:rFonts w:ascii="Garamond" w:hAnsi="Garamond" w:cs="Times New Roman"/>
          <w:bCs/>
          <w:i/>
          <w:iCs/>
          <w:color w:val="000000"/>
          <w:sz w:val="24"/>
          <w:szCs w:val="24"/>
        </w:rPr>
        <w:t>(Ligji Organik i Gjykatës).</w:t>
      </w:r>
    </w:p>
    <w:p w14:paraId="2AE09433" w14:textId="77777777" w:rsidR="00AA242A" w:rsidRPr="00AA242A" w:rsidRDefault="00AA242A" w:rsidP="00AA242A">
      <w:pPr>
        <w:autoSpaceDE w:val="0"/>
        <w:autoSpaceDN w:val="0"/>
        <w:adjustRightInd w:val="0"/>
        <w:spacing w:after="0" w:line="240" w:lineRule="auto"/>
        <w:ind w:firstLine="284"/>
        <w:jc w:val="center"/>
        <w:rPr>
          <w:rFonts w:ascii="Garamond" w:hAnsi="Garamond" w:cs="Calibri"/>
          <w:bCs/>
          <w:color w:val="000000"/>
          <w:sz w:val="24"/>
          <w:szCs w:val="24"/>
        </w:rPr>
      </w:pPr>
    </w:p>
    <w:p w14:paraId="04A2424C" w14:textId="77777777" w:rsidR="00AA242A" w:rsidRPr="00AA242A" w:rsidRDefault="00AA242A" w:rsidP="00AA242A">
      <w:pPr>
        <w:autoSpaceDE w:val="0"/>
        <w:autoSpaceDN w:val="0"/>
        <w:adjustRightInd w:val="0"/>
        <w:spacing w:after="0" w:line="240" w:lineRule="auto"/>
        <w:ind w:firstLine="284"/>
        <w:jc w:val="center"/>
        <w:rPr>
          <w:rFonts w:ascii="Garamond" w:hAnsi="Garamond" w:cs="Times New Roman"/>
          <w:bCs/>
          <w:color w:val="000000"/>
          <w:sz w:val="24"/>
          <w:szCs w:val="24"/>
        </w:rPr>
      </w:pPr>
      <w:r w:rsidRPr="00AA242A">
        <w:rPr>
          <w:rFonts w:ascii="Garamond" w:hAnsi="Garamond" w:cs="Times New Roman"/>
          <w:bCs/>
          <w:color w:val="000000"/>
          <w:sz w:val="24"/>
          <w:szCs w:val="24"/>
        </w:rPr>
        <w:t>GJYKATA KUSHTETUESE,</w:t>
      </w:r>
    </w:p>
    <w:p w14:paraId="1294A5C9" w14:textId="77777777" w:rsidR="0090312A" w:rsidRDefault="009031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5FD601F3" w14:textId="4F20F37C"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pasi dëgjoi relatorin e çështjes </w:t>
      </w:r>
      <w:proofErr w:type="spellStart"/>
      <w:r w:rsidRPr="00AA242A">
        <w:rPr>
          <w:rFonts w:ascii="Garamond" w:hAnsi="Garamond" w:cs="Times New Roman"/>
          <w:color w:val="000000"/>
          <w:sz w:val="24"/>
          <w:szCs w:val="24"/>
        </w:rPr>
        <w:t>Sandër</w:t>
      </w:r>
      <w:proofErr w:type="spellEnd"/>
      <w:r w:rsidRPr="00AA242A">
        <w:rPr>
          <w:rFonts w:ascii="Garamond" w:hAnsi="Garamond" w:cs="Times New Roman"/>
          <w:color w:val="000000"/>
          <w:sz w:val="24"/>
          <w:szCs w:val="24"/>
        </w:rPr>
        <w:t xml:space="preserve"> Beci, mori në shqyrtim pretendimet e kërkuesve </w:t>
      </w:r>
      <w:proofErr w:type="spellStart"/>
      <w:r w:rsidRPr="00AA242A">
        <w:rPr>
          <w:rFonts w:ascii="Garamond" w:hAnsi="Garamond" w:cs="Times New Roman"/>
          <w:color w:val="000000"/>
          <w:sz w:val="24"/>
          <w:szCs w:val="24"/>
        </w:rPr>
        <w:t>Zoica</w:t>
      </w:r>
      <w:proofErr w:type="spellEnd"/>
      <w:r w:rsidRPr="00AA242A">
        <w:rPr>
          <w:rFonts w:ascii="Garamond" w:hAnsi="Garamond" w:cs="Times New Roman"/>
          <w:color w:val="000000"/>
          <w:sz w:val="24"/>
          <w:szCs w:val="24"/>
        </w:rPr>
        <w:t xml:space="preserve"> dhe </w:t>
      </w:r>
      <w:proofErr w:type="spellStart"/>
      <w:r w:rsidRPr="00AA242A">
        <w:rPr>
          <w:rFonts w:ascii="Garamond" w:hAnsi="Garamond" w:cs="Times New Roman"/>
          <w:color w:val="000000"/>
          <w:sz w:val="24"/>
          <w:szCs w:val="24"/>
        </w:rPr>
        <w:t>Ilirjan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w:t>
      </w:r>
      <w:r w:rsidRPr="00AA242A">
        <w:rPr>
          <w:rFonts w:ascii="Garamond" w:hAnsi="Garamond" w:cs="Times New Roman"/>
          <w:i/>
          <w:iCs/>
          <w:color w:val="000000"/>
          <w:sz w:val="24"/>
          <w:szCs w:val="24"/>
        </w:rPr>
        <w:t>(kërkuesit)</w:t>
      </w:r>
      <w:r w:rsidRPr="00AA242A">
        <w:rPr>
          <w:rFonts w:ascii="Garamond" w:hAnsi="Garamond" w:cs="Times New Roman"/>
          <w:color w:val="000000"/>
          <w:sz w:val="24"/>
          <w:szCs w:val="24"/>
        </w:rPr>
        <w:t>, të cilët kanë kërkuar pranimin e kërkesës, prapësimet e subjektit të interesuar, shoqërisë së sigurimeve “</w:t>
      </w:r>
      <w:proofErr w:type="spellStart"/>
      <w:r w:rsidRPr="00AA242A">
        <w:rPr>
          <w:rFonts w:ascii="Garamond" w:hAnsi="Garamond" w:cs="Times New Roman"/>
          <w:color w:val="000000"/>
          <w:sz w:val="24"/>
          <w:szCs w:val="24"/>
        </w:rPr>
        <w:t>Intersig</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Vienna</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Insurance</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Group</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sh.a</w:t>
      </w:r>
      <w:proofErr w:type="spellEnd"/>
      <w:r w:rsidRPr="00AA242A">
        <w:rPr>
          <w:rFonts w:ascii="Garamond" w:hAnsi="Garamond" w:cs="Times New Roman"/>
          <w:color w:val="000000"/>
          <w:sz w:val="24"/>
          <w:szCs w:val="24"/>
        </w:rPr>
        <w:t xml:space="preserve">. </w:t>
      </w:r>
      <w:r w:rsidRPr="00AA242A">
        <w:rPr>
          <w:rFonts w:ascii="Garamond" w:hAnsi="Garamond" w:cs="Times New Roman"/>
          <w:i/>
          <w:iCs/>
          <w:color w:val="000000"/>
          <w:sz w:val="24"/>
          <w:szCs w:val="24"/>
        </w:rPr>
        <w:t>(shoqëria e sigurimeve)</w:t>
      </w:r>
      <w:r w:rsidR="00204BD1">
        <w:rPr>
          <w:rFonts w:ascii="Garamond" w:hAnsi="Garamond" w:cs="Times New Roman"/>
          <w:i/>
          <w:iCs/>
          <w:color w:val="000000"/>
          <w:sz w:val="24"/>
          <w:szCs w:val="24"/>
        </w:rPr>
        <w:t>,</w:t>
      </w:r>
      <w:r w:rsidRPr="00AA242A">
        <w:rPr>
          <w:rFonts w:ascii="Garamond" w:hAnsi="Garamond" w:cs="Times New Roman"/>
          <w:color w:val="000000"/>
          <w:sz w:val="24"/>
          <w:szCs w:val="24"/>
        </w:rPr>
        <w:t xml:space="preserve"> që ka kërkuar rrëzimin e kërkesës, si dhe diskutoi çështjen në tërësi,</w:t>
      </w:r>
    </w:p>
    <w:p w14:paraId="3015A4CA" w14:textId="77777777"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495FA73C" w14:textId="695DE698" w:rsidR="00AA242A" w:rsidRPr="00AA242A" w:rsidRDefault="00AA242A" w:rsidP="00AA242A">
      <w:pPr>
        <w:autoSpaceDE w:val="0"/>
        <w:autoSpaceDN w:val="0"/>
        <w:adjustRightInd w:val="0"/>
        <w:spacing w:after="0" w:line="240" w:lineRule="auto"/>
        <w:ind w:firstLine="284"/>
        <w:jc w:val="center"/>
        <w:rPr>
          <w:rFonts w:ascii="Garamond" w:hAnsi="Garamond" w:cs="Times New Roman"/>
          <w:bCs/>
          <w:i/>
          <w:iCs/>
          <w:color w:val="000000"/>
          <w:sz w:val="24"/>
          <w:szCs w:val="24"/>
        </w:rPr>
      </w:pPr>
      <w:r w:rsidRPr="00AA242A">
        <w:rPr>
          <w:rFonts w:ascii="Garamond" w:hAnsi="Garamond" w:cs="Times New Roman"/>
          <w:bCs/>
          <w:color w:val="000000"/>
          <w:sz w:val="24"/>
          <w:szCs w:val="24"/>
        </w:rPr>
        <w:t>VËREN:</w:t>
      </w:r>
    </w:p>
    <w:p w14:paraId="456EE4A7" w14:textId="77777777" w:rsidR="0090312A" w:rsidRDefault="0090312A" w:rsidP="00AA242A">
      <w:pPr>
        <w:autoSpaceDE w:val="0"/>
        <w:autoSpaceDN w:val="0"/>
        <w:adjustRightInd w:val="0"/>
        <w:spacing w:after="0" w:line="240" w:lineRule="auto"/>
        <w:ind w:firstLine="284"/>
        <w:jc w:val="center"/>
        <w:rPr>
          <w:rFonts w:ascii="Garamond" w:hAnsi="Garamond" w:cs="Times New Roman"/>
          <w:b/>
          <w:bCs/>
          <w:color w:val="000000"/>
          <w:sz w:val="24"/>
          <w:szCs w:val="24"/>
        </w:rPr>
      </w:pPr>
    </w:p>
    <w:p w14:paraId="759F7811" w14:textId="6BA8CA89" w:rsidR="00AA242A" w:rsidRPr="00AA242A" w:rsidRDefault="00AA242A" w:rsidP="00AA242A">
      <w:pPr>
        <w:autoSpaceDE w:val="0"/>
        <w:autoSpaceDN w:val="0"/>
        <w:adjustRightInd w:val="0"/>
        <w:spacing w:after="0" w:line="240" w:lineRule="auto"/>
        <w:ind w:firstLine="284"/>
        <w:jc w:val="center"/>
        <w:rPr>
          <w:rFonts w:ascii="Garamond" w:hAnsi="Garamond" w:cs="Times New Roman"/>
          <w:b/>
          <w:bCs/>
          <w:color w:val="000000"/>
          <w:sz w:val="24"/>
          <w:szCs w:val="24"/>
        </w:rPr>
      </w:pPr>
      <w:r w:rsidRPr="00AA242A">
        <w:rPr>
          <w:rFonts w:ascii="Garamond" w:hAnsi="Garamond" w:cs="Times New Roman"/>
          <w:b/>
          <w:bCs/>
          <w:color w:val="000000"/>
          <w:sz w:val="24"/>
          <w:szCs w:val="24"/>
        </w:rPr>
        <w:t>I</w:t>
      </w:r>
    </w:p>
    <w:p w14:paraId="01CE2B20" w14:textId="77777777" w:rsidR="00AA242A" w:rsidRPr="00AA242A" w:rsidRDefault="00AA242A" w:rsidP="00AA242A">
      <w:pPr>
        <w:autoSpaceDE w:val="0"/>
        <w:autoSpaceDN w:val="0"/>
        <w:adjustRightInd w:val="0"/>
        <w:spacing w:after="0" w:line="240" w:lineRule="auto"/>
        <w:ind w:firstLine="284"/>
        <w:jc w:val="center"/>
        <w:rPr>
          <w:rFonts w:ascii="Garamond" w:hAnsi="Garamond" w:cs="Times New Roman"/>
          <w:b/>
          <w:bCs/>
          <w:color w:val="000000"/>
          <w:sz w:val="24"/>
          <w:szCs w:val="24"/>
        </w:rPr>
      </w:pPr>
      <w:r w:rsidRPr="00AA242A">
        <w:rPr>
          <w:rFonts w:ascii="Garamond" w:hAnsi="Garamond" w:cs="Times New Roman"/>
          <w:b/>
          <w:bCs/>
          <w:color w:val="000000"/>
          <w:sz w:val="24"/>
          <w:szCs w:val="24"/>
        </w:rPr>
        <w:t>Rrethanat e çështjes</w:t>
      </w:r>
    </w:p>
    <w:p w14:paraId="14E6B825" w14:textId="77777777" w:rsidR="0090312A" w:rsidRDefault="009031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5D592358" w14:textId="3625D9BA"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1. Kërkuesit janë familjarët e trashëgimlënësit </w:t>
      </w:r>
      <w:proofErr w:type="spellStart"/>
      <w:r w:rsidRPr="00AA242A">
        <w:rPr>
          <w:rFonts w:ascii="Garamond" w:hAnsi="Garamond" w:cs="Times New Roman"/>
          <w:color w:val="000000"/>
          <w:sz w:val="24"/>
          <w:szCs w:val="24"/>
        </w:rPr>
        <w:t>Kristaq</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që ka qenë bashkëshorti i kërkueses dhe i ati i kërkuesit, ndërsa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ka qenë respektivisht djali i kërkueses dhe vëllai i kërkuesit. Në datën 9.4.2007 ata kanë qenë duke udhëtuar me biçikletë në aksin rrugor Seman-Fier, kur janë goditur nga një automjet i drejtuar nga shtetasi </w:t>
      </w:r>
      <w:proofErr w:type="spellStart"/>
      <w:r w:rsidRPr="00AA242A">
        <w:rPr>
          <w:rFonts w:ascii="Garamond" w:hAnsi="Garamond" w:cs="Times New Roman"/>
          <w:color w:val="000000"/>
          <w:sz w:val="24"/>
          <w:szCs w:val="24"/>
        </w:rPr>
        <w:t>A.K</w:t>
      </w:r>
      <w:proofErr w:type="spellEnd"/>
      <w:r w:rsidRPr="00AA242A">
        <w:rPr>
          <w:rFonts w:ascii="Garamond" w:hAnsi="Garamond" w:cs="Times New Roman"/>
          <w:color w:val="000000"/>
          <w:sz w:val="24"/>
          <w:szCs w:val="24"/>
        </w:rPr>
        <w:t xml:space="preserve">. Si pasojë e këtij aksidenti, një muaj më pas, në datën 8.5.2007, </w:t>
      </w:r>
      <w:proofErr w:type="spellStart"/>
      <w:r w:rsidRPr="00AA242A">
        <w:rPr>
          <w:rFonts w:ascii="Garamond" w:hAnsi="Garamond" w:cs="Times New Roman"/>
          <w:color w:val="000000"/>
          <w:sz w:val="24"/>
          <w:szCs w:val="24"/>
        </w:rPr>
        <w:t>Kristaq</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ka humbur jetën. Ndërsa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fillimisht ka pësuar dëmtime të rënda të klasifikuara si plagosje e rëndë, duke humbur plotësisht aftësinë për punë dhe më pas, në datën 10.3.2011, ai ka kryer vetëvrasje. </w:t>
      </w:r>
    </w:p>
    <w:p w14:paraId="3FADD411" w14:textId="71517A09"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2. Në vijim të aksidentit të ndodhur është zhvilluar një proces gjyqësor penal ndaj shtetasit </w:t>
      </w:r>
      <w:proofErr w:type="spellStart"/>
      <w:r w:rsidRPr="00AA242A">
        <w:rPr>
          <w:rFonts w:ascii="Garamond" w:hAnsi="Garamond" w:cs="Times New Roman"/>
          <w:color w:val="000000"/>
          <w:sz w:val="24"/>
          <w:szCs w:val="24"/>
        </w:rPr>
        <w:t>A.K</w:t>
      </w:r>
      <w:proofErr w:type="spellEnd"/>
      <w:r w:rsidRPr="00AA242A">
        <w:rPr>
          <w:rFonts w:ascii="Garamond" w:hAnsi="Garamond" w:cs="Times New Roman"/>
          <w:color w:val="000000"/>
          <w:sz w:val="24"/>
          <w:szCs w:val="24"/>
        </w:rPr>
        <w:t xml:space="preserve">. (drejtuesi i automjetit), duke e akuzuar për kryerjen e veprës penale “Shkelja e rregullave të </w:t>
      </w:r>
      <w:r w:rsidRPr="00AA242A">
        <w:rPr>
          <w:rFonts w:ascii="Garamond" w:hAnsi="Garamond" w:cs="Times New Roman"/>
          <w:color w:val="000000"/>
          <w:sz w:val="24"/>
          <w:szCs w:val="24"/>
        </w:rPr>
        <w:lastRenderedPageBreak/>
        <w:t xml:space="preserve">qarkullimit rrugor”, të parashikuar nga neni 290/2 i Kodit Penal </w:t>
      </w:r>
      <w:r w:rsidRPr="00AA242A">
        <w:rPr>
          <w:rFonts w:ascii="Garamond" w:hAnsi="Garamond" w:cs="Times New Roman"/>
          <w:i/>
          <w:iCs/>
          <w:color w:val="000000"/>
          <w:sz w:val="24"/>
          <w:szCs w:val="24"/>
        </w:rPr>
        <w:t>(</w:t>
      </w:r>
      <w:proofErr w:type="spellStart"/>
      <w:r w:rsidRPr="00AA242A">
        <w:rPr>
          <w:rFonts w:ascii="Garamond" w:hAnsi="Garamond" w:cs="Times New Roman"/>
          <w:i/>
          <w:iCs/>
          <w:color w:val="000000"/>
          <w:sz w:val="24"/>
          <w:szCs w:val="24"/>
        </w:rPr>
        <w:t>KP</w:t>
      </w:r>
      <w:proofErr w:type="spellEnd"/>
      <w:r w:rsidRPr="00AA242A">
        <w:rPr>
          <w:rFonts w:ascii="Garamond" w:hAnsi="Garamond" w:cs="Times New Roman"/>
          <w:i/>
          <w:iCs/>
          <w:color w:val="000000"/>
          <w:sz w:val="24"/>
          <w:szCs w:val="24"/>
        </w:rPr>
        <w:t xml:space="preserve">). </w:t>
      </w:r>
      <w:r w:rsidRPr="00AA242A">
        <w:rPr>
          <w:rFonts w:ascii="Garamond" w:hAnsi="Garamond" w:cs="Times New Roman"/>
          <w:color w:val="000000"/>
          <w:sz w:val="24"/>
          <w:szCs w:val="24"/>
        </w:rPr>
        <w:t xml:space="preserve">Gjatë procesit gjyqësor penal, nga gjykatat e juridiksionit të zakonshëm është caktuar edhe një ekspert mjeko-ligjor, që ka arritur në përfundimin se shkaku i vdekjes së shtetasit </w:t>
      </w:r>
      <w:proofErr w:type="spellStart"/>
      <w:r w:rsidRPr="00AA242A">
        <w:rPr>
          <w:rFonts w:ascii="Garamond" w:hAnsi="Garamond" w:cs="Times New Roman"/>
          <w:color w:val="000000"/>
          <w:sz w:val="24"/>
          <w:szCs w:val="24"/>
        </w:rPr>
        <w:t>Kristaq</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ka qenë përplasja me makinë. Nga akti i ekspertimit mjeko-ligjor për shtetasin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janë evidentuar </w:t>
      </w:r>
      <w:proofErr w:type="spellStart"/>
      <w:r w:rsidRPr="00AA242A">
        <w:rPr>
          <w:rFonts w:ascii="Garamond" w:hAnsi="Garamond" w:cs="Times New Roman"/>
          <w:color w:val="000000"/>
          <w:sz w:val="24"/>
          <w:szCs w:val="24"/>
        </w:rPr>
        <w:t>politrauma</w:t>
      </w:r>
      <w:proofErr w:type="spellEnd"/>
      <w:r w:rsidRPr="00AA242A">
        <w:rPr>
          <w:rFonts w:ascii="Garamond" w:hAnsi="Garamond" w:cs="Times New Roman"/>
          <w:color w:val="000000"/>
          <w:sz w:val="24"/>
          <w:szCs w:val="24"/>
        </w:rPr>
        <w:t xml:space="preserve"> me gjendje shoku </w:t>
      </w:r>
      <w:proofErr w:type="spellStart"/>
      <w:r w:rsidRPr="00AA242A">
        <w:rPr>
          <w:rFonts w:ascii="Garamond" w:hAnsi="Garamond" w:cs="Times New Roman"/>
          <w:color w:val="000000"/>
          <w:sz w:val="24"/>
          <w:szCs w:val="24"/>
        </w:rPr>
        <w:t>traumatik</w:t>
      </w:r>
      <w:proofErr w:type="spellEnd"/>
      <w:r w:rsidRPr="00AA242A">
        <w:rPr>
          <w:rFonts w:ascii="Garamond" w:hAnsi="Garamond" w:cs="Times New Roman"/>
          <w:color w:val="000000"/>
          <w:sz w:val="24"/>
          <w:szCs w:val="24"/>
        </w:rPr>
        <w:t xml:space="preserve">, tronditje e rëndë e trurit e shoqëruar me koma cerebrale </w:t>
      </w:r>
      <w:proofErr w:type="spellStart"/>
      <w:r w:rsidRPr="00AA242A">
        <w:rPr>
          <w:rFonts w:ascii="Garamond" w:hAnsi="Garamond" w:cs="Times New Roman"/>
          <w:color w:val="000000"/>
          <w:sz w:val="24"/>
          <w:szCs w:val="24"/>
        </w:rPr>
        <w:t>traumatike</w:t>
      </w:r>
      <w:proofErr w:type="spellEnd"/>
      <w:r w:rsidRPr="00AA242A">
        <w:rPr>
          <w:rFonts w:ascii="Garamond" w:hAnsi="Garamond" w:cs="Times New Roman"/>
          <w:color w:val="000000"/>
          <w:sz w:val="24"/>
          <w:szCs w:val="24"/>
        </w:rPr>
        <w:t xml:space="preserve"> dhe dëmtime të tjera, që të gjitha së bashku kanë qenë të rrezikshme për jetën. Për shtetasin </w:t>
      </w:r>
      <w:proofErr w:type="spellStart"/>
      <w:r w:rsidRPr="00AA242A">
        <w:rPr>
          <w:rFonts w:ascii="Garamond" w:hAnsi="Garamond" w:cs="Times New Roman"/>
          <w:color w:val="000000"/>
          <w:sz w:val="24"/>
          <w:szCs w:val="24"/>
        </w:rPr>
        <w:t>A.K</w:t>
      </w:r>
      <w:proofErr w:type="spellEnd"/>
      <w:r w:rsidRPr="00AA242A">
        <w:rPr>
          <w:rFonts w:ascii="Garamond" w:hAnsi="Garamond" w:cs="Times New Roman"/>
          <w:color w:val="000000"/>
          <w:sz w:val="24"/>
          <w:szCs w:val="24"/>
        </w:rPr>
        <w:t xml:space="preserve">., me vendim përfundimtar të Kolegjit Penal të Gjykatës së Lartë, është vendosur deklarimi fajtor për kryerjen e veprës penale shkelja e rregullave të qarkullimit rrugor, duke u dënuar përfundimisht, në aplikim të gjykimit të shkurtuar, me 3 vjet e 4 muaj burgim. Në bazë të nenit 59 të </w:t>
      </w:r>
      <w:proofErr w:type="spellStart"/>
      <w:r w:rsidRPr="00AA242A">
        <w:rPr>
          <w:rFonts w:ascii="Garamond" w:hAnsi="Garamond" w:cs="Times New Roman"/>
          <w:color w:val="000000"/>
          <w:sz w:val="24"/>
          <w:szCs w:val="24"/>
        </w:rPr>
        <w:t>KP</w:t>
      </w:r>
      <w:proofErr w:type="spellEnd"/>
      <w:r w:rsidRPr="00AA242A">
        <w:rPr>
          <w:rFonts w:ascii="Garamond" w:hAnsi="Garamond" w:cs="Times New Roman"/>
          <w:color w:val="000000"/>
          <w:sz w:val="24"/>
          <w:szCs w:val="24"/>
        </w:rPr>
        <w:t>-së është vendosur pezullimi i ekzekutimit të dënimit, duke u vënë në shërbim prove për një afat prej 3 vjetësh.</w:t>
      </w:r>
    </w:p>
    <w:p w14:paraId="0AAD6CA4" w14:textId="01D6C75A"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3. Automjeti i drejtuar nga shtetasi </w:t>
      </w:r>
      <w:proofErr w:type="spellStart"/>
      <w:r w:rsidRPr="00AA242A">
        <w:rPr>
          <w:rFonts w:ascii="Garamond" w:hAnsi="Garamond" w:cs="Times New Roman"/>
          <w:color w:val="000000"/>
          <w:sz w:val="24"/>
          <w:szCs w:val="24"/>
        </w:rPr>
        <w:t>A.K</w:t>
      </w:r>
      <w:proofErr w:type="spellEnd"/>
      <w:r w:rsidRPr="00AA242A">
        <w:rPr>
          <w:rFonts w:ascii="Garamond" w:hAnsi="Garamond" w:cs="Times New Roman"/>
          <w:color w:val="000000"/>
          <w:sz w:val="24"/>
          <w:szCs w:val="24"/>
        </w:rPr>
        <w:t>., që ka shkaktuar aksidentin, ka qenë i siguruar pranë shoqërisë së sigurimit/subjekti i interesuar me policën e sigurimit të detyrueshëm të mbajtësve të mjeteve motorike për përgjegjësi ndaj palëve të treta me afat nga 22.4.2006 deri në 21.4.2007. Duke qenë se aksidenti ka ndodhur në datën 9.4.2007, dëmi i ardhur si pasojë e tij do të mbulohej nga polica e sigurimit.</w:t>
      </w:r>
    </w:p>
    <w:p w14:paraId="3A2D8899" w14:textId="060BECA7"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4. Për kërkimin e shpërblimit të dëmit të shkaktuar si pasojë e aksidentit, kërkuesit në datën 2.4.2009 i janë drejtuar Gjykatës së Rrethit Gjyqësor Tiranë me kërkesëpadi me objekt detyrimin e subjektit të interesuar/shoqërisë së sigurimit për të paguar në favor të tyre dëmin pasuror dhe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si dhe shpenzimet e tjera të arsyeshme e të nevojshme në shumën totale 24.516.263 lekë, kamatëvonesat për shkak të dëmit të shkaktuar nga aksidenti, që sipas tyre ishte në shumën 7.595.286 lekë, si dhe interesat ditore mbi këtë shumë deri në ekzekutim. Eksperti i caktuar nga gjykata e shkallës së parë për nxjerrjen e vlerës financiare për dëmin pasuror dhe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i është referuar dekretit nr. 295, datë 15.9.1992</w:t>
      </w:r>
      <w:r w:rsidR="00647B2D">
        <w:rPr>
          <w:rFonts w:ascii="Garamond" w:hAnsi="Garamond" w:cs="Times New Roman"/>
          <w:color w:val="000000"/>
          <w:sz w:val="24"/>
          <w:szCs w:val="24"/>
        </w:rPr>
        <w:t>,</w:t>
      </w:r>
      <w:r w:rsidRPr="00AA242A">
        <w:rPr>
          <w:rFonts w:ascii="Garamond" w:hAnsi="Garamond" w:cs="Times New Roman"/>
          <w:color w:val="000000"/>
          <w:sz w:val="24"/>
          <w:szCs w:val="24"/>
        </w:rPr>
        <w:t xml:space="preserve"> “Për sigurimin e detyrueshëm të mbajtësve të mjeteve motorike për përgjegjësinë ndaj palëve të treta” </w:t>
      </w:r>
      <w:r w:rsidRPr="00AA242A">
        <w:rPr>
          <w:rFonts w:ascii="Garamond" w:hAnsi="Garamond" w:cs="Times New Roman"/>
          <w:i/>
          <w:iCs/>
          <w:color w:val="000000"/>
          <w:sz w:val="24"/>
          <w:szCs w:val="24"/>
        </w:rPr>
        <w:t xml:space="preserve">(dekreti nr. 295/1992), </w:t>
      </w:r>
      <w:r w:rsidRPr="00AA242A">
        <w:rPr>
          <w:rFonts w:ascii="Garamond" w:hAnsi="Garamond" w:cs="Times New Roman"/>
          <w:color w:val="000000"/>
          <w:sz w:val="24"/>
          <w:szCs w:val="24"/>
        </w:rPr>
        <w:t>rregullores nr. 622/1, datë 15.12.1992</w:t>
      </w:r>
      <w:r w:rsidR="00647B2D">
        <w:rPr>
          <w:rFonts w:ascii="Garamond" w:hAnsi="Garamond" w:cs="Times New Roman"/>
          <w:color w:val="000000"/>
          <w:sz w:val="24"/>
          <w:szCs w:val="24"/>
        </w:rPr>
        <w:t>,</w:t>
      </w:r>
      <w:r w:rsidRPr="00AA242A">
        <w:rPr>
          <w:rFonts w:ascii="Garamond" w:hAnsi="Garamond" w:cs="Times New Roman"/>
          <w:color w:val="000000"/>
          <w:sz w:val="24"/>
          <w:szCs w:val="24"/>
        </w:rPr>
        <w:t xml:space="preserve"> “Për zbatimin e sigurimit të detyrueshëm të mbajtësve të mjeteve motorike për përgjegjësinë ndaj palëve të treta” </w:t>
      </w:r>
      <w:r w:rsidRPr="00AA242A">
        <w:rPr>
          <w:rFonts w:ascii="Garamond" w:hAnsi="Garamond" w:cs="Times New Roman"/>
          <w:i/>
          <w:iCs/>
          <w:color w:val="000000"/>
          <w:sz w:val="24"/>
          <w:szCs w:val="24"/>
        </w:rPr>
        <w:t xml:space="preserve">(rregullorja nr. 622/1, datë 15.12.1992) </w:t>
      </w:r>
      <w:r w:rsidRPr="00AA242A">
        <w:rPr>
          <w:rFonts w:ascii="Garamond" w:hAnsi="Garamond" w:cs="Times New Roman"/>
          <w:color w:val="000000"/>
          <w:sz w:val="24"/>
          <w:szCs w:val="24"/>
        </w:rPr>
        <w:t xml:space="preserve">dhe vendimit </w:t>
      </w:r>
      <w:proofErr w:type="spellStart"/>
      <w:r w:rsidRPr="00AA242A">
        <w:rPr>
          <w:rFonts w:ascii="Garamond" w:hAnsi="Garamond" w:cs="Times New Roman"/>
          <w:color w:val="000000"/>
          <w:sz w:val="24"/>
          <w:szCs w:val="24"/>
        </w:rPr>
        <w:t>unifikues</w:t>
      </w:r>
      <w:proofErr w:type="spellEnd"/>
      <w:r w:rsidRPr="00AA242A">
        <w:rPr>
          <w:rFonts w:ascii="Garamond" w:hAnsi="Garamond" w:cs="Times New Roman"/>
          <w:color w:val="000000"/>
          <w:sz w:val="24"/>
          <w:szCs w:val="24"/>
        </w:rPr>
        <w:t xml:space="preserve"> nr. 12, datë 14.9.2007</w:t>
      </w:r>
      <w:r w:rsidR="00647B2D">
        <w:rPr>
          <w:rFonts w:ascii="Garamond" w:hAnsi="Garamond" w:cs="Times New Roman"/>
          <w:color w:val="000000"/>
          <w:sz w:val="24"/>
          <w:szCs w:val="24"/>
        </w:rPr>
        <w:t>,</w:t>
      </w:r>
      <w:r w:rsidRPr="00AA242A">
        <w:rPr>
          <w:rFonts w:ascii="Garamond" w:hAnsi="Garamond" w:cs="Times New Roman"/>
          <w:color w:val="000000"/>
          <w:sz w:val="24"/>
          <w:szCs w:val="24"/>
        </w:rPr>
        <w:t xml:space="preserve"> të Kolegjeve të Bashkuara të Gjykatës së Lartë </w:t>
      </w:r>
      <w:r w:rsidRPr="00AA242A">
        <w:rPr>
          <w:rFonts w:ascii="Garamond" w:hAnsi="Garamond" w:cs="Times New Roman"/>
          <w:i/>
          <w:iCs/>
          <w:color w:val="000000"/>
          <w:sz w:val="24"/>
          <w:szCs w:val="24"/>
        </w:rPr>
        <w:t xml:space="preserve">(vendimi </w:t>
      </w:r>
      <w:proofErr w:type="spellStart"/>
      <w:r w:rsidRPr="00AA242A">
        <w:rPr>
          <w:rFonts w:ascii="Garamond" w:hAnsi="Garamond" w:cs="Times New Roman"/>
          <w:i/>
          <w:iCs/>
          <w:color w:val="000000"/>
          <w:sz w:val="24"/>
          <w:szCs w:val="24"/>
        </w:rPr>
        <w:t>unifikues</w:t>
      </w:r>
      <w:proofErr w:type="spellEnd"/>
      <w:r w:rsidRPr="00AA242A">
        <w:rPr>
          <w:rFonts w:ascii="Garamond" w:hAnsi="Garamond" w:cs="Times New Roman"/>
          <w:i/>
          <w:iCs/>
          <w:color w:val="000000"/>
          <w:sz w:val="24"/>
          <w:szCs w:val="24"/>
        </w:rPr>
        <w:t xml:space="preserve"> nr. 12/2007)</w:t>
      </w:r>
      <w:r w:rsidRPr="00AA242A">
        <w:rPr>
          <w:rFonts w:ascii="Garamond" w:hAnsi="Garamond" w:cs="Times New Roman"/>
          <w:color w:val="000000"/>
          <w:sz w:val="24"/>
          <w:szCs w:val="24"/>
        </w:rPr>
        <w:t xml:space="preserve">. Gjykata e shkallës së parë në përcaktimin e vlerës së dëmshpërblimit i është referuar vlerës së pensionit mesatar në vend. Në përfundim të gjykimit, Gjykata e Rrethit Gjyqësor Tiranë, me vendimin nr. 487, datë 27.1.2012, ka vendosur pranimin pjesërisht të kërkesëpadisë dhe detyrimin e shoqërisë së sigurimit të dëmshpërblejë kërkuesit/paditësit për dëmin pasuror dhe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të shkaktuar nga vdekja e shtetasit </w:t>
      </w:r>
      <w:proofErr w:type="spellStart"/>
      <w:r w:rsidRPr="00AA242A">
        <w:rPr>
          <w:rFonts w:ascii="Garamond" w:hAnsi="Garamond" w:cs="Times New Roman"/>
          <w:color w:val="000000"/>
          <w:sz w:val="24"/>
          <w:szCs w:val="24"/>
        </w:rPr>
        <w:t>Kristaq</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në shumën 6.124.757 (gjashtë milionë e njëqind e njëzet e katër mijë e shtatëqind e pesëdhjetë e shtatë) lekë. Detyrimin e palës së paditur/shoqërisë së sigurimit që të dëmshpërblejë kërkuesit për dëmin pasuror dhe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të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Linës</w:t>
      </w:r>
      <w:proofErr w:type="spellEnd"/>
      <w:r w:rsidRPr="00AA242A">
        <w:rPr>
          <w:rFonts w:ascii="Garamond" w:hAnsi="Garamond" w:cs="Times New Roman"/>
          <w:color w:val="000000"/>
          <w:sz w:val="24"/>
          <w:szCs w:val="24"/>
        </w:rPr>
        <w:t xml:space="preserve"> në shumën 4.244.291 (katër milionë e dyqind e dyzet e katër mijë e dyqind e nëntëdhjetë e një) lekë. Ajo gjykatë ka vendosur rrëzimin e kërkesës për kamatëvonesat, pasi kërkuesit i janë drejtuar drejtpërdrejt gjykatës pa shteruar rrugën jashtëgjyqësore. </w:t>
      </w:r>
    </w:p>
    <w:p w14:paraId="7FDE382F" w14:textId="704E8CC7"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5. Pas ankimit të </w:t>
      </w:r>
      <w:proofErr w:type="spellStart"/>
      <w:r w:rsidRPr="00AA242A">
        <w:rPr>
          <w:rFonts w:ascii="Garamond" w:hAnsi="Garamond" w:cs="Times New Roman"/>
          <w:color w:val="000000"/>
          <w:sz w:val="24"/>
          <w:szCs w:val="24"/>
        </w:rPr>
        <w:t>të</w:t>
      </w:r>
      <w:proofErr w:type="spellEnd"/>
      <w:r w:rsidRPr="00AA242A">
        <w:rPr>
          <w:rFonts w:ascii="Garamond" w:hAnsi="Garamond" w:cs="Times New Roman"/>
          <w:color w:val="000000"/>
          <w:sz w:val="24"/>
          <w:szCs w:val="24"/>
        </w:rPr>
        <w:t xml:space="preserve"> dyja palëve, Gjykata e Apelit Tiranë, me vendimin nr. 2960, datë 18.12.2012, ka vendosur prishjen e vendimit nr. 487, datë 27.1.2012</w:t>
      </w:r>
      <w:r w:rsidR="00BF5191">
        <w:rPr>
          <w:rFonts w:ascii="Garamond" w:hAnsi="Garamond" w:cs="Times New Roman"/>
          <w:color w:val="000000"/>
          <w:sz w:val="24"/>
          <w:szCs w:val="24"/>
        </w:rPr>
        <w:t>,</w:t>
      </w:r>
      <w:r w:rsidRPr="00AA242A">
        <w:rPr>
          <w:rFonts w:ascii="Garamond" w:hAnsi="Garamond" w:cs="Times New Roman"/>
          <w:color w:val="000000"/>
          <w:sz w:val="24"/>
          <w:szCs w:val="24"/>
        </w:rPr>
        <w:t xml:space="preserve"> të Gjykatës së Rrethit Gjyqësor Tiranë dhe kthimin e çështjes për rigjykim në po atë gjykatë, me tjetër trup gjykues, duke arsyetuar se gjatë gjykimit në shkallë të parë nuk janë marrë prova thelbësore për zgjidhjen e mosmarrëveshjes, si dhe akti i ekspertimit mbi të cilin gjykata ka mbështetur vendimin është në kundërshtim me dispozitat procedurale, sepse pavarësisht se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ka ndërruar jetë gjatë gjykimit të zhvilluar në shkallën e parë (në datën 10.3.2011), ajo e ka thirrur si palë në proces.</w:t>
      </w:r>
    </w:p>
    <w:p w14:paraId="0B1E64C7" w14:textId="2FCD9434"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6. Në rigjykim, Gjykata e Rrethit Gjyqësor Tiranë ka bërë kalimin procedural për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Linën</w:t>
      </w:r>
      <w:proofErr w:type="spellEnd"/>
      <w:r w:rsidRPr="00AA242A">
        <w:rPr>
          <w:rFonts w:ascii="Garamond" w:hAnsi="Garamond" w:cs="Times New Roman"/>
          <w:color w:val="000000"/>
          <w:sz w:val="24"/>
          <w:szCs w:val="24"/>
        </w:rPr>
        <w:t xml:space="preserve">, sipas nenit 199 të Kodit të Procedurës Civile </w:t>
      </w:r>
      <w:r w:rsidRPr="00AA242A">
        <w:rPr>
          <w:rFonts w:ascii="Garamond" w:hAnsi="Garamond" w:cs="Times New Roman"/>
          <w:i/>
          <w:iCs/>
          <w:color w:val="000000"/>
          <w:sz w:val="24"/>
          <w:szCs w:val="24"/>
        </w:rPr>
        <w:t>(</w:t>
      </w:r>
      <w:proofErr w:type="spellStart"/>
      <w:r w:rsidRPr="00AA242A">
        <w:rPr>
          <w:rFonts w:ascii="Garamond" w:hAnsi="Garamond" w:cs="Times New Roman"/>
          <w:i/>
          <w:iCs/>
          <w:color w:val="000000"/>
          <w:sz w:val="24"/>
          <w:szCs w:val="24"/>
        </w:rPr>
        <w:t>KPC</w:t>
      </w:r>
      <w:proofErr w:type="spellEnd"/>
      <w:r w:rsidRPr="00AA242A">
        <w:rPr>
          <w:rFonts w:ascii="Garamond" w:hAnsi="Garamond" w:cs="Times New Roman"/>
          <w:i/>
          <w:iCs/>
          <w:color w:val="000000"/>
          <w:sz w:val="24"/>
          <w:szCs w:val="24"/>
        </w:rPr>
        <w:t xml:space="preserve">), </w:t>
      </w:r>
      <w:r w:rsidRPr="00AA242A">
        <w:rPr>
          <w:rFonts w:ascii="Garamond" w:hAnsi="Garamond" w:cs="Times New Roman"/>
          <w:color w:val="000000"/>
          <w:sz w:val="24"/>
          <w:szCs w:val="24"/>
        </w:rPr>
        <w:t xml:space="preserve">duke vijuar gjykimin me nënën e tij/kërkuesen </w:t>
      </w:r>
      <w:proofErr w:type="spellStart"/>
      <w:r w:rsidRPr="00AA242A">
        <w:rPr>
          <w:rFonts w:ascii="Garamond" w:hAnsi="Garamond" w:cs="Times New Roman"/>
          <w:color w:val="000000"/>
          <w:sz w:val="24"/>
          <w:szCs w:val="24"/>
        </w:rPr>
        <w:t>Zoica</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Referuar nenit 185 të </w:t>
      </w:r>
      <w:proofErr w:type="spellStart"/>
      <w:r w:rsidRPr="00AA242A">
        <w:rPr>
          <w:rFonts w:ascii="Garamond" w:hAnsi="Garamond" w:cs="Times New Roman"/>
          <w:color w:val="000000"/>
          <w:sz w:val="24"/>
          <w:szCs w:val="24"/>
        </w:rPr>
        <w:t>KPC</w:t>
      </w:r>
      <w:proofErr w:type="spellEnd"/>
      <w:r w:rsidRPr="00AA242A">
        <w:rPr>
          <w:rFonts w:ascii="Garamond" w:hAnsi="Garamond" w:cs="Times New Roman"/>
          <w:color w:val="000000"/>
          <w:sz w:val="24"/>
          <w:szCs w:val="24"/>
        </w:rPr>
        <w:t xml:space="preserve">-së, kërkuesit në datën 1.4.2014 kanë shtuar objektin e padisë, duke i shtrirë kërkimet edhe për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Linën</w:t>
      </w:r>
      <w:proofErr w:type="spellEnd"/>
      <w:r w:rsidRPr="00AA242A">
        <w:rPr>
          <w:rFonts w:ascii="Garamond" w:hAnsi="Garamond" w:cs="Times New Roman"/>
          <w:color w:val="000000"/>
          <w:sz w:val="24"/>
          <w:szCs w:val="24"/>
        </w:rPr>
        <w:t xml:space="preserve"> dhe duke kërkuar dëmin pasuror e </w:t>
      </w:r>
      <w:proofErr w:type="spellStart"/>
      <w:r w:rsidRPr="00AA242A">
        <w:rPr>
          <w:rFonts w:ascii="Garamond" w:hAnsi="Garamond" w:cs="Times New Roman"/>
          <w:color w:val="000000"/>
          <w:sz w:val="24"/>
          <w:szCs w:val="24"/>
        </w:rPr>
        <w:t>jopasurore</w:t>
      </w:r>
      <w:proofErr w:type="spellEnd"/>
      <w:r w:rsidRPr="00AA242A">
        <w:rPr>
          <w:rFonts w:ascii="Garamond" w:hAnsi="Garamond" w:cs="Times New Roman"/>
          <w:color w:val="000000"/>
          <w:sz w:val="24"/>
          <w:szCs w:val="24"/>
        </w:rPr>
        <w:t xml:space="preserve"> për shkak të vdekjes së tij, pasi fillimisht ishte kërkuar vetëm shpërblimi për paaftësinë e plotë. Në </w:t>
      </w:r>
      <w:r w:rsidRPr="00AA242A">
        <w:rPr>
          <w:rFonts w:ascii="Garamond" w:hAnsi="Garamond" w:cs="Times New Roman"/>
          <w:color w:val="000000"/>
          <w:sz w:val="24"/>
          <w:szCs w:val="24"/>
        </w:rPr>
        <w:lastRenderedPageBreak/>
        <w:t>këto kushte, kërkuesit kanë kërkuar dëmshpërblimin nga shoqëria e sigurimeve, në referim të nenit 13 të dekretit nr. 295/1992,</w:t>
      </w:r>
      <w:r w:rsidRPr="00AA242A">
        <w:rPr>
          <w:rFonts w:ascii="Garamond" w:hAnsi="Garamond" w:cs="Times New Roman"/>
          <w:i/>
          <w:iCs/>
          <w:color w:val="000000"/>
          <w:sz w:val="24"/>
          <w:szCs w:val="24"/>
        </w:rPr>
        <w:t xml:space="preserve"> </w:t>
      </w:r>
      <w:r w:rsidRPr="00AA242A">
        <w:rPr>
          <w:rFonts w:ascii="Garamond" w:hAnsi="Garamond" w:cs="Times New Roman"/>
          <w:color w:val="000000"/>
          <w:sz w:val="24"/>
          <w:szCs w:val="24"/>
        </w:rPr>
        <w:t>sipas së cilit</w:t>
      </w:r>
      <w:r w:rsidRPr="00AA242A">
        <w:rPr>
          <w:rFonts w:ascii="Garamond" w:hAnsi="Garamond" w:cs="Times New Roman"/>
          <w:i/>
          <w:iCs/>
          <w:color w:val="000000"/>
          <w:sz w:val="24"/>
          <w:szCs w:val="24"/>
        </w:rPr>
        <w:t xml:space="preserve"> </w:t>
      </w:r>
      <w:r w:rsidRPr="00AA242A">
        <w:rPr>
          <w:rFonts w:ascii="Garamond" w:hAnsi="Garamond" w:cs="Times New Roman"/>
          <w:color w:val="000000"/>
          <w:sz w:val="24"/>
          <w:szCs w:val="24"/>
        </w:rPr>
        <w:t xml:space="preserve">personi i dëmtuar ka të drejtë të kërkojë drejtpërdrejt nga shoqëria siguruese, brenda kufijve të përgjegjësisë së tij sipas kontratës së sigurimit, shpërblimin e dëmit. Gjithashtu, kërkuesit kanë kërkuar edhe kamatëvonesat. </w:t>
      </w:r>
    </w:p>
    <w:p w14:paraId="280CE9F4" w14:textId="35BE487A"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7. Në përfundim të shqyrtimit gjyqësor, Gjykata e Rrethit Gjyqësor Tiranë, me vendimin nr. 6791, datë 11.6.2014 </w:t>
      </w:r>
      <w:r w:rsidRPr="00AA242A">
        <w:rPr>
          <w:rFonts w:ascii="Garamond" w:hAnsi="Garamond" w:cs="Times New Roman"/>
          <w:i/>
          <w:iCs/>
          <w:color w:val="000000"/>
          <w:sz w:val="24"/>
          <w:szCs w:val="24"/>
        </w:rPr>
        <w:t xml:space="preserve">(vendimi i Gjykatës së Rrethit Gjyqësor Tiranë) </w:t>
      </w:r>
      <w:r w:rsidRPr="00AA242A">
        <w:rPr>
          <w:rFonts w:ascii="Garamond" w:hAnsi="Garamond" w:cs="Times New Roman"/>
          <w:color w:val="000000"/>
          <w:sz w:val="24"/>
          <w:szCs w:val="24"/>
        </w:rPr>
        <w:t>ka vendosur pranimin pjesërisht të kërkesëpadisë dhe</w:t>
      </w:r>
      <w:r w:rsidRPr="00AA242A">
        <w:rPr>
          <w:rFonts w:ascii="Garamond" w:hAnsi="Garamond" w:cs="Times New Roman"/>
          <w:i/>
          <w:iCs/>
          <w:color w:val="000000"/>
          <w:sz w:val="24"/>
          <w:szCs w:val="24"/>
        </w:rPr>
        <w:t xml:space="preserve"> </w:t>
      </w:r>
      <w:r w:rsidRPr="00AA242A">
        <w:rPr>
          <w:rFonts w:ascii="Garamond" w:hAnsi="Garamond" w:cs="Times New Roman"/>
          <w:color w:val="000000"/>
          <w:sz w:val="24"/>
          <w:szCs w:val="24"/>
        </w:rPr>
        <w:t xml:space="preserve">detyrimin e shoqërisë së sigurimit të dëmshpërblejë kërkuesit për dëmin pasuror dhe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të shkaktuar si pasojë e vdekjes së shtetasve </w:t>
      </w:r>
      <w:proofErr w:type="spellStart"/>
      <w:r w:rsidRPr="00AA242A">
        <w:rPr>
          <w:rFonts w:ascii="Garamond" w:hAnsi="Garamond" w:cs="Times New Roman"/>
          <w:color w:val="000000"/>
          <w:sz w:val="24"/>
          <w:szCs w:val="24"/>
        </w:rPr>
        <w:t>Kristaq</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e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në shumën totale 20.207.083 lekë (njëzet milionë e dyqind e shtatë mijë e tetëdhjetë e tre), e cila është ndarë si vijon: i</w:t>
      </w:r>
      <w:r w:rsidR="00204BD1">
        <w:rPr>
          <w:rFonts w:ascii="Garamond" w:hAnsi="Garamond" w:cs="Times New Roman"/>
          <w:color w:val="000000"/>
          <w:sz w:val="24"/>
          <w:szCs w:val="24"/>
        </w:rPr>
        <w:t>.</w:t>
      </w:r>
      <w:r w:rsidRPr="00AA242A">
        <w:rPr>
          <w:rFonts w:ascii="Garamond" w:hAnsi="Garamond" w:cs="Times New Roman"/>
          <w:color w:val="000000"/>
          <w:sz w:val="24"/>
          <w:szCs w:val="24"/>
        </w:rPr>
        <w:t xml:space="preserve"> kërkuesit janë dëmshpërblyer bashkërisht me shumën 2.269.270 (dy milionë e dyqind e gjashtëdhjetë e nëntë mijë e dyqind e shtatëdhjetë) lekë si dëm pasuror të pësuar nga vdekja e </w:t>
      </w:r>
      <w:proofErr w:type="spellStart"/>
      <w:r w:rsidRPr="00AA242A">
        <w:rPr>
          <w:rFonts w:ascii="Garamond" w:hAnsi="Garamond" w:cs="Times New Roman"/>
          <w:color w:val="000000"/>
          <w:sz w:val="24"/>
          <w:szCs w:val="24"/>
        </w:rPr>
        <w:t>Kristaq</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Linës</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ii</w:t>
      </w:r>
      <w:proofErr w:type="spellEnd"/>
      <w:r w:rsidR="00204BD1">
        <w:rPr>
          <w:rFonts w:ascii="Garamond" w:hAnsi="Garamond" w:cs="Times New Roman"/>
          <w:color w:val="000000"/>
          <w:sz w:val="24"/>
          <w:szCs w:val="24"/>
        </w:rPr>
        <w:t>.</w:t>
      </w:r>
      <w:r w:rsidRPr="00AA242A">
        <w:rPr>
          <w:rFonts w:ascii="Garamond" w:hAnsi="Garamond" w:cs="Times New Roman"/>
          <w:color w:val="000000"/>
          <w:sz w:val="24"/>
          <w:szCs w:val="24"/>
        </w:rPr>
        <w:t xml:space="preserve"> kërkuesja </w:t>
      </w:r>
      <w:proofErr w:type="spellStart"/>
      <w:r w:rsidRPr="00AA242A">
        <w:rPr>
          <w:rFonts w:ascii="Garamond" w:hAnsi="Garamond" w:cs="Times New Roman"/>
          <w:color w:val="000000"/>
          <w:sz w:val="24"/>
          <w:szCs w:val="24"/>
        </w:rPr>
        <w:t>Zoica</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është</w:t>
      </w:r>
      <w:r w:rsidRPr="00AA242A">
        <w:rPr>
          <w:rFonts w:ascii="Garamond" w:hAnsi="Garamond" w:cs="Times New Roman"/>
          <w:i/>
          <w:iCs/>
          <w:color w:val="000000"/>
          <w:sz w:val="24"/>
          <w:szCs w:val="24"/>
        </w:rPr>
        <w:t xml:space="preserve"> </w:t>
      </w:r>
      <w:r w:rsidRPr="00AA242A">
        <w:rPr>
          <w:rFonts w:ascii="Garamond" w:hAnsi="Garamond" w:cs="Times New Roman"/>
          <w:color w:val="000000"/>
          <w:sz w:val="24"/>
          <w:szCs w:val="24"/>
        </w:rPr>
        <w:t xml:space="preserve">dëmshpërblyer në shumën 3.126.957 lekë (tre milionë e njëqind e njëzet e gjashtë mijë e nëntëqind e pesëdhjetë e shtatë) si dëm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(moral dhe ekzistencial) të pësuar nga vdekja e bashkëshortit; </w:t>
      </w:r>
      <w:proofErr w:type="spellStart"/>
      <w:r w:rsidRPr="00AA242A">
        <w:rPr>
          <w:rFonts w:ascii="Garamond" w:hAnsi="Garamond" w:cs="Times New Roman"/>
          <w:color w:val="000000"/>
          <w:sz w:val="24"/>
          <w:szCs w:val="24"/>
        </w:rPr>
        <w:t>iii</w:t>
      </w:r>
      <w:proofErr w:type="spellEnd"/>
      <w:r w:rsidR="00204BD1">
        <w:rPr>
          <w:rFonts w:ascii="Garamond" w:hAnsi="Garamond" w:cs="Times New Roman"/>
          <w:color w:val="000000"/>
          <w:sz w:val="24"/>
          <w:szCs w:val="24"/>
        </w:rPr>
        <w:t>.</w:t>
      </w:r>
      <w:r w:rsidRPr="00AA242A">
        <w:rPr>
          <w:rFonts w:ascii="Garamond" w:hAnsi="Garamond" w:cs="Times New Roman"/>
          <w:color w:val="000000"/>
          <w:sz w:val="24"/>
          <w:szCs w:val="24"/>
        </w:rPr>
        <w:t xml:space="preserve"> kërkuesi </w:t>
      </w:r>
      <w:proofErr w:type="spellStart"/>
      <w:r w:rsidRPr="00AA242A">
        <w:rPr>
          <w:rFonts w:ascii="Garamond" w:hAnsi="Garamond" w:cs="Times New Roman"/>
          <w:color w:val="000000"/>
          <w:sz w:val="24"/>
          <w:szCs w:val="24"/>
        </w:rPr>
        <w:t>Ilirjan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është dëmshpërblyer në shumën 1.563.478 lekë (një milion e pesëqind e gjashtëdhjetë e tre mijë e katërqind e shtatëdhjetë e tetë) si dëm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(moral dhe ekzistencial) të pësuar nga vdekja e të atit; </w:t>
      </w:r>
      <w:proofErr w:type="spellStart"/>
      <w:r w:rsidRPr="00AA242A">
        <w:rPr>
          <w:rFonts w:ascii="Garamond" w:hAnsi="Garamond" w:cs="Times New Roman"/>
          <w:color w:val="000000"/>
          <w:sz w:val="24"/>
          <w:szCs w:val="24"/>
        </w:rPr>
        <w:t>iv</w:t>
      </w:r>
      <w:proofErr w:type="spellEnd"/>
      <w:r w:rsidR="00204BD1">
        <w:rPr>
          <w:rFonts w:ascii="Garamond" w:hAnsi="Garamond" w:cs="Times New Roman"/>
          <w:color w:val="000000"/>
          <w:sz w:val="24"/>
          <w:szCs w:val="24"/>
        </w:rPr>
        <w:t>.</w:t>
      </w:r>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Zoica</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dhe </w:t>
      </w:r>
      <w:proofErr w:type="spellStart"/>
      <w:r w:rsidRPr="00AA242A">
        <w:rPr>
          <w:rFonts w:ascii="Garamond" w:hAnsi="Garamond" w:cs="Times New Roman"/>
          <w:color w:val="000000"/>
          <w:sz w:val="24"/>
          <w:szCs w:val="24"/>
        </w:rPr>
        <w:t>Ilirjan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janë dëmshpërblyer bashkërisht në shumën 2.772.897 lekë (dy milionë e shtatëqind e shtatëdhjetë e dy mijë e tetëqind e nëntëdhjetë e shtatë) si dëm pasuror dhe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(moral dhe ekzistencial), të pësuar për shkak të paaftësisë së plotë të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Linës</w:t>
      </w:r>
      <w:proofErr w:type="spellEnd"/>
      <w:r w:rsidRPr="00AA242A">
        <w:rPr>
          <w:rFonts w:ascii="Garamond" w:hAnsi="Garamond" w:cs="Times New Roman"/>
          <w:color w:val="000000"/>
          <w:sz w:val="24"/>
          <w:szCs w:val="24"/>
        </w:rPr>
        <w:t>; v</w:t>
      </w:r>
      <w:r w:rsidR="00204BD1">
        <w:rPr>
          <w:rFonts w:ascii="Garamond" w:hAnsi="Garamond" w:cs="Times New Roman"/>
          <w:color w:val="000000"/>
          <w:sz w:val="24"/>
          <w:szCs w:val="24"/>
        </w:rPr>
        <w:t>.</w:t>
      </w:r>
      <w:r w:rsidRPr="00AA242A">
        <w:rPr>
          <w:rFonts w:ascii="Garamond" w:hAnsi="Garamond" w:cs="Times New Roman"/>
          <w:color w:val="000000"/>
          <w:sz w:val="24"/>
          <w:szCs w:val="24"/>
        </w:rPr>
        <w:t xml:space="preserve"> kërkuesit janë dëmshpërblyer bashkërisht me shumën 3.171.280 lekë (tre milionë e njëqind e shtatëdhjetë e një mijë e dyqind e tetëdhjetë) si dëm pasuror të pësuar nga vdekja e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Linës</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vi</w:t>
      </w:r>
      <w:proofErr w:type="spellEnd"/>
      <w:r w:rsidR="00204BD1">
        <w:rPr>
          <w:rFonts w:ascii="Garamond" w:hAnsi="Garamond" w:cs="Times New Roman"/>
          <w:color w:val="000000"/>
          <w:sz w:val="24"/>
          <w:szCs w:val="24"/>
        </w:rPr>
        <w:t>.</w:t>
      </w:r>
      <w:r w:rsidRPr="00AA242A">
        <w:rPr>
          <w:rFonts w:ascii="Garamond" w:hAnsi="Garamond" w:cs="Times New Roman"/>
          <w:color w:val="000000"/>
          <w:sz w:val="24"/>
          <w:szCs w:val="24"/>
        </w:rPr>
        <w:t xml:space="preserve"> kërkuesja</w:t>
      </w:r>
      <w:r w:rsidRPr="00AA242A">
        <w:rPr>
          <w:rFonts w:ascii="Garamond" w:hAnsi="Garamond" w:cs="Times New Roman"/>
          <w:i/>
          <w:iCs/>
          <w:color w:val="000000"/>
          <w:sz w:val="24"/>
          <w:szCs w:val="24"/>
        </w:rPr>
        <w:t xml:space="preserve"> </w:t>
      </w:r>
      <w:proofErr w:type="spellStart"/>
      <w:r w:rsidRPr="00AA242A">
        <w:rPr>
          <w:rFonts w:ascii="Garamond" w:hAnsi="Garamond" w:cs="Times New Roman"/>
          <w:color w:val="000000"/>
          <w:sz w:val="24"/>
          <w:szCs w:val="24"/>
        </w:rPr>
        <w:t>Zoica</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është dëmshpërblyer në shumën 4.868.801 lekë (katër milionë e tetëqind e gjashtëdhjetë e tetë mijë e tetëqind e një) si dëm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(moral dhe ekzistencial) të pësuar nga vdekja e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Linës</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vii</w:t>
      </w:r>
      <w:proofErr w:type="spellEnd"/>
      <w:r w:rsidR="00647B2D">
        <w:rPr>
          <w:rFonts w:ascii="Garamond" w:hAnsi="Garamond" w:cs="Times New Roman"/>
          <w:color w:val="000000"/>
          <w:sz w:val="24"/>
          <w:szCs w:val="24"/>
        </w:rPr>
        <w:t>.</w:t>
      </w:r>
      <w:r w:rsidRPr="00AA242A">
        <w:rPr>
          <w:rFonts w:ascii="Garamond" w:hAnsi="Garamond" w:cs="Times New Roman"/>
          <w:color w:val="000000"/>
          <w:sz w:val="24"/>
          <w:szCs w:val="24"/>
        </w:rPr>
        <w:t xml:space="preserve"> kërkuesi </w:t>
      </w:r>
      <w:proofErr w:type="spellStart"/>
      <w:r w:rsidRPr="00AA242A">
        <w:rPr>
          <w:rFonts w:ascii="Garamond" w:hAnsi="Garamond" w:cs="Times New Roman"/>
          <w:color w:val="000000"/>
          <w:sz w:val="24"/>
          <w:szCs w:val="24"/>
        </w:rPr>
        <w:t>Ilirjan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është dëmshpërblyer në shumën 2.434.400 lekë (dy milionë e katërqind e tridhjetë e katër mijë e katërqind) si dëm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(moral dhe ekzistencial) të pësuar nga vdekja e të vëllait. Për kërkimin e kamatëvonesave, gjykata e shkallës së parë ka vendosur rrëzimin, pasi kërkuesit nuk kishin shteruar rrugën administrative, por edhe </w:t>
      </w:r>
      <w:proofErr w:type="spellStart"/>
      <w:r w:rsidRPr="00AA242A">
        <w:rPr>
          <w:rFonts w:ascii="Garamond" w:hAnsi="Garamond" w:cs="Times New Roman"/>
          <w:color w:val="000000"/>
          <w:sz w:val="24"/>
          <w:szCs w:val="24"/>
        </w:rPr>
        <w:t>proceduralisht</w:t>
      </w:r>
      <w:proofErr w:type="spellEnd"/>
      <w:r w:rsidRPr="00AA242A">
        <w:rPr>
          <w:rFonts w:ascii="Garamond" w:hAnsi="Garamond" w:cs="Times New Roman"/>
          <w:color w:val="000000"/>
          <w:sz w:val="24"/>
          <w:szCs w:val="24"/>
        </w:rPr>
        <w:t xml:space="preserve"> ky kërkim nuk ka ndodhur që në fillim të gjykimit. Gjykata e Rrethit Gjyqësor Tiranë ka arsyetuar se në rastin konkret zbatohet dekreti nr. 295/1992, si dhe dispozitat (nenet 608, 609, 625, 641 dhe 643) e Kodit Civil </w:t>
      </w:r>
      <w:r w:rsidRPr="00AA242A">
        <w:rPr>
          <w:rFonts w:ascii="Garamond" w:hAnsi="Garamond" w:cs="Times New Roman"/>
          <w:i/>
          <w:iCs/>
          <w:color w:val="000000"/>
          <w:sz w:val="24"/>
          <w:szCs w:val="24"/>
        </w:rPr>
        <w:t>(</w:t>
      </w:r>
      <w:proofErr w:type="spellStart"/>
      <w:r w:rsidRPr="00AA242A">
        <w:rPr>
          <w:rFonts w:ascii="Garamond" w:hAnsi="Garamond" w:cs="Times New Roman"/>
          <w:i/>
          <w:iCs/>
          <w:color w:val="000000"/>
          <w:sz w:val="24"/>
          <w:szCs w:val="24"/>
        </w:rPr>
        <w:t>KC</w:t>
      </w:r>
      <w:proofErr w:type="spellEnd"/>
      <w:r w:rsidRPr="00AA242A">
        <w:rPr>
          <w:rFonts w:ascii="Garamond" w:hAnsi="Garamond" w:cs="Times New Roman"/>
          <w:i/>
          <w:iCs/>
          <w:color w:val="000000"/>
          <w:sz w:val="24"/>
          <w:szCs w:val="24"/>
        </w:rPr>
        <w:t>-së)</w:t>
      </w:r>
      <w:r w:rsidRPr="00AA242A">
        <w:rPr>
          <w:rFonts w:ascii="Garamond" w:hAnsi="Garamond" w:cs="Times New Roman"/>
          <w:color w:val="000000"/>
          <w:sz w:val="24"/>
          <w:szCs w:val="24"/>
        </w:rPr>
        <w:t>, pasi rasti ka ndodhur në datën 9.4.2007. Ligji nr. 10076, datë 12.2.2009</w:t>
      </w:r>
      <w:r w:rsidR="00204BD1">
        <w:rPr>
          <w:rFonts w:ascii="Garamond" w:hAnsi="Garamond" w:cs="Times New Roman"/>
          <w:color w:val="000000"/>
          <w:sz w:val="24"/>
          <w:szCs w:val="24"/>
        </w:rPr>
        <w:t>,</w:t>
      </w:r>
      <w:r w:rsidRPr="00AA242A">
        <w:rPr>
          <w:rFonts w:ascii="Garamond" w:hAnsi="Garamond" w:cs="Times New Roman"/>
          <w:color w:val="000000"/>
          <w:sz w:val="24"/>
          <w:szCs w:val="24"/>
        </w:rPr>
        <w:t xml:space="preserve"> “Për sigurimin e detyrueshëm në sektorin e transportit” </w:t>
      </w:r>
      <w:r w:rsidRPr="00AA242A">
        <w:rPr>
          <w:rFonts w:ascii="Garamond" w:hAnsi="Garamond" w:cs="Times New Roman"/>
          <w:i/>
          <w:iCs/>
          <w:color w:val="000000"/>
          <w:sz w:val="24"/>
          <w:szCs w:val="24"/>
        </w:rPr>
        <w:t>(ligji nr. 10076/2009)</w:t>
      </w:r>
      <w:r w:rsidRPr="00AA242A">
        <w:rPr>
          <w:rFonts w:ascii="Garamond" w:hAnsi="Garamond" w:cs="Times New Roman"/>
          <w:color w:val="000000"/>
          <w:sz w:val="24"/>
          <w:szCs w:val="24"/>
        </w:rPr>
        <w:t xml:space="preserve"> ka dalë më vonë dhe nuk ka fuqi prapavepruese. </w:t>
      </w:r>
    </w:p>
    <w:p w14:paraId="1278104F" w14:textId="788ED156"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8. Pas ankimit të kërkuesve dhe shoqërisë së sigurimit, Gjykata e Apelit Tiranë, me vendimin nr. 730, datë 4.4.2016 </w:t>
      </w:r>
      <w:r w:rsidRPr="00AA242A">
        <w:rPr>
          <w:rFonts w:ascii="Garamond" w:hAnsi="Garamond" w:cs="Times New Roman"/>
          <w:i/>
          <w:iCs/>
          <w:color w:val="000000"/>
          <w:sz w:val="24"/>
          <w:szCs w:val="24"/>
        </w:rPr>
        <w:t>(vendimi i Gjykatës së Apelit Tiranë)</w:t>
      </w:r>
      <w:r w:rsidRPr="00AA242A">
        <w:rPr>
          <w:rFonts w:ascii="Garamond" w:hAnsi="Garamond" w:cs="Times New Roman"/>
          <w:color w:val="000000"/>
          <w:sz w:val="24"/>
          <w:szCs w:val="24"/>
        </w:rPr>
        <w:t xml:space="preserve"> ka</w:t>
      </w:r>
      <w:r w:rsidRPr="00AA242A">
        <w:rPr>
          <w:rFonts w:ascii="Garamond" w:hAnsi="Garamond" w:cs="Times New Roman"/>
          <w:b/>
          <w:bCs/>
          <w:color w:val="000000"/>
          <w:sz w:val="24"/>
          <w:szCs w:val="24"/>
        </w:rPr>
        <w:t xml:space="preserve"> </w:t>
      </w:r>
      <w:r w:rsidRPr="00AA242A">
        <w:rPr>
          <w:rFonts w:ascii="Garamond" w:hAnsi="Garamond" w:cs="Times New Roman"/>
          <w:color w:val="000000"/>
          <w:sz w:val="24"/>
          <w:szCs w:val="24"/>
        </w:rPr>
        <w:t xml:space="preserve">vendosur ndryshimin e vendimit të Gjykatës së Rrethit Gjyqësor Tiranë, duke detyruar shoqërinë e sigurimit të dëmshpërblejë kërkuesit për dëmin pasuror dhe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në shumën totale 12.115.957 lekë (dymbëdhjetë milionë e njëqind e pesëmbëdhjetë mijë e nëntëqind e pesëdhjetë e shtatë) dhe rrëzimin e kërkimit për kamatëvonesat. Gjatë gjykimit, gjykata e apelit, në kushtet kur pretendimet e parashtruara në ankim nga pala e paditur kanë të bëjnë me faktorë </w:t>
      </w:r>
      <w:proofErr w:type="spellStart"/>
      <w:r w:rsidRPr="00AA242A">
        <w:rPr>
          <w:rFonts w:ascii="Garamond" w:hAnsi="Garamond" w:cs="Times New Roman"/>
          <w:color w:val="000000"/>
          <w:sz w:val="24"/>
          <w:szCs w:val="24"/>
        </w:rPr>
        <w:t>determinues</w:t>
      </w:r>
      <w:proofErr w:type="spellEnd"/>
      <w:r w:rsidRPr="00AA242A">
        <w:rPr>
          <w:rFonts w:ascii="Garamond" w:hAnsi="Garamond" w:cs="Times New Roman"/>
          <w:color w:val="000000"/>
          <w:sz w:val="24"/>
          <w:szCs w:val="24"/>
        </w:rPr>
        <w:t xml:space="preserve"> për përllogaritjen e dëmit pasuror dhe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ka vendosur përsëritjen pjesërisht të shqyrtimit gjyqësor dhe thirrjen e ekspertit për të dhënë shpjegime rreth aktit të ekspertimit të kryer në shkallë të parë dhe si pasojë kryerjen e shtesës së aktit të ekspertimit. Në llogaritjen e dëmit pasuror dhe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eksperti është bazuar në dispozitat e </w:t>
      </w:r>
      <w:proofErr w:type="spellStart"/>
      <w:r w:rsidRPr="00AA242A">
        <w:rPr>
          <w:rFonts w:ascii="Garamond" w:hAnsi="Garamond" w:cs="Times New Roman"/>
          <w:color w:val="000000"/>
          <w:sz w:val="24"/>
          <w:szCs w:val="24"/>
        </w:rPr>
        <w:t>KC</w:t>
      </w:r>
      <w:proofErr w:type="spellEnd"/>
      <w:r w:rsidRPr="00AA242A">
        <w:rPr>
          <w:rFonts w:ascii="Garamond" w:hAnsi="Garamond" w:cs="Times New Roman"/>
          <w:color w:val="000000"/>
          <w:sz w:val="24"/>
          <w:szCs w:val="24"/>
        </w:rPr>
        <w:t xml:space="preserve">-së, nenin 27 të rregullores nr. 622/1, datë 15.12.1992, si dhe vendimin </w:t>
      </w:r>
      <w:proofErr w:type="spellStart"/>
      <w:r w:rsidRPr="00AA242A">
        <w:rPr>
          <w:rFonts w:ascii="Garamond" w:hAnsi="Garamond" w:cs="Times New Roman"/>
          <w:color w:val="000000"/>
          <w:sz w:val="24"/>
          <w:szCs w:val="24"/>
        </w:rPr>
        <w:t>unifikues</w:t>
      </w:r>
      <w:proofErr w:type="spellEnd"/>
      <w:r w:rsidRPr="00AA242A">
        <w:rPr>
          <w:rFonts w:ascii="Garamond" w:hAnsi="Garamond" w:cs="Times New Roman"/>
          <w:color w:val="000000"/>
          <w:sz w:val="24"/>
          <w:szCs w:val="24"/>
        </w:rPr>
        <w:t xml:space="preserve"> nr. 12/2007.</w:t>
      </w:r>
    </w:p>
    <w:p w14:paraId="231651EF" w14:textId="107BA01D"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9. Në datën 21.4.2016 kërkuesit kanë ushtruar rekurs dhe në datën 13.5.2016 shoqëria e sigurimit ka paraqitur </w:t>
      </w:r>
      <w:proofErr w:type="spellStart"/>
      <w:r w:rsidRPr="00AA242A">
        <w:rPr>
          <w:rFonts w:ascii="Garamond" w:hAnsi="Garamond" w:cs="Times New Roman"/>
          <w:color w:val="000000"/>
          <w:sz w:val="24"/>
          <w:szCs w:val="24"/>
        </w:rPr>
        <w:t>kundërrekurs</w:t>
      </w:r>
      <w:proofErr w:type="spellEnd"/>
      <w:r w:rsidRPr="00AA242A">
        <w:rPr>
          <w:rFonts w:ascii="Garamond" w:hAnsi="Garamond" w:cs="Times New Roman"/>
          <w:color w:val="000000"/>
          <w:sz w:val="24"/>
          <w:szCs w:val="24"/>
        </w:rPr>
        <w:t xml:space="preserve">. Kolegji Civil i Gjykatës së Lartë, në seancë gjyqësore në dhomën e këshillimit, me vendimin nr. 00-2024-3871 (394), datë 26.6.2024, ka vendosur ndryshimin e vendimeve të Gjykatës së Rrethit Gjyqësor Tiranë dhe Gjykatës së Apelit Tiranë për kërkimin në lidhje me kamatëvonesat për shumën e dëmshpërblimit, duke detyruar shoqërinë e </w:t>
      </w:r>
      <w:r w:rsidRPr="00AA242A">
        <w:rPr>
          <w:rFonts w:ascii="Garamond" w:hAnsi="Garamond" w:cs="Times New Roman"/>
          <w:color w:val="000000"/>
          <w:sz w:val="24"/>
          <w:szCs w:val="24"/>
        </w:rPr>
        <w:lastRenderedPageBreak/>
        <w:t xml:space="preserve">sigurimit të paguajë interesat për vlerën totale të dëmshpërblimit të caktuar nga Gjykata e Apelit Tiranë, sipas normës së interesit bazë të depozitës sipas Bankës së Shqipërisë, duke filluar llogaritja nga data 1.4.2014 deri në momentin e ekzekutimit të vendimit të Gjykatës së Apelit Tiranë. Kolegji Civil i Gjykatës së Lartë ka vendosur lënien në fuqi të vendimit të Gjykatës së Apelit Tiranë për pjesën tjetër të kërkimeve. Gjykata e Lartë ka vlerësuar të drejtë qëndrimin e Gjykatës së Apelit për ligjin e zbatueshëm, që, në rastin konkret, nisur nga koha e ndodhjes së aksidentit me pasojë vdekjen, janë dekreti nr. 295/1992 me ndryshimet përkatëse, rregullorja nr. 622/1, datë 15.12.1992, si dhe vendimi </w:t>
      </w:r>
      <w:proofErr w:type="spellStart"/>
      <w:r w:rsidRPr="00AA242A">
        <w:rPr>
          <w:rFonts w:ascii="Garamond" w:hAnsi="Garamond" w:cs="Times New Roman"/>
          <w:color w:val="000000"/>
          <w:sz w:val="24"/>
          <w:szCs w:val="24"/>
        </w:rPr>
        <w:t>unifikues</w:t>
      </w:r>
      <w:proofErr w:type="spellEnd"/>
      <w:r w:rsidRPr="00AA242A">
        <w:rPr>
          <w:rFonts w:ascii="Garamond" w:hAnsi="Garamond" w:cs="Times New Roman"/>
          <w:color w:val="000000"/>
          <w:sz w:val="24"/>
          <w:szCs w:val="24"/>
        </w:rPr>
        <w:t xml:space="preserve"> nr. 12/2007 </w:t>
      </w:r>
      <w:r w:rsidRPr="00AA242A">
        <w:rPr>
          <w:rFonts w:ascii="Garamond" w:hAnsi="Garamond" w:cs="Times New Roman"/>
          <w:i/>
          <w:iCs/>
          <w:color w:val="000000"/>
          <w:sz w:val="24"/>
          <w:szCs w:val="24"/>
        </w:rPr>
        <w:t xml:space="preserve">(shih paragrafin 41 të vendimit të Gjykatës së Lartë). </w:t>
      </w:r>
      <w:r w:rsidRPr="00AA242A">
        <w:rPr>
          <w:rFonts w:ascii="Garamond" w:hAnsi="Garamond" w:cs="Times New Roman"/>
          <w:color w:val="000000"/>
          <w:sz w:val="24"/>
          <w:szCs w:val="24"/>
        </w:rPr>
        <w:t>Kolegji Civil i Gjykatës së Lartë e ka gjetur të pabazuar në ligj qëndrimin e gjykatave më të ulëta për pagesën e kamatëvonesave, duke arsyetuar se llogaritja e kamatëvonesave në rastin konkret do të fillojë nga momenti i kërkimit të tyre, data 1.4.2014, deri në momentin e ekzekutimit të vendimit nr. 730, datë 4.4.2016</w:t>
      </w:r>
      <w:r w:rsidR="00BF5191">
        <w:rPr>
          <w:rFonts w:ascii="Garamond" w:hAnsi="Garamond" w:cs="Times New Roman"/>
          <w:color w:val="000000"/>
          <w:sz w:val="24"/>
          <w:szCs w:val="24"/>
        </w:rPr>
        <w:t>,</w:t>
      </w:r>
      <w:r w:rsidRPr="00AA242A">
        <w:rPr>
          <w:rFonts w:ascii="Garamond" w:hAnsi="Garamond" w:cs="Times New Roman"/>
          <w:color w:val="000000"/>
          <w:sz w:val="24"/>
          <w:szCs w:val="24"/>
        </w:rPr>
        <w:t xml:space="preserve"> të Gjykatës së Apelit Tiranë, i cili ka përcaktuar vlerën përkatëse të dëmshpërblimit. Gjykata e Lartë ka vlerësuar se e drejta për të kërkuar kamatëvonesat është në vetvete një e drejtë me natyrë ligjore e nuk është e kushtëzuar me momentin kohor të ngritjes së padisë, dhe vetë i padituri ose përmbaruesi gjyqësor në momentin e ekzekutimit duhet të llogarisë kamatëvonesat në bazë të përqindjes së normës bazë të interesit të miratuar nga Banka e Shqipërisë. </w:t>
      </w:r>
    </w:p>
    <w:p w14:paraId="2A52103F" w14:textId="4550DEC4"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10. Kërkuesit në datën 17.2.2025 i janë drejtuar Gjykatës Kushtetuese </w:t>
      </w:r>
      <w:r w:rsidRPr="00AA242A">
        <w:rPr>
          <w:rFonts w:ascii="Garamond" w:hAnsi="Garamond" w:cs="Times New Roman"/>
          <w:i/>
          <w:iCs/>
          <w:color w:val="000000"/>
          <w:sz w:val="24"/>
          <w:szCs w:val="24"/>
        </w:rPr>
        <w:t>(Gjykata)</w:t>
      </w:r>
      <w:r w:rsidRPr="00AA242A">
        <w:rPr>
          <w:rFonts w:ascii="Garamond" w:hAnsi="Garamond" w:cs="Times New Roman"/>
          <w:color w:val="000000"/>
          <w:sz w:val="24"/>
          <w:szCs w:val="24"/>
        </w:rPr>
        <w:t xml:space="preserve"> me ankim kushtetues individual, sipas objektit. Kolegji i Gjykatës, gjatë shqyrtimit paraprak në datën 13.5.2025, ka vendosur kalimin e çështjes për shqyrtim në seancë plenare mbi bazë të dokumenteve. Në datën 19.11.2025 një gjyqtar i Gjykatës ka paraqitur kërkesë për heqjen dorë nga shqyrtimi i çështjes, për shkak se kishte qenë në përbërjen e trupit gjykues që ka dhënë vendimin nr. 2960, datë 18.12.2012, me të cilin, mbi ankimin e të dyja palëve </w:t>
      </w:r>
      <w:proofErr w:type="spellStart"/>
      <w:r w:rsidRPr="00AA242A">
        <w:rPr>
          <w:rFonts w:ascii="Garamond" w:hAnsi="Garamond" w:cs="Times New Roman"/>
          <w:color w:val="000000"/>
          <w:sz w:val="24"/>
          <w:szCs w:val="24"/>
        </w:rPr>
        <w:t>ndërgjyqëse</w:t>
      </w:r>
      <w:proofErr w:type="spellEnd"/>
      <w:r w:rsidRPr="00AA242A">
        <w:rPr>
          <w:rFonts w:ascii="Garamond" w:hAnsi="Garamond" w:cs="Times New Roman"/>
          <w:color w:val="000000"/>
          <w:sz w:val="24"/>
          <w:szCs w:val="24"/>
        </w:rPr>
        <w:t>, vendimi i gjykatës së shkallës së parë që kishte vendosur për themelin e çështjes është prishur dhe çështja është dërguar për rigjykim, ndërsa në vijim janë dhënë vendimet gjyqësore të kundërshtuara. Mbledhja e Gjyqtarëve, me vendimin e datës 19.11.2025, ka vendosur pranimin e kërkesës, duke vlerësuar se gjyqtari gjendej përpara rastit të parashikuar në nenin 36, pika 1, shkronja ç”, të Ligjit Organik të Gjykatës dhe nenit 18, pika 1, shkronja “ç”, të Rregullores për Procedurat Gjyqësore të Gjykatës Kushtetuese.</w:t>
      </w:r>
    </w:p>
    <w:p w14:paraId="2946133C" w14:textId="77777777"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005CB02E" w14:textId="77777777" w:rsidR="00AA242A" w:rsidRPr="00AA242A" w:rsidRDefault="00AA242A" w:rsidP="00AA242A">
      <w:pPr>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AA242A">
        <w:rPr>
          <w:rFonts w:ascii="Garamond" w:hAnsi="Garamond" w:cs="Times New Roman"/>
          <w:b/>
          <w:bCs/>
          <w:color w:val="000000"/>
          <w:sz w:val="24"/>
          <w:szCs w:val="24"/>
        </w:rPr>
        <w:t>II</w:t>
      </w:r>
      <w:proofErr w:type="spellEnd"/>
    </w:p>
    <w:p w14:paraId="7EDF7DD8" w14:textId="77777777" w:rsidR="00AA242A" w:rsidRPr="00AA242A" w:rsidRDefault="00AA242A" w:rsidP="00AA242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AA242A">
        <w:rPr>
          <w:rFonts w:ascii="Garamond" w:hAnsi="Garamond" w:cs="Times New Roman"/>
          <w:b/>
          <w:bCs/>
          <w:color w:val="000000"/>
          <w:sz w:val="24"/>
          <w:szCs w:val="24"/>
        </w:rPr>
        <w:t>Pretendimet në Gjykatën Kushtetuese</w:t>
      </w:r>
    </w:p>
    <w:p w14:paraId="7CB2F9D9" w14:textId="77777777" w:rsidR="00DA6F35" w:rsidRDefault="00DA6F35"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5EEBBCF5" w14:textId="4DED5493"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11.</w:t>
      </w:r>
      <w:r w:rsidR="000E3BDB">
        <w:rPr>
          <w:rFonts w:ascii="Garamond" w:hAnsi="Garamond" w:cs="Times New Roman"/>
          <w:color w:val="000000"/>
          <w:sz w:val="24"/>
          <w:szCs w:val="24"/>
        </w:rPr>
        <w:t xml:space="preserve"> </w:t>
      </w:r>
      <w:r w:rsidRPr="00AA242A">
        <w:rPr>
          <w:rFonts w:ascii="Garamond" w:hAnsi="Garamond" w:cs="Times New Roman"/>
          <w:b/>
          <w:bCs/>
          <w:i/>
          <w:iCs/>
          <w:color w:val="000000"/>
          <w:sz w:val="24"/>
          <w:szCs w:val="24"/>
        </w:rPr>
        <w:t>Kërkuesit</w:t>
      </w:r>
      <w:r w:rsidRPr="00AA242A">
        <w:rPr>
          <w:rFonts w:ascii="Garamond" w:hAnsi="Garamond" w:cs="Times New Roman"/>
          <w:b/>
          <w:bCs/>
          <w:color w:val="000000"/>
          <w:sz w:val="24"/>
          <w:szCs w:val="24"/>
        </w:rPr>
        <w:t>,</w:t>
      </w:r>
      <w:r w:rsidRPr="00AA242A">
        <w:rPr>
          <w:rFonts w:ascii="Garamond" w:hAnsi="Garamond" w:cs="Times New Roman"/>
          <w:color w:val="000000"/>
          <w:sz w:val="24"/>
          <w:szCs w:val="24"/>
        </w:rPr>
        <w:t xml:space="preserve"> në mënyrë të përmbledhur, kanë parashtruar se gjatë procesit gjyqësor është cenuar:</w:t>
      </w:r>
    </w:p>
    <w:p w14:paraId="14BCE40A" w14:textId="3C6C6991" w:rsidR="00AA242A" w:rsidRPr="00AA242A" w:rsidRDefault="00AA242A" w:rsidP="00AA242A">
      <w:pPr>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11.1.</w:t>
      </w:r>
      <w:r w:rsidRPr="00AA242A">
        <w:rPr>
          <w:rFonts w:ascii="Garamond" w:hAnsi="Garamond" w:cs="Times New Roman"/>
          <w:i/>
          <w:iCs/>
          <w:color w:val="000000"/>
          <w:sz w:val="24"/>
          <w:szCs w:val="24"/>
        </w:rPr>
        <w:t xml:space="preserve"> Parimi i barazisë përpara ligjit dhe </w:t>
      </w:r>
      <w:proofErr w:type="spellStart"/>
      <w:r w:rsidRPr="00AA242A">
        <w:rPr>
          <w:rFonts w:ascii="Garamond" w:hAnsi="Garamond" w:cs="Times New Roman"/>
          <w:i/>
          <w:iCs/>
          <w:color w:val="000000"/>
          <w:sz w:val="24"/>
          <w:szCs w:val="24"/>
        </w:rPr>
        <w:t>mosdiskriminimit</w:t>
      </w:r>
      <w:proofErr w:type="spellEnd"/>
      <w:r w:rsidRPr="00AA242A">
        <w:rPr>
          <w:rFonts w:ascii="Garamond" w:hAnsi="Garamond" w:cs="Times New Roman"/>
          <w:i/>
          <w:iCs/>
          <w:color w:val="000000"/>
          <w:sz w:val="24"/>
          <w:szCs w:val="24"/>
        </w:rPr>
        <w:t xml:space="preserve">, i garantuar në nenin 18 të Kushtetutës, </w:t>
      </w:r>
      <w:r w:rsidRPr="00AA242A">
        <w:rPr>
          <w:rFonts w:ascii="Garamond" w:hAnsi="Garamond" w:cs="Times New Roman"/>
          <w:color w:val="000000"/>
          <w:sz w:val="24"/>
          <w:szCs w:val="24"/>
        </w:rPr>
        <w:t xml:space="preserve">pasi gjykatat e faktit dhe Gjykata e Lartë i kanë mohuar trashëgimlënësit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për rrjedhojë edhe trashëgimtarëve të tij, vlerën e dëmit pasuror dhe biologjik për paaftësi të përhershme në punë nga dita e aksidentit deri ditën kur ai ka ndërruar jetë. Të miturit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i është mohuar llogaritja e dëmit pasuror për paaftësi të plotë të përhershme nga viti 2007 deri në datën 10.3.2011 kur ka ndërruar jetë. Për më tepër, sipas rregullores nr. 53, datë 25.6.2009</w:t>
      </w:r>
      <w:r w:rsidR="00204BD1">
        <w:rPr>
          <w:rFonts w:ascii="Garamond" w:hAnsi="Garamond" w:cs="Times New Roman"/>
          <w:color w:val="000000"/>
          <w:sz w:val="24"/>
          <w:szCs w:val="24"/>
        </w:rPr>
        <w:t>,</w:t>
      </w:r>
      <w:r w:rsidRPr="00AA242A">
        <w:rPr>
          <w:rFonts w:ascii="Garamond" w:hAnsi="Garamond" w:cs="Times New Roman"/>
          <w:color w:val="000000"/>
          <w:sz w:val="24"/>
          <w:szCs w:val="24"/>
        </w:rPr>
        <w:t xml:space="preserve"> “Për trajtimin e dëmeve që mbulohen nga kontrata e sigurimit të detyrueshëm në sektorin e transportit” (</w:t>
      </w:r>
      <w:r w:rsidRPr="00AA242A">
        <w:rPr>
          <w:rFonts w:ascii="Garamond" w:hAnsi="Garamond" w:cs="Times New Roman"/>
          <w:i/>
          <w:iCs/>
          <w:color w:val="000000"/>
          <w:sz w:val="24"/>
          <w:szCs w:val="24"/>
        </w:rPr>
        <w:t>rregullorja nr. 53/2009</w:t>
      </w:r>
      <w:r w:rsidRPr="00AA242A">
        <w:rPr>
          <w:rFonts w:ascii="Garamond" w:hAnsi="Garamond" w:cs="Times New Roman"/>
          <w:color w:val="000000"/>
          <w:sz w:val="24"/>
          <w:szCs w:val="24"/>
        </w:rPr>
        <w:t xml:space="preserve">), parashikohet se dëmi biologjik duhet të llogaritet sikur ai të kishte jetuar. Eksperti gjatë gjykimit në shkallë të parë duke u bazuar në aktet në fuqi në momentin e aksidentit ka llogaritur dëmin pasuror dhe atë biologjik për paaftësi të plotë në punë 100% për periudhën 2007-2011, në një vlerë të caktuar. Gjykata e apelit ka </w:t>
      </w:r>
      <w:proofErr w:type="spellStart"/>
      <w:r w:rsidRPr="00AA242A">
        <w:rPr>
          <w:rFonts w:ascii="Garamond" w:hAnsi="Garamond" w:cs="Times New Roman"/>
          <w:color w:val="000000"/>
          <w:sz w:val="24"/>
          <w:szCs w:val="24"/>
        </w:rPr>
        <w:t>riçelur</w:t>
      </w:r>
      <w:proofErr w:type="spellEnd"/>
      <w:r w:rsidRPr="00AA242A">
        <w:rPr>
          <w:rFonts w:ascii="Garamond" w:hAnsi="Garamond" w:cs="Times New Roman"/>
          <w:color w:val="000000"/>
          <w:sz w:val="24"/>
          <w:szCs w:val="24"/>
        </w:rPr>
        <w:t xml:space="preserve"> hetimin gjyqësor dhe pa e kërkuar palët ka caktuar po të njëjtin ekspert. Gjykata e apelit ka arritur në përfundimin se shtetasi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nuk duhet të përfitonte shpërblimin e dëmit si pasojë e paaftësisë së plotë të përhershme për periudhën 2007-2011. Ajo e ka trajtuar ndryshe rastin për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Linën</w:t>
      </w:r>
      <w:proofErr w:type="spellEnd"/>
      <w:r w:rsidRPr="00AA242A">
        <w:rPr>
          <w:rFonts w:ascii="Garamond" w:hAnsi="Garamond" w:cs="Times New Roman"/>
          <w:color w:val="000000"/>
          <w:sz w:val="24"/>
          <w:szCs w:val="24"/>
        </w:rPr>
        <w:t xml:space="preserve"> krahasuar me raste analoge për përcaktimin e dëmshpërblimit, duke i hequr mundësinë për të përfituar vlerën e dëmit pasuror dhe biologjik </w:t>
      </w:r>
      <w:r w:rsidRPr="00AA242A">
        <w:rPr>
          <w:rFonts w:ascii="Garamond" w:hAnsi="Garamond" w:cs="Times New Roman"/>
          <w:color w:val="000000"/>
          <w:sz w:val="24"/>
          <w:szCs w:val="24"/>
        </w:rPr>
        <w:lastRenderedPageBreak/>
        <w:t xml:space="preserve">për periudhën kohore 2007-2011. Gjykata e apelit ka shkuar më tej kur ka arsyetuar se të ardhurat duhet të llogariten duke u bazuar në trefishin e pensionit minimal në fshat, duke paragjykuar të ndjerin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që kishte moshën 16 vjeç në momentin e shkaktimit të dëmit, si anëtar të kooperativës bujqësore, kur në fakti duhet t’i referohej nenit 646 të </w:t>
      </w:r>
      <w:proofErr w:type="spellStart"/>
      <w:r w:rsidRPr="00AA242A">
        <w:rPr>
          <w:rFonts w:ascii="Garamond" w:hAnsi="Garamond" w:cs="Times New Roman"/>
          <w:color w:val="000000"/>
          <w:sz w:val="24"/>
          <w:szCs w:val="24"/>
        </w:rPr>
        <w:t>KC</w:t>
      </w:r>
      <w:proofErr w:type="spellEnd"/>
      <w:r w:rsidRPr="00AA242A">
        <w:rPr>
          <w:rFonts w:ascii="Garamond" w:hAnsi="Garamond" w:cs="Times New Roman"/>
          <w:color w:val="000000"/>
          <w:sz w:val="24"/>
          <w:szCs w:val="24"/>
        </w:rPr>
        <w:t xml:space="preserve">-së dhe pagës minimale në shkallë vendi në kohën kur ka ndodhur aksidenti. Gjykatat kanë diskriminuar edhe kërkuesin </w:t>
      </w:r>
      <w:proofErr w:type="spellStart"/>
      <w:r w:rsidRPr="00AA242A">
        <w:rPr>
          <w:rFonts w:ascii="Garamond" w:hAnsi="Garamond" w:cs="Times New Roman"/>
          <w:color w:val="000000"/>
          <w:sz w:val="24"/>
          <w:szCs w:val="24"/>
        </w:rPr>
        <w:t>Ilirjan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për vlerën e shpërblimit të dëmit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me arsyetimin se dhimbja nuk është e njëjtë me atë të nënës. Trashëgimlënësit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nuk i është njohur e drejta e përfitimit të dëmit pasuror për paaftësi të plotë dhe është diskriminuar në kundërshtim me vendimin </w:t>
      </w:r>
      <w:proofErr w:type="spellStart"/>
      <w:r w:rsidRPr="00AA242A">
        <w:rPr>
          <w:rFonts w:ascii="Garamond" w:hAnsi="Garamond" w:cs="Times New Roman"/>
          <w:color w:val="000000"/>
          <w:sz w:val="24"/>
          <w:szCs w:val="24"/>
        </w:rPr>
        <w:t>unifikues</w:t>
      </w:r>
      <w:proofErr w:type="spellEnd"/>
      <w:r w:rsidRPr="00AA242A">
        <w:rPr>
          <w:rFonts w:ascii="Garamond" w:hAnsi="Garamond" w:cs="Times New Roman"/>
          <w:color w:val="000000"/>
          <w:sz w:val="24"/>
          <w:szCs w:val="24"/>
        </w:rPr>
        <w:t xml:space="preserve"> nr. 12/2007</w:t>
      </w:r>
      <w:r w:rsidRPr="00AA242A">
        <w:rPr>
          <w:rFonts w:ascii="Garamond" w:hAnsi="Garamond" w:cs="Times New Roman"/>
          <w:i/>
          <w:iCs/>
          <w:color w:val="000000"/>
          <w:sz w:val="24"/>
          <w:szCs w:val="24"/>
        </w:rPr>
        <w:t xml:space="preserve"> </w:t>
      </w:r>
      <w:r w:rsidRPr="00AA242A">
        <w:rPr>
          <w:rFonts w:ascii="Garamond" w:hAnsi="Garamond" w:cs="Times New Roman"/>
          <w:color w:val="000000"/>
          <w:sz w:val="24"/>
          <w:szCs w:val="24"/>
        </w:rPr>
        <w:t xml:space="preserve">dhe nenin 18 të Kushtetutës. </w:t>
      </w:r>
    </w:p>
    <w:p w14:paraId="2D850FBA" w14:textId="4A7ED3A7"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11.2. </w:t>
      </w:r>
      <w:r w:rsidRPr="00AA242A">
        <w:rPr>
          <w:rFonts w:ascii="Garamond" w:hAnsi="Garamond" w:cs="Times New Roman"/>
          <w:i/>
          <w:iCs/>
          <w:color w:val="000000"/>
          <w:sz w:val="24"/>
          <w:szCs w:val="24"/>
        </w:rPr>
        <w:t>Parimi i gjykimit nga një gjykatë e caktuar me ligj,</w:t>
      </w:r>
      <w:r w:rsidRPr="00AA242A">
        <w:rPr>
          <w:rFonts w:ascii="Garamond" w:hAnsi="Garamond" w:cs="Times New Roman"/>
          <w:color w:val="000000"/>
          <w:sz w:val="24"/>
          <w:szCs w:val="24"/>
        </w:rPr>
        <w:t xml:space="preserve"> pasi Gjykata e Lartë nuk e ka realizuar funksionin e saj rishikues dhe kontrollues ndaj vendimeve të gjykatave më të ulëta në përputhje me ligjin, duke ligjëruar shkeljet e tyre. Kërkuesit kanë ushtruar rekurs në datën 21.4.2016 dhe sipas nenit 472 të </w:t>
      </w:r>
      <w:proofErr w:type="spellStart"/>
      <w:r w:rsidRPr="00AA242A">
        <w:rPr>
          <w:rFonts w:ascii="Garamond" w:hAnsi="Garamond" w:cs="Times New Roman"/>
          <w:color w:val="000000"/>
          <w:sz w:val="24"/>
          <w:szCs w:val="24"/>
        </w:rPr>
        <w:t>KPC</w:t>
      </w:r>
      <w:proofErr w:type="spellEnd"/>
      <w:r w:rsidRPr="00AA242A">
        <w:rPr>
          <w:rFonts w:ascii="Garamond" w:hAnsi="Garamond" w:cs="Times New Roman"/>
          <w:color w:val="000000"/>
          <w:sz w:val="24"/>
          <w:szCs w:val="24"/>
        </w:rPr>
        <w:t xml:space="preserve">-së në fuqi në atë kohë palët ushtrojnë rekurs për çdo shkelje të ligjit. Gjykata e Lartë duhet ta shqyrtonte çështjen në seancë gjyqësore me praninë e palëve për shkak të rëndësisë së saj. Gjykata e Lartë nuk ka vepruar sipas ligjit të kohës dhe ka kufizuar </w:t>
      </w:r>
      <w:r w:rsidRPr="00AA242A">
        <w:rPr>
          <w:rFonts w:ascii="Garamond" w:hAnsi="Garamond" w:cs="Times New Roman"/>
          <w:i/>
          <w:iCs/>
          <w:color w:val="000000"/>
          <w:sz w:val="24"/>
          <w:szCs w:val="24"/>
        </w:rPr>
        <w:t xml:space="preserve">të drejtën e </w:t>
      </w:r>
      <w:proofErr w:type="spellStart"/>
      <w:r w:rsidRPr="00AA242A">
        <w:rPr>
          <w:rFonts w:ascii="Garamond" w:hAnsi="Garamond" w:cs="Times New Roman"/>
          <w:i/>
          <w:iCs/>
          <w:color w:val="000000"/>
          <w:sz w:val="24"/>
          <w:szCs w:val="24"/>
        </w:rPr>
        <w:t>aksesit</w:t>
      </w:r>
      <w:proofErr w:type="spellEnd"/>
      <w:r w:rsidRPr="00AA242A">
        <w:rPr>
          <w:rFonts w:ascii="Garamond" w:hAnsi="Garamond" w:cs="Times New Roman"/>
          <w:i/>
          <w:iCs/>
          <w:color w:val="000000"/>
          <w:sz w:val="24"/>
          <w:szCs w:val="24"/>
        </w:rPr>
        <w:t>,</w:t>
      </w:r>
      <w:r w:rsidRPr="00AA242A">
        <w:rPr>
          <w:rFonts w:ascii="Garamond" w:hAnsi="Garamond" w:cs="Times New Roman"/>
          <w:color w:val="000000"/>
          <w:sz w:val="24"/>
          <w:szCs w:val="24"/>
        </w:rPr>
        <w:t xml:space="preserve"> duke mos u dhënë përgjigje të gjitha pretendimeve të ngritura në rekurs për shkeljet e kryera nga gjykata e apelit në drejtim të </w:t>
      </w:r>
      <w:r w:rsidRPr="00AA242A">
        <w:rPr>
          <w:rFonts w:ascii="Garamond" w:hAnsi="Garamond" w:cs="Times New Roman"/>
          <w:i/>
          <w:iCs/>
          <w:color w:val="000000"/>
          <w:sz w:val="24"/>
          <w:szCs w:val="24"/>
        </w:rPr>
        <w:t xml:space="preserve">parimit të </w:t>
      </w:r>
      <w:proofErr w:type="spellStart"/>
      <w:r w:rsidRPr="00AA242A">
        <w:rPr>
          <w:rFonts w:ascii="Garamond" w:hAnsi="Garamond" w:cs="Times New Roman"/>
          <w:i/>
          <w:iCs/>
          <w:color w:val="000000"/>
          <w:sz w:val="24"/>
          <w:szCs w:val="24"/>
        </w:rPr>
        <w:t>kontradiktoritetit</w:t>
      </w:r>
      <w:proofErr w:type="spellEnd"/>
      <w:r w:rsidRPr="00AA242A">
        <w:rPr>
          <w:rFonts w:ascii="Garamond" w:hAnsi="Garamond" w:cs="Times New Roman"/>
          <w:i/>
          <w:iCs/>
          <w:color w:val="000000"/>
          <w:sz w:val="24"/>
          <w:szCs w:val="24"/>
        </w:rPr>
        <w:t xml:space="preserve">, </w:t>
      </w:r>
      <w:proofErr w:type="spellStart"/>
      <w:r w:rsidRPr="00AA242A">
        <w:rPr>
          <w:rFonts w:ascii="Garamond" w:hAnsi="Garamond" w:cs="Times New Roman"/>
          <w:i/>
          <w:iCs/>
          <w:color w:val="000000"/>
          <w:sz w:val="24"/>
          <w:szCs w:val="24"/>
        </w:rPr>
        <w:t>disponibilitetit</w:t>
      </w:r>
      <w:proofErr w:type="spellEnd"/>
      <w:r w:rsidRPr="00AA242A">
        <w:rPr>
          <w:rFonts w:ascii="Garamond" w:hAnsi="Garamond" w:cs="Times New Roman"/>
          <w:i/>
          <w:iCs/>
          <w:color w:val="000000"/>
          <w:sz w:val="24"/>
          <w:szCs w:val="24"/>
        </w:rPr>
        <w:t>, së drejtës për t’u dëgjuar dhe parimit të paanshmërisë</w:t>
      </w:r>
      <w:r w:rsidRPr="00AA242A">
        <w:rPr>
          <w:rFonts w:ascii="Garamond" w:hAnsi="Garamond" w:cs="Times New Roman"/>
          <w:color w:val="000000"/>
          <w:sz w:val="24"/>
          <w:szCs w:val="24"/>
        </w:rPr>
        <w:t>, pasi kërkuesit nuk kanë pasur mundësi për të debatuar rreth caktimit të detyrave të ekspertit dhe ata kanë kërkuar përjashtimin e trupit gjykues dhe të ekspertit.</w:t>
      </w:r>
    </w:p>
    <w:p w14:paraId="64B91FF8" w14:textId="378E212B"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11.3.</w:t>
      </w:r>
      <w:r w:rsidRPr="00AA242A">
        <w:rPr>
          <w:rFonts w:ascii="Garamond" w:hAnsi="Garamond" w:cs="Times New Roman"/>
          <w:i/>
          <w:iCs/>
          <w:color w:val="000000"/>
          <w:sz w:val="24"/>
          <w:szCs w:val="24"/>
        </w:rPr>
        <w:t xml:space="preserve"> Standardi i arsyetimit të vendimit gjyqësor,</w:t>
      </w:r>
      <w:r w:rsidRPr="00AA242A">
        <w:rPr>
          <w:rFonts w:ascii="Garamond" w:hAnsi="Garamond" w:cs="Times New Roman"/>
          <w:color w:val="000000"/>
          <w:sz w:val="24"/>
          <w:szCs w:val="24"/>
        </w:rPr>
        <w:t xml:space="preserve"> pasi vendimi i Gjykatës së Lartë nuk përmbush kriteret e vendosura nga jurisprudenca kushtetuese, sepse nuk ka arsyetuar për pretendimet e ngritura në rekurs që lidheshin me zbatimin e ligjit në kohën kur ka ndodhur aksidenti dhe</w:t>
      </w:r>
      <w:r w:rsidR="000E3BDB">
        <w:rPr>
          <w:rFonts w:ascii="Garamond" w:hAnsi="Garamond" w:cs="Times New Roman"/>
          <w:color w:val="000000"/>
          <w:sz w:val="24"/>
          <w:szCs w:val="24"/>
        </w:rPr>
        <w:t xml:space="preserve"> </w:t>
      </w:r>
      <w:r w:rsidRPr="00AA242A">
        <w:rPr>
          <w:rFonts w:ascii="Garamond" w:hAnsi="Garamond" w:cs="Times New Roman"/>
          <w:color w:val="000000"/>
          <w:sz w:val="24"/>
          <w:szCs w:val="24"/>
        </w:rPr>
        <w:t>qëndrimin e saj që ka vlerësuar të drejtë vendimin e gjykatës së apelit. Gjykata e Lartë në vendimin e saj ka dhënë konkluzione kategorike, pa argumente ligjore, duke keqinterpretuar ligjin dhe faktet.</w:t>
      </w:r>
    </w:p>
    <w:p w14:paraId="2D0C5F49" w14:textId="77777777"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11.4</w:t>
      </w:r>
      <w:r w:rsidRPr="00AA242A">
        <w:rPr>
          <w:rFonts w:ascii="Garamond" w:hAnsi="Garamond" w:cs="Times New Roman"/>
          <w:i/>
          <w:iCs/>
          <w:color w:val="000000"/>
          <w:sz w:val="24"/>
          <w:szCs w:val="24"/>
        </w:rPr>
        <w:t xml:space="preserve">. E drejta e pronës, </w:t>
      </w:r>
      <w:proofErr w:type="spellStart"/>
      <w:r w:rsidRPr="00AA242A">
        <w:rPr>
          <w:rFonts w:ascii="Garamond" w:hAnsi="Garamond" w:cs="Times New Roman"/>
          <w:i/>
          <w:iCs/>
          <w:color w:val="000000"/>
          <w:sz w:val="24"/>
          <w:szCs w:val="24"/>
        </w:rPr>
        <w:t>pritshmëritë</w:t>
      </w:r>
      <w:proofErr w:type="spellEnd"/>
      <w:r w:rsidRPr="00AA242A">
        <w:rPr>
          <w:rFonts w:ascii="Garamond" w:hAnsi="Garamond" w:cs="Times New Roman"/>
          <w:i/>
          <w:iCs/>
          <w:color w:val="000000"/>
          <w:sz w:val="24"/>
          <w:szCs w:val="24"/>
        </w:rPr>
        <w:t xml:space="preserve"> e ligjshme dhe parimi i sigurisë juridike,</w:t>
      </w:r>
      <w:r w:rsidRPr="00AA242A">
        <w:rPr>
          <w:rFonts w:ascii="Garamond" w:hAnsi="Garamond" w:cs="Times New Roman"/>
          <w:color w:val="000000"/>
          <w:sz w:val="24"/>
          <w:szCs w:val="24"/>
        </w:rPr>
        <w:t xml:space="preserve"> pasi në konceptin e pronës përfshihen të drejta dhe interesa të tjerë që përbëjnë </w:t>
      </w:r>
      <w:proofErr w:type="spellStart"/>
      <w:r w:rsidRPr="00AA242A">
        <w:rPr>
          <w:rFonts w:ascii="Garamond" w:hAnsi="Garamond" w:cs="Times New Roman"/>
          <w:color w:val="000000"/>
          <w:sz w:val="24"/>
          <w:szCs w:val="24"/>
        </w:rPr>
        <w:t>asete</w:t>
      </w:r>
      <w:proofErr w:type="spellEnd"/>
      <w:r w:rsidRPr="00AA242A">
        <w:rPr>
          <w:rFonts w:ascii="Garamond" w:hAnsi="Garamond" w:cs="Times New Roman"/>
          <w:color w:val="000000"/>
          <w:sz w:val="24"/>
          <w:szCs w:val="24"/>
        </w:rPr>
        <w:t xml:space="preserve">, pra pasuri. Kërkuesit kanë pasur pritshmëri të ligjshme për dëmin pasuror, duke u bazuar në dekretin nr. 295/1992 dhe praktikën gjyqësore për rastet e sigurimit, gjë që përbën pritshmëri të ligjshme për një interes pasuror të ardhshëm. Për dëmin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kërkuesit kanë pasur pritshmëri të ligjshme, duke u bazuar në vendimin </w:t>
      </w:r>
      <w:proofErr w:type="spellStart"/>
      <w:r w:rsidRPr="00AA242A">
        <w:rPr>
          <w:rFonts w:ascii="Garamond" w:hAnsi="Garamond" w:cs="Times New Roman"/>
          <w:color w:val="000000"/>
          <w:sz w:val="24"/>
          <w:szCs w:val="24"/>
        </w:rPr>
        <w:t>unifikues</w:t>
      </w:r>
      <w:proofErr w:type="spellEnd"/>
      <w:r w:rsidRPr="00AA242A">
        <w:rPr>
          <w:rFonts w:ascii="Garamond" w:hAnsi="Garamond" w:cs="Times New Roman"/>
          <w:color w:val="000000"/>
          <w:sz w:val="24"/>
          <w:szCs w:val="24"/>
        </w:rPr>
        <w:t xml:space="preserve"> nr. 12/2007, që plotësoi boshllëkun ligjor duke vendosur se trashëgimtarët e personave që kanë humbur jetën në aksident kanë të drejtë të përfitojnë dëm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Gjykatat e faktit dhe Gjykata e Lartë kanë mbajtur qëndrime kontradiktore për vlerën e dëmshpërblimit që u takon kërkuesve, pasi ato gjykata kanë interpretuar në mënyrë të gabuar dekretin nr. 295/1992, </w:t>
      </w:r>
      <w:proofErr w:type="spellStart"/>
      <w:r w:rsidRPr="00AA242A">
        <w:rPr>
          <w:rFonts w:ascii="Garamond" w:hAnsi="Garamond" w:cs="Times New Roman"/>
          <w:color w:val="000000"/>
          <w:sz w:val="24"/>
          <w:szCs w:val="24"/>
        </w:rPr>
        <w:t>KC</w:t>
      </w:r>
      <w:proofErr w:type="spellEnd"/>
      <w:r w:rsidRPr="00AA242A">
        <w:rPr>
          <w:rFonts w:ascii="Garamond" w:hAnsi="Garamond" w:cs="Times New Roman"/>
          <w:color w:val="000000"/>
          <w:sz w:val="24"/>
          <w:szCs w:val="24"/>
        </w:rPr>
        <w:t>-në, udhëzimin e ministrit të Financave dhe ligjin nr. 10076/2009.</w:t>
      </w:r>
    </w:p>
    <w:p w14:paraId="4EB04677" w14:textId="77777777"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12. </w:t>
      </w:r>
      <w:r w:rsidRPr="00AA242A">
        <w:rPr>
          <w:rFonts w:ascii="Garamond" w:hAnsi="Garamond" w:cs="Times New Roman"/>
          <w:b/>
          <w:bCs/>
          <w:i/>
          <w:iCs/>
          <w:color w:val="000000"/>
          <w:sz w:val="24"/>
          <w:szCs w:val="24"/>
        </w:rPr>
        <w:t>Subjekti i interesuar, shoqëria e sigurimeve</w:t>
      </w:r>
      <w:r w:rsidRPr="00AA242A">
        <w:rPr>
          <w:rFonts w:ascii="Garamond" w:hAnsi="Garamond" w:cs="Times New Roman"/>
          <w:color w:val="000000"/>
          <w:sz w:val="24"/>
          <w:szCs w:val="24"/>
        </w:rPr>
        <w:t>, ka paraqitur prapësime me shkrim si vijon:</w:t>
      </w:r>
    </w:p>
    <w:p w14:paraId="5B8C1FFE" w14:textId="77777777" w:rsidR="00AA242A" w:rsidRPr="00AA242A" w:rsidRDefault="00AA242A" w:rsidP="00AA242A">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12.1. </w:t>
      </w:r>
      <w:r w:rsidRPr="00AA242A">
        <w:rPr>
          <w:rFonts w:ascii="Garamond" w:hAnsi="Garamond" w:cs="Times New Roman"/>
          <w:i/>
          <w:iCs/>
          <w:color w:val="000000"/>
          <w:sz w:val="24"/>
          <w:szCs w:val="24"/>
        </w:rPr>
        <w:t xml:space="preserve">Pretendimet për cenimin e parimit të barazisë përpara ligjit e </w:t>
      </w:r>
      <w:proofErr w:type="spellStart"/>
      <w:r w:rsidRPr="00AA242A">
        <w:rPr>
          <w:rFonts w:ascii="Garamond" w:hAnsi="Garamond" w:cs="Times New Roman"/>
          <w:i/>
          <w:iCs/>
          <w:color w:val="000000"/>
          <w:sz w:val="24"/>
          <w:szCs w:val="24"/>
        </w:rPr>
        <w:t>mosdiskriminimit</w:t>
      </w:r>
      <w:proofErr w:type="spellEnd"/>
      <w:r w:rsidRPr="00AA242A">
        <w:rPr>
          <w:rFonts w:ascii="Garamond" w:hAnsi="Garamond" w:cs="Times New Roman"/>
          <w:i/>
          <w:iCs/>
          <w:color w:val="000000"/>
          <w:sz w:val="24"/>
          <w:szCs w:val="24"/>
        </w:rPr>
        <w:t xml:space="preserve"> dhe parimit të gjykimit nga një gjykatë e caktuar me ligj </w:t>
      </w:r>
      <w:r w:rsidRPr="00AA242A">
        <w:rPr>
          <w:rFonts w:ascii="Garamond" w:hAnsi="Garamond" w:cs="Times New Roman"/>
          <w:color w:val="000000"/>
          <w:sz w:val="24"/>
          <w:szCs w:val="24"/>
        </w:rPr>
        <w:t>janë të pabazuara, pasi Gjykata e Lartë ka vlerësuar se në rastin konkret gjen zbatim dekreti nr. 295/1992, me ndryshimet përkatëse të bëra nga rregullorja nr. 622/1, datë 15.12.1992, duke mos u cenuar as parimi i barazisë përpara ligjit. Gjykata e Lartë ka dhënë një vendim duke argumentuar çdo pretendim të kërkuesve. Pretendimet e paraqitura nga kërkuesit lidhen me aspekte të hetimit gjyqësor dhe vlerësimin e provave shkencore me ekspert. Edhe gjykata e apelit ka vepruar duke respektuar dispozitat procedurale për hetimin gjyqësor.</w:t>
      </w:r>
    </w:p>
    <w:p w14:paraId="29B4282B" w14:textId="77777777" w:rsidR="00AA242A" w:rsidRPr="00AA242A" w:rsidRDefault="00AA242A" w:rsidP="00AA242A">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12.2.</w:t>
      </w:r>
      <w:r w:rsidRPr="00AA242A">
        <w:rPr>
          <w:rFonts w:ascii="Garamond" w:hAnsi="Garamond" w:cs="Times New Roman"/>
          <w:i/>
          <w:iCs/>
          <w:color w:val="000000"/>
          <w:sz w:val="24"/>
          <w:szCs w:val="24"/>
        </w:rPr>
        <w:t xml:space="preserve"> Pretendimi për cenimin e parimit të gjykimit nga një gjykatë e caktuar me ligj dhe sigurisë juridike </w:t>
      </w:r>
      <w:r w:rsidRPr="00AA242A">
        <w:rPr>
          <w:rFonts w:ascii="Garamond" w:hAnsi="Garamond" w:cs="Times New Roman"/>
          <w:color w:val="000000"/>
          <w:sz w:val="24"/>
          <w:szCs w:val="24"/>
        </w:rPr>
        <w:t xml:space="preserve">është tërësisht i pambështetur në ligj, pasi nuk ka pasur asnjë moment që gjykatat e faktit dhe Gjykata e Lartë të kenë pasur paqartësi ose problematikë që lidhet me gjykimin ose kompetencat e tyre. Argumenti i kërkuesve se ky parim është cenuar vetëm për faktin se Gjykata e Lartë ka vendosur mospranimin e rekursit nuk përbën shkelje kushtetuese. </w:t>
      </w:r>
    </w:p>
    <w:p w14:paraId="7F75CBBD" w14:textId="77777777" w:rsidR="00AA242A" w:rsidRPr="00AA242A" w:rsidRDefault="00AA242A" w:rsidP="00AA242A">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12.3</w:t>
      </w:r>
      <w:r w:rsidRPr="00AA242A">
        <w:rPr>
          <w:rFonts w:ascii="Garamond" w:hAnsi="Garamond" w:cs="Times New Roman"/>
          <w:i/>
          <w:iCs/>
          <w:color w:val="000000"/>
          <w:sz w:val="24"/>
          <w:szCs w:val="24"/>
        </w:rPr>
        <w:t xml:space="preserve">. Pretendimi për cenimin e së drejtës së pronës dhe </w:t>
      </w:r>
      <w:proofErr w:type="spellStart"/>
      <w:r w:rsidRPr="00AA242A">
        <w:rPr>
          <w:rFonts w:ascii="Garamond" w:hAnsi="Garamond" w:cs="Times New Roman"/>
          <w:i/>
          <w:iCs/>
          <w:color w:val="000000"/>
          <w:sz w:val="24"/>
          <w:szCs w:val="24"/>
        </w:rPr>
        <w:t>pritshmërive</w:t>
      </w:r>
      <w:proofErr w:type="spellEnd"/>
      <w:r w:rsidRPr="00AA242A">
        <w:rPr>
          <w:rFonts w:ascii="Garamond" w:hAnsi="Garamond" w:cs="Times New Roman"/>
          <w:i/>
          <w:iCs/>
          <w:color w:val="000000"/>
          <w:sz w:val="24"/>
          <w:szCs w:val="24"/>
        </w:rPr>
        <w:t xml:space="preserve"> të ligjshme</w:t>
      </w:r>
      <w:r w:rsidRPr="00AA242A">
        <w:rPr>
          <w:rFonts w:ascii="Garamond" w:hAnsi="Garamond" w:cs="Times New Roman"/>
          <w:color w:val="000000"/>
          <w:sz w:val="24"/>
          <w:szCs w:val="24"/>
        </w:rPr>
        <w:t xml:space="preserve"> nuk është i bazuar. Kërkuesit gabojnë kur pretendojnë se duhet të përfitonin dëmshpërblim pasuror gjatë kohës së paaftësisë të </w:t>
      </w:r>
      <w:proofErr w:type="spellStart"/>
      <w:r w:rsidRPr="00AA242A">
        <w:rPr>
          <w:rFonts w:ascii="Garamond" w:hAnsi="Garamond" w:cs="Times New Roman"/>
          <w:color w:val="000000"/>
          <w:sz w:val="24"/>
          <w:szCs w:val="24"/>
        </w:rPr>
        <w:lastRenderedPageBreak/>
        <w:t>të</w:t>
      </w:r>
      <w:proofErr w:type="spellEnd"/>
      <w:r w:rsidRPr="00AA242A">
        <w:rPr>
          <w:rFonts w:ascii="Garamond" w:hAnsi="Garamond" w:cs="Times New Roman"/>
          <w:color w:val="000000"/>
          <w:sz w:val="24"/>
          <w:szCs w:val="24"/>
        </w:rPr>
        <w:t xml:space="preserve"> ndjerit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për shkak të pakësimit të </w:t>
      </w:r>
      <w:proofErr w:type="spellStart"/>
      <w:r w:rsidRPr="00AA242A">
        <w:rPr>
          <w:rFonts w:ascii="Garamond" w:hAnsi="Garamond" w:cs="Times New Roman"/>
          <w:color w:val="000000"/>
          <w:sz w:val="24"/>
          <w:szCs w:val="24"/>
        </w:rPr>
        <w:t>të</w:t>
      </w:r>
      <w:proofErr w:type="spellEnd"/>
      <w:r w:rsidRPr="00AA242A">
        <w:rPr>
          <w:rFonts w:ascii="Garamond" w:hAnsi="Garamond" w:cs="Times New Roman"/>
          <w:color w:val="000000"/>
          <w:sz w:val="24"/>
          <w:szCs w:val="24"/>
        </w:rPr>
        <w:t xml:space="preserve"> ardhurave të personit të paaftë për punë. Në rastet kur i dëmtuari është i mitur duhet që humbja ose pakësimi i aftësisë për punë të ketë qenë e përhershme që të llogaritet dëmi pasuror, ndërsa në rastin konkret humbja e aftësisë për punë ka qenë për një periudhë kohe të caktuar, ku gjatë kësaj periudhe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ka qenë i mitur dhe nuk mund të realizonte të ardhura edhe sikur të ishte i aftë për punë.</w:t>
      </w:r>
    </w:p>
    <w:p w14:paraId="651614DC" w14:textId="77777777" w:rsidR="00AA242A" w:rsidRPr="00AA242A" w:rsidRDefault="00AA242A" w:rsidP="00AA242A">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12.4. </w:t>
      </w:r>
      <w:r w:rsidRPr="00AA242A">
        <w:rPr>
          <w:rFonts w:ascii="Garamond" w:hAnsi="Garamond" w:cs="Times New Roman"/>
          <w:i/>
          <w:iCs/>
          <w:color w:val="000000"/>
          <w:sz w:val="24"/>
          <w:szCs w:val="24"/>
        </w:rPr>
        <w:t xml:space="preserve">Pretendimi për cenimin e standardit të arsyetimit të vendimit gjyqësor </w:t>
      </w:r>
      <w:r w:rsidRPr="00AA242A">
        <w:rPr>
          <w:rFonts w:ascii="Garamond" w:hAnsi="Garamond" w:cs="Times New Roman"/>
          <w:color w:val="000000"/>
          <w:sz w:val="24"/>
          <w:szCs w:val="24"/>
        </w:rPr>
        <w:t xml:space="preserve">është i pabazuar. Sipas kërkuesve, legjislacioni i zbatueshëm për përllogaritjen e dëmit duhet të ishte ai i kohës së vdekjes (viti 2011) dhe jo ai i vitit 2007, por ky pretendim është tërësisht i pambështetur në ligj. Gjykatat kanë zbatuar drejt legjislacionin e posaçëm në fuqi në kohën kur ka ndodhur aksidenti, konkretisht rregulloren nr. 622/1, datë 15.12.1992, ku në nenin 27 të saj parashikohet se e ardhura që duhet të merret parasysh për llogaritjen e dëmshpërblimit nuk mund të jetë më e ulët se trefishi i shumës vjetore të pensionit më të ulët, sipas legjislacionit shqiptar për sigurimet shoqërore. Në rastin konkret, i ndjeri ka jetuar në fshat dhe sikurse ka referuar gjykata e apelit për përllogaritjen e dëmit duhet të merret parasysh pensioni mesatar i përfituar në vitin 2007 dhe jo të ardhurat sipas vitit 2011. Edhe për këtë pretendim, çdo element i referuar nga kërkuesit lidhet me vlerësimin e gjykatave të faktit dhe të Gjykatës së Lartë, brenda kornizave të dhëna nga ligji material dhe procedural. </w:t>
      </w:r>
    </w:p>
    <w:p w14:paraId="1B2B17DD" w14:textId="77777777" w:rsidR="00AA242A" w:rsidRPr="00AA242A" w:rsidRDefault="00AA242A" w:rsidP="00AA242A">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p>
    <w:p w14:paraId="5F3F27E4" w14:textId="77777777" w:rsidR="00AA242A" w:rsidRPr="00AA242A" w:rsidRDefault="00AA242A" w:rsidP="00AA242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AA242A">
        <w:rPr>
          <w:rFonts w:ascii="Garamond" w:hAnsi="Garamond" w:cs="Times New Roman"/>
          <w:b/>
          <w:bCs/>
          <w:color w:val="000000"/>
          <w:sz w:val="24"/>
          <w:szCs w:val="24"/>
        </w:rPr>
        <w:t>III</w:t>
      </w:r>
      <w:proofErr w:type="spellEnd"/>
    </w:p>
    <w:p w14:paraId="14EA2EEC" w14:textId="77777777" w:rsidR="00AA242A" w:rsidRPr="00AA242A" w:rsidRDefault="00AA242A" w:rsidP="00AA242A">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r w:rsidRPr="00AA242A">
        <w:rPr>
          <w:rFonts w:ascii="Garamond" w:hAnsi="Garamond" w:cs="Times New Roman"/>
          <w:b/>
          <w:bCs/>
          <w:color w:val="000000"/>
          <w:sz w:val="24"/>
          <w:szCs w:val="24"/>
        </w:rPr>
        <w:t>Vlerësimi i Gjykatës Kushtetuese</w:t>
      </w:r>
    </w:p>
    <w:p w14:paraId="0D683741" w14:textId="77777777" w:rsidR="00DA6F35" w:rsidRDefault="00DA6F35" w:rsidP="00AA242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7716C615" w14:textId="7927F829"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AA242A">
        <w:rPr>
          <w:rFonts w:ascii="Garamond" w:hAnsi="Garamond" w:cs="Times New Roman"/>
          <w:i/>
          <w:iCs/>
          <w:color w:val="000000"/>
          <w:sz w:val="24"/>
          <w:szCs w:val="24"/>
        </w:rPr>
        <w:t>A. Për legjitimimin e kërkuesve</w:t>
      </w:r>
    </w:p>
    <w:p w14:paraId="3FBA163B" w14:textId="729B318B"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13. Çështja e legjitimimit </w:t>
      </w:r>
      <w:r w:rsidRPr="00204BD1">
        <w:rPr>
          <w:rFonts w:ascii="Garamond" w:hAnsi="Garamond" w:cs="Times New Roman"/>
          <w:i/>
          <w:iCs/>
          <w:color w:val="000000"/>
          <w:sz w:val="24"/>
          <w:szCs w:val="24"/>
        </w:rPr>
        <w:t>(</w:t>
      </w:r>
      <w:proofErr w:type="spellStart"/>
      <w:r w:rsidRPr="00204BD1">
        <w:rPr>
          <w:rFonts w:ascii="Garamond" w:hAnsi="Garamond" w:cs="Times New Roman"/>
          <w:i/>
          <w:iCs/>
          <w:color w:val="000000"/>
          <w:sz w:val="24"/>
          <w:szCs w:val="24"/>
        </w:rPr>
        <w:t>locus</w:t>
      </w:r>
      <w:proofErr w:type="spellEnd"/>
      <w:r w:rsidRPr="00204BD1">
        <w:rPr>
          <w:rFonts w:ascii="Garamond" w:hAnsi="Garamond" w:cs="Times New Roman"/>
          <w:i/>
          <w:iCs/>
          <w:color w:val="000000"/>
          <w:sz w:val="24"/>
          <w:szCs w:val="24"/>
        </w:rPr>
        <w:t xml:space="preserve"> </w:t>
      </w:r>
      <w:proofErr w:type="spellStart"/>
      <w:r w:rsidRPr="00204BD1">
        <w:rPr>
          <w:rFonts w:ascii="Garamond" w:hAnsi="Garamond" w:cs="Times New Roman"/>
          <w:i/>
          <w:iCs/>
          <w:color w:val="000000"/>
          <w:sz w:val="24"/>
          <w:szCs w:val="24"/>
        </w:rPr>
        <w:t>standi</w:t>
      </w:r>
      <w:proofErr w:type="spellEnd"/>
      <w:r w:rsidRPr="00204BD1">
        <w:rPr>
          <w:rFonts w:ascii="Garamond" w:hAnsi="Garamond" w:cs="Times New Roman"/>
          <w:i/>
          <w:iCs/>
          <w:color w:val="000000"/>
          <w:sz w:val="24"/>
          <w:szCs w:val="24"/>
        </w:rPr>
        <w:t xml:space="preserve">) </w:t>
      </w:r>
      <w:r w:rsidRPr="00AA242A">
        <w:rPr>
          <w:rFonts w:ascii="Garamond" w:hAnsi="Garamond" w:cs="Times New Roman"/>
          <w:color w:val="000000"/>
          <w:sz w:val="24"/>
          <w:szCs w:val="24"/>
        </w:rPr>
        <w:t xml:space="preserve">është vlerësuar si një ndër aspektet kryesore që lidhen me nisjen e një procesi kushtetues. Sipas neneve 131, pika 1, shkronja “f”,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AA242A">
        <w:rPr>
          <w:rFonts w:ascii="Garamond" w:hAnsi="Garamond" w:cs="Times New Roman"/>
          <w:color w:val="000000"/>
          <w:sz w:val="24"/>
          <w:szCs w:val="24"/>
        </w:rPr>
        <w:t>kumulative</w:t>
      </w:r>
      <w:proofErr w:type="spellEnd"/>
      <w:r w:rsidRPr="00AA242A">
        <w:rPr>
          <w:rFonts w:ascii="Garamond" w:hAnsi="Garamond" w:cs="Times New Roman"/>
          <w:color w:val="000000"/>
          <w:sz w:val="24"/>
          <w:szCs w:val="24"/>
        </w:rPr>
        <w:t xml:space="preserve"> të nenit 71/a të Ligjit Organik të Gjykatës, që lidhen me afatin e paraqitjes së kërkesës, pasojat negative të pësuara në mënyrë të drejtpërdrejtë e reale, shterimin e mjeteve juridike, mundësinë për rivendosjen e së drejtës së shkelur, si dhe rregullimet e veçanta ligjore të shqyrtimit paraprak të kërkesës. </w:t>
      </w:r>
    </w:p>
    <w:p w14:paraId="60F39FFC" w14:textId="17805DEA"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14. Për sa më lart, Gjykata vlerëson se kërkuesit legjitimohen </w:t>
      </w:r>
      <w:proofErr w:type="spellStart"/>
      <w:r w:rsidRPr="00AA242A">
        <w:rPr>
          <w:rFonts w:ascii="Garamond" w:hAnsi="Garamond" w:cs="Times New Roman"/>
          <w:i/>
          <w:iCs/>
          <w:color w:val="000000"/>
          <w:sz w:val="24"/>
          <w:szCs w:val="24"/>
        </w:rPr>
        <w:t>ratione</w:t>
      </w:r>
      <w:proofErr w:type="spellEnd"/>
      <w:r w:rsidRPr="00AA242A">
        <w:rPr>
          <w:rFonts w:ascii="Garamond" w:hAnsi="Garamond" w:cs="Times New Roman"/>
          <w:i/>
          <w:iCs/>
          <w:color w:val="000000"/>
          <w:sz w:val="24"/>
          <w:szCs w:val="24"/>
        </w:rPr>
        <w:t xml:space="preserve"> </w:t>
      </w:r>
      <w:proofErr w:type="spellStart"/>
      <w:r w:rsidRPr="00AA242A">
        <w:rPr>
          <w:rFonts w:ascii="Garamond" w:hAnsi="Garamond" w:cs="Times New Roman"/>
          <w:i/>
          <w:iCs/>
          <w:color w:val="000000"/>
          <w:sz w:val="24"/>
          <w:szCs w:val="24"/>
        </w:rPr>
        <w:t>personae</w:t>
      </w:r>
      <w:proofErr w:type="spellEnd"/>
      <w:r w:rsidRPr="00AA242A">
        <w:rPr>
          <w:rFonts w:ascii="Garamond" w:hAnsi="Garamond" w:cs="Times New Roman"/>
          <w:i/>
          <w:iCs/>
          <w:color w:val="000000"/>
          <w:sz w:val="24"/>
          <w:szCs w:val="24"/>
        </w:rPr>
        <w:t>,</w:t>
      </w:r>
      <w:r w:rsidRPr="00AA242A">
        <w:rPr>
          <w:rFonts w:ascii="Garamond" w:hAnsi="Garamond" w:cs="Times New Roman"/>
          <w:color w:val="000000"/>
          <w:sz w:val="24"/>
          <w:szCs w:val="24"/>
        </w:rPr>
        <w:t xml:space="preserve"> në kuptim të neneve 131, pika 1, shkronja “f” dhe 134, pika 1, shkronja “i” dhe pika 2, të Kushtetutës, pasi në cilësinë e trashëgimtarëve kanë qenë palë në procesin gjyqësor, ndaj të cilit kanë ngritur pretendime në ankimin kushtetues individual objekt kundërshtimi.</w:t>
      </w:r>
    </w:p>
    <w:p w14:paraId="7D4D7C7B" w14:textId="12E57E17"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15. Lidhur me kriterin e </w:t>
      </w:r>
      <w:r w:rsidRPr="00AA242A">
        <w:rPr>
          <w:rFonts w:ascii="Garamond" w:hAnsi="Garamond" w:cs="Times New Roman"/>
          <w:i/>
          <w:iCs/>
          <w:color w:val="000000"/>
          <w:sz w:val="24"/>
          <w:szCs w:val="24"/>
        </w:rPr>
        <w:t>shterimit të mjeteve juridike efektive</w:t>
      </w:r>
      <w:r w:rsidRPr="00AA242A">
        <w:rPr>
          <w:rFonts w:ascii="Garamond" w:hAnsi="Garamond" w:cs="Times New Roman"/>
          <w:color w:val="000000"/>
          <w:sz w:val="24"/>
          <w:szCs w:val="24"/>
        </w:rPr>
        <w:t xml:space="preserve">, Gjykata në praktikën e saj ka theksuar se në kuptim të nenit 131, pika 1, shkronja “f”, të Kushtetutës, mbrojtja kushtetuese ka një funksion </w:t>
      </w:r>
      <w:proofErr w:type="spellStart"/>
      <w:r w:rsidRPr="00AA242A">
        <w:rPr>
          <w:rFonts w:ascii="Garamond" w:hAnsi="Garamond" w:cs="Times New Roman"/>
          <w:color w:val="000000"/>
          <w:sz w:val="24"/>
          <w:szCs w:val="24"/>
        </w:rPr>
        <w:t>subsidiar</w:t>
      </w:r>
      <w:proofErr w:type="spellEnd"/>
      <w:r w:rsidRPr="00AA242A">
        <w:rPr>
          <w:rFonts w:ascii="Garamond" w:hAnsi="Garamond" w:cs="Times New Roman"/>
          <w:color w:val="000000"/>
          <w:sz w:val="24"/>
          <w:szCs w:val="24"/>
        </w:rPr>
        <w:t xml:space="preserve">, ndaj ajo mund të kërkohet vetëm për një vendim përfundimtar, të çfarëdolloj forme, që përmbyll procesin gjyqësor </w:t>
      </w:r>
      <w:r w:rsidRPr="00AA242A">
        <w:rPr>
          <w:rFonts w:ascii="Garamond" w:hAnsi="Garamond" w:cs="Times New Roman"/>
          <w:i/>
          <w:iCs/>
          <w:color w:val="000000"/>
          <w:sz w:val="24"/>
          <w:szCs w:val="24"/>
        </w:rPr>
        <w:t>(shih vendimet nr. 14, datë 11.3.2021; nr. 29, datë 30.3.2017; nr. 39, datë 6.7.2016</w:t>
      </w:r>
      <w:r w:rsidR="00647B2D">
        <w:rPr>
          <w:rFonts w:ascii="Garamond" w:hAnsi="Garamond" w:cs="Times New Roman"/>
          <w:i/>
          <w:iCs/>
          <w:color w:val="000000"/>
          <w:sz w:val="24"/>
          <w:szCs w:val="24"/>
        </w:rPr>
        <w:t>,</w:t>
      </w:r>
      <w:r w:rsidRPr="00AA242A">
        <w:rPr>
          <w:rFonts w:ascii="Garamond" w:hAnsi="Garamond" w:cs="Times New Roman"/>
          <w:i/>
          <w:iCs/>
          <w:color w:val="000000"/>
          <w:sz w:val="24"/>
          <w:szCs w:val="24"/>
        </w:rPr>
        <w:t xml:space="preserve"> të Gjykatës Kushtetuese)</w:t>
      </w:r>
      <w:r w:rsidRPr="00AA242A">
        <w:rPr>
          <w:rFonts w:ascii="Garamond" w:hAnsi="Garamond" w:cs="Times New Roman"/>
          <w:color w:val="000000"/>
          <w:sz w:val="24"/>
          <w:szCs w:val="24"/>
        </w:rPr>
        <w:t>.</w:t>
      </w:r>
    </w:p>
    <w:p w14:paraId="20AD7724" w14:textId="451613C3"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16. Gjykata vlerëson se kërkuesit i janë drejtuar Gjykatës me ankim kushtetues individual pas përfundimit të procesit në të tria shkallët e sistemit gjyqësor të juridiksionit të zakonshëm dhe pasi kanë shteruar në formë e substancë mjetet e zakonshme të ankimit ndaj vendimeve të gjykatave më të ulëta, për rrjedhojë ata nuk kanë mjet tjetër juridik në dispozicion për mbrojtjen e të drejtave të tyre kushtetuese përveç paraqitjes së ankimit kushtetues individual.</w:t>
      </w:r>
    </w:p>
    <w:p w14:paraId="39C06EAE" w14:textId="6ACA48EF"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17. Në lidhje me legjitimimin </w:t>
      </w:r>
      <w:proofErr w:type="spellStart"/>
      <w:r w:rsidRPr="00AA242A">
        <w:rPr>
          <w:rFonts w:ascii="Garamond" w:hAnsi="Garamond" w:cs="Times New Roman"/>
          <w:i/>
          <w:iCs/>
          <w:color w:val="000000"/>
          <w:sz w:val="24"/>
          <w:szCs w:val="24"/>
        </w:rPr>
        <w:t>ratione</w:t>
      </w:r>
      <w:proofErr w:type="spellEnd"/>
      <w:r w:rsidRPr="00AA242A">
        <w:rPr>
          <w:rFonts w:ascii="Garamond" w:hAnsi="Garamond" w:cs="Times New Roman"/>
          <w:i/>
          <w:iCs/>
          <w:color w:val="000000"/>
          <w:sz w:val="24"/>
          <w:szCs w:val="24"/>
        </w:rPr>
        <w:t xml:space="preserve"> </w:t>
      </w:r>
      <w:proofErr w:type="spellStart"/>
      <w:r w:rsidRPr="00AA242A">
        <w:rPr>
          <w:rFonts w:ascii="Garamond" w:hAnsi="Garamond" w:cs="Times New Roman"/>
          <w:i/>
          <w:iCs/>
          <w:color w:val="000000"/>
          <w:sz w:val="24"/>
          <w:szCs w:val="24"/>
        </w:rPr>
        <w:t>temporis</w:t>
      </w:r>
      <w:proofErr w:type="spellEnd"/>
      <w:r w:rsidRPr="00AA242A">
        <w:rPr>
          <w:rFonts w:ascii="Garamond" w:hAnsi="Garamond" w:cs="Times New Roman"/>
          <w:color w:val="000000"/>
          <w:sz w:val="24"/>
          <w:szCs w:val="24"/>
        </w:rPr>
        <w:t xml:space="preserve">, në kuptim të përmbajtjes së nenit 71/a, pika 1, shkronja “b”, të Ligjit Organik të Gjykatës, vendimi i Kolegjit Civil të Gjykatës së Lartë mban datën 26.6.2024. Nga përmbajtja e dosjes gjyqësore të administruar për qëllime të gjykimit </w:t>
      </w:r>
      <w:r w:rsidRPr="00AA242A">
        <w:rPr>
          <w:rFonts w:ascii="Garamond" w:hAnsi="Garamond" w:cs="Times New Roman"/>
          <w:color w:val="000000"/>
          <w:sz w:val="24"/>
          <w:szCs w:val="24"/>
        </w:rPr>
        <w:lastRenderedPageBreak/>
        <w:t xml:space="preserve">kushtetues rezulton se vendimi është dërguar në adresën elektronike të avokatit të kërkuesve në datën 17.10.2024. Ankimi kushtetues individual është paraqitur në Gjykatë në datën 17.2.2025, brenda afatit ligjor 4-mujor, për rrjedhojë kërkuesit legjitimohen </w:t>
      </w:r>
      <w:proofErr w:type="spellStart"/>
      <w:r w:rsidRPr="00AA242A">
        <w:rPr>
          <w:rFonts w:ascii="Garamond" w:hAnsi="Garamond" w:cs="Times New Roman"/>
          <w:i/>
          <w:iCs/>
          <w:color w:val="000000"/>
          <w:sz w:val="24"/>
          <w:szCs w:val="24"/>
        </w:rPr>
        <w:t>ratione</w:t>
      </w:r>
      <w:proofErr w:type="spellEnd"/>
      <w:r w:rsidRPr="00AA242A">
        <w:rPr>
          <w:rFonts w:ascii="Garamond" w:hAnsi="Garamond" w:cs="Times New Roman"/>
          <w:i/>
          <w:iCs/>
          <w:color w:val="000000"/>
          <w:sz w:val="24"/>
          <w:szCs w:val="24"/>
        </w:rPr>
        <w:t xml:space="preserve"> </w:t>
      </w:r>
      <w:proofErr w:type="spellStart"/>
      <w:r w:rsidRPr="00AA242A">
        <w:rPr>
          <w:rFonts w:ascii="Garamond" w:hAnsi="Garamond" w:cs="Times New Roman"/>
          <w:i/>
          <w:iCs/>
          <w:color w:val="000000"/>
          <w:sz w:val="24"/>
          <w:szCs w:val="24"/>
        </w:rPr>
        <w:t>temporis</w:t>
      </w:r>
      <w:proofErr w:type="spellEnd"/>
      <w:r w:rsidRPr="00AA242A">
        <w:rPr>
          <w:rFonts w:ascii="Garamond" w:hAnsi="Garamond" w:cs="Times New Roman"/>
          <w:i/>
          <w:iCs/>
          <w:color w:val="000000"/>
          <w:sz w:val="24"/>
          <w:szCs w:val="24"/>
        </w:rPr>
        <w:t xml:space="preserve">. </w:t>
      </w:r>
    </w:p>
    <w:p w14:paraId="2662D172" w14:textId="3D74E975"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18. Në drejtim të legjitimimit </w:t>
      </w:r>
      <w:proofErr w:type="spellStart"/>
      <w:r w:rsidRPr="00AA242A">
        <w:rPr>
          <w:rFonts w:ascii="Garamond" w:hAnsi="Garamond" w:cs="Times New Roman"/>
          <w:i/>
          <w:iCs/>
          <w:color w:val="000000"/>
          <w:sz w:val="24"/>
          <w:szCs w:val="24"/>
        </w:rPr>
        <w:t>ratione</w:t>
      </w:r>
      <w:proofErr w:type="spellEnd"/>
      <w:r w:rsidRPr="00AA242A">
        <w:rPr>
          <w:rFonts w:ascii="Garamond" w:hAnsi="Garamond" w:cs="Times New Roman"/>
          <w:i/>
          <w:iCs/>
          <w:color w:val="000000"/>
          <w:sz w:val="24"/>
          <w:szCs w:val="24"/>
        </w:rPr>
        <w:t xml:space="preserve"> </w:t>
      </w:r>
      <w:proofErr w:type="spellStart"/>
      <w:r w:rsidRPr="00AA242A">
        <w:rPr>
          <w:rFonts w:ascii="Garamond" w:hAnsi="Garamond" w:cs="Times New Roman"/>
          <w:i/>
          <w:iCs/>
          <w:color w:val="000000"/>
          <w:sz w:val="24"/>
          <w:szCs w:val="24"/>
        </w:rPr>
        <w:t>materiae</w:t>
      </w:r>
      <w:proofErr w:type="spellEnd"/>
      <w:r w:rsidRPr="00AA242A">
        <w:rPr>
          <w:rFonts w:ascii="Garamond" w:hAnsi="Garamond" w:cs="Times New Roman"/>
          <w:color w:val="000000"/>
          <w:sz w:val="24"/>
          <w:szCs w:val="24"/>
        </w:rPr>
        <w:t xml:space="preserve">, kërkuesit kanë ngritur katër pretendime </w:t>
      </w:r>
      <w:r w:rsidRPr="00AA242A">
        <w:rPr>
          <w:rFonts w:ascii="Garamond" w:hAnsi="Garamond" w:cs="Times New Roman"/>
          <w:i/>
          <w:iCs/>
          <w:color w:val="000000"/>
          <w:sz w:val="24"/>
          <w:szCs w:val="24"/>
        </w:rPr>
        <w:t xml:space="preserve">(shih paragrafin 11). </w:t>
      </w:r>
      <w:r w:rsidRPr="00AA242A">
        <w:rPr>
          <w:rFonts w:ascii="Garamond" w:hAnsi="Garamond" w:cs="Times New Roman"/>
          <w:color w:val="000000"/>
          <w:sz w:val="24"/>
          <w:szCs w:val="24"/>
        </w:rPr>
        <w:t xml:space="preserve">Në lidhje me pretendimin për </w:t>
      </w:r>
      <w:r w:rsidRPr="00AA242A">
        <w:rPr>
          <w:rFonts w:ascii="Garamond" w:hAnsi="Garamond" w:cs="Times New Roman"/>
          <w:i/>
          <w:iCs/>
          <w:color w:val="000000"/>
          <w:sz w:val="24"/>
          <w:szCs w:val="24"/>
        </w:rPr>
        <w:t xml:space="preserve">cenimin e parimit të barazisë përpara ligjit dhe </w:t>
      </w:r>
      <w:proofErr w:type="spellStart"/>
      <w:r w:rsidRPr="00AA242A">
        <w:rPr>
          <w:rFonts w:ascii="Garamond" w:hAnsi="Garamond" w:cs="Times New Roman"/>
          <w:i/>
          <w:iCs/>
          <w:color w:val="000000"/>
          <w:sz w:val="24"/>
          <w:szCs w:val="24"/>
        </w:rPr>
        <w:t>mosdiskriminimit</w:t>
      </w:r>
      <w:proofErr w:type="spellEnd"/>
      <w:r w:rsidRPr="00AA242A">
        <w:rPr>
          <w:rFonts w:ascii="Garamond" w:hAnsi="Garamond" w:cs="Times New Roman"/>
          <w:i/>
          <w:iCs/>
          <w:color w:val="000000"/>
          <w:sz w:val="24"/>
          <w:szCs w:val="24"/>
        </w:rPr>
        <w:t xml:space="preserve">, </w:t>
      </w:r>
      <w:r w:rsidRPr="00AA242A">
        <w:rPr>
          <w:rFonts w:ascii="Garamond" w:hAnsi="Garamond" w:cs="Times New Roman"/>
          <w:color w:val="000000"/>
          <w:sz w:val="24"/>
          <w:szCs w:val="24"/>
        </w:rPr>
        <w:t>të garantuar nga neni 18 i Kushtetutës, kërkuesit kanë parashtruar se në raste të tjera analoge gjykatat e juridiksionit të zakonshëm kanë vepruar ndryshe nga rasti i tyre, megjithatë ata nuk kanë paraqitur ndonjë vendim gjyqësor konkret për të argumentuar këtë pretendim. Për këtë arsye, Gjykata vlerëson se ky pretendim nuk mund të merret në shqyrtim.</w:t>
      </w:r>
    </w:p>
    <w:p w14:paraId="3809B9C9" w14:textId="5CFE897B"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19. Për sa i takon pretendimit për cenimin e </w:t>
      </w:r>
      <w:r w:rsidRPr="00AA242A">
        <w:rPr>
          <w:rFonts w:ascii="Garamond" w:hAnsi="Garamond" w:cs="Times New Roman"/>
          <w:i/>
          <w:iCs/>
          <w:color w:val="000000"/>
          <w:sz w:val="24"/>
          <w:szCs w:val="24"/>
        </w:rPr>
        <w:t xml:space="preserve">së drejtës për t’u gjykuar nga një gjykatë e caktuar me ligj, </w:t>
      </w:r>
      <w:r w:rsidRPr="00AA242A">
        <w:rPr>
          <w:rFonts w:ascii="Garamond" w:hAnsi="Garamond" w:cs="Times New Roman"/>
          <w:color w:val="000000"/>
          <w:sz w:val="24"/>
          <w:szCs w:val="24"/>
        </w:rPr>
        <w:t xml:space="preserve">kërkuesit kanë parashtruar se Gjykata e Lartë duhet ta kishte shqyrtuar rekursin e tyre në seancë gjyqësore me praninë e palëve, duke zbatuar ligjin procedural të kohës së paraqitjes së rekursit. Sipas kërkuesve, për këtë arsye atyre iu është cenuar nga Gjykata e Lartë e drejta për të marrë përgjigje të arsyetuar për pretendimet lidhur me cenimin e parimit të </w:t>
      </w:r>
      <w:proofErr w:type="spellStart"/>
      <w:r w:rsidRPr="00AA242A">
        <w:rPr>
          <w:rFonts w:ascii="Garamond" w:hAnsi="Garamond" w:cs="Times New Roman"/>
          <w:color w:val="000000"/>
          <w:sz w:val="24"/>
          <w:szCs w:val="24"/>
        </w:rPr>
        <w:t>kontradiktoritetit</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disponibilitetit</w:t>
      </w:r>
      <w:proofErr w:type="spellEnd"/>
      <w:r w:rsidRPr="00AA242A">
        <w:rPr>
          <w:rFonts w:ascii="Garamond" w:hAnsi="Garamond" w:cs="Times New Roman"/>
          <w:color w:val="000000"/>
          <w:sz w:val="24"/>
          <w:szCs w:val="24"/>
        </w:rPr>
        <w:t xml:space="preserve">, së drejtës për t’u dëgjuar dhe parimit të paanshmërisë gjatë gjykimit në gjykatën e apelit. </w:t>
      </w:r>
    </w:p>
    <w:p w14:paraId="682936C6" w14:textId="030BFF9B"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20. Në lidhje me këtë pretendim, Gjykata vëren se pas datës 21.4.2016, kur kërkuesit kanë ushtruar rekurs në Gjykatën e Lartë, dispozitat e </w:t>
      </w:r>
      <w:proofErr w:type="spellStart"/>
      <w:r w:rsidRPr="00AA242A">
        <w:rPr>
          <w:rFonts w:ascii="Garamond" w:hAnsi="Garamond" w:cs="Times New Roman"/>
          <w:color w:val="000000"/>
          <w:sz w:val="24"/>
          <w:szCs w:val="24"/>
        </w:rPr>
        <w:t>KPC</w:t>
      </w:r>
      <w:proofErr w:type="spellEnd"/>
      <w:r w:rsidRPr="00AA242A">
        <w:rPr>
          <w:rFonts w:ascii="Garamond" w:hAnsi="Garamond" w:cs="Times New Roman"/>
          <w:color w:val="000000"/>
          <w:sz w:val="24"/>
          <w:szCs w:val="24"/>
        </w:rPr>
        <w:t>-së kanë pësuar ndryshime përkatësisht me ligjet nr. 38/2017 dhe nr. 44/2021</w:t>
      </w:r>
      <w:r w:rsidR="00133632">
        <w:rPr>
          <w:rFonts w:ascii="Garamond" w:hAnsi="Garamond" w:cs="Times New Roman"/>
          <w:color w:val="000000"/>
          <w:sz w:val="24"/>
          <w:szCs w:val="24"/>
        </w:rPr>
        <w:t>,</w:t>
      </w:r>
      <w:bookmarkStart w:id="1" w:name="_GoBack"/>
      <w:bookmarkEnd w:id="1"/>
      <w:r w:rsidRPr="00AA242A">
        <w:rPr>
          <w:rFonts w:ascii="Garamond" w:hAnsi="Garamond" w:cs="Times New Roman"/>
          <w:color w:val="000000"/>
          <w:sz w:val="24"/>
          <w:szCs w:val="24"/>
        </w:rPr>
        <w:t xml:space="preserve"> “Për disa shtesa dhe ndryshime në ligjin nr. 8116, datë 29.3.1996 “Kodi i Procedurës Civile i Republikës së Shqipërisë”, të ndryshuar. Në nenin 32 të ligjit nr. 44/2021 parashikohet se përbërja e trupave gjykues, si dhe procedura e gjykimit në Gjykatën e Lartë rregullohen sipas përcaktimeve të këtij ligji, pavarësisht parashikimeve të ndryshme në ligje të tjera. Rekurset e paraqitura, por ende të pashqyrtuara, konsiderohen të pranueshme nëse plotësojnë parashikimet e ligjit në fuqi në kohën e depozitimit të tyre. Për rrjedhojë, Gjykata vlerëson se Kolegji Civil i Gjykatës së Lartë në datën 26.6.2024 në marrjen e vendimit ka vepruar në përputhje me parimin </w:t>
      </w:r>
      <w:proofErr w:type="spellStart"/>
      <w:r w:rsidRPr="00AA242A">
        <w:rPr>
          <w:rFonts w:ascii="Garamond" w:hAnsi="Garamond" w:cs="Times New Roman"/>
          <w:i/>
          <w:iCs/>
          <w:color w:val="000000"/>
          <w:sz w:val="24"/>
          <w:szCs w:val="24"/>
        </w:rPr>
        <w:t>tempus</w:t>
      </w:r>
      <w:proofErr w:type="spellEnd"/>
      <w:r w:rsidRPr="00AA242A">
        <w:rPr>
          <w:rFonts w:ascii="Garamond" w:hAnsi="Garamond" w:cs="Times New Roman"/>
          <w:i/>
          <w:iCs/>
          <w:color w:val="000000"/>
          <w:sz w:val="24"/>
          <w:szCs w:val="24"/>
        </w:rPr>
        <w:t xml:space="preserve"> </w:t>
      </w:r>
      <w:proofErr w:type="spellStart"/>
      <w:r w:rsidRPr="00AA242A">
        <w:rPr>
          <w:rFonts w:ascii="Garamond" w:hAnsi="Garamond" w:cs="Times New Roman"/>
          <w:i/>
          <w:iCs/>
          <w:color w:val="000000"/>
          <w:sz w:val="24"/>
          <w:szCs w:val="24"/>
        </w:rPr>
        <w:t>regit</w:t>
      </w:r>
      <w:proofErr w:type="spellEnd"/>
      <w:r w:rsidRPr="00AA242A">
        <w:rPr>
          <w:rFonts w:ascii="Garamond" w:hAnsi="Garamond" w:cs="Times New Roman"/>
          <w:i/>
          <w:iCs/>
          <w:color w:val="000000"/>
          <w:sz w:val="24"/>
          <w:szCs w:val="24"/>
        </w:rPr>
        <w:t xml:space="preserve"> </w:t>
      </w:r>
      <w:proofErr w:type="spellStart"/>
      <w:r w:rsidRPr="00AA242A">
        <w:rPr>
          <w:rFonts w:ascii="Garamond" w:hAnsi="Garamond" w:cs="Times New Roman"/>
          <w:i/>
          <w:iCs/>
          <w:color w:val="000000"/>
          <w:sz w:val="24"/>
          <w:szCs w:val="24"/>
        </w:rPr>
        <w:t>processum</w:t>
      </w:r>
      <w:proofErr w:type="spellEnd"/>
      <w:r w:rsidRPr="00AA242A">
        <w:rPr>
          <w:rFonts w:ascii="Garamond" w:hAnsi="Garamond" w:cs="Times New Roman"/>
          <w:color w:val="000000"/>
          <w:sz w:val="24"/>
          <w:szCs w:val="24"/>
        </w:rPr>
        <w:t>, duke zbatuar legjislacionin procedural në fuqi, ndaj pretendimi i kërkuesit për cenimin e së drejtës për t’u gjykuar nga një gjykatë e caktuar me ligj është haptazi i pabazuar.</w:t>
      </w:r>
      <w:r w:rsidR="000E3BDB">
        <w:rPr>
          <w:rFonts w:ascii="Garamond" w:hAnsi="Garamond" w:cs="Times New Roman"/>
          <w:color w:val="000000"/>
          <w:sz w:val="24"/>
          <w:szCs w:val="24"/>
        </w:rPr>
        <w:t xml:space="preserve"> </w:t>
      </w:r>
    </w:p>
    <w:p w14:paraId="10273335" w14:textId="7E8A8E52"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21. Për sa i takon pretendimit për cenimin e</w:t>
      </w:r>
      <w:r w:rsidRPr="00AA242A">
        <w:rPr>
          <w:rFonts w:ascii="Garamond" w:hAnsi="Garamond" w:cs="Times New Roman"/>
          <w:i/>
          <w:iCs/>
          <w:color w:val="000000"/>
          <w:sz w:val="24"/>
          <w:szCs w:val="24"/>
        </w:rPr>
        <w:t xml:space="preserve"> standardit të arsyetimit të vendimit gjyqësor</w:t>
      </w:r>
      <w:r w:rsidRPr="00AA242A">
        <w:rPr>
          <w:rFonts w:ascii="Garamond" w:hAnsi="Garamond" w:cs="Times New Roman"/>
          <w:color w:val="000000"/>
          <w:sz w:val="24"/>
          <w:szCs w:val="24"/>
        </w:rPr>
        <w:t>, kërkuesit kanë parashtruar, ndër të tjera, argumentin se Gjykata e Lartë nuk ka pasqyruar në vendimin e saj pretendimet e ngritura në rekurs për cenimin e parimit paanshmërisë gjatë gjykimit në gjykatën e apelit. Gjykata, nga përmbajtja e dosjes gjyqësore, konstaton se kërkuesit kanë kërkuar përjashtimin e trupit gjykues, për shkak të mendimeve dhe sjelljeve të njëanshme në mbrojtje të interesave të shoqërisë së sigurimit. Për këtë kërkesë, Gjykata e Apelit Tiranë, me vendimin e datës 24.11.2015, ka vendosur rrëzimin, duke vlerësuar se pretendimet ishin të natyrës subjektive e nuk bazoheshin në asnjë provë, me anë të së cilës do të provoheshin</w:t>
      </w:r>
      <w:r w:rsidR="000E3BDB">
        <w:rPr>
          <w:rFonts w:ascii="Garamond" w:hAnsi="Garamond" w:cs="Times New Roman"/>
          <w:color w:val="000000"/>
          <w:sz w:val="24"/>
          <w:szCs w:val="24"/>
        </w:rPr>
        <w:t xml:space="preserve"> </w:t>
      </w:r>
      <w:r w:rsidRPr="00AA242A">
        <w:rPr>
          <w:rFonts w:ascii="Garamond" w:hAnsi="Garamond" w:cs="Times New Roman"/>
          <w:color w:val="000000"/>
          <w:sz w:val="24"/>
          <w:szCs w:val="24"/>
        </w:rPr>
        <w:t xml:space="preserve">rrethana për njëanshmëri të trupit gjykues. Po gjatë gjykimit, në gjykatën e apelit kërkuesit kanë kërkuar përjashtimin edhe të ekspertit, kërkesë që është rrëzuar gjatë seancës gjyqësore të datës 22.1.2016. Gjykata vëren se arsyetimi i vendimit të gjykatës së apelit që ka rrëzuar kërkesat e kërkuesve nuk përmban gabime të dukshme ligjore ose faktike, për rrjedhojë </w:t>
      </w:r>
      <w:proofErr w:type="spellStart"/>
      <w:r w:rsidRPr="00AA242A">
        <w:rPr>
          <w:rFonts w:ascii="Garamond" w:hAnsi="Garamond" w:cs="Times New Roman"/>
          <w:color w:val="000000"/>
          <w:sz w:val="24"/>
          <w:szCs w:val="24"/>
        </w:rPr>
        <w:t>mospasqyrimi</w:t>
      </w:r>
      <w:proofErr w:type="spellEnd"/>
      <w:r w:rsidRPr="00AA242A">
        <w:rPr>
          <w:rFonts w:ascii="Garamond" w:hAnsi="Garamond" w:cs="Times New Roman"/>
          <w:color w:val="000000"/>
          <w:sz w:val="24"/>
          <w:szCs w:val="24"/>
        </w:rPr>
        <w:t xml:space="preserve"> i pretendimit për paanshmërinë e trupit gjykues të gjykatës së apelit është i tillë që nuk vë në dyshim standardin e arsyetimit të vendimit të Gjykatës së Lartë.</w:t>
      </w:r>
    </w:p>
    <w:p w14:paraId="4AE43399" w14:textId="4DA99012"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22. Për sa u takon pretendimeve të tjera të kërkuesve, Gjykata konstaton se në thelb ato kanë të bëjnë me zbatimin e ligjit nga gjykatat e juridiksionit të zakonshëm në përllogaritjen e dëmit të shkaktuar si pasojë e humbjes së jetës së familjarëve të tyre. Në këtë pikë, Gjykata evidenton se e drejta e jetës garantohet nga neni 21 i Kushtetutës dhe neni 2 i </w:t>
      </w:r>
      <w:proofErr w:type="spellStart"/>
      <w:r w:rsidRPr="00AA242A">
        <w:rPr>
          <w:rFonts w:ascii="Garamond" w:hAnsi="Garamond" w:cs="Times New Roman"/>
          <w:color w:val="000000"/>
          <w:sz w:val="24"/>
          <w:szCs w:val="24"/>
        </w:rPr>
        <w:t>KEDNJ</w:t>
      </w:r>
      <w:proofErr w:type="spellEnd"/>
      <w:r w:rsidRPr="00AA242A">
        <w:rPr>
          <w:rFonts w:ascii="Garamond" w:hAnsi="Garamond" w:cs="Times New Roman"/>
          <w:color w:val="000000"/>
          <w:sz w:val="24"/>
          <w:szCs w:val="24"/>
        </w:rPr>
        <w:t xml:space="preserve">-së. Ndërsa Gjykata Evropiane për të Drejtat e Njeriut ka pohuar se në rast vdekjeje ose dëmtimi fizik të rrezikshëm për jetën, detyrimi pozitiv i shtetit, sipas nenit 2 të </w:t>
      </w:r>
      <w:proofErr w:type="spellStart"/>
      <w:r w:rsidRPr="00AA242A">
        <w:rPr>
          <w:rFonts w:ascii="Garamond" w:hAnsi="Garamond" w:cs="Times New Roman"/>
          <w:color w:val="000000"/>
          <w:sz w:val="24"/>
          <w:szCs w:val="24"/>
        </w:rPr>
        <w:t>KEDNJ</w:t>
      </w:r>
      <w:proofErr w:type="spellEnd"/>
      <w:r w:rsidRPr="00AA242A">
        <w:rPr>
          <w:rFonts w:ascii="Garamond" w:hAnsi="Garamond" w:cs="Times New Roman"/>
          <w:color w:val="000000"/>
          <w:sz w:val="24"/>
          <w:szCs w:val="24"/>
        </w:rPr>
        <w:t xml:space="preserve">-së, duhet të konsiderohet se përfshin edhe krijimin e një sistemi gjyqësor efektiv dhe të pavarur, të aftë për t’i ofruar viktimës dëmshpërblim të përshtatshëm. Në rastet që kanë të bëjnë me shkaktimin e vdekjes nga pakujdesia, </w:t>
      </w:r>
      <w:r w:rsidRPr="00AA242A">
        <w:rPr>
          <w:rFonts w:ascii="Garamond" w:hAnsi="Garamond" w:cs="Times New Roman"/>
          <w:color w:val="000000"/>
          <w:sz w:val="24"/>
          <w:szCs w:val="24"/>
        </w:rPr>
        <w:lastRenderedPageBreak/>
        <w:t xml:space="preserve">kjo kërkesë do të konsiderohet e përmbushur nëse sistemi ligjor u ofron viktimave ose të afërmve të tyre një mjet juridik në gjykimin civil, qoftë veçmas ose edhe në lidhje me një mjet juridik në gjykimin penal, duke mundësuar përcaktimin e çdo përgjegjësie dhe marrjen e çdo mjeti juridik civil të përshtatshëm </w:t>
      </w:r>
      <w:r w:rsidRPr="00204BD1">
        <w:rPr>
          <w:rFonts w:ascii="Garamond" w:hAnsi="Garamond" w:cs="Times New Roman"/>
          <w:i/>
          <w:iCs/>
          <w:color w:val="000000"/>
          <w:sz w:val="24"/>
          <w:szCs w:val="24"/>
        </w:rPr>
        <w:t>(</w:t>
      </w:r>
      <w:r w:rsidRPr="00AA242A">
        <w:rPr>
          <w:rFonts w:ascii="Garamond" w:hAnsi="Garamond" w:cs="Times New Roman"/>
          <w:i/>
          <w:iCs/>
          <w:color w:val="000000"/>
          <w:sz w:val="24"/>
          <w:szCs w:val="24"/>
        </w:rPr>
        <w:t xml:space="preserve">shih </w:t>
      </w:r>
      <w:proofErr w:type="spellStart"/>
      <w:r w:rsidRPr="00AA242A">
        <w:rPr>
          <w:rFonts w:ascii="Garamond" w:hAnsi="Garamond" w:cs="Times New Roman"/>
          <w:i/>
          <w:iCs/>
          <w:color w:val="000000"/>
          <w:sz w:val="24"/>
          <w:szCs w:val="24"/>
        </w:rPr>
        <w:t>Stanevi</w:t>
      </w:r>
      <w:proofErr w:type="spellEnd"/>
      <w:r w:rsidRPr="00AA242A">
        <w:rPr>
          <w:rFonts w:ascii="Garamond" w:hAnsi="Garamond" w:cs="Times New Roman"/>
          <w:i/>
          <w:iCs/>
          <w:color w:val="000000"/>
          <w:sz w:val="24"/>
          <w:szCs w:val="24"/>
        </w:rPr>
        <w:t xml:space="preserve"> k. Bullgarisë, nr. 56352/14, datë 30.5.2023, § 51; </w:t>
      </w:r>
      <w:proofErr w:type="spellStart"/>
      <w:r w:rsidRPr="00AA242A">
        <w:rPr>
          <w:rFonts w:ascii="Garamond" w:hAnsi="Garamond" w:cs="Times New Roman"/>
          <w:i/>
          <w:iCs/>
          <w:color w:val="000000"/>
          <w:sz w:val="24"/>
          <w:szCs w:val="24"/>
        </w:rPr>
        <w:t>Nicolae</w:t>
      </w:r>
      <w:proofErr w:type="spellEnd"/>
      <w:r w:rsidRPr="00AA242A">
        <w:rPr>
          <w:rFonts w:ascii="Garamond" w:hAnsi="Garamond" w:cs="Times New Roman"/>
          <w:i/>
          <w:iCs/>
          <w:color w:val="000000"/>
          <w:sz w:val="24"/>
          <w:szCs w:val="24"/>
        </w:rPr>
        <w:t xml:space="preserve"> </w:t>
      </w:r>
      <w:proofErr w:type="spellStart"/>
      <w:r w:rsidRPr="00AA242A">
        <w:rPr>
          <w:rFonts w:ascii="Garamond" w:hAnsi="Garamond" w:cs="Times New Roman"/>
          <w:i/>
          <w:iCs/>
          <w:color w:val="000000"/>
          <w:sz w:val="24"/>
          <w:szCs w:val="24"/>
        </w:rPr>
        <w:t>Virgiliu</w:t>
      </w:r>
      <w:proofErr w:type="spellEnd"/>
      <w:r w:rsidRPr="00AA242A">
        <w:rPr>
          <w:rFonts w:ascii="Garamond" w:hAnsi="Garamond" w:cs="Times New Roman"/>
          <w:i/>
          <w:iCs/>
          <w:color w:val="000000"/>
          <w:sz w:val="24"/>
          <w:szCs w:val="24"/>
        </w:rPr>
        <w:t xml:space="preserve"> </w:t>
      </w:r>
      <w:proofErr w:type="spellStart"/>
      <w:r w:rsidRPr="00AA242A">
        <w:rPr>
          <w:rFonts w:ascii="Garamond" w:hAnsi="Garamond" w:cs="Times New Roman"/>
          <w:i/>
          <w:iCs/>
          <w:color w:val="000000"/>
          <w:sz w:val="24"/>
          <w:szCs w:val="24"/>
        </w:rPr>
        <w:t>Tănase</w:t>
      </w:r>
      <w:proofErr w:type="spellEnd"/>
      <w:r w:rsidRPr="00AA242A">
        <w:rPr>
          <w:rFonts w:ascii="Garamond" w:hAnsi="Garamond" w:cs="Times New Roman"/>
          <w:i/>
          <w:iCs/>
          <w:color w:val="000000"/>
          <w:sz w:val="24"/>
          <w:szCs w:val="24"/>
        </w:rPr>
        <w:t xml:space="preserve"> k. Rumanisë, nr. 41720/13, datë 25.6.2019, §§ 135, 157-59</w:t>
      </w:r>
      <w:r w:rsidRPr="00204BD1">
        <w:rPr>
          <w:rFonts w:ascii="Garamond" w:hAnsi="Garamond" w:cs="Times New Roman"/>
          <w:i/>
          <w:iCs/>
          <w:color w:val="000000"/>
          <w:sz w:val="24"/>
          <w:szCs w:val="24"/>
        </w:rPr>
        <w:t>).</w:t>
      </w:r>
      <w:r w:rsidRPr="00AA242A">
        <w:rPr>
          <w:rFonts w:ascii="Garamond" w:hAnsi="Garamond" w:cs="Times New Roman"/>
          <w:color w:val="000000"/>
          <w:sz w:val="24"/>
          <w:szCs w:val="24"/>
        </w:rPr>
        <w:t xml:space="preserve"> </w:t>
      </w:r>
    </w:p>
    <w:p w14:paraId="2F9C4907" w14:textId="3054E069"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AA242A">
        <w:rPr>
          <w:rFonts w:ascii="Garamond" w:hAnsi="Garamond" w:cs="Times New Roman"/>
          <w:color w:val="000000"/>
          <w:sz w:val="24"/>
          <w:szCs w:val="24"/>
        </w:rPr>
        <w:t>23. Për sa më sipër, Gjykata, nisur nga thelbi i pretendimeve të kërkuesve dhe bazuar në nenin 42 të Kushtetutës, çmon ta analizojë çështjen nëse sistemi i gjykatave të juridiksionit të zakonshëm u ka ofruar kërkuesve një gjykim të drejtë, si një mjet juridik në dispozicion nga sistemi ligjor për të përfituar dëmshpërblimin e përshtatshëm nga humbja e jetës së të afërmve të tyre.</w:t>
      </w:r>
    </w:p>
    <w:p w14:paraId="383A138B" w14:textId="6D85E3ED"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AA242A">
        <w:rPr>
          <w:rFonts w:ascii="Garamond" w:hAnsi="Garamond" w:cs="Times New Roman"/>
          <w:i/>
          <w:iCs/>
          <w:color w:val="000000"/>
          <w:sz w:val="24"/>
          <w:szCs w:val="24"/>
        </w:rPr>
        <w:t>B. Për themelin e pretendimeve</w:t>
      </w:r>
    </w:p>
    <w:p w14:paraId="270C951D" w14:textId="77777777"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AA242A">
        <w:rPr>
          <w:rFonts w:ascii="Garamond" w:hAnsi="Garamond" w:cs="Times New Roman"/>
          <w:i/>
          <w:iCs/>
          <w:color w:val="000000"/>
          <w:sz w:val="24"/>
          <w:szCs w:val="24"/>
        </w:rPr>
        <w:t>B.1</w:t>
      </w:r>
      <w:proofErr w:type="spellEnd"/>
      <w:r w:rsidRPr="00AA242A">
        <w:rPr>
          <w:rFonts w:ascii="Garamond" w:hAnsi="Garamond" w:cs="Times New Roman"/>
          <w:i/>
          <w:iCs/>
          <w:color w:val="000000"/>
          <w:sz w:val="24"/>
          <w:szCs w:val="24"/>
        </w:rPr>
        <w:t xml:space="preserve">. </w:t>
      </w:r>
      <w:r w:rsidRPr="00AA242A">
        <w:rPr>
          <w:rFonts w:ascii="Garamond" w:hAnsi="Garamond" w:cs="Times New Roman"/>
          <w:i/>
          <w:iCs/>
          <w:color w:val="000000"/>
          <w:spacing w:val="15"/>
          <w:sz w:val="24"/>
          <w:szCs w:val="24"/>
        </w:rPr>
        <w:t xml:space="preserve">Për </w:t>
      </w:r>
      <w:r w:rsidRPr="00AA242A">
        <w:rPr>
          <w:rFonts w:ascii="Garamond" w:hAnsi="Garamond" w:cs="Times New Roman"/>
          <w:i/>
          <w:iCs/>
          <w:color w:val="000000"/>
          <w:sz w:val="24"/>
          <w:szCs w:val="24"/>
        </w:rPr>
        <w:t>cenimin e së drejtës për gjykim të drejtë</w:t>
      </w:r>
    </w:p>
    <w:p w14:paraId="28C1364E" w14:textId="5F6EB41A"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24. Kërkuesit kanë pretenduar se vendimi i Gjykatës së Lartë nuk përmbush kriteret e vendosura nga jurisprudenca kushtetuese, sepse nuk ka arsyetuar për pretendimet e ngritura në rekurs që lidheshin me zbatimin e ligjit në kohën kur ka ndodhur aksidenti dhe qëndrimin e saj që ka vlerësuar të drejtë vendimin e gjykatës së apelit. Gjykatat e faktit dhe Gjykata e Lartë kanë mbajtur qëndrim kontradiktor për vlerën e dëmshpërblimit, pasi kanë interpretuar në mënyrë të gabuar dekretin nr. 295/1992, </w:t>
      </w:r>
      <w:proofErr w:type="spellStart"/>
      <w:r w:rsidRPr="00AA242A">
        <w:rPr>
          <w:rFonts w:ascii="Garamond" w:hAnsi="Garamond" w:cs="Times New Roman"/>
          <w:color w:val="000000"/>
          <w:sz w:val="24"/>
          <w:szCs w:val="24"/>
        </w:rPr>
        <w:t>KC</w:t>
      </w:r>
      <w:proofErr w:type="spellEnd"/>
      <w:r w:rsidRPr="00AA242A">
        <w:rPr>
          <w:rFonts w:ascii="Garamond" w:hAnsi="Garamond" w:cs="Times New Roman"/>
          <w:color w:val="000000"/>
          <w:sz w:val="24"/>
          <w:szCs w:val="24"/>
        </w:rPr>
        <w:t>-në, udhëzimin e ministrit të Financave dhe ligjin nr. 10076/2009.</w:t>
      </w:r>
    </w:p>
    <w:p w14:paraId="174D0DBA" w14:textId="6976DFEA"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AA242A">
        <w:rPr>
          <w:rFonts w:ascii="Garamond" w:hAnsi="Garamond" w:cs="Times New Roman"/>
          <w:color w:val="000000"/>
          <w:sz w:val="24"/>
          <w:szCs w:val="24"/>
        </w:rPr>
        <w:t xml:space="preserve">25. Subjekti i interesuar, shoqëria e sigurimit, ka parashtruar se pretendimet e kërkuesve janë të pabazuara, pasi gjykatat e juridiksionit të zakonshëm kanë zbatuar drejt legjislacionin e posaçëm në fuqi në kohën kur ka ndodhur aksidenti, konkretisht rregulloren nr. 622/1, datë 15.12.1992. Sipas subjektit të interesuar, edhe Gjykata e Lartë i ka dhënë përgjigje çdo pretendimi të parashtruar në rekurs dhe vendimi respekton standardin e vendosur nga jurisprudenca kushtetuese. Neni 42, pika 2, i Kushtetutës, ndër të tjera, parashikon se kushdo, për mbrojtjen e të drejtave, të lirive dhe të interesave të tij kushtetues dhe ligjorë, ka të drejtën e një gjykimi të drejtë. Gjykata në jurisprudencën e saj ka pohuar se detyra e saj është të vlerësojë nëse gjatë procesit gjyqësor ka pasur shkelje të </w:t>
      </w:r>
      <w:proofErr w:type="spellStart"/>
      <w:r w:rsidRPr="00AA242A">
        <w:rPr>
          <w:rFonts w:ascii="Garamond" w:hAnsi="Garamond" w:cs="Times New Roman"/>
          <w:color w:val="000000"/>
          <w:sz w:val="24"/>
          <w:szCs w:val="24"/>
        </w:rPr>
        <w:t>të</w:t>
      </w:r>
      <w:proofErr w:type="spellEnd"/>
      <w:r w:rsidRPr="00AA242A">
        <w:rPr>
          <w:rFonts w:ascii="Garamond" w:hAnsi="Garamond" w:cs="Times New Roman"/>
          <w:color w:val="000000"/>
          <w:sz w:val="24"/>
          <w:szCs w:val="24"/>
        </w:rPr>
        <w:t xml:space="preserve"> drejtave kushtetuese, si dhe nëse zbatimi i ligjit ka qenë eventualisht arbitrar, në kuptimin që të bjerë ndesh haptazi me konceptin e gjykimit të drejtë të përcaktuar në nenin 42 të Kushtetutës. Ajo nuk vepron si gjykatë e shkallës së katërt dhe për këtë arsye vendimet e gjykatave të juridiksionit të zakonshëm nuk vihen në dyshim, përveç rasteve kur gjetjet e tyre mund të konsiderohen si arbitrare ose haptazi të paarsyeshme. E thënë ndryshe, Gjykata vepron në rastin kur gabimi ligjor ose faktik nga gjykatat e juridiksionit të zakonshëm është aq i dukshëm, sa një gjykatë e kujdesshme nuk mund ta kishte bërë ndonjëherë ose i tillë që gjykimin e bën të padrejtë (</w:t>
      </w:r>
      <w:r w:rsidRPr="00AA242A">
        <w:rPr>
          <w:rFonts w:ascii="Garamond" w:hAnsi="Garamond" w:cs="Times New Roman"/>
          <w:i/>
          <w:iCs/>
          <w:color w:val="000000"/>
          <w:sz w:val="24"/>
          <w:szCs w:val="24"/>
        </w:rPr>
        <w:t>shih vendimet nr. 25, datë 23.4.2025; nr. 67, datë 6.12.2023; nr. 59, datë 14.11.2023</w:t>
      </w:r>
      <w:r w:rsidR="00647B2D">
        <w:rPr>
          <w:rFonts w:ascii="Garamond" w:hAnsi="Garamond" w:cs="Times New Roman"/>
          <w:i/>
          <w:iCs/>
          <w:color w:val="000000"/>
          <w:sz w:val="24"/>
          <w:szCs w:val="24"/>
        </w:rPr>
        <w:t>,</w:t>
      </w:r>
      <w:r w:rsidRPr="00AA242A">
        <w:rPr>
          <w:rFonts w:ascii="Garamond" w:hAnsi="Garamond" w:cs="Times New Roman"/>
          <w:i/>
          <w:iCs/>
          <w:color w:val="000000"/>
          <w:sz w:val="24"/>
          <w:szCs w:val="24"/>
        </w:rPr>
        <w:t xml:space="preserve"> të Gjykatës Kushtetuese)</w:t>
      </w:r>
      <w:r w:rsidRPr="00AA242A">
        <w:rPr>
          <w:rFonts w:ascii="Garamond" w:hAnsi="Garamond" w:cs="Times New Roman"/>
          <w:color w:val="000000"/>
          <w:sz w:val="24"/>
          <w:szCs w:val="24"/>
        </w:rPr>
        <w:t xml:space="preserve">. </w:t>
      </w:r>
    </w:p>
    <w:p w14:paraId="021465AD" w14:textId="56A5364D"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AA242A">
        <w:rPr>
          <w:rFonts w:ascii="Garamond" w:hAnsi="Garamond" w:cs="Times New Roman"/>
          <w:color w:val="000000"/>
          <w:sz w:val="24"/>
          <w:szCs w:val="24"/>
        </w:rPr>
        <w:t xml:space="preserve">26. Gjykata evidenton se në rastet kur pretendohet se vendimet gjyqësore përmbajnë elemente arbitrariteti, nuk vihet në dyshim e drejta e gjykatave të zakonshme për të interpretuar ligjin për qëllime të procesit gjyqësor që ato zhvillojnë. Por duke pasur parasysh të drejtën e individit për të pasur një vendim gjyqësor të arsyetuar, si element përbërës i së drejtës për një gjykim të drejtë, si dhe duke u kujdesur për të mos marrë trajtën e një gjykimi të zakonshëm të shkallës së katërt, për t’u dhënë përgjigje pretendimeve Gjykata kufizohet në identifikimin e gabimeve ligjore e faktike të dukshme, që shkojnë përtej pretendimeve për interpretim të gabuar të ligjit, që mbetet në kompetencë të gjykatave të juridiksionit të zakonshëm </w:t>
      </w:r>
      <w:r w:rsidRPr="00AA242A">
        <w:rPr>
          <w:rFonts w:ascii="Garamond" w:hAnsi="Garamond" w:cs="Times New Roman"/>
          <w:i/>
          <w:iCs/>
          <w:color w:val="000000"/>
          <w:sz w:val="24"/>
          <w:szCs w:val="24"/>
        </w:rPr>
        <w:t>(shih vendimin nr. 11, datë 11.2.2026</w:t>
      </w:r>
      <w:r w:rsidR="00647B2D">
        <w:rPr>
          <w:rFonts w:ascii="Garamond" w:hAnsi="Garamond" w:cs="Times New Roman"/>
          <w:i/>
          <w:iCs/>
          <w:color w:val="000000"/>
          <w:sz w:val="24"/>
          <w:szCs w:val="24"/>
        </w:rPr>
        <w:t>,</w:t>
      </w:r>
      <w:r w:rsidRPr="00AA242A">
        <w:rPr>
          <w:rFonts w:ascii="Garamond" w:hAnsi="Garamond" w:cs="Times New Roman"/>
          <w:i/>
          <w:iCs/>
          <w:color w:val="000000"/>
          <w:sz w:val="24"/>
          <w:szCs w:val="24"/>
        </w:rPr>
        <w:t xml:space="preserve"> të Gjykatës Kushtetuese).</w:t>
      </w:r>
    </w:p>
    <w:p w14:paraId="638D4DCD" w14:textId="1E226F58"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AA242A">
        <w:rPr>
          <w:rFonts w:ascii="Garamond" w:hAnsi="Garamond" w:cs="Times New Roman"/>
          <w:color w:val="000000"/>
          <w:sz w:val="24"/>
          <w:szCs w:val="24"/>
        </w:rPr>
        <w:t xml:space="preserve">27. Nisur nga thelbi i parashtrimeve të kërkuesve, që lidhen me interpretimin e ligjit nga gjykatat e juridiksionit zakonshëm në përcaktimin e shumës së dëmshpërblimit si pasojë e humbjes së jetës së familjarëve, si dhe bazuar në standardet kushtetuese të sipërcituara, Gjykata do të analizojë nëse kërkuesit kanë marrë përgjigje për kërkimin e tyre, duke shqyrtuar nëse vendimi i Gjykatës së Lartë përmban elemente arbitrariteti nga pikëpamja ligjore, të tilla që vënë në dyshim </w:t>
      </w:r>
      <w:r w:rsidRPr="00AA242A">
        <w:rPr>
          <w:rFonts w:ascii="Garamond" w:hAnsi="Garamond" w:cs="Times New Roman"/>
          <w:i/>
          <w:iCs/>
          <w:color w:val="000000"/>
          <w:sz w:val="24"/>
          <w:szCs w:val="24"/>
        </w:rPr>
        <w:t>të drejtën për të pasur një gjykim të drejtë.</w:t>
      </w:r>
      <w:r w:rsidR="000E3BDB">
        <w:rPr>
          <w:rFonts w:ascii="Garamond" w:hAnsi="Garamond" w:cs="Times New Roman"/>
          <w:color w:val="000000"/>
          <w:sz w:val="24"/>
          <w:szCs w:val="24"/>
        </w:rPr>
        <w:t xml:space="preserve"> </w:t>
      </w:r>
    </w:p>
    <w:p w14:paraId="3EEE94E8" w14:textId="3087301F"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lastRenderedPageBreak/>
        <w:t xml:space="preserve">28. Sikurse u parashtrua në rrethanat e çështjes, kërkuesit i janë drejtuar gjykatës së shkallës së parë me kërkesëpadi duke paditur shoqërinë e sigurimit për pagimin e dëmin pasuror dhe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shpenzimet e tjera të arsyeshme e të nevojshme dhe kamatëvonesat për shkak të dëmit të shkaktuar nga aksidenti automobilistik i ndodhur në datën 9.4.2007, ku si pasojë kanë gjetur vdekjen fillimisht shtetasi </w:t>
      </w:r>
      <w:proofErr w:type="spellStart"/>
      <w:r w:rsidRPr="00AA242A">
        <w:rPr>
          <w:rFonts w:ascii="Garamond" w:hAnsi="Garamond" w:cs="Times New Roman"/>
          <w:color w:val="000000"/>
          <w:sz w:val="24"/>
          <w:szCs w:val="24"/>
        </w:rPr>
        <w:t>Kristaq</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e më vonë për shkak të vetëvrasjes, pasi kishte humbur plotësisht aftësinë për punë edhe shtetasi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w:t>
      </w:r>
      <w:r w:rsidRPr="00AA242A">
        <w:rPr>
          <w:rFonts w:ascii="Garamond" w:hAnsi="Garamond" w:cs="Times New Roman"/>
          <w:i/>
          <w:iCs/>
          <w:color w:val="000000"/>
          <w:sz w:val="24"/>
          <w:szCs w:val="24"/>
        </w:rPr>
        <w:t>(shih paragrafin 4 të vendimit).</w:t>
      </w:r>
      <w:r w:rsidRPr="00AA242A">
        <w:rPr>
          <w:rFonts w:ascii="Garamond" w:hAnsi="Garamond" w:cs="Times New Roman"/>
          <w:color w:val="000000"/>
          <w:sz w:val="24"/>
          <w:szCs w:val="24"/>
        </w:rPr>
        <w:t xml:space="preserve"> Pasi çështja është kthyer për rigjykim nga gjykata e apelit </w:t>
      </w:r>
      <w:r w:rsidRPr="00AA242A">
        <w:rPr>
          <w:rFonts w:ascii="Garamond" w:hAnsi="Garamond" w:cs="Times New Roman"/>
          <w:i/>
          <w:iCs/>
          <w:color w:val="000000"/>
          <w:sz w:val="24"/>
          <w:szCs w:val="24"/>
        </w:rPr>
        <w:t xml:space="preserve">(shih paragrafët 6-7 të vendimit), </w:t>
      </w:r>
      <w:r w:rsidRPr="00AA242A">
        <w:rPr>
          <w:rFonts w:ascii="Garamond" w:hAnsi="Garamond" w:cs="Times New Roman"/>
          <w:color w:val="000000"/>
          <w:sz w:val="24"/>
          <w:szCs w:val="24"/>
        </w:rPr>
        <w:t xml:space="preserve">Gjykata e Rrethit Gjyqësor Tiranë ka vendosur pranimin pjesërisht të kërkesëpadisë duke caktuar vlerën përkatëse të dëmshpërblimeve, e cila është ndarë fillimisht për shkak të dëmit të pësuar si pasojë e vdekjes së </w:t>
      </w:r>
      <w:proofErr w:type="spellStart"/>
      <w:r w:rsidRPr="00AA242A">
        <w:rPr>
          <w:rFonts w:ascii="Garamond" w:hAnsi="Garamond" w:cs="Times New Roman"/>
          <w:color w:val="000000"/>
          <w:sz w:val="24"/>
          <w:szCs w:val="24"/>
        </w:rPr>
        <w:t>Kristaq</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Linës</w:t>
      </w:r>
      <w:proofErr w:type="spellEnd"/>
      <w:r w:rsidRPr="00AA242A">
        <w:rPr>
          <w:rFonts w:ascii="Garamond" w:hAnsi="Garamond" w:cs="Times New Roman"/>
          <w:color w:val="000000"/>
          <w:sz w:val="24"/>
          <w:szCs w:val="24"/>
        </w:rPr>
        <w:t xml:space="preserve">, duke pasur parasysh marrëdhëniet familjare me gruan </w:t>
      </w:r>
      <w:proofErr w:type="spellStart"/>
      <w:r w:rsidRPr="00AA242A">
        <w:rPr>
          <w:rFonts w:ascii="Garamond" w:hAnsi="Garamond" w:cs="Times New Roman"/>
          <w:color w:val="000000"/>
          <w:sz w:val="24"/>
          <w:szCs w:val="24"/>
        </w:rPr>
        <w:t>Zoica</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dhe djalin </w:t>
      </w:r>
      <w:proofErr w:type="spellStart"/>
      <w:r w:rsidRPr="00AA242A">
        <w:rPr>
          <w:rFonts w:ascii="Garamond" w:hAnsi="Garamond" w:cs="Times New Roman"/>
          <w:color w:val="000000"/>
          <w:sz w:val="24"/>
          <w:szCs w:val="24"/>
        </w:rPr>
        <w:t>Ilirjan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Lina</w:t>
      </w:r>
      <w:proofErr w:type="spellEnd"/>
      <w:r w:rsidRPr="00AA242A">
        <w:rPr>
          <w:rFonts w:ascii="Garamond" w:hAnsi="Garamond" w:cs="Times New Roman"/>
          <w:color w:val="000000"/>
          <w:sz w:val="24"/>
          <w:szCs w:val="24"/>
        </w:rPr>
        <w:t xml:space="preserve">. Pjesa tjetër e vlerës iu është dhënë si dëmshpërblim për humbjen e jetës së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Linës</w:t>
      </w:r>
      <w:proofErr w:type="spellEnd"/>
      <w:r w:rsidRPr="00AA242A">
        <w:rPr>
          <w:rFonts w:ascii="Garamond" w:hAnsi="Garamond" w:cs="Times New Roman"/>
          <w:color w:val="000000"/>
          <w:sz w:val="24"/>
          <w:szCs w:val="24"/>
        </w:rPr>
        <w:t xml:space="preserve">. Gjykata e Rrethit Gjyqësor Tiranë ka vendosur rrëzimin e padisë për kërkimin për pagimin e kamatëvonesave. Pas ankimit të palëve </w:t>
      </w:r>
      <w:proofErr w:type="spellStart"/>
      <w:r w:rsidRPr="00AA242A">
        <w:rPr>
          <w:rFonts w:ascii="Garamond" w:hAnsi="Garamond" w:cs="Times New Roman"/>
          <w:color w:val="000000"/>
          <w:sz w:val="24"/>
          <w:szCs w:val="24"/>
        </w:rPr>
        <w:t>ndërgjyqëse</w:t>
      </w:r>
      <w:proofErr w:type="spellEnd"/>
      <w:r w:rsidRPr="00AA242A">
        <w:rPr>
          <w:rFonts w:ascii="Garamond" w:hAnsi="Garamond" w:cs="Times New Roman"/>
          <w:color w:val="000000"/>
          <w:sz w:val="24"/>
          <w:szCs w:val="24"/>
        </w:rPr>
        <w:t>, Gjykata e Apelit Tiranë ka</w:t>
      </w:r>
      <w:r w:rsidRPr="00AA242A">
        <w:rPr>
          <w:rFonts w:ascii="Garamond" w:hAnsi="Garamond" w:cs="Times New Roman"/>
          <w:b/>
          <w:bCs/>
          <w:color w:val="000000"/>
          <w:sz w:val="24"/>
          <w:szCs w:val="24"/>
        </w:rPr>
        <w:t xml:space="preserve"> </w:t>
      </w:r>
      <w:r w:rsidRPr="00AA242A">
        <w:rPr>
          <w:rFonts w:ascii="Garamond" w:hAnsi="Garamond" w:cs="Times New Roman"/>
          <w:color w:val="000000"/>
          <w:sz w:val="24"/>
          <w:szCs w:val="24"/>
        </w:rPr>
        <w:t xml:space="preserve">vendosur ndryshimin e vendimit të Gjykatës së Rrethit Gjyqësor Tiranë, duke detyruar shoqërinë e sigurimit të dëmshpërblejë kërkuesit për dëmin pasuror dhe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në shumën totale 12.115.957 lekë (dymbëdhjetë milionë e njëqind e pesëmbëdhjetë mijë e nëntëqind e pesëdhjetë e shtatë) dhe rrëzimin e padisë për kamatëvonesat </w:t>
      </w:r>
      <w:r w:rsidRPr="00AA242A">
        <w:rPr>
          <w:rFonts w:ascii="Garamond" w:hAnsi="Garamond" w:cs="Times New Roman"/>
          <w:i/>
          <w:iCs/>
          <w:color w:val="000000"/>
          <w:sz w:val="24"/>
          <w:szCs w:val="24"/>
        </w:rPr>
        <w:t>(shih paragrafin 8 të vendimit).</w:t>
      </w:r>
      <w:r w:rsidRPr="00AA242A">
        <w:rPr>
          <w:rFonts w:ascii="Garamond" w:hAnsi="Garamond" w:cs="Times New Roman"/>
          <w:color w:val="000000"/>
          <w:sz w:val="24"/>
          <w:szCs w:val="24"/>
        </w:rPr>
        <w:t xml:space="preserve"> Kërkuesit kanë ushtruar rekurs ku, mes të tjerave, kishin parashtruar pretendime për: i</w:t>
      </w:r>
      <w:r w:rsidR="00204BD1">
        <w:rPr>
          <w:rFonts w:ascii="Garamond" w:hAnsi="Garamond" w:cs="Times New Roman"/>
          <w:color w:val="000000"/>
          <w:sz w:val="24"/>
          <w:szCs w:val="24"/>
        </w:rPr>
        <w:t>.</w:t>
      </w:r>
      <w:r w:rsidRPr="00AA242A">
        <w:rPr>
          <w:rFonts w:ascii="Garamond" w:hAnsi="Garamond" w:cs="Times New Roman"/>
          <w:color w:val="000000"/>
          <w:sz w:val="24"/>
          <w:szCs w:val="24"/>
        </w:rPr>
        <w:t xml:space="preserve"> zbatimin e gabuar të ligjit specifik në fushën e sigurimeve dhe të nenit 27 të rregullores nr. 622/1, datë 15.12.1992; </w:t>
      </w:r>
      <w:proofErr w:type="spellStart"/>
      <w:r w:rsidRPr="00AA242A">
        <w:rPr>
          <w:rFonts w:ascii="Garamond" w:hAnsi="Garamond" w:cs="Times New Roman"/>
          <w:color w:val="000000"/>
          <w:sz w:val="24"/>
          <w:szCs w:val="24"/>
        </w:rPr>
        <w:t>ii</w:t>
      </w:r>
      <w:proofErr w:type="spellEnd"/>
      <w:r w:rsidR="00204BD1">
        <w:rPr>
          <w:rFonts w:ascii="Garamond" w:hAnsi="Garamond" w:cs="Times New Roman"/>
          <w:color w:val="000000"/>
          <w:sz w:val="24"/>
          <w:szCs w:val="24"/>
        </w:rPr>
        <w:t>.</w:t>
      </w:r>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riçeljen</w:t>
      </w:r>
      <w:proofErr w:type="spellEnd"/>
      <w:r w:rsidRPr="00AA242A">
        <w:rPr>
          <w:rFonts w:ascii="Garamond" w:hAnsi="Garamond" w:cs="Times New Roman"/>
          <w:color w:val="000000"/>
          <w:sz w:val="24"/>
          <w:szCs w:val="24"/>
        </w:rPr>
        <w:t xml:space="preserve"> e hetimit gjyqësor në gjykatën e apelit, pasi është bërë në kundërshtim me ligjin dhe nuk është zbatuar parimi i </w:t>
      </w:r>
      <w:proofErr w:type="spellStart"/>
      <w:r w:rsidRPr="00AA242A">
        <w:rPr>
          <w:rFonts w:ascii="Garamond" w:hAnsi="Garamond" w:cs="Times New Roman"/>
          <w:color w:val="000000"/>
          <w:sz w:val="24"/>
          <w:szCs w:val="24"/>
        </w:rPr>
        <w:t>kontradiktoritetit</w:t>
      </w:r>
      <w:proofErr w:type="spellEnd"/>
      <w:r w:rsidRPr="00AA242A">
        <w:rPr>
          <w:rFonts w:ascii="Garamond" w:hAnsi="Garamond" w:cs="Times New Roman"/>
          <w:color w:val="000000"/>
          <w:sz w:val="24"/>
          <w:szCs w:val="24"/>
        </w:rPr>
        <w:t xml:space="preserve"> sepse nuk është krijuar mundësia për t’i drejtuar pyetje ekspertit; </w:t>
      </w:r>
      <w:proofErr w:type="spellStart"/>
      <w:r w:rsidRPr="00AA242A">
        <w:rPr>
          <w:rFonts w:ascii="Garamond" w:hAnsi="Garamond" w:cs="Times New Roman"/>
          <w:color w:val="000000"/>
          <w:sz w:val="24"/>
          <w:szCs w:val="24"/>
        </w:rPr>
        <w:t>iii</w:t>
      </w:r>
      <w:proofErr w:type="spellEnd"/>
      <w:r w:rsidR="00204BD1">
        <w:rPr>
          <w:rFonts w:ascii="Garamond" w:hAnsi="Garamond" w:cs="Times New Roman"/>
          <w:color w:val="000000"/>
          <w:sz w:val="24"/>
          <w:szCs w:val="24"/>
        </w:rPr>
        <w:t>.</w:t>
      </w:r>
      <w:r w:rsidRPr="00AA242A">
        <w:rPr>
          <w:rFonts w:ascii="Garamond" w:hAnsi="Garamond" w:cs="Times New Roman"/>
          <w:color w:val="000000"/>
          <w:sz w:val="24"/>
          <w:szCs w:val="24"/>
        </w:rPr>
        <w:t xml:space="preserve"> gjykimin në gjykatën e apelit, pasi janë rrëzuar kërkesat për përjashtimin e trupit gjykues dhe të ekspertit, ndërkohë që përjashtimi i trupit gjykues është kërkuar për arsye se nuk ka cituar në mënyrë të detajuar të gjitha shkaqet e ankimit dhe relatori është shprehur “pala paditëse besoj nuk ka pyetje për ekspertin”; </w:t>
      </w:r>
      <w:proofErr w:type="spellStart"/>
      <w:r w:rsidRPr="00AA242A">
        <w:rPr>
          <w:rFonts w:ascii="Garamond" w:hAnsi="Garamond" w:cs="Times New Roman"/>
          <w:color w:val="000000"/>
          <w:sz w:val="24"/>
          <w:szCs w:val="24"/>
        </w:rPr>
        <w:t>iv</w:t>
      </w:r>
      <w:proofErr w:type="spellEnd"/>
      <w:r w:rsidRPr="00AA242A">
        <w:rPr>
          <w:rFonts w:ascii="Garamond" w:hAnsi="Garamond" w:cs="Times New Roman"/>
          <w:color w:val="000000"/>
          <w:sz w:val="24"/>
          <w:szCs w:val="24"/>
        </w:rPr>
        <w:t xml:space="preserve">) masën e dëmshpërblimit për </w:t>
      </w:r>
      <w:proofErr w:type="spellStart"/>
      <w:r w:rsidRPr="00AA242A">
        <w:rPr>
          <w:rFonts w:ascii="Garamond" w:hAnsi="Garamond" w:cs="Times New Roman"/>
          <w:color w:val="000000"/>
          <w:sz w:val="24"/>
          <w:szCs w:val="24"/>
        </w:rPr>
        <w:t>Julian</w:t>
      </w:r>
      <w:proofErr w:type="spellEnd"/>
      <w:r w:rsidRPr="00AA242A">
        <w:rPr>
          <w:rFonts w:ascii="Garamond" w:hAnsi="Garamond" w:cs="Times New Roman"/>
          <w:color w:val="000000"/>
          <w:sz w:val="24"/>
          <w:szCs w:val="24"/>
        </w:rPr>
        <w:t xml:space="preserve"> </w:t>
      </w:r>
      <w:proofErr w:type="spellStart"/>
      <w:r w:rsidRPr="00AA242A">
        <w:rPr>
          <w:rFonts w:ascii="Garamond" w:hAnsi="Garamond" w:cs="Times New Roman"/>
          <w:color w:val="000000"/>
          <w:sz w:val="24"/>
          <w:szCs w:val="24"/>
        </w:rPr>
        <w:t>Linën</w:t>
      </w:r>
      <w:proofErr w:type="spellEnd"/>
      <w:r w:rsidRPr="00AA242A">
        <w:rPr>
          <w:rFonts w:ascii="Garamond" w:hAnsi="Garamond" w:cs="Times New Roman"/>
          <w:color w:val="000000"/>
          <w:sz w:val="24"/>
          <w:szCs w:val="24"/>
        </w:rPr>
        <w:t>, pasi duhet t’i shtohej edhe masa e shpërblimit për periudhën e paaftësisë; v</w:t>
      </w:r>
      <w:r w:rsidR="00204BD1">
        <w:rPr>
          <w:rFonts w:ascii="Garamond" w:hAnsi="Garamond" w:cs="Times New Roman"/>
          <w:color w:val="000000"/>
          <w:sz w:val="24"/>
          <w:szCs w:val="24"/>
        </w:rPr>
        <w:t>.</w:t>
      </w:r>
      <w:r w:rsidRPr="00AA242A">
        <w:rPr>
          <w:rFonts w:ascii="Garamond" w:hAnsi="Garamond" w:cs="Times New Roman"/>
          <w:color w:val="000000"/>
          <w:sz w:val="24"/>
          <w:szCs w:val="24"/>
        </w:rPr>
        <w:t xml:space="preserve"> gjykatat më të ulëta, pasi kanë gabuar në qëndrimin e tyre për kamatëvonesat.</w:t>
      </w:r>
    </w:p>
    <w:p w14:paraId="61D3542F" w14:textId="2B3E6CC2"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29. Pas shqyrtimit të çështjes, Kolegji Civil i Gjykatës së Lartë ka vendosur ndryshimin e vendimeve të Gjykatës së Rrethit Gjyqësor Tiranë dhe të Gjykatës së Apelit Tiranë për kërkimin në lidhje me interesat për shumën e dëmshpërblimit, duke detyruar shoqërinë e sigurimit të paguajë interesat për vlerën totale të dëmshpërblimit të caktuar nga Gjykata e Apelit Tiranë, sipas normës së interesit bazë të depozitës sipas Bankës së Shqipërisë. Gjykata e Lartë, si gjykatë ligji, e ka vlerësuar të drejtë qëndrimin e gjykatës së apelit për ligjin e zbatueshëm</w:t>
      </w:r>
      <w:r w:rsidRPr="00AA242A">
        <w:rPr>
          <w:rFonts w:ascii="Garamond" w:hAnsi="Garamond" w:cs="Times New Roman"/>
          <w:i/>
          <w:iCs/>
          <w:color w:val="000000"/>
          <w:sz w:val="24"/>
          <w:szCs w:val="24"/>
        </w:rPr>
        <w:t xml:space="preserve">. </w:t>
      </w:r>
      <w:r w:rsidRPr="00AA242A">
        <w:rPr>
          <w:rFonts w:ascii="Garamond" w:hAnsi="Garamond" w:cs="Times New Roman"/>
          <w:color w:val="000000"/>
          <w:sz w:val="24"/>
          <w:szCs w:val="24"/>
        </w:rPr>
        <w:t xml:space="preserve">Gjithashtu, Gjykata e Lartë e ka gjetur të pabazuar në ligj qëndrimin e gjykatave më të ulëta për pagesën e kamatëvonesave, duke vlerësuar se e drejta për të kërkuar kamatëvonesat është në vetvete një e drejtë me natyrë ligjore dhe nuk është e kushtëzuar me momentin kohor të ngritjes së kërkesëpadisë dhe se përmbaruesi gjyqësor në momentin e ekzekutimit duhet të llogarisë kamatëvonesat në bazë të përqindjes së normës bazë të interesit të miratuar nga Banka e Shqipërisë </w:t>
      </w:r>
      <w:r w:rsidRPr="00AA242A">
        <w:rPr>
          <w:rFonts w:ascii="Garamond" w:hAnsi="Garamond" w:cs="Times New Roman"/>
          <w:i/>
          <w:iCs/>
          <w:color w:val="000000"/>
          <w:sz w:val="24"/>
          <w:szCs w:val="24"/>
        </w:rPr>
        <w:t>(shih paragrafin 9 të vendimit).</w:t>
      </w:r>
    </w:p>
    <w:p w14:paraId="035168FE" w14:textId="4ED5ABB6"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30. Për sa më lart, Gjykata vlerëson se Gjykata e Lartë ka interpretuar ligjin e zbatueshëm në koherencë me rrethanat e çështjes, mbi bazën e të cilave ka arritur në mënyrën e zgjidhjes së çështjes, duke përcaktuar ligjin e zbatueshëm për përcaktimin e vlerës së dëmshpërblimit dhe duke i dhënë të drejtë kërkuesve edhe për kërkimin e kamatëvonesave, pavarësisht se ky kërkim nuk ishte bërë në momentin fillestar të paraqitjes së kërkesëpadisë, ndryshe nga qëndrimi i mbajtur nga gjykatat më të ulëta</w:t>
      </w:r>
      <w:r w:rsidRPr="00AA242A">
        <w:rPr>
          <w:rFonts w:ascii="Garamond" w:hAnsi="Garamond" w:cs="Times New Roman"/>
          <w:i/>
          <w:iCs/>
          <w:color w:val="000000"/>
          <w:sz w:val="24"/>
          <w:szCs w:val="24"/>
        </w:rPr>
        <w:t>.</w:t>
      </w:r>
      <w:r w:rsidRPr="00AA242A">
        <w:rPr>
          <w:rFonts w:ascii="Garamond" w:hAnsi="Garamond" w:cs="Times New Roman"/>
          <w:color w:val="000000"/>
          <w:sz w:val="24"/>
          <w:szCs w:val="24"/>
        </w:rPr>
        <w:t xml:space="preserve"> Gjykata konstaton se Kolegji Civil i Gjykatës së Lartë, në respektim edhe të </w:t>
      </w:r>
      <w:r w:rsidRPr="00AA242A">
        <w:rPr>
          <w:rFonts w:ascii="Garamond" w:hAnsi="Garamond" w:cs="Times New Roman"/>
          <w:i/>
          <w:iCs/>
          <w:color w:val="000000"/>
          <w:sz w:val="24"/>
          <w:szCs w:val="24"/>
        </w:rPr>
        <w:t xml:space="preserve">parimit të </w:t>
      </w:r>
      <w:proofErr w:type="spellStart"/>
      <w:r w:rsidRPr="00AA242A">
        <w:rPr>
          <w:rFonts w:ascii="Garamond" w:hAnsi="Garamond" w:cs="Times New Roman"/>
          <w:i/>
          <w:iCs/>
          <w:color w:val="000000"/>
          <w:sz w:val="24"/>
          <w:szCs w:val="24"/>
        </w:rPr>
        <w:t>subsidiaritetit</w:t>
      </w:r>
      <w:proofErr w:type="spellEnd"/>
      <w:r w:rsidRPr="00AA242A">
        <w:rPr>
          <w:rFonts w:ascii="Garamond" w:hAnsi="Garamond" w:cs="Times New Roman"/>
          <w:i/>
          <w:iCs/>
          <w:color w:val="000000"/>
          <w:sz w:val="24"/>
          <w:szCs w:val="24"/>
        </w:rPr>
        <w:t>,</w:t>
      </w:r>
      <w:r w:rsidRPr="00AA242A">
        <w:rPr>
          <w:rFonts w:ascii="Garamond" w:hAnsi="Garamond" w:cs="Times New Roman"/>
          <w:color w:val="000000"/>
          <w:sz w:val="24"/>
          <w:szCs w:val="24"/>
        </w:rPr>
        <w:t xml:space="preserve"> ka vlerësuar të drejtë qëndrimin e gjykatës së apelit lidhur me metodologjinë e përcaktimit të shpërblimit të dëmit pasuror dhe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duke iu referuar dekretit nr. 295/1992, rregullores të dalë për zbatimin e tij për përcaktimin e dëmit pasuror, si dhe vendimit </w:t>
      </w:r>
      <w:proofErr w:type="spellStart"/>
      <w:r w:rsidRPr="00AA242A">
        <w:rPr>
          <w:rFonts w:ascii="Garamond" w:hAnsi="Garamond" w:cs="Times New Roman"/>
          <w:color w:val="000000"/>
          <w:sz w:val="24"/>
          <w:szCs w:val="24"/>
        </w:rPr>
        <w:t>unifikues</w:t>
      </w:r>
      <w:proofErr w:type="spellEnd"/>
      <w:r w:rsidRPr="00AA242A">
        <w:rPr>
          <w:rFonts w:ascii="Garamond" w:hAnsi="Garamond" w:cs="Times New Roman"/>
          <w:color w:val="000000"/>
          <w:sz w:val="24"/>
          <w:szCs w:val="24"/>
        </w:rPr>
        <w:t xml:space="preserve"> nr. 12/2007 për rregullimin e dëmit </w:t>
      </w:r>
      <w:proofErr w:type="spellStart"/>
      <w:r w:rsidRPr="00AA242A">
        <w:rPr>
          <w:rFonts w:ascii="Garamond" w:hAnsi="Garamond" w:cs="Times New Roman"/>
          <w:color w:val="000000"/>
          <w:sz w:val="24"/>
          <w:szCs w:val="24"/>
        </w:rPr>
        <w:t>jopasuror</w:t>
      </w:r>
      <w:proofErr w:type="spellEnd"/>
      <w:r w:rsidRPr="00AA242A">
        <w:rPr>
          <w:rFonts w:ascii="Garamond" w:hAnsi="Garamond" w:cs="Times New Roman"/>
          <w:color w:val="000000"/>
          <w:sz w:val="24"/>
          <w:szCs w:val="24"/>
        </w:rPr>
        <w:t xml:space="preserve">, për shkak se për rregullimin e tij nuk ka asnjë </w:t>
      </w:r>
      <w:r w:rsidRPr="00AA242A">
        <w:rPr>
          <w:rFonts w:ascii="Garamond" w:hAnsi="Garamond" w:cs="Times New Roman"/>
          <w:color w:val="000000"/>
          <w:sz w:val="24"/>
          <w:szCs w:val="24"/>
        </w:rPr>
        <w:lastRenderedPageBreak/>
        <w:t xml:space="preserve">parashikim si në dekret dhe rregullore. Gjykata e Lartë u ka dhënë përgjigje pretendimeve të ngritura në rekurs nga kërkuesit për ligjin e zbatueshëm për zgjidhjen e rastit konkret, për </w:t>
      </w:r>
      <w:proofErr w:type="spellStart"/>
      <w:r w:rsidRPr="00AA242A">
        <w:rPr>
          <w:rFonts w:ascii="Garamond" w:hAnsi="Garamond" w:cs="Times New Roman"/>
          <w:color w:val="000000"/>
          <w:sz w:val="24"/>
          <w:szCs w:val="24"/>
        </w:rPr>
        <w:t>riçeljen</w:t>
      </w:r>
      <w:proofErr w:type="spellEnd"/>
      <w:r w:rsidRPr="00AA242A">
        <w:rPr>
          <w:rFonts w:ascii="Garamond" w:hAnsi="Garamond" w:cs="Times New Roman"/>
          <w:color w:val="000000"/>
          <w:sz w:val="24"/>
          <w:szCs w:val="24"/>
        </w:rPr>
        <w:t xml:space="preserve"> e hetimit gjyqësor nga gjykata e apelit, gjë që ka ndodhur në zbatim të nenit 465 të </w:t>
      </w:r>
      <w:proofErr w:type="spellStart"/>
      <w:r w:rsidRPr="00AA242A">
        <w:rPr>
          <w:rFonts w:ascii="Garamond" w:hAnsi="Garamond" w:cs="Times New Roman"/>
          <w:color w:val="000000"/>
          <w:sz w:val="24"/>
          <w:szCs w:val="24"/>
        </w:rPr>
        <w:t>KPC</w:t>
      </w:r>
      <w:proofErr w:type="spellEnd"/>
      <w:r w:rsidRPr="00AA242A">
        <w:rPr>
          <w:rFonts w:ascii="Garamond" w:hAnsi="Garamond" w:cs="Times New Roman"/>
          <w:color w:val="000000"/>
          <w:sz w:val="24"/>
          <w:szCs w:val="24"/>
        </w:rPr>
        <w:t xml:space="preserve">-së dhe se ata kanë pasur mundësi t’i drejtojnë pyetje ekspertit, duke mos evidentuar shkelje procedurale. Ata kanë realizuar edhe të drejtën e tyre për kërkimin e shumave të shpërblimit dhe të kamatëvonesave, për shkak të humbjes së jetës së familjarëve të tyre. Gjithashtu, Kolegji Civil i Gjykatës së Lartë ka vendosur edhe kriteret që do të mbahen parasysh në llogaritjen e interesave, që do të jetë norma e interesit bazë të depozitës (sipas llojit të saj), bazuar në përcaktimet e Bankës së Shqipërisë. Nën këtë optikë, Gjykata vlerëson se pjesa arsyetuese e vendimit të Gjykatës së Lartë ka respektuar kriteret e vendosura nga jurisprudenca kushtetuese, duke garantuar në këtë mënyrë edhe thelbin e </w:t>
      </w:r>
      <w:r w:rsidRPr="00AA242A">
        <w:rPr>
          <w:rFonts w:ascii="Garamond" w:hAnsi="Garamond" w:cs="Times New Roman"/>
          <w:i/>
          <w:iCs/>
          <w:color w:val="000000"/>
          <w:sz w:val="24"/>
          <w:szCs w:val="24"/>
        </w:rPr>
        <w:t xml:space="preserve">së drejtës së jetës, </w:t>
      </w:r>
      <w:r w:rsidRPr="00AA242A">
        <w:rPr>
          <w:rFonts w:ascii="Garamond" w:hAnsi="Garamond" w:cs="Times New Roman"/>
          <w:color w:val="000000"/>
          <w:sz w:val="24"/>
          <w:szCs w:val="24"/>
        </w:rPr>
        <w:t xml:space="preserve">të parashikuar nga neni 21 i Kushtetutës dhe neni 2 i </w:t>
      </w:r>
      <w:proofErr w:type="spellStart"/>
      <w:r w:rsidRPr="00AA242A">
        <w:rPr>
          <w:rFonts w:ascii="Garamond" w:hAnsi="Garamond" w:cs="Times New Roman"/>
          <w:color w:val="000000"/>
          <w:sz w:val="24"/>
          <w:szCs w:val="24"/>
        </w:rPr>
        <w:t>KEDNJ</w:t>
      </w:r>
      <w:proofErr w:type="spellEnd"/>
      <w:r w:rsidRPr="00AA242A">
        <w:rPr>
          <w:rFonts w:ascii="Garamond" w:hAnsi="Garamond" w:cs="Times New Roman"/>
          <w:color w:val="000000"/>
          <w:sz w:val="24"/>
          <w:szCs w:val="24"/>
        </w:rPr>
        <w:t>-së, në kuptim të garantimit të së drejtës për dëmshpërblim të përshtatshëm për familjarët e viktimës. Për rrjedhojë, Gjykata vlerëson se interpretimi i ligjit të zbatueshëm nga Gjykata e Lartë nuk është haptazi i paarsyeshëm ose arbitrar, duke mos u evidentuar gabime të dukshme ligjore.</w:t>
      </w:r>
    </w:p>
    <w:p w14:paraId="65358A8C" w14:textId="281BE645" w:rsidR="00AA242A" w:rsidRPr="00AA242A" w:rsidRDefault="00AA242A" w:rsidP="00AA242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 xml:space="preserve">31. Në përfundim, Gjykata çmon se pretendimi i kërkuesve për cenimin </w:t>
      </w:r>
      <w:r w:rsidRPr="00AA242A">
        <w:rPr>
          <w:rFonts w:ascii="Garamond" w:hAnsi="Garamond" w:cs="Times New Roman"/>
          <w:i/>
          <w:iCs/>
          <w:color w:val="000000"/>
          <w:sz w:val="24"/>
          <w:szCs w:val="24"/>
        </w:rPr>
        <w:t>e së drejtës për gjykim të drejtë</w:t>
      </w:r>
      <w:r w:rsidRPr="00AA242A">
        <w:rPr>
          <w:rFonts w:ascii="Garamond" w:hAnsi="Garamond" w:cs="Times New Roman"/>
          <w:color w:val="000000"/>
          <w:sz w:val="24"/>
          <w:szCs w:val="24"/>
        </w:rPr>
        <w:t xml:space="preserve"> është i pabazuar, sipas arsyetimit të mësipërm të këtij vendimi, ndaj kërkesa rrëzohet.</w:t>
      </w:r>
    </w:p>
    <w:p w14:paraId="5211187E" w14:textId="77777777" w:rsidR="00AA242A" w:rsidRPr="00AA242A" w:rsidRDefault="00AA242A" w:rsidP="00AA242A">
      <w:pPr>
        <w:tabs>
          <w:tab w:val="left" w:pos="1080"/>
        </w:tabs>
        <w:autoSpaceDE w:val="0"/>
        <w:autoSpaceDN w:val="0"/>
        <w:adjustRightInd w:val="0"/>
        <w:spacing w:after="0" w:line="240" w:lineRule="auto"/>
        <w:ind w:firstLine="284"/>
        <w:jc w:val="center"/>
        <w:rPr>
          <w:rFonts w:ascii="Garamond" w:hAnsi="Garamond" w:cs="Calibri"/>
          <w:b/>
          <w:bCs/>
          <w:color w:val="000000"/>
          <w:sz w:val="24"/>
          <w:szCs w:val="24"/>
        </w:rPr>
      </w:pPr>
    </w:p>
    <w:p w14:paraId="74E57F60" w14:textId="77777777" w:rsidR="00AA242A" w:rsidRPr="00AA242A" w:rsidRDefault="00AA242A" w:rsidP="00AA242A">
      <w:pPr>
        <w:tabs>
          <w:tab w:val="left" w:pos="1080"/>
        </w:tabs>
        <w:autoSpaceDE w:val="0"/>
        <w:autoSpaceDN w:val="0"/>
        <w:adjustRightInd w:val="0"/>
        <w:spacing w:after="0" w:line="240" w:lineRule="auto"/>
        <w:ind w:firstLine="284"/>
        <w:jc w:val="center"/>
        <w:rPr>
          <w:rFonts w:ascii="Garamond" w:hAnsi="Garamond" w:cs="Calibri"/>
          <w:color w:val="000000"/>
          <w:sz w:val="24"/>
          <w:szCs w:val="24"/>
        </w:rPr>
      </w:pPr>
      <w:r w:rsidRPr="00AA242A">
        <w:rPr>
          <w:rFonts w:ascii="Garamond" w:hAnsi="Garamond" w:cs="Times New Roman"/>
          <w:bCs/>
          <w:color w:val="000000"/>
          <w:sz w:val="24"/>
          <w:szCs w:val="24"/>
        </w:rPr>
        <w:t>PËR KËTO ARSYE,</w:t>
      </w:r>
    </w:p>
    <w:p w14:paraId="4AFD96E7" w14:textId="77777777" w:rsidR="00DA6F35" w:rsidRPr="00DA6F35" w:rsidRDefault="00DA6F35" w:rsidP="00AA242A">
      <w:pPr>
        <w:autoSpaceDE w:val="0"/>
        <w:autoSpaceDN w:val="0"/>
        <w:adjustRightInd w:val="0"/>
        <w:spacing w:after="0" w:line="240" w:lineRule="auto"/>
        <w:ind w:firstLine="284"/>
        <w:jc w:val="both"/>
        <w:rPr>
          <w:rFonts w:ascii="Garamond" w:hAnsi="Garamond" w:cs="Times New Roman"/>
          <w:color w:val="000000"/>
          <w:sz w:val="24"/>
          <w:szCs w:val="24"/>
        </w:rPr>
      </w:pPr>
    </w:p>
    <w:p w14:paraId="23546B68" w14:textId="415A9FDF" w:rsidR="00AA242A" w:rsidRPr="00AA242A" w:rsidRDefault="00AA242A" w:rsidP="00AA242A">
      <w:pPr>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Gjykata Kushtetuese, në mbështetje të neneve 131, pika 1, shkronja “f” dhe 134, pika 1, shkronja “i”, të Kushtetutës, si dhe nenit 72 të ligjit nr. 8577, datë 10.2.2000</w:t>
      </w:r>
      <w:r w:rsidR="00204BD1">
        <w:rPr>
          <w:rFonts w:ascii="Garamond" w:hAnsi="Garamond" w:cs="Times New Roman"/>
          <w:color w:val="000000"/>
          <w:sz w:val="24"/>
          <w:szCs w:val="24"/>
        </w:rPr>
        <w:t>,</w:t>
      </w:r>
      <w:r w:rsidRPr="00AA242A">
        <w:rPr>
          <w:rFonts w:ascii="Garamond" w:hAnsi="Garamond" w:cs="Times New Roman"/>
          <w:color w:val="000000"/>
          <w:sz w:val="24"/>
          <w:szCs w:val="24"/>
        </w:rPr>
        <w:t xml:space="preserve"> “Për organizimin dhe funksionimin e Gjykatës Kushtetuese të Republikës së Shqipërisë”, të ndryshuar, njëzëri,</w:t>
      </w:r>
    </w:p>
    <w:p w14:paraId="78A92D0D" w14:textId="77777777" w:rsidR="00AA242A" w:rsidRPr="00AA242A" w:rsidRDefault="00AA242A" w:rsidP="00AA242A">
      <w:pPr>
        <w:autoSpaceDE w:val="0"/>
        <w:autoSpaceDN w:val="0"/>
        <w:adjustRightInd w:val="0"/>
        <w:spacing w:after="0" w:line="240" w:lineRule="auto"/>
        <w:ind w:firstLine="284"/>
        <w:jc w:val="both"/>
        <w:rPr>
          <w:rFonts w:ascii="Garamond" w:hAnsi="Garamond" w:cs="Times New Roman"/>
          <w:color w:val="000000"/>
          <w:sz w:val="24"/>
          <w:szCs w:val="24"/>
        </w:rPr>
      </w:pPr>
    </w:p>
    <w:p w14:paraId="0D323560" w14:textId="7A31923E" w:rsidR="00AA242A" w:rsidRPr="00AA242A" w:rsidRDefault="00AA242A" w:rsidP="00AA242A">
      <w:pPr>
        <w:autoSpaceDE w:val="0"/>
        <w:autoSpaceDN w:val="0"/>
        <w:adjustRightInd w:val="0"/>
        <w:spacing w:after="0" w:line="240" w:lineRule="auto"/>
        <w:ind w:firstLine="284"/>
        <w:jc w:val="center"/>
        <w:rPr>
          <w:rFonts w:ascii="Garamond" w:hAnsi="Garamond" w:cs="Times New Roman"/>
          <w:bCs/>
          <w:color w:val="000000"/>
          <w:sz w:val="24"/>
          <w:szCs w:val="24"/>
        </w:rPr>
      </w:pPr>
      <w:r w:rsidRPr="00AA242A">
        <w:rPr>
          <w:rFonts w:ascii="Garamond" w:hAnsi="Garamond" w:cs="Times New Roman"/>
          <w:bCs/>
          <w:color w:val="000000"/>
          <w:sz w:val="24"/>
          <w:szCs w:val="24"/>
        </w:rPr>
        <w:t>VENDOSI:</w:t>
      </w:r>
    </w:p>
    <w:p w14:paraId="5A365BD8" w14:textId="3C44270D" w:rsidR="00AA242A" w:rsidRPr="00AA242A" w:rsidRDefault="00AA242A" w:rsidP="00AA242A">
      <w:pPr>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1.</w:t>
      </w:r>
      <w:r w:rsidRPr="00DA6F35">
        <w:rPr>
          <w:rFonts w:ascii="Garamond" w:hAnsi="Garamond" w:cs="Times New Roman"/>
          <w:color w:val="000000"/>
          <w:sz w:val="24"/>
          <w:szCs w:val="24"/>
        </w:rPr>
        <w:t xml:space="preserve"> </w:t>
      </w:r>
      <w:r w:rsidRPr="00AA242A">
        <w:rPr>
          <w:rFonts w:ascii="Garamond" w:hAnsi="Garamond" w:cs="Times New Roman"/>
          <w:color w:val="000000"/>
          <w:sz w:val="24"/>
          <w:szCs w:val="24"/>
        </w:rPr>
        <w:t>Rrëzimin e kërkesës.</w:t>
      </w:r>
    </w:p>
    <w:p w14:paraId="726E619B" w14:textId="77777777" w:rsidR="00AA242A" w:rsidRPr="00AA242A" w:rsidRDefault="00AA242A" w:rsidP="00AA242A">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AA242A">
        <w:rPr>
          <w:rFonts w:ascii="Garamond" w:hAnsi="Garamond" w:cs="Times New Roman"/>
          <w:color w:val="000000"/>
          <w:sz w:val="24"/>
          <w:szCs w:val="24"/>
        </w:rPr>
        <w:t>Ky vendim është përfundimtar dhe hyn në fuqi ditën e botimit në Fletoren Zyrtare.</w:t>
      </w:r>
    </w:p>
    <w:p w14:paraId="04B12003" w14:textId="77777777" w:rsidR="00204BD1" w:rsidRDefault="00204BD1" w:rsidP="00AA242A">
      <w:pPr>
        <w:autoSpaceDE w:val="0"/>
        <w:autoSpaceDN w:val="0"/>
        <w:adjustRightInd w:val="0"/>
        <w:spacing w:after="0" w:line="240" w:lineRule="auto"/>
        <w:ind w:firstLine="284"/>
        <w:jc w:val="both"/>
        <w:rPr>
          <w:rFonts w:ascii="Garamond" w:hAnsi="Garamond" w:cs="Times New Roman"/>
          <w:b/>
          <w:bCs/>
          <w:color w:val="000000"/>
          <w:sz w:val="24"/>
          <w:szCs w:val="24"/>
        </w:rPr>
      </w:pPr>
    </w:p>
    <w:p w14:paraId="0FA365FB" w14:textId="12CAAF3B" w:rsidR="00AA242A" w:rsidRPr="00AA242A" w:rsidRDefault="00AA242A" w:rsidP="00AA242A">
      <w:pPr>
        <w:autoSpaceDE w:val="0"/>
        <w:autoSpaceDN w:val="0"/>
        <w:adjustRightInd w:val="0"/>
        <w:spacing w:after="0" w:line="240" w:lineRule="auto"/>
        <w:ind w:firstLine="284"/>
        <w:jc w:val="both"/>
        <w:rPr>
          <w:rFonts w:ascii="Garamond" w:hAnsi="Garamond" w:cs="Times New Roman"/>
          <w:b/>
          <w:bCs/>
          <w:color w:val="000000"/>
          <w:sz w:val="24"/>
          <w:szCs w:val="24"/>
        </w:rPr>
      </w:pPr>
      <w:r w:rsidRPr="00AA242A">
        <w:rPr>
          <w:rFonts w:ascii="Garamond" w:hAnsi="Garamond" w:cs="Times New Roman"/>
          <w:b/>
          <w:bCs/>
          <w:color w:val="000000"/>
          <w:sz w:val="24"/>
          <w:szCs w:val="24"/>
        </w:rPr>
        <w:t>Marrë më 26.1.2026</w:t>
      </w:r>
      <w:r w:rsidR="00204BD1">
        <w:rPr>
          <w:rFonts w:ascii="Garamond" w:hAnsi="Garamond" w:cs="Times New Roman"/>
          <w:b/>
          <w:bCs/>
          <w:color w:val="000000"/>
          <w:sz w:val="24"/>
          <w:szCs w:val="24"/>
        </w:rPr>
        <w:t>.</w:t>
      </w:r>
    </w:p>
    <w:p w14:paraId="0A8C0C9A" w14:textId="1A4F5410" w:rsidR="00AA242A" w:rsidRPr="00AA242A" w:rsidRDefault="00AA242A" w:rsidP="00AA242A">
      <w:pPr>
        <w:autoSpaceDE w:val="0"/>
        <w:autoSpaceDN w:val="0"/>
        <w:adjustRightInd w:val="0"/>
        <w:spacing w:after="0" w:line="240" w:lineRule="auto"/>
        <w:ind w:firstLine="284"/>
        <w:jc w:val="both"/>
        <w:rPr>
          <w:rFonts w:ascii="Garamond" w:hAnsi="Garamond" w:cs="Times New Roman"/>
          <w:b/>
          <w:bCs/>
          <w:color w:val="000000"/>
          <w:sz w:val="24"/>
          <w:szCs w:val="24"/>
        </w:rPr>
      </w:pPr>
      <w:r w:rsidRPr="00AA242A">
        <w:rPr>
          <w:rFonts w:ascii="Garamond" w:hAnsi="Garamond" w:cs="Times New Roman"/>
          <w:b/>
          <w:bCs/>
          <w:color w:val="000000"/>
          <w:sz w:val="24"/>
          <w:szCs w:val="24"/>
        </w:rPr>
        <w:t>Shpallur më 19.3.2026</w:t>
      </w:r>
      <w:r w:rsidR="00204BD1">
        <w:rPr>
          <w:rFonts w:ascii="Garamond" w:hAnsi="Garamond" w:cs="Times New Roman"/>
          <w:b/>
          <w:bCs/>
          <w:color w:val="000000"/>
          <w:sz w:val="24"/>
          <w:szCs w:val="24"/>
        </w:rPr>
        <w:t>.</w:t>
      </w:r>
    </w:p>
    <w:p w14:paraId="39CC2F2F" w14:textId="5AC44956" w:rsidR="00AA242A" w:rsidRDefault="00AA242A" w:rsidP="00AA242A">
      <w:pPr>
        <w:autoSpaceDE w:val="0"/>
        <w:autoSpaceDN w:val="0"/>
        <w:adjustRightInd w:val="0"/>
        <w:spacing w:after="0" w:line="240" w:lineRule="auto"/>
        <w:ind w:firstLine="284"/>
        <w:jc w:val="both"/>
        <w:rPr>
          <w:rFonts w:ascii="Garamond" w:hAnsi="Garamond" w:cs="Times New Roman"/>
          <w:bCs/>
          <w:color w:val="000000"/>
          <w:sz w:val="24"/>
          <w:szCs w:val="24"/>
        </w:rPr>
      </w:pPr>
    </w:p>
    <w:p w14:paraId="373E48FA" w14:textId="7B21A974" w:rsidR="00DA6F35" w:rsidRDefault="00DA6F35" w:rsidP="00AA242A">
      <w:pPr>
        <w:autoSpaceDE w:val="0"/>
        <w:autoSpaceDN w:val="0"/>
        <w:adjustRightInd w:val="0"/>
        <w:spacing w:after="0" w:line="240" w:lineRule="auto"/>
        <w:ind w:firstLine="284"/>
        <w:jc w:val="both"/>
        <w:rPr>
          <w:rFonts w:ascii="Garamond" w:hAnsi="Garamond" w:cs="Times New Roman"/>
          <w:bCs/>
          <w:color w:val="000000"/>
          <w:sz w:val="24"/>
          <w:szCs w:val="24"/>
        </w:rPr>
      </w:pPr>
      <w:r w:rsidRPr="00204BD1">
        <w:rPr>
          <w:rFonts w:ascii="Garamond" w:hAnsi="Garamond" w:cs="Times New Roman"/>
          <w:b/>
          <w:color w:val="000000"/>
          <w:sz w:val="24"/>
          <w:szCs w:val="24"/>
        </w:rPr>
        <w:t>Kryetare:</w:t>
      </w:r>
      <w:r>
        <w:rPr>
          <w:rFonts w:ascii="Garamond" w:hAnsi="Garamond" w:cs="Times New Roman"/>
          <w:bCs/>
          <w:color w:val="000000"/>
          <w:sz w:val="24"/>
          <w:szCs w:val="24"/>
        </w:rPr>
        <w:t xml:space="preserve"> </w:t>
      </w:r>
      <w:proofErr w:type="spellStart"/>
      <w:r w:rsidR="00B13B28" w:rsidRPr="00AA242A">
        <w:rPr>
          <w:rFonts w:ascii="Garamond" w:hAnsi="Garamond" w:cs="Times New Roman"/>
          <w:bCs/>
          <w:color w:val="000000"/>
          <w:sz w:val="24"/>
          <w:szCs w:val="24"/>
        </w:rPr>
        <w:t>Fiona</w:t>
      </w:r>
      <w:proofErr w:type="spellEnd"/>
      <w:r w:rsidR="00B13B28" w:rsidRPr="00AA242A">
        <w:rPr>
          <w:rFonts w:ascii="Garamond" w:hAnsi="Garamond" w:cs="Times New Roman"/>
          <w:bCs/>
          <w:color w:val="000000"/>
          <w:sz w:val="24"/>
          <w:szCs w:val="24"/>
        </w:rPr>
        <w:t xml:space="preserve"> </w:t>
      </w:r>
      <w:proofErr w:type="spellStart"/>
      <w:r w:rsidR="00B13B28" w:rsidRPr="00AA242A">
        <w:rPr>
          <w:rFonts w:ascii="Garamond" w:hAnsi="Garamond" w:cs="Times New Roman"/>
          <w:bCs/>
          <w:color w:val="000000"/>
          <w:sz w:val="24"/>
          <w:szCs w:val="24"/>
        </w:rPr>
        <w:t>Papajorgji</w:t>
      </w:r>
      <w:proofErr w:type="spellEnd"/>
    </w:p>
    <w:p w14:paraId="0478FE4F" w14:textId="6CF86D01" w:rsidR="00DA6F35" w:rsidRDefault="00B13B28" w:rsidP="00AA242A">
      <w:pPr>
        <w:autoSpaceDE w:val="0"/>
        <w:autoSpaceDN w:val="0"/>
        <w:adjustRightInd w:val="0"/>
        <w:spacing w:after="0" w:line="240" w:lineRule="auto"/>
        <w:ind w:firstLine="284"/>
        <w:jc w:val="both"/>
        <w:rPr>
          <w:rFonts w:ascii="Garamond" w:hAnsi="Garamond" w:cs="Times New Roman"/>
          <w:bCs/>
          <w:color w:val="000000"/>
          <w:sz w:val="24"/>
          <w:szCs w:val="24"/>
        </w:rPr>
      </w:pPr>
      <w:r w:rsidRPr="00204BD1">
        <w:rPr>
          <w:rFonts w:ascii="Garamond" w:hAnsi="Garamond" w:cs="Times New Roman"/>
          <w:b/>
          <w:color w:val="000000"/>
          <w:sz w:val="24"/>
          <w:szCs w:val="24"/>
        </w:rPr>
        <w:t>Anëtarë:</w:t>
      </w:r>
      <w:r>
        <w:rPr>
          <w:rFonts w:ascii="Garamond" w:hAnsi="Garamond" w:cs="Times New Roman"/>
          <w:bCs/>
          <w:color w:val="000000"/>
          <w:sz w:val="24"/>
          <w:szCs w:val="24"/>
        </w:rPr>
        <w:t xml:space="preserve"> </w:t>
      </w:r>
      <w:proofErr w:type="spellStart"/>
      <w:r w:rsidRPr="00AA242A">
        <w:rPr>
          <w:rFonts w:ascii="Garamond" w:hAnsi="Garamond" w:cs="Times New Roman"/>
          <w:bCs/>
          <w:color w:val="000000"/>
          <w:sz w:val="24"/>
          <w:szCs w:val="24"/>
        </w:rPr>
        <w:t>Sonila</w:t>
      </w:r>
      <w:proofErr w:type="spellEnd"/>
      <w:r w:rsidRPr="00AA242A">
        <w:rPr>
          <w:rFonts w:ascii="Garamond" w:hAnsi="Garamond" w:cs="Times New Roman"/>
          <w:bCs/>
          <w:color w:val="000000"/>
          <w:sz w:val="24"/>
          <w:szCs w:val="24"/>
        </w:rPr>
        <w:t xml:space="preserve"> Bejtja</w:t>
      </w:r>
      <w:r>
        <w:rPr>
          <w:rFonts w:ascii="Garamond" w:hAnsi="Garamond" w:cs="Times New Roman"/>
          <w:bCs/>
          <w:color w:val="000000"/>
          <w:sz w:val="24"/>
          <w:szCs w:val="24"/>
        </w:rPr>
        <w:t>,</w:t>
      </w:r>
      <w:r w:rsidRPr="00B13B28">
        <w:rPr>
          <w:rFonts w:ascii="Garamond" w:hAnsi="Garamond" w:cs="Times New Roman"/>
          <w:bCs/>
          <w:color w:val="000000"/>
          <w:sz w:val="24"/>
          <w:szCs w:val="24"/>
        </w:rPr>
        <w:t xml:space="preserve"> </w:t>
      </w:r>
      <w:proofErr w:type="spellStart"/>
      <w:r w:rsidRPr="00AA242A">
        <w:rPr>
          <w:rFonts w:ascii="Garamond" w:hAnsi="Garamond" w:cs="Times New Roman"/>
          <w:bCs/>
          <w:color w:val="000000"/>
          <w:sz w:val="24"/>
          <w:szCs w:val="24"/>
        </w:rPr>
        <w:t>Marsida</w:t>
      </w:r>
      <w:proofErr w:type="spellEnd"/>
      <w:r w:rsidRPr="00AA242A">
        <w:rPr>
          <w:rFonts w:ascii="Garamond" w:hAnsi="Garamond" w:cs="Times New Roman"/>
          <w:bCs/>
          <w:color w:val="000000"/>
          <w:sz w:val="24"/>
          <w:szCs w:val="24"/>
        </w:rPr>
        <w:t xml:space="preserve"> </w:t>
      </w:r>
      <w:proofErr w:type="spellStart"/>
      <w:r w:rsidRPr="00AA242A">
        <w:rPr>
          <w:rFonts w:ascii="Garamond" w:hAnsi="Garamond" w:cs="Times New Roman"/>
          <w:bCs/>
          <w:color w:val="000000"/>
          <w:sz w:val="24"/>
          <w:szCs w:val="24"/>
        </w:rPr>
        <w:t>Xhaferllari</w:t>
      </w:r>
      <w:proofErr w:type="spellEnd"/>
      <w:r>
        <w:rPr>
          <w:rFonts w:ascii="Garamond" w:hAnsi="Garamond" w:cs="Times New Roman"/>
          <w:bCs/>
          <w:color w:val="000000"/>
          <w:sz w:val="24"/>
          <w:szCs w:val="24"/>
        </w:rPr>
        <w:t>,</w:t>
      </w:r>
      <w:r w:rsidRPr="00B13B28">
        <w:rPr>
          <w:rFonts w:ascii="Garamond" w:hAnsi="Garamond" w:cs="Times New Roman"/>
          <w:bCs/>
          <w:color w:val="000000"/>
          <w:sz w:val="24"/>
          <w:szCs w:val="24"/>
        </w:rPr>
        <w:t xml:space="preserve"> </w:t>
      </w:r>
      <w:proofErr w:type="spellStart"/>
      <w:r w:rsidRPr="00AA242A">
        <w:rPr>
          <w:rFonts w:ascii="Garamond" w:hAnsi="Garamond" w:cs="Times New Roman"/>
          <w:bCs/>
          <w:color w:val="000000"/>
          <w:sz w:val="24"/>
          <w:szCs w:val="24"/>
        </w:rPr>
        <w:t>Marjana</w:t>
      </w:r>
      <w:proofErr w:type="spellEnd"/>
      <w:r w:rsidRPr="00AA242A">
        <w:rPr>
          <w:rFonts w:ascii="Garamond" w:hAnsi="Garamond" w:cs="Times New Roman"/>
          <w:bCs/>
          <w:color w:val="000000"/>
          <w:sz w:val="24"/>
          <w:szCs w:val="24"/>
        </w:rPr>
        <w:t xml:space="preserve"> </w:t>
      </w:r>
      <w:proofErr w:type="spellStart"/>
      <w:r w:rsidRPr="00AA242A">
        <w:rPr>
          <w:rFonts w:ascii="Garamond" w:hAnsi="Garamond" w:cs="Times New Roman"/>
          <w:bCs/>
          <w:color w:val="000000"/>
          <w:sz w:val="24"/>
          <w:szCs w:val="24"/>
        </w:rPr>
        <w:t>Semini</w:t>
      </w:r>
      <w:proofErr w:type="spellEnd"/>
      <w:r>
        <w:rPr>
          <w:rFonts w:ascii="Garamond" w:hAnsi="Garamond" w:cs="Times New Roman"/>
          <w:bCs/>
          <w:color w:val="000000"/>
          <w:sz w:val="24"/>
          <w:szCs w:val="24"/>
        </w:rPr>
        <w:t>,</w:t>
      </w:r>
      <w:r w:rsidRPr="00B13B28">
        <w:rPr>
          <w:rFonts w:ascii="Garamond" w:hAnsi="Garamond" w:cs="Times New Roman"/>
          <w:bCs/>
          <w:color w:val="000000"/>
          <w:sz w:val="24"/>
          <w:szCs w:val="24"/>
        </w:rPr>
        <w:t xml:space="preserve"> </w:t>
      </w:r>
      <w:r w:rsidRPr="00AA242A">
        <w:rPr>
          <w:rFonts w:ascii="Garamond" w:hAnsi="Garamond" w:cs="Times New Roman"/>
          <w:bCs/>
          <w:color w:val="000000"/>
          <w:sz w:val="24"/>
          <w:szCs w:val="24"/>
        </w:rPr>
        <w:t>Genti</w:t>
      </w:r>
      <w:r w:rsidRPr="00DA6F35">
        <w:rPr>
          <w:rFonts w:ascii="Garamond" w:hAnsi="Garamond" w:cs="Times New Roman"/>
          <w:bCs/>
          <w:color w:val="000000"/>
          <w:sz w:val="24"/>
          <w:szCs w:val="24"/>
        </w:rPr>
        <w:t xml:space="preserve"> </w:t>
      </w:r>
      <w:r w:rsidRPr="00AA242A">
        <w:rPr>
          <w:rFonts w:ascii="Garamond" w:hAnsi="Garamond" w:cs="Times New Roman"/>
          <w:bCs/>
          <w:color w:val="000000"/>
          <w:sz w:val="24"/>
          <w:szCs w:val="24"/>
        </w:rPr>
        <w:t>Ibrahimi</w:t>
      </w:r>
      <w:r>
        <w:rPr>
          <w:rFonts w:ascii="Garamond" w:hAnsi="Garamond" w:cs="Times New Roman"/>
          <w:bCs/>
          <w:color w:val="000000"/>
          <w:sz w:val="24"/>
          <w:szCs w:val="24"/>
        </w:rPr>
        <w:t>,</w:t>
      </w:r>
      <w:r w:rsidRPr="00B13B28">
        <w:rPr>
          <w:rFonts w:ascii="Garamond" w:hAnsi="Garamond" w:cs="Times New Roman"/>
          <w:bCs/>
          <w:color w:val="000000"/>
          <w:sz w:val="24"/>
          <w:szCs w:val="24"/>
        </w:rPr>
        <w:t xml:space="preserve"> </w:t>
      </w:r>
      <w:proofErr w:type="spellStart"/>
      <w:r w:rsidRPr="00AA242A">
        <w:rPr>
          <w:rFonts w:ascii="Garamond" w:hAnsi="Garamond" w:cs="Times New Roman"/>
          <w:bCs/>
          <w:color w:val="000000"/>
          <w:sz w:val="24"/>
          <w:szCs w:val="24"/>
        </w:rPr>
        <w:t>Sandër</w:t>
      </w:r>
      <w:proofErr w:type="spellEnd"/>
      <w:r w:rsidRPr="00AA242A">
        <w:rPr>
          <w:rFonts w:ascii="Garamond" w:hAnsi="Garamond" w:cs="Times New Roman"/>
          <w:bCs/>
          <w:color w:val="000000"/>
          <w:sz w:val="24"/>
          <w:szCs w:val="24"/>
        </w:rPr>
        <w:t xml:space="preserve"> Beci</w:t>
      </w:r>
      <w:r>
        <w:rPr>
          <w:rFonts w:ascii="Garamond" w:hAnsi="Garamond" w:cs="Times New Roman"/>
          <w:bCs/>
          <w:color w:val="000000"/>
          <w:sz w:val="24"/>
          <w:szCs w:val="24"/>
        </w:rPr>
        <w:t>,</w:t>
      </w:r>
      <w:r w:rsidRPr="00B13B28">
        <w:rPr>
          <w:rFonts w:ascii="Garamond" w:hAnsi="Garamond" w:cs="Times New Roman"/>
          <w:bCs/>
          <w:color w:val="000000"/>
          <w:sz w:val="24"/>
          <w:szCs w:val="24"/>
        </w:rPr>
        <w:t xml:space="preserve"> </w:t>
      </w:r>
      <w:proofErr w:type="spellStart"/>
      <w:r w:rsidRPr="00AA242A">
        <w:rPr>
          <w:rFonts w:ascii="Garamond" w:hAnsi="Garamond" w:cs="Times New Roman"/>
          <w:bCs/>
          <w:color w:val="000000"/>
          <w:sz w:val="24"/>
          <w:szCs w:val="24"/>
        </w:rPr>
        <w:t>Asim</w:t>
      </w:r>
      <w:proofErr w:type="spellEnd"/>
      <w:r w:rsidRPr="00AA242A">
        <w:rPr>
          <w:rFonts w:ascii="Garamond" w:hAnsi="Garamond" w:cs="Times New Roman"/>
          <w:bCs/>
          <w:color w:val="000000"/>
          <w:sz w:val="24"/>
          <w:szCs w:val="24"/>
        </w:rPr>
        <w:t xml:space="preserve"> </w:t>
      </w:r>
      <w:proofErr w:type="spellStart"/>
      <w:r w:rsidRPr="00AA242A">
        <w:rPr>
          <w:rFonts w:ascii="Garamond" w:hAnsi="Garamond" w:cs="Times New Roman"/>
          <w:bCs/>
          <w:color w:val="000000"/>
          <w:sz w:val="24"/>
          <w:szCs w:val="24"/>
        </w:rPr>
        <w:t>Vokshi</w:t>
      </w:r>
      <w:proofErr w:type="spellEnd"/>
    </w:p>
    <w:p w14:paraId="6DAEFAA8" w14:textId="6CD303BA" w:rsidR="00DA6F35" w:rsidRDefault="00DA6F35" w:rsidP="00AA242A">
      <w:pPr>
        <w:autoSpaceDE w:val="0"/>
        <w:autoSpaceDN w:val="0"/>
        <w:adjustRightInd w:val="0"/>
        <w:spacing w:after="0" w:line="240" w:lineRule="auto"/>
        <w:ind w:firstLine="284"/>
        <w:jc w:val="both"/>
        <w:rPr>
          <w:rFonts w:ascii="Garamond" w:hAnsi="Garamond" w:cs="Times New Roman"/>
          <w:bCs/>
          <w:color w:val="000000"/>
          <w:sz w:val="24"/>
          <w:szCs w:val="24"/>
        </w:rPr>
      </w:pPr>
    </w:p>
    <w:bookmarkEnd w:id="0"/>
    <w:p w14:paraId="7642EAC8" w14:textId="77777777" w:rsidR="00DA6F35" w:rsidRPr="00AA242A" w:rsidRDefault="00DA6F35" w:rsidP="00AA242A">
      <w:pPr>
        <w:autoSpaceDE w:val="0"/>
        <w:autoSpaceDN w:val="0"/>
        <w:adjustRightInd w:val="0"/>
        <w:spacing w:after="0" w:line="240" w:lineRule="auto"/>
        <w:ind w:firstLine="284"/>
        <w:jc w:val="both"/>
        <w:rPr>
          <w:rFonts w:ascii="Garamond" w:hAnsi="Garamond" w:cs="Times New Roman"/>
          <w:bCs/>
          <w:color w:val="000000"/>
          <w:sz w:val="24"/>
          <w:szCs w:val="24"/>
        </w:rPr>
      </w:pPr>
    </w:p>
    <w:sectPr w:rsidR="00DA6F35" w:rsidRPr="00AA242A" w:rsidSect="00401481">
      <w:headerReference w:type="default" r:id="rId11"/>
      <w:headerReference w:type="first" r:id="rId12"/>
      <w:pgSz w:w="11909" w:h="16834" w:code="9"/>
      <w:pgMar w:top="90" w:right="1440" w:bottom="2160" w:left="1440" w:header="720" w:footer="45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72A503" w14:textId="77777777" w:rsidR="000E3BDB" w:rsidRDefault="000E3BDB" w:rsidP="00FC714A">
      <w:pPr>
        <w:spacing w:after="0" w:line="240" w:lineRule="auto"/>
      </w:pPr>
      <w:r>
        <w:separator/>
      </w:r>
    </w:p>
  </w:endnote>
  <w:endnote w:type="continuationSeparator" w:id="0">
    <w:p w14:paraId="3AFECFBE" w14:textId="77777777" w:rsidR="000E3BDB" w:rsidRDefault="000E3BDB" w:rsidP="00FC714A">
      <w:pPr>
        <w:spacing w:after="0" w:line="240" w:lineRule="auto"/>
      </w:pPr>
      <w:r>
        <w:continuationSeparator/>
      </w:r>
    </w:p>
  </w:endnote>
  <w:endnote w:type="continuationNotice" w:id="1">
    <w:p w14:paraId="7971CCCC" w14:textId="77777777" w:rsidR="000E3BDB" w:rsidRDefault="000E3B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C252F4" w14:textId="77777777" w:rsidR="000E3BDB" w:rsidRDefault="000E3BDB" w:rsidP="00FC714A">
      <w:pPr>
        <w:spacing w:after="0" w:line="240" w:lineRule="auto"/>
      </w:pPr>
      <w:r>
        <w:separator/>
      </w:r>
    </w:p>
  </w:footnote>
  <w:footnote w:type="continuationSeparator" w:id="0">
    <w:p w14:paraId="5D78808C" w14:textId="77777777" w:rsidR="000E3BDB" w:rsidRDefault="000E3BDB" w:rsidP="00FC714A">
      <w:pPr>
        <w:spacing w:after="0" w:line="240" w:lineRule="auto"/>
      </w:pPr>
      <w:r>
        <w:continuationSeparator/>
      </w:r>
    </w:p>
  </w:footnote>
  <w:footnote w:type="continuationNotice" w:id="1">
    <w:p w14:paraId="585C0DCC" w14:textId="77777777" w:rsidR="000E3BDB" w:rsidRDefault="000E3B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C62DF" w14:textId="77777777" w:rsidR="000E3BDB" w:rsidRPr="00F90243" w:rsidRDefault="000E3BDB" w:rsidP="00FC714A">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p w14:paraId="3EEC62E0" w14:textId="77777777" w:rsidR="000E3BDB" w:rsidRPr="00AC344F" w:rsidRDefault="000E3BDB">
    <w:pPr>
      <w:pStyle w:val="Head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C62E4" w14:textId="77777777" w:rsidR="000E3BDB" w:rsidRPr="00F90243" w:rsidRDefault="000E3BDB" w:rsidP="005C6EEA">
    <w:pPr>
      <w:pStyle w:val="Header"/>
      <w:rPr>
        <w:rFonts w:ascii="Times New Roman" w:hAnsi="Times New Roman"/>
        <w:sz w:val="20"/>
        <w:szCs w:val="20"/>
      </w:rPr>
    </w:pPr>
    <w:r w:rsidRPr="005C6EEA">
      <w:rPr>
        <w:rFonts w:ascii="Times New Roman" w:hAnsi="Times New Roman"/>
        <w:sz w:val="20"/>
        <w:szCs w:val="20"/>
      </w:rPr>
      <w:tab/>
    </w:r>
    <w:r w:rsidRPr="00C8516C">
      <w:rPr>
        <w:rFonts w:ascii="Times New Roman" w:hAnsi="Times New Roman"/>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02403"/>
    <w:multiLevelType w:val="hybridMultilevel"/>
    <w:tmpl w:val="D3C261C8"/>
    <w:lvl w:ilvl="0" w:tplc="E1D400D4">
      <w:start w:val="14"/>
      <w:numFmt w:val="decimal"/>
      <w:lvlText w:val="%1."/>
      <w:lvlJc w:val="left"/>
      <w:pPr>
        <w:ind w:left="128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D3F36"/>
    <w:multiLevelType w:val="hybridMultilevel"/>
    <w:tmpl w:val="6B24DDBE"/>
    <w:lvl w:ilvl="0" w:tplc="281AE9E2">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F63D3"/>
    <w:multiLevelType w:val="hybridMultilevel"/>
    <w:tmpl w:val="E2881AF6"/>
    <w:lvl w:ilvl="0" w:tplc="E968C528">
      <w:start w:val="15"/>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8E73C15"/>
    <w:multiLevelType w:val="hybridMultilevel"/>
    <w:tmpl w:val="7D70D5FC"/>
    <w:lvl w:ilvl="0" w:tplc="A7A4BEDA">
      <w:start w:val="15"/>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B0A2B98"/>
    <w:multiLevelType w:val="hybridMultilevel"/>
    <w:tmpl w:val="5F1C1216"/>
    <w:lvl w:ilvl="0" w:tplc="1804BF28">
      <w:start w:val="29"/>
      <w:numFmt w:val="decimal"/>
      <w:lvlText w:val="%1."/>
      <w:lvlJc w:val="left"/>
      <w:pPr>
        <w:ind w:left="1440" w:hanging="360"/>
      </w:pPr>
      <w:rPr>
        <w:rFonts w:ascii="Times New Roman" w:hAnsi="Times New Roman" w:cs="Times New Roman"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 w15:restartNumberingAfterBreak="0">
    <w:nsid w:val="12D365A9"/>
    <w:multiLevelType w:val="multilevel"/>
    <w:tmpl w:val="7444DF38"/>
    <w:lvl w:ilvl="0">
      <w:start w:val="24"/>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0" w:hanging="480"/>
      </w:pPr>
      <w:rPr>
        <w:b w:val="0"/>
        <w:i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12FA3593"/>
    <w:multiLevelType w:val="hybridMultilevel"/>
    <w:tmpl w:val="7ED0638E"/>
    <w:lvl w:ilvl="0" w:tplc="3580DA3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15:restartNumberingAfterBreak="0">
    <w:nsid w:val="1873193B"/>
    <w:multiLevelType w:val="hybridMultilevel"/>
    <w:tmpl w:val="0AAA7996"/>
    <w:lvl w:ilvl="0" w:tplc="DBA2859E">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300D69"/>
    <w:multiLevelType w:val="hybridMultilevel"/>
    <w:tmpl w:val="5816B50E"/>
    <w:lvl w:ilvl="0" w:tplc="1162291E">
      <w:start w:val="12"/>
      <w:numFmt w:val="decimal"/>
      <w:lvlText w:val="%1."/>
      <w:lvlJc w:val="left"/>
      <w:pPr>
        <w:ind w:left="720"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AEB6AD8"/>
    <w:multiLevelType w:val="hybridMultilevel"/>
    <w:tmpl w:val="7736B5F2"/>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1" w15:restartNumberingAfterBreak="0">
    <w:nsid w:val="1D950BFF"/>
    <w:multiLevelType w:val="hybridMultilevel"/>
    <w:tmpl w:val="A07E8702"/>
    <w:lvl w:ilvl="0" w:tplc="A526376E">
      <w:start w:val="13"/>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4465CC5"/>
    <w:multiLevelType w:val="multilevel"/>
    <w:tmpl w:val="4B404D80"/>
    <w:lvl w:ilvl="0">
      <w:start w:val="1"/>
      <w:numFmt w:val="decimal"/>
      <w:lvlText w:val="%1."/>
      <w:lvlJc w:val="left"/>
      <w:pPr>
        <w:ind w:left="990" w:hanging="360"/>
      </w:pPr>
      <w:rPr>
        <w:rFonts w:hint="default"/>
        <w:b w:val="0"/>
        <w:bCs w:val="0"/>
        <w:color w:val="auto"/>
      </w:rPr>
    </w:lvl>
    <w:lvl w:ilvl="1">
      <w:start w:val="1"/>
      <w:numFmt w:val="decimal"/>
      <w:isLgl/>
      <w:lvlText w:val="%1.%2"/>
      <w:lvlJc w:val="left"/>
      <w:pPr>
        <w:ind w:left="1152" w:hanging="43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298624C5"/>
    <w:multiLevelType w:val="hybridMultilevel"/>
    <w:tmpl w:val="BCC6A97C"/>
    <w:lvl w:ilvl="0" w:tplc="8B501C58">
      <w:start w:val="1"/>
      <w:numFmt w:val="upperLetter"/>
      <w:lvlText w:val="%1."/>
      <w:lvlJc w:val="left"/>
      <w:pPr>
        <w:ind w:left="1288" w:hanging="360"/>
      </w:pPr>
      <w:rPr>
        <w:rFonts w:hint="default"/>
        <w:b w:val="0"/>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4"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11207E"/>
    <w:multiLevelType w:val="multilevel"/>
    <w:tmpl w:val="AE28B9B0"/>
    <w:lvl w:ilvl="0">
      <w:start w:val="7"/>
      <w:numFmt w:val="decimal"/>
      <w:lvlText w:val="%1."/>
      <w:lvlJc w:val="left"/>
      <w:pPr>
        <w:ind w:left="540" w:hanging="540"/>
      </w:pPr>
      <w:rPr>
        <w:rFonts w:eastAsia="MS Mincho" w:hint="default"/>
        <w:b w:val="0"/>
        <w:i w:val="0"/>
        <w:color w:val="auto"/>
      </w:rPr>
    </w:lvl>
    <w:lvl w:ilvl="1">
      <w:start w:val="1"/>
      <w:numFmt w:val="decimal"/>
      <w:lvlText w:val="%1.%2."/>
      <w:lvlJc w:val="left"/>
      <w:pPr>
        <w:ind w:left="1440" w:hanging="540"/>
      </w:pPr>
      <w:rPr>
        <w:rFonts w:eastAsia="MS Mincho" w:hint="default"/>
        <w:i/>
        <w:color w:val="auto"/>
      </w:rPr>
    </w:lvl>
    <w:lvl w:ilvl="2">
      <w:start w:val="1"/>
      <w:numFmt w:val="decimal"/>
      <w:lvlText w:val="%1.%2.%3."/>
      <w:lvlJc w:val="left"/>
      <w:pPr>
        <w:ind w:left="2520" w:hanging="720"/>
      </w:pPr>
      <w:rPr>
        <w:rFonts w:eastAsia="MS Mincho" w:hint="default"/>
        <w:i/>
        <w:color w:val="auto"/>
      </w:rPr>
    </w:lvl>
    <w:lvl w:ilvl="3">
      <w:start w:val="1"/>
      <w:numFmt w:val="decimal"/>
      <w:lvlText w:val="%1.%2.%3.%4."/>
      <w:lvlJc w:val="left"/>
      <w:pPr>
        <w:ind w:left="3420" w:hanging="720"/>
      </w:pPr>
      <w:rPr>
        <w:rFonts w:eastAsia="MS Mincho" w:hint="default"/>
        <w:i/>
        <w:color w:val="auto"/>
      </w:rPr>
    </w:lvl>
    <w:lvl w:ilvl="4">
      <w:start w:val="1"/>
      <w:numFmt w:val="decimal"/>
      <w:lvlText w:val="%1.%2.%3.%4.%5."/>
      <w:lvlJc w:val="left"/>
      <w:pPr>
        <w:ind w:left="4680" w:hanging="1080"/>
      </w:pPr>
      <w:rPr>
        <w:rFonts w:eastAsia="MS Mincho" w:hint="default"/>
        <w:i/>
        <w:color w:val="auto"/>
      </w:rPr>
    </w:lvl>
    <w:lvl w:ilvl="5">
      <w:start w:val="1"/>
      <w:numFmt w:val="decimal"/>
      <w:lvlText w:val="%1.%2.%3.%4.%5.%6."/>
      <w:lvlJc w:val="left"/>
      <w:pPr>
        <w:ind w:left="5580" w:hanging="1080"/>
      </w:pPr>
      <w:rPr>
        <w:rFonts w:eastAsia="MS Mincho" w:hint="default"/>
        <w:i/>
        <w:color w:val="auto"/>
      </w:rPr>
    </w:lvl>
    <w:lvl w:ilvl="6">
      <w:start w:val="1"/>
      <w:numFmt w:val="decimal"/>
      <w:lvlText w:val="%1.%2.%3.%4.%5.%6.%7."/>
      <w:lvlJc w:val="left"/>
      <w:pPr>
        <w:ind w:left="6840" w:hanging="1440"/>
      </w:pPr>
      <w:rPr>
        <w:rFonts w:eastAsia="MS Mincho" w:hint="default"/>
        <w:i/>
        <w:color w:val="auto"/>
      </w:rPr>
    </w:lvl>
    <w:lvl w:ilvl="7">
      <w:start w:val="1"/>
      <w:numFmt w:val="decimal"/>
      <w:lvlText w:val="%1.%2.%3.%4.%5.%6.%7.%8."/>
      <w:lvlJc w:val="left"/>
      <w:pPr>
        <w:ind w:left="7740" w:hanging="1440"/>
      </w:pPr>
      <w:rPr>
        <w:rFonts w:eastAsia="MS Mincho" w:hint="default"/>
        <w:i/>
        <w:color w:val="auto"/>
      </w:rPr>
    </w:lvl>
    <w:lvl w:ilvl="8">
      <w:start w:val="1"/>
      <w:numFmt w:val="decimal"/>
      <w:lvlText w:val="%1.%2.%3.%4.%5.%6.%7.%8.%9."/>
      <w:lvlJc w:val="left"/>
      <w:pPr>
        <w:ind w:left="9000" w:hanging="1800"/>
      </w:pPr>
      <w:rPr>
        <w:rFonts w:eastAsia="MS Mincho" w:hint="default"/>
        <w:i/>
        <w:color w:val="auto"/>
      </w:rPr>
    </w:lvl>
  </w:abstractNum>
  <w:abstractNum w:abstractNumId="16" w15:restartNumberingAfterBreak="0">
    <w:nsid w:val="310D0298"/>
    <w:multiLevelType w:val="multilevel"/>
    <w:tmpl w:val="26F85C84"/>
    <w:lvl w:ilvl="0">
      <w:start w:val="11"/>
      <w:numFmt w:val="decimal"/>
      <w:lvlText w:val="%1."/>
      <w:lvlJc w:val="left"/>
      <w:pPr>
        <w:ind w:left="720" w:hanging="360"/>
      </w:pPr>
      <w:rPr>
        <w:rFonts w:hint="default"/>
        <w:i w:val="0"/>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329D66FA"/>
    <w:multiLevelType w:val="hybridMultilevel"/>
    <w:tmpl w:val="AD644676"/>
    <w:lvl w:ilvl="0" w:tplc="1B3654E4">
      <w:start w:val="13"/>
      <w:numFmt w:val="decimal"/>
      <w:lvlText w:val="%1."/>
      <w:lvlJc w:val="left"/>
      <w:pPr>
        <w:ind w:left="720"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35C45931"/>
    <w:multiLevelType w:val="hybridMultilevel"/>
    <w:tmpl w:val="DAF0C080"/>
    <w:lvl w:ilvl="0" w:tplc="3932851E">
      <w:start w:val="34"/>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403F6291"/>
    <w:multiLevelType w:val="hybridMultilevel"/>
    <w:tmpl w:val="B7BC3B8A"/>
    <w:lvl w:ilvl="0" w:tplc="B022B05E">
      <w:start w:val="13"/>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BAA75C2"/>
    <w:multiLevelType w:val="hybridMultilevel"/>
    <w:tmpl w:val="A6C0A644"/>
    <w:lvl w:ilvl="0" w:tplc="1B3654E4">
      <w:start w:val="13"/>
      <w:numFmt w:val="decimal"/>
      <w:lvlText w:val="%1."/>
      <w:lvlJc w:val="left"/>
      <w:pPr>
        <w:ind w:left="720"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6524B4F"/>
    <w:multiLevelType w:val="multilevel"/>
    <w:tmpl w:val="F14EE18A"/>
    <w:lvl w:ilvl="0">
      <w:start w:val="11"/>
      <w:numFmt w:val="decimal"/>
      <w:lvlText w:val="%1."/>
      <w:lvlJc w:val="left"/>
      <w:pPr>
        <w:ind w:left="108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876B18"/>
    <w:multiLevelType w:val="hybridMultilevel"/>
    <w:tmpl w:val="A79C925E"/>
    <w:lvl w:ilvl="0" w:tplc="3C0CE0E8">
      <w:start w:val="12"/>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5B1E635E"/>
    <w:multiLevelType w:val="hybridMultilevel"/>
    <w:tmpl w:val="559CD442"/>
    <w:lvl w:ilvl="0" w:tplc="0D2212BA">
      <w:start w:val="1"/>
      <w:numFmt w:val="decimal"/>
      <w:lvlText w:val="%1."/>
      <w:lvlJc w:val="left"/>
      <w:pPr>
        <w:ind w:left="6456"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364109"/>
    <w:multiLevelType w:val="hybridMultilevel"/>
    <w:tmpl w:val="4E4ABB24"/>
    <w:lvl w:ilvl="0" w:tplc="B7F82394">
      <w:start w:val="1"/>
      <w:numFmt w:val="upperRoman"/>
      <w:lvlText w:val="%1."/>
      <w:lvlJc w:val="left"/>
      <w:pPr>
        <w:ind w:left="928" w:hanging="360"/>
      </w:pPr>
      <w:rPr>
        <w:rFonts w:ascii="Times New Roman" w:eastAsia="Times New Roman" w:hAnsi="Times New Roman" w:cs="Times New Roman"/>
        <w:b/>
        <w:i/>
      </w:rPr>
    </w:lvl>
    <w:lvl w:ilvl="1" w:tplc="4866E604">
      <w:start w:val="11"/>
      <w:numFmt w:val="decimal"/>
      <w:lvlText w:val="%2."/>
      <w:lvlJc w:val="left"/>
      <w:pPr>
        <w:tabs>
          <w:tab w:val="num" w:pos="1440"/>
        </w:tabs>
        <w:ind w:left="1440" w:hanging="360"/>
      </w:pPr>
      <w:rPr>
        <w:rFonts w:hint="default"/>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6B5723D3"/>
    <w:multiLevelType w:val="hybridMultilevel"/>
    <w:tmpl w:val="C9009368"/>
    <w:lvl w:ilvl="0" w:tplc="DADCED8C">
      <w:start w:val="19"/>
      <w:numFmt w:val="decimal"/>
      <w:lvlText w:val="%1."/>
      <w:lvlJc w:val="left"/>
      <w:pPr>
        <w:ind w:left="117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5B66D8"/>
    <w:multiLevelType w:val="hybridMultilevel"/>
    <w:tmpl w:val="8AF41FA2"/>
    <w:lvl w:ilvl="0" w:tplc="5B94CD42">
      <w:start w:val="16"/>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7C907C9B"/>
    <w:multiLevelType w:val="multilevel"/>
    <w:tmpl w:val="DD92A9FA"/>
    <w:lvl w:ilvl="0">
      <w:start w:val="20"/>
      <w:numFmt w:val="decimal"/>
      <w:lvlText w:val="%1."/>
      <w:lvlJc w:val="left"/>
      <w:pPr>
        <w:ind w:left="480" w:hanging="480"/>
      </w:pPr>
      <w:rPr>
        <w:rFonts w:eastAsia="Times New Roman" w:hint="default"/>
        <w:b w:val="0"/>
        <w:i w:val="0"/>
      </w:rPr>
    </w:lvl>
    <w:lvl w:ilvl="1">
      <w:start w:val="1"/>
      <w:numFmt w:val="decimal"/>
      <w:lvlText w:val="%1.%2."/>
      <w:lvlJc w:val="left"/>
      <w:pPr>
        <w:ind w:left="1560" w:hanging="480"/>
      </w:pPr>
      <w:rPr>
        <w:rFonts w:eastAsia="Times New Roman" w:hint="default"/>
      </w:rPr>
    </w:lvl>
    <w:lvl w:ilvl="2">
      <w:start w:val="1"/>
      <w:numFmt w:val="decimal"/>
      <w:lvlText w:val="%1.%2.%3."/>
      <w:lvlJc w:val="left"/>
      <w:pPr>
        <w:ind w:left="2880" w:hanging="720"/>
      </w:pPr>
      <w:rPr>
        <w:rFonts w:eastAsia="Times New Roman" w:hint="default"/>
      </w:rPr>
    </w:lvl>
    <w:lvl w:ilvl="3">
      <w:start w:val="1"/>
      <w:numFmt w:val="decimal"/>
      <w:lvlText w:val="%1.%2.%3.%4."/>
      <w:lvlJc w:val="left"/>
      <w:pPr>
        <w:ind w:left="3960" w:hanging="720"/>
      </w:pPr>
      <w:rPr>
        <w:rFonts w:eastAsia="Times New Roman" w:hint="default"/>
      </w:rPr>
    </w:lvl>
    <w:lvl w:ilvl="4">
      <w:start w:val="1"/>
      <w:numFmt w:val="decimal"/>
      <w:lvlText w:val="%1.%2.%3.%4.%5."/>
      <w:lvlJc w:val="left"/>
      <w:pPr>
        <w:ind w:left="5400" w:hanging="1080"/>
      </w:pPr>
      <w:rPr>
        <w:rFonts w:eastAsia="Times New Roman" w:hint="default"/>
      </w:rPr>
    </w:lvl>
    <w:lvl w:ilvl="5">
      <w:start w:val="1"/>
      <w:numFmt w:val="decimal"/>
      <w:lvlText w:val="%1.%2.%3.%4.%5.%6."/>
      <w:lvlJc w:val="left"/>
      <w:pPr>
        <w:ind w:left="6480" w:hanging="1080"/>
      </w:pPr>
      <w:rPr>
        <w:rFonts w:eastAsia="Times New Roman" w:hint="default"/>
      </w:rPr>
    </w:lvl>
    <w:lvl w:ilvl="6">
      <w:start w:val="1"/>
      <w:numFmt w:val="decimal"/>
      <w:lvlText w:val="%1.%2.%3.%4.%5.%6.%7."/>
      <w:lvlJc w:val="left"/>
      <w:pPr>
        <w:ind w:left="7920" w:hanging="1440"/>
      </w:pPr>
      <w:rPr>
        <w:rFonts w:eastAsia="Times New Roman" w:hint="default"/>
      </w:rPr>
    </w:lvl>
    <w:lvl w:ilvl="7">
      <w:start w:val="1"/>
      <w:numFmt w:val="decimal"/>
      <w:lvlText w:val="%1.%2.%3.%4.%5.%6.%7.%8."/>
      <w:lvlJc w:val="left"/>
      <w:pPr>
        <w:ind w:left="9000" w:hanging="1440"/>
      </w:pPr>
      <w:rPr>
        <w:rFonts w:eastAsia="Times New Roman" w:hint="default"/>
      </w:rPr>
    </w:lvl>
    <w:lvl w:ilvl="8">
      <w:start w:val="1"/>
      <w:numFmt w:val="decimal"/>
      <w:lvlText w:val="%1.%2.%3.%4.%5.%6.%7.%8.%9."/>
      <w:lvlJc w:val="left"/>
      <w:pPr>
        <w:ind w:left="10440" w:hanging="1800"/>
      </w:pPr>
      <w:rPr>
        <w:rFonts w:eastAsia="Times New Roman" w:hint="default"/>
      </w:rPr>
    </w:lvl>
  </w:abstractNum>
  <w:num w:numId="1">
    <w:abstractNumId w:val="25"/>
  </w:num>
  <w:num w:numId="2">
    <w:abstractNumId w:val="13"/>
  </w:num>
  <w:num w:numId="3">
    <w:abstractNumId w:val="12"/>
  </w:num>
  <w:num w:numId="4">
    <w:abstractNumId w:val="0"/>
  </w:num>
  <w:num w:numId="5">
    <w:abstractNumId w:val="14"/>
  </w:num>
  <w:num w:numId="6">
    <w:abstractNumId w:val="26"/>
  </w:num>
  <w:num w:numId="7">
    <w:abstractNumId w:val="7"/>
  </w:num>
  <w:num w:numId="8">
    <w:abstractNumId w:val="3"/>
  </w:num>
  <w:num w:numId="9">
    <w:abstractNumId w:val="8"/>
  </w:num>
  <w:num w:numId="10">
    <w:abstractNumId w:val="6"/>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28"/>
  </w:num>
  <w:num w:numId="14">
    <w:abstractNumId w:val="22"/>
  </w:num>
  <w:num w:numId="15">
    <w:abstractNumId w:val="27"/>
  </w:num>
  <w:num w:numId="16">
    <w:abstractNumId w:val="21"/>
  </w:num>
  <w:num w:numId="17">
    <w:abstractNumId w:val="2"/>
  </w:num>
  <w:num w:numId="18">
    <w:abstractNumId w:val="19"/>
  </w:num>
  <w:num w:numId="19">
    <w:abstractNumId w:val="23"/>
  </w:num>
  <w:num w:numId="20">
    <w:abstractNumId w:val="9"/>
  </w:num>
  <w:num w:numId="21">
    <w:abstractNumId w:val="4"/>
  </w:num>
  <w:num w:numId="22">
    <w:abstractNumId w:val="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24"/>
  </w:num>
  <w:num w:numId="26">
    <w:abstractNumId w:val="18"/>
  </w:num>
  <w:num w:numId="27">
    <w:abstractNumId w:val="11"/>
  </w:num>
  <w:num w:numId="28">
    <w:abstractNumId w:val="20"/>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CF6"/>
    <w:rsid w:val="00001264"/>
    <w:rsid w:val="00004FDD"/>
    <w:rsid w:val="000063F3"/>
    <w:rsid w:val="00012A2A"/>
    <w:rsid w:val="00014183"/>
    <w:rsid w:val="00025DEE"/>
    <w:rsid w:val="000354C1"/>
    <w:rsid w:val="00040EC0"/>
    <w:rsid w:val="0004104B"/>
    <w:rsid w:val="00050AF3"/>
    <w:rsid w:val="00052903"/>
    <w:rsid w:val="0005655D"/>
    <w:rsid w:val="000568B1"/>
    <w:rsid w:val="000626DB"/>
    <w:rsid w:val="00064449"/>
    <w:rsid w:val="00065577"/>
    <w:rsid w:val="000656DF"/>
    <w:rsid w:val="0007402F"/>
    <w:rsid w:val="00076451"/>
    <w:rsid w:val="000770C3"/>
    <w:rsid w:val="000862C1"/>
    <w:rsid w:val="00090ABF"/>
    <w:rsid w:val="00097186"/>
    <w:rsid w:val="000A108B"/>
    <w:rsid w:val="000B098C"/>
    <w:rsid w:val="000C5B8F"/>
    <w:rsid w:val="000D277D"/>
    <w:rsid w:val="000D5DD2"/>
    <w:rsid w:val="000D5FE8"/>
    <w:rsid w:val="000E1109"/>
    <w:rsid w:val="000E3BDB"/>
    <w:rsid w:val="000E6158"/>
    <w:rsid w:val="000E66A5"/>
    <w:rsid w:val="000E6B78"/>
    <w:rsid w:val="000E6BC5"/>
    <w:rsid w:val="000F0431"/>
    <w:rsid w:val="000F3130"/>
    <w:rsid w:val="000F6B2D"/>
    <w:rsid w:val="00101508"/>
    <w:rsid w:val="00104D6C"/>
    <w:rsid w:val="00105AA2"/>
    <w:rsid w:val="00110F90"/>
    <w:rsid w:val="00113356"/>
    <w:rsid w:val="00120501"/>
    <w:rsid w:val="00121A1D"/>
    <w:rsid w:val="001259F9"/>
    <w:rsid w:val="00126AE5"/>
    <w:rsid w:val="0013202A"/>
    <w:rsid w:val="00133632"/>
    <w:rsid w:val="001369AA"/>
    <w:rsid w:val="0014396D"/>
    <w:rsid w:val="001500B1"/>
    <w:rsid w:val="00153C69"/>
    <w:rsid w:val="00162532"/>
    <w:rsid w:val="001664DC"/>
    <w:rsid w:val="001668F2"/>
    <w:rsid w:val="00167887"/>
    <w:rsid w:val="001744A7"/>
    <w:rsid w:val="00176FB5"/>
    <w:rsid w:val="001770FE"/>
    <w:rsid w:val="00180696"/>
    <w:rsid w:val="001871DA"/>
    <w:rsid w:val="00191D9F"/>
    <w:rsid w:val="00192B24"/>
    <w:rsid w:val="00196BFE"/>
    <w:rsid w:val="001A040D"/>
    <w:rsid w:val="001A0BE1"/>
    <w:rsid w:val="001A2232"/>
    <w:rsid w:val="001A54B9"/>
    <w:rsid w:val="001B115C"/>
    <w:rsid w:val="001B1962"/>
    <w:rsid w:val="001B2FDA"/>
    <w:rsid w:val="001B317C"/>
    <w:rsid w:val="001B6FAB"/>
    <w:rsid w:val="001C2D43"/>
    <w:rsid w:val="001C41FA"/>
    <w:rsid w:val="001C69C5"/>
    <w:rsid w:val="001D4917"/>
    <w:rsid w:val="001D6707"/>
    <w:rsid w:val="001E24A4"/>
    <w:rsid w:val="001F13EC"/>
    <w:rsid w:val="002011B8"/>
    <w:rsid w:val="002020BF"/>
    <w:rsid w:val="002020D3"/>
    <w:rsid w:val="00203A7F"/>
    <w:rsid w:val="00203D15"/>
    <w:rsid w:val="00204A9E"/>
    <w:rsid w:val="00204BD1"/>
    <w:rsid w:val="00206205"/>
    <w:rsid w:val="002070F3"/>
    <w:rsid w:val="002076F5"/>
    <w:rsid w:val="00220F86"/>
    <w:rsid w:val="0022161E"/>
    <w:rsid w:val="00227CF6"/>
    <w:rsid w:val="002317D4"/>
    <w:rsid w:val="0023273C"/>
    <w:rsid w:val="00232A28"/>
    <w:rsid w:val="00237C1C"/>
    <w:rsid w:val="00240916"/>
    <w:rsid w:val="0025097E"/>
    <w:rsid w:val="00250AFD"/>
    <w:rsid w:val="0025491F"/>
    <w:rsid w:val="00257D3F"/>
    <w:rsid w:val="0026115E"/>
    <w:rsid w:val="002614D6"/>
    <w:rsid w:val="002653EE"/>
    <w:rsid w:val="002726DD"/>
    <w:rsid w:val="002728DF"/>
    <w:rsid w:val="00284112"/>
    <w:rsid w:val="00287F3B"/>
    <w:rsid w:val="00293898"/>
    <w:rsid w:val="00293C7C"/>
    <w:rsid w:val="00295B6C"/>
    <w:rsid w:val="002A12F9"/>
    <w:rsid w:val="002B022C"/>
    <w:rsid w:val="002B13BD"/>
    <w:rsid w:val="002B3ACB"/>
    <w:rsid w:val="002B3E1B"/>
    <w:rsid w:val="002B5595"/>
    <w:rsid w:val="002B665F"/>
    <w:rsid w:val="002B7B74"/>
    <w:rsid w:val="002C0B6B"/>
    <w:rsid w:val="002C53DD"/>
    <w:rsid w:val="002D15B2"/>
    <w:rsid w:val="002D20BF"/>
    <w:rsid w:val="002D2120"/>
    <w:rsid w:val="002D5075"/>
    <w:rsid w:val="002D7527"/>
    <w:rsid w:val="002D76D0"/>
    <w:rsid w:val="002E7C66"/>
    <w:rsid w:val="002F1AF4"/>
    <w:rsid w:val="002F57EA"/>
    <w:rsid w:val="003121DD"/>
    <w:rsid w:val="00314BD5"/>
    <w:rsid w:val="00315F53"/>
    <w:rsid w:val="0031646E"/>
    <w:rsid w:val="00316744"/>
    <w:rsid w:val="0031795A"/>
    <w:rsid w:val="003204F1"/>
    <w:rsid w:val="00323B54"/>
    <w:rsid w:val="00324E05"/>
    <w:rsid w:val="00326213"/>
    <w:rsid w:val="00331E20"/>
    <w:rsid w:val="003330E6"/>
    <w:rsid w:val="0033514E"/>
    <w:rsid w:val="003555A4"/>
    <w:rsid w:val="00374299"/>
    <w:rsid w:val="00375BD3"/>
    <w:rsid w:val="0038650F"/>
    <w:rsid w:val="00390E18"/>
    <w:rsid w:val="00391E5B"/>
    <w:rsid w:val="00392070"/>
    <w:rsid w:val="00392472"/>
    <w:rsid w:val="00395B0D"/>
    <w:rsid w:val="00397059"/>
    <w:rsid w:val="0039777F"/>
    <w:rsid w:val="003A0560"/>
    <w:rsid w:val="003A25E0"/>
    <w:rsid w:val="003A7E7E"/>
    <w:rsid w:val="003B31EE"/>
    <w:rsid w:val="003C19D6"/>
    <w:rsid w:val="003C36E3"/>
    <w:rsid w:val="003D1892"/>
    <w:rsid w:val="003D4F4E"/>
    <w:rsid w:val="003D6D9F"/>
    <w:rsid w:val="003D7A88"/>
    <w:rsid w:val="003E66F8"/>
    <w:rsid w:val="003F667D"/>
    <w:rsid w:val="00401481"/>
    <w:rsid w:val="00403B14"/>
    <w:rsid w:val="00405524"/>
    <w:rsid w:val="004149D8"/>
    <w:rsid w:val="00420054"/>
    <w:rsid w:val="00421D07"/>
    <w:rsid w:val="00426A64"/>
    <w:rsid w:val="00430C68"/>
    <w:rsid w:val="00437408"/>
    <w:rsid w:val="00437F5B"/>
    <w:rsid w:val="0045406A"/>
    <w:rsid w:val="00454818"/>
    <w:rsid w:val="00462847"/>
    <w:rsid w:val="00470A35"/>
    <w:rsid w:val="0047119C"/>
    <w:rsid w:val="004726D2"/>
    <w:rsid w:val="00475EBC"/>
    <w:rsid w:val="00476454"/>
    <w:rsid w:val="00484658"/>
    <w:rsid w:val="00486FD4"/>
    <w:rsid w:val="0048737A"/>
    <w:rsid w:val="004874D0"/>
    <w:rsid w:val="00490CAB"/>
    <w:rsid w:val="0049410A"/>
    <w:rsid w:val="004A2458"/>
    <w:rsid w:val="004A51C2"/>
    <w:rsid w:val="004C18BB"/>
    <w:rsid w:val="004C2311"/>
    <w:rsid w:val="004C3050"/>
    <w:rsid w:val="004D1261"/>
    <w:rsid w:val="004D2952"/>
    <w:rsid w:val="004D3F7C"/>
    <w:rsid w:val="004D449C"/>
    <w:rsid w:val="004D7285"/>
    <w:rsid w:val="004E06D0"/>
    <w:rsid w:val="004E1C79"/>
    <w:rsid w:val="004E4901"/>
    <w:rsid w:val="004E71E8"/>
    <w:rsid w:val="004F3FE2"/>
    <w:rsid w:val="004F5C41"/>
    <w:rsid w:val="00503FDE"/>
    <w:rsid w:val="00504B67"/>
    <w:rsid w:val="00510056"/>
    <w:rsid w:val="00510B7D"/>
    <w:rsid w:val="00511F1B"/>
    <w:rsid w:val="005135FB"/>
    <w:rsid w:val="00515090"/>
    <w:rsid w:val="00515C2B"/>
    <w:rsid w:val="005161D8"/>
    <w:rsid w:val="00516F70"/>
    <w:rsid w:val="00522078"/>
    <w:rsid w:val="005232FE"/>
    <w:rsid w:val="005303F1"/>
    <w:rsid w:val="00530531"/>
    <w:rsid w:val="00533674"/>
    <w:rsid w:val="005342FB"/>
    <w:rsid w:val="00535117"/>
    <w:rsid w:val="00541A06"/>
    <w:rsid w:val="005507C4"/>
    <w:rsid w:val="0055343F"/>
    <w:rsid w:val="00553AD1"/>
    <w:rsid w:val="00553BD8"/>
    <w:rsid w:val="00555EFE"/>
    <w:rsid w:val="00556F55"/>
    <w:rsid w:val="005673BD"/>
    <w:rsid w:val="00575DFE"/>
    <w:rsid w:val="00585E2E"/>
    <w:rsid w:val="005910EF"/>
    <w:rsid w:val="00592CC5"/>
    <w:rsid w:val="00595E30"/>
    <w:rsid w:val="005A3422"/>
    <w:rsid w:val="005A45F3"/>
    <w:rsid w:val="005B1DDF"/>
    <w:rsid w:val="005B4B05"/>
    <w:rsid w:val="005C6EEA"/>
    <w:rsid w:val="005D1D20"/>
    <w:rsid w:val="005D28A8"/>
    <w:rsid w:val="005E0812"/>
    <w:rsid w:val="005E574E"/>
    <w:rsid w:val="005E6256"/>
    <w:rsid w:val="005F16BB"/>
    <w:rsid w:val="005F507E"/>
    <w:rsid w:val="005F618E"/>
    <w:rsid w:val="005F6651"/>
    <w:rsid w:val="0060460A"/>
    <w:rsid w:val="00605D2D"/>
    <w:rsid w:val="00606C69"/>
    <w:rsid w:val="00607AED"/>
    <w:rsid w:val="00614642"/>
    <w:rsid w:val="00615047"/>
    <w:rsid w:val="0061747C"/>
    <w:rsid w:val="00617B88"/>
    <w:rsid w:val="00627550"/>
    <w:rsid w:val="00633171"/>
    <w:rsid w:val="00646152"/>
    <w:rsid w:val="00647B2D"/>
    <w:rsid w:val="006534F7"/>
    <w:rsid w:val="00653D01"/>
    <w:rsid w:val="00653D3B"/>
    <w:rsid w:val="00654AB7"/>
    <w:rsid w:val="00656C90"/>
    <w:rsid w:val="00656CFE"/>
    <w:rsid w:val="00664599"/>
    <w:rsid w:val="00665682"/>
    <w:rsid w:val="0067081E"/>
    <w:rsid w:val="00675192"/>
    <w:rsid w:val="006868B9"/>
    <w:rsid w:val="00686C2C"/>
    <w:rsid w:val="00686DD4"/>
    <w:rsid w:val="00693F5F"/>
    <w:rsid w:val="00696868"/>
    <w:rsid w:val="00697EA8"/>
    <w:rsid w:val="006A127A"/>
    <w:rsid w:val="006A1F90"/>
    <w:rsid w:val="006A2065"/>
    <w:rsid w:val="006A610D"/>
    <w:rsid w:val="006B33C8"/>
    <w:rsid w:val="006B3BC4"/>
    <w:rsid w:val="006C2DB4"/>
    <w:rsid w:val="006C5577"/>
    <w:rsid w:val="006D0147"/>
    <w:rsid w:val="006D5AB2"/>
    <w:rsid w:val="006D752C"/>
    <w:rsid w:val="006E1A3F"/>
    <w:rsid w:val="006F0CF9"/>
    <w:rsid w:val="006F2656"/>
    <w:rsid w:val="007041DB"/>
    <w:rsid w:val="007051C4"/>
    <w:rsid w:val="007126FC"/>
    <w:rsid w:val="00717F01"/>
    <w:rsid w:val="007225F4"/>
    <w:rsid w:val="007226C6"/>
    <w:rsid w:val="00723821"/>
    <w:rsid w:val="00725D2B"/>
    <w:rsid w:val="00731051"/>
    <w:rsid w:val="007357ED"/>
    <w:rsid w:val="0074043C"/>
    <w:rsid w:val="00740550"/>
    <w:rsid w:val="00742FA2"/>
    <w:rsid w:val="0075022B"/>
    <w:rsid w:val="00756E60"/>
    <w:rsid w:val="00764C49"/>
    <w:rsid w:val="007662B1"/>
    <w:rsid w:val="00776359"/>
    <w:rsid w:val="007832B4"/>
    <w:rsid w:val="00783698"/>
    <w:rsid w:val="00785933"/>
    <w:rsid w:val="00785EC3"/>
    <w:rsid w:val="00786BCB"/>
    <w:rsid w:val="00793C02"/>
    <w:rsid w:val="00793F20"/>
    <w:rsid w:val="00794CB1"/>
    <w:rsid w:val="007979CC"/>
    <w:rsid w:val="007A6044"/>
    <w:rsid w:val="007A6A1C"/>
    <w:rsid w:val="007C2587"/>
    <w:rsid w:val="007D0755"/>
    <w:rsid w:val="007D4840"/>
    <w:rsid w:val="007D4980"/>
    <w:rsid w:val="007D6639"/>
    <w:rsid w:val="007D7F4A"/>
    <w:rsid w:val="007E561D"/>
    <w:rsid w:val="007E601E"/>
    <w:rsid w:val="007F116E"/>
    <w:rsid w:val="007F1E24"/>
    <w:rsid w:val="007F2EB6"/>
    <w:rsid w:val="007F66E1"/>
    <w:rsid w:val="00803E2B"/>
    <w:rsid w:val="0080477D"/>
    <w:rsid w:val="0082255D"/>
    <w:rsid w:val="00827A3E"/>
    <w:rsid w:val="00835343"/>
    <w:rsid w:val="00835DF1"/>
    <w:rsid w:val="00836211"/>
    <w:rsid w:val="00843DDB"/>
    <w:rsid w:val="008478A4"/>
    <w:rsid w:val="0085136E"/>
    <w:rsid w:val="00853902"/>
    <w:rsid w:val="00854757"/>
    <w:rsid w:val="00854BF1"/>
    <w:rsid w:val="008637B3"/>
    <w:rsid w:val="00866565"/>
    <w:rsid w:val="008777DB"/>
    <w:rsid w:val="00877DDC"/>
    <w:rsid w:val="00882FC2"/>
    <w:rsid w:val="0088452E"/>
    <w:rsid w:val="00884587"/>
    <w:rsid w:val="00885518"/>
    <w:rsid w:val="00891AD1"/>
    <w:rsid w:val="00895D42"/>
    <w:rsid w:val="00897B24"/>
    <w:rsid w:val="008A350D"/>
    <w:rsid w:val="008A417C"/>
    <w:rsid w:val="008A5DA4"/>
    <w:rsid w:val="008B0942"/>
    <w:rsid w:val="008B46D4"/>
    <w:rsid w:val="008B6654"/>
    <w:rsid w:val="008B695E"/>
    <w:rsid w:val="008C21D7"/>
    <w:rsid w:val="008D0DF9"/>
    <w:rsid w:val="008D2770"/>
    <w:rsid w:val="008E4CB3"/>
    <w:rsid w:val="008F0B97"/>
    <w:rsid w:val="008F6498"/>
    <w:rsid w:val="00900131"/>
    <w:rsid w:val="009002D0"/>
    <w:rsid w:val="00900833"/>
    <w:rsid w:val="0090312A"/>
    <w:rsid w:val="00906A97"/>
    <w:rsid w:val="00916559"/>
    <w:rsid w:val="0091762F"/>
    <w:rsid w:val="00922069"/>
    <w:rsid w:val="009264F1"/>
    <w:rsid w:val="00935334"/>
    <w:rsid w:val="00956CD1"/>
    <w:rsid w:val="00957D25"/>
    <w:rsid w:val="009708BF"/>
    <w:rsid w:val="00975937"/>
    <w:rsid w:val="00976CD5"/>
    <w:rsid w:val="00986A71"/>
    <w:rsid w:val="00992B4E"/>
    <w:rsid w:val="00992FE0"/>
    <w:rsid w:val="009954F0"/>
    <w:rsid w:val="009A77C8"/>
    <w:rsid w:val="009B464E"/>
    <w:rsid w:val="009B7F8B"/>
    <w:rsid w:val="009C2F1A"/>
    <w:rsid w:val="009C3A00"/>
    <w:rsid w:val="009C3BC9"/>
    <w:rsid w:val="009D2D49"/>
    <w:rsid w:val="009E06B3"/>
    <w:rsid w:val="009F1228"/>
    <w:rsid w:val="009F3DBA"/>
    <w:rsid w:val="009F720B"/>
    <w:rsid w:val="00A006B6"/>
    <w:rsid w:val="00A01BED"/>
    <w:rsid w:val="00A02017"/>
    <w:rsid w:val="00A02A5C"/>
    <w:rsid w:val="00A041D9"/>
    <w:rsid w:val="00A05EEF"/>
    <w:rsid w:val="00A06590"/>
    <w:rsid w:val="00A07A46"/>
    <w:rsid w:val="00A14468"/>
    <w:rsid w:val="00A14BC9"/>
    <w:rsid w:val="00A163C9"/>
    <w:rsid w:val="00A1694C"/>
    <w:rsid w:val="00A174E7"/>
    <w:rsid w:val="00A17EC6"/>
    <w:rsid w:val="00A21773"/>
    <w:rsid w:val="00A27479"/>
    <w:rsid w:val="00A27CFB"/>
    <w:rsid w:val="00A353BA"/>
    <w:rsid w:val="00A37030"/>
    <w:rsid w:val="00A4346B"/>
    <w:rsid w:val="00A46218"/>
    <w:rsid w:val="00A47D2E"/>
    <w:rsid w:val="00A51506"/>
    <w:rsid w:val="00A62ACF"/>
    <w:rsid w:val="00A6446E"/>
    <w:rsid w:val="00A64805"/>
    <w:rsid w:val="00A70916"/>
    <w:rsid w:val="00A72C76"/>
    <w:rsid w:val="00A74CA4"/>
    <w:rsid w:val="00A757D3"/>
    <w:rsid w:val="00A82CA8"/>
    <w:rsid w:val="00A83631"/>
    <w:rsid w:val="00A8609E"/>
    <w:rsid w:val="00A869A5"/>
    <w:rsid w:val="00A87E31"/>
    <w:rsid w:val="00A92CF6"/>
    <w:rsid w:val="00A94987"/>
    <w:rsid w:val="00A96002"/>
    <w:rsid w:val="00A97811"/>
    <w:rsid w:val="00AA0A93"/>
    <w:rsid w:val="00AA242A"/>
    <w:rsid w:val="00AB1705"/>
    <w:rsid w:val="00AB2567"/>
    <w:rsid w:val="00AB6936"/>
    <w:rsid w:val="00AC06B0"/>
    <w:rsid w:val="00AC0DBD"/>
    <w:rsid w:val="00AC1F9B"/>
    <w:rsid w:val="00AC7B12"/>
    <w:rsid w:val="00AD2037"/>
    <w:rsid w:val="00AE20D8"/>
    <w:rsid w:val="00AE5DD8"/>
    <w:rsid w:val="00AF2233"/>
    <w:rsid w:val="00AF2A8E"/>
    <w:rsid w:val="00AF5227"/>
    <w:rsid w:val="00AF59BE"/>
    <w:rsid w:val="00B070DB"/>
    <w:rsid w:val="00B13B28"/>
    <w:rsid w:val="00B15DA9"/>
    <w:rsid w:val="00B227C2"/>
    <w:rsid w:val="00B2314F"/>
    <w:rsid w:val="00B23CC4"/>
    <w:rsid w:val="00B23D15"/>
    <w:rsid w:val="00B2528C"/>
    <w:rsid w:val="00B264EB"/>
    <w:rsid w:val="00B445B1"/>
    <w:rsid w:val="00B52880"/>
    <w:rsid w:val="00B5636C"/>
    <w:rsid w:val="00B6436E"/>
    <w:rsid w:val="00B671FE"/>
    <w:rsid w:val="00B742B4"/>
    <w:rsid w:val="00B82076"/>
    <w:rsid w:val="00B8319B"/>
    <w:rsid w:val="00B85721"/>
    <w:rsid w:val="00B85CB1"/>
    <w:rsid w:val="00B86C65"/>
    <w:rsid w:val="00BB109E"/>
    <w:rsid w:val="00BB5968"/>
    <w:rsid w:val="00BB724F"/>
    <w:rsid w:val="00BC22AE"/>
    <w:rsid w:val="00BC59E5"/>
    <w:rsid w:val="00BD07E3"/>
    <w:rsid w:val="00BD193C"/>
    <w:rsid w:val="00BD2CDD"/>
    <w:rsid w:val="00BD306D"/>
    <w:rsid w:val="00BD7BB5"/>
    <w:rsid w:val="00BD7CEB"/>
    <w:rsid w:val="00BE0049"/>
    <w:rsid w:val="00BE1529"/>
    <w:rsid w:val="00BE56BD"/>
    <w:rsid w:val="00BF0B19"/>
    <w:rsid w:val="00BF386C"/>
    <w:rsid w:val="00BF5191"/>
    <w:rsid w:val="00C00D1B"/>
    <w:rsid w:val="00C00D4B"/>
    <w:rsid w:val="00C02218"/>
    <w:rsid w:val="00C07915"/>
    <w:rsid w:val="00C16545"/>
    <w:rsid w:val="00C16D53"/>
    <w:rsid w:val="00C16FEC"/>
    <w:rsid w:val="00C2378A"/>
    <w:rsid w:val="00C2544C"/>
    <w:rsid w:val="00C25C6C"/>
    <w:rsid w:val="00C25D69"/>
    <w:rsid w:val="00C30BAA"/>
    <w:rsid w:val="00C34DB0"/>
    <w:rsid w:val="00C3641E"/>
    <w:rsid w:val="00C36D93"/>
    <w:rsid w:val="00C400B7"/>
    <w:rsid w:val="00C469B3"/>
    <w:rsid w:val="00C472F3"/>
    <w:rsid w:val="00C52A54"/>
    <w:rsid w:val="00C625B5"/>
    <w:rsid w:val="00C64D50"/>
    <w:rsid w:val="00C66124"/>
    <w:rsid w:val="00C67187"/>
    <w:rsid w:val="00C676C5"/>
    <w:rsid w:val="00C74385"/>
    <w:rsid w:val="00C75767"/>
    <w:rsid w:val="00C76EAD"/>
    <w:rsid w:val="00C803C5"/>
    <w:rsid w:val="00C84846"/>
    <w:rsid w:val="00C84CB7"/>
    <w:rsid w:val="00C8516C"/>
    <w:rsid w:val="00C9029B"/>
    <w:rsid w:val="00C91111"/>
    <w:rsid w:val="00C92F63"/>
    <w:rsid w:val="00C94626"/>
    <w:rsid w:val="00CA0021"/>
    <w:rsid w:val="00CA0222"/>
    <w:rsid w:val="00CA184A"/>
    <w:rsid w:val="00CA4350"/>
    <w:rsid w:val="00CB0DE8"/>
    <w:rsid w:val="00CB4C01"/>
    <w:rsid w:val="00CC13BF"/>
    <w:rsid w:val="00CC1A8E"/>
    <w:rsid w:val="00CC2D9E"/>
    <w:rsid w:val="00CC47CC"/>
    <w:rsid w:val="00CC55F9"/>
    <w:rsid w:val="00CC64A0"/>
    <w:rsid w:val="00CD15FF"/>
    <w:rsid w:val="00CD24EF"/>
    <w:rsid w:val="00CE1A2C"/>
    <w:rsid w:val="00CE25AF"/>
    <w:rsid w:val="00CE5DD2"/>
    <w:rsid w:val="00CF682F"/>
    <w:rsid w:val="00CF7EF7"/>
    <w:rsid w:val="00D03D04"/>
    <w:rsid w:val="00D12B37"/>
    <w:rsid w:val="00D200AD"/>
    <w:rsid w:val="00D24A75"/>
    <w:rsid w:val="00D24F33"/>
    <w:rsid w:val="00D25CE8"/>
    <w:rsid w:val="00D279FF"/>
    <w:rsid w:val="00D27FF6"/>
    <w:rsid w:val="00D30B43"/>
    <w:rsid w:val="00D30DB0"/>
    <w:rsid w:val="00D33530"/>
    <w:rsid w:val="00D41E8D"/>
    <w:rsid w:val="00D41ED3"/>
    <w:rsid w:val="00D42747"/>
    <w:rsid w:val="00D449CB"/>
    <w:rsid w:val="00D625B2"/>
    <w:rsid w:val="00D645C8"/>
    <w:rsid w:val="00D744B2"/>
    <w:rsid w:val="00D7494C"/>
    <w:rsid w:val="00D845A2"/>
    <w:rsid w:val="00D84A29"/>
    <w:rsid w:val="00D85FE2"/>
    <w:rsid w:val="00D90F89"/>
    <w:rsid w:val="00D93D87"/>
    <w:rsid w:val="00D9605D"/>
    <w:rsid w:val="00D96ACE"/>
    <w:rsid w:val="00DA1C16"/>
    <w:rsid w:val="00DA1F1D"/>
    <w:rsid w:val="00DA33F4"/>
    <w:rsid w:val="00DA3D44"/>
    <w:rsid w:val="00DA4154"/>
    <w:rsid w:val="00DA6F35"/>
    <w:rsid w:val="00DB12AA"/>
    <w:rsid w:val="00DB28F6"/>
    <w:rsid w:val="00DB52F8"/>
    <w:rsid w:val="00DC0162"/>
    <w:rsid w:val="00DC10F7"/>
    <w:rsid w:val="00DD0F61"/>
    <w:rsid w:val="00DD2D1F"/>
    <w:rsid w:val="00DE20B5"/>
    <w:rsid w:val="00DE66DB"/>
    <w:rsid w:val="00DE678D"/>
    <w:rsid w:val="00E02431"/>
    <w:rsid w:val="00E05C4F"/>
    <w:rsid w:val="00E10FC9"/>
    <w:rsid w:val="00E11C04"/>
    <w:rsid w:val="00E12E62"/>
    <w:rsid w:val="00E228D2"/>
    <w:rsid w:val="00E306C3"/>
    <w:rsid w:val="00E350BB"/>
    <w:rsid w:val="00E37128"/>
    <w:rsid w:val="00E40665"/>
    <w:rsid w:val="00E4439E"/>
    <w:rsid w:val="00E4518A"/>
    <w:rsid w:val="00E45BF0"/>
    <w:rsid w:val="00E519C6"/>
    <w:rsid w:val="00E56C5F"/>
    <w:rsid w:val="00E67D05"/>
    <w:rsid w:val="00E7188F"/>
    <w:rsid w:val="00E74FA0"/>
    <w:rsid w:val="00E800A2"/>
    <w:rsid w:val="00E8189D"/>
    <w:rsid w:val="00E829A0"/>
    <w:rsid w:val="00E84BA6"/>
    <w:rsid w:val="00EA1C5E"/>
    <w:rsid w:val="00EA796F"/>
    <w:rsid w:val="00EC1EFA"/>
    <w:rsid w:val="00ED122D"/>
    <w:rsid w:val="00ED36D9"/>
    <w:rsid w:val="00ED3DF9"/>
    <w:rsid w:val="00EE2033"/>
    <w:rsid w:val="00EF040E"/>
    <w:rsid w:val="00EF2702"/>
    <w:rsid w:val="00EF4673"/>
    <w:rsid w:val="00EF554D"/>
    <w:rsid w:val="00EF603C"/>
    <w:rsid w:val="00F01612"/>
    <w:rsid w:val="00F0388D"/>
    <w:rsid w:val="00F06297"/>
    <w:rsid w:val="00F155B8"/>
    <w:rsid w:val="00F221D6"/>
    <w:rsid w:val="00F24526"/>
    <w:rsid w:val="00F250D7"/>
    <w:rsid w:val="00F2773A"/>
    <w:rsid w:val="00F3434F"/>
    <w:rsid w:val="00F344A1"/>
    <w:rsid w:val="00F401E8"/>
    <w:rsid w:val="00F42585"/>
    <w:rsid w:val="00F434FB"/>
    <w:rsid w:val="00F45D89"/>
    <w:rsid w:val="00F46D52"/>
    <w:rsid w:val="00F47529"/>
    <w:rsid w:val="00F51B6A"/>
    <w:rsid w:val="00F52FDB"/>
    <w:rsid w:val="00F54F52"/>
    <w:rsid w:val="00F70F10"/>
    <w:rsid w:val="00F7423A"/>
    <w:rsid w:val="00F74F02"/>
    <w:rsid w:val="00F75696"/>
    <w:rsid w:val="00F81EB1"/>
    <w:rsid w:val="00F81EF2"/>
    <w:rsid w:val="00F8582B"/>
    <w:rsid w:val="00F87DF5"/>
    <w:rsid w:val="00F91504"/>
    <w:rsid w:val="00F92E14"/>
    <w:rsid w:val="00F9363B"/>
    <w:rsid w:val="00FA4CCA"/>
    <w:rsid w:val="00FA6C36"/>
    <w:rsid w:val="00FA7C2C"/>
    <w:rsid w:val="00FB001B"/>
    <w:rsid w:val="00FC1FCE"/>
    <w:rsid w:val="00FC4661"/>
    <w:rsid w:val="00FC599A"/>
    <w:rsid w:val="00FC6491"/>
    <w:rsid w:val="00FC714A"/>
    <w:rsid w:val="00FE117C"/>
    <w:rsid w:val="00FE23BD"/>
    <w:rsid w:val="00FE25CB"/>
    <w:rsid w:val="00FE4981"/>
    <w:rsid w:val="00FE54F6"/>
    <w:rsid w:val="00FF34FC"/>
    <w:rsid w:val="00FF430A"/>
    <w:rsid w:val="00FF63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EC626E"/>
  <w15:chartTrackingRefBased/>
  <w15:docId w15:val="{ABE2862F-DC01-4E60-89C4-91C199D42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7CF6"/>
  </w:style>
  <w:style w:type="paragraph" w:styleId="Heading1">
    <w:name w:val="heading 1"/>
    <w:basedOn w:val="Normal"/>
    <w:next w:val="Normal"/>
    <w:link w:val="Heading1Char"/>
    <w:uiPriority w:val="9"/>
    <w:qFormat/>
    <w:rsid w:val="00110F90"/>
    <w:pPr>
      <w:keepNext/>
      <w:numPr>
        <w:numId w:val="21"/>
      </w:numPr>
      <w:spacing w:after="0" w:line="36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110F90"/>
    <w:pPr>
      <w:keepNext/>
      <w:numPr>
        <w:ilvl w:val="1"/>
        <w:numId w:val="21"/>
      </w:numPr>
      <w:spacing w:after="0" w:line="360" w:lineRule="auto"/>
      <w:ind w:right="-244"/>
      <w:outlineLvl w:val="1"/>
    </w:pPr>
    <w:rPr>
      <w:rFonts w:ascii="Times New Roman" w:hAnsi="Times New Roman" w:cs="Times New Roman"/>
      <w:b/>
      <w:sz w:val="24"/>
      <w:szCs w:val="24"/>
    </w:rPr>
  </w:style>
  <w:style w:type="paragraph" w:styleId="Heading3">
    <w:name w:val="heading 3"/>
    <w:basedOn w:val="Normal"/>
    <w:next w:val="Normal"/>
    <w:link w:val="Heading3Char"/>
    <w:uiPriority w:val="9"/>
    <w:semiHidden/>
    <w:unhideWhenUsed/>
    <w:qFormat/>
    <w:rsid w:val="00110F90"/>
    <w:pPr>
      <w:keepNext/>
      <w:keepLines/>
      <w:numPr>
        <w:ilvl w:val="2"/>
        <w:numId w:val="21"/>
      </w:numPr>
      <w:spacing w:before="40" w:after="0" w:line="36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10F90"/>
    <w:pPr>
      <w:keepNext/>
      <w:keepLines/>
      <w:numPr>
        <w:ilvl w:val="3"/>
        <w:numId w:val="21"/>
      </w:numPr>
      <w:spacing w:before="40" w:after="0" w:line="360" w:lineRule="auto"/>
      <w:outlineLvl w:val="3"/>
    </w:pPr>
    <w:rPr>
      <w:rFonts w:asciiTheme="majorHAnsi" w:eastAsiaTheme="majorEastAsia" w:hAnsiTheme="majorHAnsi"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110F90"/>
    <w:pPr>
      <w:keepNext/>
      <w:keepLines/>
      <w:numPr>
        <w:ilvl w:val="4"/>
        <w:numId w:val="21"/>
      </w:numPr>
      <w:spacing w:before="40" w:after="0" w:line="360" w:lineRule="auto"/>
      <w:outlineLvl w:val="4"/>
    </w:pPr>
    <w:rPr>
      <w:rFonts w:asciiTheme="majorHAnsi" w:eastAsiaTheme="majorEastAsia" w:hAnsiTheme="majorHAnsi"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110F90"/>
    <w:pPr>
      <w:keepNext/>
      <w:keepLines/>
      <w:numPr>
        <w:ilvl w:val="5"/>
        <w:numId w:val="21"/>
      </w:numPr>
      <w:spacing w:before="40" w:after="0" w:line="360" w:lineRule="auto"/>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semiHidden/>
    <w:unhideWhenUsed/>
    <w:qFormat/>
    <w:rsid w:val="00110F90"/>
    <w:pPr>
      <w:keepNext/>
      <w:keepLines/>
      <w:numPr>
        <w:ilvl w:val="6"/>
        <w:numId w:val="21"/>
      </w:numPr>
      <w:spacing w:before="40" w:after="0" w:line="360" w:lineRule="auto"/>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semiHidden/>
    <w:unhideWhenUsed/>
    <w:qFormat/>
    <w:rsid w:val="00110F90"/>
    <w:pPr>
      <w:keepNext/>
      <w:keepLines/>
      <w:numPr>
        <w:ilvl w:val="7"/>
        <w:numId w:val="21"/>
      </w:numPr>
      <w:spacing w:before="40" w:after="0" w:line="36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10F90"/>
    <w:pPr>
      <w:keepNext/>
      <w:keepLines/>
      <w:numPr>
        <w:ilvl w:val="8"/>
        <w:numId w:val="21"/>
      </w:numPr>
      <w:spacing w:before="40" w:after="0" w:line="36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C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CF6"/>
  </w:style>
  <w:style w:type="paragraph" w:styleId="Footer">
    <w:name w:val="footer"/>
    <w:basedOn w:val="Normal"/>
    <w:link w:val="FooterChar"/>
    <w:uiPriority w:val="99"/>
    <w:unhideWhenUsed/>
    <w:rsid w:val="00227C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CF6"/>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227CF6"/>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227CF6"/>
  </w:style>
  <w:style w:type="character" w:styleId="CommentReference">
    <w:name w:val="annotation reference"/>
    <w:basedOn w:val="DefaultParagraphFont"/>
    <w:uiPriority w:val="99"/>
    <w:semiHidden/>
    <w:unhideWhenUsed/>
    <w:rsid w:val="00227CF6"/>
    <w:rPr>
      <w:sz w:val="16"/>
      <w:szCs w:val="16"/>
    </w:rPr>
  </w:style>
  <w:style w:type="paragraph" w:styleId="CommentText">
    <w:name w:val="annotation text"/>
    <w:basedOn w:val="Normal"/>
    <w:link w:val="CommentTextChar"/>
    <w:semiHidden/>
    <w:unhideWhenUsed/>
    <w:rsid w:val="00227CF6"/>
    <w:pPr>
      <w:spacing w:line="240" w:lineRule="auto"/>
    </w:pPr>
    <w:rPr>
      <w:sz w:val="20"/>
      <w:szCs w:val="20"/>
    </w:rPr>
  </w:style>
  <w:style w:type="character" w:customStyle="1" w:styleId="CommentTextChar">
    <w:name w:val="Comment Text Char"/>
    <w:basedOn w:val="DefaultParagraphFont"/>
    <w:link w:val="CommentText"/>
    <w:semiHidden/>
    <w:rsid w:val="00227CF6"/>
    <w:rPr>
      <w:sz w:val="20"/>
      <w:szCs w:val="20"/>
    </w:rPr>
  </w:style>
  <w:style w:type="paragraph" w:styleId="CommentSubject">
    <w:name w:val="annotation subject"/>
    <w:basedOn w:val="CommentText"/>
    <w:next w:val="CommentText"/>
    <w:link w:val="CommentSubjectChar"/>
    <w:uiPriority w:val="99"/>
    <w:semiHidden/>
    <w:unhideWhenUsed/>
    <w:rsid w:val="00227CF6"/>
    <w:rPr>
      <w:b/>
      <w:bCs/>
    </w:rPr>
  </w:style>
  <w:style w:type="character" w:customStyle="1" w:styleId="CommentSubjectChar">
    <w:name w:val="Comment Subject Char"/>
    <w:basedOn w:val="CommentTextChar"/>
    <w:link w:val="CommentSubject"/>
    <w:uiPriority w:val="99"/>
    <w:semiHidden/>
    <w:rsid w:val="00227CF6"/>
    <w:rPr>
      <w:b/>
      <w:bCs/>
      <w:sz w:val="20"/>
      <w:szCs w:val="20"/>
    </w:rPr>
  </w:style>
  <w:style w:type="paragraph" w:styleId="BalloonText">
    <w:name w:val="Balloon Text"/>
    <w:basedOn w:val="Normal"/>
    <w:link w:val="BalloonTextChar"/>
    <w:uiPriority w:val="99"/>
    <w:semiHidden/>
    <w:unhideWhenUsed/>
    <w:rsid w:val="00227C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CF6"/>
    <w:rPr>
      <w:rFonts w:ascii="Segoe UI" w:hAnsi="Segoe UI" w:cs="Segoe UI"/>
      <w:sz w:val="18"/>
      <w:szCs w:val="18"/>
    </w:rPr>
  </w:style>
  <w:style w:type="paragraph" w:styleId="NoSpacing">
    <w:name w:val="No Spacing"/>
    <w:link w:val="NoSpacingChar"/>
    <w:uiPriority w:val="1"/>
    <w:qFormat/>
    <w:rsid w:val="00227CF6"/>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227CF6"/>
    <w:rPr>
      <w:rFonts w:ascii="Calibri" w:eastAsia="Calibri" w:hAnsi="Calibri" w:cs="Times New Roman"/>
    </w:rPr>
  </w:style>
  <w:style w:type="paragraph" w:styleId="FootnoteText">
    <w:name w:val="footnote text"/>
    <w:basedOn w:val="Normal"/>
    <w:link w:val="FootnoteTextChar"/>
    <w:uiPriority w:val="99"/>
    <w:semiHidden/>
    <w:unhideWhenUsed/>
    <w:rsid w:val="00227C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7CF6"/>
    <w:rPr>
      <w:sz w:val="20"/>
      <w:szCs w:val="20"/>
    </w:rPr>
  </w:style>
  <w:style w:type="character" w:styleId="FootnoteReference">
    <w:name w:val="footnote reference"/>
    <w:basedOn w:val="DefaultParagraphFont"/>
    <w:uiPriority w:val="99"/>
    <w:semiHidden/>
    <w:unhideWhenUsed/>
    <w:rsid w:val="00227CF6"/>
    <w:rPr>
      <w:vertAlign w:val="superscript"/>
    </w:rPr>
  </w:style>
  <w:style w:type="paragraph" w:styleId="BodyTextIndent2">
    <w:name w:val="Body Text Indent 2"/>
    <w:basedOn w:val="Normal"/>
    <w:link w:val="BodyTextIndent2Char"/>
    <w:uiPriority w:val="99"/>
    <w:semiHidden/>
    <w:unhideWhenUsed/>
    <w:rsid w:val="00227CF6"/>
    <w:pPr>
      <w:spacing w:after="120" w:line="480" w:lineRule="auto"/>
      <w:ind w:left="360"/>
    </w:pPr>
  </w:style>
  <w:style w:type="character" w:customStyle="1" w:styleId="BodyTextIndent2Char">
    <w:name w:val="Body Text Indent 2 Char"/>
    <w:basedOn w:val="DefaultParagraphFont"/>
    <w:link w:val="BodyTextIndent2"/>
    <w:uiPriority w:val="99"/>
    <w:semiHidden/>
    <w:rsid w:val="00227CF6"/>
  </w:style>
  <w:style w:type="character" w:customStyle="1" w:styleId="Bodytext3">
    <w:name w:val="Body text (3)_"/>
    <w:link w:val="Bodytext31"/>
    <w:uiPriority w:val="99"/>
    <w:rsid w:val="001871DA"/>
    <w:rPr>
      <w:i/>
      <w:iCs/>
      <w:sz w:val="16"/>
      <w:szCs w:val="16"/>
      <w:shd w:val="clear" w:color="auto" w:fill="FFFFFF"/>
    </w:rPr>
  </w:style>
  <w:style w:type="paragraph" w:customStyle="1" w:styleId="Bodytext31">
    <w:name w:val="Body text (3)1"/>
    <w:basedOn w:val="Normal"/>
    <w:link w:val="Bodytext3"/>
    <w:uiPriority w:val="99"/>
    <w:rsid w:val="001871DA"/>
    <w:pPr>
      <w:widowControl w:val="0"/>
      <w:shd w:val="clear" w:color="auto" w:fill="FFFFFF"/>
      <w:spacing w:before="180" w:after="0" w:line="202" w:lineRule="exact"/>
      <w:ind w:hanging="480"/>
      <w:jc w:val="both"/>
    </w:pPr>
    <w:rPr>
      <w:i/>
      <w:iCs/>
      <w:sz w:val="16"/>
      <w:szCs w:val="16"/>
    </w:rPr>
  </w:style>
  <w:style w:type="character" w:customStyle="1" w:styleId="Heading1Char">
    <w:name w:val="Heading 1 Char"/>
    <w:basedOn w:val="DefaultParagraphFont"/>
    <w:link w:val="Heading1"/>
    <w:uiPriority w:val="9"/>
    <w:rsid w:val="00110F90"/>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110F90"/>
    <w:rPr>
      <w:rFonts w:ascii="Times New Roman" w:hAnsi="Times New Roman" w:cs="Times New Roman"/>
      <w:b/>
      <w:sz w:val="24"/>
      <w:szCs w:val="24"/>
    </w:rPr>
  </w:style>
  <w:style w:type="character" w:customStyle="1" w:styleId="Heading3Char">
    <w:name w:val="Heading 3 Char"/>
    <w:basedOn w:val="DefaultParagraphFont"/>
    <w:link w:val="Heading3"/>
    <w:uiPriority w:val="9"/>
    <w:semiHidden/>
    <w:rsid w:val="00110F9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10F90"/>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110F90"/>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110F90"/>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110F90"/>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110F9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10F90"/>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1C2D43"/>
    <w:pPr>
      <w:spacing w:after="0" w:line="240" w:lineRule="auto"/>
    </w:pPr>
  </w:style>
  <w:style w:type="table" w:styleId="TableGrid">
    <w:name w:val="Table Grid"/>
    <w:basedOn w:val="TableNormal"/>
    <w:uiPriority w:val="39"/>
    <w:rsid w:val="009031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802681">
      <w:bodyDiv w:val="1"/>
      <w:marLeft w:val="0"/>
      <w:marRight w:val="0"/>
      <w:marTop w:val="0"/>
      <w:marBottom w:val="0"/>
      <w:divBdr>
        <w:top w:val="none" w:sz="0" w:space="0" w:color="auto"/>
        <w:left w:val="none" w:sz="0" w:space="0" w:color="auto"/>
        <w:bottom w:val="none" w:sz="0" w:space="0" w:color="auto"/>
        <w:right w:val="none" w:sz="0" w:space="0" w:color="auto"/>
      </w:divBdr>
    </w:div>
    <w:div w:id="367993223">
      <w:bodyDiv w:val="1"/>
      <w:marLeft w:val="0"/>
      <w:marRight w:val="0"/>
      <w:marTop w:val="0"/>
      <w:marBottom w:val="0"/>
      <w:divBdr>
        <w:top w:val="none" w:sz="0" w:space="0" w:color="auto"/>
        <w:left w:val="none" w:sz="0" w:space="0" w:color="auto"/>
        <w:bottom w:val="none" w:sz="0" w:space="0" w:color="auto"/>
        <w:right w:val="none" w:sz="0" w:space="0" w:color="auto"/>
      </w:divBdr>
    </w:div>
    <w:div w:id="192133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2026-03-24T13:17:06Z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2026-03-24T00:00:00Z</Date_x0020_protokolli>
    <Titulli xmlns="0e656187-b300-4fb0-8bf4-3a50f872073c">Me objekt shfuqizimin e vendimeve nr. 6791, datë 11.06.2014 të Gjykatës së Rrethit Gjyqësor, Tiranë; nr. 730, datë 04.04.2016 të Gjykatës së Apelit Tiranë; nr. 00-2024-3871 (394), datë 26.06.2024 të Kolegjit Civil të Gjykatës së Lartë, si të papajtueshme me Kushtetutën e Republikës së Shqipërisë</Titulli>
    <Modifikuesi xmlns="0e656187-b300-4fb0-8bf4-3a50f872073c">alma.lisaku</Modifikuesi>
    <Nr_x002e__x0020_prot_x0020_QBZ xmlns="0e656187-b300-4fb0-8bf4-3a50f872073c">569/1</Nr_x002e__x0020_prot_x0020_QBZ>
    <Data_x0020_e_x0020_Modifikimit xmlns="0e656187-b300-4fb0-8bf4-3a50f872073c">2026-03-24T14:17:47Z</Data_x0020_e_x0020_Modifikimit>
    <Dekretuar xmlns="0e656187-b300-4fb0-8bf4-3a50f872073c">false</Dekretuar>
    <Data xmlns="0e656187-b300-4fb0-8bf4-3a50f872073c">2026-01-26T00:00:00Z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89304B243CD402199FE9C5F35EC5B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ED2D7-F93F-43FA-8A9A-D51E908C9C98}">
  <ds:schemaRefs>
    <ds:schemaRef ds:uri="http://purl.org/dc/elements/1.1/"/>
    <ds:schemaRef ds:uri="http://purl.org/dc/terms/"/>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0e656187-b300-4fb0-8bf4-3a50f872073c"/>
    <ds:schemaRef ds:uri="http://purl.org/dc/dcmitype/"/>
  </ds:schemaRefs>
</ds:datastoreItem>
</file>

<file path=customXml/itemProps2.xml><?xml version="1.0" encoding="utf-8"?>
<ds:datastoreItem xmlns:ds="http://schemas.openxmlformats.org/officeDocument/2006/customXml" ds:itemID="{144B4DCF-E02B-465D-8E63-D914B20FB2CE}">
  <ds:schemaRefs>
    <ds:schemaRef ds:uri="http://schemas.microsoft.com/sharepoint/v3/contenttype/forms"/>
  </ds:schemaRefs>
</ds:datastoreItem>
</file>

<file path=customXml/itemProps3.xml><?xml version="1.0" encoding="utf-8"?>
<ds:datastoreItem xmlns:ds="http://schemas.openxmlformats.org/officeDocument/2006/customXml" ds:itemID="{94969045-E45D-4D41-AE63-6F09E9E52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A00D3E2-EBF6-49B6-A09F-B7C236F41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6063</Words>
  <Characters>34562</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Me objekt shfuqizimin e vendimeve nr. 6791, datë 11.06.2014 të Gjykatës së Rrethit Gjyqësor, Tiranë; nr. 730, datë 04.04.2016 të Gjykatës së Apelit Tiranë; nr. 00-2024-3871 (394), datë 26.06.2024 të Kolegjit Civil të Gjykatës së Lartë, si të papajtueshme </vt:lpstr>
    </vt:vector>
  </TitlesOfParts>
  <Company>User</Company>
  <LinksUpToDate>false</LinksUpToDate>
  <CharactersWithSpaces>40544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6791, datë 11.06.2014 të Gjykatës së Rrethit Gjyqësor, Tiranë; nr. 730, datë 04.04.2016 të Gjykatës së Apelit Tiranë; nr. 00-2024-3871 (394), datë 26.06.2024 të Kolegjit Civil të Gjykatës së Lartë, si të papajtueshme me Kushtetutën e Republikës së Shqipërisë</dc:title>
  <dc:creator>Jonida Kondili</dc:creator>
  <cp:lastModifiedBy>Alma Lisaku</cp:lastModifiedBy>
  <cp:revision>13</cp:revision>
  <dcterms:created xsi:type="dcterms:W3CDTF">2026-03-24T12:24:00Z</dcterms:created>
  <dcterms:modified xsi:type="dcterms:W3CDTF">2026-03-24T13:39:00Z</dcterms:modified>
</cp:coreProperties>
</file>