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86BF0" w14:textId="77777777" w:rsidR="00153B1E" w:rsidRPr="00946E37" w:rsidRDefault="00153B1E" w:rsidP="00153B1E">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946E37">
        <w:rPr>
          <w:rFonts w:ascii="Garamond" w:eastAsia="Times New Roman" w:hAnsi="Garamond" w:cs="Times New Roman"/>
          <w:b/>
          <w:bCs/>
          <w:sz w:val="24"/>
          <w:szCs w:val="24"/>
        </w:rPr>
        <w:t>VENDIM</w:t>
      </w:r>
    </w:p>
    <w:p w14:paraId="1C31938E" w14:textId="08FC5305" w:rsidR="00153B1E" w:rsidRPr="00946E37" w:rsidRDefault="00153B1E" w:rsidP="00153B1E">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946E37">
        <w:rPr>
          <w:rFonts w:ascii="Garamond" w:eastAsia="Times New Roman" w:hAnsi="Garamond" w:cs="Times New Roman"/>
          <w:b/>
          <w:bCs/>
          <w:sz w:val="24"/>
          <w:szCs w:val="24"/>
        </w:rPr>
        <w:t>Nr.</w:t>
      </w:r>
      <w:r w:rsidR="00946E37" w:rsidRPr="00946E37">
        <w:rPr>
          <w:rFonts w:ascii="Garamond" w:eastAsia="Times New Roman" w:hAnsi="Garamond" w:cs="Times New Roman"/>
          <w:b/>
          <w:bCs/>
          <w:sz w:val="24"/>
          <w:szCs w:val="24"/>
        </w:rPr>
        <w:t xml:space="preserve"> </w:t>
      </w:r>
      <w:r w:rsidRPr="00946E37">
        <w:rPr>
          <w:rFonts w:ascii="Garamond" w:eastAsia="Times New Roman" w:hAnsi="Garamond" w:cs="Times New Roman"/>
          <w:b/>
          <w:bCs/>
          <w:sz w:val="24"/>
          <w:szCs w:val="24"/>
        </w:rPr>
        <w:t>9, datë 11.2.2026</w:t>
      </w:r>
    </w:p>
    <w:p w14:paraId="34F67F5C" w14:textId="77777777" w:rsidR="00153B1E" w:rsidRPr="00946E37" w:rsidRDefault="00153B1E" w:rsidP="00153B1E">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6F80BEEA" w14:textId="03BD1C89" w:rsidR="00153B1E" w:rsidRPr="00946E37" w:rsidRDefault="00153B1E" w:rsidP="00153B1E">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946E37">
        <w:rPr>
          <w:rFonts w:ascii="Garamond" w:eastAsia="Times New Roman" w:hAnsi="Garamond" w:cs="Times New Roman"/>
          <w:b/>
          <w:bCs/>
          <w:sz w:val="24"/>
          <w:szCs w:val="24"/>
        </w:rPr>
        <w:t>NË E</w:t>
      </w:r>
      <w:r w:rsidR="00946E37" w:rsidRPr="00946E37">
        <w:rPr>
          <w:rFonts w:ascii="Garamond" w:eastAsia="Times New Roman" w:hAnsi="Garamond" w:cs="Times New Roman"/>
          <w:b/>
          <w:bCs/>
          <w:sz w:val="24"/>
          <w:szCs w:val="24"/>
        </w:rPr>
        <w:t>MËR TË REPUBLIKËS SË SHQIPËRISË</w:t>
      </w:r>
    </w:p>
    <w:p w14:paraId="392916B0" w14:textId="77777777" w:rsidR="00153B1E" w:rsidRPr="00946E37" w:rsidRDefault="00153B1E" w:rsidP="00153B1E">
      <w:pPr>
        <w:tabs>
          <w:tab w:val="left" w:pos="1080"/>
        </w:tabs>
        <w:spacing w:after="0" w:line="240" w:lineRule="auto"/>
        <w:ind w:firstLine="284"/>
        <w:contextualSpacing/>
        <w:jc w:val="both"/>
        <w:rPr>
          <w:rFonts w:ascii="Garamond" w:hAnsi="Garamond" w:cs="Times New Roman"/>
          <w:b/>
          <w:bCs/>
          <w:sz w:val="24"/>
          <w:szCs w:val="24"/>
          <w:u w:val="single"/>
        </w:rPr>
      </w:pPr>
    </w:p>
    <w:p w14:paraId="78582531" w14:textId="77777777" w:rsidR="00153B1E" w:rsidRPr="00946E37" w:rsidRDefault="00153B1E" w:rsidP="00153B1E">
      <w:pPr>
        <w:spacing w:after="0" w:line="240" w:lineRule="auto"/>
        <w:ind w:firstLine="284"/>
        <w:jc w:val="both"/>
        <w:rPr>
          <w:rFonts w:ascii="Garamond" w:hAnsi="Garamond" w:cs="Times New Roman"/>
          <w:sz w:val="24"/>
          <w:szCs w:val="24"/>
        </w:rPr>
      </w:pPr>
      <w:r w:rsidRPr="00946E37">
        <w:rPr>
          <w:rFonts w:ascii="Garamond" w:hAnsi="Garamond" w:cs="Times New Roman"/>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3119"/>
      </w:tblGrid>
      <w:tr w:rsidR="00153B1E" w:rsidRPr="00946E37" w14:paraId="3696D7F1" w14:textId="77777777" w:rsidTr="007730B1">
        <w:tc>
          <w:tcPr>
            <w:tcW w:w="2551" w:type="dxa"/>
          </w:tcPr>
          <w:p w14:paraId="6897BF09"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Fiona Papajorgji,</w:t>
            </w:r>
          </w:p>
        </w:tc>
        <w:tc>
          <w:tcPr>
            <w:tcW w:w="3119" w:type="dxa"/>
          </w:tcPr>
          <w:p w14:paraId="2088AE63" w14:textId="7D67CE5A"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kryetare</w:t>
            </w:r>
            <w:r>
              <w:rPr>
                <w:rFonts w:ascii="Garamond" w:hAnsi="Garamond" w:cs="Times New Roman"/>
                <w:bCs/>
                <w:sz w:val="24"/>
                <w:szCs w:val="24"/>
              </w:rPr>
              <w:t>;</w:t>
            </w:r>
          </w:p>
        </w:tc>
      </w:tr>
      <w:tr w:rsidR="00153B1E" w:rsidRPr="00946E37" w14:paraId="794CB31C" w14:textId="77777777" w:rsidTr="007730B1">
        <w:tc>
          <w:tcPr>
            <w:tcW w:w="2551" w:type="dxa"/>
          </w:tcPr>
          <w:p w14:paraId="53E7196F"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Sonila Bejtja,</w:t>
            </w:r>
          </w:p>
        </w:tc>
        <w:tc>
          <w:tcPr>
            <w:tcW w:w="3119" w:type="dxa"/>
          </w:tcPr>
          <w:p w14:paraId="63C78BD7" w14:textId="126449D6"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anëtare</w:t>
            </w:r>
            <w:r>
              <w:rPr>
                <w:rFonts w:ascii="Garamond" w:hAnsi="Garamond" w:cs="Times New Roman"/>
                <w:bCs/>
                <w:sz w:val="24"/>
                <w:szCs w:val="24"/>
              </w:rPr>
              <w:t>;</w:t>
            </w:r>
          </w:p>
        </w:tc>
      </w:tr>
      <w:tr w:rsidR="00153B1E" w:rsidRPr="00946E37" w14:paraId="3553BC88" w14:textId="77777777" w:rsidTr="007730B1">
        <w:tc>
          <w:tcPr>
            <w:tcW w:w="2551" w:type="dxa"/>
          </w:tcPr>
          <w:p w14:paraId="0E802A9E"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Sandër Beci,</w:t>
            </w:r>
          </w:p>
        </w:tc>
        <w:tc>
          <w:tcPr>
            <w:tcW w:w="3119" w:type="dxa"/>
          </w:tcPr>
          <w:p w14:paraId="65EFA32C" w14:textId="2C714307"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w:t>
            </w:r>
            <w:r>
              <w:rPr>
                <w:rFonts w:ascii="Garamond" w:hAnsi="Garamond" w:cs="Times New Roman"/>
                <w:bCs/>
                <w:sz w:val="24"/>
                <w:szCs w:val="24"/>
              </w:rPr>
              <w:t>;</w:t>
            </w:r>
          </w:p>
        </w:tc>
      </w:tr>
      <w:tr w:rsidR="00153B1E" w:rsidRPr="00946E37" w14:paraId="2A03C50D" w14:textId="77777777" w:rsidTr="007730B1">
        <w:tc>
          <w:tcPr>
            <w:tcW w:w="2551" w:type="dxa"/>
          </w:tcPr>
          <w:p w14:paraId="6874764F"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Ilir Toska,</w:t>
            </w:r>
          </w:p>
        </w:tc>
        <w:tc>
          <w:tcPr>
            <w:tcW w:w="3119" w:type="dxa"/>
          </w:tcPr>
          <w:p w14:paraId="56EBAAC9" w14:textId="1025246F"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w:t>
            </w:r>
            <w:r>
              <w:rPr>
                <w:rFonts w:ascii="Garamond" w:hAnsi="Garamond" w:cs="Times New Roman"/>
                <w:bCs/>
                <w:sz w:val="24"/>
                <w:szCs w:val="24"/>
              </w:rPr>
              <w:t>;</w:t>
            </w:r>
          </w:p>
        </w:tc>
      </w:tr>
      <w:tr w:rsidR="00153B1E" w:rsidRPr="00946E37" w14:paraId="261A5D8D" w14:textId="77777777" w:rsidTr="007730B1">
        <w:tc>
          <w:tcPr>
            <w:tcW w:w="2551" w:type="dxa"/>
          </w:tcPr>
          <w:p w14:paraId="6DAB4A01"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Genti Ibrahimi,</w:t>
            </w:r>
          </w:p>
        </w:tc>
        <w:tc>
          <w:tcPr>
            <w:tcW w:w="3119" w:type="dxa"/>
          </w:tcPr>
          <w:p w14:paraId="5F42F0BD" w14:textId="7BF37556"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w:t>
            </w:r>
            <w:r>
              <w:rPr>
                <w:rFonts w:ascii="Garamond" w:hAnsi="Garamond" w:cs="Times New Roman"/>
                <w:bCs/>
                <w:sz w:val="24"/>
                <w:szCs w:val="24"/>
              </w:rPr>
              <w:t>;</w:t>
            </w:r>
          </w:p>
        </w:tc>
      </w:tr>
      <w:tr w:rsidR="00153B1E" w:rsidRPr="00946E37" w14:paraId="18A16CF1" w14:textId="77777777" w:rsidTr="007730B1">
        <w:tc>
          <w:tcPr>
            <w:tcW w:w="2551" w:type="dxa"/>
          </w:tcPr>
          <w:p w14:paraId="5C83AA5C"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Marjana Semini,</w:t>
            </w:r>
          </w:p>
        </w:tc>
        <w:tc>
          <w:tcPr>
            <w:tcW w:w="3119" w:type="dxa"/>
          </w:tcPr>
          <w:p w14:paraId="422B77D8" w14:textId="45E95B3A"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anëtare</w:t>
            </w:r>
            <w:r>
              <w:rPr>
                <w:rFonts w:ascii="Garamond" w:hAnsi="Garamond" w:cs="Times New Roman"/>
                <w:bCs/>
                <w:sz w:val="24"/>
                <w:szCs w:val="24"/>
              </w:rPr>
              <w:t>;</w:t>
            </w:r>
          </w:p>
        </w:tc>
      </w:tr>
      <w:tr w:rsidR="00153B1E" w:rsidRPr="00946E37" w14:paraId="193092E9" w14:textId="77777777" w:rsidTr="007730B1">
        <w:tc>
          <w:tcPr>
            <w:tcW w:w="2551" w:type="dxa"/>
          </w:tcPr>
          <w:p w14:paraId="03DD1A5E" w14:textId="77777777" w:rsidR="00153B1E" w:rsidRPr="00946E37" w:rsidRDefault="00153B1E" w:rsidP="007730B1">
            <w:pPr>
              <w:jc w:val="both"/>
              <w:rPr>
                <w:rFonts w:ascii="Garamond" w:hAnsi="Garamond" w:cs="Times New Roman"/>
                <w:sz w:val="24"/>
                <w:szCs w:val="24"/>
              </w:rPr>
            </w:pPr>
            <w:r w:rsidRPr="00946E37">
              <w:rPr>
                <w:rFonts w:ascii="Garamond" w:hAnsi="Garamond" w:cs="Times New Roman"/>
                <w:bCs/>
                <w:sz w:val="24"/>
                <w:szCs w:val="24"/>
              </w:rPr>
              <w:t xml:space="preserve">Asim Vokshi, </w:t>
            </w:r>
          </w:p>
        </w:tc>
        <w:tc>
          <w:tcPr>
            <w:tcW w:w="3119" w:type="dxa"/>
          </w:tcPr>
          <w:p w14:paraId="54494032" w14:textId="245DAAFF"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w:t>
            </w:r>
            <w:r>
              <w:rPr>
                <w:rFonts w:ascii="Garamond" w:hAnsi="Garamond" w:cs="Times New Roman"/>
                <w:bCs/>
                <w:sz w:val="24"/>
                <w:szCs w:val="24"/>
              </w:rPr>
              <w:t>;</w:t>
            </w:r>
          </w:p>
        </w:tc>
      </w:tr>
      <w:tr w:rsidR="00153B1E" w:rsidRPr="00946E37" w14:paraId="3F6EADE8" w14:textId="77777777" w:rsidTr="007730B1">
        <w:tc>
          <w:tcPr>
            <w:tcW w:w="2551" w:type="dxa"/>
          </w:tcPr>
          <w:p w14:paraId="7780B8D4" w14:textId="6CEAACA0" w:rsidR="00153B1E" w:rsidRPr="00946E37" w:rsidRDefault="005605FA" w:rsidP="007730B1">
            <w:pPr>
              <w:jc w:val="both"/>
              <w:rPr>
                <w:rFonts w:ascii="Garamond" w:hAnsi="Garamond" w:cs="Times New Roman"/>
                <w:sz w:val="24"/>
                <w:szCs w:val="24"/>
              </w:rPr>
            </w:pPr>
            <w:r>
              <w:rPr>
                <w:rFonts w:ascii="Garamond" w:hAnsi="Garamond" w:cs="Times New Roman"/>
                <w:bCs/>
                <w:sz w:val="24"/>
                <w:szCs w:val="24"/>
              </w:rPr>
              <w:t>Marsida Xhaferllari,</w:t>
            </w:r>
          </w:p>
        </w:tc>
        <w:tc>
          <w:tcPr>
            <w:tcW w:w="3119" w:type="dxa"/>
          </w:tcPr>
          <w:p w14:paraId="203F8219" w14:textId="3875B3D5" w:rsidR="00153B1E" w:rsidRPr="00946E37" w:rsidRDefault="00946E37" w:rsidP="007730B1">
            <w:pPr>
              <w:jc w:val="both"/>
              <w:rPr>
                <w:rFonts w:ascii="Garamond" w:hAnsi="Garamond" w:cs="Times New Roman"/>
                <w:sz w:val="24"/>
                <w:szCs w:val="24"/>
              </w:rPr>
            </w:pPr>
            <w:r w:rsidRPr="00946E37">
              <w:rPr>
                <w:rFonts w:ascii="Garamond" w:hAnsi="Garamond" w:cs="Times New Roman"/>
                <w:bCs/>
                <w:sz w:val="24"/>
                <w:szCs w:val="24"/>
              </w:rPr>
              <w:t>anëtare</w:t>
            </w:r>
            <w:r>
              <w:rPr>
                <w:rFonts w:ascii="Garamond" w:hAnsi="Garamond" w:cs="Times New Roman"/>
                <w:bCs/>
                <w:sz w:val="24"/>
                <w:szCs w:val="24"/>
              </w:rPr>
              <w:t>,</w:t>
            </w:r>
          </w:p>
        </w:tc>
      </w:tr>
    </w:tbl>
    <w:p w14:paraId="1412794C" w14:textId="068C8338"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me s</w:t>
      </w:r>
      <w:r w:rsidR="00946E37">
        <w:rPr>
          <w:rFonts w:ascii="Garamond" w:eastAsiaTheme="minorHAnsi" w:hAnsi="Garamond" w:cs="Times New Roman"/>
          <w:color w:val="000000"/>
          <w:sz w:val="24"/>
          <w:szCs w:val="24"/>
        </w:rPr>
        <w:t>ekretare Anjeza Puka, në datën 3.</w:t>
      </w:r>
      <w:r w:rsidRPr="00946E37">
        <w:rPr>
          <w:rFonts w:ascii="Garamond" w:eastAsiaTheme="minorHAnsi" w:hAnsi="Garamond" w:cs="Times New Roman"/>
          <w:color w:val="000000"/>
          <w:sz w:val="24"/>
          <w:szCs w:val="24"/>
        </w:rPr>
        <w:t>2.2026</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mori në shqyrtim në seancë plenare mbi bazë të dokumenteve kërkesën nr. 7 (E) 2025 të Regjistrit Themeltar, që u përket:</w:t>
      </w:r>
    </w:p>
    <w:p w14:paraId="23C40E2F" w14:textId="3282D1DE"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bCs/>
          <w:color w:val="000000"/>
          <w:sz w:val="24"/>
          <w:szCs w:val="24"/>
        </w:rPr>
        <w:t xml:space="preserve">KËRKUES: </w:t>
      </w:r>
      <w:r w:rsidR="00946E37" w:rsidRPr="00946E37">
        <w:rPr>
          <w:rFonts w:ascii="Garamond" w:eastAsiaTheme="minorHAnsi" w:hAnsi="Garamond" w:cs="Times New Roman"/>
          <w:bCs/>
          <w:color w:val="000000"/>
          <w:sz w:val="24"/>
          <w:szCs w:val="24"/>
        </w:rPr>
        <w:t>Endri Kotherja</w:t>
      </w:r>
    </w:p>
    <w:p w14:paraId="3360F60B" w14:textId="2761BD7D" w:rsidR="00153B1E" w:rsidRPr="00946E37" w:rsidRDefault="00153B1E" w:rsidP="00153B1E">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 xml:space="preserve">SUBJEKT I INTERESUAR: </w:t>
      </w:r>
      <w:r w:rsidR="00946E37" w:rsidRPr="00946E37">
        <w:rPr>
          <w:rFonts w:ascii="Garamond" w:eastAsiaTheme="minorHAnsi" w:hAnsi="Garamond" w:cs="Times New Roman"/>
          <w:bCs/>
          <w:color w:val="000000"/>
          <w:sz w:val="24"/>
          <w:szCs w:val="24"/>
        </w:rPr>
        <w:t>Avokati i</w:t>
      </w:r>
      <w:r w:rsidRPr="00946E37">
        <w:rPr>
          <w:rFonts w:ascii="Garamond" w:eastAsiaTheme="minorHAnsi" w:hAnsi="Garamond" w:cs="Times New Roman"/>
          <w:bCs/>
          <w:color w:val="000000"/>
          <w:sz w:val="24"/>
          <w:szCs w:val="24"/>
        </w:rPr>
        <w:t xml:space="preserve"> </w:t>
      </w:r>
      <w:r w:rsidR="00946E37" w:rsidRPr="00946E37">
        <w:rPr>
          <w:rFonts w:ascii="Garamond" w:eastAsiaTheme="minorHAnsi" w:hAnsi="Garamond" w:cs="Times New Roman"/>
          <w:bCs/>
          <w:color w:val="000000"/>
          <w:sz w:val="24"/>
          <w:szCs w:val="24"/>
        </w:rPr>
        <w:t>Përgjithshëm i</w:t>
      </w:r>
      <w:r w:rsidRPr="00946E37">
        <w:rPr>
          <w:rFonts w:ascii="Garamond" w:eastAsiaTheme="minorHAnsi" w:hAnsi="Garamond" w:cs="Times New Roman"/>
          <w:bCs/>
          <w:color w:val="000000"/>
          <w:sz w:val="24"/>
          <w:szCs w:val="24"/>
        </w:rPr>
        <w:t xml:space="preserve"> </w:t>
      </w:r>
      <w:r w:rsidR="00946E37" w:rsidRPr="00946E37">
        <w:rPr>
          <w:rFonts w:ascii="Garamond" w:eastAsiaTheme="minorHAnsi" w:hAnsi="Garamond" w:cs="Times New Roman"/>
          <w:bCs/>
          <w:color w:val="000000"/>
          <w:sz w:val="24"/>
          <w:szCs w:val="24"/>
        </w:rPr>
        <w:t>Shtetit</w:t>
      </w:r>
      <w:r w:rsidRPr="00946E37">
        <w:rPr>
          <w:rFonts w:ascii="Garamond" w:eastAsiaTheme="minorHAnsi" w:hAnsi="Garamond" w:cs="Times New Roman"/>
          <w:bCs/>
          <w:color w:val="000000"/>
          <w:sz w:val="24"/>
          <w:szCs w:val="24"/>
        </w:rPr>
        <w:t xml:space="preserve">, </w:t>
      </w:r>
      <w:r w:rsidRPr="00946E37">
        <w:rPr>
          <w:rFonts w:ascii="Garamond" w:eastAsiaTheme="minorHAnsi" w:hAnsi="Garamond" w:cs="Times New Roman"/>
          <w:color w:val="000000"/>
          <w:sz w:val="24"/>
          <w:szCs w:val="24"/>
        </w:rPr>
        <w:t>përfaqësuar nga Valbona Legisi dhe Irma Qosja, me autorizim.</w:t>
      </w:r>
    </w:p>
    <w:p w14:paraId="29CBDD16" w14:textId="3C463FC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OBJEKTI: Shfuqizimi i vendimit nr. 00-2024-5435(363),</w:t>
      </w:r>
      <w:r w:rsidR="00946E37">
        <w:rPr>
          <w:rFonts w:ascii="Garamond" w:eastAsiaTheme="minorHAnsi" w:hAnsi="Garamond" w:cs="Times New Roman"/>
          <w:bCs/>
          <w:color w:val="000000"/>
          <w:sz w:val="24"/>
          <w:szCs w:val="24"/>
        </w:rPr>
        <w:t xml:space="preserve"> datë 23.</w:t>
      </w:r>
      <w:r w:rsidRPr="00946E37">
        <w:rPr>
          <w:rFonts w:ascii="Garamond" w:eastAsiaTheme="minorHAnsi" w:hAnsi="Garamond" w:cs="Times New Roman"/>
          <w:bCs/>
          <w:color w:val="000000"/>
          <w:sz w:val="24"/>
          <w:szCs w:val="24"/>
        </w:rPr>
        <w:t>9.2024</w:t>
      </w:r>
      <w:r w:rsidR="00946E37">
        <w:rPr>
          <w:rFonts w:ascii="Garamond" w:eastAsiaTheme="minorHAnsi" w:hAnsi="Garamond" w:cs="Times New Roman"/>
          <w:bCs/>
          <w:color w:val="000000"/>
          <w:sz w:val="24"/>
          <w:szCs w:val="24"/>
        </w:rPr>
        <w:t>,</w:t>
      </w:r>
      <w:r w:rsidRPr="00946E37">
        <w:rPr>
          <w:rFonts w:ascii="Garamond" w:eastAsiaTheme="minorHAnsi" w:hAnsi="Garamond" w:cs="Times New Roman"/>
          <w:bCs/>
          <w:color w:val="000000"/>
          <w:sz w:val="24"/>
          <w:szCs w:val="24"/>
        </w:rPr>
        <w:t xml:space="preserve"> të Kolegjit Administrativ të Gjykatës së Lartë, si i papajtueshëm me Kushtetutën e Republikës së Shqipërisë.</w:t>
      </w:r>
    </w:p>
    <w:p w14:paraId="0CED6DB6" w14:textId="7777777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Dërgimi i çështjes për shqyrtim në Kolegjin Administrativ të Gjykatës së Lartë.</w:t>
      </w:r>
    </w:p>
    <w:p w14:paraId="0B9694FF" w14:textId="18F95BDD" w:rsidR="00153B1E" w:rsidRPr="00946E37" w:rsidRDefault="00153B1E" w:rsidP="00153B1E">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BAZA LIGJORE: Nenet 4, 17, pika 2, 18, pika 1, 33, pika 1, 41, pika 1, 42, 131, pika 1, shkronja “f”, 134, pika 1, shkronja “i” dhe 142, pika 1, të Kushtetutës së Republikës së Shqipërisë (</w:t>
      </w:r>
      <w:r w:rsidRPr="00946E37">
        <w:rPr>
          <w:rFonts w:ascii="Garamond" w:eastAsiaTheme="minorHAnsi" w:hAnsi="Garamond" w:cs="Times New Roman"/>
          <w:bCs/>
          <w:i/>
          <w:iCs/>
          <w:color w:val="000000"/>
          <w:sz w:val="24"/>
          <w:szCs w:val="24"/>
        </w:rPr>
        <w:t>Kushtetuta</w:t>
      </w:r>
      <w:r w:rsidRPr="00946E37">
        <w:rPr>
          <w:rFonts w:ascii="Garamond" w:eastAsiaTheme="minorHAnsi" w:hAnsi="Garamond" w:cs="Times New Roman"/>
          <w:bCs/>
          <w:color w:val="000000"/>
          <w:sz w:val="24"/>
          <w:szCs w:val="24"/>
        </w:rPr>
        <w:t>); nenet 6 dhe 13</w:t>
      </w:r>
      <w:r w:rsidR="00946E37">
        <w:rPr>
          <w:rFonts w:ascii="Garamond" w:eastAsiaTheme="minorHAnsi" w:hAnsi="Garamond" w:cs="Times New Roman"/>
          <w:bCs/>
          <w:color w:val="000000"/>
          <w:sz w:val="24"/>
          <w:szCs w:val="24"/>
        </w:rPr>
        <w:t>,</w:t>
      </w:r>
      <w:r w:rsidRPr="00946E37">
        <w:rPr>
          <w:rFonts w:ascii="Garamond" w:eastAsiaTheme="minorHAnsi" w:hAnsi="Garamond" w:cs="Times New Roman"/>
          <w:bCs/>
          <w:color w:val="000000"/>
          <w:sz w:val="24"/>
          <w:szCs w:val="24"/>
        </w:rPr>
        <w:t xml:space="preserve"> të Konventës Evropiane për të Drejtat e Njeriut, si dhe neni 1</w:t>
      </w:r>
      <w:r w:rsidR="00946E37">
        <w:rPr>
          <w:rFonts w:ascii="Garamond" w:eastAsiaTheme="minorHAnsi" w:hAnsi="Garamond" w:cs="Times New Roman"/>
          <w:bCs/>
          <w:color w:val="000000"/>
          <w:sz w:val="24"/>
          <w:szCs w:val="24"/>
        </w:rPr>
        <w:t>,</w:t>
      </w:r>
      <w:r w:rsidRPr="00946E37">
        <w:rPr>
          <w:rFonts w:ascii="Garamond" w:eastAsiaTheme="minorHAnsi" w:hAnsi="Garamond" w:cs="Times New Roman"/>
          <w:bCs/>
          <w:color w:val="000000"/>
          <w:sz w:val="24"/>
          <w:szCs w:val="24"/>
        </w:rPr>
        <w:t xml:space="preserve"> i Protokollit nr. 1 të saj; neni 27</w:t>
      </w:r>
      <w:r w:rsidR="00946E37">
        <w:rPr>
          <w:rFonts w:ascii="Garamond" w:eastAsiaTheme="minorHAnsi" w:hAnsi="Garamond" w:cs="Times New Roman"/>
          <w:bCs/>
          <w:color w:val="000000"/>
          <w:sz w:val="24"/>
          <w:szCs w:val="24"/>
        </w:rPr>
        <w:t>, i ligjit nr. 8577, datë 10.</w:t>
      </w:r>
      <w:r w:rsidRPr="00946E37">
        <w:rPr>
          <w:rFonts w:ascii="Garamond" w:eastAsiaTheme="minorHAnsi" w:hAnsi="Garamond" w:cs="Times New Roman"/>
          <w:bCs/>
          <w:color w:val="000000"/>
          <w:sz w:val="24"/>
          <w:szCs w:val="24"/>
        </w:rPr>
        <w:t>2.2000</w:t>
      </w:r>
      <w:r w:rsidR="00946E37">
        <w:rPr>
          <w:rFonts w:ascii="Garamond" w:eastAsiaTheme="minorHAnsi" w:hAnsi="Garamond" w:cs="Times New Roman"/>
          <w:bCs/>
          <w:color w:val="000000"/>
          <w:sz w:val="24"/>
          <w:szCs w:val="24"/>
        </w:rPr>
        <w:t>,</w:t>
      </w:r>
      <w:r w:rsidRPr="00946E37">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946E37">
        <w:rPr>
          <w:rFonts w:ascii="Garamond" w:eastAsiaTheme="minorHAnsi" w:hAnsi="Garamond" w:cs="Times New Roman"/>
          <w:bCs/>
          <w:i/>
          <w:iCs/>
          <w:color w:val="000000"/>
          <w:sz w:val="24"/>
          <w:szCs w:val="24"/>
        </w:rPr>
        <w:t>Ligji Organik i Gjykatës</w:t>
      </w:r>
      <w:r w:rsidRPr="00946E37">
        <w:rPr>
          <w:rFonts w:ascii="Garamond" w:eastAsiaTheme="minorHAnsi" w:hAnsi="Garamond" w:cs="Times New Roman"/>
          <w:bCs/>
          <w:color w:val="000000"/>
          <w:sz w:val="24"/>
          <w:szCs w:val="24"/>
        </w:rPr>
        <w:t>).</w:t>
      </w:r>
    </w:p>
    <w:p w14:paraId="2ADE9EC1" w14:textId="7777777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397D1AB8"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GJYKATA KUSHTETUESE,</w:t>
      </w:r>
    </w:p>
    <w:p w14:paraId="0F76DF10"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E581099" w14:textId="77777777"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pasi dëgjoi relatoren e çështjes Marsida Xhaferllari, mori në shqyrtim parashtrimet me shkrim të kërkuesit Endri Kotherja </w:t>
      </w:r>
      <w:r w:rsidRPr="00946E37">
        <w:rPr>
          <w:rFonts w:ascii="Garamond" w:eastAsiaTheme="minorHAnsi" w:hAnsi="Garamond" w:cs="Times New Roman"/>
          <w:i/>
          <w:iCs/>
          <w:color w:val="000000"/>
          <w:sz w:val="24"/>
          <w:szCs w:val="24"/>
        </w:rPr>
        <w:t>(kërkuesi)</w:t>
      </w:r>
      <w:r w:rsidRPr="00946E37">
        <w:rPr>
          <w:rFonts w:ascii="Garamond" w:eastAsiaTheme="minorHAnsi" w:hAnsi="Garamond" w:cs="Times New Roman"/>
          <w:color w:val="000000"/>
          <w:sz w:val="24"/>
          <w:szCs w:val="24"/>
        </w:rPr>
        <w:t xml:space="preserve">, i cili ka kërkuar pranimin e kërkesës, prapësimet e subjektit të interesuar, Avokatit të Përgjithshëm të Shtetit, që ka kërkuar rrëzimin e kërkesës, si dhe diskutoi çështjen në tërësi, </w:t>
      </w:r>
    </w:p>
    <w:p w14:paraId="7381A8BA" w14:textId="77777777"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 </w:t>
      </w:r>
    </w:p>
    <w:p w14:paraId="5032DE08"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Cs/>
          <w:color w:val="000000"/>
          <w:sz w:val="24"/>
          <w:szCs w:val="24"/>
        </w:rPr>
        <w:t>VËREN</w:t>
      </w:r>
      <w:r w:rsidRPr="00946E37">
        <w:rPr>
          <w:rFonts w:ascii="Garamond" w:eastAsiaTheme="minorHAnsi" w:hAnsi="Garamond" w:cs="Times New Roman"/>
          <w:b/>
          <w:bCs/>
          <w:color w:val="000000"/>
          <w:sz w:val="24"/>
          <w:szCs w:val="24"/>
        </w:rPr>
        <w:t>:</w:t>
      </w:r>
    </w:p>
    <w:p w14:paraId="4A7CB97D"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DE4CF6C"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I</w:t>
      </w:r>
    </w:p>
    <w:p w14:paraId="3DF62200"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Rrethanat e çështjes</w:t>
      </w:r>
    </w:p>
    <w:p w14:paraId="26832395"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FF8CCD8" w14:textId="73AEF3D9"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1. Kërkuesi ka ushtruar detyrën e avokatit të shtetit, në periudhën 2009</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2013, në pozicione të ndryshme. Në muajin shkurt të vitit 2012 Avokati i Përgjithshëm i Shtetit i ka dhënë kërkuesit tri herë masën disiplinore të vërejtjes me paralajmërim, ndërsa në da</w:t>
      </w:r>
      <w:r w:rsidR="00946E37">
        <w:rPr>
          <w:rFonts w:ascii="Garamond" w:eastAsiaTheme="minorHAnsi" w:hAnsi="Garamond" w:cs="Times New Roman"/>
          <w:color w:val="000000"/>
          <w:sz w:val="24"/>
          <w:szCs w:val="24"/>
        </w:rPr>
        <w:t>tën 16.</w:t>
      </w:r>
      <w:r w:rsidRPr="00946E37">
        <w:rPr>
          <w:rFonts w:ascii="Garamond" w:eastAsiaTheme="minorHAnsi" w:hAnsi="Garamond" w:cs="Times New Roman"/>
          <w:color w:val="000000"/>
          <w:sz w:val="24"/>
          <w:szCs w:val="24"/>
        </w:rPr>
        <w:t>5.2013</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e ka shkarkuar atë nga detyra. </w:t>
      </w:r>
    </w:p>
    <w:p w14:paraId="56D73968" w14:textId="07BA3FC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2. Duke mos qenë dakord me masën disiplinore të shkarkimit nga detyra, kërkuesi ka ngritur padi në gjykatë, me objekt pavlefshmërinë e urdhrit të shkarkimit, kthimin në vendin e mëparshëm të punës, pagimin e pagës deri në kthimin në detyrë dhe pavlefshmërinë absolute të të tria masave të tjera disiplinore. Gjykata Administrative e Shkallës së Parë Tiranë (së cilës i janë kaluar aktet për kompetencë lëndore nga Gjykata e Rrethit Gjyqësor Elbasan me vendimin e datës 26.12.2013), me vendimin nr. 3665, </w:t>
      </w:r>
      <w:r w:rsidR="00946E37">
        <w:rPr>
          <w:rFonts w:ascii="Garamond" w:eastAsiaTheme="minorHAnsi" w:hAnsi="Garamond" w:cs="Times New Roman"/>
          <w:color w:val="000000"/>
          <w:sz w:val="24"/>
          <w:szCs w:val="24"/>
        </w:rPr>
        <w:t>datë 30.</w:t>
      </w:r>
      <w:r w:rsidRPr="00946E37">
        <w:rPr>
          <w:rFonts w:ascii="Garamond" w:eastAsiaTheme="minorHAnsi" w:hAnsi="Garamond" w:cs="Times New Roman"/>
          <w:color w:val="000000"/>
          <w:sz w:val="24"/>
          <w:szCs w:val="24"/>
        </w:rPr>
        <w:t xml:space="preserve">6.2014, ka vendosur pranimin e padisë. Avokati i Përgjithshëm i Shtetit ka paraqitur apel. </w:t>
      </w:r>
    </w:p>
    <w:p w14:paraId="19C23ACD" w14:textId="3BEB6F1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lastRenderedPageBreak/>
        <w:t xml:space="preserve">3. </w:t>
      </w:r>
      <w:r w:rsidR="00946E37">
        <w:rPr>
          <w:rFonts w:ascii="Garamond" w:eastAsiaTheme="minorHAnsi" w:hAnsi="Garamond" w:cs="Times New Roman"/>
          <w:color w:val="000000"/>
          <w:sz w:val="24"/>
          <w:szCs w:val="24"/>
        </w:rPr>
        <w:t>Në datën 18.</w:t>
      </w:r>
      <w:r w:rsidRPr="00946E37">
        <w:rPr>
          <w:rFonts w:ascii="Garamond" w:eastAsiaTheme="minorHAnsi" w:hAnsi="Garamond" w:cs="Times New Roman"/>
          <w:color w:val="000000"/>
          <w:sz w:val="24"/>
          <w:szCs w:val="24"/>
        </w:rPr>
        <w:t>7.2014</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Gjykata Administrative e Shkallës së Parë Tiranë ka konstatuar se apeli i paraqitur kishte të meta që lidheshin me mungesën e aktit të përfaqësimit të nënshkruesit të apelit dhe me mospërputhjen e të dhënave të vendimit të apeluar, ndaj ka caktuar afat për plotësimi</w:t>
      </w:r>
      <w:r w:rsidR="00946E37">
        <w:rPr>
          <w:rFonts w:ascii="Garamond" w:eastAsiaTheme="minorHAnsi" w:hAnsi="Garamond" w:cs="Times New Roman"/>
          <w:color w:val="000000"/>
          <w:sz w:val="24"/>
          <w:szCs w:val="24"/>
        </w:rPr>
        <w:t>n e të metave deri në datën 25.</w:t>
      </w:r>
      <w:r w:rsidRPr="00946E37">
        <w:rPr>
          <w:rFonts w:ascii="Garamond" w:eastAsiaTheme="minorHAnsi" w:hAnsi="Garamond" w:cs="Times New Roman"/>
          <w:color w:val="000000"/>
          <w:sz w:val="24"/>
          <w:szCs w:val="24"/>
        </w:rPr>
        <w:t>7.2014. Pasi ka konstatuar se të metat nuk ishin plotë</w:t>
      </w:r>
      <w:r w:rsidR="00946E37">
        <w:rPr>
          <w:rFonts w:ascii="Garamond" w:eastAsiaTheme="minorHAnsi" w:hAnsi="Garamond" w:cs="Times New Roman"/>
          <w:color w:val="000000"/>
          <w:sz w:val="24"/>
          <w:szCs w:val="24"/>
        </w:rPr>
        <w:t>suar, ajo gjykatë, në datën 25.</w:t>
      </w:r>
      <w:r w:rsidRPr="00946E37">
        <w:rPr>
          <w:rFonts w:ascii="Garamond" w:eastAsiaTheme="minorHAnsi" w:hAnsi="Garamond" w:cs="Times New Roman"/>
          <w:color w:val="000000"/>
          <w:sz w:val="24"/>
          <w:szCs w:val="24"/>
        </w:rPr>
        <w:t>7.2014, ka vendosur kthimin e apelit së bashku me aktet, duke vënë në dukje se vetë apeli ishte dep</w:t>
      </w:r>
      <w:r w:rsidR="00946E37">
        <w:rPr>
          <w:rFonts w:ascii="Garamond" w:eastAsiaTheme="minorHAnsi" w:hAnsi="Garamond" w:cs="Times New Roman"/>
          <w:color w:val="000000"/>
          <w:sz w:val="24"/>
          <w:szCs w:val="24"/>
        </w:rPr>
        <w:t>ozituar në gjykatë në datën 17.</w:t>
      </w:r>
      <w:r w:rsidRPr="00946E37">
        <w:rPr>
          <w:rFonts w:ascii="Garamond" w:eastAsiaTheme="minorHAnsi" w:hAnsi="Garamond" w:cs="Times New Roman"/>
          <w:color w:val="000000"/>
          <w:sz w:val="24"/>
          <w:szCs w:val="24"/>
        </w:rPr>
        <w:t>7.2014</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me anë të shërbimit postar d</w:t>
      </w:r>
      <w:r w:rsidR="00946E37">
        <w:rPr>
          <w:rFonts w:ascii="Garamond" w:eastAsiaTheme="minorHAnsi" w:hAnsi="Garamond" w:cs="Times New Roman"/>
          <w:color w:val="000000"/>
          <w:sz w:val="24"/>
          <w:szCs w:val="24"/>
        </w:rPr>
        <w:t>he se në zarf shënohej data 16.</w:t>
      </w:r>
      <w:r w:rsidRPr="00946E37">
        <w:rPr>
          <w:rFonts w:ascii="Garamond" w:eastAsiaTheme="minorHAnsi" w:hAnsi="Garamond" w:cs="Times New Roman"/>
          <w:color w:val="000000"/>
          <w:sz w:val="24"/>
          <w:szCs w:val="24"/>
        </w:rPr>
        <w:t xml:space="preserve">7.2014. </w:t>
      </w:r>
    </w:p>
    <w:p w14:paraId="4B569327" w14:textId="07EE465D"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4. Mbi bazën e ankimit të veçantë të Avokatit të Përgjithshëm të Shtetit, Gjykata Administrative e Apelit</w:t>
      </w:r>
      <w:r w:rsidR="00946E37">
        <w:rPr>
          <w:rFonts w:ascii="Garamond" w:eastAsiaTheme="minorHAnsi" w:hAnsi="Garamond" w:cs="Times New Roman"/>
          <w:color w:val="000000"/>
          <w:sz w:val="24"/>
          <w:szCs w:val="24"/>
        </w:rPr>
        <w:t>, me vendimin nr. 328, datë 23.</w:t>
      </w:r>
      <w:r w:rsidRPr="00946E37">
        <w:rPr>
          <w:rFonts w:ascii="Garamond" w:eastAsiaTheme="minorHAnsi" w:hAnsi="Garamond" w:cs="Times New Roman"/>
          <w:color w:val="000000"/>
          <w:sz w:val="24"/>
          <w:szCs w:val="24"/>
        </w:rPr>
        <w:t>2.2015, ka vendosur ndr</w:t>
      </w:r>
      <w:r w:rsidR="00946E37">
        <w:rPr>
          <w:rFonts w:ascii="Garamond" w:eastAsiaTheme="minorHAnsi" w:hAnsi="Garamond" w:cs="Times New Roman"/>
          <w:color w:val="000000"/>
          <w:sz w:val="24"/>
          <w:szCs w:val="24"/>
        </w:rPr>
        <w:t>yshimin e vendimit të datës 25.</w:t>
      </w:r>
      <w:r w:rsidRPr="00946E37">
        <w:rPr>
          <w:rFonts w:ascii="Garamond" w:eastAsiaTheme="minorHAnsi" w:hAnsi="Garamond" w:cs="Times New Roman"/>
          <w:color w:val="000000"/>
          <w:sz w:val="24"/>
          <w:szCs w:val="24"/>
        </w:rPr>
        <w:t>7.2014 dhe pranimin për shqyrtim të apelit të Avokatit të Përgjithshëm të Shtetit kundër vendimit të themelit të çështjes, duke urdhëruar dërgimin e dosjes për veprime administrative në gjykatën e shkallës së parë. Gjy</w:t>
      </w:r>
      <w:r w:rsidR="00946E37">
        <w:rPr>
          <w:rFonts w:ascii="Garamond" w:eastAsiaTheme="minorHAnsi" w:hAnsi="Garamond" w:cs="Times New Roman"/>
          <w:color w:val="000000"/>
          <w:sz w:val="24"/>
          <w:szCs w:val="24"/>
        </w:rPr>
        <w:t>kata e apelit ka arsyetuar se: i.</w:t>
      </w:r>
      <w:r w:rsidRPr="00946E37">
        <w:rPr>
          <w:rFonts w:ascii="Garamond" w:eastAsiaTheme="minorHAnsi" w:hAnsi="Garamond" w:cs="Times New Roman"/>
          <w:color w:val="000000"/>
          <w:sz w:val="24"/>
          <w:szCs w:val="24"/>
        </w:rPr>
        <w:t xml:space="preserve"> në shkelje të nenit 46, </w:t>
      </w:r>
      <w:r w:rsidR="00946E37">
        <w:rPr>
          <w:rFonts w:ascii="Garamond" w:eastAsiaTheme="minorHAnsi" w:hAnsi="Garamond" w:cs="Times New Roman"/>
          <w:color w:val="000000"/>
          <w:sz w:val="24"/>
          <w:szCs w:val="24"/>
        </w:rPr>
        <w:t>pika 2, të ligjit nr. 49, datë 3.</w:t>
      </w:r>
      <w:r w:rsidRPr="00946E37">
        <w:rPr>
          <w:rFonts w:ascii="Garamond" w:eastAsiaTheme="minorHAnsi" w:hAnsi="Garamond" w:cs="Times New Roman"/>
          <w:color w:val="000000"/>
          <w:sz w:val="24"/>
          <w:szCs w:val="24"/>
        </w:rPr>
        <w:t>5.2012</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“Për organizimin dhe funksionimin e gjykatave administrative dhe gjykimin e mosmarrëveshjeve administrative”, të ndryshuar (</w:t>
      </w:r>
      <w:r w:rsidRPr="00946E37">
        <w:rPr>
          <w:rFonts w:ascii="Garamond" w:eastAsiaTheme="minorHAnsi" w:hAnsi="Garamond" w:cs="Times New Roman"/>
          <w:i/>
          <w:iCs/>
          <w:color w:val="000000"/>
          <w:sz w:val="24"/>
          <w:szCs w:val="24"/>
        </w:rPr>
        <w:t>Ligji për Gjykatat Administrative</w:t>
      </w:r>
      <w:r w:rsidRPr="00946E37">
        <w:rPr>
          <w:rFonts w:ascii="Garamond" w:eastAsiaTheme="minorHAnsi" w:hAnsi="Garamond" w:cs="Times New Roman"/>
          <w:color w:val="000000"/>
          <w:sz w:val="24"/>
          <w:szCs w:val="24"/>
        </w:rPr>
        <w:t>)</w:t>
      </w:r>
      <w:r w:rsidRPr="00946E37">
        <w:rPr>
          <w:rFonts w:ascii="Garamond" w:eastAsiaTheme="minorHAnsi" w:hAnsi="Garamond" w:cs="Times New Roman"/>
          <w:sz w:val="24"/>
          <w:szCs w:val="24"/>
        </w:rPr>
        <w:t>,</w:t>
      </w:r>
      <w:r w:rsidRPr="00946E37">
        <w:rPr>
          <w:rFonts w:ascii="Garamond" w:eastAsiaTheme="minorHAnsi" w:hAnsi="Garamond" w:cs="Times New Roman"/>
          <w:color w:val="000000"/>
          <w:sz w:val="24"/>
          <w:szCs w:val="24"/>
        </w:rPr>
        <w:t xml:space="preserve"> gjykata e shkallës së parë</w:t>
      </w:r>
      <w:r w:rsidRPr="00946E37">
        <w:rPr>
          <w:rFonts w:ascii="Garamond" w:eastAsiaTheme="minorHAnsi" w:hAnsi="Garamond" w:cs="Times New Roman"/>
          <w:i/>
          <w:iCs/>
          <w:color w:val="000000"/>
          <w:sz w:val="24"/>
          <w:szCs w:val="24"/>
        </w:rPr>
        <w:t xml:space="preserve"> de facto</w:t>
      </w:r>
      <w:r w:rsidRPr="00946E37">
        <w:rPr>
          <w:rFonts w:ascii="Garamond" w:eastAsiaTheme="minorHAnsi" w:hAnsi="Garamond" w:cs="Times New Roman"/>
          <w:color w:val="000000"/>
          <w:sz w:val="24"/>
          <w:szCs w:val="24"/>
        </w:rPr>
        <w:t xml:space="preserve"> i ka caktuar apeluesit një afat më të shkurtër se 5 ditë për plotësimin e të metave, duke mos mbajtur në konsideratë se afati fillonte të llogaritej nga d</w:t>
      </w:r>
      <w:r w:rsidR="00946E37">
        <w:rPr>
          <w:rFonts w:ascii="Garamond" w:eastAsiaTheme="minorHAnsi" w:hAnsi="Garamond" w:cs="Times New Roman"/>
          <w:color w:val="000000"/>
          <w:sz w:val="24"/>
          <w:szCs w:val="24"/>
        </w:rPr>
        <w:t>ita e komunikimit të vendimit; ii.</w:t>
      </w:r>
      <w:r w:rsidRPr="00946E37">
        <w:rPr>
          <w:rFonts w:ascii="Garamond" w:eastAsiaTheme="minorHAnsi" w:hAnsi="Garamond" w:cs="Times New Roman"/>
          <w:color w:val="000000"/>
          <w:sz w:val="24"/>
          <w:szCs w:val="24"/>
        </w:rPr>
        <w:t xml:space="preserve"> të metat ishin plotësuar nga Avokati i Përgjithshëm i Shtetit në </w:t>
      </w:r>
      <w:r w:rsidR="00946E37">
        <w:rPr>
          <w:rFonts w:ascii="Garamond" w:eastAsiaTheme="minorHAnsi" w:hAnsi="Garamond" w:cs="Times New Roman"/>
          <w:color w:val="000000"/>
          <w:sz w:val="24"/>
          <w:szCs w:val="24"/>
        </w:rPr>
        <w:t>datën 24.</w:t>
      </w:r>
      <w:r w:rsidRPr="00946E37">
        <w:rPr>
          <w:rFonts w:ascii="Garamond" w:eastAsiaTheme="minorHAnsi" w:hAnsi="Garamond" w:cs="Times New Roman"/>
          <w:color w:val="000000"/>
          <w:sz w:val="24"/>
          <w:szCs w:val="24"/>
        </w:rPr>
        <w:t xml:space="preserve">7.2014, pra brenda afatit të caktuar. </w:t>
      </w:r>
    </w:p>
    <w:p w14:paraId="53582059" w14:textId="22051D2C"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5. Kërkuesi ka paraqitur rekurs, por Kolegji Administrativ i Gjykatës së Lartë, me vendimin nr. 00-2017-1</w:t>
      </w:r>
      <w:r w:rsidR="00946E37">
        <w:rPr>
          <w:rFonts w:ascii="Garamond" w:eastAsiaTheme="minorHAnsi" w:hAnsi="Garamond" w:cs="Times New Roman"/>
          <w:color w:val="000000"/>
          <w:sz w:val="24"/>
          <w:szCs w:val="24"/>
        </w:rPr>
        <w:t>017, datë 29.</w:t>
      </w:r>
      <w:r w:rsidRPr="00946E37">
        <w:rPr>
          <w:rFonts w:ascii="Garamond" w:eastAsiaTheme="minorHAnsi" w:hAnsi="Garamond" w:cs="Times New Roman"/>
          <w:color w:val="000000"/>
          <w:sz w:val="24"/>
          <w:szCs w:val="24"/>
        </w:rPr>
        <w:t>6.2017, ka vendosur mospranimin e tij, me arsyetimin e kufizuar se rekursi nuk përmbante shkaqet e parashikuara nga ligji.</w:t>
      </w:r>
    </w:p>
    <w:p w14:paraId="76DDE6B9"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6. Në vijim, kërkuesi ka paraqitur ankim kushtetues individual në Gjykatën Kushtetuese (</w:t>
      </w:r>
      <w:r w:rsidRPr="00946E37">
        <w:rPr>
          <w:rFonts w:ascii="Garamond" w:eastAsiaTheme="minorHAnsi" w:hAnsi="Garamond" w:cs="Times New Roman"/>
          <w:i/>
          <w:iCs/>
          <w:color w:val="000000"/>
          <w:sz w:val="24"/>
          <w:szCs w:val="24"/>
        </w:rPr>
        <w:t>Gjykata</w:t>
      </w:r>
      <w:r w:rsidRPr="00946E37">
        <w:rPr>
          <w:rFonts w:ascii="Garamond" w:eastAsiaTheme="minorHAnsi" w:hAnsi="Garamond" w:cs="Times New Roman"/>
          <w:color w:val="000000"/>
          <w:sz w:val="24"/>
          <w:szCs w:val="24"/>
        </w:rPr>
        <w:t>), duke kërkuar shfuqizimin e vendimeve të gjykatës së apelit dhe të Gjykatës së Lartë, me të cilat ishte pranuar se të metat e apelit ishin plotësuar në afat nga Avokati i Përgjithshëm i Shtetit, duke ngritur, ndër të tjera, pretendimin për cenimin e parimeve të sigurisë juridike dhe të barazisë përpara ligjit, si dhe së drejtës për proces të rregullt ligjor. Sipas kërkuesit, apeli i Avokatit të Përgjithshëm të Shtetit ishte paraqitur jo vetëm me të meta që lidheshin me mungesën e autorizimit të nënshkruesit, por edhe jashtë afatit ligjor 15-ditor. Kolegji i Gjykatës, me vendimin nr. 290, datë 20.12.2017, ka vendosur moskalimin e çështjes për shqyrtim në seancë plenare, me arsyetimin se për çështjen e kërkuesit nuk kishte një vendim përfundimtar, ndaj nuk plotësohej kriteri i shterimit të mjeteve juridike efektive në dispozicion.</w:t>
      </w:r>
    </w:p>
    <w:p w14:paraId="39E932BB" w14:textId="1C4A39C6"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7. Ndërkohë, çështja e themelit është dërguar për shqyrtim në Gjykatën Administrative të Apelit, e cila, në përfundim të gjyki</w:t>
      </w:r>
      <w:r w:rsidR="00946E37">
        <w:rPr>
          <w:rFonts w:ascii="Garamond" w:eastAsiaTheme="minorHAnsi" w:hAnsi="Garamond" w:cs="Times New Roman"/>
          <w:color w:val="000000"/>
          <w:sz w:val="24"/>
          <w:szCs w:val="24"/>
        </w:rPr>
        <w:t>mit, me vendimin nr. 251, datë 4.</w:t>
      </w:r>
      <w:r w:rsidRPr="00946E37">
        <w:rPr>
          <w:rFonts w:ascii="Garamond" w:eastAsiaTheme="minorHAnsi" w:hAnsi="Garamond" w:cs="Times New Roman"/>
          <w:color w:val="000000"/>
          <w:sz w:val="24"/>
          <w:szCs w:val="24"/>
        </w:rPr>
        <w:t>4.2023, ka vendosur lënien në fuqi të vendimit të gjykatës së shkallës së parë për pranimin e padisë. Lidhur me pretendimin e kërkuesit se apeli ishte paraqitur jashtë afatit ligjor, gjykata e apelit ka arsyetuar se vendimi i ankimuar ishte shpallur në datën 30</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6.2014</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në prani të palëve ndërgjyqëse, ndërsa apeli ishte depozituar nga Avokati i Përgjithshëm i Shtetit nëpërmjet shërbimit postar në sek</w:t>
      </w:r>
      <w:r w:rsidR="00946E37">
        <w:rPr>
          <w:rFonts w:ascii="Garamond" w:eastAsiaTheme="minorHAnsi" w:hAnsi="Garamond" w:cs="Times New Roman"/>
          <w:color w:val="000000"/>
          <w:sz w:val="24"/>
          <w:szCs w:val="24"/>
        </w:rPr>
        <w:t>retarinë gjyqësore në datën 17.</w:t>
      </w:r>
      <w:r w:rsidRPr="00946E37">
        <w:rPr>
          <w:rFonts w:ascii="Garamond" w:eastAsiaTheme="minorHAnsi" w:hAnsi="Garamond" w:cs="Times New Roman"/>
          <w:color w:val="000000"/>
          <w:sz w:val="24"/>
          <w:szCs w:val="24"/>
        </w:rPr>
        <w:t xml:space="preserve">7.2014, pra brenda afatit të përcaktuar nga nenet 443, paragrafi i parë, dhe 444 të Kodit të Procedurës Civile </w:t>
      </w:r>
      <w:r w:rsidRPr="00946E37">
        <w:rPr>
          <w:rFonts w:ascii="Garamond" w:eastAsiaTheme="minorHAnsi" w:hAnsi="Garamond" w:cs="Times New Roman"/>
          <w:i/>
          <w:iCs/>
          <w:color w:val="000000"/>
          <w:sz w:val="24"/>
          <w:szCs w:val="24"/>
        </w:rPr>
        <w:t>(KPC</w:t>
      </w:r>
      <w:r w:rsidRPr="00946E37">
        <w:rPr>
          <w:rFonts w:ascii="Garamond" w:eastAsiaTheme="minorHAnsi" w:hAnsi="Garamond" w:cs="Times New Roman"/>
          <w:color w:val="000000"/>
          <w:sz w:val="24"/>
          <w:szCs w:val="24"/>
        </w:rPr>
        <w:t xml:space="preserve">), si dhe referuar vendimeve gjyqësore të gjykatës së apelit dhe të Gjykatës së Lartë që kishin pranuar ankimin e veçantë ndaj kthimit të apelit nga gjykata e shkallës së parë. </w:t>
      </w:r>
    </w:p>
    <w:p w14:paraId="424BFC96"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8. Avokati i Përgjithshëm i Shtetit ka paraqitur rekurs, duke kërkuar njëkohësisht edhe pezullimin e ekzekutimit të vendimit të formës së prerë. Kërkuesi ka paraqitur kundërrekurs.</w:t>
      </w:r>
    </w:p>
    <w:p w14:paraId="7825D95C" w14:textId="3AB34B09"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9. Kolegji Administrativ i Gjykatës së Lartë, me vend</w:t>
      </w:r>
      <w:r w:rsidR="00946E37">
        <w:rPr>
          <w:rFonts w:ascii="Garamond" w:eastAsiaTheme="minorHAnsi" w:hAnsi="Garamond" w:cs="Times New Roman"/>
          <w:color w:val="000000"/>
          <w:sz w:val="24"/>
          <w:szCs w:val="24"/>
        </w:rPr>
        <w:t>imin nr. 00-2023-3151, datë 25.</w:t>
      </w:r>
      <w:r w:rsidRPr="00946E37">
        <w:rPr>
          <w:rFonts w:ascii="Garamond" w:eastAsiaTheme="minorHAnsi" w:hAnsi="Garamond" w:cs="Times New Roman"/>
          <w:color w:val="000000"/>
          <w:sz w:val="24"/>
          <w:szCs w:val="24"/>
        </w:rPr>
        <w:t>7.2023, në dhomën e këshillimit, ka vendosur pezullimin e ekzekutimit të vendimit. Në vijim, Gjykata e Lartë e ka shqyrtuar çështjen në seancë gjyqësore me pjesëmarrjen e palëve dhe me vendimin n</w:t>
      </w:r>
      <w:r w:rsidR="00946E37">
        <w:rPr>
          <w:rFonts w:ascii="Garamond" w:eastAsiaTheme="minorHAnsi" w:hAnsi="Garamond" w:cs="Times New Roman"/>
          <w:color w:val="000000"/>
          <w:sz w:val="24"/>
          <w:szCs w:val="24"/>
        </w:rPr>
        <w:t>r. 00-2024-5435 (363), datë 23.</w:t>
      </w:r>
      <w:r w:rsidRPr="00946E37">
        <w:rPr>
          <w:rFonts w:ascii="Garamond" w:eastAsiaTheme="minorHAnsi" w:hAnsi="Garamond" w:cs="Times New Roman"/>
          <w:color w:val="000000"/>
          <w:sz w:val="24"/>
          <w:szCs w:val="24"/>
        </w:rPr>
        <w:t>9.2024, ka vendosur prishjen e vendimit të gjykatës së apelit dhe kthimin e çështjes për rigjykim në gjykatën e shkallës së dytë. Sipas Gjykatës së Lartë, gjykatat e faktit, duke zbatuar edhe parimin e barrës së provës të gjykimit administrativ, duhej të merrnin prova dhe të verifikonin respektimin e afatit ligjor nga kërkuesi për ngritjen e pretendimeve ndaj tri vërejtjeve me paralajmërim, të cilat ishin shqyrtuar dhe anuluar nga ato gjykata, duke arritur më pas në përfundimin se masa e shkarkimit nga detyra nuk ishte proporcionale. Ndërsa për pretendimin e kërkuesit, të parashtruar në kundërrekurs, se apeli ishte paraqitur nga Avokati i Përgjithshëm i Shtetit jashtë afatit ligjor, Gjykata e Lartë nuk është shprehur.</w:t>
      </w:r>
    </w:p>
    <w:p w14:paraId="5F109A94" w14:textId="141AA2E2"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lastRenderedPageBreak/>
        <w:t xml:space="preserve">10. </w:t>
      </w:r>
      <w:r w:rsidR="00946E37">
        <w:rPr>
          <w:rFonts w:ascii="Garamond" w:eastAsiaTheme="minorHAnsi" w:hAnsi="Garamond" w:cs="Times New Roman"/>
          <w:color w:val="000000"/>
          <w:sz w:val="24"/>
          <w:szCs w:val="24"/>
        </w:rPr>
        <w:t>Në datën 7.</w:t>
      </w:r>
      <w:r w:rsidRPr="00946E37">
        <w:rPr>
          <w:rFonts w:ascii="Garamond" w:eastAsiaTheme="minorHAnsi" w:hAnsi="Garamond" w:cs="Times New Roman"/>
          <w:color w:val="000000"/>
          <w:sz w:val="24"/>
          <w:szCs w:val="24"/>
        </w:rPr>
        <w:t>4.2025</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kërkuesi i është drejtuar përsëri Gjykatës me ankim kushtetues individual, sipas objektit. </w:t>
      </w:r>
      <w:r w:rsidR="00946E37">
        <w:rPr>
          <w:rFonts w:ascii="Garamond" w:eastAsiaTheme="minorHAnsi" w:hAnsi="Garamond" w:cs="Times New Roman"/>
          <w:color w:val="000000"/>
          <w:sz w:val="24"/>
          <w:szCs w:val="24"/>
        </w:rPr>
        <w:t>Kolegji i Gjykatës në datën 27.</w:t>
      </w:r>
      <w:r w:rsidRPr="00946E37">
        <w:rPr>
          <w:rFonts w:ascii="Garamond" w:eastAsiaTheme="minorHAnsi" w:hAnsi="Garamond" w:cs="Times New Roman"/>
          <w:color w:val="000000"/>
          <w:sz w:val="24"/>
          <w:szCs w:val="24"/>
        </w:rPr>
        <w:t>5.2025</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ka vendosur kalimin e çështjes për shqyrtim në seancë plenare mbi bazë të dokumenteve.</w:t>
      </w:r>
    </w:p>
    <w:p w14:paraId="1B06F8DC"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585C245"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II</w:t>
      </w:r>
    </w:p>
    <w:p w14:paraId="277AD3AB"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Pretendimet në Gjykatën Kushtetuese</w:t>
      </w:r>
    </w:p>
    <w:p w14:paraId="2E1711AD"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60DE96C"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i/>
          <w:iCs/>
          <w:color w:val="000000"/>
          <w:sz w:val="24"/>
          <w:szCs w:val="24"/>
        </w:rPr>
        <w:t xml:space="preserve">11. </w:t>
      </w:r>
      <w:r w:rsidRPr="00946E37">
        <w:rPr>
          <w:rFonts w:ascii="Garamond" w:eastAsiaTheme="minorHAnsi" w:hAnsi="Garamond" w:cs="Times New Roman"/>
          <w:b/>
          <w:bCs/>
          <w:i/>
          <w:iCs/>
          <w:color w:val="000000"/>
          <w:sz w:val="24"/>
          <w:szCs w:val="24"/>
        </w:rPr>
        <w:t>Kërkuesi</w:t>
      </w:r>
      <w:r w:rsidRPr="00946E37">
        <w:rPr>
          <w:rFonts w:ascii="Garamond" w:eastAsiaTheme="minorHAnsi" w:hAnsi="Garamond" w:cs="Times New Roman"/>
          <w:b/>
          <w:bCs/>
          <w:color w:val="000000"/>
          <w:sz w:val="24"/>
          <w:szCs w:val="24"/>
        </w:rPr>
        <w:t>,</w:t>
      </w:r>
      <w:r w:rsidRPr="00946E37">
        <w:rPr>
          <w:rFonts w:ascii="Garamond" w:eastAsiaTheme="minorHAnsi" w:hAnsi="Garamond" w:cs="Times New Roman"/>
          <w:color w:val="000000"/>
          <w:sz w:val="24"/>
          <w:szCs w:val="24"/>
        </w:rPr>
        <w:t xml:space="preserve"> në mënyrë të përmbledhur, ka pretenduar se nga vendimi i Gjykatës së Lartë i janë cenuar:</w:t>
      </w:r>
    </w:p>
    <w:p w14:paraId="1EC0AA54" w14:textId="365BAFD3" w:rsidR="00153B1E" w:rsidRPr="00946E37" w:rsidRDefault="00946E37" w:rsidP="00153B1E">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11.1</w:t>
      </w:r>
      <w:r w:rsidR="00153B1E" w:rsidRPr="00946E37">
        <w:rPr>
          <w:rFonts w:ascii="Garamond" w:eastAsiaTheme="minorHAnsi" w:hAnsi="Garamond" w:cs="Times New Roman"/>
          <w:color w:val="000000"/>
          <w:sz w:val="24"/>
          <w:szCs w:val="24"/>
        </w:rPr>
        <w:t xml:space="preserve"> </w:t>
      </w:r>
      <w:r w:rsidR="00153B1E" w:rsidRPr="00946E37">
        <w:rPr>
          <w:rFonts w:ascii="Garamond" w:eastAsiaTheme="minorHAnsi" w:hAnsi="Garamond" w:cs="Times New Roman"/>
          <w:i/>
          <w:iCs/>
          <w:color w:val="000000"/>
          <w:sz w:val="24"/>
          <w:szCs w:val="24"/>
        </w:rPr>
        <w:t xml:space="preserve">E drejta për proces të rregullt ligjor, </w:t>
      </w:r>
      <w:r w:rsidR="00153B1E" w:rsidRPr="00946E37">
        <w:rPr>
          <w:rFonts w:ascii="Garamond" w:eastAsiaTheme="minorHAnsi" w:hAnsi="Garamond" w:cs="Times New Roman"/>
          <w:color w:val="000000"/>
          <w:sz w:val="24"/>
          <w:szCs w:val="24"/>
        </w:rPr>
        <w:t>e garantuar nga neni 42 i Kushtetutës,</w:t>
      </w:r>
      <w:r w:rsidR="00153B1E" w:rsidRPr="00946E37">
        <w:rPr>
          <w:rFonts w:ascii="Garamond" w:eastAsiaTheme="minorHAnsi" w:hAnsi="Garamond" w:cs="Times New Roman"/>
          <w:i/>
          <w:iCs/>
          <w:color w:val="000000"/>
          <w:sz w:val="24"/>
          <w:szCs w:val="24"/>
        </w:rPr>
        <w:t xml:space="preserve"> </w:t>
      </w:r>
      <w:r w:rsidR="00153B1E" w:rsidRPr="00946E37">
        <w:rPr>
          <w:rFonts w:ascii="Garamond" w:eastAsiaTheme="minorHAnsi" w:hAnsi="Garamond" w:cs="Times New Roman"/>
          <w:color w:val="000000"/>
          <w:sz w:val="24"/>
          <w:szCs w:val="24"/>
        </w:rPr>
        <w:t>në aspektet e mëposhtme:</w:t>
      </w:r>
      <w:r w:rsidR="00153B1E" w:rsidRPr="00946E37">
        <w:rPr>
          <w:rFonts w:ascii="Garamond" w:eastAsiaTheme="minorHAnsi" w:hAnsi="Garamond" w:cs="Times New Roman"/>
          <w:i/>
          <w:iCs/>
          <w:color w:val="000000"/>
          <w:sz w:val="24"/>
          <w:szCs w:val="24"/>
        </w:rPr>
        <w:t xml:space="preserve"> </w:t>
      </w:r>
    </w:p>
    <w:p w14:paraId="6053270A" w14:textId="02695C68" w:rsidR="00153B1E" w:rsidRPr="00946E37" w:rsidRDefault="00946E37"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11.1.1</w:t>
      </w:r>
      <w:r w:rsidR="00153B1E" w:rsidRPr="00946E37">
        <w:rPr>
          <w:rFonts w:ascii="Garamond" w:eastAsiaTheme="minorHAnsi" w:hAnsi="Garamond" w:cs="Times New Roman"/>
          <w:i/>
          <w:iCs/>
          <w:color w:val="000000"/>
          <w:sz w:val="24"/>
          <w:szCs w:val="24"/>
        </w:rPr>
        <w:t xml:space="preserve"> Parimi i gjykatës së caktuar me ligj</w:t>
      </w:r>
      <w:r w:rsidR="00153B1E" w:rsidRPr="00946E37">
        <w:rPr>
          <w:rFonts w:ascii="Garamond" w:eastAsiaTheme="minorHAnsi" w:hAnsi="Garamond" w:cs="Times New Roman"/>
          <w:color w:val="000000"/>
          <w:sz w:val="24"/>
          <w:szCs w:val="24"/>
        </w:rPr>
        <w:t>, pasi Gjykata e Lartë duhet të kishte vendosur mospranimin e rekursit. Ajo nuk kishte juridiksion për të shqyrtuar pretendimet e ngritura në rekurs nga pala e paditur, pasi ato nuk ishin ngritur në gjykimin në shkallë të parë, ndaj kishin rënë në dekadencë. Gjykata e Lartë nuk përcaktoi se cilat çështje të ligjit do të viheshin në diskutim në seancë, nëse ato do të trajtoheshin kryesisht apo ishte pranuar kërkesa e vet kërkuesit për shqyrtimin e çështjes në seancë gjyqësore.</w:t>
      </w:r>
    </w:p>
    <w:p w14:paraId="710D9242" w14:textId="7A59A551" w:rsidR="00153B1E" w:rsidRPr="00946E37" w:rsidRDefault="00946E37"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i/>
          <w:iCs/>
          <w:color w:val="000000"/>
          <w:sz w:val="24"/>
          <w:szCs w:val="24"/>
        </w:rPr>
        <w:t>11.1.2</w:t>
      </w:r>
      <w:r w:rsidR="00153B1E" w:rsidRPr="00946E37">
        <w:rPr>
          <w:rFonts w:ascii="Garamond" w:eastAsiaTheme="minorHAnsi" w:hAnsi="Garamond" w:cs="Times New Roman"/>
          <w:i/>
          <w:iCs/>
          <w:color w:val="000000"/>
          <w:sz w:val="24"/>
          <w:szCs w:val="24"/>
        </w:rPr>
        <w:t xml:space="preserve"> Parimi i barazisë së armëve i lidhur me të drejtën e mbrojtjes, </w:t>
      </w:r>
      <w:r w:rsidR="00153B1E" w:rsidRPr="00946E37">
        <w:rPr>
          <w:rFonts w:ascii="Garamond" w:eastAsiaTheme="minorHAnsi" w:hAnsi="Garamond" w:cs="Times New Roman"/>
          <w:color w:val="000000"/>
          <w:sz w:val="24"/>
          <w:szCs w:val="24"/>
        </w:rPr>
        <w:t xml:space="preserve">pasi kryesuesi i kolegjit të Gjykatës së Lartë i ka ndërprerë fjalën kërkuesit disa herë gjatë seancës për çështje me natyrë kushtetuese, siç është edhe ajo e apelit e paraqitur jashtë afatit. </w:t>
      </w:r>
    </w:p>
    <w:p w14:paraId="30B0CFD6" w14:textId="09C8C983" w:rsidR="00153B1E" w:rsidRPr="00946E37" w:rsidRDefault="00946E37"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11.1.3</w:t>
      </w:r>
      <w:r w:rsidR="00153B1E" w:rsidRPr="00946E37">
        <w:rPr>
          <w:rFonts w:ascii="Garamond" w:eastAsiaTheme="minorHAnsi" w:hAnsi="Garamond" w:cs="Times New Roman"/>
          <w:i/>
          <w:iCs/>
          <w:color w:val="000000"/>
          <w:sz w:val="24"/>
          <w:szCs w:val="24"/>
        </w:rPr>
        <w:t xml:space="preserve"> Standardi i arsyetimit të vendimit gjyqësor i lidhur me të drejtën e aksesit</w:t>
      </w:r>
      <w:r w:rsidR="00153B1E" w:rsidRPr="00946E37">
        <w:rPr>
          <w:rFonts w:ascii="Garamond" w:eastAsiaTheme="minorHAnsi" w:hAnsi="Garamond" w:cs="Times New Roman"/>
          <w:color w:val="000000"/>
          <w:sz w:val="24"/>
          <w:szCs w:val="24"/>
        </w:rPr>
        <w:t>,</w:t>
      </w:r>
      <w:r w:rsidR="00153B1E" w:rsidRPr="00946E37">
        <w:rPr>
          <w:rFonts w:ascii="Garamond" w:eastAsiaTheme="minorHAnsi" w:hAnsi="Garamond" w:cs="Times New Roman"/>
          <w:color w:val="FF0000"/>
          <w:sz w:val="24"/>
          <w:szCs w:val="24"/>
        </w:rPr>
        <w:t xml:space="preserve"> </w:t>
      </w:r>
      <w:r w:rsidR="00153B1E" w:rsidRPr="00946E37">
        <w:rPr>
          <w:rFonts w:ascii="Garamond" w:eastAsiaTheme="minorHAnsi" w:hAnsi="Garamond" w:cs="Times New Roman"/>
          <w:color w:val="000000"/>
          <w:sz w:val="24"/>
          <w:szCs w:val="24"/>
        </w:rPr>
        <w:t>pasi Gjykata e Lartë nuk ka dhënë përgjigje për pretendimin me natyrë kushtetuese të ngritur në kundërrekurs dhe në parashtrime, që kishin të bënin me paraqitjen e apelit jashtë afatit ligjor.</w:t>
      </w:r>
    </w:p>
    <w:p w14:paraId="0A2200EA" w14:textId="619D3D83" w:rsidR="00153B1E" w:rsidRPr="00946E37" w:rsidRDefault="00946E37" w:rsidP="00153B1E">
      <w:pPr>
        <w:tabs>
          <w:tab w:val="left" w:pos="720"/>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11.2</w:t>
      </w:r>
      <w:r w:rsidR="00153B1E" w:rsidRPr="00946E37">
        <w:rPr>
          <w:rFonts w:ascii="Garamond" w:eastAsiaTheme="minorHAnsi" w:hAnsi="Garamond" w:cs="Times New Roman"/>
          <w:color w:val="000000"/>
          <w:sz w:val="24"/>
          <w:szCs w:val="24"/>
        </w:rPr>
        <w:t xml:space="preserve"> </w:t>
      </w:r>
      <w:r w:rsidR="00153B1E" w:rsidRPr="00946E37">
        <w:rPr>
          <w:rFonts w:ascii="Garamond" w:eastAsiaTheme="minorHAnsi" w:hAnsi="Garamond" w:cs="Times New Roman"/>
          <w:i/>
          <w:iCs/>
          <w:color w:val="000000"/>
          <w:sz w:val="24"/>
          <w:szCs w:val="24"/>
        </w:rPr>
        <w:t xml:space="preserve">Parimi i sigurisë juridike, </w:t>
      </w:r>
      <w:r w:rsidR="00153B1E" w:rsidRPr="00946E37">
        <w:rPr>
          <w:rFonts w:ascii="Garamond" w:eastAsiaTheme="minorHAnsi" w:hAnsi="Garamond" w:cs="Times New Roman"/>
          <w:color w:val="000000"/>
          <w:sz w:val="24"/>
          <w:szCs w:val="24"/>
        </w:rPr>
        <w:t>i garantuar nga neni 4 i Kushtetutës,</w:t>
      </w:r>
      <w:r w:rsidR="00153B1E" w:rsidRPr="00946E37">
        <w:rPr>
          <w:rFonts w:ascii="Garamond" w:eastAsiaTheme="minorHAnsi" w:hAnsi="Garamond" w:cs="Times New Roman"/>
          <w:i/>
          <w:iCs/>
          <w:color w:val="000000"/>
          <w:sz w:val="24"/>
          <w:szCs w:val="24"/>
        </w:rPr>
        <w:t xml:space="preserve"> </w:t>
      </w:r>
      <w:r w:rsidR="00153B1E" w:rsidRPr="00946E37">
        <w:rPr>
          <w:rFonts w:ascii="Garamond" w:eastAsiaTheme="minorHAnsi" w:hAnsi="Garamond" w:cs="Times New Roman"/>
          <w:color w:val="000000"/>
          <w:sz w:val="24"/>
          <w:szCs w:val="24"/>
        </w:rPr>
        <w:t xml:space="preserve">pasi vendimi i gjykatës së shkallës së parë ishte i formës së prerë dhe gjë e gjykuar. Apeli i Avokatit të Përgjithshëm të Shtetit është </w:t>
      </w:r>
      <w:r>
        <w:rPr>
          <w:rFonts w:ascii="Garamond" w:eastAsiaTheme="minorHAnsi" w:hAnsi="Garamond" w:cs="Times New Roman"/>
          <w:color w:val="000000"/>
          <w:sz w:val="24"/>
          <w:szCs w:val="24"/>
        </w:rPr>
        <w:t>depozituar në datën 15.</w:t>
      </w:r>
      <w:r w:rsidR="00153B1E" w:rsidRPr="00946E37">
        <w:rPr>
          <w:rFonts w:ascii="Garamond" w:eastAsiaTheme="minorHAnsi" w:hAnsi="Garamond" w:cs="Times New Roman"/>
          <w:color w:val="000000"/>
          <w:sz w:val="24"/>
          <w:szCs w:val="24"/>
        </w:rPr>
        <w:t>7.2014, pra 1 ditë jashtë afatit ligjor 15-ditor.</w:t>
      </w:r>
    </w:p>
    <w:p w14:paraId="5589BF03" w14:textId="0E20836C" w:rsidR="00153B1E" w:rsidRPr="00946E37" w:rsidRDefault="00946E37" w:rsidP="00153B1E">
      <w:pPr>
        <w:tabs>
          <w:tab w:val="left" w:pos="720"/>
          <w:tab w:val="left" w:pos="126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Pr>
          <w:rFonts w:ascii="Garamond" w:eastAsiaTheme="minorHAnsi" w:hAnsi="Garamond" w:cs="Times New Roman"/>
          <w:color w:val="000000"/>
          <w:sz w:val="24"/>
          <w:szCs w:val="24"/>
        </w:rPr>
        <w:t>11.3</w:t>
      </w:r>
      <w:r w:rsidR="00153B1E" w:rsidRPr="00946E37">
        <w:rPr>
          <w:rFonts w:ascii="Garamond" w:eastAsiaTheme="minorHAnsi" w:hAnsi="Garamond" w:cs="Times New Roman"/>
          <w:color w:val="000000"/>
          <w:sz w:val="24"/>
          <w:szCs w:val="24"/>
        </w:rPr>
        <w:t xml:space="preserve"> </w:t>
      </w:r>
      <w:r w:rsidR="00153B1E" w:rsidRPr="00946E37">
        <w:rPr>
          <w:rFonts w:ascii="Garamond" w:eastAsiaTheme="minorHAnsi" w:hAnsi="Garamond" w:cs="Times New Roman"/>
          <w:i/>
          <w:iCs/>
          <w:color w:val="000000"/>
          <w:sz w:val="24"/>
          <w:szCs w:val="24"/>
        </w:rPr>
        <w:t xml:space="preserve">Parimi i barazisë përpara ligjit, </w:t>
      </w:r>
      <w:r w:rsidR="00153B1E" w:rsidRPr="00946E37">
        <w:rPr>
          <w:rFonts w:ascii="Garamond" w:eastAsiaTheme="minorHAnsi" w:hAnsi="Garamond" w:cs="Times New Roman"/>
          <w:color w:val="000000"/>
          <w:sz w:val="24"/>
          <w:szCs w:val="24"/>
        </w:rPr>
        <w:t>i garantuar nga neni 18 i Kushtetutës,</w:t>
      </w:r>
      <w:r w:rsidR="00153B1E" w:rsidRPr="00946E37">
        <w:rPr>
          <w:rFonts w:ascii="Garamond" w:eastAsiaTheme="minorHAnsi" w:hAnsi="Garamond" w:cs="Times New Roman"/>
          <w:i/>
          <w:iCs/>
          <w:color w:val="000000"/>
          <w:sz w:val="24"/>
          <w:szCs w:val="24"/>
        </w:rPr>
        <w:t xml:space="preserve"> </w:t>
      </w:r>
      <w:r w:rsidR="00153B1E" w:rsidRPr="00946E37">
        <w:rPr>
          <w:rFonts w:ascii="Garamond" w:eastAsiaTheme="minorHAnsi" w:hAnsi="Garamond" w:cs="Times New Roman"/>
          <w:color w:val="000000"/>
          <w:sz w:val="24"/>
          <w:szCs w:val="24"/>
        </w:rPr>
        <w:t>pasi Gjykata e Lartë nuk ka marrë para</w:t>
      </w:r>
      <w:r w:rsidR="005605FA">
        <w:rPr>
          <w:rFonts w:ascii="Garamond" w:eastAsiaTheme="minorHAnsi" w:hAnsi="Garamond" w:cs="Times New Roman"/>
          <w:color w:val="000000"/>
          <w:sz w:val="24"/>
          <w:szCs w:val="24"/>
        </w:rPr>
        <w:t xml:space="preserve">sysh jurisprudencën e Gjykatës </w:t>
      </w:r>
      <w:r w:rsidR="00153B1E" w:rsidRPr="00946E37">
        <w:rPr>
          <w:rFonts w:ascii="Garamond" w:eastAsiaTheme="minorHAnsi" w:hAnsi="Garamond" w:cs="Times New Roman"/>
          <w:color w:val="000000"/>
          <w:sz w:val="24"/>
          <w:szCs w:val="24"/>
        </w:rPr>
        <w:t xml:space="preserve">dhe të vet asaj në disa vendime për parimin </w:t>
      </w:r>
      <w:r w:rsidR="00153B1E" w:rsidRPr="00946E37">
        <w:rPr>
          <w:rFonts w:ascii="Garamond" w:eastAsiaTheme="minorHAnsi" w:hAnsi="Garamond" w:cs="Times New Roman"/>
          <w:i/>
          <w:iCs/>
          <w:color w:val="000000"/>
          <w:sz w:val="24"/>
          <w:szCs w:val="24"/>
        </w:rPr>
        <w:t>res judicata</w:t>
      </w:r>
      <w:r w:rsidR="00153B1E" w:rsidRPr="00946E37">
        <w:rPr>
          <w:rFonts w:ascii="Garamond" w:eastAsiaTheme="minorHAnsi" w:hAnsi="Garamond" w:cs="Times New Roman"/>
          <w:color w:val="FF0000"/>
          <w:sz w:val="24"/>
          <w:szCs w:val="24"/>
        </w:rPr>
        <w:t xml:space="preserve"> </w:t>
      </w:r>
      <w:r w:rsidR="00153B1E" w:rsidRPr="00946E37">
        <w:rPr>
          <w:rFonts w:ascii="Garamond" w:eastAsiaTheme="minorHAnsi" w:hAnsi="Garamond" w:cs="Times New Roman"/>
          <w:color w:val="000000"/>
          <w:sz w:val="24"/>
          <w:szCs w:val="24"/>
        </w:rPr>
        <w:t>e për rrjedhojë, është favorizuar organi publik.</w:t>
      </w:r>
    </w:p>
    <w:p w14:paraId="2071C429" w14:textId="77777777" w:rsidR="00153B1E" w:rsidRPr="00946E37" w:rsidRDefault="00153B1E" w:rsidP="00153B1E">
      <w:pPr>
        <w:tabs>
          <w:tab w:val="left" w:pos="900"/>
          <w:tab w:val="left" w:pos="126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946E37">
        <w:rPr>
          <w:rFonts w:ascii="Garamond" w:eastAsiaTheme="minorHAnsi" w:hAnsi="Garamond" w:cs="Times New Roman"/>
          <w:i/>
          <w:iCs/>
          <w:color w:val="000000"/>
          <w:sz w:val="24"/>
          <w:szCs w:val="24"/>
        </w:rPr>
        <w:t xml:space="preserve">12. </w:t>
      </w:r>
      <w:r w:rsidRPr="00946E37">
        <w:rPr>
          <w:rFonts w:ascii="Garamond" w:eastAsiaTheme="minorHAnsi" w:hAnsi="Garamond" w:cs="Times New Roman"/>
          <w:b/>
          <w:bCs/>
          <w:i/>
          <w:iCs/>
          <w:color w:val="000000"/>
          <w:sz w:val="24"/>
          <w:szCs w:val="24"/>
        </w:rPr>
        <w:t>Subjekti i interesuar, Avokati i Përgjithshëm i Shtetit</w:t>
      </w:r>
      <w:r w:rsidRPr="00946E37">
        <w:rPr>
          <w:rFonts w:ascii="Garamond" w:eastAsiaTheme="minorHAnsi" w:hAnsi="Garamond" w:cs="Times New Roman"/>
          <w:color w:val="000000"/>
          <w:sz w:val="24"/>
          <w:szCs w:val="24"/>
        </w:rPr>
        <w:t>, në mënyrë të përmbledhur, ka prapësuar si vijon:</w:t>
      </w:r>
    </w:p>
    <w:p w14:paraId="477F2C37" w14:textId="05BB20DC" w:rsidR="00153B1E" w:rsidRPr="00946E37" w:rsidRDefault="00946E37" w:rsidP="00153B1E">
      <w:pPr>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12.1</w:t>
      </w:r>
      <w:r w:rsidR="00153B1E" w:rsidRPr="00946E37">
        <w:rPr>
          <w:rFonts w:ascii="Garamond" w:eastAsiaTheme="minorHAnsi" w:hAnsi="Garamond" w:cs="Times New Roman"/>
          <w:color w:val="000000"/>
          <w:sz w:val="24"/>
          <w:szCs w:val="24"/>
        </w:rPr>
        <w:t xml:space="preserve"> Kërkuesi nuk ka </w:t>
      </w:r>
      <w:r w:rsidR="00153B1E" w:rsidRPr="00946E37">
        <w:rPr>
          <w:rFonts w:ascii="Garamond" w:eastAsiaTheme="minorHAnsi" w:hAnsi="Garamond" w:cs="Times New Roman"/>
          <w:i/>
          <w:iCs/>
          <w:color w:val="000000"/>
          <w:sz w:val="24"/>
          <w:szCs w:val="24"/>
        </w:rPr>
        <w:t>shteruar mjetet juridike efektive në dispozicion,</w:t>
      </w:r>
      <w:r w:rsidR="00153B1E" w:rsidRPr="00946E37">
        <w:rPr>
          <w:rFonts w:ascii="Garamond" w:eastAsiaTheme="minorHAnsi" w:hAnsi="Garamond" w:cs="Times New Roman"/>
          <w:color w:val="000000"/>
          <w:sz w:val="24"/>
          <w:szCs w:val="24"/>
        </w:rPr>
        <w:t xml:space="preserve"> pasi vendimi i Gjykatës së Lartë ka vendosur kthimin e çështjes për rigjykim në gjykatën e apelit, ndaj pretendimet duhet t’i paraqiste përpara asaj gjykate. </w:t>
      </w:r>
    </w:p>
    <w:p w14:paraId="74D01338" w14:textId="4A9B42F7" w:rsidR="00153B1E" w:rsidRPr="00946E37" w:rsidRDefault="00946E37"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12.2</w:t>
      </w:r>
      <w:r w:rsidR="00153B1E" w:rsidRPr="00946E37">
        <w:rPr>
          <w:rFonts w:ascii="Garamond" w:eastAsiaTheme="minorHAnsi" w:hAnsi="Garamond" w:cs="Times New Roman"/>
          <w:color w:val="000000"/>
          <w:sz w:val="24"/>
          <w:szCs w:val="24"/>
        </w:rPr>
        <w:t xml:space="preserve"> Pretendimi për cenimin e </w:t>
      </w:r>
      <w:r w:rsidR="00153B1E" w:rsidRPr="00946E37">
        <w:rPr>
          <w:rFonts w:ascii="Garamond" w:eastAsiaTheme="minorHAnsi" w:hAnsi="Garamond" w:cs="Times New Roman"/>
          <w:i/>
          <w:iCs/>
          <w:color w:val="000000"/>
          <w:sz w:val="24"/>
          <w:szCs w:val="24"/>
        </w:rPr>
        <w:t>së drejtës për një proces të rregullt ligjor</w:t>
      </w:r>
      <w:r w:rsidR="00153B1E" w:rsidRPr="00946E37">
        <w:rPr>
          <w:rFonts w:ascii="Garamond" w:eastAsiaTheme="minorHAnsi" w:hAnsi="Garamond" w:cs="Times New Roman"/>
          <w:color w:val="000000"/>
          <w:sz w:val="24"/>
          <w:szCs w:val="24"/>
        </w:rPr>
        <w:t xml:space="preserve"> nuk qëndron, pasi:</w:t>
      </w:r>
    </w:p>
    <w:p w14:paraId="6D7E31FE" w14:textId="552D4805"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946E37">
        <w:rPr>
          <w:rFonts w:ascii="Garamond" w:eastAsiaTheme="minorHAnsi" w:hAnsi="Garamond" w:cs="Times New Roman"/>
          <w:color w:val="000000"/>
          <w:sz w:val="24"/>
          <w:szCs w:val="24"/>
        </w:rPr>
        <w:t>1</w:t>
      </w:r>
      <w:r w:rsidR="00946E37">
        <w:rPr>
          <w:rFonts w:ascii="Garamond" w:eastAsiaTheme="minorHAnsi" w:hAnsi="Garamond" w:cs="Times New Roman"/>
          <w:color w:val="000000"/>
          <w:sz w:val="24"/>
          <w:szCs w:val="24"/>
        </w:rPr>
        <w:t>2.2.1</w:t>
      </w:r>
      <w:r w:rsidRPr="00946E37">
        <w:rPr>
          <w:rFonts w:ascii="Garamond" w:eastAsiaTheme="minorHAnsi" w:hAnsi="Garamond" w:cs="Times New Roman"/>
          <w:color w:val="000000"/>
          <w:sz w:val="24"/>
          <w:szCs w:val="24"/>
        </w:rPr>
        <w:t xml:space="preserve"> Gjykata e Lartë, në respektim të </w:t>
      </w:r>
      <w:r w:rsidRPr="00946E37">
        <w:rPr>
          <w:rFonts w:ascii="Garamond" w:eastAsiaTheme="minorHAnsi" w:hAnsi="Garamond" w:cs="Times New Roman"/>
          <w:i/>
          <w:iCs/>
          <w:color w:val="000000"/>
          <w:sz w:val="24"/>
          <w:szCs w:val="24"/>
        </w:rPr>
        <w:t>parimit të gjykatës së caktuar me ligj</w:t>
      </w:r>
      <w:r w:rsidRPr="00946E37">
        <w:rPr>
          <w:rFonts w:ascii="Garamond" w:eastAsiaTheme="minorHAnsi" w:hAnsi="Garamond" w:cs="Times New Roman"/>
          <w:color w:val="000000"/>
          <w:sz w:val="24"/>
          <w:szCs w:val="24"/>
        </w:rPr>
        <w:t xml:space="preserve">, pra brenda kompetencave ligjore të saj, e ka kthyer çështjen për rigjykim, duke dhënë udhëzimet përkatëse, në mënyrë që gjykata e apelit të arrijë në një konkluzion të plotë për çështjen. </w:t>
      </w:r>
    </w:p>
    <w:p w14:paraId="1D50D7C9" w14:textId="7C034A5F" w:rsidR="00153B1E" w:rsidRPr="00946E37" w:rsidRDefault="00946E37" w:rsidP="00153B1E">
      <w:pPr>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12.2.2</w:t>
      </w:r>
      <w:r w:rsidR="00153B1E" w:rsidRPr="00946E37">
        <w:rPr>
          <w:rFonts w:ascii="Garamond" w:eastAsiaTheme="minorHAnsi" w:hAnsi="Garamond" w:cs="Times New Roman"/>
          <w:color w:val="000000"/>
          <w:sz w:val="24"/>
          <w:szCs w:val="24"/>
        </w:rPr>
        <w:t xml:space="preserve"> Kërkuesi është dëgjuar në seancë për pretendimet e tij, duke i pasur të gjitha mundësitë për t’u mbrojtur dhe për të paraqitur qëndrimin e tij, ndaj pretendimi për cenimin e </w:t>
      </w:r>
      <w:r w:rsidR="00153B1E" w:rsidRPr="00946E37">
        <w:rPr>
          <w:rFonts w:ascii="Garamond" w:eastAsiaTheme="minorHAnsi" w:hAnsi="Garamond" w:cs="Times New Roman"/>
          <w:i/>
          <w:iCs/>
          <w:color w:val="000000"/>
          <w:sz w:val="24"/>
          <w:szCs w:val="24"/>
        </w:rPr>
        <w:t>parimit të barazisë së armëve</w:t>
      </w:r>
      <w:r w:rsidR="00153B1E" w:rsidRPr="00946E37">
        <w:rPr>
          <w:rFonts w:ascii="Garamond" w:eastAsiaTheme="minorHAnsi" w:hAnsi="Garamond" w:cs="Times New Roman"/>
          <w:color w:val="000000"/>
          <w:sz w:val="24"/>
          <w:szCs w:val="24"/>
        </w:rPr>
        <w:t xml:space="preserve"> të lidhur me </w:t>
      </w:r>
      <w:r w:rsidR="00153B1E" w:rsidRPr="00946E37">
        <w:rPr>
          <w:rFonts w:ascii="Garamond" w:eastAsiaTheme="minorHAnsi" w:hAnsi="Garamond" w:cs="Times New Roman"/>
          <w:i/>
          <w:iCs/>
          <w:color w:val="000000"/>
          <w:sz w:val="24"/>
          <w:szCs w:val="24"/>
        </w:rPr>
        <w:t>të drejtën e mbrojtjes</w:t>
      </w:r>
      <w:r w:rsidR="00153B1E" w:rsidRPr="00946E37">
        <w:rPr>
          <w:rFonts w:ascii="Garamond" w:eastAsiaTheme="minorHAnsi" w:hAnsi="Garamond" w:cs="Times New Roman"/>
          <w:color w:val="000000"/>
          <w:sz w:val="24"/>
          <w:szCs w:val="24"/>
        </w:rPr>
        <w:t xml:space="preserve"> është i pabazuar.</w:t>
      </w:r>
    </w:p>
    <w:p w14:paraId="4172ECE5" w14:textId="7ED63F20" w:rsidR="00153B1E" w:rsidRPr="00946E37" w:rsidRDefault="00946E37" w:rsidP="00153B1E">
      <w:pPr>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12.2.3</w:t>
      </w:r>
      <w:r w:rsidR="00153B1E" w:rsidRPr="00946E37">
        <w:rPr>
          <w:rFonts w:ascii="Garamond" w:eastAsiaTheme="minorHAnsi" w:hAnsi="Garamond" w:cs="Times New Roman"/>
          <w:color w:val="000000"/>
          <w:sz w:val="24"/>
          <w:szCs w:val="24"/>
        </w:rPr>
        <w:t xml:space="preserve"> Vendimi i Gjykatës së Lartë i plotëson kriteret e vendosura nga jurisprudenca kushtetuese për arsyetimin e vendimit, për rrjedhojë nuk qëndron pretendimi për cenimin e </w:t>
      </w:r>
      <w:r w:rsidR="00153B1E" w:rsidRPr="00946E37">
        <w:rPr>
          <w:rFonts w:ascii="Garamond" w:eastAsiaTheme="minorHAnsi" w:hAnsi="Garamond" w:cs="Times New Roman"/>
          <w:i/>
          <w:iCs/>
          <w:color w:val="000000"/>
          <w:sz w:val="24"/>
          <w:szCs w:val="24"/>
        </w:rPr>
        <w:t>standardit të arsyetimit të vendimit gjyqësor</w:t>
      </w:r>
      <w:r w:rsidR="00153B1E" w:rsidRPr="00946E37">
        <w:rPr>
          <w:rFonts w:ascii="Garamond" w:eastAsiaTheme="minorHAnsi" w:hAnsi="Garamond" w:cs="Times New Roman"/>
          <w:color w:val="000000"/>
          <w:sz w:val="24"/>
          <w:szCs w:val="24"/>
        </w:rPr>
        <w:t xml:space="preserve"> të lidhur me </w:t>
      </w:r>
      <w:r w:rsidR="00153B1E" w:rsidRPr="00946E37">
        <w:rPr>
          <w:rFonts w:ascii="Garamond" w:eastAsiaTheme="minorHAnsi" w:hAnsi="Garamond" w:cs="Times New Roman"/>
          <w:i/>
          <w:iCs/>
          <w:color w:val="000000"/>
          <w:sz w:val="24"/>
          <w:szCs w:val="24"/>
        </w:rPr>
        <w:t>të drejtën e aksesit</w:t>
      </w:r>
      <w:r w:rsidR="00153B1E" w:rsidRPr="00946E37">
        <w:rPr>
          <w:rFonts w:ascii="Garamond" w:eastAsiaTheme="minorHAnsi" w:hAnsi="Garamond" w:cs="Times New Roman"/>
          <w:color w:val="000000"/>
          <w:sz w:val="24"/>
          <w:szCs w:val="24"/>
        </w:rPr>
        <w:t>.</w:t>
      </w:r>
    </w:p>
    <w:p w14:paraId="70F6F3D7" w14:textId="55B40D0A" w:rsidR="00153B1E" w:rsidRPr="00946E37" w:rsidRDefault="00946E37" w:rsidP="00153B1E">
      <w:pPr>
        <w:tabs>
          <w:tab w:val="left" w:pos="144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12.3</w:t>
      </w:r>
      <w:r w:rsidR="00153B1E" w:rsidRPr="00946E37">
        <w:rPr>
          <w:rFonts w:ascii="Garamond" w:eastAsiaTheme="minorHAnsi" w:hAnsi="Garamond" w:cs="Times New Roman"/>
          <w:color w:val="000000"/>
          <w:sz w:val="24"/>
          <w:szCs w:val="24"/>
        </w:rPr>
        <w:t xml:space="preserve"> Pretendimi për cenimin e </w:t>
      </w:r>
      <w:r w:rsidR="00153B1E" w:rsidRPr="00946E37">
        <w:rPr>
          <w:rFonts w:ascii="Garamond" w:eastAsiaTheme="minorHAnsi" w:hAnsi="Garamond" w:cs="Times New Roman"/>
          <w:i/>
          <w:iCs/>
          <w:color w:val="000000"/>
          <w:sz w:val="24"/>
          <w:szCs w:val="24"/>
        </w:rPr>
        <w:t>parimit të sigurisë juridike</w:t>
      </w:r>
      <w:r w:rsidR="00153B1E" w:rsidRPr="00946E37">
        <w:rPr>
          <w:rFonts w:ascii="Garamond" w:eastAsiaTheme="minorHAnsi" w:hAnsi="Garamond" w:cs="Times New Roman"/>
          <w:color w:val="000000"/>
          <w:sz w:val="24"/>
          <w:szCs w:val="24"/>
        </w:rPr>
        <w:t xml:space="preserve"> i lidhur me parimin </w:t>
      </w:r>
      <w:r w:rsidR="00153B1E" w:rsidRPr="00946E37">
        <w:rPr>
          <w:rFonts w:ascii="Garamond" w:eastAsiaTheme="minorHAnsi" w:hAnsi="Garamond" w:cs="Times New Roman"/>
          <w:i/>
          <w:iCs/>
          <w:color w:val="000000"/>
          <w:sz w:val="24"/>
          <w:szCs w:val="24"/>
        </w:rPr>
        <w:t>res judicata</w:t>
      </w:r>
      <w:r w:rsidR="00153B1E" w:rsidRPr="00946E37">
        <w:rPr>
          <w:rFonts w:ascii="Garamond" w:eastAsiaTheme="minorHAnsi" w:hAnsi="Garamond" w:cs="Times New Roman"/>
          <w:color w:val="000000"/>
          <w:sz w:val="24"/>
          <w:szCs w:val="24"/>
        </w:rPr>
        <w:t xml:space="preserve"> nuk qëndron. Apeli është paraqitur brenda afatit ligjor dhe ky fakt është shqyrtuar nga gjykata e apelit, ku është paraqitur si provë kopja e librit të postës. Gjykata e apelit ka arritur në konkluzionin se çështja e pranueshmërisë së apelit ishte trajtuar në rrugë gjyqësore nga të tria shkallët e gjyqësorit, duke rrëzuar pretendimin e kërkuesit.</w:t>
      </w:r>
    </w:p>
    <w:p w14:paraId="4CF57977" w14:textId="7C17F6E7" w:rsidR="00153B1E" w:rsidRPr="00946E37" w:rsidRDefault="00946E37" w:rsidP="00153B1E">
      <w:pPr>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12.4</w:t>
      </w:r>
      <w:r w:rsidR="00153B1E" w:rsidRPr="00946E37">
        <w:rPr>
          <w:rFonts w:ascii="Garamond" w:eastAsiaTheme="minorHAnsi" w:hAnsi="Garamond" w:cs="Times New Roman"/>
          <w:color w:val="000000"/>
          <w:sz w:val="24"/>
          <w:szCs w:val="24"/>
        </w:rPr>
        <w:t xml:space="preserve"> Pretendimi për cenimin e </w:t>
      </w:r>
      <w:r w:rsidR="00153B1E" w:rsidRPr="00946E37">
        <w:rPr>
          <w:rFonts w:ascii="Garamond" w:eastAsiaTheme="minorHAnsi" w:hAnsi="Garamond" w:cs="Times New Roman"/>
          <w:i/>
          <w:iCs/>
          <w:color w:val="000000"/>
          <w:sz w:val="24"/>
          <w:szCs w:val="24"/>
        </w:rPr>
        <w:t>parimit të barazisë përpara ligjit</w:t>
      </w:r>
      <w:r w:rsidR="00153B1E" w:rsidRPr="00946E37">
        <w:rPr>
          <w:rFonts w:ascii="Garamond" w:eastAsiaTheme="minorHAnsi" w:hAnsi="Garamond" w:cs="Times New Roman"/>
          <w:color w:val="000000"/>
          <w:sz w:val="24"/>
          <w:szCs w:val="24"/>
        </w:rPr>
        <w:t xml:space="preserve"> është i pabazuar. Fakti që gjykatat e zakonshme kanë vendosur ndryshe në një rast të ngjashëm, në vetvete nuk justifikon apriori pretendimin e kërkuesit, pasi mënyra e zgjidhjes së çështjes dhe e zbatimit të ligjit është e drejtë e çdo gjykate, për sa kohë që çdo çështje konkrete është specifike dhe ka individualitetin e saj. </w:t>
      </w:r>
    </w:p>
    <w:p w14:paraId="0041958A" w14:textId="77777777" w:rsidR="00153B1E" w:rsidRPr="00946E37" w:rsidRDefault="00153B1E" w:rsidP="00153B1E">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F12714C"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III</w:t>
      </w:r>
    </w:p>
    <w:p w14:paraId="31916A38"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Vlerësimi i Gjykatës Kushtetuese</w:t>
      </w:r>
    </w:p>
    <w:p w14:paraId="32A4C714" w14:textId="77777777" w:rsidR="00153B1E" w:rsidRPr="00946E37" w:rsidRDefault="00153B1E" w:rsidP="00153B1E">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767610D8" w14:textId="7777777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946E37">
        <w:rPr>
          <w:rFonts w:ascii="Garamond" w:eastAsiaTheme="minorHAnsi" w:hAnsi="Garamond" w:cs="Times New Roman"/>
          <w:i/>
          <w:iCs/>
          <w:color w:val="000000"/>
          <w:sz w:val="24"/>
          <w:szCs w:val="24"/>
        </w:rPr>
        <w:t>A. Për kërkesën paraprake në gjykimin kushtetues</w:t>
      </w:r>
    </w:p>
    <w:p w14:paraId="2A7132B8" w14:textId="493EB10A"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13. Kërkuesi i është drejtuar Gjykatës me kërkesë paraprake, e cila lidhet me kohën e paraqitjes së prapësimeve nga subjekti i interesuar. Ai ka pretenduar se, ndonëse Gjykata, sipas pikës 6</w:t>
      </w:r>
      <w:r w:rsidR="00DE480B">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të nenit 38</w:t>
      </w:r>
      <w:r w:rsidR="00DE480B">
        <w:rPr>
          <w:rFonts w:ascii="Garamond" w:eastAsiaTheme="minorHAnsi" w:hAnsi="Garamond" w:cs="Times New Roman"/>
          <w:color w:val="000000"/>
          <w:sz w:val="24"/>
          <w:szCs w:val="24"/>
        </w:rPr>
        <w:t>,</w:t>
      </w:r>
      <w:bookmarkStart w:id="0" w:name="_GoBack"/>
      <w:bookmarkEnd w:id="0"/>
      <w:r w:rsidRPr="00946E37">
        <w:rPr>
          <w:rFonts w:ascii="Garamond" w:eastAsiaTheme="minorHAnsi" w:hAnsi="Garamond" w:cs="Times New Roman"/>
          <w:color w:val="000000"/>
          <w:sz w:val="24"/>
          <w:szCs w:val="24"/>
        </w:rPr>
        <w:t xml:space="preserve"> të Ligjit Organik të saj, kishte caktuar afatin deri në d</w:t>
      </w:r>
      <w:r w:rsidR="00946E37">
        <w:rPr>
          <w:rFonts w:ascii="Garamond" w:eastAsiaTheme="minorHAnsi" w:hAnsi="Garamond" w:cs="Times New Roman"/>
          <w:color w:val="000000"/>
          <w:sz w:val="24"/>
          <w:szCs w:val="24"/>
        </w:rPr>
        <w:t>atën 1.</w:t>
      </w:r>
      <w:r w:rsidRPr="00946E37">
        <w:rPr>
          <w:rFonts w:ascii="Garamond" w:eastAsiaTheme="minorHAnsi" w:hAnsi="Garamond" w:cs="Times New Roman"/>
          <w:color w:val="000000"/>
          <w:sz w:val="24"/>
          <w:szCs w:val="24"/>
        </w:rPr>
        <w:t>7.2025, parashtrimet e subjektit të inte</w:t>
      </w:r>
      <w:r w:rsidR="00946E37">
        <w:rPr>
          <w:rFonts w:ascii="Garamond" w:eastAsiaTheme="minorHAnsi" w:hAnsi="Garamond" w:cs="Times New Roman"/>
          <w:color w:val="000000"/>
          <w:sz w:val="24"/>
          <w:szCs w:val="24"/>
        </w:rPr>
        <w:t>resuar janë paraqitur në datën 3.</w:t>
      </w:r>
      <w:r w:rsidRPr="00946E37">
        <w:rPr>
          <w:rFonts w:ascii="Garamond" w:eastAsiaTheme="minorHAnsi" w:hAnsi="Garamond" w:cs="Times New Roman"/>
          <w:color w:val="000000"/>
          <w:sz w:val="24"/>
          <w:szCs w:val="24"/>
        </w:rPr>
        <w:t xml:space="preserve">7.2025, ndaj ato nuk duhet të merren në shqyrtim. </w:t>
      </w:r>
    </w:p>
    <w:p w14:paraId="53B3873F" w14:textId="6DFECDAC"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14. Gjykata konstaton se subjekti i interesuar është thirrur nga Gjykata për të marrë pjesë në gjykimin kushtetues, duke vlerësuar se ishte i rëndësishëm dëgjimi i tij në cilësinë e palës së paditur në procesin gjyqësor të kundërshtuar. Ai ësh</w:t>
      </w:r>
      <w:r w:rsidR="00946E37">
        <w:rPr>
          <w:rFonts w:ascii="Garamond" w:eastAsiaTheme="minorHAnsi" w:hAnsi="Garamond" w:cs="Times New Roman"/>
          <w:color w:val="000000"/>
          <w:sz w:val="24"/>
          <w:szCs w:val="24"/>
        </w:rPr>
        <w:t>të njoftuar me shkrim në datën 3.</w:t>
      </w:r>
      <w:r w:rsidRPr="00946E37">
        <w:rPr>
          <w:rFonts w:ascii="Garamond" w:eastAsiaTheme="minorHAnsi" w:hAnsi="Garamond" w:cs="Times New Roman"/>
          <w:color w:val="000000"/>
          <w:sz w:val="24"/>
          <w:szCs w:val="24"/>
        </w:rPr>
        <w:t>6.2025</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për paraqitjen e prapësimeve m</w:t>
      </w:r>
      <w:r w:rsidR="00946E37">
        <w:rPr>
          <w:rFonts w:ascii="Garamond" w:eastAsiaTheme="minorHAnsi" w:hAnsi="Garamond" w:cs="Times New Roman"/>
          <w:color w:val="000000"/>
          <w:sz w:val="24"/>
          <w:szCs w:val="24"/>
        </w:rPr>
        <w:t>e shkrim brenda datës 1.</w:t>
      </w:r>
      <w:r w:rsidRPr="00946E37">
        <w:rPr>
          <w:rFonts w:ascii="Garamond" w:eastAsiaTheme="minorHAnsi" w:hAnsi="Garamond" w:cs="Times New Roman"/>
          <w:color w:val="000000"/>
          <w:sz w:val="24"/>
          <w:szCs w:val="24"/>
        </w:rPr>
        <w:t>7.2025. Prapësimet janë postuar në d</w:t>
      </w:r>
      <w:r w:rsidR="00946E37">
        <w:rPr>
          <w:rFonts w:ascii="Garamond" w:eastAsiaTheme="minorHAnsi" w:hAnsi="Garamond" w:cs="Times New Roman"/>
          <w:color w:val="000000"/>
          <w:sz w:val="24"/>
          <w:szCs w:val="24"/>
        </w:rPr>
        <w:t>atën 1.</w:t>
      </w:r>
      <w:r w:rsidRPr="00946E37">
        <w:rPr>
          <w:rFonts w:ascii="Garamond" w:eastAsiaTheme="minorHAnsi" w:hAnsi="Garamond" w:cs="Times New Roman"/>
          <w:color w:val="000000"/>
          <w:sz w:val="24"/>
          <w:szCs w:val="24"/>
        </w:rPr>
        <w:t>7.2025 (sipas vulës së shërbimit postar) dhe kanë</w:t>
      </w:r>
      <w:r w:rsidR="00946E37">
        <w:rPr>
          <w:rFonts w:ascii="Garamond" w:eastAsiaTheme="minorHAnsi" w:hAnsi="Garamond" w:cs="Times New Roman"/>
          <w:color w:val="000000"/>
          <w:sz w:val="24"/>
          <w:szCs w:val="24"/>
        </w:rPr>
        <w:t xml:space="preserve"> mbërritur në Gjykatë në datën 3.</w:t>
      </w:r>
      <w:r w:rsidRPr="00946E37">
        <w:rPr>
          <w:rFonts w:ascii="Garamond" w:eastAsiaTheme="minorHAnsi" w:hAnsi="Garamond" w:cs="Times New Roman"/>
          <w:color w:val="000000"/>
          <w:sz w:val="24"/>
          <w:szCs w:val="24"/>
        </w:rPr>
        <w:t>7.2025. Duke mbajtur parasysh datën e postimit të tyre, Gjykata, bazuar në fjalinë e fundit të pikës 5</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të nenit 15 të Rregullores për Procedurat Gjyqësore të Gjykatës Kushtetuese, arrin në përfundimin se parashtrimet konsiderohen të paraqitura në afat, për rrjedhojë kërkesa paraprake e kërkuesit është e pabazuar dhe nuk pranohet.</w:t>
      </w:r>
    </w:p>
    <w:p w14:paraId="295863E4" w14:textId="7777777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i/>
          <w:iCs/>
          <w:color w:val="000000"/>
          <w:sz w:val="24"/>
          <w:szCs w:val="24"/>
        </w:rPr>
        <w:t>B.</w:t>
      </w:r>
      <w:r w:rsidRPr="00946E37">
        <w:rPr>
          <w:rFonts w:ascii="Garamond" w:eastAsiaTheme="minorHAnsi" w:hAnsi="Garamond" w:cs="Times New Roman"/>
          <w:color w:val="000000"/>
          <w:sz w:val="24"/>
          <w:szCs w:val="24"/>
        </w:rPr>
        <w:t xml:space="preserve"> </w:t>
      </w:r>
      <w:r w:rsidRPr="00946E37">
        <w:rPr>
          <w:rFonts w:ascii="Garamond" w:eastAsiaTheme="minorHAnsi" w:hAnsi="Garamond" w:cs="Times New Roman"/>
          <w:i/>
          <w:iCs/>
          <w:color w:val="000000"/>
          <w:sz w:val="24"/>
          <w:szCs w:val="24"/>
        </w:rPr>
        <w:t>Për legjitimimin e kërkuesit</w:t>
      </w:r>
    </w:p>
    <w:p w14:paraId="3EFCD9CD" w14:textId="7777777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15. Çështja e legjitimimit </w:t>
      </w:r>
      <w:r w:rsidRPr="00946E37">
        <w:rPr>
          <w:rFonts w:ascii="Garamond" w:eastAsiaTheme="minorHAnsi" w:hAnsi="Garamond" w:cs="Times New Roman"/>
          <w:i/>
          <w:iCs/>
          <w:color w:val="000000"/>
          <w:sz w:val="24"/>
          <w:szCs w:val="24"/>
        </w:rPr>
        <w:t>(locus standi)</w:t>
      </w:r>
      <w:r w:rsidRPr="00946E37">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kumulative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053C5B41" w14:textId="22CBCEC5"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16. Në këndvështrim të kritereve paraprake, Gjykata çmon se kërkuesi, si individ, legjitimohet </w:t>
      </w:r>
      <w:r w:rsidRPr="00946E37">
        <w:rPr>
          <w:rFonts w:ascii="Garamond" w:eastAsiaTheme="minorHAnsi" w:hAnsi="Garamond" w:cs="Times New Roman"/>
          <w:i/>
          <w:iCs/>
          <w:color w:val="000000"/>
          <w:sz w:val="24"/>
          <w:szCs w:val="24"/>
        </w:rPr>
        <w:t>ratione personae</w:t>
      </w:r>
      <w:r w:rsidRPr="00946E37">
        <w:rPr>
          <w:rFonts w:ascii="Garamond" w:eastAsiaTheme="minorHAnsi" w:hAnsi="Garamond" w:cs="Times New Roman"/>
          <w:color w:val="000000"/>
          <w:sz w:val="24"/>
          <w:szCs w:val="24"/>
        </w:rPr>
        <w:t>, në kuptim të shkronjës “f”</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të pikës 1</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të nenit 131 dhe shkronjës “i”</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të pikës 1</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të nenit 134 të Kushtetutës, pasi është palë ndërgjyqëse në çështjen ku është vendosur për marrëdhënien e punësimit të tij, për rrjedhojë justifikon interesin në çështjen e parashtruar.</w:t>
      </w:r>
    </w:p>
    <w:p w14:paraId="77856E8E" w14:textId="071FEAC5"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17. Një kriter tjetër paraprak është </w:t>
      </w:r>
      <w:r w:rsidRPr="00946E37">
        <w:rPr>
          <w:rFonts w:ascii="Garamond" w:eastAsiaTheme="minorHAnsi" w:hAnsi="Garamond" w:cs="Times New Roman"/>
          <w:i/>
          <w:iCs/>
          <w:color w:val="000000"/>
          <w:sz w:val="24"/>
          <w:szCs w:val="24"/>
        </w:rPr>
        <w:t>shterimi i mjeteve juridike efektive</w:t>
      </w:r>
      <w:r w:rsidRPr="00946E37">
        <w:rPr>
          <w:rFonts w:ascii="Garamond" w:eastAsiaTheme="minorHAnsi" w:hAnsi="Garamond" w:cs="Times New Roman"/>
          <w:color w:val="000000"/>
          <w:sz w:val="24"/>
          <w:szCs w:val="24"/>
        </w:rPr>
        <w:t>, që përcaktohet nga neni 131, pika 1, shkronja “f”, i Kushtetutës, sipas të cilit Gjykata bën gjykimin përfundimtar të ankesave individuale kundër çdo vendimi gjyqësor, pasi të jenë shteruar të gjitha mjetet juridike efektive për mbrojtjen e të drejtave dhe lirive themelore kushtetuese që pretendohet se janë cenuar. Cenimi i të drejtave themelore mund të pretendohet në këtë Gjykatë vetëm pasi të shterohen të gjitha mundësitë e ofruara nga sistemi i apelimeve dhe kjo vlen edhe në rastet kur procedurat gjyqësore paraprake çojnë në një rëndim të mëtejshëm ose në tejzgjatjen e cenimit të tyre</w:t>
      </w:r>
      <w:r w:rsidRPr="00946E37">
        <w:rPr>
          <w:rFonts w:ascii="Garamond" w:eastAsiaTheme="minorHAnsi" w:hAnsi="Garamond" w:cs="Times New Roman"/>
          <w:i/>
          <w:iCs/>
          <w:color w:val="000000"/>
          <w:sz w:val="24"/>
          <w:szCs w:val="24"/>
        </w:rPr>
        <w:t xml:space="preserve"> (shih vendimet nr. 24,</w:t>
      </w:r>
      <w:r w:rsidR="00946E37">
        <w:rPr>
          <w:rFonts w:ascii="Garamond" w:eastAsiaTheme="minorHAnsi" w:hAnsi="Garamond" w:cs="Times New Roman"/>
          <w:i/>
          <w:iCs/>
          <w:color w:val="000000"/>
          <w:sz w:val="24"/>
          <w:szCs w:val="24"/>
        </w:rPr>
        <w:t xml:space="preserve"> datë 27.4.2023; nr. 19, datë 7.7.2022; nr. 14, datë 11.</w:t>
      </w:r>
      <w:r w:rsidRPr="00946E37">
        <w:rPr>
          <w:rFonts w:ascii="Garamond" w:eastAsiaTheme="minorHAnsi" w:hAnsi="Garamond" w:cs="Times New Roman"/>
          <w:i/>
          <w:iCs/>
          <w:color w:val="000000"/>
          <w:sz w:val="24"/>
          <w:szCs w:val="24"/>
        </w:rPr>
        <w:t>3.2021</w:t>
      </w:r>
      <w:r w:rsidR="00946E37">
        <w:rPr>
          <w:rFonts w:ascii="Garamond" w:eastAsiaTheme="minorHAnsi" w:hAnsi="Garamond" w:cs="Times New Roman"/>
          <w:i/>
          <w:iCs/>
          <w:color w:val="000000"/>
          <w:sz w:val="24"/>
          <w:szCs w:val="24"/>
        </w:rPr>
        <w:t>,</w:t>
      </w:r>
      <w:r w:rsidRPr="00946E37">
        <w:rPr>
          <w:rFonts w:ascii="Garamond" w:eastAsiaTheme="minorHAnsi" w:hAnsi="Garamond" w:cs="Times New Roman"/>
          <w:i/>
          <w:iCs/>
          <w:color w:val="000000"/>
          <w:sz w:val="24"/>
          <w:szCs w:val="24"/>
        </w:rPr>
        <w:t xml:space="preserve"> të Gjykatës Kushtetuese)</w:t>
      </w:r>
      <w:r w:rsidR="00946E37">
        <w:rPr>
          <w:rFonts w:ascii="Garamond" w:eastAsiaTheme="minorHAnsi" w:hAnsi="Garamond" w:cs="Times New Roman"/>
          <w:color w:val="000000"/>
          <w:sz w:val="24"/>
          <w:szCs w:val="24"/>
        </w:rPr>
        <w:t>.</w:t>
      </w:r>
    </w:p>
    <w:p w14:paraId="54EF224A" w14:textId="77777777"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18. Në rastin konkret, Gjykata vëren se objekti i ankimit kushtetues individual është shfuqizimi i vendimit të Gjykatës së Lartë, i cili ka vendosur dërgimin e çështjes për rishqyrtim në gjykatën e apelit. Pretendimi kryesor i kërkuesit lidhet me cenimin e parimit të sigurisë juridike në drejtim të gjësë së gjykuar, që ka të bëjë me faktin se gjykata e apelit ka marrë në shqyrtim apelin e paraqitur jashtë afatit ligjor nga Avokati i Përgjithshëm i Shtetit.</w:t>
      </w:r>
    </w:p>
    <w:p w14:paraId="75034F84" w14:textId="7DAD3130" w:rsidR="00153B1E" w:rsidRPr="00946E37" w:rsidRDefault="00153B1E" w:rsidP="00153B1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19. Në jurisprudencën e saj Gjykata ka pohuar se, si rregull, vendimet për kthimin e çështjes për rigjykim nuk konsiderohen përfundimtare, për efektet e gjykimit kushtetues, pasi ato nuk vendosin në mënyrë përfundimtare për themelin e çështjes </w:t>
      </w:r>
      <w:r w:rsidR="00946E37">
        <w:rPr>
          <w:rFonts w:ascii="Garamond" w:eastAsiaTheme="minorHAnsi" w:hAnsi="Garamond" w:cs="Times New Roman"/>
          <w:i/>
          <w:iCs/>
          <w:color w:val="000000"/>
          <w:sz w:val="24"/>
          <w:szCs w:val="24"/>
        </w:rPr>
        <w:t>(shih vendimet nr. 39, datë 6.7.2016; nr. 48, datë 6.</w:t>
      </w:r>
      <w:r w:rsidRPr="00946E37">
        <w:rPr>
          <w:rFonts w:ascii="Garamond" w:eastAsiaTheme="minorHAnsi" w:hAnsi="Garamond" w:cs="Times New Roman"/>
          <w:i/>
          <w:iCs/>
          <w:color w:val="000000"/>
          <w:sz w:val="24"/>
          <w:szCs w:val="24"/>
        </w:rPr>
        <w:t>7.2015</w:t>
      </w:r>
      <w:r w:rsidR="00946E37">
        <w:rPr>
          <w:rFonts w:ascii="Garamond" w:eastAsiaTheme="minorHAnsi" w:hAnsi="Garamond" w:cs="Times New Roman"/>
          <w:i/>
          <w:iCs/>
          <w:color w:val="000000"/>
          <w:sz w:val="24"/>
          <w:szCs w:val="24"/>
        </w:rPr>
        <w:t>,</w:t>
      </w:r>
      <w:r w:rsidRPr="00946E37">
        <w:rPr>
          <w:rFonts w:ascii="Garamond" w:eastAsiaTheme="minorHAnsi" w:hAnsi="Garamond" w:cs="Times New Roman"/>
          <w:i/>
          <w:iCs/>
          <w:color w:val="000000"/>
          <w:sz w:val="24"/>
          <w:szCs w:val="24"/>
        </w:rPr>
        <w:t xml:space="preserve"> të Gjykatës Kushtetuese)</w:t>
      </w:r>
      <w:r w:rsidRPr="00946E37">
        <w:rPr>
          <w:rFonts w:ascii="Garamond" w:eastAsiaTheme="minorHAnsi" w:hAnsi="Garamond" w:cs="Times New Roman"/>
          <w:color w:val="000000"/>
          <w:sz w:val="24"/>
          <w:szCs w:val="24"/>
        </w:rPr>
        <w:t xml:space="preserve">. Përjashtimisht, këto lloj vendimesh i nënshtrohen kontrollit kushtetues kur kërkuesi pretendon shkeljen e parimit të sigurisë juridike në drejtim të gjësë së gjykuar, bazuar në faktin se gjykatat e zakonshme kanë marrë në shqyrtim ankimin jashtë afatit ligjor, pasi pasoja e kësaj shkeljeje është e tillë që nuk mund të riparohet gjatë rigjykimit të çështjes, pra në procesin gjyqësor që është </w:t>
      </w:r>
      <w:r w:rsidRPr="00946E37">
        <w:rPr>
          <w:rFonts w:ascii="Garamond" w:eastAsiaTheme="minorHAnsi" w:hAnsi="Garamond" w:cs="Times New Roman"/>
          <w:color w:val="000000"/>
          <w:sz w:val="24"/>
          <w:szCs w:val="24"/>
        </w:rPr>
        <w:lastRenderedPageBreak/>
        <w:t xml:space="preserve">duke u zhvilluar në juridiksionin e zakonshëm </w:t>
      </w:r>
      <w:r w:rsidRPr="00946E37">
        <w:rPr>
          <w:rFonts w:ascii="Garamond" w:eastAsiaTheme="minorHAnsi" w:hAnsi="Garamond" w:cs="Times New Roman"/>
          <w:i/>
          <w:iCs/>
          <w:color w:val="000000"/>
          <w:sz w:val="24"/>
          <w:szCs w:val="24"/>
        </w:rPr>
        <w:t>(shih vendimin nr. 59, datë 14.11.2023</w:t>
      </w:r>
      <w:r w:rsidR="00946E37">
        <w:rPr>
          <w:rFonts w:ascii="Garamond" w:eastAsiaTheme="minorHAnsi" w:hAnsi="Garamond" w:cs="Times New Roman"/>
          <w:i/>
          <w:iCs/>
          <w:color w:val="000000"/>
          <w:sz w:val="24"/>
          <w:szCs w:val="24"/>
        </w:rPr>
        <w:t>,</w:t>
      </w:r>
      <w:r w:rsidRPr="00946E37">
        <w:rPr>
          <w:rFonts w:ascii="Garamond" w:eastAsiaTheme="minorHAnsi" w:hAnsi="Garamond" w:cs="Times New Roman"/>
          <w:i/>
          <w:iCs/>
          <w:color w:val="000000"/>
          <w:sz w:val="24"/>
          <w:szCs w:val="24"/>
        </w:rPr>
        <w:t xml:space="preserve"> të Gjykatës Kushtetuese)</w:t>
      </w:r>
      <w:r w:rsidRPr="00946E37">
        <w:rPr>
          <w:rFonts w:ascii="Garamond" w:eastAsiaTheme="minorHAnsi" w:hAnsi="Garamond" w:cs="Times New Roman"/>
          <w:color w:val="000000"/>
          <w:sz w:val="24"/>
          <w:szCs w:val="24"/>
        </w:rPr>
        <w:t>.</w:t>
      </w:r>
    </w:p>
    <w:p w14:paraId="1B0E649B"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20. Mbi bazën e këtij standardi, duke mbajtur në konsideratë edhe faktin që ankimi kushtetues individual i kërkuesit i vitit 2017 nuk u pranua me arsyetimin se për çështjen e tij nuk kishte ende vendim përfundimtar (</w:t>
      </w:r>
      <w:r w:rsidRPr="00946E37">
        <w:rPr>
          <w:rFonts w:ascii="Garamond" w:eastAsiaTheme="minorHAnsi" w:hAnsi="Garamond" w:cs="Times New Roman"/>
          <w:i/>
          <w:iCs/>
          <w:color w:val="000000"/>
          <w:sz w:val="24"/>
          <w:szCs w:val="24"/>
        </w:rPr>
        <w:t>shih supra paragrafin 6</w:t>
      </w:r>
      <w:r w:rsidRPr="00946E37">
        <w:rPr>
          <w:rFonts w:ascii="Garamond" w:eastAsiaTheme="minorHAnsi" w:hAnsi="Garamond" w:cs="Times New Roman"/>
          <w:color w:val="000000"/>
          <w:sz w:val="24"/>
          <w:szCs w:val="24"/>
        </w:rPr>
        <w:t>), çështja e kërkuesit kaloi për shqyrtim në seancë plenare për të zhvilluar më tej standardet e kriterit të shterimit të mjeteve juridike të lidhur me rolin subsidiar të gjykatave të zakonshme.</w:t>
      </w:r>
    </w:p>
    <w:p w14:paraId="12364648" w14:textId="497D8AD5"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21. Gjykata ka pohuar se qëllimi i kriterit të shterimit të mjeteve juridike në dispozicion është, ndër të tjera, të mundësojë, brenda sistemit gjyqësor të zakonshëm, parandalimin ose riparimin e shkeljeve të pretenduara, përpara se të tilla pretendime të paraqiten në të </w:t>
      </w:r>
      <w:r w:rsidR="00946E37">
        <w:rPr>
          <w:rFonts w:ascii="Garamond" w:eastAsiaTheme="minorHAnsi" w:hAnsi="Garamond" w:cs="Times New Roman"/>
          <w:i/>
          <w:iCs/>
          <w:color w:val="000000"/>
          <w:sz w:val="24"/>
          <w:szCs w:val="24"/>
        </w:rPr>
        <w:t>(shih vendimin nr. 24, datë 27.</w:t>
      </w:r>
      <w:r w:rsidRPr="00946E37">
        <w:rPr>
          <w:rFonts w:ascii="Garamond" w:eastAsiaTheme="minorHAnsi" w:hAnsi="Garamond" w:cs="Times New Roman"/>
          <w:i/>
          <w:iCs/>
          <w:color w:val="000000"/>
          <w:sz w:val="24"/>
          <w:szCs w:val="24"/>
        </w:rPr>
        <w:t>4.2023</w:t>
      </w:r>
      <w:r w:rsidR="00946E37">
        <w:rPr>
          <w:rFonts w:ascii="Garamond" w:eastAsiaTheme="minorHAnsi" w:hAnsi="Garamond" w:cs="Times New Roman"/>
          <w:i/>
          <w:iCs/>
          <w:color w:val="000000"/>
          <w:sz w:val="24"/>
          <w:szCs w:val="24"/>
        </w:rPr>
        <w:t>,</w:t>
      </w:r>
      <w:r w:rsidRPr="00946E37">
        <w:rPr>
          <w:rFonts w:ascii="Garamond" w:eastAsiaTheme="minorHAnsi" w:hAnsi="Garamond" w:cs="Times New Roman"/>
          <w:i/>
          <w:iCs/>
          <w:color w:val="000000"/>
          <w:sz w:val="24"/>
          <w:szCs w:val="24"/>
        </w:rPr>
        <w:t xml:space="preserve"> të Gjykatës Kushtetuese</w:t>
      </w:r>
      <w:r w:rsidRPr="00946E37">
        <w:rPr>
          <w:rFonts w:ascii="Garamond" w:eastAsiaTheme="minorHAnsi" w:hAnsi="Garamond" w:cs="Times New Roman"/>
          <w:color w:val="000000"/>
          <w:sz w:val="24"/>
          <w:szCs w:val="24"/>
        </w:rPr>
        <w:t>). Raporti ndërmjet juridiksionit kushtetues dhe juridiksionit të gjykatave të zakonshme, kur shqyrtohen ankime kushtetuese individuale, në bazë të nenit 131, pika 1, shkronja “f”, të Kushtetutës, udhëhiqet nga parimi i subsidiaritetit (komplementaritetit). Një qëndrim i ndryshëm do ta kthente Gjykatën në një instancë të zakonshme, gjë që nuk është funksioni i saj (</w:t>
      </w:r>
      <w:r w:rsidRPr="00946E37">
        <w:rPr>
          <w:rFonts w:ascii="Garamond" w:eastAsiaTheme="minorHAnsi" w:hAnsi="Garamond" w:cs="Times New Roman"/>
          <w:i/>
          <w:iCs/>
          <w:color w:val="000000"/>
          <w:sz w:val="24"/>
          <w:szCs w:val="24"/>
        </w:rPr>
        <w:t>shih vendimet nr. 52, da</w:t>
      </w:r>
      <w:r w:rsidR="00946E37">
        <w:rPr>
          <w:rFonts w:ascii="Garamond" w:eastAsiaTheme="minorHAnsi" w:hAnsi="Garamond" w:cs="Times New Roman"/>
          <w:i/>
          <w:iCs/>
          <w:color w:val="000000"/>
          <w:sz w:val="24"/>
          <w:szCs w:val="24"/>
        </w:rPr>
        <w:t>të 2.12.2013; nr. 36, datë 25.</w:t>
      </w:r>
      <w:r w:rsidRPr="00946E37">
        <w:rPr>
          <w:rFonts w:ascii="Garamond" w:eastAsiaTheme="minorHAnsi" w:hAnsi="Garamond" w:cs="Times New Roman"/>
          <w:i/>
          <w:iCs/>
          <w:color w:val="000000"/>
          <w:sz w:val="24"/>
          <w:szCs w:val="24"/>
        </w:rPr>
        <w:t>7.2013; nr. 58, datë 24.12.2012</w:t>
      </w:r>
      <w:r w:rsidR="00946E37">
        <w:rPr>
          <w:rFonts w:ascii="Garamond" w:eastAsiaTheme="minorHAnsi" w:hAnsi="Garamond" w:cs="Times New Roman"/>
          <w:i/>
          <w:iCs/>
          <w:color w:val="000000"/>
          <w:sz w:val="24"/>
          <w:szCs w:val="24"/>
        </w:rPr>
        <w:t>,</w:t>
      </w:r>
      <w:r w:rsidRPr="00946E37">
        <w:rPr>
          <w:rFonts w:ascii="Garamond" w:eastAsiaTheme="minorHAnsi" w:hAnsi="Garamond" w:cs="Times New Roman"/>
          <w:i/>
          <w:iCs/>
          <w:color w:val="000000"/>
          <w:sz w:val="24"/>
          <w:szCs w:val="24"/>
        </w:rPr>
        <w:t xml:space="preserve"> të Gjykatës Kushtetuese</w:t>
      </w:r>
      <w:r w:rsidRPr="00946E37">
        <w:rPr>
          <w:rFonts w:ascii="Garamond" w:eastAsiaTheme="minorHAnsi" w:hAnsi="Garamond" w:cs="Times New Roman"/>
          <w:color w:val="000000"/>
          <w:sz w:val="24"/>
          <w:szCs w:val="24"/>
        </w:rPr>
        <w:t>). Sistemi gjyqësor është një sistem korrigjues subsidiar, i cili, nga mënyra sesi është ndërtuar dhe funksionon, u përgjigjet të gjitha pretendimeve për shkelje të të drejtave dhe lirive themelore, dhe individi ka mundësinë që në çdo hallkë, fazë ose shkallë të procesit të ngrejë pretendime konkrete (</w:t>
      </w:r>
      <w:r w:rsidR="004B02E3">
        <w:rPr>
          <w:rFonts w:ascii="Garamond" w:eastAsiaTheme="minorHAnsi" w:hAnsi="Garamond" w:cs="Times New Roman"/>
          <w:i/>
          <w:iCs/>
          <w:color w:val="000000"/>
          <w:sz w:val="24"/>
          <w:szCs w:val="24"/>
        </w:rPr>
        <w:t>shih vendimin nr. 1, datë 26.</w:t>
      </w:r>
      <w:r w:rsidRPr="00946E37">
        <w:rPr>
          <w:rFonts w:ascii="Garamond" w:eastAsiaTheme="minorHAnsi" w:hAnsi="Garamond" w:cs="Times New Roman"/>
          <w:i/>
          <w:iCs/>
          <w:color w:val="000000"/>
          <w:sz w:val="24"/>
          <w:szCs w:val="24"/>
        </w:rPr>
        <w:t>1.2021</w:t>
      </w:r>
      <w:r w:rsidR="004B02E3">
        <w:rPr>
          <w:rFonts w:ascii="Garamond" w:eastAsiaTheme="minorHAnsi" w:hAnsi="Garamond" w:cs="Times New Roman"/>
          <w:i/>
          <w:iCs/>
          <w:color w:val="000000"/>
          <w:sz w:val="24"/>
          <w:szCs w:val="24"/>
        </w:rPr>
        <w:t>,</w:t>
      </w:r>
      <w:r w:rsidRPr="00946E37">
        <w:rPr>
          <w:rFonts w:ascii="Garamond" w:eastAsiaTheme="minorHAnsi" w:hAnsi="Garamond" w:cs="Times New Roman"/>
          <w:i/>
          <w:iCs/>
          <w:color w:val="000000"/>
          <w:sz w:val="24"/>
          <w:szCs w:val="24"/>
        </w:rPr>
        <w:t xml:space="preserve"> të Gjykatës Kushtetuese</w:t>
      </w:r>
      <w:r w:rsidRPr="00946E37">
        <w:rPr>
          <w:rFonts w:ascii="Garamond" w:eastAsiaTheme="minorHAnsi" w:hAnsi="Garamond" w:cs="Times New Roman"/>
          <w:color w:val="000000"/>
          <w:sz w:val="24"/>
          <w:szCs w:val="24"/>
        </w:rPr>
        <w:t xml:space="preserve">). </w:t>
      </w:r>
    </w:p>
    <w:p w14:paraId="473305EF"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22. Gjykata thekson se ana tjetër e parimit të subsidiaritetit lidhet me nevojën për t’i identifikuar dhe riparuar sa më shpejt shkeljen e të drejtave themelore, pra sapo ato bëhen të ditura për gjykatat e zakonshme. Këto të fundit, duke pasur kompetencën për shqyrtimin e mosmarrëveshjeve ligjore të qytetarëve, janë në pozicionin e duhur për të filluar dhe, nëse është e nevojshme, për t’i dhënë forcë detyruese interpretimit kushtetues që mbron të drejtat themelore.</w:t>
      </w:r>
    </w:p>
    <w:p w14:paraId="0B776A22"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23. Nën dritën e parimit të subsidiaritetit, në rastin konkret, Gjykata vlerëson se për të verifikuar nëse ka shkelje të parimit të sigurisë juridike është e rëndësishme të përcaktohet se, në fazën ku gjendet procesi gjyqësor i kërkuesit, gjykatat e juridiksionit të zakonshëm kanë mbajtur ose jo qëndrim përfundimtar për pretendimin se apeli i Avokatit të Përgjithshëm të Shtetit ishte paraqitur jashtë afatit ligjor.</w:t>
      </w:r>
    </w:p>
    <w:p w14:paraId="7F2F58B0" w14:textId="1C5E1A13"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24. Gjykata vëren se gjatë gjyk</w:t>
      </w:r>
      <w:r w:rsidR="005605FA">
        <w:rPr>
          <w:rFonts w:ascii="Garamond" w:eastAsiaTheme="minorHAnsi" w:hAnsi="Garamond" w:cs="Times New Roman"/>
          <w:color w:val="000000"/>
          <w:sz w:val="24"/>
          <w:szCs w:val="24"/>
        </w:rPr>
        <w:t xml:space="preserve">imit të çështjes në gjykatën e </w:t>
      </w:r>
      <w:r w:rsidRPr="00946E37">
        <w:rPr>
          <w:rFonts w:ascii="Garamond" w:eastAsiaTheme="minorHAnsi" w:hAnsi="Garamond" w:cs="Times New Roman"/>
          <w:color w:val="000000"/>
          <w:sz w:val="24"/>
          <w:szCs w:val="24"/>
        </w:rPr>
        <w:t>shkallës së dytë, kërkuesi ka prapësuar afatin e paraqitjes së apelit të Avokatit të Përgjithshëm të Shtetit, duke depozituar edhe prova dokumentare për datën e postimit përtej 15 ditëve. Gjykata Administrative e Apelit në vendimin e vitit 2023 nuk e pranoi prapësimin e kërkuesit, duke arsyetuar në mënyrë të paqartë përllogaritjen e afatit dhe duke vënë në dukje se vendimi i ankim</w:t>
      </w:r>
      <w:r w:rsidR="00946E37">
        <w:rPr>
          <w:rFonts w:ascii="Garamond" w:eastAsiaTheme="minorHAnsi" w:hAnsi="Garamond" w:cs="Times New Roman"/>
          <w:color w:val="000000"/>
          <w:sz w:val="24"/>
          <w:szCs w:val="24"/>
        </w:rPr>
        <w:t>uar ishte shpallur në datën 30.</w:t>
      </w:r>
      <w:r w:rsidRPr="00946E37">
        <w:rPr>
          <w:rFonts w:ascii="Garamond" w:eastAsiaTheme="minorHAnsi" w:hAnsi="Garamond" w:cs="Times New Roman"/>
          <w:color w:val="000000"/>
          <w:sz w:val="24"/>
          <w:szCs w:val="24"/>
        </w:rPr>
        <w:t>6.2014</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në prani të palëve ndërgjyqëse, ndërsa apeli ishte depozituar nga Avokati i Përgjithshëm i Shtetit nëpërmjet shërbimit postar pranë sekretarisë gjyqës</w:t>
      </w:r>
      <w:r w:rsidR="00946E37">
        <w:rPr>
          <w:rFonts w:ascii="Garamond" w:eastAsiaTheme="minorHAnsi" w:hAnsi="Garamond" w:cs="Times New Roman"/>
          <w:color w:val="000000"/>
          <w:sz w:val="24"/>
          <w:szCs w:val="24"/>
        </w:rPr>
        <w:t>ore në datën 17.</w:t>
      </w:r>
      <w:r w:rsidRPr="00946E37">
        <w:rPr>
          <w:rFonts w:ascii="Garamond" w:eastAsiaTheme="minorHAnsi" w:hAnsi="Garamond" w:cs="Times New Roman"/>
          <w:color w:val="000000"/>
          <w:sz w:val="24"/>
          <w:szCs w:val="24"/>
        </w:rPr>
        <w:t>7.2014. Në nxjerrjen e këtij konkluzioni, gjykata e apelit u është referuar neneve 443, paragrafi i parë, dhe 444 të KPC-së së kohës, të cilat në përmbajtje parashikonin se afati i apelit ishte 15 ditë, i cili fillonte të llogaritej nga e nesërmja e shpalljes së vendimit. Po kështu, gjykata e apelit u është referuar vendimeve gjyqësore të vet asaj gjykate dhe të Gjykatës së Lartë që kishin pranuar ankimin e veçantë ndaj kthimit të apelit nga gjykata e shkallës së parë, ndonëse në ato vendime nuk kishte arsyetim ose konkluzion për afatin e paraqitjes së apelit nga Avokati i Përgjithshëm i Shtetit. Në vijim, Gjykata e Lartë mori në shqyrtim rekursin e Avokatit të Përgjithshëm të Shtetit dhe u shpreh për shkaqet e ngritura në të, por pa dhënë ndonjë përgjigje për pretendimin e kërkuesit, të ngritur nga ai në aktin e kundërrekursit, madje edhe në seancën gjyqësore. Me fjalë të tjera, gjykatat e zakonshme nuk kanë mbajtur qëndrim përfundimtar për pretendimin e kërkuesit se apeli i Avokatit të Përgjithshëm të Shtetit ishte paraqitur jashtë afatit ligjor, që, sipas tij, cenon parimin e sigurisë juridike.</w:t>
      </w:r>
    </w:p>
    <w:p w14:paraId="566A5CEF"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 xml:space="preserve">25. Çështja e kërkuesit aktualisht është duke u shqyrtuar në gjykatën e shkallës së dytë nga Gjykata Administrative e Apelit, për shkak të kthimit për rigjykim të urdhëruar nga Gjykata e Lartë. Duke iu referuar kërkesave ligjore procedurale, gjykata e apelit, e cila krahas detyrimit ligjor për të zbatuar udhëzimet dhe konkluzionet e Gjykatës së Lartë, duhet të luajë rolin e saj kushtetues subsidiar për respektimin e të drejtave themelore, duke shqyrtuar dhe duke i dhënë përgjigje të shprehur pretendimit </w:t>
      </w:r>
      <w:r w:rsidRPr="00946E37">
        <w:rPr>
          <w:rFonts w:ascii="Garamond" w:eastAsiaTheme="minorHAnsi" w:hAnsi="Garamond" w:cs="Times New Roman"/>
          <w:color w:val="000000"/>
          <w:sz w:val="24"/>
          <w:szCs w:val="24"/>
        </w:rPr>
        <w:lastRenderedPageBreak/>
        <w:t xml:space="preserve">me natyrë kushtetuese të kërkuesit për afatin e paraqitjes së apelit nga Avokati i Përgjithshëm i Shtetit. Në këtë mënyrë, Gjykata arrin në përfundimin se shkeljet e pretenduara mund dhe duhet të marrin përgjigje gjatë rigjykimit të çështjes në Gjykatën Administrative të Apelit, që do të thotë se vendimi i Gjykatës së Lartë i kundërshtuar në ankimin kushtetues individual nuk është përfundimtar për qëllime të kontrollit kushtetues. </w:t>
      </w:r>
    </w:p>
    <w:p w14:paraId="497C268C" w14:textId="3706D33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26. Për sa më lart, Gjykata thekson se vendimet gjyqësore për kthimin e çështjes për rigjykim i nënshtrohen kontrollit kushtetues në mënyrë përjashtimore. Këto raste përjashtimore kanë të bëjnë me pretendimin e kërkuesit për shkeljen e parimit të sigurisë juridike në drejtim të gjësë së gj</w:t>
      </w:r>
      <w:r w:rsidR="00946E37">
        <w:rPr>
          <w:rFonts w:ascii="Garamond" w:eastAsiaTheme="minorHAnsi" w:hAnsi="Garamond" w:cs="Times New Roman"/>
          <w:color w:val="000000"/>
          <w:sz w:val="24"/>
          <w:szCs w:val="24"/>
        </w:rPr>
        <w:t>ykuar të lidhur domosdoshmërish</w:t>
      </w:r>
      <w:r w:rsidRPr="00946E37">
        <w:rPr>
          <w:rFonts w:ascii="Garamond" w:eastAsiaTheme="minorHAnsi" w:hAnsi="Garamond" w:cs="Times New Roman"/>
          <w:color w:val="000000"/>
          <w:sz w:val="24"/>
          <w:szCs w:val="24"/>
        </w:rPr>
        <w:t xml:space="preserve"> me faktin që gjykatat e juridiksionit të zakonshëm të kenë mbajtur qëndrim të shprehur përfundimtar për çështjen e faktit dhe/ose të ligjit, që ka diktuar ecurinë e çështjes.</w:t>
      </w:r>
    </w:p>
    <w:p w14:paraId="3ADFAE03"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27. Në përfundim, Gjykata vlerëson se kërkuesi ka ende mjete juridike efektive në dispozicion, sipas arsyetimit të mësipërm të këtij vendimi, ndaj kërkesa rrëzohet.</w:t>
      </w:r>
    </w:p>
    <w:p w14:paraId="32238B2C" w14:textId="77777777" w:rsidR="00153B1E" w:rsidRPr="00946E37" w:rsidRDefault="00153B1E" w:rsidP="00153B1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89EE7E9"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PËR KËTO ARSYE,</w:t>
      </w:r>
    </w:p>
    <w:p w14:paraId="23338FB7"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0C1D308E" w14:textId="746137E0"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Gjykata Kushtetuese, në mbështetje të neneve 131, pika 1, shkronja “f” dhe 134, pika 1, shkronja “i”, të Kushtetutës, si dhe neneve 72 e viju</w:t>
      </w:r>
      <w:r w:rsidR="00946E37">
        <w:rPr>
          <w:rFonts w:ascii="Garamond" w:eastAsiaTheme="minorHAnsi" w:hAnsi="Garamond" w:cs="Times New Roman"/>
          <w:color w:val="000000"/>
          <w:sz w:val="24"/>
          <w:szCs w:val="24"/>
        </w:rPr>
        <w:t>es, të ligjit nr. 8577, datë 10.</w:t>
      </w:r>
      <w:r w:rsidRPr="00946E37">
        <w:rPr>
          <w:rFonts w:ascii="Garamond" w:eastAsiaTheme="minorHAnsi" w:hAnsi="Garamond" w:cs="Times New Roman"/>
          <w:color w:val="000000"/>
          <w:sz w:val="24"/>
          <w:szCs w:val="24"/>
        </w:rPr>
        <w:t>2.2000</w:t>
      </w:r>
      <w:r w:rsidR="00946E37">
        <w:rPr>
          <w:rFonts w:ascii="Garamond" w:eastAsiaTheme="minorHAnsi" w:hAnsi="Garamond" w:cs="Times New Roman"/>
          <w:color w:val="000000"/>
          <w:sz w:val="24"/>
          <w:szCs w:val="24"/>
        </w:rPr>
        <w:t>,</w:t>
      </w:r>
      <w:r w:rsidRPr="00946E37">
        <w:rPr>
          <w:rFonts w:ascii="Garamond" w:eastAsiaTheme="minorHAnsi" w:hAnsi="Garamond" w:cs="Times New Roman"/>
          <w:color w:val="000000"/>
          <w:sz w:val="24"/>
          <w:szCs w:val="24"/>
        </w:rPr>
        <w:t xml:space="preserve"> “Për organizimin dhe funksionimin e Gjykatës Kushtetuese të Republikës së Shqipërisë”, të ndryshuar, njëzëri,</w:t>
      </w:r>
    </w:p>
    <w:p w14:paraId="56DC7F97" w14:textId="77777777"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417B30C"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46E37">
        <w:rPr>
          <w:rFonts w:ascii="Garamond" w:eastAsiaTheme="minorHAnsi" w:hAnsi="Garamond" w:cs="Times New Roman"/>
          <w:bCs/>
          <w:color w:val="000000"/>
          <w:sz w:val="24"/>
          <w:szCs w:val="24"/>
        </w:rPr>
        <w:t>VENDOSI:</w:t>
      </w:r>
    </w:p>
    <w:p w14:paraId="7C3CC27A" w14:textId="77777777" w:rsidR="00153B1E" w:rsidRPr="00946E37" w:rsidRDefault="00153B1E" w:rsidP="00153B1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1FDAA79" w14:textId="77777777" w:rsidR="00153B1E" w:rsidRPr="00946E37" w:rsidRDefault="00153B1E" w:rsidP="00153B1E">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1. Rrëzimin e kërkesës.</w:t>
      </w:r>
    </w:p>
    <w:p w14:paraId="3B81AA04" w14:textId="77777777" w:rsidR="00153B1E" w:rsidRPr="00946E37" w:rsidRDefault="00153B1E" w:rsidP="00153B1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46E37">
        <w:rPr>
          <w:rFonts w:ascii="Garamond" w:eastAsiaTheme="minorHAnsi" w:hAnsi="Garamond" w:cs="Times New Roman"/>
          <w:color w:val="000000"/>
          <w:sz w:val="24"/>
          <w:szCs w:val="24"/>
        </w:rPr>
        <w:t>Ky vendim është përfundimtar dhe hyn në fuqi ditën e botimit në Fletoren Zyrtare.</w:t>
      </w:r>
    </w:p>
    <w:p w14:paraId="78642EEC" w14:textId="36598DDC" w:rsidR="00153B1E" w:rsidRPr="00946E37" w:rsidRDefault="00946E37" w:rsidP="00153B1E">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Marrë më 11.</w:t>
      </w:r>
      <w:r w:rsidR="00153B1E" w:rsidRPr="00946E37">
        <w:rPr>
          <w:rFonts w:ascii="Garamond" w:eastAsiaTheme="minorHAnsi" w:hAnsi="Garamond" w:cs="Times New Roman"/>
          <w:b/>
          <w:bCs/>
          <w:color w:val="000000"/>
          <w:sz w:val="24"/>
          <w:szCs w:val="24"/>
        </w:rPr>
        <w:t>2.2026</w:t>
      </w:r>
      <w:r>
        <w:rPr>
          <w:rFonts w:ascii="Garamond" w:eastAsiaTheme="minorHAnsi" w:hAnsi="Garamond" w:cs="Times New Roman"/>
          <w:b/>
          <w:bCs/>
          <w:color w:val="000000"/>
          <w:sz w:val="24"/>
          <w:szCs w:val="24"/>
        </w:rPr>
        <w:t>.</w:t>
      </w:r>
    </w:p>
    <w:p w14:paraId="3668FAE9" w14:textId="24A4036B" w:rsidR="00153B1E" w:rsidRPr="00946E37" w:rsidRDefault="00946E37" w:rsidP="00153B1E">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Shpallur më 9.</w:t>
      </w:r>
      <w:r w:rsidR="00153B1E" w:rsidRPr="00946E37">
        <w:rPr>
          <w:rFonts w:ascii="Garamond" w:eastAsiaTheme="minorHAnsi" w:hAnsi="Garamond" w:cs="Times New Roman"/>
          <w:b/>
          <w:bCs/>
          <w:color w:val="000000"/>
          <w:sz w:val="24"/>
          <w:szCs w:val="24"/>
        </w:rPr>
        <w:t>3.2026</w:t>
      </w:r>
      <w:r>
        <w:rPr>
          <w:rFonts w:ascii="Garamond" w:eastAsiaTheme="minorHAnsi" w:hAnsi="Garamond" w:cs="Times New Roman"/>
          <w:b/>
          <w:bCs/>
          <w:color w:val="000000"/>
          <w:sz w:val="24"/>
          <w:szCs w:val="24"/>
        </w:rPr>
        <w:t>.</w:t>
      </w:r>
    </w:p>
    <w:p w14:paraId="746E9B20" w14:textId="77777777" w:rsidR="00153B1E" w:rsidRPr="00946E37" w:rsidRDefault="00153B1E" w:rsidP="00153B1E">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52421CB3" w14:textId="77777777" w:rsidR="00153B1E" w:rsidRPr="00946E37" w:rsidRDefault="00153B1E" w:rsidP="00946E37">
      <w:pPr>
        <w:tabs>
          <w:tab w:val="left" w:pos="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 xml:space="preserve">Kryetare: </w:t>
      </w:r>
      <w:r w:rsidRPr="00946E37">
        <w:rPr>
          <w:rFonts w:ascii="Garamond" w:eastAsiaTheme="minorHAnsi" w:hAnsi="Garamond" w:cs="Times New Roman"/>
          <w:bCs/>
          <w:color w:val="000000"/>
          <w:sz w:val="24"/>
          <w:szCs w:val="24"/>
        </w:rPr>
        <w:t>Fiona Papajorgji</w:t>
      </w:r>
    </w:p>
    <w:p w14:paraId="4D53E574" w14:textId="77777777" w:rsidR="00153B1E" w:rsidRPr="00946E37" w:rsidRDefault="00153B1E" w:rsidP="00946E37">
      <w:pPr>
        <w:tabs>
          <w:tab w:val="left" w:pos="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946E37">
        <w:rPr>
          <w:rFonts w:ascii="Garamond" w:eastAsiaTheme="minorHAnsi" w:hAnsi="Garamond" w:cs="Times New Roman"/>
          <w:b/>
          <w:bCs/>
          <w:color w:val="000000"/>
          <w:sz w:val="24"/>
          <w:szCs w:val="24"/>
        </w:rPr>
        <w:t xml:space="preserve">Anëtarë: </w:t>
      </w:r>
      <w:r w:rsidRPr="00946E37">
        <w:rPr>
          <w:rFonts w:ascii="Garamond" w:eastAsiaTheme="minorHAnsi" w:hAnsi="Garamond" w:cs="Times New Roman"/>
          <w:bCs/>
          <w:color w:val="000000"/>
          <w:sz w:val="24"/>
          <w:szCs w:val="24"/>
        </w:rPr>
        <w:t>Sandër Beci, Sonila Bejtja, Marjana Semini, Genti Ibrahimi, Ilir Toska, Marsida Xhaferllari, Asim Vokshi</w:t>
      </w:r>
    </w:p>
    <w:p w14:paraId="75F69223" w14:textId="5F17D9A4" w:rsidR="00055215" w:rsidRPr="00946E37" w:rsidRDefault="00055215" w:rsidP="00153B1E">
      <w:pPr>
        <w:tabs>
          <w:tab w:val="left" w:pos="3285"/>
        </w:tabs>
        <w:rPr>
          <w:rFonts w:ascii="Times New Roman" w:hAnsi="Times New Roman"/>
          <w:sz w:val="24"/>
        </w:rPr>
      </w:pPr>
    </w:p>
    <w:sectPr w:rsidR="00055215" w:rsidRPr="00946E37" w:rsidSect="004A47AA">
      <w:pgSz w:w="12240" w:h="15840"/>
      <w:pgMar w:top="720" w:right="1440" w:bottom="1080" w:left="1440" w:header="720" w:footer="21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3C499" w14:textId="77777777" w:rsidR="00DA058A" w:rsidRDefault="00DA058A" w:rsidP="00DA7050">
      <w:pPr>
        <w:spacing w:after="0" w:line="240" w:lineRule="auto"/>
      </w:pPr>
      <w:r>
        <w:separator/>
      </w:r>
    </w:p>
  </w:endnote>
  <w:endnote w:type="continuationSeparator" w:id="0">
    <w:p w14:paraId="6073C49A" w14:textId="77777777" w:rsidR="00DA058A" w:rsidRDefault="00DA058A" w:rsidP="00DA7050">
      <w:pPr>
        <w:spacing w:after="0" w:line="240" w:lineRule="auto"/>
      </w:pPr>
      <w:r>
        <w:continuationSeparator/>
      </w:r>
    </w:p>
  </w:endnote>
  <w:endnote w:type="continuationNotice" w:id="1">
    <w:p w14:paraId="38C8430D" w14:textId="77777777" w:rsidR="006213C3" w:rsidRDefault="006213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3C497" w14:textId="77777777" w:rsidR="00DA058A" w:rsidRDefault="00DA058A" w:rsidP="00DA7050">
      <w:pPr>
        <w:spacing w:after="0" w:line="240" w:lineRule="auto"/>
      </w:pPr>
      <w:r>
        <w:separator/>
      </w:r>
    </w:p>
  </w:footnote>
  <w:footnote w:type="continuationSeparator" w:id="0">
    <w:p w14:paraId="6073C498" w14:textId="77777777" w:rsidR="00DA058A" w:rsidRDefault="00DA058A" w:rsidP="00DA7050">
      <w:pPr>
        <w:spacing w:after="0" w:line="240" w:lineRule="auto"/>
      </w:pPr>
      <w:r>
        <w:continuationSeparator/>
      </w:r>
    </w:p>
  </w:footnote>
  <w:footnote w:type="continuationNotice" w:id="1">
    <w:p w14:paraId="5F363B9E" w14:textId="77777777" w:rsidR="006213C3" w:rsidRDefault="006213C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461B2"/>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DB34648"/>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3" w15:restartNumberingAfterBreak="0">
    <w:nsid w:val="11AB13B5"/>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5115BC6"/>
    <w:multiLevelType w:val="multilevel"/>
    <w:tmpl w:val="372AAA2A"/>
    <w:lvl w:ilvl="0">
      <w:start w:val="8"/>
      <w:numFmt w:val="decimal"/>
      <w:lvlText w:val="%1."/>
      <w:lvlJc w:val="left"/>
      <w:pPr>
        <w:ind w:left="1170" w:hanging="360"/>
      </w:pPr>
      <w:rPr>
        <w:rFonts w:eastAsia="Calibri"/>
        <w:b w:val="0"/>
        <w:i w:val="0"/>
        <w:color w:val="auto"/>
      </w:rPr>
    </w:lvl>
    <w:lvl w:ilvl="1">
      <w:start w:val="1"/>
      <w:numFmt w:val="decimal"/>
      <w:lvlText w:val="%1.%2."/>
      <w:lvlJc w:val="left"/>
      <w:pPr>
        <w:ind w:left="1620" w:hanging="360"/>
      </w:pPr>
      <w:rPr>
        <w:rFonts w:eastAsia="Calibri"/>
        <w:b w:val="0"/>
        <w:i w:val="0"/>
        <w:color w:val="auto"/>
      </w:rPr>
    </w:lvl>
    <w:lvl w:ilvl="2">
      <w:start w:val="1"/>
      <w:numFmt w:val="decimal"/>
      <w:lvlText w:val="%1.%2.%3."/>
      <w:lvlJc w:val="left"/>
      <w:pPr>
        <w:ind w:left="3240" w:hanging="720"/>
      </w:pPr>
      <w:rPr>
        <w:rFonts w:eastAsia="Calibri"/>
        <w:i w:val="0"/>
        <w:color w:val="auto"/>
      </w:rPr>
    </w:lvl>
    <w:lvl w:ilvl="3">
      <w:start w:val="1"/>
      <w:numFmt w:val="decimal"/>
      <w:lvlText w:val="%1.%2.%3.%4."/>
      <w:lvlJc w:val="left"/>
      <w:pPr>
        <w:ind w:left="4500" w:hanging="720"/>
      </w:pPr>
      <w:rPr>
        <w:rFonts w:eastAsia="Calibri"/>
        <w:i/>
      </w:rPr>
    </w:lvl>
    <w:lvl w:ilvl="4">
      <w:start w:val="1"/>
      <w:numFmt w:val="decimal"/>
      <w:lvlText w:val="%1.%2.%3.%4.%5."/>
      <w:lvlJc w:val="left"/>
      <w:pPr>
        <w:ind w:left="6120" w:hanging="1080"/>
      </w:pPr>
      <w:rPr>
        <w:rFonts w:eastAsia="Calibri"/>
        <w:i/>
      </w:rPr>
    </w:lvl>
    <w:lvl w:ilvl="5">
      <w:start w:val="1"/>
      <w:numFmt w:val="decimal"/>
      <w:lvlText w:val="%1.%2.%3.%4.%5.%6."/>
      <w:lvlJc w:val="left"/>
      <w:pPr>
        <w:ind w:left="7380" w:hanging="1080"/>
      </w:pPr>
      <w:rPr>
        <w:rFonts w:eastAsia="Calibri"/>
        <w:i/>
      </w:rPr>
    </w:lvl>
    <w:lvl w:ilvl="6">
      <w:start w:val="1"/>
      <w:numFmt w:val="decimal"/>
      <w:lvlText w:val="%1.%2.%3.%4.%5.%6.%7."/>
      <w:lvlJc w:val="left"/>
      <w:pPr>
        <w:ind w:left="9000" w:hanging="1440"/>
      </w:pPr>
      <w:rPr>
        <w:rFonts w:eastAsia="Calibri"/>
        <w:i/>
      </w:rPr>
    </w:lvl>
    <w:lvl w:ilvl="7">
      <w:start w:val="1"/>
      <w:numFmt w:val="decimal"/>
      <w:lvlText w:val="%1.%2.%3.%4.%5.%6.%7.%8."/>
      <w:lvlJc w:val="left"/>
      <w:pPr>
        <w:ind w:left="10260" w:hanging="1440"/>
      </w:pPr>
      <w:rPr>
        <w:rFonts w:eastAsia="Calibri"/>
        <w:i/>
      </w:rPr>
    </w:lvl>
    <w:lvl w:ilvl="8">
      <w:start w:val="1"/>
      <w:numFmt w:val="decimal"/>
      <w:lvlText w:val="%1.%2.%3.%4.%5.%6.%7.%8.%9."/>
      <w:lvlJc w:val="left"/>
      <w:pPr>
        <w:ind w:left="11880" w:hanging="1800"/>
      </w:pPr>
      <w:rPr>
        <w:rFonts w:eastAsia="Calibri"/>
        <w:i/>
      </w:rPr>
    </w:lvl>
  </w:abstractNum>
  <w:abstractNum w:abstractNumId="6"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171EFA"/>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0"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1" w15:restartNumberingAfterBreak="0">
    <w:nsid w:val="384030F9"/>
    <w:multiLevelType w:val="multilevel"/>
    <w:tmpl w:val="6FE41524"/>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A3C5AA2"/>
    <w:multiLevelType w:val="multilevel"/>
    <w:tmpl w:val="01B6E604"/>
    <w:lvl w:ilvl="0">
      <w:start w:val="1"/>
      <w:numFmt w:val="decimal"/>
      <w:lvlText w:val="%1."/>
      <w:lvlJc w:val="left"/>
      <w:pPr>
        <w:ind w:left="342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3"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4" w15:restartNumberingAfterBreak="0">
    <w:nsid w:val="437D612C"/>
    <w:multiLevelType w:val="multilevel"/>
    <w:tmpl w:val="5F3CFB9E"/>
    <w:lvl w:ilvl="0">
      <w:start w:val="8"/>
      <w:numFmt w:val="decimal"/>
      <w:lvlText w:val="%1."/>
      <w:lvlJc w:val="left"/>
      <w:pPr>
        <w:ind w:left="360" w:hanging="360"/>
      </w:pPr>
      <w:rPr>
        <w:rFonts w:hint="default"/>
        <w:i/>
      </w:rPr>
    </w:lvl>
    <w:lvl w:ilvl="1">
      <w:start w:val="1"/>
      <w:numFmt w:val="decimal"/>
      <w:lvlText w:val="%1.%2."/>
      <w:lvlJc w:val="left"/>
      <w:pPr>
        <w:ind w:left="1350" w:hanging="360"/>
      </w:pPr>
      <w:rPr>
        <w:rFonts w:hint="default"/>
        <w:b w:val="0"/>
        <w:i w:val="0"/>
      </w:rPr>
    </w:lvl>
    <w:lvl w:ilvl="2">
      <w:start w:val="1"/>
      <w:numFmt w:val="decimal"/>
      <w:lvlText w:val="%1.%2.%3."/>
      <w:lvlJc w:val="left"/>
      <w:pPr>
        <w:ind w:left="2700" w:hanging="720"/>
      </w:pPr>
      <w:rPr>
        <w:rFonts w:hint="default"/>
        <w:i w:val="0"/>
        <w:color w:val="auto"/>
      </w:rPr>
    </w:lvl>
    <w:lvl w:ilvl="3">
      <w:start w:val="1"/>
      <w:numFmt w:val="decimal"/>
      <w:lvlText w:val="%1.%2.%3.%4."/>
      <w:lvlJc w:val="left"/>
      <w:pPr>
        <w:ind w:left="3690" w:hanging="720"/>
      </w:pPr>
      <w:rPr>
        <w:rFonts w:hint="default"/>
        <w:i/>
      </w:rPr>
    </w:lvl>
    <w:lvl w:ilvl="4">
      <w:start w:val="1"/>
      <w:numFmt w:val="decimal"/>
      <w:lvlText w:val="%1.%2.%3.%4.%5."/>
      <w:lvlJc w:val="left"/>
      <w:pPr>
        <w:ind w:left="5040" w:hanging="1080"/>
      </w:pPr>
      <w:rPr>
        <w:rFonts w:hint="default"/>
        <w:i/>
      </w:rPr>
    </w:lvl>
    <w:lvl w:ilvl="5">
      <w:start w:val="1"/>
      <w:numFmt w:val="decimal"/>
      <w:lvlText w:val="%1.%2.%3.%4.%5.%6."/>
      <w:lvlJc w:val="left"/>
      <w:pPr>
        <w:ind w:left="6030" w:hanging="1080"/>
      </w:pPr>
      <w:rPr>
        <w:rFonts w:hint="default"/>
        <w:i/>
      </w:rPr>
    </w:lvl>
    <w:lvl w:ilvl="6">
      <w:start w:val="1"/>
      <w:numFmt w:val="decimal"/>
      <w:lvlText w:val="%1.%2.%3.%4.%5.%6.%7."/>
      <w:lvlJc w:val="left"/>
      <w:pPr>
        <w:ind w:left="7380" w:hanging="1440"/>
      </w:pPr>
      <w:rPr>
        <w:rFonts w:hint="default"/>
        <w:i/>
      </w:rPr>
    </w:lvl>
    <w:lvl w:ilvl="7">
      <w:start w:val="1"/>
      <w:numFmt w:val="decimal"/>
      <w:lvlText w:val="%1.%2.%3.%4.%5.%6.%7.%8."/>
      <w:lvlJc w:val="left"/>
      <w:pPr>
        <w:ind w:left="8370" w:hanging="1440"/>
      </w:pPr>
      <w:rPr>
        <w:rFonts w:hint="default"/>
        <w:i/>
      </w:rPr>
    </w:lvl>
    <w:lvl w:ilvl="8">
      <w:start w:val="1"/>
      <w:numFmt w:val="decimal"/>
      <w:lvlText w:val="%1.%2.%3.%4.%5.%6.%7.%8.%9."/>
      <w:lvlJc w:val="left"/>
      <w:pPr>
        <w:ind w:left="9720" w:hanging="1800"/>
      </w:pPr>
      <w:rPr>
        <w:rFonts w:hint="default"/>
        <w:i/>
      </w:rPr>
    </w:lvl>
  </w:abstractNum>
  <w:abstractNum w:abstractNumId="15" w15:restartNumberingAfterBreak="0">
    <w:nsid w:val="46C419BD"/>
    <w:multiLevelType w:val="hybridMultilevel"/>
    <w:tmpl w:val="CBA65512"/>
    <w:lvl w:ilvl="0" w:tplc="0C3A8FEC">
      <w:start w:val="1"/>
      <w:numFmt w:val="upperLetter"/>
      <w:lvlText w:val="%1."/>
      <w:lvlJc w:val="left"/>
      <w:pPr>
        <w:ind w:left="117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914374"/>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710751"/>
    <w:multiLevelType w:val="multilevel"/>
    <w:tmpl w:val="B4825EDA"/>
    <w:lvl w:ilvl="0">
      <w:start w:val="15"/>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9"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0"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21" w15:restartNumberingAfterBreak="0">
    <w:nsid w:val="558C26C1"/>
    <w:multiLevelType w:val="multilevel"/>
    <w:tmpl w:val="47DE9486"/>
    <w:lvl w:ilvl="0">
      <w:start w:val="16"/>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22" w15:restartNumberingAfterBreak="0">
    <w:nsid w:val="55AF5A80"/>
    <w:multiLevelType w:val="multilevel"/>
    <w:tmpl w:val="92181B3C"/>
    <w:lvl w:ilvl="0">
      <w:start w:val="12"/>
      <w:numFmt w:val="decimal"/>
      <w:lvlText w:val="%1"/>
      <w:lvlJc w:val="left"/>
      <w:pPr>
        <w:ind w:left="600" w:hanging="600"/>
      </w:pPr>
      <w:rPr>
        <w:rFonts w:hint="default"/>
        <w:color w:val="auto"/>
      </w:rPr>
    </w:lvl>
    <w:lvl w:ilvl="1">
      <w:start w:val="2"/>
      <w:numFmt w:val="decimal"/>
      <w:lvlText w:val="%1.%2"/>
      <w:lvlJc w:val="left"/>
      <w:pPr>
        <w:ind w:left="1320" w:hanging="600"/>
      </w:pPr>
      <w:rPr>
        <w:rFonts w:hint="default"/>
        <w:color w:val="auto"/>
      </w:rPr>
    </w:lvl>
    <w:lvl w:ilvl="2">
      <w:start w:val="1"/>
      <w:numFmt w:val="decimal"/>
      <w:lvlText w:val="%1.%2.%3"/>
      <w:lvlJc w:val="left"/>
      <w:pPr>
        <w:ind w:left="2160" w:hanging="720"/>
      </w:pPr>
      <w:rPr>
        <w:rFonts w:hint="default"/>
        <w:color w:val="FF0000"/>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23" w15:restartNumberingAfterBreak="0">
    <w:nsid w:val="5EE07C61"/>
    <w:multiLevelType w:val="multilevel"/>
    <w:tmpl w:val="F38CE0D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4" w15:restartNumberingAfterBreak="0">
    <w:nsid w:val="5F174DB5"/>
    <w:multiLevelType w:val="multilevel"/>
    <w:tmpl w:val="DB54CC0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5" w15:restartNumberingAfterBreak="0">
    <w:nsid w:val="6B172FDB"/>
    <w:multiLevelType w:val="multilevel"/>
    <w:tmpl w:val="26A00AC4"/>
    <w:lvl w:ilvl="0">
      <w:start w:val="9"/>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6"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27" w15:restartNumberingAfterBreak="0">
    <w:nsid w:val="718F3A90"/>
    <w:multiLevelType w:val="multilevel"/>
    <w:tmpl w:val="9954BBA2"/>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440" w:hanging="360"/>
      </w:pPr>
      <w:rPr>
        <w:rFonts w:hint="default"/>
        <w:b w:val="0"/>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3927864"/>
    <w:multiLevelType w:val="multilevel"/>
    <w:tmpl w:val="30D82E20"/>
    <w:lvl w:ilvl="0">
      <w:start w:val="45"/>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29" w15:restartNumberingAfterBreak="0">
    <w:nsid w:val="73C05123"/>
    <w:multiLevelType w:val="multilevel"/>
    <w:tmpl w:val="F3EC2D7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30" w15:restartNumberingAfterBreak="0">
    <w:nsid w:val="74A078F5"/>
    <w:multiLevelType w:val="multilevel"/>
    <w:tmpl w:val="26CCA210"/>
    <w:lvl w:ilvl="0">
      <w:start w:val="14"/>
      <w:numFmt w:val="decimal"/>
      <w:lvlText w:val="%1."/>
      <w:lvlJc w:val="left"/>
      <w:pPr>
        <w:ind w:left="1380" w:hanging="480"/>
      </w:pPr>
      <w:rPr>
        <w:rFonts w:ascii="Times New Roman" w:eastAsia="Times New Roman" w:hAnsi="Times New Roman" w:cs="Times New Roman" w:hint="default"/>
        <w:i w:val="0"/>
        <w:color w:val="auto"/>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31" w15:restartNumberingAfterBreak="0">
    <w:nsid w:val="74A417AB"/>
    <w:multiLevelType w:val="hybridMultilevel"/>
    <w:tmpl w:val="C750D89E"/>
    <w:lvl w:ilvl="0" w:tplc="F97827B6">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2" w15:restartNumberingAfterBreak="0">
    <w:nsid w:val="7D4B01AD"/>
    <w:multiLevelType w:val="hybridMultilevel"/>
    <w:tmpl w:val="04B4D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1"/>
  </w:num>
  <w:num w:numId="3">
    <w:abstractNumId w:val="9"/>
  </w:num>
  <w:num w:numId="4">
    <w:abstractNumId w:val="27"/>
  </w:num>
  <w:num w:numId="5">
    <w:abstractNumId w:val="20"/>
  </w:num>
  <w:num w:numId="6">
    <w:abstractNumId w:val="30"/>
  </w:num>
  <w:num w:numId="7">
    <w:abstractNumId w:val="8"/>
  </w:num>
  <w:num w:numId="8">
    <w:abstractNumId w:val="2"/>
  </w:num>
  <w:num w:numId="9">
    <w:abstractNumId w:val="4"/>
  </w:num>
  <w:num w:numId="10">
    <w:abstractNumId w:val="17"/>
  </w:num>
  <w:num w:numId="11">
    <w:abstractNumId w:val="6"/>
  </w:num>
  <w:num w:numId="12">
    <w:abstractNumId w:val="3"/>
  </w:num>
  <w:num w:numId="13">
    <w:abstractNumId w:val="23"/>
  </w:num>
  <w:num w:numId="14">
    <w:abstractNumId w:val="24"/>
  </w:num>
  <w:num w:numId="15">
    <w:abstractNumId w:val="18"/>
  </w:num>
  <w:num w:numId="16">
    <w:abstractNumId w:val="21"/>
  </w:num>
  <w:num w:numId="17">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5"/>
  </w:num>
  <w:num w:numId="22">
    <w:abstractNumId w:val="12"/>
  </w:num>
  <w:num w:numId="23">
    <w:abstractNumId w:val="11"/>
  </w:num>
  <w:num w:numId="24">
    <w:abstractNumId w:val="1"/>
  </w:num>
  <w:num w:numId="25">
    <w:abstractNumId w:val="16"/>
  </w:num>
  <w:num w:numId="26">
    <w:abstractNumId w:val="0"/>
  </w:num>
  <w:num w:numId="27">
    <w:abstractNumId w:val="26"/>
  </w:num>
  <w:num w:numId="28">
    <w:abstractNumId w:val="32"/>
  </w:num>
  <w:num w:numId="29">
    <w:abstractNumId w:val="28"/>
  </w:num>
  <w:num w:numId="30">
    <w:abstractNumId w:val="14"/>
  </w:num>
  <w:num w:numId="31">
    <w:abstractNumId w:val="7"/>
  </w:num>
  <w:num w:numId="32">
    <w:abstractNumId w:val="10"/>
  </w:num>
  <w:num w:numId="33">
    <w:abstractNumId w:val="19"/>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50"/>
    <w:rsid w:val="00001C9F"/>
    <w:rsid w:val="0000406E"/>
    <w:rsid w:val="0001175B"/>
    <w:rsid w:val="000124F5"/>
    <w:rsid w:val="00013586"/>
    <w:rsid w:val="00022B93"/>
    <w:rsid w:val="000238C6"/>
    <w:rsid w:val="0002620B"/>
    <w:rsid w:val="00030192"/>
    <w:rsid w:val="0003083C"/>
    <w:rsid w:val="00034DFC"/>
    <w:rsid w:val="00035840"/>
    <w:rsid w:val="000418F6"/>
    <w:rsid w:val="00041BE3"/>
    <w:rsid w:val="00041BF2"/>
    <w:rsid w:val="000472B7"/>
    <w:rsid w:val="000504DB"/>
    <w:rsid w:val="00050E35"/>
    <w:rsid w:val="00055215"/>
    <w:rsid w:val="00062410"/>
    <w:rsid w:val="00063CFD"/>
    <w:rsid w:val="000650BB"/>
    <w:rsid w:val="00066268"/>
    <w:rsid w:val="00071663"/>
    <w:rsid w:val="00073D9D"/>
    <w:rsid w:val="000775E1"/>
    <w:rsid w:val="00080070"/>
    <w:rsid w:val="00081A1C"/>
    <w:rsid w:val="00092250"/>
    <w:rsid w:val="000925E4"/>
    <w:rsid w:val="00096A64"/>
    <w:rsid w:val="000A3FCF"/>
    <w:rsid w:val="000B3F0A"/>
    <w:rsid w:val="000B40FD"/>
    <w:rsid w:val="000B486A"/>
    <w:rsid w:val="000B50B8"/>
    <w:rsid w:val="000C0843"/>
    <w:rsid w:val="000C4BF5"/>
    <w:rsid w:val="000C7170"/>
    <w:rsid w:val="000D076F"/>
    <w:rsid w:val="000D2DFF"/>
    <w:rsid w:val="000D6A0D"/>
    <w:rsid w:val="000E2CF6"/>
    <w:rsid w:val="000E44CE"/>
    <w:rsid w:val="000E76CF"/>
    <w:rsid w:val="000F4008"/>
    <w:rsid w:val="000F43EE"/>
    <w:rsid w:val="000F51A3"/>
    <w:rsid w:val="000F68B8"/>
    <w:rsid w:val="0010033B"/>
    <w:rsid w:val="001004DC"/>
    <w:rsid w:val="00100C68"/>
    <w:rsid w:val="00103109"/>
    <w:rsid w:val="00103410"/>
    <w:rsid w:val="00112E68"/>
    <w:rsid w:val="001156CB"/>
    <w:rsid w:val="00116008"/>
    <w:rsid w:val="001201BC"/>
    <w:rsid w:val="001227AD"/>
    <w:rsid w:val="00126D0F"/>
    <w:rsid w:val="00126DC2"/>
    <w:rsid w:val="00127802"/>
    <w:rsid w:val="00135C80"/>
    <w:rsid w:val="00140522"/>
    <w:rsid w:val="00142A4E"/>
    <w:rsid w:val="00145DA4"/>
    <w:rsid w:val="00146678"/>
    <w:rsid w:val="00146999"/>
    <w:rsid w:val="001469AB"/>
    <w:rsid w:val="00153B1E"/>
    <w:rsid w:val="00156B3B"/>
    <w:rsid w:val="00164D0C"/>
    <w:rsid w:val="00174B54"/>
    <w:rsid w:val="0018608D"/>
    <w:rsid w:val="001869A8"/>
    <w:rsid w:val="00190BD3"/>
    <w:rsid w:val="0019199B"/>
    <w:rsid w:val="0019755E"/>
    <w:rsid w:val="001A24F8"/>
    <w:rsid w:val="001A3BB3"/>
    <w:rsid w:val="001A6581"/>
    <w:rsid w:val="001B6A7C"/>
    <w:rsid w:val="001B7B1D"/>
    <w:rsid w:val="001C1529"/>
    <w:rsid w:val="001C5F47"/>
    <w:rsid w:val="001C64D6"/>
    <w:rsid w:val="001D0EAD"/>
    <w:rsid w:val="001D7B45"/>
    <w:rsid w:val="001E2717"/>
    <w:rsid w:val="001E2F60"/>
    <w:rsid w:val="001E4CF7"/>
    <w:rsid w:val="001F2A1C"/>
    <w:rsid w:val="001F340B"/>
    <w:rsid w:val="001F6F88"/>
    <w:rsid w:val="001F7386"/>
    <w:rsid w:val="001F7E19"/>
    <w:rsid w:val="002017DF"/>
    <w:rsid w:val="00202989"/>
    <w:rsid w:val="00210414"/>
    <w:rsid w:val="0021247B"/>
    <w:rsid w:val="0021470B"/>
    <w:rsid w:val="00215256"/>
    <w:rsid w:val="00217F65"/>
    <w:rsid w:val="0023203B"/>
    <w:rsid w:val="002345D6"/>
    <w:rsid w:val="0023701B"/>
    <w:rsid w:val="00245CCD"/>
    <w:rsid w:val="00246665"/>
    <w:rsid w:val="00247403"/>
    <w:rsid w:val="002601C2"/>
    <w:rsid w:val="0026622D"/>
    <w:rsid w:val="002670D1"/>
    <w:rsid w:val="00270B92"/>
    <w:rsid w:val="00272829"/>
    <w:rsid w:val="002735FC"/>
    <w:rsid w:val="00274BDA"/>
    <w:rsid w:val="00281A89"/>
    <w:rsid w:val="00287C1F"/>
    <w:rsid w:val="002A0C5E"/>
    <w:rsid w:val="002A0C9C"/>
    <w:rsid w:val="002A1036"/>
    <w:rsid w:val="002A1875"/>
    <w:rsid w:val="002A1C0A"/>
    <w:rsid w:val="002A3626"/>
    <w:rsid w:val="002A6077"/>
    <w:rsid w:val="002B4088"/>
    <w:rsid w:val="002C0A19"/>
    <w:rsid w:val="002C4A10"/>
    <w:rsid w:val="002E0539"/>
    <w:rsid w:val="002E1CD6"/>
    <w:rsid w:val="002E52EF"/>
    <w:rsid w:val="002F1F9D"/>
    <w:rsid w:val="002F3A9C"/>
    <w:rsid w:val="002F52A2"/>
    <w:rsid w:val="0031250D"/>
    <w:rsid w:val="00320337"/>
    <w:rsid w:val="00326E0A"/>
    <w:rsid w:val="00330D84"/>
    <w:rsid w:val="0033345C"/>
    <w:rsid w:val="003347FA"/>
    <w:rsid w:val="003529EC"/>
    <w:rsid w:val="00356FBE"/>
    <w:rsid w:val="0036010A"/>
    <w:rsid w:val="003635EA"/>
    <w:rsid w:val="003657BC"/>
    <w:rsid w:val="00370094"/>
    <w:rsid w:val="00370F5A"/>
    <w:rsid w:val="0037405C"/>
    <w:rsid w:val="00377A68"/>
    <w:rsid w:val="003829F8"/>
    <w:rsid w:val="00390A4F"/>
    <w:rsid w:val="0039207B"/>
    <w:rsid w:val="00392DD6"/>
    <w:rsid w:val="00393FA5"/>
    <w:rsid w:val="003968BD"/>
    <w:rsid w:val="003B0FE1"/>
    <w:rsid w:val="003B40B3"/>
    <w:rsid w:val="003B6CA7"/>
    <w:rsid w:val="003C40E9"/>
    <w:rsid w:val="003D3C8D"/>
    <w:rsid w:val="003E1AC3"/>
    <w:rsid w:val="003E2E3F"/>
    <w:rsid w:val="003E38C6"/>
    <w:rsid w:val="003E5BBD"/>
    <w:rsid w:val="003F6264"/>
    <w:rsid w:val="003F6E20"/>
    <w:rsid w:val="00401EB1"/>
    <w:rsid w:val="00406A3B"/>
    <w:rsid w:val="00406B74"/>
    <w:rsid w:val="00406B86"/>
    <w:rsid w:val="00410171"/>
    <w:rsid w:val="0041518F"/>
    <w:rsid w:val="0041777D"/>
    <w:rsid w:val="00421668"/>
    <w:rsid w:val="00425580"/>
    <w:rsid w:val="00433687"/>
    <w:rsid w:val="00436CEF"/>
    <w:rsid w:val="00440E5A"/>
    <w:rsid w:val="004420D1"/>
    <w:rsid w:val="0044605B"/>
    <w:rsid w:val="00447A43"/>
    <w:rsid w:val="004679F4"/>
    <w:rsid w:val="0047656B"/>
    <w:rsid w:val="004772C5"/>
    <w:rsid w:val="00477C24"/>
    <w:rsid w:val="004930AF"/>
    <w:rsid w:val="004940B0"/>
    <w:rsid w:val="00495521"/>
    <w:rsid w:val="004A0C6F"/>
    <w:rsid w:val="004A47AA"/>
    <w:rsid w:val="004A6EE4"/>
    <w:rsid w:val="004A7DED"/>
    <w:rsid w:val="004B02E3"/>
    <w:rsid w:val="004B046D"/>
    <w:rsid w:val="004B0F26"/>
    <w:rsid w:val="004B51B1"/>
    <w:rsid w:val="004B5BBE"/>
    <w:rsid w:val="004C349F"/>
    <w:rsid w:val="004C5425"/>
    <w:rsid w:val="004D5ABD"/>
    <w:rsid w:val="004D75E4"/>
    <w:rsid w:val="004E1C1A"/>
    <w:rsid w:val="004E1D3C"/>
    <w:rsid w:val="004F1071"/>
    <w:rsid w:val="004F1540"/>
    <w:rsid w:val="004F2E3B"/>
    <w:rsid w:val="004F4B67"/>
    <w:rsid w:val="0050759B"/>
    <w:rsid w:val="00507A87"/>
    <w:rsid w:val="005206A6"/>
    <w:rsid w:val="00520905"/>
    <w:rsid w:val="00524A5A"/>
    <w:rsid w:val="0052590F"/>
    <w:rsid w:val="00532F06"/>
    <w:rsid w:val="00536D7D"/>
    <w:rsid w:val="0054210D"/>
    <w:rsid w:val="00543088"/>
    <w:rsid w:val="00543744"/>
    <w:rsid w:val="00550736"/>
    <w:rsid w:val="005516A7"/>
    <w:rsid w:val="0055184C"/>
    <w:rsid w:val="00556482"/>
    <w:rsid w:val="005605FA"/>
    <w:rsid w:val="00561951"/>
    <w:rsid w:val="0057194C"/>
    <w:rsid w:val="00575E85"/>
    <w:rsid w:val="00582E1B"/>
    <w:rsid w:val="0059079C"/>
    <w:rsid w:val="005945BA"/>
    <w:rsid w:val="00596654"/>
    <w:rsid w:val="00596E55"/>
    <w:rsid w:val="0059763B"/>
    <w:rsid w:val="005A23A7"/>
    <w:rsid w:val="005A55B6"/>
    <w:rsid w:val="005A5DBC"/>
    <w:rsid w:val="005A680D"/>
    <w:rsid w:val="005A690B"/>
    <w:rsid w:val="005B31E3"/>
    <w:rsid w:val="005B3A81"/>
    <w:rsid w:val="005B4930"/>
    <w:rsid w:val="005C6E0F"/>
    <w:rsid w:val="005D1545"/>
    <w:rsid w:val="005D2A64"/>
    <w:rsid w:val="005D549F"/>
    <w:rsid w:val="005D7567"/>
    <w:rsid w:val="005D7D20"/>
    <w:rsid w:val="005E1698"/>
    <w:rsid w:val="005E4BD0"/>
    <w:rsid w:val="005F28EF"/>
    <w:rsid w:val="005F42DD"/>
    <w:rsid w:val="005F72EB"/>
    <w:rsid w:val="005F7E38"/>
    <w:rsid w:val="00610315"/>
    <w:rsid w:val="00616918"/>
    <w:rsid w:val="00617088"/>
    <w:rsid w:val="006213C3"/>
    <w:rsid w:val="00625527"/>
    <w:rsid w:val="0063086E"/>
    <w:rsid w:val="006337AE"/>
    <w:rsid w:val="00634BA4"/>
    <w:rsid w:val="0063652E"/>
    <w:rsid w:val="00642708"/>
    <w:rsid w:val="00643745"/>
    <w:rsid w:val="0064701C"/>
    <w:rsid w:val="00653665"/>
    <w:rsid w:val="006537E7"/>
    <w:rsid w:val="00654EFF"/>
    <w:rsid w:val="00657C2E"/>
    <w:rsid w:val="006611A9"/>
    <w:rsid w:val="00662841"/>
    <w:rsid w:val="00663795"/>
    <w:rsid w:val="0066712C"/>
    <w:rsid w:val="006740B2"/>
    <w:rsid w:val="00676F77"/>
    <w:rsid w:val="00680FCE"/>
    <w:rsid w:val="00687383"/>
    <w:rsid w:val="00692195"/>
    <w:rsid w:val="0069406F"/>
    <w:rsid w:val="006A4BBA"/>
    <w:rsid w:val="006A5C3D"/>
    <w:rsid w:val="006A6422"/>
    <w:rsid w:val="006B0DA8"/>
    <w:rsid w:val="006B6CF5"/>
    <w:rsid w:val="006B6D81"/>
    <w:rsid w:val="006C1280"/>
    <w:rsid w:val="006C4F56"/>
    <w:rsid w:val="006F682A"/>
    <w:rsid w:val="00701CCE"/>
    <w:rsid w:val="007051FF"/>
    <w:rsid w:val="007178DE"/>
    <w:rsid w:val="0072330A"/>
    <w:rsid w:val="00726104"/>
    <w:rsid w:val="007313FD"/>
    <w:rsid w:val="007339FF"/>
    <w:rsid w:val="007352ED"/>
    <w:rsid w:val="007361E3"/>
    <w:rsid w:val="00736503"/>
    <w:rsid w:val="00736CFB"/>
    <w:rsid w:val="00744859"/>
    <w:rsid w:val="00746AF2"/>
    <w:rsid w:val="0075294D"/>
    <w:rsid w:val="00752F31"/>
    <w:rsid w:val="00756CC4"/>
    <w:rsid w:val="00757861"/>
    <w:rsid w:val="00762130"/>
    <w:rsid w:val="00765E0C"/>
    <w:rsid w:val="00766CB4"/>
    <w:rsid w:val="007706ED"/>
    <w:rsid w:val="00772132"/>
    <w:rsid w:val="007743B3"/>
    <w:rsid w:val="007755F2"/>
    <w:rsid w:val="00776FD5"/>
    <w:rsid w:val="007777CC"/>
    <w:rsid w:val="007833F7"/>
    <w:rsid w:val="0079111B"/>
    <w:rsid w:val="007921E1"/>
    <w:rsid w:val="007A11EE"/>
    <w:rsid w:val="007A1711"/>
    <w:rsid w:val="007A4FB4"/>
    <w:rsid w:val="007B2199"/>
    <w:rsid w:val="007B3FB9"/>
    <w:rsid w:val="007B6191"/>
    <w:rsid w:val="007C6AC0"/>
    <w:rsid w:val="007C6B29"/>
    <w:rsid w:val="007D65CA"/>
    <w:rsid w:val="007D6B39"/>
    <w:rsid w:val="007D7BBA"/>
    <w:rsid w:val="007F4ED8"/>
    <w:rsid w:val="007F7738"/>
    <w:rsid w:val="00805CF5"/>
    <w:rsid w:val="00806A69"/>
    <w:rsid w:val="00807DE7"/>
    <w:rsid w:val="008141C0"/>
    <w:rsid w:val="0081554D"/>
    <w:rsid w:val="0082252C"/>
    <w:rsid w:val="00823B49"/>
    <w:rsid w:val="0083359B"/>
    <w:rsid w:val="008337B4"/>
    <w:rsid w:val="008352C9"/>
    <w:rsid w:val="008407C0"/>
    <w:rsid w:val="00843737"/>
    <w:rsid w:val="00843FFA"/>
    <w:rsid w:val="008544A0"/>
    <w:rsid w:val="0085705A"/>
    <w:rsid w:val="00863642"/>
    <w:rsid w:val="00863B90"/>
    <w:rsid w:val="00863BBD"/>
    <w:rsid w:val="00874C19"/>
    <w:rsid w:val="00874F21"/>
    <w:rsid w:val="00875587"/>
    <w:rsid w:val="00897949"/>
    <w:rsid w:val="008A1394"/>
    <w:rsid w:val="008A7D93"/>
    <w:rsid w:val="008B0355"/>
    <w:rsid w:val="008B0C1B"/>
    <w:rsid w:val="008B3F8A"/>
    <w:rsid w:val="008B66DC"/>
    <w:rsid w:val="008B726F"/>
    <w:rsid w:val="008C1951"/>
    <w:rsid w:val="008C223A"/>
    <w:rsid w:val="008C30DE"/>
    <w:rsid w:val="008C3423"/>
    <w:rsid w:val="008E0B54"/>
    <w:rsid w:val="008E34D3"/>
    <w:rsid w:val="008E5823"/>
    <w:rsid w:val="008F15C2"/>
    <w:rsid w:val="008F1B36"/>
    <w:rsid w:val="008F6636"/>
    <w:rsid w:val="00907591"/>
    <w:rsid w:val="009155DA"/>
    <w:rsid w:val="009247C2"/>
    <w:rsid w:val="0092527F"/>
    <w:rsid w:val="00925AF1"/>
    <w:rsid w:val="00927955"/>
    <w:rsid w:val="009313D5"/>
    <w:rsid w:val="0094267A"/>
    <w:rsid w:val="00946E37"/>
    <w:rsid w:val="0095259C"/>
    <w:rsid w:val="00961621"/>
    <w:rsid w:val="00965860"/>
    <w:rsid w:val="00975FAB"/>
    <w:rsid w:val="00976E81"/>
    <w:rsid w:val="0098235C"/>
    <w:rsid w:val="009833B4"/>
    <w:rsid w:val="0099019A"/>
    <w:rsid w:val="00991725"/>
    <w:rsid w:val="009958D0"/>
    <w:rsid w:val="00995BC4"/>
    <w:rsid w:val="00997F56"/>
    <w:rsid w:val="009A19EB"/>
    <w:rsid w:val="009A28F3"/>
    <w:rsid w:val="009A2B9D"/>
    <w:rsid w:val="009A7840"/>
    <w:rsid w:val="009B4341"/>
    <w:rsid w:val="009B52E0"/>
    <w:rsid w:val="009B7327"/>
    <w:rsid w:val="009D6076"/>
    <w:rsid w:val="009E1078"/>
    <w:rsid w:val="009F058D"/>
    <w:rsid w:val="009F496F"/>
    <w:rsid w:val="009F77E2"/>
    <w:rsid w:val="009F7918"/>
    <w:rsid w:val="00A00646"/>
    <w:rsid w:val="00A0150C"/>
    <w:rsid w:val="00A0251D"/>
    <w:rsid w:val="00A13590"/>
    <w:rsid w:val="00A20A46"/>
    <w:rsid w:val="00A26DD9"/>
    <w:rsid w:val="00A27610"/>
    <w:rsid w:val="00A27B39"/>
    <w:rsid w:val="00A33000"/>
    <w:rsid w:val="00A344E5"/>
    <w:rsid w:val="00A36934"/>
    <w:rsid w:val="00A375AF"/>
    <w:rsid w:val="00A43DD8"/>
    <w:rsid w:val="00A47259"/>
    <w:rsid w:val="00A52F71"/>
    <w:rsid w:val="00A533B4"/>
    <w:rsid w:val="00A607A0"/>
    <w:rsid w:val="00A635FB"/>
    <w:rsid w:val="00A66049"/>
    <w:rsid w:val="00A76E9C"/>
    <w:rsid w:val="00A80946"/>
    <w:rsid w:val="00A82256"/>
    <w:rsid w:val="00A82E6C"/>
    <w:rsid w:val="00A83C8D"/>
    <w:rsid w:val="00A901E0"/>
    <w:rsid w:val="00A908C5"/>
    <w:rsid w:val="00A9288F"/>
    <w:rsid w:val="00A951CB"/>
    <w:rsid w:val="00A9544C"/>
    <w:rsid w:val="00A96003"/>
    <w:rsid w:val="00AA1C88"/>
    <w:rsid w:val="00AB3325"/>
    <w:rsid w:val="00AB38CB"/>
    <w:rsid w:val="00AC3D86"/>
    <w:rsid w:val="00AD4417"/>
    <w:rsid w:val="00AD753F"/>
    <w:rsid w:val="00AF1285"/>
    <w:rsid w:val="00AF621F"/>
    <w:rsid w:val="00B01C4E"/>
    <w:rsid w:val="00B026BE"/>
    <w:rsid w:val="00B05899"/>
    <w:rsid w:val="00B11E5E"/>
    <w:rsid w:val="00B210A3"/>
    <w:rsid w:val="00B22C6D"/>
    <w:rsid w:val="00B25DB2"/>
    <w:rsid w:val="00B369F1"/>
    <w:rsid w:val="00B46BED"/>
    <w:rsid w:val="00B47EAA"/>
    <w:rsid w:val="00B56F62"/>
    <w:rsid w:val="00B62494"/>
    <w:rsid w:val="00B628B1"/>
    <w:rsid w:val="00B675B4"/>
    <w:rsid w:val="00B71AAA"/>
    <w:rsid w:val="00B7619E"/>
    <w:rsid w:val="00B80BB1"/>
    <w:rsid w:val="00B80C58"/>
    <w:rsid w:val="00B921CC"/>
    <w:rsid w:val="00B92A99"/>
    <w:rsid w:val="00B92F52"/>
    <w:rsid w:val="00BA4D1F"/>
    <w:rsid w:val="00BA6D5A"/>
    <w:rsid w:val="00BB3068"/>
    <w:rsid w:val="00BB52AD"/>
    <w:rsid w:val="00BB7FEA"/>
    <w:rsid w:val="00BD0073"/>
    <w:rsid w:val="00BD39A4"/>
    <w:rsid w:val="00BD6F5C"/>
    <w:rsid w:val="00BD7B50"/>
    <w:rsid w:val="00BE6B3E"/>
    <w:rsid w:val="00BF24C9"/>
    <w:rsid w:val="00BF366F"/>
    <w:rsid w:val="00C0080B"/>
    <w:rsid w:val="00C01B66"/>
    <w:rsid w:val="00C07C03"/>
    <w:rsid w:val="00C10C3E"/>
    <w:rsid w:val="00C169A4"/>
    <w:rsid w:val="00C16BFE"/>
    <w:rsid w:val="00C20ECC"/>
    <w:rsid w:val="00C21EBB"/>
    <w:rsid w:val="00C23825"/>
    <w:rsid w:val="00C269B5"/>
    <w:rsid w:val="00C33222"/>
    <w:rsid w:val="00C353C4"/>
    <w:rsid w:val="00C377E3"/>
    <w:rsid w:val="00C473FA"/>
    <w:rsid w:val="00C54330"/>
    <w:rsid w:val="00C54375"/>
    <w:rsid w:val="00C56111"/>
    <w:rsid w:val="00C649DE"/>
    <w:rsid w:val="00C70A92"/>
    <w:rsid w:val="00C741A9"/>
    <w:rsid w:val="00C80BD1"/>
    <w:rsid w:val="00C82C32"/>
    <w:rsid w:val="00C82C91"/>
    <w:rsid w:val="00C83139"/>
    <w:rsid w:val="00C83D9B"/>
    <w:rsid w:val="00C871A8"/>
    <w:rsid w:val="00C87575"/>
    <w:rsid w:val="00C9029B"/>
    <w:rsid w:val="00C971A3"/>
    <w:rsid w:val="00CA0E61"/>
    <w:rsid w:val="00CA2C58"/>
    <w:rsid w:val="00CA4749"/>
    <w:rsid w:val="00CA51AC"/>
    <w:rsid w:val="00CB4313"/>
    <w:rsid w:val="00CB766F"/>
    <w:rsid w:val="00CC7023"/>
    <w:rsid w:val="00CD3CFC"/>
    <w:rsid w:val="00CD62C5"/>
    <w:rsid w:val="00CE4196"/>
    <w:rsid w:val="00CE44DA"/>
    <w:rsid w:val="00CE60D7"/>
    <w:rsid w:val="00CF325F"/>
    <w:rsid w:val="00CF4116"/>
    <w:rsid w:val="00CF5C5D"/>
    <w:rsid w:val="00D0071A"/>
    <w:rsid w:val="00D04B47"/>
    <w:rsid w:val="00D05BD5"/>
    <w:rsid w:val="00D07828"/>
    <w:rsid w:val="00D113F8"/>
    <w:rsid w:val="00D21676"/>
    <w:rsid w:val="00D21CA2"/>
    <w:rsid w:val="00D22EC6"/>
    <w:rsid w:val="00D34A12"/>
    <w:rsid w:val="00D40395"/>
    <w:rsid w:val="00D4502C"/>
    <w:rsid w:val="00D464F9"/>
    <w:rsid w:val="00D55A39"/>
    <w:rsid w:val="00D56A32"/>
    <w:rsid w:val="00D61731"/>
    <w:rsid w:val="00D621FC"/>
    <w:rsid w:val="00D876E2"/>
    <w:rsid w:val="00D92CA5"/>
    <w:rsid w:val="00D93136"/>
    <w:rsid w:val="00D97173"/>
    <w:rsid w:val="00D97797"/>
    <w:rsid w:val="00DA058A"/>
    <w:rsid w:val="00DA5B03"/>
    <w:rsid w:val="00DA7050"/>
    <w:rsid w:val="00DB2191"/>
    <w:rsid w:val="00DD0FC0"/>
    <w:rsid w:val="00DD181D"/>
    <w:rsid w:val="00DD2D97"/>
    <w:rsid w:val="00DD37E9"/>
    <w:rsid w:val="00DE480B"/>
    <w:rsid w:val="00DF03ED"/>
    <w:rsid w:val="00DF4E66"/>
    <w:rsid w:val="00DF5241"/>
    <w:rsid w:val="00E0100A"/>
    <w:rsid w:val="00E03333"/>
    <w:rsid w:val="00E05DB4"/>
    <w:rsid w:val="00E17403"/>
    <w:rsid w:val="00E3477A"/>
    <w:rsid w:val="00E36E78"/>
    <w:rsid w:val="00E43BD5"/>
    <w:rsid w:val="00E443B9"/>
    <w:rsid w:val="00E509D3"/>
    <w:rsid w:val="00E55871"/>
    <w:rsid w:val="00E60EEB"/>
    <w:rsid w:val="00E61812"/>
    <w:rsid w:val="00E67649"/>
    <w:rsid w:val="00E7401D"/>
    <w:rsid w:val="00E76263"/>
    <w:rsid w:val="00E80224"/>
    <w:rsid w:val="00E80707"/>
    <w:rsid w:val="00E82AE2"/>
    <w:rsid w:val="00E84E06"/>
    <w:rsid w:val="00E977F6"/>
    <w:rsid w:val="00EA1F2E"/>
    <w:rsid w:val="00EB0997"/>
    <w:rsid w:val="00EB2DE9"/>
    <w:rsid w:val="00EB2F17"/>
    <w:rsid w:val="00EB5089"/>
    <w:rsid w:val="00EC3FEF"/>
    <w:rsid w:val="00ED188D"/>
    <w:rsid w:val="00EE2482"/>
    <w:rsid w:val="00EE2809"/>
    <w:rsid w:val="00EE2B21"/>
    <w:rsid w:val="00EF2B82"/>
    <w:rsid w:val="00EF3203"/>
    <w:rsid w:val="00EF7932"/>
    <w:rsid w:val="00F020BE"/>
    <w:rsid w:val="00F06A75"/>
    <w:rsid w:val="00F11A5B"/>
    <w:rsid w:val="00F120E4"/>
    <w:rsid w:val="00F1521E"/>
    <w:rsid w:val="00F1638A"/>
    <w:rsid w:val="00F21192"/>
    <w:rsid w:val="00F3245E"/>
    <w:rsid w:val="00F3709F"/>
    <w:rsid w:val="00F40FDA"/>
    <w:rsid w:val="00F41BCD"/>
    <w:rsid w:val="00F45122"/>
    <w:rsid w:val="00F60DBA"/>
    <w:rsid w:val="00F63855"/>
    <w:rsid w:val="00F658AD"/>
    <w:rsid w:val="00F74D92"/>
    <w:rsid w:val="00F82622"/>
    <w:rsid w:val="00F84BFD"/>
    <w:rsid w:val="00F86CD1"/>
    <w:rsid w:val="00F916CC"/>
    <w:rsid w:val="00F944EC"/>
    <w:rsid w:val="00F957AF"/>
    <w:rsid w:val="00FA2759"/>
    <w:rsid w:val="00FB11F5"/>
    <w:rsid w:val="00FB550E"/>
    <w:rsid w:val="00FC24C4"/>
    <w:rsid w:val="00FC2FEC"/>
    <w:rsid w:val="00FD1BAD"/>
    <w:rsid w:val="00FD623D"/>
    <w:rsid w:val="00FD6FA3"/>
    <w:rsid w:val="00FE53FA"/>
    <w:rsid w:val="00FF3565"/>
    <w:rsid w:val="00FF519C"/>
    <w:rsid w:val="00FF6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73C422"/>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paragraph" w:customStyle="1" w:styleId="Default">
    <w:name w:val="Default"/>
    <w:rsid w:val="00B7619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sa2b98c15">
    <w:name w:val="sa2b98c15"/>
    <w:basedOn w:val="DefaultParagraphFont"/>
    <w:rsid w:val="007C6AC0"/>
  </w:style>
  <w:style w:type="table" w:styleId="TableGrid">
    <w:name w:val="Table Grid"/>
    <w:basedOn w:val="TableNormal"/>
    <w:uiPriority w:val="39"/>
    <w:rsid w:val="00055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55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2026-03-10T14:39:09Z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2026-03-10T00:00:00Z</Date_x0020_protokolli>
    <Titulli xmlns="0e656187-b300-4fb0-8bf4-3a50f872073c">Me objekt shfuqizimin e vendimit nr. 00-2024-5435(363), datë 23.9.2024 të Kolegjit Administrativ të Gjykatës së Lartë, si i papajtueshëm me Kushtetutën e Republikës së Shqipërisë. Dërgimin e çështjes për shqyrtim në Kolegjin Administrativ të Gjykatës së Lartë.</Titulli>
    <Modifikuesi xmlns="0e656187-b300-4fb0-8bf4-3a50f872073c">keisina.zace</Modifikuesi>
    <Nr_x002e__x0020_prot_x0020_QBZ xmlns="0e656187-b300-4fb0-8bf4-3a50f872073c">476/1</Nr_x002e__x0020_prot_x0020_QBZ>
    <Data_x0020_e_x0020_Modifikimit xmlns="0e656187-b300-4fb0-8bf4-3a50f872073c">2026-03-10T15:07:36Z</Data_x0020_e_x0020_Modifikimit>
    <Dekretuar xmlns="0e656187-b300-4fb0-8bf4-3a50f872073c">false</Dekretuar>
    <Data xmlns="0e656187-b300-4fb0-8bf4-3a50f872073c">2026-02-11T00:00:00Z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1A80CF5B65D4E76BAC8BC5011EAE5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7E0EF-52E7-48D2-A9C7-8A5024A7651E}">
  <ds:schemaRefs>
    <ds:schemaRef ds:uri="0e656187-b300-4fb0-8bf4-3a50f872073c"/>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46AFAE3-655F-4039-A1BD-BD3AB16DBF8E}">
  <ds:schemaRefs>
    <ds:schemaRef ds:uri="http://schemas.microsoft.com/sharepoint/v3/contenttype/forms"/>
  </ds:schemaRefs>
</ds:datastoreItem>
</file>

<file path=customXml/itemProps3.xml><?xml version="1.0" encoding="utf-8"?>
<ds:datastoreItem xmlns:ds="http://schemas.openxmlformats.org/officeDocument/2006/customXml" ds:itemID="{D2CCB794-1F7E-44F7-9B64-877F7258D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2AE518-D552-47D3-8BA3-06488850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3407</Words>
  <Characters>19420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Me objekt shfuqizimin e vendimit nr. 00-2024-5435(363), datë 23.9.2024 të Kolegjit Administrativ të Gjykatës së Lartë, si i papajtueshëm me Kushtetutën e Republikës së Shqipërisë. Dërgimin e çështjes për shqyrtim në Kolegjin Administrativ të Gjykatës së L</vt:lpstr>
    </vt:vector>
  </TitlesOfParts>
  <Company>User</Company>
  <LinksUpToDate>false</LinksUpToDate>
  <CharactersWithSpaces>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00-2024-5435(363), datë 23.9.2024 të Kolegjit Administrativ të Gjykatës së Lartë, si i papajtueshëm me Kushtetutën e Republikës së Shqipërisë. Dërgimin e çështjes për shqyrtim në Kolegjin Administrativ të Gjykatës së Lartë.</dc:title>
  <dc:creator>Ilir Toska</dc:creator>
  <cp:lastModifiedBy>fjora.cahani</cp:lastModifiedBy>
  <cp:revision>9</cp:revision>
  <cp:lastPrinted>2026-03-05T13:39:00Z</cp:lastPrinted>
  <dcterms:created xsi:type="dcterms:W3CDTF">2026-03-10T13:46:00Z</dcterms:created>
  <dcterms:modified xsi:type="dcterms:W3CDTF">2026-03-11T08:53:00Z</dcterms:modified>
</cp:coreProperties>
</file>