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D6E29" w14:textId="77777777" w:rsidR="00E52F6F" w:rsidRPr="00D80C1B" w:rsidRDefault="00E52F6F" w:rsidP="00E52F6F">
      <w:pPr>
        <w:spacing w:line="240" w:lineRule="auto"/>
        <w:ind w:firstLine="284"/>
        <w:jc w:val="center"/>
        <w:rPr>
          <w:rFonts w:ascii="Garamond" w:hAnsi="Garamond"/>
          <w:b/>
          <w:bCs/>
          <w:u w:val="single"/>
        </w:rPr>
      </w:pPr>
    </w:p>
    <w:p w14:paraId="4917D4BD" w14:textId="77777777" w:rsidR="00E52F6F" w:rsidRPr="00D80C1B" w:rsidRDefault="00E52F6F" w:rsidP="00E52F6F">
      <w:pPr>
        <w:spacing w:line="240" w:lineRule="auto"/>
        <w:ind w:firstLine="284"/>
        <w:jc w:val="center"/>
        <w:rPr>
          <w:rFonts w:ascii="Garamond" w:hAnsi="Garamond"/>
          <w:b/>
          <w:bCs/>
        </w:rPr>
      </w:pPr>
      <w:r w:rsidRPr="00D80C1B">
        <w:rPr>
          <w:rFonts w:ascii="Garamond" w:hAnsi="Garamond"/>
          <w:b/>
          <w:bCs/>
        </w:rPr>
        <w:t>VENDIM</w:t>
      </w:r>
    </w:p>
    <w:p w14:paraId="32493931" w14:textId="77777777" w:rsidR="00E52F6F" w:rsidRPr="00D80C1B" w:rsidRDefault="00E52F6F" w:rsidP="00E52F6F">
      <w:pPr>
        <w:spacing w:line="240" w:lineRule="auto"/>
        <w:ind w:firstLine="284"/>
        <w:jc w:val="center"/>
        <w:rPr>
          <w:rFonts w:ascii="Garamond" w:hAnsi="Garamond"/>
          <w:b/>
          <w:bCs/>
        </w:rPr>
      </w:pPr>
      <w:r w:rsidRPr="00D80C1B">
        <w:rPr>
          <w:rFonts w:ascii="Garamond" w:hAnsi="Garamond"/>
          <w:b/>
          <w:bCs/>
        </w:rPr>
        <w:t>Nr. 13, datë 16.2.2026</w:t>
      </w:r>
    </w:p>
    <w:p w14:paraId="19410C81" w14:textId="77777777" w:rsidR="00E52F6F" w:rsidRPr="00D80C1B" w:rsidRDefault="00E52F6F" w:rsidP="00E52F6F">
      <w:pPr>
        <w:spacing w:line="240" w:lineRule="auto"/>
        <w:ind w:firstLine="284"/>
        <w:jc w:val="center"/>
        <w:rPr>
          <w:rFonts w:ascii="Garamond" w:hAnsi="Garamond"/>
          <w:b/>
          <w:bCs/>
        </w:rPr>
      </w:pPr>
    </w:p>
    <w:p w14:paraId="3E23E12C" w14:textId="1083FCEC" w:rsidR="00E52F6F" w:rsidRPr="00D80C1B" w:rsidRDefault="00E52F6F" w:rsidP="00E52F6F">
      <w:pPr>
        <w:spacing w:line="240" w:lineRule="auto"/>
        <w:ind w:firstLine="284"/>
        <w:jc w:val="center"/>
        <w:rPr>
          <w:rFonts w:ascii="Garamond" w:hAnsi="Garamond"/>
          <w:b/>
          <w:bCs/>
        </w:rPr>
      </w:pPr>
      <w:r w:rsidRPr="00D80C1B">
        <w:rPr>
          <w:rFonts w:ascii="Garamond" w:hAnsi="Garamond"/>
          <w:b/>
          <w:bCs/>
        </w:rPr>
        <w:t>NË E</w:t>
      </w:r>
      <w:r w:rsidR="00D80C1B" w:rsidRPr="00D80C1B">
        <w:rPr>
          <w:rFonts w:ascii="Garamond" w:hAnsi="Garamond"/>
          <w:b/>
          <w:bCs/>
        </w:rPr>
        <w:t>MËR TË REPUBLIKËS SË SHQIPËRISË</w:t>
      </w:r>
    </w:p>
    <w:p w14:paraId="01821CB2" w14:textId="77777777" w:rsidR="00E52F6F" w:rsidRPr="00D80C1B" w:rsidRDefault="00E52F6F" w:rsidP="00E52F6F">
      <w:pPr>
        <w:tabs>
          <w:tab w:val="left" w:pos="0"/>
          <w:tab w:val="left" w:pos="720"/>
        </w:tabs>
        <w:spacing w:line="240" w:lineRule="auto"/>
        <w:ind w:firstLine="284"/>
        <w:rPr>
          <w:rFonts w:ascii="Garamond" w:hAnsi="Garamond"/>
        </w:rPr>
      </w:pPr>
    </w:p>
    <w:p w14:paraId="7793859E" w14:textId="77777777" w:rsidR="00E52F6F" w:rsidRPr="00D80C1B" w:rsidRDefault="00E52F6F" w:rsidP="00E52F6F">
      <w:pPr>
        <w:spacing w:line="240" w:lineRule="auto"/>
        <w:ind w:firstLine="284"/>
        <w:jc w:val="both"/>
        <w:rPr>
          <w:rFonts w:ascii="Garamond" w:hAnsi="Garamond"/>
        </w:rPr>
      </w:pPr>
      <w:r w:rsidRPr="00D80C1B">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1"/>
        <w:gridCol w:w="1009"/>
      </w:tblGrid>
      <w:tr w:rsidR="00E52F6F" w:rsidRPr="00D80C1B" w14:paraId="6312D025" w14:textId="77777777" w:rsidTr="00D80C1B">
        <w:tc>
          <w:tcPr>
            <w:tcW w:w="2601" w:type="dxa"/>
          </w:tcPr>
          <w:p w14:paraId="656478FF" w14:textId="77777777" w:rsidR="00E52F6F" w:rsidRPr="00D80C1B" w:rsidRDefault="00E52F6F" w:rsidP="001F06CA">
            <w:pPr>
              <w:spacing w:line="240" w:lineRule="auto"/>
              <w:jc w:val="both"/>
              <w:rPr>
                <w:rFonts w:ascii="Garamond" w:hAnsi="Garamond"/>
              </w:rPr>
            </w:pPr>
            <w:proofErr w:type="spellStart"/>
            <w:r w:rsidRPr="00D80C1B">
              <w:rPr>
                <w:rFonts w:ascii="Garamond" w:hAnsi="Garamond"/>
              </w:rPr>
              <w:t>Fiona</w:t>
            </w:r>
            <w:proofErr w:type="spellEnd"/>
            <w:r w:rsidRPr="00D80C1B">
              <w:rPr>
                <w:rFonts w:ascii="Garamond" w:hAnsi="Garamond"/>
              </w:rPr>
              <w:t xml:space="preserve"> </w:t>
            </w:r>
            <w:proofErr w:type="spellStart"/>
            <w:r w:rsidRPr="00D80C1B">
              <w:rPr>
                <w:rFonts w:ascii="Garamond" w:hAnsi="Garamond"/>
              </w:rPr>
              <w:t>Papajorgji</w:t>
            </w:r>
            <w:proofErr w:type="spellEnd"/>
          </w:p>
        </w:tc>
        <w:tc>
          <w:tcPr>
            <w:tcW w:w="655" w:type="dxa"/>
          </w:tcPr>
          <w:p w14:paraId="5A82B2D1" w14:textId="4E525DA0" w:rsidR="00E52F6F" w:rsidRPr="00D80C1B" w:rsidRDefault="00D80C1B" w:rsidP="00D80C1B">
            <w:pPr>
              <w:spacing w:line="240" w:lineRule="auto"/>
              <w:rPr>
                <w:rFonts w:ascii="Garamond" w:hAnsi="Garamond"/>
              </w:rPr>
            </w:pPr>
            <w:r w:rsidRPr="00D80C1B">
              <w:rPr>
                <w:rFonts w:ascii="Garamond" w:hAnsi="Garamond"/>
              </w:rPr>
              <w:t>kryetare</w:t>
            </w:r>
            <w:r>
              <w:rPr>
                <w:rFonts w:ascii="Garamond" w:hAnsi="Garamond"/>
              </w:rPr>
              <w:t>;</w:t>
            </w:r>
          </w:p>
        </w:tc>
      </w:tr>
      <w:tr w:rsidR="00E52F6F" w:rsidRPr="00D80C1B" w14:paraId="65BD0938" w14:textId="77777777" w:rsidTr="00D80C1B">
        <w:tc>
          <w:tcPr>
            <w:tcW w:w="2601" w:type="dxa"/>
          </w:tcPr>
          <w:p w14:paraId="63C7FB93" w14:textId="77777777" w:rsidR="00E52F6F" w:rsidRPr="00D80C1B" w:rsidRDefault="00E52F6F" w:rsidP="001F06CA">
            <w:pPr>
              <w:spacing w:line="240" w:lineRule="auto"/>
              <w:jc w:val="both"/>
              <w:rPr>
                <w:rFonts w:ascii="Garamond" w:hAnsi="Garamond"/>
              </w:rPr>
            </w:pPr>
            <w:proofErr w:type="spellStart"/>
            <w:r w:rsidRPr="00D80C1B">
              <w:rPr>
                <w:rFonts w:ascii="Garamond" w:hAnsi="Garamond"/>
              </w:rPr>
              <w:t>Marsida</w:t>
            </w:r>
            <w:proofErr w:type="spellEnd"/>
            <w:r w:rsidRPr="00D80C1B">
              <w:rPr>
                <w:rFonts w:ascii="Garamond" w:hAnsi="Garamond"/>
              </w:rPr>
              <w:t xml:space="preserve"> </w:t>
            </w:r>
            <w:proofErr w:type="spellStart"/>
            <w:r w:rsidRPr="00D80C1B">
              <w:rPr>
                <w:rFonts w:ascii="Garamond" w:hAnsi="Garamond"/>
              </w:rPr>
              <w:t>Xhaferllari</w:t>
            </w:r>
            <w:proofErr w:type="spellEnd"/>
          </w:p>
        </w:tc>
        <w:tc>
          <w:tcPr>
            <w:tcW w:w="655" w:type="dxa"/>
          </w:tcPr>
          <w:p w14:paraId="0A0B11F8" w14:textId="7E750CD7" w:rsidR="00E52F6F" w:rsidRPr="00D80C1B" w:rsidRDefault="00D80C1B" w:rsidP="00D80C1B">
            <w:pPr>
              <w:spacing w:line="240" w:lineRule="auto"/>
              <w:rPr>
                <w:rFonts w:ascii="Garamond" w:hAnsi="Garamond"/>
              </w:rPr>
            </w:pPr>
            <w:r>
              <w:rPr>
                <w:rFonts w:ascii="Garamond" w:hAnsi="Garamond"/>
              </w:rPr>
              <w:t>anëtare;</w:t>
            </w:r>
          </w:p>
        </w:tc>
      </w:tr>
      <w:tr w:rsidR="00E52F6F" w:rsidRPr="00D80C1B" w14:paraId="5618DCCD" w14:textId="77777777" w:rsidTr="00D80C1B">
        <w:tc>
          <w:tcPr>
            <w:tcW w:w="2601" w:type="dxa"/>
          </w:tcPr>
          <w:p w14:paraId="2017970B" w14:textId="77777777" w:rsidR="00E52F6F" w:rsidRPr="00D80C1B" w:rsidRDefault="00E52F6F" w:rsidP="001F06CA">
            <w:pPr>
              <w:spacing w:line="240" w:lineRule="auto"/>
              <w:rPr>
                <w:rFonts w:ascii="Garamond" w:hAnsi="Garamond"/>
              </w:rPr>
            </w:pPr>
            <w:proofErr w:type="spellStart"/>
            <w:r w:rsidRPr="00D80C1B">
              <w:rPr>
                <w:rFonts w:ascii="Garamond" w:hAnsi="Garamond"/>
              </w:rPr>
              <w:t>Sonila</w:t>
            </w:r>
            <w:proofErr w:type="spellEnd"/>
            <w:r w:rsidRPr="00D80C1B">
              <w:rPr>
                <w:rFonts w:ascii="Garamond" w:hAnsi="Garamond"/>
              </w:rPr>
              <w:t xml:space="preserve"> Bejtja</w:t>
            </w:r>
          </w:p>
        </w:tc>
        <w:tc>
          <w:tcPr>
            <w:tcW w:w="655" w:type="dxa"/>
          </w:tcPr>
          <w:p w14:paraId="440A317A" w14:textId="596A5B49" w:rsidR="00E52F6F" w:rsidRPr="00D80C1B" w:rsidRDefault="00D80C1B" w:rsidP="00D80C1B">
            <w:pPr>
              <w:spacing w:line="240" w:lineRule="auto"/>
              <w:rPr>
                <w:rFonts w:ascii="Garamond" w:hAnsi="Garamond"/>
              </w:rPr>
            </w:pPr>
            <w:r w:rsidRPr="00D80C1B">
              <w:rPr>
                <w:rFonts w:ascii="Garamond" w:hAnsi="Garamond"/>
              </w:rPr>
              <w:t>anëtare</w:t>
            </w:r>
            <w:r>
              <w:rPr>
                <w:rFonts w:ascii="Garamond" w:hAnsi="Garamond"/>
              </w:rPr>
              <w:t>;</w:t>
            </w:r>
          </w:p>
        </w:tc>
      </w:tr>
      <w:tr w:rsidR="00E52F6F" w:rsidRPr="00D80C1B" w14:paraId="62442DB9" w14:textId="77777777" w:rsidTr="00D80C1B">
        <w:tc>
          <w:tcPr>
            <w:tcW w:w="2601" w:type="dxa"/>
          </w:tcPr>
          <w:p w14:paraId="12DB8941" w14:textId="77777777" w:rsidR="00E52F6F" w:rsidRPr="00D80C1B" w:rsidRDefault="00E52F6F" w:rsidP="001F06CA">
            <w:pPr>
              <w:spacing w:line="240" w:lineRule="auto"/>
              <w:rPr>
                <w:rFonts w:ascii="Garamond" w:hAnsi="Garamond"/>
              </w:rPr>
            </w:pPr>
            <w:proofErr w:type="spellStart"/>
            <w:r w:rsidRPr="00D80C1B">
              <w:rPr>
                <w:rFonts w:ascii="Garamond" w:hAnsi="Garamond"/>
              </w:rPr>
              <w:t>Sandër</w:t>
            </w:r>
            <w:proofErr w:type="spellEnd"/>
            <w:r w:rsidRPr="00D80C1B">
              <w:rPr>
                <w:rFonts w:ascii="Garamond" w:hAnsi="Garamond"/>
              </w:rPr>
              <w:t xml:space="preserve"> Beci</w:t>
            </w:r>
          </w:p>
        </w:tc>
        <w:tc>
          <w:tcPr>
            <w:tcW w:w="655" w:type="dxa"/>
          </w:tcPr>
          <w:p w14:paraId="0B2D41DB" w14:textId="1BD29FE2" w:rsidR="00E52F6F" w:rsidRPr="00D80C1B" w:rsidRDefault="00D80C1B" w:rsidP="00D80C1B">
            <w:pPr>
              <w:spacing w:line="240" w:lineRule="auto"/>
              <w:rPr>
                <w:rFonts w:ascii="Garamond" w:hAnsi="Garamond"/>
              </w:rPr>
            </w:pPr>
            <w:r w:rsidRPr="00D80C1B">
              <w:rPr>
                <w:rFonts w:ascii="Garamond" w:hAnsi="Garamond"/>
              </w:rPr>
              <w:t>anëtar</w:t>
            </w:r>
            <w:r>
              <w:rPr>
                <w:rFonts w:ascii="Garamond" w:hAnsi="Garamond"/>
              </w:rPr>
              <w:t>;</w:t>
            </w:r>
            <w:r w:rsidRPr="00D80C1B">
              <w:rPr>
                <w:rFonts w:ascii="Garamond" w:hAnsi="Garamond"/>
              </w:rPr>
              <w:t xml:space="preserve"> </w:t>
            </w:r>
          </w:p>
        </w:tc>
      </w:tr>
      <w:tr w:rsidR="00E52F6F" w:rsidRPr="00D80C1B" w14:paraId="7804CD7B" w14:textId="77777777" w:rsidTr="00D80C1B">
        <w:tc>
          <w:tcPr>
            <w:tcW w:w="2601" w:type="dxa"/>
          </w:tcPr>
          <w:p w14:paraId="6C9AF0C4" w14:textId="77777777" w:rsidR="00E52F6F" w:rsidRPr="00D80C1B" w:rsidRDefault="00E52F6F" w:rsidP="001F06CA">
            <w:pPr>
              <w:spacing w:line="240" w:lineRule="auto"/>
              <w:rPr>
                <w:rFonts w:ascii="Garamond" w:hAnsi="Garamond"/>
              </w:rPr>
            </w:pPr>
            <w:r w:rsidRPr="00D80C1B">
              <w:rPr>
                <w:rFonts w:ascii="Garamond" w:hAnsi="Garamond"/>
              </w:rPr>
              <w:t>Ilir Toska</w:t>
            </w:r>
          </w:p>
        </w:tc>
        <w:tc>
          <w:tcPr>
            <w:tcW w:w="655" w:type="dxa"/>
          </w:tcPr>
          <w:p w14:paraId="0F1371E3" w14:textId="61E1AF0F" w:rsidR="00E52F6F" w:rsidRPr="00D80C1B" w:rsidRDefault="00D80C1B" w:rsidP="00D80C1B">
            <w:pPr>
              <w:spacing w:line="240" w:lineRule="auto"/>
              <w:rPr>
                <w:rFonts w:ascii="Garamond" w:hAnsi="Garamond"/>
              </w:rPr>
            </w:pPr>
            <w:r w:rsidRPr="00D80C1B">
              <w:rPr>
                <w:rFonts w:ascii="Garamond" w:hAnsi="Garamond"/>
              </w:rPr>
              <w:t>anëtar</w:t>
            </w:r>
            <w:r>
              <w:rPr>
                <w:rFonts w:ascii="Garamond" w:hAnsi="Garamond"/>
              </w:rPr>
              <w:t>;</w:t>
            </w:r>
          </w:p>
        </w:tc>
      </w:tr>
      <w:tr w:rsidR="00E52F6F" w:rsidRPr="00D80C1B" w14:paraId="7EC0137E" w14:textId="77777777" w:rsidTr="00D80C1B">
        <w:tc>
          <w:tcPr>
            <w:tcW w:w="2601" w:type="dxa"/>
          </w:tcPr>
          <w:p w14:paraId="6B4BD47A" w14:textId="77777777" w:rsidR="00E52F6F" w:rsidRPr="00D80C1B" w:rsidRDefault="00E52F6F" w:rsidP="001F06CA">
            <w:pPr>
              <w:spacing w:line="240" w:lineRule="auto"/>
              <w:rPr>
                <w:rFonts w:ascii="Garamond" w:hAnsi="Garamond"/>
              </w:rPr>
            </w:pPr>
            <w:proofErr w:type="spellStart"/>
            <w:r w:rsidRPr="00D80C1B">
              <w:rPr>
                <w:rFonts w:ascii="Garamond" w:hAnsi="Garamond"/>
              </w:rPr>
              <w:t>Marjana</w:t>
            </w:r>
            <w:proofErr w:type="spellEnd"/>
            <w:r w:rsidRPr="00D80C1B">
              <w:rPr>
                <w:rFonts w:ascii="Garamond" w:hAnsi="Garamond"/>
              </w:rPr>
              <w:t xml:space="preserve"> </w:t>
            </w:r>
            <w:proofErr w:type="spellStart"/>
            <w:r w:rsidRPr="00D80C1B">
              <w:rPr>
                <w:rFonts w:ascii="Garamond" w:hAnsi="Garamond"/>
              </w:rPr>
              <w:t>Semini</w:t>
            </w:r>
            <w:proofErr w:type="spellEnd"/>
          </w:p>
        </w:tc>
        <w:tc>
          <w:tcPr>
            <w:tcW w:w="655" w:type="dxa"/>
          </w:tcPr>
          <w:p w14:paraId="572342A2" w14:textId="41E1AFA2" w:rsidR="00E52F6F" w:rsidRPr="00D80C1B" w:rsidRDefault="00D80C1B" w:rsidP="00D80C1B">
            <w:pPr>
              <w:spacing w:line="240" w:lineRule="auto"/>
              <w:rPr>
                <w:rFonts w:ascii="Garamond" w:hAnsi="Garamond"/>
              </w:rPr>
            </w:pPr>
            <w:r w:rsidRPr="00D80C1B">
              <w:rPr>
                <w:rFonts w:ascii="Garamond" w:hAnsi="Garamond"/>
              </w:rPr>
              <w:t>anëtare</w:t>
            </w:r>
            <w:r>
              <w:rPr>
                <w:rFonts w:ascii="Garamond" w:hAnsi="Garamond"/>
              </w:rPr>
              <w:t>;</w:t>
            </w:r>
          </w:p>
        </w:tc>
      </w:tr>
      <w:tr w:rsidR="00E52F6F" w:rsidRPr="00D80C1B" w14:paraId="7412B555" w14:textId="77777777" w:rsidTr="00D80C1B">
        <w:tc>
          <w:tcPr>
            <w:tcW w:w="2601" w:type="dxa"/>
          </w:tcPr>
          <w:p w14:paraId="29B8D664" w14:textId="77777777" w:rsidR="00E52F6F" w:rsidRPr="00D80C1B" w:rsidRDefault="00E52F6F" w:rsidP="001F06CA">
            <w:pPr>
              <w:spacing w:line="240" w:lineRule="auto"/>
              <w:rPr>
                <w:rFonts w:ascii="Garamond" w:hAnsi="Garamond"/>
              </w:rPr>
            </w:pPr>
            <w:proofErr w:type="spellStart"/>
            <w:r w:rsidRPr="00D80C1B">
              <w:rPr>
                <w:rFonts w:ascii="Garamond" w:hAnsi="Garamond"/>
              </w:rPr>
              <w:t>Asim</w:t>
            </w:r>
            <w:proofErr w:type="spellEnd"/>
            <w:r w:rsidRPr="00D80C1B">
              <w:rPr>
                <w:rFonts w:ascii="Garamond" w:hAnsi="Garamond"/>
              </w:rPr>
              <w:t xml:space="preserve"> </w:t>
            </w:r>
            <w:proofErr w:type="spellStart"/>
            <w:r w:rsidRPr="00D80C1B">
              <w:rPr>
                <w:rFonts w:ascii="Garamond" w:hAnsi="Garamond"/>
              </w:rPr>
              <w:t>Vokshi</w:t>
            </w:r>
            <w:proofErr w:type="spellEnd"/>
          </w:p>
        </w:tc>
        <w:tc>
          <w:tcPr>
            <w:tcW w:w="655" w:type="dxa"/>
          </w:tcPr>
          <w:p w14:paraId="3305797E" w14:textId="3978447C" w:rsidR="00E52F6F" w:rsidRPr="00D80C1B" w:rsidRDefault="00D80C1B" w:rsidP="00D80C1B">
            <w:pPr>
              <w:spacing w:line="240" w:lineRule="auto"/>
              <w:rPr>
                <w:rFonts w:ascii="Garamond" w:hAnsi="Garamond"/>
              </w:rPr>
            </w:pPr>
            <w:r w:rsidRPr="00D80C1B">
              <w:rPr>
                <w:rFonts w:ascii="Garamond" w:hAnsi="Garamond"/>
              </w:rPr>
              <w:t>anëtar</w:t>
            </w:r>
            <w:r>
              <w:rPr>
                <w:rFonts w:ascii="Garamond" w:hAnsi="Garamond"/>
              </w:rPr>
              <w:t>;</w:t>
            </w:r>
          </w:p>
        </w:tc>
      </w:tr>
      <w:tr w:rsidR="00E52F6F" w:rsidRPr="00D80C1B" w14:paraId="71B6F34F" w14:textId="77777777" w:rsidTr="00D80C1B">
        <w:tc>
          <w:tcPr>
            <w:tcW w:w="2601" w:type="dxa"/>
          </w:tcPr>
          <w:p w14:paraId="0CC36090" w14:textId="77777777" w:rsidR="00E52F6F" w:rsidRPr="00D80C1B" w:rsidRDefault="00E52F6F" w:rsidP="001F06CA">
            <w:pPr>
              <w:spacing w:line="240" w:lineRule="auto"/>
              <w:rPr>
                <w:rFonts w:ascii="Garamond" w:hAnsi="Garamond"/>
              </w:rPr>
            </w:pPr>
            <w:r w:rsidRPr="00D80C1B">
              <w:rPr>
                <w:rFonts w:ascii="Garamond" w:hAnsi="Garamond"/>
              </w:rPr>
              <w:t>Genti Ibrahimi</w:t>
            </w:r>
          </w:p>
        </w:tc>
        <w:tc>
          <w:tcPr>
            <w:tcW w:w="655" w:type="dxa"/>
          </w:tcPr>
          <w:p w14:paraId="3E5C3055" w14:textId="767F9E4F" w:rsidR="00E52F6F" w:rsidRPr="00D80C1B" w:rsidRDefault="00D80C1B" w:rsidP="00D80C1B">
            <w:pPr>
              <w:spacing w:line="240" w:lineRule="auto"/>
              <w:rPr>
                <w:rFonts w:ascii="Garamond" w:hAnsi="Garamond"/>
              </w:rPr>
            </w:pPr>
            <w:r>
              <w:rPr>
                <w:rFonts w:ascii="Garamond" w:hAnsi="Garamond"/>
              </w:rPr>
              <w:t>anëtar,</w:t>
            </w:r>
          </w:p>
        </w:tc>
      </w:tr>
    </w:tbl>
    <w:p w14:paraId="55AF7E5C" w14:textId="1AB60CB3" w:rsidR="00E52F6F" w:rsidRPr="00D80C1B" w:rsidRDefault="00E52F6F" w:rsidP="00E52F6F">
      <w:pPr>
        <w:tabs>
          <w:tab w:val="left" w:pos="720"/>
        </w:tabs>
        <w:spacing w:line="240" w:lineRule="auto"/>
        <w:ind w:firstLine="284"/>
        <w:jc w:val="both"/>
        <w:rPr>
          <w:rFonts w:ascii="Garamond" w:hAnsi="Garamond"/>
        </w:rPr>
      </w:pPr>
      <w:r w:rsidRPr="00D80C1B">
        <w:rPr>
          <w:rFonts w:ascii="Garamond" w:hAnsi="Garamond"/>
        </w:rPr>
        <w:t>me sekreta</w:t>
      </w:r>
      <w:r w:rsidR="00D80C1B">
        <w:rPr>
          <w:rFonts w:ascii="Garamond" w:hAnsi="Garamond"/>
        </w:rPr>
        <w:t xml:space="preserve">re </w:t>
      </w:r>
      <w:proofErr w:type="spellStart"/>
      <w:r w:rsidR="00D80C1B">
        <w:rPr>
          <w:rFonts w:ascii="Garamond" w:hAnsi="Garamond"/>
        </w:rPr>
        <w:t>Farisja</w:t>
      </w:r>
      <w:proofErr w:type="spellEnd"/>
      <w:r w:rsidR="00D80C1B">
        <w:rPr>
          <w:rFonts w:ascii="Garamond" w:hAnsi="Garamond"/>
        </w:rPr>
        <w:t xml:space="preserve"> </w:t>
      </w:r>
      <w:proofErr w:type="spellStart"/>
      <w:r w:rsidR="00D80C1B">
        <w:rPr>
          <w:rFonts w:ascii="Garamond" w:hAnsi="Garamond"/>
        </w:rPr>
        <w:t>Idizaj</w:t>
      </w:r>
      <w:proofErr w:type="spellEnd"/>
      <w:r w:rsidR="00D80C1B">
        <w:rPr>
          <w:rFonts w:ascii="Garamond" w:hAnsi="Garamond"/>
        </w:rPr>
        <w:t>, në datën 16.</w:t>
      </w:r>
      <w:r w:rsidRPr="00D80C1B">
        <w:rPr>
          <w:rFonts w:ascii="Garamond" w:hAnsi="Garamond"/>
        </w:rPr>
        <w:t>2.2026</w:t>
      </w:r>
      <w:r w:rsidR="00D80C1B">
        <w:rPr>
          <w:rFonts w:ascii="Garamond" w:hAnsi="Garamond"/>
        </w:rPr>
        <w:t>,</w:t>
      </w:r>
      <w:r w:rsidRPr="00D80C1B">
        <w:rPr>
          <w:rFonts w:ascii="Garamond" w:hAnsi="Garamond"/>
        </w:rPr>
        <w:t xml:space="preserve"> mori në shqyrtim në seancë plenare mbi bazë të dokumenteve çështjen nr. 19 (A) 2025 të Regjistrit Themeltar, që u përket:</w:t>
      </w:r>
    </w:p>
    <w:p w14:paraId="432D2556" w14:textId="78847AD5" w:rsidR="00E52F6F" w:rsidRPr="00D80C1B" w:rsidRDefault="00E52F6F" w:rsidP="00E52F6F">
      <w:pPr>
        <w:spacing w:line="240" w:lineRule="auto"/>
        <w:ind w:firstLine="284"/>
        <w:jc w:val="both"/>
        <w:rPr>
          <w:rFonts w:ascii="Garamond" w:hAnsi="Garamond"/>
        </w:rPr>
      </w:pPr>
      <w:r w:rsidRPr="00D80C1B">
        <w:rPr>
          <w:rFonts w:ascii="Garamond" w:hAnsi="Garamond"/>
          <w:bCs/>
        </w:rPr>
        <w:t xml:space="preserve">KËRKUESE: </w:t>
      </w:r>
      <w:proofErr w:type="spellStart"/>
      <w:r w:rsidR="00D80C1B" w:rsidRPr="00D80C1B">
        <w:rPr>
          <w:rFonts w:ascii="Garamond" w:hAnsi="Garamond"/>
          <w:bCs/>
        </w:rPr>
        <w:t>Amalia</w:t>
      </w:r>
      <w:proofErr w:type="spellEnd"/>
      <w:r w:rsidR="00D80C1B" w:rsidRPr="00D80C1B">
        <w:rPr>
          <w:rFonts w:ascii="Garamond" w:hAnsi="Garamond"/>
          <w:bCs/>
        </w:rPr>
        <w:t xml:space="preserve"> </w:t>
      </w:r>
      <w:proofErr w:type="spellStart"/>
      <w:r w:rsidR="00D80C1B" w:rsidRPr="00D80C1B">
        <w:rPr>
          <w:rFonts w:ascii="Garamond" w:hAnsi="Garamond"/>
          <w:bCs/>
        </w:rPr>
        <w:t>Zerri</w:t>
      </w:r>
      <w:proofErr w:type="spellEnd"/>
      <w:r w:rsidRPr="00D80C1B">
        <w:rPr>
          <w:rFonts w:ascii="Garamond" w:hAnsi="Garamond"/>
        </w:rPr>
        <w:t xml:space="preserve">, përfaqësuar nga avokate </w:t>
      </w:r>
      <w:proofErr w:type="spellStart"/>
      <w:r w:rsidRPr="00D80C1B">
        <w:rPr>
          <w:rFonts w:ascii="Garamond" w:hAnsi="Garamond"/>
        </w:rPr>
        <w:t>Evelina</w:t>
      </w:r>
      <w:proofErr w:type="spellEnd"/>
      <w:r w:rsidRPr="00D80C1B">
        <w:rPr>
          <w:rFonts w:ascii="Garamond" w:hAnsi="Garamond"/>
        </w:rPr>
        <w:t xml:space="preserve"> </w:t>
      </w:r>
      <w:proofErr w:type="spellStart"/>
      <w:r w:rsidRPr="00D80C1B">
        <w:rPr>
          <w:rFonts w:ascii="Garamond" w:hAnsi="Garamond"/>
        </w:rPr>
        <w:t>Qirjako</w:t>
      </w:r>
      <w:proofErr w:type="spellEnd"/>
      <w:r w:rsidRPr="00D80C1B">
        <w:rPr>
          <w:rFonts w:ascii="Garamond" w:hAnsi="Garamond"/>
        </w:rPr>
        <w:t>, me prokurë të posaçme.</w:t>
      </w:r>
    </w:p>
    <w:p w14:paraId="733AAD4C" w14:textId="6C05E645" w:rsidR="00E52F6F" w:rsidRPr="00D80C1B" w:rsidRDefault="00E52F6F" w:rsidP="00E52F6F">
      <w:pPr>
        <w:spacing w:line="240" w:lineRule="auto"/>
        <w:ind w:firstLine="284"/>
        <w:jc w:val="both"/>
        <w:rPr>
          <w:rFonts w:ascii="Garamond" w:hAnsi="Garamond"/>
        </w:rPr>
      </w:pPr>
      <w:r w:rsidRPr="00D80C1B">
        <w:rPr>
          <w:rFonts w:ascii="Garamond" w:hAnsi="Garamond"/>
          <w:bCs/>
        </w:rPr>
        <w:t>SUBJEKTE TË INTERESUARA:</w:t>
      </w:r>
      <w:r w:rsidR="006974FD">
        <w:rPr>
          <w:rFonts w:ascii="Garamond" w:hAnsi="Garamond"/>
          <w:bCs/>
        </w:rPr>
        <w:t xml:space="preserve"> </w:t>
      </w:r>
    </w:p>
    <w:p w14:paraId="2D173C5D" w14:textId="529A95C7" w:rsidR="00E52F6F" w:rsidRPr="00D80C1B" w:rsidRDefault="00D80C1B" w:rsidP="00E52F6F">
      <w:pPr>
        <w:spacing w:line="240" w:lineRule="auto"/>
        <w:ind w:firstLine="284"/>
        <w:jc w:val="both"/>
        <w:rPr>
          <w:rFonts w:ascii="Garamond" w:hAnsi="Garamond"/>
        </w:rPr>
      </w:pPr>
      <w:r w:rsidRPr="00D80C1B">
        <w:rPr>
          <w:rFonts w:ascii="Garamond" w:hAnsi="Garamond"/>
          <w:bCs/>
        </w:rPr>
        <w:t xml:space="preserve">Arti </w:t>
      </w:r>
      <w:proofErr w:type="spellStart"/>
      <w:r w:rsidRPr="00D80C1B">
        <w:rPr>
          <w:rFonts w:ascii="Garamond" w:hAnsi="Garamond"/>
          <w:bCs/>
        </w:rPr>
        <w:t>Elezaj</w:t>
      </w:r>
      <w:proofErr w:type="spellEnd"/>
      <w:r w:rsidR="00E52F6F" w:rsidRPr="00D80C1B">
        <w:rPr>
          <w:rFonts w:ascii="Garamond" w:hAnsi="Garamond"/>
          <w:bCs/>
        </w:rPr>
        <w:t xml:space="preserve">, </w:t>
      </w:r>
      <w:r w:rsidR="00E52F6F" w:rsidRPr="00D80C1B">
        <w:rPr>
          <w:rFonts w:ascii="Garamond" w:hAnsi="Garamond"/>
        </w:rPr>
        <w:t xml:space="preserve">përfaqësuar nga avokatët </w:t>
      </w:r>
      <w:proofErr w:type="spellStart"/>
      <w:r w:rsidR="00E52F6F" w:rsidRPr="00D80C1B">
        <w:rPr>
          <w:rFonts w:ascii="Garamond" w:hAnsi="Garamond"/>
        </w:rPr>
        <w:t>Arjan</w:t>
      </w:r>
      <w:proofErr w:type="spellEnd"/>
      <w:r w:rsidR="00E52F6F" w:rsidRPr="00D80C1B">
        <w:rPr>
          <w:rFonts w:ascii="Garamond" w:hAnsi="Garamond"/>
        </w:rPr>
        <w:t xml:space="preserve"> </w:t>
      </w:r>
      <w:proofErr w:type="spellStart"/>
      <w:r w:rsidR="00E52F6F" w:rsidRPr="00D80C1B">
        <w:rPr>
          <w:rFonts w:ascii="Garamond" w:hAnsi="Garamond"/>
        </w:rPr>
        <w:t>Salati</w:t>
      </w:r>
      <w:proofErr w:type="spellEnd"/>
      <w:r w:rsidR="00E52F6F" w:rsidRPr="00D80C1B">
        <w:rPr>
          <w:rFonts w:ascii="Garamond" w:hAnsi="Garamond"/>
        </w:rPr>
        <w:t xml:space="preserve"> dhe Genci Çifligu, me prokurë të posaçme.</w:t>
      </w:r>
    </w:p>
    <w:p w14:paraId="3E8540B7" w14:textId="740DFA98" w:rsidR="00E52F6F" w:rsidRPr="00D80C1B" w:rsidRDefault="00D80C1B" w:rsidP="00D80C1B">
      <w:pPr>
        <w:spacing w:line="240" w:lineRule="auto"/>
        <w:ind w:firstLine="284"/>
        <w:jc w:val="both"/>
        <w:rPr>
          <w:rFonts w:ascii="Garamond" w:hAnsi="Garamond"/>
          <w:bCs/>
        </w:rPr>
      </w:pPr>
      <w:proofErr w:type="spellStart"/>
      <w:r w:rsidRPr="00D80C1B">
        <w:rPr>
          <w:rFonts w:ascii="Garamond" w:hAnsi="Garamond"/>
          <w:bCs/>
        </w:rPr>
        <w:t>Leandro</w:t>
      </w:r>
      <w:proofErr w:type="spellEnd"/>
      <w:r w:rsidRPr="00D80C1B">
        <w:rPr>
          <w:rFonts w:ascii="Garamond" w:hAnsi="Garamond"/>
          <w:bCs/>
        </w:rPr>
        <w:t xml:space="preserve"> </w:t>
      </w:r>
      <w:proofErr w:type="spellStart"/>
      <w:r w:rsidRPr="00D80C1B">
        <w:rPr>
          <w:rFonts w:ascii="Garamond" w:hAnsi="Garamond"/>
          <w:bCs/>
        </w:rPr>
        <w:t>Zerri</w:t>
      </w:r>
      <w:proofErr w:type="spellEnd"/>
      <w:r w:rsidRPr="00D80C1B">
        <w:rPr>
          <w:rFonts w:ascii="Garamond" w:hAnsi="Garamond"/>
          <w:bCs/>
        </w:rPr>
        <w:t>,</w:t>
      </w:r>
      <w:r w:rsidR="006974FD">
        <w:rPr>
          <w:rFonts w:ascii="Garamond" w:hAnsi="Garamond"/>
          <w:bCs/>
        </w:rPr>
        <w:t xml:space="preserve"> </w:t>
      </w:r>
      <w:proofErr w:type="spellStart"/>
      <w:r w:rsidRPr="00D80C1B">
        <w:rPr>
          <w:rFonts w:ascii="Garamond" w:hAnsi="Garamond"/>
          <w:bCs/>
        </w:rPr>
        <w:t>Juliana</w:t>
      </w:r>
      <w:proofErr w:type="spellEnd"/>
      <w:r w:rsidRPr="00D80C1B">
        <w:rPr>
          <w:rFonts w:ascii="Garamond" w:hAnsi="Garamond"/>
          <w:bCs/>
        </w:rPr>
        <w:t xml:space="preserve"> </w:t>
      </w:r>
      <w:proofErr w:type="spellStart"/>
      <w:r w:rsidRPr="00D80C1B">
        <w:rPr>
          <w:rFonts w:ascii="Garamond" w:hAnsi="Garamond"/>
          <w:bCs/>
        </w:rPr>
        <w:t>Zerri</w:t>
      </w:r>
      <w:proofErr w:type="spellEnd"/>
      <w:r w:rsidRPr="00D80C1B">
        <w:rPr>
          <w:rFonts w:ascii="Garamond" w:hAnsi="Garamond"/>
          <w:bCs/>
        </w:rPr>
        <w:t xml:space="preserve">, </w:t>
      </w:r>
      <w:proofErr w:type="spellStart"/>
      <w:r w:rsidRPr="00D80C1B">
        <w:rPr>
          <w:rFonts w:ascii="Garamond" w:hAnsi="Garamond"/>
          <w:bCs/>
        </w:rPr>
        <w:t>Vahid</w:t>
      </w:r>
      <w:proofErr w:type="spellEnd"/>
      <w:r w:rsidRPr="00D80C1B">
        <w:rPr>
          <w:rFonts w:ascii="Garamond" w:hAnsi="Garamond"/>
          <w:bCs/>
        </w:rPr>
        <w:t xml:space="preserve"> </w:t>
      </w:r>
      <w:proofErr w:type="spellStart"/>
      <w:r w:rsidRPr="00D80C1B">
        <w:rPr>
          <w:rFonts w:ascii="Garamond" w:hAnsi="Garamond"/>
          <w:bCs/>
        </w:rPr>
        <w:t>Luzi</w:t>
      </w:r>
      <w:proofErr w:type="spellEnd"/>
      <w:r w:rsidRPr="00D80C1B">
        <w:rPr>
          <w:rFonts w:ascii="Garamond" w:hAnsi="Garamond"/>
          <w:bCs/>
        </w:rPr>
        <w:t xml:space="preserve">, </w:t>
      </w:r>
      <w:proofErr w:type="spellStart"/>
      <w:r w:rsidRPr="00D80C1B">
        <w:rPr>
          <w:rFonts w:ascii="Garamond" w:hAnsi="Garamond"/>
          <w:bCs/>
        </w:rPr>
        <w:t>Lutfije</w:t>
      </w:r>
      <w:proofErr w:type="spellEnd"/>
      <w:r w:rsidRPr="00D80C1B">
        <w:rPr>
          <w:rFonts w:ascii="Garamond" w:hAnsi="Garamond"/>
          <w:bCs/>
        </w:rPr>
        <w:t xml:space="preserve"> </w:t>
      </w:r>
      <w:proofErr w:type="spellStart"/>
      <w:r w:rsidRPr="00D80C1B">
        <w:rPr>
          <w:rFonts w:ascii="Garamond" w:hAnsi="Garamond"/>
          <w:bCs/>
        </w:rPr>
        <w:t>Luzi</w:t>
      </w:r>
      <w:proofErr w:type="spellEnd"/>
      <w:r w:rsidRPr="00D80C1B">
        <w:rPr>
          <w:rFonts w:ascii="Garamond" w:hAnsi="Garamond"/>
          <w:bCs/>
        </w:rPr>
        <w:t xml:space="preserve">, </w:t>
      </w:r>
      <w:proofErr w:type="spellStart"/>
      <w:r w:rsidRPr="00D80C1B">
        <w:rPr>
          <w:rFonts w:ascii="Garamond" w:hAnsi="Garamond"/>
          <w:bCs/>
        </w:rPr>
        <w:t>Etgent</w:t>
      </w:r>
      <w:proofErr w:type="spellEnd"/>
      <w:r w:rsidRPr="00D80C1B">
        <w:rPr>
          <w:rFonts w:ascii="Garamond" w:hAnsi="Garamond"/>
          <w:bCs/>
        </w:rPr>
        <w:t xml:space="preserve"> </w:t>
      </w:r>
      <w:proofErr w:type="spellStart"/>
      <w:r w:rsidRPr="00D80C1B">
        <w:rPr>
          <w:rFonts w:ascii="Garamond" w:hAnsi="Garamond"/>
          <w:bCs/>
        </w:rPr>
        <w:t>Luzi</w:t>
      </w:r>
      <w:proofErr w:type="spellEnd"/>
      <w:r w:rsidRPr="00D80C1B">
        <w:rPr>
          <w:rFonts w:ascii="Garamond" w:hAnsi="Garamond"/>
          <w:bCs/>
        </w:rPr>
        <w:t xml:space="preserve">, </w:t>
      </w:r>
      <w:proofErr w:type="spellStart"/>
      <w:r w:rsidRPr="00D80C1B">
        <w:rPr>
          <w:rFonts w:ascii="Garamond" w:hAnsi="Garamond"/>
          <w:bCs/>
        </w:rPr>
        <w:t>Leonard</w:t>
      </w:r>
      <w:proofErr w:type="spellEnd"/>
      <w:r w:rsidRPr="00D80C1B">
        <w:rPr>
          <w:rFonts w:ascii="Garamond" w:hAnsi="Garamond"/>
          <w:bCs/>
        </w:rPr>
        <w:t xml:space="preserve"> </w:t>
      </w:r>
      <w:proofErr w:type="spellStart"/>
      <w:r w:rsidRPr="00D80C1B">
        <w:rPr>
          <w:rFonts w:ascii="Garamond" w:hAnsi="Garamond"/>
          <w:bCs/>
        </w:rPr>
        <w:t>Luzi</w:t>
      </w:r>
      <w:proofErr w:type="spellEnd"/>
      <w:r w:rsidRPr="00D80C1B">
        <w:rPr>
          <w:rFonts w:ascii="Garamond" w:hAnsi="Garamond"/>
          <w:bCs/>
        </w:rPr>
        <w:t xml:space="preserve">, Era </w:t>
      </w:r>
      <w:proofErr w:type="spellStart"/>
      <w:r w:rsidRPr="00D80C1B">
        <w:rPr>
          <w:rFonts w:ascii="Garamond" w:hAnsi="Garamond"/>
          <w:bCs/>
        </w:rPr>
        <w:t>Luzi</w:t>
      </w:r>
      <w:proofErr w:type="spellEnd"/>
      <w:r w:rsidRPr="00D80C1B">
        <w:rPr>
          <w:rFonts w:ascii="Garamond" w:hAnsi="Garamond"/>
          <w:bCs/>
        </w:rPr>
        <w:t>,</w:t>
      </w:r>
      <w:r w:rsidR="006974FD">
        <w:rPr>
          <w:rFonts w:ascii="Garamond" w:hAnsi="Garamond"/>
          <w:bCs/>
        </w:rPr>
        <w:t xml:space="preserve"> </w:t>
      </w:r>
      <w:r w:rsidRPr="00D80C1B">
        <w:rPr>
          <w:rFonts w:ascii="Garamond" w:hAnsi="Garamond"/>
          <w:bCs/>
        </w:rPr>
        <w:t xml:space="preserve">Meleqe </w:t>
      </w:r>
      <w:proofErr w:type="spellStart"/>
      <w:r w:rsidRPr="00D80C1B">
        <w:rPr>
          <w:rFonts w:ascii="Garamond" w:hAnsi="Garamond"/>
          <w:bCs/>
        </w:rPr>
        <w:t>Luzi</w:t>
      </w:r>
      <w:proofErr w:type="spellEnd"/>
      <w:r w:rsidRPr="00D80C1B">
        <w:rPr>
          <w:rFonts w:ascii="Garamond" w:hAnsi="Garamond"/>
          <w:bCs/>
        </w:rPr>
        <w:t xml:space="preserve">, Vero </w:t>
      </w:r>
      <w:proofErr w:type="spellStart"/>
      <w:r w:rsidRPr="00D80C1B">
        <w:rPr>
          <w:rFonts w:ascii="Garamond" w:hAnsi="Garamond"/>
          <w:bCs/>
        </w:rPr>
        <w:t>Ruçi</w:t>
      </w:r>
      <w:proofErr w:type="spellEnd"/>
      <w:r w:rsidRPr="00D80C1B">
        <w:rPr>
          <w:rFonts w:ascii="Garamond" w:hAnsi="Garamond"/>
          <w:bCs/>
        </w:rPr>
        <w:t xml:space="preserve">, Shpëtime </w:t>
      </w:r>
      <w:proofErr w:type="spellStart"/>
      <w:r w:rsidRPr="00D80C1B">
        <w:rPr>
          <w:rFonts w:ascii="Garamond" w:hAnsi="Garamond"/>
          <w:bCs/>
        </w:rPr>
        <w:t>Ruçi</w:t>
      </w:r>
      <w:proofErr w:type="spellEnd"/>
      <w:r>
        <w:rPr>
          <w:rFonts w:ascii="Garamond" w:hAnsi="Garamond"/>
          <w:bCs/>
        </w:rPr>
        <w:t xml:space="preserve"> </w:t>
      </w:r>
      <w:r w:rsidRPr="00D80C1B">
        <w:rPr>
          <w:rFonts w:ascii="Garamond" w:hAnsi="Garamond"/>
          <w:bCs/>
        </w:rPr>
        <w:t xml:space="preserve">Altin </w:t>
      </w:r>
      <w:proofErr w:type="spellStart"/>
      <w:r w:rsidRPr="00D80C1B">
        <w:rPr>
          <w:rFonts w:ascii="Garamond" w:hAnsi="Garamond"/>
          <w:bCs/>
        </w:rPr>
        <w:t>Demirxhiu</w:t>
      </w:r>
      <w:proofErr w:type="spellEnd"/>
      <w:r w:rsidR="00E52F6F" w:rsidRPr="00D80C1B">
        <w:rPr>
          <w:rFonts w:ascii="Garamond" w:hAnsi="Garamond"/>
        </w:rPr>
        <w:t>, në mungesë.</w:t>
      </w:r>
    </w:p>
    <w:p w14:paraId="19107457" w14:textId="52C13F76" w:rsidR="00E52F6F" w:rsidRPr="00D80C1B" w:rsidRDefault="00D80C1B" w:rsidP="00E52F6F">
      <w:pPr>
        <w:spacing w:line="240" w:lineRule="auto"/>
        <w:ind w:firstLine="284"/>
        <w:jc w:val="both"/>
        <w:rPr>
          <w:rFonts w:ascii="Garamond" w:hAnsi="Garamond"/>
        </w:rPr>
      </w:pPr>
      <w:r w:rsidRPr="00D80C1B">
        <w:rPr>
          <w:rFonts w:ascii="Garamond" w:hAnsi="Garamond"/>
          <w:bCs/>
        </w:rPr>
        <w:t>Agjencia Shtetërore e</w:t>
      </w:r>
      <w:r w:rsidR="00E52F6F" w:rsidRPr="00D80C1B">
        <w:rPr>
          <w:rFonts w:ascii="Garamond" w:hAnsi="Garamond"/>
          <w:bCs/>
        </w:rPr>
        <w:t xml:space="preserve"> </w:t>
      </w:r>
      <w:r w:rsidRPr="00D80C1B">
        <w:rPr>
          <w:rFonts w:ascii="Garamond" w:hAnsi="Garamond"/>
          <w:bCs/>
        </w:rPr>
        <w:t>Kadastrës</w:t>
      </w:r>
      <w:r w:rsidR="00E52F6F" w:rsidRPr="00D80C1B">
        <w:rPr>
          <w:rFonts w:ascii="Garamond" w:hAnsi="Garamond"/>
          <w:bCs/>
        </w:rPr>
        <w:t xml:space="preserve">, </w:t>
      </w:r>
      <w:r w:rsidRPr="00D80C1B">
        <w:rPr>
          <w:rFonts w:ascii="Garamond" w:hAnsi="Garamond"/>
          <w:bCs/>
        </w:rPr>
        <w:t>Drejtoria Vendore Tiranë</w:t>
      </w:r>
      <w:r w:rsidR="00E52F6F" w:rsidRPr="00D80C1B">
        <w:rPr>
          <w:rFonts w:ascii="Garamond" w:hAnsi="Garamond"/>
          <w:bCs/>
        </w:rPr>
        <w:t xml:space="preserve">, </w:t>
      </w:r>
      <w:r w:rsidR="00E52F6F" w:rsidRPr="00D80C1B">
        <w:rPr>
          <w:rFonts w:ascii="Garamond" w:hAnsi="Garamond"/>
        </w:rPr>
        <w:t>në mungesë.</w:t>
      </w:r>
    </w:p>
    <w:p w14:paraId="26234780" w14:textId="376767AB" w:rsidR="00E52F6F" w:rsidRPr="00D80C1B" w:rsidRDefault="00E52F6F" w:rsidP="00E52F6F">
      <w:pPr>
        <w:spacing w:line="240" w:lineRule="auto"/>
        <w:ind w:firstLine="284"/>
        <w:jc w:val="both"/>
        <w:rPr>
          <w:rFonts w:ascii="Garamond" w:hAnsi="Garamond"/>
          <w:bCs/>
        </w:rPr>
      </w:pPr>
      <w:r w:rsidRPr="00D80C1B">
        <w:rPr>
          <w:rFonts w:ascii="Garamond" w:hAnsi="Garamond"/>
          <w:bCs/>
        </w:rPr>
        <w:t>OBJEKTI: Shfuqizimi i vend</w:t>
      </w:r>
      <w:r w:rsidR="00D80C1B">
        <w:rPr>
          <w:rFonts w:ascii="Garamond" w:hAnsi="Garamond"/>
          <w:bCs/>
        </w:rPr>
        <w:t>imit nr. 00-2024-3320, datë 19.</w:t>
      </w:r>
      <w:r w:rsidRPr="00D80C1B">
        <w:rPr>
          <w:rFonts w:ascii="Garamond" w:hAnsi="Garamond"/>
          <w:bCs/>
        </w:rPr>
        <w:t>7.2024</w:t>
      </w:r>
      <w:r w:rsidR="00D80C1B">
        <w:rPr>
          <w:rFonts w:ascii="Garamond" w:hAnsi="Garamond"/>
          <w:bCs/>
        </w:rPr>
        <w:t>,</w:t>
      </w:r>
      <w:r w:rsidRPr="00D80C1B">
        <w:rPr>
          <w:rFonts w:ascii="Garamond" w:hAnsi="Garamond"/>
          <w:bCs/>
        </w:rPr>
        <w:t xml:space="preserve"> të Kolegjit Civil të Gjykatës së Lartë, si i papajtueshëm me Kushtetutën e Republikës së Shqipërisë.</w:t>
      </w:r>
    </w:p>
    <w:p w14:paraId="327ABA8A" w14:textId="251B822E" w:rsidR="00E52F6F" w:rsidRPr="00D80C1B" w:rsidRDefault="00E52F6F" w:rsidP="00E52F6F">
      <w:pPr>
        <w:spacing w:line="240" w:lineRule="auto"/>
        <w:ind w:firstLine="284"/>
        <w:jc w:val="both"/>
        <w:rPr>
          <w:rFonts w:ascii="Garamond" w:hAnsi="Garamond"/>
          <w:bCs/>
        </w:rPr>
      </w:pPr>
      <w:r w:rsidRPr="00D80C1B">
        <w:rPr>
          <w:rFonts w:ascii="Garamond" w:hAnsi="Garamond"/>
          <w:bCs/>
        </w:rPr>
        <w:t xml:space="preserve"> Kthimi i çështjes për rishqyrtim në Gjykatën e Lartë.</w:t>
      </w:r>
    </w:p>
    <w:p w14:paraId="7229CD5F" w14:textId="3993FFA0" w:rsidR="00E52F6F" w:rsidRPr="00D80C1B" w:rsidRDefault="00E52F6F" w:rsidP="00E52F6F">
      <w:pPr>
        <w:tabs>
          <w:tab w:val="left" w:pos="2960"/>
        </w:tabs>
        <w:spacing w:line="240" w:lineRule="auto"/>
        <w:ind w:firstLine="284"/>
        <w:jc w:val="both"/>
        <w:rPr>
          <w:rFonts w:ascii="Garamond" w:hAnsi="Garamond"/>
          <w:bCs/>
        </w:rPr>
      </w:pPr>
      <w:r w:rsidRPr="00D80C1B">
        <w:rPr>
          <w:rFonts w:ascii="Garamond" w:hAnsi="Garamond"/>
          <w:bCs/>
        </w:rPr>
        <w:t>BAZA LIGJORE: Nenet 4, pika 1, 5, 11, 41, 42 dhe 43</w:t>
      </w:r>
      <w:r w:rsidR="00D80C1B">
        <w:rPr>
          <w:rFonts w:ascii="Garamond" w:hAnsi="Garamond"/>
          <w:bCs/>
        </w:rPr>
        <w:t>,</w:t>
      </w:r>
      <w:r w:rsidRPr="00D80C1B">
        <w:rPr>
          <w:rFonts w:ascii="Garamond" w:hAnsi="Garamond"/>
          <w:bCs/>
        </w:rPr>
        <w:t xml:space="preserve"> të Kushtetutës së Republikës së Shqipërisë </w:t>
      </w:r>
      <w:r w:rsidRPr="00D80C1B">
        <w:rPr>
          <w:rFonts w:ascii="Garamond" w:hAnsi="Garamond"/>
          <w:bCs/>
          <w:i/>
          <w:iCs/>
        </w:rPr>
        <w:t>(Kushtetuta)</w:t>
      </w:r>
      <w:r w:rsidRPr="00D80C1B">
        <w:rPr>
          <w:rFonts w:ascii="Garamond" w:hAnsi="Garamond"/>
          <w:bCs/>
        </w:rPr>
        <w:t>; neni 6 i Konventës Evropiane për të Drejtat e Njeriut</w:t>
      </w:r>
      <w:r w:rsidR="006974FD">
        <w:rPr>
          <w:rFonts w:ascii="Garamond" w:hAnsi="Garamond"/>
          <w:bCs/>
        </w:rPr>
        <w:t xml:space="preserve"> </w:t>
      </w:r>
      <w:r w:rsidRPr="00D80C1B">
        <w:rPr>
          <w:rFonts w:ascii="Garamond" w:hAnsi="Garamond"/>
          <w:bCs/>
        </w:rPr>
        <w:t>dhe neni 1</w:t>
      </w:r>
      <w:r w:rsidR="00D80C1B">
        <w:rPr>
          <w:rFonts w:ascii="Garamond" w:hAnsi="Garamond"/>
          <w:bCs/>
        </w:rPr>
        <w:t>,</w:t>
      </w:r>
      <w:r w:rsidRPr="00D80C1B">
        <w:rPr>
          <w:rFonts w:ascii="Garamond" w:hAnsi="Garamond"/>
          <w:bCs/>
        </w:rPr>
        <w:t xml:space="preserve"> i Protokollit nr. 1 t</w:t>
      </w:r>
      <w:r w:rsidR="00D80C1B">
        <w:rPr>
          <w:rFonts w:ascii="Garamond" w:hAnsi="Garamond"/>
          <w:bCs/>
        </w:rPr>
        <w:t>ë saj; ligji nr. 8577, datë 10.</w:t>
      </w:r>
      <w:r w:rsidRPr="00D80C1B">
        <w:rPr>
          <w:rFonts w:ascii="Garamond" w:hAnsi="Garamond"/>
          <w:bCs/>
        </w:rPr>
        <w:t>2.2000</w:t>
      </w:r>
      <w:r w:rsidR="00D80C1B">
        <w:rPr>
          <w:rFonts w:ascii="Garamond" w:hAnsi="Garamond"/>
          <w:bCs/>
        </w:rPr>
        <w:t>,</w:t>
      </w:r>
      <w:r w:rsidRPr="00D80C1B">
        <w:rPr>
          <w:rFonts w:ascii="Garamond" w:hAnsi="Garamond"/>
          <w:bCs/>
        </w:rPr>
        <w:t xml:space="preserve"> “Për organizimin dhe funksionimin e Gjykatës Kushtetuese të Republikës së Shqipërisë”, i ndryshuar </w:t>
      </w:r>
      <w:r w:rsidRPr="00D80C1B">
        <w:rPr>
          <w:rFonts w:ascii="Garamond" w:hAnsi="Garamond"/>
          <w:bCs/>
          <w:i/>
          <w:iCs/>
        </w:rPr>
        <w:t xml:space="preserve">(Ligji Organik i Gjykatës). </w:t>
      </w:r>
    </w:p>
    <w:p w14:paraId="48B8A12F" w14:textId="77777777" w:rsidR="00E52F6F" w:rsidRPr="00D80C1B" w:rsidRDefault="00E52F6F" w:rsidP="00E52F6F">
      <w:pPr>
        <w:pStyle w:val="BodyTextIndent2"/>
        <w:spacing w:line="240" w:lineRule="auto"/>
        <w:ind w:left="0" w:firstLine="284"/>
        <w:rPr>
          <w:rFonts w:ascii="Garamond" w:hAnsi="Garamond"/>
          <w:b w:val="0"/>
          <w:color w:val="FF0000"/>
        </w:rPr>
      </w:pPr>
    </w:p>
    <w:p w14:paraId="6E0C62A9" w14:textId="77777777" w:rsidR="00E52F6F" w:rsidRPr="00D80C1B" w:rsidRDefault="00E52F6F" w:rsidP="00E52F6F">
      <w:pPr>
        <w:spacing w:line="240" w:lineRule="auto"/>
        <w:ind w:firstLine="284"/>
        <w:jc w:val="center"/>
        <w:rPr>
          <w:rFonts w:ascii="Garamond" w:hAnsi="Garamond"/>
        </w:rPr>
      </w:pPr>
      <w:r w:rsidRPr="00D80C1B">
        <w:rPr>
          <w:rFonts w:ascii="Garamond" w:hAnsi="Garamond"/>
          <w:bCs/>
        </w:rPr>
        <w:t>GJYKATA KUSHTETUESE,</w:t>
      </w:r>
    </w:p>
    <w:p w14:paraId="17156D10" w14:textId="77777777" w:rsidR="00E52F6F" w:rsidRPr="00D80C1B" w:rsidRDefault="00E52F6F" w:rsidP="00E52F6F">
      <w:pPr>
        <w:spacing w:line="240" w:lineRule="auto"/>
        <w:ind w:firstLine="284"/>
        <w:jc w:val="both"/>
        <w:rPr>
          <w:rFonts w:ascii="Garamond" w:hAnsi="Garamond"/>
        </w:rPr>
      </w:pPr>
    </w:p>
    <w:p w14:paraId="6C31DE62" w14:textId="32A24A9E" w:rsidR="00E52F6F" w:rsidRPr="00D80C1B" w:rsidRDefault="00E52F6F" w:rsidP="00E52F6F">
      <w:pPr>
        <w:spacing w:line="240" w:lineRule="auto"/>
        <w:ind w:firstLine="284"/>
        <w:jc w:val="both"/>
        <w:rPr>
          <w:rFonts w:ascii="Garamond" w:hAnsi="Garamond"/>
          <w:b/>
          <w:bCs/>
        </w:rPr>
      </w:pPr>
      <w:r w:rsidRPr="00D80C1B">
        <w:rPr>
          <w:rFonts w:ascii="Garamond" w:hAnsi="Garamond"/>
        </w:rPr>
        <w:t xml:space="preserve">pasi dëgjoi relatorin e çështjes Genti Ibrahimi, mori në shqyrtim parashtrimet me shkrim të kërkueses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w:t>
      </w:r>
      <w:r w:rsidRPr="00D80C1B">
        <w:rPr>
          <w:rFonts w:ascii="Garamond" w:hAnsi="Garamond"/>
          <w:i/>
          <w:iCs/>
        </w:rPr>
        <w:t>kërkuesja</w:t>
      </w:r>
      <w:r w:rsidRPr="00D80C1B">
        <w:rPr>
          <w:rFonts w:ascii="Garamond" w:hAnsi="Garamond"/>
        </w:rPr>
        <w:t xml:space="preserve">), e cila ka kërkuar pranimin e kërkesës, prapësimet me shkrim të subjektit të interesuar, Arti </w:t>
      </w:r>
      <w:proofErr w:type="spellStart"/>
      <w:r w:rsidRPr="00D80C1B">
        <w:rPr>
          <w:rFonts w:ascii="Garamond" w:hAnsi="Garamond"/>
        </w:rPr>
        <w:t>Elezaj</w:t>
      </w:r>
      <w:proofErr w:type="spellEnd"/>
      <w:r w:rsidRPr="00D80C1B">
        <w:rPr>
          <w:rFonts w:ascii="Garamond" w:hAnsi="Garamond"/>
        </w:rPr>
        <w:t xml:space="preserve">, që ka kërkuar rrëzimin e kërkesës, konstatoi mungesën e prapësimeve me shkrim të subjekteve të interesuara,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w:t>
      </w:r>
      <w:proofErr w:type="spellStart"/>
      <w:r w:rsidRPr="00D80C1B">
        <w:rPr>
          <w:rFonts w:ascii="Garamond" w:hAnsi="Garamond"/>
        </w:rPr>
        <w:t>Vaid</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w:t>
      </w:r>
      <w:proofErr w:type="spellStart"/>
      <w:r w:rsidRPr="00D80C1B">
        <w:rPr>
          <w:rFonts w:ascii="Garamond" w:hAnsi="Garamond"/>
        </w:rPr>
        <w:t>Lutfije</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w:t>
      </w:r>
      <w:proofErr w:type="spellStart"/>
      <w:r w:rsidRPr="00D80C1B">
        <w:rPr>
          <w:rFonts w:ascii="Garamond" w:hAnsi="Garamond"/>
        </w:rPr>
        <w:t>Etgent</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w:t>
      </w:r>
      <w:proofErr w:type="spellStart"/>
      <w:r w:rsidRPr="00D80C1B">
        <w:rPr>
          <w:rFonts w:ascii="Garamond" w:hAnsi="Garamond"/>
        </w:rPr>
        <w:t>Leonard</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Era </w:t>
      </w:r>
      <w:proofErr w:type="spellStart"/>
      <w:r w:rsidRPr="00D80C1B">
        <w:rPr>
          <w:rFonts w:ascii="Garamond" w:hAnsi="Garamond"/>
        </w:rPr>
        <w:t>Luzi</w:t>
      </w:r>
      <w:proofErr w:type="spellEnd"/>
      <w:r w:rsidRPr="00D80C1B">
        <w:rPr>
          <w:rFonts w:ascii="Garamond" w:hAnsi="Garamond"/>
        </w:rPr>
        <w:t xml:space="preserve">, Meleqe </w:t>
      </w:r>
      <w:proofErr w:type="spellStart"/>
      <w:r w:rsidRPr="00D80C1B">
        <w:rPr>
          <w:rFonts w:ascii="Garamond" w:hAnsi="Garamond"/>
        </w:rPr>
        <w:t>Luzi</w:t>
      </w:r>
      <w:proofErr w:type="spellEnd"/>
      <w:r w:rsidRPr="00D80C1B">
        <w:rPr>
          <w:rFonts w:ascii="Garamond" w:hAnsi="Garamond"/>
        </w:rPr>
        <w:t xml:space="preserve">, Vero </w:t>
      </w:r>
      <w:proofErr w:type="spellStart"/>
      <w:r w:rsidRPr="00D80C1B">
        <w:rPr>
          <w:rFonts w:ascii="Garamond" w:hAnsi="Garamond"/>
        </w:rPr>
        <w:t>Ruçi</w:t>
      </w:r>
      <w:proofErr w:type="spellEnd"/>
      <w:r w:rsidRPr="00D80C1B">
        <w:rPr>
          <w:rFonts w:ascii="Garamond" w:hAnsi="Garamond"/>
        </w:rPr>
        <w:t xml:space="preserve">, Shpëtime </w:t>
      </w:r>
      <w:proofErr w:type="spellStart"/>
      <w:r w:rsidRPr="00D80C1B">
        <w:rPr>
          <w:rFonts w:ascii="Garamond" w:hAnsi="Garamond"/>
        </w:rPr>
        <w:t>Ruçi</w:t>
      </w:r>
      <w:proofErr w:type="spellEnd"/>
      <w:r w:rsidRPr="00D80C1B">
        <w:rPr>
          <w:rFonts w:ascii="Garamond" w:hAnsi="Garamond"/>
        </w:rPr>
        <w:t xml:space="preserve">, Altin </w:t>
      </w:r>
      <w:proofErr w:type="spellStart"/>
      <w:r w:rsidRPr="00D80C1B">
        <w:rPr>
          <w:rFonts w:ascii="Garamond" w:hAnsi="Garamond"/>
        </w:rPr>
        <w:t>Demirxhiu</w:t>
      </w:r>
      <w:proofErr w:type="spellEnd"/>
      <w:r w:rsidRPr="00D80C1B">
        <w:rPr>
          <w:rFonts w:ascii="Garamond" w:hAnsi="Garamond"/>
        </w:rPr>
        <w:t xml:space="preserve"> dhe Agjencisë Shtetërore të Kadastrës </w:t>
      </w:r>
      <w:r w:rsidRPr="00D80C1B">
        <w:rPr>
          <w:rFonts w:ascii="Garamond" w:hAnsi="Garamond"/>
          <w:i/>
          <w:iCs/>
        </w:rPr>
        <w:t>(ASHK)</w:t>
      </w:r>
      <w:r w:rsidRPr="00D80C1B">
        <w:rPr>
          <w:rFonts w:ascii="Garamond" w:hAnsi="Garamond"/>
        </w:rPr>
        <w:t xml:space="preserve">, Drejtorisë Vendore Tiranë, si dhe diskutoi çështjen në tërësi, </w:t>
      </w:r>
    </w:p>
    <w:p w14:paraId="502D5282" w14:textId="77777777" w:rsidR="00E52F6F" w:rsidRPr="00D80C1B" w:rsidRDefault="00E52F6F" w:rsidP="00E52F6F">
      <w:pPr>
        <w:spacing w:line="240" w:lineRule="auto"/>
        <w:ind w:firstLine="284"/>
        <w:jc w:val="center"/>
        <w:rPr>
          <w:rFonts w:ascii="Garamond" w:hAnsi="Garamond"/>
          <w:b/>
          <w:bCs/>
        </w:rPr>
      </w:pPr>
    </w:p>
    <w:p w14:paraId="75C31745" w14:textId="0E8590F9" w:rsidR="00E52F6F" w:rsidRPr="00D80C1B" w:rsidRDefault="00E52F6F" w:rsidP="00E52F6F">
      <w:pPr>
        <w:spacing w:line="240" w:lineRule="auto"/>
        <w:ind w:firstLine="284"/>
        <w:jc w:val="center"/>
        <w:rPr>
          <w:rFonts w:ascii="Garamond" w:hAnsi="Garamond"/>
          <w:bCs/>
        </w:rPr>
      </w:pPr>
      <w:r w:rsidRPr="00D80C1B">
        <w:rPr>
          <w:rFonts w:ascii="Garamond" w:hAnsi="Garamond"/>
          <w:bCs/>
        </w:rPr>
        <w:t>VËREN:</w:t>
      </w:r>
    </w:p>
    <w:p w14:paraId="71E04F31" w14:textId="77777777" w:rsidR="00E52F6F" w:rsidRPr="00D80C1B" w:rsidRDefault="00E52F6F" w:rsidP="00E52F6F">
      <w:pPr>
        <w:spacing w:line="240" w:lineRule="auto"/>
        <w:ind w:firstLine="284"/>
        <w:jc w:val="center"/>
        <w:rPr>
          <w:rFonts w:ascii="Garamond" w:hAnsi="Garamond"/>
          <w:b/>
          <w:bCs/>
        </w:rPr>
      </w:pPr>
    </w:p>
    <w:p w14:paraId="5860AE4C" w14:textId="2C05B43D" w:rsidR="00E52F6F" w:rsidRPr="00D80C1B" w:rsidRDefault="00E52F6F" w:rsidP="00E52F6F">
      <w:pPr>
        <w:spacing w:line="240" w:lineRule="auto"/>
        <w:ind w:firstLine="284"/>
        <w:jc w:val="center"/>
        <w:rPr>
          <w:rFonts w:ascii="Garamond" w:hAnsi="Garamond"/>
          <w:b/>
          <w:bCs/>
        </w:rPr>
      </w:pPr>
      <w:r w:rsidRPr="00D80C1B">
        <w:rPr>
          <w:rFonts w:ascii="Garamond" w:hAnsi="Garamond"/>
          <w:b/>
          <w:bCs/>
        </w:rPr>
        <w:t>I</w:t>
      </w:r>
    </w:p>
    <w:p w14:paraId="100B79BF" w14:textId="77777777" w:rsidR="00E52F6F" w:rsidRPr="00D80C1B" w:rsidRDefault="00E52F6F" w:rsidP="00E52F6F">
      <w:pPr>
        <w:spacing w:line="240" w:lineRule="auto"/>
        <w:ind w:firstLine="284"/>
        <w:jc w:val="center"/>
        <w:rPr>
          <w:rFonts w:ascii="Garamond" w:hAnsi="Garamond"/>
          <w:b/>
          <w:bCs/>
        </w:rPr>
      </w:pPr>
      <w:r w:rsidRPr="00D80C1B">
        <w:rPr>
          <w:rFonts w:ascii="Garamond" w:hAnsi="Garamond"/>
          <w:b/>
          <w:bCs/>
        </w:rPr>
        <w:t>Rrethanat e çështjes</w:t>
      </w:r>
    </w:p>
    <w:p w14:paraId="67B61E17" w14:textId="77777777" w:rsidR="009D08D7" w:rsidRPr="00D80C1B" w:rsidRDefault="009D08D7" w:rsidP="00E52F6F">
      <w:pPr>
        <w:pStyle w:val="ListParagraph"/>
        <w:tabs>
          <w:tab w:val="left" w:pos="1080"/>
        </w:tabs>
        <w:spacing w:line="240" w:lineRule="auto"/>
        <w:ind w:left="0" w:firstLine="284"/>
        <w:jc w:val="both"/>
        <w:rPr>
          <w:rFonts w:ascii="Garamond" w:hAnsi="Garamond"/>
        </w:rPr>
      </w:pPr>
    </w:p>
    <w:p w14:paraId="234A4996" w14:textId="2B946A4B"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 xml:space="preserve">1. Kërkuesja është një nga trashëgimtarët ligjorë të </w:t>
      </w:r>
      <w:proofErr w:type="spellStart"/>
      <w:r w:rsidRPr="00D80C1B">
        <w:rPr>
          <w:rFonts w:ascii="Garamond" w:hAnsi="Garamond"/>
        </w:rPr>
        <w:t>të</w:t>
      </w:r>
      <w:proofErr w:type="spellEnd"/>
      <w:r w:rsidRPr="00D80C1B">
        <w:rPr>
          <w:rFonts w:ascii="Garamond" w:hAnsi="Garamond"/>
        </w:rPr>
        <w:t xml:space="preserve"> ndjerit </w:t>
      </w:r>
      <w:proofErr w:type="spellStart"/>
      <w:r w:rsidRPr="00D80C1B">
        <w:rPr>
          <w:rFonts w:ascii="Garamond" w:hAnsi="Garamond"/>
        </w:rPr>
        <w:t>Spirro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i cili, me k</w:t>
      </w:r>
      <w:r w:rsidR="00D80C1B">
        <w:rPr>
          <w:rFonts w:ascii="Garamond" w:hAnsi="Garamond"/>
        </w:rPr>
        <w:t>ontratën noteriale të datës 19.</w:t>
      </w:r>
      <w:r w:rsidRPr="00D80C1B">
        <w:rPr>
          <w:rFonts w:ascii="Garamond" w:hAnsi="Garamond"/>
        </w:rPr>
        <w:t xml:space="preserve">8.1996, ka blerë nga shtetasit </w:t>
      </w:r>
      <w:proofErr w:type="spellStart"/>
      <w:r w:rsidRPr="00D80C1B">
        <w:rPr>
          <w:rFonts w:ascii="Garamond" w:hAnsi="Garamond"/>
        </w:rPr>
        <w:t>Vahid</w:t>
      </w:r>
      <w:proofErr w:type="spellEnd"/>
      <w:r w:rsidRPr="00D80C1B">
        <w:rPr>
          <w:rFonts w:ascii="Garamond" w:hAnsi="Garamond"/>
        </w:rPr>
        <w:t xml:space="preserve"> dhe Besim </w:t>
      </w:r>
      <w:proofErr w:type="spellStart"/>
      <w:r w:rsidRPr="00D80C1B">
        <w:rPr>
          <w:rFonts w:ascii="Garamond" w:hAnsi="Garamond"/>
        </w:rPr>
        <w:t>Luzi</w:t>
      </w:r>
      <w:proofErr w:type="spellEnd"/>
      <w:r w:rsidRPr="00D80C1B">
        <w:rPr>
          <w:rFonts w:ascii="Garamond" w:hAnsi="Garamond"/>
        </w:rPr>
        <w:t xml:space="preserve"> dy parcela toke “arë”, respektivisht me sipërfaqe 2.500 m² dhe 1.500 m², të ndodhura në kufi me njëra-tjetrën, në fshatin Katund i Ri, Tiranë, të përftuara si familje bujqësore në bazë të ligjit nr. 7501, datë 19.7.1991</w:t>
      </w:r>
      <w:r w:rsidR="00D80C1B">
        <w:rPr>
          <w:rFonts w:ascii="Garamond" w:hAnsi="Garamond"/>
        </w:rPr>
        <w:t>,</w:t>
      </w:r>
      <w:r w:rsidRPr="00D80C1B">
        <w:rPr>
          <w:rFonts w:ascii="Garamond" w:hAnsi="Garamond"/>
        </w:rPr>
        <w:t xml:space="preserve"> “Për tokën” (</w:t>
      </w:r>
      <w:r w:rsidRPr="00D80C1B">
        <w:rPr>
          <w:rFonts w:ascii="Garamond" w:hAnsi="Garamond"/>
          <w:i/>
          <w:iCs/>
        </w:rPr>
        <w:t>ligji për tokën</w:t>
      </w:r>
      <w:r w:rsidRPr="00D80C1B">
        <w:rPr>
          <w:rFonts w:ascii="Garamond" w:hAnsi="Garamond"/>
        </w:rPr>
        <w:t>), me qëllim ndërtimin e një fabrike për prodhimin e materialeve kozmetike. Në lidhjen e kontratës shitësit janë përfaqësuar me prokurë të posaçme nga shtetasi M.</w:t>
      </w:r>
      <w:r w:rsidR="00D80C1B">
        <w:rPr>
          <w:rFonts w:ascii="Garamond" w:hAnsi="Garamond"/>
        </w:rPr>
        <w:t xml:space="preserve"> </w:t>
      </w:r>
      <w:r w:rsidRPr="00D80C1B">
        <w:rPr>
          <w:rFonts w:ascii="Garamond" w:hAnsi="Garamond"/>
        </w:rPr>
        <w:t xml:space="preserve">L. Sipas kushteve të saj,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binte dakord të paguante 10% të shumës me nënshkrimin e kontratës, </w:t>
      </w:r>
      <w:r w:rsidRPr="00D80C1B">
        <w:rPr>
          <w:rFonts w:ascii="Garamond" w:hAnsi="Garamond"/>
        </w:rPr>
        <w:lastRenderedPageBreak/>
        <w:t>ndërsa pjesën tjetër pas miratimit të sheshit të ndërtimit nga Këshilli i Rregullimit të Territorit (</w:t>
      </w:r>
      <w:proofErr w:type="spellStart"/>
      <w:r w:rsidRPr="00D80C1B">
        <w:rPr>
          <w:rFonts w:ascii="Garamond" w:hAnsi="Garamond"/>
          <w:i/>
          <w:iCs/>
        </w:rPr>
        <w:t>KRRT</w:t>
      </w:r>
      <w:proofErr w:type="spellEnd"/>
      <w:r w:rsidRPr="00D80C1B">
        <w:rPr>
          <w:rFonts w:ascii="Garamond" w:hAnsi="Garamond"/>
        </w:rPr>
        <w:t xml:space="preserve">) dhe dhënies së lejes së ndërtimit. Nëse toka nuk kthehej në shesh ndërtimi, shitësit detyroheshin të kthenin kaparin, ndërsa në rast se kontrata do të prishej nga blerësi, kapari u mbetej shitësve. Po sipas kontratës, blerësi fitonte pronësinë për tokën me likuidimin e çmimit total, kundrejt lëshimit të një deklarate noteriale. </w:t>
      </w:r>
    </w:p>
    <w:p w14:paraId="73F5D7FB" w14:textId="26F92350" w:rsidR="00E52F6F" w:rsidRPr="00D80C1B" w:rsidRDefault="00D80C1B" w:rsidP="00E52F6F">
      <w:pPr>
        <w:pStyle w:val="ListParagraph"/>
        <w:tabs>
          <w:tab w:val="left" w:pos="1080"/>
        </w:tabs>
        <w:spacing w:line="240" w:lineRule="auto"/>
        <w:ind w:left="0" w:firstLine="284"/>
        <w:jc w:val="both"/>
        <w:rPr>
          <w:rFonts w:ascii="Garamond" w:hAnsi="Garamond"/>
        </w:rPr>
      </w:pPr>
      <w:r>
        <w:rPr>
          <w:rFonts w:ascii="Garamond" w:hAnsi="Garamond"/>
        </w:rPr>
        <w:t>2. Në datën 11.</w:t>
      </w:r>
      <w:r w:rsidR="00E52F6F" w:rsidRPr="00D80C1B">
        <w:rPr>
          <w:rFonts w:ascii="Garamond" w:hAnsi="Garamond"/>
        </w:rPr>
        <w:t>9.1996</w:t>
      </w:r>
      <w:r>
        <w:rPr>
          <w:rFonts w:ascii="Garamond" w:hAnsi="Garamond"/>
        </w:rPr>
        <w:t>,</w:t>
      </w:r>
      <w:r w:rsidR="00E52F6F" w:rsidRPr="00D80C1B">
        <w:rPr>
          <w:rFonts w:ascii="Garamond" w:hAnsi="Garamond"/>
        </w:rPr>
        <w:t xml:space="preserve"> </w:t>
      </w:r>
      <w:proofErr w:type="spellStart"/>
      <w:r w:rsidR="00E52F6F" w:rsidRPr="00D80C1B">
        <w:rPr>
          <w:rFonts w:ascii="Garamond" w:hAnsi="Garamond"/>
        </w:rPr>
        <w:t>KRRT</w:t>
      </w:r>
      <w:proofErr w:type="spellEnd"/>
      <w:r w:rsidR="00BB3DC5">
        <w:rPr>
          <w:rFonts w:ascii="Garamond" w:hAnsi="Garamond"/>
        </w:rPr>
        <w:t>-ja</w:t>
      </w:r>
      <w:r w:rsidR="00E52F6F" w:rsidRPr="00D80C1B">
        <w:rPr>
          <w:rFonts w:ascii="Garamond" w:hAnsi="Garamond"/>
        </w:rPr>
        <w:t xml:space="preserve"> Tiranë</w:t>
      </w:r>
      <w:r w:rsidR="006974FD">
        <w:rPr>
          <w:rFonts w:ascii="Garamond" w:hAnsi="Garamond"/>
        </w:rPr>
        <w:t xml:space="preserve"> </w:t>
      </w:r>
      <w:r w:rsidR="00E52F6F" w:rsidRPr="00D80C1B">
        <w:rPr>
          <w:rFonts w:ascii="Garamond" w:hAnsi="Garamond"/>
        </w:rPr>
        <w:t>ka miratuar dhënien e sheshit t</w:t>
      </w:r>
      <w:r>
        <w:rPr>
          <w:rFonts w:ascii="Garamond" w:hAnsi="Garamond"/>
        </w:rPr>
        <w:t>ë ndërtimit, kurse në datën 30.</w:t>
      </w:r>
      <w:r w:rsidR="00E52F6F" w:rsidRPr="00D80C1B">
        <w:rPr>
          <w:rFonts w:ascii="Garamond" w:hAnsi="Garamond"/>
        </w:rPr>
        <w:t>9.1996</w:t>
      </w:r>
      <w:r>
        <w:rPr>
          <w:rFonts w:ascii="Garamond" w:hAnsi="Garamond"/>
        </w:rPr>
        <w:t>,</w:t>
      </w:r>
      <w:r w:rsidR="00E52F6F" w:rsidRPr="00D80C1B">
        <w:rPr>
          <w:rFonts w:ascii="Garamond" w:hAnsi="Garamond"/>
        </w:rPr>
        <w:t xml:space="preserve"> Këshilli i Rrethit Tiranë i është drejtuar Ministrisë së Bujqësisë dhe Ushqimit për ndryshimin e </w:t>
      </w:r>
      <w:proofErr w:type="spellStart"/>
      <w:r w:rsidR="00E52F6F" w:rsidRPr="00D80C1B">
        <w:rPr>
          <w:rFonts w:ascii="Garamond" w:hAnsi="Garamond"/>
        </w:rPr>
        <w:t>destinacionit</w:t>
      </w:r>
      <w:proofErr w:type="spellEnd"/>
      <w:r w:rsidR="00E52F6F" w:rsidRPr="00D80C1B">
        <w:rPr>
          <w:rFonts w:ascii="Garamond" w:hAnsi="Garamond"/>
        </w:rPr>
        <w:t xml:space="preserve"> të tokës nga bujqësore në truall ndërtimi, gjë e cila është mi</w:t>
      </w:r>
      <w:r>
        <w:rPr>
          <w:rFonts w:ascii="Garamond" w:hAnsi="Garamond"/>
        </w:rPr>
        <w:t>ratuar në datën 18.7.1997. Më pas, në datën 18.</w:t>
      </w:r>
      <w:r w:rsidR="00E52F6F" w:rsidRPr="00D80C1B">
        <w:rPr>
          <w:rFonts w:ascii="Garamond" w:hAnsi="Garamond"/>
        </w:rPr>
        <w:t xml:space="preserve">8.1997, </w:t>
      </w:r>
      <w:proofErr w:type="spellStart"/>
      <w:r w:rsidR="00E52F6F" w:rsidRPr="00D80C1B">
        <w:rPr>
          <w:rFonts w:ascii="Garamond" w:hAnsi="Garamond"/>
        </w:rPr>
        <w:t>KRRT</w:t>
      </w:r>
      <w:proofErr w:type="spellEnd"/>
      <w:r w:rsidR="00E52F6F" w:rsidRPr="00D80C1B">
        <w:rPr>
          <w:rFonts w:ascii="Garamond" w:hAnsi="Garamond"/>
        </w:rPr>
        <w:t xml:space="preserve">-ja ka miratuar lejen e ndërtimit për objektin “Fabrikë për prodhimin e artikujve kozmetikë”, me investitor </w:t>
      </w:r>
      <w:proofErr w:type="spellStart"/>
      <w:r w:rsidR="00E52F6F" w:rsidRPr="00D80C1B">
        <w:rPr>
          <w:rFonts w:ascii="Garamond" w:hAnsi="Garamond"/>
        </w:rPr>
        <w:t>Spiro</w:t>
      </w:r>
      <w:proofErr w:type="spellEnd"/>
      <w:r w:rsidR="00E52F6F" w:rsidRPr="00D80C1B">
        <w:rPr>
          <w:rFonts w:ascii="Garamond" w:hAnsi="Garamond"/>
        </w:rPr>
        <w:t xml:space="preserve"> </w:t>
      </w:r>
      <w:proofErr w:type="spellStart"/>
      <w:r w:rsidR="00E52F6F" w:rsidRPr="00D80C1B">
        <w:rPr>
          <w:rFonts w:ascii="Garamond" w:hAnsi="Garamond"/>
        </w:rPr>
        <w:t>Zerri</w:t>
      </w:r>
      <w:proofErr w:type="spellEnd"/>
      <w:r w:rsidR="00E52F6F" w:rsidRPr="00D80C1B">
        <w:rPr>
          <w:rFonts w:ascii="Garamond" w:hAnsi="Garamond"/>
        </w:rPr>
        <w:t xml:space="preserve">, por objekti nuk është ndërtuar. </w:t>
      </w:r>
    </w:p>
    <w:p w14:paraId="396BA5E1" w14:textId="61BACD10"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3. Po kështu, përfaqësuesi i posaçëm i shitësve, shtetasi M.</w:t>
      </w:r>
      <w:r w:rsidR="00D80C1B">
        <w:rPr>
          <w:rFonts w:ascii="Garamond" w:hAnsi="Garamond"/>
        </w:rPr>
        <w:t xml:space="preserve"> </w:t>
      </w:r>
      <w:r w:rsidRPr="00D80C1B">
        <w:rPr>
          <w:rFonts w:ascii="Garamond" w:hAnsi="Garamond"/>
        </w:rPr>
        <w:t xml:space="preserve">L., ka lëshuar një deklaratë dore, sipas së cilës, në përmbushje të kontratës së shitjes, blerësi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i ka dorëzuar atij diferencën e çmimit të shitjes, në kushtet k</w:t>
      </w:r>
      <w:r w:rsidR="00D80C1B">
        <w:rPr>
          <w:rFonts w:ascii="Garamond" w:hAnsi="Garamond"/>
        </w:rPr>
        <w:t>ur, sipas shkresës së datës 30.</w:t>
      </w:r>
      <w:r w:rsidRPr="00D80C1B">
        <w:rPr>
          <w:rFonts w:ascii="Garamond" w:hAnsi="Garamond"/>
        </w:rPr>
        <w:t>9.1996, toka është kthyer në she</w:t>
      </w:r>
      <w:r w:rsidR="00D80C1B">
        <w:rPr>
          <w:rFonts w:ascii="Garamond" w:hAnsi="Garamond"/>
        </w:rPr>
        <w:t>sh ndërtimi në datën 8.</w:t>
      </w:r>
      <w:r w:rsidRPr="00D80C1B">
        <w:rPr>
          <w:rFonts w:ascii="Garamond" w:hAnsi="Garamond"/>
        </w:rPr>
        <w:t>9.1996. Deklarata është nënshkruar nga shtetasi M.</w:t>
      </w:r>
      <w:r w:rsidR="00D80C1B">
        <w:rPr>
          <w:rFonts w:ascii="Garamond" w:hAnsi="Garamond"/>
        </w:rPr>
        <w:t xml:space="preserve"> </w:t>
      </w:r>
      <w:r w:rsidRPr="00D80C1B">
        <w:rPr>
          <w:rFonts w:ascii="Garamond" w:hAnsi="Garamond"/>
        </w:rPr>
        <w:t xml:space="preserve">L., blerësi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një person i tretë, I.</w:t>
      </w:r>
      <w:r w:rsidR="00D80C1B">
        <w:rPr>
          <w:rFonts w:ascii="Garamond" w:hAnsi="Garamond"/>
        </w:rPr>
        <w:t xml:space="preserve"> </w:t>
      </w:r>
      <w:r w:rsidRPr="00D80C1B">
        <w:rPr>
          <w:rFonts w:ascii="Garamond" w:hAnsi="Garamond"/>
        </w:rPr>
        <w:t xml:space="preserve">T., ndërsa nënshkrimet në këtë deklaratë janë </w:t>
      </w:r>
      <w:proofErr w:type="spellStart"/>
      <w:r w:rsidRPr="00D80C1B">
        <w:rPr>
          <w:rFonts w:ascii="Garamond" w:hAnsi="Garamond"/>
        </w:rPr>
        <w:t>autentifikuar</w:t>
      </w:r>
      <w:proofErr w:type="spellEnd"/>
      <w:r w:rsidRPr="00D80C1B">
        <w:rPr>
          <w:rFonts w:ascii="Garamond" w:hAnsi="Garamond"/>
        </w:rPr>
        <w:t xml:space="preserve"> (vërtetuar) nëpërmjet</w:t>
      </w:r>
      <w:r w:rsidR="00D80C1B">
        <w:rPr>
          <w:rFonts w:ascii="Garamond" w:hAnsi="Garamond"/>
        </w:rPr>
        <w:t xml:space="preserve"> një akti noterial të datës 13.</w:t>
      </w:r>
      <w:r w:rsidRPr="00D80C1B">
        <w:rPr>
          <w:rFonts w:ascii="Garamond" w:hAnsi="Garamond"/>
        </w:rPr>
        <w:t>7.2005.</w:t>
      </w:r>
    </w:p>
    <w:p w14:paraId="71C77F94" w14:textId="332E9554"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 xml:space="preserve">4. Bazuar në kërkesën e </w:t>
      </w:r>
      <w:proofErr w:type="spellStart"/>
      <w:r w:rsidRPr="00D80C1B">
        <w:rPr>
          <w:rFonts w:ascii="Garamond" w:hAnsi="Garamond"/>
        </w:rPr>
        <w:t>Vahid</w:t>
      </w:r>
      <w:proofErr w:type="spellEnd"/>
      <w:r w:rsidRPr="00D80C1B">
        <w:rPr>
          <w:rFonts w:ascii="Garamond" w:hAnsi="Garamond"/>
        </w:rPr>
        <w:t xml:space="preserve"> </w:t>
      </w:r>
      <w:proofErr w:type="spellStart"/>
      <w:r w:rsidRPr="00D80C1B">
        <w:rPr>
          <w:rFonts w:ascii="Garamond" w:hAnsi="Garamond"/>
        </w:rPr>
        <w:t>Luzit</w:t>
      </w:r>
      <w:proofErr w:type="spellEnd"/>
      <w:r w:rsidRPr="00D80C1B">
        <w:rPr>
          <w:rFonts w:ascii="Garamond" w:hAnsi="Garamond"/>
        </w:rPr>
        <w:t xml:space="preserve">, Zyra Vendore e Regjistrimit të Pasurive të Paluajtshme </w:t>
      </w:r>
      <w:r w:rsidRPr="00D80C1B">
        <w:rPr>
          <w:rFonts w:ascii="Garamond" w:hAnsi="Garamond"/>
          <w:i/>
          <w:iCs/>
        </w:rPr>
        <w:t>(</w:t>
      </w:r>
      <w:proofErr w:type="spellStart"/>
      <w:r w:rsidRPr="00D80C1B">
        <w:rPr>
          <w:rFonts w:ascii="Garamond" w:hAnsi="Garamond"/>
          <w:i/>
          <w:iCs/>
        </w:rPr>
        <w:t>ZVRPP</w:t>
      </w:r>
      <w:proofErr w:type="spellEnd"/>
      <w:r w:rsidRPr="00D80C1B">
        <w:rPr>
          <w:rFonts w:ascii="Garamond" w:hAnsi="Garamond"/>
          <w:i/>
          <w:iCs/>
        </w:rPr>
        <w:t xml:space="preserve">) </w:t>
      </w:r>
      <w:r w:rsidRPr="00D80C1B">
        <w:rPr>
          <w:rFonts w:ascii="Garamond" w:hAnsi="Garamond"/>
        </w:rPr>
        <w:t>Tiranë, ka re</w:t>
      </w:r>
      <w:r w:rsidR="00D80C1B">
        <w:rPr>
          <w:rFonts w:ascii="Garamond" w:hAnsi="Garamond"/>
        </w:rPr>
        <w:t xml:space="preserve">gjistruar </w:t>
      </w:r>
      <w:proofErr w:type="spellStart"/>
      <w:r w:rsidR="00D80C1B">
        <w:rPr>
          <w:rFonts w:ascii="Garamond" w:hAnsi="Garamond"/>
        </w:rPr>
        <w:t>AMTP</w:t>
      </w:r>
      <w:proofErr w:type="spellEnd"/>
      <w:r w:rsidR="00D80C1B">
        <w:rPr>
          <w:rFonts w:ascii="Garamond" w:hAnsi="Garamond"/>
        </w:rPr>
        <w:t>-në nr. 53, datë 7.</w:t>
      </w:r>
      <w:r w:rsidRPr="00D80C1B">
        <w:rPr>
          <w:rFonts w:ascii="Garamond" w:hAnsi="Garamond"/>
        </w:rPr>
        <w:t xml:space="preserve">5.1993, e cila përfshinte edhe pasurinë e shitur shtetasit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në vitin 1996. Pas regjistrimit të saj në regjistrat e pasurive të paluajtshme</w:t>
      </w:r>
      <w:r w:rsidR="00BB3DC5">
        <w:rPr>
          <w:rFonts w:ascii="Garamond" w:hAnsi="Garamond"/>
        </w:rPr>
        <w:t xml:space="preserve">, në datën 20.12.2004, </w:t>
      </w:r>
      <w:proofErr w:type="spellStart"/>
      <w:r w:rsidR="00BB3DC5">
        <w:rPr>
          <w:rFonts w:ascii="Garamond" w:hAnsi="Garamond"/>
        </w:rPr>
        <w:t>ZVRPP</w:t>
      </w:r>
      <w:proofErr w:type="spellEnd"/>
      <w:r w:rsidR="00BB3DC5">
        <w:rPr>
          <w:rFonts w:ascii="Garamond" w:hAnsi="Garamond"/>
        </w:rPr>
        <w:t>-ja</w:t>
      </w:r>
      <w:r w:rsidRPr="00D80C1B">
        <w:rPr>
          <w:rFonts w:ascii="Garamond" w:hAnsi="Garamond"/>
        </w:rPr>
        <w:t xml:space="preserve"> Tiranë ka lëshuar certifikatë pronësie, sipas së cilës </w:t>
      </w:r>
      <w:proofErr w:type="spellStart"/>
      <w:r w:rsidRPr="00D80C1B">
        <w:rPr>
          <w:rFonts w:ascii="Garamond" w:hAnsi="Garamond"/>
        </w:rPr>
        <w:t>Vahid</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dhe familjarët e tij (</w:t>
      </w:r>
      <w:proofErr w:type="spellStart"/>
      <w:r w:rsidRPr="00D80C1B">
        <w:rPr>
          <w:rFonts w:ascii="Garamond" w:hAnsi="Garamond"/>
        </w:rPr>
        <w:t>Lutfije</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w:t>
      </w:r>
      <w:proofErr w:type="spellStart"/>
      <w:r w:rsidRPr="00D80C1B">
        <w:rPr>
          <w:rFonts w:ascii="Garamond" w:hAnsi="Garamond"/>
        </w:rPr>
        <w:t>Etgent</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w:t>
      </w:r>
      <w:proofErr w:type="spellStart"/>
      <w:r w:rsidRPr="00D80C1B">
        <w:rPr>
          <w:rFonts w:ascii="Garamond" w:hAnsi="Garamond"/>
        </w:rPr>
        <w:t>Leonard</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dhe Era </w:t>
      </w:r>
      <w:proofErr w:type="spellStart"/>
      <w:r w:rsidRPr="00D80C1B">
        <w:rPr>
          <w:rFonts w:ascii="Garamond" w:hAnsi="Garamond"/>
        </w:rPr>
        <w:t>Luzi</w:t>
      </w:r>
      <w:proofErr w:type="spellEnd"/>
      <w:r w:rsidRPr="00D80C1B">
        <w:rPr>
          <w:rFonts w:ascii="Garamond" w:hAnsi="Garamond"/>
        </w:rPr>
        <w:t xml:space="preserve">) rezultonin pronarë të pasurisë “arë” me sipërfaqe 2.471 m². Kjo pasuri i është shitur më pas shtetasit Vero </w:t>
      </w:r>
      <w:proofErr w:type="spellStart"/>
      <w:r w:rsidRPr="00D80C1B">
        <w:rPr>
          <w:rFonts w:ascii="Garamond" w:hAnsi="Garamond"/>
        </w:rPr>
        <w:t>Ruçi</w:t>
      </w:r>
      <w:proofErr w:type="spellEnd"/>
      <w:r w:rsidRPr="00D80C1B">
        <w:rPr>
          <w:rFonts w:ascii="Garamond" w:hAnsi="Garamond"/>
        </w:rPr>
        <w:t xml:space="preserve"> dhe është regjistruar në regjistrat e pasurive të paluajtshme nga ky sht</w:t>
      </w:r>
      <w:r w:rsidR="00D80C1B">
        <w:rPr>
          <w:rFonts w:ascii="Garamond" w:hAnsi="Garamond"/>
        </w:rPr>
        <w:t>etas, i cili në datën 4.</w:t>
      </w:r>
      <w:r w:rsidRPr="00D80C1B">
        <w:rPr>
          <w:rFonts w:ascii="Garamond" w:hAnsi="Garamond"/>
        </w:rPr>
        <w:t>5.2005</w:t>
      </w:r>
      <w:r w:rsidR="00D80C1B">
        <w:rPr>
          <w:rFonts w:ascii="Garamond" w:hAnsi="Garamond"/>
        </w:rPr>
        <w:t>,</w:t>
      </w:r>
      <w:r w:rsidRPr="00D80C1B">
        <w:rPr>
          <w:rFonts w:ascii="Garamond" w:hAnsi="Garamond"/>
        </w:rPr>
        <w:t xml:space="preserve"> është pajisur edhe me certifikatën e pronësisë. </w:t>
      </w:r>
    </w:p>
    <w:p w14:paraId="0D763E9D" w14:textId="76F11439"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5. Po kështu, bazuar në kërkesën e shte</w:t>
      </w:r>
      <w:r w:rsidR="00BB3DC5">
        <w:rPr>
          <w:rFonts w:ascii="Garamond" w:hAnsi="Garamond"/>
        </w:rPr>
        <w:t xml:space="preserve">tasit Besim </w:t>
      </w:r>
      <w:proofErr w:type="spellStart"/>
      <w:r w:rsidR="00BB3DC5">
        <w:rPr>
          <w:rFonts w:ascii="Garamond" w:hAnsi="Garamond"/>
        </w:rPr>
        <w:t>Luzi</w:t>
      </w:r>
      <w:proofErr w:type="spellEnd"/>
      <w:r w:rsidR="00BB3DC5">
        <w:rPr>
          <w:rFonts w:ascii="Garamond" w:hAnsi="Garamond"/>
        </w:rPr>
        <w:t xml:space="preserve">, </w:t>
      </w:r>
      <w:proofErr w:type="spellStart"/>
      <w:r w:rsidR="00BB3DC5">
        <w:rPr>
          <w:rFonts w:ascii="Garamond" w:hAnsi="Garamond"/>
        </w:rPr>
        <w:t>ZVRPP</w:t>
      </w:r>
      <w:proofErr w:type="spellEnd"/>
      <w:r w:rsidR="00BB3DC5">
        <w:rPr>
          <w:rFonts w:ascii="Garamond" w:hAnsi="Garamond"/>
        </w:rPr>
        <w:t>-ja</w:t>
      </w:r>
      <w:r w:rsidRPr="00D80C1B">
        <w:rPr>
          <w:rFonts w:ascii="Garamond" w:hAnsi="Garamond"/>
        </w:rPr>
        <w:t xml:space="preserve"> Tiranë ka re</w:t>
      </w:r>
      <w:r w:rsidR="00D80C1B">
        <w:rPr>
          <w:rFonts w:ascii="Garamond" w:hAnsi="Garamond"/>
        </w:rPr>
        <w:t xml:space="preserve">gjistruar </w:t>
      </w:r>
      <w:proofErr w:type="spellStart"/>
      <w:r w:rsidR="00D80C1B">
        <w:rPr>
          <w:rFonts w:ascii="Garamond" w:hAnsi="Garamond"/>
        </w:rPr>
        <w:t>AMTP</w:t>
      </w:r>
      <w:proofErr w:type="spellEnd"/>
      <w:r w:rsidR="00D80C1B">
        <w:rPr>
          <w:rFonts w:ascii="Garamond" w:hAnsi="Garamond"/>
        </w:rPr>
        <w:t>-në nr. 54, datë 7.</w:t>
      </w:r>
      <w:r w:rsidRPr="00D80C1B">
        <w:rPr>
          <w:rFonts w:ascii="Garamond" w:hAnsi="Garamond"/>
        </w:rPr>
        <w:t xml:space="preserve">5.1993, e cila përfshinte edhe pasurinë e shitur shtetasit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në vitin 1996. Pas regjistrimit të saj në regjistrat e pasurive të paluajtshme, në datën 28.12.2004</w:t>
      </w:r>
      <w:r w:rsidR="00D80C1B">
        <w:rPr>
          <w:rFonts w:ascii="Garamond" w:hAnsi="Garamond"/>
        </w:rPr>
        <w:t xml:space="preserve">, </w:t>
      </w:r>
      <w:proofErr w:type="spellStart"/>
      <w:r w:rsidR="00D80C1B">
        <w:rPr>
          <w:rFonts w:ascii="Garamond" w:hAnsi="Garamond"/>
        </w:rPr>
        <w:t>ZVRPP</w:t>
      </w:r>
      <w:proofErr w:type="spellEnd"/>
      <w:r w:rsidR="00D80C1B">
        <w:rPr>
          <w:rFonts w:ascii="Garamond" w:hAnsi="Garamond"/>
        </w:rPr>
        <w:t>-ja</w:t>
      </w:r>
      <w:r w:rsidRPr="00D80C1B">
        <w:rPr>
          <w:rFonts w:ascii="Garamond" w:hAnsi="Garamond"/>
        </w:rPr>
        <w:t xml:space="preserve"> Tiranë ka lëshuar certifikatën për vërtetim pronësie, sipas së cilës Besim dhe Meleqe </w:t>
      </w:r>
      <w:proofErr w:type="spellStart"/>
      <w:r w:rsidRPr="00D80C1B">
        <w:rPr>
          <w:rFonts w:ascii="Garamond" w:hAnsi="Garamond"/>
        </w:rPr>
        <w:t>Luzi</w:t>
      </w:r>
      <w:proofErr w:type="spellEnd"/>
      <w:r w:rsidRPr="00D80C1B">
        <w:rPr>
          <w:rFonts w:ascii="Garamond" w:hAnsi="Garamond"/>
        </w:rPr>
        <w:t xml:space="preserve"> janë pronarë të pasurisë të llojit “arë”, me sipërfaqe 1589 m². Kjo pasuri, përmes përfaqësuesit të posaçëm të bashkëpronarëve, </w:t>
      </w:r>
      <w:proofErr w:type="spellStart"/>
      <w:r w:rsidRPr="00D80C1B">
        <w:rPr>
          <w:rFonts w:ascii="Garamond" w:hAnsi="Garamond"/>
        </w:rPr>
        <w:t>Etgent</w:t>
      </w:r>
      <w:proofErr w:type="spellEnd"/>
      <w:r w:rsidRPr="00D80C1B">
        <w:rPr>
          <w:rFonts w:ascii="Garamond" w:hAnsi="Garamond"/>
        </w:rPr>
        <w:t xml:space="preserve"> </w:t>
      </w:r>
      <w:proofErr w:type="spellStart"/>
      <w:r w:rsidRPr="00D80C1B">
        <w:rPr>
          <w:rFonts w:ascii="Garamond" w:hAnsi="Garamond"/>
        </w:rPr>
        <w:t>Luzit</w:t>
      </w:r>
      <w:proofErr w:type="spellEnd"/>
      <w:r w:rsidRPr="00D80C1B">
        <w:rPr>
          <w:rFonts w:ascii="Garamond" w:hAnsi="Garamond"/>
        </w:rPr>
        <w:t xml:space="preserve">, i është shitur gjithashtu shtetasit Vero </w:t>
      </w:r>
      <w:proofErr w:type="spellStart"/>
      <w:r w:rsidRPr="00D80C1B">
        <w:rPr>
          <w:rFonts w:ascii="Garamond" w:hAnsi="Garamond"/>
        </w:rPr>
        <w:t>Ruçi</w:t>
      </w:r>
      <w:proofErr w:type="spellEnd"/>
      <w:r w:rsidRPr="00D80C1B">
        <w:rPr>
          <w:rFonts w:ascii="Garamond" w:hAnsi="Garamond"/>
        </w:rPr>
        <w:t>, i cili e ka regjistruar në regjistrat e pasurive të paluajtshme dhe është pajisur me certifikatën e pronësisë n</w:t>
      </w:r>
      <w:r w:rsidR="00D80C1B">
        <w:rPr>
          <w:rFonts w:ascii="Garamond" w:hAnsi="Garamond"/>
        </w:rPr>
        <w:t>ë datën 4.</w:t>
      </w:r>
      <w:r w:rsidRPr="00D80C1B">
        <w:rPr>
          <w:rFonts w:ascii="Garamond" w:hAnsi="Garamond"/>
        </w:rPr>
        <w:t xml:space="preserve">5.2005. </w:t>
      </w:r>
    </w:p>
    <w:p w14:paraId="0C4CCB9B" w14:textId="7770FFB7"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6. Në vijim, me kontratat no</w:t>
      </w:r>
      <w:r w:rsidR="00D80C1B">
        <w:rPr>
          <w:rFonts w:ascii="Garamond" w:hAnsi="Garamond"/>
        </w:rPr>
        <w:t>teriale të shitjes të datës 29.</w:t>
      </w:r>
      <w:r w:rsidRPr="00D80C1B">
        <w:rPr>
          <w:rFonts w:ascii="Garamond" w:hAnsi="Garamond"/>
        </w:rPr>
        <w:t xml:space="preserve">8.2005, shtetasi Vero </w:t>
      </w:r>
      <w:proofErr w:type="spellStart"/>
      <w:r w:rsidRPr="00D80C1B">
        <w:rPr>
          <w:rFonts w:ascii="Garamond" w:hAnsi="Garamond"/>
        </w:rPr>
        <w:t>Ruçi</w:t>
      </w:r>
      <w:proofErr w:type="spellEnd"/>
      <w:r w:rsidRPr="00D80C1B">
        <w:rPr>
          <w:rFonts w:ascii="Garamond" w:hAnsi="Garamond"/>
        </w:rPr>
        <w:t xml:space="preserve"> dhe bashkëshortja e tij ia kanë shitur këto pasuri shtetasit Altin </w:t>
      </w:r>
      <w:proofErr w:type="spellStart"/>
      <w:r w:rsidRPr="00D80C1B">
        <w:rPr>
          <w:rFonts w:ascii="Garamond" w:hAnsi="Garamond"/>
        </w:rPr>
        <w:t>Demirxhiu</w:t>
      </w:r>
      <w:proofErr w:type="spellEnd"/>
      <w:r w:rsidRPr="00D80C1B">
        <w:rPr>
          <w:rFonts w:ascii="Garamond" w:hAnsi="Garamond"/>
        </w:rPr>
        <w:t xml:space="preserve">, i cili i ka regjistruar në regjistrat e pasurive të paluajtshme dhe është pajisur me certifikatat e pronësisë për to. Më tej, ky shtetas dhe bashkëshortja e tij pasuritë ia kanë shitur shtetasit Arti </w:t>
      </w:r>
      <w:proofErr w:type="spellStart"/>
      <w:r w:rsidRPr="00D80C1B">
        <w:rPr>
          <w:rFonts w:ascii="Garamond" w:hAnsi="Garamond"/>
        </w:rPr>
        <w:t>Elezaj</w:t>
      </w:r>
      <w:proofErr w:type="spellEnd"/>
      <w:r w:rsidRPr="00D80C1B">
        <w:rPr>
          <w:rFonts w:ascii="Garamond" w:hAnsi="Garamond"/>
        </w:rPr>
        <w:t>, i cili në datën 22.11.2005</w:t>
      </w:r>
      <w:r w:rsidR="00D80C1B">
        <w:rPr>
          <w:rFonts w:ascii="Garamond" w:hAnsi="Garamond"/>
        </w:rPr>
        <w:t>,</w:t>
      </w:r>
      <w:r w:rsidR="00BB3DC5">
        <w:rPr>
          <w:rFonts w:ascii="Garamond" w:hAnsi="Garamond"/>
        </w:rPr>
        <w:t xml:space="preserve"> është pajisur nga </w:t>
      </w:r>
      <w:proofErr w:type="spellStart"/>
      <w:r w:rsidR="00BB3DC5">
        <w:rPr>
          <w:rFonts w:ascii="Garamond" w:hAnsi="Garamond"/>
        </w:rPr>
        <w:t>ZVRPP</w:t>
      </w:r>
      <w:proofErr w:type="spellEnd"/>
      <w:r w:rsidR="00BB3DC5">
        <w:rPr>
          <w:rFonts w:ascii="Garamond" w:hAnsi="Garamond"/>
        </w:rPr>
        <w:t>-ja</w:t>
      </w:r>
      <w:r w:rsidRPr="00D80C1B">
        <w:rPr>
          <w:rFonts w:ascii="Garamond" w:hAnsi="Garamond"/>
        </w:rPr>
        <w:t xml:space="preserve"> Tiranë me certifikatat për vërtetim pronësie për të dyja pasuritë tokë “arë”, me sipërfaqe 1.589 </w:t>
      </w:r>
      <w:r w:rsidR="00D80C1B" w:rsidRPr="00D80C1B">
        <w:rPr>
          <w:rFonts w:ascii="Garamond" w:hAnsi="Garamond"/>
        </w:rPr>
        <w:t>m²</w:t>
      </w:r>
      <w:r w:rsidRPr="00D80C1B">
        <w:rPr>
          <w:rFonts w:ascii="Garamond" w:hAnsi="Garamond"/>
        </w:rPr>
        <w:t xml:space="preserve"> dhe 2.471 </w:t>
      </w:r>
      <w:r w:rsidR="00D80C1B" w:rsidRPr="00D80C1B">
        <w:rPr>
          <w:rFonts w:ascii="Garamond" w:hAnsi="Garamond"/>
        </w:rPr>
        <w:t>m²</w:t>
      </w:r>
      <w:r w:rsidRPr="00D80C1B">
        <w:rPr>
          <w:rFonts w:ascii="Garamond" w:hAnsi="Garamond"/>
        </w:rPr>
        <w:t>.</w:t>
      </w:r>
    </w:p>
    <w:p w14:paraId="792BA01E" w14:textId="4B44AFC7"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7. Nga ana tjetër, sipas dy certifikatave për vërtetim pronësie me dat</w:t>
      </w:r>
      <w:r w:rsidR="00BA2AB8">
        <w:rPr>
          <w:rFonts w:ascii="Garamond" w:hAnsi="Garamond"/>
        </w:rPr>
        <w:t>ë lëshimi 28.</w:t>
      </w:r>
      <w:r w:rsidRPr="00D80C1B">
        <w:rPr>
          <w:rFonts w:ascii="Garamond" w:hAnsi="Garamond"/>
        </w:rPr>
        <w:t xml:space="preserve">4.2005, në regjistrat e pasurive të paluajtshme janë regjistruar në pronësi të shtetasit </w:t>
      </w:r>
      <w:proofErr w:type="spellStart"/>
      <w:r w:rsidRPr="00D80C1B">
        <w:rPr>
          <w:rFonts w:ascii="Garamond" w:hAnsi="Garamond"/>
        </w:rPr>
        <w:t>Spirro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pasuritë nr. 212/23 dhe nr. 212/25, të llojit “arë”, me sipërfaqe 1.589 m² dhe 2.471 m². Ky shtetas, së bashku me bashkëshorten e tij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në datën 12.12.2006</w:t>
      </w:r>
      <w:r w:rsidR="00F73AA3">
        <w:rPr>
          <w:rFonts w:ascii="Garamond" w:hAnsi="Garamond"/>
        </w:rPr>
        <w:t>,</w:t>
      </w:r>
      <w:r w:rsidRPr="00D80C1B">
        <w:rPr>
          <w:rFonts w:ascii="Garamond" w:hAnsi="Garamond"/>
        </w:rPr>
        <w:t xml:space="preserve"> këto pasuri ua kanë shitur shtetasve A.</w:t>
      </w:r>
      <w:r w:rsidR="00800AB6">
        <w:rPr>
          <w:rFonts w:ascii="Garamond" w:hAnsi="Garamond"/>
        </w:rPr>
        <w:t xml:space="preserve"> </w:t>
      </w:r>
      <w:r w:rsidRPr="00D80C1B">
        <w:rPr>
          <w:rFonts w:ascii="Garamond" w:hAnsi="Garamond"/>
        </w:rPr>
        <w:t>T. dhe Dh.</w:t>
      </w:r>
      <w:r w:rsidR="00800AB6">
        <w:rPr>
          <w:rFonts w:ascii="Garamond" w:hAnsi="Garamond"/>
        </w:rPr>
        <w:t xml:space="preserve"> </w:t>
      </w:r>
      <w:r w:rsidRPr="00D80C1B">
        <w:rPr>
          <w:rFonts w:ascii="Garamond" w:hAnsi="Garamond"/>
        </w:rPr>
        <w:t xml:space="preserve">T. </w:t>
      </w:r>
    </w:p>
    <w:p w14:paraId="19AAA28D" w14:textId="43D7DD5B" w:rsidR="00E52F6F" w:rsidRPr="00D80C1B" w:rsidRDefault="00800AB6" w:rsidP="00E52F6F">
      <w:pPr>
        <w:pStyle w:val="ListParagraph"/>
        <w:tabs>
          <w:tab w:val="left" w:pos="1080"/>
        </w:tabs>
        <w:spacing w:line="240" w:lineRule="auto"/>
        <w:ind w:left="0" w:firstLine="284"/>
        <w:jc w:val="both"/>
        <w:rPr>
          <w:rFonts w:ascii="Garamond" w:hAnsi="Garamond"/>
        </w:rPr>
      </w:pPr>
      <w:r>
        <w:rPr>
          <w:rFonts w:ascii="Garamond" w:hAnsi="Garamond"/>
        </w:rPr>
        <w:t>8. Në datën 2.</w:t>
      </w:r>
      <w:r w:rsidR="00E52F6F" w:rsidRPr="00D80C1B">
        <w:rPr>
          <w:rFonts w:ascii="Garamond" w:hAnsi="Garamond"/>
        </w:rPr>
        <w:t>6.2008, mbi bazën e materialit kallëzues të Drejtorisë së Policisë të Qarkut Tiranë, Prokuroria pranë Gjykatës së Rrethit Gjyqësor Tiranë ka regjistruar procedimin penal për veprat penale “Shpërdorimi i detyrës” dhe “Falsifikimi i dokumenteve”, të parashikuara nga nenet</w:t>
      </w:r>
      <w:r w:rsidR="006974FD">
        <w:rPr>
          <w:rFonts w:ascii="Garamond" w:hAnsi="Garamond"/>
        </w:rPr>
        <w:t xml:space="preserve"> </w:t>
      </w:r>
      <w:r w:rsidR="00E52F6F" w:rsidRPr="00D80C1B">
        <w:rPr>
          <w:rFonts w:ascii="Garamond" w:hAnsi="Garamond"/>
        </w:rPr>
        <w:t>248 dhe 186 të Kodit Penal (</w:t>
      </w:r>
      <w:proofErr w:type="spellStart"/>
      <w:r w:rsidR="00E52F6F" w:rsidRPr="00D80C1B">
        <w:rPr>
          <w:rFonts w:ascii="Garamond" w:hAnsi="Garamond"/>
          <w:i/>
          <w:iCs/>
        </w:rPr>
        <w:t>KP</w:t>
      </w:r>
      <w:proofErr w:type="spellEnd"/>
      <w:r>
        <w:rPr>
          <w:rFonts w:ascii="Garamond" w:hAnsi="Garamond"/>
        </w:rPr>
        <w:t>), ndërsa në datën 18.</w:t>
      </w:r>
      <w:r w:rsidR="00E52F6F" w:rsidRPr="00D80C1B">
        <w:rPr>
          <w:rFonts w:ascii="Garamond" w:hAnsi="Garamond"/>
        </w:rPr>
        <w:t>6.2008, mbi</w:t>
      </w:r>
      <w:r w:rsidR="00BB3DC5">
        <w:rPr>
          <w:rFonts w:ascii="Garamond" w:hAnsi="Garamond"/>
        </w:rPr>
        <w:t xml:space="preserve"> bazën e kallëzimit të </w:t>
      </w:r>
      <w:proofErr w:type="spellStart"/>
      <w:r w:rsidR="00BB3DC5">
        <w:rPr>
          <w:rFonts w:ascii="Garamond" w:hAnsi="Garamond"/>
        </w:rPr>
        <w:t>ZVRPP</w:t>
      </w:r>
      <w:proofErr w:type="spellEnd"/>
      <w:r w:rsidR="00BB3DC5">
        <w:rPr>
          <w:rFonts w:ascii="Garamond" w:hAnsi="Garamond"/>
        </w:rPr>
        <w:t>-së</w:t>
      </w:r>
      <w:r w:rsidR="00E52F6F" w:rsidRPr="00D80C1B">
        <w:rPr>
          <w:rFonts w:ascii="Garamond" w:hAnsi="Garamond"/>
        </w:rPr>
        <w:t xml:space="preserve"> Tiranë, që është bërë pas ankesës së shtetasit Arti </w:t>
      </w:r>
      <w:proofErr w:type="spellStart"/>
      <w:r w:rsidR="00E52F6F" w:rsidRPr="00D80C1B">
        <w:rPr>
          <w:rFonts w:ascii="Garamond" w:hAnsi="Garamond"/>
        </w:rPr>
        <w:t>Elezaj</w:t>
      </w:r>
      <w:proofErr w:type="spellEnd"/>
      <w:r w:rsidR="00E52F6F" w:rsidRPr="00D80C1B">
        <w:rPr>
          <w:rFonts w:ascii="Garamond" w:hAnsi="Garamond"/>
        </w:rPr>
        <w:t xml:space="preserve">, ka regjistruar procedimin penal për veprën penale “Falsifikimi i dokumenteve”. Këto procedime penale janë bashkuar në një të vetëm. Pas hetimeve të zhvilluara, lidhur me shitjen për herë të dytë të pronës nga Besim dhe Meleqe </w:t>
      </w:r>
      <w:proofErr w:type="spellStart"/>
      <w:r w:rsidR="00E52F6F" w:rsidRPr="00D80C1B">
        <w:rPr>
          <w:rFonts w:ascii="Garamond" w:hAnsi="Garamond"/>
        </w:rPr>
        <w:t>Luzi</w:t>
      </w:r>
      <w:proofErr w:type="spellEnd"/>
      <w:r w:rsidR="00E52F6F" w:rsidRPr="00D80C1B">
        <w:rPr>
          <w:rFonts w:ascii="Garamond" w:hAnsi="Garamond"/>
        </w:rPr>
        <w:t xml:space="preserve">, është marrë i pandehur përfaqësuesi i tyre i posaçëm, shtetasi </w:t>
      </w:r>
      <w:proofErr w:type="spellStart"/>
      <w:r w:rsidR="00E52F6F" w:rsidRPr="00D80C1B">
        <w:rPr>
          <w:rFonts w:ascii="Garamond" w:hAnsi="Garamond"/>
        </w:rPr>
        <w:t>Etgent</w:t>
      </w:r>
      <w:proofErr w:type="spellEnd"/>
      <w:r w:rsidR="00E52F6F" w:rsidRPr="00D80C1B">
        <w:rPr>
          <w:rFonts w:ascii="Garamond" w:hAnsi="Garamond"/>
        </w:rPr>
        <w:t xml:space="preserve"> </w:t>
      </w:r>
      <w:proofErr w:type="spellStart"/>
      <w:r w:rsidR="00E52F6F" w:rsidRPr="00D80C1B">
        <w:rPr>
          <w:rFonts w:ascii="Garamond" w:hAnsi="Garamond"/>
        </w:rPr>
        <w:t>Luzi</w:t>
      </w:r>
      <w:proofErr w:type="spellEnd"/>
      <w:r w:rsidR="00E52F6F" w:rsidRPr="00D80C1B">
        <w:rPr>
          <w:rFonts w:ascii="Garamond" w:hAnsi="Garamond"/>
        </w:rPr>
        <w:t xml:space="preserve">, për veprën penale “Mashtrimi”, të parashikuar nga neni 143/1 i </w:t>
      </w:r>
      <w:proofErr w:type="spellStart"/>
      <w:r w:rsidR="00E52F6F" w:rsidRPr="00D80C1B">
        <w:rPr>
          <w:rFonts w:ascii="Garamond" w:hAnsi="Garamond"/>
        </w:rPr>
        <w:t>KP</w:t>
      </w:r>
      <w:proofErr w:type="spellEnd"/>
      <w:r w:rsidR="00E52F6F" w:rsidRPr="00D80C1B">
        <w:rPr>
          <w:rFonts w:ascii="Garamond" w:hAnsi="Garamond"/>
        </w:rPr>
        <w:t xml:space="preserve">-së. Në përfundim të gjykimit, me vendimin nr. </w:t>
      </w:r>
      <w:r>
        <w:rPr>
          <w:rFonts w:ascii="Garamond" w:hAnsi="Garamond"/>
        </w:rPr>
        <w:lastRenderedPageBreak/>
        <w:t>452, datë 24.</w:t>
      </w:r>
      <w:r w:rsidR="00E52F6F" w:rsidRPr="00D80C1B">
        <w:rPr>
          <w:rFonts w:ascii="Garamond" w:hAnsi="Garamond"/>
        </w:rPr>
        <w:t xml:space="preserve">3.2010, Gjykata e Rrethit Gjyqësor Tiranë e ka deklaruar fajtor atë dhe e ka dënuar me gjobë, vendim që ka marrë formë të prerë pa u </w:t>
      </w:r>
      <w:proofErr w:type="spellStart"/>
      <w:r w:rsidR="00E52F6F" w:rsidRPr="00D80C1B">
        <w:rPr>
          <w:rFonts w:ascii="Garamond" w:hAnsi="Garamond"/>
        </w:rPr>
        <w:t>ankimuar</w:t>
      </w:r>
      <w:proofErr w:type="spellEnd"/>
      <w:r w:rsidR="00E52F6F" w:rsidRPr="00D80C1B">
        <w:rPr>
          <w:rFonts w:ascii="Garamond" w:hAnsi="Garamond"/>
        </w:rPr>
        <w:t xml:space="preserve">. </w:t>
      </w:r>
    </w:p>
    <w:p w14:paraId="422AB43E" w14:textId="484FCE90"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 xml:space="preserve">9. Ndërkohë, për sa i përket veprës penale “Falsifikimi i dokumenteve”, me vendimin e datës 15.10.2009, Prokuroria pranë Gjykatës së Rrethit Gjyqësor Tiranë ka vendosur pezullimin e hetimeve për zbulimin e autorit, ndërsa mbi provat e grumbulluara gjatë hetimit është verifikuar ekzistenca e kësaj vepre penale, në rrethanat kur certifikatat e pronësisë të lëshuara për shtetasin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hartat treguese bashkëlidhur përmbajnë të dhëna të rreme, si në formë, ashtu edhe në përmbajtje. Konkretisht, është verifikuar se këto dokumente përmbajnë të dhëna për pasuritë e regjistruara, të cilat janë të falsifikuara, ndërsa këto faqe të regjistrit nuk janë faqet origjinale të tij, përveçse mungon dokumentacioni justifikues për këto regjistrime. Po kështu, nënshkrimi i personit zyrtar në këto dokumente është i falsifikuar</w:t>
      </w:r>
      <w:r w:rsidR="00BB3DC5">
        <w:rPr>
          <w:rFonts w:ascii="Garamond" w:hAnsi="Garamond"/>
        </w:rPr>
        <w:t xml:space="preserve">, sikundër edhe vula e </w:t>
      </w:r>
      <w:proofErr w:type="spellStart"/>
      <w:r w:rsidR="00BB3DC5">
        <w:rPr>
          <w:rFonts w:ascii="Garamond" w:hAnsi="Garamond"/>
        </w:rPr>
        <w:t>ZVRPP</w:t>
      </w:r>
      <w:proofErr w:type="spellEnd"/>
      <w:r w:rsidR="00BB3DC5">
        <w:rPr>
          <w:rFonts w:ascii="Garamond" w:hAnsi="Garamond"/>
        </w:rPr>
        <w:t>-së</w:t>
      </w:r>
      <w:r w:rsidRPr="00D80C1B">
        <w:rPr>
          <w:rFonts w:ascii="Garamond" w:hAnsi="Garamond"/>
        </w:rPr>
        <w:t xml:space="preserve"> Tiranë nuk është e njëjtë me vulën që ajo ka pasur në përdorim në atë periudhë. </w:t>
      </w:r>
    </w:p>
    <w:p w14:paraId="7B519120" w14:textId="74431962"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10. Në viji</w:t>
      </w:r>
      <w:r w:rsidR="00800AB6">
        <w:rPr>
          <w:rFonts w:ascii="Garamond" w:hAnsi="Garamond"/>
        </w:rPr>
        <w:t>m, me urdhrin nr. 382, datë 21.</w:t>
      </w:r>
      <w:r w:rsidRPr="00D80C1B">
        <w:rPr>
          <w:rFonts w:ascii="Garamond" w:hAnsi="Garamond"/>
        </w:rPr>
        <w:t>7.2010</w:t>
      </w:r>
      <w:r w:rsidR="00800AB6">
        <w:rPr>
          <w:rFonts w:ascii="Garamond" w:hAnsi="Garamond"/>
        </w:rPr>
        <w:t xml:space="preserve">, të </w:t>
      </w:r>
      <w:proofErr w:type="spellStart"/>
      <w:r w:rsidR="00800AB6">
        <w:rPr>
          <w:rFonts w:ascii="Garamond" w:hAnsi="Garamond"/>
        </w:rPr>
        <w:t>ZVRPP</w:t>
      </w:r>
      <w:proofErr w:type="spellEnd"/>
      <w:r w:rsidR="00800AB6">
        <w:rPr>
          <w:rFonts w:ascii="Garamond" w:hAnsi="Garamond"/>
        </w:rPr>
        <w:t>-së</w:t>
      </w:r>
      <w:r w:rsidRPr="00D80C1B">
        <w:rPr>
          <w:rFonts w:ascii="Garamond" w:hAnsi="Garamond"/>
        </w:rPr>
        <w:t xml:space="preserve"> Tiranë, për pasuritë nr. 212/23 dhe nr. 212/25, të regjistruara në volumin 8, faqet 170 dhe 172, është vendosur kufizim për kryerjen e veprimeve. Kundër këtij urdhri shtetasi Arti </w:t>
      </w:r>
      <w:proofErr w:type="spellStart"/>
      <w:r w:rsidRPr="00D80C1B">
        <w:rPr>
          <w:rFonts w:ascii="Garamond" w:hAnsi="Garamond"/>
        </w:rPr>
        <w:t>Elezaj</w:t>
      </w:r>
      <w:proofErr w:type="spellEnd"/>
      <w:r w:rsidRPr="00D80C1B">
        <w:rPr>
          <w:rFonts w:ascii="Garamond" w:hAnsi="Garamond"/>
        </w:rPr>
        <w:t xml:space="preserve"> ka paraqitur padi në gjykatë dhe Gjykata e Rrethit Gjyqësor Tiranë, me vendimin nr. 6124, da</w:t>
      </w:r>
      <w:r w:rsidR="00800AB6">
        <w:rPr>
          <w:rFonts w:ascii="Garamond" w:hAnsi="Garamond"/>
        </w:rPr>
        <w:t>të 21.</w:t>
      </w:r>
      <w:r w:rsidRPr="00D80C1B">
        <w:rPr>
          <w:rFonts w:ascii="Garamond" w:hAnsi="Garamond"/>
        </w:rPr>
        <w:t xml:space="preserve">7.2010, ka vendosur pranimin </w:t>
      </w:r>
      <w:r w:rsidR="00BB3DC5">
        <w:rPr>
          <w:rFonts w:ascii="Garamond" w:hAnsi="Garamond"/>
        </w:rPr>
        <w:t xml:space="preserve">e saj, duke e detyruar </w:t>
      </w:r>
      <w:proofErr w:type="spellStart"/>
      <w:r w:rsidR="00BB3DC5">
        <w:rPr>
          <w:rFonts w:ascii="Garamond" w:hAnsi="Garamond"/>
        </w:rPr>
        <w:t>ZVRPP</w:t>
      </w:r>
      <w:proofErr w:type="spellEnd"/>
      <w:r w:rsidR="00BB3DC5">
        <w:rPr>
          <w:rFonts w:ascii="Garamond" w:hAnsi="Garamond"/>
        </w:rPr>
        <w:t>-në</w:t>
      </w:r>
      <w:r w:rsidRPr="00D80C1B">
        <w:rPr>
          <w:rFonts w:ascii="Garamond" w:hAnsi="Garamond"/>
        </w:rPr>
        <w:t xml:space="preserve"> Tiranë të heqë kufizimin e veprimeve për pasuritë në fjalë dhe të pajisë paditësin (shtetasin Arti </w:t>
      </w:r>
      <w:proofErr w:type="spellStart"/>
      <w:r w:rsidRPr="00D80C1B">
        <w:rPr>
          <w:rFonts w:ascii="Garamond" w:hAnsi="Garamond"/>
        </w:rPr>
        <w:t>Elezaj</w:t>
      </w:r>
      <w:proofErr w:type="spellEnd"/>
      <w:r w:rsidRPr="00D80C1B">
        <w:rPr>
          <w:rFonts w:ascii="Garamond" w:hAnsi="Garamond"/>
        </w:rPr>
        <w:t>) me kopjen e kartelës së pasurisë. Ky vendim</w:t>
      </w:r>
      <w:r w:rsidRPr="00D80C1B">
        <w:rPr>
          <w:rFonts w:ascii="Garamond" w:hAnsi="Garamond"/>
          <w:i/>
          <w:iCs/>
        </w:rPr>
        <w:t xml:space="preserve"> </w:t>
      </w:r>
      <w:r w:rsidRPr="00D80C1B">
        <w:rPr>
          <w:rFonts w:ascii="Garamond" w:hAnsi="Garamond"/>
        </w:rPr>
        <w:t>është lënë në fuqi nga Gjykata e Apelit Tiran</w:t>
      </w:r>
      <w:r w:rsidR="00800AB6">
        <w:rPr>
          <w:rFonts w:ascii="Garamond" w:hAnsi="Garamond"/>
        </w:rPr>
        <w:t>ë me vendimin nr. 827, datë 15.</w:t>
      </w:r>
      <w:r w:rsidRPr="00D80C1B">
        <w:rPr>
          <w:rFonts w:ascii="Garamond" w:hAnsi="Garamond"/>
        </w:rPr>
        <w:t>4.2011, me arsyetimin se refe</w:t>
      </w:r>
      <w:r w:rsidR="00800AB6">
        <w:rPr>
          <w:rFonts w:ascii="Garamond" w:hAnsi="Garamond"/>
        </w:rPr>
        <w:t xml:space="preserve">ruar situatës faktike, </w:t>
      </w:r>
      <w:proofErr w:type="spellStart"/>
      <w:r w:rsidR="00800AB6">
        <w:rPr>
          <w:rFonts w:ascii="Garamond" w:hAnsi="Garamond"/>
        </w:rPr>
        <w:t>ZVRPP</w:t>
      </w:r>
      <w:proofErr w:type="spellEnd"/>
      <w:r w:rsidR="00800AB6">
        <w:rPr>
          <w:rFonts w:ascii="Garamond" w:hAnsi="Garamond"/>
        </w:rPr>
        <w:t>-ja</w:t>
      </w:r>
      <w:r w:rsidRPr="00D80C1B">
        <w:rPr>
          <w:rFonts w:ascii="Garamond" w:hAnsi="Garamond"/>
        </w:rPr>
        <w:t xml:space="preserve"> Tiranë</w:t>
      </w:r>
      <w:r w:rsidR="00800AB6">
        <w:rPr>
          <w:rFonts w:ascii="Garamond" w:hAnsi="Garamond"/>
        </w:rPr>
        <w:t>,</w:t>
      </w:r>
      <w:r w:rsidRPr="00D80C1B">
        <w:rPr>
          <w:rFonts w:ascii="Garamond" w:hAnsi="Garamond"/>
        </w:rPr>
        <w:t xml:space="preserve"> duhet të plotësojë kartelat e pasurive, sikurse ato kanë qenë përpara falsifikimit të tyre dhe, më tej, mund të procedojë me kufizimin e veprimeve për ato pasuri sipas ligjit. Gjykata e</w:t>
      </w:r>
      <w:r w:rsidR="00800AB6">
        <w:rPr>
          <w:rFonts w:ascii="Garamond" w:hAnsi="Garamond"/>
        </w:rPr>
        <w:t xml:space="preserve"> apelit ka theksuar se </w:t>
      </w:r>
      <w:proofErr w:type="spellStart"/>
      <w:r w:rsidR="00800AB6">
        <w:rPr>
          <w:rFonts w:ascii="Garamond" w:hAnsi="Garamond"/>
        </w:rPr>
        <w:t>ZVRPP</w:t>
      </w:r>
      <w:proofErr w:type="spellEnd"/>
      <w:r w:rsidR="00800AB6">
        <w:rPr>
          <w:rFonts w:ascii="Garamond" w:hAnsi="Garamond"/>
        </w:rPr>
        <w:t>-ja</w:t>
      </w:r>
      <w:r w:rsidRPr="00D80C1B">
        <w:rPr>
          <w:rFonts w:ascii="Garamond" w:hAnsi="Garamond"/>
        </w:rPr>
        <w:t xml:space="preserve"> Tiranë, duke mos përmbushur detyrat e saj funksionale për rreth 3 vjet, ka penguar të interesuarit të pretendojnë të drejta pronësie dhe t’i bëjnë ato objekt diskutimi në gjykatë, duke vërejtur gjithashtu se rasti në shqyrtim nuk kishte për objekt të drejtën e pronësisë për pasuritë në fjalë, por vetëm ligjs</w:t>
      </w:r>
      <w:r w:rsidR="00800AB6">
        <w:rPr>
          <w:rFonts w:ascii="Garamond" w:hAnsi="Garamond"/>
        </w:rPr>
        <w:t xml:space="preserve">hmërinë e veprimeve të </w:t>
      </w:r>
      <w:proofErr w:type="spellStart"/>
      <w:r w:rsidR="00800AB6">
        <w:rPr>
          <w:rFonts w:ascii="Garamond" w:hAnsi="Garamond"/>
        </w:rPr>
        <w:t>ZVRPP</w:t>
      </w:r>
      <w:proofErr w:type="spellEnd"/>
      <w:r w:rsidR="00800AB6">
        <w:rPr>
          <w:rFonts w:ascii="Garamond" w:hAnsi="Garamond"/>
        </w:rPr>
        <w:t>-së</w:t>
      </w:r>
      <w:r w:rsidRPr="00D80C1B">
        <w:rPr>
          <w:rFonts w:ascii="Garamond" w:hAnsi="Garamond"/>
        </w:rPr>
        <w:t xml:space="preserve"> Tiranë.</w:t>
      </w:r>
    </w:p>
    <w:p w14:paraId="03397A54" w14:textId="08974D2D"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11. Me</w:t>
      </w:r>
      <w:r w:rsidR="00800AB6">
        <w:rPr>
          <w:rFonts w:ascii="Garamond" w:hAnsi="Garamond"/>
        </w:rPr>
        <w:t xml:space="preserve"> deklaratat noteriale të datës 1.</w:t>
      </w:r>
      <w:r w:rsidRPr="00D80C1B">
        <w:rPr>
          <w:rFonts w:ascii="Garamond" w:hAnsi="Garamond"/>
        </w:rPr>
        <w:t>2.2011, shtetasit A.</w:t>
      </w:r>
      <w:r w:rsidR="00800AB6">
        <w:rPr>
          <w:rFonts w:ascii="Garamond" w:hAnsi="Garamond"/>
        </w:rPr>
        <w:t xml:space="preserve"> </w:t>
      </w:r>
      <w:r w:rsidRPr="00D80C1B">
        <w:rPr>
          <w:rFonts w:ascii="Garamond" w:hAnsi="Garamond"/>
        </w:rPr>
        <w:t>T. dhe Dh.</w:t>
      </w:r>
      <w:r w:rsidR="00800AB6">
        <w:rPr>
          <w:rFonts w:ascii="Garamond" w:hAnsi="Garamond"/>
        </w:rPr>
        <w:t xml:space="preserve"> </w:t>
      </w:r>
      <w:r w:rsidRPr="00D80C1B">
        <w:rPr>
          <w:rFonts w:ascii="Garamond" w:hAnsi="Garamond"/>
        </w:rPr>
        <w:t xml:space="preserve">T. kanë deklaruar revokimin e kontratave noteriale të shitblerjes të datës 12.12.2006, të lidhura me shtetasin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bashkëshorten e tij, mbi shkakun se pasuritë nuk ishin të regj</w:t>
      </w:r>
      <w:r w:rsidR="00BB3DC5">
        <w:rPr>
          <w:rFonts w:ascii="Garamond" w:hAnsi="Garamond"/>
        </w:rPr>
        <w:t xml:space="preserve">istruara në </w:t>
      </w:r>
      <w:proofErr w:type="spellStart"/>
      <w:r w:rsidR="00BB3DC5">
        <w:rPr>
          <w:rFonts w:ascii="Garamond" w:hAnsi="Garamond"/>
        </w:rPr>
        <w:t>ZVRPP</w:t>
      </w:r>
      <w:proofErr w:type="spellEnd"/>
      <w:r w:rsidR="00BB3DC5">
        <w:rPr>
          <w:rFonts w:ascii="Garamond" w:hAnsi="Garamond"/>
        </w:rPr>
        <w:t>-në</w:t>
      </w:r>
      <w:r w:rsidRPr="00D80C1B">
        <w:rPr>
          <w:rFonts w:ascii="Garamond" w:hAnsi="Garamond"/>
        </w:rPr>
        <w:t xml:space="preserve"> Tiranë, duke marrë ata në dorë çmimin e paguar, ndërsa shitësit pasuritë në fjalë. Ndërsa me marr</w:t>
      </w:r>
      <w:r w:rsidR="00800AB6">
        <w:rPr>
          <w:rFonts w:ascii="Garamond" w:hAnsi="Garamond"/>
        </w:rPr>
        <w:t>ëveshjen noteriale të datës 19.</w:t>
      </w:r>
      <w:r w:rsidRPr="00D80C1B">
        <w:rPr>
          <w:rFonts w:ascii="Garamond" w:hAnsi="Garamond"/>
        </w:rPr>
        <w:t xml:space="preserve">1.2012, trashëgimtarët e shtetasit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(kërkuesja dhe shtetasit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nga njëra anë, dhe shtetasit A.</w:t>
      </w:r>
      <w:r w:rsidR="00800AB6">
        <w:rPr>
          <w:rFonts w:ascii="Garamond" w:hAnsi="Garamond"/>
        </w:rPr>
        <w:t xml:space="preserve"> </w:t>
      </w:r>
      <w:r w:rsidRPr="00D80C1B">
        <w:rPr>
          <w:rFonts w:ascii="Garamond" w:hAnsi="Garamond"/>
        </w:rPr>
        <w:t>T. dhe Dh.</w:t>
      </w:r>
      <w:r w:rsidR="00800AB6">
        <w:rPr>
          <w:rFonts w:ascii="Garamond" w:hAnsi="Garamond"/>
        </w:rPr>
        <w:t xml:space="preserve"> </w:t>
      </w:r>
      <w:r w:rsidRPr="00D80C1B">
        <w:rPr>
          <w:rFonts w:ascii="Garamond" w:hAnsi="Garamond"/>
        </w:rPr>
        <w:t>T., nga ana tjetër, kanë rënë dakord për zgjidhjen e kontratave noteriale të shitblerjes të datës 12.12.2006 dhe rregullimin e pasojave sipas dek</w:t>
      </w:r>
      <w:r w:rsidR="00800AB6">
        <w:rPr>
          <w:rFonts w:ascii="Garamond" w:hAnsi="Garamond"/>
        </w:rPr>
        <w:t>laratave noteriale të datës 1.</w:t>
      </w:r>
      <w:r w:rsidRPr="00D80C1B">
        <w:rPr>
          <w:rFonts w:ascii="Garamond" w:hAnsi="Garamond"/>
        </w:rPr>
        <w:t xml:space="preserve">2.2011. </w:t>
      </w:r>
    </w:p>
    <w:p w14:paraId="4F16AC2D" w14:textId="3AB8060A" w:rsidR="00E52F6F" w:rsidRPr="00D80C1B" w:rsidRDefault="00800AB6" w:rsidP="00E52F6F">
      <w:pPr>
        <w:pStyle w:val="ListParagraph"/>
        <w:tabs>
          <w:tab w:val="left" w:pos="1080"/>
        </w:tabs>
        <w:spacing w:line="240" w:lineRule="auto"/>
        <w:ind w:left="0" w:firstLine="284"/>
        <w:jc w:val="both"/>
        <w:rPr>
          <w:rFonts w:ascii="Garamond" w:hAnsi="Garamond"/>
        </w:rPr>
      </w:pPr>
      <w:r>
        <w:rPr>
          <w:rFonts w:ascii="Garamond" w:hAnsi="Garamond"/>
        </w:rPr>
        <w:t>12. Në datën 5.</w:t>
      </w:r>
      <w:r w:rsidR="00E52F6F" w:rsidRPr="00D80C1B">
        <w:rPr>
          <w:rFonts w:ascii="Garamond" w:hAnsi="Garamond"/>
        </w:rPr>
        <w:t>9.2011</w:t>
      </w:r>
      <w:r>
        <w:rPr>
          <w:rFonts w:ascii="Garamond" w:hAnsi="Garamond"/>
        </w:rPr>
        <w:t>,</w:t>
      </w:r>
      <w:r w:rsidR="00E52F6F" w:rsidRPr="00D80C1B">
        <w:rPr>
          <w:rFonts w:ascii="Garamond" w:hAnsi="Garamond"/>
        </w:rPr>
        <w:t xml:space="preserve"> kërkuesja dhe trashëgimtarët e tjerë të shtetasit </w:t>
      </w:r>
      <w:proofErr w:type="spellStart"/>
      <w:r w:rsidR="00E52F6F" w:rsidRPr="00D80C1B">
        <w:rPr>
          <w:rFonts w:ascii="Garamond" w:hAnsi="Garamond"/>
        </w:rPr>
        <w:t>Spiro</w:t>
      </w:r>
      <w:proofErr w:type="spellEnd"/>
      <w:r w:rsidR="00E52F6F" w:rsidRPr="00D80C1B">
        <w:rPr>
          <w:rFonts w:ascii="Garamond" w:hAnsi="Garamond"/>
        </w:rPr>
        <w:t xml:space="preserve"> </w:t>
      </w:r>
      <w:proofErr w:type="spellStart"/>
      <w:r w:rsidR="00E52F6F" w:rsidRPr="00D80C1B">
        <w:rPr>
          <w:rFonts w:ascii="Garamond" w:hAnsi="Garamond"/>
        </w:rPr>
        <w:t>Zerri</w:t>
      </w:r>
      <w:proofErr w:type="spellEnd"/>
      <w:r w:rsidR="00E52F6F" w:rsidRPr="00D80C1B">
        <w:rPr>
          <w:rFonts w:ascii="Garamond" w:hAnsi="Garamond"/>
        </w:rPr>
        <w:t xml:space="preserve"> (</w:t>
      </w:r>
      <w:proofErr w:type="spellStart"/>
      <w:r w:rsidR="00E52F6F" w:rsidRPr="00D80C1B">
        <w:rPr>
          <w:rFonts w:ascii="Garamond" w:hAnsi="Garamond"/>
        </w:rPr>
        <w:t>Juljana</w:t>
      </w:r>
      <w:proofErr w:type="spellEnd"/>
      <w:r w:rsidR="00E52F6F" w:rsidRPr="00D80C1B">
        <w:rPr>
          <w:rFonts w:ascii="Garamond" w:hAnsi="Garamond"/>
        </w:rPr>
        <w:t xml:space="preserve"> </w:t>
      </w:r>
      <w:proofErr w:type="spellStart"/>
      <w:r w:rsidR="00E52F6F" w:rsidRPr="00D80C1B">
        <w:rPr>
          <w:rFonts w:ascii="Garamond" w:hAnsi="Garamond"/>
        </w:rPr>
        <w:t>Zerri</w:t>
      </w:r>
      <w:proofErr w:type="spellEnd"/>
      <w:r w:rsidR="00E52F6F" w:rsidRPr="00D80C1B">
        <w:rPr>
          <w:rFonts w:ascii="Garamond" w:hAnsi="Garamond"/>
        </w:rPr>
        <w:t xml:space="preserve"> dhe </w:t>
      </w:r>
      <w:proofErr w:type="spellStart"/>
      <w:r w:rsidR="00E52F6F" w:rsidRPr="00D80C1B">
        <w:rPr>
          <w:rFonts w:ascii="Garamond" w:hAnsi="Garamond"/>
        </w:rPr>
        <w:t>Leandro</w:t>
      </w:r>
      <w:proofErr w:type="spellEnd"/>
      <w:r w:rsidR="00E52F6F" w:rsidRPr="00D80C1B">
        <w:rPr>
          <w:rFonts w:ascii="Garamond" w:hAnsi="Garamond"/>
        </w:rPr>
        <w:t xml:space="preserve"> </w:t>
      </w:r>
      <w:proofErr w:type="spellStart"/>
      <w:r w:rsidR="00E52F6F" w:rsidRPr="00D80C1B">
        <w:rPr>
          <w:rFonts w:ascii="Garamond" w:hAnsi="Garamond"/>
        </w:rPr>
        <w:t>Zerri</w:t>
      </w:r>
      <w:proofErr w:type="spellEnd"/>
      <w:r w:rsidR="00E52F6F" w:rsidRPr="00D80C1B">
        <w:rPr>
          <w:rFonts w:ascii="Garamond" w:hAnsi="Garamond"/>
        </w:rPr>
        <w:t xml:space="preserve">) i janë drejtuar gjykatës me kërkesëpadi me objekt detyrimin e të paditurve t’i njohin pronarë mbi pronën objekt konflikti; konstatimin e pavlefshmërisë absolute të </w:t>
      </w:r>
      <w:proofErr w:type="spellStart"/>
      <w:r w:rsidR="00E52F6F" w:rsidRPr="00D80C1B">
        <w:rPr>
          <w:rFonts w:ascii="Garamond" w:hAnsi="Garamond"/>
        </w:rPr>
        <w:t>të</w:t>
      </w:r>
      <w:proofErr w:type="spellEnd"/>
      <w:r w:rsidR="00E52F6F" w:rsidRPr="00D80C1B">
        <w:rPr>
          <w:rFonts w:ascii="Garamond" w:hAnsi="Garamond"/>
        </w:rPr>
        <w:t xml:space="preserve"> dyja kontratave no</w:t>
      </w:r>
      <w:r>
        <w:rPr>
          <w:rFonts w:ascii="Garamond" w:hAnsi="Garamond"/>
        </w:rPr>
        <w:t>teriale të shitjes të datës 21.</w:t>
      </w:r>
      <w:r w:rsidR="00E52F6F" w:rsidRPr="00D80C1B">
        <w:rPr>
          <w:rFonts w:ascii="Garamond" w:hAnsi="Garamond"/>
        </w:rPr>
        <w:t>4.2005</w:t>
      </w:r>
      <w:r>
        <w:rPr>
          <w:rFonts w:ascii="Garamond" w:hAnsi="Garamond"/>
        </w:rPr>
        <w:t>,</w:t>
      </w:r>
      <w:r w:rsidR="00E52F6F" w:rsidRPr="00D80C1B">
        <w:rPr>
          <w:rFonts w:ascii="Garamond" w:hAnsi="Garamond"/>
        </w:rPr>
        <w:t xml:space="preserve"> me blerës Vero </w:t>
      </w:r>
      <w:proofErr w:type="spellStart"/>
      <w:r w:rsidR="00E52F6F" w:rsidRPr="00D80C1B">
        <w:rPr>
          <w:rFonts w:ascii="Garamond" w:hAnsi="Garamond"/>
        </w:rPr>
        <w:t>Ruçin</w:t>
      </w:r>
      <w:proofErr w:type="spellEnd"/>
      <w:r w:rsidR="00E52F6F" w:rsidRPr="00D80C1B">
        <w:rPr>
          <w:rFonts w:ascii="Garamond" w:hAnsi="Garamond"/>
        </w:rPr>
        <w:t xml:space="preserve">, të </w:t>
      </w:r>
      <w:proofErr w:type="spellStart"/>
      <w:r w:rsidR="00E52F6F" w:rsidRPr="00D80C1B">
        <w:rPr>
          <w:rFonts w:ascii="Garamond" w:hAnsi="Garamond"/>
        </w:rPr>
        <w:t>të</w:t>
      </w:r>
      <w:proofErr w:type="spellEnd"/>
      <w:r w:rsidR="00E52F6F" w:rsidRPr="00D80C1B">
        <w:rPr>
          <w:rFonts w:ascii="Garamond" w:hAnsi="Garamond"/>
        </w:rPr>
        <w:t xml:space="preserve"> dyja kontratave no</w:t>
      </w:r>
      <w:r>
        <w:rPr>
          <w:rFonts w:ascii="Garamond" w:hAnsi="Garamond"/>
        </w:rPr>
        <w:t>teriale të shitjes të datës 29.</w:t>
      </w:r>
      <w:r w:rsidR="00E52F6F" w:rsidRPr="00D80C1B">
        <w:rPr>
          <w:rFonts w:ascii="Garamond" w:hAnsi="Garamond"/>
        </w:rPr>
        <w:t>8.2005</w:t>
      </w:r>
      <w:r>
        <w:rPr>
          <w:rFonts w:ascii="Garamond" w:hAnsi="Garamond"/>
        </w:rPr>
        <w:t>,</w:t>
      </w:r>
      <w:r w:rsidR="00E52F6F" w:rsidRPr="00D80C1B">
        <w:rPr>
          <w:rFonts w:ascii="Garamond" w:hAnsi="Garamond"/>
        </w:rPr>
        <w:t xml:space="preserve"> me blerës Altin </w:t>
      </w:r>
      <w:proofErr w:type="spellStart"/>
      <w:r w:rsidR="00E52F6F" w:rsidRPr="00D80C1B">
        <w:rPr>
          <w:rFonts w:ascii="Garamond" w:hAnsi="Garamond"/>
        </w:rPr>
        <w:t>Demirxhiun</w:t>
      </w:r>
      <w:proofErr w:type="spellEnd"/>
      <w:r w:rsidR="00E52F6F" w:rsidRPr="00D80C1B">
        <w:rPr>
          <w:rFonts w:ascii="Garamond" w:hAnsi="Garamond"/>
        </w:rPr>
        <w:t xml:space="preserve"> dhe të </w:t>
      </w:r>
      <w:proofErr w:type="spellStart"/>
      <w:r w:rsidR="00E52F6F" w:rsidRPr="00D80C1B">
        <w:rPr>
          <w:rFonts w:ascii="Garamond" w:hAnsi="Garamond"/>
        </w:rPr>
        <w:t>të</w:t>
      </w:r>
      <w:proofErr w:type="spellEnd"/>
      <w:r w:rsidR="00E52F6F" w:rsidRPr="00D80C1B">
        <w:rPr>
          <w:rFonts w:ascii="Garamond" w:hAnsi="Garamond"/>
        </w:rPr>
        <w:t xml:space="preserve"> dyja kontratave</w:t>
      </w:r>
      <w:r>
        <w:rPr>
          <w:rFonts w:ascii="Garamond" w:hAnsi="Garamond"/>
        </w:rPr>
        <w:t xml:space="preserve"> noteriale të shitjes të datës </w:t>
      </w:r>
      <w:r w:rsidR="00E52F6F" w:rsidRPr="00D80C1B">
        <w:rPr>
          <w:rFonts w:ascii="Garamond" w:hAnsi="Garamond"/>
        </w:rPr>
        <w:t>9.11.2005</w:t>
      </w:r>
      <w:r>
        <w:rPr>
          <w:rFonts w:ascii="Garamond" w:hAnsi="Garamond"/>
        </w:rPr>
        <w:t>,</w:t>
      </w:r>
      <w:r w:rsidR="00E52F6F" w:rsidRPr="00D80C1B">
        <w:rPr>
          <w:rFonts w:ascii="Garamond" w:hAnsi="Garamond"/>
        </w:rPr>
        <w:t xml:space="preserve"> me blerës Arti </w:t>
      </w:r>
      <w:proofErr w:type="spellStart"/>
      <w:r w:rsidR="00E52F6F" w:rsidRPr="00D80C1B">
        <w:rPr>
          <w:rFonts w:ascii="Garamond" w:hAnsi="Garamond"/>
        </w:rPr>
        <w:t>Elezajn</w:t>
      </w:r>
      <w:proofErr w:type="spellEnd"/>
      <w:r w:rsidR="00E52F6F" w:rsidRPr="00D80C1B">
        <w:rPr>
          <w:rFonts w:ascii="Garamond" w:hAnsi="Garamond"/>
        </w:rPr>
        <w:t>; lirimin dhe dorëzimin</w:t>
      </w:r>
      <w:r w:rsidR="00BB3DC5">
        <w:rPr>
          <w:rFonts w:ascii="Garamond" w:hAnsi="Garamond"/>
        </w:rPr>
        <w:t xml:space="preserve"> e sendit; detyrimin e </w:t>
      </w:r>
      <w:proofErr w:type="spellStart"/>
      <w:r w:rsidR="00BB3DC5">
        <w:rPr>
          <w:rFonts w:ascii="Garamond" w:hAnsi="Garamond"/>
        </w:rPr>
        <w:t>ZVRPP</w:t>
      </w:r>
      <w:proofErr w:type="spellEnd"/>
      <w:r w:rsidR="00BB3DC5">
        <w:rPr>
          <w:rFonts w:ascii="Garamond" w:hAnsi="Garamond"/>
        </w:rPr>
        <w:t>-së</w:t>
      </w:r>
      <w:r w:rsidR="00E52F6F" w:rsidRPr="00D80C1B">
        <w:rPr>
          <w:rFonts w:ascii="Garamond" w:hAnsi="Garamond"/>
        </w:rPr>
        <w:t xml:space="preserve"> Tiranë</w:t>
      </w:r>
      <w:r>
        <w:rPr>
          <w:rFonts w:ascii="Garamond" w:hAnsi="Garamond"/>
        </w:rPr>
        <w:t>,</w:t>
      </w:r>
      <w:r w:rsidR="00E52F6F" w:rsidRPr="00D80C1B">
        <w:rPr>
          <w:rFonts w:ascii="Garamond" w:hAnsi="Garamond"/>
        </w:rPr>
        <w:t xml:space="preserve"> të regjistrojë sendin në emër të paditësve, me cilësimin tokë “truall”; shpërblimin e dëmit të ardhur si pasojë e zhveshjes nga posedimi.</w:t>
      </w:r>
    </w:p>
    <w:p w14:paraId="33D81504" w14:textId="0036ECFD"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13.</w:t>
      </w:r>
      <w:r w:rsidR="00800AB6">
        <w:rPr>
          <w:rFonts w:ascii="Garamond" w:hAnsi="Garamond"/>
        </w:rPr>
        <w:t xml:space="preserve"> Me vendimin nr. 5211, datë 13.</w:t>
      </w:r>
      <w:r w:rsidRPr="00D80C1B">
        <w:rPr>
          <w:rFonts w:ascii="Garamond" w:hAnsi="Garamond"/>
        </w:rPr>
        <w:t>5.2013, Gjykata e Rrethit Gjyqësor Tiranë ka vendosur pranimin pjesërisht të kërkesëpadisë, duke konstatuar pavlefshmërinë absolute të kontratave të sh</w:t>
      </w:r>
      <w:r w:rsidR="00800AB6">
        <w:rPr>
          <w:rFonts w:ascii="Garamond" w:hAnsi="Garamond"/>
        </w:rPr>
        <w:t xml:space="preserve">itjes të datave 21.4.2005, 29.8.2005 dhe </w:t>
      </w:r>
      <w:r w:rsidRPr="00D80C1B">
        <w:rPr>
          <w:rFonts w:ascii="Garamond" w:hAnsi="Garamond"/>
        </w:rPr>
        <w:t>9.11.2005, dhe urdhëruar fsh</w:t>
      </w:r>
      <w:r w:rsidR="00800AB6">
        <w:rPr>
          <w:rFonts w:ascii="Garamond" w:hAnsi="Garamond"/>
        </w:rPr>
        <w:t xml:space="preserve">irjen nga regjistri i </w:t>
      </w:r>
      <w:proofErr w:type="spellStart"/>
      <w:r w:rsidR="00800AB6">
        <w:rPr>
          <w:rFonts w:ascii="Garamond" w:hAnsi="Garamond"/>
        </w:rPr>
        <w:t>ZVRPP</w:t>
      </w:r>
      <w:proofErr w:type="spellEnd"/>
      <w:r w:rsidR="00800AB6">
        <w:rPr>
          <w:rFonts w:ascii="Garamond" w:hAnsi="Garamond"/>
        </w:rPr>
        <w:t xml:space="preserve">-së </w:t>
      </w:r>
      <w:r w:rsidRPr="00D80C1B">
        <w:rPr>
          <w:rFonts w:ascii="Garamond" w:hAnsi="Garamond"/>
        </w:rPr>
        <w:t xml:space="preserve">Tiranë të regjistrimit të pronësisë në emër të Arti </w:t>
      </w:r>
      <w:proofErr w:type="spellStart"/>
      <w:r w:rsidRPr="00D80C1B">
        <w:rPr>
          <w:rFonts w:ascii="Garamond" w:hAnsi="Garamond"/>
        </w:rPr>
        <w:t>Elezaj</w:t>
      </w:r>
      <w:proofErr w:type="spellEnd"/>
      <w:r w:rsidRPr="00D80C1B">
        <w:rPr>
          <w:rFonts w:ascii="Garamond" w:hAnsi="Garamond"/>
        </w:rPr>
        <w:t>, të kryer në bazë të këtyre kontratave, si dh</w:t>
      </w:r>
      <w:r w:rsidR="00800AB6">
        <w:rPr>
          <w:rFonts w:ascii="Garamond" w:hAnsi="Garamond"/>
        </w:rPr>
        <w:t xml:space="preserve">e detyrimin e </w:t>
      </w:r>
      <w:proofErr w:type="spellStart"/>
      <w:r w:rsidR="00800AB6">
        <w:rPr>
          <w:rFonts w:ascii="Garamond" w:hAnsi="Garamond"/>
        </w:rPr>
        <w:t>ZVRPP</w:t>
      </w:r>
      <w:proofErr w:type="spellEnd"/>
      <w:r w:rsidR="00800AB6">
        <w:rPr>
          <w:rFonts w:ascii="Garamond" w:hAnsi="Garamond"/>
        </w:rPr>
        <w:t>-së</w:t>
      </w:r>
      <w:r w:rsidRPr="00D80C1B">
        <w:rPr>
          <w:rFonts w:ascii="Garamond" w:hAnsi="Garamond"/>
        </w:rPr>
        <w:t xml:space="preserve"> Tiranë të regjistrojë në emër të paditësve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w:t>
      </w:r>
      <w:proofErr w:type="spellStart"/>
      <w:r w:rsidRPr="00D80C1B">
        <w:rPr>
          <w:rFonts w:ascii="Garamond" w:hAnsi="Garamond"/>
        </w:rPr>
        <w:t>Juljana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sipërfaqen 4.000 m² truall në fshatin Katund i Ri, Tiranë. Po ashtu, ajo ka disponuar për ligjërimin e masës së sigurimit të padisë në lidhje me vendosjen e </w:t>
      </w:r>
      <w:proofErr w:type="spellStart"/>
      <w:r w:rsidRPr="00D80C1B">
        <w:rPr>
          <w:rFonts w:ascii="Garamond" w:hAnsi="Garamond"/>
        </w:rPr>
        <w:t>sekuest</w:t>
      </w:r>
      <w:r w:rsidR="00BB3DC5">
        <w:rPr>
          <w:rFonts w:ascii="Garamond" w:hAnsi="Garamond"/>
        </w:rPr>
        <w:t>ros</w:t>
      </w:r>
      <w:proofErr w:type="spellEnd"/>
      <w:r w:rsidR="00BB3DC5">
        <w:rPr>
          <w:rFonts w:ascii="Garamond" w:hAnsi="Garamond"/>
        </w:rPr>
        <w:t xml:space="preserve"> </w:t>
      </w:r>
      <w:proofErr w:type="spellStart"/>
      <w:r w:rsidR="00BB3DC5">
        <w:rPr>
          <w:rFonts w:ascii="Garamond" w:hAnsi="Garamond"/>
        </w:rPr>
        <w:t>konservative</w:t>
      </w:r>
      <w:proofErr w:type="spellEnd"/>
      <w:r w:rsidR="00BB3DC5">
        <w:rPr>
          <w:rFonts w:ascii="Garamond" w:hAnsi="Garamond"/>
        </w:rPr>
        <w:t xml:space="preserve"> pranë </w:t>
      </w:r>
      <w:proofErr w:type="spellStart"/>
      <w:r w:rsidR="00BB3DC5">
        <w:rPr>
          <w:rFonts w:ascii="Garamond" w:hAnsi="Garamond"/>
        </w:rPr>
        <w:t>ZVRPP</w:t>
      </w:r>
      <w:proofErr w:type="spellEnd"/>
      <w:r w:rsidR="00BB3DC5">
        <w:rPr>
          <w:rFonts w:ascii="Garamond" w:hAnsi="Garamond"/>
        </w:rPr>
        <w:t>-së</w:t>
      </w:r>
      <w:r w:rsidRPr="00D80C1B">
        <w:rPr>
          <w:rFonts w:ascii="Garamond" w:hAnsi="Garamond"/>
        </w:rPr>
        <w:t xml:space="preserve"> Tiranë për pasurinë e lartpërmendur dhe bllokimin e regjistrimit, të transaksioneve ose të çdo veprimi tjetër të mëtejshëm për këto pasuri deri në përfundim të gjykimit të padisë së themelit. Nga ana tjetër, ajo ka rrëzuar kërkimin e padisë për shpërblimin e dëmit si pasojë e zhveshjes nga posedimi i sendit. Kundër këtij vendimi, për pjesën e pranuar të padisë, kanë paraqitur ankim të paditurit, konkretisht Arti </w:t>
      </w:r>
      <w:proofErr w:type="spellStart"/>
      <w:r w:rsidRPr="00D80C1B">
        <w:rPr>
          <w:rFonts w:ascii="Garamond" w:hAnsi="Garamond"/>
        </w:rPr>
        <w:t>Elezaj</w:t>
      </w:r>
      <w:proofErr w:type="spellEnd"/>
      <w:r w:rsidRPr="00D80C1B">
        <w:rPr>
          <w:rFonts w:ascii="Garamond" w:hAnsi="Garamond"/>
        </w:rPr>
        <w:t xml:space="preserve"> dhe </w:t>
      </w:r>
      <w:proofErr w:type="spellStart"/>
      <w:r w:rsidRPr="00D80C1B">
        <w:rPr>
          <w:rFonts w:ascii="Garamond" w:hAnsi="Garamond"/>
        </w:rPr>
        <w:t>Vahid</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xml:space="preserve">, duke vepruar edhe në </w:t>
      </w:r>
      <w:r w:rsidRPr="00D80C1B">
        <w:rPr>
          <w:rFonts w:ascii="Garamond" w:hAnsi="Garamond"/>
        </w:rPr>
        <w:lastRenderedPageBreak/>
        <w:t xml:space="preserve">cilësinë e përfaqësuesve të Meleqe </w:t>
      </w:r>
      <w:proofErr w:type="spellStart"/>
      <w:r w:rsidRPr="00D80C1B">
        <w:rPr>
          <w:rFonts w:ascii="Garamond" w:hAnsi="Garamond"/>
        </w:rPr>
        <w:t>Luzit</w:t>
      </w:r>
      <w:proofErr w:type="spellEnd"/>
      <w:r w:rsidRPr="00D80C1B">
        <w:rPr>
          <w:rFonts w:ascii="Garamond" w:hAnsi="Garamond"/>
        </w:rPr>
        <w:t xml:space="preserv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Luzit</w:t>
      </w:r>
      <w:proofErr w:type="spellEnd"/>
      <w:r w:rsidRPr="00D80C1B">
        <w:rPr>
          <w:rFonts w:ascii="Garamond" w:hAnsi="Garamond"/>
        </w:rPr>
        <w:t xml:space="preserve">, </w:t>
      </w:r>
      <w:proofErr w:type="spellStart"/>
      <w:r w:rsidRPr="00D80C1B">
        <w:rPr>
          <w:rFonts w:ascii="Garamond" w:hAnsi="Garamond"/>
        </w:rPr>
        <w:t>Lutfije</w:t>
      </w:r>
      <w:proofErr w:type="spellEnd"/>
      <w:r w:rsidRPr="00D80C1B">
        <w:rPr>
          <w:rFonts w:ascii="Garamond" w:hAnsi="Garamond"/>
        </w:rPr>
        <w:t xml:space="preserve"> </w:t>
      </w:r>
      <w:proofErr w:type="spellStart"/>
      <w:r w:rsidRPr="00D80C1B">
        <w:rPr>
          <w:rFonts w:ascii="Garamond" w:hAnsi="Garamond"/>
        </w:rPr>
        <w:t>Luzit</w:t>
      </w:r>
      <w:proofErr w:type="spellEnd"/>
      <w:r w:rsidRPr="00D80C1B">
        <w:rPr>
          <w:rFonts w:ascii="Garamond" w:hAnsi="Garamond"/>
        </w:rPr>
        <w:t xml:space="preserve">, Era </w:t>
      </w:r>
      <w:proofErr w:type="spellStart"/>
      <w:r w:rsidRPr="00D80C1B">
        <w:rPr>
          <w:rFonts w:ascii="Garamond" w:hAnsi="Garamond"/>
        </w:rPr>
        <w:t>Luzit</w:t>
      </w:r>
      <w:proofErr w:type="spellEnd"/>
      <w:r w:rsidRPr="00D80C1B">
        <w:rPr>
          <w:rFonts w:ascii="Garamond" w:hAnsi="Garamond"/>
        </w:rPr>
        <w:t xml:space="preserve"> dhe </w:t>
      </w:r>
      <w:proofErr w:type="spellStart"/>
      <w:r w:rsidRPr="00D80C1B">
        <w:rPr>
          <w:rFonts w:ascii="Garamond" w:hAnsi="Garamond"/>
        </w:rPr>
        <w:t>Etgent</w:t>
      </w:r>
      <w:proofErr w:type="spellEnd"/>
      <w:r w:rsidRPr="00D80C1B">
        <w:rPr>
          <w:rFonts w:ascii="Garamond" w:hAnsi="Garamond"/>
        </w:rPr>
        <w:t xml:space="preserve"> </w:t>
      </w:r>
      <w:proofErr w:type="spellStart"/>
      <w:r w:rsidRPr="00D80C1B">
        <w:rPr>
          <w:rFonts w:ascii="Garamond" w:hAnsi="Garamond"/>
        </w:rPr>
        <w:t>Luzit</w:t>
      </w:r>
      <w:proofErr w:type="spellEnd"/>
      <w:r w:rsidRPr="00D80C1B">
        <w:rPr>
          <w:rFonts w:ascii="Garamond" w:hAnsi="Garamond"/>
        </w:rPr>
        <w:t xml:space="preserve">, ndërsa për pjesën e rrëzuar të padisë kanë paraqitur ankim paditësit, kërkuesja dhe shtetasit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w:t>
      </w:r>
    </w:p>
    <w:p w14:paraId="03AAFCB2" w14:textId="66CDA662"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 xml:space="preserve">14. Gjykata e Apelit Tiranë, </w:t>
      </w:r>
      <w:r w:rsidR="00800AB6">
        <w:rPr>
          <w:rFonts w:ascii="Garamond" w:hAnsi="Garamond"/>
        </w:rPr>
        <w:t>me vendimin nr. 2738, datë 19.</w:t>
      </w:r>
      <w:r w:rsidRPr="00D80C1B">
        <w:rPr>
          <w:rFonts w:ascii="Garamond" w:hAnsi="Garamond"/>
        </w:rPr>
        <w:t>6.2014, ka vendosur ndryshimi</w:t>
      </w:r>
      <w:r w:rsidR="00800AB6">
        <w:rPr>
          <w:rFonts w:ascii="Garamond" w:hAnsi="Garamond"/>
        </w:rPr>
        <w:t>n e vendimit nr. 5211, datë 13.</w:t>
      </w:r>
      <w:r w:rsidRPr="00D80C1B">
        <w:rPr>
          <w:rFonts w:ascii="Garamond" w:hAnsi="Garamond"/>
        </w:rPr>
        <w:t>5.2013</w:t>
      </w:r>
      <w:r w:rsidR="00800AB6">
        <w:rPr>
          <w:rFonts w:ascii="Garamond" w:hAnsi="Garamond"/>
        </w:rPr>
        <w:t>,</w:t>
      </w:r>
      <w:r w:rsidRPr="00D80C1B">
        <w:rPr>
          <w:rFonts w:ascii="Garamond" w:hAnsi="Garamond"/>
        </w:rPr>
        <w:t xml:space="preserve"> të Gjykatës së Rrethit Gjyqësor Tiranë dhe rrëzimin e kërkesëpadisë</w:t>
      </w:r>
      <w:r w:rsidRPr="00D80C1B">
        <w:rPr>
          <w:rFonts w:ascii="Garamond" w:hAnsi="Garamond"/>
          <w:i/>
          <w:iCs/>
        </w:rPr>
        <w:t>.</w:t>
      </w:r>
      <w:r w:rsidR="006974FD">
        <w:rPr>
          <w:rFonts w:ascii="Garamond" w:hAnsi="Garamond"/>
          <w:i/>
          <w:iCs/>
        </w:rPr>
        <w:t xml:space="preserve"> </w:t>
      </w:r>
      <w:r w:rsidRPr="00D80C1B">
        <w:rPr>
          <w:rFonts w:ascii="Garamond" w:hAnsi="Garamond"/>
        </w:rPr>
        <w:t xml:space="preserve">Kundër këtij vendimi kanë ushtruar rekurs paditësit, kërkuesja dhe shtetasit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w:t>
      </w:r>
    </w:p>
    <w:p w14:paraId="51ACDBA8" w14:textId="7BBBBED6"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15. Ndërkohë, i padituri në proces, sht</w:t>
      </w:r>
      <w:r w:rsidR="00800AB6">
        <w:rPr>
          <w:rFonts w:ascii="Garamond" w:hAnsi="Garamond"/>
        </w:rPr>
        <w:t xml:space="preserve">etasi Arti </w:t>
      </w:r>
      <w:proofErr w:type="spellStart"/>
      <w:r w:rsidR="00800AB6">
        <w:rPr>
          <w:rFonts w:ascii="Garamond" w:hAnsi="Garamond"/>
        </w:rPr>
        <w:t>Elezaj</w:t>
      </w:r>
      <w:proofErr w:type="spellEnd"/>
      <w:r w:rsidR="00800AB6">
        <w:rPr>
          <w:rFonts w:ascii="Garamond" w:hAnsi="Garamond"/>
        </w:rPr>
        <w:t>, në datën 28.</w:t>
      </w:r>
      <w:r w:rsidRPr="00D80C1B">
        <w:rPr>
          <w:rFonts w:ascii="Garamond" w:hAnsi="Garamond"/>
        </w:rPr>
        <w:t xml:space="preserve">6.2015 është pajisur nga </w:t>
      </w:r>
      <w:proofErr w:type="spellStart"/>
      <w:r w:rsidRPr="00D80C1B">
        <w:rPr>
          <w:rFonts w:ascii="Garamond" w:hAnsi="Garamond"/>
        </w:rPr>
        <w:t>KRRT</w:t>
      </w:r>
      <w:proofErr w:type="spellEnd"/>
      <w:r w:rsidRPr="00D80C1B">
        <w:rPr>
          <w:rFonts w:ascii="Garamond" w:hAnsi="Garamond"/>
        </w:rPr>
        <w:t xml:space="preserve">-ja e ish-komunës </w:t>
      </w:r>
      <w:proofErr w:type="spellStart"/>
      <w:r w:rsidRPr="00D80C1B">
        <w:rPr>
          <w:rFonts w:ascii="Garamond" w:hAnsi="Garamond"/>
        </w:rPr>
        <w:t>Kashar</w:t>
      </w:r>
      <w:proofErr w:type="spellEnd"/>
      <w:r w:rsidRPr="00D80C1B">
        <w:rPr>
          <w:rFonts w:ascii="Garamond" w:hAnsi="Garamond"/>
        </w:rPr>
        <w:t xml:space="preserve"> me leje ndërtimi për një objekt me sipërfaqe 1.358 </w:t>
      </w:r>
      <w:r w:rsidR="00800AB6" w:rsidRPr="00D80C1B">
        <w:rPr>
          <w:rFonts w:ascii="Garamond" w:hAnsi="Garamond"/>
        </w:rPr>
        <w:t>m²</w:t>
      </w:r>
      <w:r w:rsidRPr="00D80C1B">
        <w:rPr>
          <w:rFonts w:ascii="Garamond" w:hAnsi="Garamond"/>
        </w:rPr>
        <w:t>, të cilin, pas ndërtimit të tij me konstruksion të rëndë, e ka regjistruar në regjistrat e pasurive të paluajtshme.</w:t>
      </w:r>
    </w:p>
    <w:p w14:paraId="6F738F33" w14:textId="0EAC44B5"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 xml:space="preserve">16. Në vijim, për rekursin e kërkueses dhe shtetasve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Kolegji Civil i Gjykatës së Lartë, me vendimi</w:t>
      </w:r>
      <w:r w:rsidR="00BB3DC5">
        <w:rPr>
          <w:rFonts w:ascii="Garamond" w:hAnsi="Garamond"/>
        </w:rPr>
        <w:t xml:space="preserve">n nr. 00-2022-2857 (455), datë </w:t>
      </w:r>
      <w:r w:rsidRPr="00D80C1B">
        <w:rPr>
          <w:rFonts w:ascii="Garamond" w:hAnsi="Garamond"/>
        </w:rPr>
        <w:t>9.11.2022, ka vendosur prishjen e</w:t>
      </w:r>
      <w:r w:rsidR="00BB3DC5">
        <w:rPr>
          <w:rFonts w:ascii="Garamond" w:hAnsi="Garamond"/>
        </w:rPr>
        <w:t xml:space="preserve"> vendimit nr. 2738, datë 19.</w:t>
      </w:r>
      <w:r w:rsidRPr="00D80C1B">
        <w:rPr>
          <w:rFonts w:ascii="Garamond" w:hAnsi="Garamond"/>
        </w:rPr>
        <w:t>6.2014</w:t>
      </w:r>
      <w:r w:rsidR="00BB3DC5">
        <w:rPr>
          <w:rFonts w:ascii="Garamond" w:hAnsi="Garamond"/>
        </w:rPr>
        <w:t>,</w:t>
      </w:r>
      <w:r w:rsidRPr="00D80C1B">
        <w:rPr>
          <w:rFonts w:ascii="Garamond" w:hAnsi="Garamond"/>
        </w:rPr>
        <w:t xml:space="preserve"> të Gjykatës së Apelit Tiranë dhe lënien në fuqi</w:t>
      </w:r>
      <w:r w:rsidR="00BB3DC5">
        <w:rPr>
          <w:rFonts w:ascii="Garamond" w:hAnsi="Garamond"/>
        </w:rPr>
        <w:t xml:space="preserve"> të vendimit nr. 5211, datë 13.</w:t>
      </w:r>
      <w:r w:rsidRPr="00D80C1B">
        <w:rPr>
          <w:rFonts w:ascii="Garamond" w:hAnsi="Garamond"/>
        </w:rPr>
        <w:t>5.2013</w:t>
      </w:r>
      <w:r w:rsidR="00BB3DC5">
        <w:rPr>
          <w:rFonts w:ascii="Garamond" w:hAnsi="Garamond"/>
        </w:rPr>
        <w:t>,</w:t>
      </w:r>
      <w:r w:rsidRPr="00D80C1B">
        <w:rPr>
          <w:rFonts w:ascii="Garamond" w:hAnsi="Garamond"/>
        </w:rPr>
        <w:t xml:space="preserve"> të Gjykatës së Rrethit Gjyqësor Tiranë, me argumentin se gjykata e apelit nuk ka vlerësuar drejt shkakun e konfliktit midis palëve </w:t>
      </w:r>
      <w:proofErr w:type="spellStart"/>
      <w:r w:rsidRPr="00D80C1B">
        <w:rPr>
          <w:rFonts w:ascii="Garamond" w:hAnsi="Garamond"/>
        </w:rPr>
        <w:t>ndërgjyqëse</w:t>
      </w:r>
      <w:proofErr w:type="spellEnd"/>
      <w:r w:rsidRPr="00D80C1B">
        <w:rPr>
          <w:rFonts w:ascii="Garamond" w:hAnsi="Garamond"/>
        </w:rPr>
        <w:t xml:space="preserve">, si rrjedhojë e interpretimit të gabuar të ligjit material, zbatimit të gabuar të </w:t>
      </w:r>
      <w:r w:rsidR="00BB3DC5">
        <w:rPr>
          <w:rFonts w:ascii="Garamond" w:hAnsi="Garamond"/>
        </w:rPr>
        <w:t xml:space="preserve">vendimit </w:t>
      </w:r>
      <w:proofErr w:type="spellStart"/>
      <w:r w:rsidR="00BB3DC5">
        <w:rPr>
          <w:rFonts w:ascii="Garamond" w:hAnsi="Garamond"/>
        </w:rPr>
        <w:t>unifikues</w:t>
      </w:r>
      <w:proofErr w:type="spellEnd"/>
      <w:r w:rsidR="00BB3DC5">
        <w:rPr>
          <w:rFonts w:ascii="Garamond" w:hAnsi="Garamond"/>
        </w:rPr>
        <w:t xml:space="preserve"> nr. 1, datë 6.</w:t>
      </w:r>
      <w:r w:rsidRPr="00D80C1B">
        <w:rPr>
          <w:rFonts w:ascii="Garamond" w:hAnsi="Garamond"/>
        </w:rPr>
        <w:t>1.2009</w:t>
      </w:r>
      <w:r w:rsidR="00BB3DC5">
        <w:rPr>
          <w:rFonts w:ascii="Garamond" w:hAnsi="Garamond"/>
        </w:rPr>
        <w:t>,</w:t>
      </w:r>
      <w:r w:rsidRPr="00D80C1B">
        <w:rPr>
          <w:rFonts w:ascii="Garamond" w:hAnsi="Garamond"/>
        </w:rPr>
        <w:t xml:space="preserve"> të Kolegjeve të Bashkuara të Gjykatës së Lartë (</w:t>
      </w:r>
      <w:r w:rsidRPr="00D80C1B">
        <w:rPr>
          <w:rFonts w:ascii="Garamond" w:hAnsi="Garamond"/>
          <w:i/>
          <w:iCs/>
        </w:rPr>
        <w:t xml:space="preserve">vendimi </w:t>
      </w:r>
      <w:proofErr w:type="spellStart"/>
      <w:r w:rsidRPr="00D80C1B">
        <w:rPr>
          <w:rFonts w:ascii="Garamond" w:hAnsi="Garamond"/>
          <w:i/>
          <w:iCs/>
        </w:rPr>
        <w:t>unifikues</w:t>
      </w:r>
      <w:proofErr w:type="spellEnd"/>
      <w:r w:rsidRPr="00D80C1B">
        <w:rPr>
          <w:rFonts w:ascii="Garamond" w:hAnsi="Garamond"/>
          <w:i/>
          <w:iCs/>
        </w:rPr>
        <w:t xml:space="preserve"> nr. 1/2009</w:t>
      </w:r>
      <w:r w:rsidRPr="00D80C1B">
        <w:rPr>
          <w:rFonts w:ascii="Garamond" w:hAnsi="Garamond"/>
        </w:rPr>
        <w:t xml:space="preserve">) dhe </w:t>
      </w:r>
      <w:proofErr w:type="spellStart"/>
      <w:r w:rsidRPr="00D80C1B">
        <w:rPr>
          <w:rFonts w:ascii="Garamond" w:hAnsi="Garamond"/>
        </w:rPr>
        <w:t>mosvlerësimit</w:t>
      </w:r>
      <w:proofErr w:type="spellEnd"/>
      <w:r w:rsidRPr="00D80C1B">
        <w:rPr>
          <w:rFonts w:ascii="Garamond" w:hAnsi="Garamond"/>
        </w:rPr>
        <w:t xml:space="preserve"> në tërësi të rrethanave të çështjes, ndërsa vendimi i gjykatës së shkallës së parë është marrë në përputhje me ligjin material, si dhe në zbatim të drejtë të këtij vendimi </w:t>
      </w:r>
      <w:proofErr w:type="spellStart"/>
      <w:r w:rsidRPr="00D80C1B">
        <w:rPr>
          <w:rFonts w:ascii="Garamond" w:hAnsi="Garamond"/>
        </w:rPr>
        <w:t>unifikues</w:t>
      </w:r>
      <w:proofErr w:type="spellEnd"/>
      <w:r w:rsidRPr="00D80C1B">
        <w:rPr>
          <w:rFonts w:ascii="Garamond" w:hAnsi="Garamond"/>
        </w:rPr>
        <w:t>.</w:t>
      </w:r>
    </w:p>
    <w:p w14:paraId="3F498932" w14:textId="7B571CED"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 xml:space="preserve">17. Në datën </w:t>
      </w:r>
      <w:r w:rsidR="00BB3DC5">
        <w:rPr>
          <w:rFonts w:ascii="Garamond" w:hAnsi="Garamond"/>
        </w:rPr>
        <w:t>8.</w:t>
      </w:r>
      <w:r w:rsidRPr="00D80C1B">
        <w:rPr>
          <w:rFonts w:ascii="Garamond" w:hAnsi="Garamond"/>
        </w:rPr>
        <w:t>3.2023</w:t>
      </w:r>
      <w:r w:rsidR="00BB3DC5">
        <w:rPr>
          <w:rFonts w:ascii="Garamond" w:hAnsi="Garamond"/>
        </w:rPr>
        <w:t>,</w:t>
      </w:r>
      <w:r w:rsidRPr="00D80C1B">
        <w:rPr>
          <w:rFonts w:ascii="Garamond" w:hAnsi="Garamond"/>
        </w:rPr>
        <w:t xml:space="preserve"> i padituri në procesin gjyqësor, shtetasi Arti </w:t>
      </w:r>
      <w:proofErr w:type="spellStart"/>
      <w:r w:rsidRPr="00D80C1B">
        <w:rPr>
          <w:rFonts w:ascii="Garamond" w:hAnsi="Garamond"/>
        </w:rPr>
        <w:t>Elezaj</w:t>
      </w:r>
      <w:proofErr w:type="spellEnd"/>
      <w:r w:rsidRPr="00D80C1B">
        <w:rPr>
          <w:rFonts w:ascii="Garamond" w:hAnsi="Garamond"/>
        </w:rPr>
        <w:t>, i është drejtuar Gjykatës Kushtetuese (</w:t>
      </w:r>
      <w:r w:rsidRPr="00D80C1B">
        <w:rPr>
          <w:rFonts w:ascii="Garamond" w:hAnsi="Garamond"/>
          <w:i/>
          <w:iCs/>
        </w:rPr>
        <w:t>Gjykata</w:t>
      </w:r>
      <w:r w:rsidRPr="00D80C1B">
        <w:rPr>
          <w:rFonts w:ascii="Garamond" w:hAnsi="Garamond"/>
        </w:rPr>
        <w:t>) me ankim kushtetues individual për shfuqizimin e vendimi</w:t>
      </w:r>
      <w:r w:rsidR="00BB3DC5">
        <w:rPr>
          <w:rFonts w:ascii="Garamond" w:hAnsi="Garamond"/>
        </w:rPr>
        <w:t xml:space="preserve">t nr. 00-2022-2857 (455), datë </w:t>
      </w:r>
      <w:r w:rsidRPr="00D80C1B">
        <w:rPr>
          <w:rFonts w:ascii="Garamond" w:hAnsi="Garamond"/>
        </w:rPr>
        <w:t>9.11.2022</w:t>
      </w:r>
      <w:r w:rsidR="00BB3DC5">
        <w:rPr>
          <w:rFonts w:ascii="Garamond" w:hAnsi="Garamond"/>
        </w:rPr>
        <w:t>,</w:t>
      </w:r>
      <w:r w:rsidRPr="00D80C1B">
        <w:rPr>
          <w:rFonts w:ascii="Garamond" w:hAnsi="Garamond"/>
        </w:rPr>
        <w:t xml:space="preserve"> të Kolegji Civil të Gjykatës së Lartë, duke pretenduar cenimin e parimit të sigurisë juridike të lidhur me të drejtën e pronës, së drejtës së mbrojtjes dhe të standardit të arsyetimit të vendimit gjyq</w:t>
      </w:r>
      <w:r w:rsidR="00BB3DC5">
        <w:rPr>
          <w:rFonts w:ascii="Garamond" w:hAnsi="Garamond"/>
        </w:rPr>
        <w:t xml:space="preserve">ësor. Me vendimin nr. 57, datë </w:t>
      </w:r>
      <w:r w:rsidRPr="00D80C1B">
        <w:rPr>
          <w:rFonts w:ascii="Garamond" w:hAnsi="Garamond"/>
        </w:rPr>
        <w:t xml:space="preserve">9.11.2023 </w:t>
      </w:r>
      <w:r w:rsidRPr="00D80C1B">
        <w:rPr>
          <w:rFonts w:ascii="Garamond" w:hAnsi="Garamond"/>
          <w:i/>
          <w:iCs/>
        </w:rPr>
        <w:t xml:space="preserve">(vendimi nr. 57/2023), </w:t>
      </w:r>
      <w:r w:rsidRPr="00D80C1B">
        <w:rPr>
          <w:rFonts w:ascii="Garamond" w:hAnsi="Garamond"/>
        </w:rPr>
        <w:t xml:space="preserve">Gjykata ka vendosur pranimin e kërkesës, shfuqizimin e vendimit të Gjykatës së Lartë objekt kërkese dhe dërgimin e çështjes për rishqyrtim, pasi ka gjetur cenim të së drejtës së mbrojtjes dhe të së drejtës për t’u gjykuar nga një gjykatë e caktuar me ligj të lidhur me standardin e arsyetimit. </w:t>
      </w:r>
    </w:p>
    <w:p w14:paraId="03210BC6" w14:textId="1F56E78C" w:rsidR="00E52F6F" w:rsidRPr="00D80C1B" w:rsidRDefault="00E52F6F" w:rsidP="00E52F6F">
      <w:pPr>
        <w:pStyle w:val="ListParagraph"/>
        <w:tabs>
          <w:tab w:val="left" w:pos="1080"/>
        </w:tabs>
        <w:spacing w:line="240" w:lineRule="auto"/>
        <w:ind w:left="0" w:firstLine="284"/>
        <w:jc w:val="both"/>
        <w:rPr>
          <w:rFonts w:ascii="Garamond" w:hAnsi="Garamond"/>
        </w:rPr>
      </w:pPr>
      <w:r w:rsidRPr="00D80C1B">
        <w:rPr>
          <w:rFonts w:ascii="Garamond" w:hAnsi="Garamond"/>
        </w:rPr>
        <w:t>18. Pas rishqyrtimit të çështjes, Kolegji Civil i Gjykatës së Lartë, me vendimin nr</w:t>
      </w:r>
      <w:r w:rsidR="00BB3DC5">
        <w:rPr>
          <w:rFonts w:ascii="Garamond" w:hAnsi="Garamond"/>
        </w:rPr>
        <w:t>. 00-2024-3320, datë 19.</w:t>
      </w:r>
      <w:r w:rsidRPr="00D80C1B">
        <w:rPr>
          <w:rFonts w:ascii="Garamond" w:hAnsi="Garamond"/>
        </w:rPr>
        <w:t xml:space="preserve">7.2024, ka vendosur mospranimin e rekursit të paraqitur nga kërkuesja dhe paditësit e tjerë,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kundër vendimit nr. 2</w:t>
      </w:r>
      <w:r w:rsidR="00BB3DC5">
        <w:rPr>
          <w:rFonts w:ascii="Garamond" w:hAnsi="Garamond"/>
        </w:rPr>
        <w:t>738, datë 19.</w:t>
      </w:r>
      <w:r w:rsidRPr="00D80C1B">
        <w:rPr>
          <w:rFonts w:ascii="Garamond" w:hAnsi="Garamond"/>
        </w:rPr>
        <w:t>6.2014</w:t>
      </w:r>
      <w:r w:rsidR="00BB3DC5">
        <w:rPr>
          <w:rFonts w:ascii="Garamond" w:hAnsi="Garamond"/>
        </w:rPr>
        <w:t>,</w:t>
      </w:r>
      <w:r w:rsidRPr="00D80C1B">
        <w:rPr>
          <w:rFonts w:ascii="Garamond" w:hAnsi="Garamond"/>
        </w:rPr>
        <w:t xml:space="preserve"> të Gjykatës së Apelit Tiranë, me arsyetimin se ai nuk përmban shkaqe ligjore nga ato të parashikuara nga neni 472 i Kodit të Procedurës Civile </w:t>
      </w:r>
      <w:r w:rsidRPr="00D80C1B">
        <w:rPr>
          <w:rFonts w:ascii="Garamond" w:hAnsi="Garamond"/>
          <w:i/>
          <w:iCs/>
        </w:rPr>
        <w:t>(</w:t>
      </w:r>
      <w:proofErr w:type="spellStart"/>
      <w:r w:rsidRPr="00D80C1B">
        <w:rPr>
          <w:rFonts w:ascii="Garamond" w:hAnsi="Garamond"/>
          <w:i/>
          <w:iCs/>
        </w:rPr>
        <w:t>KPC</w:t>
      </w:r>
      <w:proofErr w:type="spellEnd"/>
      <w:r w:rsidRPr="00D80C1B">
        <w:rPr>
          <w:rFonts w:ascii="Garamond" w:hAnsi="Garamond"/>
          <w:i/>
          <w:iCs/>
        </w:rPr>
        <w:t>)</w:t>
      </w:r>
      <w:r w:rsidRPr="00D80C1B">
        <w:rPr>
          <w:rFonts w:ascii="Garamond" w:hAnsi="Garamond"/>
        </w:rPr>
        <w:t xml:space="preserve">. </w:t>
      </w:r>
    </w:p>
    <w:p w14:paraId="25CD5EC8" w14:textId="61AD9119" w:rsidR="00E52F6F" w:rsidRPr="00D80C1B" w:rsidRDefault="00BB3DC5" w:rsidP="00E52F6F">
      <w:pPr>
        <w:pStyle w:val="ListParagraph"/>
        <w:tabs>
          <w:tab w:val="left" w:pos="1080"/>
        </w:tabs>
        <w:spacing w:line="240" w:lineRule="auto"/>
        <w:ind w:left="0" w:firstLine="284"/>
        <w:jc w:val="both"/>
        <w:rPr>
          <w:rFonts w:ascii="Garamond" w:hAnsi="Garamond"/>
        </w:rPr>
      </w:pPr>
      <w:r>
        <w:rPr>
          <w:rFonts w:ascii="Garamond" w:hAnsi="Garamond"/>
        </w:rPr>
        <w:t>19. Në datën 7.</w:t>
      </w:r>
      <w:r w:rsidR="00E52F6F" w:rsidRPr="00D80C1B">
        <w:rPr>
          <w:rFonts w:ascii="Garamond" w:hAnsi="Garamond"/>
        </w:rPr>
        <w:t>4.2025, përmes shërbimit postar, kërkuesja i është drejtuar Gjykatës me ankim kushtetues individual, sipas objektit. Kolegji i Gjykatës, me vendimin e da</w:t>
      </w:r>
      <w:r>
        <w:rPr>
          <w:rFonts w:ascii="Garamond" w:hAnsi="Garamond"/>
        </w:rPr>
        <w:t>tës 27.</w:t>
      </w:r>
      <w:r w:rsidR="00E52F6F" w:rsidRPr="00D80C1B">
        <w:rPr>
          <w:rFonts w:ascii="Garamond" w:hAnsi="Garamond"/>
        </w:rPr>
        <w:t xml:space="preserve">5.2025, ka vendosur kalimin e çështjes për shqyrtim në seancë plenare mbi bazë të dokumenteve. </w:t>
      </w:r>
    </w:p>
    <w:p w14:paraId="52B9ECCF" w14:textId="77777777" w:rsidR="00E52F6F" w:rsidRPr="00D80C1B" w:rsidRDefault="00E52F6F" w:rsidP="00E52F6F">
      <w:pPr>
        <w:tabs>
          <w:tab w:val="left" w:pos="1080"/>
          <w:tab w:val="center" w:pos="4500"/>
          <w:tab w:val="left" w:pos="6240"/>
        </w:tabs>
        <w:spacing w:line="240" w:lineRule="auto"/>
        <w:ind w:firstLine="284"/>
        <w:rPr>
          <w:rFonts w:ascii="Garamond" w:hAnsi="Garamond"/>
          <w:b/>
          <w:bCs/>
        </w:rPr>
      </w:pPr>
    </w:p>
    <w:p w14:paraId="41BE9CFD" w14:textId="77777777" w:rsidR="00E52F6F" w:rsidRPr="00D80C1B" w:rsidRDefault="00E52F6F" w:rsidP="00E52F6F">
      <w:pPr>
        <w:pStyle w:val="BodyTextIndent2"/>
        <w:tabs>
          <w:tab w:val="left" w:pos="980"/>
        </w:tabs>
        <w:spacing w:line="240" w:lineRule="auto"/>
        <w:ind w:left="0" w:firstLine="284"/>
        <w:jc w:val="center"/>
        <w:rPr>
          <w:rFonts w:ascii="Garamond" w:hAnsi="Garamond"/>
        </w:rPr>
      </w:pPr>
      <w:proofErr w:type="spellStart"/>
      <w:r w:rsidRPr="00D80C1B">
        <w:rPr>
          <w:rFonts w:ascii="Garamond" w:hAnsi="Garamond"/>
        </w:rPr>
        <w:t>II</w:t>
      </w:r>
      <w:proofErr w:type="spellEnd"/>
    </w:p>
    <w:p w14:paraId="48995CF1" w14:textId="77777777" w:rsidR="00E52F6F" w:rsidRPr="00D80C1B" w:rsidRDefault="00E52F6F" w:rsidP="00E52F6F">
      <w:pPr>
        <w:pStyle w:val="BodyTextIndent2"/>
        <w:tabs>
          <w:tab w:val="left" w:pos="980"/>
        </w:tabs>
        <w:spacing w:line="240" w:lineRule="auto"/>
        <w:ind w:left="0" w:firstLine="284"/>
        <w:jc w:val="center"/>
        <w:rPr>
          <w:rFonts w:ascii="Garamond" w:hAnsi="Garamond"/>
        </w:rPr>
      </w:pPr>
      <w:r w:rsidRPr="00D80C1B">
        <w:rPr>
          <w:rFonts w:ascii="Garamond" w:hAnsi="Garamond"/>
        </w:rPr>
        <w:t>Pretendimet në Gjykatën Kushtetuese</w:t>
      </w:r>
    </w:p>
    <w:p w14:paraId="01234A3E" w14:textId="77777777" w:rsidR="009F6C58" w:rsidRPr="00D80C1B" w:rsidRDefault="009F6C58" w:rsidP="00E52F6F">
      <w:pPr>
        <w:pStyle w:val="BodyTextIndent"/>
        <w:tabs>
          <w:tab w:val="left" w:pos="980"/>
        </w:tabs>
        <w:spacing w:after="0" w:line="240" w:lineRule="auto"/>
        <w:ind w:left="0" w:firstLine="284"/>
        <w:jc w:val="both"/>
        <w:rPr>
          <w:rFonts w:ascii="Garamond" w:hAnsi="Garamond"/>
          <w:sz w:val="24"/>
          <w:szCs w:val="24"/>
        </w:rPr>
      </w:pPr>
    </w:p>
    <w:p w14:paraId="3E8F6AE2" w14:textId="4151FB52" w:rsidR="00E52F6F" w:rsidRPr="00D80C1B" w:rsidRDefault="00E52F6F" w:rsidP="00E52F6F">
      <w:pPr>
        <w:pStyle w:val="BodyTextIndent"/>
        <w:tabs>
          <w:tab w:val="left" w:pos="980"/>
        </w:tabs>
        <w:spacing w:after="0" w:line="240" w:lineRule="auto"/>
        <w:ind w:left="0" w:firstLine="284"/>
        <w:jc w:val="both"/>
        <w:rPr>
          <w:rFonts w:ascii="Garamond" w:hAnsi="Garamond"/>
          <w:sz w:val="24"/>
          <w:szCs w:val="24"/>
        </w:rPr>
      </w:pPr>
      <w:r w:rsidRPr="00D80C1B">
        <w:rPr>
          <w:rFonts w:ascii="Garamond" w:hAnsi="Garamond"/>
          <w:sz w:val="24"/>
          <w:szCs w:val="24"/>
        </w:rPr>
        <w:t xml:space="preserve">20. </w:t>
      </w:r>
      <w:r w:rsidRPr="00D80C1B">
        <w:rPr>
          <w:rFonts w:ascii="Garamond" w:hAnsi="Garamond"/>
          <w:b/>
          <w:bCs/>
          <w:i/>
          <w:iCs/>
          <w:sz w:val="24"/>
          <w:szCs w:val="24"/>
        </w:rPr>
        <w:t>Kërkuesja</w:t>
      </w:r>
      <w:r w:rsidRPr="00D80C1B">
        <w:rPr>
          <w:rFonts w:ascii="Garamond" w:hAnsi="Garamond"/>
          <w:i/>
          <w:iCs/>
          <w:sz w:val="24"/>
          <w:szCs w:val="24"/>
        </w:rPr>
        <w:t>,</w:t>
      </w:r>
      <w:r w:rsidRPr="00D80C1B">
        <w:rPr>
          <w:rFonts w:ascii="Garamond" w:hAnsi="Garamond"/>
          <w:sz w:val="24"/>
          <w:szCs w:val="24"/>
        </w:rPr>
        <w:t xml:space="preserve"> në mënyrë të përmbledhur, ka pretenduar se i është cenuar:</w:t>
      </w:r>
    </w:p>
    <w:p w14:paraId="1F043812" w14:textId="6DB90245" w:rsidR="00E52F6F" w:rsidRPr="00D80C1B" w:rsidRDefault="00BB3DC5" w:rsidP="00E52F6F">
      <w:pPr>
        <w:pStyle w:val="ListParagraph"/>
        <w:tabs>
          <w:tab w:val="left" w:pos="1120"/>
        </w:tabs>
        <w:spacing w:line="240" w:lineRule="auto"/>
        <w:ind w:left="0" w:firstLine="284"/>
        <w:jc w:val="both"/>
        <w:rPr>
          <w:rFonts w:ascii="Garamond" w:hAnsi="Garamond"/>
          <w:b/>
          <w:bCs/>
          <w:i/>
          <w:iCs/>
        </w:rPr>
      </w:pPr>
      <w:r>
        <w:rPr>
          <w:rFonts w:ascii="Garamond" w:hAnsi="Garamond"/>
        </w:rPr>
        <w:t>20.1</w:t>
      </w:r>
      <w:r w:rsidR="00E52F6F" w:rsidRPr="00D80C1B">
        <w:rPr>
          <w:rFonts w:ascii="Garamond" w:hAnsi="Garamond"/>
        </w:rPr>
        <w:t xml:space="preserve"> </w:t>
      </w:r>
      <w:r w:rsidR="00E52F6F" w:rsidRPr="00D80C1B">
        <w:rPr>
          <w:rFonts w:ascii="Garamond" w:hAnsi="Garamond"/>
          <w:i/>
          <w:iCs/>
        </w:rPr>
        <w:t>E drejta për proces të rregullt ligjor</w:t>
      </w:r>
      <w:r w:rsidR="00E52F6F" w:rsidRPr="00D80C1B">
        <w:rPr>
          <w:rFonts w:ascii="Garamond" w:hAnsi="Garamond"/>
        </w:rPr>
        <w:t xml:space="preserve"> në drejtim të:</w:t>
      </w:r>
    </w:p>
    <w:p w14:paraId="7FE7C774" w14:textId="316061EC" w:rsidR="00E52F6F" w:rsidRPr="00D80C1B" w:rsidRDefault="00BB3DC5" w:rsidP="00E52F6F">
      <w:pPr>
        <w:pStyle w:val="ListParagraph"/>
        <w:tabs>
          <w:tab w:val="left" w:pos="1700"/>
        </w:tabs>
        <w:spacing w:line="240" w:lineRule="auto"/>
        <w:ind w:left="0" w:firstLine="284"/>
        <w:jc w:val="both"/>
        <w:rPr>
          <w:rFonts w:ascii="Garamond" w:hAnsi="Garamond"/>
          <w:b/>
          <w:bCs/>
          <w:i/>
          <w:iCs/>
        </w:rPr>
      </w:pPr>
      <w:r>
        <w:rPr>
          <w:rFonts w:ascii="Garamond" w:hAnsi="Garamond"/>
        </w:rPr>
        <w:t>20.1.1</w:t>
      </w:r>
      <w:r w:rsidR="00E52F6F" w:rsidRPr="00D80C1B">
        <w:rPr>
          <w:rFonts w:ascii="Garamond" w:hAnsi="Garamond"/>
        </w:rPr>
        <w:t xml:space="preserve"> </w:t>
      </w:r>
      <w:r w:rsidR="00E52F6F" w:rsidRPr="00D80C1B">
        <w:rPr>
          <w:rFonts w:ascii="Garamond" w:hAnsi="Garamond"/>
          <w:i/>
          <w:iCs/>
        </w:rPr>
        <w:t>Së drejtës për t’u gjykuar nga një gjykatë e caktuar me ligj</w:t>
      </w:r>
      <w:r w:rsidR="00E52F6F" w:rsidRPr="00D80C1B">
        <w:rPr>
          <w:rFonts w:ascii="Garamond" w:hAnsi="Garamond"/>
        </w:rPr>
        <w:t>, pasi, në kundërshtim me konstatimet e bëra nga Gjykata në vendimin nr. 57/2023</w:t>
      </w:r>
      <w:r>
        <w:rPr>
          <w:rFonts w:ascii="Garamond" w:hAnsi="Garamond"/>
        </w:rPr>
        <w:t>,</w:t>
      </w:r>
      <w:r w:rsidR="00E52F6F" w:rsidRPr="00D80C1B">
        <w:rPr>
          <w:rFonts w:ascii="Garamond" w:hAnsi="Garamond"/>
        </w:rPr>
        <w:t xml:space="preserve"> se gjykatat e faktit nuk kanë analizuar provat e administruara në gjykim, në kuptim të regjistrimit të pronës në regjistrin </w:t>
      </w:r>
      <w:proofErr w:type="spellStart"/>
      <w:r w:rsidR="00E52F6F" w:rsidRPr="00D80C1B">
        <w:rPr>
          <w:rFonts w:ascii="Garamond" w:hAnsi="Garamond"/>
        </w:rPr>
        <w:t>kadastral</w:t>
      </w:r>
      <w:proofErr w:type="spellEnd"/>
      <w:r w:rsidR="00E52F6F" w:rsidRPr="00D80C1B">
        <w:rPr>
          <w:rFonts w:ascii="Garamond" w:hAnsi="Garamond"/>
        </w:rPr>
        <w:t xml:space="preserve">, Gjykata e Lartë ka marrë atributet e tyre, duke bërë vetë vlerësim të provave, ndonëse duhet ta kishte kthyer çështjen për rishqyrtim në gjykatën e apelit. </w:t>
      </w:r>
    </w:p>
    <w:p w14:paraId="79DBA0D4" w14:textId="1ED49958" w:rsidR="00E52F6F" w:rsidRPr="00D80C1B" w:rsidRDefault="00BB3DC5" w:rsidP="00E52F6F">
      <w:pPr>
        <w:pStyle w:val="ListParagraph"/>
        <w:tabs>
          <w:tab w:val="left" w:pos="1700"/>
        </w:tabs>
        <w:spacing w:line="240" w:lineRule="auto"/>
        <w:ind w:left="0" w:firstLine="284"/>
        <w:jc w:val="both"/>
        <w:rPr>
          <w:rFonts w:ascii="Garamond" w:hAnsi="Garamond"/>
          <w:b/>
          <w:bCs/>
          <w:i/>
          <w:iCs/>
        </w:rPr>
      </w:pPr>
      <w:r>
        <w:rPr>
          <w:rFonts w:ascii="Garamond" w:hAnsi="Garamond"/>
        </w:rPr>
        <w:t>20.1.2</w:t>
      </w:r>
      <w:r w:rsidR="00E52F6F" w:rsidRPr="00D80C1B">
        <w:rPr>
          <w:rFonts w:ascii="Garamond" w:hAnsi="Garamond"/>
        </w:rPr>
        <w:t xml:space="preserve"> </w:t>
      </w:r>
      <w:r w:rsidR="00E52F6F" w:rsidRPr="00D80C1B">
        <w:rPr>
          <w:rFonts w:ascii="Garamond" w:hAnsi="Garamond"/>
          <w:i/>
          <w:iCs/>
        </w:rPr>
        <w:t xml:space="preserve">Së drejtës së </w:t>
      </w:r>
      <w:proofErr w:type="spellStart"/>
      <w:r w:rsidR="00E52F6F" w:rsidRPr="00D80C1B">
        <w:rPr>
          <w:rFonts w:ascii="Garamond" w:hAnsi="Garamond"/>
          <w:i/>
          <w:iCs/>
        </w:rPr>
        <w:t>aksesit</w:t>
      </w:r>
      <w:proofErr w:type="spellEnd"/>
      <w:r w:rsidR="00E52F6F" w:rsidRPr="00D80C1B">
        <w:rPr>
          <w:rFonts w:ascii="Garamond" w:hAnsi="Garamond"/>
          <w:i/>
          <w:iCs/>
        </w:rPr>
        <w:t xml:space="preserve"> dhe ankimit efektiv</w:t>
      </w:r>
      <w:r w:rsidR="00E52F6F" w:rsidRPr="00D80C1B">
        <w:rPr>
          <w:rFonts w:ascii="Garamond" w:hAnsi="Garamond"/>
        </w:rPr>
        <w:t xml:space="preserve">, pasi Gjykata e Lartë nuk ka marrë parasysh dhe nuk ka arsyetuar për shkaqet ligjore të ngritura nga kërkuesja për legjislacionin e zbatueshëm të kohës, për sa u përket efekteve që sillte regjistrimi i pronës në regjistrin </w:t>
      </w:r>
      <w:proofErr w:type="spellStart"/>
      <w:r w:rsidR="00E52F6F" w:rsidRPr="00D80C1B">
        <w:rPr>
          <w:rFonts w:ascii="Garamond" w:hAnsi="Garamond"/>
        </w:rPr>
        <w:t>kadastral</w:t>
      </w:r>
      <w:proofErr w:type="spellEnd"/>
      <w:r w:rsidR="00E52F6F" w:rsidRPr="00D80C1B">
        <w:rPr>
          <w:rFonts w:ascii="Garamond" w:hAnsi="Garamond"/>
        </w:rPr>
        <w:t xml:space="preserve">. </w:t>
      </w:r>
    </w:p>
    <w:p w14:paraId="79B5D03C" w14:textId="6F731910" w:rsidR="00E52F6F" w:rsidRPr="00D80C1B" w:rsidRDefault="00BB3DC5" w:rsidP="00E52F6F">
      <w:pPr>
        <w:pStyle w:val="ListParagraph"/>
        <w:tabs>
          <w:tab w:val="left" w:pos="1700"/>
        </w:tabs>
        <w:spacing w:line="240" w:lineRule="auto"/>
        <w:ind w:left="0" w:firstLine="284"/>
        <w:jc w:val="both"/>
        <w:rPr>
          <w:rFonts w:ascii="Garamond" w:hAnsi="Garamond"/>
          <w:b/>
          <w:bCs/>
          <w:i/>
          <w:iCs/>
        </w:rPr>
      </w:pPr>
      <w:r>
        <w:rPr>
          <w:rFonts w:ascii="Garamond" w:hAnsi="Garamond"/>
        </w:rPr>
        <w:t>20.1.3</w:t>
      </w:r>
      <w:r w:rsidR="00E52F6F" w:rsidRPr="00D80C1B">
        <w:rPr>
          <w:rFonts w:ascii="Garamond" w:hAnsi="Garamond"/>
        </w:rPr>
        <w:t xml:space="preserve"> </w:t>
      </w:r>
      <w:r w:rsidR="00E52F6F" w:rsidRPr="00D80C1B">
        <w:rPr>
          <w:rFonts w:ascii="Garamond" w:hAnsi="Garamond"/>
          <w:i/>
          <w:iCs/>
        </w:rPr>
        <w:t xml:space="preserve">Parimit të sigurisë juridike të lidhur me standardin e arsyetimit të vendimit gjyqësor, </w:t>
      </w:r>
      <w:r w:rsidR="00E52F6F" w:rsidRPr="00D80C1B">
        <w:rPr>
          <w:rFonts w:ascii="Garamond" w:hAnsi="Garamond"/>
        </w:rPr>
        <w:t xml:space="preserve">pasi mungesa e arsyetimit të Gjykatës së Lartë në vlerësimin e çështjes ligjore nëse regjistrimi i pasurisë në regjistrin </w:t>
      </w:r>
      <w:proofErr w:type="spellStart"/>
      <w:r w:rsidR="00E52F6F" w:rsidRPr="00D80C1B">
        <w:rPr>
          <w:rFonts w:ascii="Garamond" w:hAnsi="Garamond"/>
        </w:rPr>
        <w:t>kadastral</w:t>
      </w:r>
      <w:proofErr w:type="spellEnd"/>
      <w:r w:rsidR="00E52F6F" w:rsidRPr="00D80C1B">
        <w:rPr>
          <w:rFonts w:ascii="Garamond" w:hAnsi="Garamond"/>
        </w:rPr>
        <w:t xml:space="preserve"> kualifikohej ose jo si regjistrim në regjistrat publikë, sipas nenit 195 të Kodit Civil </w:t>
      </w:r>
      <w:r w:rsidR="00E52F6F" w:rsidRPr="00D80C1B">
        <w:rPr>
          <w:rFonts w:ascii="Garamond" w:hAnsi="Garamond"/>
          <w:i/>
          <w:iCs/>
        </w:rPr>
        <w:t>(</w:t>
      </w:r>
      <w:proofErr w:type="spellStart"/>
      <w:r w:rsidR="00E52F6F" w:rsidRPr="00D80C1B">
        <w:rPr>
          <w:rFonts w:ascii="Garamond" w:hAnsi="Garamond"/>
          <w:i/>
          <w:iCs/>
        </w:rPr>
        <w:t>KC</w:t>
      </w:r>
      <w:proofErr w:type="spellEnd"/>
      <w:r w:rsidR="00E52F6F" w:rsidRPr="00D80C1B">
        <w:rPr>
          <w:rFonts w:ascii="Garamond" w:hAnsi="Garamond"/>
          <w:i/>
          <w:iCs/>
        </w:rPr>
        <w:t xml:space="preserve">), </w:t>
      </w:r>
      <w:r w:rsidR="00E52F6F" w:rsidRPr="00D80C1B">
        <w:rPr>
          <w:rFonts w:ascii="Garamond" w:hAnsi="Garamond"/>
        </w:rPr>
        <w:t xml:space="preserve">i ka cenuar </w:t>
      </w:r>
      <w:proofErr w:type="spellStart"/>
      <w:r w:rsidR="00E52F6F" w:rsidRPr="00D80C1B">
        <w:rPr>
          <w:rFonts w:ascii="Garamond" w:hAnsi="Garamond"/>
        </w:rPr>
        <w:t>pritshmëritë</w:t>
      </w:r>
      <w:proofErr w:type="spellEnd"/>
      <w:r w:rsidR="00E52F6F" w:rsidRPr="00D80C1B">
        <w:rPr>
          <w:rFonts w:ascii="Garamond" w:hAnsi="Garamond"/>
        </w:rPr>
        <w:t xml:space="preserve"> legjitime në të drejtat pronësore të fituara mbi pasurinë objekt gjykimi me kontratën e shitjes të</w:t>
      </w:r>
      <w:r>
        <w:rPr>
          <w:rFonts w:ascii="Garamond" w:hAnsi="Garamond"/>
        </w:rPr>
        <w:t xml:space="preserve"> datës 19.</w:t>
      </w:r>
      <w:r w:rsidR="00E52F6F" w:rsidRPr="00D80C1B">
        <w:rPr>
          <w:rFonts w:ascii="Garamond" w:hAnsi="Garamond"/>
        </w:rPr>
        <w:t xml:space="preserve">8.1996. </w:t>
      </w:r>
    </w:p>
    <w:p w14:paraId="4F028B4D" w14:textId="58A610C1" w:rsidR="00E52F6F" w:rsidRPr="00D80C1B" w:rsidRDefault="00BB3DC5" w:rsidP="00E52F6F">
      <w:pPr>
        <w:pStyle w:val="ListParagraph"/>
        <w:tabs>
          <w:tab w:val="left" w:pos="1120"/>
        </w:tabs>
        <w:spacing w:line="240" w:lineRule="auto"/>
        <w:ind w:left="0" w:firstLine="284"/>
        <w:jc w:val="both"/>
        <w:rPr>
          <w:rFonts w:ascii="Garamond" w:hAnsi="Garamond"/>
          <w:b/>
          <w:bCs/>
          <w:i/>
          <w:iCs/>
        </w:rPr>
      </w:pPr>
      <w:r>
        <w:rPr>
          <w:rFonts w:ascii="Garamond" w:hAnsi="Garamond"/>
        </w:rPr>
        <w:lastRenderedPageBreak/>
        <w:t>20.2</w:t>
      </w:r>
      <w:r w:rsidR="00E52F6F" w:rsidRPr="00D80C1B">
        <w:rPr>
          <w:rFonts w:ascii="Garamond" w:hAnsi="Garamond"/>
        </w:rPr>
        <w:t xml:space="preserve"> </w:t>
      </w:r>
      <w:r w:rsidR="00E52F6F" w:rsidRPr="00D80C1B">
        <w:rPr>
          <w:rFonts w:ascii="Garamond" w:hAnsi="Garamond"/>
          <w:i/>
          <w:iCs/>
        </w:rPr>
        <w:t>E drejta e pronës private</w:t>
      </w:r>
      <w:r w:rsidR="00E52F6F" w:rsidRPr="00D80C1B">
        <w:rPr>
          <w:rFonts w:ascii="Garamond" w:hAnsi="Garamond"/>
        </w:rPr>
        <w:t>, e garantuar nga neni 41 i Kushtetutës, pasi Gjykata e Lartë ka krijuar pasiguri juridike, duke e zhveshur nga e drejta e pronësisë mbi këtë pasuri.</w:t>
      </w:r>
    </w:p>
    <w:p w14:paraId="2FA6EC67" w14:textId="77777777" w:rsidR="00E52F6F" w:rsidRPr="00D80C1B" w:rsidRDefault="00E52F6F" w:rsidP="00E52F6F">
      <w:pPr>
        <w:pStyle w:val="BodyTextIndent2"/>
        <w:tabs>
          <w:tab w:val="left" w:pos="980"/>
        </w:tabs>
        <w:spacing w:line="240" w:lineRule="auto"/>
        <w:ind w:left="0" w:firstLine="284"/>
        <w:rPr>
          <w:rFonts w:ascii="Garamond" w:hAnsi="Garamond"/>
          <w:b w:val="0"/>
          <w:bCs/>
        </w:rPr>
      </w:pPr>
      <w:r w:rsidRPr="00D80C1B">
        <w:rPr>
          <w:rFonts w:ascii="Garamond" w:hAnsi="Garamond"/>
          <w:b w:val="0"/>
          <w:bCs/>
        </w:rPr>
        <w:t xml:space="preserve">21. </w:t>
      </w:r>
      <w:r w:rsidRPr="00D80C1B">
        <w:rPr>
          <w:rFonts w:ascii="Garamond" w:hAnsi="Garamond"/>
          <w:i/>
          <w:iCs/>
        </w:rPr>
        <w:t xml:space="preserve">Subjekti i interesuar, Arti </w:t>
      </w:r>
      <w:proofErr w:type="spellStart"/>
      <w:r w:rsidRPr="00D80C1B">
        <w:rPr>
          <w:rFonts w:ascii="Garamond" w:hAnsi="Garamond"/>
          <w:i/>
          <w:iCs/>
        </w:rPr>
        <w:t>Elezaj</w:t>
      </w:r>
      <w:proofErr w:type="spellEnd"/>
      <w:r w:rsidRPr="00D80C1B">
        <w:rPr>
          <w:rFonts w:ascii="Garamond" w:hAnsi="Garamond"/>
          <w:b w:val="0"/>
          <w:bCs/>
          <w:i/>
          <w:iCs/>
        </w:rPr>
        <w:t xml:space="preserve">, </w:t>
      </w:r>
      <w:r w:rsidRPr="00D80C1B">
        <w:rPr>
          <w:rFonts w:ascii="Garamond" w:hAnsi="Garamond"/>
          <w:b w:val="0"/>
          <w:bCs/>
        </w:rPr>
        <w:t>në mënyrë të përmbledhur, ka prapësuar:</w:t>
      </w:r>
    </w:p>
    <w:p w14:paraId="31C806AF" w14:textId="5554EF31" w:rsidR="00E52F6F" w:rsidRPr="00D80C1B" w:rsidRDefault="00BB3DC5" w:rsidP="00E52F6F">
      <w:pPr>
        <w:pStyle w:val="BodyTextIndent2"/>
        <w:tabs>
          <w:tab w:val="left" w:pos="980"/>
        </w:tabs>
        <w:spacing w:line="240" w:lineRule="auto"/>
        <w:ind w:left="0" w:firstLine="284"/>
        <w:rPr>
          <w:rFonts w:ascii="Garamond" w:hAnsi="Garamond"/>
          <w:b w:val="0"/>
          <w:bCs/>
        </w:rPr>
      </w:pPr>
      <w:r>
        <w:rPr>
          <w:rFonts w:ascii="Garamond" w:hAnsi="Garamond"/>
          <w:b w:val="0"/>
          <w:bCs/>
        </w:rPr>
        <w:t>21.1</w:t>
      </w:r>
      <w:r w:rsidR="00E52F6F" w:rsidRPr="00D80C1B">
        <w:rPr>
          <w:rFonts w:ascii="Garamond" w:hAnsi="Garamond"/>
          <w:b w:val="0"/>
          <w:bCs/>
        </w:rPr>
        <w:t xml:space="preserve"> Pretendimi për cenimin </w:t>
      </w:r>
      <w:r w:rsidR="00E52F6F" w:rsidRPr="00D80C1B">
        <w:rPr>
          <w:rFonts w:ascii="Garamond" w:hAnsi="Garamond"/>
          <w:b w:val="0"/>
          <w:bCs/>
          <w:i/>
          <w:iCs/>
        </w:rPr>
        <w:t xml:space="preserve">e së drejtës për t’u gjykuar nga një gjykatë e caktuar me ligj </w:t>
      </w:r>
      <w:r w:rsidR="00E52F6F" w:rsidRPr="00D80C1B">
        <w:rPr>
          <w:rFonts w:ascii="Garamond" w:hAnsi="Garamond"/>
          <w:b w:val="0"/>
          <w:bCs/>
        </w:rPr>
        <w:t xml:space="preserve">është i pabazuar, pasi Gjykata e Lartë në rigjykim nuk ka vlerësuar provat dhe ripërcaktuar faktet, por ka interpretuar nenin 195 të </w:t>
      </w:r>
      <w:proofErr w:type="spellStart"/>
      <w:r w:rsidR="00E52F6F" w:rsidRPr="00D80C1B">
        <w:rPr>
          <w:rFonts w:ascii="Garamond" w:hAnsi="Garamond"/>
          <w:b w:val="0"/>
          <w:bCs/>
        </w:rPr>
        <w:t>KC</w:t>
      </w:r>
      <w:proofErr w:type="spellEnd"/>
      <w:r w:rsidR="00E52F6F" w:rsidRPr="00D80C1B">
        <w:rPr>
          <w:rFonts w:ascii="Garamond" w:hAnsi="Garamond"/>
          <w:b w:val="0"/>
          <w:bCs/>
        </w:rPr>
        <w:t xml:space="preserve">-së dhe vendimin </w:t>
      </w:r>
      <w:proofErr w:type="spellStart"/>
      <w:r w:rsidR="00E52F6F" w:rsidRPr="00D80C1B">
        <w:rPr>
          <w:rFonts w:ascii="Garamond" w:hAnsi="Garamond"/>
          <w:b w:val="0"/>
          <w:bCs/>
        </w:rPr>
        <w:t>unifikues</w:t>
      </w:r>
      <w:proofErr w:type="spellEnd"/>
      <w:r w:rsidR="00E52F6F" w:rsidRPr="00D80C1B">
        <w:rPr>
          <w:rFonts w:ascii="Garamond" w:hAnsi="Garamond"/>
          <w:b w:val="0"/>
          <w:bCs/>
        </w:rPr>
        <w:t xml:space="preserve"> nr. 1/2009, duke analizuar efektin që ka regjistrimi në raport me tjetërsimin, </w:t>
      </w:r>
      <w:proofErr w:type="spellStart"/>
      <w:r w:rsidR="00E52F6F" w:rsidRPr="00D80C1B">
        <w:rPr>
          <w:rFonts w:ascii="Garamond" w:hAnsi="Garamond"/>
          <w:b w:val="0"/>
          <w:bCs/>
        </w:rPr>
        <w:t>disponimin</w:t>
      </w:r>
      <w:proofErr w:type="spellEnd"/>
      <w:r w:rsidR="00E52F6F" w:rsidRPr="00D80C1B">
        <w:rPr>
          <w:rFonts w:ascii="Garamond" w:hAnsi="Garamond"/>
          <w:b w:val="0"/>
          <w:bCs/>
        </w:rPr>
        <w:t xml:space="preserve"> e pasurisë së paluajtshme. </w:t>
      </w:r>
    </w:p>
    <w:p w14:paraId="61B52431" w14:textId="79E8EAF3" w:rsidR="00E52F6F" w:rsidRPr="00D80C1B" w:rsidRDefault="00BB3DC5" w:rsidP="00E52F6F">
      <w:pPr>
        <w:pStyle w:val="BodyTextIndent2"/>
        <w:tabs>
          <w:tab w:val="left" w:pos="980"/>
        </w:tabs>
        <w:spacing w:line="240" w:lineRule="auto"/>
        <w:ind w:left="0" w:firstLine="284"/>
        <w:rPr>
          <w:rFonts w:ascii="Garamond" w:hAnsi="Garamond"/>
          <w:b w:val="0"/>
          <w:bCs/>
        </w:rPr>
      </w:pPr>
      <w:r>
        <w:rPr>
          <w:rFonts w:ascii="Garamond" w:hAnsi="Garamond"/>
          <w:b w:val="0"/>
          <w:bCs/>
        </w:rPr>
        <w:t>21.2</w:t>
      </w:r>
      <w:r w:rsidR="00E52F6F" w:rsidRPr="00D80C1B">
        <w:rPr>
          <w:rFonts w:ascii="Garamond" w:hAnsi="Garamond"/>
          <w:b w:val="0"/>
          <w:bCs/>
        </w:rPr>
        <w:t xml:space="preserve"> Pretendimi për </w:t>
      </w:r>
      <w:r w:rsidR="00E52F6F" w:rsidRPr="00D80C1B">
        <w:rPr>
          <w:rFonts w:ascii="Garamond" w:hAnsi="Garamond"/>
          <w:b w:val="0"/>
          <w:bCs/>
          <w:i/>
          <w:iCs/>
        </w:rPr>
        <w:t xml:space="preserve">cenimin e </w:t>
      </w:r>
      <w:proofErr w:type="spellStart"/>
      <w:r w:rsidR="00E52F6F" w:rsidRPr="00D80C1B">
        <w:rPr>
          <w:rFonts w:ascii="Garamond" w:hAnsi="Garamond"/>
          <w:b w:val="0"/>
          <w:bCs/>
          <w:i/>
          <w:iCs/>
        </w:rPr>
        <w:t>aksesit</w:t>
      </w:r>
      <w:proofErr w:type="spellEnd"/>
      <w:r w:rsidR="00E52F6F" w:rsidRPr="00D80C1B">
        <w:rPr>
          <w:rFonts w:ascii="Garamond" w:hAnsi="Garamond"/>
          <w:b w:val="0"/>
          <w:bCs/>
          <w:i/>
          <w:iCs/>
        </w:rPr>
        <w:t xml:space="preserve"> dhe ankimit efektiv</w:t>
      </w:r>
      <w:r w:rsidR="00E52F6F" w:rsidRPr="00D80C1B">
        <w:rPr>
          <w:rFonts w:ascii="Garamond" w:hAnsi="Garamond"/>
          <w:b w:val="0"/>
          <w:bCs/>
        </w:rPr>
        <w:t xml:space="preserve"> është i pabazuar, pasi Gjykata e Lartë i ka dhënë përgjigje kërkimit të kërkueses teksa, duke interpretuar nenin 195 të </w:t>
      </w:r>
      <w:proofErr w:type="spellStart"/>
      <w:r w:rsidR="00E52F6F" w:rsidRPr="00D80C1B">
        <w:rPr>
          <w:rFonts w:ascii="Garamond" w:hAnsi="Garamond"/>
          <w:b w:val="0"/>
          <w:bCs/>
        </w:rPr>
        <w:t>KC</w:t>
      </w:r>
      <w:proofErr w:type="spellEnd"/>
      <w:r w:rsidR="00E52F6F" w:rsidRPr="00D80C1B">
        <w:rPr>
          <w:rFonts w:ascii="Garamond" w:hAnsi="Garamond"/>
          <w:b w:val="0"/>
          <w:bCs/>
        </w:rPr>
        <w:t xml:space="preserve">-së, ka arsyetuar se pavarësisht mënyrës së fitimit të pronësisë, prona nuk mund të tjetërsohet pa qenë më parë e regjistruar në regjistrat publikë të pasurive të paluajtshme. </w:t>
      </w:r>
    </w:p>
    <w:p w14:paraId="7D3A439D" w14:textId="54C08B19" w:rsidR="00E52F6F" w:rsidRPr="00D80C1B" w:rsidRDefault="00BB3DC5" w:rsidP="00E52F6F">
      <w:pPr>
        <w:pStyle w:val="BodyTextIndent2"/>
        <w:tabs>
          <w:tab w:val="left" w:pos="980"/>
        </w:tabs>
        <w:spacing w:line="240" w:lineRule="auto"/>
        <w:ind w:left="0" w:firstLine="284"/>
        <w:rPr>
          <w:rFonts w:ascii="Garamond" w:hAnsi="Garamond"/>
          <w:b w:val="0"/>
          <w:bCs/>
        </w:rPr>
      </w:pPr>
      <w:r>
        <w:rPr>
          <w:rFonts w:ascii="Garamond" w:hAnsi="Garamond"/>
          <w:b w:val="0"/>
          <w:bCs/>
        </w:rPr>
        <w:t>21.3</w:t>
      </w:r>
      <w:r w:rsidR="00E52F6F" w:rsidRPr="00D80C1B">
        <w:rPr>
          <w:rFonts w:ascii="Garamond" w:hAnsi="Garamond"/>
          <w:b w:val="0"/>
          <w:bCs/>
        </w:rPr>
        <w:t xml:space="preserve"> Pretendimi për </w:t>
      </w:r>
      <w:r w:rsidR="00E52F6F" w:rsidRPr="00D80C1B">
        <w:rPr>
          <w:rFonts w:ascii="Garamond" w:hAnsi="Garamond"/>
          <w:b w:val="0"/>
          <w:bCs/>
          <w:i/>
          <w:iCs/>
        </w:rPr>
        <w:t>cenimin e sigurisë juridike</w:t>
      </w:r>
      <w:r w:rsidR="00E52F6F" w:rsidRPr="00D80C1B">
        <w:rPr>
          <w:rFonts w:ascii="Garamond" w:hAnsi="Garamond"/>
          <w:b w:val="0"/>
          <w:bCs/>
        </w:rPr>
        <w:t xml:space="preserve"> të lidhur </w:t>
      </w:r>
      <w:r w:rsidR="00E52F6F" w:rsidRPr="00D80C1B">
        <w:rPr>
          <w:rFonts w:ascii="Garamond" w:hAnsi="Garamond"/>
          <w:b w:val="0"/>
          <w:bCs/>
          <w:i/>
          <w:iCs/>
        </w:rPr>
        <w:t>me standardin e arsyetimit të vendimit gjyqësor</w:t>
      </w:r>
      <w:r w:rsidR="00E52F6F" w:rsidRPr="00D80C1B">
        <w:rPr>
          <w:rFonts w:ascii="Garamond" w:hAnsi="Garamond"/>
          <w:b w:val="0"/>
          <w:bCs/>
        </w:rPr>
        <w:t xml:space="preserve"> është i pabazuar,</w:t>
      </w:r>
      <w:r w:rsidR="00E52F6F" w:rsidRPr="00D80C1B">
        <w:rPr>
          <w:rFonts w:ascii="Garamond" w:hAnsi="Garamond"/>
        </w:rPr>
        <w:t xml:space="preserve"> </w:t>
      </w:r>
      <w:r w:rsidR="00E52F6F" w:rsidRPr="00D80C1B">
        <w:rPr>
          <w:rFonts w:ascii="Garamond" w:hAnsi="Garamond"/>
          <w:b w:val="0"/>
          <w:bCs/>
        </w:rPr>
        <w:t>pasi kërkuesja nuk ka një vendim gjyqësor të formës së prerë që të ketë vendosur për vlefshmërinë e ko</w:t>
      </w:r>
      <w:r>
        <w:rPr>
          <w:rFonts w:ascii="Garamond" w:hAnsi="Garamond"/>
          <w:b w:val="0"/>
          <w:bCs/>
        </w:rPr>
        <w:t>ntratës së shitjes të datës 19.</w:t>
      </w:r>
      <w:r w:rsidR="00E52F6F" w:rsidRPr="00D80C1B">
        <w:rPr>
          <w:rFonts w:ascii="Garamond" w:hAnsi="Garamond"/>
          <w:b w:val="0"/>
          <w:bCs/>
        </w:rPr>
        <w:t xml:space="preserve">8.1996. Vendimi i Gjykatës së Lartë plotëson standardet kushtetuese, pasi ka zbatuar të gjitha detyrimet që burojnë nga vendimi nr. 57/2023 i Gjykatës dhe u ka kthyer përgjigje shkaqeve të ngritura në rekurs. </w:t>
      </w:r>
    </w:p>
    <w:p w14:paraId="3F40D9BE" w14:textId="77777777" w:rsidR="00E52F6F" w:rsidRPr="00D80C1B" w:rsidRDefault="00E52F6F" w:rsidP="00E52F6F">
      <w:pPr>
        <w:pStyle w:val="BodyTextIndent2"/>
        <w:tabs>
          <w:tab w:val="left" w:pos="980"/>
        </w:tabs>
        <w:spacing w:line="240" w:lineRule="auto"/>
        <w:ind w:left="0" w:firstLine="284"/>
        <w:jc w:val="center"/>
        <w:rPr>
          <w:rFonts w:ascii="Garamond" w:hAnsi="Garamond"/>
        </w:rPr>
      </w:pPr>
    </w:p>
    <w:p w14:paraId="35EE23AB" w14:textId="77777777" w:rsidR="00E52F6F" w:rsidRPr="00D80C1B" w:rsidRDefault="00E52F6F" w:rsidP="00E52F6F">
      <w:pPr>
        <w:pStyle w:val="BodyTextIndent2"/>
        <w:tabs>
          <w:tab w:val="left" w:pos="980"/>
        </w:tabs>
        <w:spacing w:line="240" w:lineRule="auto"/>
        <w:ind w:left="0" w:firstLine="284"/>
        <w:jc w:val="center"/>
        <w:rPr>
          <w:rFonts w:ascii="Garamond" w:hAnsi="Garamond"/>
        </w:rPr>
      </w:pPr>
      <w:proofErr w:type="spellStart"/>
      <w:r w:rsidRPr="00D80C1B">
        <w:rPr>
          <w:rFonts w:ascii="Garamond" w:hAnsi="Garamond"/>
        </w:rPr>
        <w:t>III</w:t>
      </w:r>
      <w:proofErr w:type="spellEnd"/>
    </w:p>
    <w:p w14:paraId="0BDB2234" w14:textId="77777777" w:rsidR="00E52F6F" w:rsidRPr="00D80C1B" w:rsidRDefault="00E52F6F" w:rsidP="00E52F6F">
      <w:pPr>
        <w:pStyle w:val="BodyTextIndent2"/>
        <w:tabs>
          <w:tab w:val="left" w:pos="1260"/>
        </w:tabs>
        <w:spacing w:line="240" w:lineRule="auto"/>
        <w:ind w:left="0" w:firstLine="284"/>
        <w:jc w:val="center"/>
        <w:rPr>
          <w:rFonts w:ascii="Garamond" w:hAnsi="Garamond"/>
        </w:rPr>
      </w:pPr>
      <w:r w:rsidRPr="00D80C1B">
        <w:rPr>
          <w:rFonts w:ascii="Garamond" w:hAnsi="Garamond"/>
        </w:rPr>
        <w:t>Vlerësimi i Gjykatës Kushtetuese</w:t>
      </w:r>
    </w:p>
    <w:p w14:paraId="5AE1F688" w14:textId="77777777" w:rsidR="009F6C58" w:rsidRPr="00D80C1B" w:rsidRDefault="009F6C58" w:rsidP="00E52F6F">
      <w:pPr>
        <w:pStyle w:val="BodyTextIndent2"/>
        <w:tabs>
          <w:tab w:val="left" w:pos="0"/>
        </w:tabs>
        <w:spacing w:line="240" w:lineRule="auto"/>
        <w:ind w:left="0" w:firstLine="284"/>
        <w:rPr>
          <w:rFonts w:ascii="Garamond" w:hAnsi="Garamond"/>
          <w:b w:val="0"/>
          <w:bCs/>
          <w:i/>
          <w:iCs/>
        </w:rPr>
      </w:pPr>
    </w:p>
    <w:p w14:paraId="70BBD883" w14:textId="41E3CAA5" w:rsidR="00E52F6F" w:rsidRPr="00D80C1B" w:rsidRDefault="00E52F6F" w:rsidP="00E52F6F">
      <w:pPr>
        <w:pStyle w:val="BodyTextIndent2"/>
        <w:tabs>
          <w:tab w:val="left" w:pos="0"/>
        </w:tabs>
        <w:spacing w:line="240" w:lineRule="auto"/>
        <w:ind w:left="0" w:firstLine="284"/>
        <w:rPr>
          <w:rFonts w:ascii="Garamond" w:hAnsi="Garamond"/>
          <w:b w:val="0"/>
          <w:bCs/>
          <w:i/>
          <w:iCs/>
        </w:rPr>
      </w:pPr>
      <w:r w:rsidRPr="00D80C1B">
        <w:rPr>
          <w:rFonts w:ascii="Garamond" w:hAnsi="Garamond"/>
          <w:b w:val="0"/>
          <w:bCs/>
          <w:i/>
          <w:iCs/>
        </w:rPr>
        <w:t>A. Për legjitimimin e kërkueses</w:t>
      </w:r>
    </w:p>
    <w:p w14:paraId="716E1F8F" w14:textId="514CF660"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22. Çështja e legjitimimit </w:t>
      </w:r>
      <w:r w:rsidRPr="00D80C1B">
        <w:rPr>
          <w:rFonts w:ascii="Garamond" w:hAnsi="Garamond"/>
          <w:b w:val="0"/>
          <w:bCs/>
          <w:i/>
          <w:iCs/>
        </w:rPr>
        <w:t>(</w:t>
      </w:r>
      <w:proofErr w:type="spellStart"/>
      <w:r w:rsidRPr="00D80C1B">
        <w:rPr>
          <w:rFonts w:ascii="Garamond" w:hAnsi="Garamond"/>
          <w:b w:val="0"/>
          <w:bCs/>
          <w:i/>
          <w:iCs/>
        </w:rPr>
        <w:t>locus</w:t>
      </w:r>
      <w:proofErr w:type="spellEnd"/>
      <w:r w:rsidRPr="00D80C1B">
        <w:rPr>
          <w:rFonts w:ascii="Garamond" w:hAnsi="Garamond"/>
          <w:b w:val="0"/>
          <w:bCs/>
          <w:i/>
          <w:iCs/>
        </w:rPr>
        <w:t xml:space="preserve"> </w:t>
      </w:r>
      <w:proofErr w:type="spellStart"/>
      <w:r w:rsidRPr="00D80C1B">
        <w:rPr>
          <w:rFonts w:ascii="Garamond" w:hAnsi="Garamond"/>
          <w:b w:val="0"/>
          <w:bCs/>
          <w:i/>
          <w:iCs/>
        </w:rPr>
        <w:t>standi</w:t>
      </w:r>
      <w:proofErr w:type="spellEnd"/>
      <w:r w:rsidRPr="00D80C1B">
        <w:rPr>
          <w:rFonts w:ascii="Garamond" w:hAnsi="Garamond"/>
          <w:b w:val="0"/>
          <w:bCs/>
          <w:i/>
          <w:iCs/>
        </w:rPr>
        <w:t>)</w:t>
      </w:r>
      <w:r w:rsidRPr="00D80C1B">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person juridik, subjekt i së drejtës private, mund të vërë në lëvizje Gjykatën për gjykimin përfundimtar të ankesave kundër çdo vendimi gjyqësor, që cenon të drejtat dhe liritë themelore të garantuara në Kushtetutë. Ankimi kushtetues individual, në çdo rast, duhet të plotësojë kriteret </w:t>
      </w:r>
      <w:proofErr w:type="spellStart"/>
      <w:r w:rsidRPr="00D80C1B">
        <w:rPr>
          <w:rFonts w:ascii="Garamond" w:hAnsi="Garamond"/>
          <w:b w:val="0"/>
          <w:bCs/>
        </w:rPr>
        <w:t>kumulative</w:t>
      </w:r>
      <w:proofErr w:type="spellEnd"/>
      <w:r w:rsidRPr="00D80C1B">
        <w:rPr>
          <w:rFonts w:ascii="Garamond" w:hAnsi="Garamond"/>
          <w:b w:val="0"/>
          <w:bCs/>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28BDA876" w14:textId="109EDB8B"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23. Gjykata vëren se kërkuesja legjitimohet </w:t>
      </w:r>
      <w:proofErr w:type="spellStart"/>
      <w:r w:rsidRPr="00D80C1B">
        <w:rPr>
          <w:rFonts w:ascii="Garamond" w:hAnsi="Garamond"/>
          <w:b w:val="0"/>
          <w:bCs/>
          <w:i/>
          <w:iCs/>
        </w:rPr>
        <w:t>ratione</w:t>
      </w:r>
      <w:proofErr w:type="spellEnd"/>
      <w:r w:rsidRPr="00D80C1B">
        <w:rPr>
          <w:rFonts w:ascii="Garamond" w:hAnsi="Garamond"/>
          <w:b w:val="0"/>
          <w:bCs/>
          <w:i/>
          <w:iCs/>
        </w:rPr>
        <w:t xml:space="preserve"> </w:t>
      </w:r>
      <w:proofErr w:type="spellStart"/>
      <w:r w:rsidRPr="00D80C1B">
        <w:rPr>
          <w:rFonts w:ascii="Garamond" w:hAnsi="Garamond"/>
          <w:b w:val="0"/>
          <w:bCs/>
          <w:i/>
          <w:iCs/>
        </w:rPr>
        <w:t>personae</w:t>
      </w:r>
      <w:proofErr w:type="spellEnd"/>
      <w:r w:rsidRPr="00D80C1B">
        <w:rPr>
          <w:rFonts w:ascii="Garamond" w:hAnsi="Garamond"/>
          <w:b w:val="0"/>
          <w:bCs/>
          <w:i/>
          <w:iCs/>
        </w:rPr>
        <w:t>,</w:t>
      </w:r>
      <w:r w:rsidRPr="00D80C1B">
        <w:rPr>
          <w:rFonts w:ascii="Garamond" w:hAnsi="Garamond"/>
          <w:b w:val="0"/>
          <w:bCs/>
        </w:rPr>
        <w:t xml:space="preserve"> bazuar në nenet 131, pika 1, shkronja “f” dhe 134, pika 1, shkronja “i”, të Kushtetutës, pasi ka qenë palë në procesin gjyqësor të kundërshtuar, për rrjedhojë provon interesin e saj të drejtpërdrejtë në gjykimin kushtetues. Ajo plotëson edhe kriterin e </w:t>
      </w:r>
      <w:r w:rsidRPr="00D80C1B">
        <w:rPr>
          <w:rFonts w:ascii="Garamond" w:hAnsi="Garamond"/>
          <w:b w:val="0"/>
          <w:bCs/>
          <w:i/>
          <w:iCs/>
        </w:rPr>
        <w:t>shterimit të mjeteve juridike efektive</w:t>
      </w:r>
      <w:r w:rsidRPr="00D80C1B">
        <w:rPr>
          <w:rFonts w:ascii="Garamond" w:hAnsi="Garamond"/>
          <w:b w:val="0"/>
          <w:bCs/>
        </w:rPr>
        <w:t xml:space="preserve">, në kuptim të nenit 131, pika 1, shkronja “f”, të Kushtetutës, pasi ka kundërshtuar vendimin e Gjykatës së Lartë të dhënë në rigjykim, për të cilin nuk ka mjete të tjera në dispozicion përveç paraqitjes së ankimit kushtetues individual. Po kështu, kërkuesja legjitimohet edhe </w:t>
      </w:r>
      <w:proofErr w:type="spellStart"/>
      <w:r w:rsidRPr="00D80C1B">
        <w:rPr>
          <w:rFonts w:ascii="Garamond" w:hAnsi="Garamond"/>
          <w:b w:val="0"/>
          <w:bCs/>
          <w:i/>
          <w:iCs/>
        </w:rPr>
        <w:t>ratione</w:t>
      </w:r>
      <w:proofErr w:type="spellEnd"/>
      <w:r w:rsidRPr="00D80C1B">
        <w:rPr>
          <w:rFonts w:ascii="Garamond" w:hAnsi="Garamond"/>
          <w:b w:val="0"/>
          <w:bCs/>
          <w:i/>
          <w:iCs/>
        </w:rPr>
        <w:t xml:space="preserve"> </w:t>
      </w:r>
      <w:proofErr w:type="spellStart"/>
      <w:r w:rsidRPr="00D80C1B">
        <w:rPr>
          <w:rFonts w:ascii="Garamond" w:hAnsi="Garamond"/>
          <w:b w:val="0"/>
          <w:bCs/>
          <w:i/>
          <w:iCs/>
        </w:rPr>
        <w:t>temporis</w:t>
      </w:r>
      <w:proofErr w:type="spellEnd"/>
      <w:r w:rsidRPr="00D80C1B">
        <w:rPr>
          <w:rFonts w:ascii="Garamond" w:hAnsi="Garamond"/>
          <w:b w:val="0"/>
          <w:bCs/>
        </w:rPr>
        <w:t>, në kuptim të përmbajtjes së nenit 71/a, pika 1, shkronja “b”, të Ligjit Organik të Gjykatës, pasi sipas shkresës nr.</w:t>
      </w:r>
      <w:r w:rsidR="00BB3DC5">
        <w:rPr>
          <w:rFonts w:ascii="Garamond" w:hAnsi="Garamond"/>
          <w:b w:val="0"/>
          <w:bCs/>
        </w:rPr>
        <w:t xml:space="preserve"> 1580/1 </w:t>
      </w:r>
      <w:proofErr w:type="spellStart"/>
      <w:r w:rsidR="00BB3DC5">
        <w:rPr>
          <w:rFonts w:ascii="Garamond" w:hAnsi="Garamond"/>
          <w:b w:val="0"/>
          <w:bCs/>
        </w:rPr>
        <w:t>prot</w:t>
      </w:r>
      <w:proofErr w:type="spellEnd"/>
      <w:r w:rsidR="00BB3DC5">
        <w:rPr>
          <w:rFonts w:ascii="Garamond" w:hAnsi="Garamond"/>
          <w:b w:val="0"/>
          <w:bCs/>
        </w:rPr>
        <w:t>., datë 27.</w:t>
      </w:r>
      <w:r w:rsidRPr="00D80C1B">
        <w:rPr>
          <w:rFonts w:ascii="Garamond" w:hAnsi="Garamond"/>
          <w:b w:val="0"/>
          <w:bCs/>
        </w:rPr>
        <w:t>3.2025</w:t>
      </w:r>
      <w:r w:rsidR="00BB3DC5">
        <w:rPr>
          <w:rFonts w:ascii="Garamond" w:hAnsi="Garamond"/>
          <w:b w:val="0"/>
          <w:bCs/>
        </w:rPr>
        <w:t>,</w:t>
      </w:r>
      <w:r w:rsidRPr="00D80C1B">
        <w:rPr>
          <w:rFonts w:ascii="Garamond" w:hAnsi="Garamond"/>
          <w:b w:val="0"/>
          <w:bCs/>
        </w:rPr>
        <w:t xml:space="preserve"> të Gjykatës së Lartë, vendimi i kundërshtuar i kësaj gjykate është bërë i </w:t>
      </w:r>
      <w:proofErr w:type="spellStart"/>
      <w:r w:rsidRPr="00D80C1B">
        <w:rPr>
          <w:rFonts w:ascii="Garamond" w:hAnsi="Garamond"/>
          <w:b w:val="0"/>
          <w:bCs/>
        </w:rPr>
        <w:t>disponueshëm</w:t>
      </w:r>
      <w:proofErr w:type="spellEnd"/>
      <w:r w:rsidRPr="00D80C1B">
        <w:rPr>
          <w:rFonts w:ascii="Garamond" w:hAnsi="Garamond"/>
          <w:b w:val="0"/>
          <w:bCs/>
        </w:rPr>
        <w:t xml:space="preserve"> për palët në datën 11.12.2024, ndërsa ankimi kushtetues individual është dërguar në</w:t>
      </w:r>
      <w:r w:rsidR="00BB3DC5">
        <w:rPr>
          <w:rFonts w:ascii="Garamond" w:hAnsi="Garamond"/>
          <w:b w:val="0"/>
          <w:bCs/>
        </w:rPr>
        <w:t xml:space="preserve"> Gjykatë në datën 7.</w:t>
      </w:r>
      <w:r w:rsidRPr="00D80C1B">
        <w:rPr>
          <w:rFonts w:ascii="Garamond" w:hAnsi="Garamond"/>
          <w:b w:val="0"/>
          <w:bCs/>
        </w:rPr>
        <w:t>4.2025, pra brenda afatit ligjor 4-mujor.</w:t>
      </w:r>
    </w:p>
    <w:p w14:paraId="0EF485EB" w14:textId="6AA961CA"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24. Në lidhje me legjitimimin </w:t>
      </w:r>
      <w:proofErr w:type="spellStart"/>
      <w:r w:rsidRPr="00D80C1B">
        <w:rPr>
          <w:rFonts w:ascii="Garamond" w:hAnsi="Garamond"/>
          <w:b w:val="0"/>
          <w:bCs/>
          <w:i/>
          <w:iCs/>
        </w:rPr>
        <w:t>ratione</w:t>
      </w:r>
      <w:proofErr w:type="spellEnd"/>
      <w:r w:rsidRPr="00D80C1B">
        <w:rPr>
          <w:rFonts w:ascii="Garamond" w:hAnsi="Garamond"/>
          <w:b w:val="0"/>
          <w:bCs/>
          <w:i/>
          <w:iCs/>
        </w:rPr>
        <w:t xml:space="preserve"> </w:t>
      </w:r>
      <w:proofErr w:type="spellStart"/>
      <w:r w:rsidRPr="00D80C1B">
        <w:rPr>
          <w:rFonts w:ascii="Garamond" w:hAnsi="Garamond"/>
          <w:b w:val="0"/>
          <w:bCs/>
          <w:i/>
          <w:iCs/>
        </w:rPr>
        <w:t>materiae</w:t>
      </w:r>
      <w:proofErr w:type="spellEnd"/>
      <w:r w:rsidRPr="00D80C1B">
        <w:rPr>
          <w:rFonts w:ascii="Garamond" w:hAnsi="Garamond"/>
          <w:b w:val="0"/>
          <w:bCs/>
        </w:rPr>
        <w:t xml:space="preserve">, kërkuesja ka pretenduar cenimin e </w:t>
      </w:r>
      <w:r w:rsidRPr="00D80C1B">
        <w:rPr>
          <w:rFonts w:ascii="Garamond" w:hAnsi="Garamond"/>
          <w:b w:val="0"/>
          <w:bCs/>
          <w:i/>
          <w:iCs/>
        </w:rPr>
        <w:t>së drejtës për proces të rregullt ligjor</w:t>
      </w:r>
      <w:r w:rsidRPr="00D80C1B">
        <w:rPr>
          <w:rFonts w:ascii="Garamond" w:hAnsi="Garamond"/>
          <w:b w:val="0"/>
          <w:bCs/>
        </w:rPr>
        <w:t xml:space="preserve">, të garantuar nga neni 42 i Kushtetutës, </w:t>
      </w:r>
      <w:r w:rsidRPr="00D80C1B">
        <w:rPr>
          <w:rFonts w:ascii="Garamond" w:hAnsi="Garamond"/>
          <w:b w:val="0"/>
          <w:bCs/>
          <w:i/>
          <w:iCs/>
        </w:rPr>
        <w:t>në aspektin e së drejtës për</w:t>
      </w:r>
      <w:r w:rsidR="00BA2AB8">
        <w:rPr>
          <w:rFonts w:ascii="Garamond" w:hAnsi="Garamond"/>
          <w:b w:val="0"/>
          <w:bCs/>
          <w:i/>
          <w:iCs/>
        </w:rPr>
        <w:t xml:space="preserve"> t’</w:t>
      </w:r>
      <w:r w:rsidRPr="00D80C1B">
        <w:rPr>
          <w:rFonts w:ascii="Garamond" w:hAnsi="Garamond"/>
          <w:b w:val="0"/>
          <w:bCs/>
          <w:i/>
          <w:iCs/>
        </w:rPr>
        <w:t>u gjykuar nga një gjykatë e caktuar me ligj</w:t>
      </w:r>
      <w:r w:rsidRPr="00D80C1B">
        <w:rPr>
          <w:rFonts w:ascii="Garamond" w:hAnsi="Garamond"/>
          <w:b w:val="0"/>
          <w:bCs/>
        </w:rPr>
        <w:t xml:space="preserve">, </w:t>
      </w:r>
      <w:r w:rsidRPr="00D80C1B">
        <w:rPr>
          <w:rFonts w:ascii="Garamond" w:hAnsi="Garamond"/>
          <w:b w:val="0"/>
          <w:bCs/>
          <w:i/>
          <w:iCs/>
        </w:rPr>
        <w:t xml:space="preserve">së drejtës së </w:t>
      </w:r>
      <w:proofErr w:type="spellStart"/>
      <w:r w:rsidRPr="00D80C1B">
        <w:rPr>
          <w:rFonts w:ascii="Garamond" w:hAnsi="Garamond"/>
          <w:b w:val="0"/>
          <w:bCs/>
          <w:i/>
          <w:iCs/>
        </w:rPr>
        <w:t>aksesit</w:t>
      </w:r>
      <w:proofErr w:type="spellEnd"/>
      <w:r w:rsidRPr="00D80C1B">
        <w:rPr>
          <w:rFonts w:ascii="Garamond" w:hAnsi="Garamond"/>
          <w:b w:val="0"/>
          <w:bCs/>
          <w:i/>
          <w:iCs/>
        </w:rPr>
        <w:t xml:space="preserve"> e ankimit efektiv</w:t>
      </w:r>
      <w:r w:rsidRPr="00D80C1B">
        <w:rPr>
          <w:rFonts w:ascii="Garamond" w:hAnsi="Garamond"/>
          <w:b w:val="0"/>
          <w:bCs/>
        </w:rPr>
        <w:t xml:space="preserve"> dhe </w:t>
      </w:r>
      <w:r w:rsidRPr="00D80C1B">
        <w:rPr>
          <w:rFonts w:ascii="Garamond" w:hAnsi="Garamond"/>
          <w:b w:val="0"/>
          <w:bCs/>
          <w:i/>
          <w:iCs/>
        </w:rPr>
        <w:t>parimit të sigurisë juridike të lidhur me standardin e arsyetimit të vendimit gjyqësor</w:t>
      </w:r>
      <w:r w:rsidRPr="00D80C1B">
        <w:rPr>
          <w:rFonts w:ascii="Garamond" w:hAnsi="Garamond"/>
          <w:b w:val="0"/>
          <w:bCs/>
        </w:rPr>
        <w:t xml:space="preserve">, si edhe </w:t>
      </w:r>
      <w:r w:rsidRPr="00D80C1B">
        <w:rPr>
          <w:rFonts w:ascii="Garamond" w:hAnsi="Garamond"/>
          <w:b w:val="0"/>
          <w:bCs/>
          <w:i/>
          <w:iCs/>
        </w:rPr>
        <w:t>të së drejtës së pronës private</w:t>
      </w:r>
      <w:r w:rsidRPr="00D80C1B">
        <w:rPr>
          <w:rFonts w:ascii="Garamond" w:hAnsi="Garamond"/>
          <w:b w:val="0"/>
          <w:bCs/>
        </w:rPr>
        <w:t xml:space="preserve">, të garantuar nga neni 41 i Kushtetutës. </w:t>
      </w:r>
    </w:p>
    <w:p w14:paraId="55C2540C" w14:textId="38C1A5FB"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25. Për sa i përket pretendimit për cenimin e së drejtës për t’u gjykuar nga një gjykatë e caktuar me ligj, kërkuesja ka parashtruar si argument edhe se Gjykata e Lartë ka marrë atributet e gjykatave të faktit, duke bërë vetë vlerësimin e provave të administruara në gjykim në lidhje me regjistrimin e pronës në regjistrin </w:t>
      </w:r>
      <w:proofErr w:type="spellStart"/>
      <w:r w:rsidRPr="00D80C1B">
        <w:rPr>
          <w:rFonts w:ascii="Garamond" w:hAnsi="Garamond"/>
          <w:b w:val="0"/>
          <w:bCs/>
        </w:rPr>
        <w:t>kadastral</w:t>
      </w:r>
      <w:proofErr w:type="spellEnd"/>
      <w:r w:rsidRPr="00D80C1B">
        <w:rPr>
          <w:rFonts w:ascii="Garamond" w:hAnsi="Garamond"/>
          <w:b w:val="0"/>
          <w:bCs/>
        </w:rPr>
        <w:t xml:space="preserve">, ndonëse, sipas saj, duhej ta kishte kthyer çështjen për rishqyrtim në gjykatën e apelit. Gjykata vëren se, pavarësisht ngritjes së këtij pretendimi, kërkuesja nuk parashtron fakte konkrete që të tregojnë se Gjykata e Lartë ka rivlerësuar provat ose ka ripërcaktuar faktet në mënyrë të ndryshme nga gjykatat më të ulëta. Përkundrazi, rezulton se ajo ka disponuar mbi të njëjtat fakte dhe prova të pranuara nga gjykatat e faktit, duke u ndalur vetëm në interpretimin e ligjit material civil. Për rrjedhojë, pretendimi i kërkueses për këtë argument është </w:t>
      </w:r>
      <w:r w:rsidRPr="00D80C1B">
        <w:rPr>
          <w:rFonts w:ascii="Garamond" w:hAnsi="Garamond"/>
          <w:b w:val="0"/>
          <w:bCs/>
        </w:rPr>
        <w:lastRenderedPageBreak/>
        <w:t xml:space="preserve">haptazi i pabazuar. Nga ana tjetër, pretendimi i saj se vlerësimi i provave nga gjykatat e faktit në lidhje me regjistrimin e pronës në regjistrin </w:t>
      </w:r>
      <w:proofErr w:type="spellStart"/>
      <w:r w:rsidRPr="00D80C1B">
        <w:rPr>
          <w:rFonts w:ascii="Garamond" w:hAnsi="Garamond"/>
          <w:b w:val="0"/>
          <w:bCs/>
        </w:rPr>
        <w:t>kadastral</w:t>
      </w:r>
      <w:proofErr w:type="spellEnd"/>
      <w:r w:rsidRPr="00D80C1B">
        <w:rPr>
          <w:rFonts w:ascii="Garamond" w:hAnsi="Garamond"/>
          <w:b w:val="0"/>
          <w:bCs/>
        </w:rPr>
        <w:t xml:space="preserve"> përbënte një detyrim që buronte nga vendimi nr. 57/2023 i Gjykatës, në thelb, lidhet me standardin e zbatimit të detyrueshëm të vendimeve të Gjykatës, ndaj do të analizohet në këtë drejtim.</w:t>
      </w:r>
    </w:p>
    <w:p w14:paraId="1B1F3BBC" w14:textId="180BAC58"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26. Për sa u përket pretendimeve të tjera, nisur nga argumentet e parashtruara nga kërkuesja, të cilat, në thelb, kanë të bëjnë me të drejtën e </w:t>
      </w:r>
      <w:proofErr w:type="spellStart"/>
      <w:r w:rsidRPr="00D80C1B">
        <w:rPr>
          <w:rFonts w:ascii="Garamond" w:hAnsi="Garamond"/>
          <w:b w:val="0"/>
          <w:bCs/>
        </w:rPr>
        <w:t>aksesit</w:t>
      </w:r>
      <w:proofErr w:type="spellEnd"/>
      <w:r w:rsidRPr="00D80C1B">
        <w:rPr>
          <w:rFonts w:ascii="Garamond" w:hAnsi="Garamond"/>
          <w:b w:val="0"/>
          <w:bCs/>
        </w:rPr>
        <w:t xml:space="preserve"> në aspektin e ankimit efektiv, si dhe të përmbushjes së detyrimeve që burojnë nga vendimi i saj nr. 57/2023, Gjykata çmon që pretendimet e kërkueses t’i analizojë në vijim në drejtim të së drejtës së </w:t>
      </w:r>
      <w:proofErr w:type="spellStart"/>
      <w:r w:rsidRPr="00D80C1B">
        <w:rPr>
          <w:rFonts w:ascii="Garamond" w:hAnsi="Garamond"/>
          <w:b w:val="0"/>
          <w:bCs/>
        </w:rPr>
        <w:t>aksesit</w:t>
      </w:r>
      <w:proofErr w:type="spellEnd"/>
      <w:r w:rsidRPr="00D80C1B">
        <w:rPr>
          <w:rFonts w:ascii="Garamond" w:hAnsi="Garamond"/>
          <w:b w:val="0"/>
          <w:bCs/>
        </w:rPr>
        <w:t xml:space="preserve"> në aspekt të ankimit efektiv të lidhur me standardin e zbatimit të detyrueshëm të vendimeve të Gjykatës dhe standardin e arsyetimit të vendimit gjyqësor.</w:t>
      </w:r>
    </w:p>
    <w:p w14:paraId="6ADE2054" w14:textId="77777777" w:rsidR="00E52F6F" w:rsidRPr="00D80C1B" w:rsidRDefault="00E52F6F" w:rsidP="00E52F6F">
      <w:pPr>
        <w:pStyle w:val="ListParagraph"/>
        <w:tabs>
          <w:tab w:val="left" w:pos="1080"/>
        </w:tabs>
        <w:spacing w:line="240" w:lineRule="auto"/>
        <w:ind w:left="0" w:firstLine="284"/>
        <w:jc w:val="both"/>
        <w:rPr>
          <w:rFonts w:ascii="Garamond" w:hAnsi="Garamond"/>
          <w:i/>
          <w:iCs/>
        </w:rPr>
      </w:pPr>
      <w:r w:rsidRPr="00D80C1B">
        <w:rPr>
          <w:rFonts w:ascii="Garamond" w:hAnsi="Garamond"/>
          <w:i/>
          <w:iCs/>
        </w:rPr>
        <w:t>B. Për themelin e pretendimeve</w:t>
      </w:r>
    </w:p>
    <w:p w14:paraId="668B360B" w14:textId="2B572EAC" w:rsidR="00E52F6F" w:rsidRPr="00D80C1B" w:rsidRDefault="00BB3DC5" w:rsidP="00E52F6F">
      <w:pPr>
        <w:pStyle w:val="ListParagraph"/>
        <w:tabs>
          <w:tab w:val="left" w:pos="1080"/>
        </w:tabs>
        <w:spacing w:line="240" w:lineRule="auto"/>
        <w:ind w:left="0" w:firstLine="284"/>
        <w:jc w:val="both"/>
        <w:rPr>
          <w:rFonts w:ascii="Garamond" w:hAnsi="Garamond"/>
          <w:i/>
          <w:iCs/>
        </w:rPr>
      </w:pPr>
      <w:r>
        <w:rPr>
          <w:rFonts w:ascii="Garamond" w:hAnsi="Garamond"/>
          <w:i/>
          <w:iCs/>
        </w:rPr>
        <w:t>B.1</w:t>
      </w:r>
      <w:r w:rsidR="00E52F6F" w:rsidRPr="00D80C1B">
        <w:rPr>
          <w:rFonts w:ascii="Garamond" w:hAnsi="Garamond"/>
          <w:i/>
          <w:iCs/>
        </w:rPr>
        <w:t xml:space="preserve"> Për cenimin e së drejtës së </w:t>
      </w:r>
      <w:proofErr w:type="spellStart"/>
      <w:r w:rsidR="00E52F6F" w:rsidRPr="00D80C1B">
        <w:rPr>
          <w:rFonts w:ascii="Garamond" w:hAnsi="Garamond"/>
          <w:i/>
          <w:iCs/>
        </w:rPr>
        <w:t>aksesit</w:t>
      </w:r>
      <w:proofErr w:type="spellEnd"/>
      <w:r w:rsidR="00E52F6F" w:rsidRPr="00D80C1B">
        <w:rPr>
          <w:rFonts w:ascii="Garamond" w:hAnsi="Garamond"/>
          <w:i/>
          <w:iCs/>
        </w:rPr>
        <w:t xml:space="preserve"> në aspekt të ankimit efektiv</w:t>
      </w:r>
      <w:r w:rsidR="00E52F6F" w:rsidRPr="00D80C1B">
        <w:rPr>
          <w:rFonts w:ascii="Garamond" w:hAnsi="Garamond"/>
          <w:b/>
          <w:bCs/>
        </w:rPr>
        <w:t xml:space="preserve"> </w:t>
      </w:r>
      <w:r w:rsidR="00E52F6F" w:rsidRPr="00D80C1B">
        <w:rPr>
          <w:rFonts w:ascii="Garamond" w:hAnsi="Garamond"/>
          <w:i/>
          <w:iCs/>
        </w:rPr>
        <w:t xml:space="preserve">të lidhur me standardin e arsyetimit të vendimit gjyqësor dhe standardin e zbatimit të detyrueshëm të vendimeve të Gjykatës </w:t>
      </w:r>
    </w:p>
    <w:p w14:paraId="05A523D5" w14:textId="1E0CEDB6"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27. Kërkuesja ka pretenduar se në rigjykim Gjykata e Lartë nuk ka marrë parasysh dhe nuk ka arsyetuar për shkaqet ligjore të ngritura prej saj lidhur me legjislacionin e zbatueshëm të kohës, për sa u përket efekteve që sillte regjistrimi i pronës në regjistrin </w:t>
      </w:r>
      <w:proofErr w:type="spellStart"/>
      <w:r w:rsidRPr="00D80C1B">
        <w:rPr>
          <w:rFonts w:ascii="Garamond" w:hAnsi="Garamond"/>
          <w:b w:val="0"/>
          <w:bCs/>
        </w:rPr>
        <w:t>kadastral</w:t>
      </w:r>
      <w:proofErr w:type="spellEnd"/>
      <w:r w:rsidRPr="00D80C1B">
        <w:rPr>
          <w:rFonts w:ascii="Garamond" w:hAnsi="Garamond"/>
          <w:b w:val="0"/>
          <w:bCs/>
        </w:rPr>
        <w:t xml:space="preserve">, shkak ky ligjor përcaktues për vlefshmërinë/ligjshmërinë e titullit të pronësisë. Po sipas kërkueses, nuk ka marrë parasysh detyrimet që burojnë nga vendimi nr. 57/2023 i Gjykatës në lidhje me konstatimin e saj se gjykatat e faktit nuk kanë analizuar provat e administruara në gjykim, në kuptim të regjistrimit të pronës në regjistrin </w:t>
      </w:r>
      <w:proofErr w:type="spellStart"/>
      <w:r w:rsidRPr="00D80C1B">
        <w:rPr>
          <w:rFonts w:ascii="Garamond" w:hAnsi="Garamond"/>
          <w:b w:val="0"/>
          <w:bCs/>
        </w:rPr>
        <w:t>kadastral</w:t>
      </w:r>
      <w:proofErr w:type="spellEnd"/>
      <w:r w:rsidRPr="00D80C1B">
        <w:rPr>
          <w:rFonts w:ascii="Garamond" w:hAnsi="Garamond"/>
          <w:b w:val="0"/>
          <w:bCs/>
        </w:rPr>
        <w:t>, shkak për të cilin çështja duhet të ishte kthyer për rishqyrtim në gjykatën e apelit.</w:t>
      </w:r>
      <w:r w:rsidRPr="00D80C1B">
        <w:rPr>
          <w:rFonts w:ascii="Garamond" w:hAnsi="Garamond"/>
        </w:rPr>
        <w:t xml:space="preserve"> </w:t>
      </w:r>
      <w:r w:rsidRPr="00D80C1B">
        <w:rPr>
          <w:rFonts w:ascii="Garamond" w:hAnsi="Garamond"/>
          <w:b w:val="0"/>
          <w:bCs/>
        </w:rPr>
        <w:t xml:space="preserve">Gjykata e Lartë, vijon kërkuesja, duhet të kishte treguar vëmendje të shtuar në vlerësimin e çështjes ligjore nëse regjistrimi i pasurisë në regjistrin </w:t>
      </w:r>
      <w:proofErr w:type="spellStart"/>
      <w:r w:rsidRPr="00D80C1B">
        <w:rPr>
          <w:rFonts w:ascii="Garamond" w:hAnsi="Garamond"/>
          <w:b w:val="0"/>
          <w:bCs/>
        </w:rPr>
        <w:t>kadastral</w:t>
      </w:r>
      <w:proofErr w:type="spellEnd"/>
      <w:r w:rsidRPr="00D80C1B">
        <w:rPr>
          <w:rFonts w:ascii="Garamond" w:hAnsi="Garamond"/>
          <w:b w:val="0"/>
          <w:bCs/>
        </w:rPr>
        <w:t xml:space="preserve"> në përputhje me ligjin e kohës kualifikohej ose jo si regjistrim në regjistrat publikë, sipas nenit 195 të </w:t>
      </w:r>
      <w:proofErr w:type="spellStart"/>
      <w:r w:rsidRPr="00D80C1B">
        <w:rPr>
          <w:rFonts w:ascii="Garamond" w:hAnsi="Garamond"/>
          <w:b w:val="0"/>
          <w:bCs/>
        </w:rPr>
        <w:t>KC</w:t>
      </w:r>
      <w:proofErr w:type="spellEnd"/>
      <w:r w:rsidRPr="00D80C1B">
        <w:rPr>
          <w:rFonts w:ascii="Garamond" w:hAnsi="Garamond"/>
          <w:b w:val="0"/>
          <w:bCs/>
        </w:rPr>
        <w:t xml:space="preserve">-së. Mungesa e arsyetimit i ka cenuar </w:t>
      </w:r>
      <w:proofErr w:type="spellStart"/>
      <w:r w:rsidRPr="00D80C1B">
        <w:rPr>
          <w:rFonts w:ascii="Garamond" w:hAnsi="Garamond"/>
          <w:b w:val="0"/>
          <w:bCs/>
        </w:rPr>
        <w:t>pritshmëritë</w:t>
      </w:r>
      <w:proofErr w:type="spellEnd"/>
      <w:r w:rsidRPr="00D80C1B">
        <w:rPr>
          <w:rFonts w:ascii="Garamond" w:hAnsi="Garamond"/>
          <w:b w:val="0"/>
          <w:bCs/>
        </w:rPr>
        <w:t xml:space="preserve"> legjitime në të drejtat pronësore të fituara mbi pasurinë objekt gjykimi.</w:t>
      </w:r>
    </w:p>
    <w:p w14:paraId="2B5C6212" w14:textId="6FF85608"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28.</w:t>
      </w:r>
      <w:r w:rsidR="006974FD">
        <w:rPr>
          <w:rFonts w:ascii="Garamond" w:hAnsi="Garamond"/>
          <w:b w:val="0"/>
          <w:bCs/>
        </w:rPr>
        <w:t xml:space="preserve"> </w:t>
      </w:r>
      <w:r w:rsidRPr="00D80C1B">
        <w:rPr>
          <w:rFonts w:ascii="Garamond" w:hAnsi="Garamond"/>
          <w:b w:val="0"/>
          <w:bCs/>
        </w:rPr>
        <w:t xml:space="preserve">Subjekti i interesuar, Arti </w:t>
      </w:r>
      <w:proofErr w:type="spellStart"/>
      <w:r w:rsidRPr="00D80C1B">
        <w:rPr>
          <w:rFonts w:ascii="Garamond" w:hAnsi="Garamond"/>
          <w:b w:val="0"/>
          <w:bCs/>
        </w:rPr>
        <w:t>Elezaj</w:t>
      </w:r>
      <w:proofErr w:type="spellEnd"/>
      <w:r w:rsidRPr="00D80C1B">
        <w:rPr>
          <w:rFonts w:ascii="Garamond" w:hAnsi="Garamond"/>
          <w:b w:val="0"/>
          <w:bCs/>
        </w:rPr>
        <w:t xml:space="preserve">, ka prapësuar se Gjykata e Lartë, brenda kompetencave të saj, i ka dhënë përgjigje kërkimit të kërkueses teksa, duke interpretuar nenin 195 të </w:t>
      </w:r>
      <w:proofErr w:type="spellStart"/>
      <w:r w:rsidRPr="00D80C1B">
        <w:rPr>
          <w:rFonts w:ascii="Garamond" w:hAnsi="Garamond"/>
          <w:b w:val="0"/>
          <w:bCs/>
        </w:rPr>
        <w:t>KC</w:t>
      </w:r>
      <w:proofErr w:type="spellEnd"/>
      <w:r w:rsidRPr="00D80C1B">
        <w:rPr>
          <w:rFonts w:ascii="Garamond" w:hAnsi="Garamond"/>
          <w:b w:val="0"/>
          <w:bCs/>
        </w:rPr>
        <w:t xml:space="preserve">-së dhe vendimin </w:t>
      </w:r>
      <w:proofErr w:type="spellStart"/>
      <w:r w:rsidRPr="00D80C1B">
        <w:rPr>
          <w:rFonts w:ascii="Garamond" w:hAnsi="Garamond"/>
          <w:b w:val="0"/>
          <w:bCs/>
        </w:rPr>
        <w:t>unifikues</w:t>
      </w:r>
      <w:proofErr w:type="spellEnd"/>
      <w:r w:rsidRPr="00D80C1B">
        <w:rPr>
          <w:rFonts w:ascii="Garamond" w:hAnsi="Garamond"/>
          <w:b w:val="0"/>
          <w:bCs/>
        </w:rPr>
        <w:t xml:space="preserve"> nr. 1/2009, në lidhje me efektin që ka regjistrimi në raport me tjetërsimin, </w:t>
      </w:r>
      <w:proofErr w:type="spellStart"/>
      <w:r w:rsidRPr="00D80C1B">
        <w:rPr>
          <w:rFonts w:ascii="Garamond" w:hAnsi="Garamond"/>
          <w:b w:val="0"/>
          <w:bCs/>
        </w:rPr>
        <w:t>disponimin</w:t>
      </w:r>
      <w:proofErr w:type="spellEnd"/>
      <w:r w:rsidRPr="00D80C1B">
        <w:rPr>
          <w:rFonts w:ascii="Garamond" w:hAnsi="Garamond"/>
          <w:b w:val="0"/>
          <w:bCs/>
        </w:rPr>
        <w:t xml:space="preserve"> e pasurisë së paluajtshme, ka arsyetuar se pavarësisht mënyrës së fitimit të pronësisë, prona nuk mund të tjetërsohet pa qenë më parë e regjistruar në regjistrat publikë të pasurive të paluajtshme. Po sipas subjektit të interesuar, vendimi i Gjykatës së Lartë plotëson standardet kushtetuese, pasi ka zbatuar të gjitha detyrimet që burojnë nga vendimi nr. 57/2023 i Gjykatës dhe u ka kthyer përgjigje shkaqeve të ngritura në rekurs. Sipas tij, nuk ka një vendim gjyqësor të formës së prerë që të ketë vendosur për vlefshmërinë e ko</w:t>
      </w:r>
      <w:r w:rsidR="00BB3DC5">
        <w:rPr>
          <w:rFonts w:ascii="Garamond" w:hAnsi="Garamond"/>
          <w:b w:val="0"/>
          <w:bCs/>
        </w:rPr>
        <w:t>ntratës së shitjes të datës 19.</w:t>
      </w:r>
      <w:r w:rsidRPr="00D80C1B">
        <w:rPr>
          <w:rFonts w:ascii="Garamond" w:hAnsi="Garamond"/>
          <w:b w:val="0"/>
          <w:bCs/>
        </w:rPr>
        <w:t xml:space="preserve">8.1996, ndaj kërkuesja nuk mund të pretendojë cenim të </w:t>
      </w:r>
      <w:proofErr w:type="spellStart"/>
      <w:r w:rsidRPr="00D80C1B">
        <w:rPr>
          <w:rFonts w:ascii="Garamond" w:hAnsi="Garamond"/>
          <w:b w:val="0"/>
          <w:bCs/>
        </w:rPr>
        <w:t>pritshmërive</w:t>
      </w:r>
      <w:proofErr w:type="spellEnd"/>
      <w:r w:rsidRPr="00D80C1B">
        <w:rPr>
          <w:rFonts w:ascii="Garamond" w:hAnsi="Garamond"/>
          <w:b w:val="0"/>
          <w:bCs/>
        </w:rPr>
        <w:t xml:space="preserve"> legjitime. </w:t>
      </w:r>
    </w:p>
    <w:p w14:paraId="122B0F27" w14:textId="20F26023"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29. Në jurisprudencën e saj, Gjykata ka theksuar se e drejta e </w:t>
      </w:r>
      <w:proofErr w:type="spellStart"/>
      <w:r w:rsidRPr="00D80C1B">
        <w:rPr>
          <w:rFonts w:ascii="Garamond" w:hAnsi="Garamond"/>
          <w:b w:val="0"/>
          <w:bCs/>
        </w:rPr>
        <w:t>aksesit</w:t>
      </w:r>
      <w:proofErr w:type="spellEnd"/>
      <w:r w:rsidRPr="00D80C1B">
        <w:rPr>
          <w:rFonts w:ascii="Garamond" w:hAnsi="Garamond"/>
          <w:b w:val="0"/>
          <w:bCs/>
        </w:rPr>
        <w:t xml:space="preserve"> në gjykatë nuk përfshin vetëm të drejtën për të filluar një proces, por edhe të drejtën për të pasur, nga ana e gjykatës, një zgjidhje përfundimtare për mosmarrëveshjen objekt gjykimi, pasi </w:t>
      </w:r>
      <w:proofErr w:type="spellStart"/>
      <w:r w:rsidRPr="00D80C1B">
        <w:rPr>
          <w:rFonts w:ascii="Garamond" w:hAnsi="Garamond"/>
          <w:b w:val="0"/>
          <w:bCs/>
        </w:rPr>
        <w:t>aksesi</w:t>
      </w:r>
      <w:proofErr w:type="spellEnd"/>
      <w:r w:rsidRPr="00D80C1B">
        <w:rPr>
          <w:rFonts w:ascii="Garamond" w:hAnsi="Garamond"/>
          <w:b w:val="0"/>
          <w:bCs/>
        </w:rPr>
        <w:t xml:space="preserve"> në gjykatë duhet të jetë substancial dhe jo thjesht formal (</w:t>
      </w:r>
      <w:r w:rsidRPr="00D80C1B">
        <w:rPr>
          <w:rFonts w:ascii="Garamond" w:hAnsi="Garamond"/>
          <w:b w:val="0"/>
          <w:bCs/>
          <w:i/>
          <w:iCs/>
        </w:rPr>
        <w:t>sh</w:t>
      </w:r>
      <w:r w:rsidR="00BB3DC5">
        <w:rPr>
          <w:rFonts w:ascii="Garamond" w:hAnsi="Garamond"/>
          <w:b w:val="0"/>
          <w:bCs/>
          <w:i/>
          <w:iCs/>
        </w:rPr>
        <w:t>ih vendimet nr. 32, datë 3.11.2022; nr. 5, datë 22.</w:t>
      </w:r>
      <w:r w:rsidRPr="00D80C1B">
        <w:rPr>
          <w:rFonts w:ascii="Garamond" w:hAnsi="Garamond"/>
          <w:b w:val="0"/>
          <w:bCs/>
          <w:i/>
          <w:iCs/>
        </w:rPr>
        <w:t>2.2</w:t>
      </w:r>
      <w:r w:rsidR="00BB3DC5">
        <w:rPr>
          <w:rFonts w:ascii="Garamond" w:hAnsi="Garamond"/>
          <w:b w:val="0"/>
          <w:bCs/>
          <w:i/>
          <w:iCs/>
        </w:rPr>
        <w:t>022; nr. 22, datë 29.</w:t>
      </w:r>
      <w:r w:rsidRPr="00D80C1B">
        <w:rPr>
          <w:rFonts w:ascii="Garamond" w:hAnsi="Garamond"/>
          <w:b w:val="0"/>
          <w:bCs/>
          <w:i/>
          <w:iCs/>
        </w:rPr>
        <w:t>4.2021</w:t>
      </w:r>
      <w:r w:rsidR="00BB3DC5">
        <w:rPr>
          <w:rFonts w:ascii="Garamond" w:hAnsi="Garamond"/>
          <w:b w:val="0"/>
          <w:bCs/>
          <w:i/>
          <w:iCs/>
        </w:rPr>
        <w:t>,</w:t>
      </w:r>
      <w:r w:rsidRPr="00D80C1B">
        <w:rPr>
          <w:rFonts w:ascii="Garamond" w:hAnsi="Garamond"/>
          <w:b w:val="0"/>
          <w:bCs/>
          <w:i/>
          <w:iCs/>
        </w:rPr>
        <w:t xml:space="preserve"> të Gjykatës Kushtetuese</w:t>
      </w:r>
      <w:r w:rsidRPr="00D80C1B">
        <w:rPr>
          <w:rFonts w:ascii="Garamond" w:hAnsi="Garamond"/>
          <w:b w:val="0"/>
          <w:bCs/>
        </w:rPr>
        <w:t xml:space="preserve">). Po kështu, Gjykata ka pohuar se standardi i arsyetimit është i lidhur edhe me respektimin e së drejtës së </w:t>
      </w:r>
      <w:proofErr w:type="spellStart"/>
      <w:r w:rsidRPr="00D80C1B">
        <w:rPr>
          <w:rFonts w:ascii="Garamond" w:hAnsi="Garamond"/>
          <w:b w:val="0"/>
          <w:bCs/>
        </w:rPr>
        <w:t>aksesit</w:t>
      </w:r>
      <w:proofErr w:type="spellEnd"/>
      <w:r w:rsidRPr="00D80C1B">
        <w:rPr>
          <w:rFonts w:ascii="Garamond" w:hAnsi="Garamond"/>
          <w:b w:val="0"/>
          <w:bCs/>
        </w:rPr>
        <w:t xml:space="preserve"> në gjykim dhe së drejtës së ankimit efektiv. Sipas saj, cenimi i standardit të arsyetimit të vendimit sjell edhe cenimin e së drejtës së </w:t>
      </w:r>
      <w:proofErr w:type="spellStart"/>
      <w:r w:rsidRPr="00D80C1B">
        <w:rPr>
          <w:rFonts w:ascii="Garamond" w:hAnsi="Garamond"/>
          <w:b w:val="0"/>
          <w:bCs/>
        </w:rPr>
        <w:t>aksesit</w:t>
      </w:r>
      <w:proofErr w:type="spellEnd"/>
      <w:r w:rsidRPr="00D80C1B">
        <w:rPr>
          <w:rFonts w:ascii="Garamond" w:hAnsi="Garamond"/>
          <w:b w:val="0"/>
          <w:bCs/>
        </w:rPr>
        <w:t>, në kuptim të nenit 42 të Kushtetutës, si dhe të së drejtës së ankimit në kuptimin substancial, të parashikuar nga neni 43 i Kushtetutës</w:t>
      </w:r>
      <w:r w:rsidRPr="00D80C1B">
        <w:rPr>
          <w:rFonts w:ascii="Garamond" w:hAnsi="Garamond"/>
          <w:b w:val="0"/>
          <w:bCs/>
          <w:i/>
          <w:iCs/>
        </w:rPr>
        <w:t xml:space="preserve"> </w:t>
      </w:r>
      <w:r w:rsidRPr="00D80C1B">
        <w:rPr>
          <w:rFonts w:ascii="Garamond" w:hAnsi="Garamond"/>
          <w:b w:val="0"/>
          <w:bCs/>
        </w:rPr>
        <w:t>(</w:t>
      </w:r>
      <w:r w:rsidRPr="00D80C1B">
        <w:rPr>
          <w:rFonts w:ascii="Garamond" w:hAnsi="Garamond"/>
          <w:b w:val="0"/>
          <w:bCs/>
          <w:i/>
          <w:iCs/>
        </w:rPr>
        <w:t>shih</w:t>
      </w:r>
      <w:r w:rsidR="00BB3DC5">
        <w:rPr>
          <w:rFonts w:ascii="Garamond" w:hAnsi="Garamond"/>
          <w:b w:val="0"/>
          <w:bCs/>
          <w:i/>
          <w:iCs/>
        </w:rPr>
        <w:t xml:space="preserve"> vendimet nr. 1, datë 26.1.2021; nr. 45, datë 3.</w:t>
      </w:r>
      <w:r w:rsidRPr="00D80C1B">
        <w:rPr>
          <w:rFonts w:ascii="Garamond" w:hAnsi="Garamond"/>
          <w:b w:val="0"/>
          <w:bCs/>
          <w:i/>
          <w:iCs/>
        </w:rPr>
        <w:t>7.2017</w:t>
      </w:r>
      <w:r w:rsidR="00BB3DC5">
        <w:rPr>
          <w:rFonts w:ascii="Garamond" w:hAnsi="Garamond"/>
          <w:b w:val="0"/>
          <w:bCs/>
          <w:i/>
          <w:iCs/>
        </w:rPr>
        <w:t>,</w:t>
      </w:r>
      <w:r w:rsidRPr="00D80C1B">
        <w:rPr>
          <w:rFonts w:ascii="Garamond" w:hAnsi="Garamond"/>
          <w:b w:val="0"/>
          <w:bCs/>
          <w:i/>
          <w:iCs/>
        </w:rPr>
        <w:t xml:space="preserve"> të Gjykatës Kushtetuese).</w:t>
      </w:r>
      <w:r w:rsidRPr="00D80C1B">
        <w:rPr>
          <w:rFonts w:ascii="Garamond" w:hAnsi="Garamond"/>
          <w:b w:val="0"/>
          <w:bCs/>
        </w:rPr>
        <w:t xml:space="preserve"> </w:t>
      </w:r>
    </w:p>
    <w:p w14:paraId="18F11101" w14:textId="15FEB34F" w:rsidR="00E52F6F" w:rsidRPr="00D80C1B" w:rsidRDefault="00E52F6F" w:rsidP="00E52F6F">
      <w:pPr>
        <w:pStyle w:val="BodyTextIndent2"/>
        <w:tabs>
          <w:tab w:val="left" w:pos="1160"/>
        </w:tabs>
        <w:spacing w:line="240" w:lineRule="auto"/>
        <w:ind w:left="0" w:firstLine="284"/>
        <w:rPr>
          <w:rFonts w:ascii="Garamond" w:hAnsi="Garamond"/>
          <w:b w:val="0"/>
          <w:bCs/>
        </w:rPr>
      </w:pPr>
      <w:r w:rsidRPr="00D80C1B">
        <w:rPr>
          <w:rFonts w:ascii="Garamond" w:hAnsi="Garamond"/>
          <w:b w:val="0"/>
          <w:bCs/>
        </w:rPr>
        <w:t xml:space="preserve">30. Lidhur me të drejtën për të pasur një vendim gjyqësor të arsyetuar, Gjykata ka theksuar se kjo e drejtë i garantohet individit nga nenet 42 dhe 142, pika 1, të Kushtetutës. Sipas Gjykatës,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00BB3DC5">
        <w:rPr>
          <w:rFonts w:ascii="Garamond" w:hAnsi="Garamond"/>
          <w:b w:val="0"/>
          <w:bCs/>
          <w:i/>
          <w:iCs/>
        </w:rPr>
        <w:t>(shih vendimet nr. 3, datë 21.</w:t>
      </w:r>
      <w:r w:rsidRPr="00D80C1B">
        <w:rPr>
          <w:rFonts w:ascii="Garamond" w:hAnsi="Garamond"/>
          <w:b w:val="0"/>
          <w:bCs/>
          <w:i/>
          <w:iCs/>
        </w:rPr>
        <w:t>1.202</w:t>
      </w:r>
      <w:r w:rsidR="00BB3DC5">
        <w:rPr>
          <w:rFonts w:ascii="Garamond" w:hAnsi="Garamond"/>
          <w:b w:val="0"/>
          <w:bCs/>
          <w:i/>
          <w:iCs/>
        </w:rPr>
        <w:t>5; nr. 21, datë 26.</w:t>
      </w:r>
      <w:r w:rsidRPr="00D80C1B">
        <w:rPr>
          <w:rFonts w:ascii="Garamond" w:hAnsi="Garamond"/>
          <w:b w:val="0"/>
          <w:bCs/>
          <w:i/>
          <w:iCs/>
        </w:rPr>
        <w:t>9.2022; nr. 79, datë 14.12.2017</w:t>
      </w:r>
      <w:r w:rsidR="00BB3DC5">
        <w:rPr>
          <w:rFonts w:ascii="Garamond" w:hAnsi="Garamond"/>
          <w:b w:val="0"/>
          <w:bCs/>
          <w:i/>
          <w:iCs/>
        </w:rPr>
        <w:t>,</w:t>
      </w:r>
      <w:r w:rsidRPr="00D80C1B">
        <w:rPr>
          <w:rFonts w:ascii="Garamond" w:hAnsi="Garamond"/>
          <w:b w:val="0"/>
          <w:bCs/>
          <w:i/>
          <w:iCs/>
        </w:rPr>
        <w:t xml:space="preserve"> të Gjykatës Kushtetuese</w:t>
      </w:r>
      <w:r w:rsidRPr="00D80C1B">
        <w:rPr>
          <w:rFonts w:ascii="Garamond" w:hAnsi="Garamond"/>
          <w:b w:val="0"/>
          <w:bCs/>
        </w:rPr>
        <w:t xml:space="preserve">). Po ashtu, Gjykata ka theksuar se detyrë e saj është të vlerësojë nëse gjatë procesit gjyqësor ka pasur shkelje të </w:t>
      </w:r>
      <w:proofErr w:type="spellStart"/>
      <w:r w:rsidRPr="00D80C1B">
        <w:rPr>
          <w:rFonts w:ascii="Garamond" w:hAnsi="Garamond"/>
          <w:b w:val="0"/>
          <w:bCs/>
        </w:rPr>
        <w:t>të</w:t>
      </w:r>
      <w:proofErr w:type="spellEnd"/>
      <w:r w:rsidRPr="00D80C1B">
        <w:rPr>
          <w:rFonts w:ascii="Garamond" w:hAnsi="Garamond"/>
          <w:b w:val="0"/>
          <w:bCs/>
        </w:rPr>
        <w:t xml:space="preserve">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w:t>
      </w:r>
      <w:r w:rsidRPr="00D80C1B">
        <w:rPr>
          <w:rFonts w:ascii="Garamond" w:hAnsi="Garamond"/>
          <w:b w:val="0"/>
          <w:bCs/>
        </w:rPr>
        <w:lastRenderedPageBreak/>
        <w:t xml:space="preserve">juridiksionit të zakonshëm është aq i dukshëm, sa një gjykatë e arsyeshme nuk mund ta kishte bërë ndonjëherë ose është i tillë që gjykimin e bën të padrejtë </w:t>
      </w:r>
      <w:r w:rsidRPr="00D80C1B">
        <w:rPr>
          <w:rFonts w:ascii="Garamond" w:hAnsi="Garamond"/>
          <w:b w:val="0"/>
          <w:bCs/>
          <w:i/>
          <w:iCs/>
        </w:rPr>
        <w:t xml:space="preserve">(shih vendimet nr. 59, datë 14.11.2023; nr. 30, </w:t>
      </w:r>
      <w:r w:rsidR="00BB3DC5">
        <w:rPr>
          <w:rFonts w:ascii="Garamond" w:hAnsi="Garamond"/>
          <w:b w:val="0"/>
          <w:bCs/>
          <w:i/>
          <w:iCs/>
        </w:rPr>
        <w:t xml:space="preserve">datë 29.5.2023; nr. 29, datë </w:t>
      </w:r>
      <w:r w:rsidRPr="00D80C1B">
        <w:rPr>
          <w:rFonts w:ascii="Garamond" w:hAnsi="Garamond"/>
          <w:b w:val="0"/>
          <w:bCs/>
          <w:i/>
          <w:iCs/>
        </w:rPr>
        <w:t>1.11.2022</w:t>
      </w:r>
      <w:r w:rsidR="00BB3DC5">
        <w:rPr>
          <w:rFonts w:ascii="Garamond" w:hAnsi="Garamond"/>
          <w:b w:val="0"/>
          <w:bCs/>
          <w:i/>
          <w:iCs/>
        </w:rPr>
        <w:t>,</w:t>
      </w:r>
      <w:r w:rsidRPr="00D80C1B">
        <w:rPr>
          <w:rFonts w:ascii="Garamond" w:hAnsi="Garamond"/>
          <w:b w:val="0"/>
          <w:bCs/>
          <w:i/>
          <w:iCs/>
        </w:rPr>
        <w:t xml:space="preserve"> të Gjykatës Kushtetuese)</w:t>
      </w:r>
      <w:r w:rsidRPr="00D80C1B">
        <w:rPr>
          <w:rFonts w:ascii="Garamond" w:hAnsi="Garamond"/>
          <w:b w:val="0"/>
          <w:bCs/>
        </w:rPr>
        <w:t>.</w:t>
      </w:r>
    </w:p>
    <w:p w14:paraId="732611ED" w14:textId="1E379E59" w:rsidR="00E52F6F" w:rsidRPr="00D80C1B" w:rsidRDefault="00E52F6F" w:rsidP="00E52F6F">
      <w:pPr>
        <w:pStyle w:val="BodyTextIndent2"/>
        <w:tabs>
          <w:tab w:val="left" w:pos="1160"/>
        </w:tabs>
        <w:spacing w:line="240" w:lineRule="auto"/>
        <w:ind w:left="0" w:firstLine="284"/>
        <w:rPr>
          <w:rFonts w:ascii="Garamond" w:hAnsi="Garamond"/>
          <w:b w:val="0"/>
          <w:bCs/>
        </w:rPr>
      </w:pPr>
      <w:r w:rsidRPr="00D80C1B">
        <w:rPr>
          <w:rFonts w:ascii="Garamond" w:hAnsi="Garamond"/>
          <w:b w:val="0"/>
          <w:bCs/>
        </w:rPr>
        <w:t>31. Lidhur me standardin e zbatimit të detyrueshëm të vendimeve të Gjykatës, nenet 124 dhe 132 të Kushtetutës shprehen qartësisht në lidhje me forcën detyruese që vendimet e Gjykatës kanë mbi të gjitha organet kushtetuese, autoritetet publike, duke përfshirë edhe gjykatat. Zbatimi i vendimeve të Gjykatës është detyrim kushtetues. Ato kanë fuqi detyruese të përgjithshme dhe janë përfundimtare. Si të tilla, përbëjnë jurisprudencë kushtetuese, për rrjedhojë kanë efektet e forcës së ligjit</w:t>
      </w:r>
      <w:r w:rsidRPr="00D80C1B">
        <w:rPr>
          <w:rFonts w:ascii="Garamond" w:hAnsi="Garamond"/>
          <w:b w:val="0"/>
          <w:bCs/>
          <w:i/>
          <w:iCs/>
        </w:rPr>
        <w:t>.</w:t>
      </w:r>
      <w:r w:rsidRPr="00D80C1B">
        <w:rPr>
          <w:rFonts w:ascii="Garamond" w:hAnsi="Garamond"/>
          <w:b w:val="0"/>
          <w:bCs/>
        </w:rPr>
        <w:t xml:space="preserve"> Ky efekt detyrues ka të bëjë si me pjesën urdhëruese, ashtu edhe me pjesën arsyetuese të vendimit. Efekti detyrues shtrihet tek argumentet thelbësore të vendimit, që përbëjnë edhe </w:t>
      </w:r>
      <w:proofErr w:type="spellStart"/>
      <w:r w:rsidRPr="00D80C1B">
        <w:rPr>
          <w:rFonts w:ascii="Garamond" w:hAnsi="Garamond"/>
          <w:b w:val="0"/>
          <w:bCs/>
          <w:i/>
          <w:iCs/>
        </w:rPr>
        <w:t>ratio</w:t>
      </w:r>
      <w:proofErr w:type="spellEnd"/>
      <w:r w:rsidRPr="00D80C1B">
        <w:rPr>
          <w:rFonts w:ascii="Garamond" w:hAnsi="Garamond"/>
          <w:b w:val="0"/>
          <w:bCs/>
          <w:i/>
          <w:iCs/>
        </w:rPr>
        <w:t xml:space="preserve"> </w:t>
      </w:r>
      <w:proofErr w:type="spellStart"/>
      <w:r w:rsidRPr="00D80C1B">
        <w:rPr>
          <w:rFonts w:ascii="Garamond" w:hAnsi="Garamond"/>
          <w:b w:val="0"/>
          <w:bCs/>
          <w:i/>
          <w:iCs/>
        </w:rPr>
        <w:t>decidendi</w:t>
      </w:r>
      <w:proofErr w:type="spellEnd"/>
      <w:r w:rsidRPr="00D80C1B">
        <w:rPr>
          <w:rFonts w:ascii="Garamond" w:hAnsi="Garamond"/>
          <w:b w:val="0"/>
          <w:bCs/>
          <w:i/>
          <w:iCs/>
        </w:rPr>
        <w:t xml:space="preserve">, </w:t>
      </w:r>
      <w:r w:rsidRPr="00D80C1B">
        <w:rPr>
          <w:rFonts w:ascii="Garamond" w:hAnsi="Garamond"/>
          <w:b w:val="0"/>
          <w:bCs/>
        </w:rPr>
        <w:t xml:space="preserve">eliminimi i të cilave do ta bënte vendimin në tërësinë e tij të pakuptimtë </w:t>
      </w:r>
      <w:r w:rsidR="00BB3DC5">
        <w:rPr>
          <w:rFonts w:ascii="Garamond" w:hAnsi="Garamond"/>
          <w:b w:val="0"/>
          <w:bCs/>
          <w:i/>
          <w:iCs/>
        </w:rPr>
        <w:t>(shih vendimet nr. 39, datë 17.</w:t>
      </w:r>
      <w:r w:rsidRPr="00D80C1B">
        <w:rPr>
          <w:rFonts w:ascii="Garamond" w:hAnsi="Garamond"/>
          <w:b w:val="0"/>
          <w:bCs/>
          <w:i/>
          <w:iCs/>
        </w:rPr>
        <w:t>6.2025; nr. 30,</w:t>
      </w:r>
      <w:r w:rsidR="00BB3DC5">
        <w:rPr>
          <w:rFonts w:ascii="Garamond" w:hAnsi="Garamond"/>
          <w:b w:val="0"/>
          <w:bCs/>
          <w:i/>
          <w:iCs/>
        </w:rPr>
        <w:t xml:space="preserve"> datë 18.4.2024; nr. 49, datë 3.</w:t>
      </w:r>
      <w:r w:rsidRPr="00D80C1B">
        <w:rPr>
          <w:rFonts w:ascii="Garamond" w:hAnsi="Garamond"/>
          <w:b w:val="0"/>
          <w:bCs/>
          <w:i/>
          <w:iCs/>
        </w:rPr>
        <w:t>7.2017</w:t>
      </w:r>
      <w:r w:rsidR="00BB3DC5">
        <w:rPr>
          <w:rFonts w:ascii="Garamond" w:hAnsi="Garamond"/>
          <w:b w:val="0"/>
          <w:bCs/>
          <w:i/>
          <w:iCs/>
        </w:rPr>
        <w:t>,</w:t>
      </w:r>
      <w:r w:rsidRPr="00D80C1B">
        <w:rPr>
          <w:rFonts w:ascii="Garamond" w:hAnsi="Garamond"/>
          <w:b w:val="0"/>
          <w:bCs/>
          <w:i/>
          <w:iCs/>
        </w:rPr>
        <w:t xml:space="preserve"> të Gjykatës Kushtetuese)</w:t>
      </w:r>
      <w:r w:rsidRPr="00D80C1B">
        <w:rPr>
          <w:rFonts w:ascii="Garamond" w:hAnsi="Garamond"/>
          <w:b w:val="0"/>
          <w:bCs/>
        </w:rPr>
        <w:t>.</w:t>
      </w:r>
    </w:p>
    <w:p w14:paraId="168AA4A4" w14:textId="779ED8FD" w:rsidR="00E52F6F" w:rsidRPr="00D80C1B" w:rsidRDefault="00E52F6F" w:rsidP="00E52F6F">
      <w:pPr>
        <w:pStyle w:val="BodyTextIndent2"/>
        <w:tabs>
          <w:tab w:val="left" w:pos="1160"/>
        </w:tabs>
        <w:spacing w:line="240" w:lineRule="auto"/>
        <w:ind w:left="0" w:firstLine="284"/>
        <w:rPr>
          <w:rFonts w:ascii="Garamond" w:hAnsi="Garamond"/>
          <w:b w:val="0"/>
          <w:bCs/>
        </w:rPr>
      </w:pPr>
      <w:r w:rsidRPr="00D80C1B">
        <w:rPr>
          <w:rFonts w:ascii="Garamond" w:hAnsi="Garamond"/>
          <w:b w:val="0"/>
          <w:bCs/>
        </w:rPr>
        <w:t>32. Në këndvështrim të standardeve të mësipërme, Gjykata vëren se çështja është kthyer prej saj për rigjykim në Gjykatën e Lartë për d</w:t>
      </w:r>
      <w:r w:rsidR="00BB3DC5">
        <w:rPr>
          <w:rFonts w:ascii="Garamond" w:hAnsi="Garamond"/>
          <w:b w:val="0"/>
          <w:bCs/>
        </w:rPr>
        <w:t>y shkaqe: i.</w:t>
      </w:r>
      <w:r w:rsidRPr="00D80C1B">
        <w:rPr>
          <w:rFonts w:ascii="Garamond" w:hAnsi="Garamond"/>
          <w:b w:val="0"/>
          <w:bCs/>
        </w:rPr>
        <w:t xml:space="preserve"> cenimin e së drejtës së mbrojtjes, si rrjedhojë e </w:t>
      </w:r>
      <w:proofErr w:type="spellStart"/>
      <w:r w:rsidRPr="00D80C1B">
        <w:rPr>
          <w:rFonts w:ascii="Garamond" w:hAnsi="Garamond"/>
          <w:b w:val="0"/>
          <w:bCs/>
        </w:rPr>
        <w:t>mosnjoftimit</w:t>
      </w:r>
      <w:proofErr w:type="spellEnd"/>
      <w:r w:rsidRPr="00D80C1B">
        <w:rPr>
          <w:rFonts w:ascii="Garamond" w:hAnsi="Garamond"/>
          <w:b w:val="0"/>
          <w:bCs/>
        </w:rPr>
        <w:t xml:space="preserve"> të rekursit të padit</w:t>
      </w:r>
      <w:r w:rsidR="00BB3DC5">
        <w:rPr>
          <w:rFonts w:ascii="Garamond" w:hAnsi="Garamond"/>
          <w:b w:val="0"/>
          <w:bCs/>
        </w:rPr>
        <w:t xml:space="preserve">urit në proces Arti </w:t>
      </w:r>
      <w:proofErr w:type="spellStart"/>
      <w:r w:rsidR="00BB3DC5">
        <w:rPr>
          <w:rFonts w:ascii="Garamond" w:hAnsi="Garamond"/>
          <w:b w:val="0"/>
          <w:bCs/>
        </w:rPr>
        <w:t>Elezaj</w:t>
      </w:r>
      <w:proofErr w:type="spellEnd"/>
      <w:r w:rsidR="00BB3DC5">
        <w:rPr>
          <w:rFonts w:ascii="Garamond" w:hAnsi="Garamond"/>
          <w:b w:val="0"/>
          <w:bCs/>
        </w:rPr>
        <w:t xml:space="preserve"> dhe </w:t>
      </w:r>
      <w:proofErr w:type="spellStart"/>
      <w:r w:rsidR="00BB3DC5">
        <w:rPr>
          <w:rFonts w:ascii="Garamond" w:hAnsi="Garamond"/>
          <w:b w:val="0"/>
          <w:bCs/>
        </w:rPr>
        <w:t>ii</w:t>
      </w:r>
      <w:proofErr w:type="spellEnd"/>
      <w:r w:rsidR="00BB3DC5">
        <w:rPr>
          <w:rFonts w:ascii="Garamond" w:hAnsi="Garamond"/>
          <w:b w:val="0"/>
          <w:bCs/>
        </w:rPr>
        <w:t>.</w:t>
      </w:r>
      <w:r w:rsidRPr="00D80C1B">
        <w:rPr>
          <w:rFonts w:ascii="Garamond" w:hAnsi="Garamond"/>
          <w:b w:val="0"/>
          <w:bCs/>
        </w:rPr>
        <w:t xml:space="preserve"> cenimin e së drejtës për t’u gjykuar nga një gjykatë e caktuar me ligj të lidhur me standardin e arsyetimit të vendimit gjyqësor, si dhe, për pasojë, cenimin e së drejtës së pronës si një e drejtë e ndërvarur nga e drejta për proces të rregullt ligjor.</w:t>
      </w:r>
      <w:r w:rsidRPr="00D80C1B">
        <w:rPr>
          <w:rFonts w:ascii="Garamond" w:hAnsi="Garamond"/>
        </w:rPr>
        <w:t xml:space="preserve"> </w:t>
      </w:r>
      <w:r w:rsidRPr="00D80C1B">
        <w:rPr>
          <w:rFonts w:ascii="Garamond" w:hAnsi="Garamond"/>
          <w:b w:val="0"/>
          <w:bCs/>
        </w:rPr>
        <w:t xml:space="preserve">Kjo shkelje e dytë kushtetuese u konstatua për shkak të </w:t>
      </w:r>
      <w:proofErr w:type="spellStart"/>
      <w:r w:rsidRPr="00D80C1B">
        <w:rPr>
          <w:rFonts w:ascii="Garamond" w:hAnsi="Garamond"/>
          <w:b w:val="0"/>
          <w:bCs/>
        </w:rPr>
        <w:t>ripërcaktimit</w:t>
      </w:r>
      <w:proofErr w:type="spellEnd"/>
      <w:r w:rsidRPr="00D80C1B">
        <w:rPr>
          <w:rFonts w:ascii="Garamond" w:hAnsi="Garamond"/>
          <w:b w:val="0"/>
          <w:bCs/>
        </w:rPr>
        <w:t xml:space="preserve"> të fakteve të çështjes</w:t>
      </w:r>
      <w:r w:rsidRPr="00D80C1B">
        <w:rPr>
          <w:rFonts w:ascii="Garamond" w:hAnsi="Garamond"/>
        </w:rPr>
        <w:t xml:space="preserve"> </w:t>
      </w:r>
      <w:r w:rsidRPr="00D80C1B">
        <w:rPr>
          <w:rFonts w:ascii="Garamond" w:hAnsi="Garamond"/>
          <w:b w:val="0"/>
          <w:bCs/>
        </w:rPr>
        <w:t>në lidhje me regjistrimin e pronës objekt mosmarrëveshjeje, mbi bazën e një</w:t>
      </w:r>
      <w:r w:rsidRPr="00D80C1B">
        <w:rPr>
          <w:rFonts w:ascii="Garamond" w:hAnsi="Garamond"/>
        </w:rPr>
        <w:t xml:space="preserve"> </w:t>
      </w:r>
      <w:r w:rsidRPr="00D80C1B">
        <w:rPr>
          <w:rFonts w:ascii="Garamond" w:hAnsi="Garamond"/>
          <w:b w:val="0"/>
          <w:bCs/>
        </w:rPr>
        <w:t xml:space="preserve">vlerësimi të ndryshëm dhe të mëtejshëm të provave mbi të cilat kishin gjykuar dy gjykatat më të ulëta, si dhe për shkak të </w:t>
      </w:r>
      <w:proofErr w:type="spellStart"/>
      <w:r w:rsidRPr="00D80C1B">
        <w:rPr>
          <w:rFonts w:ascii="Garamond" w:hAnsi="Garamond"/>
          <w:b w:val="0"/>
          <w:bCs/>
        </w:rPr>
        <w:t>mosmbajtjes</w:t>
      </w:r>
      <w:proofErr w:type="spellEnd"/>
      <w:r w:rsidRPr="00D80C1B">
        <w:rPr>
          <w:rFonts w:ascii="Garamond" w:hAnsi="Garamond"/>
          <w:b w:val="0"/>
          <w:bCs/>
        </w:rPr>
        <w:t xml:space="preserve"> së një qëndrimi të qartë për çështjen e ligjit që lidhej me vlerën e regjistrimit të pasurive të paluajtshme. Për sa i përket shkeljes së parë kushtetuese, ajo lidhet me të drejtën e mbrojtjes të </w:t>
      </w:r>
      <w:proofErr w:type="spellStart"/>
      <w:r w:rsidRPr="00D80C1B">
        <w:rPr>
          <w:rFonts w:ascii="Garamond" w:hAnsi="Garamond"/>
          <w:b w:val="0"/>
          <w:bCs/>
        </w:rPr>
        <w:t>të</w:t>
      </w:r>
      <w:proofErr w:type="spellEnd"/>
      <w:r w:rsidRPr="00D80C1B">
        <w:rPr>
          <w:rFonts w:ascii="Garamond" w:hAnsi="Garamond"/>
          <w:b w:val="0"/>
          <w:bCs/>
        </w:rPr>
        <w:t xml:space="preserve"> paditurit, subjektit të interesuar Arti </w:t>
      </w:r>
      <w:proofErr w:type="spellStart"/>
      <w:r w:rsidRPr="00D80C1B">
        <w:rPr>
          <w:rFonts w:ascii="Garamond" w:hAnsi="Garamond"/>
          <w:b w:val="0"/>
          <w:bCs/>
        </w:rPr>
        <w:t>Elezaj</w:t>
      </w:r>
      <w:proofErr w:type="spellEnd"/>
      <w:r w:rsidRPr="00D80C1B">
        <w:rPr>
          <w:rFonts w:ascii="Garamond" w:hAnsi="Garamond"/>
          <w:b w:val="0"/>
          <w:bCs/>
        </w:rPr>
        <w:t xml:space="preserve">, për të cilën Gjykata e Lartë, në rishqyrtimin e çështjes, ka parashtruar argumentet dhe veprimet e kryera për garantimin e saj. Gjithsesi, ky element është përtej ankimit kushtetues individual të paraqitur nga kërkuesja. Në këto kushte, në vijim do të analizohet nëse në rigjykimin e çështjes Gjykata e Lartë ka marrë parasysh gjetjet e Gjykatës dhe detyrimet që buronin nga vendimi i saj në lidhje me shkeljen e dytë kushtetuese, si dhe nëse arsyetimi i dhënë prej saj u përgjigjet kërkesave që burojnë nga e drejta e </w:t>
      </w:r>
      <w:proofErr w:type="spellStart"/>
      <w:r w:rsidRPr="00D80C1B">
        <w:rPr>
          <w:rFonts w:ascii="Garamond" w:hAnsi="Garamond"/>
          <w:b w:val="0"/>
          <w:bCs/>
        </w:rPr>
        <w:t>aksesit</w:t>
      </w:r>
      <w:proofErr w:type="spellEnd"/>
      <w:r w:rsidRPr="00D80C1B">
        <w:rPr>
          <w:rFonts w:ascii="Garamond" w:hAnsi="Garamond"/>
          <w:b w:val="0"/>
          <w:bCs/>
        </w:rPr>
        <w:t xml:space="preserve"> në gjykatë, në aspekt të ankimit efektiv dhe nga standardi i arsyetimit të vendimit gjyqësor.</w:t>
      </w:r>
    </w:p>
    <w:p w14:paraId="5FDADEA6" w14:textId="79412093"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33. Gjykata vëren se në vendimin e saj nr. 57/2023</w:t>
      </w:r>
      <w:r w:rsidR="00BB3DC5">
        <w:rPr>
          <w:rFonts w:ascii="Garamond" w:hAnsi="Garamond"/>
          <w:b w:val="0"/>
          <w:bCs/>
        </w:rPr>
        <w:t>,</w:t>
      </w:r>
      <w:r w:rsidRPr="00D80C1B">
        <w:rPr>
          <w:rFonts w:ascii="Garamond" w:hAnsi="Garamond"/>
          <w:b w:val="0"/>
          <w:bCs/>
        </w:rPr>
        <w:t xml:space="preserve"> ajo ka konstatuar se gjykatat e faktit kanë arsyetuar në mënyrë diametralisht të kundërt në lidhje me vlefshmërinë e kontratës së shitjes të vitit 1996, ku gjykata e shkallës së parë, duke iu referuar vendimit </w:t>
      </w:r>
      <w:proofErr w:type="spellStart"/>
      <w:r w:rsidRPr="00D80C1B">
        <w:rPr>
          <w:rFonts w:ascii="Garamond" w:hAnsi="Garamond"/>
          <w:b w:val="0"/>
          <w:bCs/>
        </w:rPr>
        <w:t>unifikues</w:t>
      </w:r>
      <w:proofErr w:type="spellEnd"/>
      <w:r w:rsidRPr="00D80C1B">
        <w:rPr>
          <w:rFonts w:ascii="Garamond" w:hAnsi="Garamond"/>
          <w:b w:val="0"/>
          <w:bCs/>
        </w:rPr>
        <w:t xml:space="preserve"> nr. 1/2009 të Kolegjeve të Bashkuara të Gjykatës së Lartë, ka vlerësuar se kontrata është e vlefshme dhe se pronësia ka kaluar në çastin e lidhjes së saj. Nga ana tjetër, gjykata e apelit ka arsyetuar se ajo është lidhur në një kohë kur prona nu</w:t>
      </w:r>
      <w:r w:rsidR="00BB3DC5">
        <w:rPr>
          <w:rFonts w:ascii="Garamond" w:hAnsi="Garamond"/>
          <w:b w:val="0"/>
          <w:bCs/>
        </w:rPr>
        <w:t xml:space="preserve">k ishte regjistruar në </w:t>
      </w:r>
      <w:proofErr w:type="spellStart"/>
      <w:r w:rsidR="00BB3DC5">
        <w:rPr>
          <w:rFonts w:ascii="Garamond" w:hAnsi="Garamond"/>
          <w:b w:val="0"/>
          <w:bCs/>
        </w:rPr>
        <w:t>ZVRPP</w:t>
      </w:r>
      <w:proofErr w:type="spellEnd"/>
      <w:r w:rsidR="00BB3DC5">
        <w:rPr>
          <w:rFonts w:ascii="Garamond" w:hAnsi="Garamond"/>
          <w:b w:val="0"/>
          <w:bCs/>
        </w:rPr>
        <w:t>-në</w:t>
      </w:r>
      <w:r w:rsidRPr="00D80C1B">
        <w:rPr>
          <w:rFonts w:ascii="Garamond" w:hAnsi="Garamond"/>
          <w:b w:val="0"/>
          <w:bCs/>
        </w:rPr>
        <w:t xml:space="preserve"> Tiranë dhe, për rrjedhojë, ka vlerësuar si të vlefshme tjetërsimet e mëvonshme të kryera pas regjistrimit të pronës në regjistrat e pasurive të paluajtshme. Në vijim, Gjykata ka konstatuar se Gjykata e Lartë e ka lidhur qëndrimin e ndryshëm të gjykatave më të ulëta me mënyrën e interpretimit të nenit 195 të </w:t>
      </w:r>
      <w:proofErr w:type="spellStart"/>
      <w:r w:rsidRPr="00D80C1B">
        <w:rPr>
          <w:rFonts w:ascii="Garamond" w:hAnsi="Garamond"/>
          <w:b w:val="0"/>
          <w:bCs/>
        </w:rPr>
        <w:t>KC</w:t>
      </w:r>
      <w:proofErr w:type="spellEnd"/>
      <w:r w:rsidRPr="00D80C1B">
        <w:rPr>
          <w:rFonts w:ascii="Garamond" w:hAnsi="Garamond"/>
          <w:b w:val="0"/>
          <w:bCs/>
        </w:rPr>
        <w:t xml:space="preserve">-së dhe të vendimit </w:t>
      </w:r>
      <w:proofErr w:type="spellStart"/>
      <w:r w:rsidRPr="00D80C1B">
        <w:rPr>
          <w:rFonts w:ascii="Garamond" w:hAnsi="Garamond"/>
          <w:b w:val="0"/>
          <w:bCs/>
        </w:rPr>
        <w:t>unifikues</w:t>
      </w:r>
      <w:proofErr w:type="spellEnd"/>
      <w:r w:rsidRPr="00D80C1B">
        <w:rPr>
          <w:rFonts w:ascii="Garamond" w:hAnsi="Garamond"/>
          <w:b w:val="0"/>
          <w:bCs/>
        </w:rPr>
        <w:t xml:space="preserve"> nr. 1/2009, duke vlerësuar se fuqia detyruese e këtij të fundit lidhet me sentencën e tij </w:t>
      </w:r>
      <w:proofErr w:type="spellStart"/>
      <w:r w:rsidRPr="00D80C1B">
        <w:rPr>
          <w:rFonts w:ascii="Garamond" w:hAnsi="Garamond"/>
          <w:b w:val="0"/>
          <w:bCs/>
        </w:rPr>
        <w:t>unifikuese</w:t>
      </w:r>
      <w:proofErr w:type="spellEnd"/>
      <w:r w:rsidRPr="00D80C1B">
        <w:rPr>
          <w:rFonts w:ascii="Garamond" w:hAnsi="Garamond"/>
          <w:b w:val="0"/>
          <w:bCs/>
        </w:rPr>
        <w:t xml:space="preserve"> dhe jo me argumentet e dhëna në funksion të formulimit të saj. Pavarësisht kësaj, në funksion të analizës së vlefshmërisë së kontratës së shitjes së vitit 1996 dhe të kalimit të pronësisë, Gjykata e Lartë i është referuar regjistrimit të pronës në regjistrin </w:t>
      </w:r>
      <w:proofErr w:type="spellStart"/>
      <w:r w:rsidRPr="00D80C1B">
        <w:rPr>
          <w:rFonts w:ascii="Garamond" w:hAnsi="Garamond"/>
          <w:b w:val="0"/>
          <w:bCs/>
        </w:rPr>
        <w:t>kadastral</w:t>
      </w:r>
      <w:proofErr w:type="spellEnd"/>
      <w:r w:rsidRPr="00D80C1B">
        <w:rPr>
          <w:rFonts w:ascii="Garamond" w:hAnsi="Garamond"/>
          <w:b w:val="0"/>
          <w:bCs/>
        </w:rPr>
        <w:t xml:space="preserve">, i cili, sipas saj, ka shërbyer si bazë e të dhënave për tokat bujqësore gjatë fazës së kalimit në sistemin e ri të regjistrimit në regjistrat e pasurive të paluajtshme, dhe ka vlerësuar se prona objekt kontrate ka qenë e regjistruar në atë regjistër. Po ashtu, Gjykata ka konstatuar se Gjykata e Lartë ka marrë në shqyrtim edhe provat që lidhnin këtë regjistrim </w:t>
      </w:r>
      <w:proofErr w:type="spellStart"/>
      <w:r w:rsidRPr="00D80C1B">
        <w:rPr>
          <w:rFonts w:ascii="Garamond" w:hAnsi="Garamond"/>
          <w:b w:val="0"/>
          <w:bCs/>
        </w:rPr>
        <w:t>kadastral</w:t>
      </w:r>
      <w:proofErr w:type="spellEnd"/>
      <w:r w:rsidRPr="00D80C1B">
        <w:rPr>
          <w:rFonts w:ascii="Garamond" w:hAnsi="Garamond"/>
          <w:b w:val="0"/>
          <w:bCs/>
        </w:rPr>
        <w:t xml:space="preserve"> me kushtin </w:t>
      </w:r>
      <w:proofErr w:type="spellStart"/>
      <w:r w:rsidRPr="00D80C1B">
        <w:rPr>
          <w:rFonts w:ascii="Garamond" w:hAnsi="Garamond"/>
          <w:b w:val="0"/>
          <w:bCs/>
        </w:rPr>
        <w:t>pezullues</w:t>
      </w:r>
      <w:proofErr w:type="spellEnd"/>
      <w:r w:rsidRPr="00D80C1B">
        <w:rPr>
          <w:rFonts w:ascii="Garamond" w:hAnsi="Garamond"/>
          <w:b w:val="0"/>
          <w:bCs/>
        </w:rPr>
        <w:t xml:space="preserve"> të kontratës dhe me procedurat për ndryshimin e </w:t>
      </w:r>
      <w:proofErr w:type="spellStart"/>
      <w:r w:rsidRPr="00D80C1B">
        <w:rPr>
          <w:rFonts w:ascii="Garamond" w:hAnsi="Garamond"/>
          <w:b w:val="0"/>
          <w:bCs/>
        </w:rPr>
        <w:t>destinacionit</w:t>
      </w:r>
      <w:proofErr w:type="spellEnd"/>
      <w:r w:rsidRPr="00D80C1B">
        <w:rPr>
          <w:rFonts w:ascii="Garamond" w:hAnsi="Garamond"/>
          <w:b w:val="0"/>
          <w:bCs/>
        </w:rPr>
        <w:t xml:space="preserve"> të tokës. Sipas Gjykatës, dy gjykatat më të ulëta, edhe pse i kanë përmendur këto prova për të treguar faktet e mosmarrëveshjes, nuk janë ndalur në analizën e tyre në funksion të regjistrimit të pronës në regjistrin </w:t>
      </w:r>
      <w:proofErr w:type="spellStart"/>
      <w:r w:rsidRPr="00D80C1B">
        <w:rPr>
          <w:rFonts w:ascii="Garamond" w:hAnsi="Garamond"/>
          <w:b w:val="0"/>
          <w:bCs/>
        </w:rPr>
        <w:t>kadastral</w:t>
      </w:r>
      <w:proofErr w:type="spellEnd"/>
      <w:r w:rsidRPr="00D80C1B">
        <w:rPr>
          <w:rFonts w:ascii="Garamond" w:hAnsi="Garamond"/>
          <w:b w:val="0"/>
          <w:bCs/>
        </w:rPr>
        <w:t xml:space="preserve"> dhe të funksioneve të këtij të fundit, por e kanë shqyrtuar çështjen vetëm nga këndvësht</w:t>
      </w:r>
      <w:r w:rsidR="00BB3DC5">
        <w:rPr>
          <w:rFonts w:ascii="Garamond" w:hAnsi="Garamond"/>
          <w:b w:val="0"/>
          <w:bCs/>
        </w:rPr>
        <w:t xml:space="preserve">rimi i regjistrimit në </w:t>
      </w:r>
      <w:proofErr w:type="spellStart"/>
      <w:r w:rsidR="00BB3DC5">
        <w:rPr>
          <w:rFonts w:ascii="Garamond" w:hAnsi="Garamond"/>
          <w:b w:val="0"/>
          <w:bCs/>
        </w:rPr>
        <w:t>ZVRPP</w:t>
      </w:r>
      <w:proofErr w:type="spellEnd"/>
      <w:r w:rsidR="00BB3DC5">
        <w:rPr>
          <w:rFonts w:ascii="Garamond" w:hAnsi="Garamond"/>
          <w:b w:val="0"/>
          <w:bCs/>
        </w:rPr>
        <w:t>-në</w:t>
      </w:r>
      <w:r w:rsidRPr="00D80C1B">
        <w:rPr>
          <w:rFonts w:ascii="Garamond" w:hAnsi="Garamond"/>
          <w:b w:val="0"/>
          <w:bCs/>
        </w:rPr>
        <w:t xml:space="preserve"> Tiranë.</w:t>
      </w:r>
    </w:p>
    <w:p w14:paraId="6A9C738C" w14:textId="2303A9A1"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34. Mbi këto konstatime, Gjykata ka vlerësuar se Gjykata e Lartë, duke analizuar edhe një herë provat në drejtim të vlefshmërisë së kontratës së shitjes të vitit 1996</w:t>
      </w:r>
      <w:r w:rsidRPr="00D80C1B">
        <w:rPr>
          <w:rFonts w:ascii="Garamond" w:hAnsi="Garamond"/>
        </w:rPr>
        <w:t xml:space="preserve"> </w:t>
      </w:r>
      <w:r w:rsidRPr="00D80C1B">
        <w:rPr>
          <w:rFonts w:ascii="Garamond" w:hAnsi="Garamond"/>
          <w:b w:val="0"/>
          <w:bCs/>
        </w:rPr>
        <w:t xml:space="preserve">dhe duke nxjerrë konkluzione të ndryshme mbi faktet e mosmarrëveshjes, ka ripërcaktuar faktet e çështjes në lidhje me regjistrimin e pronës dhe është shprehur për themelin e çështjes, duke bërë një vlerësim të </w:t>
      </w:r>
      <w:r w:rsidRPr="00D80C1B">
        <w:rPr>
          <w:rFonts w:ascii="Garamond" w:hAnsi="Garamond"/>
          <w:b w:val="0"/>
          <w:bCs/>
        </w:rPr>
        <w:lastRenderedPageBreak/>
        <w:t>ndryshëm dhe të mëtejshëm të provave nga ai i gjykatave më të ulëta</w:t>
      </w:r>
      <w:r w:rsidRPr="00D80C1B">
        <w:rPr>
          <w:rFonts w:ascii="Garamond" w:hAnsi="Garamond"/>
        </w:rPr>
        <w:t xml:space="preserve"> </w:t>
      </w:r>
      <w:r w:rsidRPr="00D80C1B">
        <w:rPr>
          <w:rFonts w:ascii="Garamond" w:hAnsi="Garamond"/>
          <w:b w:val="0"/>
          <w:bCs/>
        </w:rPr>
        <w:t xml:space="preserve">dhe duke vepruar kështu në kundërshtim me natyrën e gjykimit në atë gjykatë. Po ashtu, përballë interpretimeve të ndryshme të nenit 195 të </w:t>
      </w:r>
      <w:proofErr w:type="spellStart"/>
      <w:r w:rsidRPr="00D80C1B">
        <w:rPr>
          <w:rFonts w:ascii="Garamond" w:hAnsi="Garamond"/>
          <w:b w:val="0"/>
          <w:bCs/>
        </w:rPr>
        <w:t>KC</w:t>
      </w:r>
      <w:proofErr w:type="spellEnd"/>
      <w:r w:rsidRPr="00D80C1B">
        <w:rPr>
          <w:rFonts w:ascii="Garamond" w:hAnsi="Garamond"/>
          <w:b w:val="0"/>
          <w:bCs/>
        </w:rPr>
        <w:t xml:space="preserve">-së dhe të vendimit </w:t>
      </w:r>
      <w:proofErr w:type="spellStart"/>
      <w:r w:rsidRPr="00D80C1B">
        <w:rPr>
          <w:rFonts w:ascii="Garamond" w:hAnsi="Garamond"/>
          <w:b w:val="0"/>
          <w:bCs/>
        </w:rPr>
        <w:t>unifikues</w:t>
      </w:r>
      <w:proofErr w:type="spellEnd"/>
      <w:r w:rsidRPr="00D80C1B">
        <w:rPr>
          <w:rFonts w:ascii="Garamond" w:hAnsi="Garamond"/>
          <w:b w:val="0"/>
          <w:bCs/>
        </w:rPr>
        <w:t xml:space="preserve"> nr. 1/2009, si dhe në konsideratë të jurisprudencës së saj se regjistrimi i pasurive të paluajtshme është një akt me rëndësi të posaçme në qarkullimin civil, përmes të cilit synohet përmbushja e interesit më të lartë të publikut dhe garantimi i parimit kushtetues të sigurisë juridike në qarkullimin civil, Gjykata ka çmuar se i takonte Gjykatës së Lartë, në ushtrim të kompetencës së saj si gjykatë e ligjit, të vlerësonte nëse ishte rasti për të rivënë në diskutim qëndrimin e saj në lidhje me vlerën e regjistrimit të pasurive të paluajtshme.</w:t>
      </w:r>
    </w:p>
    <w:p w14:paraId="0F09BB9F" w14:textId="3BB39D6C"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35. Gjykata vëren se, në rigjykimin e çështjes, Kolegji Civil i Gjykatës së Lartë, pasi ka shqyrtuar rekursin e kërkueses, duke mbajtur parasysh edhe parashtrimet e saj me shkrim, ka vendosur mospranimin e tij, duke vlerësuar se rekursi nuk përmbante ndonjë nga shkaqet e parashikuara nga neni 472 i </w:t>
      </w:r>
      <w:proofErr w:type="spellStart"/>
      <w:r w:rsidRPr="00D80C1B">
        <w:rPr>
          <w:rFonts w:ascii="Garamond" w:hAnsi="Garamond"/>
          <w:b w:val="0"/>
          <w:bCs/>
        </w:rPr>
        <w:t>KPC</w:t>
      </w:r>
      <w:proofErr w:type="spellEnd"/>
      <w:r w:rsidRPr="00D80C1B">
        <w:rPr>
          <w:rFonts w:ascii="Garamond" w:hAnsi="Garamond"/>
          <w:b w:val="0"/>
          <w:bCs/>
        </w:rPr>
        <w:t xml:space="preserve">-së. Pavarësisht kësaj mënyre </w:t>
      </w:r>
      <w:proofErr w:type="spellStart"/>
      <w:r w:rsidRPr="00D80C1B">
        <w:rPr>
          <w:rFonts w:ascii="Garamond" w:hAnsi="Garamond"/>
          <w:b w:val="0"/>
          <w:bCs/>
        </w:rPr>
        <w:t>disponimi</w:t>
      </w:r>
      <w:proofErr w:type="spellEnd"/>
      <w:r w:rsidRPr="00D80C1B">
        <w:rPr>
          <w:rFonts w:ascii="Garamond" w:hAnsi="Garamond"/>
          <w:b w:val="0"/>
          <w:bCs/>
        </w:rPr>
        <w:t xml:space="preserve">, Kolegji Civil, fillimisht, ka evidentuar se qëndrimi i ndryshëm i gjykatave të zakonshme të faktit lidhej me mënyrën e interpretimit të dispozitave të </w:t>
      </w:r>
      <w:proofErr w:type="spellStart"/>
      <w:r w:rsidRPr="00D80C1B">
        <w:rPr>
          <w:rFonts w:ascii="Garamond" w:hAnsi="Garamond"/>
          <w:b w:val="0"/>
          <w:bCs/>
        </w:rPr>
        <w:t>KC</w:t>
      </w:r>
      <w:proofErr w:type="spellEnd"/>
      <w:r w:rsidRPr="00D80C1B">
        <w:rPr>
          <w:rFonts w:ascii="Garamond" w:hAnsi="Garamond"/>
          <w:b w:val="0"/>
          <w:bCs/>
        </w:rPr>
        <w:t xml:space="preserve">-së dhe vendimit </w:t>
      </w:r>
      <w:proofErr w:type="spellStart"/>
      <w:r w:rsidRPr="00D80C1B">
        <w:rPr>
          <w:rFonts w:ascii="Garamond" w:hAnsi="Garamond"/>
          <w:b w:val="0"/>
          <w:bCs/>
        </w:rPr>
        <w:t>unifikues</w:t>
      </w:r>
      <w:proofErr w:type="spellEnd"/>
      <w:r w:rsidRPr="00D80C1B">
        <w:rPr>
          <w:rFonts w:ascii="Garamond" w:hAnsi="Garamond"/>
          <w:b w:val="0"/>
          <w:bCs/>
        </w:rPr>
        <w:t xml:space="preserve"> nr. 1/2009. Në këtë kuadër, Gjykata vëren se Kolegji Civil ka marrë në konsideratë edhe faktin se Gjykata e Lartë në gjykimin e parë ishte shprehur se fuqia detyruese e një vendimi </w:t>
      </w:r>
      <w:proofErr w:type="spellStart"/>
      <w:r w:rsidRPr="00D80C1B">
        <w:rPr>
          <w:rFonts w:ascii="Garamond" w:hAnsi="Garamond"/>
          <w:b w:val="0"/>
          <w:bCs/>
        </w:rPr>
        <w:t>unifikues</w:t>
      </w:r>
      <w:proofErr w:type="spellEnd"/>
      <w:r w:rsidRPr="00D80C1B">
        <w:rPr>
          <w:rFonts w:ascii="Garamond" w:hAnsi="Garamond"/>
          <w:b w:val="0"/>
          <w:bCs/>
        </w:rPr>
        <w:t xml:space="preserve"> lidhet me sentencën e tij </w:t>
      </w:r>
      <w:proofErr w:type="spellStart"/>
      <w:r w:rsidRPr="00D80C1B">
        <w:rPr>
          <w:rFonts w:ascii="Garamond" w:hAnsi="Garamond"/>
          <w:b w:val="0"/>
          <w:bCs/>
        </w:rPr>
        <w:t>unifikuese</w:t>
      </w:r>
      <w:proofErr w:type="spellEnd"/>
      <w:r w:rsidRPr="00D80C1B">
        <w:rPr>
          <w:rFonts w:ascii="Garamond" w:hAnsi="Garamond"/>
          <w:b w:val="0"/>
          <w:bCs/>
        </w:rPr>
        <w:t xml:space="preserve"> dhe jo me argumentet e tjera të dhëna në funksion të formulimit të saj. Po ashtu, ai ka evidentuar edhe jurisprudencën kushtetuese në lidhje me rëndësinë e posaçme të regjistrimit të pasurive të paluajtshme në qarkullimin civil, si dhe qëndrimin e Gjykatës, sipas të cilit i takon Gjykatës së Lartë, në ushtrim të kompetencës së saj si gjykatë e ligjit, të vlerësojë nëse është rasti për të rivënë në diskutim qëndrimin e saj në lidhje me vlerën e regjistrimit të pasurive të paluajtshme </w:t>
      </w:r>
      <w:r w:rsidRPr="00D80C1B">
        <w:rPr>
          <w:rFonts w:ascii="Garamond" w:hAnsi="Garamond"/>
          <w:b w:val="0"/>
          <w:bCs/>
          <w:i/>
          <w:iCs/>
        </w:rPr>
        <w:t>(shih paragrafin 56 të vendimit të Gjykatës së Lartë).</w:t>
      </w:r>
    </w:p>
    <w:p w14:paraId="036F7C9C" w14:textId="5DADE52D"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36. Në vijim, Kolegji Civil i Gjykatës së Lartë është ndalur tek efekti i regjistrimit të pasurisë së paluajtshme në raport me tjetërsimin ose </w:t>
      </w:r>
      <w:proofErr w:type="spellStart"/>
      <w:r w:rsidRPr="00D80C1B">
        <w:rPr>
          <w:rFonts w:ascii="Garamond" w:hAnsi="Garamond"/>
          <w:b w:val="0"/>
          <w:bCs/>
        </w:rPr>
        <w:t>disponimin</w:t>
      </w:r>
      <w:proofErr w:type="spellEnd"/>
      <w:r w:rsidRPr="00D80C1B">
        <w:rPr>
          <w:rFonts w:ascii="Garamond" w:hAnsi="Garamond"/>
          <w:b w:val="0"/>
          <w:bCs/>
        </w:rPr>
        <w:t xml:space="preserve"> e saj, duke vlerësuar se neni 195 i </w:t>
      </w:r>
      <w:proofErr w:type="spellStart"/>
      <w:r w:rsidRPr="00D80C1B">
        <w:rPr>
          <w:rFonts w:ascii="Garamond" w:hAnsi="Garamond"/>
          <w:b w:val="0"/>
          <w:bCs/>
        </w:rPr>
        <w:t>KC</w:t>
      </w:r>
      <w:proofErr w:type="spellEnd"/>
      <w:r w:rsidRPr="00D80C1B">
        <w:rPr>
          <w:rFonts w:ascii="Garamond" w:hAnsi="Garamond"/>
          <w:b w:val="0"/>
          <w:bCs/>
        </w:rPr>
        <w:t xml:space="preserve">-së përcakton funksionin e regjistrimit të pasurive të paluajtshme. Sipas tij, nga interpretimi i kësaj dispozite, por edhe i dispozitave të tjera të </w:t>
      </w:r>
      <w:proofErr w:type="spellStart"/>
      <w:r w:rsidRPr="00D80C1B">
        <w:rPr>
          <w:rFonts w:ascii="Garamond" w:hAnsi="Garamond"/>
          <w:b w:val="0"/>
          <w:bCs/>
        </w:rPr>
        <w:t>KC</w:t>
      </w:r>
      <w:proofErr w:type="spellEnd"/>
      <w:r w:rsidRPr="00D80C1B">
        <w:rPr>
          <w:rFonts w:ascii="Garamond" w:hAnsi="Garamond"/>
          <w:b w:val="0"/>
          <w:bCs/>
        </w:rPr>
        <w:t xml:space="preserve">-së që përmbajnë parashikime për regjistrimin e pasurive të paluajtshme, efektet e regjistrimit nuk janë të njëjta në çdo rast, por ndryshojnë si në raport me vetë sendin, ashtu edhe në raport me veprimin juridik mbi të. Lidhur me këtë dallim, Kolegji Civil ka arsyetuar se, në raport me vetë sendin e paluajtshëm, regjistrimi ka efekt “krijues”, në kuptimin që regjistrimi fillestar i një pasurie në regjistrat përkatës i jep asaj atributet juridike të sendit, duke e futur në qarkullim civil dhe duke i garantuar mbrojtje ligjore. Nisur nga kjo, ai ka vlerësuar se që një send i paluajtshëm të mund të disponohet lirisht në qarkullimin civil, duhet t’i jetë nënshtruar më parë “regjistrimit fillestar”, pasi nga interpretimi i neneve 144, 192 dhe 195 të </w:t>
      </w:r>
      <w:proofErr w:type="spellStart"/>
      <w:r w:rsidRPr="00D80C1B">
        <w:rPr>
          <w:rFonts w:ascii="Garamond" w:hAnsi="Garamond"/>
          <w:b w:val="0"/>
          <w:bCs/>
        </w:rPr>
        <w:t>KC</w:t>
      </w:r>
      <w:proofErr w:type="spellEnd"/>
      <w:r w:rsidRPr="00D80C1B">
        <w:rPr>
          <w:rFonts w:ascii="Garamond" w:hAnsi="Garamond"/>
          <w:b w:val="0"/>
          <w:bCs/>
        </w:rPr>
        <w:t xml:space="preserve">-së rezulton ndalimi që pasuria e paluajtshme, pavarësisht mënyrës së fitimit të saj, të tjetërsohet pa qenë më parë e regjistruar në regjistrat përkatës publikë. Nga ana tjetër, në raport me veprimin juridik mbi sendin e paluajtshëm, Kolegji Civil ka arsyetuar se regjistrimi ka efekt “njohës”, çka nënkupton se veprimet juridike për </w:t>
      </w:r>
      <w:proofErr w:type="spellStart"/>
      <w:r w:rsidRPr="00D80C1B">
        <w:rPr>
          <w:rFonts w:ascii="Garamond" w:hAnsi="Garamond"/>
          <w:b w:val="0"/>
          <w:bCs/>
        </w:rPr>
        <w:t>disponimin</w:t>
      </w:r>
      <w:proofErr w:type="spellEnd"/>
      <w:r w:rsidRPr="00D80C1B">
        <w:rPr>
          <w:rFonts w:ascii="Garamond" w:hAnsi="Garamond"/>
          <w:b w:val="0"/>
          <w:bCs/>
        </w:rPr>
        <w:t xml:space="preserve"> ose kalimin e pronësisë së pasurive të paluajtshme nuk kanë nevojë të regjistrohen për të qenë të vlefshme, por vlefshmëria e tyre kushtëzohet nga përmbushja e kërkesave të neneve 663 dhe 92 të </w:t>
      </w:r>
      <w:proofErr w:type="spellStart"/>
      <w:r w:rsidRPr="00D80C1B">
        <w:rPr>
          <w:rFonts w:ascii="Garamond" w:hAnsi="Garamond"/>
          <w:b w:val="0"/>
          <w:bCs/>
        </w:rPr>
        <w:t>KC</w:t>
      </w:r>
      <w:proofErr w:type="spellEnd"/>
      <w:r w:rsidRPr="00D80C1B">
        <w:rPr>
          <w:rFonts w:ascii="Garamond" w:hAnsi="Garamond"/>
          <w:b w:val="0"/>
          <w:bCs/>
        </w:rPr>
        <w:t xml:space="preserve">-së, që lidhen, përkatësisht, me kushtet e kontratës dhe me rastet e pavlefshmërisë absolute të veprimit juridik </w:t>
      </w:r>
      <w:r w:rsidRPr="00D80C1B">
        <w:rPr>
          <w:rFonts w:ascii="Garamond" w:hAnsi="Garamond"/>
          <w:b w:val="0"/>
          <w:bCs/>
          <w:i/>
          <w:iCs/>
        </w:rPr>
        <w:t>(shih paragrafët 57</w:t>
      </w:r>
      <w:r w:rsidR="00BB3DC5">
        <w:rPr>
          <w:rFonts w:ascii="Garamond" w:hAnsi="Garamond"/>
          <w:b w:val="0"/>
          <w:bCs/>
          <w:i/>
          <w:iCs/>
        </w:rPr>
        <w:t>–</w:t>
      </w:r>
      <w:r w:rsidRPr="00D80C1B">
        <w:rPr>
          <w:rFonts w:ascii="Garamond" w:hAnsi="Garamond"/>
          <w:b w:val="0"/>
          <w:bCs/>
          <w:i/>
          <w:iCs/>
        </w:rPr>
        <w:t>59 të vendimit të Gjykatës së Lartë)</w:t>
      </w:r>
      <w:r w:rsidRPr="00D80C1B">
        <w:rPr>
          <w:rFonts w:ascii="Garamond" w:hAnsi="Garamond"/>
          <w:b w:val="0"/>
          <w:bCs/>
        </w:rPr>
        <w:t>.</w:t>
      </w:r>
    </w:p>
    <w:p w14:paraId="670C28D6" w14:textId="25184AE6"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37. Më tej, Kolegji Civil i Gjykatës së Lartë ka arsyetuar se, duke interpretuar nenin 83 të </w:t>
      </w:r>
      <w:proofErr w:type="spellStart"/>
      <w:r w:rsidRPr="00D80C1B">
        <w:rPr>
          <w:rFonts w:ascii="Garamond" w:hAnsi="Garamond"/>
          <w:b w:val="0"/>
          <w:bCs/>
        </w:rPr>
        <w:t>KC</w:t>
      </w:r>
      <w:proofErr w:type="spellEnd"/>
      <w:r w:rsidRPr="00D80C1B">
        <w:rPr>
          <w:rFonts w:ascii="Garamond" w:hAnsi="Garamond"/>
          <w:b w:val="0"/>
          <w:bCs/>
        </w:rPr>
        <w:t xml:space="preserve">-së, Kolegjet e Bashkuara të Gjykatës së Lartë, në vendimin </w:t>
      </w:r>
      <w:proofErr w:type="spellStart"/>
      <w:r w:rsidRPr="00D80C1B">
        <w:rPr>
          <w:rFonts w:ascii="Garamond" w:hAnsi="Garamond"/>
          <w:b w:val="0"/>
          <w:bCs/>
        </w:rPr>
        <w:t>unifikues</w:t>
      </w:r>
      <w:proofErr w:type="spellEnd"/>
      <w:r w:rsidRPr="00D80C1B">
        <w:rPr>
          <w:rFonts w:ascii="Garamond" w:hAnsi="Garamond"/>
          <w:b w:val="0"/>
          <w:bCs/>
        </w:rPr>
        <w:t xml:space="preserve"> nr. 1/2009, kanë</w:t>
      </w:r>
      <w:r w:rsidRPr="00D80C1B">
        <w:rPr>
          <w:rFonts w:ascii="Garamond" w:hAnsi="Garamond"/>
        </w:rPr>
        <w:t xml:space="preserve"> </w:t>
      </w:r>
      <w:r w:rsidRPr="00D80C1B">
        <w:rPr>
          <w:rFonts w:ascii="Garamond" w:hAnsi="Garamond"/>
          <w:b w:val="0"/>
          <w:bCs/>
        </w:rPr>
        <w:t xml:space="preserve">unifikuar qëndrimin lidhur me funksionin njohës të regjistrimit në raport me veprimet juridike që kanë për objekt </w:t>
      </w:r>
      <w:proofErr w:type="spellStart"/>
      <w:r w:rsidRPr="00D80C1B">
        <w:rPr>
          <w:rFonts w:ascii="Garamond" w:hAnsi="Garamond"/>
          <w:b w:val="0"/>
          <w:bCs/>
        </w:rPr>
        <w:t>disponimin</w:t>
      </w:r>
      <w:proofErr w:type="spellEnd"/>
      <w:r w:rsidRPr="00D80C1B">
        <w:rPr>
          <w:rFonts w:ascii="Garamond" w:hAnsi="Garamond"/>
          <w:b w:val="0"/>
          <w:bCs/>
        </w:rPr>
        <w:t xml:space="preserve"> e pasurive të paluajtshme. Sipas këtij qëndrimi, regjistrimi i një veprimi juridik nuk është element i vlefshmërisë së tij (kontratës) dhe </w:t>
      </w:r>
      <w:proofErr w:type="spellStart"/>
      <w:r w:rsidRPr="00D80C1B">
        <w:rPr>
          <w:rFonts w:ascii="Garamond" w:hAnsi="Garamond"/>
          <w:b w:val="0"/>
          <w:bCs/>
        </w:rPr>
        <w:t>mosregjistrimi</w:t>
      </w:r>
      <w:proofErr w:type="spellEnd"/>
      <w:r w:rsidRPr="00D80C1B">
        <w:rPr>
          <w:rFonts w:ascii="Garamond" w:hAnsi="Garamond"/>
          <w:b w:val="0"/>
          <w:bCs/>
        </w:rPr>
        <w:t xml:space="preserve"> i tij në regjistrat e pasurive të paluajtshme nuk e bën atë të pavlefshëm, por nuk i jep mundësinë blerësit që ta tjetërsojë tek të tretët. Sipas</w:t>
      </w:r>
      <w:r w:rsidRPr="00D80C1B">
        <w:rPr>
          <w:rFonts w:ascii="Garamond" w:hAnsi="Garamond"/>
        </w:rPr>
        <w:t xml:space="preserve"> </w:t>
      </w:r>
      <w:r w:rsidRPr="00D80C1B">
        <w:rPr>
          <w:rFonts w:ascii="Garamond" w:hAnsi="Garamond"/>
          <w:b w:val="0"/>
          <w:bCs/>
        </w:rPr>
        <w:t xml:space="preserve">Kolegjit Civil, referuar vendimit </w:t>
      </w:r>
      <w:proofErr w:type="spellStart"/>
      <w:r w:rsidRPr="00D80C1B">
        <w:rPr>
          <w:rFonts w:ascii="Garamond" w:hAnsi="Garamond"/>
          <w:b w:val="0"/>
          <w:bCs/>
        </w:rPr>
        <w:t>unifikues</w:t>
      </w:r>
      <w:proofErr w:type="spellEnd"/>
      <w:r w:rsidRPr="00D80C1B">
        <w:rPr>
          <w:rFonts w:ascii="Garamond" w:hAnsi="Garamond"/>
          <w:b w:val="0"/>
          <w:bCs/>
        </w:rPr>
        <w:t xml:space="preserve">, pronësia mbi një pasuri të paluajtshme vërtet kalon në çastin e lidhjes së kontratës së tjetërsimit të saj dhe blerësi ose përfituesi bëhet pronar i ligjshëm në momentin e nënshkrimit të kontratës, por kjo duhet vlerësuar kur sendi është në qarkullimin civil. Sipas tij, kjo do të thotë se arsyetimi i vendimit </w:t>
      </w:r>
      <w:proofErr w:type="spellStart"/>
      <w:r w:rsidRPr="00D80C1B">
        <w:rPr>
          <w:rFonts w:ascii="Garamond" w:hAnsi="Garamond"/>
          <w:b w:val="0"/>
          <w:bCs/>
        </w:rPr>
        <w:t>unifikues</w:t>
      </w:r>
      <w:proofErr w:type="spellEnd"/>
      <w:r w:rsidRPr="00D80C1B">
        <w:rPr>
          <w:rFonts w:ascii="Garamond" w:hAnsi="Garamond"/>
          <w:b w:val="0"/>
          <w:bCs/>
        </w:rPr>
        <w:t xml:space="preserve"> ka parasysh kontratat e rregullta, të lidhura mbi një pasuri të regjistruar, domethënë mbi një send që ndodhet në qarkullimin civil. Nga ana tjetër, duke cituar një nga vlerësimet e bëra në vendimin </w:t>
      </w:r>
      <w:proofErr w:type="spellStart"/>
      <w:r w:rsidRPr="00D80C1B">
        <w:rPr>
          <w:rFonts w:ascii="Garamond" w:hAnsi="Garamond"/>
          <w:b w:val="0"/>
          <w:bCs/>
        </w:rPr>
        <w:t>unifikues</w:t>
      </w:r>
      <w:proofErr w:type="spellEnd"/>
      <w:r w:rsidRPr="00D80C1B">
        <w:rPr>
          <w:rFonts w:ascii="Garamond" w:hAnsi="Garamond"/>
          <w:b w:val="0"/>
          <w:bCs/>
        </w:rPr>
        <w:t xml:space="preserve">, Kolegji Civil ka vlerësuar se, për sa kohë sistemi i regjistrimit të pasurive të paluajtshme bazohet </w:t>
      </w:r>
      <w:r w:rsidRPr="00D80C1B">
        <w:rPr>
          <w:rFonts w:ascii="Garamond" w:hAnsi="Garamond"/>
          <w:b w:val="0"/>
          <w:bCs/>
        </w:rPr>
        <w:lastRenderedPageBreak/>
        <w:t xml:space="preserve">në parimin e vazhdimësisë së transkriptimeve, mungesa e regjistrimit fillestar të pronës para se ajo të shitet bën që palët të mos mund t’ua </w:t>
      </w:r>
      <w:proofErr w:type="spellStart"/>
      <w:r w:rsidRPr="00D80C1B">
        <w:rPr>
          <w:rFonts w:ascii="Garamond" w:hAnsi="Garamond"/>
          <w:b w:val="0"/>
          <w:bCs/>
        </w:rPr>
        <w:t>kundërdrejtojnë</w:t>
      </w:r>
      <w:proofErr w:type="spellEnd"/>
      <w:r w:rsidRPr="00D80C1B">
        <w:rPr>
          <w:rFonts w:ascii="Garamond" w:hAnsi="Garamond"/>
          <w:b w:val="0"/>
          <w:bCs/>
        </w:rPr>
        <w:t xml:space="preserve"> aktin të </w:t>
      </w:r>
      <w:proofErr w:type="spellStart"/>
      <w:r w:rsidRPr="00D80C1B">
        <w:rPr>
          <w:rFonts w:ascii="Garamond" w:hAnsi="Garamond"/>
          <w:b w:val="0"/>
          <w:bCs/>
        </w:rPr>
        <w:t>tretëve</w:t>
      </w:r>
      <w:proofErr w:type="spellEnd"/>
      <w:r w:rsidRPr="00D80C1B">
        <w:rPr>
          <w:rFonts w:ascii="Garamond" w:hAnsi="Garamond"/>
          <w:b w:val="0"/>
          <w:bCs/>
        </w:rPr>
        <w:t xml:space="preserve">. Në këtë kuptim, Kolegji Civil ka theksuar se në sentencën e tij njësuese dhe nisur edhe nga rrethanat e çështjes që ai ka zgjidhur, vendimi </w:t>
      </w:r>
      <w:proofErr w:type="spellStart"/>
      <w:r w:rsidRPr="00D80C1B">
        <w:rPr>
          <w:rFonts w:ascii="Garamond" w:hAnsi="Garamond"/>
          <w:b w:val="0"/>
          <w:bCs/>
        </w:rPr>
        <w:t>unifikues</w:t>
      </w:r>
      <w:proofErr w:type="spellEnd"/>
      <w:r w:rsidRPr="00D80C1B">
        <w:rPr>
          <w:rFonts w:ascii="Garamond" w:hAnsi="Garamond"/>
          <w:b w:val="0"/>
          <w:bCs/>
        </w:rPr>
        <w:t xml:space="preserve"> nr. 1/2009 duhet kuptuar se u referohet në mënyrë specifike efekteve të regjistrimit të një veprimi juridik mbi një pasuri të paluajtshme që ndodhet në qarkullim civil, pra të një pasurie ose sendi që e ka kaluar testin e regjistrimit fillestar. Për rrjedhojë, sipas tij, konkluzionet e vendimit </w:t>
      </w:r>
      <w:proofErr w:type="spellStart"/>
      <w:r w:rsidRPr="00D80C1B">
        <w:rPr>
          <w:rFonts w:ascii="Garamond" w:hAnsi="Garamond"/>
          <w:b w:val="0"/>
          <w:bCs/>
        </w:rPr>
        <w:t>unifikues</w:t>
      </w:r>
      <w:proofErr w:type="spellEnd"/>
      <w:r w:rsidRPr="00D80C1B">
        <w:rPr>
          <w:rFonts w:ascii="Garamond" w:hAnsi="Garamond"/>
          <w:b w:val="0"/>
          <w:bCs/>
        </w:rPr>
        <w:t xml:space="preserve"> nuk mund të përdoren </w:t>
      </w:r>
      <w:r w:rsidRPr="00D80C1B">
        <w:rPr>
          <w:rFonts w:ascii="Garamond" w:hAnsi="Garamond"/>
          <w:b w:val="0"/>
          <w:bCs/>
          <w:i/>
          <w:iCs/>
        </w:rPr>
        <w:t xml:space="preserve">a </w:t>
      </w:r>
      <w:proofErr w:type="spellStart"/>
      <w:r w:rsidRPr="00D80C1B">
        <w:rPr>
          <w:rFonts w:ascii="Garamond" w:hAnsi="Garamond"/>
          <w:b w:val="0"/>
          <w:bCs/>
          <w:i/>
          <w:iCs/>
        </w:rPr>
        <w:t>priori</w:t>
      </w:r>
      <w:proofErr w:type="spellEnd"/>
      <w:r w:rsidRPr="00D80C1B">
        <w:rPr>
          <w:rFonts w:ascii="Garamond" w:hAnsi="Garamond"/>
          <w:b w:val="0"/>
          <w:bCs/>
        </w:rPr>
        <w:t xml:space="preserve"> në çështjen objekt gjykimi, ku kemi të bëjmë, </w:t>
      </w:r>
      <w:r w:rsidRPr="00D80C1B">
        <w:rPr>
          <w:rFonts w:ascii="Garamond" w:hAnsi="Garamond"/>
          <w:b w:val="0"/>
          <w:bCs/>
          <w:i/>
          <w:iCs/>
        </w:rPr>
        <w:t xml:space="preserve">in </w:t>
      </w:r>
      <w:proofErr w:type="spellStart"/>
      <w:r w:rsidRPr="00D80C1B">
        <w:rPr>
          <w:rFonts w:ascii="Garamond" w:hAnsi="Garamond"/>
          <w:b w:val="0"/>
          <w:bCs/>
          <w:i/>
          <w:iCs/>
        </w:rPr>
        <w:t>primis</w:t>
      </w:r>
      <w:proofErr w:type="spellEnd"/>
      <w:r w:rsidRPr="00D80C1B">
        <w:rPr>
          <w:rFonts w:ascii="Garamond" w:hAnsi="Garamond"/>
          <w:b w:val="0"/>
          <w:bCs/>
          <w:i/>
          <w:iCs/>
        </w:rPr>
        <w:t xml:space="preserve">, </w:t>
      </w:r>
      <w:r w:rsidRPr="00D80C1B">
        <w:rPr>
          <w:rFonts w:ascii="Garamond" w:hAnsi="Garamond"/>
          <w:b w:val="0"/>
          <w:bCs/>
        </w:rPr>
        <w:t xml:space="preserve">me një send të paregjistruar </w:t>
      </w:r>
      <w:r w:rsidRPr="00D80C1B">
        <w:rPr>
          <w:rFonts w:ascii="Garamond" w:hAnsi="Garamond"/>
          <w:b w:val="0"/>
          <w:bCs/>
          <w:i/>
          <w:iCs/>
        </w:rPr>
        <w:t>(shih paragrafët 60</w:t>
      </w:r>
      <w:r w:rsidR="00BB3DC5">
        <w:rPr>
          <w:rFonts w:ascii="Garamond" w:hAnsi="Garamond"/>
          <w:b w:val="0"/>
          <w:bCs/>
          <w:i/>
          <w:iCs/>
        </w:rPr>
        <w:t>–</w:t>
      </w:r>
      <w:r w:rsidRPr="00D80C1B">
        <w:rPr>
          <w:rFonts w:ascii="Garamond" w:hAnsi="Garamond"/>
          <w:b w:val="0"/>
          <w:bCs/>
          <w:i/>
          <w:iCs/>
        </w:rPr>
        <w:t>64</w:t>
      </w:r>
      <w:r w:rsidR="00F73AA3">
        <w:rPr>
          <w:rFonts w:ascii="Garamond" w:hAnsi="Garamond"/>
          <w:b w:val="0"/>
          <w:bCs/>
          <w:i/>
          <w:iCs/>
        </w:rPr>
        <w:t>,</w:t>
      </w:r>
      <w:r w:rsidRPr="00D80C1B">
        <w:rPr>
          <w:rFonts w:ascii="Garamond" w:hAnsi="Garamond"/>
          <w:b w:val="0"/>
          <w:bCs/>
          <w:i/>
          <w:iCs/>
        </w:rPr>
        <w:t xml:space="preserve"> të vendimit të Gjykatës së Lartë).</w:t>
      </w:r>
    </w:p>
    <w:p w14:paraId="58879479" w14:textId="4A921C76"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38. Duke iu rikthyer rastit objekt rekursi, përkundrejt interpretimeve të mësipërme ligjore, Kolegji Civil i Gjykatës së Lartë ka arsyetuar se nga gjykatat e faktit është pranuar si e provuar se </w:t>
      </w:r>
      <w:r w:rsidR="00BB3DC5">
        <w:rPr>
          <w:rFonts w:ascii="Garamond" w:hAnsi="Garamond"/>
          <w:b w:val="0"/>
          <w:bCs/>
        </w:rPr>
        <w:t>kontrata e shitjes e datës 19.</w:t>
      </w:r>
      <w:r w:rsidRPr="00D80C1B">
        <w:rPr>
          <w:rFonts w:ascii="Garamond" w:hAnsi="Garamond"/>
          <w:b w:val="0"/>
          <w:bCs/>
        </w:rPr>
        <w:t>8.1996</w:t>
      </w:r>
      <w:r w:rsidR="00BB3DC5">
        <w:rPr>
          <w:rFonts w:ascii="Garamond" w:hAnsi="Garamond"/>
          <w:b w:val="0"/>
          <w:bCs/>
        </w:rPr>
        <w:t>,</w:t>
      </w:r>
      <w:r w:rsidRPr="00D80C1B">
        <w:rPr>
          <w:rFonts w:ascii="Garamond" w:hAnsi="Garamond"/>
          <w:b w:val="0"/>
          <w:bCs/>
        </w:rPr>
        <w:t xml:space="preserve"> është lidhur në një kohë kur vetë pronarët nuk e kishin kryer regjistrimin fillestar të pronës në regjistrat përkatës të pasurive të paluajtshme. Megjithatë, sipas tij, gjykata e shkallës së parë e ka konsideruar këtë kontratë plotësisht të ligjshme vetëm për faktin se është bërë me akt noterial, se objekti i saj ka qenë i qartë dhe se palët kanë shfaqur vullnetin e tyre, duke mos mbajtur parasysh parashikimet e nenit 195 të </w:t>
      </w:r>
      <w:proofErr w:type="spellStart"/>
      <w:r w:rsidRPr="00D80C1B">
        <w:rPr>
          <w:rFonts w:ascii="Garamond" w:hAnsi="Garamond"/>
          <w:b w:val="0"/>
          <w:bCs/>
        </w:rPr>
        <w:t>KC</w:t>
      </w:r>
      <w:proofErr w:type="spellEnd"/>
      <w:r w:rsidRPr="00D80C1B">
        <w:rPr>
          <w:rFonts w:ascii="Garamond" w:hAnsi="Garamond"/>
          <w:b w:val="0"/>
          <w:bCs/>
        </w:rPr>
        <w:t xml:space="preserve">-së, i cili, sipas tij, ndalon tjetërsimin e një pasurie të paregjistruar. Nga ana tjetër, vijon ai, gjykata e apelit e ka konsideruar absolutisht të pavlefshme këtë kontratë, për shkak se shitësit, në momentin e lidhjes së saj, nuk i kishin të regjistruara aktet e fitimit të pronësisë. Për rrjedhojë, Kolegji Civil ka vlerësuar se në rekursin e palës paditëse nuk identifikohet asnjë shkak për zbatim të gabuar të ligjit material, as ndonjë shkelje e natyrës procedurale nga ana e gjykatës së apelit që mund të çonte në pavlefshmërinë e vendimit gjyqësor ose të procedurës së gjykimit, si dhe nuk rezulton as ndonjë shkelje e rëndë procedurale që të ketë ndikuar dukshëm në dhënien e vendimit. Sipas tij, vendimi i gjykatës së apelit është në përputhje me vendimin nr. 1/2009 të Kolegjeve të Bashkuara të Gjykatës së Lartë, sipas analizës së bërë prej tij në lidhje me efektin “krijues” të regjistrimit fillestar në regjistrat e pasurive të paluajtshme, i cili i jep atributet e sendit një pasurie të caktuar, duke e futur në qarkullim civil </w:t>
      </w:r>
      <w:r w:rsidRPr="00D80C1B">
        <w:rPr>
          <w:rFonts w:ascii="Garamond" w:hAnsi="Garamond"/>
          <w:b w:val="0"/>
          <w:bCs/>
          <w:i/>
          <w:iCs/>
        </w:rPr>
        <w:t>(shih paragrafët 65</w:t>
      </w:r>
      <w:r w:rsidR="00BB3DC5">
        <w:rPr>
          <w:rFonts w:ascii="Garamond" w:hAnsi="Garamond"/>
          <w:b w:val="0"/>
          <w:bCs/>
          <w:i/>
          <w:iCs/>
        </w:rPr>
        <w:t>–</w:t>
      </w:r>
      <w:r w:rsidRPr="00D80C1B">
        <w:rPr>
          <w:rFonts w:ascii="Garamond" w:hAnsi="Garamond"/>
          <w:b w:val="0"/>
          <w:bCs/>
          <w:i/>
          <w:iCs/>
        </w:rPr>
        <w:t>66</w:t>
      </w:r>
      <w:r w:rsidR="00BB3DC5">
        <w:rPr>
          <w:rFonts w:ascii="Garamond" w:hAnsi="Garamond"/>
          <w:b w:val="0"/>
          <w:bCs/>
          <w:i/>
          <w:iCs/>
        </w:rPr>
        <w:t>,</w:t>
      </w:r>
      <w:r w:rsidRPr="00D80C1B">
        <w:rPr>
          <w:rFonts w:ascii="Garamond" w:hAnsi="Garamond"/>
          <w:b w:val="0"/>
          <w:bCs/>
          <w:i/>
          <w:iCs/>
        </w:rPr>
        <w:t xml:space="preserve"> të vendimit të Gjykatës së Lartë).</w:t>
      </w:r>
    </w:p>
    <w:p w14:paraId="6457D406" w14:textId="3CF5AE54"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39. Në analizë të vendimit të kundërshtuar të Gjykatës së Lartë, në këndvështrim të standardeve kushtetuese të lartpërmendura, Gjykata vëren se, në kundërshtim me sa pretendon kërkuesja, gjatë procesit të rigjykimit Gjykata e Lartë është përqendruar në interpretimin e ligjit material civil, në përputhje me gjetjet e Gjykatës dhe me detyrimet që buronin nga vendimi i saj nr. 57/2023. Në këtë kuptim, Gjykata konstaton se Gjykata e Lartë ka marrë në shqyrtim çështjen e ligjit për të cilën çështja ishte kthyer</w:t>
      </w:r>
      <w:r w:rsidRPr="00D80C1B">
        <w:rPr>
          <w:rFonts w:ascii="Garamond" w:hAnsi="Garamond"/>
          <w:b w:val="0"/>
          <w:bCs/>
          <w:color w:val="EE0000"/>
        </w:rPr>
        <w:t xml:space="preserve"> </w:t>
      </w:r>
      <w:r w:rsidRPr="00D80C1B">
        <w:rPr>
          <w:rFonts w:ascii="Garamond" w:hAnsi="Garamond"/>
          <w:b w:val="0"/>
          <w:bCs/>
        </w:rPr>
        <w:t xml:space="preserve">për rigjykim, duke dhënë një përgjigje të shprehur dhe të arsyetuar për qëndrimin e saj lidhur me vlerën juridike të regjistrimit të pasurive të paluajtshme dhe duke vlerësuar konkretisht se përpara </w:t>
      </w:r>
      <w:proofErr w:type="spellStart"/>
      <w:r w:rsidRPr="00D80C1B">
        <w:rPr>
          <w:rFonts w:ascii="Garamond" w:hAnsi="Garamond"/>
          <w:b w:val="0"/>
          <w:bCs/>
        </w:rPr>
        <w:t>disponimit</w:t>
      </w:r>
      <w:proofErr w:type="spellEnd"/>
      <w:r w:rsidRPr="00D80C1B">
        <w:rPr>
          <w:rFonts w:ascii="Garamond" w:hAnsi="Garamond"/>
          <w:b w:val="0"/>
          <w:bCs/>
        </w:rPr>
        <w:t xml:space="preserve"> pasuria duhet t’i jetë nënshtruar regjistrimit fillestar në regjistrat e pasurive të paluajtshme, të administruara nga </w:t>
      </w:r>
      <w:proofErr w:type="spellStart"/>
      <w:r w:rsidRPr="00D80C1B">
        <w:rPr>
          <w:rFonts w:ascii="Garamond" w:hAnsi="Garamond"/>
          <w:b w:val="0"/>
          <w:bCs/>
        </w:rPr>
        <w:t>ZVRPP</w:t>
      </w:r>
      <w:proofErr w:type="spellEnd"/>
      <w:r w:rsidRPr="00D80C1B">
        <w:rPr>
          <w:rFonts w:ascii="Garamond" w:hAnsi="Garamond"/>
          <w:b w:val="0"/>
          <w:bCs/>
        </w:rPr>
        <w:t xml:space="preserve">-ja (sot ASHK). Po ashtu, Gjykata vëren se ndonëse në rekurs pretendimet e kërkueses për zbatimin e gabuar të ligjit nuk janë ngritur për regjistrimin e pronës në regjistrat </w:t>
      </w:r>
      <w:proofErr w:type="spellStart"/>
      <w:r w:rsidRPr="00D80C1B">
        <w:rPr>
          <w:rFonts w:ascii="Garamond" w:hAnsi="Garamond"/>
          <w:b w:val="0"/>
          <w:bCs/>
        </w:rPr>
        <w:t>kadastralë</w:t>
      </w:r>
      <w:proofErr w:type="spellEnd"/>
      <w:r w:rsidRPr="00D80C1B">
        <w:rPr>
          <w:rFonts w:ascii="Garamond" w:hAnsi="Garamond"/>
          <w:b w:val="0"/>
          <w:bCs/>
        </w:rPr>
        <w:t xml:space="preserve"> të kohës, të ndryshëm nga regjistrat e pasurive të paluajtshme, Gjykata e Lartë, duke iu përmbajtur shkaqeve të rekursit dhe duke marrë në konsideratë edhe parashtrimet me shkrim të kërkueses përpara shqyrtimit të tij, ka mbajtur qëndrimin se për qëllime të zbatimit të ligjit material civil përcaktues është regjistrimi në regjistrat e pasurive të paluajtshme dhe jo regjistrimi në çdo lloj regjistri publik. Në këtë mënyrë ajo i ka dhënë përgjigje, në thelb, edhe këtij pretendimi të kërkueses.</w:t>
      </w:r>
    </w:p>
    <w:p w14:paraId="186DE3DE" w14:textId="47AD6140"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 xml:space="preserve">40. Nga sa më sipër, Gjykata çmon se në rigjykim Gjykata e Lartë e ka trajtuar çështjen e ligjit për të cilën ishte urdhëruar rigjykimi dhe ka mbajtur një qëndrim të shprehur e të arsyetuar në lidhje me të, duke përmbushur kështu kërkesat që buronin nga vendimi i saj nr. 57/2023. Gjykata vëren se qëndrimi i mbajtur nga Gjykata e Lartë për raportin ndërmjet neneve 83 dhe 195 të </w:t>
      </w:r>
      <w:proofErr w:type="spellStart"/>
      <w:r w:rsidRPr="00D80C1B">
        <w:rPr>
          <w:rFonts w:ascii="Garamond" w:hAnsi="Garamond"/>
          <w:b w:val="0"/>
          <w:bCs/>
        </w:rPr>
        <w:t>KC</w:t>
      </w:r>
      <w:proofErr w:type="spellEnd"/>
      <w:r w:rsidRPr="00D80C1B">
        <w:rPr>
          <w:rFonts w:ascii="Garamond" w:hAnsi="Garamond"/>
          <w:b w:val="0"/>
          <w:bCs/>
        </w:rPr>
        <w:t xml:space="preserve">-së, si dhe vendimit </w:t>
      </w:r>
      <w:proofErr w:type="spellStart"/>
      <w:r w:rsidRPr="00D80C1B">
        <w:rPr>
          <w:rFonts w:ascii="Garamond" w:hAnsi="Garamond"/>
          <w:b w:val="0"/>
          <w:bCs/>
        </w:rPr>
        <w:t>unifikues</w:t>
      </w:r>
      <w:proofErr w:type="spellEnd"/>
      <w:r w:rsidRPr="00D80C1B">
        <w:rPr>
          <w:rFonts w:ascii="Garamond" w:hAnsi="Garamond"/>
          <w:b w:val="0"/>
          <w:bCs/>
        </w:rPr>
        <w:t xml:space="preserve"> nr. 1/2009, në rastin konkret, nuk rezulton, nga këndvështrimi kushtetues, të jetë i paarsyetuar, arbitrar ose haptazi i paarsyeshëm, për sa kohë Gjykata e Lartë e ka trajtuar çështjen në mënyrë të shprehur dhe të arsyetuar, pa rivlerësuar faktet e çështjes dhe në përputhje me sa kërkohej prej saj në këtë drejtim. Për rrjedhojë, Gjykata çmon se në rigjykim Gjykata e Lartë ka marrë parasysh gjetjet e Gjykatës, duke i dhënë kërkueses një përgjigje të qartë, të arsyetuar dhe të mjaftueshme në kuptimin kushtetues. Në këto kushte, pretendimi i kërkueses për cenimin e së drejtës së </w:t>
      </w:r>
      <w:proofErr w:type="spellStart"/>
      <w:r w:rsidRPr="00D80C1B">
        <w:rPr>
          <w:rFonts w:ascii="Garamond" w:hAnsi="Garamond"/>
          <w:b w:val="0"/>
          <w:bCs/>
        </w:rPr>
        <w:t>aksesit</w:t>
      </w:r>
      <w:proofErr w:type="spellEnd"/>
      <w:r w:rsidRPr="00D80C1B">
        <w:rPr>
          <w:rFonts w:ascii="Garamond" w:hAnsi="Garamond"/>
          <w:b w:val="0"/>
          <w:bCs/>
        </w:rPr>
        <w:t xml:space="preserve"> në gjykatë në aspekt të ankimit efektiv të lidhur me standardin e </w:t>
      </w:r>
      <w:r w:rsidRPr="00D80C1B">
        <w:rPr>
          <w:rFonts w:ascii="Garamond" w:hAnsi="Garamond"/>
          <w:b w:val="0"/>
          <w:bCs/>
        </w:rPr>
        <w:lastRenderedPageBreak/>
        <w:t>arsyetimit të vendimit gjyqësor dhe me standardin e zbatimit të detyrueshëm të vendimeve të Gjykatës është i pabazuar.</w:t>
      </w:r>
    </w:p>
    <w:p w14:paraId="4ACB6E86" w14:textId="6FAFA386" w:rsidR="00E52F6F" w:rsidRPr="00D80C1B" w:rsidRDefault="00E52F6F" w:rsidP="00E52F6F">
      <w:pPr>
        <w:pStyle w:val="BodyTextIndent2"/>
        <w:tabs>
          <w:tab w:val="left" w:pos="1080"/>
        </w:tabs>
        <w:spacing w:line="240" w:lineRule="auto"/>
        <w:ind w:left="0" w:firstLine="284"/>
        <w:rPr>
          <w:rFonts w:ascii="Garamond" w:hAnsi="Garamond"/>
          <w:b w:val="0"/>
          <w:bCs/>
        </w:rPr>
      </w:pPr>
      <w:r w:rsidRPr="00D80C1B">
        <w:rPr>
          <w:rFonts w:ascii="Garamond" w:hAnsi="Garamond"/>
          <w:b w:val="0"/>
          <w:bCs/>
        </w:rPr>
        <w:t>41. Në kushtet kur pretendimi i kërkueses për cenimin e së drejtës së pronës është i ndërvarur nga ai për cenimin e së drejtës për proces të rregullt ligjor dhe për sa kohë Gjykata arriti në përfundimin se ky i fundit është i pabazuar, ajo</w:t>
      </w:r>
      <w:r w:rsidRPr="00D80C1B">
        <w:rPr>
          <w:rFonts w:ascii="Garamond" w:hAnsi="Garamond"/>
        </w:rPr>
        <w:t xml:space="preserve"> </w:t>
      </w:r>
      <w:r w:rsidRPr="00D80C1B">
        <w:rPr>
          <w:rFonts w:ascii="Garamond" w:hAnsi="Garamond"/>
          <w:b w:val="0"/>
          <w:bCs/>
        </w:rPr>
        <w:t>çmon se, me të njëjtat argumente, edhe pretendimi për cenimin e së drejtës së pronës është, gjithashtu, i pabazuar.</w:t>
      </w:r>
    </w:p>
    <w:p w14:paraId="795BF154" w14:textId="77777777" w:rsidR="00E52F6F" w:rsidRPr="00D80C1B" w:rsidRDefault="00E52F6F" w:rsidP="00E52F6F">
      <w:pPr>
        <w:spacing w:line="240" w:lineRule="auto"/>
        <w:ind w:firstLine="284"/>
        <w:jc w:val="center"/>
        <w:rPr>
          <w:rFonts w:ascii="Garamond" w:hAnsi="Garamond"/>
          <w:b/>
          <w:bCs/>
        </w:rPr>
      </w:pPr>
    </w:p>
    <w:p w14:paraId="57461DDF" w14:textId="77777777" w:rsidR="00E52F6F" w:rsidRPr="00D80C1B" w:rsidRDefault="00E52F6F" w:rsidP="00E52F6F">
      <w:pPr>
        <w:spacing w:line="240" w:lineRule="auto"/>
        <w:ind w:firstLine="284"/>
        <w:jc w:val="center"/>
        <w:rPr>
          <w:rFonts w:ascii="Garamond" w:hAnsi="Garamond"/>
          <w:bCs/>
        </w:rPr>
      </w:pPr>
      <w:r w:rsidRPr="00D80C1B">
        <w:rPr>
          <w:rFonts w:ascii="Garamond" w:hAnsi="Garamond"/>
          <w:bCs/>
        </w:rPr>
        <w:t>PËR KËTO ARSYE,</w:t>
      </w:r>
    </w:p>
    <w:p w14:paraId="1C631E07" w14:textId="77777777" w:rsidR="009F6C58" w:rsidRPr="00D80C1B" w:rsidRDefault="009F6C58" w:rsidP="00E52F6F">
      <w:pPr>
        <w:spacing w:line="240" w:lineRule="auto"/>
        <w:ind w:firstLine="284"/>
        <w:jc w:val="both"/>
        <w:rPr>
          <w:rFonts w:ascii="Garamond" w:hAnsi="Garamond"/>
        </w:rPr>
      </w:pPr>
    </w:p>
    <w:p w14:paraId="37F4E5AE" w14:textId="1ED89C8A" w:rsidR="00E52F6F" w:rsidRPr="00D80C1B" w:rsidRDefault="00E52F6F" w:rsidP="00E52F6F">
      <w:pPr>
        <w:spacing w:line="240" w:lineRule="auto"/>
        <w:ind w:firstLine="284"/>
        <w:jc w:val="both"/>
        <w:rPr>
          <w:rFonts w:ascii="Garamond" w:hAnsi="Garamond"/>
        </w:rPr>
      </w:pPr>
      <w:r w:rsidRPr="00D80C1B">
        <w:rPr>
          <w:rFonts w:ascii="Garamond" w:hAnsi="Garamond"/>
        </w:rPr>
        <w:t>Gjykata Kushtetuese, në mbështetje të neneve 131, pika 1, shkronja “f” dhe 134, pika 1, shkronja “i”, të Kushtetutës, si dhe neneve 72 e vijues</w:t>
      </w:r>
      <w:r w:rsidR="00BB3DC5">
        <w:rPr>
          <w:rFonts w:ascii="Garamond" w:hAnsi="Garamond"/>
        </w:rPr>
        <w:t>, të ligjit nr. 8577, datë 10.</w:t>
      </w:r>
      <w:r w:rsidRPr="00D80C1B">
        <w:rPr>
          <w:rFonts w:ascii="Garamond" w:hAnsi="Garamond"/>
        </w:rPr>
        <w:t>2.2000</w:t>
      </w:r>
      <w:r w:rsidR="00BB3DC5">
        <w:rPr>
          <w:rFonts w:ascii="Garamond" w:hAnsi="Garamond"/>
        </w:rPr>
        <w:t>,</w:t>
      </w:r>
      <w:r w:rsidRPr="00D80C1B">
        <w:rPr>
          <w:rFonts w:ascii="Garamond" w:hAnsi="Garamond"/>
        </w:rPr>
        <w:t xml:space="preserve"> “Për organizimin dhe funksionimin e Gjykatës Kushtetuese të Republikës së Shqipërisë”, të ndryshuar, me shumicë votash,</w:t>
      </w:r>
    </w:p>
    <w:p w14:paraId="491C0CBE" w14:textId="7CC26068" w:rsidR="00E52F6F" w:rsidRPr="00D80C1B" w:rsidRDefault="00E52F6F" w:rsidP="00E52F6F">
      <w:pPr>
        <w:spacing w:line="240" w:lineRule="auto"/>
        <w:ind w:firstLine="284"/>
        <w:jc w:val="center"/>
        <w:rPr>
          <w:rFonts w:ascii="Garamond" w:hAnsi="Garamond"/>
          <w:bCs/>
        </w:rPr>
      </w:pPr>
      <w:r w:rsidRPr="00D80C1B">
        <w:rPr>
          <w:rFonts w:ascii="Garamond" w:hAnsi="Garamond"/>
          <w:bCs/>
        </w:rPr>
        <w:t>VENDOSI:</w:t>
      </w:r>
    </w:p>
    <w:p w14:paraId="5495C7B1" w14:textId="77777777" w:rsidR="009F6C58" w:rsidRPr="00D80C1B" w:rsidRDefault="009F6C58" w:rsidP="00E52F6F">
      <w:pPr>
        <w:spacing w:line="240" w:lineRule="auto"/>
        <w:ind w:firstLine="284"/>
        <w:jc w:val="both"/>
        <w:rPr>
          <w:rFonts w:ascii="Garamond" w:hAnsi="Garamond"/>
        </w:rPr>
      </w:pPr>
    </w:p>
    <w:p w14:paraId="5421A845" w14:textId="2183B3CF" w:rsidR="00E52F6F" w:rsidRPr="00D80C1B" w:rsidRDefault="00E52F6F" w:rsidP="00E52F6F">
      <w:pPr>
        <w:spacing w:line="240" w:lineRule="auto"/>
        <w:ind w:firstLine="284"/>
        <w:jc w:val="both"/>
        <w:rPr>
          <w:rFonts w:ascii="Garamond" w:hAnsi="Garamond"/>
        </w:rPr>
      </w:pPr>
      <w:r w:rsidRPr="00D80C1B">
        <w:rPr>
          <w:rFonts w:ascii="Garamond" w:hAnsi="Garamond"/>
        </w:rPr>
        <w:t>1. Rrëzimin e kërkesës.</w:t>
      </w:r>
    </w:p>
    <w:p w14:paraId="2A413157" w14:textId="77777777" w:rsidR="00E52F6F" w:rsidRPr="00D80C1B" w:rsidRDefault="00E52F6F" w:rsidP="00E52F6F">
      <w:pPr>
        <w:spacing w:line="240" w:lineRule="auto"/>
        <w:ind w:firstLine="284"/>
        <w:jc w:val="both"/>
        <w:rPr>
          <w:rFonts w:ascii="Garamond" w:hAnsi="Garamond"/>
        </w:rPr>
      </w:pPr>
      <w:r w:rsidRPr="00D80C1B">
        <w:rPr>
          <w:rFonts w:ascii="Garamond" w:hAnsi="Garamond"/>
        </w:rPr>
        <w:t>Ky vendim është përfundimtar dhe hyn në fuqi ditën e botimit në Fletoren Zyrtare.</w:t>
      </w:r>
    </w:p>
    <w:p w14:paraId="220E9B04" w14:textId="79B4B2F2" w:rsidR="00E52F6F" w:rsidRPr="00D80C1B" w:rsidRDefault="00BB3DC5" w:rsidP="00E52F6F">
      <w:pPr>
        <w:spacing w:line="240" w:lineRule="auto"/>
        <w:ind w:firstLine="284"/>
        <w:jc w:val="both"/>
        <w:rPr>
          <w:rFonts w:ascii="Garamond" w:hAnsi="Garamond"/>
          <w:b/>
          <w:bCs/>
        </w:rPr>
      </w:pPr>
      <w:r>
        <w:rPr>
          <w:rFonts w:ascii="Garamond" w:hAnsi="Garamond"/>
          <w:b/>
          <w:bCs/>
        </w:rPr>
        <w:t>Marrë më 16.</w:t>
      </w:r>
      <w:r w:rsidR="00E52F6F" w:rsidRPr="00D80C1B">
        <w:rPr>
          <w:rFonts w:ascii="Garamond" w:hAnsi="Garamond"/>
          <w:b/>
          <w:bCs/>
        </w:rPr>
        <w:t>2.2026</w:t>
      </w:r>
      <w:r>
        <w:rPr>
          <w:rFonts w:ascii="Garamond" w:hAnsi="Garamond"/>
          <w:b/>
          <w:bCs/>
        </w:rPr>
        <w:t>.</w:t>
      </w:r>
    </w:p>
    <w:p w14:paraId="255DBC13" w14:textId="06F7DF0E" w:rsidR="00E52F6F" w:rsidRPr="00D80C1B" w:rsidRDefault="00BB3DC5" w:rsidP="00E52F6F">
      <w:pPr>
        <w:spacing w:line="240" w:lineRule="auto"/>
        <w:ind w:firstLine="284"/>
        <w:jc w:val="both"/>
        <w:rPr>
          <w:rFonts w:ascii="Garamond" w:hAnsi="Garamond"/>
          <w:b/>
          <w:bCs/>
        </w:rPr>
      </w:pPr>
      <w:r>
        <w:rPr>
          <w:rFonts w:ascii="Garamond" w:hAnsi="Garamond"/>
          <w:b/>
          <w:bCs/>
        </w:rPr>
        <w:t>Shpallur më 2.</w:t>
      </w:r>
      <w:r w:rsidR="00E52F6F" w:rsidRPr="00D80C1B">
        <w:rPr>
          <w:rFonts w:ascii="Garamond" w:hAnsi="Garamond"/>
          <w:b/>
          <w:bCs/>
        </w:rPr>
        <w:t>4.2026</w:t>
      </w:r>
      <w:r>
        <w:rPr>
          <w:rFonts w:ascii="Garamond" w:hAnsi="Garamond"/>
          <w:b/>
          <w:bCs/>
        </w:rPr>
        <w:t>.</w:t>
      </w:r>
    </w:p>
    <w:p w14:paraId="1804F3A8" w14:textId="47F96427" w:rsidR="00E52F6F" w:rsidRPr="00D80C1B" w:rsidRDefault="00E52F6F" w:rsidP="00E52F6F">
      <w:pPr>
        <w:tabs>
          <w:tab w:val="left" w:pos="0"/>
        </w:tabs>
        <w:spacing w:line="240" w:lineRule="auto"/>
        <w:ind w:firstLine="284"/>
        <w:rPr>
          <w:rFonts w:ascii="Garamond" w:hAnsi="Garamond"/>
          <w:b/>
          <w:bCs/>
        </w:rPr>
      </w:pPr>
    </w:p>
    <w:p w14:paraId="4583F513" w14:textId="10DF276A" w:rsidR="009F6C58" w:rsidRPr="00D80C1B" w:rsidRDefault="009F6C58" w:rsidP="00E52F6F">
      <w:pPr>
        <w:tabs>
          <w:tab w:val="left" w:pos="0"/>
        </w:tabs>
        <w:spacing w:line="240" w:lineRule="auto"/>
        <w:ind w:firstLine="284"/>
        <w:rPr>
          <w:rFonts w:ascii="Garamond" w:hAnsi="Garamond"/>
          <w:b/>
          <w:bCs/>
        </w:rPr>
      </w:pPr>
      <w:r w:rsidRPr="00D80C1B">
        <w:rPr>
          <w:rFonts w:ascii="Garamond" w:hAnsi="Garamond"/>
          <w:b/>
          <w:bCs/>
        </w:rPr>
        <w:t xml:space="preserve">Kryetare: </w:t>
      </w:r>
      <w:proofErr w:type="spellStart"/>
      <w:r w:rsidRPr="00D80C1B">
        <w:rPr>
          <w:rFonts w:ascii="Garamond" w:hAnsi="Garamond"/>
          <w:bCs/>
        </w:rPr>
        <w:t>Fiona</w:t>
      </w:r>
      <w:proofErr w:type="spellEnd"/>
      <w:r w:rsidRPr="00D80C1B">
        <w:rPr>
          <w:rFonts w:ascii="Garamond" w:hAnsi="Garamond"/>
          <w:bCs/>
        </w:rPr>
        <w:t xml:space="preserve"> </w:t>
      </w:r>
      <w:proofErr w:type="spellStart"/>
      <w:r w:rsidRPr="00D80C1B">
        <w:rPr>
          <w:rFonts w:ascii="Garamond" w:hAnsi="Garamond"/>
          <w:bCs/>
        </w:rPr>
        <w:t>Papajorgji</w:t>
      </w:r>
      <w:proofErr w:type="spellEnd"/>
    </w:p>
    <w:p w14:paraId="0E414328" w14:textId="7892C6CA" w:rsidR="009F6C58" w:rsidRPr="00D80C1B" w:rsidRDefault="009F6C58" w:rsidP="00E52F6F">
      <w:pPr>
        <w:tabs>
          <w:tab w:val="left" w:pos="0"/>
        </w:tabs>
        <w:spacing w:line="240" w:lineRule="auto"/>
        <w:ind w:firstLine="284"/>
        <w:rPr>
          <w:rFonts w:ascii="Garamond" w:hAnsi="Garamond"/>
          <w:b/>
          <w:bCs/>
        </w:rPr>
      </w:pPr>
      <w:r w:rsidRPr="00D80C1B">
        <w:rPr>
          <w:rFonts w:ascii="Garamond" w:hAnsi="Garamond"/>
          <w:b/>
          <w:bCs/>
        </w:rPr>
        <w:t xml:space="preserve">Anëtarë: </w:t>
      </w:r>
      <w:proofErr w:type="spellStart"/>
      <w:r w:rsidRPr="00D80C1B">
        <w:rPr>
          <w:rFonts w:ascii="Garamond" w:hAnsi="Garamond"/>
          <w:bCs/>
        </w:rPr>
        <w:t>Marjana</w:t>
      </w:r>
      <w:proofErr w:type="spellEnd"/>
      <w:r w:rsidRPr="00D80C1B">
        <w:rPr>
          <w:rFonts w:ascii="Garamond" w:hAnsi="Garamond"/>
          <w:bCs/>
        </w:rPr>
        <w:t xml:space="preserve"> </w:t>
      </w:r>
      <w:proofErr w:type="spellStart"/>
      <w:r w:rsidRPr="00D80C1B">
        <w:rPr>
          <w:rFonts w:ascii="Garamond" w:hAnsi="Garamond"/>
          <w:bCs/>
        </w:rPr>
        <w:t>Semini</w:t>
      </w:r>
      <w:proofErr w:type="spellEnd"/>
      <w:r w:rsidRPr="00D80C1B">
        <w:rPr>
          <w:rFonts w:ascii="Garamond" w:hAnsi="Garamond"/>
          <w:bCs/>
        </w:rPr>
        <w:t xml:space="preserve">, Ilir Toska, </w:t>
      </w:r>
      <w:proofErr w:type="spellStart"/>
      <w:r w:rsidRPr="00D80C1B">
        <w:rPr>
          <w:rFonts w:ascii="Garamond" w:hAnsi="Garamond"/>
          <w:bCs/>
        </w:rPr>
        <w:t>Sandër</w:t>
      </w:r>
      <w:proofErr w:type="spellEnd"/>
      <w:r w:rsidRPr="00D80C1B">
        <w:rPr>
          <w:rFonts w:ascii="Garamond" w:hAnsi="Garamond"/>
          <w:bCs/>
        </w:rPr>
        <w:t xml:space="preserve"> Beci, </w:t>
      </w:r>
      <w:r w:rsidRPr="00D80C1B">
        <w:rPr>
          <w:rFonts w:ascii="Garamond" w:hAnsi="Garamond"/>
        </w:rPr>
        <w:t>Genti Ibrahimi</w:t>
      </w:r>
    </w:p>
    <w:p w14:paraId="16CCC2D0" w14:textId="1DE5BD4A" w:rsidR="009F6C58" w:rsidRPr="00D80C1B" w:rsidRDefault="009F6C58" w:rsidP="00E52F6F">
      <w:pPr>
        <w:tabs>
          <w:tab w:val="left" w:pos="0"/>
        </w:tabs>
        <w:spacing w:line="240" w:lineRule="auto"/>
        <w:ind w:firstLine="284"/>
        <w:rPr>
          <w:rFonts w:ascii="Garamond" w:hAnsi="Garamond"/>
          <w:b/>
          <w:bCs/>
        </w:rPr>
      </w:pPr>
      <w:r w:rsidRPr="00D80C1B">
        <w:rPr>
          <w:rFonts w:ascii="Garamond" w:hAnsi="Garamond"/>
          <w:b/>
          <w:bCs/>
        </w:rPr>
        <w:t>Anëtarë</w:t>
      </w:r>
      <w:r w:rsidRPr="00D80C1B">
        <w:rPr>
          <w:rFonts w:ascii="Garamond" w:hAnsi="Garamond"/>
        </w:rPr>
        <w:t xml:space="preserve"> </w:t>
      </w:r>
      <w:r w:rsidRPr="00D80C1B">
        <w:rPr>
          <w:rFonts w:ascii="Garamond" w:hAnsi="Garamond"/>
          <w:b/>
        </w:rPr>
        <w:t>kundër</w:t>
      </w:r>
      <w:r w:rsidRPr="00D80C1B">
        <w:rPr>
          <w:rFonts w:ascii="Garamond" w:hAnsi="Garamond"/>
          <w:b/>
          <w:bCs/>
        </w:rPr>
        <w:t>:</w:t>
      </w:r>
      <w:r w:rsidRPr="00D80C1B">
        <w:rPr>
          <w:rFonts w:ascii="Garamond" w:hAnsi="Garamond"/>
          <w:bCs/>
        </w:rPr>
        <w:t xml:space="preserve"> </w:t>
      </w:r>
      <w:proofErr w:type="spellStart"/>
      <w:r w:rsidRPr="00D80C1B">
        <w:rPr>
          <w:rFonts w:ascii="Garamond" w:hAnsi="Garamond"/>
          <w:bCs/>
        </w:rPr>
        <w:t>Sonila</w:t>
      </w:r>
      <w:proofErr w:type="spellEnd"/>
      <w:r w:rsidRPr="00D80C1B">
        <w:rPr>
          <w:rFonts w:ascii="Garamond" w:hAnsi="Garamond"/>
          <w:bCs/>
        </w:rPr>
        <w:t xml:space="preserve"> Bejtja, </w:t>
      </w:r>
      <w:proofErr w:type="spellStart"/>
      <w:r w:rsidRPr="00D80C1B">
        <w:rPr>
          <w:rFonts w:ascii="Garamond" w:hAnsi="Garamond"/>
          <w:bCs/>
        </w:rPr>
        <w:t>Marsida</w:t>
      </w:r>
      <w:proofErr w:type="spellEnd"/>
      <w:r w:rsidRPr="00D80C1B">
        <w:rPr>
          <w:rFonts w:ascii="Garamond" w:hAnsi="Garamond"/>
          <w:bCs/>
        </w:rPr>
        <w:t xml:space="preserve"> </w:t>
      </w:r>
      <w:proofErr w:type="spellStart"/>
      <w:r w:rsidRPr="00D80C1B">
        <w:rPr>
          <w:rFonts w:ascii="Garamond" w:hAnsi="Garamond"/>
          <w:bCs/>
        </w:rPr>
        <w:t>Xhaferllari</w:t>
      </w:r>
      <w:proofErr w:type="spellEnd"/>
      <w:r w:rsidRPr="00D80C1B">
        <w:rPr>
          <w:rFonts w:ascii="Garamond" w:hAnsi="Garamond"/>
          <w:bCs/>
        </w:rPr>
        <w:t>,</w:t>
      </w:r>
      <w:r w:rsidRPr="00D80C1B">
        <w:rPr>
          <w:rFonts w:ascii="Garamond" w:hAnsi="Garamond"/>
        </w:rPr>
        <w:t xml:space="preserve"> </w:t>
      </w:r>
      <w:proofErr w:type="spellStart"/>
      <w:r w:rsidRPr="00D80C1B">
        <w:rPr>
          <w:rFonts w:ascii="Garamond" w:hAnsi="Garamond"/>
        </w:rPr>
        <w:t>Asim</w:t>
      </w:r>
      <w:proofErr w:type="spellEnd"/>
      <w:r w:rsidRPr="00D80C1B">
        <w:rPr>
          <w:rFonts w:ascii="Garamond" w:hAnsi="Garamond"/>
        </w:rPr>
        <w:t xml:space="preserve"> </w:t>
      </w:r>
      <w:proofErr w:type="spellStart"/>
      <w:r w:rsidRPr="00D80C1B">
        <w:rPr>
          <w:rFonts w:ascii="Garamond" w:hAnsi="Garamond"/>
        </w:rPr>
        <w:t>Vokshi</w:t>
      </w:r>
      <w:proofErr w:type="spellEnd"/>
    </w:p>
    <w:p w14:paraId="23DBBD67" w14:textId="77777777" w:rsidR="009F6C58" w:rsidRPr="00D80C1B" w:rsidRDefault="009F6C58" w:rsidP="00E52F6F">
      <w:pPr>
        <w:tabs>
          <w:tab w:val="left" w:pos="0"/>
        </w:tabs>
        <w:spacing w:line="240" w:lineRule="auto"/>
        <w:ind w:firstLine="284"/>
        <w:rPr>
          <w:rFonts w:ascii="Garamond" w:hAnsi="Garamond"/>
          <w:b/>
          <w:bCs/>
        </w:rPr>
      </w:pPr>
    </w:p>
    <w:p w14:paraId="75B29ED8" w14:textId="77777777" w:rsidR="00E52F6F" w:rsidRPr="00BB3DC5" w:rsidRDefault="00E52F6F" w:rsidP="00E52F6F">
      <w:pPr>
        <w:tabs>
          <w:tab w:val="left" w:pos="720"/>
          <w:tab w:val="left" w:pos="1080"/>
        </w:tabs>
        <w:spacing w:line="240" w:lineRule="auto"/>
        <w:ind w:firstLine="284"/>
        <w:jc w:val="center"/>
        <w:rPr>
          <w:rFonts w:ascii="Garamond" w:hAnsi="Garamond"/>
          <w:bCs/>
        </w:rPr>
      </w:pPr>
      <w:r w:rsidRPr="00BB3DC5">
        <w:rPr>
          <w:rFonts w:ascii="Garamond" w:hAnsi="Garamond"/>
          <w:bCs/>
        </w:rPr>
        <w:t>MENDIM PAKICE</w:t>
      </w:r>
    </w:p>
    <w:p w14:paraId="16F83BD1" w14:textId="77777777" w:rsidR="009F6C58" w:rsidRPr="00D80C1B" w:rsidRDefault="009F6C58" w:rsidP="00E52F6F">
      <w:pPr>
        <w:pStyle w:val="ListParagraph"/>
        <w:tabs>
          <w:tab w:val="left" w:pos="620"/>
          <w:tab w:val="left" w:pos="980"/>
          <w:tab w:val="left" w:pos="1080"/>
        </w:tabs>
        <w:spacing w:line="240" w:lineRule="auto"/>
        <w:ind w:left="0" w:firstLine="284"/>
        <w:jc w:val="both"/>
        <w:rPr>
          <w:rFonts w:ascii="Garamond" w:hAnsi="Garamond"/>
        </w:rPr>
      </w:pPr>
    </w:p>
    <w:p w14:paraId="6084C917" w14:textId="107B4969"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rPr>
      </w:pPr>
      <w:r w:rsidRPr="00D80C1B">
        <w:rPr>
          <w:rFonts w:ascii="Garamond" w:hAnsi="Garamond"/>
        </w:rPr>
        <w:t xml:space="preserve">1. Në gjykimin kushtetues të çështjes që i përket kërkueses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me objekt shfuqizimin e vend</w:t>
      </w:r>
      <w:r w:rsidR="00BB3DC5">
        <w:rPr>
          <w:rFonts w:ascii="Garamond" w:hAnsi="Garamond"/>
        </w:rPr>
        <w:t>imit nr. 00-2024-3320, datë 19.</w:t>
      </w:r>
      <w:r w:rsidRPr="00D80C1B">
        <w:rPr>
          <w:rFonts w:ascii="Garamond" w:hAnsi="Garamond"/>
        </w:rPr>
        <w:t>7.2024</w:t>
      </w:r>
      <w:r w:rsidR="00BB3DC5">
        <w:rPr>
          <w:rFonts w:ascii="Garamond" w:hAnsi="Garamond"/>
        </w:rPr>
        <w:t>,</w:t>
      </w:r>
      <w:r w:rsidRPr="00D80C1B">
        <w:rPr>
          <w:rFonts w:ascii="Garamond" w:hAnsi="Garamond"/>
        </w:rPr>
        <w:t xml:space="preserve"> të Gjykatës së Lartë, si të papajtueshëm me Kushtetutën, ne gjyqtarët </w:t>
      </w:r>
      <w:proofErr w:type="spellStart"/>
      <w:r w:rsidRPr="00D80C1B">
        <w:rPr>
          <w:rFonts w:ascii="Garamond" w:hAnsi="Garamond"/>
        </w:rPr>
        <w:t>Marsida</w:t>
      </w:r>
      <w:proofErr w:type="spellEnd"/>
      <w:r w:rsidRPr="00D80C1B">
        <w:rPr>
          <w:rFonts w:ascii="Garamond" w:hAnsi="Garamond"/>
        </w:rPr>
        <w:t xml:space="preserve"> </w:t>
      </w:r>
      <w:proofErr w:type="spellStart"/>
      <w:r w:rsidRPr="00D80C1B">
        <w:rPr>
          <w:rFonts w:ascii="Garamond" w:hAnsi="Garamond"/>
        </w:rPr>
        <w:t>Xhaferllari</w:t>
      </w:r>
      <w:proofErr w:type="spellEnd"/>
      <w:r w:rsidRPr="00D80C1B">
        <w:rPr>
          <w:rFonts w:ascii="Garamond" w:hAnsi="Garamond"/>
        </w:rPr>
        <w:t xml:space="preserve"> dhe </w:t>
      </w:r>
      <w:proofErr w:type="spellStart"/>
      <w:r w:rsidRPr="00D80C1B">
        <w:rPr>
          <w:rFonts w:ascii="Garamond" w:hAnsi="Garamond"/>
        </w:rPr>
        <w:t>Asim</w:t>
      </w:r>
      <w:proofErr w:type="spellEnd"/>
      <w:r w:rsidRPr="00D80C1B">
        <w:rPr>
          <w:rFonts w:ascii="Garamond" w:hAnsi="Garamond"/>
        </w:rPr>
        <w:t xml:space="preserve"> </w:t>
      </w:r>
      <w:proofErr w:type="spellStart"/>
      <w:r w:rsidRPr="00D80C1B">
        <w:rPr>
          <w:rFonts w:ascii="Garamond" w:hAnsi="Garamond"/>
        </w:rPr>
        <w:t>Vokshi</w:t>
      </w:r>
      <w:proofErr w:type="spellEnd"/>
      <w:r w:rsidRPr="00D80C1B">
        <w:rPr>
          <w:rFonts w:ascii="Garamond" w:hAnsi="Garamond"/>
        </w:rPr>
        <w:t xml:space="preserve"> jemi kundër vendimit të shumicës për rrëzimin e kërkesës, pasi vlerësojmë se kërkesa duhet të ishte pranuar. Në mbështetje të nenit 132, pika 3, të Kushtetutës dhe nenit 72, pika 8, të Ligjit Organik të Gjykatës, që parashikojnë publikimin e mendimit të pakicës së bashku me vendimin përfundimtar të Gjykatës, në vijim parashtrojmë argumentet që mbështesin qëndrimin tonë kundër.</w:t>
      </w:r>
    </w:p>
    <w:p w14:paraId="612364AD" w14:textId="2D53F2C6"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b/>
          <w:bCs/>
        </w:rPr>
      </w:pPr>
      <w:r w:rsidRPr="00D80C1B">
        <w:rPr>
          <w:rFonts w:ascii="Garamond" w:hAnsi="Garamond"/>
        </w:rPr>
        <w:t xml:space="preserve">2. Mosmarrëveshja objekt shqyrtimi po gjykohet për herë të dytë nga Gjykata. Herën e parë, me vendimin nr. 57/2023, me kërkues Arti </w:t>
      </w:r>
      <w:proofErr w:type="spellStart"/>
      <w:r w:rsidRPr="00D80C1B">
        <w:rPr>
          <w:rFonts w:ascii="Garamond" w:hAnsi="Garamond"/>
        </w:rPr>
        <w:t>Elezaj</w:t>
      </w:r>
      <w:proofErr w:type="spellEnd"/>
      <w:r w:rsidRPr="00D80C1B">
        <w:rPr>
          <w:rFonts w:ascii="Garamond" w:hAnsi="Garamond"/>
        </w:rPr>
        <w:t xml:space="preserve"> dhe subjekt të interesuar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Gjykata sh</w:t>
      </w:r>
      <w:r w:rsidR="00BB3DC5">
        <w:rPr>
          <w:rFonts w:ascii="Garamond" w:hAnsi="Garamond"/>
        </w:rPr>
        <w:t xml:space="preserve">fuqizoi vendimin nr. 455, datë </w:t>
      </w:r>
      <w:r w:rsidRPr="00D80C1B">
        <w:rPr>
          <w:rFonts w:ascii="Garamond" w:hAnsi="Garamond"/>
        </w:rPr>
        <w:t>9.11.2022</w:t>
      </w:r>
      <w:r w:rsidR="00BB3DC5">
        <w:rPr>
          <w:rFonts w:ascii="Garamond" w:hAnsi="Garamond"/>
        </w:rPr>
        <w:t>,</w:t>
      </w:r>
      <w:r w:rsidRPr="00D80C1B">
        <w:rPr>
          <w:rFonts w:ascii="Garamond" w:hAnsi="Garamond"/>
        </w:rPr>
        <w:t xml:space="preserve"> të Gjykatës së Lartë (në të cilin kërkuesi Arti </w:t>
      </w:r>
      <w:proofErr w:type="spellStart"/>
      <w:r w:rsidRPr="00D80C1B">
        <w:rPr>
          <w:rFonts w:ascii="Garamond" w:hAnsi="Garamond"/>
        </w:rPr>
        <w:t>Elezaj</w:t>
      </w:r>
      <w:proofErr w:type="spellEnd"/>
      <w:r w:rsidRPr="00D80C1B">
        <w:rPr>
          <w:rFonts w:ascii="Garamond" w:hAnsi="Garamond"/>
        </w:rPr>
        <w:t xml:space="preserve"> kishte dalë </w:t>
      </w:r>
      <w:proofErr w:type="spellStart"/>
      <w:r w:rsidRPr="00D80C1B">
        <w:rPr>
          <w:rFonts w:ascii="Garamond" w:hAnsi="Garamond"/>
        </w:rPr>
        <w:t>gjyqhumbës</w:t>
      </w:r>
      <w:proofErr w:type="spellEnd"/>
      <w:r w:rsidRPr="00D80C1B">
        <w:rPr>
          <w:rFonts w:ascii="Garamond" w:hAnsi="Garamond"/>
        </w:rPr>
        <w:t xml:space="preserve">) dhe dërgoi çështjen për rishqyrtim në po atë gjykatë. Gjykata në vendimin e Gjykatës së Lartë gjeti shkelje të së drejtës së mbrojtjes për shkak të mosrespektimit të rregullave procedurale për njoftimin e rekursit, si dhe të së drejtës për gjykim nga një gjykatë e caktuar me ligj, pasi ajo gjykatë kishte vepruar përtej rolit të saj si gjykatë ligji. </w:t>
      </w:r>
    </w:p>
    <w:p w14:paraId="25DA1B37" w14:textId="455424D0"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b/>
          <w:bCs/>
        </w:rPr>
      </w:pPr>
      <w:r w:rsidRPr="00D80C1B">
        <w:rPr>
          <w:rFonts w:ascii="Garamond" w:hAnsi="Garamond"/>
        </w:rPr>
        <w:t xml:space="preserve">3. Kësaj here çështja paraqitet para Gjykatës nga kërkuesja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e cila kundërshton vendimin nr. 00</w:t>
      </w:r>
      <w:r w:rsidR="00BB3DC5">
        <w:rPr>
          <w:rFonts w:ascii="Garamond" w:hAnsi="Garamond"/>
        </w:rPr>
        <w:t>-2024-3320, datë 19.</w:t>
      </w:r>
      <w:r w:rsidRPr="00D80C1B">
        <w:rPr>
          <w:rFonts w:ascii="Garamond" w:hAnsi="Garamond"/>
        </w:rPr>
        <w:t>7.2024</w:t>
      </w:r>
      <w:r w:rsidR="00BB3DC5">
        <w:rPr>
          <w:rFonts w:ascii="Garamond" w:hAnsi="Garamond"/>
        </w:rPr>
        <w:t>,</w:t>
      </w:r>
      <w:r w:rsidRPr="00D80C1B">
        <w:rPr>
          <w:rFonts w:ascii="Garamond" w:hAnsi="Garamond"/>
        </w:rPr>
        <w:t xml:space="preserve"> të Gjykatës së Lartë. Ajo ka pretenduar se Gjykata e Lartë edhe në rigjykim nuk ka luajtur rolin e vet si gjykatë ligji, pasi duhej të kthente çështjen për rigjykim, me qëllim që prej gjykatave të faktit të analizoheshin provat e nevojshme për vlerësimin e rrethanave të regjistrimit të tokës bujqësore në regjistrat </w:t>
      </w:r>
      <w:proofErr w:type="spellStart"/>
      <w:r w:rsidRPr="00D80C1B">
        <w:rPr>
          <w:rFonts w:ascii="Garamond" w:hAnsi="Garamond"/>
        </w:rPr>
        <w:t>kadastralë</w:t>
      </w:r>
      <w:proofErr w:type="spellEnd"/>
      <w:r w:rsidRPr="00D80C1B">
        <w:rPr>
          <w:rFonts w:ascii="Garamond" w:hAnsi="Garamond"/>
        </w:rPr>
        <w:t xml:space="preserve">. Po ashtu, kërkuesja ka pretenduar se Gjykata e Lartë nuk i ka shqyrtuar të gjitha shkaqet e rekursit, duke mos e arsyetuar vendimin e saj, për rrjedhojë duke cenuar të drejtën e pronës private të paditëses. </w:t>
      </w:r>
    </w:p>
    <w:p w14:paraId="3B52C2B4" w14:textId="5D5C1BD4"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b/>
          <w:bCs/>
        </w:rPr>
      </w:pPr>
      <w:r w:rsidRPr="00D80C1B">
        <w:rPr>
          <w:rFonts w:ascii="Garamond" w:hAnsi="Garamond"/>
        </w:rPr>
        <w:t>4. Në vlerësimin tonë, vendimi i Gjykatës së Lartë nuk ka respektuar fuqinë detyruese të vendimeve të Gjykatës dhe standardin kushtetues të arsyetimit të vendimit gjyqësor, të garantuara nga nenet 124, 132 dhe 142 të Kushtetutës, me pasojë cenimin e së drejtës kushtetuese të pronës së kërkueses. Për rrjedhojë, rezultati i zgjidhjes së mosmarrëveshjes nuk pajtohet me konceptimin e gjykimit të drejtë të garantuar nga neni 42 i Kushtetutës dhe me parimin e shtetit të së drejtës, sepse në thelb ka legjitimuar dhe përfshirë në qarkullimin civil një pronë të fituar nëpërmjet veprimeve të dënueshme penalisht.</w:t>
      </w:r>
    </w:p>
    <w:p w14:paraId="7104564B" w14:textId="708CF106"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b/>
          <w:bCs/>
        </w:rPr>
      </w:pPr>
      <w:r w:rsidRPr="00D80C1B">
        <w:rPr>
          <w:rFonts w:ascii="Garamond" w:hAnsi="Garamond"/>
        </w:rPr>
        <w:lastRenderedPageBreak/>
        <w:t xml:space="preserve">5. Në jurisprudencën kushtetuese është theksuar në mënyrë të vazhdueshme se vendimet e Gjykatës kanë forcë detyruese mbi të gjitha organet kushtetuese, autoritetet publike, duke përfshirë edhe gjykatat. Efekti detyrues ka të bëjë si me pjesën urdhëruese, ashtu edhe me pjesën arsyetuese të vendimit, si dhe shtrihet tek argumentet thelbësore të vendimit, që përbëjnë edhe </w:t>
      </w:r>
      <w:proofErr w:type="spellStart"/>
      <w:r w:rsidRPr="00D80C1B">
        <w:rPr>
          <w:rFonts w:ascii="Garamond" w:hAnsi="Garamond"/>
          <w:i/>
          <w:iCs/>
        </w:rPr>
        <w:t>ratio</w:t>
      </w:r>
      <w:proofErr w:type="spellEnd"/>
      <w:r w:rsidRPr="00D80C1B">
        <w:rPr>
          <w:rFonts w:ascii="Garamond" w:hAnsi="Garamond"/>
          <w:i/>
          <w:iCs/>
        </w:rPr>
        <w:t xml:space="preserve"> </w:t>
      </w:r>
      <w:proofErr w:type="spellStart"/>
      <w:r w:rsidRPr="00D80C1B">
        <w:rPr>
          <w:rFonts w:ascii="Garamond" w:hAnsi="Garamond"/>
          <w:i/>
          <w:iCs/>
        </w:rPr>
        <w:t>decidendi</w:t>
      </w:r>
      <w:proofErr w:type="spellEnd"/>
      <w:r w:rsidRPr="00D80C1B">
        <w:rPr>
          <w:rFonts w:ascii="Garamond" w:hAnsi="Garamond"/>
          <w:i/>
          <w:iCs/>
        </w:rPr>
        <w:t xml:space="preserve">, </w:t>
      </w:r>
      <w:r w:rsidRPr="00D80C1B">
        <w:rPr>
          <w:rFonts w:ascii="Garamond" w:hAnsi="Garamond"/>
        </w:rPr>
        <w:t xml:space="preserve">eliminimi i të cilave do ta bënte vendimin, në tërësinë e tij, të pakuptimtë </w:t>
      </w:r>
      <w:r w:rsidR="00BB3DC5">
        <w:rPr>
          <w:rFonts w:ascii="Garamond" w:hAnsi="Garamond"/>
          <w:i/>
          <w:iCs/>
        </w:rPr>
        <w:t>(shih vendimet nr. 39, datë 17.6.2025; nr. 66, datë 6.12.2023; nr. 44, datë 29.</w:t>
      </w:r>
      <w:r w:rsidRPr="00D80C1B">
        <w:rPr>
          <w:rFonts w:ascii="Garamond" w:hAnsi="Garamond"/>
          <w:i/>
          <w:iCs/>
        </w:rPr>
        <w:t>6.2015</w:t>
      </w:r>
      <w:r w:rsidR="00BB3DC5">
        <w:rPr>
          <w:rFonts w:ascii="Garamond" w:hAnsi="Garamond"/>
          <w:i/>
          <w:iCs/>
        </w:rPr>
        <w:t>,</w:t>
      </w:r>
      <w:r w:rsidRPr="00D80C1B">
        <w:rPr>
          <w:rFonts w:ascii="Garamond" w:hAnsi="Garamond"/>
          <w:i/>
          <w:iCs/>
        </w:rPr>
        <w:t xml:space="preserve"> të Gjykatës Kushtetuese)</w:t>
      </w:r>
      <w:r w:rsidRPr="00D80C1B">
        <w:rPr>
          <w:rFonts w:ascii="Garamond" w:hAnsi="Garamond"/>
        </w:rPr>
        <w:t>. Po kështu, arsyetimi i vendimit gjyqësor përbën garanci për procesin e rregullt ligjor. Me arsyetimin gjyqtari tregon me qartësi faktet dhe ligjin e zbatueshëm që e kanë çuar në bërjen e një zgjedhjeje ndërmjet disa mundësive. Vendimet përmbledhin dhe finalizojnë përfundimisht qëndrimet që mban gjykata lidhur me çështjen në gjykim (</w:t>
      </w:r>
      <w:r w:rsidR="00BB3DC5">
        <w:rPr>
          <w:rFonts w:ascii="Garamond" w:hAnsi="Garamond"/>
          <w:i/>
          <w:iCs/>
        </w:rPr>
        <w:t>shih vendimet nr. 10, datë 4.3.2021; nr. 18, datë 15.</w:t>
      </w:r>
      <w:r w:rsidRPr="00D80C1B">
        <w:rPr>
          <w:rFonts w:ascii="Garamond" w:hAnsi="Garamond"/>
          <w:i/>
          <w:iCs/>
        </w:rPr>
        <w:t>3.2016</w:t>
      </w:r>
      <w:r w:rsidR="00BB3DC5">
        <w:rPr>
          <w:rFonts w:ascii="Garamond" w:hAnsi="Garamond"/>
          <w:i/>
          <w:iCs/>
        </w:rPr>
        <w:t>,</w:t>
      </w:r>
      <w:r w:rsidRPr="00D80C1B">
        <w:rPr>
          <w:rFonts w:ascii="Garamond" w:hAnsi="Garamond"/>
          <w:i/>
          <w:iCs/>
        </w:rPr>
        <w:t xml:space="preserve"> të Gjykatës Kushtetuese). </w:t>
      </w:r>
    </w:p>
    <w:p w14:paraId="4E6F7275" w14:textId="2DDE6341"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b/>
          <w:bCs/>
        </w:rPr>
      </w:pPr>
      <w:r w:rsidRPr="00D80C1B">
        <w:rPr>
          <w:rFonts w:ascii="Garamond" w:hAnsi="Garamond"/>
        </w:rPr>
        <w:t xml:space="preserve">6. Mbi bazën e këtyre standardeve vërejmë se Gjykata e Lartë në rishqyrtimin e çështjes nuk i ka analizuar dhe nuk u ka kthyer përgjigje shkaqeve të rekursit të renditura në paragrafin 40 të vendimit të tij (të shënuara në një faqe e gjysmë të vendimit). Konkretisht, nuk është analizuar rëndësia që kishte për zgjidhjen e mosmarrëveshjes fakti i dënimit penal për veprën penale të mashtrimit të përfaqësuesit që kishte lidhur kontratën e shitjes tek subjekti i interesuar Arti </w:t>
      </w:r>
      <w:proofErr w:type="spellStart"/>
      <w:r w:rsidRPr="00D80C1B">
        <w:rPr>
          <w:rFonts w:ascii="Garamond" w:hAnsi="Garamond"/>
        </w:rPr>
        <w:t>Elezaj</w:t>
      </w:r>
      <w:proofErr w:type="spellEnd"/>
      <w:r w:rsidRPr="00D80C1B">
        <w:rPr>
          <w:rFonts w:ascii="Garamond" w:hAnsi="Garamond"/>
        </w:rPr>
        <w:t xml:space="preserve"> (shtetasi </w:t>
      </w:r>
      <w:proofErr w:type="spellStart"/>
      <w:r w:rsidRPr="00D80C1B">
        <w:rPr>
          <w:rFonts w:ascii="Garamond" w:hAnsi="Garamond"/>
        </w:rPr>
        <w:t>Etgent</w:t>
      </w:r>
      <w:proofErr w:type="spellEnd"/>
      <w:r w:rsidRPr="00D80C1B">
        <w:rPr>
          <w:rFonts w:ascii="Garamond" w:hAnsi="Garamond"/>
        </w:rPr>
        <w:t xml:space="preserve"> </w:t>
      </w:r>
      <w:proofErr w:type="spellStart"/>
      <w:r w:rsidRPr="00D80C1B">
        <w:rPr>
          <w:rFonts w:ascii="Garamond" w:hAnsi="Garamond"/>
        </w:rPr>
        <w:t>Vait</w:t>
      </w:r>
      <w:proofErr w:type="spellEnd"/>
      <w:r w:rsidRPr="00D80C1B">
        <w:rPr>
          <w:rFonts w:ascii="Garamond" w:hAnsi="Garamond"/>
        </w:rPr>
        <w:t xml:space="preserve"> </w:t>
      </w:r>
      <w:proofErr w:type="spellStart"/>
      <w:r w:rsidRPr="00D80C1B">
        <w:rPr>
          <w:rFonts w:ascii="Garamond" w:hAnsi="Garamond"/>
        </w:rPr>
        <w:t>Luzi</w:t>
      </w:r>
      <w:proofErr w:type="spellEnd"/>
      <w:r w:rsidRPr="00D80C1B">
        <w:rPr>
          <w:rFonts w:ascii="Garamond" w:hAnsi="Garamond"/>
        </w:rPr>
        <w:t>) dhe as fuqia e detyrueshme e këtij vendimi gjyqësor penal sipas nenit 70 të Kodit të Procedurës Penale. Po ashtu, duke qenë se një tjetër trup gjykues i Gjykatë së Lartë, në kuadër të analizës së kuptimit të “regjistrimit” para vitit 2000 kur u bë funksional sistemi i ri i regjistrimit të pasurive të paluajtshme sipas ligjit nr. 7843/1994 (</w:t>
      </w:r>
      <w:r w:rsidRPr="00D80C1B">
        <w:rPr>
          <w:rFonts w:ascii="Garamond" w:hAnsi="Garamond"/>
          <w:i/>
          <w:iCs/>
        </w:rPr>
        <w:t>Ligji për Regjistrimin e Pasurive të Paluajtshme</w:t>
      </w:r>
      <w:r w:rsidRPr="00D80C1B">
        <w:rPr>
          <w:rFonts w:ascii="Garamond" w:hAnsi="Garamond"/>
        </w:rPr>
        <w:t>), kishte mbajtur qëndrim në lidhje me lejen e ndërtimit të lëshuar në favor të trashëgimlënësit të kërkueses, Gjykata e Lartë në rishqyrtimin e çështjes duhej të arsyetonte në lidhje me të, pasi tashmë palët kishin marrë një përgjigje gjyqësore për pretendimet e tyre. Dhënia e një zgjidhjeje të kundërt për të njëjtin rekurs, në mënyrë formale e pa arsyetim të thelluar/detajuar të një ndryshimi të tillë, pas kthimit për rigjykim nga Gjykata, për të përmbushur standardin kushtetues të arsyetimit të</w:t>
      </w:r>
      <w:r w:rsidR="00BB3DC5">
        <w:rPr>
          <w:rFonts w:ascii="Garamond" w:hAnsi="Garamond"/>
        </w:rPr>
        <w:t xml:space="preserve"> vendimit duhej domosdoshmërish</w:t>
      </w:r>
      <w:r w:rsidRPr="00D80C1B">
        <w:rPr>
          <w:rFonts w:ascii="Garamond" w:hAnsi="Garamond"/>
        </w:rPr>
        <w:t xml:space="preserve"> të shoqërohej ose me prishjen e vendimit të gjykatës së apelit dhe kthimin për rigjykim, nëse do të vlerësohej e nevojshme që të merreshin dhe analizoheshin provat në lidhje me ndërtimin që përmendet në kontratën e vitit 1996, ose të paktën me mbajtjen e një qëndrimi të shprehur për çështjet e ligjit që ngriheshin në rekurs nëpërmjet analizës dhe shpjegimit se përse argumentet e mëparshme ligjore të Kolegjit për të njëjtin rekurs nuk mund të zgjidhnin çështjen. Kjo pasi, Gjykata e Lartë nuk mund të shpërfillte një realitet ligjor dhe faktik të periudhës 1996</w:t>
      </w:r>
      <w:r w:rsidR="00BB3DC5">
        <w:rPr>
          <w:rFonts w:ascii="Garamond" w:hAnsi="Garamond"/>
        </w:rPr>
        <w:t>–</w:t>
      </w:r>
      <w:r w:rsidRPr="00D80C1B">
        <w:rPr>
          <w:rFonts w:ascii="Garamond" w:hAnsi="Garamond"/>
        </w:rPr>
        <w:t>2000 ku janë hartuar shumë kontrata për shitjen e pasurive të paluajtshme të llojit tokë bujqësore, në një kohë kur ende nuk ishte përfunduar ngritja e plotë e të gjitha zyrave të regjistrimit të pasurive të paluajtshme sipas Ligjit për Regjistrimin e Pasurive të Paluajtshme.</w:t>
      </w:r>
    </w:p>
    <w:p w14:paraId="2486CC0C" w14:textId="0B50BE74"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b/>
          <w:bCs/>
        </w:rPr>
      </w:pPr>
      <w:r w:rsidRPr="00D80C1B">
        <w:rPr>
          <w:rFonts w:ascii="Garamond" w:hAnsi="Garamond"/>
        </w:rPr>
        <w:t xml:space="preserve">7. Gjykata e Lartë, për efekte të vendimit </w:t>
      </w:r>
      <w:proofErr w:type="spellStart"/>
      <w:r w:rsidRPr="00D80C1B">
        <w:rPr>
          <w:rFonts w:ascii="Garamond" w:hAnsi="Garamond"/>
        </w:rPr>
        <w:t>unifikues</w:t>
      </w:r>
      <w:proofErr w:type="spellEnd"/>
      <w:r w:rsidRPr="00D80C1B">
        <w:rPr>
          <w:rFonts w:ascii="Garamond" w:hAnsi="Garamond"/>
        </w:rPr>
        <w:t xml:space="preserve"> nr. 1/2009, nuk mund të mjaftohej vetëm me konstatimin se toka bujqësore nuk ishte regjistruar në regjistrat e pasurive të paluajtshme sipas Ligjit për Regjistrimin e Pasurive të Paluajtshme në vitin 1996 kur u lidh kontrata e shitjes me akt noterial, për rrjedhojë ajo ishte e pavlefshme. Kjo pasi toka bujqësore u nda sipas ligjit nr. 7501/1991</w:t>
      </w:r>
      <w:r w:rsidR="00BB3DC5">
        <w:rPr>
          <w:rFonts w:ascii="Garamond" w:hAnsi="Garamond"/>
        </w:rPr>
        <w:t>,</w:t>
      </w:r>
      <w:r w:rsidRPr="00D80C1B">
        <w:rPr>
          <w:rFonts w:ascii="Garamond" w:hAnsi="Garamond"/>
        </w:rPr>
        <w:t xml:space="preserve"> “Për tokën” (Ligji për Tokën), i cili në nenin 9 të tij normonte se “</w:t>
      </w:r>
      <w:r w:rsidRPr="00D80C1B">
        <w:rPr>
          <w:rFonts w:ascii="Garamond" w:hAnsi="Garamond"/>
          <w:i/>
          <w:iCs/>
        </w:rPr>
        <w:t>organi shtetëror i specializuar për evidencimin e të dhënave për tokën është kadastra […].</w:t>
      </w:r>
      <w:r w:rsidRPr="00D80C1B">
        <w:rPr>
          <w:rFonts w:ascii="Garamond" w:hAnsi="Garamond"/>
        </w:rPr>
        <w:t xml:space="preserve">” Pra, tokat bujqësore, duke qenë se ndaheshin me </w:t>
      </w:r>
      <w:proofErr w:type="spellStart"/>
      <w:r w:rsidRPr="00D80C1B">
        <w:rPr>
          <w:rFonts w:ascii="Garamond" w:hAnsi="Garamond"/>
        </w:rPr>
        <w:t>AMTP</w:t>
      </w:r>
      <w:proofErr w:type="spellEnd"/>
      <w:r w:rsidRPr="00D80C1B">
        <w:rPr>
          <w:rFonts w:ascii="Garamond" w:hAnsi="Garamond"/>
        </w:rPr>
        <w:t xml:space="preserve"> dhe këto të fundit regjistroheshin në kadastër, konsiderohet se hynin në qarkullimin civil, pasi i nënshtroheshin një regjistrimi të ligjshëm, për efekt të vendimit </w:t>
      </w:r>
      <w:proofErr w:type="spellStart"/>
      <w:r w:rsidRPr="00D80C1B">
        <w:rPr>
          <w:rFonts w:ascii="Garamond" w:hAnsi="Garamond"/>
        </w:rPr>
        <w:t>unifikues</w:t>
      </w:r>
      <w:proofErr w:type="spellEnd"/>
      <w:r w:rsidRPr="00D80C1B">
        <w:rPr>
          <w:rFonts w:ascii="Garamond" w:hAnsi="Garamond"/>
        </w:rPr>
        <w:t xml:space="preserve"> nr. 1/2009 dhe dispozitës përkatëse të Kodit Civil që ndalon tjetërsimin e sendeve të paluajtshme të paregjistruara në regjistrat publikë të pasurive të paluajtshme. Regjistri </w:t>
      </w:r>
      <w:proofErr w:type="spellStart"/>
      <w:r w:rsidRPr="00D80C1B">
        <w:rPr>
          <w:rFonts w:ascii="Garamond" w:hAnsi="Garamond"/>
        </w:rPr>
        <w:t>kadastral</w:t>
      </w:r>
      <w:proofErr w:type="spellEnd"/>
      <w:r w:rsidRPr="00D80C1B">
        <w:rPr>
          <w:rFonts w:ascii="Garamond" w:hAnsi="Garamond"/>
        </w:rPr>
        <w:t xml:space="preserve"> përbënte regjistër pasurish të paluajtshme ku evidentoheshin të dhënat mbi tokën bujqësore, ndaj ai e plotëson në nivel kushtetues standardin provues të së drejtës së pronësisë së shitësve në vitin 1996. Kjo do të thotë se kërkuesja ka pronësi në kuptimin kushtetues, pasi trashëgimlënësi i saj e ka fituar pronësinë mbi tokën bujqësore të regjistruar në regjistrat </w:t>
      </w:r>
      <w:proofErr w:type="spellStart"/>
      <w:r w:rsidRPr="00D80C1B">
        <w:rPr>
          <w:rFonts w:ascii="Garamond" w:hAnsi="Garamond"/>
        </w:rPr>
        <w:t>kadastralë</w:t>
      </w:r>
      <w:proofErr w:type="spellEnd"/>
      <w:r w:rsidRPr="00D80C1B">
        <w:rPr>
          <w:rFonts w:ascii="Garamond" w:hAnsi="Garamond"/>
        </w:rPr>
        <w:t xml:space="preserve"> me kontratë noteriale shitjeje, duke mos pasur kësisoj shkaqe pavlefshmërie absolute. Analiza e themelit të çështjes e bërë nga Gjykata e Lartë, në vend</w:t>
      </w:r>
      <w:r w:rsidR="00BB3DC5">
        <w:rPr>
          <w:rFonts w:ascii="Garamond" w:hAnsi="Garamond"/>
        </w:rPr>
        <w:t xml:space="preserve">imin e mëhershëm nr. 455, datë </w:t>
      </w:r>
      <w:r w:rsidRPr="00D80C1B">
        <w:rPr>
          <w:rFonts w:ascii="Garamond" w:hAnsi="Garamond"/>
        </w:rPr>
        <w:t>9.11.2022</w:t>
      </w:r>
      <w:r w:rsidR="00BB3DC5">
        <w:rPr>
          <w:rFonts w:ascii="Garamond" w:hAnsi="Garamond"/>
        </w:rPr>
        <w:t>,</w:t>
      </w:r>
      <w:r w:rsidRPr="00D80C1B">
        <w:rPr>
          <w:rFonts w:ascii="Garamond" w:hAnsi="Garamond"/>
        </w:rPr>
        <w:t xml:space="preserve"> në paragrafët 39, 39.1., 39.2. dhe 39.3., është e plotë dhe i jep përgjigje shteruese çështjes së regjistrimit të pronës së shitësve në vitin 1996. Gjithashtu, ajo analizë rezulton edhe në pajtim me nenin 41, pikat 1 dhe 2, të </w:t>
      </w:r>
      <w:r w:rsidRPr="00D80C1B">
        <w:rPr>
          <w:rFonts w:ascii="Garamond" w:hAnsi="Garamond"/>
        </w:rPr>
        <w:lastRenderedPageBreak/>
        <w:t>Kushtetutës dhe nenin 1</w:t>
      </w:r>
      <w:r w:rsidR="00BB3DC5">
        <w:rPr>
          <w:rFonts w:ascii="Garamond" w:hAnsi="Garamond"/>
        </w:rPr>
        <w:t>,</w:t>
      </w:r>
      <w:r w:rsidRPr="00D80C1B">
        <w:rPr>
          <w:rFonts w:ascii="Garamond" w:hAnsi="Garamond"/>
        </w:rPr>
        <w:t xml:space="preserve"> të Protokollit nr. 1</w:t>
      </w:r>
      <w:r w:rsidR="00BB3DC5">
        <w:rPr>
          <w:rFonts w:ascii="Garamond" w:hAnsi="Garamond"/>
        </w:rPr>
        <w:t>,</w:t>
      </w:r>
      <w:r w:rsidRPr="00D80C1B">
        <w:rPr>
          <w:rFonts w:ascii="Garamond" w:hAnsi="Garamond"/>
        </w:rPr>
        <w:t xml:space="preserve"> të </w:t>
      </w:r>
      <w:proofErr w:type="spellStart"/>
      <w:r w:rsidRPr="00D80C1B">
        <w:rPr>
          <w:rFonts w:ascii="Garamond" w:hAnsi="Garamond"/>
        </w:rPr>
        <w:t>KEDNJ</w:t>
      </w:r>
      <w:proofErr w:type="spellEnd"/>
      <w:r w:rsidRPr="00D80C1B">
        <w:rPr>
          <w:rFonts w:ascii="Garamond" w:hAnsi="Garamond"/>
        </w:rPr>
        <w:t>-së</w:t>
      </w:r>
      <w:r w:rsidR="00BB3DC5">
        <w:rPr>
          <w:rFonts w:ascii="Garamond" w:hAnsi="Garamond"/>
        </w:rPr>
        <w:t>,</w:t>
      </w:r>
      <w:r w:rsidRPr="00D80C1B">
        <w:rPr>
          <w:rFonts w:ascii="Garamond" w:hAnsi="Garamond"/>
        </w:rPr>
        <w:t xml:space="preserve"> që garantojnë të drejtën e pronës private të fituar me kontratë sipas dispozitave ligjore në fuqi dhe Kodit Civil.</w:t>
      </w:r>
    </w:p>
    <w:p w14:paraId="624E9E28" w14:textId="798B0BFA"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rPr>
      </w:pPr>
      <w:r w:rsidRPr="00D80C1B">
        <w:rPr>
          <w:rFonts w:ascii="Garamond" w:hAnsi="Garamond"/>
        </w:rPr>
        <w:t xml:space="preserve">8. Vendimi i marrë nga Gjykata e Lartë në rigjykim është i paarsyetuar në themel, pasi përdor si argument kryesor faktin se prona e shitësve në vitin 1996 ishte e paregjistruar në regjistrat e pasurive të paluajtshme sipas Ligjit për Regjistrimin e Pasurive të Paluajtshme, duke mos interpretuar nenin 57 të këtij ligji që </w:t>
      </w:r>
      <w:r w:rsidR="00BB3DC5">
        <w:rPr>
          <w:rFonts w:ascii="Garamond" w:hAnsi="Garamond"/>
        </w:rPr>
        <w:t>rregullon dy aspekte kryesore: i.</w:t>
      </w:r>
      <w:r w:rsidRPr="00D80C1B">
        <w:rPr>
          <w:rFonts w:ascii="Garamond" w:hAnsi="Garamond"/>
        </w:rPr>
        <w:t xml:space="preserve"> datën e fillimit të veprimtarisë së zyrave të regjistrimit të pasurive të paluajtshme që përcaktohej me vendim t</w:t>
      </w:r>
      <w:r w:rsidR="00BB3DC5">
        <w:rPr>
          <w:rFonts w:ascii="Garamond" w:hAnsi="Garamond"/>
        </w:rPr>
        <w:t xml:space="preserve">ë Këshillit të Ministrave; </w:t>
      </w:r>
      <w:proofErr w:type="spellStart"/>
      <w:r w:rsidR="00BB3DC5">
        <w:rPr>
          <w:rFonts w:ascii="Garamond" w:hAnsi="Garamond"/>
        </w:rPr>
        <w:t>ii</w:t>
      </w:r>
      <w:proofErr w:type="spellEnd"/>
      <w:r w:rsidR="00BB3DC5">
        <w:rPr>
          <w:rFonts w:ascii="Garamond" w:hAnsi="Garamond"/>
        </w:rPr>
        <w:t>.</w:t>
      </w:r>
      <w:r w:rsidRPr="00D80C1B">
        <w:rPr>
          <w:rFonts w:ascii="Garamond" w:hAnsi="Garamond"/>
        </w:rPr>
        <w:t xml:space="preserve"> faktin se me fillimin e funksionimit të këtyre zyrave do transferoheshin pranë tyre të gjitha dokumentet për pasuritë e paluajtshme që citohen nga neni 24 (regjistrimi fillestar) i Ligjit për Regjistrimin e Pasurive të Paluajtshme, ku përfshihen edhe </w:t>
      </w:r>
      <w:proofErr w:type="spellStart"/>
      <w:r w:rsidRPr="00D80C1B">
        <w:rPr>
          <w:rFonts w:ascii="Garamond" w:hAnsi="Garamond"/>
        </w:rPr>
        <w:t>AMTP</w:t>
      </w:r>
      <w:proofErr w:type="spellEnd"/>
      <w:r w:rsidRPr="00D80C1B">
        <w:rPr>
          <w:rFonts w:ascii="Garamond" w:hAnsi="Garamond"/>
        </w:rPr>
        <w:t xml:space="preserve">-të e lëshuara sipas Ligjit për Tokën. Duke mos u shprehur për sa më sipër, Gjykata e Lartë ka cenuar të drejtën e pronës së kërkueses, e cila duket se është fituar në përputhje me ligjet e kohës kur është lidhur kontrata e shitjes e vitit 1996 dhe nuk bie ndesh me parashikimet e vendimit </w:t>
      </w:r>
      <w:proofErr w:type="spellStart"/>
      <w:r w:rsidRPr="00D80C1B">
        <w:rPr>
          <w:rFonts w:ascii="Garamond" w:hAnsi="Garamond"/>
        </w:rPr>
        <w:t>unifikues</w:t>
      </w:r>
      <w:proofErr w:type="spellEnd"/>
      <w:r w:rsidRPr="00D80C1B">
        <w:rPr>
          <w:rFonts w:ascii="Garamond" w:hAnsi="Garamond"/>
        </w:rPr>
        <w:t xml:space="preserve"> nr. 1/2009. Gjykimi formal i Gjykatës së Lartë në vendimin gjyqësor objekt ankimi kushtetues, jo vetëm nuk i ka dhënë përgjigje rekursit të ngritur nga kërkuesja, por nuk ka zbatuar as orientimin e mëhershëm të Gjykatës dhënë në vendimin nr. 57/2023</w:t>
      </w:r>
      <w:r w:rsidR="00BB3DC5">
        <w:rPr>
          <w:rFonts w:ascii="Garamond" w:hAnsi="Garamond"/>
        </w:rPr>
        <w:t>,</w:t>
      </w:r>
      <w:r w:rsidRPr="00D80C1B">
        <w:rPr>
          <w:rFonts w:ascii="Garamond" w:hAnsi="Garamond"/>
        </w:rPr>
        <w:t xml:space="preserve"> në të cilin thuhet se </w:t>
      </w:r>
      <w:r w:rsidRPr="00D80C1B">
        <w:rPr>
          <w:rFonts w:ascii="Garamond" w:hAnsi="Garamond"/>
          <w:i/>
          <w:iCs/>
        </w:rPr>
        <w:t>“[…] i përket Gjykatës së Lartë detyra për të vlerësuar nëse është rasti për të rivënë në diskutim qëndrimin e saj në lidhje me vlerën e regjistrimit të pasurive të paluajtshme</w:t>
      </w:r>
      <w:r w:rsidRPr="00D80C1B">
        <w:rPr>
          <w:rFonts w:ascii="Garamond" w:hAnsi="Garamond"/>
        </w:rPr>
        <w:t>.” Gjykata e Lartë që të zbatonte vendimin detyrues të Gjykatës duhej detyrimisht të trajtonte çështjen si më sipër, me qëllim që t’u jepte palëve besimin se jo vetëm argumentet e tyre janë vlerësuar, por edhe vendimi i Gjykatës është zbatuar siç duhet.</w:t>
      </w:r>
    </w:p>
    <w:p w14:paraId="7D164E67" w14:textId="057E3EFD" w:rsidR="00E52F6F" w:rsidRPr="00D80C1B" w:rsidRDefault="00E52F6F" w:rsidP="00E52F6F">
      <w:pPr>
        <w:pStyle w:val="ListParagraph"/>
        <w:tabs>
          <w:tab w:val="left" w:pos="620"/>
          <w:tab w:val="left" w:pos="980"/>
          <w:tab w:val="left" w:pos="1080"/>
        </w:tabs>
        <w:spacing w:line="240" w:lineRule="auto"/>
        <w:ind w:left="0" w:firstLine="284"/>
        <w:jc w:val="both"/>
        <w:rPr>
          <w:rFonts w:ascii="Garamond" w:hAnsi="Garamond"/>
        </w:rPr>
      </w:pPr>
      <w:r w:rsidRPr="00D80C1B">
        <w:rPr>
          <w:rFonts w:ascii="Garamond" w:hAnsi="Garamond"/>
        </w:rPr>
        <w:t xml:space="preserve">9. Në këto kushte nuk pajtohemi me qëndrimin e mbajtur herën e dytë nga Gjykata për rrëzimin e ankimit kushtetues individual të kërkueses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jemi të mendimit se ven</w:t>
      </w:r>
      <w:r w:rsidR="00BB3DC5">
        <w:rPr>
          <w:rFonts w:ascii="Garamond" w:hAnsi="Garamond"/>
        </w:rPr>
        <w:t>dimi nr. 00-2024-3320, datë 19.</w:t>
      </w:r>
      <w:r w:rsidRPr="00D80C1B">
        <w:rPr>
          <w:rFonts w:ascii="Garamond" w:hAnsi="Garamond"/>
        </w:rPr>
        <w:t>7.2024</w:t>
      </w:r>
      <w:r w:rsidR="00BB3DC5">
        <w:rPr>
          <w:rFonts w:ascii="Garamond" w:hAnsi="Garamond"/>
        </w:rPr>
        <w:t>,</w:t>
      </w:r>
      <w:r w:rsidRPr="00D80C1B">
        <w:rPr>
          <w:rFonts w:ascii="Garamond" w:hAnsi="Garamond"/>
        </w:rPr>
        <w:t xml:space="preserve"> i Gjykatës së Lartë duhet shfuqizuar, pasi cenon në substancë të drejtën e saj të pronës, të garantuar nga neni 41 i Kushtetutës dhe neni 1</w:t>
      </w:r>
      <w:r w:rsidR="00BB3DC5">
        <w:rPr>
          <w:rFonts w:ascii="Garamond" w:hAnsi="Garamond"/>
        </w:rPr>
        <w:t>,</w:t>
      </w:r>
      <w:r w:rsidRPr="00D80C1B">
        <w:rPr>
          <w:rFonts w:ascii="Garamond" w:hAnsi="Garamond"/>
        </w:rPr>
        <w:t xml:space="preserve"> i Protokollit nr. 1</w:t>
      </w:r>
      <w:r w:rsidR="00BB3DC5">
        <w:rPr>
          <w:rFonts w:ascii="Garamond" w:hAnsi="Garamond"/>
        </w:rPr>
        <w:t>,</w:t>
      </w:r>
      <w:r w:rsidRPr="00D80C1B">
        <w:rPr>
          <w:rFonts w:ascii="Garamond" w:hAnsi="Garamond"/>
        </w:rPr>
        <w:t xml:space="preserve"> të </w:t>
      </w:r>
      <w:proofErr w:type="spellStart"/>
      <w:r w:rsidRPr="00D80C1B">
        <w:rPr>
          <w:rFonts w:ascii="Garamond" w:hAnsi="Garamond"/>
        </w:rPr>
        <w:t>KEDNJ</w:t>
      </w:r>
      <w:proofErr w:type="spellEnd"/>
      <w:r w:rsidRPr="00D80C1B">
        <w:rPr>
          <w:rFonts w:ascii="Garamond" w:hAnsi="Garamond"/>
        </w:rPr>
        <w:t>-së.</w:t>
      </w:r>
    </w:p>
    <w:p w14:paraId="5BCAB882" w14:textId="40863A19" w:rsidR="00E52F6F" w:rsidRPr="00D80C1B" w:rsidRDefault="00E52F6F" w:rsidP="00E52F6F">
      <w:pPr>
        <w:tabs>
          <w:tab w:val="left" w:pos="0"/>
        </w:tabs>
        <w:spacing w:line="240" w:lineRule="auto"/>
        <w:ind w:firstLine="284"/>
        <w:rPr>
          <w:rFonts w:ascii="Garamond" w:hAnsi="Garamond"/>
          <w:b/>
          <w:bCs/>
        </w:rPr>
      </w:pPr>
    </w:p>
    <w:p w14:paraId="786FB8EE" w14:textId="720C418B" w:rsidR="001F4DC2" w:rsidRPr="00D80C1B" w:rsidRDefault="001F4DC2" w:rsidP="00E52F6F">
      <w:pPr>
        <w:tabs>
          <w:tab w:val="left" w:pos="0"/>
        </w:tabs>
        <w:spacing w:line="240" w:lineRule="auto"/>
        <w:ind w:firstLine="284"/>
        <w:rPr>
          <w:rFonts w:ascii="Garamond" w:hAnsi="Garamond"/>
          <w:bCs/>
        </w:rPr>
      </w:pPr>
      <w:r w:rsidRPr="00D80C1B">
        <w:rPr>
          <w:rFonts w:ascii="Garamond" w:hAnsi="Garamond"/>
          <w:b/>
          <w:bCs/>
        </w:rPr>
        <w:t xml:space="preserve">Anëtarë: </w:t>
      </w:r>
      <w:proofErr w:type="spellStart"/>
      <w:r w:rsidRPr="00D80C1B">
        <w:rPr>
          <w:rFonts w:ascii="Garamond" w:hAnsi="Garamond"/>
          <w:bCs/>
        </w:rPr>
        <w:t>Asim</w:t>
      </w:r>
      <w:proofErr w:type="spellEnd"/>
      <w:r w:rsidRPr="00D80C1B">
        <w:rPr>
          <w:rFonts w:ascii="Garamond" w:hAnsi="Garamond"/>
          <w:bCs/>
        </w:rPr>
        <w:t xml:space="preserve"> </w:t>
      </w:r>
      <w:proofErr w:type="spellStart"/>
      <w:r w:rsidRPr="00D80C1B">
        <w:rPr>
          <w:rFonts w:ascii="Garamond" w:hAnsi="Garamond"/>
          <w:bCs/>
        </w:rPr>
        <w:t>Vokshi</w:t>
      </w:r>
      <w:proofErr w:type="spellEnd"/>
      <w:r w:rsidRPr="00D80C1B">
        <w:rPr>
          <w:rFonts w:ascii="Garamond" w:hAnsi="Garamond"/>
          <w:bCs/>
        </w:rPr>
        <w:t>,</w:t>
      </w:r>
      <w:r w:rsidR="006974FD">
        <w:rPr>
          <w:rFonts w:ascii="Garamond" w:hAnsi="Garamond"/>
          <w:bCs/>
        </w:rPr>
        <w:t xml:space="preserve"> </w:t>
      </w:r>
      <w:proofErr w:type="spellStart"/>
      <w:r w:rsidRPr="00D80C1B">
        <w:rPr>
          <w:rFonts w:ascii="Garamond" w:hAnsi="Garamond"/>
          <w:bCs/>
        </w:rPr>
        <w:t>Marsida</w:t>
      </w:r>
      <w:proofErr w:type="spellEnd"/>
      <w:r w:rsidRPr="00D80C1B">
        <w:rPr>
          <w:rFonts w:ascii="Garamond" w:hAnsi="Garamond"/>
          <w:bCs/>
        </w:rPr>
        <w:t xml:space="preserve"> </w:t>
      </w:r>
      <w:proofErr w:type="spellStart"/>
      <w:r w:rsidRPr="00D80C1B">
        <w:rPr>
          <w:rFonts w:ascii="Garamond" w:hAnsi="Garamond"/>
          <w:bCs/>
        </w:rPr>
        <w:t>Xhaferllari</w:t>
      </w:r>
      <w:proofErr w:type="spellEnd"/>
    </w:p>
    <w:p w14:paraId="745FF093" w14:textId="77777777" w:rsidR="00E52F6F" w:rsidRPr="00D80C1B" w:rsidRDefault="00E52F6F" w:rsidP="00E52F6F">
      <w:pPr>
        <w:spacing w:line="240" w:lineRule="auto"/>
        <w:ind w:firstLine="284"/>
        <w:rPr>
          <w:rFonts w:ascii="Garamond" w:hAnsi="Garamond"/>
        </w:rPr>
      </w:pPr>
    </w:p>
    <w:p w14:paraId="5AD8480C" w14:textId="77777777" w:rsidR="00E52F6F" w:rsidRPr="00D80C1B" w:rsidRDefault="00E52F6F" w:rsidP="00E52F6F">
      <w:pPr>
        <w:tabs>
          <w:tab w:val="left" w:pos="720"/>
          <w:tab w:val="left" w:pos="1080"/>
        </w:tabs>
        <w:spacing w:line="240" w:lineRule="auto"/>
        <w:ind w:firstLine="284"/>
        <w:jc w:val="center"/>
        <w:rPr>
          <w:rFonts w:ascii="Garamond" w:hAnsi="Garamond"/>
          <w:b/>
          <w:bCs/>
        </w:rPr>
      </w:pPr>
    </w:p>
    <w:p w14:paraId="3650CE20" w14:textId="77777777" w:rsidR="00E52F6F" w:rsidRPr="00BB3DC5" w:rsidRDefault="00E52F6F" w:rsidP="00E52F6F">
      <w:pPr>
        <w:tabs>
          <w:tab w:val="left" w:pos="720"/>
          <w:tab w:val="left" w:pos="1080"/>
        </w:tabs>
        <w:spacing w:line="240" w:lineRule="auto"/>
        <w:ind w:firstLine="284"/>
        <w:jc w:val="center"/>
        <w:rPr>
          <w:rFonts w:ascii="Garamond" w:hAnsi="Garamond"/>
          <w:bCs/>
        </w:rPr>
      </w:pPr>
      <w:r w:rsidRPr="00BB3DC5">
        <w:rPr>
          <w:rFonts w:ascii="Garamond" w:hAnsi="Garamond"/>
          <w:bCs/>
        </w:rPr>
        <w:t>MENDIM PAKICE</w:t>
      </w:r>
    </w:p>
    <w:p w14:paraId="55006C54" w14:textId="77777777" w:rsidR="00E52F6F" w:rsidRPr="00D80C1B" w:rsidRDefault="00E52F6F" w:rsidP="00E52F6F">
      <w:pPr>
        <w:tabs>
          <w:tab w:val="left" w:pos="720"/>
          <w:tab w:val="left" w:pos="1080"/>
        </w:tabs>
        <w:spacing w:line="240" w:lineRule="auto"/>
        <w:ind w:firstLine="284"/>
        <w:rPr>
          <w:rFonts w:ascii="Garamond" w:hAnsi="Garamond"/>
          <w:b/>
          <w:bCs/>
        </w:rPr>
      </w:pPr>
    </w:p>
    <w:p w14:paraId="0C48B008" w14:textId="7C056CA8"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1. Në gjykimin kushtetues të çështjes që i përket kërkueses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me objekt shfuqizimin e vend</w:t>
      </w:r>
      <w:r w:rsidR="00BB3DC5">
        <w:rPr>
          <w:rFonts w:ascii="Garamond" w:hAnsi="Garamond"/>
        </w:rPr>
        <w:t>imit nr. 00-2024-3320, datë 19.</w:t>
      </w:r>
      <w:r w:rsidRPr="00D80C1B">
        <w:rPr>
          <w:rFonts w:ascii="Garamond" w:hAnsi="Garamond"/>
        </w:rPr>
        <w:t>7.2024</w:t>
      </w:r>
      <w:r w:rsidR="00BB3DC5">
        <w:rPr>
          <w:rFonts w:ascii="Garamond" w:hAnsi="Garamond"/>
        </w:rPr>
        <w:t>,</w:t>
      </w:r>
      <w:r w:rsidRPr="00D80C1B">
        <w:rPr>
          <w:rFonts w:ascii="Garamond" w:hAnsi="Garamond"/>
        </w:rPr>
        <w:t xml:space="preserve"> të Gjykatës së Lartë, si të papajtueshëm me Kushtetutën, edhe pse bashkohem me pakicën për pranimin e kërkesës, kam qëndrim të ndryshëm për arsyet mbi të cilat është arritur në këtë përfundim. Në mbështetje të nenit 132, pika 3, të Kushtetutës dhe nenit 72, pika 8, të Ligjit Organik të Gjykatës, që parashikojnë publikimin e mendimit të pakicës së bashku me vendimin përfundimtar të Gjykatës, në vijim parashtroj argumentet që mbështesin qëndrimin tim kundër.</w:t>
      </w:r>
    </w:p>
    <w:p w14:paraId="5B95CA64" w14:textId="0C5DF816"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2. Kështu, në lidhje me çështjen, rezulton se kërkuesja dhe trashëgimtarët e tjerë të shtetasit </w:t>
      </w:r>
      <w:proofErr w:type="spellStart"/>
      <w:r w:rsidRPr="00D80C1B">
        <w:rPr>
          <w:rFonts w:ascii="Garamond" w:hAnsi="Garamond"/>
        </w:rPr>
        <w:t>Spiro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i janë drejtuar Gjykatës së Rrethit Gjyqësor Tiranë me kërkesëpadi, me objekt njohjen pronarë të pronës objekt konflikti; konstatimin e pavlefshmërisë absolute të kont</w:t>
      </w:r>
      <w:r w:rsidR="00BB3DC5">
        <w:rPr>
          <w:rFonts w:ascii="Garamond" w:hAnsi="Garamond"/>
        </w:rPr>
        <w:t xml:space="preserve">ratave të shitjes të datave 21.4.2005, 29.8.2005 dhe </w:t>
      </w:r>
      <w:r w:rsidRPr="00D80C1B">
        <w:rPr>
          <w:rFonts w:ascii="Garamond" w:hAnsi="Garamond"/>
        </w:rPr>
        <w:t>9.11.2005, lirimin e dorëzimin e sendit etj. Ajo gjykatë,</w:t>
      </w:r>
      <w:r w:rsidR="00BB3DC5">
        <w:rPr>
          <w:rFonts w:ascii="Garamond" w:hAnsi="Garamond"/>
        </w:rPr>
        <w:t xml:space="preserve"> me vendimin nr. 5211, datë 13.</w:t>
      </w:r>
      <w:r w:rsidRPr="00D80C1B">
        <w:rPr>
          <w:rFonts w:ascii="Garamond" w:hAnsi="Garamond"/>
        </w:rPr>
        <w:t>5.2013, vendosi pranimin pjesërisht të kërkesëpadisë, duke konstatuar pavlefshmërinë absolute të kontratave të sh</w:t>
      </w:r>
      <w:r w:rsidR="00BA2AB8">
        <w:rPr>
          <w:rFonts w:ascii="Garamond" w:hAnsi="Garamond"/>
        </w:rPr>
        <w:t>itjes të datave 21.</w:t>
      </w:r>
      <w:r w:rsidR="00BB3DC5">
        <w:rPr>
          <w:rFonts w:ascii="Garamond" w:hAnsi="Garamond"/>
        </w:rPr>
        <w:t xml:space="preserve">4.2005, 29.8.2005 dhe </w:t>
      </w:r>
      <w:r w:rsidRPr="00D80C1B">
        <w:rPr>
          <w:rFonts w:ascii="Garamond" w:hAnsi="Garamond"/>
        </w:rPr>
        <w:t>9.11.2005, dhe urdhëroi fs</w:t>
      </w:r>
      <w:r w:rsidR="00BB3DC5">
        <w:rPr>
          <w:rFonts w:ascii="Garamond" w:hAnsi="Garamond"/>
        </w:rPr>
        <w:t xml:space="preserve">hirjen nga regjistri i </w:t>
      </w:r>
      <w:proofErr w:type="spellStart"/>
      <w:r w:rsidR="00BB3DC5">
        <w:rPr>
          <w:rFonts w:ascii="Garamond" w:hAnsi="Garamond"/>
        </w:rPr>
        <w:t>ZVRPP</w:t>
      </w:r>
      <w:proofErr w:type="spellEnd"/>
      <w:r w:rsidR="00BB3DC5">
        <w:rPr>
          <w:rFonts w:ascii="Garamond" w:hAnsi="Garamond"/>
        </w:rPr>
        <w:t>-së</w:t>
      </w:r>
      <w:r w:rsidRPr="00D80C1B">
        <w:rPr>
          <w:rFonts w:ascii="Garamond" w:hAnsi="Garamond"/>
        </w:rPr>
        <w:t xml:space="preserve"> Tiranë të regjistrimit të pronësisë në emër të Arti </w:t>
      </w:r>
      <w:proofErr w:type="spellStart"/>
      <w:r w:rsidRPr="00D80C1B">
        <w:rPr>
          <w:rFonts w:ascii="Garamond" w:hAnsi="Garamond"/>
        </w:rPr>
        <w:t>Elezaj</w:t>
      </w:r>
      <w:proofErr w:type="spellEnd"/>
      <w:r w:rsidRPr="00D80C1B">
        <w:rPr>
          <w:rFonts w:ascii="Garamond" w:hAnsi="Garamond"/>
        </w:rPr>
        <w:t>, të kryer në bazë të këtyre kontrata</w:t>
      </w:r>
      <w:r w:rsidR="00BB3DC5">
        <w:rPr>
          <w:rFonts w:ascii="Garamond" w:hAnsi="Garamond"/>
        </w:rPr>
        <w:t xml:space="preserve">ve, si dhe detyrimin e </w:t>
      </w:r>
      <w:proofErr w:type="spellStart"/>
      <w:r w:rsidR="00BB3DC5">
        <w:rPr>
          <w:rFonts w:ascii="Garamond" w:hAnsi="Garamond"/>
        </w:rPr>
        <w:t>ZVRPP</w:t>
      </w:r>
      <w:proofErr w:type="spellEnd"/>
      <w:r w:rsidR="00BB3DC5">
        <w:rPr>
          <w:rFonts w:ascii="Garamond" w:hAnsi="Garamond"/>
        </w:rPr>
        <w:t>-së</w:t>
      </w:r>
      <w:r w:rsidRPr="00D80C1B">
        <w:rPr>
          <w:rFonts w:ascii="Garamond" w:hAnsi="Garamond"/>
        </w:rPr>
        <w:t xml:space="preserve"> Tiranë të regjistrojë në emër të paditësve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w:t>
      </w:r>
      <w:proofErr w:type="spellStart"/>
      <w:r w:rsidRPr="00D80C1B">
        <w:rPr>
          <w:rFonts w:ascii="Garamond" w:hAnsi="Garamond"/>
        </w:rPr>
        <w:t>Juljana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sipërfaqen 4.000 m² truall në fshatin Katund i Ri, Tiranë. Gjykata e Apelit Tiranë ka vendosur ndryshimin e vendimit nr. 2738, </w:t>
      </w:r>
      <w:r w:rsidR="00BB3DC5">
        <w:rPr>
          <w:rFonts w:ascii="Garamond" w:hAnsi="Garamond"/>
        </w:rPr>
        <w:t>datë 19.</w:t>
      </w:r>
      <w:r w:rsidRPr="00D80C1B">
        <w:rPr>
          <w:rFonts w:ascii="Garamond" w:hAnsi="Garamond"/>
        </w:rPr>
        <w:t>6.2014 dhe rrëzimin e kërkesëpadisë</w:t>
      </w:r>
      <w:r w:rsidRPr="00D80C1B">
        <w:rPr>
          <w:rFonts w:ascii="Garamond" w:hAnsi="Garamond"/>
          <w:i/>
          <w:iCs/>
        </w:rPr>
        <w:t xml:space="preserve">. </w:t>
      </w:r>
      <w:r w:rsidRPr="00D80C1B">
        <w:rPr>
          <w:rFonts w:ascii="Garamond" w:hAnsi="Garamond"/>
        </w:rPr>
        <w:t xml:space="preserve">Kundër vendimit të apelit kanë ushtruar rekurs kërkuesja dhe shtetasit </w:t>
      </w:r>
      <w:proofErr w:type="spellStart"/>
      <w:r w:rsidRPr="00D80C1B">
        <w:rPr>
          <w:rFonts w:ascii="Garamond" w:hAnsi="Garamond"/>
        </w:rPr>
        <w:t>Juliana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e </w:t>
      </w:r>
      <w:proofErr w:type="spellStart"/>
      <w:r w:rsidRPr="00D80C1B">
        <w:rPr>
          <w:rFonts w:ascii="Garamond" w:hAnsi="Garamond"/>
        </w:rPr>
        <w:t>Leandro</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(paditës në atë gjykim).</w:t>
      </w:r>
    </w:p>
    <w:p w14:paraId="1C8253F8" w14:textId="56ED88BA"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3. Me vendimi</w:t>
      </w:r>
      <w:r w:rsidR="00BB3DC5">
        <w:rPr>
          <w:rFonts w:ascii="Garamond" w:hAnsi="Garamond"/>
        </w:rPr>
        <w:t xml:space="preserve">n nr. 00-2022-2857 (455), datë </w:t>
      </w:r>
      <w:r w:rsidRPr="00D80C1B">
        <w:rPr>
          <w:rFonts w:ascii="Garamond" w:hAnsi="Garamond"/>
        </w:rPr>
        <w:t xml:space="preserve">9.11.2022, Kolegji Civil i Gjykatës së Lartë ka pranuar rekursin e kërkuesve në atë moment, duke prishur kështu vendimin e gjykatës së apelit e duke lënë në fuqi vendimin e Gjykatës së Rrethit Gjyqësor Tiranë, që kishte pranuar kërkesëpadinë </w:t>
      </w:r>
      <w:r w:rsidRPr="00D80C1B">
        <w:rPr>
          <w:rFonts w:ascii="Garamond" w:hAnsi="Garamond"/>
        </w:rPr>
        <w:lastRenderedPageBreak/>
        <w:t xml:space="preserve">e kërkueses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Gjykata e Lartë me atë vendim, në vitin 2022, në pranimin e rekursit, arsyetoi se gjykata e apelit nuk kishte vlerësuar drejt shkakun e konfliktit midis palëve </w:t>
      </w:r>
      <w:proofErr w:type="spellStart"/>
      <w:r w:rsidRPr="00D80C1B">
        <w:rPr>
          <w:rFonts w:ascii="Garamond" w:hAnsi="Garamond"/>
        </w:rPr>
        <w:t>ndërgjyqëse</w:t>
      </w:r>
      <w:proofErr w:type="spellEnd"/>
      <w:r w:rsidRPr="00D80C1B">
        <w:rPr>
          <w:rFonts w:ascii="Garamond" w:hAnsi="Garamond"/>
        </w:rPr>
        <w:t>, si rrjedhojë e interpretimit të gabuar të ligjit material. Në vijim, në përputhje me parashikimet e Ligjit Org</w:t>
      </w:r>
      <w:r w:rsidR="00BB3DC5">
        <w:rPr>
          <w:rFonts w:ascii="Garamond" w:hAnsi="Garamond"/>
        </w:rPr>
        <w:t>anik të Gjykatës, në datën 8.</w:t>
      </w:r>
      <w:r w:rsidRPr="00D80C1B">
        <w:rPr>
          <w:rFonts w:ascii="Garamond" w:hAnsi="Garamond"/>
        </w:rPr>
        <w:t>3.2023</w:t>
      </w:r>
      <w:r w:rsidR="00BA2AB8">
        <w:rPr>
          <w:rFonts w:ascii="Garamond" w:hAnsi="Garamond"/>
        </w:rPr>
        <w:t>,</w:t>
      </w:r>
      <w:r w:rsidRPr="00D80C1B">
        <w:rPr>
          <w:rFonts w:ascii="Garamond" w:hAnsi="Garamond"/>
        </w:rPr>
        <w:t xml:space="preserve"> subjekti i interesuar, Arti </w:t>
      </w:r>
      <w:proofErr w:type="spellStart"/>
      <w:r w:rsidRPr="00D80C1B">
        <w:rPr>
          <w:rFonts w:ascii="Garamond" w:hAnsi="Garamond"/>
        </w:rPr>
        <w:t>Elezaj</w:t>
      </w:r>
      <w:proofErr w:type="spellEnd"/>
      <w:r w:rsidRPr="00D80C1B">
        <w:rPr>
          <w:rFonts w:ascii="Garamond" w:hAnsi="Garamond"/>
        </w:rPr>
        <w:t>, i është drejtuar Gjykatës me ankim kushtetues individual për shfuqizimin e vendimit të Gjykatës së Lartë.</w:t>
      </w:r>
    </w:p>
    <w:p w14:paraId="4EDC0B50" w14:textId="7B3C2824" w:rsidR="00E52F6F" w:rsidRPr="00D80C1B" w:rsidRDefault="00BB3DC5"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Pr>
          <w:rFonts w:ascii="Garamond" w:hAnsi="Garamond"/>
        </w:rPr>
        <w:t xml:space="preserve">4. Me vendimin nr. 57, datë </w:t>
      </w:r>
      <w:r w:rsidR="00E52F6F" w:rsidRPr="00D80C1B">
        <w:rPr>
          <w:rFonts w:ascii="Garamond" w:hAnsi="Garamond"/>
        </w:rPr>
        <w:t xml:space="preserve">9.11.2023 </w:t>
      </w:r>
      <w:r w:rsidR="00E52F6F" w:rsidRPr="00D80C1B">
        <w:rPr>
          <w:rFonts w:ascii="Garamond" w:hAnsi="Garamond"/>
          <w:i/>
          <w:iCs/>
        </w:rPr>
        <w:t xml:space="preserve">(vendimi nr. 57/2023), </w:t>
      </w:r>
      <w:r w:rsidR="00E52F6F" w:rsidRPr="00D80C1B">
        <w:rPr>
          <w:rFonts w:ascii="Garamond" w:hAnsi="Garamond"/>
        </w:rPr>
        <w:t xml:space="preserve">Gjykata ka vendosur pranimin e kërkesës së kërkuesit Arti </w:t>
      </w:r>
      <w:proofErr w:type="spellStart"/>
      <w:r w:rsidR="00E52F6F" w:rsidRPr="00D80C1B">
        <w:rPr>
          <w:rFonts w:ascii="Garamond" w:hAnsi="Garamond"/>
        </w:rPr>
        <w:t>Elezaj</w:t>
      </w:r>
      <w:proofErr w:type="spellEnd"/>
      <w:r w:rsidR="00E52F6F" w:rsidRPr="00D80C1B">
        <w:rPr>
          <w:rFonts w:ascii="Garamond" w:hAnsi="Garamond"/>
        </w:rPr>
        <w:t>, duke shfuqizuar vendimi</w:t>
      </w:r>
      <w:r>
        <w:rPr>
          <w:rFonts w:ascii="Garamond" w:hAnsi="Garamond"/>
        </w:rPr>
        <w:t xml:space="preserve">n nr. 00-2022-2857 (455), datë </w:t>
      </w:r>
      <w:r w:rsidR="00E52F6F" w:rsidRPr="00D80C1B">
        <w:rPr>
          <w:rFonts w:ascii="Garamond" w:hAnsi="Garamond"/>
        </w:rPr>
        <w:t>9.11.2022</w:t>
      </w:r>
      <w:r>
        <w:rPr>
          <w:rFonts w:ascii="Garamond" w:hAnsi="Garamond"/>
        </w:rPr>
        <w:t>,</w:t>
      </w:r>
      <w:r w:rsidR="00E52F6F" w:rsidRPr="00D80C1B">
        <w:rPr>
          <w:rFonts w:ascii="Garamond" w:hAnsi="Garamond"/>
        </w:rPr>
        <w:t xml:space="preserve"> të Gjykatës së Lartë dhe e ka dërguar çështjen për rishqyrtim në atë gjykatë. Në këtë vendimmarrje kam qenë pjesë e vendimit të Gjykatës, për pranimin e kërkesës, duke vlerësuar se ka pasur shkelje jo vetëm të së drejtës së mbrojtjes, për shkak të mosrespektimit të rregullave procedurale për njoftimin e rekursit, por edhe të së drejtës për gjykim nga një gjykatë e caktuar me ligj, pasi Gjykata e Lartë kishte vepruar përtej rolit të saj si gjykatë ligji.</w:t>
      </w:r>
    </w:p>
    <w:p w14:paraId="6AAADB12" w14:textId="2D151119"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5. Pas rishqyrtimit të çështjes, Kolegji Civil i Gjykatës së Lartë, me vend</w:t>
      </w:r>
      <w:r w:rsidR="00BB3DC5">
        <w:rPr>
          <w:rFonts w:ascii="Garamond" w:hAnsi="Garamond"/>
        </w:rPr>
        <w:t>imin nr. 00-2024-3320, datë 19.</w:t>
      </w:r>
      <w:r w:rsidRPr="00D80C1B">
        <w:rPr>
          <w:rFonts w:ascii="Garamond" w:hAnsi="Garamond"/>
        </w:rPr>
        <w:t xml:space="preserve">7.2024, ka vendosur mospranimin e rekursit të paraqitur nga kërkuesja, duke lënë kështu në fuqi vendimin e gjykatës së apelit. </w:t>
      </w:r>
    </w:p>
    <w:p w14:paraId="37A327AB" w14:textId="65034E07"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6. Pas vendimit të vitit 2024 të Gjykatës së Lartë, çështja paraqitet për herë të dytë para Gjykatës, kësaj radhe nga kërkuesja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e cila kundërshton vendimin e Gjykatës së Lartë, të dhënë në rigjykim, në zbatim të vendimit nr. 57/2023 të Gjykatës. Ajo ka pretenduar se Gjykata e Lartë edhe në rigjykim nuk ka luajtur rolin e vet si gjykatë ligji, pasi duhej të kthente çështjen për rigjykim, me qëllim që prej gjykatave të faktit të analizoheshin provat e nevojshme për vlerësimin e rrethanave të regjistrimit të tokës bujqësore në regjistrat </w:t>
      </w:r>
      <w:proofErr w:type="spellStart"/>
      <w:r w:rsidRPr="00D80C1B">
        <w:rPr>
          <w:rFonts w:ascii="Garamond" w:hAnsi="Garamond"/>
        </w:rPr>
        <w:t>kadastralë</w:t>
      </w:r>
      <w:proofErr w:type="spellEnd"/>
      <w:r w:rsidRPr="00D80C1B">
        <w:rPr>
          <w:rFonts w:ascii="Garamond" w:hAnsi="Garamond"/>
        </w:rPr>
        <w:t>. Po ashtu, kërkuesja ka pretenduar se Gjykata e Lartë nuk i ka shqyrtuar të gjitha shkaqet e rekursit, duke mos e arsyetuar vendimin e saj, për rrjedhojë duke cenuar të drejtën e pronës private të paditëses.</w:t>
      </w:r>
    </w:p>
    <w:p w14:paraId="093594B4" w14:textId="7506A467"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7. Në vlerësimin tim, vendimi i Gjykatës së Lartë objekt ankimi kushtetues individual konkret ka cenuar të drejtën për proces të rregullt ligjor, në aspektin e së drejtës së </w:t>
      </w:r>
      <w:proofErr w:type="spellStart"/>
      <w:r w:rsidRPr="00D80C1B">
        <w:rPr>
          <w:rFonts w:ascii="Garamond" w:hAnsi="Garamond"/>
        </w:rPr>
        <w:t>aksesit</w:t>
      </w:r>
      <w:proofErr w:type="spellEnd"/>
      <w:r w:rsidRPr="00D80C1B">
        <w:rPr>
          <w:rFonts w:ascii="Garamond" w:hAnsi="Garamond"/>
        </w:rPr>
        <w:t xml:space="preserve"> dhe ankimit efektiv, të lidhur me standardin të arsyetimit të vendimit gjyqësor</w:t>
      </w:r>
      <w:r w:rsidRPr="00D80C1B">
        <w:rPr>
          <w:rFonts w:ascii="Garamond" w:hAnsi="Garamond"/>
          <w:i/>
          <w:iCs/>
        </w:rPr>
        <w:t xml:space="preserve">, </w:t>
      </w:r>
      <w:r w:rsidRPr="00D80C1B">
        <w:rPr>
          <w:rFonts w:ascii="Garamond" w:hAnsi="Garamond"/>
        </w:rPr>
        <w:t xml:space="preserve">të garantuara nga nenet 124, 132 dhe 142 të Kushtetutës. </w:t>
      </w:r>
    </w:p>
    <w:p w14:paraId="67967F1A" w14:textId="7470F944"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8. Në jurisprudencën e saj, Gjykata ka theksuar se e drejta e </w:t>
      </w:r>
      <w:proofErr w:type="spellStart"/>
      <w:r w:rsidRPr="00D80C1B">
        <w:rPr>
          <w:rFonts w:ascii="Garamond" w:hAnsi="Garamond"/>
        </w:rPr>
        <w:t>aksesit</w:t>
      </w:r>
      <w:proofErr w:type="spellEnd"/>
      <w:r w:rsidRPr="00D80C1B">
        <w:rPr>
          <w:rFonts w:ascii="Garamond" w:hAnsi="Garamond"/>
        </w:rPr>
        <w:t xml:space="preserve"> në gjykatë nuk përfshin vetëm të drejtën për të filluar një proces, por edhe të drejtën për të pasur, nga ana e gjykatës, një zgjidhje përfundimtare për mosmarrëveshjen objekt gjykimi, pasi </w:t>
      </w:r>
      <w:proofErr w:type="spellStart"/>
      <w:r w:rsidRPr="00D80C1B">
        <w:rPr>
          <w:rFonts w:ascii="Garamond" w:hAnsi="Garamond"/>
        </w:rPr>
        <w:t>aksesi</w:t>
      </w:r>
      <w:proofErr w:type="spellEnd"/>
      <w:r w:rsidRPr="00D80C1B">
        <w:rPr>
          <w:rFonts w:ascii="Garamond" w:hAnsi="Garamond"/>
        </w:rPr>
        <w:t xml:space="preserve"> në gjykatë duhet të jetë substancial dhe jo thjesht formal (</w:t>
      </w:r>
      <w:r w:rsidR="00BB3DC5">
        <w:rPr>
          <w:rFonts w:ascii="Garamond" w:hAnsi="Garamond"/>
          <w:i/>
          <w:iCs/>
        </w:rPr>
        <w:t xml:space="preserve">shih vendimet nr. 32, datë </w:t>
      </w:r>
      <w:r w:rsidRPr="00D80C1B">
        <w:rPr>
          <w:rFonts w:ascii="Garamond" w:hAnsi="Garamond"/>
          <w:i/>
          <w:iCs/>
        </w:rPr>
        <w:t>3.11.2022; nr. 5</w:t>
      </w:r>
      <w:r w:rsidR="00BB3DC5">
        <w:rPr>
          <w:rFonts w:ascii="Garamond" w:hAnsi="Garamond"/>
          <w:i/>
          <w:iCs/>
        </w:rPr>
        <w:t>, datë 22.</w:t>
      </w:r>
      <w:r w:rsidRPr="00D80C1B">
        <w:rPr>
          <w:rFonts w:ascii="Garamond" w:hAnsi="Garamond"/>
          <w:i/>
          <w:iCs/>
        </w:rPr>
        <w:t>2.2022; nr. 22, d</w:t>
      </w:r>
      <w:r w:rsidR="00BB3DC5">
        <w:rPr>
          <w:rFonts w:ascii="Garamond" w:hAnsi="Garamond"/>
          <w:i/>
          <w:iCs/>
        </w:rPr>
        <w:t>atë 29.</w:t>
      </w:r>
      <w:r w:rsidRPr="00D80C1B">
        <w:rPr>
          <w:rFonts w:ascii="Garamond" w:hAnsi="Garamond"/>
          <w:i/>
          <w:iCs/>
        </w:rPr>
        <w:t>4.2021</w:t>
      </w:r>
      <w:r w:rsidR="00BB3DC5">
        <w:rPr>
          <w:rFonts w:ascii="Garamond" w:hAnsi="Garamond"/>
          <w:i/>
          <w:iCs/>
        </w:rPr>
        <w:t>,</w:t>
      </w:r>
      <w:r w:rsidRPr="00D80C1B">
        <w:rPr>
          <w:rFonts w:ascii="Garamond" w:hAnsi="Garamond"/>
          <w:i/>
          <w:iCs/>
        </w:rPr>
        <w:t xml:space="preserve"> të Gjykatës Kushtetuese</w:t>
      </w:r>
      <w:r w:rsidRPr="00D80C1B">
        <w:rPr>
          <w:rFonts w:ascii="Garamond" w:hAnsi="Garamond"/>
        </w:rPr>
        <w:t xml:space="preserve">). Po kështu, Gjykata ka pohuar se standardi i arsyetimit është i lidhur edhe me respektimin e të drejtës së </w:t>
      </w:r>
      <w:proofErr w:type="spellStart"/>
      <w:r w:rsidRPr="00D80C1B">
        <w:rPr>
          <w:rFonts w:ascii="Garamond" w:hAnsi="Garamond"/>
        </w:rPr>
        <w:t>aksesit</w:t>
      </w:r>
      <w:proofErr w:type="spellEnd"/>
      <w:r w:rsidRPr="00D80C1B">
        <w:rPr>
          <w:rFonts w:ascii="Garamond" w:hAnsi="Garamond"/>
        </w:rPr>
        <w:t xml:space="preserve"> në gjykim dhe të drejtën e ankimit efektiv. Sipas saj, cenimi i standardit të arsyetimit të vendimit, sjell edhe cenimin e së drejtës së </w:t>
      </w:r>
      <w:proofErr w:type="spellStart"/>
      <w:r w:rsidRPr="00D80C1B">
        <w:rPr>
          <w:rFonts w:ascii="Garamond" w:hAnsi="Garamond"/>
        </w:rPr>
        <w:t>aksesit</w:t>
      </w:r>
      <w:proofErr w:type="spellEnd"/>
      <w:r w:rsidRPr="00D80C1B">
        <w:rPr>
          <w:rFonts w:ascii="Garamond" w:hAnsi="Garamond"/>
        </w:rPr>
        <w:t xml:space="preserve">, në kuptim të nenit 42 të Kushtetutës, si dhe të së drejtës së ankimit në kuptimin substancial, të parashikuar nga neni 43 i Kushtetutës </w:t>
      </w:r>
      <w:r w:rsidR="00BB3DC5">
        <w:rPr>
          <w:rFonts w:ascii="Garamond" w:hAnsi="Garamond"/>
          <w:i/>
          <w:iCs/>
        </w:rPr>
        <w:t>(shih vendimet nr. 1, datë 26.</w:t>
      </w:r>
      <w:r w:rsidRPr="00D80C1B">
        <w:rPr>
          <w:rFonts w:ascii="Garamond" w:hAnsi="Garamond"/>
          <w:i/>
          <w:iCs/>
        </w:rPr>
        <w:t xml:space="preserve">1.2021; nr. 45, </w:t>
      </w:r>
      <w:r w:rsidR="00BB3DC5">
        <w:rPr>
          <w:rFonts w:ascii="Garamond" w:hAnsi="Garamond"/>
          <w:i/>
          <w:iCs/>
        </w:rPr>
        <w:t>datë 3.</w:t>
      </w:r>
      <w:r w:rsidRPr="00D80C1B">
        <w:rPr>
          <w:rFonts w:ascii="Garamond" w:hAnsi="Garamond"/>
          <w:i/>
          <w:iCs/>
        </w:rPr>
        <w:t>7.2017</w:t>
      </w:r>
      <w:r w:rsidR="00BB3DC5">
        <w:rPr>
          <w:rFonts w:ascii="Garamond" w:hAnsi="Garamond"/>
          <w:i/>
          <w:iCs/>
        </w:rPr>
        <w:t>,</w:t>
      </w:r>
      <w:r w:rsidRPr="00D80C1B">
        <w:rPr>
          <w:rFonts w:ascii="Garamond" w:hAnsi="Garamond"/>
          <w:i/>
          <w:iCs/>
        </w:rPr>
        <w:t xml:space="preserve"> të Gjykatës Kushtetuese)</w:t>
      </w:r>
      <w:r w:rsidRPr="00D80C1B">
        <w:rPr>
          <w:rFonts w:ascii="Garamond" w:hAnsi="Garamond"/>
        </w:rPr>
        <w:t>.</w:t>
      </w:r>
    </w:p>
    <w:p w14:paraId="1396EDC0" w14:textId="0B3F1511"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9. Gjithashtu, Gjykata ka pohuar në mënyrë konstante se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00BB3DC5">
        <w:rPr>
          <w:rFonts w:ascii="Garamond" w:hAnsi="Garamond"/>
          <w:i/>
          <w:iCs/>
        </w:rPr>
        <w:t>(shih vendimet nr. 3, datë 21.1.2025; nr. 21, datë 26.</w:t>
      </w:r>
      <w:r w:rsidRPr="00D80C1B">
        <w:rPr>
          <w:rFonts w:ascii="Garamond" w:hAnsi="Garamond"/>
          <w:i/>
          <w:iCs/>
        </w:rPr>
        <w:t>9.2022; nr. 79, datë 14.12.2017</w:t>
      </w:r>
      <w:r w:rsidR="00BB3DC5">
        <w:rPr>
          <w:rFonts w:ascii="Garamond" w:hAnsi="Garamond"/>
          <w:i/>
          <w:iCs/>
        </w:rPr>
        <w:t>,</w:t>
      </w:r>
      <w:r w:rsidRPr="00D80C1B">
        <w:rPr>
          <w:rFonts w:ascii="Garamond" w:hAnsi="Garamond"/>
          <w:i/>
          <w:iCs/>
        </w:rPr>
        <w:t xml:space="preserve"> të Gjykatës Kushtetuese</w:t>
      </w:r>
      <w:r w:rsidRPr="00D80C1B">
        <w:rPr>
          <w:rFonts w:ascii="Garamond" w:hAnsi="Garamond"/>
        </w:rPr>
        <w:t xml:space="preserve">). Po ashtu, Gjykata ka theksuar se detyrë e saj është të vlerësojë nëse gjatë procesit gjyqësor ka pasur shkelje të </w:t>
      </w:r>
      <w:proofErr w:type="spellStart"/>
      <w:r w:rsidRPr="00D80C1B">
        <w:rPr>
          <w:rFonts w:ascii="Garamond" w:hAnsi="Garamond"/>
        </w:rPr>
        <w:t>të</w:t>
      </w:r>
      <w:proofErr w:type="spellEnd"/>
      <w:r w:rsidRPr="00D80C1B">
        <w:rPr>
          <w:rFonts w:ascii="Garamond" w:hAnsi="Garamond"/>
        </w:rPr>
        <w:t xml:space="preserve"> drejtave kushtetuese, si dhe nëse zbatimi i ligjit ka qenë eventualisht arbitrar, në kuptimin që të bjerë ndesh haptazi me konceptin e gjykimit të drejtë të përcaktuar në nenin 42 të Kushtetutës. Gjykata nuk vepron si shkallë e katërt gjykimi, por ajo ndërhyn atëherë kur gabimi ligjor ose faktik nga gjykatat e juridiksionit të zakonshëm është aq i dukshëm, sa një gjykatë e arsyeshme nuk mund ta kishte bërë ndonjëherë ose është i tillë që gjykimin e bën të padrejtë </w:t>
      </w:r>
      <w:r w:rsidRPr="00D80C1B">
        <w:rPr>
          <w:rFonts w:ascii="Garamond" w:hAnsi="Garamond"/>
          <w:i/>
          <w:iCs/>
        </w:rPr>
        <w:t>(shih vendimet nr. 59, d</w:t>
      </w:r>
      <w:r w:rsidR="00BB3DC5">
        <w:rPr>
          <w:rFonts w:ascii="Garamond" w:hAnsi="Garamond"/>
          <w:i/>
          <w:iCs/>
        </w:rPr>
        <w:t xml:space="preserve">atë 14.11.2023; nr. 30, datë 29.5.2023; nr. 29, datë </w:t>
      </w:r>
      <w:r w:rsidRPr="00D80C1B">
        <w:rPr>
          <w:rFonts w:ascii="Garamond" w:hAnsi="Garamond"/>
          <w:i/>
          <w:iCs/>
        </w:rPr>
        <w:t>1.11.2022</w:t>
      </w:r>
      <w:r w:rsidR="00BB3DC5">
        <w:rPr>
          <w:rFonts w:ascii="Garamond" w:hAnsi="Garamond"/>
          <w:i/>
          <w:iCs/>
        </w:rPr>
        <w:t>,</w:t>
      </w:r>
      <w:r w:rsidRPr="00D80C1B">
        <w:rPr>
          <w:rFonts w:ascii="Garamond" w:hAnsi="Garamond"/>
          <w:i/>
          <w:iCs/>
        </w:rPr>
        <w:t xml:space="preserve"> të Gjykatës Kushtetuese)</w:t>
      </w:r>
      <w:r w:rsidRPr="00D80C1B">
        <w:rPr>
          <w:rFonts w:ascii="Garamond" w:hAnsi="Garamond"/>
        </w:rPr>
        <w:t>.</w:t>
      </w:r>
    </w:p>
    <w:p w14:paraId="202BA868" w14:textId="452F8E6F"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10. Lidhur me standardin e zbatimit të detyrueshëm të vendimeve të Gjykatës, nenet 124 dhe 132 të Kushtetutës shprehen qartësisht në lidhje me forcën detyruese që vendimet e Gjykatës kanë mbi të gjitha organet kushtetuese, autoritetet publike, duke përfshirë edhe gjykatat. Zbatimi i vendimeve të Gjykatës është detyrim kushtetues. Ato kanë fuqi detyruese të përgjithshme dhe janë përfundimtare. Si të tilla, përbëjnë jurisprudencë kushtetuese, për rrjedhojë, kanë efektet e forcës </w:t>
      </w:r>
      <w:r w:rsidRPr="00D80C1B">
        <w:rPr>
          <w:rFonts w:ascii="Garamond" w:hAnsi="Garamond"/>
        </w:rPr>
        <w:lastRenderedPageBreak/>
        <w:t>së ligjit</w:t>
      </w:r>
      <w:r w:rsidRPr="00D80C1B">
        <w:rPr>
          <w:rFonts w:ascii="Garamond" w:hAnsi="Garamond"/>
          <w:i/>
          <w:iCs/>
        </w:rPr>
        <w:t>.</w:t>
      </w:r>
      <w:r w:rsidRPr="00D80C1B">
        <w:rPr>
          <w:rFonts w:ascii="Garamond" w:hAnsi="Garamond"/>
        </w:rPr>
        <w:t xml:space="preserve"> Ky efekt detyrues ka të bëjë si me pjesën urdhëruese, ashtu edhe me pjesën arsyetuese të vendimit. Efekti detyrues shtrihet tek argumentet thelbësore të vendimit, që përbëjnë edhe </w:t>
      </w:r>
      <w:proofErr w:type="spellStart"/>
      <w:r w:rsidRPr="00D80C1B">
        <w:rPr>
          <w:rFonts w:ascii="Garamond" w:hAnsi="Garamond"/>
          <w:i/>
          <w:iCs/>
        </w:rPr>
        <w:t>ratio</w:t>
      </w:r>
      <w:proofErr w:type="spellEnd"/>
      <w:r w:rsidRPr="00D80C1B">
        <w:rPr>
          <w:rFonts w:ascii="Garamond" w:hAnsi="Garamond"/>
          <w:i/>
          <w:iCs/>
        </w:rPr>
        <w:t xml:space="preserve"> </w:t>
      </w:r>
      <w:proofErr w:type="spellStart"/>
      <w:r w:rsidRPr="00D80C1B">
        <w:rPr>
          <w:rFonts w:ascii="Garamond" w:hAnsi="Garamond"/>
          <w:i/>
          <w:iCs/>
        </w:rPr>
        <w:t>decidendi</w:t>
      </w:r>
      <w:proofErr w:type="spellEnd"/>
      <w:r w:rsidRPr="00D80C1B">
        <w:rPr>
          <w:rFonts w:ascii="Garamond" w:hAnsi="Garamond"/>
          <w:i/>
          <w:iCs/>
        </w:rPr>
        <w:t xml:space="preserve">, </w:t>
      </w:r>
      <w:r w:rsidRPr="00D80C1B">
        <w:rPr>
          <w:rFonts w:ascii="Garamond" w:hAnsi="Garamond"/>
        </w:rPr>
        <w:t xml:space="preserve">eliminimi i të cilave do ta bënte vendimin, në tërësinë e tij, të pakuptimtë </w:t>
      </w:r>
      <w:r w:rsidR="00BB3DC5">
        <w:rPr>
          <w:rFonts w:ascii="Garamond" w:hAnsi="Garamond"/>
          <w:i/>
          <w:iCs/>
        </w:rPr>
        <w:t>(shih vendimet nr. 39, datë 17.6.2025; nr. 30, datë 18.4.2024; nr. 49, datë 3.</w:t>
      </w:r>
      <w:r w:rsidRPr="00D80C1B">
        <w:rPr>
          <w:rFonts w:ascii="Garamond" w:hAnsi="Garamond"/>
          <w:i/>
          <w:iCs/>
        </w:rPr>
        <w:t>7.2017</w:t>
      </w:r>
      <w:r w:rsidR="00BB3DC5">
        <w:rPr>
          <w:rFonts w:ascii="Garamond" w:hAnsi="Garamond"/>
          <w:i/>
          <w:iCs/>
        </w:rPr>
        <w:t>,</w:t>
      </w:r>
      <w:r w:rsidRPr="00D80C1B">
        <w:rPr>
          <w:rFonts w:ascii="Garamond" w:hAnsi="Garamond"/>
          <w:i/>
          <w:iCs/>
        </w:rPr>
        <w:t xml:space="preserve"> të Gjykatës Kushtetuese)</w:t>
      </w:r>
      <w:r w:rsidRPr="00D80C1B">
        <w:rPr>
          <w:rFonts w:ascii="Garamond" w:hAnsi="Garamond"/>
        </w:rPr>
        <w:t>.</w:t>
      </w:r>
    </w:p>
    <w:p w14:paraId="45E86676" w14:textId="2FFE18B8"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11. Mbi bazën e këtyre standardeve dhe nga analiza e bërë vendimit të Kolegjit Civil të Gjykatës së Lartë të vitit 2024, vlerësoj se në rishqyrtimin e çështjes Gjykata e Lartë nuk i ka marrë në shqyrtim dhe nuk u ka kthyer përgjigje shkaqeve të rekursit të renditura në paragrafin 40 të vendimit të tij (të shënuara në një faqe e gjysmë të vendimit). Në rastin konkret, edhe pse çështja është shqyrtuar nga një tjetër trup gjykues i Gjykatë së Lartë, mbi bazën e detyrave të lëna nga Gjykata, kjo gjykatë duhet të mbante një qëndrim të shprehur për shkaqet ligjore të ngritura nga kërkuesja në rekurs lidhur me legjislacionin e zbatueshëm të kohës, për sa u përket efekteve që sillte regjistrimi i pronës në regjistrin </w:t>
      </w:r>
      <w:proofErr w:type="spellStart"/>
      <w:r w:rsidRPr="00D80C1B">
        <w:rPr>
          <w:rFonts w:ascii="Garamond" w:hAnsi="Garamond"/>
        </w:rPr>
        <w:t>kadastral</w:t>
      </w:r>
      <w:proofErr w:type="spellEnd"/>
      <w:r w:rsidRPr="00D80C1B">
        <w:rPr>
          <w:rFonts w:ascii="Garamond" w:hAnsi="Garamond"/>
        </w:rPr>
        <w:t>, shkak ky ligjor përcaktues për vlefshmërinë/</w:t>
      </w:r>
      <w:r w:rsidR="00F73AA3">
        <w:rPr>
          <w:rFonts w:ascii="Garamond" w:hAnsi="Garamond"/>
        </w:rPr>
        <w:t xml:space="preserve"> </w:t>
      </w:r>
      <w:bookmarkStart w:id="0" w:name="_GoBack"/>
      <w:bookmarkEnd w:id="0"/>
      <w:r w:rsidRPr="00D80C1B">
        <w:rPr>
          <w:rFonts w:ascii="Garamond" w:hAnsi="Garamond"/>
        </w:rPr>
        <w:t>ligjshmërinë e titullit të pronësisë.</w:t>
      </w:r>
    </w:p>
    <w:p w14:paraId="7FAF9E0C" w14:textId="35FBBFD1"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12. Dhënia në vitin 2024 të një zgjidhjeje formaliste nëpërmjet një vendimi të kundërt me vendimin pararendës të vitit 2022, pa një analizë të thelluar e arsyetim të mjaftueshëm për arsyet që çuan Kolegjin Civil të Gjykatës së Lartë në vitin 2024 të zgjidhte në mënyrë diametralisht të kundërt me Kolegjin Civil të po asaj gjykate në vitit 2022, për të njëjtin rekurs, me qëllim përmbushjen e standardit kushtetues të arsyetimit të vendimit, kërkonte domosdoshmërish të shoqërohej ose me prishjen e vendimit të gjykatës së apelit dhe kthimin për rigjykim në atë gjykatë, nëse për qëllime të zgjidhjes së çështjes vlerësohej e nevojshme marrja dhe analizimi i provave, ose, të paktën, me mbajtjen e një qëndrimi të shprehur, nëpërmjet një arsyetimi të mjaftueshëm, për çështjet e ligjit që ngriheshin në rekurs, e nëpërmjet analizës dhe shpjegimit se përse argumentet e mëparshme ligjore të kolegjit pararendës të së njëjtës gjykatë, për të njëjtin rekurs, nuk mund të zgjidhnin çështjen në mënyrë përfundimtare. </w:t>
      </w:r>
    </w:p>
    <w:p w14:paraId="0F4F22C1" w14:textId="11BC0DBF"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13. Në këtë situatë, vlerësoj se gjykimi thjesht formal i Gjykatës së Lartë në vendimin gjyqësor objekt ankimi kushtetues, jo vetëm nuk i ka dhënë përgjigje rekursit të ngritur nga kërkuesja, por nuk ka zbatuar as orientimin e mëhershëm të Gjykatës, të dhënë në vendimin nr. 57/2023, në të cilin thuhet se </w:t>
      </w:r>
      <w:r w:rsidRPr="00D80C1B">
        <w:rPr>
          <w:rFonts w:ascii="Garamond" w:hAnsi="Garamond"/>
          <w:i/>
          <w:iCs/>
        </w:rPr>
        <w:t>“[…] i përket Gjykatës së Lartë detyra për të vlerësuar nëse është rasti për të rivënë në diskutim qëndrimin e saj në lidhje me vlerën e regjistrimit të pasurive të paluajtshme</w:t>
      </w:r>
      <w:r w:rsidRPr="00D80C1B">
        <w:rPr>
          <w:rFonts w:ascii="Garamond" w:hAnsi="Garamond"/>
        </w:rPr>
        <w:t xml:space="preserve">.” Për rrjedhojë, që të zbatonte vendimin detyrues të Gjykatës, Gjykata e Lartë duhej detyrimisht të trajtonte çështjen si më sipër, me qëllim që t’u jepte palëve besimin se jo vetëm argumentet e tyre janë vlerësuar, por edhe vendimi i Gjykatës është zbatuar siç duhet, në përmbushje të detyrimit që përcakton neni 132, pika 1, i Kushtetutës. </w:t>
      </w:r>
    </w:p>
    <w:p w14:paraId="69F50B45" w14:textId="14784E49" w:rsidR="00E52F6F" w:rsidRPr="00D80C1B" w:rsidRDefault="00E52F6F" w:rsidP="00E52F6F">
      <w:pPr>
        <w:pStyle w:val="ListParagraph"/>
        <w:tabs>
          <w:tab w:val="left" w:pos="620"/>
          <w:tab w:val="left" w:pos="720"/>
          <w:tab w:val="left" w:pos="980"/>
          <w:tab w:val="left" w:pos="1080"/>
          <w:tab w:val="left" w:pos="1340"/>
          <w:tab w:val="left" w:pos="1440"/>
        </w:tabs>
        <w:spacing w:line="240" w:lineRule="auto"/>
        <w:ind w:left="0" w:firstLine="284"/>
        <w:jc w:val="both"/>
        <w:rPr>
          <w:rFonts w:ascii="Garamond" w:hAnsi="Garamond"/>
        </w:rPr>
      </w:pPr>
      <w:r w:rsidRPr="00D80C1B">
        <w:rPr>
          <w:rFonts w:ascii="Garamond" w:hAnsi="Garamond"/>
        </w:rPr>
        <w:t xml:space="preserve">14. Në këto kushte, për sa më sipër, nuk pajtohem me qëndrimin e mbajtur nga Gjykata në çështjen konkrete për rrëzimin e ankimit kushtetues individual të kërkueses </w:t>
      </w:r>
      <w:proofErr w:type="spellStart"/>
      <w:r w:rsidRPr="00D80C1B">
        <w:rPr>
          <w:rFonts w:ascii="Garamond" w:hAnsi="Garamond"/>
        </w:rPr>
        <w:t>Amalia</w:t>
      </w:r>
      <w:proofErr w:type="spellEnd"/>
      <w:r w:rsidRPr="00D80C1B">
        <w:rPr>
          <w:rFonts w:ascii="Garamond" w:hAnsi="Garamond"/>
        </w:rPr>
        <w:t xml:space="preserve"> </w:t>
      </w:r>
      <w:proofErr w:type="spellStart"/>
      <w:r w:rsidRPr="00D80C1B">
        <w:rPr>
          <w:rFonts w:ascii="Garamond" w:hAnsi="Garamond"/>
        </w:rPr>
        <w:t>Zerri</w:t>
      </w:r>
      <w:proofErr w:type="spellEnd"/>
      <w:r w:rsidRPr="00D80C1B">
        <w:rPr>
          <w:rFonts w:ascii="Garamond" w:hAnsi="Garamond"/>
        </w:rPr>
        <w:t xml:space="preserve"> dhe jam e mendimit se ven</w:t>
      </w:r>
      <w:r w:rsidR="00BB3DC5">
        <w:rPr>
          <w:rFonts w:ascii="Garamond" w:hAnsi="Garamond"/>
        </w:rPr>
        <w:t>dimi nr. 00-2024-3320, datë 19.</w:t>
      </w:r>
      <w:r w:rsidRPr="00D80C1B">
        <w:rPr>
          <w:rFonts w:ascii="Garamond" w:hAnsi="Garamond"/>
        </w:rPr>
        <w:t>7.2024</w:t>
      </w:r>
      <w:r w:rsidR="00BB3DC5">
        <w:rPr>
          <w:rFonts w:ascii="Garamond" w:hAnsi="Garamond"/>
        </w:rPr>
        <w:t>,</w:t>
      </w:r>
      <w:r w:rsidRPr="00D80C1B">
        <w:rPr>
          <w:rFonts w:ascii="Garamond" w:hAnsi="Garamond"/>
        </w:rPr>
        <w:t xml:space="preserve"> i Gjykatës së Lartë duhej shfuqizuar, pasi cenon procesin e rregullt ligjor në drejtim të së drejtës së </w:t>
      </w:r>
      <w:proofErr w:type="spellStart"/>
      <w:r w:rsidRPr="00D80C1B">
        <w:rPr>
          <w:rFonts w:ascii="Garamond" w:hAnsi="Garamond"/>
        </w:rPr>
        <w:t>aksesit</w:t>
      </w:r>
      <w:proofErr w:type="spellEnd"/>
      <w:r w:rsidRPr="00D80C1B">
        <w:rPr>
          <w:rFonts w:ascii="Garamond" w:hAnsi="Garamond"/>
        </w:rPr>
        <w:t xml:space="preserve"> në gjykatë dhe ankimit efektiv, të lidhur me standardin e arsyetimit të vendimit gjyqësor dhe me standardin e zbatimit të detyrueshëm të vendimeve të Gjykatës, të garantuara nga nenet 124, 132 dhe 142 të Kushtetutës.</w:t>
      </w:r>
    </w:p>
    <w:p w14:paraId="78BE4901" w14:textId="77777777" w:rsidR="00E52F6F" w:rsidRPr="00D80C1B" w:rsidRDefault="00E52F6F" w:rsidP="00E52F6F">
      <w:pPr>
        <w:tabs>
          <w:tab w:val="left" w:pos="0"/>
        </w:tabs>
        <w:spacing w:line="240" w:lineRule="auto"/>
        <w:ind w:firstLine="284"/>
        <w:jc w:val="center"/>
        <w:rPr>
          <w:rFonts w:ascii="Garamond" w:hAnsi="Garamond"/>
          <w:b/>
          <w:bCs/>
        </w:rPr>
      </w:pPr>
    </w:p>
    <w:p w14:paraId="20C3037B" w14:textId="7BE33A1D" w:rsidR="00E52F6F" w:rsidRPr="00D80C1B" w:rsidRDefault="00ED3C82" w:rsidP="00700A02">
      <w:pPr>
        <w:tabs>
          <w:tab w:val="left" w:pos="0"/>
        </w:tabs>
        <w:spacing w:line="240" w:lineRule="auto"/>
        <w:ind w:firstLine="284"/>
        <w:rPr>
          <w:rFonts w:ascii="Garamond" w:hAnsi="Garamond"/>
          <w:b/>
          <w:bCs/>
        </w:rPr>
      </w:pPr>
      <w:r w:rsidRPr="00D80C1B">
        <w:rPr>
          <w:rFonts w:ascii="Garamond" w:hAnsi="Garamond"/>
          <w:b/>
          <w:bCs/>
        </w:rPr>
        <w:t xml:space="preserve">Anëtarë: </w:t>
      </w:r>
      <w:proofErr w:type="spellStart"/>
      <w:r w:rsidR="00E52F6F" w:rsidRPr="00D80C1B">
        <w:rPr>
          <w:rFonts w:ascii="Garamond" w:hAnsi="Garamond"/>
          <w:bCs/>
        </w:rPr>
        <w:t>Sonila</w:t>
      </w:r>
      <w:proofErr w:type="spellEnd"/>
      <w:r w:rsidR="00E52F6F" w:rsidRPr="00D80C1B">
        <w:rPr>
          <w:rFonts w:ascii="Garamond" w:hAnsi="Garamond"/>
          <w:bCs/>
        </w:rPr>
        <w:t xml:space="preserve"> Bejtja</w:t>
      </w:r>
    </w:p>
    <w:p w14:paraId="2776FC7D" w14:textId="268EF65C" w:rsidR="0042756E" w:rsidRPr="00D80C1B" w:rsidRDefault="0042756E" w:rsidP="00E52F6F">
      <w:pPr>
        <w:spacing w:line="240" w:lineRule="auto"/>
        <w:ind w:firstLine="284"/>
        <w:rPr>
          <w:rFonts w:ascii="Garamond" w:hAnsi="Garamond"/>
        </w:rPr>
      </w:pPr>
    </w:p>
    <w:sectPr w:rsidR="0042756E" w:rsidRPr="00D80C1B" w:rsidSect="00B81C79">
      <w:headerReference w:type="first" r:id="rId11"/>
      <w:footerReference w:type="first" r:id="rId12"/>
      <w:pgSz w:w="11906" w:h="16838"/>
      <w:pgMar w:top="630" w:right="1440" w:bottom="144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5AF294" w16cex:dateUtc="2026-03-29T08:13:00Z"/>
  <w16cex:commentExtensible w16cex:durableId="47BA5B38" w16cex:dateUtc="2026-03-29T10:07:00Z"/>
  <w16cex:commentExtensible w16cex:durableId="7A727EB6" w16cex:dateUtc="2026-03-29T10:44:00Z"/>
  <w16cex:commentExtensible w16cex:durableId="46E80B93" w16cex:dateUtc="2026-03-29T10:47:00Z"/>
  <w16cex:commentExtensible w16cex:durableId="1AE2E520" w16cex:dateUtc="2026-03-29T10:48:00Z"/>
  <w16cex:commentExtensible w16cex:durableId="3458552E" w16cex:dateUtc="2026-03-29T10:49:00Z"/>
  <w16cex:commentExtensible w16cex:durableId="30712220" w16cex:dateUtc="2026-03-29T10:50:00Z"/>
  <w16cex:commentExtensible w16cex:durableId="5E587779" w16cex:dateUtc="2026-03-29T11:10:00Z"/>
  <w16cex:commentExtensible w16cex:durableId="461E4817" w16cex:dateUtc="2026-03-29T14:17:00Z"/>
  <w16cex:commentExtensible w16cex:durableId="08D4CE76" w16cex:dateUtc="2026-03-29T14:31:00Z"/>
  <w16cex:commentExtensible w16cex:durableId="53C7BB4D" w16cex:dateUtc="2026-03-29T14:39:00Z"/>
  <w16cex:commentExtensible w16cex:durableId="15B7DD07" w16cex:dateUtc="2026-03-29T15:02: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113F1" w14:textId="77777777" w:rsidR="00283EF8" w:rsidRDefault="00283EF8">
      <w:pPr>
        <w:spacing w:line="240" w:lineRule="auto"/>
      </w:pPr>
      <w:r>
        <w:separator/>
      </w:r>
    </w:p>
  </w:endnote>
  <w:endnote w:type="continuationSeparator" w:id="0">
    <w:p w14:paraId="005BFBB5" w14:textId="77777777" w:rsidR="00283EF8" w:rsidRDefault="00283EF8">
      <w:pPr>
        <w:spacing w:line="240" w:lineRule="auto"/>
      </w:pPr>
      <w:r>
        <w:continuationSeparator/>
      </w:r>
    </w:p>
  </w:endnote>
  <w:endnote w:type="continuationNotice" w:id="1">
    <w:p w14:paraId="23FDA940" w14:textId="77777777" w:rsidR="00C61E50" w:rsidRDefault="00C61E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EC50F" w14:textId="77777777" w:rsidR="00283EF8" w:rsidRDefault="00283EF8">
    <w:pPr>
      <w:pStyle w:val="Footer"/>
      <w:jc w:val="right"/>
    </w:pPr>
  </w:p>
  <w:p w14:paraId="752AD9DD" w14:textId="77777777" w:rsidR="00283EF8" w:rsidRDefault="00283E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02B2A6" w14:textId="77777777" w:rsidR="00283EF8" w:rsidRDefault="00283EF8">
      <w:pPr>
        <w:spacing w:line="240" w:lineRule="auto"/>
      </w:pPr>
      <w:r>
        <w:separator/>
      </w:r>
    </w:p>
  </w:footnote>
  <w:footnote w:type="continuationSeparator" w:id="0">
    <w:p w14:paraId="0B8D84D6" w14:textId="77777777" w:rsidR="00283EF8" w:rsidRDefault="00283EF8">
      <w:pPr>
        <w:spacing w:line="240" w:lineRule="auto"/>
      </w:pPr>
      <w:r>
        <w:continuationSeparator/>
      </w:r>
    </w:p>
  </w:footnote>
  <w:footnote w:type="continuationNotice" w:id="1">
    <w:p w14:paraId="73919D28" w14:textId="77777777" w:rsidR="00C61E50" w:rsidRDefault="00C61E50">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27C26" w14:textId="77777777" w:rsidR="00283EF8" w:rsidRPr="000B6E0F" w:rsidRDefault="00283EF8" w:rsidP="00283EF8">
    <w:pPr>
      <w:pStyle w:val="Header"/>
      <w:spacing w:line="240" w:lineRule="auto"/>
      <w:rPr>
        <w:lang w:val="it-I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765D7"/>
    <w:multiLevelType w:val="hybridMultilevel"/>
    <w:tmpl w:val="4EACA8F2"/>
    <w:lvl w:ilvl="0" w:tplc="1A14F966">
      <w:start w:val="1"/>
      <w:numFmt w:val="upperLetter"/>
      <w:lvlText w:val="%1."/>
      <w:lvlJc w:val="left"/>
      <w:pPr>
        <w:ind w:left="720" w:hanging="360"/>
      </w:pPr>
      <w:rPr>
        <w:rFonts w:hint="default"/>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7044CC"/>
    <w:multiLevelType w:val="multilevel"/>
    <w:tmpl w:val="083435D8"/>
    <w:lvl w:ilvl="0">
      <w:start w:val="7"/>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D7E3B7D"/>
    <w:multiLevelType w:val="multilevel"/>
    <w:tmpl w:val="E1449F38"/>
    <w:lvl w:ilvl="0">
      <w:start w:val="21"/>
      <w:numFmt w:val="decimal"/>
      <w:lvlText w:val="%1."/>
      <w:lvlJc w:val="left"/>
      <w:pPr>
        <w:ind w:left="480" w:hanging="480"/>
      </w:pPr>
      <w:rPr>
        <w:rFonts w:hint="default"/>
        <w:i w:val="0"/>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F572921"/>
    <w:multiLevelType w:val="hybridMultilevel"/>
    <w:tmpl w:val="DA1CF6DA"/>
    <w:lvl w:ilvl="0" w:tplc="54D01DD6">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3654A8"/>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10"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2"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6A410BB"/>
    <w:multiLevelType w:val="multilevel"/>
    <w:tmpl w:val="85465DCA"/>
    <w:lvl w:ilvl="0">
      <w:start w:val="7"/>
      <w:numFmt w:val="decimal"/>
      <w:lvlText w:val="%1."/>
      <w:lvlJc w:val="left"/>
      <w:pPr>
        <w:ind w:left="900" w:hanging="360"/>
      </w:pPr>
      <w:rPr>
        <w:rFonts w:eastAsia="Arial Unicode MS" w:hint="default"/>
        <w:b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abstractNum w:abstractNumId="14"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F97B36"/>
    <w:multiLevelType w:val="hybridMultilevel"/>
    <w:tmpl w:val="3AC896E4"/>
    <w:lvl w:ilvl="0" w:tplc="757A23BA">
      <w:start w:val="1"/>
      <w:numFmt w:val="upperRoman"/>
      <w:lvlText w:val="%1."/>
      <w:lvlJc w:val="left"/>
      <w:pPr>
        <w:ind w:left="1080" w:hanging="720"/>
      </w:pPr>
      <w:rPr>
        <w:rFonts w:hint="default"/>
        <w:i/>
      </w:rPr>
    </w:lvl>
    <w:lvl w:ilvl="1" w:tplc="041C0019">
      <w:start w:val="1"/>
      <w:numFmt w:val="lowerLetter"/>
      <w:lvlText w:val="%2."/>
      <w:lvlJc w:val="left"/>
      <w:pPr>
        <w:ind w:left="1440" w:hanging="360"/>
      </w:pPr>
    </w:lvl>
    <w:lvl w:ilvl="2" w:tplc="0409000F">
      <w:start w:val="1"/>
      <w:numFmt w:val="decimal"/>
      <w:lvlText w:val="%3."/>
      <w:lvlJc w:val="lef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7" w15:restartNumberingAfterBreak="0">
    <w:nsid w:val="461D04A9"/>
    <w:multiLevelType w:val="multilevel"/>
    <w:tmpl w:val="992E167A"/>
    <w:lvl w:ilvl="0">
      <w:start w:val="1"/>
      <w:numFmt w:val="decimal"/>
      <w:lvlText w:val="%1."/>
      <w:lvlJc w:val="left"/>
      <w:pPr>
        <w:ind w:left="108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8"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6524B4F"/>
    <w:multiLevelType w:val="multilevel"/>
    <w:tmpl w:val="F3444342"/>
    <w:lvl w:ilvl="0">
      <w:start w:val="8"/>
      <w:numFmt w:val="decimal"/>
      <w:lvlText w:val="%1."/>
      <w:lvlJc w:val="left"/>
      <w:pPr>
        <w:ind w:left="1440" w:hanging="360"/>
      </w:pPr>
      <w:rPr>
        <w:rFonts w:hint="default"/>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4"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6"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7"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28"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9"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30"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E8121A"/>
    <w:multiLevelType w:val="multilevel"/>
    <w:tmpl w:val="38265FD0"/>
    <w:lvl w:ilvl="0">
      <w:start w:val="2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2"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33" w15:restartNumberingAfterBreak="0">
    <w:nsid w:val="7C6D34CE"/>
    <w:multiLevelType w:val="multilevel"/>
    <w:tmpl w:val="4E9872BC"/>
    <w:lvl w:ilvl="0">
      <w:start w:val="1"/>
      <w:numFmt w:val="decimal"/>
      <w:lvlText w:val="%1."/>
      <w:lvlJc w:val="left"/>
      <w:pPr>
        <w:ind w:left="90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abstractNumId w:val="22"/>
  </w:num>
  <w:num w:numId="2">
    <w:abstractNumId w:val="21"/>
  </w:num>
  <w:num w:numId="3">
    <w:abstractNumId w:val="12"/>
  </w:num>
  <w:num w:numId="4">
    <w:abstractNumId w:val="27"/>
  </w:num>
  <w:num w:numId="5">
    <w:abstractNumId w:val="11"/>
  </w:num>
  <w:num w:numId="6">
    <w:abstractNumId w:val="7"/>
  </w:num>
  <w:num w:numId="7">
    <w:abstractNumId w:val="16"/>
  </w:num>
  <w:num w:numId="8">
    <w:abstractNumId w:val="1"/>
  </w:num>
  <w:num w:numId="9">
    <w:abstractNumId w:val="29"/>
  </w:num>
  <w:num w:numId="10">
    <w:abstractNumId w:val="3"/>
  </w:num>
  <w:num w:numId="11">
    <w:abstractNumId w:val="30"/>
  </w:num>
  <w:num w:numId="12">
    <w:abstractNumId w:val="19"/>
  </w:num>
  <w:num w:numId="13">
    <w:abstractNumId w:val="28"/>
  </w:num>
  <w:num w:numId="14">
    <w:abstractNumId w:val="9"/>
  </w:num>
  <w:num w:numId="15">
    <w:abstractNumId w:val="20"/>
  </w:num>
  <w:num w:numId="16">
    <w:abstractNumId w:val="23"/>
  </w:num>
  <w:num w:numId="17">
    <w:abstractNumId w:val="26"/>
  </w:num>
  <w:num w:numId="18">
    <w:abstractNumId w:val="25"/>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4"/>
  </w:num>
  <w:num w:numId="22">
    <w:abstractNumId w:val="18"/>
  </w:num>
  <w:num w:numId="23">
    <w:abstractNumId w:val="15"/>
  </w:num>
  <w:num w:numId="24">
    <w:abstractNumId w:val="13"/>
  </w:num>
  <w:num w:numId="25">
    <w:abstractNumId w:val="4"/>
  </w:num>
  <w:num w:numId="26">
    <w:abstractNumId w:val="0"/>
  </w:num>
  <w:num w:numId="27">
    <w:abstractNumId w:val="6"/>
  </w:num>
  <w:num w:numId="28">
    <w:abstractNumId w:val="33"/>
  </w:num>
  <w:num w:numId="29">
    <w:abstractNumId w:val="31"/>
  </w:num>
  <w:num w:numId="30">
    <w:abstractNumId w:val="5"/>
  </w:num>
  <w:num w:numId="31">
    <w:abstractNumId w:val="2"/>
  </w:num>
  <w:num w:numId="32">
    <w:abstractNumId w:val="10"/>
  </w:num>
  <w:num w:numId="33">
    <w:abstractNumId w:val="17"/>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B02"/>
    <w:rsid w:val="00020A3F"/>
    <w:rsid w:val="00031308"/>
    <w:rsid w:val="00034833"/>
    <w:rsid w:val="00035F15"/>
    <w:rsid w:val="00042FE5"/>
    <w:rsid w:val="00052148"/>
    <w:rsid w:val="00052554"/>
    <w:rsid w:val="000526DF"/>
    <w:rsid w:val="0007694E"/>
    <w:rsid w:val="00085CAA"/>
    <w:rsid w:val="000A3983"/>
    <w:rsid w:val="000A3FCF"/>
    <w:rsid w:val="000B02ED"/>
    <w:rsid w:val="000B6F68"/>
    <w:rsid w:val="000C5C1D"/>
    <w:rsid w:val="000D7A5C"/>
    <w:rsid w:val="000E0498"/>
    <w:rsid w:val="000E7935"/>
    <w:rsid w:val="000F707E"/>
    <w:rsid w:val="001211D3"/>
    <w:rsid w:val="00135C80"/>
    <w:rsid w:val="00136610"/>
    <w:rsid w:val="001376A6"/>
    <w:rsid w:val="00142B5A"/>
    <w:rsid w:val="00150962"/>
    <w:rsid w:val="00152922"/>
    <w:rsid w:val="00154C5F"/>
    <w:rsid w:val="00156C16"/>
    <w:rsid w:val="00167138"/>
    <w:rsid w:val="00174145"/>
    <w:rsid w:val="00176155"/>
    <w:rsid w:val="00176DAA"/>
    <w:rsid w:val="001927BD"/>
    <w:rsid w:val="001A6361"/>
    <w:rsid w:val="001C04E9"/>
    <w:rsid w:val="001C203A"/>
    <w:rsid w:val="001C63BD"/>
    <w:rsid w:val="001D6294"/>
    <w:rsid w:val="001D7854"/>
    <w:rsid w:val="001D7939"/>
    <w:rsid w:val="001D7FBA"/>
    <w:rsid w:val="001F194A"/>
    <w:rsid w:val="001F4DC2"/>
    <w:rsid w:val="00204BCC"/>
    <w:rsid w:val="002151F3"/>
    <w:rsid w:val="002308A3"/>
    <w:rsid w:val="002460C4"/>
    <w:rsid w:val="002534AF"/>
    <w:rsid w:val="002548FC"/>
    <w:rsid w:val="00263555"/>
    <w:rsid w:val="00266EAD"/>
    <w:rsid w:val="002724DC"/>
    <w:rsid w:val="00281B1E"/>
    <w:rsid w:val="00282202"/>
    <w:rsid w:val="00283EF8"/>
    <w:rsid w:val="00296FDE"/>
    <w:rsid w:val="00297D0F"/>
    <w:rsid w:val="002A4843"/>
    <w:rsid w:val="002A6BDE"/>
    <w:rsid w:val="002B6138"/>
    <w:rsid w:val="002C0FE3"/>
    <w:rsid w:val="002D04B9"/>
    <w:rsid w:val="00304517"/>
    <w:rsid w:val="00306B9A"/>
    <w:rsid w:val="00326DC8"/>
    <w:rsid w:val="003343E0"/>
    <w:rsid w:val="00335584"/>
    <w:rsid w:val="00341269"/>
    <w:rsid w:val="00342712"/>
    <w:rsid w:val="003508B9"/>
    <w:rsid w:val="003522F3"/>
    <w:rsid w:val="00357192"/>
    <w:rsid w:val="003740CA"/>
    <w:rsid w:val="00374CC3"/>
    <w:rsid w:val="00374FFD"/>
    <w:rsid w:val="003959B6"/>
    <w:rsid w:val="00397A7F"/>
    <w:rsid w:val="003A24E7"/>
    <w:rsid w:val="003A5487"/>
    <w:rsid w:val="003A7A80"/>
    <w:rsid w:val="003C3322"/>
    <w:rsid w:val="003D4AE0"/>
    <w:rsid w:val="003E44EC"/>
    <w:rsid w:val="003F00B2"/>
    <w:rsid w:val="004032BA"/>
    <w:rsid w:val="00405269"/>
    <w:rsid w:val="0040658C"/>
    <w:rsid w:val="0040751A"/>
    <w:rsid w:val="004168A3"/>
    <w:rsid w:val="00422E2C"/>
    <w:rsid w:val="00423F26"/>
    <w:rsid w:val="00424586"/>
    <w:rsid w:val="00424FB3"/>
    <w:rsid w:val="0042756E"/>
    <w:rsid w:val="00431BA4"/>
    <w:rsid w:val="00456B5B"/>
    <w:rsid w:val="00461E85"/>
    <w:rsid w:val="00482299"/>
    <w:rsid w:val="004900CB"/>
    <w:rsid w:val="00494627"/>
    <w:rsid w:val="0049506C"/>
    <w:rsid w:val="004A385B"/>
    <w:rsid w:val="004B0244"/>
    <w:rsid w:val="004C0DCC"/>
    <w:rsid w:val="004D32DA"/>
    <w:rsid w:val="004E2B05"/>
    <w:rsid w:val="004E365E"/>
    <w:rsid w:val="004E5DB4"/>
    <w:rsid w:val="004F53E6"/>
    <w:rsid w:val="004F7653"/>
    <w:rsid w:val="0050014C"/>
    <w:rsid w:val="005033AF"/>
    <w:rsid w:val="00511B4D"/>
    <w:rsid w:val="0053279B"/>
    <w:rsid w:val="0053385B"/>
    <w:rsid w:val="0054229D"/>
    <w:rsid w:val="005472DA"/>
    <w:rsid w:val="00553BB4"/>
    <w:rsid w:val="0055492E"/>
    <w:rsid w:val="0055658A"/>
    <w:rsid w:val="00571E93"/>
    <w:rsid w:val="00596A21"/>
    <w:rsid w:val="005A311E"/>
    <w:rsid w:val="005A352E"/>
    <w:rsid w:val="005A471E"/>
    <w:rsid w:val="005B145A"/>
    <w:rsid w:val="005B65A8"/>
    <w:rsid w:val="005C133E"/>
    <w:rsid w:val="005C1578"/>
    <w:rsid w:val="005E2179"/>
    <w:rsid w:val="005E2F36"/>
    <w:rsid w:val="005E7F1F"/>
    <w:rsid w:val="00600080"/>
    <w:rsid w:val="00605810"/>
    <w:rsid w:val="00630064"/>
    <w:rsid w:val="00644F6A"/>
    <w:rsid w:val="0064797B"/>
    <w:rsid w:val="0067520F"/>
    <w:rsid w:val="0068366F"/>
    <w:rsid w:val="00683E7F"/>
    <w:rsid w:val="00684D2D"/>
    <w:rsid w:val="006939F8"/>
    <w:rsid w:val="006974FD"/>
    <w:rsid w:val="006A342C"/>
    <w:rsid w:val="006A7A8E"/>
    <w:rsid w:val="006C3A19"/>
    <w:rsid w:val="006C4333"/>
    <w:rsid w:val="006C469F"/>
    <w:rsid w:val="006D47B3"/>
    <w:rsid w:val="006D5011"/>
    <w:rsid w:val="006E5167"/>
    <w:rsid w:val="006E5849"/>
    <w:rsid w:val="006F24AA"/>
    <w:rsid w:val="00700A02"/>
    <w:rsid w:val="00703BFE"/>
    <w:rsid w:val="00705A1A"/>
    <w:rsid w:val="0071192A"/>
    <w:rsid w:val="00733611"/>
    <w:rsid w:val="00743F69"/>
    <w:rsid w:val="00757BD3"/>
    <w:rsid w:val="00763B95"/>
    <w:rsid w:val="00767046"/>
    <w:rsid w:val="0077145B"/>
    <w:rsid w:val="00774870"/>
    <w:rsid w:val="007763DC"/>
    <w:rsid w:val="00780C89"/>
    <w:rsid w:val="00791C62"/>
    <w:rsid w:val="00791DD8"/>
    <w:rsid w:val="007A66DD"/>
    <w:rsid w:val="007B45FD"/>
    <w:rsid w:val="007B7CB8"/>
    <w:rsid w:val="007C76EE"/>
    <w:rsid w:val="007D3129"/>
    <w:rsid w:val="007D6DD2"/>
    <w:rsid w:val="007E1512"/>
    <w:rsid w:val="007E767C"/>
    <w:rsid w:val="007F5FA2"/>
    <w:rsid w:val="00800AB6"/>
    <w:rsid w:val="00810A43"/>
    <w:rsid w:val="0083113D"/>
    <w:rsid w:val="008401E9"/>
    <w:rsid w:val="0084237B"/>
    <w:rsid w:val="0084568C"/>
    <w:rsid w:val="00860E71"/>
    <w:rsid w:val="0086685E"/>
    <w:rsid w:val="00872B7E"/>
    <w:rsid w:val="00875AE5"/>
    <w:rsid w:val="00887B02"/>
    <w:rsid w:val="00890144"/>
    <w:rsid w:val="00894140"/>
    <w:rsid w:val="008A1F81"/>
    <w:rsid w:val="008B4A83"/>
    <w:rsid w:val="008B5C0C"/>
    <w:rsid w:val="008D0492"/>
    <w:rsid w:val="0090073F"/>
    <w:rsid w:val="00907697"/>
    <w:rsid w:val="00910E77"/>
    <w:rsid w:val="00925D7C"/>
    <w:rsid w:val="00926D11"/>
    <w:rsid w:val="00927163"/>
    <w:rsid w:val="00930CC0"/>
    <w:rsid w:val="009511A4"/>
    <w:rsid w:val="00951944"/>
    <w:rsid w:val="0096300A"/>
    <w:rsid w:val="00964845"/>
    <w:rsid w:val="00967589"/>
    <w:rsid w:val="00967CFD"/>
    <w:rsid w:val="009751F5"/>
    <w:rsid w:val="00980133"/>
    <w:rsid w:val="00995217"/>
    <w:rsid w:val="00995586"/>
    <w:rsid w:val="009A123F"/>
    <w:rsid w:val="009A5550"/>
    <w:rsid w:val="009B1D36"/>
    <w:rsid w:val="009C707C"/>
    <w:rsid w:val="009D08D7"/>
    <w:rsid w:val="009F6C58"/>
    <w:rsid w:val="00A134C7"/>
    <w:rsid w:val="00A21C59"/>
    <w:rsid w:val="00A324CE"/>
    <w:rsid w:val="00A37D8F"/>
    <w:rsid w:val="00A61D44"/>
    <w:rsid w:val="00A64475"/>
    <w:rsid w:val="00A6497E"/>
    <w:rsid w:val="00A70DA9"/>
    <w:rsid w:val="00A728A8"/>
    <w:rsid w:val="00A90074"/>
    <w:rsid w:val="00AB4037"/>
    <w:rsid w:val="00AD1FF3"/>
    <w:rsid w:val="00AD4D36"/>
    <w:rsid w:val="00AE6AC5"/>
    <w:rsid w:val="00AF24D0"/>
    <w:rsid w:val="00B0125A"/>
    <w:rsid w:val="00B30937"/>
    <w:rsid w:val="00B40260"/>
    <w:rsid w:val="00B42CE8"/>
    <w:rsid w:val="00B43AF6"/>
    <w:rsid w:val="00B54A90"/>
    <w:rsid w:val="00B56E14"/>
    <w:rsid w:val="00B6381A"/>
    <w:rsid w:val="00B6739B"/>
    <w:rsid w:val="00B76450"/>
    <w:rsid w:val="00B80FC3"/>
    <w:rsid w:val="00B81C79"/>
    <w:rsid w:val="00B8224C"/>
    <w:rsid w:val="00BA2AB8"/>
    <w:rsid w:val="00BB23A5"/>
    <w:rsid w:val="00BB2D40"/>
    <w:rsid w:val="00BB3064"/>
    <w:rsid w:val="00BB3DC5"/>
    <w:rsid w:val="00BC4EDA"/>
    <w:rsid w:val="00BD4AFD"/>
    <w:rsid w:val="00BF02AF"/>
    <w:rsid w:val="00BF23E2"/>
    <w:rsid w:val="00BF4CF7"/>
    <w:rsid w:val="00C037EB"/>
    <w:rsid w:val="00C06D28"/>
    <w:rsid w:val="00C13C59"/>
    <w:rsid w:val="00C16C48"/>
    <w:rsid w:val="00C2012A"/>
    <w:rsid w:val="00C27F49"/>
    <w:rsid w:val="00C345C3"/>
    <w:rsid w:val="00C448A8"/>
    <w:rsid w:val="00C45389"/>
    <w:rsid w:val="00C464D4"/>
    <w:rsid w:val="00C61E50"/>
    <w:rsid w:val="00C70861"/>
    <w:rsid w:val="00C806DA"/>
    <w:rsid w:val="00C81906"/>
    <w:rsid w:val="00C95495"/>
    <w:rsid w:val="00CB6002"/>
    <w:rsid w:val="00CE5A4A"/>
    <w:rsid w:val="00CE611F"/>
    <w:rsid w:val="00CF6B98"/>
    <w:rsid w:val="00CF7C12"/>
    <w:rsid w:val="00D028C4"/>
    <w:rsid w:val="00D02F8C"/>
    <w:rsid w:val="00D10A9A"/>
    <w:rsid w:val="00D213EC"/>
    <w:rsid w:val="00D21E94"/>
    <w:rsid w:val="00D226FD"/>
    <w:rsid w:val="00D30C5F"/>
    <w:rsid w:val="00D3240E"/>
    <w:rsid w:val="00D3471B"/>
    <w:rsid w:val="00D47CF7"/>
    <w:rsid w:val="00D50707"/>
    <w:rsid w:val="00D532BA"/>
    <w:rsid w:val="00D53D2D"/>
    <w:rsid w:val="00D617C4"/>
    <w:rsid w:val="00D644C9"/>
    <w:rsid w:val="00D80C1B"/>
    <w:rsid w:val="00D81B10"/>
    <w:rsid w:val="00D8201D"/>
    <w:rsid w:val="00D82A2A"/>
    <w:rsid w:val="00D94631"/>
    <w:rsid w:val="00DA69F6"/>
    <w:rsid w:val="00DC0751"/>
    <w:rsid w:val="00DC77C9"/>
    <w:rsid w:val="00DD6B5D"/>
    <w:rsid w:val="00DF0046"/>
    <w:rsid w:val="00DF266F"/>
    <w:rsid w:val="00E055BB"/>
    <w:rsid w:val="00E07748"/>
    <w:rsid w:val="00E15A61"/>
    <w:rsid w:val="00E314E2"/>
    <w:rsid w:val="00E35456"/>
    <w:rsid w:val="00E36DFF"/>
    <w:rsid w:val="00E50920"/>
    <w:rsid w:val="00E509D3"/>
    <w:rsid w:val="00E517A2"/>
    <w:rsid w:val="00E52F6F"/>
    <w:rsid w:val="00E538A8"/>
    <w:rsid w:val="00E6055D"/>
    <w:rsid w:val="00E731EB"/>
    <w:rsid w:val="00E73E63"/>
    <w:rsid w:val="00E77EA3"/>
    <w:rsid w:val="00E92860"/>
    <w:rsid w:val="00EA51A9"/>
    <w:rsid w:val="00EB62F2"/>
    <w:rsid w:val="00EB7CAA"/>
    <w:rsid w:val="00ED053B"/>
    <w:rsid w:val="00ED3C82"/>
    <w:rsid w:val="00EE43D3"/>
    <w:rsid w:val="00EE6C55"/>
    <w:rsid w:val="00EF066D"/>
    <w:rsid w:val="00EF34B8"/>
    <w:rsid w:val="00EF4EA8"/>
    <w:rsid w:val="00EF733C"/>
    <w:rsid w:val="00F05B61"/>
    <w:rsid w:val="00F101E4"/>
    <w:rsid w:val="00F126CB"/>
    <w:rsid w:val="00F12ABC"/>
    <w:rsid w:val="00F1565A"/>
    <w:rsid w:val="00F163F3"/>
    <w:rsid w:val="00F20733"/>
    <w:rsid w:val="00F22F82"/>
    <w:rsid w:val="00F31EC2"/>
    <w:rsid w:val="00F32A50"/>
    <w:rsid w:val="00F56B66"/>
    <w:rsid w:val="00F57CC5"/>
    <w:rsid w:val="00F627A4"/>
    <w:rsid w:val="00F71E0E"/>
    <w:rsid w:val="00F73AA3"/>
    <w:rsid w:val="00F75018"/>
    <w:rsid w:val="00F836B5"/>
    <w:rsid w:val="00F856D1"/>
    <w:rsid w:val="00FB04E0"/>
    <w:rsid w:val="00FB2DF3"/>
    <w:rsid w:val="00FE7A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C25CB9"/>
  <w15:chartTrackingRefBased/>
  <w15:docId w15:val="{4D572333-9FA3-4125-948E-230C1795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7B02"/>
    <w:pPr>
      <w:spacing w:after="0" w:line="36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87B02"/>
    <w:pPr>
      <w:keepNext/>
      <w:jc w:val="center"/>
      <w:outlineLvl w:val="0"/>
    </w:pPr>
    <w:rPr>
      <w:b/>
    </w:rPr>
  </w:style>
  <w:style w:type="paragraph" w:styleId="Heading2">
    <w:name w:val="heading 2"/>
    <w:basedOn w:val="Normal"/>
    <w:next w:val="Normal"/>
    <w:link w:val="Heading2Char"/>
    <w:uiPriority w:val="9"/>
    <w:semiHidden/>
    <w:unhideWhenUsed/>
    <w:qFormat/>
    <w:rsid w:val="00887B0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B02"/>
    <w:rPr>
      <w:rFonts w:ascii="Times New Roman" w:hAnsi="Times New Roman" w:cs="Times New Roman"/>
      <w:b/>
      <w:sz w:val="24"/>
      <w:szCs w:val="24"/>
    </w:rPr>
  </w:style>
  <w:style w:type="character" w:customStyle="1" w:styleId="Heading2Char">
    <w:name w:val="Heading 2 Char"/>
    <w:basedOn w:val="DefaultParagraphFont"/>
    <w:link w:val="Heading2"/>
    <w:uiPriority w:val="9"/>
    <w:semiHidden/>
    <w:rsid w:val="00887B02"/>
    <w:rPr>
      <w:rFonts w:asciiTheme="majorHAnsi" w:eastAsiaTheme="majorEastAsia" w:hAnsiTheme="majorHAnsi" w:cstheme="majorBidi"/>
      <w:color w:val="2F5496" w:themeColor="accent1" w:themeShade="BF"/>
      <w:sz w:val="26"/>
      <w:szCs w:val="26"/>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87B02"/>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87B02"/>
    <w:rPr>
      <w:rFonts w:ascii="Times New Roman" w:hAnsi="Times New Roman" w:cs="Times New Roman"/>
      <w:sz w:val="20"/>
      <w:szCs w:val="24"/>
    </w:rPr>
  </w:style>
  <w:style w:type="paragraph" w:styleId="Header">
    <w:name w:val="header"/>
    <w:basedOn w:val="Normal"/>
    <w:link w:val="HeaderChar"/>
    <w:uiPriority w:val="99"/>
    <w:unhideWhenUsed/>
    <w:rsid w:val="00887B02"/>
    <w:pPr>
      <w:tabs>
        <w:tab w:val="center" w:pos="4680"/>
        <w:tab w:val="right" w:pos="9360"/>
      </w:tabs>
    </w:pPr>
  </w:style>
  <w:style w:type="character" w:customStyle="1" w:styleId="HeaderChar">
    <w:name w:val="Header Char"/>
    <w:basedOn w:val="DefaultParagraphFont"/>
    <w:link w:val="Header"/>
    <w:uiPriority w:val="99"/>
    <w:rsid w:val="00887B02"/>
    <w:rPr>
      <w:rFonts w:ascii="Times New Roman" w:hAnsi="Times New Roman" w:cs="Times New Roman"/>
      <w:sz w:val="24"/>
      <w:szCs w:val="24"/>
    </w:rPr>
  </w:style>
  <w:style w:type="paragraph" w:styleId="Footer">
    <w:name w:val="footer"/>
    <w:basedOn w:val="Normal"/>
    <w:link w:val="FooterChar"/>
    <w:uiPriority w:val="99"/>
    <w:unhideWhenUsed/>
    <w:rsid w:val="00887B02"/>
    <w:pPr>
      <w:tabs>
        <w:tab w:val="center" w:pos="4680"/>
        <w:tab w:val="right" w:pos="9360"/>
      </w:tabs>
    </w:pPr>
  </w:style>
  <w:style w:type="character" w:customStyle="1" w:styleId="FooterChar">
    <w:name w:val="Footer Char"/>
    <w:basedOn w:val="DefaultParagraphFont"/>
    <w:link w:val="Footer"/>
    <w:uiPriority w:val="99"/>
    <w:rsid w:val="00887B02"/>
    <w:rPr>
      <w:rFonts w:ascii="Times New Roman" w:hAnsi="Times New Roman" w:cs="Times New Roman"/>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887B02"/>
    <w:rPr>
      <w:rFonts w:ascii="Times New Roman" w:hAnsi="Times New Roman"/>
      <w:sz w:val="20"/>
      <w:vertAlign w:val="superscript"/>
    </w:rPr>
  </w:style>
  <w:style w:type="paragraph" w:styleId="BodyTextIndent">
    <w:name w:val="Body Text Indent"/>
    <w:basedOn w:val="Normal"/>
    <w:link w:val="BodyTextIndentChar"/>
    <w:uiPriority w:val="99"/>
    <w:unhideWhenUsed/>
    <w:rsid w:val="00887B02"/>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887B02"/>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887B0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887B02"/>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887B02"/>
    <w:pPr>
      <w:ind w:left="2880" w:hanging="2160"/>
      <w:jc w:val="both"/>
    </w:pPr>
    <w:rPr>
      <w:b/>
    </w:rPr>
  </w:style>
  <w:style w:type="character" w:customStyle="1" w:styleId="BodyTextIndent2Char">
    <w:name w:val="Body Text Indent 2 Char"/>
    <w:basedOn w:val="DefaultParagraphFont"/>
    <w:link w:val="BodyTextIndent2"/>
    <w:uiPriority w:val="99"/>
    <w:rsid w:val="00887B02"/>
    <w:rPr>
      <w:rFonts w:ascii="Times New Roman" w:hAnsi="Times New Roman" w:cs="Times New Roman"/>
      <w:b/>
      <w:sz w:val="24"/>
      <w:szCs w:val="24"/>
    </w:rPr>
  </w:style>
  <w:style w:type="paragraph" w:styleId="BodyTextIndent3">
    <w:name w:val="Body Text Indent 3"/>
    <w:basedOn w:val="Normal"/>
    <w:link w:val="BodyTextIndent3Char"/>
    <w:uiPriority w:val="99"/>
    <w:unhideWhenUsed/>
    <w:rsid w:val="00887B02"/>
    <w:pPr>
      <w:ind w:left="2880"/>
      <w:jc w:val="both"/>
    </w:pPr>
    <w:rPr>
      <w:b/>
    </w:rPr>
  </w:style>
  <w:style w:type="character" w:customStyle="1" w:styleId="BodyTextIndent3Char">
    <w:name w:val="Body Text Indent 3 Char"/>
    <w:basedOn w:val="DefaultParagraphFont"/>
    <w:link w:val="BodyTextIndent3"/>
    <w:uiPriority w:val="99"/>
    <w:rsid w:val="00887B02"/>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887B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B0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87B02"/>
    <w:pPr>
      <w:spacing w:after="160" w:line="240" w:lineRule="exact"/>
    </w:pPr>
    <w:rPr>
      <w:rFonts w:cstheme="minorBidi"/>
      <w:sz w:val="20"/>
      <w:szCs w:val="22"/>
      <w:vertAlign w:val="superscript"/>
    </w:rPr>
  </w:style>
  <w:style w:type="paragraph" w:styleId="NoSpacing">
    <w:name w:val="No Spacing"/>
    <w:aliases w:val="B"/>
    <w:link w:val="NoSpacingChar"/>
    <w:uiPriority w:val="1"/>
    <w:qFormat/>
    <w:rsid w:val="00887B02"/>
    <w:pPr>
      <w:spacing w:after="0" w:line="240" w:lineRule="auto"/>
    </w:pPr>
    <w:rPr>
      <w:rFonts w:ascii="Times New Roman" w:hAnsi="Times New Roman" w:cs="Times New Roman"/>
      <w:sz w:val="24"/>
      <w:szCs w:val="24"/>
    </w:rPr>
  </w:style>
  <w:style w:type="character" w:customStyle="1" w:styleId="NoSpacingChar">
    <w:name w:val="No Spacing Char"/>
    <w:aliases w:val="B Char"/>
    <w:link w:val="NoSpacing"/>
    <w:uiPriority w:val="1"/>
    <w:qFormat/>
    <w:locked/>
    <w:rsid w:val="00887B02"/>
    <w:rPr>
      <w:rFonts w:ascii="Times New Roman" w:hAnsi="Times New Roman" w:cs="Times New Roman"/>
      <w:sz w:val="24"/>
      <w:szCs w:val="24"/>
    </w:rPr>
  </w:style>
  <w:style w:type="paragraph" w:styleId="PlainText">
    <w:name w:val="Plain Text"/>
    <w:basedOn w:val="Normal"/>
    <w:link w:val="PlainTextChar"/>
    <w:uiPriority w:val="99"/>
    <w:semiHidden/>
    <w:unhideWhenUsed/>
    <w:rsid w:val="00887B02"/>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87B02"/>
    <w:rPr>
      <w:rFonts w:ascii="Consolas" w:hAnsi="Consolas" w:cs="Times New Roman"/>
      <w:sz w:val="21"/>
      <w:szCs w:val="21"/>
    </w:rPr>
  </w:style>
  <w:style w:type="character" w:styleId="CommentReference">
    <w:name w:val="annotation reference"/>
    <w:basedOn w:val="DefaultParagraphFont"/>
    <w:uiPriority w:val="99"/>
    <w:semiHidden/>
    <w:unhideWhenUsed/>
    <w:rsid w:val="00887B02"/>
    <w:rPr>
      <w:sz w:val="16"/>
      <w:szCs w:val="16"/>
    </w:rPr>
  </w:style>
  <w:style w:type="paragraph" w:styleId="CommentText">
    <w:name w:val="annotation text"/>
    <w:basedOn w:val="Normal"/>
    <w:link w:val="CommentTextChar"/>
    <w:uiPriority w:val="99"/>
    <w:semiHidden/>
    <w:unhideWhenUsed/>
    <w:rsid w:val="00887B02"/>
    <w:pPr>
      <w:spacing w:line="240" w:lineRule="auto"/>
    </w:pPr>
    <w:rPr>
      <w:sz w:val="20"/>
      <w:szCs w:val="20"/>
    </w:rPr>
  </w:style>
  <w:style w:type="character" w:customStyle="1" w:styleId="CommentTextChar">
    <w:name w:val="Comment Text Char"/>
    <w:basedOn w:val="DefaultParagraphFont"/>
    <w:link w:val="CommentText"/>
    <w:uiPriority w:val="99"/>
    <w:semiHidden/>
    <w:rsid w:val="00887B0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7B02"/>
    <w:rPr>
      <w:b/>
      <w:bCs/>
    </w:rPr>
  </w:style>
  <w:style w:type="character" w:customStyle="1" w:styleId="CommentSubjectChar">
    <w:name w:val="Comment Subject Char"/>
    <w:basedOn w:val="CommentTextChar"/>
    <w:link w:val="CommentSubject"/>
    <w:uiPriority w:val="99"/>
    <w:semiHidden/>
    <w:rsid w:val="00887B02"/>
    <w:rPr>
      <w:rFonts w:ascii="Times New Roman" w:hAnsi="Times New Roman" w:cs="Times New Roman"/>
      <w:b/>
      <w:bCs/>
      <w:sz w:val="20"/>
      <w:szCs w:val="20"/>
    </w:rPr>
  </w:style>
  <w:style w:type="numbering" w:customStyle="1" w:styleId="ECHRA1StyleList2">
    <w:name w:val="ECHR_A1_Style_List2"/>
    <w:basedOn w:val="NoList"/>
    <w:uiPriority w:val="99"/>
    <w:rsid w:val="00887B02"/>
  </w:style>
  <w:style w:type="paragraph" w:customStyle="1" w:styleId="Paragrafi">
    <w:name w:val="Paragrafi"/>
    <w:rsid w:val="00887B02"/>
    <w:pPr>
      <w:widowControl w:val="0"/>
      <w:spacing w:after="0" w:line="240" w:lineRule="auto"/>
      <w:ind w:firstLine="720"/>
      <w:jc w:val="both"/>
    </w:pPr>
    <w:rPr>
      <w:rFonts w:ascii="CG Times" w:eastAsia="Times New Roman" w:hAnsi="CG Times" w:cs="Times New Roman"/>
      <w:szCs w:val="20"/>
      <w:lang w:val="en-US"/>
    </w:rPr>
  </w:style>
  <w:style w:type="paragraph" w:styleId="NormalWeb">
    <w:name w:val="Normal (Web)"/>
    <w:basedOn w:val="Normal"/>
    <w:uiPriority w:val="99"/>
    <w:semiHidden/>
    <w:unhideWhenUsed/>
    <w:rsid w:val="00150962"/>
    <w:pPr>
      <w:spacing w:before="100" w:beforeAutospacing="1" w:after="100" w:afterAutospacing="1" w:line="240" w:lineRule="auto"/>
    </w:pPr>
    <w:rPr>
      <w:rFonts w:eastAsia="Times New Roman"/>
      <w:lang w:eastAsia="sq-AL"/>
    </w:rPr>
  </w:style>
  <w:style w:type="character" w:styleId="Strong">
    <w:name w:val="Strong"/>
    <w:basedOn w:val="DefaultParagraphFont"/>
    <w:uiPriority w:val="22"/>
    <w:qFormat/>
    <w:rsid w:val="00150962"/>
    <w:rPr>
      <w:b/>
      <w:bCs/>
    </w:rPr>
  </w:style>
  <w:style w:type="paragraph" w:styleId="Revision">
    <w:name w:val="Revision"/>
    <w:hidden/>
    <w:uiPriority w:val="99"/>
    <w:semiHidden/>
    <w:rsid w:val="00DF0046"/>
    <w:pPr>
      <w:spacing w:after="0" w:line="240" w:lineRule="auto"/>
    </w:pPr>
    <w:rPr>
      <w:rFonts w:ascii="Times New Roman" w:hAnsi="Times New Roman" w:cs="Times New Roman"/>
      <w:sz w:val="24"/>
      <w:szCs w:val="24"/>
    </w:rPr>
  </w:style>
  <w:style w:type="table" w:styleId="TableGrid">
    <w:name w:val="Table Grid"/>
    <w:basedOn w:val="TableNormal"/>
    <w:uiPriority w:val="39"/>
    <w:rsid w:val="00E52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569A0C5CDC0447DAFE6C975669A27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2026-04-08T10:07:58Z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2026-04-07T00:00:00Z</Date_x0020_protokolli>
    <Titulli xmlns="0e656187-b300-4fb0-8bf4-3a50f872073c">Me objekt shfuqizimin e vendimit nr. 00-2024-3320, datë 19.7.2024 të Kolegjit Civil të Gjykatës së Lartë, si i papajtueshëm me Kushtetutën e Republikës së Shqipërisë. Kthimin e çështjes për rishqyrtim në Gjykatën e Lartë.</Titulli>
    <Modifikuesi xmlns="0e656187-b300-4fb0-8bf4-3a50f872073c">ermira.bukaci</Modifikuesi>
    <Nr_x002e__x0020_prot_x0020_QBZ xmlns="0e656187-b300-4fb0-8bf4-3a50f872073c">731/1</Nr_x002e__x0020_prot_x0020_QBZ>
    <Data_x0020_e_x0020_Modifikimit xmlns="0e656187-b300-4fb0-8bf4-3a50f872073c">2026-04-08T12:51:50Z</Data_x0020_e_x0020_Modifikimit>
    <Dekretuar xmlns="0e656187-b300-4fb0-8bf4-3a50f872073c">false</Dekretuar>
    <Data xmlns="0e656187-b300-4fb0-8bf4-3a50f872073c">2026-02-16T00:00:00Z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3D5BF-B50C-4A3B-B776-465B03159E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B834293-ADD4-4927-B74C-30F51F78FDAC}">
  <ds:schemaRefs>
    <ds:schemaRef ds:uri="http://purl.org/dc/terms/"/>
    <ds:schemaRef ds:uri="http://schemas.microsoft.com/office/2006/metadata/properties"/>
    <ds:schemaRef ds:uri="http://schemas.microsoft.com/office/2006/documentManagement/types"/>
    <ds:schemaRef ds:uri="0e656187-b300-4fb0-8bf4-3a50f872073c"/>
    <ds:schemaRef ds:uri="http://purl.org/dc/dcmitype/"/>
    <ds:schemaRef ds:uri="http://purl.org/dc/elements/1.1/"/>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DC31AF50-44EE-46D7-95D8-3D3936EEAD80}">
  <ds:schemaRefs>
    <ds:schemaRef ds:uri="http://schemas.microsoft.com/sharepoint/v3/contenttype/forms"/>
  </ds:schemaRefs>
</ds:datastoreItem>
</file>

<file path=customXml/itemProps4.xml><?xml version="1.0" encoding="utf-8"?>
<ds:datastoreItem xmlns:ds="http://schemas.openxmlformats.org/officeDocument/2006/customXml" ds:itemID="{FEFF057F-EAC2-4BDE-BBF2-94D43581C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9602</Words>
  <Characters>54733</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Me objekt shfuqizimin e vendimit nr. 00-2024-3320, datë 19.7.2024 të Kolegjit Civil të Gjykatës së Lartë, si i papajtueshëm me Kushtetutën e Republikës së Shqipërisë. Kthimin e çështjes për rishqyrtim në Gjykatën e Lartë.</vt:lpstr>
    </vt:vector>
  </TitlesOfParts>
  <Company>User</Company>
  <LinksUpToDate>false</LinksUpToDate>
  <CharactersWithSpaces>64207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00-2024-3320, datë 19.7.2024 të Kolegjit Civil të Gjykatës së Lartë, si i papajtueshëm me Kushtetutën e Republikës së Shqipërisë. Kthimin e çështjes për rishqyrtim në Gjykatën e Lartë.</dc:title>
  <dc:creator>Ilir Toska</dc:creator>
  <cp:lastModifiedBy>fjora.cahani</cp:lastModifiedBy>
  <cp:revision>15</cp:revision>
  <cp:lastPrinted>2026-04-02T09:36:00Z</cp:lastPrinted>
  <dcterms:created xsi:type="dcterms:W3CDTF">2026-04-08T07:45:00Z</dcterms:created>
  <dcterms:modified xsi:type="dcterms:W3CDTF">2026-04-09T08:47:00Z</dcterms:modified>
</cp:coreProperties>
</file>