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BB233" w14:textId="77777777" w:rsidR="00294EFF" w:rsidRPr="006F1CF6" w:rsidRDefault="00294EFF" w:rsidP="00294EFF">
      <w:pPr>
        <w:spacing w:line="240" w:lineRule="auto"/>
        <w:ind w:firstLine="284"/>
        <w:jc w:val="center"/>
        <w:rPr>
          <w:rFonts w:ascii="Garamond" w:hAnsi="Garamond"/>
          <w:bCs/>
          <w:u w:val="single"/>
        </w:rPr>
      </w:pPr>
    </w:p>
    <w:p w14:paraId="134004C7" w14:textId="47B1BF8F" w:rsidR="00294EFF" w:rsidRPr="006F1CF6" w:rsidRDefault="00294EFF" w:rsidP="00294EFF">
      <w:pPr>
        <w:spacing w:line="240" w:lineRule="auto"/>
        <w:ind w:firstLine="284"/>
        <w:jc w:val="center"/>
        <w:rPr>
          <w:rFonts w:ascii="Garamond" w:hAnsi="Garamond"/>
          <w:b/>
          <w:bCs/>
        </w:rPr>
      </w:pPr>
      <w:r w:rsidRPr="006F1CF6">
        <w:rPr>
          <w:rFonts w:ascii="Garamond" w:hAnsi="Garamond"/>
          <w:b/>
          <w:bCs/>
        </w:rPr>
        <w:t>VENDIM</w:t>
      </w:r>
    </w:p>
    <w:p w14:paraId="1A040D41" w14:textId="77777777" w:rsidR="00294EFF" w:rsidRPr="006F1CF6" w:rsidRDefault="00294EFF" w:rsidP="00294EFF">
      <w:pPr>
        <w:spacing w:line="240" w:lineRule="auto"/>
        <w:ind w:firstLine="284"/>
        <w:jc w:val="center"/>
        <w:rPr>
          <w:rFonts w:ascii="Garamond" w:hAnsi="Garamond"/>
          <w:b/>
          <w:bCs/>
        </w:rPr>
      </w:pPr>
      <w:r w:rsidRPr="006F1CF6">
        <w:rPr>
          <w:rFonts w:ascii="Garamond" w:hAnsi="Garamond"/>
          <w:b/>
          <w:bCs/>
        </w:rPr>
        <w:t>Nr. 14, datë 17.2.2026</w:t>
      </w:r>
    </w:p>
    <w:p w14:paraId="16E1AB81" w14:textId="77777777" w:rsidR="003A4866" w:rsidRPr="006F1CF6" w:rsidRDefault="003A4866" w:rsidP="00294EFF">
      <w:pPr>
        <w:spacing w:line="240" w:lineRule="auto"/>
        <w:ind w:firstLine="284"/>
        <w:jc w:val="center"/>
        <w:rPr>
          <w:rFonts w:ascii="Garamond" w:hAnsi="Garamond"/>
          <w:b/>
          <w:bCs/>
        </w:rPr>
      </w:pPr>
    </w:p>
    <w:p w14:paraId="4E3BDA52" w14:textId="7E57D83B" w:rsidR="00294EFF" w:rsidRPr="006F1CF6" w:rsidRDefault="00294EFF" w:rsidP="00294EFF">
      <w:pPr>
        <w:spacing w:line="240" w:lineRule="auto"/>
        <w:ind w:firstLine="284"/>
        <w:jc w:val="center"/>
        <w:rPr>
          <w:rFonts w:ascii="Garamond" w:hAnsi="Garamond"/>
          <w:b/>
          <w:bCs/>
        </w:rPr>
      </w:pPr>
      <w:r w:rsidRPr="006F1CF6">
        <w:rPr>
          <w:rFonts w:ascii="Garamond" w:hAnsi="Garamond"/>
          <w:b/>
          <w:bCs/>
        </w:rPr>
        <w:t>NË EMËR TË REPUBLIKËS SË SHQIPËRISË</w:t>
      </w:r>
    </w:p>
    <w:p w14:paraId="693349A3" w14:textId="77777777" w:rsidR="00294EFF" w:rsidRPr="006F1CF6" w:rsidRDefault="00294EFF" w:rsidP="00294EFF">
      <w:pPr>
        <w:tabs>
          <w:tab w:val="left" w:pos="0"/>
          <w:tab w:val="left" w:pos="720"/>
        </w:tabs>
        <w:spacing w:line="240" w:lineRule="auto"/>
        <w:ind w:firstLine="284"/>
        <w:rPr>
          <w:rFonts w:ascii="Garamond" w:hAnsi="Garamond"/>
          <w:b/>
        </w:rPr>
      </w:pPr>
    </w:p>
    <w:p w14:paraId="6F9CE7DA" w14:textId="77777777" w:rsidR="00294EFF" w:rsidRPr="006F1CF6" w:rsidRDefault="00294EFF" w:rsidP="00294EFF">
      <w:pPr>
        <w:spacing w:line="240" w:lineRule="auto"/>
        <w:ind w:firstLine="284"/>
        <w:jc w:val="both"/>
        <w:rPr>
          <w:rFonts w:ascii="Garamond" w:hAnsi="Garamond"/>
        </w:rPr>
      </w:pPr>
      <w:r w:rsidRPr="006F1CF6">
        <w:rPr>
          <w:rFonts w:ascii="Garamond" w:hAnsi="Garamond"/>
        </w:rPr>
        <w:t>Gjykata Kushtetuese e Republikës së Shqipërisë, e përbërë nga:</w:t>
      </w:r>
    </w:p>
    <w:tbl>
      <w:tblPr>
        <w:tblStyle w:val="TableGrid"/>
        <w:tblW w:w="0" w:type="auto"/>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134"/>
      </w:tblGrid>
      <w:tr w:rsidR="000B2E23" w:rsidRPr="006F1CF6" w14:paraId="42F21A46" w14:textId="77777777" w:rsidTr="000B2E23">
        <w:tc>
          <w:tcPr>
            <w:tcW w:w="2405" w:type="dxa"/>
          </w:tcPr>
          <w:p w14:paraId="67AD0239" w14:textId="4E3BBB80" w:rsidR="000B2E23" w:rsidRPr="006F1CF6" w:rsidRDefault="000B2E23" w:rsidP="006F1CF6">
            <w:pPr>
              <w:jc w:val="both"/>
              <w:rPr>
                <w:rFonts w:ascii="Garamond" w:hAnsi="Garamond"/>
              </w:rPr>
            </w:pPr>
            <w:proofErr w:type="spellStart"/>
            <w:r w:rsidRPr="006F1CF6">
              <w:rPr>
                <w:rFonts w:ascii="Garamond" w:hAnsi="Garamond"/>
              </w:rPr>
              <w:t>Fiona</w:t>
            </w:r>
            <w:proofErr w:type="spellEnd"/>
            <w:r w:rsidRPr="006F1CF6">
              <w:rPr>
                <w:rFonts w:ascii="Garamond" w:hAnsi="Garamond"/>
              </w:rPr>
              <w:t xml:space="preserve"> </w:t>
            </w:r>
            <w:proofErr w:type="spellStart"/>
            <w:r w:rsidRPr="006F1CF6">
              <w:rPr>
                <w:rFonts w:ascii="Garamond" w:hAnsi="Garamond"/>
              </w:rPr>
              <w:t>Papajorgji</w:t>
            </w:r>
            <w:proofErr w:type="spellEnd"/>
            <w:r w:rsidR="006F1CF6">
              <w:rPr>
                <w:rFonts w:ascii="Garamond" w:hAnsi="Garamond"/>
              </w:rPr>
              <w:t>,</w:t>
            </w:r>
          </w:p>
        </w:tc>
        <w:tc>
          <w:tcPr>
            <w:tcW w:w="1134" w:type="dxa"/>
          </w:tcPr>
          <w:p w14:paraId="733B3F23" w14:textId="5E13C3D4" w:rsidR="000B2E23" w:rsidRPr="006F1CF6" w:rsidRDefault="006F1CF6" w:rsidP="006F1CF6">
            <w:pPr>
              <w:jc w:val="both"/>
              <w:rPr>
                <w:rFonts w:ascii="Garamond" w:hAnsi="Garamond"/>
              </w:rPr>
            </w:pPr>
            <w:r>
              <w:rPr>
                <w:rFonts w:ascii="Garamond" w:hAnsi="Garamond"/>
              </w:rPr>
              <w:t>kryetare;</w:t>
            </w:r>
          </w:p>
        </w:tc>
      </w:tr>
      <w:tr w:rsidR="000B2E23" w:rsidRPr="006F1CF6" w14:paraId="65F6F265" w14:textId="77777777" w:rsidTr="000B2E23">
        <w:tc>
          <w:tcPr>
            <w:tcW w:w="2405" w:type="dxa"/>
          </w:tcPr>
          <w:p w14:paraId="5CE6D34F" w14:textId="6494F40B" w:rsidR="000B2E23" w:rsidRPr="006F1CF6" w:rsidRDefault="000B2E23" w:rsidP="006F1CF6">
            <w:pPr>
              <w:rPr>
                <w:rFonts w:ascii="Garamond" w:hAnsi="Garamond"/>
              </w:rPr>
            </w:pPr>
            <w:proofErr w:type="spellStart"/>
            <w:r w:rsidRPr="006F1CF6">
              <w:rPr>
                <w:rFonts w:ascii="Garamond" w:hAnsi="Garamond"/>
              </w:rPr>
              <w:t>Sonila</w:t>
            </w:r>
            <w:proofErr w:type="spellEnd"/>
            <w:r w:rsidRPr="006F1CF6">
              <w:rPr>
                <w:rFonts w:ascii="Garamond" w:hAnsi="Garamond"/>
              </w:rPr>
              <w:t xml:space="preserve"> Bejtja</w:t>
            </w:r>
            <w:r w:rsidR="006F1CF6">
              <w:rPr>
                <w:rFonts w:ascii="Garamond" w:hAnsi="Garamond"/>
              </w:rPr>
              <w:t>,</w:t>
            </w:r>
          </w:p>
        </w:tc>
        <w:tc>
          <w:tcPr>
            <w:tcW w:w="1134" w:type="dxa"/>
          </w:tcPr>
          <w:p w14:paraId="1E455C69" w14:textId="02DC086C" w:rsidR="000B2E23" w:rsidRPr="006F1CF6" w:rsidRDefault="006F1CF6" w:rsidP="006F1CF6">
            <w:pPr>
              <w:rPr>
                <w:rFonts w:ascii="Garamond" w:hAnsi="Garamond"/>
              </w:rPr>
            </w:pPr>
            <w:r>
              <w:rPr>
                <w:rFonts w:ascii="Garamond" w:hAnsi="Garamond"/>
              </w:rPr>
              <w:t>anëtare;</w:t>
            </w:r>
          </w:p>
        </w:tc>
      </w:tr>
      <w:tr w:rsidR="000B2E23" w:rsidRPr="006F1CF6" w14:paraId="123FFB5A" w14:textId="77777777" w:rsidTr="000B2E23">
        <w:tc>
          <w:tcPr>
            <w:tcW w:w="2405" w:type="dxa"/>
          </w:tcPr>
          <w:p w14:paraId="4DBE0D1E" w14:textId="416332F9" w:rsidR="000B2E23" w:rsidRPr="006F1CF6" w:rsidRDefault="000B2E23" w:rsidP="006F1CF6">
            <w:pPr>
              <w:rPr>
                <w:rFonts w:ascii="Garamond" w:hAnsi="Garamond"/>
              </w:rPr>
            </w:pPr>
            <w:proofErr w:type="spellStart"/>
            <w:r w:rsidRPr="006F1CF6">
              <w:rPr>
                <w:rFonts w:ascii="Garamond" w:hAnsi="Garamond"/>
              </w:rPr>
              <w:t>Sandër</w:t>
            </w:r>
            <w:proofErr w:type="spellEnd"/>
            <w:r w:rsidRPr="006F1CF6">
              <w:rPr>
                <w:rFonts w:ascii="Garamond" w:hAnsi="Garamond"/>
              </w:rPr>
              <w:t xml:space="preserve"> Beci</w:t>
            </w:r>
            <w:r w:rsidR="006F1CF6">
              <w:rPr>
                <w:rFonts w:ascii="Garamond" w:hAnsi="Garamond"/>
              </w:rPr>
              <w:t>,</w:t>
            </w:r>
          </w:p>
        </w:tc>
        <w:tc>
          <w:tcPr>
            <w:tcW w:w="1134" w:type="dxa"/>
          </w:tcPr>
          <w:p w14:paraId="0F0A1E7B" w14:textId="372ADFE4" w:rsidR="000B2E23" w:rsidRPr="006F1CF6" w:rsidRDefault="006F1CF6" w:rsidP="006F1CF6">
            <w:pPr>
              <w:rPr>
                <w:rFonts w:ascii="Garamond" w:hAnsi="Garamond"/>
              </w:rPr>
            </w:pPr>
            <w:r>
              <w:rPr>
                <w:rFonts w:ascii="Garamond" w:hAnsi="Garamond"/>
              </w:rPr>
              <w:t>anëtar;</w:t>
            </w:r>
            <w:r w:rsidRPr="006F1CF6">
              <w:rPr>
                <w:rFonts w:ascii="Garamond" w:hAnsi="Garamond"/>
              </w:rPr>
              <w:t xml:space="preserve"> </w:t>
            </w:r>
          </w:p>
        </w:tc>
      </w:tr>
      <w:tr w:rsidR="000B2E23" w:rsidRPr="006F1CF6" w14:paraId="299ED9BB" w14:textId="77777777" w:rsidTr="000B2E23">
        <w:tc>
          <w:tcPr>
            <w:tcW w:w="2405" w:type="dxa"/>
          </w:tcPr>
          <w:p w14:paraId="3B9A54AF" w14:textId="15A7404B" w:rsidR="000B2E23" w:rsidRPr="006F1CF6" w:rsidRDefault="000B2E23" w:rsidP="006F1CF6">
            <w:pPr>
              <w:rPr>
                <w:rFonts w:ascii="Garamond" w:hAnsi="Garamond"/>
              </w:rPr>
            </w:pPr>
            <w:r w:rsidRPr="006F1CF6">
              <w:rPr>
                <w:rFonts w:ascii="Garamond" w:hAnsi="Garamond"/>
              </w:rPr>
              <w:t>Ilir Toska</w:t>
            </w:r>
            <w:r w:rsidR="006F1CF6">
              <w:rPr>
                <w:rFonts w:ascii="Garamond" w:hAnsi="Garamond"/>
              </w:rPr>
              <w:t>,</w:t>
            </w:r>
          </w:p>
        </w:tc>
        <w:tc>
          <w:tcPr>
            <w:tcW w:w="1134" w:type="dxa"/>
          </w:tcPr>
          <w:p w14:paraId="2AAF7EC3" w14:textId="34E10288" w:rsidR="000B2E23" w:rsidRPr="006F1CF6" w:rsidRDefault="006F1CF6" w:rsidP="006F1CF6">
            <w:pPr>
              <w:rPr>
                <w:rFonts w:ascii="Garamond" w:hAnsi="Garamond"/>
              </w:rPr>
            </w:pPr>
            <w:r w:rsidRPr="006F1CF6">
              <w:rPr>
                <w:rFonts w:ascii="Garamond" w:hAnsi="Garamond"/>
              </w:rPr>
              <w:t>anëtar</w:t>
            </w:r>
            <w:r>
              <w:rPr>
                <w:rFonts w:ascii="Garamond" w:hAnsi="Garamond"/>
              </w:rPr>
              <w:t>;</w:t>
            </w:r>
          </w:p>
        </w:tc>
      </w:tr>
      <w:tr w:rsidR="000B2E23" w:rsidRPr="006F1CF6" w14:paraId="2D25C9D7" w14:textId="77777777" w:rsidTr="000B2E23">
        <w:tc>
          <w:tcPr>
            <w:tcW w:w="2405" w:type="dxa"/>
          </w:tcPr>
          <w:p w14:paraId="4E139B12" w14:textId="4C5A3BD0" w:rsidR="000B2E23" w:rsidRPr="006F1CF6" w:rsidRDefault="000B2E23" w:rsidP="006F1CF6">
            <w:pPr>
              <w:rPr>
                <w:rFonts w:ascii="Garamond" w:hAnsi="Garamond"/>
              </w:rPr>
            </w:pPr>
            <w:r w:rsidRPr="006F1CF6">
              <w:rPr>
                <w:rFonts w:ascii="Garamond" w:hAnsi="Garamond"/>
              </w:rPr>
              <w:t>Genti Ibrahimi</w:t>
            </w:r>
            <w:r w:rsidR="006F1CF6">
              <w:rPr>
                <w:rFonts w:ascii="Garamond" w:hAnsi="Garamond"/>
              </w:rPr>
              <w:t>,</w:t>
            </w:r>
          </w:p>
        </w:tc>
        <w:tc>
          <w:tcPr>
            <w:tcW w:w="1134" w:type="dxa"/>
          </w:tcPr>
          <w:p w14:paraId="6130EDF5" w14:textId="58E71A18" w:rsidR="000B2E23" w:rsidRPr="006F1CF6" w:rsidRDefault="006F1CF6" w:rsidP="006F1CF6">
            <w:pPr>
              <w:rPr>
                <w:rFonts w:ascii="Garamond" w:hAnsi="Garamond"/>
              </w:rPr>
            </w:pPr>
            <w:r w:rsidRPr="006F1CF6">
              <w:rPr>
                <w:rFonts w:ascii="Garamond" w:hAnsi="Garamond"/>
              </w:rPr>
              <w:t>anëtar</w:t>
            </w:r>
            <w:r>
              <w:rPr>
                <w:rFonts w:ascii="Garamond" w:hAnsi="Garamond"/>
              </w:rPr>
              <w:t>;</w:t>
            </w:r>
            <w:r w:rsidRPr="006F1CF6">
              <w:rPr>
                <w:rFonts w:ascii="Garamond" w:hAnsi="Garamond"/>
              </w:rPr>
              <w:t xml:space="preserve"> </w:t>
            </w:r>
          </w:p>
        </w:tc>
      </w:tr>
      <w:tr w:rsidR="000B2E23" w:rsidRPr="006F1CF6" w14:paraId="41EC1366" w14:textId="77777777" w:rsidTr="000B2E23">
        <w:tc>
          <w:tcPr>
            <w:tcW w:w="2405" w:type="dxa"/>
          </w:tcPr>
          <w:p w14:paraId="1DBCFDEC" w14:textId="3CB567BD" w:rsidR="000B2E23" w:rsidRPr="006F1CF6" w:rsidRDefault="000B2E23" w:rsidP="006F1CF6">
            <w:pPr>
              <w:rPr>
                <w:rFonts w:ascii="Garamond" w:hAnsi="Garamond"/>
              </w:rPr>
            </w:pPr>
            <w:proofErr w:type="spellStart"/>
            <w:r w:rsidRPr="006F1CF6">
              <w:rPr>
                <w:rFonts w:ascii="Garamond" w:hAnsi="Garamond"/>
              </w:rPr>
              <w:t>Marjana</w:t>
            </w:r>
            <w:proofErr w:type="spellEnd"/>
            <w:r w:rsidRPr="006F1CF6">
              <w:rPr>
                <w:rFonts w:ascii="Garamond" w:hAnsi="Garamond"/>
              </w:rPr>
              <w:t xml:space="preserve"> </w:t>
            </w:r>
            <w:proofErr w:type="spellStart"/>
            <w:r w:rsidRPr="006F1CF6">
              <w:rPr>
                <w:rFonts w:ascii="Garamond" w:hAnsi="Garamond"/>
              </w:rPr>
              <w:t>Semini</w:t>
            </w:r>
            <w:proofErr w:type="spellEnd"/>
            <w:r w:rsidR="006F1CF6">
              <w:rPr>
                <w:rFonts w:ascii="Garamond" w:hAnsi="Garamond"/>
              </w:rPr>
              <w:t>,</w:t>
            </w:r>
          </w:p>
        </w:tc>
        <w:tc>
          <w:tcPr>
            <w:tcW w:w="1134" w:type="dxa"/>
          </w:tcPr>
          <w:p w14:paraId="7665FEC7" w14:textId="6FA0BB01" w:rsidR="000B2E23" w:rsidRPr="006F1CF6" w:rsidRDefault="006F1CF6" w:rsidP="006F1CF6">
            <w:pPr>
              <w:rPr>
                <w:rFonts w:ascii="Garamond" w:hAnsi="Garamond"/>
              </w:rPr>
            </w:pPr>
            <w:r w:rsidRPr="006F1CF6">
              <w:rPr>
                <w:rFonts w:ascii="Garamond" w:hAnsi="Garamond"/>
              </w:rPr>
              <w:t>anëtare</w:t>
            </w:r>
            <w:r>
              <w:rPr>
                <w:rFonts w:ascii="Garamond" w:hAnsi="Garamond"/>
              </w:rPr>
              <w:t>;</w:t>
            </w:r>
          </w:p>
        </w:tc>
      </w:tr>
      <w:tr w:rsidR="000B2E23" w:rsidRPr="006F1CF6" w14:paraId="459B0A2F" w14:textId="77777777" w:rsidTr="000B2E23">
        <w:tc>
          <w:tcPr>
            <w:tcW w:w="2405" w:type="dxa"/>
          </w:tcPr>
          <w:p w14:paraId="18B11AAE" w14:textId="16599AF3" w:rsidR="000B2E23" w:rsidRPr="006F1CF6" w:rsidRDefault="000B2E23" w:rsidP="006F1CF6">
            <w:pPr>
              <w:rPr>
                <w:rFonts w:ascii="Garamond" w:hAnsi="Garamond"/>
              </w:rPr>
            </w:pPr>
            <w:proofErr w:type="spellStart"/>
            <w:r w:rsidRPr="006F1CF6">
              <w:rPr>
                <w:rFonts w:ascii="Garamond" w:hAnsi="Garamond"/>
              </w:rPr>
              <w:t>Asim</w:t>
            </w:r>
            <w:proofErr w:type="spellEnd"/>
            <w:r w:rsidRPr="006F1CF6">
              <w:rPr>
                <w:rFonts w:ascii="Garamond" w:hAnsi="Garamond"/>
              </w:rPr>
              <w:t xml:space="preserve"> </w:t>
            </w:r>
            <w:proofErr w:type="spellStart"/>
            <w:r w:rsidRPr="006F1CF6">
              <w:rPr>
                <w:rFonts w:ascii="Garamond" w:hAnsi="Garamond"/>
              </w:rPr>
              <w:t>Vokshi</w:t>
            </w:r>
            <w:proofErr w:type="spellEnd"/>
            <w:r w:rsidR="006F1CF6">
              <w:rPr>
                <w:rFonts w:ascii="Garamond" w:hAnsi="Garamond"/>
              </w:rPr>
              <w:t>,</w:t>
            </w:r>
          </w:p>
        </w:tc>
        <w:tc>
          <w:tcPr>
            <w:tcW w:w="1134" w:type="dxa"/>
          </w:tcPr>
          <w:p w14:paraId="5D594AE5" w14:textId="6EB2B56D" w:rsidR="000B2E23" w:rsidRPr="006F1CF6" w:rsidRDefault="006F1CF6" w:rsidP="006F1CF6">
            <w:pPr>
              <w:rPr>
                <w:rFonts w:ascii="Garamond" w:hAnsi="Garamond"/>
              </w:rPr>
            </w:pPr>
            <w:r w:rsidRPr="006F1CF6">
              <w:rPr>
                <w:rFonts w:ascii="Garamond" w:hAnsi="Garamond"/>
              </w:rPr>
              <w:t>anëtar</w:t>
            </w:r>
            <w:r>
              <w:rPr>
                <w:rFonts w:ascii="Garamond" w:hAnsi="Garamond"/>
              </w:rPr>
              <w:t>;</w:t>
            </w:r>
          </w:p>
        </w:tc>
      </w:tr>
      <w:tr w:rsidR="000B2E23" w:rsidRPr="006F1CF6" w14:paraId="74A6D50C" w14:textId="77777777" w:rsidTr="000B2E23">
        <w:tc>
          <w:tcPr>
            <w:tcW w:w="2405" w:type="dxa"/>
          </w:tcPr>
          <w:p w14:paraId="67E2827E" w14:textId="069A153A" w:rsidR="000B2E23" w:rsidRPr="006F1CF6" w:rsidRDefault="000B2E23" w:rsidP="006F1CF6">
            <w:pPr>
              <w:rPr>
                <w:rFonts w:ascii="Garamond" w:hAnsi="Garamond"/>
              </w:rPr>
            </w:pPr>
            <w:proofErr w:type="spellStart"/>
            <w:r w:rsidRPr="006F1CF6">
              <w:rPr>
                <w:rFonts w:ascii="Garamond" w:hAnsi="Garamond"/>
              </w:rPr>
              <w:t>Marsida</w:t>
            </w:r>
            <w:proofErr w:type="spellEnd"/>
            <w:r w:rsidRPr="006F1CF6">
              <w:rPr>
                <w:rFonts w:ascii="Garamond" w:hAnsi="Garamond"/>
              </w:rPr>
              <w:t xml:space="preserve"> </w:t>
            </w:r>
            <w:proofErr w:type="spellStart"/>
            <w:r w:rsidRPr="006F1CF6">
              <w:rPr>
                <w:rFonts w:ascii="Garamond" w:hAnsi="Garamond"/>
              </w:rPr>
              <w:t>Xhaferllari</w:t>
            </w:r>
            <w:proofErr w:type="spellEnd"/>
            <w:r w:rsidR="006F1CF6">
              <w:rPr>
                <w:rFonts w:ascii="Garamond" w:hAnsi="Garamond"/>
              </w:rPr>
              <w:t>,</w:t>
            </w:r>
          </w:p>
        </w:tc>
        <w:tc>
          <w:tcPr>
            <w:tcW w:w="1134" w:type="dxa"/>
          </w:tcPr>
          <w:p w14:paraId="77B4F84F" w14:textId="35148157" w:rsidR="000B2E23" w:rsidRPr="006F1CF6" w:rsidRDefault="006F1CF6" w:rsidP="006F1CF6">
            <w:pPr>
              <w:rPr>
                <w:rFonts w:ascii="Garamond" w:hAnsi="Garamond"/>
              </w:rPr>
            </w:pPr>
            <w:r w:rsidRPr="006F1CF6">
              <w:rPr>
                <w:rFonts w:ascii="Garamond" w:hAnsi="Garamond"/>
              </w:rPr>
              <w:t>anëtare</w:t>
            </w:r>
            <w:r>
              <w:rPr>
                <w:rFonts w:ascii="Garamond" w:hAnsi="Garamond"/>
              </w:rPr>
              <w:t>,</w:t>
            </w:r>
            <w:r w:rsidRPr="006F1CF6">
              <w:rPr>
                <w:rFonts w:ascii="Garamond" w:hAnsi="Garamond"/>
              </w:rPr>
              <w:t xml:space="preserve"> </w:t>
            </w:r>
          </w:p>
        </w:tc>
      </w:tr>
    </w:tbl>
    <w:p w14:paraId="4BD87517" w14:textId="3A7F9A6E" w:rsidR="00294EFF" w:rsidRPr="006F1CF6" w:rsidRDefault="00294EFF" w:rsidP="00294EFF">
      <w:pPr>
        <w:tabs>
          <w:tab w:val="left" w:pos="720"/>
        </w:tabs>
        <w:spacing w:line="240" w:lineRule="auto"/>
        <w:ind w:firstLine="284"/>
        <w:jc w:val="both"/>
        <w:rPr>
          <w:rFonts w:ascii="Garamond" w:hAnsi="Garamond"/>
        </w:rPr>
      </w:pPr>
      <w:r w:rsidRPr="006F1CF6">
        <w:rPr>
          <w:rFonts w:ascii="Garamond" w:hAnsi="Garamond"/>
        </w:rPr>
        <w:t xml:space="preserve">me sekretare </w:t>
      </w:r>
      <w:proofErr w:type="spellStart"/>
      <w:r w:rsidRPr="006F1CF6">
        <w:rPr>
          <w:rFonts w:ascii="Garamond" w:hAnsi="Garamond"/>
        </w:rPr>
        <w:t>Farisja</w:t>
      </w:r>
      <w:proofErr w:type="spellEnd"/>
      <w:r w:rsidRPr="006F1CF6">
        <w:rPr>
          <w:rFonts w:ascii="Garamond" w:hAnsi="Garamond"/>
        </w:rPr>
        <w:t xml:space="preserve"> </w:t>
      </w:r>
      <w:proofErr w:type="spellStart"/>
      <w:r w:rsidRPr="006F1CF6">
        <w:rPr>
          <w:rFonts w:ascii="Garamond" w:hAnsi="Garamond"/>
        </w:rPr>
        <w:t>Idrizaj</w:t>
      </w:r>
      <w:proofErr w:type="spellEnd"/>
      <w:r w:rsidRPr="006F1CF6">
        <w:rPr>
          <w:rFonts w:ascii="Garamond" w:hAnsi="Garamond"/>
        </w:rPr>
        <w:t>, në datën 17.2.2026</w:t>
      </w:r>
      <w:r w:rsidR="006F1CF6">
        <w:rPr>
          <w:rFonts w:ascii="Garamond" w:hAnsi="Garamond"/>
        </w:rPr>
        <w:t>,</w:t>
      </w:r>
      <w:r w:rsidRPr="006F1CF6">
        <w:rPr>
          <w:rFonts w:ascii="Garamond" w:hAnsi="Garamond"/>
        </w:rPr>
        <w:t xml:space="preserve"> mori në shqyrtim në seancë plenare mbi bazë të dokumenteve çështjen nr. 11 (SH) 2025 të Regjistrit Themeltar, që u përket:</w:t>
      </w:r>
    </w:p>
    <w:p w14:paraId="335BAB81" w14:textId="07FAAD42" w:rsidR="00294EFF" w:rsidRPr="006F1CF6" w:rsidRDefault="00294EFF" w:rsidP="006F1CF6">
      <w:pPr>
        <w:spacing w:line="240" w:lineRule="auto"/>
        <w:ind w:firstLine="284"/>
        <w:jc w:val="both"/>
        <w:rPr>
          <w:rFonts w:ascii="Garamond" w:hAnsi="Garamond"/>
          <w:bCs/>
        </w:rPr>
      </w:pPr>
      <w:r w:rsidRPr="006F1CF6">
        <w:rPr>
          <w:rFonts w:ascii="Garamond" w:hAnsi="Garamond"/>
          <w:bCs/>
        </w:rPr>
        <w:t>KËRKUESE: SHOQËRIA “</w:t>
      </w:r>
      <w:proofErr w:type="spellStart"/>
      <w:r w:rsidR="006F1CF6" w:rsidRPr="006F1CF6">
        <w:rPr>
          <w:rFonts w:ascii="Garamond" w:hAnsi="Garamond"/>
          <w:bCs/>
        </w:rPr>
        <w:t>International</w:t>
      </w:r>
      <w:proofErr w:type="spellEnd"/>
      <w:r w:rsidR="006F1CF6" w:rsidRPr="006F1CF6">
        <w:rPr>
          <w:rFonts w:ascii="Garamond" w:hAnsi="Garamond"/>
          <w:bCs/>
        </w:rPr>
        <w:t xml:space="preserve"> </w:t>
      </w:r>
      <w:proofErr w:type="spellStart"/>
      <w:r w:rsidR="006F1CF6" w:rsidRPr="006F1CF6">
        <w:rPr>
          <w:rFonts w:ascii="Garamond" w:hAnsi="Garamond"/>
          <w:bCs/>
        </w:rPr>
        <w:t>Distrubution</w:t>
      </w:r>
      <w:proofErr w:type="spellEnd"/>
      <w:r w:rsidR="006F1CF6" w:rsidRPr="006F1CF6">
        <w:rPr>
          <w:rFonts w:ascii="Garamond" w:hAnsi="Garamond"/>
          <w:bCs/>
        </w:rPr>
        <w:t xml:space="preserve"> </w:t>
      </w:r>
      <w:proofErr w:type="spellStart"/>
      <w:r w:rsidR="006F1CF6" w:rsidRPr="006F1CF6">
        <w:rPr>
          <w:rFonts w:ascii="Garamond" w:hAnsi="Garamond"/>
          <w:bCs/>
        </w:rPr>
        <w:t>for</w:t>
      </w:r>
      <w:proofErr w:type="spellEnd"/>
      <w:r w:rsidR="006F1CF6" w:rsidRPr="006F1CF6">
        <w:rPr>
          <w:rFonts w:ascii="Garamond" w:hAnsi="Garamond"/>
          <w:bCs/>
        </w:rPr>
        <w:t xml:space="preserve"> </w:t>
      </w:r>
      <w:proofErr w:type="spellStart"/>
      <w:r w:rsidR="006F1CF6" w:rsidRPr="006F1CF6">
        <w:rPr>
          <w:rFonts w:ascii="Garamond" w:hAnsi="Garamond"/>
          <w:bCs/>
        </w:rPr>
        <w:t>Albania</w:t>
      </w:r>
      <w:proofErr w:type="spellEnd"/>
      <w:r w:rsidRPr="006F1CF6">
        <w:rPr>
          <w:rFonts w:ascii="Garamond" w:hAnsi="Garamond"/>
          <w:bCs/>
        </w:rPr>
        <w:t xml:space="preserve">” </w:t>
      </w:r>
      <w:proofErr w:type="spellStart"/>
      <w:r w:rsidR="006F1CF6" w:rsidRPr="006F1CF6">
        <w:rPr>
          <w:rFonts w:ascii="Garamond" w:hAnsi="Garamond"/>
          <w:bCs/>
        </w:rPr>
        <w:t>sh.a</w:t>
      </w:r>
      <w:proofErr w:type="spellEnd"/>
      <w:r w:rsidRPr="006F1CF6">
        <w:rPr>
          <w:rFonts w:ascii="Garamond" w:hAnsi="Garamond"/>
          <w:bCs/>
        </w:rPr>
        <w:t xml:space="preserve">., </w:t>
      </w:r>
      <w:r w:rsidRPr="006F1CF6">
        <w:rPr>
          <w:rFonts w:ascii="Garamond" w:hAnsi="Garamond"/>
        </w:rPr>
        <w:t xml:space="preserve">përfaqësuar nga administratori Alban </w:t>
      </w:r>
      <w:proofErr w:type="spellStart"/>
      <w:r w:rsidRPr="006F1CF6">
        <w:rPr>
          <w:rFonts w:ascii="Garamond" w:hAnsi="Garamond"/>
        </w:rPr>
        <w:t>Xhillari</w:t>
      </w:r>
      <w:proofErr w:type="spellEnd"/>
      <w:r w:rsidRPr="006F1CF6">
        <w:rPr>
          <w:rFonts w:ascii="Garamond" w:hAnsi="Garamond"/>
        </w:rPr>
        <w:t>.</w:t>
      </w:r>
    </w:p>
    <w:p w14:paraId="4E1EEF84" w14:textId="31E05F8D" w:rsidR="00294EFF" w:rsidRPr="006F1CF6" w:rsidRDefault="00294EFF" w:rsidP="006F1CF6">
      <w:pPr>
        <w:spacing w:line="240" w:lineRule="auto"/>
        <w:ind w:firstLine="284"/>
        <w:jc w:val="both"/>
        <w:rPr>
          <w:rFonts w:ascii="Garamond" w:hAnsi="Garamond"/>
          <w:bCs/>
        </w:rPr>
      </w:pPr>
      <w:r w:rsidRPr="006F1CF6">
        <w:rPr>
          <w:rFonts w:ascii="Garamond" w:hAnsi="Garamond"/>
          <w:bCs/>
        </w:rPr>
        <w:t xml:space="preserve">SUBJEKTE TË </w:t>
      </w:r>
      <w:proofErr w:type="spellStart"/>
      <w:r w:rsidRPr="006F1CF6">
        <w:rPr>
          <w:rFonts w:ascii="Garamond" w:hAnsi="Garamond"/>
          <w:bCs/>
        </w:rPr>
        <w:t>INTERESUARA:</w:t>
      </w:r>
      <w:r w:rsidR="006F1CF6" w:rsidRPr="006F1CF6">
        <w:rPr>
          <w:rFonts w:ascii="Garamond" w:hAnsi="Garamond"/>
          <w:bCs/>
        </w:rPr>
        <w:t>Drejtoria</w:t>
      </w:r>
      <w:proofErr w:type="spellEnd"/>
      <w:r w:rsidR="006F1CF6" w:rsidRPr="006F1CF6">
        <w:rPr>
          <w:rFonts w:ascii="Garamond" w:hAnsi="Garamond"/>
          <w:bCs/>
        </w:rPr>
        <w:t xml:space="preserve"> e</w:t>
      </w:r>
      <w:r w:rsidRPr="006F1CF6">
        <w:rPr>
          <w:rFonts w:ascii="Garamond" w:hAnsi="Garamond"/>
          <w:bCs/>
        </w:rPr>
        <w:t xml:space="preserve"> </w:t>
      </w:r>
      <w:r w:rsidR="006F1CF6" w:rsidRPr="006F1CF6">
        <w:rPr>
          <w:rFonts w:ascii="Garamond" w:hAnsi="Garamond"/>
          <w:bCs/>
        </w:rPr>
        <w:t>Përgjithshme e</w:t>
      </w:r>
      <w:r w:rsidRPr="006F1CF6">
        <w:rPr>
          <w:rFonts w:ascii="Garamond" w:hAnsi="Garamond"/>
          <w:bCs/>
        </w:rPr>
        <w:t xml:space="preserve"> </w:t>
      </w:r>
      <w:r w:rsidR="006F1CF6" w:rsidRPr="006F1CF6">
        <w:rPr>
          <w:rFonts w:ascii="Garamond" w:hAnsi="Garamond"/>
          <w:bCs/>
        </w:rPr>
        <w:t>Tatimeve</w:t>
      </w:r>
      <w:r w:rsidRPr="006F1CF6">
        <w:rPr>
          <w:rFonts w:ascii="Garamond" w:hAnsi="Garamond"/>
          <w:bCs/>
        </w:rPr>
        <w:t xml:space="preserve">, </w:t>
      </w:r>
      <w:r w:rsidRPr="006F1CF6">
        <w:rPr>
          <w:rFonts w:ascii="Garamond" w:hAnsi="Garamond"/>
        </w:rPr>
        <w:t xml:space="preserve">përfaqësuar nga drejtori i përgjithshëm Ilir </w:t>
      </w:r>
      <w:proofErr w:type="spellStart"/>
      <w:r w:rsidRPr="006F1CF6">
        <w:rPr>
          <w:rFonts w:ascii="Garamond" w:hAnsi="Garamond"/>
        </w:rPr>
        <w:t>Binaj</w:t>
      </w:r>
      <w:proofErr w:type="spellEnd"/>
      <w:r w:rsidRPr="006F1CF6">
        <w:rPr>
          <w:rFonts w:ascii="Garamond" w:hAnsi="Garamond"/>
        </w:rPr>
        <w:t>.</w:t>
      </w:r>
    </w:p>
    <w:p w14:paraId="13D777F1" w14:textId="4B643A04" w:rsidR="00294EFF" w:rsidRPr="006F1CF6" w:rsidRDefault="006F1CF6" w:rsidP="00294EFF">
      <w:pPr>
        <w:spacing w:line="240" w:lineRule="auto"/>
        <w:ind w:firstLine="284"/>
        <w:jc w:val="both"/>
        <w:rPr>
          <w:rFonts w:ascii="Garamond" w:hAnsi="Garamond"/>
        </w:rPr>
      </w:pPr>
      <w:r w:rsidRPr="006F1CF6">
        <w:rPr>
          <w:rFonts w:ascii="Garamond" w:hAnsi="Garamond"/>
          <w:bCs/>
        </w:rPr>
        <w:t>Drejtoria Rajonale Tatimore Tiranë</w:t>
      </w:r>
      <w:r w:rsidR="00294EFF" w:rsidRPr="006F1CF6">
        <w:rPr>
          <w:rFonts w:ascii="Garamond" w:hAnsi="Garamond"/>
          <w:bCs/>
        </w:rPr>
        <w:t xml:space="preserve">, </w:t>
      </w:r>
      <w:r w:rsidR="00294EFF" w:rsidRPr="006F1CF6">
        <w:rPr>
          <w:rFonts w:ascii="Garamond" w:hAnsi="Garamond"/>
        </w:rPr>
        <w:t xml:space="preserve">përfaqësuar nga drejtore </w:t>
      </w:r>
      <w:proofErr w:type="spellStart"/>
      <w:r w:rsidR="00294EFF" w:rsidRPr="006F1CF6">
        <w:rPr>
          <w:rFonts w:ascii="Garamond" w:hAnsi="Garamond"/>
        </w:rPr>
        <w:t>Erilinda</w:t>
      </w:r>
      <w:proofErr w:type="spellEnd"/>
      <w:r w:rsidR="00294EFF" w:rsidRPr="006F1CF6">
        <w:rPr>
          <w:rFonts w:ascii="Garamond" w:hAnsi="Garamond"/>
        </w:rPr>
        <w:t xml:space="preserve"> Lala.</w:t>
      </w:r>
    </w:p>
    <w:p w14:paraId="2D3B7EAB" w14:textId="106C9D6F" w:rsidR="00294EFF" w:rsidRPr="006F1CF6" w:rsidRDefault="006F1CF6" w:rsidP="00294EFF">
      <w:pPr>
        <w:spacing w:line="240" w:lineRule="auto"/>
        <w:ind w:firstLine="284"/>
        <w:jc w:val="both"/>
        <w:rPr>
          <w:rFonts w:ascii="Garamond" w:hAnsi="Garamond"/>
        </w:rPr>
      </w:pPr>
      <w:r w:rsidRPr="006F1CF6">
        <w:rPr>
          <w:rFonts w:ascii="Garamond" w:hAnsi="Garamond"/>
          <w:bCs/>
        </w:rPr>
        <w:t>Avokatura e</w:t>
      </w:r>
      <w:r w:rsidR="00294EFF" w:rsidRPr="006F1CF6">
        <w:rPr>
          <w:rFonts w:ascii="Garamond" w:hAnsi="Garamond"/>
          <w:bCs/>
        </w:rPr>
        <w:t xml:space="preserve"> </w:t>
      </w:r>
      <w:r w:rsidRPr="006F1CF6">
        <w:rPr>
          <w:rFonts w:ascii="Garamond" w:hAnsi="Garamond"/>
          <w:bCs/>
        </w:rPr>
        <w:t>Shtetit</w:t>
      </w:r>
      <w:r w:rsidR="00294EFF" w:rsidRPr="006F1CF6">
        <w:rPr>
          <w:rFonts w:ascii="Garamond" w:hAnsi="Garamond"/>
          <w:bCs/>
        </w:rPr>
        <w:t xml:space="preserve">, </w:t>
      </w:r>
      <w:r w:rsidR="00294EFF" w:rsidRPr="006F1CF6">
        <w:rPr>
          <w:rFonts w:ascii="Garamond" w:hAnsi="Garamond"/>
        </w:rPr>
        <w:t>përfaqësuar nga avokatja e shtetit Irma Qosja.</w:t>
      </w:r>
    </w:p>
    <w:p w14:paraId="207BAAEE" w14:textId="4BD0BDA6" w:rsidR="00294EFF" w:rsidRPr="006F1CF6" w:rsidRDefault="00294EFF" w:rsidP="00294EFF">
      <w:pPr>
        <w:pStyle w:val="BodyTextIndent2"/>
        <w:spacing w:line="240" w:lineRule="auto"/>
        <w:ind w:left="0" w:firstLine="284"/>
        <w:rPr>
          <w:rFonts w:ascii="Garamond" w:hAnsi="Garamond"/>
          <w:b w:val="0"/>
        </w:rPr>
      </w:pPr>
      <w:r w:rsidRPr="006F1CF6">
        <w:rPr>
          <w:rFonts w:ascii="Garamond" w:hAnsi="Garamond"/>
          <w:b w:val="0"/>
        </w:rPr>
        <w:t>OBJEKTI:</w:t>
      </w:r>
      <w:r w:rsidR="006F1CF6">
        <w:rPr>
          <w:rFonts w:ascii="Garamond" w:hAnsi="Garamond"/>
          <w:b w:val="0"/>
        </w:rPr>
        <w:t xml:space="preserve"> </w:t>
      </w:r>
      <w:r w:rsidRPr="006F1CF6">
        <w:rPr>
          <w:rFonts w:ascii="Garamond" w:hAnsi="Garamond"/>
          <w:b w:val="0"/>
        </w:rPr>
        <w:t>Shfuqizimi i vendimit nr. 00-2025-13, datë 14.1.2025</w:t>
      </w:r>
      <w:r w:rsidR="006F1CF6">
        <w:rPr>
          <w:rFonts w:ascii="Garamond" w:hAnsi="Garamond"/>
          <w:b w:val="0"/>
        </w:rPr>
        <w:t>,</w:t>
      </w:r>
      <w:r w:rsidRPr="006F1CF6">
        <w:rPr>
          <w:rFonts w:ascii="Garamond" w:hAnsi="Garamond"/>
          <w:b w:val="0"/>
        </w:rPr>
        <w:t xml:space="preserve"> të Kolegjit Administrativ të Gjykatës së Lartë, si i papajtueshëm me Kushtetutën e Republikës së Shqipërisë.</w:t>
      </w:r>
    </w:p>
    <w:p w14:paraId="43592302" w14:textId="7759F5DF" w:rsidR="00294EFF" w:rsidRPr="006F1CF6" w:rsidRDefault="00294EFF" w:rsidP="00294EFF">
      <w:pPr>
        <w:pStyle w:val="BodyTextIndent2"/>
        <w:spacing w:line="240" w:lineRule="auto"/>
        <w:ind w:left="0" w:firstLine="284"/>
        <w:rPr>
          <w:rFonts w:ascii="Garamond" w:hAnsi="Garamond"/>
          <w:b w:val="0"/>
        </w:rPr>
      </w:pPr>
      <w:r w:rsidRPr="006F1CF6">
        <w:rPr>
          <w:rFonts w:ascii="Garamond" w:hAnsi="Garamond"/>
          <w:b w:val="0"/>
        </w:rPr>
        <w:t xml:space="preserve">Dërgimi i çështjes për shqyrtim në Gjykatën e Lartë. </w:t>
      </w:r>
    </w:p>
    <w:p w14:paraId="30B9C5D4" w14:textId="39CFD195" w:rsidR="00294EFF" w:rsidRPr="006F1CF6" w:rsidRDefault="00294EFF" w:rsidP="00294EFF">
      <w:pPr>
        <w:pStyle w:val="BodyTextIndent2"/>
        <w:spacing w:line="240" w:lineRule="auto"/>
        <w:ind w:left="0" w:firstLine="284"/>
        <w:rPr>
          <w:rFonts w:ascii="Garamond" w:hAnsi="Garamond"/>
          <w:b w:val="0"/>
          <w:color w:val="FF0000"/>
        </w:rPr>
      </w:pPr>
      <w:r w:rsidRPr="006F1CF6">
        <w:rPr>
          <w:rFonts w:ascii="Garamond" w:hAnsi="Garamond"/>
          <w:b w:val="0"/>
        </w:rPr>
        <w:t>BAZA LIGJORE: Nenet 11, 15, 17, 18, 41, 42, 43, 131, shkronja “f”, 133, 134, pika 1, shkronja “i”, 141, pika 1, dhe 142</w:t>
      </w:r>
      <w:r w:rsidR="006F1CF6">
        <w:rPr>
          <w:rFonts w:ascii="Garamond" w:hAnsi="Garamond"/>
          <w:b w:val="0"/>
        </w:rPr>
        <w:t>,</w:t>
      </w:r>
      <w:r w:rsidRPr="006F1CF6">
        <w:rPr>
          <w:rFonts w:ascii="Garamond" w:hAnsi="Garamond"/>
          <w:b w:val="0"/>
        </w:rPr>
        <w:t xml:space="preserve"> të Kushtetutës së Republikës së Shqipërisë; nenet 6, 13, 14, 1,</w:t>
      </w:r>
      <w:r w:rsidR="006F1CF6">
        <w:rPr>
          <w:rFonts w:ascii="Garamond" w:hAnsi="Garamond"/>
          <w:b w:val="0"/>
        </w:rPr>
        <w:t xml:space="preserve"> </w:t>
      </w:r>
      <w:r w:rsidRPr="006F1CF6">
        <w:rPr>
          <w:rFonts w:ascii="Garamond" w:hAnsi="Garamond"/>
          <w:b w:val="0"/>
        </w:rPr>
        <w:t>të Protokollit nr.</w:t>
      </w:r>
      <w:r w:rsidR="006F1CF6">
        <w:rPr>
          <w:rFonts w:ascii="Garamond" w:hAnsi="Garamond"/>
          <w:b w:val="0"/>
        </w:rPr>
        <w:t xml:space="preserve"> </w:t>
      </w:r>
      <w:r w:rsidRPr="006F1CF6">
        <w:rPr>
          <w:rFonts w:ascii="Garamond" w:hAnsi="Garamond"/>
          <w:b w:val="0"/>
        </w:rPr>
        <w:t>1 dhe Protokolli nr.</w:t>
      </w:r>
      <w:r w:rsidR="006F1CF6">
        <w:rPr>
          <w:rFonts w:ascii="Garamond" w:hAnsi="Garamond"/>
          <w:b w:val="0"/>
        </w:rPr>
        <w:t xml:space="preserve"> </w:t>
      </w:r>
      <w:r w:rsidRPr="006F1CF6">
        <w:rPr>
          <w:rFonts w:ascii="Garamond" w:hAnsi="Garamond"/>
          <w:b w:val="0"/>
        </w:rPr>
        <w:t>12 i Konventës Evropiane për të Drejtat e Njeriut (</w:t>
      </w:r>
      <w:proofErr w:type="spellStart"/>
      <w:r w:rsidRPr="006F1CF6">
        <w:rPr>
          <w:rFonts w:ascii="Garamond" w:hAnsi="Garamond"/>
          <w:b w:val="0"/>
          <w:i/>
          <w:iCs/>
        </w:rPr>
        <w:t>KEDNJ</w:t>
      </w:r>
      <w:proofErr w:type="spellEnd"/>
      <w:r w:rsidRPr="006F1CF6">
        <w:rPr>
          <w:rFonts w:ascii="Garamond" w:hAnsi="Garamond"/>
          <w:b w:val="0"/>
        </w:rPr>
        <w:t>), nenet 27, 50 e vijues</w:t>
      </w:r>
      <w:r w:rsidR="006F1CF6">
        <w:rPr>
          <w:rFonts w:ascii="Garamond" w:hAnsi="Garamond"/>
          <w:b w:val="0"/>
        </w:rPr>
        <w:t>,</w:t>
      </w:r>
      <w:r w:rsidRPr="006F1CF6">
        <w:rPr>
          <w:rFonts w:ascii="Garamond" w:hAnsi="Garamond"/>
          <w:b w:val="0"/>
        </w:rPr>
        <w:t xml:space="preserve"> të ligjit nr. 8577, datë 10.2.2000</w:t>
      </w:r>
      <w:r w:rsidR="006F1CF6">
        <w:rPr>
          <w:rFonts w:ascii="Garamond" w:hAnsi="Garamond"/>
          <w:b w:val="0"/>
        </w:rPr>
        <w:t>,</w:t>
      </w:r>
      <w:r w:rsidRPr="006F1CF6">
        <w:rPr>
          <w:rFonts w:ascii="Garamond" w:hAnsi="Garamond"/>
          <w:b w:val="0"/>
        </w:rPr>
        <w:t xml:space="preserve"> “Për organizimin dhe funksionimin e Gjykatës Kushtetuese të Republikës së Shqipërisë”, të ndryshuar (</w:t>
      </w:r>
      <w:r w:rsidRPr="006F1CF6">
        <w:rPr>
          <w:rFonts w:ascii="Garamond" w:hAnsi="Garamond"/>
          <w:b w:val="0"/>
          <w:i/>
          <w:iCs/>
        </w:rPr>
        <w:t>Ligji Organik i Gjykatës</w:t>
      </w:r>
      <w:r w:rsidRPr="006F1CF6">
        <w:rPr>
          <w:rFonts w:ascii="Garamond" w:hAnsi="Garamond"/>
          <w:b w:val="0"/>
        </w:rPr>
        <w:t>).</w:t>
      </w:r>
    </w:p>
    <w:p w14:paraId="7DB36FC3" w14:textId="5B311A90" w:rsidR="00294EFF" w:rsidRPr="006F1CF6" w:rsidRDefault="00294EFF" w:rsidP="00294EFF">
      <w:pPr>
        <w:spacing w:line="240" w:lineRule="auto"/>
        <w:ind w:firstLine="284"/>
        <w:jc w:val="both"/>
        <w:rPr>
          <w:rFonts w:ascii="Garamond" w:hAnsi="Garamond"/>
        </w:rPr>
      </w:pPr>
      <w:r w:rsidRPr="006F1CF6">
        <w:rPr>
          <w:rFonts w:ascii="Garamond" w:hAnsi="Garamond"/>
        </w:rPr>
        <w:t xml:space="preserve">pasi dëgjoi </w:t>
      </w:r>
      <w:proofErr w:type="spellStart"/>
      <w:r w:rsidRPr="006F1CF6">
        <w:rPr>
          <w:rFonts w:ascii="Garamond" w:hAnsi="Garamond"/>
        </w:rPr>
        <w:t>relatoren</w:t>
      </w:r>
      <w:proofErr w:type="spellEnd"/>
      <w:r w:rsidRPr="006F1CF6">
        <w:rPr>
          <w:rFonts w:ascii="Garamond" w:hAnsi="Garamond"/>
        </w:rPr>
        <w:t xml:space="preserve"> e çështjes </w:t>
      </w:r>
      <w:proofErr w:type="spellStart"/>
      <w:r w:rsidRPr="006F1CF6">
        <w:rPr>
          <w:rFonts w:ascii="Garamond" w:hAnsi="Garamond"/>
        </w:rPr>
        <w:t>Marsida</w:t>
      </w:r>
      <w:proofErr w:type="spellEnd"/>
      <w:r w:rsidRPr="006F1CF6">
        <w:rPr>
          <w:rFonts w:ascii="Garamond" w:hAnsi="Garamond"/>
        </w:rPr>
        <w:t xml:space="preserve"> </w:t>
      </w:r>
      <w:proofErr w:type="spellStart"/>
      <w:r w:rsidRPr="006F1CF6">
        <w:rPr>
          <w:rFonts w:ascii="Garamond" w:hAnsi="Garamond"/>
        </w:rPr>
        <w:t>Xhaferllari</w:t>
      </w:r>
      <w:proofErr w:type="spellEnd"/>
      <w:r w:rsidRPr="006F1CF6">
        <w:rPr>
          <w:rFonts w:ascii="Garamond" w:hAnsi="Garamond"/>
        </w:rPr>
        <w:t>, mori në shqyrtim parashtrimet me shkrim të kërkueses, shoqërisë “</w:t>
      </w:r>
      <w:proofErr w:type="spellStart"/>
      <w:r w:rsidRPr="006F1CF6">
        <w:rPr>
          <w:rFonts w:ascii="Garamond" w:hAnsi="Garamond"/>
        </w:rPr>
        <w:t>International</w:t>
      </w:r>
      <w:proofErr w:type="spellEnd"/>
      <w:r w:rsidRPr="006F1CF6">
        <w:rPr>
          <w:rFonts w:ascii="Garamond" w:hAnsi="Garamond"/>
        </w:rPr>
        <w:t xml:space="preserve"> </w:t>
      </w:r>
      <w:proofErr w:type="spellStart"/>
      <w:r w:rsidRPr="006F1CF6">
        <w:rPr>
          <w:rFonts w:ascii="Garamond" w:hAnsi="Garamond"/>
        </w:rPr>
        <w:t>Distribution</w:t>
      </w:r>
      <w:proofErr w:type="spellEnd"/>
      <w:r w:rsidRPr="006F1CF6">
        <w:rPr>
          <w:rFonts w:ascii="Garamond" w:hAnsi="Garamond"/>
        </w:rPr>
        <w:t xml:space="preserve"> </w:t>
      </w:r>
      <w:proofErr w:type="spellStart"/>
      <w:r w:rsidRPr="006F1CF6">
        <w:rPr>
          <w:rFonts w:ascii="Garamond" w:hAnsi="Garamond"/>
        </w:rPr>
        <w:t>for</w:t>
      </w:r>
      <w:proofErr w:type="spellEnd"/>
      <w:r w:rsidRPr="006F1CF6">
        <w:rPr>
          <w:rFonts w:ascii="Garamond" w:hAnsi="Garamond"/>
        </w:rPr>
        <w:t xml:space="preserve"> </w:t>
      </w:r>
      <w:proofErr w:type="spellStart"/>
      <w:r w:rsidRPr="006F1CF6">
        <w:rPr>
          <w:rFonts w:ascii="Garamond" w:hAnsi="Garamond"/>
        </w:rPr>
        <w:t>Albania</w:t>
      </w:r>
      <w:proofErr w:type="spellEnd"/>
      <w:r w:rsidRPr="006F1CF6">
        <w:rPr>
          <w:rFonts w:ascii="Garamond" w:hAnsi="Garamond"/>
        </w:rPr>
        <w:t xml:space="preserve">” </w:t>
      </w:r>
      <w:proofErr w:type="spellStart"/>
      <w:r w:rsidRPr="006F1CF6">
        <w:rPr>
          <w:rFonts w:ascii="Garamond" w:hAnsi="Garamond"/>
        </w:rPr>
        <w:t>sh.a</w:t>
      </w:r>
      <w:proofErr w:type="spellEnd"/>
      <w:r w:rsidRPr="006F1CF6">
        <w:rPr>
          <w:rFonts w:ascii="Garamond" w:hAnsi="Garamond"/>
        </w:rPr>
        <w:t>. (</w:t>
      </w:r>
      <w:r w:rsidRPr="006F1CF6">
        <w:rPr>
          <w:rFonts w:ascii="Garamond" w:hAnsi="Garamond"/>
          <w:i/>
          <w:iCs/>
        </w:rPr>
        <w:t>kërkuesja</w:t>
      </w:r>
      <w:r w:rsidRPr="006F1CF6">
        <w:rPr>
          <w:rFonts w:ascii="Garamond" w:hAnsi="Garamond"/>
        </w:rPr>
        <w:t>), që ka kërkuar pranimin e kërkesës, prapësimet me shkrim të subjekteve të interesuara, Drejtorisë së Përgjithshme të Tatimeve (</w:t>
      </w:r>
      <w:proofErr w:type="spellStart"/>
      <w:r w:rsidRPr="006F1CF6">
        <w:rPr>
          <w:rFonts w:ascii="Garamond" w:hAnsi="Garamond"/>
          <w:i/>
          <w:iCs/>
        </w:rPr>
        <w:t>DPT</w:t>
      </w:r>
      <w:proofErr w:type="spellEnd"/>
      <w:r w:rsidRPr="006F1CF6">
        <w:rPr>
          <w:rFonts w:ascii="Garamond" w:hAnsi="Garamond"/>
        </w:rPr>
        <w:t>), Drejtorisë Rajonale Tatimore Tiranë (</w:t>
      </w:r>
      <w:proofErr w:type="spellStart"/>
      <w:r w:rsidRPr="006F1CF6">
        <w:rPr>
          <w:rFonts w:ascii="Garamond" w:hAnsi="Garamond"/>
          <w:i/>
          <w:iCs/>
        </w:rPr>
        <w:t>DRT</w:t>
      </w:r>
      <w:proofErr w:type="spellEnd"/>
      <w:r w:rsidRPr="006F1CF6">
        <w:rPr>
          <w:rFonts w:ascii="Garamond" w:hAnsi="Garamond"/>
        </w:rPr>
        <w:t xml:space="preserve">) dhe Avokaturës së Shtetit, që kanë kërkuar rrëzimin e kërkesës, si dhe diskutoi çështjen në tërësi, </w:t>
      </w:r>
    </w:p>
    <w:p w14:paraId="67D37D5B" w14:textId="77777777" w:rsidR="00294EFF" w:rsidRPr="006F1CF6" w:rsidRDefault="00294EFF" w:rsidP="00294EFF">
      <w:pPr>
        <w:spacing w:line="240" w:lineRule="auto"/>
        <w:ind w:firstLine="284"/>
        <w:jc w:val="center"/>
        <w:rPr>
          <w:rFonts w:ascii="Garamond" w:hAnsi="Garamond"/>
          <w:bCs/>
        </w:rPr>
      </w:pPr>
    </w:p>
    <w:p w14:paraId="377CED17" w14:textId="5D8E8ACA" w:rsidR="00294EFF" w:rsidRPr="006F1CF6" w:rsidRDefault="00294EFF" w:rsidP="00294EFF">
      <w:pPr>
        <w:spacing w:line="240" w:lineRule="auto"/>
        <w:ind w:firstLine="284"/>
        <w:jc w:val="center"/>
        <w:rPr>
          <w:rFonts w:ascii="Garamond" w:hAnsi="Garamond"/>
          <w:bCs/>
        </w:rPr>
      </w:pPr>
      <w:r w:rsidRPr="006F1CF6">
        <w:rPr>
          <w:rFonts w:ascii="Garamond" w:hAnsi="Garamond"/>
          <w:bCs/>
        </w:rPr>
        <w:t>VËREN:</w:t>
      </w:r>
    </w:p>
    <w:p w14:paraId="73324197" w14:textId="77777777" w:rsidR="00982594" w:rsidRPr="006F1CF6" w:rsidRDefault="00982594" w:rsidP="00294EFF">
      <w:pPr>
        <w:spacing w:line="240" w:lineRule="auto"/>
        <w:ind w:firstLine="284"/>
        <w:jc w:val="center"/>
        <w:rPr>
          <w:rFonts w:ascii="Garamond" w:hAnsi="Garamond"/>
          <w:bCs/>
        </w:rPr>
      </w:pPr>
    </w:p>
    <w:p w14:paraId="4EA06DD0" w14:textId="49D10825" w:rsidR="00294EFF" w:rsidRPr="006F1CF6" w:rsidRDefault="00294EFF" w:rsidP="00294EFF">
      <w:pPr>
        <w:spacing w:line="240" w:lineRule="auto"/>
        <w:ind w:firstLine="284"/>
        <w:jc w:val="center"/>
        <w:rPr>
          <w:rFonts w:ascii="Garamond" w:hAnsi="Garamond"/>
          <w:b/>
          <w:bCs/>
        </w:rPr>
      </w:pPr>
      <w:r w:rsidRPr="006F1CF6">
        <w:rPr>
          <w:rFonts w:ascii="Garamond" w:hAnsi="Garamond"/>
          <w:b/>
          <w:bCs/>
        </w:rPr>
        <w:t>I</w:t>
      </w:r>
    </w:p>
    <w:p w14:paraId="7BA191F6" w14:textId="6A0B2900" w:rsidR="00294EFF" w:rsidRPr="006F1CF6" w:rsidRDefault="00294EFF" w:rsidP="00294EFF">
      <w:pPr>
        <w:spacing w:line="240" w:lineRule="auto"/>
        <w:ind w:firstLine="284"/>
        <w:jc w:val="center"/>
        <w:rPr>
          <w:rFonts w:ascii="Garamond" w:hAnsi="Garamond"/>
          <w:b/>
          <w:bCs/>
        </w:rPr>
      </w:pPr>
      <w:r w:rsidRPr="006F1CF6">
        <w:rPr>
          <w:rFonts w:ascii="Garamond" w:hAnsi="Garamond"/>
          <w:b/>
          <w:bCs/>
        </w:rPr>
        <w:t>Rrethanat e çështjes</w:t>
      </w:r>
    </w:p>
    <w:p w14:paraId="4930DB9C" w14:textId="77777777" w:rsidR="00982594" w:rsidRPr="006F1CF6" w:rsidRDefault="00982594" w:rsidP="00294EFF">
      <w:pPr>
        <w:spacing w:line="240" w:lineRule="auto"/>
        <w:ind w:firstLine="284"/>
        <w:jc w:val="center"/>
        <w:rPr>
          <w:rFonts w:ascii="Garamond" w:hAnsi="Garamond"/>
          <w:bCs/>
        </w:rPr>
      </w:pPr>
    </w:p>
    <w:p w14:paraId="4DB6C0B7" w14:textId="71E2B975" w:rsidR="00294EFF" w:rsidRPr="006F1CF6" w:rsidRDefault="00294EFF" w:rsidP="00294EFF">
      <w:pPr>
        <w:pStyle w:val="ListParagraph"/>
        <w:tabs>
          <w:tab w:val="left" w:pos="980"/>
          <w:tab w:val="left" w:pos="1160"/>
        </w:tabs>
        <w:spacing w:line="240" w:lineRule="auto"/>
        <w:ind w:left="0" w:firstLine="284"/>
        <w:jc w:val="both"/>
        <w:rPr>
          <w:rFonts w:ascii="Garamond" w:hAnsi="Garamond"/>
        </w:rPr>
      </w:pPr>
      <w:r w:rsidRPr="006F1CF6">
        <w:rPr>
          <w:rFonts w:ascii="Garamond" w:hAnsi="Garamond"/>
        </w:rPr>
        <w:t>1. Kërkuesja ushtron aktivitetin tregtar “Bar-kafe” në Tiranë. Në datën 31.7.2011</w:t>
      </w:r>
      <w:r w:rsidR="006F1CF6">
        <w:rPr>
          <w:rFonts w:ascii="Garamond" w:hAnsi="Garamond"/>
        </w:rPr>
        <w:t>,</w:t>
      </w:r>
      <w:r w:rsidRPr="006F1CF6">
        <w:rPr>
          <w:rFonts w:ascii="Garamond" w:hAnsi="Garamond"/>
        </w:rPr>
        <w:t xml:space="preserve"> organet tatimore kanë ushtruar kontroll në ambientet e kërkueses dhe kanë konstatuar se shërbimi ofrohej për 100 tavolina dhe për to nuk ishin prerë kuponët tatimor. Për këtë shkelje, bazuar në nenin 122, shkronja “b”, </w:t>
      </w:r>
      <w:proofErr w:type="spellStart"/>
      <w:r w:rsidRPr="006F1CF6">
        <w:rPr>
          <w:rFonts w:ascii="Garamond" w:hAnsi="Garamond"/>
        </w:rPr>
        <w:t>nënparagrafi</w:t>
      </w:r>
      <w:proofErr w:type="spellEnd"/>
      <w:r w:rsidRPr="006F1CF6">
        <w:rPr>
          <w:rFonts w:ascii="Garamond" w:hAnsi="Garamond"/>
        </w:rPr>
        <w:t xml:space="preserve"> “</w:t>
      </w:r>
      <w:proofErr w:type="spellStart"/>
      <w:r w:rsidRPr="006F1CF6">
        <w:rPr>
          <w:rFonts w:ascii="Garamond" w:hAnsi="Garamond"/>
        </w:rPr>
        <w:t>ii</w:t>
      </w:r>
      <w:proofErr w:type="spellEnd"/>
      <w:r w:rsidRPr="006F1CF6">
        <w:rPr>
          <w:rFonts w:ascii="Garamond" w:hAnsi="Garamond"/>
        </w:rPr>
        <w:t>”, të ligjit nr. 9920, datë 19.5.2008</w:t>
      </w:r>
      <w:r w:rsidR="006F1CF6">
        <w:rPr>
          <w:rFonts w:ascii="Garamond" w:hAnsi="Garamond"/>
        </w:rPr>
        <w:t>,</w:t>
      </w:r>
      <w:r w:rsidRPr="006F1CF6">
        <w:rPr>
          <w:rFonts w:ascii="Garamond" w:hAnsi="Garamond"/>
        </w:rPr>
        <w:t xml:space="preserve"> “Për procedurat tatimore në Republikën e Shqipërisë”, të ndryshuar (</w:t>
      </w:r>
      <w:r w:rsidRPr="006F1CF6">
        <w:rPr>
          <w:rFonts w:ascii="Garamond" w:hAnsi="Garamond"/>
          <w:i/>
          <w:iCs/>
        </w:rPr>
        <w:t>Ligji për Procedurat Tatimore</w:t>
      </w:r>
      <w:r w:rsidRPr="006F1CF6">
        <w:rPr>
          <w:rFonts w:ascii="Garamond" w:hAnsi="Garamond"/>
        </w:rPr>
        <w:t>), kërkuesja është gjobitur me 30 000 000 lekë, që është llogaritur</w:t>
      </w:r>
      <w:r w:rsidR="006F1CF6">
        <w:rPr>
          <w:rFonts w:ascii="Garamond" w:hAnsi="Garamond"/>
        </w:rPr>
        <w:t xml:space="preserve"> </w:t>
      </w:r>
      <w:r w:rsidRPr="006F1CF6">
        <w:rPr>
          <w:rFonts w:ascii="Garamond" w:hAnsi="Garamond"/>
        </w:rPr>
        <w:t xml:space="preserve">300 000 lekë për çdo tavolinë. </w:t>
      </w:r>
    </w:p>
    <w:p w14:paraId="770BF8C1" w14:textId="52BF9239" w:rsidR="00294EFF" w:rsidRPr="006F1CF6" w:rsidRDefault="00294EFF" w:rsidP="00294EFF">
      <w:pPr>
        <w:pStyle w:val="ListParagraph"/>
        <w:tabs>
          <w:tab w:val="left" w:pos="980"/>
          <w:tab w:val="left" w:pos="1160"/>
        </w:tabs>
        <w:spacing w:line="240" w:lineRule="auto"/>
        <w:ind w:left="0" w:firstLine="284"/>
        <w:jc w:val="both"/>
        <w:rPr>
          <w:rFonts w:ascii="Garamond" w:hAnsi="Garamond"/>
        </w:rPr>
      </w:pPr>
      <w:r w:rsidRPr="006F1CF6">
        <w:rPr>
          <w:rFonts w:ascii="Garamond" w:hAnsi="Garamond"/>
        </w:rPr>
        <w:t>2. Kërkuesja e ka kundërshtuar masën e gjobës në rrugë administrative dhe gjyqësore. Fillimisht, Drejtoria e Apelimit Tatimor e ka lënë në fuqi gjobën, ndërsa Gjykata e Rrethit Gjyqësor Tiranë,</w:t>
      </w:r>
      <w:r w:rsidR="006F1CF6">
        <w:rPr>
          <w:rFonts w:ascii="Garamond" w:hAnsi="Garamond"/>
        </w:rPr>
        <w:t xml:space="preserve"> </w:t>
      </w:r>
      <w:r w:rsidRPr="006F1CF6">
        <w:rPr>
          <w:rFonts w:ascii="Garamond" w:hAnsi="Garamond"/>
        </w:rPr>
        <w:t xml:space="preserve">me vendimin nr. 9195, datë 8.10.2012, ka vendosur ndryshimin e masës së gjobës, duke e ulur në vlerën 300 000 lekë. Mbi apelin e subjektit të interesuar, </w:t>
      </w:r>
      <w:proofErr w:type="spellStart"/>
      <w:r w:rsidRPr="006F1CF6">
        <w:rPr>
          <w:rFonts w:ascii="Garamond" w:hAnsi="Garamond"/>
        </w:rPr>
        <w:t>DRT</w:t>
      </w:r>
      <w:proofErr w:type="spellEnd"/>
      <w:r w:rsidRPr="006F1CF6">
        <w:rPr>
          <w:rFonts w:ascii="Garamond" w:hAnsi="Garamond"/>
        </w:rPr>
        <w:t xml:space="preserve">-së, Gjykata Administrative e Apelit, </w:t>
      </w:r>
      <w:r w:rsidRPr="006F1CF6">
        <w:rPr>
          <w:rFonts w:ascii="Garamond" w:hAnsi="Garamond"/>
        </w:rPr>
        <w:lastRenderedPageBreak/>
        <w:t>me vendimin nr. 2062, datë 26.5.2014, ka vendosur prishjen e vendimit dhe kthimin e çështjes për rigjykim në gjykatën e shkallës së parë.</w:t>
      </w:r>
    </w:p>
    <w:p w14:paraId="215300DF" w14:textId="18C8A38C" w:rsidR="00294EFF" w:rsidRPr="006F1CF6" w:rsidRDefault="00294EFF" w:rsidP="00294EFF">
      <w:pPr>
        <w:pStyle w:val="ListParagraph"/>
        <w:tabs>
          <w:tab w:val="left" w:pos="980"/>
          <w:tab w:val="left" w:pos="1160"/>
        </w:tabs>
        <w:spacing w:line="240" w:lineRule="auto"/>
        <w:ind w:left="0" w:firstLine="284"/>
        <w:jc w:val="both"/>
        <w:rPr>
          <w:rFonts w:ascii="Garamond" w:hAnsi="Garamond"/>
        </w:rPr>
      </w:pPr>
      <w:r w:rsidRPr="006F1CF6">
        <w:rPr>
          <w:rFonts w:ascii="Garamond" w:hAnsi="Garamond"/>
        </w:rPr>
        <w:t xml:space="preserve">3. Në rigjykim, Gjykata Administrative e Shkallës së Parë Tiranë, me vendimin nr. 318, datë 2.2.2015, ka vendosur pranimin pjesërisht të padisë, duke e ulur vlerën e gjobës në 300 000 mijë lekë, me arsyetimin se organi tatimor kishte zbatuar gabim nenin 122, shkronja “b”, </w:t>
      </w:r>
      <w:proofErr w:type="spellStart"/>
      <w:r w:rsidRPr="006F1CF6">
        <w:rPr>
          <w:rFonts w:ascii="Garamond" w:hAnsi="Garamond"/>
        </w:rPr>
        <w:t>nënparagrafi</w:t>
      </w:r>
      <w:proofErr w:type="spellEnd"/>
      <w:r w:rsidRPr="006F1CF6">
        <w:rPr>
          <w:rFonts w:ascii="Garamond" w:hAnsi="Garamond"/>
        </w:rPr>
        <w:t xml:space="preserve"> “</w:t>
      </w:r>
      <w:proofErr w:type="spellStart"/>
      <w:r w:rsidRPr="006F1CF6">
        <w:rPr>
          <w:rFonts w:ascii="Garamond" w:hAnsi="Garamond"/>
        </w:rPr>
        <w:t>ii</w:t>
      </w:r>
      <w:proofErr w:type="spellEnd"/>
      <w:r w:rsidRPr="006F1CF6">
        <w:rPr>
          <w:rFonts w:ascii="Garamond" w:hAnsi="Garamond"/>
        </w:rPr>
        <w:t xml:space="preserve">”, të Ligjit për Procedurat Tatimore. Sipas asaj gjykate, bëhej fjalë vetëm për një shkelje të konstatuar, ndaj gjoba nuk mund të caktohej më shumë se 300 000 lekë. </w:t>
      </w:r>
    </w:p>
    <w:p w14:paraId="08552F20" w14:textId="6436E70E" w:rsidR="00294EFF" w:rsidRPr="006F1CF6" w:rsidRDefault="00294EFF" w:rsidP="00294EFF">
      <w:pPr>
        <w:pStyle w:val="ListParagraph"/>
        <w:tabs>
          <w:tab w:val="left" w:pos="980"/>
          <w:tab w:val="left" w:pos="1160"/>
        </w:tabs>
        <w:spacing w:line="240" w:lineRule="auto"/>
        <w:ind w:left="0" w:firstLine="284"/>
        <w:jc w:val="both"/>
        <w:rPr>
          <w:rFonts w:ascii="Garamond" w:hAnsi="Garamond"/>
        </w:rPr>
      </w:pPr>
      <w:r w:rsidRPr="006F1CF6">
        <w:rPr>
          <w:rFonts w:ascii="Garamond" w:hAnsi="Garamond"/>
        </w:rPr>
        <w:t xml:space="preserve">4. Mbi bazën e apeleve të paraqitura nga subjektet e interesuara, </w:t>
      </w:r>
      <w:proofErr w:type="spellStart"/>
      <w:r w:rsidRPr="006F1CF6">
        <w:rPr>
          <w:rFonts w:ascii="Garamond" w:hAnsi="Garamond"/>
        </w:rPr>
        <w:t>DRT</w:t>
      </w:r>
      <w:proofErr w:type="spellEnd"/>
      <w:r w:rsidRPr="006F1CF6">
        <w:rPr>
          <w:rFonts w:ascii="Garamond" w:hAnsi="Garamond"/>
        </w:rPr>
        <w:t xml:space="preserve">-ja dhe Avokatura e Shtetit, Gjykata Administrative e Apelit, me vendimin nr. 3014, datë 28.6.2017, ka vendosur ndryshimin e vendimit dhe rrëzimin e padisë. Sipas asaj gjykate, me të drejtë organi tatimor ka vendosur ta gjobisë kërkuesen në masën 30 000 000 lekë, pasi masa e gjobës llogaritet në 300 000 lekë për çdo rast të pashoqëruar me kupon tatimor, ndaj në rastin konkret masa llogaritej veçmas për 100 tavolina. </w:t>
      </w:r>
    </w:p>
    <w:p w14:paraId="46FD965F" w14:textId="7666A2BF" w:rsidR="00294EFF" w:rsidRPr="006F1CF6" w:rsidRDefault="00294EFF" w:rsidP="00294EFF">
      <w:pPr>
        <w:pStyle w:val="ListParagraph"/>
        <w:tabs>
          <w:tab w:val="left" w:pos="980"/>
          <w:tab w:val="left" w:pos="1160"/>
        </w:tabs>
        <w:spacing w:line="240" w:lineRule="auto"/>
        <w:ind w:left="0" w:firstLine="284"/>
        <w:jc w:val="both"/>
        <w:rPr>
          <w:rFonts w:ascii="Garamond" w:hAnsi="Garamond"/>
        </w:rPr>
      </w:pPr>
      <w:r w:rsidRPr="006F1CF6">
        <w:rPr>
          <w:rFonts w:ascii="Garamond" w:hAnsi="Garamond"/>
        </w:rPr>
        <w:t>5. Ndonëse kërkuesja ka paraqitur rekurs, Kolegji Administrativ i Gjykatës së Lartë, në dhomën e këshillimit, me vendimin nr. 00-2025-13, datë 14</w:t>
      </w:r>
      <w:r w:rsidR="007A59A9">
        <w:rPr>
          <w:rFonts w:ascii="Garamond" w:hAnsi="Garamond"/>
        </w:rPr>
        <w:t>.</w:t>
      </w:r>
      <w:r w:rsidRPr="006F1CF6">
        <w:rPr>
          <w:rFonts w:ascii="Garamond" w:hAnsi="Garamond"/>
        </w:rPr>
        <w:t>1.2025, ka vendosur mospranimin e rekursit, me arsyetimin se nuk përmbushte kërkesat e nenit 58</w:t>
      </w:r>
      <w:r w:rsidR="007A59A9">
        <w:rPr>
          <w:rFonts w:ascii="Garamond" w:hAnsi="Garamond"/>
        </w:rPr>
        <w:t>,</w:t>
      </w:r>
      <w:r w:rsidRPr="006F1CF6">
        <w:rPr>
          <w:rFonts w:ascii="Garamond" w:hAnsi="Garamond"/>
        </w:rPr>
        <w:t xml:space="preserve"> të ligjit nr. 49, datë 3.5.2012</w:t>
      </w:r>
      <w:r w:rsidR="006F1CF6">
        <w:rPr>
          <w:rFonts w:ascii="Garamond" w:hAnsi="Garamond"/>
        </w:rPr>
        <w:t>,</w:t>
      </w:r>
      <w:r w:rsidRPr="006F1CF6">
        <w:rPr>
          <w:rFonts w:ascii="Garamond" w:hAnsi="Garamond"/>
        </w:rPr>
        <w:t xml:space="preserve"> “Për gjykatat administrative dhe gjykimin e mosmarrëveshjeve administrative”, të ndryshuar (</w:t>
      </w:r>
      <w:r w:rsidRPr="006F1CF6">
        <w:rPr>
          <w:rFonts w:ascii="Garamond" w:hAnsi="Garamond"/>
          <w:i/>
          <w:iCs/>
        </w:rPr>
        <w:t>Ligji për Gjykatat Administrative</w:t>
      </w:r>
      <w:r w:rsidRPr="006F1CF6">
        <w:rPr>
          <w:rFonts w:ascii="Garamond" w:hAnsi="Garamond"/>
        </w:rPr>
        <w:t>).</w:t>
      </w:r>
      <w:r w:rsidR="006F1CF6">
        <w:rPr>
          <w:rFonts w:ascii="Garamond" w:hAnsi="Garamond"/>
        </w:rPr>
        <w:t xml:space="preserve"> </w:t>
      </w:r>
    </w:p>
    <w:p w14:paraId="542D01AC" w14:textId="1B5034DD" w:rsidR="00294EFF" w:rsidRPr="006F1CF6" w:rsidRDefault="00294EFF" w:rsidP="00294EFF">
      <w:pPr>
        <w:pStyle w:val="ListParagraph"/>
        <w:tabs>
          <w:tab w:val="left" w:pos="980"/>
          <w:tab w:val="left" w:pos="1160"/>
        </w:tabs>
        <w:spacing w:line="240" w:lineRule="auto"/>
        <w:ind w:left="0" w:firstLine="284"/>
        <w:jc w:val="both"/>
        <w:rPr>
          <w:rFonts w:ascii="Garamond" w:hAnsi="Garamond"/>
        </w:rPr>
      </w:pPr>
      <w:r w:rsidRPr="006F1CF6">
        <w:rPr>
          <w:rFonts w:ascii="Garamond" w:hAnsi="Garamond"/>
        </w:rPr>
        <w:t>6. Në datën 15.4.2025</w:t>
      </w:r>
      <w:r w:rsidR="006F1CF6">
        <w:rPr>
          <w:rFonts w:ascii="Garamond" w:hAnsi="Garamond"/>
        </w:rPr>
        <w:t>,</w:t>
      </w:r>
      <w:r w:rsidRPr="006F1CF6">
        <w:rPr>
          <w:rFonts w:ascii="Garamond" w:hAnsi="Garamond"/>
        </w:rPr>
        <w:t xml:space="preserve"> kërkuesja i është drejtuar Gjykatës Kushtetuese </w:t>
      </w:r>
      <w:r w:rsidRPr="006F1CF6">
        <w:rPr>
          <w:rFonts w:ascii="Garamond" w:hAnsi="Garamond"/>
          <w:i/>
          <w:iCs/>
        </w:rPr>
        <w:t>(Gjykata)</w:t>
      </w:r>
      <w:r w:rsidRPr="006F1CF6">
        <w:rPr>
          <w:rFonts w:ascii="Garamond" w:hAnsi="Garamond"/>
        </w:rPr>
        <w:t xml:space="preserve"> me ankim kushtetues individual, sipas objektit, i cili, pasi është plotësuar në përputhje me parashikimet ligjore, është regjistruar në datën 22.4.2025. Kolegji i Gjykatës, me vendimin e datës 27.5.2025, ka vendosur kalimin e çështjes për shqyrtim në seancë plenare mbi bazë të dokumenteve. </w:t>
      </w:r>
    </w:p>
    <w:p w14:paraId="5DA5FA8D" w14:textId="77777777" w:rsidR="00294EFF" w:rsidRPr="006F1CF6" w:rsidRDefault="00294EFF" w:rsidP="00294EFF">
      <w:pPr>
        <w:tabs>
          <w:tab w:val="left" w:pos="1080"/>
          <w:tab w:val="center" w:pos="4500"/>
          <w:tab w:val="left" w:pos="6240"/>
        </w:tabs>
        <w:spacing w:line="240" w:lineRule="auto"/>
        <w:ind w:firstLine="284"/>
        <w:rPr>
          <w:rFonts w:ascii="Garamond" w:hAnsi="Garamond"/>
          <w:b/>
          <w:bCs/>
        </w:rPr>
      </w:pPr>
    </w:p>
    <w:p w14:paraId="4389CF9C" w14:textId="77777777" w:rsidR="00294EFF" w:rsidRPr="006F1CF6" w:rsidRDefault="00294EFF" w:rsidP="00294EFF">
      <w:pPr>
        <w:pStyle w:val="BodyTextIndent2"/>
        <w:tabs>
          <w:tab w:val="left" w:pos="980"/>
        </w:tabs>
        <w:spacing w:line="240" w:lineRule="auto"/>
        <w:ind w:left="0" w:firstLine="284"/>
        <w:jc w:val="center"/>
        <w:rPr>
          <w:rFonts w:ascii="Garamond" w:hAnsi="Garamond"/>
        </w:rPr>
      </w:pPr>
      <w:proofErr w:type="spellStart"/>
      <w:r w:rsidRPr="006F1CF6">
        <w:rPr>
          <w:rFonts w:ascii="Garamond" w:hAnsi="Garamond"/>
        </w:rPr>
        <w:t>II</w:t>
      </w:r>
      <w:proofErr w:type="spellEnd"/>
    </w:p>
    <w:p w14:paraId="18EE6C17" w14:textId="77777777" w:rsidR="00294EFF" w:rsidRPr="006F1CF6" w:rsidRDefault="00294EFF" w:rsidP="00294EFF">
      <w:pPr>
        <w:pStyle w:val="BodyTextIndent2"/>
        <w:tabs>
          <w:tab w:val="left" w:pos="980"/>
        </w:tabs>
        <w:spacing w:line="240" w:lineRule="auto"/>
        <w:ind w:left="0" w:firstLine="284"/>
        <w:jc w:val="center"/>
        <w:rPr>
          <w:rFonts w:ascii="Garamond" w:hAnsi="Garamond"/>
        </w:rPr>
      </w:pPr>
      <w:r w:rsidRPr="006F1CF6">
        <w:rPr>
          <w:rFonts w:ascii="Garamond" w:hAnsi="Garamond"/>
        </w:rPr>
        <w:t>Pretendimet në Gjykatën Kushtetuese</w:t>
      </w:r>
    </w:p>
    <w:p w14:paraId="08C3E6C2" w14:textId="77777777" w:rsidR="00982594" w:rsidRPr="006F1CF6" w:rsidRDefault="00982594" w:rsidP="00294EFF">
      <w:pPr>
        <w:pStyle w:val="BodyTextIndent2"/>
        <w:tabs>
          <w:tab w:val="left" w:pos="1080"/>
        </w:tabs>
        <w:spacing w:line="240" w:lineRule="auto"/>
        <w:ind w:left="0" w:firstLine="284"/>
        <w:rPr>
          <w:rFonts w:ascii="Garamond" w:hAnsi="Garamond"/>
          <w:i/>
          <w:iCs/>
        </w:rPr>
      </w:pPr>
    </w:p>
    <w:p w14:paraId="53D834BE" w14:textId="406F4C03"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i/>
          <w:iCs/>
        </w:rPr>
        <w:t>7. Kërkuesja</w:t>
      </w:r>
      <w:r w:rsidRPr="006F1CF6">
        <w:rPr>
          <w:rFonts w:ascii="Garamond" w:hAnsi="Garamond"/>
          <w:b w:val="0"/>
          <w:bCs/>
          <w:i/>
          <w:iCs/>
        </w:rPr>
        <w:t>,</w:t>
      </w:r>
      <w:r w:rsidRPr="006F1CF6">
        <w:rPr>
          <w:rFonts w:ascii="Garamond" w:hAnsi="Garamond"/>
          <w:b w:val="0"/>
          <w:bCs/>
        </w:rPr>
        <w:t xml:space="preserve"> në mënyrë të përmbledhur, ka pretenduar se nga vendimi i Gjykatës së Lartë i janë cenuar:</w:t>
      </w:r>
    </w:p>
    <w:p w14:paraId="286C3597" w14:textId="6F08BE9A" w:rsidR="00294EFF" w:rsidRPr="006F1CF6" w:rsidRDefault="00294EFF" w:rsidP="00294EFF">
      <w:pPr>
        <w:pStyle w:val="BodyTextIndent2"/>
        <w:tabs>
          <w:tab w:val="left" w:pos="1260"/>
        </w:tabs>
        <w:spacing w:line="240" w:lineRule="auto"/>
        <w:ind w:left="0" w:firstLine="284"/>
        <w:rPr>
          <w:rFonts w:ascii="Garamond" w:hAnsi="Garamond"/>
          <w:b w:val="0"/>
          <w:bCs/>
          <w:i/>
          <w:iCs/>
        </w:rPr>
      </w:pPr>
      <w:r w:rsidRPr="006F1CF6">
        <w:rPr>
          <w:rFonts w:ascii="Garamond" w:hAnsi="Garamond"/>
          <w:b w:val="0"/>
          <w:bCs/>
        </w:rPr>
        <w:t xml:space="preserve">7.1 </w:t>
      </w:r>
      <w:r w:rsidRPr="006F1CF6">
        <w:rPr>
          <w:rFonts w:ascii="Garamond" w:hAnsi="Garamond"/>
          <w:b w:val="0"/>
          <w:bCs/>
          <w:i/>
          <w:iCs/>
        </w:rPr>
        <w:t>E drejta për proces të rregullt ligjor</w:t>
      </w:r>
      <w:r w:rsidRPr="006F1CF6">
        <w:rPr>
          <w:rFonts w:ascii="Garamond" w:hAnsi="Garamond"/>
          <w:b w:val="0"/>
          <w:bCs/>
        </w:rPr>
        <w:t>, e garantuar nga neni 42 i Kushtetutës, në aspektet e mëposhtme:</w:t>
      </w:r>
    </w:p>
    <w:p w14:paraId="5A50B027" w14:textId="3D84FC40" w:rsidR="00294EFF" w:rsidRPr="006F1CF6" w:rsidRDefault="00294EFF" w:rsidP="00294EFF">
      <w:pPr>
        <w:pStyle w:val="BodyTextIndent2"/>
        <w:tabs>
          <w:tab w:val="left" w:pos="980"/>
          <w:tab w:val="left" w:pos="1980"/>
        </w:tabs>
        <w:spacing w:line="240" w:lineRule="auto"/>
        <w:ind w:left="0" w:firstLine="284"/>
        <w:rPr>
          <w:rFonts w:ascii="Garamond" w:hAnsi="Garamond"/>
          <w:b w:val="0"/>
          <w:bCs/>
          <w:i/>
          <w:iCs/>
        </w:rPr>
      </w:pPr>
      <w:r w:rsidRPr="006F1CF6">
        <w:rPr>
          <w:rFonts w:ascii="Garamond" w:hAnsi="Garamond"/>
          <w:b w:val="0"/>
          <w:bCs/>
        </w:rPr>
        <w:t xml:space="preserve">7.1.1 </w:t>
      </w:r>
      <w:r w:rsidRPr="006F1CF6">
        <w:rPr>
          <w:rFonts w:ascii="Garamond" w:hAnsi="Garamond"/>
          <w:b w:val="0"/>
          <w:bCs/>
          <w:i/>
          <w:iCs/>
        </w:rPr>
        <w:t xml:space="preserve">E drejta e </w:t>
      </w:r>
      <w:proofErr w:type="spellStart"/>
      <w:r w:rsidRPr="006F1CF6">
        <w:rPr>
          <w:rFonts w:ascii="Garamond" w:hAnsi="Garamond"/>
          <w:b w:val="0"/>
          <w:bCs/>
          <w:i/>
          <w:iCs/>
        </w:rPr>
        <w:t>aksesit</w:t>
      </w:r>
      <w:proofErr w:type="spellEnd"/>
      <w:r w:rsidRPr="006F1CF6">
        <w:rPr>
          <w:rFonts w:ascii="Garamond" w:hAnsi="Garamond"/>
          <w:b w:val="0"/>
          <w:bCs/>
          <w:i/>
          <w:iCs/>
        </w:rPr>
        <w:t xml:space="preserve"> substancial, </w:t>
      </w:r>
      <w:r w:rsidRPr="006F1CF6">
        <w:rPr>
          <w:rFonts w:ascii="Garamond" w:hAnsi="Garamond"/>
          <w:b w:val="0"/>
          <w:bCs/>
        </w:rPr>
        <w:t xml:space="preserve">pasi kërkueses nuk i është kthyer përgjigje për pretendimet e ngritura në rekurs që lidheshin me zbatimin e gabuar të ligjit material dhe mosrespektimin e praktikës gjyqësore nga gjykata e apelit. </w:t>
      </w:r>
    </w:p>
    <w:p w14:paraId="6482C140" w14:textId="31CE0914" w:rsidR="00294EFF" w:rsidRPr="006F1CF6" w:rsidRDefault="00294EFF" w:rsidP="00294EFF">
      <w:pPr>
        <w:pStyle w:val="BodyTextIndent2"/>
        <w:tabs>
          <w:tab w:val="left" w:pos="980"/>
          <w:tab w:val="left" w:pos="1800"/>
          <w:tab w:val="left" w:pos="2340"/>
        </w:tabs>
        <w:spacing w:line="240" w:lineRule="auto"/>
        <w:ind w:left="0" w:firstLine="284"/>
        <w:rPr>
          <w:rFonts w:ascii="Garamond" w:hAnsi="Garamond"/>
          <w:b w:val="0"/>
          <w:bCs/>
          <w:i/>
          <w:iCs/>
        </w:rPr>
      </w:pPr>
      <w:r w:rsidRPr="006F1CF6">
        <w:rPr>
          <w:rFonts w:ascii="Garamond" w:hAnsi="Garamond"/>
          <w:b w:val="0"/>
          <w:bCs/>
        </w:rPr>
        <w:t xml:space="preserve">7.1.2 </w:t>
      </w:r>
      <w:r w:rsidRPr="006F1CF6">
        <w:rPr>
          <w:rFonts w:ascii="Garamond" w:hAnsi="Garamond"/>
          <w:b w:val="0"/>
          <w:bCs/>
          <w:i/>
          <w:iCs/>
        </w:rPr>
        <w:t xml:space="preserve">Parimi i sigurisë juridike, </w:t>
      </w:r>
      <w:r w:rsidRPr="006F1CF6">
        <w:rPr>
          <w:rFonts w:ascii="Garamond" w:hAnsi="Garamond"/>
          <w:b w:val="0"/>
          <w:bCs/>
        </w:rPr>
        <w:t xml:space="preserve">pasi kërkuesja kishte pritshmëri të ligjshme nisur nga jurisprudenca e Gjykatës së Lartë në raste të ngjashme. </w:t>
      </w:r>
    </w:p>
    <w:p w14:paraId="073CA279" w14:textId="57B112F3" w:rsidR="00294EFF" w:rsidRPr="006F1CF6" w:rsidRDefault="00294EFF" w:rsidP="00294EFF">
      <w:pPr>
        <w:pStyle w:val="BodyTextIndent2"/>
        <w:tabs>
          <w:tab w:val="left" w:pos="1980"/>
        </w:tabs>
        <w:spacing w:line="240" w:lineRule="auto"/>
        <w:ind w:left="0" w:firstLine="284"/>
        <w:rPr>
          <w:rFonts w:ascii="Garamond" w:hAnsi="Garamond"/>
          <w:b w:val="0"/>
          <w:bCs/>
          <w:i/>
          <w:iCs/>
        </w:rPr>
      </w:pPr>
      <w:r w:rsidRPr="006F1CF6">
        <w:rPr>
          <w:rFonts w:ascii="Garamond" w:hAnsi="Garamond"/>
          <w:b w:val="0"/>
          <w:bCs/>
        </w:rPr>
        <w:t xml:space="preserve">7.1.3 </w:t>
      </w:r>
      <w:r w:rsidRPr="006F1CF6">
        <w:rPr>
          <w:rFonts w:ascii="Garamond" w:hAnsi="Garamond"/>
          <w:b w:val="0"/>
          <w:bCs/>
          <w:i/>
          <w:iCs/>
        </w:rPr>
        <w:t>Standardi i arsyetimit të vendimit gjyqësor</w:t>
      </w:r>
      <w:r w:rsidRPr="006F1CF6">
        <w:rPr>
          <w:rFonts w:ascii="Garamond" w:hAnsi="Garamond"/>
          <w:b w:val="0"/>
          <w:bCs/>
        </w:rPr>
        <w:t>, pasi Gjykata e Lartë, si gjykatë ligji, duhet të interpretonte nenin 122 të Ligjit për Procedurat Tatimore, në kushtet kur gjykatat më të ulëta kanë mbajtur qëndrime të ndryshme për zbatimin e këtij neni.</w:t>
      </w:r>
      <w:r w:rsidR="006F1CF6">
        <w:rPr>
          <w:rFonts w:ascii="Garamond" w:hAnsi="Garamond"/>
          <w:b w:val="0"/>
          <w:bCs/>
        </w:rPr>
        <w:t xml:space="preserve"> </w:t>
      </w:r>
    </w:p>
    <w:p w14:paraId="3C31B6DA" w14:textId="5B77F867" w:rsidR="00294EFF" w:rsidRPr="006F1CF6" w:rsidRDefault="00294EFF" w:rsidP="00294EFF">
      <w:pPr>
        <w:pStyle w:val="BodyTextIndent2"/>
        <w:tabs>
          <w:tab w:val="left" w:pos="1260"/>
        </w:tabs>
        <w:spacing w:line="240" w:lineRule="auto"/>
        <w:ind w:left="0" w:firstLine="284"/>
        <w:rPr>
          <w:rFonts w:ascii="Garamond" w:hAnsi="Garamond"/>
          <w:b w:val="0"/>
          <w:bCs/>
        </w:rPr>
      </w:pPr>
      <w:r w:rsidRPr="006F1CF6">
        <w:rPr>
          <w:rFonts w:ascii="Garamond" w:hAnsi="Garamond"/>
          <w:b w:val="0"/>
          <w:bCs/>
        </w:rPr>
        <w:t>7.2</w:t>
      </w:r>
      <w:r w:rsidR="006F1CF6">
        <w:rPr>
          <w:rFonts w:ascii="Garamond" w:hAnsi="Garamond"/>
          <w:b w:val="0"/>
          <w:bCs/>
        </w:rPr>
        <w:t xml:space="preserve"> </w:t>
      </w:r>
      <w:r w:rsidRPr="006F1CF6">
        <w:rPr>
          <w:rFonts w:ascii="Garamond" w:hAnsi="Garamond"/>
          <w:b w:val="0"/>
          <w:bCs/>
          <w:i/>
          <w:iCs/>
        </w:rPr>
        <w:t xml:space="preserve">Parimi i barazisë përpara ligjit dhe i </w:t>
      </w:r>
      <w:proofErr w:type="spellStart"/>
      <w:r w:rsidRPr="006F1CF6">
        <w:rPr>
          <w:rFonts w:ascii="Garamond" w:hAnsi="Garamond"/>
          <w:b w:val="0"/>
          <w:bCs/>
          <w:i/>
          <w:iCs/>
        </w:rPr>
        <w:t>mosdiskriminimit</w:t>
      </w:r>
      <w:proofErr w:type="spellEnd"/>
      <w:r w:rsidRPr="006F1CF6">
        <w:rPr>
          <w:rFonts w:ascii="Garamond" w:hAnsi="Garamond"/>
          <w:b w:val="0"/>
          <w:bCs/>
          <w:i/>
          <w:iCs/>
        </w:rPr>
        <w:t xml:space="preserve">, </w:t>
      </w:r>
      <w:r w:rsidRPr="006F1CF6">
        <w:rPr>
          <w:rFonts w:ascii="Garamond" w:hAnsi="Garamond"/>
          <w:b w:val="0"/>
          <w:bCs/>
        </w:rPr>
        <w:t xml:space="preserve">i garantuar nga neni 18 i Kushtetutës, pasi Gjykata e Lartë, në raport me raste të tjera, ka dhënë vendim diametralisht të kundërt për kërkuesen, duke e vendosur atë në një pozitë të ndryshme nga subjektet e tjera që kanë përfituar nga vendimmarrja pozitive e Gjykatës së Lartë. </w:t>
      </w:r>
    </w:p>
    <w:p w14:paraId="5A409A31" w14:textId="7A94457D" w:rsidR="00294EFF" w:rsidRPr="006F1CF6" w:rsidRDefault="00294EFF" w:rsidP="00294EFF">
      <w:pPr>
        <w:pStyle w:val="BodyTextIndent2"/>
        <w:tabs>
          <w:tab w:val="left" w:pos="1260"/>
        </w:tabs>
        <w:spacing w:line="240" w:lineRule="auto"/>
        <w:ind w:left="0" w:firstLine="284"/>
        <w:rPr>
          <w:rFonts w:ascii="Garamond" w:hAnsi="Garamond"/>
          <w:b w:val="0"/>
          <w:bCs/>
          <w:i/>
          <w:iCs/>
        </w:rPr>
      </w:pPr>
      <w:r w:rsidRPr="006F1CF6">
        <w:rPr>
          <w:rFonts w:ascii="Garamond" w:hAnsi="Garamond"/>
          <w:b w:val="0"/>
          <w:bCs/>
        </w:rPr>
        <w:t xml:space="preserve">7.3 </w:t>
      </w:r>
      <w:r w:rsidRPr="006F1CF6">
        <w:rPr>
          <w:rFonts w:ascii="Garamond" w:hAnsi="Garamond"/>
          <w:b w:val="0"/>
          <w:bCs/>
          <w:i/>
          <w:iCs/>
        </w:rPr>
        <w:t xml:space="preserve">E drejta e pronës private </w:t>
      </w:r>
      <w:r w:rsidRPr="006F1CF6">
        <w:rPr>
          <w:rFonts w:ascii="Garamond" w:hAnsi="Garamond"/>
          <w:b w:val="0"/>
          <w:bCs/>
        </w:rPr>
        <w:t>në aspektin procedural, e garantuar nga neni 41 i Kushtetutës, pasi Gjykata e Lartë ka krijuar pasiguri juridike për kërkuesen për të rimarrë shumën e paguar të gjobës tatimore.</w:t>
      </w:r>
    </w:p>
    <w:p w14:paraId="7B683133" w14:textId="337C5D13"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8. </w:t>
      </w:r>
      <w:r w:rsidRPr="006F1CF6">
        <w:rPr>
          <w:rFonts w:ascii="Garamond" w:hAnsi="Garamond"/>
          <w:b w:val="0"/>
          <w:i/>
          <w:iCs/>
        </w:rPr>
        <w:t xml:space="preserve">Subjektet e interesuara, </w:t>
      </w:r>
      <w:proofErr w:type="spellStart"/>
      <w:r w:rsidRPr="006F1CF6">
        <w:rPr>
          <w:rFonts w:ascii="Garamond" w:hAnsi="Garamond"/>
          <w:b w:val="0"/>
          <w:i/>
          <w:iCs/>
        </w:rPr>
        <w:t>DPT</w:t>
      </w:r>
      <w:proofErr w:type="spellEnd"/>
      <w:r w:rsidRPr="006F1CF6">
        <w:rPr>
          <w:rFonts w:ascii="Garamond" w:hAnsi="Garamond"/>
          <w:b w:val="0"/>
          <w:i/>
          <w:iCs/>
        </w:rPr>
        <w:t xml:space="preserve">-ja dhe </w:t>
      </w:r>
      <w:proofErr w:type="spellStart"/>
      <w:r w:rsidRPr="006F1CF6">
        <w:rPr>
          <w:rFonts w:ascii="Garamond" w:hAnsi="Garamond"/>
          <w:b w:val="0"/>
          <w:i/>
          <w:iCs/>
        </w:rPr>
        <w:t>DRT</w:t>
      </w:r>
      <w:proofErr w:type="spellEnd"/>
      <w:r w:rsidRPr="006F1CF6">
        <w:rPr>
          <w:rFonts w:ascii="Garamond" w:hAnsi="Garamond"/>
          <w:b w:val="0"/>
          <w:i/>
          <w:iCs/>
        </w:rPr>
        <w:t>-ja</w:t>
      </w:r>
      <w:r w:rsidRPr="006F1CF6">
        <w:rPr>
          <w:rFonts w:ascii="Garamond" w:hAnsi="Garamond"/>
          <w:b w:val="0"/>
          <w:bCs/>
          <w:i/>
          <w:iCs/>
        </w:rPr>
        <w:t xml:space="preserve">, </w:t>
      </w:r>
      <w:r w:rsidRPr="006F1CF6">
        <w:rPr>
          <w:rFonts w:ascii="Garamond" w:hAnsi="Garamond"/>
          <w:b w:val="0"/>
          <w:bCs/>
        </w:rPr>
        <w:t>kanë paraqitur të njëjtat argumente, duke prapësuar, në mënyrë të përmbledhur, se:</w:t>
      </w:r>
    </w:p>
    <w:p w14:paraId="673464D7" w14:textId="24816814" w:rsidR="00294EFF" w:rsidRPr="006F1CF6" w:rsidRDefault="00294EFF" w:rsidP="00294EFF">
      <w:pPr>
        <w:pStyle w:val="BodyTextIndent2"/>
        <w:tabs>
          <w:tab w:val="left" w:pos="1260"/>
        </w:tabs>
        <w:spacing w:line="240" w:lineRule="auto"/>
        <w:ind w:left="0" w:firstLine="284"/>
        <w:rPr>
          <w:rFonts w:ascii="Garamond" w:hAnsi="Garamond"/>
          <w:b w:val="0"/>
          <w:bCs/>
        </w:rPr>
      </w:pPr>
      <w:r w:rsidRPr="006F1CF6">
        <w:rPr>
          <w:rFonts w:ascii="Garamond" w:hAnsi="Garamond"/>
          <w:b w:val="0"/>
          <w:bCs/>
        </w:rPr>
        <w:t xml:space="preserve">8.1 Pretendimi për cenimin e </w:t>
      </w:r>
      <w:r w:rsidRPr="006F1CF6">
        <w:rPr>
          <w:rFonts w:ascii="Garamond" w:hAnsi="Garamond"/>
          <w:b w:val="0"/>
          <w:bCs/>
          <w:i/>
          <w:iCs/>
        </w:rPr>
        <w:t>së drejtës për proces të rregullt ligjor</w:t>
      </w:r>
      <w:r w:rsidRPr="006F1CF6">
        <w:rPr>
          <w:rFonts w:ascii="Garamond" w:hAnsi="Garamond"/>
          <w:b w:val="0"/>
          <w:bCs/>
        </w:rPr>
        <w:t xml:space="preserve"> nuk qëndron, pasi:</w:t>
      </w:r>
    </w:p>
    <w:p w14:paraId="600D7AEC" w14:textId="52CF937C" w:rsidR="00294EFF" w:rsidRPr="006F1CF6" w:rsidRDefault="00294EFF" w:rsidP="00294EFF">
      <w:pPr>
        <w:pStyle w:val="BodyTextIndent2"/>
        <w:tabs>
          <w:tab w:val="left" w:pos="1440"/>
          <w:tab w:val="left" w:pos="1520"/>
        </w:tabs>
        <w:spacing w:line="240" w:lineRule="auto"/>
        <w:ind w:left="0" w:firstLine="284"/>
        <w:rPr>
          <w:rFonts w:ascii="Garamond" w:hAnsi="Garamond"/>
          <w:b w:val="0"/>
          <w:bCs/>
        </w:rPr>
      </w:pPr>
      <w:r w:rsidRPr="006F1CF6">
        <w:rPr>
          <w:rFonts w:ascii="Garamond" w:hAnsi="Garamond"/>
          <w:b w:val="0"/>
          <w:bCs/>
        </w:rPr>
        <w:t xml:space="preserve">8.1.1 Nuk ka një vendim </w:t>
      </w:r>
      <w:proofErr w:type="spellStart"/>
      <w:r w:rsidRPr="006F1CF6">
        <w:rPr>
          <w:rFonts w:ascii="Garamond" w:hAnsi="Garamond"/>
          <w:b w:val="0"/>
          <w:bCs/>
        </w:rPr>
        <w:t>unifikues</w:t>
      </w:r>
      <w:proofErr w:type="spellEnd"/>
      <w:r w:rsidRPr="006F1CF6">
        <w:rPr>
          <w:rFonts w:ascii="Garamond" w:hAnsi="Garamond"/>
          <w:b w:val="0"/>
          <w:bCs/>
        </w:rPr>
        <w:t xml:space="preserve"> ose njësues të Gjykatës së Lartë për kuptimin e nenit 122 të</w:t>
      </w:r>
      <w:r w:rsidR="006F1CF6">
        <w:rPr>
          <w:rFonts w:ascii="Garamond" w:hAnsi="Garamond"/>
          <w:b w:val="0"/>
          <w:bCs/>
        </w:rPr>
        <w:t xml:space="preserve"> </w:t>
      </w:r>
      <w:r w:rsidRPr="006F1CF6">
        <w:rPr>
          <w:rFonts w:ascii="Garamond" w:hAnsi="Garamond"/>
          <w:b w:val="0"/>
          <w:bCs/>
        </w:rPr>
        <w:t xml:space="preserve">Ligjit për Procedurat Tatimore, që t’i krijonte kërkueses pritshmëri të ligjshme. Vendimet e referuara nga kërkuesja kanë të bëjnë me fakte të ndryshme dhe mënyra e zgjidhjes së çështjes dhe </w:t>
      </w:r>
      <w:r w:rsidRPr="006F1CF6">
        <w:rPr>
          <w:rFonts w:ascii="Garamond" w:hAnsi="Garamond"/>
          <w:b w:val="0"/>
          <w:bCs/>
        </w:rPr>
        <w:lastRenderedPageBreak/>
        <w:t xml:space="preserve">e zbatimit të ligjit nuk hyn në juridiksionin kushtetues, ndaj janë të pabazuara argumentet për cenimin e </w:t>
      </w:r>
      <w:r w:rsidRPr="006F1CF6">
        <w:rPr>
          <w:rFonts w:ascii="Garamond" w:hAnsi="Garamond"/>
          <w:b w:val="0"/>
          <w:bCs/>
          <w:i/>
          <w:iCs/>
        </w:rPr>
        <w:t>parimit të sigurisë juridike</w:t>
      </w:r>
      <w:r w:rsidRPr="006F1CF6">
        <w:rPr>
          <w:rFonts w:ascii="Garamond" w:hAnsi="Garamond"/>
          <w:b w:val="0"/>
          <w:bCs/>
        </w:rPr>
        <w:t xml:space="preserve">. </w:t>
      </w:r>
    </w:p>
    <w:p w14:paraId="0031A261" w14:textId="117D47BF" w:rsidR="00294EFF" w:rsidRPr="006F1CF6" w:rsidRDefault="00294EFF" w:rsidP="00294EFF">
      <w:pPr>
        <w:pStyle w:val="BodyTextIndent2"/>
        <w:tabs>
          <w:tab w:val="left" w:pos="1440"/>
        </w:tabs>
        <w:spacing w:line="240" w:lineRule="auto"/>
        <w:ind w:left="0" w:firstLine="284"/>
        <w:rPr>
          <w:rFonts w:ascii="Garamond" w:hAnsi="Garamond"/>
          <w:b w:val="0"/>
          <w:bCs/>
        </w:rPr>
      </w:pPr>
      <w:r w:rsidRPr="006F1CF6">
        <w:rPr>
          <w:rFonts w:ascii="Garamond" w:hAnsi="Garamond"/>
          <w:b w:val="0"/>
          <w:bCs/>
        </w:rPr>
        <w:t xml:space="preserve">8.1.2 Gjykata e Lartë ka argumentuar në mënyrë të qartë arsyet e mospranimit të rekursit dhe vendimi i saj plotëson </w:t>
      </w:r>
      <w:r w:rsidRPr="006F1CF6">
        <w:rPr>
          <w:rFonts w:ascii="Garamond" w:hAnsi="Garamond"/>
          <w:b w:val="0"/>
          <w:bCs/>
          <w:i/>
          <w:iCs/>
        </w:rPr>
        <w:t>standardet kushtetuese të arsyetimit</w:t>
      </w:r>
      <w:r w:rsidRPr="006F1CF6">
        <w:rPr>
          <w:rFonts w:ascii="Garamond" w:hAnsi="Garamond"/>
          <w:b w:val="0"/>
          <w:bCs/>
        </w:rPr>
        <w:t>, rrjedhimisht nuk ka cenim të këtyre standardeve.</w:t>
      </w:r>
    </w:p>
    <w:p w14:paraId="0B2F1345" w14:textId="0E363458" w:rsidR="00294EFF" w:rsidRPr="006F1CF6" w:rsidRDefault="00294EFF" w:rsidP="00294EFF">
      <w:pPr>
        <w:pStyle w:val="BodyTextIndent2"/>
        <w:tabs>
          <w:tab w:val="left" w:pos="1260"/>
        </w:tabs>
        <w:spacing w:line="240" w:lineRule="auto"/>
        <w:ind w:left="0" w:firstLine="284"/>
        <w:rPr>
          <w:rFonts w:ascii="Garamond" w:hAnsi="Garamond"/>
          <w:b w:val="0"/>
          <w:bCs/>
        </w:rPr>
      </w:pPr>
      <w:r w:rsidRPr="006F1CF6">
        <w:rPr>
          <w:rFonts w:ascii="Garamond" w:hAnsi="Garamond"/>
          <w:b w:val="0"/>
          <w:bCs/>
        </w:rPr>
        <w:t xml:space="preserve">8.2 Pretendimi për cenimin e </w:t>
      </w:r>
      <w:r w:rsidRPr="006F1CF6">
        <w:rPr>
          <w:rFonts w:ascii="Garamond" w:hAnsi="Garamond"/>
          <w:b w:val="0"/>
          <w:bCs/>
          <w:i/>
          <w:iCs/>
        </w:rPr>
        <w:t xml:space="preserve">parimit të barazisë përpara ligjit dhe të </w:t>
      </w:r>
      <w:proofErr w:type="spellStart"/>
      <w:r w:rsidRPr="006F1CF6">
        <w:rPr>
          <w:rFonts w:ascii="Garamond" w:hAnsi="Garamond"/>
          <w:b w:val="0"/>
          <w:bCs/>
          <w:i/>
          <w:iCs/>
        </w:rPr>
        <w:t>mosdiskriminimit</w:t>
      </w:r>
      <w:proofErr w:type="spellEnd"/>
      <w:r w:rsidRPr="006F1CF6">
        <w:rPr>
          <w:rFonts w:ascii="Garamond" w:hAnsi="Garamond"/>
          <w:b w:val="0"/>
        </w:rPr>
        <w:t xml:space="preserve"> </w:t>
      </w:r>
      <w:r w:rsidRPr="006F1CF6">
        <w:rPr>
          <w:rFonts w:ascii="Garamond" w:hAnsi="Garamond"/>
          <w:b w:val="0"/>
          <w:bCs/>
        </w:rPr>
        <w:t>është i pabazuar, sepse, sikurse është argumentuar për parimin e sigurisë juridike, mënyra e zgjidhjes së çështjes dhe e zbatimit të ligjit i përket juridiksionit të gjykatave të zakonshme.</w:t>
      </w:r>
    </w:p>
    <w:p w14:paraId="2803021B" w14:textId="5082D229" w:rsidR="00294EFF" w:rsidRPr="006F1CF6" w:rsidRDefault="00294EFF" w:rsidP="00294EFF">
      <w:pPr>
        <w:pStyle w:val="BodyTextIndent2"/>
        <w:tabs>
          <w:tab w:val="left" w:pos="1520"/>
        </w:tabs>
        <w:spacing w:line="240" w:lineRule="auto"/>
        <w:ind w:left="0" w:firstLine="284"/>
        <w:rPr>
          <w:rFonts w:ascii="Garamond" w:hAnsi="Garamond"/>
          <w:b w:val="0"/>
          <w:bCs/>
        </w:rPr>
      </w:pPr>
      <w:r w:rsidRPr="006F1CF6">
        <w:rPr>
          <w:rFonts w:ascii="Garamond" w:hAnsi="Garamond"/>
          <w:b w:val="0"/>
          <w:bCs/>
        </w:rPr>
        <w:t xml:space="preserve">8.3 Pretendimi për cenimin e </w:t>
      </w:r>
      <w:r w:rsidRPr="006F1CF6">
        <w:rPr>
          <w:rFonts w:ascii="Garamond" w:hAnsi="Garamond"/>
          <w:b w:val="0"/>
          <w:bCs/>
          <w:i/>
          <w:iCs/>
        </w:rPr>
        <w:t>së drejtës së pronës</w:t>
      </w:r>
      <w:r w:rsidRPr="006F1CF6">
        <w:rPr>
          <w:rFonts w:ascii="Garamond" w:hAnsi="Garamond"/>
          <w:b w:val="0"/>
          <w:bCs/>
        </w:rPr>
        <w:t xml:space="preserve"> nuk qëndron, sepse procesi gjyqësor ka qenë i rregullt, pa ndonjë shkelje kushtetuese.</w:t>
      </w:r>
    </w:p>
    <w:p w14:paraId="167484F7" w14:textId="5F3C994A"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9. </w:t>
      </w:r>
      <w:r w:rsidRPr="006F1CF6">
        <w:rPr>
          <w:rFonts w:ascii="Garamond" w:hAnsi="Garamond"/>
          <w:b w:val="0"/>
          <w:i/>
          <w:iCs/>
        </w:rPr>
        <w:t>Subjekti i interesuar, Avokatura e Shtetit</w:t>
      </w:r>
      <w:r w:rsidRPr="006F1CF6">
        <w:rPr>
          <w:rFonts w:ascii="Garamond" w:hAnsi="Garamond"/>
          <w:b w:val="0"/>
        </w:rPr>
        <w:t xml:space="preserve">, </w:t>
      </w:r>
      <w:r w:rsidRPr="006F1CF6">
        <w:rPr>
          <w:rFonts w:ascii="Garamond" w:hAnsi="Garamond"/>
          <w:b w:val="0"/>
          <w:bCs/>
        </w:rPr>
        <w:t>në mënyrë të përmbledhur, ka prapësuar se:</w:t>
      </w:r>
    </w:p>
    <w:p w14:paraId="0F1DC70C" w14:textId="45C53F98" w:rsidR="00294EFF" w:rsidRPr="006F1CF6" w:rsidRDefault="00294EFF" w:rsidP="00294EFF">
      <w:pPr>
        <w:pStyle w:val="BodyTextIndent2"/>
        <w:tabs>
          <w:tab w:val="left" w:pos="1260"/>
        </w:tabs>
        <w:spacing w:line="240" w:lineRule="auto"/>
        <w:ind w:left="0" w:firstLine="284"/>
        <w:rPr>
          <w:rFonts w:ascii="Garamond" w:hAnsi="Garamond"/>
          <w:b w:val="0"/>
          <w:bCs/>
        </w:rPr>
      </w:pPr>
      <w:r w:rsidRPr="006F1CF6">
        <w:rPr>
          <w:rFonts w:ascii="Garamond" w:hAnsi="Garamond"/>
          <w:b w:val="0"/>
          <w:bCs/>
        </w:rPr>
        <w:t xml:space="preserve">9.1 Pretendimi për cenimin e </w:t>
      </w:r>
      <w:r w:rsidRPr="006F1CF6">
        <w:rPr>
          <w:rFonts w:ascii="Garamond" w:hAnsi="Garamond"/>
          <w:b w:val="0"/>
          <w:bCs/>
          <w:i/>
          <w:iCs/>
        </w:rPr>
        <w:t>procesit të rregullt ligjor</w:t>
      </w:r>
      <w:r w:rsidRPr="006F1CF6">
        <w:rPr>
          <w:rFonts w:ascii="Garamond" w:hAnsi="Garamond"/>
          <w:b w:val="0"/>
          <w:bCs/>
        </w:rPr>
        <w:t xml:space="preserve"> në aspektet e </w:t>
      </w:r>
      <w:r w:rsidRPr="006F1CF6">
        <w:rPr>
          <w:rFonts w:ascii="Garamond" w:hAnsi="Garamond"/>
          <w:b w:val="0"/>
          <w:bCs/>
          <w:i/>
          <w:iCs/>
        </w:rPr>
        <w:t>parimit të sigurisë juridike</w:t>
      </w:r>
      <w:r w:rsidRPr="006F1CF6">
        <w:rPr>
          <w:rFonts w:ascii="Garamond" w:hAnsi="Garamond"/>
          <w:b w:val="0"/>
          <w:bCs/>
        </w:rPr>
        <w:t xml:space="preserve"> dhe </w:t>
      </w:r>
      <w:r w:rsidRPr="006F1CF6">
        <w:rPr>
          <w:rFonts w:ascii="Garamond" w:hAnsi="Garamond"/>
          <w:b w:val="0"/>
          <w:bCs/>
          <w:i/>
          <w:iCs/>
        </w:rPr>
        <w:t>të standardit të arsyetimit të vendimit gjyqësor</w:t>
      </w:r>
      <w:r w:rsidRPr="006F1CF6">
        <w:rPr>
          <w:rFonts w:ascii="Garamond" w:hAnsi="Garamond"/>
          <w:b w:val="0"/>
          <w:bCs/>
        </w:rPr>
        <w:t xml:space="preserve"> është i pabazuar për sa kohë nuk ka një vendim </w:t>
      </w:r>
      <w:proofErr w:type="spellStart"/>
      <w:r w:rsidRPr="006F1CF6">
        <w:rPr>
          <w:rFonts w:ascii="Garamond" w:hAnsi="Garamond"/>
          <w:b w:val="0"/>
          <w:bCs/>
        </w:rPr>
        <w:t>unifikues</w:t>
      </w:r>
      <w:proofErr w:type="spellEnd"/>
      <w:r w:rsidRPr="006F1CF6">
        <w:rPr>
          <w:rFonts w:ascii="Garamond" w:hAnsi="Garamond"/>
          <w:b w:val="0"/>
          <w:bCs/>
        </w:rPr>
        <w:t xml:space="preserve"> ose njësues të Gjykatës së Lartë për çështje të kësaj natyre, ndaj kërkuesja nuk mund të ketë pritshmëri të ligjshme. Gjithashtu, vendimi i Gjykatës së Lartë plotëson kriteret e vendosura nga jurisprudenca kushtetuese. </w:t>
      </w:r>
    </w:p>
    <w:p w14:paraId="0469C1E3" w14:textId="3B2575BF" w:rsidR="00294EFF" w:rsidRPr="006F1CF6" w:rsidRDefault="00294EFF" w:rsidP="00294EFF">
      <w:pPr>
        <w:pStyle w:val="BodyTextIndent2"/>
        <w:tabs>
          <w:tab w:val="left" w:pos="1260"/>
        </w:tabs>
        <w:spacing w:line="240" w:lineRule="auto"/>
        <w:ind w:left="0" w:firstLine="284"/>
        <w:rPr>
          <w:rFonts w:ascii="Garamond" w:hAnsi="Garamond"/>
          <w:b w:val="0"/>
          <w:bCs/>
        </w:rPr>
      </w:pPr>
      <w:r w:rsidRPr="006F1CF6">
        <w:rPr>
          <w:rFonts w:ascii="Garamond" w:hAnsi="Garamond"/>
          <w:b w:val="0"/>
          <w:bCs/>
        </w:rPr>
        <w:t xml:space="preserve">9.2 Pretendimi për cenimin e </w:t>
      </w:r>
      <w:r w:rsidRPr="006F1CF6">
        <w:rPr>
          <w:rFonts w:ascii="Garamond" w:hAnsi="Garamond"/>
          <w:b w:val="0"/>
          <w:bCs/>
          <w:i/>
          <w:iCs/>
        </w:rPr>
        <w:t xml:space="preserve">parimit të barazisë përpara ligjit dhe të </w:t>
      </w:r>
      <w:proofErr w:type="spellStart"/>
      <w:r w:rsidRPr="006F1CF6">
        <w:rPr>
          <w:rFonts w:ascii="Garamond" w:hAnsi="Garamond"/>
          <w:b w:val="0"/>
          <w:bCs/>
          <w:i/>
          <w:iCs/>
        </w:rPr>
        <w:t>mosdiskriminimit</w:t>
      </w:r>
      <w:proofErr w:type="spellEnd"/>
      <w:r w:rsidRPr="006F1CF6">
        <w:rPr>
          <w:rFonts w:ascii="Garamond" w:hAnsi="Garamond"/>
          <w:b w:val="0"/>
        </w:rPr>
        <w:t xml:space="preserve"> </w:t>
      </w:r>
      <w:r w:rsidRPr="006F1CF6">
        <w:rPr>
          <w:rFonts w:ascii="Garamond" w:hAnsi="Garamond"/>
          <w:b w:val="0"/>
          <w:bCs/>
        </w:rPr>
        <w:t>është i pabazuar, pasi, sikurse është argumentuar për parimin e sigurisë juridike, mënyra e zgjidhjes së çështjes dhe e zbatimit të ligjit i përket juridiksionit të gjykatave të zakonshme.</w:t>
      </w:r>
    </w:p>
    <w:p w14:paraId="0B25D616" w14:textId="2722FDD3" w:rsidR="00294EFF" w:rsidRPr="006F1CF6" w:rsidRDefault="00294EFF" w:rsidP="00294EFF">
      <w:pPr>
        <w:pStyle w:val="BodyTextIndent2"/>
        <w:tabs>
          <w:tab w:val="left" w:pos="980"/>
          <w:tab w:val="left" w:pos="1260"/>
        </w:tabs>
        <w:spacing w:line="240" w:lineRule="auto"/>
        <w:ind w:left="0" w:firstLine="284"/>
        <w:rPr>
          <w:rFonts w:ascii="Garamond" w:hAnsi="Garamond"/>
          <w:b w:val="0"/>
          <w:bCs/>
        </w:rPr>
      </w:pPr>
      <w:r w:rsidRPr="006F1CF6">
        <w:rPr>
          <w:rFonts w:ascii="Garamond" w:hAnsi="Garamond"/>
          <w:b w:val="0"/>
          <w:bCs/>
        </w:rPr>
        <w:t xml:space="preserve">9.3 Pretendimi për cenimin e </w:t>
      </w:r>
      <w:r w:rsidRPr="006F1CF6">
        <w:rPr>
          <w:rFonts w:ascii="Garamond" w:hAnsi="Garamond"/>
          <w:b w:val="0"/>
          <w:bCs/>
          <w:i/>
          <w:iCs/>
        </w:rPr>
        <w:t>së drejtës së pronës</w:t>
      </w:r>
      <w:r w:rsidRPr="006F1CF6">
        <w:rPr>
          <w:rFonts w:ascii="Garamond" w:hAnsi="Garamond"/>
          <w:b w:val="0"/>
          <w:bCs/>
        </w:rPr>
        <w:t xml:space="preserve"> është i pabazuar, pasi referuar jurisprudencës së Gjykatës Evropiane për të Drejtat e Njeriut (</w:t>
      </w:r>
      <w:proofErr w:type="spellStart"/>
      <w:r w:rsidRPr="006F1CF6">
        <w:rPr>
          <w:rFonts w:ascii="Garamond" w:hAnsi="Garamond"/>
          <w:b w:val="0"/>
          <w:bCs/>
          <w:i/>
          <w:iCs/>
        </w:rPr>
        <w:t>GJEDNJ</w:t>
      </w:r>
      <w:proofErr w:type="spellEnd"/>
      <w:r w:rsidRPr="006F1CF6">
        <w:rPr>
          <w:rFonts w:ascii="Garamond" w:hAnsi="Garamond"/>
          <w:b w:val="0"/>
          <w:bCs/>
        </w:rPr>
        <w:t xml:space="preserve">) mosmarrëveshjet tatimore bien jashtë fushës të </w:t>
      </w:r>
      <w:proofErr w:type="spellStart"/>
      <w:r w:rsidRPr="006F1CF6">
        <w:rPr>
          <w:rFonts w:ascii="Garamond" w:hAnsi="Garamond"/>
          <w:b w:val="0"/>
          <w:bCs/>
        </w:rPr>
        <w:t>të</w:t>
      </w:r>
      <w:proofErr w:type="spellEnd"/>
      <w:r w:rsidRPr="006F1CF6">
        <w:rPr>
          <w:rFonts w:ascii="Garamond" w:hAnsi="Garamond"/>
          <w:b w:val="0"/>
          <w:bCs/>
        </w:rPr>
        <w:t xml:space="preserve"> drejtave dhe detyrimeve civile, pavarësisht nga efektet monetare që ato prodhojnë.</w:t>
      </w:r>
    </w:p>
    <w:p w14:paraId="4592CC74" w14:textId="77777777" w:rsidR="00294EFF" w:rsidRPr="006F1CF6" w:rsidRDefault="00294EFF" w:rsidP="00294EFF">
      <w:pPr>
        <w:pStyle w:val="BodyTextIndent2"/>
        <w:tabs>
          <w:tab w:val="left" w:pos="980"/>
        </w:tabs>
        <w:spacing w:line="240" w:lineRule="auto"/>
        <w:ind w:left="0" w:firstLine="284"/>
        <w:jc w:val="center"/>
        <w:rPr>
          <w:rFonts w:ascii="Garamond" w:hAnsi="Garamond"/>
          <w:b w:val="0"/>
        </w:rPr>
      </w:pPr>
    </w:p>
    <w:p w14:paraId="2BBA5C67" w14:textId="77777777" w:rsidR="00294EFF" w:rsidRPr="006F1CF6" w:rsidRDefault="00294EFF" w:rsidP="00294EFF">
      <w:pPr>
        <w:pStyle w:val="BodyTextIndent2"/>
        <w:tabs>
          <w:tab w:val="left" w:pos="980"/>
        </w:tabs>
        <w:spacing w:line="240" w:lineRule="auto"/>
        <w:ind w:left="0" w:firstLine="284"/>
        <w:jc w:val="center"/>
        <w:rPr>
          <w:rFonts w:ascii="Garamond" w:hAnsi="Garamond"/>
        </w:rPr>
      </w:pPr>
      <w:proofErr w:type="spellStart"/>
      <w:r w:rsidRPr="006F1CF6">
        <w:rPr>
          <w:rFonts w:ascii="Garamond" w:hAnsi="Garamond"/>
        </w:rPr>
        <w:t>III</w:t>
      </w:r>
      <w:proofErr w:type="spellEnd"/>
    </w:p>
    <w:p w14:paraId="2777A23A" w14:textId="77777777" w:rsidR="00294EFF" w:rsidRPr="006F1CF6" w:rsidRDefault="00294EFF" w:rsidP="00294EFF">
      <w:pPr>
        <w:pStyle w:val="BodyTextIndent2"/>
        <w:tabs>
          <w:tab w:val="left" w:pos="1260"/>
        </w:tabs>
        <w:spacing w:line="240" w:lineRule="auto"/>
        <w:ind w:left="0" w:firstLine="284"/>
        <w:jc w:val="center"/>
        <w:rPr>
          <w:rFonts w:ascii="Garamond" w:hAnsi="Garamond"/>
        </w:rPr>
      </w:pPr>
      <w:r w:rsidRPr="006F1CF6">
        <w:rPr>
          <w:rFonts w:ascii="Garamond" w:hAnsi="Garamond"/>
        </w:rPr>
        <w:t>Vlerësimi i Gjykatës Kushtetuese</w:t>
      </w:r>
    </w:p>
    <w:p w14:paraId="4C3626E9" w14:textId="77777777" w:rsidR="00982594" w:rsidRPr="006F1CF6" w:rsidRDefault="00982594" w:rsidP="00294EFF">
      <w:pPr>
        <w:pStyle w:val="BodyTextIndent2"/>
        <w:tabs>
          <w:tab w:val="left" w:pos="0"/>
        </w:tabs>
        <w:spacing w:line="240" w:lineRule="auto"/>
        <w:ind w:left="0" w:firstLine="284"/>
        <w:rPr>
          <w:rFonts w:ascii="Garamond" w:hAnsi="Garamond"/>
          <w:b w:val="0"/>
          <w:bCs/>
          <w:i/>
          <w:iCs/>
        </w:rPr>
      </w:pPr>
    </w:p>
    <w:p w14:paraId="33975780" w14:textId="5E7867E2" w:rsidR="00294EFF" w:rsidRPr="006F1CF6" w:rsidRDefault="00294EFF" w:rsidP="00294EFF">
      <w:pPr>
        <w:pStyle w:val="BodyTextIndent2"/>
        <w:tabs>
          <w:tab w:val="left" w:pos="0"/>
        </w:tabs>
        <w:spacing w:line="240" w:lineRule="auto"/>
        <w:ind w:left="0" w:firstLine="284"/>
        <w:rPr>
          <w:rFonts w:ascii="Garamond" w:hAnsi="Garamond"/>
          <w:b w:val="0"/>
          <w:bCs/>
          <w:i/>
          <w:iCs/>
        </w:rPr>
      </w:pPr>
      <w:r w:rsidRPr="006F1CF6">
        <w:rPr>
          <w:rFonts w:ascii="Garamond" w:hAnsi="Garamond"/>
          <w:b w:val="0"/>
          <w:bCs/>
          <w:i/>
          <w:iCs/>
        </w:rPr>
        <w:t>A. Për legjitimimin e kërkueses</w:t>
      </w:r>
    </w:p>
    <w:p w14:paraId="1EDD903D" w14:textId="41E78FF0"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10. Çështja e legjitimimit (</w:t>
      </w:r>
      <w:proofErr w:type="spellStart"/>
      <w:r w:rsidRPr="006F1CF6">
        <w:rPr>
          <w:rFonts w:ascii="Garamond" w:hAnsi="Garamond"/>
          <w:b w:val="0"/>
          <w:bCs/>
          <w:i/>
          <w:iCs/>
        </w:rPr>
        <w:t>locus</w:t>
      </w:r>
      <w:proofErr w:type="spellEnd"/>
      <w:r w:rsidRPr="006F1CF6">
        <w:rPr>
          <w:rFonts w:ascii="Garamond" w:hAnsi="Garamond"/>
          <w:b w:val="0"/>
          <w:bCs/>
          <w:i/>
          <w:iCs/>
        </w:rPr>
        <w:t xml:space="preserve"> </w:t>
      </w:r>
      <w:proofErr w:type="spellStart"/>
      <w:r w:rsidRPr="006F1CF6">
        <w:rPr>
          <w:rFonts w:ascii="Garamond" w:hAnsi="Garamond"/>
          <w:b w:val="0"/>
          <w:bCs/>
          <w:i/>
          <w:iCs/>
        </w:rPr>
        <w:t>standi</w:t>
      </w:r>
      <w:proofErr w:type="spellEnd"/>
      <w:r w:rsidRPr="006F1CF6">
        <w:rPr>
          <w:rFonts w:ascii="Garamond" w:hAnsi="Garamond"/>
          <w:b w:val="0"/>
          <w:bCs/>
        </w:rPr>
        <w:t xml:space="preserve">) është një ndër aspektet kryesore që lidhet me nisjen e një procesi kushtetues. Sipas neneve 131, pika 1, shkronja “f” dhe 134, pikat 1, shkronja “i” dhe 2, të Kushtetutës, si dhe nenit 71 të Ligjit Organik të Gjykatës, çdo person juridik, subjekt i së drejtës private, mund të vërë në lëvizje Gjykatën për gjykimin përfundimtar të ankesave kundër çdo vendimi gjyqësor, që cenon të drejtat dhe liritë themelore të garantuara në Kushtetutë. Ankimi kushtetues individual, në çdo rast, duhet të plotësojë edhe kriteret </w:t>
      </w:r>
      <w:proofErr w:type="spellStart"/>
      <w:r w:rsidRPr="006F1CF6">
        <w:rPr>
          <w:rFonts w:ascii="Garamond" w:hAnsi="Garamond"/>
          <w:b w:val="0"/>
          <w:bCs/>
        </w:rPr>
        <w:t>kumulative</w:t>
      </w:r>
      <w:proofErr w:type="spellEnd"/>
      <w:r w:rsidRPr="006F1CF6">
        <w:rPr>
          <w:rFonts w:ascii="Garamond" w:hAnsi="Garamond"/>
          <w:b w:val="0"/>
          <w:bCs/>
        </w:rPr>
        <w:t xml:space="preserve"> të nenit 71/a të Ligjit Organik të Gjykatës, që lidhen me shterimin e mjeteve juridike efektive, afatin e paraqitjes së kërkesës, pasojat negative të pësuara në mënyrë të drejtpërdrejtë e reale dhe mundësinë për rivendosjen e së drejtës së shkelur. </w:t>
      </w:r>
    </w:p>
    <w:p w14:paraId="34F34143" w14:textId="204EA56A"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11. Kërkuesja, si person juridik i së drejtës private, legjitimohet </w:t>
      </w:r>
      <w:proofErr w:type="spellStart"/>
      <w:r w:rsidRPr="006F1CF6">
        <w:rPr>
          <w:rFonts w:ascii="Garamond" w:hAnsi="Garamond"/>
          <w:b w:val="0"/>
          <w:bCs/>
          <w:i/>
          <w:iCs/>
        </w:rPr>
        <w:t>ratione</w:t>
      </w:r>
      <w:proofErr w:type="spellEnd"/>
      <w:r w:rsidRPr="006F1CF6">
        <w:rPr>
          <w:rFonts w:ascii="Garamond" w:hAnsi="Garamond"/>
          <w:b w:val="0"/>
          <w:bCs/>
          <w:i/>
          <w:iCs/>
        </w:rPr>
        <w:t xml:space="preserve"> </w:t>
      </w:r>
      <w:proofErr w:type="spellStart"/>
      <w:r w:rsidRPr="006F1CF6">
        <w:rPr>
          <w:rFonts w:ascii="Garamond" w:hAnsi="Garamond"/>
          <w:b w:val="0"/>
          <w:bCs/>
          <w:i/>
          <w:iCs/>
        </w:rPr>
        <w:t>personae</w:t>
      </w:r>
      <w:proofErr w:type="spellEnd"/>
      <w:r w:rsidRPr="006F1CF6">
        <w:rPr>
          <w:rFonts w:ascii="Garamond" w:hAnsi="Garamond"/>
          <w:b w:val="0"/>
          <w:bCs/>
        </w:rPr>
        <w:t>, bazuar në nenet 131, pika 1, shkronja “f”, 134, pika 1, shkronja “i”, dhe 16, pika 2, të Kushtetutës, pasi, thelbi i të drejtave kushtetuese, që ajo pretendon se i janë cenuar (e drejta për proces të rregullt dhe ajo e pronës, si dhe parimi i barazisë përpara ligjit) përputhen me qëllimet e përgjithshme të veprimtarisë tregtare të saj. Ajo ka qenë palë në procesin gjyqësor ndaj të cilit ka ngritur pretendime në ankimin kushtetues individual dhe justifikon interesin në çështjen e parashtruar.</w:t>
      </w:r>
    </w:p>
    <w:p w14:paraId="731B7DA8" w14:textId="3D4E6BAF"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12. Gjykata vlerëson se kërkuesja e ka plotësuar edhe kriterin e </w:t>
      </w:r>
      <w:r w:rsidRPr="006F1CF6">
        <w:rPr>
          <w:rFonts w:ascii="Garamond" w:hAnsi="Garamond"/>
          <w:b w:val="0"/>
          <w:bCs/>
          <w:i/>
          <w:iCs/>
        </w:rPr>
        <w:t>shterimit të mjeteve juridike efektive</w:t>
      </w:r>
      <w:r w:rsidRPr="006F1CF6">
        <w:rPr>
          <w:rFonts w:ascii="Garamond" w:hAnsi="Garamond"/>
          <w:b w:val="0"/>
          <w:bCs/>
        </w:rPr>
        <w:t>, në kuptim të nenit 131, pika 1, shkronja “f”, të Kushtetutës, pasi ajo ka ngritur pretendime për procesin gjyqësor të zhvilluar në Gjykatën e Lartë, për të cilin nuk ka mjet tjetër juridik në dispozicion për mbrojtjen e të drejtave të saj kushtetuese.</w:t>
      </w:r>
    </w:p>
    <w:p w14:paraId="00B07977" w14:textId="6381B12A"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13. Kërkuesja legjitimohet edhe </w:t>
      </w:r>
      <w:proofErr w:type="spellStart"/>
      <w:r w:rsidRPr="006F1CF6">
        <w:rPr>
          <w:rFonts w:ascii="Garamond" w:hAnsi="Garamond"/>
          <w:b w:val="0"/>
          <w:bCs/>
          <w:i/>
          <w:iCs/>
        </w:rPr>
        <w:t>ratione</w:t>
      </w:r>
      <w:proofErr w:type="spellEnd"/>
      <w:r w:rsidRPr="006F1CF6">
        <w:rPr>
          <w:rFonts w:ascii="Garamond" w:hAnsi="Garamond"/>
          <w:b w:val="0"/>
          <w:bCs/>
          <w:i/>
          <w:iCs/>
        </w:rPr>
        <w:t xml:space="preserve"> </w:t>
      </w:r>
      <w:proofErr w:type="spellStart"/>
      <w:r w:rsidRPr="006F1CF6">
        <w:rPr>
          <w:rFonts w:ascii="Garamond" w:hAnsi="Garamond"/>
          <w:b w:val="0"/>
          <w:bCs/>
          <w:i/>
          <w:iCs/>
        </w:rPr>
        <w:t>temporis</w:t>
      </w:r>
      <w:proofErr w:type="spellEnd"/>
      <w:r w:rsidRPr="006F1CF6">
        <w:rPr>
          <w:rFonts w:ascii="Garamond" w:hAnsi="Garamond"/>
          <w:b w:val="0"/>
          <w:bCs/>
        </w:rPr>
        <w:t>, sipas nenit 71/a, pika 1, shkronja “b”, të Ligjit Organik të Gjykatës, pasi vendimi i Gjykatës së Lartë mban datën 14.1.2025, ndërsa ankimi kushtetues individual është dërguar nëpërmjet shërbimit postar në datën 15.4.2025, pra brenda afatit ligjor 4-mujor.</w:t>
      </w:r>
    </w:p>
    <w:p w14:paraId="0D307F35" w14:textId="14A27248"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14. Në drejtim të legjitimimit </w:t>
      </w:r>
      <w:proofErr w:type="spellStart"/>
      <w:r w:rsidRPr="006F1CF6">
        <w:rPr>
          <w:rFonts w:ascii="Garamond" w:hAnsi="Garamond"/>
          <w:b w:val="0"/>
          <w:bCs/>
          <w:i/>
          <w:iCs/>
        </w:rPr>
        <w:t>ratione</w:t>
      </w:r>
      <w:proofErr w:type="spellEnd"/>
      <w:r w:rsidRPr="006F1CF6">
        <w:rPr>
          <w:rFonts w:ascii="Garamond" w:hAnsi="Garamond"/>
          <w:b w:val="0"/>
          <w:bCs/>
          <w:i/>
          <w:iCs/>
        </w:rPr>
        <w:t xml:space="preserve"> </w:t>
      </w:r>
      <w:proofErr w:type="spellStart"/>
      <w:r w:rsidRPr="006F1CF6">
        <w:rPr>
          <w:rFonts w:ascii="Garamond" w:hAnsi="Garamond"/>
          <w:b w:val="0"/>
          <w:bCs/>
          <w:i/>
          <w:iCs/>
        </w:rPr>
        <w:t>materiae</w:t>
      </w:r>
      <w:proofErr w:type="spellEnd"/>
      <w:r w:rsidRPr="006F1CF6">
        <w:rPr>
          <w:rFonts w:ascii="Garamond" w:hAnsi="Garamond"/>
          <w:b w:val="0"/>
          <w:bCs/>
        </w:rPr>
        <w:t>, kërkuesja ka pretenduar cenimin e së drejtës për</w:t>
      </w:r>
      <w:r w:rsidR="006F1CF6">
        <w:rPr>
          <w:rFonts w:ascii="Garamond" w:hAnsi="Garamond"/>
          <w:b w:val="0"/>
          <w:bCs/>
        </w:rPr>
        <w:t xml:space="preserve"> </w:t>
      </w:r>
      <w:r w:rsidRPr="006F1CF6">
        <w:rPr>
          <w:rFonts w:ascii="Garamond" w:hAnsi="Garamond"/>
          <w:b w:val="0"/>
          <w:bCs/>
        </w:rPr>
        <w:t>proces të rregullt ligjor në disa aspekte (</w:t>
      </w:r>
      <w:proofErr w:type="spellStart"/>
      <w:r w:rsidRPr="006F1CF6">
        <w:rPr>
          <w:rFonts w:ascii="Garamond" w:hAnsi="Garamond"/>
          <w:b w:val="0"/>
          <w:bCs/>
        </w:rPr>
        <w:t>akses</w:t>
      </w:r>
      <w:proofErr w:type="spellEnd"/>
      <w:r w:rsidRPr="006F1CF6">
        <w:rPr>
          <w:rFonts w:ascii="Garamond" w:hAnsi="Garamond"/>
          <w:b w:val="0"/>
          <w:bCs/>
        </w:rPr>
        <w:t xml:space="preserve"> substancial, siguri juridike dhe arsyetimi i vendimit), </w:t>
      </w:r>
      <w:r w:rsidRPr="006F1CF6">
        <w:rPr>
          <w:rFonts w:ascii="Garamond" w:hAnsi="Garamond"/>
          <w:b w:val="0"/>
          <w:bCs/>
        </w:rPr>
        <w:lastRenderedPageBreak/>
        <w:t xml:space="preserve">parimit të barazisë përpara ligjit dhe të </w:t>
      </w:r>
      <w:proofErr w:type="spellStart"/>
      <w:r w:rsidRPr="006F1CF6">
        <w:rPr>
          <w:rFonts w:ascii="Garamond" w:hAnsi="Garamond"/>
          <w:b w:val="0"/>
          <w:bCs/>
        </w:rPr>
        <w:t>mosdi</w:t>
      </w:r>
      <w:r w:rsidR="006F1CF6">
        <w:rPr>
          <w:rFonts w:ascii="Garamond" w:hAnsi="Garamond"/>
          <w:b w:val="0"/>
          <w:bCs/>
        </w:rPr>
        <w:t>sk</w:t>
      </w:r>
      <w:r w:rsidRPr="006F1CF6">
        <w:rPr>
          <w:rFonts w:ascii="Garamond" w:hAnsi="Garamond"/>
          <w:b w:val="0"/>
          <w:bCs/>
        </w:rPr>
        <w:t>riminimit</w:t>
      </w:r>
      <w:proofErr w:type="spellEnd"/>
      <w:r w:rsidRPr="006F1CF6">
        <w:rPr>
          <w:rFonts w:ascii="Garamond" w:hAnsi="Garamond"/>
          <w:b w:val="0"/>
          <w:bCs/>
        </w:rPr>
        <w:t xml:space="preserve">, si dhe së drejtës së pronës, të garantuara respektivisht nga nenet 42, 18 dhe 41 të Kushtetutës. Sipas kërkueses, ajo ka paguar një gjobë të lartë tatimore dhe Gjykata e Lartë nuk u ka dhënë përgjigje pretendimeve në rekurs që lidheshin me zbatimin e gabuar të Ligjit për Procedurat Tatimore nga gjykata e apelit, qëndrimet diametralisht të kundërta të gjykatave të faktit dhe jurisprudencën e Gjykatës së Lartë në çështje të ngjashme. </w:t>
      </w:r>
    </w:p>
    <w:p w14:paraId="188CD7D8" w14:textId="2663F416"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15. Subjektet e interesuara i kanë prapësuar pretendimet e kërkueses si të pabazuara, duke vënë në dukje se nuk ka një qëndrim </w:t>
      </w:r>
      <w:proofErr w:type="spellStart"/>
      <w:r w:rsidRPr="006F1CF6">
        <w:rPr>
          <w:rFonts w:ascii="Garamond" w:hAnsi="Garamond"/>
          <w:b w:val="0"/>
          <w:bCs/>
        </w:rPr>
        <w:t>unifikues</w:t>
      </w:r>
      <w:proofErr w:type="spellEnd"/>
      <w:r w:rsidRPr="006F1CF6">
        <w:rPr>
          <w:rFonts w:ascii="Garamond" w:hAnsi="Garamond"/>
          <w:b w:val="0"/>
          <w:bCs/>
        </w:rPr>
        <w:t xml:space="preserve"> ose njësues të Gjykatës së Lartë për çështje të ngjashme. Në shtesë të këtij prapësimi, subjekti i interesuar, Avokatura e Shtetit, ka kundërshtuar edhe juridiksionin e Gjykatës, duke mbajtur qëndrimin se mosmarrëveshjet tatimore nuk duhet të përfshihen në konceptin e së drejtës së pronës, duke referuar në funksion të këtij prapësimi një vendim të </w:t>
      </w:r>
      <w:proofErr w:type="spellStart"/>
      <w:r w:rsidRPr="006F1CF6">
        <w:rPr>
          <w:rFonts w:ascii="Garamond" w:hAnsi="Garamond"/>
          <w:b w:val="0"/>
          <w:bCs/>
        </w:rPr>
        <w:t>GJEDNJ</w:t>
      </w:r>
      <w:proofErr w:type="spellEnd"/>
      <w:r w:rsidRPr="006F1CF6">
        <w:rPr>
          <w:rFonts w:ascii="Garamond" w:hAnsi="Garamond"/>
          <w:b w:val="0"/>
          <w:bCs/>
        </w:rPr>
        <w:t>-së.</w:t>
      </w:r>
    </w:p>
    <w:p w14:paraId="6E41324D" w14:textId="21161931"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16. Në jurisprudencën kushtetuese për nenin 41 të Kushtetutës është pranuar se e drejta kushtetuese e pronës private përfshin çdo posedim të sendeve ose të </w:t>
      </w:r>
      <w:proofErr w:type="spellStart"/>
      <w:r w:rsidRPr="006F1CF6">
        <w:rPr>
          <w:rFonts w:ascii="Garamond" w:hAnsi="Garamond"/>
          <w:b w:val="0"/>
          <w:bCs/>
        </w:rPr>
        <w:t>të</w:t>
      </w:r>
      <w:proofErr w:type="spellEnd"/>
      <w:r w:rsidRPr="006F1CF6">
        <w:rPr>
          <w:rFonts w:ascii="Garamond" w:hAnsi="Garamond"/>
          <w:b w:val="0"/>
          <w:bCs/>
        </w:rPr>
        <w:t xml:space="preserve"> drejtave të tjera materiale pasurore (</w:t>
      </w:r>
      <w:r w:rsidRPr="006F1CF6">
        <w:rPr>
          <w:rFonts w:ascii="Garamond" w:hAnsi="Garamond"/>
          <w:b w:val="0"/>
          <w:bCs/>
          <w:i/>
          <w:iCs/>
        </w:rPr>
        <w:t>shih vendimet nr. 36, datë 21.4.2017; nr. 25, datë 28.4.2014</w:t>
      </w:r>
      <w:r w:rsidR="006F1CF6">
        <w:rPr>
          <w:rFonts w:ascii="Garamond" w:hAnsi="Garamond"/>
          <w:b w:val="0"/>
          <w:bCs/>
          <w:i/>
          <w:iCs/>
        </w:rPr>
        <w:t xml:space="preserve">, </w:t>
      </w:r>
      <w:r w:rsidRPr="006F1CF6">
        <w:rPr>
          <w:rFonts w:ascii="Garamond" w:hAnsi="Garamond"/>
          <w:b w:val="0"/>
          <w:bCs/>
          <w:i/>
          <w:iCs/>
        </w:rPr>
        <w:t>të Gjykatës Kushtetuese</w:t>
      </w:r>
      <w:r w:rsidRPr="006F1CF6">
        <w:rPr>
          <w:rFonts w:ascii="Garamond" w:hAnsi="Garamond"/>
          <w:b w:val="0"/>
          <w:bCs/>
        </w:rPr>
        <w:t xml:space="preserve">). Edhe gjoba e caktuar për shkelje tatimore është pjesë e konceptit kushtetues të pronës private, pasi pagesa e një sasie të caktuar të hollash, e barasvlershme në këtë rast me masën e gjobave, është një shumë që merret nga pasuria e individit </w:t>
      </w:r>
      <w:r w:rsidRPr="006F1CF6">
        <w:rPr>
          <w:rFonts w:ascii="Garamond" w:hAnsi="Garamond"/>
          <w:b w:val="0"/>
          <w:bCs/>
          <w:i/>
          <w:iCs/>
        </w:rPr>
        <w:t>(shih vendimet nr. 11, datë 21.4.2022; nr. 10, datë 4.3.2021; nr. 16, datë 25.7.2008</w:t>
      </w:r>
      <w:r w:rsidR="006F1CF6">
        <w:rPr>
          <w:rFonts w:ascii="Garamond" w:hAnsi="Garamond"/>
          <w:b w:val="0"/>
          <w:bCs/>
          <w:i/>
          <w:iCs/>
        </w:rPr>
        <w:t>,</w:t>
      </w:r>
      <w:r w:rsidRPr="006F1CF6">
        <w:rPr>
          <w:rFonts w:ascii="Garamond" w:hAnsi="Garamond"/>
          <w:b w:val="0"/>
          <w:bCs/>
          <w:i/>
          <w:iCs/>
        </w:rPr>
        <w:t xml:space="preserve"> të Gjykatës Kushtetuese).</w:t>
      </w:r>
      <w:r w:rsidRPr="006F1CF6">
        <w:rPr>
          <w:rFonts w:ascii="Garamond" w:hAnsi="Garamond"/>
          <w:b w:val="0"/>
          <w:bCs/>
        </w:rPr>
        <w:t xml:space="preserve"> Në këtë drejtim, Gjykata ka pohuar se masa e gjobës merret nga pasuria e individit, ndaj gjoba administrative përbën pronë private dhe shlyerja e saj kufizon të drejtën e garantuar nga neni 41 i Kushtetutës (</w:t>
      </w:r>
      <w:r w:rsidRPr="006F1CF6">
        <w:rPr>
          <w:rFonts w:ascii="Garamond" w:hAnsi="Garamond"/>
          <w:b w:val="0"/>
          <w:bCs/>
          <w:i/>
          <w:iCs/>
        </w:rPr>
        <w:t>shih vendimin nr. 15, datë 22.6.2022</w:t>
      </w:r>
      <w:r w:rsidR="006F1CF6">
        <w:rPr>
          <w:rFonts w:ascii="Garamond" w:hAnsi="Garamond"/>
          <w:b w:val="0"/>
          <w:bCs/>
          <w:i/>
          <w:iCs/>
        </w:rPr>
        <w:t>,</w:t>
      </w:r>
      <w:r w:rsidRPr="006F1CF6">
        <w:rPr>
          <w:rFonts w:ascii="Garamond" w:hAnsi="Garamond"/>
          <w:b w:val="0"/>
          <w:bCs/>
          <w:i/>
          <w:iCs/>
        </w:rPr>
        <w:t xml:space="preserve"> të Gjykatës Kushtetuese</w:t>
      </w:r>
      <w:r w:rsidRPr="006F1CF6">
        <w:rPr>
          <w:rFonts w:ascii="Garamond" w:hAnsi="Garamond"/>
          <w:b w:val="0"/>
          <w:bCs/>
        </w:rPr>
        <w:t xml:space="preserve">). </w:t>
      </w:r>
    </w:p>
    <w:p w14:paraId="56339857" w14:textId="6F4F4C77"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17. Në këndvështrim të kësaj jurisprudence, Gjykata arrin në përfundimin se prapësimi i Avokaturës së Shtetit për juridiksionin nuk qëndron, pasi detyrimet financiare që rrjedhin nga gjobat, siç është rasti konkret, përfshihen brenda konceptit kushtetues të pronës. Po kështu, Gjykata vëren se, ndryshe nga sa prapëson subjekti i interesuar, Avokatura e Shtetit, </w:t>
      </w:r>
      <w:proofErr w:type="spellStart"/>
      <w:r w:rsidRPr="006F1CF6">
        <w:rPr>
          <w:rFonts w:ascii="Garamond" w:hAnsi="Garamond"/>
          <w:b w:val="0"/>
          <w:bCs/>
        </w:rPr>
        <w:t>GJEDNJ</w:t>
      </w:r>
      <w:proofErr w:type="spellEnd"/>
      <w:r w:rsidRPr="006F1CF6">
        <w:rPr>
          <w:rFonts w:ascii="Garamond" w:hAnsi="Garamond"/>
          <w:b w:val="0"/>
          <w:bCs/>
        </w:rPr>
        <w:t xml:space="preserve">-ja, në rastin e referuar, ka pohuar se detyrimet tatimore mbrohen nga neni 1 i Protokollit nr. 1 të saj, edhe pse nuk përfshihen në fushën e të drejtave civile të përcaktuara në nenin 6, paragrafi 1, të </w:t>
      </w:r>
      <w:proofErr w:type="spellStart"/>
      <w:r w:rsidRPr="006F1CF6">
        <w:rPr>
          <w:rFonts w:ascii="Garamond" w:hAnsi="Garamond"/>
          <w:b w:val="0"/>
          <w:bCs/>
        </w:rPr>
        <w:t>KEDNJ</w:t>
      </w:r>
      <w:proofErr w:type="spellEnd"/>
      <w:r w:rsidRPr="006F1CF6">
        <w:rPr>
          <w:rFonts w:ascii="Garamond" w:hAnsi="Garamond"/>
          <w:b w:val="0"/>
          <w:bCs/>
        </w:rPr>
        <w:t>-së (</w:t>
      </w:r>
      <w:r w:rsidRPr="006F1CF6">
        <w:rPr>
          <w:rFonts w:ascii="Garamond" w:hAnsi="Garamond"/>
          <w:b w:val="0"/>
          <w:bCs/>
          <w:i/>
          <w:iCs/>
        </w:rPr>
        <w:t xml:space="preserve">shih </w:t>
      </w:r>
      <w:proofErr w:type="spellStart"/>
      <w:r w:rsidRPr="006F1CF6">
        <w:rPr>
          <w:rFonts w:ascii="Garamond" w:hAnsi="Garamond"/>
          <w:b w:val="0"/>
          <w:bCs/>
          <w:i/>
          <w:iCs/>
        </w:rPr>
        <w:t>Polimerkonteyner</w:t>
      </w:r>
      <w:proofErr w:type="spellEnd"/>
      <w:r w:rsidRPr="006F1CF6">
        <w:rPr>
          <w:rFonts w:ascii="Garamond" w:hAnsi="Garamond"/>
          <w:b w:val="0"/>
          <w:bCs/>
          <w:i/>
          <w:iCs/>
        </w:rPr>
        <w:t xml:space="preserve">, </w:t>
      </w:r>
      <w:proofErr w:type="spellStart"/>
      <w:r w:rsidRPr="006F1CF6">
        <w:rPr>
          <w:rFonts w:ascii="Garamond" w:hAnsi="Garamond"/>
          <w:b w:val="0"/>
          <w:bCs/>
          <w:i/>
          <w:iCs/>
        </w:rPr>
        <w:t>Tov</w:t>
      </w:r>
      <w:proofErr w:type="spellEnd"/>
      <w:r w:rsidRPr="006F1CF6">
        <w:rPr>
          <w:rFonts w:ascii="Garamond" w:hAnsi="Garamond"/>
          <w:b w:val="0"/>
          <w:bCs/>
          <w:i/>
          <w:iCs/>
        </w:rPr>
        <w:t xml:space="preserve"> kundër Ukrainës, datë 24.11.2016, §§ 22</w:t>
      </w:r>
      <w:r w:rsidR="006F1CF6">
        <w:rPr>
          <w:rFonts w:ascii="Garamond" w:hAnsi="Garamond"/>
          <w:b w:val="0"/>
          <w:bCs/>
          <w:i/>
          <w:iCs/>
        </w:rPr>
        <w:t>–</w:t>
      </w:r>
      <w:r w:rsidRPr="006F1CF6">
        <w:rPr>
          <w:rFonts w:ascii="Garamond" w:hAnsi="Garamond"/>
          <w:b w:val="0"/>
          <w:bCs/>
          <w:i/>
          <w:iCs/>
        </w:rPr>
        <w:t>25</w:t>
      </w:r>
      <w:r w:rsidRPr="006F1CF6">
        <w:rPr>
          <w:rFonts w:ascii="Garamond" w:hAnsi="Garamond"/>
          <w:b w:val="0"/>
          <w:bCs/>
        </w:rPr>
        <w:t xml:space="preserve">). </w:t>
      </w:r>
    </w:p>
    <w:p w14:paraId="079AB372" w14:textId="5877EDC3"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18. Për sa më lart, Gjykata çmon ta analizojë çështjen në këndvështrim të nenit 42 të Kushtetutës, sipas të cilit prona private nuk mund të cenohet pa një proces të rregullt ligjor dhe se kushdo për mbrojtjen e së drejtës kushtetuese të pronës private ka të drejtën e një gjykimi të drejtë (</w:t>
      </w:r>
      <w:r w:rsidRPr="006F1CF6">
        <w:rPr>
          <w:rFonts w:ascii="Garamond" w:hAnsi="Garamond"/>
          <w:b w:val="0"/>
          <w:bCs/>
          <w:i/>
          <w:iCs/>
        </w:rPr>
        <w:t>shih vendimet nr. 11, datë 21.4.2022; nr. 10, datë 4.3.2021</w:t>
      </w:r>
      <w:r w:rsidR="006F1CF6">
        <w:rPr>
          <w:rFonts w:ascii="Garamond" w:hAnsi="Garamond"/>
          <w:b w:val="0"/>
          <w:bCs/>
          <w:i/>
          <w:iCs/>
        </w:rPr>
        <w:t>,</w:t>
      </w:r>
      <w:r w:rsidRPr="006F1CF6">
        <w:rPr>
          <w:rFonts w:ascii="Garamond" w:hAnsi="Garamond"/>
          <w:b w:val="0"/>
          <w:bCs/>
          <w:i/>
          <w:iCs/>
        </w:rPr>
        <w:t xml:space="preserve"> të Gjykatës Kushtetuese</w:t>
      </w:r>
      <w:r w:rsidRPr="006F1CF6">
        <w:rPr>
          <w:rFonts w:ascii="Garamond" w:hAnsi="Garamond"/>
          <w:b w:val="0"/>
          <w:bCs/>
        </w:rPr>
        <w:t>). Duke iu referuar thelbit të pretendimeve të kërkueses, Gjykata do t’i shqyrtojë ato në themel në drejtim të standardit të arsyetimit të vendimit gjyqësor të lidhur me të drejtën e pronës. Brenda të njëjtit këndvështrim dhe për aq sa është i zbatueshëm parimi i barazisë përpara ligjit, Gjykata do t’u japë përgjigje edhe argumenteve të palëve për qëndrimin e ndryshëm që Gjykata e Lartë ka mbajtur në çështje të tjera të ngjashme.</w:t>
      </w:r>
    </w:p>
    <w:p w14:paraId="1AA7A283" w14:textId="77777777" w:rsidR="00294EFF" w:rsidRPr="006F1CF6" w:rsidRDefault="00294EFF" w:rsidP="00294EFF">
      <w:pPr>
        <w:pStyle w:val="BodyTextIndent2"/>
        <w:tabs>
          <w:tab w:val="left" w:pos="1080"/>
        </w:tabs>
        <w:spacing w:line="240" w:lineRule="auto"/>
        <w:ind w:left="0" w:firstLine="284"/>
        <w:rPr>
          <w:rFonts w:ascii="Garamond" w:hAnsi="Garamond"/>
          <w:b w:val="0"/>
          <w:bCs/>
          <w:i/>
          <w:iCs/>
        </w:rPr>
      </w:pPr>
      <w:r w:rsidRPr="006F1CF6">
        <w:rPr>
          <w:rFonts w:ascii="Garamond" w:hAnsi="Garamond"/>
          <w:b w:val="0"/>
          <w:bCs/>
          <w:i/>
          <w:iCs/>
        </w:rPr>
        <w:t>B. Për themelin e pretendimeve</w:t>
      </w:r>
    </w:p>
    <w:p w14:paraId="2C124CF7" w14:textId="0BE9490E" w:rsidR="00294EFF" w:rsidRPr="006F1CF6" w:rsidRDefault="00294EFF" w:rsidP="00294EFF">
      <w:pPr>
        <w:pStyle w:val="BodyTextIndent2"/>
        <w:tabs>
          <w:tab w:val="left" w:pos="1080"/>
        </w:tabs>
        <w:spacing w:line="240" w:lineRule="auto"/>
        <w:ind w:left="0" w:firstLine="284"/>
        <w:rPr>
          <w:rFonts w:ascii="Garamond" w:hAnsi="Garamond"/>
          <w:b w:val="0"/>
          <w:bCs/>
          <w:i/>
          <w:iCs/>
        </w:rPr>
      </w:pPr>
      <w:proofErr w:type="spellStart"/>
      <w:r w:rsidRPr="006F1CF6">
        <w:rPr>
          <w:rFonts w:ascii="Garamond" w:hAnsi="Garamond"/>
          <w:b w:val="0"/>
          <w:bCs/>
          <w:i/>
          <w:iCs/>
        </w:rPr>
        <w:t>B.1</w:t>
      </w:r>
      <w:proofErr w:type="spellEnd"/>
      <w:r w:rsidRPr="006F1CF6">
        <w:rPr>
          <w:rFonts w:ascii="Garamond" w:hAnsi="Garamond"/>
          <w:b w:val="0"/>
          <w:bCs/>
          <w:i/>
          <w:iCs/>
        </w:rPr>
        <w:t xml:space="preserve"> Për cenimin e standardit të arsyetimit të vendimit gjyqësor të lidhur me të drejtën e pronës</w:t>
      </w:r>
    </w:p>
    <w:p w14:paraId="7A0E0279" w14:textId="5FFAB0FE"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19. Kërkuesja ka pretenduar se Gjykata e Lartë nuk i ka kthyer përgjigje për pretendimet e ngritura në rekurs lidhur me zbatimin e gabuar të ligjit material, si rezultat i të cilit ajo ka paguar një gjobë në vlerë tepër të lartë. Sipas kërkueses, Gjykata e Lartë, brenda funksionit të saj, duhet të interpretonte nenin 122 të Ligjit për Procedurat Tatimore, në kushtet kur gjykatat më të ulëta kishin mbajtur qëndrime të ndryshme për zbatimin e këtij neni.</w:t>
      </w:r>
      <w:r w:rsidR="006F1CF6">
        <w:rPr>
          <w:rFonts w:ascii="Garamond" w:hAnsi="Garamond"/>
          <w:b w:val="0"/>
          <w:bCs/>
        </w:rPr>
        <w:t xml:space="preserve"> </w:t>
      </w:r>
      <w:r w:rsidRPr="006F1CF6">
        <w:rPr>
          <w:rFonts w:ascii="Garamond" w:hAnsi="Garamond"/>
          <w:b w:val="0"/>
          <w:bCs/>
        </w:rPr>
        <w:t xml:space="preserve">Po sipas kërkueses, Gjykata e Lartë ka dhënë një vendim diametralisht të kundërt në raport me raste të tjera të ngjashme, duke e vendosur atë në një pozitë të ndryshme nga subjektet e tjera që kanë përfituar nga vendimmarrja pozitive e kësaj gjykate. </w:t>
      </w:r>
    </w:p>
    <w:p w14:paraId="0681E29B" w14:textId="77011209"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20. Subjektet e interesuara, </w:t>
      </w:r>
      <w:proofErr w:type="spellStart"/>
      <w:r w:rsidRPr="006F1CF6">
        <w:rPr>
          <w:rFonts w:ascii="Garamond" w:hAnsi="Garamond"/>
          <w:b w:val="0"/>
          <w:bCs/>
        </w:rPr>
        <w:t>DPT</w:t>
      </w:r>
      <w:proofErr w:type="spellEnd"/>
      <w:r w:rsidRPr="006F1CF6">
        <w:rPr>
          <w:rFonts w:ascii="Garamond" w:hAnsi="Garamond"/>
          <w:b w:val="0"/>
          <w:bCs/>
        </w:rPr>
        <w:t xml:space="preserve">-ja, </w:t>
      </w:r>
      <w:proofErr w:type="spellStart"/>
      <w:r w:rsidRPr="006F1CF6">
        <w:rPr>
          <w:rFonts w:ascii="Garamond" w:hAnsi="Garamond"/>
          <w:b w:val="0"/>
          <w:bCs/>
        </w:rPr>
        <w:t>DRT</w:t>
      </w:r>
      <w:proofErr w:type="spellEnd"/>
      <w:r w:rsidRPr="006F1CF6">
        <w:rPr>
          <w:rFonts w:ascii="Garamond" w:hAnsi="Garamond"/>
          <w:b w:val="0"/>
          <w:bCs/>
        </w:rPr>
        <w:t>-ja dhe Avokatura e Shtetit, kanë prapësuar se Gjykata e Lartë ka argumentuar në mënyrë të qartë arsyet e mospranimit të rekursit dhe se vendimi i asaj gjykate plotëson standardet kushtetuese të arsyetimit të vendimit gjyqësor.</w:t>
      </w:r>
    </w:p>
    <w:p w14:paraId="3FDF1785" w14:textId="3B1FE3A8" w:rsidR="00294EFF" w:rsidRPr="006F1CF6" w:rsidRDefault="00294EFF" w:rsidP="00294EFF">
      <w:pPr>
        <w:pStyle w:val="BodyTextIndent2"/>
        <w:tabs>
          <w:tab w:val="left" w:pos="1080"/>
        </w:tabs>
        <w:spacing w:line="240" w:lineRule="auto"/>
        <w:ind w:left="0" w:firstLine="284"/>
        <w:rPr>
          <w:rFonts w:ascii="Garamond" w:hAnsi="Garamond"/>
          <w:b w:val="0"/>
          <w:bCs/>
          <w:i/>
          <w:iCs/>
        </w:rPr>
      </w:pPr>
      <w:r w:rsidRPr="006F1CF6">
        <w:rPr>
          <w:rFonts w:ascii="Garamond" w:hAnsi="Garamond"/>
          <w:b w:val="0"/>
          <w:bCs/>
        </w:rPr>
        <w:lastRenderedPageBreak/>
        <w:t>21. E drejta për të pasur një vendim gjyqësor të arsyetuar i garantohet individit nga nenet 42 dhe 142, pika 1, të Kushtetutës. Arsyetimi i vendimeve është element thelbësor i një vendimi të drejtë. Funksioni i një vendimi të arsyetuar është t’u tregojë palëve se ato janë dëgjuar, si dhe u jep mundësinë atyre ta kundërshtojnë atë (</w:t>
      </w:r>
      <w:r w:rsidRPr="006F1CF6">
        <w:rPr>
          <w:rFonts w:ascii="Garamond" w:hAnsi="Garamond"/>
          <w:b w:val="0"/>
          <w:bCs/>
          <w:i/>
          <w:iCs/>
        </w:rPr>
        <w:t>shih vendimet nr. 12, datë 18.3.2025; nr. 20, datë 13.4.2012; nr. 7, datë 9.3.2009</w:t>
      </w:r>
      <w:r w:rsidR="006F1CF6">
        <w:rPr>
          <w:rFonts w:ascii="Garamond" w:hAnsi="Garamond"/>
          <w:b w:val="0"/>
          <w:bCs/>
          <w:i/>
          <w:iCs/>
        </w:rPr>
        <w:t>,</w:t>
      </w:r>
      <w:r w:rsidRPr="006F1CF6">
        <w:rPr>
          <w:rFonts w:ascii="Garamond" w:hAnsi="Garamond"/>
          <w:b w:val="0"/>
          <w:bCs/>
          <w:i/>
          <w:iCs/>
        </w:rPr>
        <w:t xml:space="preserve"> të Gjykatës Kushtetuese</w:t>
      </w:r>
      <w:r w:rsidRPr="006F1CF6">
        <w:rPr>
          <w:rFonts w:ascii="Garamond" w:hAnsi="Garamond"/>
          <w:b w:val="0"/>
          <w:bCs/>
        </w:rPr>
        <w:t xml:space="preserve">). Me arsyetimin gjyqtari tregon me qartësi faktet dhe ligjin e zbatueshëm që e kanë çuar në bërjen e një zgjedhjeje ndërmjet disa mundësive. Vendimet gjyqësore që japin gjykatat e të gjitha niveleve në përfundim të gjykimit përbëjnë aktin procedural kryesor të </w:t>
      </w:r>
      <w:proofErr w:type="spellStart"/>
      <w:r w:rsidRPr="006F1CF6">
        <w:rPr>
          <w:rFonts w:ascii="Garamond" w:hAnsi="Garamond"/>
          <w:b w:val="0"/>
          <w:bCs/>
        </w:rPr>
        <w:t>të</w:t>
      </w:r>
      <w:proofErr w:type="spellEnd"/>
      <w:r w:rsidRPr="006F1CF6">
        <w:rPr>
          <w:rFonts w:ascii="Garamond" w:hAnsi="Garamond"/>
          <w:b w:val="0"/>
          <w:bCs/>
        </w:rPr>
        <w:t xml:space="preserve"> gjithë procesit gjyqësor. Ato përmbledhin dhe finalizojnë përfundimisht qëndrimet që mban gjykata për çështjen në gjykim </w:t>
      </w:r>
      <w:r w:rsidRPr="006F1CF6">
        <w:rPr>
          <w:rFonts w:ascii="Garamond" w:hAnsi="Garamond"/>
          <w:b w:val="0"/>
          <w:bCs/>
          <w:i/>
          <w:iCs/>
        </w:rPr>
        <w:t>(shih vendimet nr. 10, datë 4.3.2021; nr.</w:t>
      </w:r>
      <w:r w:rsidR="006F1CF6">
        <w:rPr>
          <w:rFonts w:ascii="Garamond" w:hAnsi="Garamond"/>
          <w:b w:val="0"/>
          <w:bCs/>
          <w:i/>
          <w:iCs/>
        </w:rPr>
        <w:t xml:space="preserve"> </w:t>
      </w:r>
      <w:r w:rsidRPr="006F1CF6">
        <w:rPr>
          <w:rFonts w:ascii="Garamond" w:hAnsi="Garamond"/>
          <w:b w:val="0"/>
          <w:bCs/>
          <w:i/>
          <w:iCs/>
        </w:rPr>
        <w:t>18, datë 15.3.2016</w:t>
      </w:r>
      <w:r w:rsidR="006F1CF6">
        <w:rPr>
          <w:rFonts w:ascii="Garamond" w:hAnsi="Garamond"/>
          <w:b w:val="0"/>
          <w:bCs/>
          <w:i/>
          <w:iCs/>
        </w:rPr>
        <w:t>,</w:t>
      </w:r>
      <w:r w:rsidRPr="006F1CF6">
        <w:rPr>
          <w:rFonts w:ascii="Garamond" w:hAnsi="Garamond"/>
          <w:b w:val="0"/>
          <w:bCs/>
          <w:i/>
          <w:iCs/>
        </w:rPr>
        <w:t xml:space="preserve"> të Gjykatës Kushtetuese).</w:t>
      </w:r>
    </w:p>
    <w:p w14:paraId="6C962088" w14:textId="2889C460"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22. Detyrimi për garantimin e standardit të arsyetimit të vendimit gjyqësor nuk nënkupton se kërkohet arsyetim i detajuar për çdo pretendim të palëve </w:t>
      </w:r>
      <w:proofErr w:type="spellStart"/>
      <w:r w:rsidRPr="006F1CF6">
        <w:rPr>
          <w:rFonts w:ascii="Garamond" w:hAnsi="Garamond"/>
          <w:b w:val="0"/>
          <w:bCs/>
        </w:rPr>
        <w:t>ndërgjyqëse</w:t>
      </w:r>
      <w:proofErr w:type="spellEnd"/>
      <w:r w:rsidRPr="006F1CF6">
        <w:rPr>
          <w:rFonts w:ascii="Garamond" w:hAnsi="Garamond"/>
          <w:b w:val="0"/>
          <w:bCs/>
        </w:rPr>
        <w:t>, por ai varet nga natyra e vendimit në fjalë (</w:t>
      </w:r>
      <w:r w:rsidRPr="006F1CF6">
        <w:rPr>
          <w:rFonts w:ascii="Garamond" w:hAnsi="Garamond"/>
          <w:b w:val="0"/>
          <w:bCs/>
          <w:i/>
          <w:iCs/>
        </w:rPr>
        <w:t>shih vendimet nr. 17, datë 23.3.2023; nr. 80, datë 18.12.2017; nr. 34, datë 13.6.2016</w:t>
      </w:r>
      <w:r w:rsidR="006F1CF6">
        <w:rPr>
          <w:rFonts w:ascii="Garamond" w:hAnsi="Garamond"/>
          <w:b w:val="0"/>
          <w:bCs/>
          <w:i/>
          <w:iCs/>
        </w:rPr>
        <w:t>,</w:t>
      </w:r>
      <w:r w:rsidRPr="006F1CF6">
        <w:rPr>
          <w:rFonts w:ascii="Garamond" w:hAnsi="Garamond"/>
          <w:b w:val="0"/>
          <w:bCs/>
          <w:i/>
          <w:iCs/>
        </w:rPr>
        <w:t xml:space="preserve"> të Gjykatës Kushtetuese</w:t>
      </w:r>
      <w:r w:rsidRPr="006F1CF6">
        <w:rPr>
          <w:rFonts w:ascii="Garamond" w:hAnsi="Garamond"/>
          <w:b w:val="0"/>
          <w:bCs/>
        </w:rPr>
        <w:t xml:space="preserve">). Arsyetimi i kufizuar i vendimeve të mospranimit të rekursit, si rregull, nuk cenon standardin e arsyetimit të vendimit gjyqësor. Megjithatë, kur në rekurs janë ngritur pretendime kushtetuese, Gjykata e Lartë, bazuar në parimin e </w:t>
      </w:r>
      <w:proofErr w:type="spellStart"/>
      <w:r w:rsidRPr="006F1CF6">
        <w:rPr>
          <w:rFonts w:ascii="Garamond" w:hAnsi="Garamond"/>
          <w:b w:val="0"/>
          <w:bCs/>
        </w:rPr>
        <w:t>subsidiaritetit</w:t>
      </w:r>
      <w:proofErr w:type="spellEnd"/>
      <w:r w:rsidRPr="006F1CF6">
        <w:rPr>
          <w:rFonts w:ascii="Garamond" w:hAnsi="Garamond"/>
          <w:b w:val="0"/>
          <w:bCs/>
        </w:rPr>
        <w:t xml:space="preserve"> që udhëheq raportet ndërmjet juridiksionit kushtetues dhe juridiksionit të gjykatave të zakonshme, duhet të investohet në shqyrtimin e tyre dhe të mbajë një qëndrim të shprehur lidhur me to </w:t>
      </w:r>
      <w:r w:rsidRPr="006F1CF6">
        <w:rPr>
          <w:rFonts w:ascii="Garamond" w:hAnsi="Garamond"/>
          <w:b w:val="0"/>
          <w:bCs/>
          <w:i/>
          <w:iCs/>
        </w:rPr>
        <w:t>(shih vendimet nr. 31, datë 2.5.2025; nr. 19, datë 7.7.2022; nr. 11, datë 16.4.2018</w:t>
      </w:r>
      <w:r w:rsidR="006F1CF6">
        <w:rPr>
          <w:rFonts w:ascii="Garamond" w:hAnsi="Garamond"/>
          <w:b w:val="0"/>
          <w:bCs/>
          <w:i/>
          <w:iCs/>
        </w:rPr>
        <w:t>,</w:t>
      </w:r>
      <w:r w:rsidRPr="006F1CF6">
        <w:rPr>
          <w:rFonts w:ascii="Garamond" w:hAnsi="Garamond"/>
          <w:b w:val="0"/>
          <w:bCs/>
          <w:i/>
          <w:iCs/>
        </w:rPr>
        <w:t xml:space="preserve"> të Gjykatës Kushtetuese)</w:t>
      </w:r>
      <w:r w:rsidRPr="006F1CF6">
        <w:rPr>
          <w:rFonts w:ascii="Garamond" w:hAnsi="Garamond"/>
          <w:b w:val="0"/>
          <w:bCs/>
        </w:rPr>
        <w:t xml:space="preserve">. </w:t>
      </w:r>
    </w:p>
    <w:p w14:paraId="566AEBBA" w14:textId="79ABE41D" w:rsidR="00294EFF" w:rsidRPr="006F1CF6" w:rsidRDefault="00294EFF" w:rsidP="00294EFF">
      <w:pPr>
        <w:pStyle w:val="BodyTextIndent2"/>
        <w:tabs>
          <w:tab w:val="left" w:pos="1160"/>
        </w:tabs>
        <w:spacing w:line="240" w:lineRule="auto"/>
        <w:ind w:left="0" w:firstLine="284"/>
        <w:rPr>
          <w:rFonts w:ascii="Garamond" w:hAnsi="Garamond"/>
          <w:b w:val="0"/>
          <w:bCs/>
        </w:rPr>
      </w:pPr>
      <w:r w:rsidRPr="006F1CF6">
        <w:rPr>
          <w:rFonts w:ascii="Garamond" w:hAnsi="Garamond"/>
          <w:b w:val="0"/>
          <w:bCs/>
        </w:rPr>
        <w:t xml:space="preserve">23. Në vështrim të standardeve të mësipërme, Gjykata vëren se kërkuesja ka kundërshtuar vetëm vendimin e Gjykatës së Lartë, me të cilin është vendosur mospranimi i rekursit të saj. Në situatën kur rekursi nuk është shqyrtuar në themel dhe për të respektuar kufirin midis juridiksionit kushtetues dhe atij gjyqësor, Gjykata për zgjidhjen e çështjes do t’i japë përgjigje pyetjes nëse arsyetimi i kufizuar i Gjykatës së Lartë është i mjaftueshëm nga pikëpamja kushtetuese për pretendimin se mënyra e zbatimit të Ligjit për Procedurat Tatimore nga organet tatimore në caktimin e gjobës dhe më pas nga gjykatat e faktit cenon të drejtën e pronës së kërkueses. </w:t>
      </w:r>
    </w:p>
    <w:p w14:paraId="5EE2352E" w14:textId="78D8907A"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24. Fillimisht, Gjykata çmon të vërë në dukje përmbajtjen e Ligjit për Procedurat Tatimore. Kështu, në nenin 122, shkronja “b”, paragrafi i parë, përcaktohet se tatimpaguesi, person juridik ose fizik, tregtar, dënohet në rast se: b) nuk lëshon kupon tatimor për qarkullimin e realizuar të mallrave ose shërbimeve, për çdo rast konstatimi: i</w:t>
      </w:r>
      <w:r w:rsidR="006F1CF6">
        <w:rPr>
          <w:rFonts w:ascii="Garamond" w:hAnsi="Garamond"/>
          <w:b w:val="0"/>
          <w:bCs/>
        </w:rPr>
        <w:t>.</w:t>
      </w:r>
      <w:r w:rsidRPr="006F1CF6">
        <w:rPr>
          <w:rFonts w:ascii="Garamond" w:hAnsi="Garamond"/>
          <w:b w:val="0"/>
          <w:bCs/>
        </w:rPr>
        <w:t xml:space="preserve"> për kontrollin e parë, me gjobë, në masën 200 000 (dyqind mijë lekë), për tatimpaguesit e regjistruar si subjekte të tatimit mbi vlerën e shtuar dhe tatimit mbi fitimin, dhe gjobë në masën 100 000 (njëqind mijë) lekë për tatimpaguesit e tjerë, </w:t>
      </w:r>
      <w:proofErr w:type="spellStart"/>
      <w:r w:rsidRPr="006F1CF6">
        <w:rPr>
          <w:rFonts w:ascii="Garamond" w:hAnsi="Garamond"/>
          <w:b w:val="0"/>
          <w:bCs/>
        </w:rPr>
        <w:t>ii</w:t>
      </w:r>
      <w:proofErr w:type="spellEnd"/>
      <w:r w:rsidR="006F1CF6">
        <w:rPr>
          <w:rFonts w:ascii="Garamond" w:hAnsi="Garamond"/>
          <w:b w:val="0"/>
          <w:bCs/>
        </w:rPr>
        <w:t>.</w:t>
      </w:r>
      <w:r w:rsidRPr="006F1CF6">
        <w:rPr>
          <w:rFonts w:ascii="Garamond" w:hAnsi="Garamond"/>
          <w:b w:val="0"/>
          <w:bCs/>
        </w:rPr>
        <w:t xml:space="preserve"> për kontrollin e dytë, me gjobë, në masën 300 000 (treqind mijë) lekë, për tatimpaguesit e regjistruar si subjekte të tatimit mbi vlerën e shtuar dhe tatimit mbi fitimin dhe gjobë në masën 200 000 (dyqind mijë) lekë për tatimpaguesit e tjerë; </w:t>
      </w:r>
      <w:proofErr w:type="spellStart"/>
      <w:r w:rsidRPr="006F1CF6">
        <w:rPr>
          <w:rFonts w:ascii="Garamond" w:hAnsi="Garamond"/>
          <w:b w:val="0"/>
          <w:bCs/>
        </w:rPr>
        <w:t>iii</w:t>
      </w:r>
      <w:proofErr w:type="spellEnd"/>
      <w:r w:rsidR="006F1CF6">
        <w:rPr>
          <w:rFonts w:ascii="Garamond" w:hAnsi="Garamond"/>
          <w:b w:val="0"/>
          <w:bCs/>
        </w:rPr>
        <w:t>.</w:t>
      </w:r>
      <w:r w:rsidRPr="006F1CF6">
        <w:rPr>
          <w:rFonts w:ascii="Garamond" w:hAnsi="Garamond"/>
          <w:b w:val="0"/>
          <w:bCs/>
        </w:rPr>
        <w:t xml:space="preserve"> për kontrollin e tretë, me gjobë në masën 500 000 (pesëqind mijë) lekë ose mbyllje të veprimtarisë deri në 6 (gjashtë) muaj.</w:t>
      </w:r>
    </w:p>
    <w:p w14:paraId="271F1428" w14:textId="3B7E7469"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25. Në rastin konkret, kërkuesja ka paraqitur padi për shkak se, sipas saj, aktet administrative të nxjerra nga pala e paditur ishin në kundërshtim me nenin 122 të Ligjit për Procedurat Tatimore. Gjithashtu, sipas saj, procesverbalet e hartuara nga inspektorët tatimorë nuk pasqyronin gjendjen reale lidhur me numrin e tavolinave që ishin në ambientin ku ushtrohej aktiviteti. Në rigjykimin e çështjes, Gjykata Administrative e Shkallës së Parë Tiranë ka vendosur pranimin e pjesshëm të padisë, duke lënë si detyrim vlerën e gjobës prej 300 000 lekësh, pasi masa e gjobës duhet të ishte aplikuar për një rast konstatimi shkeljeje tatimore. Në mënyrë të përmbledhur, ajo gjykatë ka arsyetuar se, </w:t>
      </w:r>
      <w:r w:rsidRPr="006F1CF6">
        <w:rPr>
          <w:rFonts w:ascii="Garamond" w:hAnsi="Garamond"/>
          <w:b w:val="0"/>
          <w:bCs/>
          <w:i/>
          <w:iCs/>
        </w:rPr>
        <w:t>së pari</w:t>
      </w:r>
      <w:r w:rsidRPr="006F1CF6">
        <w:rPr>
          <w:rFonts w:ascii="Garamond" w:hAnsi="Garamond"/>
          <w:b w:val="0"/>
          <w:bCs/>
        </w:rPr>
        <w:t xml:space="preserve">, është i pavërtetë fakti i konstatuar nga inspektorët për gjetjen e 100 tavolinave pa kupon tatimor, pasi ato nuk ishin të gjitha në funksion në kohën e kontrollit. </w:t>
      </w:r>
      <w:r w:rsidRPr="006F1CF6">
        <w:rPr>
          <w:rFonts w:ascii="Garamond" w:hAnsi="Garamond"/>
          <w:b w:val="0"/>
          <w:bCs/>
          <w:i/>
          <w:iCs/>
        </w:rPr>
        <w:t>Së dyti</w:t>
      </w:r>
      <w:r w:rsidRPr="006F1CF6">
        <w:rPr>
          <w:rFonts w:ascii="Garamond" w:hAnsi="Garamond"/>
          <w:b w:val="0"/>
          <w:bCs/>
        </w:rPr>
        <w:t xml:space="preserve">, sipas asaj gjykate, togfjalëshi “çdo rast konstatimi” në tekstin e nenit 122, shkronja “b”, </w:t>
      </w:r>
      <w:proofErr w:type="spellStart"/>
      <w:r w:rsidRPr="006F1CF6">
        <w:rPr>
          <w:rFonts w:ascii="Garamond" w:hAnsi="Garamond"/>
          <w:b w:val="0"/>
          <w:bCs/>
        </w:rPr>
        <w:t>nënparagrafi</w:t>
      </w:r>
      <w:proofErr w:type="spellEnd"/>
      <w:r w:rsidRPr="006F1CF6">
        <w:rPr>
          <w:rFonts w:ascii="Garamond" w:hAnsi="Garamond"/>
          <w:b w:val="0"/>
          <w:bCs/>
        </w:rPr>
        <w:t xml:space="preserve"> “</w:t>
      </w:r>
      <w:proofErr w:type="spellStart"/>
      <w:r w:rsidRPr="006F1CF6">
        <w:rPr>
          <w:rFonts w:ascii="Garamond" w:hAnsi="Garamond"/>
          <w:b w:val="0"/>
          <w:bCs/>
        </w:rPr>
        <w:t>ii</w:t>
      </w:r>
      <w:proofErr w:type="spellEnd"/>
      <w:r w:rsidRPr="006F1CF6">
        <w:rPr>
          <w:rFonts w:ascii="Garamond" w:hAnsi="Garamond"/>
          <w:b w:val="0"/>
          <w:bCs/>
        </w:rPr>
        <w:t xml:space="preserve">”, të Ligjit për Procedurat Tatimore nuk mund të interpretohet se përfshin </w:t>
      </w:r>
      <w:proofErr w:type="spellStart"/>
      <w:r w:rsidRPr="006F1CF6">
        <w:rPr>
          <w:rFonts w:ascii="Garamond" w:hAnsi="Garamond"/>
          <w:b w:val="0"/>
          <w:bCs/>
        </w:rPr>
        <w:t>penalizimin</w:t>
      </w:r>
      <w:proofErr w:type="spellEnd"/>
      <w:r w:rsidRPr="006F1CF6">
        <w:rPr>
          <w:rFonts w:ascii="Garamond" w:hAnsi="Garamond"/>
          <w:b w:val="0"/>
          <w:bCs/>
        </w:rPr>
        <w:t xml:space="preserve"> me gjobë për çdo tavolinë në aktivitetin tregtar në momentin e kontrollit.</w:t>
      </w:r>
    </w:p>
    <w:p w14:paraId="6E551254" w14:textId="4F0FAE2B"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26. Në të kundërt të këtij qëndrimi, Gjykata Administrative e Apelit ka vendosur rrëzimin e padisë, duke arsyetuar se me të drejtë organi tatimor ka vendosur ta gjobisë kërkuesen me 30 000 000 lekë, pasi provohej që në kohën e kontrollit po ofrohej shërbim në 100 tavolina pa kupon </w:t>
      </w:r>
      <w:r w:rsidRPr="006F1CF6">
        <w:rPr>
          <w:rFonts w:ascii="Garamond" w:hAnsi="Garamond"/>
          <w:b w:val="0"/>
          <w:bCs/>
        </w:rPr>
        <w:lastRenderedPageBreak/>
        <w:t>tatimor. Sipas gjykatës së apelit, organi tatimor kishte vepruar drejt, duke caktuar masën e gjobës 300 000</w:t>
      </w:r>
      <w:r w:rsidR="006F1CF6">
        <w:rPr>
          <w:rFonts w:ascii="Garamond" w:hAnsi="Garamond"/>
          <w:b w:val="0"/>
          <w:bCs/>
        </w:rPr>
        <w:t xml:space="preserve"> </w:t>
      </w:r>
      <w:r w:rsidRPr="006F1CF6">
        <w:rPr>
          <w:rFonts w:ascii="Garamond" w:hAnsi="Garamond"/>
          <w:b w:val="0"/>
          <w:bCs/>
        </w:rPr>
        <w:t xml:space="preserve">lekë për çdo tavolinë në funksion. </w:t>
      </w:r>
    </w:p>
    <w:p w14:paraId="50AD0B83" w14:textId="5A7E7551"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27. Ndërkohë, Gjykata e Lartë, pas shqyrtimit të shkaqeve të rekursit të kërkueses, ka vendosur mospranimin e tij, duke lënë në praktikë të pacenuar vendimin e gjykatës së apelit. Gjykata e Lartë, me arsyetim të kufizuar, ka vlerësuar se në rekurs nuk janë parashtruar shkaqet ligjore për të cilat mund të ushtrohet e drejta e rekursit dhe as nuk evidentohen çështje ligjore që mund të shqyrtohen kryesisht nga gjykata (</w:t>
      </w:r>
      <w:r w:rsidRPr="006F1CF6">
        <w:rPr>
          <w:rFonts w:ascii="Garamond" w:hAnsi="Garamond"/>
          <w:b w:val="0"/>
          <w:bCs/>
          <w:i/>
          <w:iCs/>
        </w:rPr>
        <w:t>shih paragrafët 16 dhe 17</w:t>
      </w:r>
      <w:r w:rsidR="007A59A9">
        <w:rPr>
          <w:rFonts w:ascii="Garamond" w:hAnsi="Garamond"/>
          <w:b w:val="0"/>
          <w:bCs/>
          <w:i/>
          <w:iCs/>
        </w:rPr>
        <w:t>,</w:t>
      </w:r>
      <w:r w:rsidRPr="006F1CF6">
        <w:rPr>
          <w:rFonts w:ascii="Garamond" w:hAnsi="Garamond"/>
          <w:b w:val="0"/>
          <w:bCs/>
          <w:i/>
          <w:iCs/>
        </w:rPr>
        <w:t xml:space="preserve"> të vendimit të Gjykatës së Lartë</w:t>
      </w:r>
      <w:r w:rsidRPr="006F1CF6">
        <w:rPr>
          <w:rFonts w:ascii="Garamond" w:hAnsi="Garamond"/>
          <w:b w:val="0"/>
          <w:bCs/>
        </w:rPr>
        <w:t>).</w:t>
      </w:r>
      <w:r w:rsidR="006F1CF6">
        <w:rPr>
          <w:rFonts w:ascii="Garamond" w:hAnsi="Garamond"/>
          <w:b w:val="0"/>
          <w:bCs/>
        </w:rPr>
        <w:t xml:space="preserve"> </w:t>
      </w:r>
    </w:p>
    <w:p w14:paraId="199F891E" w14:textId="18D2388C"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28. Në parantezë, Gjykata vëren se në jurisprudencën kushtetuese për nenet 155 e 157 të Kushtetutës</w:t>
      </w:r>
      <w:r w:rsidR="006F1CF6">
        <w:rPr>
          <w:rFonts w:ascii="Garamond" w:hAnsi="Garamond"/>
          <w:b w:val="0"/>
          <w:bCs/>
        </w:rPr>
        <w:t xml:space="preserve"> </w:t>
      </w:r>
      <w:r w:rsidRPr="006F1CF6">
        <w:rPr>
          <w:rFonts w:ascii="Garamond" w:hAnsi="Garamond"/>
          <w:b w:val="0"/>
          <w:bCs/>
        </w:rPr>
        <w:t>është pranuar se parashikimi me ligj i gjobave tatimore i shërben interesit publik dhe se ligjvënësi gëzon një hapësirë vlerësimi (</w:t>
      </w:r>
      <w:proofErr w:type="spellStart"/>
      <w:r w:rsidRPr="006F1CF6">
        <w:rPr>
          <w:rFonts w:ascii="Garamond" w:hAnsi="Garamond"/>
          <w:b w:val="0"/>
          <w:bCs/>
        </w:rPr>
        <w:t>diskrecion</w:t>
      </w:r>
      <w:proofErr w:type="spellEnd"/>
      <w:r w:rsidRPr="006F1CF6">
        <w:rPr>
          <w:rFonts w:ascii="Garamond" w:hAnsi="Garamond"/>
          <w:b w:val="0"/>
          <w:bCs/>
        </w:rPr>
        <w:t xml:space="preserve">) të gjerë. Sistemi tatimor luan veçanërisht rol thelbësor në rritjen dhe zhvillimin ekonomik të një vendi. Efektiviteti dhe efikasiteti i tij mund të rrezikohen nga efektet e ekonomisë </w:t>
      </w:r>
      <w:proofErr w:type="spellStart"/>
      <w:r w:rsidRPr="006F1CF6">
        <w:rPr>
          <w:rFonts w:ascii="Garamond" w:hAnsi="Garamond"/>
          <w:b w:val="0"/>
          <w:bCs/>
        </w:rPr>
        <w:t>informale</w:t>
      </w:r>
      <w:proofErr w:type="spellEnd"/>
      <w:r w:rsidRPr="006F1CF6">
        <w:rPr>
          <w:rFonts w:ascii="Garamond" w:hAnsi="Garamond"/>
          <w:b w:val="0"/>
          <w:bCs/>
        </w:rPr>
        <w:t xml:space="preserve">, e njohur ndryshe si “ekonomia gri ose në hije”. Për këtë arsye, sistemi tatimor, krahas të drejtave dhe detyrimeve të palëve, duhet të përmbajë edhe mekanizma, siç janë gjobat tatimore, që nxisin subjektet ekonomike të përfshihen në procesin e </w:t>
      </w:r>
      <w:proofErr w:type="spellStart"/>
      <w:r w:rsidRPr="006F1CF6">
        <w:rPr>
          <w:rFonts w:ascii="Garamond" w:hAnsi="Garamond"/>
          <w:b w:val="0"/>
          <w:bCs/>
        </w:rPr>
        <w:t>formalizimit</w:t>
      </w:r>
      <w:proofErr w:type="spellEnd"/>
      <w:r w:rsidRPr="006F1CF6">
        <w:rPr>
          <w:rFonts w:ascii="Garamond" w:hAnsi="Garamond"/>
          <w:b w:val="0"/>
          <w:bCs/>
        </w:rPr>
        <w:t xml:space="preserve"> (</w:t>
      </w:r>
      <w:r w:rsidRPr="006F1CF6">
        <w:rPr>
          <w:rFonts w:ascii="Garamond" w:hAnsi="Garamond"/>
          <w:b w:val="0"/>
          <w:bCs/>
          <w:i/>
          <w:iCs/>
        </w:rPr>
        <w:t>shih vendimin nr. 33, datë 8.6.2016</w:t>
      </w:r>
      <w:r w:rsidR="006F1CF6">
        <w:rPr>
          <w:rFonts w:ascii="Garamond" w:hAnsi="Garamond"/>
          <w:b w:val="0"/>
          <w:bCs/>
          <w:i/>
          <w:iCs/>
        </w:rPr>
        <w:t>,</w:t>
      </w:r>
      <w:r w:rsidRPr="006F1CF6">
        <w:rPr>
          <w:rFonts w:ascii="Garamond" w:hAnsi="Garamond"/>
          <w:b w:val="0"/>
          <w:bCs/>
          <w:i/>
          <w:iCs/>
        </w:rPr>
        <w:t xml:space="preserve"> të Gjykatës Kushtetuese</w:t>
      </w:r>
      <w:r w:rsidRPr="006F1CF6">
        <w:rPr>
          <w:rFonts w:ascii="Garamond" w:hAnsi="Garamond"/>
          <w:b w:val="0"/>
          <w:bCs/>
        </w:rPr>
        <w:t>).</w:t>
      </w:r>
    </w:p>
    <w:p w14:paraId="185C064A" w14:textId="3EDB2CD2" w:rsidR="00294EFF" w:rsidRPr="006F1CF6" w:rsidRDefault="00294EFF" w:rsidP="00294EFF">
      <w:pPr>
        <w:pStyle w:val="BodyTextIndent2"/>
        <w:tabs>
          <w:tab w:val="left" w:pos="1080"/>
        </w:tabs>
        <w:spacing w:line="240" w:lineRule="auto"/>
        <w:ind w:left="0" w:firstLine="284"/>
        <w:rPr>
          <w:rFonts w:ascii="Garamond" w:hAnsi="Garamond"/>
          <w:b w:val="0"/>
          <w:bCs/>
        </w:rPr>
      </w:pPr>
      <w:r w:rsidRPr="006F1CF6">
        <w:rPr>
          <w:rFonts w:ascii="Garamond" w:hAnsi="Garamond"/>
          <w:b w:val="0"/>
          <w:bCs/>
        </w:rPr>
        <w:t xml:space="preserve">29. Gjykata konstaton se rekursi i kërkueses nuk lidhej me caktimin e gjobës në vetvete, por me mënyrën sesi gjykata e apelit kishte interpretuar ligjin, që rezultoi me një vlerë tepër të lartë gjobe. Ajo gjykatë arriti në përfundimin se neni 122, pika 1, i Ligjit për Procedurat Tatimore zbatohej për çdo rast (tavolinë) të konstatuar pa kupon tatimor dhe jo vetëm një herë. Me fjalë të tjera, rekursi i kërkueses kishte të bënte me një shkelje potenciale të së drejtës kushtetuese të pronës në drejtim të </w:t>
      </w:r>
      <w:proofErr w:type="spellStart"/>
      <w:r w:rsidRPr="006F1CF6">
        <w:rPr>
          <w:rFonts w:ascii="Garamond" w:hAnsi="Garamond"/>
          <w:b w:val="0"/>
          <w:bCs/>
        </w:rPr>
        <w:t>proporcionalitetit</w:t>
      </w:r>
      <w:proofErr w:type="spellEnd"/>
      <w:r w:rsidRPr="006F1CF6">
        <w:rPr>
          <w:rFonts w:ascii="Garamond" w:hAnsi="Garamond"/>
          <w:b w:val="0"/>
          <w:bCs/>
        </w:rPr>
        <w:t xml:space="preserve"> të vlerës së gjobës. Pavarësisht kësaj, Gjykata e Lartë vendosi mospranimin e rekursit pa i dhënë përgjigje të shprehur pretendimit vendimtar për zgjidhjen e çështjes, që për shkak të diferencës domethënëse të vlerës financiare (100-fish), kërkonte vëmendje të shtuar prej saj. Thënë kjo, interpretimi diametralisht i kundërt nga gjykatat e faktit i nenit 122 të Ligjit për Procedurat Tatimore dhe mosdhënia e një përgjigjeje përfundimtare nga Gjykata e Lartë për mënyrën e zbatimit të ligjit, ka bërë që, në thelb, pretendimi kushtetues i kërkueses të mbetet i pazgjidhur. </w:t>
      </w:r>
    </w:p>
    <w:p w14:paraId="1D69F5D0" w14:textId="73CC7AAE" w:rsidR="00294EFF" w:rsidRPr="006F1CF6" w:rsidRDefault="00294EFF" w:rsidP="00294EFF">
      <w:pPr>
        <w:pStyle w:val="ListParagraph"/>
        <w:tabs>
          <w:tab w:val="left" w:pos="0"/>
          <w:tab w:val="left" w:pos="720"/>
          <w:tab w:val="left" w:pos="980"/>
          <w:tab w:val="left" w:pos="1080"/>
          <w:tab w:val="left" w:pos="1160"/>
          <w:tab w:val="left" w:pos="4220"/>
        </w:tabs>
        <w:spacing w:line="240" w:lineRule="auto"/>
        <w:ind w:left="0" w:firstLine="284"/>
        <w:jc w:val="both"/>
        <w:rPr>
          <w:rFonts w:ascii="Garamond" w:hAnsi="Garamond"/>
        </w:rPr>
      </w:pPr>
      <w:r w:rsidRPr="006F1CF6">
        <w:rPr>
          <w:rFonts w:ascii="Garamond" w:hAnsi="Garamond"/>
        </w:rPr>
        <w:t xml:space="preserve">30. Gjykata vëren se kërkuesja ka sjellë në vëmendje të saj edhe qëndrimin e ndryshëm që Gjykata e Lartë (Kolegji Administrativ) ka mbajtur në katër raste të ngjashme, në të cilat është pohuar se qëllimi i Ligjit për Procedurat Tatimore është t’i disiplinojë bizneset (qofshin ato të vogla ose të mëdha) dhe jo t’i vendosë ato në pamundësi për të shlyer detyrimet tatimore, prandaj koncepti për çdo rast konstatimi duhet kuptuar se nëse nga inspektorët tatimorë në një biznes të tillë konstatohet edhe një klient i </w:t>
      </w:r>
      <w:proofErr w:type="spellStart"/>
      <w:r w:rsidRPr="006F1CF6">
        <w:rPr>
          <w:rFonts w:ascii="Garamond" w:hAnsi="Garamond"/>
        </w:rPr>
        <w:t>papajisur</w:t>
      </w:r>
      <w:proofErr w:type="spellEnd"/>
      <w:r w:rsidRPr="006F1CF6">
        <w:rPr>
          <w:rFonts w:ascii="Garamond" w:hAnsi="Garamond"/>
        </w:rPr>
        <w:t xml:space="preserve"> me kupon tatimor, atëherë subjekti që ka detyrimin për të lëshuar kuponin tatimor duhet të dënohet sipas parashikimeve të bëra në nenin 122, pika 1, të Ligjit për Procedurat Tatimore vetëm një herë me gjobë, e cila është e parashikuar nga kjo dispozitë dhe jo duke e shumëfishuar gjobën në bazë të tavolinave që janë të </w:t>
      </w:r>
      <w:proofErr w:type="spellStart"/>
      <w:r w:rsidRPr="006F1CF6">
        <w:rPr>
          <w:rFonts w:ascii="Garamond" w:hAnsi="Garamond"/>
        </w:rPr>
        <w:t>papajisura</w:t>
      </w:r>
      <w:proofErr w:type="spellEnd"/>
      <w:r w:rsidRPr="006F1CF6">
        <w:rPr>
          <w:rFonts w:ascii="Garamond" w:hAnsi="Garamond"/>
        </w:rPr>
        <w:t xml:space="preserve"> me kupon tatimor (</w:t>
      </w:r>
      <w:r w:rsidRPr="006F1CF6">
        <w:rPr>
          <w:rFonts w:ascii="Garamond" w:hAnsi="Garamond"/>
          <w:i/>
          <w:iCs/>
        </w:rPr>
        <w:t>shih vendimet</w:t>
      </w:r>
      <w:r w:rsidRPr="006F1CF6">
        <w:rPr>
          <w:rFonts w:ascii="Garamond" w:hAnsi="Garamond"/>
        </w:rPr>
        <w:t xml:space="preserve"> </w:t>
      </w:r>
      <w:r w:rsidRPr="006F1CF6">
        <w:rPr>
          <w:rFonts w:ascii="Garamond" w:hAnsi="Garamond"/>
          <w:i/>
          <w:iCs/>
        </w:rPr>
        <w:t>nr. 00-2024-5392, datë 12.12.2024; nr. 00-2023-3601, datë 21.9.202</w:t>
      </w:r>
      <w:bookmarkStart w:id="0" w:name="_GoBack"/>
      <w:bookmarkEnd w:id="0"/>
      <w:r w:rsidRPr="006F1CF6">
        <w:rPr>
          <w:rFonts w:ascii="Garamond" w:hAnsi="Garamond"/>
          <w:i/>
          <w:iCs/>
        </w:rPr>
        <w:t>3; nr. 00-2016-3389, datë 21.12.2016; nr. 00-2015-2898, datë 25.6.2015</w:t>
      </w:r>
      <w:r w:rsidR="006F1CF6">
        <w:rPr>
          <w:rFonts w:ascii="Garamond" w:hAnsi="Garamond"/>
          <w:i/>
          <w:iCs/>
        </w:rPr>
        <w:t>,</w:t>
      </w:r>
      <w:r w:rsidRPr="006F1CF6">
        <w:rPr>
          <w:rFonts w:ascii="Garamond" w:hAnsi="Garamond"/>
          <w:i/>
          <w:iCs/>
        </w:rPr>
        <w:t xml:space="preserve"> të Kolegjit Administrativ të Gjykatës së Lartë</w:t>
      </w:r>
      <w:r w:rsidRPr="006F1CF6">
        <w:rPr>
          <w:rFonts w:ascii="Garamond" w:hAnsi="Garamond"/>
        </w:rPr>
        <w:t>).</w:t>
      </w:r>
    </w:p>
    <w:p w14:paraId="0507F77F" w14:textId="7B856627" w:rsidR="00294EFF" w:rsidRPr="006F1CF6" w:rsidRDefault="00294EFF" w:rsidP="00294EFF">
      <w:pPr>
        <w:pStyle w:val="ListParagraph"/>
        <w:tabs>
          <w:tab w:val="left" w:pos="0"/>
          <w:tab w:val="left" w:pos="720"/>
          <w:tab w:val="left" w:pos="980"/>
          <w:tab w:val="left" w:pos="1080"/>
          <w:tab w:val="left" w:pos="1160"/>
          <w:tab w:val="left" w:pos="4220"/>
        </w:tabs>
        <w:spacing w:line="240" w:lineRule="auto"/>
        <w:ind w:left="0" w:firstLine="284"/>
        <w:jc w:val="both"/>
        <w:rPr>
          <w:rFonts w:ascii="Garamond" w:hAnsi="Garamond"/>
        </w:rPr>
      </w:pPr>
      <w:r w:rsidRPr="006F1CF6">
        <w:rPr>
          <w:rFonts w:ascii="Garamond" w:hAnsi="Garamond"/>
        </w:rPr>
        <w:t xml:space="preserve">31. Për sa më lart, Gjykata evidenton se në vendimin e gjykatës së apelit mungon tërësisht vlerësimi ligjor për </w:t>
      </w:r>
      <w:proofErr w:type="spellStart"/>
      <w:r w:rsidRPr="006F1CF6">
        <w:rPr>
          <w:rFonts w:ascii="Garamond" w:hAnsi="Garamond"/>
        </w:rPr>
        <w:t>proporcionalitetin</w:t>
      </w:r>
      <w:proofErr w:type="spellEnd"/>
      <w:r w:rsidRPr="006F1CF6">
        <w:rPr>
          <w:rFonts w:ascii="Garamond" w:hAnsi="Garamond"/>
        </w:rPr>
        <w:t xml:space="preserve"> e vlerës së gjobës, pasi ajo gjykatë ka arsyetuar me terma të përgjithshëm dhe ka nxjerrë përfundimin se veprimet e inspektorëve tatimorë ishin në përputhje me ligjin, në dallim nga gjykata administrative e shkallës së parë që ka dhënë arsye të detajuara për zgjidhjen që i ka dhënë çështjes, bazuar në rrethanat konkrete që janë provuar në gjykim. Në këtë situatë, Gjykata çmon se vendimi i Gjykatës së Lartë në rastin e kërkueses nuk ka përmbushur standardin kushtetues të arsyetimit, për shkak se nuk i është dhënë përgjigje pretendimit me natyrë kushtetuese. Ky i fundit lidhej me të drejtën kushtetuese të pronës, konkretisht në drejtim të raportit të drejtë që duhet të ekzistojë midis qëllimit për mbrojtjen e interesit publik për mbrojtjen e sistemit tatimor nga </w:t>
      </w:r>
      <w:proofErr w:type="spellStart"/>
      <w:r w:rsidRPr="006F1CF6">
        <w:rPr>
          <w:rFonts w:ascii="Garamond" w:hAnsi="Garamond"/>
        </w:rPr>
        <w:t>informaliteti</w:t>
      </w:r>
      <w:proofErr w:type="spellEnd"/>
      <w:r w:rsidRPr="006F1CF6">
        <w:rPr>
          <w:rFonts w:ascii="Garamond" w:hAnsi="Garamond"/>
        </w:rPr>
        <w:t xml:space="preserve"> përmes caktimit të gjobës në vlerën prej 30 000 000 lekësh dhe mbrojtjes</w:t>
      </w:r>
      <w:r w:rsidR="006F1CF6">
        <w:rPr>
          <w:rFonts w:ascii="Garamond" w:hAnsi="Garamond"/>
        </w:rPr>
        <w:t xml:space="preserve"> </w:t>
      </w:r>
      <w:r w:rsidRPr="006F1CF6">
        <w:rPr>
          <w:rFonts w:ascii="Garamond" w:hAnsi="Garamond"/>
        </w:rPr>
        <w:t xml:space="preserve">të së drejtës themelore të pronës së kërkueses. Kur individi ngarkohet me barrë të tepruar, atëherë prishet ekuilibri që duhet të ekzistojë midis interesave që synon të mbrojë parimi i </w:t>
      </w:r>
      <w:proofErr w:type="spellStart"/>
      <w:r w:rsidRPr="006F1CF6">
        <w:rPr>
          <w:rFonts w:ascii="Garamond" w:hAnsi="Garamond"/>
        </w:rPr>
        <w:t>proporcionalitetit</w:t>
      </w:r>
      <w:proofErr w:type="spellEnd"/>
      <w:r w:rsidRPr="006F1CF6">
        <w:rPr>
          <w:rFonts w:ascii="Garamond" w:hAnsi="Garamond"/>
        </w:rPr>
        <w:t>. Gjykata thekson se të drejtat themelore duhet të interpretohen në atë mënyrë që të jenë efektive (</w:t>
      </w:r>
      <w:r w:rsidRPr="006F1CF6">
        <w:rPr>
          <w:rFonts w:ascii="Garamond" w:hAnsi="Garamond"/>
          <w:i/>
          <w:iCs/>
        </w:rPr>
        <w:t>shih vendimin nr. 5, datë 2.3.2011</w:t>
      </w:r>
      <w:r w:rsidR="006F1CF6">
        <w:rPr>
          <w:rFonts w:ascii="Garamond" w:hAnsi="Garamond"/>
          <w:i/>
          <w:iCs/>
        </w:rPr>
        <w:t>,</w:t>
      </w:r>
      <w:r w:rsidRPr="006F1CF6">
        <w:rPr>
          <w:rFonts w:ascii="Garamond" w:hAnsi="Garamond"/>
          <w:i/>
          <w:iCs/>
        </w:rPr>
        <w:t xml:space="preserve"> të Gjykatës Kushtetuese</w:t>
      </w:r>
      <w:r w:rsidRPr="006F1CF6">
        <w:rPr>
          <w:rFonts w:ascii="Garamond" w:hAnsi="Garamond"/>
        </w:rPr>
        <w:t xml:space="preserve">), pasi në të kundërt </w:t>
      </w:r>
      <w:r w:rsidRPr="006F1CF6">
        <w:rPr>
          <w:rFonts w:ascii="Garamond" w:hAnsi="Garamond"/>
        </w:rPr>
        <w:lastRenderedPageBreak/>
        <w:t xml:space="preserve">rezultati mund të mos pajtohet me qëllimin e Kushtetutës, që është mbrojtja e të drejtave që nuk janë teorike ose </w:t>
      </w:r>
      <w:proofErr w:type="spellStart"/>
      <w:r w:rsidRPr="006F1CF6">
        <w:rPr>
          <w:rFonts w:ascii="Garamond" w:hAnsi="Garamond"/>
        </w:rPr>
        <w:t>iluzore</w:t>
      </w:r>
      <w:proofErr w:type="spellEnd"/>
      <w:r w:rsidRPr="006F1CF6">
        <w:rPr>
          <w:rFonts w:ascii="Garamond" w:hAnsi="Garamond"/>
        </w:rPr>
        <w:t>, por praktike dhe efektive. Kjo do të thotë se vlerësimi i gjykatës së apelit duket se ishte tepër i ngushtë dhe formal, për rrjedhojë arsyetimi i kufizuar i Gjykatës së Lartë për mospranimin e rekursit bëhet i pamjaftueshëm nga pikëpamja kushtetuese.</w:t>
      </w:r>
      <w:r w:rsidR="006F1CF6">
        <w:rPr>
          <w:rFonts w:ascii="Garamond" w:hAnsi="Garamond"/>
        </w:rPr>
        <w:t xml:space="preserve"> </w:t>
      </w:r>
    </w:p>
    <w:p w14:paraId="1DAE68D4" w14:textId="502B2F88" w:rsidR="00294EFF" w:rsidRPr="006F1CF6" w:rsidRDefault="00294EFF" w:rsidP="00294EFF">
      <w:pPr>
        <w:pStyle w:val="ListParagraph"/>
        <w:tabs>
          <w:tab w:val="left" w:pos="720"/>
          <w:tab w:val="left" w:pos="980"/>
          <w:tab w:val="left" w:pos="1080"/>
          <w:tab w:val="left" w:pos="1160"/>
        </w:tabs>
        <w:spacing w:line="240" w:lineRule="auto"/>
        <w:ind w:left="0" w:firstLine="284"/>
        <w:jc w:val="both"/>
        <w:rPr>
          <w:rFonts w:ascii="Garamond" w:hAnsi="Garamond"/>
        </w:rPr>
      </w:pPr>
      <w:r w:rsidRPr="006F1CF6">
        <w:rPr>
          <w:rFonts w:ascii="Garamond" w:hAnsi="Garamond"/>
        </w:rPr>
        <w:t xml:space="preserve">32. Gjykata, bazuar në natyrën e gjykimit kushtetues të kërkesave individuale, si dhe në parimin e </w:t>
      </w:r>
      <w:proofErr w:type="spellStart"/>
      <w:r w:rsidRPr="006F1CF6">
        <w:rPr>
          <w:rFonts w:ascii="Garamond" w:hAnsi="Garamond"/>
        </w:rPr>
        <w:t>subsidiaritetit</w:t>
      </w:r>
      <w:proofErr w:type="spellEnd"/>
      <w:r w:rsidRPr="006F1CF6">
        <w:rPr>
          <w:rFonts w:ascii="Garamond" w:hAnsi="Garamond"/>
        </w:rPr>
        <w:t xml:space="preserve"> që udhëheq raportet ndërmjet juridiksionit kushtetues dhe juridiksionit të gjykatave të zakonshme, rithekson rolin e pazëvendësueshëm të Gjykatës së Lartë, së cilës i përket detyra kushtetuese për të siguruar njësimin dhe zhvillimin e praktikës gjyqësore. Ajo gjykatë nuk ka asnjë pengesë të zgjidhë vetë çështjen ose të orientojë zgjidhjen e saj nga gjykata më e ulët, duke njësuar e zhvilluar edhe praktikën gjyqësore në përputhje me standardet kushtetuese të trajtuara në këtë vendim.</w:t>
      </w:r>
      <w:r w:rsidR="006F1CF6">
        <w:rPr>
          <w:rFonts w:ascii="Garamond" w:hAnsi="Garamond"/>
        </w:rPr>
        <w:t xml:space="preserve"> </w:t>
      </w:r>
    </w:p>
    <w:p w14:paraId="7B0E51D6" w14:textId="02DCB3B6" w:rsidR="00294EFF" w:rsidRPr="006F1CF6" w:rsidRDefault="00294EFF" w:rsidP="00294EFF">
      <w:pPr>
        <w:pStyle w:val="ListParagraph"/>
        <w:tabs>
          <w:tab w:val="left" w:pos="720"/>
          <w:tab w:val="left" w:pos="980"/>
          <w:tab w:val="left" w:pos="1080"/>
          <w:tab w:val="left" w:pos="1160"/>
        </w:tabs>
        <w:spacing w:line="240" w:lineRule="auto"/>
        <w:ind w:left="0" w:firstLine="284"/>
        <w:jc w:val="both"/>
        <w:rPr>
          <w:rFonts w:ascii="Garamond" w:hAnsi="Garamond"/>
        </w:rPr>
      </w:pPr>
      <w:r w:rsidRPr="006F1CF6">
        <w:rPr>
          <w:rFonts w:ascii="Garamond" w:hAnsi="Garamond"/>
        </w:rPr>
        <w:t>33. Në përfundim, Gjykata çmon se pretendimet e kërkueses janë të bazuara, sipas arsyetimit të mësipërm, ndaj kërkesa pranohet.</w:t>
      </w:r>
    </w:p>
    <w:p w14:paraId="6F66694A" w14:textId="77777777" w:rsidR="00294EFF" w:rsidRPr="006F1CF6" w:rsidRDefault="00294EFF" w:rsidP="00294EFF">
      <w:pPr>
        <w:pStyle w:val="BodyTextIndent2"/>
        <w:tabs>
          <w:tab w:val="left" w:pos="1080"/>
        </w:tabs>
        <w:spacing w:line="240" w:lineRule="auto"/>
        <w:ind w:left="0" w:firstLine="284"/>
        <w:rPr>
          <w:rFonts w:ascii="Garamond" w:hAnsi="Garamond"/>
          <w:b w:val="0"/>
          <w:bCs/>
        </w:rPr>
      </w:pPr>
    </w:p>
    <w:p w14:paraId="46E2211C" w14:textId="77777777" w:rsidR="00294EFF" w:rsidRPr="006F1CF6" w:rsidRDefault="00294EFF" w:rsidP="00294EFF">
      <w:pPr>
        <w:pStyle w:val="ListParagraph"/>
        <w:tabs>
          <w:tab w:val="left" w:pos="0"/>
          <w:tab w:val="left" w:pos="720"/>
          <w:tab w:val="left" w:pos="980"/>
          <w:tab w:val="left" w:pos="1080"/>
          <w:tab w:val="left" w:pos="1160"/>
          <w:tab w:val="left" w:pos="4220"/>
        </w:tabs>
        <w:spacing w:line="240" w:lineRule="auto"/>
        <w:ind w:left="0" w:firstLine="284"/>
        <w:jc w:val="center"/>
        <w:rPr>
          <w:rFonts w:ascii="Garamond" w:hAnsi="Garamond"/>
          <w:bCs/>
        </w:rPr>
      </w:pPr>
      <w:r w:rsidRPr="006F1CF6">
        <w:rPr>
          <w:rFonts w:ascii="Garamond" w:hAnsi="Garamond"/>
          <w:bCs/>
        </w:rPr>
        <w:t>PËR KËTO ARSYE,</w:t>
      </w:r>
    </w:p>
    <w:p w14:paraId="3F84D54D" w14:textId="77777777" w:rsidR="00982594" w:rsidRPr="006F1CF6" w:rsidRDefault="00982594" w:rsidP="00294EFF">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p>
    <w:p w14:paraId="3339EF61" w14:textId="368F5BE9" w:rsidR="00294EFF" w:rsidRPr="006F1CF6" w:rsidRDefault="00294EFF" w:rsidP="00294EFF">
      <w:pPr>
        <w:pStyle w:val="ListParagraph"/>
        <w:tabs>
          <w:tab w:val="left" w:pos="440"/>
          <w:tab w:val="left" w:pos="540"/>
          <w:tab w:val="left" w:pos="720"/>
          <w:tab w:val="left" w:pos="980"/>
          <w:tab w:val="left" w:pos="1160"/>
          <w:tab w:val="left" w:pos="4220"/>
        </w:tabs>
        <w:spacing w:line="240" w:lineRule="auto"/>
        <w:ind w:left="0" w:firstLine="284"/>
        <w:jc w:val="both"/>
        <w:rPr>
          <w:rFonts w:ascii="Garamond" w:hAnsi="Garamond"/>
        </w:rPr>
      </w:pPr>
      <w:r w:rsidRPr="006F1CF6">
        <w:rPr>
          <w:rFonts w:ascii="Garamond" w:hAnsi="Garamond"/>
        </w:rPr>
        <w:t>Gjykata Kushtetuese, në mbështetje të neneve 131, pika 1, shkronja “f” dhe 134, pika 1, shkronja “i”, të Kushtetutës, si dhe neneve 72 e vijues</w:t>
      </w:r>
      <w:r w:rsidR="006F1CF6">
        <w:rPr>
          <w:rFonts w:ascii="Garamond" w:hAnsi="Garamond"/>
        </w:rPr>
        <w:t>,</w:t>
      </w:r>
      <w:r w:rsidRPr="006F1CF6">
        <w:rPr>
          <w:rFonts w:ascii="Garamond" w:hAnsi="Garamond"/>
        </w:rPr>
        <w:t xml:space="preserve"> të ligjit nr. 8577, datë 10.2.2000</w:t>
      </w:r>
      <w:r w:rsidR="006F1CF6">
        <w:rPr>
          <w:rFonts w:ascii="Garamond" w:hAnsi="Garamond"/>
        </w:rPr>
        <w:t>,</w:t>
      </w:r>
      <w:r w:rsidRPr="006F1CF6">
        <w:rPr>
          <w:rFonts w:ascii="Garamond" w:hAnsi="Garamond"/>
        </w:rPr>
        <w:t xml:space="preserve"> “Për organizimin dhe funksionimin e Gjykatës Kushtetuese të Republikës së Shqipërisë”, të ndryshuar, njëzëri, </w:t>
      </w:r>
    </w:p>
    <w:p w14:paraId="50A13913" w14:textId="57DD132A" w:rsidR="00294EFF" w:rsidRPr="006F1CF6" w:rsidRDefault="00294EFF" w:rsidP="00294EFF">
      <w:pPr>
        <w:pStyle w:val="ListParagraph"/>
        <w:tabs>
          <w:tab w:val="left" w:pos="0"/>
          <w:tab w:val="left" w:pos="720"/>
          <w:tab w:val="left" w:pos="980"/>
          <w:tab w:val="left" w:pos="1160"/>
          <w:tab w:val="left" w:pos="4220"/>
        </w:tabs>
        <w:spacing w:line="240" w:lineRule="auto"/>
        <w:ind w:left="0" w:firstLine="284"/>
        <w:jc w:val="center"/>
        <w:rPr>
          <w:rFonts w:ascii="Garamond" w:hAnsi="Garamond"/>
          <w:bCs/>
        </w:rPr>
      </w:pPr>
      <w:r w:rsidRPr="006F1CF6">
        <w:rPr>
          <w:rFonts w:ascii="Garamond" w:hAnsi="Garamond"/>
          <w:bCs/>
        </w:rPr>
        <w:t>VENDOSI:</w:t>
      </w:r>
    </w:p>
    <w:p w14:paraId="2C5F8740" w14:textId="77777777" w:rsidR="00982594" w:rsidRPr="006F1CF6" w:rsidRDefault="00982594" w:rsidP="00294EFF">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p>
    <w:p w14:paraId="16E5F108" w14:textId="573521D3" w:rsidR="00294EFF" w:rsidRPr="006F1CF6" w:rsidRDefault="00294EFF" w:rsidP="00294EFF">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6F1CF6">
        <w:rPr>
          <w:rFonts w:ascii="Garamond" w:hAnsi="Garamond"/>
        </w:rPr>
        <w:t>1. Pranimin e kërkesës.</w:t>
      </w:r>
    </w:p>
    <w:p w14:paraId="0E5C7B54" w14:textId="228BC206" w:rsidR="00294EFF" w:rsidRPr="006F1CF6" w:rsidRDefault="00294EFF" w:rsidP="00294EFF">
      <w:pPr>
        <w:pStyle w:val="ListParagraph"/>
        <w:tabs>
          <w:tab w:val="left" w:pos="0"/>
          <w:tab w:val="left" w:pos="720"/>
          <w:tab w:val="left" w:pos="980"/>
          <w:tab w:val="left" w:pos="1080"/>
          <w:tab w:val="left" w:pos="1160"/>
          <w:tab w:val="left" w:pos="4220"/>
        </w:tabs>
        <w:spacing w:line="240" w:lineRule="auto"/>
        <w:ind w:left="0" w:firstLine="284"/>
        <w:jc w:val="both"/>
        <w:rPr>
          <w:rFonts w:ascii="Garamond" w:hAnsi="Garamond"/>
        </w:rPr>
      </w:pPr>
      <w:r w:rsidRPr="006F1CF6">
        <w:rPr>
          <w:rFonts w:ascii="Garamond" w:hAnsi="Garamond"/>
        </w:rPr>
        <w:t>2. Shfuqizimin e vendimit nr. 00-2025-13, datë 14.1.2025</w:t>
      </w:r>
      <w:r w:rsidR="006F1CF6">
        <w:rPr>
          <w:rFonts w:ascii="Garamond" w:hAnsi="Garamond"/>
        </w:rPr>
        <w:t>,</w:t>
      </w:r>
      <w:r w:rsidRPr="006F1CF6">
        <w:rPr>
          <w:rFonts w:ascii="Garamond" w:hAnsi="Garamond"/>
        </w:rPr>
        <w:t xml:space="preserve"> të Kolegjit Administrativ të Gjykatës së Lartë, si të papajtueshëm me Kushtetutën e Republikës së Shqipërisë.</w:t>
      </w:r>
    </w:p>
    <w:p w14:paraId="0CF3FA91" w14:textId="59C1DF01" w:rsidR="00294EFF" w:rsidRPr="006F1CF6" w:rsidRDefault="00294EFF" w:rsidP="00294EFF">
      <w:pPr>
        <w:pStyle w:val="ListParagraph"/>
        <w:tabs>
          <w:tab w:val="left" w:pos="0"/>
          <w:tab w:val="left" w:pos="720"/>
          <w:tab w:val="left" w:pos="980"/>
          <w:tab w:val="left" w:pos="1080"/>
          <w:tab w:val="left" w:pos="1160"/>
          <w:tab w:val="left" w:pos="4220"/>
        </w:tabs>
        <w:spacing w:line="240" w:lineRule="auto"/>
        <w:ind w:left="0" w:firstLine="284"/>
        <w:rPr>
          <w:rFonts w:ascii="Garamond" w:hAnsi="Garamond"/>
        </w:rPr>
      </w:pPr>
      <w:r w:rsidRPr="006F1CF6">
        <w:rPr>
          <w:rFonts w:ascii="Garamond" w:hAnsi="Garamond"/>
        </w:rPr>
        <w:t>3. Dërgimin e çështjes për shqyrtim në Gjykatën e Lartë.</w:t>
      </w:r>
    </w:p>
    <w:p w14:paraId="065527CA" w14:textId="5A777EBD" w:rsidR="00294EFF" w:rsidRPr="006F1CF6" w:rsidRDefault="00294EFF" w:rsidP="00294EFF">
      <w:pPr>
        <w:pStyle w:val="ListParagraph"/>
        <w:tabs>
          <w:tab w:val="left" w:pos="0"/>
          <w:tab w:val="left" w:pos="720"/>
          <w:tab w:val="left" w:pos="980"/>
          <w:tab w:val="left" w:pos="1160"/>
          <w:tab w:val="left" w:pos="4220"/>
        </w:tabs>
        <w:spacing w:line="240" w:lineRule="auto"/>
        <w:ind w:left="0" w:firstLine="284"/>
        <w:rPr>
          <w:rFonts w:ascii="Garamond" w:hAnsi="Garamond"/>
        </w:rPr>
      </w:pPr>
      <w:r w:rsidRPr="006F1CF6">
        <w:rPr>
          <w:rFonts w:ascii="Garamond" w:hAnsi="Garamond"/>
        </w:rPr>
        <w:t xml:space="preserve"> Ky vendim është përfundimtar dhe hyn në fuqi ditën e botimit në Fletoren Zyrtare.</w:t>
      </w:r>
    </w:p>
    <w:p w14:paraId="0BE429C8" w14:textId="04AA0D31" w:rsidR="00294EFF" w:rsidRPr="006F1CF6" w:rsidRDefault="00294EFF" w:rsidP="00294EFF">
      <w:pPr>
        <w:pStyle w:val="ListParagraph"/>
        <w:tabs>
          <w:tab w:val="left" w:pos="0"/>
          <w:tab w:val="left" w:pos="720"/>
          <w:tab w:val="left" w:pos="980"/>
          <w:tab w:val="left" w:pos="1080"/>
          <w:tab w:val="left" w:pos="1160"/>
          <w:tab w:val="left" w:pos="4220"/>
        </w:tabs>
        <w:spacing w:line="240" w:lineRule="auto"/>
        <w:ind w:left="0" w:firstLine="284"/>
        <w:rPr>
          <w:rFonts w:ascii="Garamond" w:hAnsi="Garamond"/>
          <w:b/>
          <w:bCs/>
        </w:rPr>
      </w:pPr>
      <w:r w:rsidRPr="006F1CF6">
        <w:rPr>
          <w:rFonts w:ascii="Garamond" w:hAnsi="Garamond"/>
          <w:b/>
          <w:bCs/>
        </w:rPr>
        <w:t>Marrë më 17.2.2026</w:t>
      </w:r>
      <w:r w:rsidR="006F1CF6" w:rsidRPr="006F1CF6">
        <w:rPr>
          <w:rFonts w:ascii="Garamond" w:hAnsi="Garamond"/>
          <w:b/>
          <w:bCs/>
        </w:rPr>
        <w:t>.</w:t>
      </w:r>
    </w:p>
    <w:p w14:paraId="4B239660" w14:textId="5360C67D" w:rsidR="00294EFF" w:rsidRPr="006F1CF6" w:rsidRDefault="00294EFF" w:rsidP="00294EFF">
      <w:pPr>
        <w:pStyle w:val="ListParagraph"/>
        <w:tabs>
          <w:tab w:val="left" w:pos="0"/>
          <w:tab w:val="left" w:pos="720"/>
          <w:tab w:val="left" w:pos="980"/>
          <w:tab w:val="left" w:pos="1080"/>
          <w:tab w:val="left" w:pos="1160"/>
          <w:tab w:val="left" w:pos="4220"/>
        </w:tabs>
        <w:spacing w:line="240" w:lineRule="auto"/>
        <w:ind w:left="0" w:firstLine="284"/>
        <w:rPr>
          <w:rFonts w:ascii="Garamond" w:hAnsi="Garamond"/>
          <w:b/>
          <w:bCs/>
        </w:rPr>
      </w:pPr>
      <w:r w:rsidRPr="006F1CF6">
        <w:rPr>
          <w:rFonts w:ascii="Garamond" w:hAnsi="Garamond"/>
          <w:b/>
          <w:bCs/>
        </w:rPr>
        <w:t>Shpallur më 10.3.2026</w:t>
      </w:r>
      <w:r w:rsidR="006F1CF6" w:rsidRPr="006F1CF6">
        <w:rPr>
          <w:rFonts w:ascii="Garamond" w:hAnsi="Garamond"/>
          <w:b/>
          <w:bCs/>
        </w:rPr>
        <w:t>.</w:t>
      </w:r>
    </w:p>
    <w:p w14:paraId="2F4CCDF9" w14:textId="67D475CB" w:rsidR="00294EFF" w:rsidRPr="006F1CF6" w:rsidRDefault="00294EFF" w:rsidP="00294EFF">
      <w:pPr>
        <w:pStyle w:val="ListParagraph"/>
        <w:tabs>
          <w:tab w:val="left" w:pos="0"/>
          <w:tab w:val="left" w:pos="980"/>
          <w:tab w:val="left" w:pos="1160"/>
          <w:tab w:val="left" w:pos="4220"/>
        </w:tabs>
        <w:spacing w:line="240" w:lineRule="auto"/>
        <w:ind w:left="0" w:firstLine="284"/>
        <w:rPr>
          <w:rFonts w:ascii="Garamond" w:hAnsi="Garamond"/>
        </w:rPr>
      </w:pPr>
    </w:p>
    <w:p w14:paraId="5CB7DAE4" w14:textId="47674641" w:rsidR="00982594" w:rsidRPr="006F1CF6" w:rsidRDefault="00982594" w:rsidP="006F1CF6">
      <w:pPr>
        <w:pStyle w:val="ListParagraph"/>
        <w:tabs>
          <w:tab w:val="left" w:pos="0"/>
          <w:tab w:val="left" w:pos="980"/>
          <w:tab w:val="left" w:pos="1160"/>
          <w:tab w:val="left" w:pos="4220"/>
        </w:tabs>
        <w:spacing w:line="240" w:lineRule="auto"/>
        <w:ind w:left="0" w:firstLine="284"/>
        <w:jc w:val="both"/>
        <w:rPr>
          <w:rFonts w:ascii="Garamond" w:hAnsi="Garamond"/>
        </w:rPr>
      </w:pPr>
      <w:r w:rsidRPr="006F1CF6">
        <w:rPr>
          <w:rFonts w:ascii="Garamond" w:hAnsi="Garamond"/>
          <w:b/>
        </w:rPr>
        <w:t>Kryetare:</w:t>
      </w:r>
      <w:r w:rsidRPr="006F1CF6">
        <w:rPr>
          <w:rFonts w:ascii="Garamond" w:hAnsi="Garamond"/>
        </w:rPr>
        <w:t xml:space="preserve"> </w:t>
      </w:r>
      <w:proofErr w:type="spellStart"/>
      <w:r w:rsidRPr="006F1CF6">
        <w:rPr>
          <w:rFonts w:ascii="Garamond" w:hAnsi="Garamond"/>
          <w:bCs/>
        </w:rPr>
        <w:t>Fiona</w:t>
      </w:r>
      <w:proofErr w:type="spellEnd"/>
      <w:r w:rsidRPr="006F1CF6">
        <w:rPr>
          <w:rFonts w:ascii="Garamond" w:hAnsi="Garamond"/>
          <w:bCs/>
        </w:rPr>
        <w:t xml:space="preserve"> </w:t>
      </w:r>
      <w:proofErr w:type="spellStart"/>
      <w:r w:rsidRPr="006F1CF6">
        <w:rPr>
          <w:rFonts w:ascii="Garamond" w:hAnsi="Garamond"/>
          <w:bCs/>
        </w:rPr>
        <w:t>Papajorgji</w:t>
      </w:r>
      <w:proofErr w:type="spellEnd"/>
      <w:r w:rsidRPr="006F1CF6">
        <w:rPr>
          <w:rFonts w:ascii="Garamond" w:hAnsi="Garamond"/>
          <w:bCs/>
        </w:rPr>
        <w:t xml:space="preserve"> </w:t>
      </w:r>
    </w:p>
    <w:p w14:paraId="24304F05" w14:textId="7CBE5D1A" w:rsidR="00982594" w:rsidRPr="006F1CF6" w:rsidRDefault="00982594" w:rsidP="006F1CF6">
      <w:pPr>
        <w:pStyle w:val="ListParagraph"/>
        <w:tabs>
          <w:tab w:val="left" w:pos="0"/>
          <w:tab w:val="left" w:pos="980"/>
          <w:tab w:val="left" w:pos="1160"/>
          <w:tab w:val="left" w:pos="4220"/>
        </w:tabs>
        <w:spacing w:line="240" w:lineRule="auto"/>
        <w:ind w:left="0" w:firstLine="284"/>
        <w:jc w:val="both"/>
        <w:rPr>
          <w:rFonts w:ascii="Garamond" w:hAnsi="Garamond"/>
        </w:rPr>
      </w:pPr>
      <w:r w:rsidRPr="006F1CF6">
        <w:rPr>
          <w:rFonts w:ascii="Garamond" w:hAnsi="Garamond"/>
          <w:b/>
        </w:rPr>
        <w:t>Anëtarë:</w:t>
      </w:r>
      <w:r w:rsidRPr="006F1CF6">
        <w:rPr>
          <w:rFonts w:ascii="Garamond" w:hAnsi="Garamond"/>
        </w:rPr>
        <w:t xml:space="preserve"> </w:t>
      </w:r>
      <w:proofErr w:type="spellStart"/>
      <w:r w:rsidRPr="006F1CF6">
        <w:rPr>
          <w:rFonts w:ascii="Garamond" w:hAnsi="Garamond"/>
          <w:bCs/>
        </w:rPr>
        <w:t>Sandër</w:t>
      </w:r>
      <w:proofErr w:type="spellEnd"/>
      <w:r w:rsidRPr="006F1CF6">
        <w:rPr>
          <w:rFonts w:ascii="Garamond" w:hAnsi="Garamond"/>
          <w:bCs/>
        </w:rPr>
        <w:t xml:space="preserve"> Beci, </w:t>
      </w:r>
      <w:proofErr w:type="spellStart"/>
      <w:r w:rsidRPr="006F1CF6">
        <w:rPr>
          <w:rFonts w:ascii="Garamond" w:hAnsi="Garamond"/>
          <w:bCs/>
        </w:rPr>
        <w:t>Sonila</w:t>
      </w:r>
      <w:proofErr w:type="spellEnd"/>
      <w:r w:rsidRPr="006F1CF6">
        <w:rPr>
          <w:rFonts w:ascii="Garamond" w:hAnsi="Garamond"/>
          <w:bCs/>
        </w:rPr>
        <w:t xml:space="preserve"> Bejtja, </w:t>
      </w:r>
      <w:proofErr w:type="spellStart"/>
      <w:r w:rsidRPr="006F1CF6">
        <w:rPr>
          <w:rFonts w:ascii="Garamond" w:hAnsi="Garamond"/>
          <w:bCs/>
        </w:rPr>
        <w:t>Marjana</w:t>
      </w:r>
      <w:proofErr w:type="spellEnd"/>
      <w:r w:rsidRPr="006F1CF6">
        <w:rPr>
          <w:rFonts w:ascii="Garamond" w:hAnsi="Garamond"/>
          <w:bCs/>
        </w:rPr>
        <w:t xml:space="preserve"> </w:t>
      </w:r>
      <w:proofErr w:type="spellStart"/>
      <w:r w:rsidRPr="006F1CF6">
        <w:rPr>
          <w:rFonts w:ascii="Garamond" w:hAnsi="Garamond"/>
          <w:bCs/>
        </w:rPr>
        <w:t>Semini</w:t>
      </w:r>
      <w:proofErr w:type="spellEnd"/>
      <w:r w:rsidRPr="006F1CF6">
        <w:rPr>
          <w:rFonts w:ascii="Garamond" w:hAnsi="Garamond"/>
          <w:bCs/>
        </w:rPr>
        <w:t xml:space="preserve">, Ilir Toska, Genti Ibrahimi, </w:t>
      </w:r>
      <w:proofErr w:type="spellStart"/>
      <w:r w:rsidRPr="006F1CF6">
        <w:rPr>
          <w:rFonts w:ascii="Garamond" w:hAnsi="Garamond"/>
          <w:bCs/>
        </w:rPr>
        <w:t>Marsida</w:t>
      </w:r>
      <w:proofErr w:type="spellEnd"/>
      <w:r w:rsidRPr="006F1CF6">
        <w:rPr>
          <w:rFonts w:ascii="Garamond" w:hAnsi="Garamond"/>
          <w:bCs/>
        </w:rPr>
        <w:t xml:space="preserve"> </w:t>
      </w:r>
      <w:proofErr w:type="spellStart"/>
      <w:r w:rsidRPr="006F1CF6">
        <w:rPr>
          <w:rFonts w:ascii="Garamond" w:hAnsi="Garamond"/>
          <w:bCs/>
        </w:rPr>
        <w:t>Xhaferllari</w:t>
      </w:r>
      <w:proofErr w:type="spellEnd"/>
      <w:r w:rsidRPr="006F1CF6">
        <w:rPr>
          <w:rFonts w:ascii="Garamond" w:hAnsi="Garamond"/>
          <w:bCs/>
        </w:rPr>
        <w:t xml:space="preserve">, </w:t>
      </w:r>
      <w:proofErr w:type="spellStart"/>
      <w:r w:rsidRPr="006F1CF6">
        <w:rPr>
          <w:rFonts w:ascii="Garamond" w:hAnsi="Garamond"/>
          <w:bCs/>
        </w:rPr>
        <w:t>Asim</w:t>
      </w:r>
      <w:proofErr w:type="spellEnd"/>
      <w:r w:rsidRPr="006F1CF6">
        <w:rPr>
          <w:rFonts w:ascii="Garamond" w:hAnsi="Garamond"/>
          <w:bCs/>
        </w:rPr>
        <w:t xml:space="preserve"> </w:t>
      </w:r>
      <w:proofErr w:type="spellStart"/>
      <w:r w:rsidRPr="006F1CF6">
        <w:rPr>
          <w:rFonts w:ascii="Garamond" w:hAnsi="Garamond"/>
          <w:bCs/>
        </w:rPr>
        <w:t>Vokshi</w:t>
      </w:r>
      <w:proofErr w:type="spellEnd"/>
    </w:p>
    <w:sectPr w:rsidR="00982594" w:rsidRPr="006F1CF6" w:rsidSect="00460271">
      <w:footerReference w:type="first" r:id="rId13"/>
      <w:pgSz w:w="11906" w:h="16838"/>
      <w:pgMar w:top="1440" w:right="1440" w:bottom="1267"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F7FFAA" w14:textId="77777777" w:rsidR="006F1CF6" w:rsidRDefault="006F1CF6" w:rsidP="009D6BFB">
      <w:pPr>
        <w:spacing w:line="240" w:lineRule="auto"/>
      </w:pPr>
      <w:r>
        <w:separator/>
      </w:r>
    </w:p>
  </w:endnote>
  <w:endnote w:type="continuationSeparator" w:id="0">
    <w:p w14:paraId="1458E65E" w14:textId="77777777" w:rsidR="006F1CF6" w:rsidRDefault="006F1CF6" w:rsidP="009D6BFB">
      <w:pPr>
        <w:spacing w:line="240" w:lineRule="auto"/>
      </w:pPr>
      <w:r>
        <w:continuationSeparator/>
      </w:r>
    </w:p>
  </w:endnote>
  <w:endnote w:type="continuationNotice" w:id="1">
    <w:p w14:paraId="232B087B" w14:textId="77777777" w:rsidR="006F1CF6" w:rsidRDefault="006F1CF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D2CC3" w14:textId="77777777" w:rsidR="006F1CF6" w:rsidRDefault="006F1CF6">
    <w:pPr>
      <w:pStyle w:val="Footer"/>
      <w:jc w:val="right"/>
    </w:pPr>
  </w:p>
  <w:p w14:paraId="54EB1473" w14:textId="77777777" w:rsidR="006F1CF6" w:rsidRDefault="006F1C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CE7F8D" w14:textId="77777777" w:rsidR="006F1CF6" w:rsidRDefault="006F1CF6" w:rsidP="009D6BFB">
      <w:pPr>
        <w:spacing w:line="240" w:lineRule="auto"/>
      </w:pPr>
      <w:r>
        <w:separator/>
      </w:r>
    </w:p>
  </w:footnote>
  <w:footnote w:type="continuationSeparator" w:id="0">
    <w:p w14:paraId="39120097" w14:textId="77777777" w:rsidR="006F1CF6" w:rsidRDefault="006F1CF6" w:rsidP="009D6BFB">
      <w:pPr>
        <w:spacing w:line="240" w:lineRule="auto"/>
      </w:pPr>
      <w:r>
        <w:continuationSeparator/>
      </w:r>
    </w:p>
  </w:footnote>
  <w:footnote w:type="continuationNotice" w:id="1">
    <w:p w14:paraId="54E7003A" w14:textId="77777777" w:rsidR="006F1CF6" w:rsidRDefault="006F1CF6">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36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0E6698"/>
    <w:multiLevelType w:val="multilevel"/>
    <w:tmpl w:val="D0BEBA60"/>
    <w:lvl w:ilvl="0">
      <w:start w:val="1"/>
      <w:numFmt w:val="decimal"/>
      <w:lvlText w:val="%1."/>
      <w:lvlJc w:val="left"/>
      <w:pPr>
        <w:ind w:left="360" w:hanging="360"/>
      </w:pPr>
      <w:rPr>
        <w:rFonts w:ascii="Times New Roman" w:hAnsi="Times New Roman" w:cs="Times New Roman" w:hint="default"/>
        <w:b w:val="0"/>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C0E23F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C7044CC"/>
    <w:multiLevelType w:val="multilevel"/>
    <w:tmpl w:val="083435D8"/>
    <w:lvl w:ilvl="0">
      <w:start w:val="7"/>
      <w:numFmt w:val="decimal"/>
      <w:lvlText w:val="%1"/>
      <w:lvlJc w:val="left"/>
      <w:pPr>
        <w:ind w:left="480" w:hanging="480"/>
      </w:pPr>
      <w:rPr>
        <w:rFonts w:hint="default"/>
      </w:rPr>
    </w:lvl>
    <w:lvl w:ilvl="1">
      <w:start w:val="1"/>
      <w:numFmt w:val="decimal"/>
      <w:lvlText w:val="%1.%2"/>
      <w:lvlJc w:val="left"/>
      <w:pPr>
        <w:ind w:left="1047" w:hanging="48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DBD3B85"/>
    <w:multiLevelType w:val="multilevel"/>
    <w:tmpl w:val="751E8FF0"/>
    <w:lvl w:ilvl="0">
      <w:start w:val="7"/>
      <w:numFmt w:val="decimal"/>
      <w:lvlText w:val="%1."/>
      <w:lvlJc w:val="left"/>
      <w:pPr>
        <w:ind w:left="1980" w:hanging="360"/>
      </w:pPr>
      <w:rPr>
        <w:rFonts w:ascii="Times New Roman" w:hAnsi="Times New Roman" w:cs="Times New Roman" w:hint="default"/>
        <w:b w:val="0"/>
        <w:i w:val="0"/>
        <w:sz w:val="24"/>
        <w:szCs w:val="24"/>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5" w15:restartNumberingAfterBreak="0">
    <w:nsid w:val="0F572921"/>
    <w:multiLevelType w:val="hybridMultilevel"/>
    <w:tmpl w:val="DA1CF6DA"/>
    <w:lvl w:ilvl="0" w:tplc="54D01DD6">
      <w:start w:val="24"/>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2D37E4"/>
    <w:multiLevelType w:val="multilevel"/>
    <w:tmpl w:val="A3F0B304"/>
    <w:lvl w:ilvl="0">
      <w:start w:val="8"/>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10AE1A5A"/>
    <w:multiLevelType w:val="hybridMultilevel"/>
    <w:tmpl w:val="4BEA9FE8"/>
    <w:lvl w:ilvl="0" w:tplc="E624AA6A">
      <w:start w:val="9"/>
      <w:numFmt w:val="decimal"/>
      <w:lvlText w:val="%1."/>
      <w:lvlJc w:val="left"/>
      <w:pPr>
        <w:ind w:left="1288"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590209"/>
    <w:multiLevelType w:val="multilevel"/>
    <w:tmpl w:val="70341A6E"/>
    <w:lvl w:ilvl="0">
      <w:start w:val="14"/>
      <w:numFmt w:val="decimal"/>
      <w:lvlText w:val="%1."/>
      <w:lvlJc w:val="left"/>
      <w:pPr>
        <w:ind w:left="2070" w:hanging="360"/>
      </w:pPr>
      <w:rPr>
        <w:rFonts w:hint="default"/>
        <w:b w:val="0"/>
        <w:i w:val="0"/>
        <w:strike w:val="0"/>
      </w:rPr>
    </w:lvl>
    <w:lvl w:ilvl="1">
      <w:start w:val="1"/>
      <w:numFmt w:val="decimal"/>
      <w:lvlText w:val="%1.%2."/>
      <w:lvlJc w:val="left"/>
      <w:pPr>
        <w:ind w:left="1980" w:hanging="360"/>
      </w:pPr>
      <w:rPr>
        <w:rFonts w:hint="default"/>
        <w:b w:val="0"/>
        <w:i w:val="0"/>
      </w:rPr>
    </w:lvl>
    <w:lvl w:ilvl="2">
      <w:start w:val="1"/>
      <w:numFmt w:val="decimal"/>
      <w:lvlText w:val="%1.%2.%3."/>
      <w:lvlJc w:val="left"/>
      <w:pPr>
        <w:ind w:left="3960" w:hanging="720"/>
      </w:pPr>
      <w:rPr>
        <w:rFonts w:hint="default"/>
        <w:b w:val="0"/>
        <w:i w:val="0"/>
      </w:rPr>
    </w:lvl>
    <w:lvl w:ilvl="3">
      <w:start w:val="1"/>
      <w:numFmt w:val="decimal"/>
      <w:lvlText w:val="%1.%2.%3.%4."/>
      <w:lvlJc w:val="left"/>
      <w:pPr>
        <w:ind w:left="5580" w:hanging="720"/>
      </w:pPr>
      <w:rPr>
        <w:rFonts w:hint="default"/>
        <w:b w:val="0"/>
      </w:rPr>
    </w:lvl>
    <w:lvl w:ilvl="4">
      <w:start w:val="1"/>
      <w:numFmt w:val="decimal"/>
      <w:lvlText w:val="%1.%2.%3.%4.%5."/>
      <w:lvlJc w:val="left"/>
      <w:pPr>
        <w:ind w:left="7560" w:hanging="1080"/>
      </w:pPr>
      <w:rPr>
        <w:rFonts w:hint="default"/>
        <w:b w:val="0"/>
      </w:rPr>
    </w:lvl>
    <w:lvl w:ilvl="5">
      <w:start w:val="1"/>
      <w:numFmt w:val="decimal"/>
      <w:lvlText w:val="%1.%2.%3.%4.%5.%6."/>
      <w:lvlJc w:val="left"/>
      <w:pPr>
        <w:ind w:left="9180" w:hanging="1080"/>
      </w:pPr>
      <w:rPr>
        <w:rFonts w:hint="default"/>
        <w:b w:val="0"/>
      </w:rPr>
    </w:lvl>
    <w:lvl w:ilvl="6">
      <w:start w:val="1"/>
      <w:numFmt w:val="decimal"/>
      <w:lvlText w:val="%1.%2.%3.%4.%5.%6.%7."/>
      <w:lvlJc w:val="left"/>
      <w:pPr>
        <w:ind w:left="11160" w:hanging="1440"/>
      </w:pPr>
      <w:rPr>
        <w:rFonts w:hint="default"/>
        <w:b w:val="0"/>
      </w:rPr>
    </w:lvl>
    <w:lvl w:ilvl="7">
      <w:start w:val="1"/>
      <w:numFmt w:val="decimal"/>
      <w:lvlText w:val="%1.%2.%3.%4.%5.%6.%7.%8."/>
      <w:lvlJc w:val="left"/>
      <w:pPr>
        <w:ind w:left="12780" w:hanging="1440"/>
      </w:pPr>
      <w:rPr>
        <w:rFonts w:hint="default"/>
        <w:b w:val="0"/>
      </w:rPr>
    </w:lvl>
    <w:lvl w:ilvl="8">
      <w:start w:val="1"/>
      <w:numFmt w:val="decimal"/>
      <w:lvlText w:val="%1.%2.%3.%4.%5.%6.%7.%8.%9."/>
      <w:lvlJc w:val="left"/>
      <w:pPr>
        <w:ind w:left="14760" w:hanging="1800"/>
      </w:pPr>
      <w:rPr>
        <w:rFonts w:hint="default"/>
        <w:b w:val="0"/>
      </w:rPr>
    </w:lvl>
  </w:abstractNum>
  <w:abstractNum w:abstractNumId="9" w15:restartNumberingAfterBreak="0">
    <w:nsid w:val="129873C8"/>
    <w:multiLevelType w:val="hybridMultilevel"/>
    <w:tmpl w:val="88103A90"/>
    <w:lvl w:ilvl="0" w:tplc="8312BD6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0A37BF"/>
    <w:multiLevelType w:val="hybridMultilevel"/>
    <w:tmpl w:val="5C409A4A"/>
    <w:lvl w:ilvl="0" w:tplc="F1144A2E">
      <w:start w:val="1"/>
      <w:numFmt w:val="decimal"/>
      <w:lvlText w:val="10.1.%1."/>
      <w:lvlJc w:val="left"/>
      <w:pPr>
        <w:ind w:left="1800" w:hanging="360"/>
      </w:pPr>
      <w:rPr>
        <w:rFonts w:hint="default"/>
        <w:b w:val="0"/>
        <w:i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11" w15:restartNumberingAfterBreak="0">
    <w:nsid w:val="1AF021EC"/>
    <w:multiLevelType w:val="hybridMultilevel"/>
    <w:tmpl w:val="7146FCD0"/>
    <w:lvl w:ilvl="0" w:tplc="A06CEBBE">
      <w:start w:val="1"/>
      <w:numFmt w:val="decimal"/>
      <w:lvlText w:val="12.1.%1."/>
      <w:lvlJc w:val="left"/>
      <w:pPr>
        <w:ind w:left="2160" w:hanging="360"/>
      </w:pPr>
      <w:rPr>
        <w:rFonts w:hint="default"/>
        <w:b w:val="0"/>
        <w:i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6A410BB"/>
    <w:multiLevelType w:val="multilevel"/>
    <w:tmpl w:val="31BED03A"/>
    <w:lvl w:ilvl="0">
      <w:start w:val="7"/>
      <w:numFmt w:val="decimal"/>
      <w:lvlText w:val="%1."/>
      <w:lvlJc w:val="left"/>
      <w:pPr>
        <w:ind w:left="900" w:hanging="360"/>
      </w:pPr>
      <w:rPr>
        <w:rFonts w:eastAsia="Arial Unicode MS" w:hint="default"/>
        <w:b w:val="0"/>
        <w:i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abstractNum w:abstractNumId="13" w15:restartNumberingAfterBreak="0">
    <w:nsid w:val="2A9C548C"/>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E937706"/>
    <w:multiLevelType w:val="multilevel"/>
    <w:tmpl w:val="B198B326"/>
    <w:lvl w:ilvl="0">
      <w:start w:val="12"/>
      <w:numFmt w:val="decimal"/>
      <w:lvlText w:val="%1."/>
      <w:lvlJc w:val="left"/>
      <w:pPr>
        <w:ind w:left="480" w:hanging="480"/>
      </w:pPr>
      <w:rPr>
        <w:rFonts w:eastAsia="Calibri" w:hint="default"/>
        <w:b w:val="0"/>
        <w:i w:val="0"/>
      </w:rPr>
    </w:lvl>
    <w:lvl w:ilvl="1">
      <w:start w:val="1"/>
      <w:numFmt w:val="decimal"/>
      <w:lvlText w:val="%1.%2."/>
      <w:lvlJc w:val="left"/>
      <w:pPr>
        <w:ind w:left="840" w:hanging="480"/>
      </w:pPr>
      <w:rPr>
        <w:rFonts w:eastAsia="Calibri" w:hint="default"/>
        <w:b w:val="0"/>
        <w:i w:val="0"/>
      </w:rPr>
    </w:lvl>
    <w:lvl w:ilvl="2">
      <w:start w:val="1"/>
      <w:numFmt w:val="decimal"/>
      <w:lvlText w:val="%1.%2.%3."/>
      <w:lvlJc w:val="left"/>
      <w:pPr>
        <w:ind w:left="1440" w:hanging="720"/>
      </w:pPr>
      <w:rPr>
        <w:rFonts w:eastAsia="Calibri" w:hint="default"/>
        <w:i/>
      </w:rPr>
    </w:lvl>
    <w:lvl w:ilvl="3">
      <w:start w:val="1"/>
      <w:numFmt w:val="decimal"/>
      <w:lvlText w:val="%1.%2.%3.%4."/>
      <w:lvlJc w:val="left"/>
      <w:pPr>
        <w:ind w:left="1800" w:hanging="720"/>
      </w:pPr>
      <w:rPr>
        <w:rFonts w:eastAsia="Calibri" w:hint="default"/>
        <w:i/>
      </w:rPr>
    </w:lvl>
    <w:lvl w:ilvl="4">
      <w:start w:val="1"/>
      <w:numFmt w:val="decimal"/>
      <w:lvlText w:val="%1.%2.%3.%4.%5."/>
      <w:lvlJc w:val="left"/>
      <w:pPr>
        <w:ind w:left="2520" w:hanging="1080"/>
      </w:pPr>
      <w:rPr>
        <w:rFonts w:eastAsia="Calibri" w:hint="default"/>
        <w:i/>
      </w:rPr>
    </w:lvl>
    <w:lvl w:ilvl="5">
      <w:start w:val="1"/>
      <w:numFmt w:val="decimal"/>
      <w:lvlText w:val="%1.%2.%3.%4.%5.%6."/>
      <w:lvlJc w:val="left"/>
      <w:pPr>
        <w:ind w:left="2880" w:hanging="1080"/>
      </w:pPr>
      <w:rPr>
        <w:rFonts w:eastAsia="Calibri" w:hint="default"/>
        <w:i/>
      </w:rPr>
    </w:lvl>
    <w:lvl w:ilvl="6">
      <w:start w:val="1"/>
      <w:numFmt w:val="decimal"/>
      <w:lvlText w:val="%1.%2.%3.%4.%5.%6.%7."/>
      <w:lvlJc w:val="left"/>
      <w:pPr>
        <w:ind w:left="3600" w:hanging="1440"/>
      </w:pPr>
      <w:rPr>
        <w:rFonts w:eastAsia="Calibri" w:hint="default"/>
        <w:i/>
      </w:rPr>
    </w:lvl>
    <w:lvl w:ilvl="7">
      <w:start w:val="1"/>
      <w:numFmt w:val="decimal"/>
      <w:lvlText w:val="%1.%2.%3.%4.%5.%6.%7.%8."/>
      <w:lvlJc w:val="left"/>
      <w:pPr>
        <w:ind w:left="3960" w:hanging="1440"/>
      </w:pPr>
      <w:rPr>
        <w:rFonts w:eastAsia="Calibri" w:hint="default"/>
        <w:i/>
      </w:rPr>
    </w:lvl>
    <w:lvl w:ilvl="8">
      <w:start w:val="1"/>
      <w:numFmt w:val="decimal"/>
      <w:lvlText w:val="%1.%2.%3.%4.%5.%6.%7.%8.%9."/>
      <w:lvlJc w:val="left"/>
      <w:pPr>
        <w:ind w:left="4680" w:hanging="1800"/>
      </w:pPr>
      <w:rPr>
        <w:rFonts w:eastAsia="Calibri" w:hint="default"/>
        <w:i/>
      </w:rPr>
    </w:lvl>
  </w:abstractNum>
  <w:abstractNum w:abstractNumId="15" w15:restartNumberingAfterBreak="0">
    <w:nsid w:val="30F97B36"/>
    <w:multiLevelType w:val="hybridMultilevel"/>
    <w:tmpl w:val="3AC896E4"/>
    <w:lvl w:ilvl="0" w:tplc="757A23BA">
      <w:start w:val="1"/>
      <w:numFmt w:val="upperRoman"/>
      <w:lvlText w:val="%1."/>
      <w:lvlJc w:val="left"/>
      <w:pPr>
        <w:ind w:left="1080" w:hanging="720"/>
      </w:pPr>
      <w:rPr>
        <w:rFonts w:hint="default"/>
        <w:i/>
      </w:rPr>
    </w:lvl>
    <w:lvl w:ilvl="1" w:tplc="041C0019">
      <w:start w:val="1"/>
      <w:numFmt w:val="lowerLetter"/>
      <w:lvlText w:val="%2."/>
      <w:lvlJc w:val="left"/>
      <w:pPr>
        <w:ind w:left="1440" w:hanging="360"/>
      </w:pPr>
    </w:lvl>
    <w:lvl w:ilvl="2" w:tplc="0409000F">
      <w:start w:val="1"/>
      <w:numFmt w:val="decimal"/>
      <w:lvlText w:val="%3."/>
      <w:lvlJc w:val="lef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6" w15:restartNumberingAfterBreak="0">
    <w:nsid w:val="387F2066"/>
    <w:multiLevelType w:val="multilevel"/>
    <w:tmpl w:val="576653D8"/>
    <w:lvl w:ilvl="0">
      <w:start w:val="1"/>
      <w:numFmt w:val="decimal"/>
      <w:lvlText w:val="%1."/>
      <w:lvlJc w:val="left"/>
      <w:pPr>
        <w:ind w:left="3780" w:hanging="360"/>
      </w:pPr>
      <w:rPr>
        <w:rFonts w:ascii="Times New Roman" w:eastAsia="Times New Roman" w:hAnsi="Times New Roman" w:cs="Times New Roman" w:hint="default"/>
        <w:b w:val="0"/>
        <w:i w:val="0"/>
        <w:color w:val="auto"/>
      </w:rPr>
    </w:lvl>
    <w:lvl w:ilvl="1">
      <w:start w:val="1"/>
      <w:numFmt w:val="decimal"/>
      <w:isLgl/>
      <w:lvlText w:val="%1.%2."/>
      <w:lvlJc w:val="left"/>
      <w:pPr>
        <w:ind w:left="1440" w:hanging="720"/>
      </w:pPr>
      <w:rPr>
        <w:rFonts w:hint="default"/>
        <w:b w:val="0"/>
        <w:i w:val="0"/>
        <w:color w:val="auto"/>
        <w:sz w:val="24"/>
      </w:rPr>
    </w:lvl>
    <w:lvl w:ilvl="2">
      <w:start w:val="1"/>
      <w:numFmt w:val="decimal"/>
      <w:isLgl/>
      <w:lvlText w:val="%1.%2.%3."/>
      <w:lvlJc w:val="left"/>
      <w:pPr>
        <w:ind w:left="720" w:hanging="720"/>
      </w:pPr>
      <w:rPr>
        <w:rFonts w:hint="default"/>
        <w:b/>
        <w:color w:val="auto"/>
        <w:sz w:val="24"/>
      </w:rPr>
    </w:lvl>
    <w:lvl w:ilvl="3">
      <w:start w:val="1"/>
      <w:numFmt w:val="decimal"/>
      <w:isLgl/>
      <w:lvlText w:val="%1.%2.%3.%4."/>
      <w:lvlJc w:val="left"/>
      <w:pPr>
        <w:ind w:left="1080" w:hanging="1080"/>
      </w:pPr>
      <w:rPr>
        <w:rFonts w:hint="default"/>
        <w:b/>
        <w:color w:val="auto"/>
        <w:sz w:val="24"/>
      </w:rPr>
    </w:lvl>
    <w:lvl w:ilvl="4">
      <w:start w:val="1"/>
      <w:numFmt w:val="decimal"/>
      <w:isLgl/>
      <w:lvlText w:val="%1.%2.%3.%4.%5."/>
      <w:lvlJc w:val="left"/>
      <w:pPr>
        <w:ind w:left="1080" w:hanging="1080"/>
      </w:pPr>
      <w:rPr>
        <w:rFonts w:hint="default"/>
        <w:b/>
        <w:color w:val="auto"/>
        <w:sz w:val="24"/>
      </w:rPr>
    </w:lvl>
    <w:lvl w:ilvl="5">
      <w:start w:val="1"/>
      <w:numFmt w:val="decimal"/>
      <w:isLgl/>
      <w:lvlText w:val="%1.%2.%3.%4.%5.%6."/>
      <w:lvlJc w:val="left"/>
      <w:pPr>
        <w:ind w:left="1440" w:hanging="1440"/>
      </w:pPr>
      <w:rPr>
        <w:rFonts w:hint="default"/>
        <w:b/>
        <w:color w:val="auto"/>
        <w:sz w:val="24"/>
      </w:rPr>
    </w:lvl>
    <w:lvl w:ilvl="6">
      <w:start w:val="1"/>
      <w:numFmt w:val="decimal"/>
      <w:isLgl/>
      <w:lvlText w:val="%1.%2.%3.%4.%5.%6.%7."/>
      <w:lvlJc w:val="left"/>
      <w:pPr>
        <w:ind w:left="1440" w:hanging="1440"/>
      </w:pPr>
      <w:rPr>
        <w:rFonts w:hint="default"/>
        <w:b/>
        <w:color w:val="auto"/>
        <w:sz w:val="24"/>
      </w:rPr>
    </w:lvl>
    <w:lvl w:ilvl="7">
      <w:start w:val="1"/>
      <w:numFmt w:val="decimal"/>
      <w:isLgl/>
      <w:lvlText w:val="%1.%2.%3.%4.%5.%6.%7.%8."/>
      <w:lvlJc w:val="left"/>
      <w:pPr>
        <w:ind w:left="1800" w:hanging="1800"/>
      </w:pPr>
      <w:rPr>
        <w:rFonts w:hint="default"/>
        <w:b/>
        <w:color w:val="auto"/>
        <w:sz w:val="24"/>
      </w:rPr>
    </w:lvl>
    <w:lvl w:ilvl="8">
      <w:start w:val="1"/>
      <w:numFmt w:val="decimal"/>
      <w:isLgl/>
      <w:lvlText w:val="%1.%2.%3.%4.%5.%6.%7.%8.%9."/>
      <w:lvlJc w:val="left"/>
      <w:pPr>
        <w:ind w:left="2160" w:hanging="2160"/>
      </w:pPr>
      <w:rPr>
        <w:rFonts w:hint="default"/>
        <w:b/>
        <w:color w:val="auto"/>
        <w:sz w:val="24"/>
      </w:rPr>
    </w:lvl>
  </w:abstractNum>
  <w:abstractNum w:abstractNumId="17" w15:restartNumberingAfterBreak="0">
    <w:nsid w:val="3A79726F"/>
    <w:multiLevelType w:val="multilevel"/>
    <w:tmpl w:val="AFD4C7D6"/>
    <w:lvl w:ilvl="0">
      <w:start w:val="4"/>
      <w:numFmt w:val="decimal"/>
      <w:lvlText w:val="%1."/>
      <w:lvlJc w:val="left"/>
      <w:pPr>
        <w:ind w:left="288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18" w15:restartNumberingAfterBreak="0">
    <w:nsid w:val="3D535B62"/>
    <w:multiLevelType w:val="hybridMultilevel"/>
    <w:tmpl w:val="224AE04E"/>
    <w:lvl w:ilvl="0" w:tplc="C2A26F1C">
      <w:start w:val="1"/>
      <w:numFmt w:val="decimal"/>
      <w:lvlText w:val="%1."/>
      <w:lvlJc w:val="left"/>
      <w:pPr>
        <w:ind w:left="1440" w:hanging="720"/>
      </w:pPr>
      <w:rPr>
        <w:rFonts w:hint="default"/>
        <w:b w:val="0"/>
        <w:i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E6A09E0"/>
    <w:multiLevelType w:val="hybridMultilevel"/>
    <w:tmpl w:val="2EFE441C"/>
    <w:lvl w:ilvl="0" w:tplc="C4522428">
      <w:start w:val="13"/>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2455F9B"/>
    <w:multiLevelType w:val="multilevel"/>
    <w:tmpl w:val="188041DE"/>
    <w:lvl w:ilvl="0">
      <w:start w:val="16"/>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61A664F"/>
    <w:multiLevelType w:val="hybridMultilevel"/>
    <w:tmpl w:val="41D2AB9E"/>
    <w:lvl w:ilvl="0" w:tplc="AEF43636">
      <w:start w:val="1"/>
      <w:numFmt w:val="decimal"/>
      <w:lvlText w:val="12.%1."/>
      <w:lvlJc w:val="left"/>
      <w:pPr>
        <w:ind w:left="1440" w:hanging="360"/>
      </w:pPr>
      <w:rPr>
        <w:rFonts w:hint="default"/>
        <w:b w:val="0"/>
        <w:i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524B4F"/>
    <w:multiLevelType w:val="multilevel"/>
    <w:tmpl w:val="F3444342"/>
    <w:lvl w:ilvl="0">
      <w:start w:val="8"/>
      <w:numFmt w:val="decimal"/>
      <w:lvlText w:val="%1."/>
      <w:lvlJc w:val="left"/>
      <w:pPr>
        <w:ind w:left="1440" w:hanging="360"/>
      </w:pPr>
      <w:rPr>
        <w:rFonts w:hint="default"/>
        <w:b w:val="0"/>
        <w:i w:val="0"/>
        <w:color w:val="auto"/>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5D2406A5"/>
    <w:multiLevelType w:val="multilevel"/>
    <w:tmpl w:val="D5443CD8"/>
    <w:lvl w:ilvl="0">
      <w:start w:val="7"/>
      <w:numFmt w:val="decimal"/>
      <w:lvlText w:val="%1."/>
      <w:lvlJc w:val="left"/>
      <w:pPr>
        <w:ind w:left="1080" w:hanging="360"/>
      </w:pPr>
      <w:rPr>
        <w:rFonts w:hint="default"/>
        <w:b w:val="0"/>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5" w15:restartNumberingAfterBreak="0">
    <w:nsid w:val="60FD0E1B"/>
    <w:multiLevelType w:val="multilevel"/>
    <w:tmpl w:val="3FD2C404"/>
    <w:lvl w:ilvl="0">
      <w:start w:val="8"/>
      <w:numFmt w:val="decimal"/>
      <w:lvlText w:val="%1."/>
      <w:lvlJc w:val="left"/>
      <w:pPr>
        <w:ind w:left="990" w:hanging="360"/>
      </w:pPr>
      <w:rPr>
        <w:rFonts w:hint="default"/>
        <w:i w:val="0"/>
        <w:sz w:val="24"/>
        <w:szCs w:val="24"/>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62733189"/>
    <w:multiLevelType w:val="multilevel"/>
    <w:tmpl w:val="A7004EC2"/>
    <w:lvl w:ilvl="0">
      <w:start w:val="7"/>
      <w:numFmt w:val="decimal"/>
      <w:lvlText w:val="%1."/>
      <w:lvlJc w:val="left"/>
      <w:pPr>
        <w:ind w:left="2070" w:hanging="360"/>
      </w:pPr>
      <w:rPr>
        <w:rFonts w:hint="default"/>
        <w:i w:val="0"/>
        <w:color w:val="auto"/>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7" w15:restartNumberingAfterBreak="0">
    <w:nsid w:val="64734A53"/>
    <w:multiLevelType w:val="multilevel"/>
    <w:tmpl w:val="3B103532"/>
    <w:lvl w:ilvl="0">
      <w:start w:val="6"/>
      <w:numFmt w:val="decimal"/>
      <w:lvlText w:val="%1."/>
      <w:lvlJc w:val="left"/>
      <w:pPr>
        <w:ind w:left="2790" w:hanging="360"/>
      </w:pPr>
      <w:rPr>
        <w:rFonts w:hint="default"/>
        <w:i w:val="0"/>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i/>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28" w15:restartNumberingAfterBreak="0">
    <w:nsid w:val="65BD3D60"/>
    <w:multiLevelType w:val="hybridMultilevel"/>
    <w:tmpl w:val="0EB223DC"/>
    <w:lvl w:ilvl="0" w:tplc="7040AF1A">
      <w:start w:val="1"/>
      <w:numFmt w:val="decimal"/>
      <w:lvlText w:val="9.%1."/>
      <w:lvlJc w:val="left"/>
      <w:pPr>
        <w:ind w:left="1500" w:hanging="360"/>
      </w:pPr>
      <w:rPr>
        <w:rFonts w:hint="default"/>
      </w:rPr>
    </w:lvl>
    <w:lvl w:ilvl="1" w:tplc="041C0019">
      <w:start w:val="1"/>
      <w:numFmt w:val="lowerLetter"/>
      <w:lvlText w:val="%2."/>
      <w:lvlJc w:val="left"/>
      <w:pPr>
        <w:ind w:left="2220" w:hanging="360"/>
      </w:pPr>
    </w:lvl>
    <w:lvl w:ilvl="2" w:tplc="041C001B" w:tentative="1">
      <w:start w:val="1"/>
      <w:numFmt w:val="lowerRoman"/>
      <w:lvlText w:val="%3."/>
      <w:lvlJc w:val="right"/>
      <w:pPr>
        <w:ind w:left="2940" w:hanging="180"/>
      </w:pPr>
    </w:lvl>
    <w:lvl w:ilvl="3" w:tplc="041C000F" w:tentative="1">
      <w:start w:val="1"/>
      <w:numFmt w:val="decimal"/>
      <w:lvlText w:val="%4."/>
      <w:lvlJc w:val="left"/>
      <w:pPr>
        <w:ind w:left="3660" w:hanging="360"/>
      </w:pPr>
    </w:lvl>
    <w:lvl w:ilvl="4" w:tplc="041C0019" w:tentative="1">
      <w:start w:val="1"/>
      <w:numFmt w:val="lowerLetter"/>
      <w:lvlText w:val="%5."/>
      <w:lvlJc w:val="left"/>
      <w:pPr>
        <w:ind w:left="4380" w:hanging="360"/>
      </w:pPr>
    </w:lvl>
    <w:lvl w:ilvl="5" w:tplc="041C001B" w:tentative="1">
      <w:start w:val="1"/>
      <w:numFmt w:val="lowerRoman"/>
      <w:lvlText w:val="%6."/>
      <w:lvlJc w:val="right"/>
      <w:pPr>
        <w:ind w:left="5100" w:hanging="180"/>
      </w:pPr>
    </w:lvl>
    <w:lvl w:ilvl="6" w:tplc="041C000F" w:tentative="1">
      <w:start w:val="1"/>
      <w:numFmt w:val="decimal"/>
      <w:lvlText w:val="%7."/>
      <w:lvlJc w:val="left"/>
      <w:pPr>
        <w:ind w:left="5820" w:hanging="360"/>
      </w:pPr>
    </w:lvl>
    <w:lvl w:ilvl="7" w:tplc="041C0019" w:tentative="1">
      <w:start w:val="1"/>
      <w:numFmt w:val="lowerLetter"/>
      <w:lvlText w:val="%8."/>
      <w:lvlJc w:val="left"/>
      <w:pPr>
        <w:ind w:left="6540" w:hanging="360"/>
      </w:pPr>
    </w:lvl>
    <w:lvl w:ilvl="8" w:tplc="041C001B" w:tentative="1">
      <w:start w:val="1"/>
      <w:numFmt w:val="lowerRoman"/>
      <w:lvlText w:val="%9."/>
      <w:lvlJc w:val="right"/>
      <w:pPr>
        <w:ind w:left="7260" w:hanging="180"/>
      </w:pPr>
    </w:lvl>
  </w:abstractNum>
  <w:abstractNum w:abstractNumId="29" w15:restartNumberingAfterBreak="0">
    <w:nsid w:val="674050A2"/>
    <w:multiLevelType w:val="multilevel"/>
    <w:tmpl w:val="E2488110"/>
    <w:lvl w:ilvl="0">
      <w:start w:val="19"/>
      <w:numFmt w:val="decimal"/>
      <w:lvlText w:val="%1."/>
      <w:lvlJc w:val="left"/>
      <w:pPr>
        <w:ind w:left="720" w:hanging="360"/>
      </w:pPr>
      <w:rPr>
        <w:rFonts w:hint="default"/>
        <w:i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A4F15D8"/>
    <w:multiLevelType w:val="multilevel"/>
    <w:tmpl w:val="939A01CA"/>
    <w:lvl w:ilvl="0">
      <w:start w:val="10"/>
      <w:numFmt w:val="decimal"/>
      <w:lvlText w:val="%1."/>
      <w:lvlJc w:val="left"/>
      <w:pPr>
        <w:ind w:left="1290" w:hanging="480"/>
      </w:pPr>
      <w:rPr>
        <w:rFonts w:hint="default"/>
        <w:b w:val="0"/>
        <w:i w:val="0"/>
        <w:color w:val="auto"/>
      </w:rPr>
    </w:lvl>
    <w:lvl w:ilvl="1">
      <w:start w:val="1"/>
      <w:numFmt w:val="decimal"/>
      <w:lvlText w:val="%1.%2."/>
      <w:lvlJc w:val="left"/>
      <w:pPr>
        <w:ind w:left="1200" w:hanging="48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31" w15:restartNumberingAfterBreak="0">
    <w:nsid w:val="72296AC9"/>
    <w:multiLevelType w:val="multilevel"/>
    <w:tmpl w:val="A0324A2A"/>
    <w:lvl w:ilvl="0">
      <w:start w:val="7"/>
      <w:numFmt w:val="decimal"/>
      <w:lvlText w:val="%1."/>
      <w:lvlJc w:val="left"/>
      <w:pPr>
        <w:ind w:left="360" w:hanging="360"/>
      </w:pPr>
      <w:rPr>
        <w:rFonts w:hint="default"/>
        <w:i w:val="0"/>
      </w:rPr>
    </w:lvl>
    <w:lvl w:ilvl="1">
      <w:start w:val="1"/>
      <w:numFmt w:val="decimal"/>
      <w:lvlText w:val="%1.%2."/>
      <w:lvlJc w:val="left"/>
      <w:pPr>
        <w:ind w:left="1069" w:hanging="360"/>
      </w:pPr>
      <w:rPr>
        <w:rFonts w:hint="default"/>
        <w:i w:val="0"/>
      </w:rPr>
    </w:lvl>
    <w:lvl w:ilvl="2">
      <w:start w:val="1"/>
      <w:numFmt w:val="decimal"/>
      <w:lvlText w:val="%1.%2.%3."/>
      <w:lvlJc w:val="left"/>
      <w:pPr>
        <w:ind w:left="2138" w:hanging="720"/>
      </w:pPr>
      <w:rPr>
        <w:rFonts w:hint="default"/>
        <w:i/>
      </w:rPr>
    </w:lvl>
    <w:lvl w:ilvl="3">
      <w:start w:val="1"/>
      <w:numFmt w:val="decimal"/>
      <w:lvlText w:val="%1.%2.%3.%4."/>
      <w:lvlJc w:val="left"/>
      <w:pPr>
        <w:ind w:left="2847" w:hanging="72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625" w:hanging="1080"/>
      </w:pPr>
      <w:rPr>
        <w:rFonts w:hint="default"/>
        <w:i/>
      </w:rPr>
    </w:lvl>
    <w:lvl w:ilvl="6">
      <w:start w:val="1"/>
      <w:numFmt w:val="decimal"/>
      <w:lvlText w:val="%1.%2.%3.%4.%5.%6.%7."/>
      <w:lvlJc w:val="left"/>
      <w:pPr>
        <w:ind w:left="5694" w:hanging="1440"/>
      </w:pPr>
      <w:rPr>
        <w:rFonts w:hint="default"/>
        <w:i/>
      </w:rPr>
    </w:lvl>
    <w:lvl w:ilvl="7">
      <w:start w:val="1"/>
      <w:numFmt w:val="decimal"/>
      <w:lvlText w:val="%1.%2.%3.%4.%5.%6.%7.%8."/>
      <w:lvlJc w:val="left"/>
      <w:pPr>
        <w:ind w:left="6403" w:hanging="1440"/>
      </w:pPr>
      <w:rPr>
        <w:rFonts w:hint="default"/>
        <w:i/>
      </w:rPr>
    </w:lvl>
    <w:lvl w:ilvl="8">
      <w:start w:val="1"/>
      <w:numFmt w:val="decimal"/>
      <w:lvlText w:val="%1.%2.%3.%4.%5.%6.%7.%8.%9."/>
      <w:lvlJc w:val="left"/>
      <w:pPr>
        <w:ind w:left="7472" w:hanging="1800"/>
      </w:pPr>
      <w:rPr>
        <w:rFonts w:hint="default"/>
        <w:i/>
      </w:rPr>
    </w:lvl>
  </w:abstractNum>
  <w:abstractNum w:abstractNumId="32" w15:restartNumberingAfterBreak="0">
    <w:nsid w:val="74455A14"/>
    <w:multiLevelType w:val="hybridMultilevel"/>
    <w:tmpl w:val="7BCCACB2"/>
    <w:lvl w:ilvl="0" w:tplc="84CA97F0">
      <w:start w:val="1"/>
      <w:numFmt w:val="decimal"/>
      <w:lvlText w:val="%1."/>
      <w:lvlJc w:val="left"/>
      <w:pPr>
        <w:ind w:left="1980" w:hanging="360"/>
      </w:pPr>
      <w:rPr>
        <w:b w:val="0"/>
        <w:i w:val="0"/>
      </w:rPr>
    </w:lvl>
    <w:lvl w:ilvl="1" w:tplc="83DAEA7C">
      <w:start w:val="1"/>
      <w:numFmt w:val="decimal"/>
      <w:lvlText w:val="21.%2."/>
      <w:lvlJc w:val="left"/>
      <w:pPr>
        <w:ind w:left="1440" w:hanging="360"/>
      </w:pPr>
      <w:rPr>
        <w:rFonts w:hint="default"/>
      </w:rPr>
    </w:lvl>
    <w:lvl w:ilvl="2" w:tplc="AE240CCE">
      <w:start w:val="1"/>
      <w:numFmt w:val="decimal"/>
      <w:lvlText w:val="22.8.%3."/>
      <w:lvlJc w:val="left"/>
      <w:pPr>
        <w:ind w:left="2160" w:hanging="180"/>
      </w:pPr>
      <w:rPr>
        <w:rFonts w:hint="default"/>
        <w:b w:val="0"/>
        <w:i w:val="0"/>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8453D56"/>
    <w:multiLevelType w:val="multilevel"/>
    <w:tmpl w:val="C42E978A"/>
    <w:lvl w:ilvl="0">
      <w:start w:val="1"/>
      <w:numFmt w:val="decimal"/>
      <w:lvlText w:val="%1."/>
      <w:lvlJc w:val="left"/>
      <w:pPr>
        <w:ind w:left="1069" w:hanging="360"/>
      </w:pPr>
      <w:rPr>
        <w:rFonts w:hint="default"/>
        <w:b w:val="0"/>
        <w:i w:val="0"/>
      </w:rPr>
    </w:lvl>
    <w:lvl w:ilvl="1">
      <w:start w:val="1"/>
      <w:numFmt w:val="decimal"/>
      <w:isLgl/>
      <w:lvlText w:val="%1.%2."/>
      <w:lvlJc w:val="left"/>
      <w:pPr>
        <w:ind w:left="1560" w:hanging="480"/>
      </w:pPr>
      <w:rPr>
        <w:rFonts w:hint="default"/>
        <w:b w:val="0"/>
        <w:i w:val="0"/>
      </w:rPr>
    </w:lvl>
    <w:lvl w:ilvl="2">
      <w:start w:val="1"/>
      <w:numFmt w:val="decimal"/>
      <w:isLgl/>
      <w:lvlText w:val="%1.%2.%3."/>
      <w:lvlJc w:val="left"/>
      <w:pPr>
        <w:ind w:left="2171" w:hanging="720"/>
      </w:pPr>
      <w:rPr>
        <w:rFonts w:hint="default"/>
        <w:b/>
      </w:rPr>
    </w:lvl>
    <w:lvl w:ilvl="3">
      <w:start w:val="1"/>
      <w:numFmt w:val="decimal"/>
      <w:isLgl/>
      <w:lvlText w:val="%1.%2.%3.%4."/>
      <w:lvlJc w:val="left"/>
      <w:pPr>
        <w:ind w:left="2542" w:hanging="720"/>
      </w:pPr>
      <w:rPr>
        <w:rFonts w:hint="default"/>
        <w:b/>
      </w:rPr>
    </w:lvl>
    <w:lvl w:ilvl="4">
      <w:start w:val="1"/>
      <w:numFmt w:val="decimal"/>
      <w:isLgl/>
      <w:lvlText w:val="%1.%2.%3.%4.%5."/>
      <w:lvlJc w:val="left"/>
      <w:pPr>
        <w:ind w:left="3273" w:hanging="1080"/>
      </w:pPr>
      <w:rPr>
        <w:rFonts w:hint="default"/>
        <w:b/>
      </w:rPr>
    </w:lvl>
    <w:lvl w:ilvl="5">
      <w:start w:val="1"/>
      <w:numFmt w:val="decimal"/>
      <w:isLgl/>
      <w:lvlText w:val="%1.%2.%3.%4.%5.%6."/>
      <w:lvlJc w:val="left"/>
      <w:pPr>
        <w:ind w:left="3644" w:hanging="1080"/>
      </w:pPr>
      <w:rPr>
        <w:rFonts w:hint="default"/>
        <w:b/>
      </w:rPr>
    </w:lvl>
    <w:lvl w:ilvl="6">
      <w:start w:val="1"/>
      <w:numFmt w:val="decimal"/>
      <w:isLgl/>
      <w:lvlText w:val="%1.%2.%3.%4.%5.%6.%7."/>
      <w:lvlJc w:val="left"/>
      <w:pPr>
        <w:ind w:left="4375" w:hanging="1440"/>
      </w:pPr>
      <w:rPr>
        <w:rFonts w:hint="default"/>
        <w:b/>
      </w:rPr>
    </w:lvl>
    <w:lvl w:ilvl="7">
      <w:start w:val="1"/>
      <w:numFmt w:val="decimal"/>
      <w:isLgl/>
      <w:lvlText w:val="%1.%2.%3.%4.%5.%6.%7.%8."/>
      <w:lvlJc w:val="left"/>
      <w:pPr>
        <w:ind w:left="4746" w:hanging="1440"/>
      </w:pPr>
      <w:rPr>
        <w:rFonts w:hint="default"/>
        <w:b/>
      </w:rPr>
    </w:lvl>
    <w:lvl w:ilvl="8">
      <w:start w:val="1"/>
      <w:numFmt w:val="decimal"/>
      <w:isLgl/>
      <w:lvlText w:val="%1.%2.%3.%4.%5.%6.%7.%8.%9."/>
      <w:lvlJc w:val="left"/>
      <w:pPr>
        <w:ind w:left="5477" w:hanging="1800"/>
      </w:pPr>
      <w:rPr>
        <w:rFonts w:hint="default"/>
        <w:b/>
      </w:rPr>
    </w:lvl>
  </w:abstractNum>
  <w:abstractNum w:abstractNumId="34" w15:restartNumberingAfterBreak="0">
    <w:nsid w:val="79FF0DC4"/>
    <w:multiLevelType w:val="multilevel"/>
    <w:tmpl w:val="31BED03A"/>
    <w:lvl w:ilvl="0">
      <w:start w:val="7"/>
      <w:numFmt w:val="decimal"/>
      <w:lvlText w:val="%1."/>
      <w:lvlJc w:val="left"/>
      <w:pPr>
        <w:ind w:left="900" w:hanging="360"/>
      </w:pPr>
      <w:rPr>
        <w:rFonts w:eastAsia="Arial Unicode MS" w:hint="default"/>
        <w:b w:val="0"/>
        <w:i w:val="0"/>
      </w:rPr>
    </w:lvl>
    <w:lvl w:ilvl="1">
      <w:start w:val="1"/>
      <w:numFmt w:val="decimal"/>
      <w:lvlText w:val="%1.%2."/>
      <w:lvlJc w:val="left"/>
      <w:pPr>
        <w:ind w:left="1494" w:hanging="360"/>
      </w:pPr>
      <w:rPr>
        <w:rFonts w:eastAsia="Arial Unicode MS" w:hint="default"/>
        <w:b w:val="0"/>
        <w:i w:val="0"/>
      </w:rPr>
    </w:lvl>
    <w:lvl w:ilvl="2">
      <w:start w:val="1"/>
      <w:numFmt w:val="decimal"/>
      <w:lvlText w:val="%1.%2.%3."/>
      <w:lvlJc w:val="left"/>
      <w:pPr>
        <w:ind w:left="2988" w:hanging="720"/>
      </w:pPr>
      <w:rPr>
        <w:rFonts w:eastAsia="Arial Unicode MS" w:hint="default"/>
        <w:b w:val="0"/>
        <w:i w:val="0"/>
      </w:rPr>
    </w:lvl>
    <w:lvl w:ilvl="3">
      <w:start w:val="1"/>
      <w:numFmt w:val="decimal"/>
      <w:lvlText w:val="%1.%2.%3.%4."/>
      <w:lvlJc w:val="left"/>
      <w:pPr>
        <w:ind w:left="4122" w:hanging="720"/>
      </w:pPr>
      <w:rPr>
        <w:rFonts w:eastAsia="Arial Unicode MS" w:hint="default"/>
        <w:b w:val="0"/>
      </w:rPr>
    </w:lvl>
    <w:lvl w:ilvl="4">
      <w:start w:val="1"/>
      <w:numFmt w:val="decimal"/>
      <w:lvlText w:val="%1.%2.%3.%4.%5."/>
      <w:lvlJc w:val="left"/>
      <w:pPr>
        <w:ind w:left="5616" w:hanging="1080"/>
      </w:pPr>
      <w:rPr>
        <w:rFonts w:eastAsia="Arial Unicode MS" w:hint="default"/>
        <w:b w:val="0"/>
      </w:rPr>
    </w:lvl>
    <w:lvl w:ilvl="5">
      <w:start w:val="1"/>
      <w:numFmt w:val="decimal"/>
      <w:lvlText w:val="%1.%2.%3.%4.%5.%6."/>
      <w:lvlJc w:val="left"/>
      <w:pPr>
        <w:ind w:left="6750" w:hanging="1080"/>
      </w:pPr>
      <w:rPr>
        <w:rFonts w:eastAsia="Arial Unicode MS" w:hint="default"/>
        <w:b w:val="0"/>
      </w:rPr>
    </w:lvl>
    <w:lvl w:ilvl="6">
      <w:start w:val="1"/>
      <w:numFmt w:val="decimal"/>
      <w:lvlText w:val="%1.%2.%3.%4.%5.%6.%7."/>
      <w:lvlJc w:val="left"/>
      <w:pPr>
        <w:ind w:left="8244" w:hanging="1440"/>
      </w:pPr>
      <w:rPr>
        <w:rFonts w:eastAsia="Arial Unicode MS" w:hint="default"/>
        <w:b w:val="0"/>
      </w:rPr>
    </w:lvl>
    <w:lvl w:ilvl="7">
      <w:start w:val="1"/>
      <w:numFmt w:val="decimal"/>
      <w:lvlText w:val="%1.%2.%3.%4.%5.%6.%7.%8."/>
      <w:lvlJc w:val="left"/>
      <w:pPr>
        <w:ind w:left="9378" w:hanging="1440"/>
      </w:pPr>
      <w:rPr>
        <w:rFonts w:eastAsia="Arial Unicode MS" w:hint="default"/>
        <w:b w:val="0"/>
      </w:rPr>
    </w:lvl>
    <w:lvl w:ilvl="8">
      <w:start w:val="1"/>
      <w:numFmt w:val="decimal"/>
      <w:lvlText w:val="%1.%2.%3.%4.%5.%6.%7.%8.%9."/>
      <w:lvlJc w:val="left"/>
      <w:pPr>
        <w:ind w:left="10872" w:hanging="1800"/>
      </w:pPr>
      <w:rPr>
        <w:rFonts w:eastAsia="Arial Unicode MS" w:hint="default"/>
        <w:b w:val="0"/>
      </w:rPr>
    </w:lvl>
  </w:abstractNum>
  <w:num w:numId="1">
    <w:abstractNumId w:val="23"/>
  </w:num>
  <w:num w:numId="2">
    <w:abstractNumId w:val="22"/>
  </w:num>
  <w:num w:numId="3">
    <w:abstractNumId w:val="11"/>
  </w:num>
  <w:num w:numId="4">
    <w:abstractNumId w:val="28"/>
  </w:num>
  <w:num w:numId="5">
    <w:abstractNumId w:val="10"/>
  </w:num>
  <w:num w:numId="6">
    <w:abstractNumId w:val="7"/>
  </w:num>
  <w:num w:numId="7">
    <w:abstractNumId w:val="16"/>
  </w:num>
  <w:num w:numId="8">
    <w:abstractNumId w:val="1"/>
  </w:num>
  <w:num w:numId="9">
    <w:abstractNumId w:val="31"/>
  </w:num>
  <w:num w:numId="10">
    <w:abstractNumId w:val="2"/>
  </w:num>
  <w:num w:numId="11">
    <w:abstractNumId w:val="32"/>
  </w:num>
  <w:num w:numId="12">
    <w:abstractNumId w:val="20"/>
  </w:num>
  <w:num w:numId="13">
    <w:abstractNumId w:val="30"/>
  </w:num>
  <w:num w:numId="14">
    <w:abstractNumId w:val="8"/>
  </w:num>
  <w:num w:numId="15">
    <w:abstractNumId w:val="21"/>
  </w:num>
  <w:num w:numId="16">
    <w:abstractNumId w:val="24"/>
  </w:num>
  <w:num w:numId="17">
    <w:abstractNumId w:val="27"/>
  </w:num>
  <w:num w:numId="18">
    <w:abstractNumId w:val="26"/>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3"/>
  </w:num>
  <w:num w:numId="21">
    <w:abstractNumId w:val="25"/>
  </w:num>
  <w:num w:numId="22">
    <w:abstractNumId w:val="19"/>
  </w:num>
  <w:num w:numId="23">
    <w:abstractNumId w:val="15"/>
  </w:num>
  <w:num w:numId="24">
    <w:abstractNumId w:val="12"/>
  </w:num>
  <w:num w:numId="25">
    <w:abstractNumId w:val="3"/>
  </w:num>
  <w:num w:numId="26">
    <w:abstractNumId w:val="0"/>
  </w:num>
  <w:num w:numId="27">
    <w:abstractNumId w:val="5"/>
  </w:num>
  <w:num w:numId="28">
    <w:abstractNumId w:val="9"/>
  </w:num>
  <w:num w:numId="29">
    <w:abstractNumId w:val="29"/>
  </w:num>
  <w:num w:numId="30">
    <w:abstractNumId w:val="18"/>
  </w:num>
  <w:num w:numId="31">
    <w:abstractNumId w:val="4"/>
  </w:num>
  <w:num w:numId="32">
    <w:abstractNumId w:val="14"/>
  </w:num>
  <w:num w:numId="33">
    <w:abstractNumId w:val="6"/>
  </w:num>
  <w:num w:numId="34">
    <w:abstractNumId w:val="34"/>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stylePaneSortMethod w:val="000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6BFB"/>
    <w:rsid w:val="0000108D"/>
    <w:rsid w:val="00001DFB"/>
    <w:rsid w:val="000024D1"/>
    <w:rsid w:val="00002950"/>
    <w:rsid w:val="00003B28"/>
    <w:rsid w:val="00005C2D"/>
    <w:rsid w:val="00005E0A"/>
    <w:rsid w:val="00006B5D"/>
    <w:rsid w:val="00006EC9"/>
    <w:rsid w:val="00010593"/>
    <w:rsid w:val="00011418"/>
    <w:rsid w:val="0001196A"/>
    <w:rsid w:val="00012436"/>
    <w:rsid w:val="0001284D"/>
    <w:rsid w:val="00012F34"/>
    <w:rsid w:val="00012FED"/>
    <w:rsid w:val="00013456"/>
    <w:rsid w:val="00013508"/>
    <w:rsid w:val="0001352E"/>
    <w:rsid w:val="00013B89"/>
    <w:rsid w:val="00013BD1"/>
    <w:rsid w:val="000146AC"/>
    <w:rsid w:val="000147C4"/>
    <w:rsid w:val="00014B6D"/>
    <w:rsid w:val="00014E0F"/>
    <w:rsid w:val="00014EEB"/>
    <w:rsid w:val="000152AF"/>
    <w:rsid w:val="00016E3E"/>
    <w:rsid w:val="00021979"/>
    <w:rsid w:val="00022381"/>
    <w:rsid w:val="000223BA"/>
    <w:rsid w:val="00022AD5"/>
    <w:rsid w:val="00022D89"/>
    <w:rsid w:val="00022E48"/>
    <w:rsid w:val="00022FE5"/>
    <w:rsid w:val="0002321C"/>
    <w:rsid w:val="00023EEF"/>
    <w:rsid w:val="000241BF"/>
    <w:rsid w:val="00024203"/>
    <w:rsid w:val="00024AE1"/>
    <w:rsid w:val="000253F2"/>
    <w:rsid w:val="00025E57"/>
    <w:rsid w:val="000273E5"/>
    <w:rsid w:val="000303E8"/>
    <w:rsid w:val="000305E8"/>
    <w:rsid w:val="0003109E"/>
    <w:rsid w:val="00031689"/>
    <w:rsid w:val="00031851"/>
    <w:rsid w:val="00032804"/>
    <w:rsid w:val="00033156"/>
    <w:rsid w:val="00033638"/>
    <w:rsid w:val="00033783"/>
    <w:rsid w:val="0003456A"/>
    <w:rsid w:val="00035CE4"/>
    <w:rsid w:val="00043545"/>
    <w:rsid w:val="000436BA"/>
    <w:rsid w:val="00044DB0"/>
    <w:rsid w:val="00045482"/>
    <w:rsid w:val="00047B44"/>
    <w:rsid w:val="0005065F"/>
    <w:rsid w:val="00051423"/>
    <w:rsid w:val="000519C6"/>
    <w:rsid w:val="00052556"/>
    <w:rsid w:val="00052D30"/>
    <w:rsid w:val="00052E7B"/>
    <w:rsid w:val="000534AB"/>
    <w:rsid w:val="000542CE"/>
    <w:rsid w:val="00054814"/>
    <w:rsid w:val="0005497D"/>
    <w:rsid w:val="00055A57"/>
    <w:rsid w:val="00057016"/>
    <w:rsid w:val="00057B11"/>
    <w:rsid w:val="000610E7"/>
    <w:rsid w:val="000611B1"/>
    <w:rsid w:val="000620F1"/>
    <w:rsid w:val="00062107"/>
    <w:rsid w:val="000628F0"/>
    <w:rsid w:val="00062C8F"/>
    <w:rsid w:val="00062CF9"/>
    <w:rsid w:val="000630E6"/>
    <w:rsid w:val="00063917"/>
    <w:rsid w:val="00064396"/>
    <w:rsid w:val="00064FEE"/>
    <w:rsid w:val="000669CA"/>
    <w:rsid w:val="00066EA0"/>
    <w:rsid w:val="000709A8"/>
    <w:rsid w:val="000719BE"/>
    <w:rsid w:val="00071D1B"/>
    <w:rsid w:val="00071E7B"/>
    <w:rsid w:val="000731C2"/>
    <w:rsid w:val="00074782"/>
    <w:rsid w:val="000755FC"/>
    <w:rsid w:val="00077291"/>
    <w:rsid w:val="000773B4"/>
    <w:rsid w:val="00077E5E"/>
    <w:rsid w:val="0008086F"/>
    <w:rsid w:val="00081816"/>
    <w:rsid w:val="00081E60"/>
    <w:rsid w:val="0008276E"/>
    <w:rsid w:val="00083A07"/>
    <w:rsid w:val="00083F7C"/>
    <w:rsid w:val="0008455C"/>
    <w:rsid w:val="000847D9"/>
    <w:rsid w:val="00085875"/>
    <w:rsid w:val="00086DDF"/>
    <w:rsid w:val="0008744D"/>
    <w:rsid w:val="000879E2"/>
    <w:rsid w:val="000905FE"/>
    <w:rsid w:val="00090A19"/>
    <w:rsid w:val="0009183C"/>
    <w:rsid w:val="000921AE"/>
    <w:rsid w:val="000933A9"/>
    <w:rsid w:val="00095CDA"/>
    <w:rsid w:val="000979A9"/>
    <w:rsid w:val="000A0EE9"/>
    <w:rsid w:val="000A18DB"/>
    <w:rsid w:val="000A1B9C"/>
    <w:rsid w:val="000A1EDB"/>
    <w:rsid w:val="000A2011"/>
    <w:rsid w:val="000A2A44"/>
    <w:rsid w:val="000A4170"/>
    <w:rsid w:val="000A4AB0"/>
    <w:rsid w:val="000A5F09"/>
    <w:rsid w:val="000A6591"/>
    <w:rsid w:val="000A6B5C"/>
    <w:rsid w:val="000A7D02"/>
    <w:rsid w:val="000B0539"/>
    <w:rsid w:val="000B09DC"/>
    <w:rsid w:val="000B144C"/>
    <w:rsid w:val="000B27DC"/>
    <w:rsid w:val="000B2E23"/>
    <w:rsid w:val="000B3E4B"/>
    <w:rsid w:val="000B473E"/>
    <w:rsid w:val="000B4822"/>
    <w:rsid w:val="000B4C8F"/>
    <w:rsid w:val="000B5640"/>
    <w:rsid w:val="000B5A70"/>
    <w:rsid w:val="000B66C6"/>
    <w:rsid w:val="000B6C4A"/>
    <w:rsid w:val="000B7440"/>
    <w:rsid w:val="000B7BFD"/>
    <w:rsid w:val="000C2B42"/>
    <w:rsid w:val="000C3762"/>
    <w:rsid w:val="000C37FD"/>
    <w:rsid w:val="000C4552"/>
    <w:rsid w:val="000C55FB"/>
    <w:rsid w:val="000C610C"/>
    <w:rsid w:val="000C6769"/>
    <w:rsid w:val="000C7886"/>
    <w:rsid w:val="000D11EF"/>
    <w:rsid w:val="000D186B"/>
    <w:rsid w:val="000D269C"/>
    <w:rsid w:val="000D2CA5"/>
    <w:rsid w:val="000D2D48"/>
    <w:rsid w:val="000D4208"/>
    <w:rsid w:val="000D4B5A"/>
    <w:rsid w:val="000D61D7"/>
    <w:rsid w:val="000D6904"/>
    <w:rsid w:val="000D7DBE"/>
    <w:rsid w:val="000E00CB"/>
    <w:rsid w:val="000E2E5D"/>
    <w:rsid w:val="000E45BA"/>
    <w:rsid w:val="000E64CA"/>
    <w:rsid w:val="000E7C09"/>
    <w:rsid w:val="000F0D63"/>
    <w:rsid w:val="000F1529"/>
    <w:rsid w:val="000F1A16"/>
    <w:rsid w:val="000F29E7"/>
    <w:rsid w:val="000F2AE3"/>
    <w:rsid w:val="000F5F37"/>
    <w:rsid w:val="000F77C6"/>
    <w:rsid w:val="00101C54"/>
    <w:rsid w:val="00101E52"/>
    <w:rsid w:val="001023F2"/>
    <w:rsid w:val="00103709"/>
    <w:rsid w:val="001050E5"/>
    <w:rsid w:val="00105C79"/>
    <w:rsid w:val="00106108"/>
    <w:rsid w:val="00106943"/>
    <w:rsid w:val="00106D66"/>
    <w:rsid w:val="00110683"/>
    <w:rsid w:val="00111B3A"/>
    <w:rsid w:val="00112A95"/>
    <w:rsid w:val="001136E0"/>
    <w:rsid w:val="0011432F"/>
    <w:rsid w:val="00114758"/>
    <w:rsid w:val="00114D6E"/>
    <w:rsid w:val="0011657D"/>
    <w:rsid w:val="00116ACA"/>
    <w:rsid w:val="00117E74"/>
    <w:rsid w:val="00120302"/>
    <w:rsid w:val="001208FB"/>
    <w:rsid w:val="00120C71"/>
    <w:rsid w:val="0012101B"/>
    <w:rsid w:val="0012127D"/>
    <w:rsid w:val="00121BBA"/>
    <w:rsid w:val="00122F98"/>
    <w:rsid w:val="00125A1B"/>
    <w:rsid w:val="00125F18"/>
    <w:rsid w:val="001279F6"/>
    <w:rsid w:val="00127A7E"/>
    <w:rsid w:val="00127D60"/>
    <w:rsid w:val="00130CD7"/>
    <w:rsid w:val="00131B03"/>
    <w:rsid w:val="00132ACA"/>
    <w:rsid w:val="0013304F"/>
    <w:rsid w:val="0013392E"/>
    <w:rsid w:val="00133B1F"/>
    <w:rsid w:val="001352BE"/>
    <w:rsid w:val="001354A5"/>
    <w:rsid w:val="001357CE"/>
    <w:rsid w:val="00137A8D"/>
    <w:rsid w:val="00137CE5"/>
    <w:rsid w:val="00137CF9"/>
    <w:rsid w:val="00137DD8"/>
    <w:rsid w:val="00140B41"/>
    <w:rsid w:val="00141067"/>
    <w:rsid w:val="00141A5E"/>
    <w:rsid w:val="001431E2"/>
    <w:rsid w:val="00143628"/>
    <w:rsid w:val="0014364D"/>
    <w:rsid w:val="00144BA7"/>
    <w:rsid w:val="00144E3B"/>
    <w:rsid w:val="0014635C"/>
    <w:rsid w:val="00146DD4"/>
    <w:rsid w:val="0015077D"/>
    <w:rsid w:val="00150DC2"/>
    <w:rsid w:val="0015111D"/>
    <w:rsid w:val="001518A8"/>
    <w:rsid w:val="00151917"/>
    <w:rsid w:val="00151B6D"/>
    <w:rsid w:val="00151BBB"/>
    <w:rsid w:val="00151EFE"/>
    <w:rsid w:val="001525E8"/>
    <w:rsid w:val="0015285A"/>
    <w:rsid w:val="001528B1"/>
    <w:rsid w:val="00152A83"/>
    <w:rsid w:val="00153E11"/>
    <w:rsid w:val="00155097"/>
    <w:rsid w:val="00155E00"/>
    <w:rsid w:val="00156736"/>
    <w:rsid w:val="001568BC"/>
    <w:rsid w:val="0015787F"/>
    <w:rsid w:val="00157C08"/>
    <w:rsid w:val="00160C27"/>
    <w:rsid w:val="00161565"/>
    <w:rsid w:val="001618F1"/>
    <w:rsid w:val="00161905"/>
    <w:rsid w:val="00161F27"/>
    <w:rsid w:val="00163168"/>
    <w:rsid w:val="001632B8"/>
    <w:rsid w:val="001645AF"/>
    <w:rsid w:val="00166B6A"/>
    <w:rsid w:val="00167E6D"/>
    <w:rsid w:val="00170293"/>
    <w:rsid w:val="001718B7"/>
    <w:rsid w:val="001719F6"/>
    <w:rsid w:val="00171EEC"/>
    <w:rsid w:val="00173313"/>
    <w:rsid w:val="001738F7"/>
    <w:rsid w:val="00173A8C"/>
    <w:rsid w:val="0017407F"/>
    <w:rsid w:val="001742C7"/>
    <w:rsid w:val="0017497B"/>
    <w:rsid w:val="00177017"/>
    <w:rsid w:val="00177BC5"/>
    <w:rsid w:val="00180000"/>
    <w:rsid w:val="001801F2"/>
    <w:rsid w:val="00180391"/>
    <w:rsid w:val="0018093D"/>
    <w:rsid w:val="00182B92"/>
    <w:rsid w:val="00184720"/>
    <w:rsid w:val="00185E2A"/>
    <w:rsid w:val="00187156"/>
    <w:rsid w:val="00190E7C"/>
    <w:rsid w:val="00190FBF"/>
    <w:rsid w:val="001914DD"/>
    <w:rsid w:val="00192380"/>
    <w:rsid w:val="00194736"/>
    <w:rsid w:val="001976A6"/>
    <w:rsid w:val="00197D20"/>
    <w:rsid w:val="001A2923"/>
    <w:rsid w:val="001A2D67"/>
    <w:rsid w:val="001A4EEE"/>
    <w:rsid w:val="001A54D7"/>
    <w:rsid w:val="001A608D"/>
    <w:rsid w:val="001A7071"/>
    <w:rsid w:val="001A70D1"/>
    <w:rsid w:val="001A7401"/>
    <w:rsid w:val="001A7871"/>
    <w:rsid w:val="001B0C91"/>
    <w:rsid w:val="001B20F3"/>
    <w:rsid w:val="001B2E68"/>
    <w:rsid w:val="001B3319"/>
    <w:rsid w:val="001B4E11"/>
    <w:rsid w:val="001B6641"/>
    <w:rsid w:val="001B75C5"/>
    <w:rsid w:val="001C1187"/>
    <w:rsid w:val="001C1249"/>
    <w:rsid w:val="001C216D"/>
    <w:rsid w:val="001C3193"/>
    <w:rsid w:val="001C3DE7"/>
    <w:rsid w:val="001C5510"/>
    <w:rsid w:val="001C66CB"/>
    <w:rsid w:val="001C6D7F"/>
    <w:rsid w:val="001C7E27"/>
    <w:rsid w:val="001D2161"/>
    <w:rsid w:val="001D3ADA"/>
    <w:rsid w:val="001D4C00"/>
    <w:rsid w:val="001D4C26"/>
    <w:rsid w:val="001D7B69"/>
    <w:rsid w:val="001E07DA"/>
    <w:rsid w:val="001E091D"/>
    <w:rsid w:val="001E095A"/>
    <w:rsid w:val="001E1218"/>
    <w:rsid w:val="001E2876"/>
    <w:rsid w:val="001E305E"/>
    <w:rsid w:val="001E329A"/>
    <w:rsid w:val="001E3C4E"/>
    <w:rsid w:val="001E4720"/>
    <w:rsid w:val="001E4DEE"/>
    <w:rsid w:val="001E5272"/>
    <w:rsid w:val="001E5B59"/>
    <w:rsid w:val="001E749F"/>
    <w:rsid w:val="001F004A"/>
    <w:rsid w:val="001F013A"/>
    <w:rsid w:val="001F1FE8"/>
    <w:rsid w:val="001F2096"/>
    <w:rsid w:val="001F2B92"/>
    <w:rsid w:val="001F405C"/>
    <w:rsid w:val="001F4BCE"/>
    <w:rsid w:val="001F4CFB"/>
    <w:rsid w:val="001F5AF9"/>
    <w:rsid w:val="001F77A4"/>
    <w:rsid w:val="002004E6"/>
    <w:rsid w:val="002008E2"/>
    <w:rsid w:val="002015CE"/>
    <w:rsid w:val="002024A5"/>
    <w:rsid w:val="00202A46"/>
    <w:rsid w:val="00204F16"/>
    <w:rsid w:val="002051A6"/>
    <w:rsid w:val="00205B18"/>
    <w:rsid w:val="00205ECB"/>
    <w:rsid w:val="00206C50"/>
    <w:rsid w:val="0021344E"/>
    <w:rsid w:val="00213953"/>
    <w:rsid w:val="00215695"/>
    <w:rsid w:val="002165F9"/>
    <w:rsid w:val="00216B37"/>
    <w:rsid w:val="00220427"/>
    <w:rsid w:val="002207D8"/>
    <w:rsid w:val="002209F5"/>
    <w:rsid w:val="00221DAA"/>
    <w:rsid w:val="00221EB5"/>
    <w:rsid w:val="002224CD"/>
    <w:rsid w:val="00224813"/>
    <w:rsid w:val="00225418"/>
    <w:rsid w:val="00225C29"/>
    <w:rsid w:val="0022671F"/>
    <w:rsid w:val="002273B4"/>
    <w:rsid w:val="002279FF"/>
    <w:rsid w:val="00230819"/>
    <w:rsid w:val="0023111D"/>
    <w:rsid w:val="0023153B"/>
    <w:rsid w:val="00232FCF"/>
    <w:rsid w:val="00233751"/>
    <w:rsid w:val="00234EDD"/>
    <w:rsid w:val="0023525E"/>
    <w:rsid w:val="0023529E"/>
    <w:rsid w:val="002353A9"/>
    <w:rsid w:val="00235DD4"/>
    <w:rsid w:val="002363F4"/>
    <w:rsid w:val="0024026F"/>
    <w:rsid w:val="00244007"/>
    <w:rsid w:val="0024597D"/>
    <w:rsid w:val="00246609"/>
    <w:rsid w:val="00246751"/>
    <w:rsid w:val="00246BF1"/>
    <w:rsid w:val="00247034"/>
    <w:rsid w:val="0024727A"/>
    <w:rsid w:val="00247979"/>
    <w:rsid w:val="00247FC6"/>
    <w:rsid w:val="0025154B"/>
    <w:rsid w:val="002535EE"/>
    <w:rsid w:val="002539FE"/>
    <w:rsid w:val="0025492C"/>
    <w:rsid w:val="00255405"/>
    <w:rsid w:val="00256D3E"/>
    <w:rsid w:val="00261AB8"/>
    <w:rsid w:val="00261B9D"/>
    <w:rsid w:val="00261F85"/>
    <w:rsid w:val="00263845"/>
    <w:rsid w:val="00264EC7"/>
    <w:rsid w:val="002665A6"/>
    <w:rsid w:val="00266D66"/>
    <w:rsid w:val="002711DD"/>
    <w:rsid w:val="002713E2"/>
    <w:rsid w:val="0027286B"/>
    <w:rsid w:val="00273291"/>
    <w:rsid w:val="002737C8"/>
    <w:rsid w:val="00273F23"/>
    <w:rsid w:val="00276E1A"/>
    <w:rsid w:val="002770E7"/>
    <w:rsid w:val="00277791"/>
    <w:rsid w:val="0028067F"/>
    <w:rsid w:val="00281C6C"/>
    <w:rsid w:val="00281CA0"/>
    <w:rsid w:val="00281D81"/>
    <w:rsid w:val="002833A8"/>
    <w:rsid w:val="00287D50"/>
    <w:rsid w:val="00290BE9"/>
    <w:rsid w:val="002910D3"/>
    <w:rsid w:val="00291663"/>
    <w:rsid w:val="00291E6E"/>
    <w:rsid w:val="00291E74"/>
    <w:rsid w:val="0029341C"/>
    <w:rsid w:val="002946D4"/>
    <w:rsid w:val="0029481A"/>
    <w:rsid w:val="00294A5F"/>
    <w:rsid w:val="00294EFF"/>
    <w:rsid w:val="00295157"/>
    <w:rsid w:val="00296060"/>
    <w:rsid w:val="00296362"/>
    <w:rsid w:val="00297F4D"/>
    <w:rsid w:val="002A3476"/>
    <w:rsid w:val="002A3C04"/>
    <w:rsid w:val="002A3E78"/>
    <w:rsid w:val="002A47BD"/>
    <w:rsid w:val="002A4B24"/>
    <w:rsid w:val="002A4E70"/>
    <w:rsid w:val="002B1D72"/>
    <w:rsid w:val="002B321A"/>
    <w:rsid w:val="002B52DE"/>
    <w:rsid w:val="002B7BE9"/>
    <w:rsid w:val="002C0CDD"/>
    <w:rsid w:val="002C2828"/>
    <w:rsid w:val="002C2D32"/>
    <w:rsid w:val="002C2E15"/>
    <w:rsid w:val="002C3C45"/>
    <w:rsid w:val="002C3EE6"/>
    <w:rsid w:val="002C4052"/>
    <w:rsid w:val="002C5B71"/>
    <w:rsid w:val="002C6B79"/>
    <w:rsid w:val="002C6F5F"/>
    <w:rsid w:val="002D07C8"/>
    <w:rsid w:val="002D32B1"/>
    <w:rsid w:val="002D35CB"/>
    <w:rsid w:val="002D3A2E"/>
    <w:rsid w:val="002D3E5A"/>
    <w:rsid w:val="002D5008"/>
    <w:rsid w:val="002D55CC"/>
    <w:rsid w:val="002D60BF"/>
    <w:rsid w:val="002D60CA"/>
    <w:rsid w:val="002D6A89"/>
    <w:rsid w:val="002E040D"/>
    <w:rsid w:val="002E06CA"/>
    <w:rsid w:val="002E380F"/>
    <w:rsid w:val="002E3B63"/>
    <w:rsid w:val="002E415D"/>
    <w:rsid w:val="002E46F5"/>
    <w:rsid w:val="002E4B76"/>
    <w:rsid w:val="002E5200"/>
    <w:rsid w:val="002E53B7"/>
    <w:rsid w:val="002E5705"/>
    <w:rsid w:val="002E57F8"/>
    <w:rsid w:val="002E66B3"/>
    <w:rsid w:val="002E685C"/>
    <w:rsid w:val="002E68F5"/>
    <w:rsid w:val="002E71A2"/>
    <w:rsid w:val="002F0AF1"/>
    <w:rsid w:val="002F1197"/>
    <w:rsid w:val="002F43B7"/>
    <w:rsid w:val="002F515D"/>
    <w:rsid w:val="002F6FDF"/>
    <w:rsid w:val="002F788F"/>
    <w:rsid w:val="00300969"/>
    <w:rsid w:val="00301127"/>
    <w:rsid w:val="00302941"/>
    <w:rsid w:val="00302948"/>
    <w:rsid w:val="0030310C"/>
    <w:rsid w:val="003040D4"/>
    <w:rsid w:val="0030437C"/>
    <w:rsid w:val="00304ECD"/>
    <w:rsid w:val="00306C72"/>
    <w:rsid w:val="00310016"/>
    <w:rsid w:val="003106AF"/>
    <w:rsid w:val="0031136D"/>
    <w:rsid w:val="00312A51"/>
    <w:rsid w:val="003137F0"/>
    <w:rsid w:val="00313A43"/>
    <w:rsid w:val="00314036"/>
    <w:rsid w:val="003148B7"/>
    <w:rsid w:val="003148DE"/>
    <w:rsid w:val="0031546C"/>
    <w:rsid w:val="00315D24"/>
    <w:rsid w:val="003177AA"/>
    <w:rsid w:val="00320889"/>
    <w:rsid w:val="00323397"/>
    <w:rsid w:val="003247F1"/>
    <w:rsid w:val="00326ADE"/>
    <w:rsid w:val="00327030"/>
    <w:rsid w:val="0033123D"/>
    <w:rsid w:val="00331A8A"/>
    <w:rsid w:val="00331E41"/>
    <w:rsid w:val="003346AA"/>
    <w:rsid w:val="00334BAF"/>
    <w:rsid w:val="00334FF3"/>
    <w:rsid w:val="003351B1"/>
    <w:rsid w:val="00335F19"/>
    <w:rsid w:val="0033739D"/>
    <w:rsid w:val="00337753"/>
    <w:rsid w:val="00340E2D"/>
    <w:rsid w:val="00341336"/>
    <w:rsid w:val="003414D3"/>
    <w:rsid w:val="00341711"/>
    <w:rsid w:val="00342076"/>
    <w:rsid w:val="00342101"/>
    <w:rsid w:val="003423FA"/>
    <w:rsid w:val="003425F0"/>
    <w:rsid w:val="00343998"/>
    <w:rsid w:val="00344E37"/>
    <w:rsid w:val="003462C1"/>
    <w:rsid w:val="003473EC"/>
    <w:rsid w:val="0035027C"/>
    <w:rsid w:val="00350E99"/>
    <w:rsid w:val="00351B50"/>
    <w:rsid w:val="0035292C"/>
    <w:rsid w:val="003540D0"/>
    <w:rsid w:val="00354414"/>
    <w:rsid w:val="00354EFB"/>
    <w:rsid w:val="00356DC0"/>
    <w:rsid w:val="0036206B"/>
    <w:rsid w:val="00362189"/>
    <w:rsid w:val="00362BA1"/>
    <w:rsid w:val="0036336A"/>
    <w:rsid w:val="003638FA"/>
    <w:rsid w:val="00364A0A"/>
    <w:rsid w:val="00364ABD"/>
    <w:rsid w:val="003667B5"/>
    <w:rsid w:val="00367C59"/>
    <w:rsid w:val="00371D27"/>
    <w:rsid w:val="003739E3"/>
    <w:rsid w:val="003745CB"/>
    <w:rsid w:val="00375054"/>
    <w:rsid w:val="00375B3E"/>
    <w:rsid w:val="00375C6C"/>
    <w:rsid w:val="003762F8"/>
    <w:rsid w:val="00376FD0"/>
    <w:rsid w:val="00377DAC"/>
    <w:rsid w:val="0038020B"/>
    <w:rsid w:val="00380B88"/>
    <w:rsid w:val="003813EF"/>
    <w:rsid w:val="003815F1"/>
    <w:rsid w:val="00381DC6"/>
    <w:rsid w:val="00383A08"/>
    <w:rsid w:val="003844BA"/>
    <w:rsid w:val="00384573"/>
    <w:rsid w:val="00384F39"/>
    <w:rsid w:val="00385B82"/>
    <w:rsid w:val="00385D7D"/>
    <w:rsid w:val="00385E4D"/>
    <w:rsid w:val="00385F9A"/>
    <w:rsid w:val="003873A3"/>
    <w:rsid w:val="003918E5"/>
    <w:rsid w:val="003920E1"/>
    <w:rsid w:val="00392652"/>
    <w:rsid w:val="00392B41"/>
    <w:rsid w:val="00393821"/>
    <w:rsid w:val="00393B80"/>
    <w:rsid w:val="00395361"/>
    <w:rsid w:val="00396D33"/>
    <w:rsid w:val="0039721C"/>
    <w:rsid w:val="003A043C"/>
    <w:rsid w:val="003A0679"/>
    <w:rsid w:val="003A0B9B"/>
    <w:rsid w:val="003A1B4B"/>
    <w:rsid w:val="003A296A"/>
    <w:rsid w:val="003A3E2E"/>
    <w:rsid w:val="003A4866"/>
    <w:rsid w:val="003A5039"/>
    <w:rsid w:val="003A55FB"/>
    <w:rsid w:val="003A627D"/>
    <w:rsid w:val="003A7E67"/>
    <w:rsid w:val="003B0C57"/>
    <w:rsid w:val="003B2890"/>
    <w:rsid w:val="003B351C"/>
    <w:rsid w:val="003B49FC"/>
    <w:rsid w:val="003B4BCD"/>
    <w:rsid w:val="003B5653"/>
    <w:rsid w:val="003B5856"/>
    <w:rsid w:val="003B5F72"/>
    <w:rsid w:val="003B6870"/>
    <w:rsid w:val="003B6BD1"/>
    <w:rsid w:val="003B6FB9"/>
    <w:rsid w:val="003C0237"/>
    <w:rsid w:val="003C1BCC"/>
    <w:rsid w:val="003C2322"/>
    <w:rsid w:val="003C3EC2"/>
    <w:rsid w:val="003C5395"/>
    <w:rsid w:val="003C569D"/>
    <w:rsid w:val="003C57F3"/>
    <w:rsid w:val="003C6331"/>
    <w:rsid w:val="003C7A40"/>
    <w:rsid w:val="003C7E5A"/>
    <w:rsid w:val="003D0031"/>
    <w:rsid w:val="003D010B"/>
    <w:rsid w:val="003D39B4"/>
    <w:rsid w:val="003D4729"/>
    <w:rsid w:val="003D55C0"/>
    <w:rsid w:val="003D55EE"/>
    <w:rsid w:val="003D5831"/>
    <w:rsid w:val="003D74F6"/>
    <w:rsid w:val="003D7504"/>
    <w:rsid w:val="003D79AB"/>
    <w:rsid w:val="003D7F13"/>
    <w:rsid w:val="003E11D0"/>
    <w:rsid w:val="003E240F"/>
    <w:rsid w:val="003E4854"/>
    <w:rsid w:val="003E5237"/>
    <w:rsid w:val="003E5A38"/>
    <w:rsid w:val="003E5A6F"/>
    <w:rsid w:val="003E62E5"/>
    <w:rsid w:val="003E7BA0"/>
    <w:rsid w:val="003F2C39"/>
    <w:rsid w:val="003F4317"/>
    <w:rsid w:val="003F4884"/>
    <w:rsid w:val="003F5710"/>
    <w:rsid w:val="003F5AC2"/>
    <w:rsid w:val="003F5E75"/>
    <w:rsid w:val="003F62A8"/>
    <w:rsid w:val="003F64DA"/>
    <w:rsid w:val="003F78E9"/>
    <w:rsid w:val="00400E2E"/>
    <w:rsid w:val="0040142F"/>
    <w:rsid w:val="00401D08"/>
    <w:rsid w:val="00402256"/>
    <w:rsid w:val="00402303"/>
    <w:rsid w:val="004027FC"/>
    <w:rsid w:val="00402FB1"/>
    <w:rsid w:val="00403CC5"/>
    <w:rsid w:val="004045A2"/>
    <w:rsid w:val="00404DA7"/>
    <w:rsid w:val="00405EE7"/>
    <w:rsid w:val="0040621C"/>
    <w:rsid w:val="00406BC7"/>
    <w:rsid w:val="004075A0"/>
    <w:rsid w:val="004107B3"/>
    <w:rsid w:val="00410D75"/>
    <w:rsid w:val="004114B4"/>
    <w:rsid w:val="00412B79"/>
    <w:rsid w:val="00412D4D"/>
    <w:rsid w:val="004134C6"/>
    <w:rsid w:val="0041392C"/>
    <w:rsid w:val="00413D25"/>
    <w:rsid w:val="00413EC9"/>
    <w:rsid w:val="00414CE3"/>
    <w:rsid w:val="0041518E"/>
    <w:rsid w:val="0041533A"/>
    <w:rsid w:val="00415FFF"/>
    <w:rsid w:val="0041630C"/>
    <w:rsid w:val="00417B32"/>
    <w:rsid w:val="0042016B"/>
    <w:rsid w:val="0042025D"/>
    <w:rsid w:val="0042139F"/>
    <w:rsid w:val="00421EAD"/>
    <w:rsid w:val="00422509"/>
    <w:rsid w:val="0042476B"/>
    <w:rsid w:val="00425A92"/>
    <w:rsid w:val="004269C0"/>
    <w:rsid w:val="00426BDA"/>
    <w:rsid w:val="0042739B"/>
    <w:rsid w:val="004277EB"/>
    <w:rsid w:val="004303B8"/>
    <w:rsid w:val="00430E8B"/>
    <w:rsid w:val="00431928"/>
    <w:rsid w:val="00431E5D"/>
    <w:rsid w:val="00431F77"/>
    <w:rsid w:val="00432337"/>
    <w:rsid w:val="004331A6"/>
    <w:rsid w:val="00433846"/>
    <w:rsid w:val="00437180"/>
    <w:rsid w:val="0043780A"/>
    <w:rsid w:val="004407DA"/>
    <w:rsid w:val="00441D8E"/>
    <w:rsid w:val="00443303"/>
    <w:rsid w:val="004436F2"/>
    <w:rsid w:val="004440E3"/>
    <w:rsid w:val="00444788"/>
    <w:rsid w:val="00444A04"/>
    <w:rsid w:val="00445909"/>
    <w:rsid w:val="00445AEA"/>
    <w:rsid w:val="00451D49"/>
    <w:rsid w:val="004522C4"/>
    <w:rsid w:val="00452DEE"/>
    <w:rsid w:val="004537E3"/>
    <w:rsid w:val="00453A2A"/>
    <w:rsid w:val="00453BBF"/>
    <w:rsid w:val="004552AE"/>
    <w:rsid w:val="00455BB7"/>
    <w:rsid w:val="00460271"/>
    <w:rsid w:val="00461C54"/>
    <w:rsid w:val="004626F1"/>
    <w:rsid w:val="00462D23"/>
    <w:rsid w:val="00463EB2"/>
    <w:rsid w:val="00464D25"/>
    <w:rsid w:val="00464EE3"/>
    <w:rsid w:val="0046520F"/>
    <w:rsid w:val="00465598"/>
    <w:rsid w:val="00465C34"/>
    <w:rsid w:val="004717C3"/>
    <w:rsid w:val="00472010"/>
    <w:rsid w:val="00472850"/>
    <w:rsid w:val="00472E5E"/>
    <w:rsid w:val="00473099"/>
    <w:rsid w:val="00473A8B"/>
    <w:rsid w:val="00473E71"/>
    <w:rsid w:val="004754A8"/>
    <w:rsid w:val="00475854"/>
    <w:rsid w:val="004761F9"/>
    <w:rsid w:val="0047643F"/>
    <w:rsid w:val="004764F9"/>
    <w:rsid w:val="0048020A"/>
    <w:rsid w:val="004804FC"/>
    <w:rsid w:val="00480867"/>
    <w:rsid w:val="00480EDF"/>
    <w:rsid w:val="004816AA"/>
    <w:rsid w:val="0048345B"/>
    <w:rsid w:val="0048358A"/>
    <w:rsid w:val="00484398"/>
    <w:rsid w:val="004852C4"/>
    <w:rsid w:val="004854BD"/>
    <w:rsid w:val="0048609F"/>
    <w:rsid w:val="004864B5"/>
    <w:rsid w:val="00487109"/>
    <w:rsid w:val="00487985"/>
    <w:rsid w:val="00490002"/>
    <w:rsid w:val="00490705"/>
    <w:rsid w:val="00490DBE"/>
    <w:rsid w:val="00492B98"/>
    <w:rsid w:val="00492BC8"/>
    <w:rsid w:val="0049433F"/>
    <w:rsid w:val="00495204"/>
    <w:rsid w:val="00495554"/>
    <w:rsid w:val="00497244"/>
    <w:rsid w:val="004973D2"/>
    <w:rsid w:val="004A00EC"/>
    <w:rsid w:val="004A0C0B"/>
    <w:rsid w:val="004A12A4"/>
    <w:rsid w:val="004A4ED8"/>
    <w:rsid w:val="004A4FF4"/>
    <w:rsid w:val="004A550D"/>
    <w:rsid w:val="004A5BC6"/>
    <w:rsid w:val="004A6062"/>
    <w:rsid w:val="004A7329"/>
    <w:rsid w:val="004B015F"/>
    <w:rsid w:val="004B2E24"/>
    <w:rsid w:val="004B31D2"/>
    <w:rsid w:val="004B3E11"/>
    <w:rsid w:val="004B44EE"/>
    <w:rsid w:val="004B48E7"/>
    <w:rsid w:val="004B4C9B"/>
    <w:rsid w:val="004B4CAF"/>
    <w:rsid w:val="004B5330"/>
    <w:rsid w:val="004B57B5"/>
    <w:rsid w:val="004B5940"/>
    <w:rsid w:val="004B5D6D"/>
    <w:rsid w:val="004B615A"/>
    <w:rsid w:val="004B657B"/>
    <w:rsid w:val="004B6A03"/>
    <w:rsid w:val="004B6F0F"/>
    <w:rsid w:val="004B7AA4"/>
    <w:rsid w:val="004C0938"/>
    <w:rsid w:val="004C0D45"/>
    <w:rsid w:val="004C1545"/>
    <w:rsid w:val="004C2030"/>
    <w:rsid w:val="004C4358"/>
    <w:rsid w:val="004C64BC"/>
    <w:rsid w:val="004C67E7"/>
    <w:rsid w:val="004C6A5A"/>
    <w:rsid w:val="004C77CB"/>
    <w:rsid w:val="004D091E"/>
    <w:rsid w:val="004D345D"/>
    <w:rsid w:val="004D3D50"/>
    <w:rsid w:val="004D4B49"/>
    <w:rsid w:val="004D5018"/>
    <w:rsid w:val="004D58E6"/>
    <w:rsid w:val="004D7EE3"/>
    <w:rsid w:val="004E010A"/>
    <w:rsid w:val="004E0465"/>
    <w:rsid w:val="004E1B9C"/>
    <w:rsid w:val="004E3896"/>
    <w:rsid w:val="004E3D42"/>
    <w:rsid w:val="004E3F6E"/>
    <w:rsid w:val="004E449C"/>
    <w:rsid w:val="004E6280"/>
    <w:rsid w:val="004E6BCD"/>
    <w:rsid w:val="004E72D9"/>
    <w:rsid w:val="004E73C0"/>
    <w:rsid w:val="004F04BC"/>
    <w:rsid w:val="004F09DB"/>
    <w:rsid w:val="004F15FA"/>
    <w:rsid w:val="004F1D38"/>
    <w:rsid w:val="004F432A"/>
    <w:rsid w:val="004F4637"/>
    <w:rsid w:val="004F4985"/>
    <w:rsid w:val="004F4D51"/>
    <w:rsid w:val="004F549D"/>
    <w:rsid w:val="004F650B"/>
    <w:rsid w:val="004F66E5"/>
    <w:rsid w:val="004F69F5"/>
    <w:rsid w:val="004F707C"/>
    <w:rsid w:val="004F7133"/>
    <w:rsid w:val="005002A4"/>
    <w:rsid w:val="00500B3C"/>
    <w:rsid w:val="00500D32"/>
    <w:rsid w:val="005010CB"/>
    <w:rsid w:val="0050164D"/>
    <w:rsid w:val="00503DE8"/>
    <w:rsid w:val="005047ED"/>
    <w:rsid w:val="0050543F"/>
    <w:rsid w:val="00505B29"/>
    <w:rsid w:val="00507B87"/>
    <w:rsid w:val="00507D63"/>
    <w:rsid w:val="0051200F"/>
    <w:rsid w:val="00512322"/>
    <w:rsid w:val="0051318B"/>
    <w:rsid w:val="00513E6C"/>
    <w:rsid w:val="005161EB"/>
    <w:rsid w:val="00516C87"/>
    <w:rsid w:val="00516D27"/>
    <w:rsid w:val="005178AD"/>
    <w:rsid w:val="0051796F"/>
    <w:rsid w:val="00520E0C"/>
    <w:rsid w:val="00523723"/>
    <w:rsid w:val="005250E2"/>
    <w:rsid w:val="00525924"/>
    <w:rsid w:val="005259E1"/>
    <w:rsid w:val="00526BC1"/>
    <w:rsid w:val="005303C2"/>
    <w:rsid w:val="00532009"/>
    <w:rsid w:val="00532908"/>
    <w:rsid w:val="0053424C"/>
    <w:rsid w:val="00534B5E"/>
    <w:rsid w:val="00535A8D"/>
    <w:rsid w:val="00535E7E"/>
    <w:rsid w:val="005366ED"/>
    <w:rsid w:val="00536E4F"/>
    <w:rsid w:val="005427DD"/>
    <w:rsid w:val="0054373A"/>
    <w:rsid w:val="00543AFC"/>
    <w:rsid w:val="00543CE9"/>
    <w:rsid w:val="00545A12"/>
    <w:rsid w:val="0054778F"/>
    <w:rsid w:val="0055056E"/>
    <w:rsid w:val="00550751"/>
    <w:rsid w:val="00550905"/>
    <w:rsid w:val="00550AAF"/>
    <w:rsid w:val="0055218C"/>
    <w:rsid w:val="0055222A"/>
    <w:rsid w:val="00552601"/>
    <w:rsid w:val="005562D2"/>
    <w:rsid w:val="00556582"/>
    <w:rsid w:val="00556A0B"/>
    <w:rsid w:val="0055727A"/>
    <w:rsid w:val="00557ED5"/>
    <w:rsid w:val="005600D9"/>
    <w:rsid w:val="00560FF0"/>
    <w:rsid w:val="00561633"/>
    <w:rsid w:val="005618CB"/>
    <w:rsid w:val="00562185"/>
    <w:rsid w:val="0056235D"/>
    <w:rsid w:val="005647A5"/>
    <w:rsid w:val="00564FF9"/>
    <w:rsid w:val="00565294"/>
    <w:rsid w:val="00566ADB"/>
    <w:rsid w:val="00571524"/>
    <w:rsid w:val="005717C3"/>
    <w:rsid w:val="00572E0C"/>
    <w:rsid w:val="00573BA5"/>
    <w:rsid w:val="00573F69"/>
    <w:rsid w:val="00576288"/>
    <w:rsid w:val="005774D9"/>
    <w:rsid w:val="00580429"/>
    <w:rsid w:val="005807AD"/>
    <w:rsid w:val="00580A26"/>
    <w:rsid w:val="00580C27"/>
    <w:rsid w:val="0058168D"/>
    <w:rsid w:val="00581F6D"/>
    <w:rsid w:val="0058251D"/>
    <w:rsid w:val="00582DA8"/>
    <w:rsid w:val="00583606"/>
    <w:rsid w:val="0058372C"/>
    <w:rsid w:val="005849D2"/>
    <w:rsid w:val="00584D8A"/>
    <w:rsid w:val="005861DB"/>
    <w:rsid w:val="00586A39"/>
    <w:rsid w:val="00586DD7"/>
    <w:rsid w:val="00587FCA"/>
    <w:rsid w:val="00590D67"/>
    <w:rsid w:val="005918DB"/>
    <w:rsid w:val="00593E7E"/>
    <w:rsid w:val="005944A3"/>
    <w:rsid w:val="0059568D"/>
    <w:rsid w:val="00595D88"/>
    <w:rsid w:val="005964BC"/>
    <w:rsid w:val="005A01DC"/>
    <w:rsid w:val="005A11D6"/>
    <w:rsid w:val="005A27EC"/>
    <w:rsid w:val="005A4AFF"/>
    <w:rsid w:val="005A59D6"/>
    <w:rsid w:val="005A5C58"/>
    <w:rsid w:val="005A6692"/>
    <w:rsid w:val="005B1F4D"/>
    <w:rsid w:val="005B2BC5"/>
    <w:rsid w:val="005B2E0B"/>
    <w:rsid w:val="005B47CC"/>
    <w:rsid w:val="005B4AC5"/>
    <w:rsid w:val="005B602E"/>
    <w:rsid w:val="005B615E"/>
    <w:rsid w:val="005B7E1C"/>
    <w:rsid w:val="005C0D09"/>
    <w:rsid w:val="005C0D45"/>
    <w:rsid w:val="005C178E"/>
    <w:rsid w:val="005C20E1"/>
    <w:rsid w:val="005C23E4"/>
    <w:rsid w:val="005C4102"/>
    <w:rsid w:val="005C4D61"/>
    <w:rsid w:val="005C5022"/>
    <w:rsid w:val="005C5594"/>
    <w:rsid w:val="005C594B"/>
    <w:rsid w:val="005C7752"/>
    <w:rsid w:val="005D14DD"/>
    <w:rsid w:val="005D18DD"/>
    <w:rsid w:val="005D599E"/>
    <w:rsid w:val="005D5FF9"/>
    <w:rsid w:val="005D6BA7"/>
    <w:rsid w:val="005D78B6"/>
    <w:rsid w:val="005E29B8"/>
    <w:rsid w:val="005E3017"/>
    <w:rsid w:val="005E3CCD"/>
    <w:rsid w:val="005E53A5"/>
    <w:rsid w:val="005E5770"/>
    <w:rsid w:val="005E5E7C"/>
    <w:rsid w:val="005E6644"/>
    <w:rsid w:val="005E79B5"/>
    <w:rsid w:val="005E7E9A"/>
    <w:rsid w:val="005F0D13"/>
    <w:rsid w:val="005F267E"/>
    <w:rsid w:val="005F3D80"/>
    <w:rsid w:val="005F4449"/>
    <w:rsid w:val="005F6B59"/>
    <w:rsid w:val="005F758E"/>
    <w:rsid w:val="00600277"/>
    <w:rsid w:val="00600CBC"/>
    <w:rsid w:val="00601E95"/>
    <w:rsid w:val="006025B1"/>
    <w:rsid w:val="00602BA9"/>
    <w:rsid w:val="00603F71"/>
    <w:rsid w:val="006058D7"/>
    <w:rsid w:val="00606144"/>
    <w:rsid w:val="0060652B"/>
    <w:rsid w:val="00606674"/>
    <w:rsid w:val="006073DE"/>
    <w:rsid w:val="00614213"/>
    <w:rsid w:val="00614B4C"/>
    <w:rsid w:val="0062067D"/>
    <w:rsid w:val="00620A4E"/>
    <w:rsid w:val="006229ED"/>
    <w:rsid w:val="00622E03"/>
    <w:rsid w:val="00623051"/>
    <w:rsid w:val="006234AF"/>
    <w:rsid w:val="00623F88"/>
    <w:rsid w:val="0062458F"/>
    <w:rsid w:val="006248FA"/>
    <w:rsid w:val="00625209"/>
    <w:rsid w:val="00626039"/>
    <w:rsid w:val="00626835"/>
    <w:rsid w:val="00626B2A"/>
    <w:rsid w:val="00627AC2"/>
    <w:rsid w:val="006305DC"/>
    <w:rsid w:val="006307CE"/>
    <w:rsid w:val="00631D2D"/>
    <w:rsid w:val="006323C0"/>
    <w:rsid w:val="0063267F"/>
    <w:rsid w:val="00636869"/>
    <w:rsid w:val="0063729E"/>
    <w:rsid w:val="0063761D"/>
    <w:rsid w:val="00637CBB"/>
    <w:rsid w:val="0064168E"/>
    <w:rsid w:val="00641D67"/>
    <w:rsid w:val="00642835"/>
    <w:rsid w:val="00643725"/>
    <w:rsid w:val="006445DC"/>
    <w:rsid w:val="00644738"/>
    <w:rsid w:val="0064493D"/>
    <w:rsid w:val="0064536D"/>
    <w:rsid w:val="006458D1"/>
    <w:rsid w:val="00646371"/>
    <w:rsid w:val="00646561"/>
    <w:rsid w:val="00646D02"/>
    <w:rsid w:val="00647544"/>
    <w:rsid w:val="00650C12"/>
    <w:rsid w:val="006527C3"/>
    <w:rsid w:val="006531D2"/>
    <w:rsid w:val="006561A3"/>
    <w:rsid w:val="00657219"/>
    <w:rsid w:val="006601B1"/>
    <w:rsid w:val="00660D52"/>
    <w:rsid w:val="006613B8"/>
    <w:rsid w:val="006614A3"/>
    <w:rsid w:val="0066218F"/>
    <w:rsid w:val="006626A5"/>
    <w:rsid w:val="0066292C"/>
    <w:rsid w:val="00662D1E"/>
    <w:rsid w:val="0066361E"/>
    <w:rsid w:val="00663BFD"/>
    <w:rsid w:val="00665AC0"/>
    <w:rsid w:val="00665F81"/>
    <w:rsid w:val="00666569"/>
    <w:rsid w:val="006668B1"/>
    <w:rsid w:val="006674E0"/>
    <w:rsid w:val="00667A38"/>
    <w:rsid w:val="00670D0C"/>
    <w:rsid w:val="006721CB"/>
    <w:rsid w:val="00672260"/>
    <w:rsid w:val="00672488"/>
    <w:rsid w:val="00674E71"/>
    <w:rsid w:val="00675CE2"/>
    <w:rsid w:val="0067612D"/>
    <w:rsid w:val="00682E67"/>
    <w:rsid w:val="0068392A"/>
    <w:rsid w:val="00683E6E"/>
    <w:rsid w:val="0068517E"/>
    <w:rsid w:val="00685C92"/>
    <w:rsid w:val="0068621E"/>
    <w:rsid w:val="00686669"/>
    <w:rsid w:val="006868B0"/>
    <w:rsid w:val="0069077F"/>
    <w:rsid w:val="00690D47"/>
    <w:rsid w:val="00692344"/>
    <w:rsid w:val="00693795"/>
    <w:rsid w:val="00693881"/>
    <w:rsid w:val="00693A86"/>
    <w:rsid w:val="00696B56"/>
    <w:rsid w:val="00696E62"/>
    <w:rsid w:val="00696EDC"/>
    <w:rsid w:val="006970AF"/>
    <w:rsid w:val="00697212"/>
    <w:rsid w:val="00697447"/>
    <w:rsid w:val="006A09E7"/>
    <w:rsid w:val="006A1C7C"/>
    <w:rsid w:val="006A3E02"/>
    <w:rsid w:val="006A44D5"/>
    <w:rsid w:val="006A5719"/>
    <w:rsid w:val="006A59DC"/>
    <w:rsid w:val="006A6858"/>
    <w:rsid w:val="006A71AD"/>
    <w:rsid w:val="006B1ACF"/>
    <w:rsid w:val="006B1FE7"/>
    <w:rsid w:val="006B3767"/>
    <w:rsid w:val="006B37DF"/>
    <w:rsid w:val="006B3C42"/>
    <w:rsid w:val="006B6DF3"/>
    <w:rsid w:val="006B763B"/>
    <w:rsid w:val="006B7945"/>
    <w:rsid w:val="006B7A8D"/>
    <w:rsid w:val="006B7B7E"/>
    <w:rsid w:val="006B7C0E"/>
    <w:rsid w:val="006C00AA"/>
    <w:rsid w:val="006C1059"/>
    <w:rsid w:val="006C108A"/>
    <w:rsid w:val="006C2BD1"/>
    <w:rsid w:val="006C35B2"/>
    <w:rsid w:val="006C40CB"/>
    <w:rsid w:val="006C4232"/>
    <w:rsid w:val="006D00A7"/>
    <w:rsid w:val="006D0C07"/>
    <w:rsid w:val="006D0C38"/>
    <w:rsid w:val="006D0C81"/>
    <w:rsid w:val="006D0F13"/>
    <w:rsid w:val="006D212A"/>
    <w:rsid w:val="006D4FBE"/>
    <w:rsid w:val="006D6256"/>
    <w:rsid w:val="006D6E25"/>
    <w:rsid w:val="006E148C"/>
    <w:rsid w:val="006E17CE"/>
    <w:rsid w:val="006E3146"/>
    <w:rsid w:val="006E5298"/>
    <w:rsid w:val="006E5AA9"/>
    <w:rsid w:val="006E69AF"/>
    <w:rsid w:val="006E6BCD"/>
    <w:rsid w:val="006E6D92"/>
    <w:rsid w:val="006F1CF6"/>
    <w:rsid w:val="006F2CAA"/>
    <w:rsid w:val="006F3605"/>
    <w:rsid w:val="006F3C60"/>
    <w:rsid w:val="006F48B4"/>
    <w:rsid w:val="006F653E"/>
    <w:rsid w:val="006F6D6A"/>
    <w:rsid w:val="007002B0"/>
    <w:rsid w:val="0070189C"/>
    <w:rsid w:val="00702274"/>
    <w:rsid w:val="007022E5"/>
    <w:rsid w:val="00704535"/>
    <w:rsid w:val="00704D0E"/>
    <w:rsid w:val="007050C9"/>
    <w:rsid w:val="00706239"/>
    <w:rsid w:val="00706CED"/>
    <w:rsid w:val="007075C0"/>
    <w:rsid w:val="00707AB9"/>
    <w:rsid w:val="00710814"/>
    <w:rsid w:val="007118EA"/>
    <w:rsid w:val="00711CDC"/>
    <w:rsid w:val="00712034"/>
    <w:rsid w:val="0071455B"/>
    <w:rsid w:val="00714A2C"/>
    <w:rsid w:val="00714DAB"/>
    <w:rsid w:val="00715001"/>
    <w:rsid w:val="0071609A"/>
    <w:rsid w:val="00716973"/>
    <w:rsid w:val="00716EE3"/>
    <w:rsid w:val="007178B3"/>
    <w:rsid w:val="00720581"/>
    <w:rsid w:val="00720940"/>
    <w:rsid w:val="007216A0"/>
    <w:rsid w:val="00722481"/>
    <w:rsid w:val="007224B7"/>
    <w:rsid w:val="00722997"/>
    <w:rsid w:val="00725AAF"/>
    <w:rsid w:val="0073004A"/>
    <w:rsid w:val="007305F9"/>
    <w:rsid w:val="00730A85"/>
    <w:rsid w:val="00733A8F"/>
    <w:rsid w:val="00733E24"/>
    <w:rsid w:val="00734041"/>
    <w:rsid w:val="00735789"/>
    <w:rsid w:val="00735F01"/>
    <w:rsid w:val="00737630"/>
    <w:rsid w:val="00737946"/>
    <w:rsid w:val="007407A9"/>
    <w:rsid w:val="00740B21"/>
    <w:rsid w:val="00740BA6"/>
    <w:rsid w:val="007410AA"/>
    <w:rsid w:val="007428B8"/>
    <w:rsid w:val="00742F2D"/>
    <w:rsid w:val="00743435"/>
    <w:rsid w:val="0074349F"/>
    <w:rsid w:val="0074395C"/>
    <w:rsid w:val="00744044"/>
    <w:rsid w:val="00744F13"/>
    <w:rsid w:val="0074536E"/>
    <w:rsid w:val="007454FF"/>
    <w:rsid w:val="00745A99"/>
    <w:rsid w:val="007460CD"/>
    <w:rsid w:val="00747532"/>
    <w:rsid w:val="00750655"/>
    <w:rsid w:val="007506CE"/>
    <w:rsid w:val="00750C9C"/>
    <w:rsid w:val="007523F6"/>
    <w:rsid w:val="00756210"/>
    <w:rsid w:val="0075655D"/>
    <w:rsid w:val="0075669F"/>
    <w:rsid w:val="00756DCC"/>
    <w:rsid w:val="00760550"/>
    <w:rsid w:val="007607F8"/>
    <w:rsid w:val="007608FF"/>
    <w:rsid w:val="00762406"/>
    <w:rsid w:val="007639CA"/>
    <w:rsid w:val="00766811"/>
    <w:rsid w:val="00767D94"/>
    <w:rsid w:val="007710C8"/>
    <w:rsid w:val="007714D3"/>
    <w:rsid w:val="007716EC"/>
    <w:rsid w:val="0077180D"/>
    <w:rsid w:val="00772ADC"/>
    <w:rsid w:val="00773CA3"/>
    <w:rsid w:val="0077511F"/>
    <w:rsid w:val="00776B1D"/>
    <w:rsid w:val="00777E37"/>
    <w:rsid w:val="00780CB0"/>
    <w:rsid w:val="00781617"/>
    <w:rsid w:val="00781DA3"/>
    <w:rsid w:val="00782983"/>
    <w:rsid w:val="00782ACC"/>
    <w:rsid w:val="00783482"/>
    <w:rsid w:val="007835B4"/>
    <w:rsid w:val="00785D53"/>
    <w:rsid w:val="00786991"/>
    <w:rsid w:val="007873C7"/>
    <w:rsid w:val="00787CF1"/>
    <w:rsid w:val="00787ECF"/>
    <w:rsid w:val="0079106C"/>
    <w:rsid w:val="0079177D"/>
    <w:rsid w:val="007917C7"/>
    <w:rsid w:val="00791E68"/>
    <w:rsid w:val="007924E6"/>
    <w:rsid w:val="00794329"/>
    <w:rsid w:val="007949B0"/>
    <w:rsid w:val="007954C6"/>
    <w:rsid w:val="00795A92"/>
    <w:rsid w:val="00795BD6"/>
    <w:rsid w:val="007A0482"/>
    <w:rsid w:val="007A0CFC"/>
    <w:rsid w:val="007A0F29"/>
    <w:rsid w:val="007A1331"/>
    <w:rsid w:val="007A1352"/>
    <w:rsid w:val="007A183B"/>
    <w:rsid w:val="007A24DA"/>
    <w:rsid w:val="007A2C3E"/>
    <w:rsid w:val="007A3167"/>
    <w:rsid w:val="007A320A"/>
    <w:rsid w:val="007A3535"/>
    <w:rsid w:val="007A43E3"/>
    <w:rsid w:val="007A47BC"/>
    <w:rsid w:val="007A4B69"/>
    <w:rsid w:val="007A4BC2"/>
    <w:rsid w:val="007A59A9"/>
    <w:rsid w:val="007A5D3F"/>
    <w:rsid w:val="007A6DB0"/>
    <w:rsid w:val="007B3491"/>
    <w:rsid w:val="007B4155"/>
    <w:rsid w:val="007B4DA4"/>
    <w:rsid w:val="007B4E3E"/>
    <w:rsid w:val="007B5719"/>
    <w:rsid w:val="007B59B3"/>
    <w:rsid w:val="007B5B41"/>
    <w:rsid w:val="007B5DA9"/>
    <w:rsid w:val="007B6B73"/>
    <w:rsid w:val="007C02A1"/>
    <w:rsid w:val="007C1CC3"/>
    <w:rsid w:val="007C27F6"/>
    <w:rsid w:val="007C308A"/>
    <w:rsid w:val="007C3730"/>
    <w:rsid w:val="007C59D5"/>
    <w:rsid w:val="007C5BF0"/>
    <w:rsid w:val="007C6DB2"/>
    <w:rsid w:val="007C73CB"/>
    <w:rsid w:val="007C7A96"/>
    <w:rsid w:val="007D06A7"/>
    <w:rsid w:val="007D2197"/>
    <w:rsid w:val="007D22B2"/>
    <w:rsid w:val="007D3C89"/>
    <w:rsid w:val="007D3D70"/>
    <w:rsid w:val="007D4D86"/>
    <w:rsid w:val="007D581F"/>
    <w:rsid w:val="007D5F0D"/>
    <w:rsid w:val="007D6AF0"/>
    <w:rsid w:val="007D6F42"/>
    <w:rsid w:val="007E085E"/>
    <w:rsid w:val="007E193F"/>
    <w:rsid w:val="007E209C"/>
    <w:rsid w:val="007E22BC"/>
    <w:rsid w:val="007E2443"/>
    <w:rsid w:val="007E3D14"/>
    <w:rsid w:val="007E436E"/>
    <w:rsid w:val="007E4589"/>
    <w:rsid w:val="007E4682"/>
    <w:rsid w:val="007E47F6"/>
    <w:rsid w:val="007E48D6"/>
    <w:rsid w:val="007E4A35"/>
    <w:rsid w:val="007E508B"/>
    <w:rsid w:val="007E50C2"/>
    <w:rsid w:val="007E536A"/>
    <w:rsid w:val="007E6D47"/>
    <w:rsid w:val="007F0BCA"/>
    <w:rsid w:val="007F235F"/>
    <w:rsid w:val="007F23D6"/>
    <w:rsid w:val="007F3D62"/>
    <w:rsid w:val="007F4BC3"/>
    <w:rsid w:val="007F6939"/>
    <w:rsid w:val="007F7A34"/>
    <w:rsid w:val="007F7A70"/>
    <w:rsid w:val="007F7B14"/>
    <w:rsid w:val="00801896"/>
    <w:rsid w:val="008029DC"/>
    <w:rsid w:val="00802D41"/>
    <w:rsid w:val="00803621"/>
    <w:rsid w:val="008036ED"/>
    <w:rsid w:val="00803ABC"/>
    <w:rsid w:val="00803B0F"/>
    <w:rsid w:val="00804845"/>
    <w:rsid w:val="008061BD"/>
    <w:rsid w:val="008068D0"/>
    <w:rsid w:val="00810339"/>
    <w:rsid w:val="0081165B"/>
    <w:rsid w:val="008119C1"/>
    <w:rsid w:val="008127C9"/>
    <w:rsid w:val="00812E19"/>
    <w:rsid w:val="0081313F"/>
    <w:rsid w:val="0081456B"/>
    <w:rsid w:val="008145F9"/>
    <w:rsid w:val="008148BF"/>
    <w:rsid w:val="00815C40"/>
    <w:rsid w:val="00816DE5"/>
    <w:rsid w:val="00820F42"/>
    <w:rsid w:val="0082374E"/>
    <w:rsid w:val="00823CD7"/>
    <w:rsid w:val="00824A87"/>
    <w:rsid w:val="00825B3F"/>
    <w:rsid w:val="008266B4"/>
    <w:rsid w:val="0082793F"/>
    <w:rsid w:val="00830680"/>
    <w:rsid w:val="008320B7"/>
    <w:rsid w:val="008338A6"/>
    <w:rsid w:val="00833E13"/>
    <w:rsid w:val="0083418A"/>
    <w:rsid w:val="00834E6A"/>
    <w:rsid w:val="00837DB1"/>
    <w:rsid w:val="008401C3"/>
    <w:rsid w:val="00840C1E"/>
    <w:rsid w:val="00841C14"/>
    <w:rsid w:val="008420D2"/>
    <w:rsid w:val="00842279"/>
    <w:rsid w:val="008423C0"/>
    <w:rsid w:val="00842D91"/>
    <w:rsid w:val="008439E8"/>
    <w:rsid w:val="00844DAA"/>
    <w:rsid w:val="00845D5D"/>
    <w:rsid w:val="008461B2"/>
    <w:rsid w:val="00846646"/>
    <w:rsid w:val="0084764E"/>
    <w:rsid w:val="00850460"/>
    <w:rsid w:val="00850772"/>
    <w:rsid w:val="00850854"/>
    <w:rsid w:val="00850B66"/>
    <w:rsid w:val="00851072"/>
    <w:rsid w:val="00851ADF"/>
    <w:rsid w:val="00851D1D"/>
    <w:rsid w:val="00853E4B"/>
    <w:rsid w:val="00854B7C"/>
    <w:rsid w:val="00855FC0"/>
    <w:rsid w:val="00857174"/>
    <w:rsid w:val="00862E31"/>
    <w:rsid w:val="00862F4A"/>
    <w:rsid w:val="008639F9"/>
    <w:rsid w:val="00864619"/>
    <w:rsid w:val="00864FDA"/>
    <w:rsid w:val="008654F2"/>
    <w:rsid w:val="00865B92"/>
    <w:rsid w:val="00866789"/>
    <w:rsid w:val="00867F52"/>
    <w:rsid w:val="00867FCD"/>
    <w:rsid w:val="0087077A"/>
    <w:rsid w:val="00871896"/>
    <w:rsid w:val="00872C97"/>
    <w:rsid w:val="00872CAF"/>
    <w:rsid w:val="00873052"/>
    <w:rsid w:val="00873C20"/>
    <w:rsid w:val="0087494B"/>
    <w:rsid w:val="00874EE0"/>
    <w:rsid w:val="00874F71"/>
    <w:rsid w:val="00875119"/>
    <w:rsid w:val="00876E30"/>
    <w:rsid w:val="008779E5"/>
    <w:rsid w:val="0088253A"/>
    <w:rsid w:val="00882F15"/>
    <w:rsid w:val="0088304E"/>
    <w:rsid w:val="008849BB"/>
    <w:rsid w:val="00884F86"/>
    <w:rsid w:val="00885728"/>
    <w:rsid w:val="00885C2A"/>
    <w:rsid w:val="008861E2"/>
    <w:rsid w:val="008876D4"/>
    <w:rsid w:val="00887A11"/>
    <w:rsid w:val="00887E72"/>
    <w:rsid w:val="0089041B"/>
    <w:rsid w:val="00890E62"/>
    <w:rsid w:val="00891722"/>
    <w:rsid w:val="00891945"/>
    <w:rsid w:val="00891FBC"/>
    <w:rsid w:val="008924F2"/>
    <w:rsid w:val="00893149"/>
    <w:rsid w:val="008939AF"/>
    <w:rsid w:val="00894BDB"/>
    <w:rsid w:val="008960DF"/>
    <w:rsid w:val="00897AC5"/>
    <w:rsid w:val="00897B91"/>
    <w:rsid w:val="008A089E"/>
    <w:rsid w:val="008A09EF"/>
    <w:rsid w:val="008A0B4F"/>
    <w:rsid w:val="008A25F6"/>
    <w:rsid w:val="008A3C6C"/>
    <w:rsid w:val="008A6607"/>
    <w:rsid w:val="008A6FC2"/>
    <w:rsid w:val="008B086E"/>
    <w:rsid w:val="008B0AC3"/>
    <w:rsid w:val="008B0BE4"/>
    <w:rsid w:val="008B1007"/>
    <w:rsid w:val="008B11AC"/>
    <w:rsid w:val="008B153E"/>
    <w:rsid w:val="008B1A4F"/>
    <w:rsid w:val="008B48BA"/>
    <w:rsid w:val="008B657C"/>
    <w:rsid w:val="008C0EE5"/>
    <w:rsid w:val="008C141A"/>
    <w:rsid w:val="008C1C4D"/>
    <w:rsid w:val="008C217D"/>
    <w:rsid w:val="008C34DC"/>
    <w:rsid w:val="008C450E"/>
    <w:rsid w:val="008C58CF"/>
    <w:rsid w:val="008C5918"/>
    <w:rsid w:val="008C61E1"/>
    <w:rsid w:val="008C7C2D"/>
    <w:rsid w:val="008D06C8"/>
    <w:rsid w:val="008D0BD0"/>
    <w:rsid w:val="008D11A8"/>
    <w:rsid w:val="008D1847"/>
    <w:rsid w:val="008D2B1D"/>
    <w:rsid w:val="008D320F"/>
    <w:rsid w:val="008D4747"/>
    <w:rsid w:val="008D4B80"/>
    <w:rsid w:val="008D4BEA"/>
    <w:rsid w:val="008D53FA"/>
    <w:rsid w:val="008D5642"/>
    <w:rsid w:val="008D59AD"/>
    <w:rsid w:val="008D5DC2"/>
    <w:rsid w:val="008E06F8"/>
    <w:rsid w:val="008E0FB8"/>
    <w:rsid w:val="008E1634"/>
    <w:rsid w:val="008E3407"/>
    <w:rsid w:val="008E505B"/>
    <w:rsid w:val="008E6BBD"/>
    <w:rsid w:val="008F05A1"/>
    <w:rsid w:val="008F06ED"/>
    <w:rsid w:val="008F0C9D"/>
    <w:rsid w:val="008F0E6E"/>
    <w:rsid w:val="008F0F3A"/>
    <w:rsid w:val="008F1985"/>
    <w:rsid w:val="008F1A25"/>
    <w:rsid w:val="008F3244"/>
    <w:rsid w:val="008F3B80"/>
    <w:rsid w:val="008F415B"/>
    <w:rsid w:val="008F64CE"/>
    <w:rsid w:val="008F6DD9"/>
    <w:rsid w:val="008F70D5"/>
    <w:rsid w:val="008F72B7"/>
    <w:rsid w:val="0090009D"/>
    <w:rsid w:val="00900CE5"/>
    <w:rsid w:val="00900EC0"/>
    <w:rsid w:val="00902C62"/>
    <w:rsid w:val="0090398C"/>
    <w:rsid w:val="00904294"/>
    <w:rsid w:val="00904636"/>
    <w:rsid w:val="0090473E"/>
    <w:rsid w:val="00904A99"/>
    <w:rsid w:val="00904E67"/>
    <w:rsid w:val="00904FAF"/>
    <w:rsid w:val="00905363"/>
    <w:rsid w:val="009054EF"/>
    <w:rsid w:val="0090599B"/>
    <w:rsid w:val="009061EE"/>
    <w:rsid w:val="00912A25"/>
    <w:rsid w:val="00912C72"/>
    <w:rsid w:val="009131E1"/>
    <w:rsid w:val="00913378"/>
    <w:rsid w:val="0091450D"/>
    <w:rsid w:val="00915252"/>
    <w:rsid w:val="009159ED"/>
    <w:rsid w:val="00916063"/>
    <w:rsid w:val="0091642A"/>
    <w:rsid w:val="00916433"/>
    <w:rsid w:val="00916699"/>
    <w:rsid w:val="009178EA"/>
    <w:rsid w:val="009202C4"/>
    <w:rsid w:val="00926898"/>
    <w:rsid w:val="00926C58"/>
    <w:rsid w:val="0092728A"/>
    <w:rsid w:val="00927447"/>
    <w:rsid w:val="00927E11"/>
    <w:rsid w:val="009322F8"/>
    <w:rsid w:val="0093347B"/>
    <w:rsid w:val="00934B17"/>
    <w:rsid w:val="00935277"/>
    <w:rsid w:val="00936C1F"/>
    <w:rsid w:val="00937C16"/>
    <w:rsid w:val="00941634"/>
    <w:rsid w:val="00941EBE"/>
    <w:rsid w:val="009431B1"/>
    <w:rsid w:val="00943994"/>
    <w:rsid w:val="00945951"/>
    <w:rsid w:val="00946784"/>
    <w:rsid w:val="009500D0"/>
    <w:rsid w:val="0095073A"/>
    <w:rsid w:val="0095348A"/>
    <w:rsid w:val="00953513"/>
    <w:rsid w:val="00955042"/>
    <w:rsid w:val="00957F43"/>
    <w:rsid w:val="00960D67"/>
    <w:rsid w:val="00961A44"/>
    <w:rsid w:val="00961BAA"/>
    <w:rsid w:val="00961D92"/>
    <w:rsid w:val="0096404D"/>
    <w:rsid w:val="00964B7B"/>
    <w:rsid w:val="00964E14"/>
    <w:rsid w:val="0096541F"/>
    <w:rsid w:val="00965B40"/>
    <w:rsid w:val="00966408"/>
    <w:rsid w:val="00970AC5"/>
    <w:rsid w:val="00970BF3"/>
    <w:rsid w:val="00971D76"/>
    <w:rsid w:val="009728F3"/>
    <w:rsid w:val="009729F1"/>
    <w:rsid w:val="00972B41"/>
    <w:rsid w:val="00974DF4"/>
    <w:rsid w:val="00976187"/>
    <w:rsid w:val="0097655D"/>
    <w:rsid w:val="00977998"/>
    <w:rsid w:val="0098015B"/>
    <w:rsid w:val="00981733"/>
    <w:rsid w:val="00981AAF"/>
    <w:rsid w:val="00981D06"/>
    <w:rsid w:val="00982594"/>
    <w:rsid w:val="00983CA0"/>
    <w:rsid w:val="0098415E"/>
    <w:rsid w:val="00984AF3"/>
    <w:rsid w:val="00986899"/>
    <w:rsid w:val="00986E41"/>
    <w:rsid w:val="009875C5"/>
    <w:rsid w:val="00990C3A"/>
    <w:rsid w:val="00993398"/>
    <w:rsid w:val="00994973"/>
    <w:rsid w:val="00995A40"/>
    <w:rsid w:val="00997AAC"/>
    <w:rsid w:val="00997E3B"/>
    <w:rsid w:val="009A0E36"/>
    <w:rsid w:val="009A280C"/>
    <w:rsid w:val="009A382C"/>
    <w:rsid w:val="009A445A"/>
    <w:rsid w:val="009A4508"/>
    <w:rsid w:val="009A4A6D"/>
    <w:rsid w:val="009A4C67"/>
    <w:rsid w:val="009A4F87"/>
    <w:rsid w:val="009A5A27"/>
    <w:rsid w:val="009A5EC7"/>
    <w:rsid w:val="009A6642"/>
    <w:rsid w:val="009A7278"/>
    <w:rsid w:val="009B172D"/>
    <w:rsid w:val="009B290F"/>
    <w:rsid w:val="009B313E"/>
    <w:rsid w:val="009B3478"/>
    <w:rsid w:val="009B448D"/>
    <w:rsid w:val="009B54E7"/>
    <w:rsid w:val="009B58C2"/>
    <w:rsid w:val="009B609C"/>
    <w:rsid w:val="009B752F"/>
    <w:rsid w:val="009B7E80"/>
    <w:rsid w:val="009C1770"/>
    <w:rsid w:val="009C278D"/>
    <w:rsid w:val="009C2C27"/>
    <w:rsid w:val="009C6110"/>
    <w:rsid w:val="009C6BB3"/>
    <w:rsid w:val="009D2520"/>
    <w:rsid w:val="009D34D2"/>
    <w:rsid w:val="009D53E5"/>
    <w:rsid w:val="009D5C52"/>
    <w:rsid w:val="009D6A1F"/>
    <w:rsid w:val="009D6B0D"/>
    <w:rsid w:val="009D6BFB"/>
    <w:rsid w:val="009D6E3C"/>
    <w:rsid w:val="009D739E"/>
    <w:rsid w:val="009E0FA9"/>
    <w:rsid w:val="009E21E7"/>
    <w:rsid w:val="009E2691"/>
    <w:rsid w:val="009E33EF"/>
    <w:rsid w:val="009E347B"/>
    <w:rsid w:val="009E357B"/>
    <w:rsid w:val="009E3D95"/>
    <w:rsid w:val="009E45F5"/>
    <w:rsid w:val="009E513F"/>
    <w:rsid w:val="009E51DD"/>
    <w:rsid w:val="009E5230"/>
    <w:rsid w:val="009E61EB"/>
    <w:rsid w:val="009E688E"/>
    <w:rsid w:val="009E7FEE"/>
    <w:rsid w:val="009F0240"/>
    <w:rsid w:val="009F0557"/>
    <w:rsid w:val="009F0AD0"/>
    <w:rsid w:val="009F0F20"/>
    <w:rsid w:val="009F1814"/>
    <w:rsid w:val="009F181B"/>
    <w:rsid w:val="009F1FEF"/>
    <w:rsid w:val="009F4622"/>
    <w:rsid w:val="009F67D5"/>
    <w:rsid w:val="009F73AC"/>
    <w:rsid w:val="009F73D3"/>
    <w:rsid w:val="009F7972"/>
    <w:rsid w:val="00A00A4F"/>
    <w:rsid w:val="00A00FDD"/>
    <w:rsid w:val="00A01409"/>
    <w:rsid w:val="00A01995"/>
    <w:rsid w:val="00A03B07"/>
    <w:rsid w:val="00A0514A"/>
    <w:rsid w:val="00A051D6"/>
    <w:rsid w:val="00A0562D"/>
    <w:rsid w:val="00A12AA7"/>
    <w:rsid w:val="00A14070"/>
    <w:rsid w:val="00A14F60"/>
    <w:rsid w:val="00A16B84"/>
    <w:rsid w:val="00A2201A"/>
    <w:rsid w:val="00A221C5"/>
    <w:rsid w:val="00A232B2"/>
    <w:rsid w:val="00A2330A"/>
    <w:rsid w:val="00A23BD0"/>
    <w:rsid w:val="00A24014"/>
    <w:rsid w:val="00A249B9"/>
    <w:rsid w:val="00A25B71"/>
    <w:rsid w:val="00A25FA8"/>
    <w:rsid w:val="00A2677C"/>
    <w:rsid w:val="00A272B2"/>
    <w:rsid w:val="00A30E7F"/>
    <w:rsid w:val="00A30E92"/>
    <w:rsid w:val="00A31D7E"/>
    <w:rsid w:val="00A33488"/>
    <w:rsid w:val="00A347AA"/>
    <w:rsid w:val="00A34D96"/>
    <w:rsid w:val="00A35044"/>
    <w:rsid w:val="00A35B6B"/>
    <w:rsid w:val="00A35C81"/>
    <w:rsid w:val="00A36527"/>
    <w:rsid w:val="00A36689"/>
    <w:rsid w:val="00A3685D"/>
    <w:rsid w:val="00A37DFC"/>
    <w:rsid w:val="00A407F2"/>
    <w:rsid w:val="00A415BD"/>
    <w:rsid w:val="00A4309F"/>
    <w:rsid w:val="00A4402F"/>
    <w:rsid w:val="00A450B5"/>
    <w:rsid w:val="00A45D7D"/>
    <w:rsid w:val="00A4752F"/>
    <w:rsid w:val="00A47697"/>
    <w:rsid w:val="00A477A2"/>
    <w:rsid w:val="00A47D08"/>
    <w:rsid w:val="00A532DE"/>
    <w:rsid w:val="00A53307"/>
    <w:rsid w:val="00A536B2"/>
    <w:rsid w:val="00A55F34"/>
    <w:rsid w:val="00A56B56"/>
    <w:rsid w:val="00A56D57"/>
    <w:rsid w:val="00A56D61"/>
    <w:rsid w:val="00A60534"/>
    <w:rsid w:val="00A605C5"/>
    <w:rsid w:val="00A63275"/>
    <w:rsid w:val="00A65460"/>
    <w:rsid w:val="00A65694"/>
    <w:rsid w:val="00A66BFF"/>
    <w:rsid w:val="00A67EB9"/>
    <w:rsid w:val="00A70599"/>
    <w:rsid w:val="00A70691"/>
    <w:rsid w:val="00A72CCC"/>
    <w:rsid w:val="00A74EFA"/>
    <w:rsid w:val="00A77B71"/>
    <w:rsid w:val="00A82570"/>
    <w:rsid w:val="00A8280A"/>
    <w:rsid w:val="00A8306A"/>
    <w:rsid w:val="00A83116"/>
    <w:rsid w:val="00A835B6"/>
    <w:rsid w:val="00A83D7C"/>
    <w:rsid w:val="00A83FF0"/>
    <w:rsid w:val="00A84DB2"/>
    <w:rsid w:val="00A850CB"/>
    <w:rsid w:val="00A863E9"/>
    <w:rsid w:val="00A86648"/>
    <w:rsid w:val="00A87B16"/>
    <w:rsid w:val="00A903C8"/>
    <w:rsid w:val="00A914BF"/>
    <w:rsid w:val="00A92EFB"/>
    <w:rsid w:val="00A93429"/>
    <w:rsid w:val="00A944BC"/>
    <w:rsid w:val="00A9467F"/>
    <w:rsid w:val="00A94E39"/>
    <w:rsid w:val="00A95A3D"/>
    <w:rsid w:val="00A96CFA"/>
    <w:rsid w:val="00A9765D"/>
    <w:rsid w:val="00AA10EF"/>
    <w:rsid w:val="00AA2150"/>
    <w:rsid w:val="00AA2A97"/>
    <w:rsid w:val="00AA4544"/>
    <w:rsid w:val="00AA49B9"/>
    <w:rsid w:val="00AA5678"/>
    <w:rsid w:val="00AA6BB7"/>
    <w:rsid w:val="00AB0B4A"/>
    <w:rsid w:val="00AB0BDD"/>
    <w:rsid w:val="00AB1AEA"/>
    <w:rsid w:val="00AB1B6F"/>
    <w:rsid w:val="00AB3509"/>
    <w:rsid w:val="00AB3E9F"/>
    <w:rsid w:val="00AB5431"/>
    <w:rsid w:val="00AB5733"/>
    <w:rsid w:val="00AB596B"/>
    <w:rsid w:val="00AC26F7"/>
    <w:rsid w:val="00AC2FBB"/>
    <w:rsid w:val="00AC493C"/>
    <w:rsid w:val="00AC7140"/>
    <w:rsid w:val="00AD0875"/>
    <w:rsid w:val="00AD0B44"/>
    <w:rsid w:val="00AD0D6C"/>
    <w:rsid w:val="00AD1A6F"/>
    <w:rsid w:val="00AD1D1D"/>
    <w:rsid w:val="00AD29C7"/>
    <w:rsid w:val="00AD2EE4"/>
    <w:rsid w:val="00AD3353"/>
    <w:rsid w:val="00AD49D4"/>
    <w:rsid w:val="00AD597A"/>
    <w:rsid w:val="00AD5ACA"/>
    <w:rsid w:val="00AD71C0"/>
    <w:rsid w:val="00AD72EC"/>
    <w:rsid w:val="00AD759B"/>
    <w:rsid w:val="00AD79E0"/>
    <w:rsid w:val="00AD7DA5"/>
    <w:rsid w:val="00AE1B98"/>
    <w:rsid w:val="00AE3632"/>
    <w:rsid w:val="00AE3CE9"/>
    <w:rsid w:val="00AE48D4"/>
    <w:rsid w:val="00AE5661"/>
    <w:rsid w:val="00AE5C23"/>
    <w:rsid w:val="00AE5E0F"/>
    <w:rsid w:val="00AF068E"/>
    <w:rsid w:val="00AF08D3"/>
    <w:rsid w:val="00AF172E"/>
    <w:rsid w:val="00AF2B7F"/>
    <w:rsid w:val="00AF40EA"/>
    <w:rsid w:val="00AF4628"/>
    <w:rsid w:val="00AF4C10"/>
    <w:rsid w:val="00AF516D"/>
    <w:rsid w:val="00AF54CA"/>
    <w:rsid w:val="00AF613D"/>
    <w:rsid w:val="00AF67DD"/>
    <w:rsid w:val="00B02387"/>
    <w:rsid w:val="00B0324C"/>
    <w:rsid w:val="00B03F60"/>
    <w:rsid w:val="00B04281"/>
    <w:rsid w:val="00B04C37"/>
    <w:rsid w:val="00B052E9"/>
    <w:rsid w:val="00B05A2C"/>
    <w:rsid w:val="00B06D9F"/>
    <w:rsid w:val="00B07A51"/>
    <w:rsid w:val="00B105AD"/>
    <w:rsid w:val="00B10630"/>
    <w:rsid w:val="00B10694"/>
    <w:rsid w:val="00B10A36"/>
    <w:rsid w:val="00B1151F"/>
    <w:rsid w:val="00B11CDC"/>
    <w:rsid w:val="00B12336"/>
    <w:rsid w:val="00B12D86"/>
    <w:rsid w:val="00B13043"/>
    <w:rsid w:val="00B1377B"/>
    <w:rsid w:val="00B13904"/>
    <w:rsid w:val="00B13BAB"/>
    <w:rsid w:val="00B13C52"/>
    <w:rsid w:val="00B148F5"/>
    <w:rsid w:val="00B14A32"/>
    <w:rsid w:val="00B1522B"/>
    <w:rsid w:val="00B15B06"/>
    <w:rsid w:val="00B17251"/>
    <w:rsid w:val="00B179C0"/>
    <w:rsid w:val="00B2000E"/>
    <w:rsid w:val="00B20507"/>
    <w:rsid w:val="00B213E5"/>
    <w:rsid w:val="00B21C45"/>
    <w:rsid w:val="00B223C9"/>
    <w:rsid w:val="00B22C9B"/>
    <w:rsid w:val="00B2335A"/>
    <w:rsid w:val="00B234AE"/>
    <w:rsid w:val="00B23A79"/>
    <w:rsid w:val="00B23DF6"/>
    <w:rsid w:val="00B2441B"/>
    <w:rsid w:val="00B27964"/>
    <w:rsid w:val="00B30452"/>
    <w:rsid w:val="00B32F21"/>
    <w:rsid w:val="00B3494A"/>
    <w:rsid w:val="00B349D3"/>
    <w:rsid w:val="00B350F3"/>
    <w:rsid w:val="00B367CD"/>
    <w:rsid w:val="00B37AB8"/>
    <w:rsid w:val="00B37FAF"/>
    <w:rsid w:val="00B402A4"/>
    <w:rsid w:val="00B412C3"/>
    <w:rsid w:val="00B419C2"/>
    <w:rsid w:val="00B42CC6"/>
    <w:rsid w:val="00B434B9"/>
    <w:rsid w:val="00B440B8"/>
    <w:rsid w:val="00B448B4"/>
    <w:rsid w:val="00B44F5C"/>
    <w:rsid w:val="00B453ED"/>
    <w:rsid w:val="00B46D6B"/>
    <w:rsid w:val="00B470E2"/>
    <w:rsid w:val="00B47314"/>
    <w:rsid w:val="00B50B81"/>
    <w:rsid w:val="00B511E4"/>
    <w:rsid w:val="00B51C5D"/>
    <w:rsid w:val="00B52441"/>
    <w:rsid w:val="00B5247C"/>
    <w:rsid w:val="00B52512"/>
    <w:rsid w:val="00B5640B"/>
    <w:rsid w:val="00B565A3"/>
    <w:rsid w:val="00B567F2"/>
    <w:rsid w:val="00B569FF"/>
    <w:rsid w:val="00B57528"/>
    <w:rsid w:val="00B57961"/>
    <w:rsid w:val="00B60BD1"/>
    <w:rsid w:val="00B60DB2"/>
    <w:rsid w:val="00B6131E"/>
    <w:rsid w:val="00B622DB"/>
    <w:rsid w:val="00B6520D"/>
    <w:rsid w:val="00B653D2"/>
    <w:rsid w:val="00B66408"/>
    <w:rsid w:val="00B67A46"/>
    <w:rsid w:val="00B70726"/>
    <w:rsid w:val="00B71CD6"/>
    <w:rsid w:val="00B7461C"/>
    <w:rsid w:val="00B749DD"/>
    <w:rsid w:val="00B74D0B"/>
    <w:rsid w:val="00B74EC9"/>
    <w:rsid w:val="00B7534A"/>
    <w:rsid w:val="00B76E27"/>
    <w:rsid w:val="00B7732D"/>
    <w:rsid w:val="00B77FCD"/>
    <w:rsid w:val="00B80EF0"/>
    <w:rsid w:val="00B81D6F"/>
    <w:rsid w:val="00B842BC"/>
    <w:rsid w:val="00B849CD"/>
    <w:rsid w:val="00B850D1"/>
    <w:rsid w:val="00B85CAD"/>
    <w:rsid w:val="00B86C3E"/>
    <w:rsid w:val="00B87396"/>
    <w:rsid w:val="00B878A2"/>
    <w:rsid w:val="00B87B19"/>
    <w:rsid w:val="00B9153D"/>
    <w:rsid w:val="00B92F3B"/>
    <w:rsid w:val="00B94F6A"/>
    <w:rsid w:val="00B952BB"/>
    <w:rsid w:val="00B95F17"/>
    <w:rsid w:val="00B96BD0"/>
    <w:rsid w:val="00BA0403"/>
    <w:rsid w:val="00BA11CC"/>
    <w:rsid w:val="00BA1B32"/>
    <w:rsid w:val="00BA1CD7"/>
    <w:rsid w:val="00BA22C8"/>
    <w:rsid w:val="00BA2536"/>
    <w:rsid w:val="00BA2D96"/>
    <w:rsid w:val="00BA39C9"/>
    <w:rsid w:val="00BA4722"/>
    <w:rsid w:val="00BA5233"/>
    <w:rsid w:val="00BA549E"/>
    <w:rsid w:val="00BA6249"/>
    <w:rsid w:val="00BA709B"/>
    <w:rsid w:val="00BA74C8"/>
    <w:rsid w:val="00BA75C3"/>
    <w:rsid w:val="00BB03B6"/>
    <w:rsid w:val="00BB1475"/>
    <w:rsid w:val="00BB1992"/>
    <w:rsid w:val="00BB2B1E"/>
    <w:rsid w:val="00BB2EE3"/>
    <w:rsid w:val="00BB4ED5"/>
    <w:rsid w:val="00BB4F4A"/>
    <w:rsid w:val="00BB5052"/>
    <w:rsid w:val="00BB60A8"/>
    <w:rsid w:val="00BB704E"/>
    <w:rsid w:val="00BC0B1B"/>
    <w:rsid w:val="00BC25D9"/>
    <w:rsid w:val="00BC2771"/>
    <w:rsid w:val="00BC6776"/>
    <w:rsid w:val="00BC6BDC"/>
    <w:rsid w:val="00BD0B07"/>
    <w:rsid w:val="00BD0D3F"/>
    <w:rsid w:val="00BD1CFE"/>
    <w:rsid w:val="00BD226C"/>
    <w:rsid w:val="00BD29F6"/>
    <w:rsid w:val="00BD2F9A"/>
    <w:rsid w:val="00BD327C"/>
    <w:rsid w:val="00BD50E3"/>
    <w:rsid w:val="00BD535D"/>
    <w:rsid w:val="00BD6498"/>
    <w:rsid w:val="00BD69ED"/>
    <w:rsid w:val="00BD74A2"/>
    <w:rsid w:val="00BE041D"/>
    <w:rsid w:val="00BE0AE2"/>
    <w:rsid w:val="00BE103C"/>
    <w:rsid w:val="00BE1168"/>
    <w:rsid w:val="00BE180A"/>
    <w:rsid w:val="00BE1A43"/>
    <w:rsid w:val="00BE1F7B"/>
    <w:rsid w:val="00BE2290"/>
    <w:rsid w:val="00BE3304"/>
    <w:rsid w:val="00BE3A3F"/>
    <w:rsid w:val="00BF09E1"/>
    <w:rsid w:val="00BF1194"/>
    <w:rsid w:val="00BF31E6"/>
    <w:rsid w:val="00BF503D"/>
    <w:rsid w:val="00C0041A"/>
    <w:rsid w:val="00C01F8E"/>
    <w:rsid w:val="00C02165"/>
    <w:rsid w:val="00C032C7"/>
    <w:rsid w:val="00C04220"/>
    <w:rsid w:val="00C04360"/>
    <w:rsid w:val="00C06577"/>
    <w:rsid w:val="00C06BF5"/>
    <w:rsid w:val="00C07E97"/>
    <w:rsid w:val="00C107D2"/>
    <w:rsid w:val="00C11BBB"/>
    <w:rsid w:val="00C11E6E"/>
    <w:rsid w:val="00C12288"/>
    <w:rsid w:val="00C14E25"/>
    <w:rsid w:val="00C15C5B"/>
    <w:rsid w:val="00C164EC"/>
    <w:rsid w:val="00C17AEC"/>
    <w:rsid w:val="00C20EC0"/>
    <w:rsid w:val="00C21AC7"/>
    <w:rsid w:val="00C21BCB"/>
    <w:rsid w:val="00C21FF0"/>
    <w:rsid w:val="00C2277A"/>
    <w:rsid w:val="00C227E4"/>
    <w:rsid w:val="00C24A2D"/>
    <w:rsid w:val="00C253D0"/>
    <w:rsid w:val="00C25843"/>
    <w:rsid w:val="00C25971"/>
    <w:rsid w:val="00C25E3F"/>
    <w:rsid w:val="00C26004"/>
    <w:rsid w:val="00C26144"/>
    <w:rsid w:val="00C2683D"/>
    <w:rsid w:val="00C26E26"/>
    <w:rsid w:val="00C27078"/>
    <w:rsid w:val="00C27426"/>
    <w:rsid w:val="00C319B8"/>
    <w:rsid w:val="00C32653"/>
    <w:rsid w:val="00C33D89"/>
    <w:rsid w:val="00C356A8"/>
    <w:rsid w:val="00C37ACF"/>
    <w:rsid w:val="00C40F58"/>
    <w:rsid w:val="00C414DD"/>
    <w:rsid w:val="00C41829"/>
    <w:rsid w:val="00C41ABF"/>
    <w:rsid w:val="00C5055B"/>
    <w:rsid w:val="00C50A9A"/>
    <w:rsid w:val="00C5273A"/>
    <w:rsid w:val="00C54DCE"/>
    <w:rsid w:val="00C6039A"/>
    <w:rsid w:val="00C62755"/>
    <w:rsid w:val="00C63BCC"/>
    <w:rsid w:val="00C63BDD"/>
    <w:rsid w:val="00C64FA2"/>
    <w:rsid w:val="00C65099"/>
    <w:rsid w:val="00C658B2"/>
    <w:rsid w:val="00C660DD"/>
    <w:rsid w:val="00C661C0"/>
    <w:rsid w:val="00C66738"/>
    <w:rsid w:val="00C70562"/>
    <w:rsid w:val="00C71296"/>
    <w:rsid w:val="00C7151A"/>
    <w:rsid w:val="00C71677"/>
    <w:rsid w:val="00C729E9"/>
    <w:rsid w:val="00C736C0"/>
    <w:rsid w:val="00C73D2F"/>
    <w:rsid w:val="00C741E5"/>
    <w:rsid w:val="00C7428A"/>
    <w:rsid w:val="00C746E3"/>
    <w:rsid w:val="00C75FD5"/>
    <w:rsid w:val="00C804B0"/>
    <w:rsid w:val="00C81629"/>
    <w:rsid w:val="00C82012"/>
    <w:rsid w:val="00C822DD"/>
    <w:rsid w:val="00C831D3"/>
    <w:rsid w:val="00C8378F"/>
    <w:rsid w:val="00C83A9A"/>
    <w:rsid w:val="00C8525C"/>
    <w:rsid w:val="00C876D6"/>
    <w:rsid w:val="00C9152C"/>
    <w:rsid w:val="00C92389"/>
    <w:rsid w:val="00C929FD"/>
    <w:rsid w:val="00C94A1C"/>
    <w:rsid w:val="00C94C0D"/>
    <w:rsid w:val="00C94CDE"/>
    <w:rsid w:val="00C955AF"/>
    <w:rsid w:val="00C955C6"/>
    <w:rsid w:val="00C973F9"/>
    <w:rsid w:val="00CA03F4"/>
    <w:rsid w:val="00CA07BC"/>
    <w:rsid w:val="00CA0E49"/>
    <w:rsid w:val="00CA19FE"/>
    <w:rsid w:val="00CA1E25"/>
    <w:rsid w:val="00CA2279"/>
    <w:rsid w:val="00CA2DDD"/>
    <w:rsid w:val="00CA2E22"/>
    <w:rsid w:val="00CA3A5B"/>
    <w:rsid w:val="00CA75F8"/>
    <w:rsid w:val="00CB0200"/>
    <w:rsid w:val="00CB206D"/>
    <w:rsid w:val="00CB4477"/>
    <w:rsid w:val="00CB486A"/>
    <w:rsid w:val="00CB52B7"/>
    <w:rsid w:val="00CB6799"/>
    <w:rsid w:val="00CB7489"/>
    <w:rsid w:val="00CB7BF4"/>
    <w:rsid w:val="00CC009D"/>
    <w:rsid w:val="00CC089C"/>
    <w:rsid w:val="00CC0C08"/>
    <w:rsid w:val="00CC0E2A"/>
    <w:rsid w:val="00CC16FF"/>
    <w:rsid w:val="00CC351E"/>
    <w:rsid w:val="00CC3FE9"/>
    <w:rsid w:val="00CC7D27"/>
    <w:rsid w:val="00CD04B9"/>
    <w:rsid w:val="00CD116D"/>
    <w:rsid w:val="00CD52DB"/>
    <w:rsid w:val="00CD549C"/>
    <w:rsid w:val="00CD55CA"/>
    <w:rsid w:val="00CD63DC"/>
    <w:rsid w:val="00CD7C95"/>
    <w:rsid w:val="00CE0D31"/>
    <w:rsid w:val="00CE21BC"/>
    <w:rsid w:val="00CE57AF"/>
    <w:rsid w:val="00CE75E5"/>
    <w:rsid w:val="00CF059B"/>
    <w:rsid w:val="00CF0F80"/>
    <w:rsid w:val="00CF438A"/>
    <w:rsid w:val="00CF508D"/>
    <w:rsid w:val="00CF7793"/>
    <w:rsid w:val="00CF7DF4"/>
    <w:rsid w:val="00D000D9"/>
    <w:rsid w:val="00D0039A"/>
    <w:rsid w:val="00D007C3"/>
    <w:rsid w:val="00D019B8"/>
    <w:rsid w:val="00D02D7A"/>
    <w:rsid w:val="00D03191"/>
    <w:rsid w:val="00D03C4A"/>
    <w:rsid w:val="00D03E73"/>
    <w:rsid w:val="00D057C5"/>
    <w:rsid w:val="00D0672E"/>
    <w:rsid w:val="00D07222"/>
    <w:rsid w:val="00D07C25"/>
    <w:rsid w:val="00D104F3"/>
    <w:rsid w:val="00D1088B"/>
    <w:rsid w:val="00D10906"/>
    <w:rsid w:val="00D10B21"/>
    <w:rsid w:val="00D10F88"/>
    <w:rsid w:val="00D11FC0"/>
    <w:rsid w:val="00D1318E"/>
    <w:rsid w:val="00D13482"/>
    <w:rsid w:val="00D13D5D"/>
    <w:rsid w:val="00D14A68"/>
    <w:rsid w:val="00D14E5B"/>
    <w:rsid w:val="00D14F7A"/>
    <w:rsid w:val="00D15AF4"/>
    <w:rsid w:val="00D15D1B"/>
    <w:rsid w:val="00D16DC0"/>
    <w:rsid w:val="00D16EFE"/>
    <w:rsid w:val="00D173B6"/>
    <w:rsid w:val="00D17A1A"/>
    <w:rsid w:val="00D20267"/>
    <w:rsid w:val="00D20410"/>
    <w:rsid w:val="00D219D8"/>
    <w:rsid w:val="00D2210E"/>
    <w:rsid w:val="00D228BA"/>
    <w:rsid w:val="00D22E59"/>
    <w:rsid w:val="00D24BF3"/>
    <w:rsid w:val="00D258F4"/>
    <w:rsid w:val="00D27B4F"/>
    <w:rsid w:val="00D3048D"/>
    <w:rsid w:val="00D30761"/>
    <w:rsid w:val="00D30A55"/>
    <w:rsid w:val="00D30B5E"/>
    <w:rsid w:val="00D3497D"/>
    <w:rsid w:val="00D352BE"/>
    <w:rsid w:val="00D36956"/>
    <w:rsid w:val="00D36A67"/>
    <w:rsid w:val="00D36AE0"/>
    <w:rsid w:val="00D37414"/>
    <w:rsid w:val="00D37ABC"/>
    <w:rsid w:val="00D40E45"/>
    <w:rsid w:val="00D410A3"/>
    <w:rsid w:val="00D419A8"/>
    <w:rsid w:val="00D41AB7"/>
    <w:rsid w:val="00D44220"/>
    <w:rsid w:val="00D44B1C"/>
    <w:rsid w:val="00D4539F"/>
    <w:rsid w:val="00D46BC6"/>
    <w:rsid w:val="00D46BE9"/>
    <w:rsid w:val="00D46D7E"/>
    <w:rsid w:val="00D47D10"/>
    <w:rsid w:val="00D500DC"/>
    <w:rsid w:val="00D50E1A"/>
    <w:rsid w:val="00D51AD7"/>
    <w:rsid w:val="00D52DCF"/>
    <w:rsid w:val="00D5491E"/>
    <w:rsid w:val="00D54D1A"/>
    <w:rsid w:val="00D54F86"/>
    <w:rsid w:val="00D564FB"/>
    <w:rsid w:val="00D57535"/>
    <w:rsid w:val="00D5789A"/>
    <w:rsid w:val="00D608A7"/>
    <w:rsid w:val="00D60A10"/>
    <w:rsid w:val="00D60A7C"/>
    <w:rsid w:val="00D60B85"/>
    <w:rsid w:val="00D62829"/>
    <w:rsid w:val="00D62FDE"/>
    <w:rsid w:val="00D64603"/>
    <w:rsid w:val="00D657AF"/>
    <w:rsid w:val="00D658C3"/>
    <w:rsid w:val="00D65A19"/>
    <w:rsid w:val="00D664FB"/>
    <w:rsid w:val="00D66B9E"/>
    <w:rsid w:val="00D67E82"/>
    <w:rsid w:val="00D7023A"/>
    <w:rsid w:val="00D70D03"/>
    <w:rsid w:val="00D70FA2"/>
    <w:rsid w:val="00D71BCB"/>
    <w:rsid w:val="00D71F6A"/>
    <w:rsid w:val="00D726E8"/>
    <w:rsid w:val="00D7307F"/>
    <w:rsid w:val="00D73263"/>
    <w:rsid w:val="00D74B28"/>
    <w:rsid w:val="00D75200"/>
    <w:rsid w:val="00D76929"/>
    <w:rsid w:val="00D76A32"/>
    <w:rsid w:val="00D77372"/>
    <w:rsid w:val="00D80AF8"/>
    <w:rsid w:val="00D80C22"/>
    <w:rsid w:val="00D81021"/>
    <w:rsid w:val="00D81766"/>
    <w:rsid w:val="00D81960"/>
    <w:rsid w:val="00D83A37"/>
    <w:rsid w:val="00D84CFB"/>
    <w:rsid w:val="00D85112"/>
    <w:rsid w:val="00D85259"/>
    <w:rsid w:val="00D85F91"/>
    <w:rsid w:val="00D86A40"/>
    <w:rsid w:val="00D87772"/>
    <w:rsid w:val="00D87A5D"/>
    <w:rsid w:val="00D9100E"/>
    <w:rsid w:val="00D91420"/>
    <w:rsid w:val="00D91FAC"/>
    <w:rsid w:val="00D928CC"/>
    <w:rsid w:val="00D94064"/>
    <w:rsid w:val="00D94FAF"/>
    <w:rsid w:val="00D951A2"/>
    <w:rsid w:val="00DA13AF"/>
    <w:rsid w:val="00DA14E5"/>
    <w:rsid w:val="00DA353A"/>
    <w:rsid w:val="00DA4E40"/>
    <w:rsid w:val="00DA5B4B"/>
    <w:rsid w:val="00DB10D7"/>
    <w:rsid w:val="00DB1792"/>
    <w:rsid w:val="00DB1DF1"/>
    <w:rsid w:val="00DB23F3"/>
    <w:rsid w:val="00DB27E1"/>
    <w:rsid w:val="00DB3420"/>
    <w:rsid w:val="00DB518B"/>
    <w:rsid w:val="00DB580A"/>
    <w:rsid w:val="00DB6DA2"/>
    <w:rsid w:val="00DB7BD0"/>
    <w:rsid w:val="00DC04EC"/>
    <w:rsid w:val="00DC0B4B"/>
    <w:rsid w:val="00DC0E02"/>
    <w:rsid w:val="00DC21B9"/>
    <w:rsid w:val="00DC3770"/>
    <w:rsid w:val="00DC4254"/>
    <w:rsid w:val="00DC4632"/>
    <w:rsid w:val="00DC6C3B"/>
    <w:rsid w:val="00DC7AE6"/>
    <w:rsid w:val="00DD0FFA"/>
    <w:rsid w:val="00DD1289"/>
    <w:rsid w:val="00DD1CA9"/>
    <w:rsid w:val="00DD1CAB"/>
    <w:rsid w:val="00DD2078"/>
    <w:rsid w:val="00DD2F81"/>
    <w:rsid w:val="00DD306F"/>
    <w:rsid w:val="00DD3337"/>
    <w:rsid w:val="00DD367C"/>
    <w:rsid w:val="00DD36D4"/>
    <w:rsid w:val="00DD3C0B"/>
    <w:rsid w:val="00DD3CB3"/>
    <w:rsid w:val="00DD46D7"/>
    <w:rsid w:val="00DD4BB0"/>
    <w:rsid w:val="00DD6DD3"/>
    <w:rsid w:val="00DD7310"/>
    <w:rsid w:val="00DE0A0E"/>
    <w:rsid w:val="00DE0E8D"/>
    <w:rsid w:val="00DE1418"/>
    <w:rsid w:val="00DE1EF7"/>
    <w:rsid w:val="00DE1FBE"/>
    <w:rsid w:val="00DE2A08"/>
    <w:rsid w:val="00DE32D2"/>
    <w:rsid w:val="00DE3724"/>
    <w:rsid w:val="00DE3B3A"/>
    <w:rsid w:val="00DE579C"/>
    <w:rsid w:val="00DE589E"/>
    <w:rsid w:val="00DE6523"/>
    <w:rsid w:val="00DE7FAF"/>
    <w:rsid w:val="00DF1037"/>
    <w:rsid w:val="00DF20C9"/>
    <w:rsid w:val="00DF54F0"/>
    <w:rsid w:val="00DF5ED8"/>
    <w:rsid w:val="00DF5F5F"/>
    <w:rsid w:val="00DF63EC"/>
    <w:rsid w:val="00DF64C2"/>
    <w:rsid w:val="00DF7167"/>
    <w:rsid w:val="00DF7F6E"/>
    <w:rsid w:val="00E009BB"/>
    <w:rsid w:val="00E00B20"/>
    <w:rsid w:val="00E02093"/>
    <w:rsid w:val="00E023B8"/>
    <w:rsid w:val="00E02763"/>
    <w:rsid w:val="00E02865"/>
    <w:rsid w:val="00E02E36"/>
    <w:rsid w:val="00E04736"/>
    <w:rsid w:val="00E05436"/>
    <w:rsid w:val="00E055EB"/>
    <w:rsid w:val="00E065BD"/>
    <w:rsid w:val="00E07017"/>
    <w:rsid w:val="00E07047"/>
    <w:rsid w:val="00E10190"/>
    <w:rsid w:val="00E10AF5"/>
    <w:rsid w:val="00E12C33"/>
    <w:rsid w:val="00E136ED"/>
    <w:rsid w:val="00E14D0E"/>
    <w:rsid w:val="00E15786"/>
    <w:rsid w:val="00E15EF8"/>
    <w:rsid w:val="00E16BB8"/>
    <w:rsid w:val="00E17AD9"/>
    <w:rsid w:val="00E200F2"/>
    <w:rsid w:val="00E201ED"/>
    <w:rsid w:val="00E20A5D"/>
    <w:rsid w:val="00E20F84"/>
    <w:rsid w:val="00E21DE1"/>
    <w:rsid w:val="00E2234D"/>
    <w:rsid w:val="00E2264D"/>
    <w:rsid w:val="00E234FA"/>
    <w:rsid w:val="00E23B4B"/>
    <w:rsid w:val="00E23F7B"/>
    <w:rsid w:val="00E2455F"/>
    <w:rsid w:val="00E2494A"/>
    <w:rsid w:val="00E2622C"/>
    <w:rsid w:val="00E26FAB"/>
    <w:rsid w:val="00E2710C"/>
    <w:rsid w:val="00E27ACA"/>
    <w:rsid w:val="00E27BE5"/>
    <w:rsid w:val="00E30DE5"/>
    <w:rsid w:val="00E31479"/>
    <w:rsid w:val="00E31903"/>
    <w:rsid w:val="00E32C14"/>
    <w:rsid w:val="00E32E29"/>
    <w:rsid w:val="00E33E09"/>
    <w:rsid w:val="00E340AF"/>
    <w:rsid w:val="00E34F75"/>
    <w:rsid w:val="00E37019"/>
    <w:rsid w:val="00E3722C"/>
    <w:rsid w:val="00E40863"/>
    <w:rsid w:val="00E40A92"/>
    <w:rsid w:val="00E41651"/>
    <w:rsid w:val="00E42390"/>
    <w:rsid w:val="00E42B6E"/>
    <w:rsid w:val="00E42C92"/>
    <w:rsid w:val="00E43022"/>
    <w:rsid w:val="00E43918"/>
    <w:rsid w:val="00E43AF0"/>
    <w:rsid w:val="00E44A6F"/>
    <w:rsid w:val="00E45493"/>
    <w:rsid w:val="00E455CE"/>
    <w:rsid w:val="00E45CC0"/>
    <w:rsid w:val="00E469B5"/>
    <w:rsid w:val="00E513A5"/>
    <w:rsid w:val="00E51F0B"/>
    <w:rsid w:val="00E529E5"/>
    <w:rsid w:val="00E52A1D"/>
    <w:rsid w:val="00E5473D"/>
    <w:rsid w:val="00E55286"/>
    <w:rsid w:val="00E55FFC"/>
    <w:rsid w:val="00E57860"/>
    <w:rsid w:val="00E60E51"/>
    <w:rsid w:val="00E615DA"/>
    <w:rsid w:val="00E61E57"/>
    <w:rsid w:val="00E6243D"/>
    <w:rsid w:val="00E62748"/>
    <w:rsid w:val="00E627AA"/>
    <w:rsid w:val="00E63B6E"/>
    <w:rsid w:val="00E65518"/>
    <w:rsid w:val="00E66637"/>
    <w:rsid w:val="00E668A8"/>
    <w:rsid w:val="00E703A6"/>
    <w:rsid w:val="00E70886"/>
    <w:rsid w:val="00E70AA8"/>
    <w:rsid w:val="00E70D9E"/>
    <w:rsid w:val="00E72544"/>
    <w:rsid w:val="00E72DD4"/>
    <w:rsid w:val="00E73162"/>
    <w:rsid w:val="00E73A1C"/>
    <w:rsid w:val="00E740CA"/>
    <w:rsid w:val="00E74882"/>
    <w:rsid w:val="00E753FD"/>
    <w:rsid w:val="00E75836"/>
    <w:rsid w:val="00E76E16"/>
    <w:rsid w:val="00E80F38"/>
    <w:rsid w:val="00E813E7"/>
    <w:rsid w:val="00E82D85"/>
    <w:rsid w:val="00E839D9"/>
    <w:rsid w:val="00E84298"/>
    <w:rsid w:val="00E844D1"/>
    <w:rsid w:val="00E84622"/>
    <w:rsid w:val="00E84724"/>
    <w:rsid w:val="00E84812"/>
    <w:rsid w:val="00E8690C"/>
    <w:rsid w:val="00E90FB5"/>
    <w:rsid w:val="00E912AD"/>
    <w:rsid w:val="00E918C4"/>
    <w:rsid w:val="00E91ED8"/>
    <w:rsid w:val="00E92C11"/>
    <w:rsid w:val="00E93060"/>
    <w:rsid w:val="00E937F5"/>
    <w:rsid w:val="00E93E2D"/>
    <w:rsid w:val="00E94554"/>
    <w:rsid w:val="00E94C14"/>
    <w:rsid w:val="00E967DF"/>
    <w:rsid w:val="00E96F45"/>
    <w:rsid w:val="00E97BD2"/>
    <w:rsid w:val="00E97D01"/>
    <w:rsid w:val="00EA1458"/>
    <w:rsid w:val="00EA1876"/>
    <w:rsid w:val="00EA1FE2"/>
    <w:rsid w:val="00EA2982"/>
    <w:rsid w:val="00EA32E1"/>
    <w:rsid w:val="00EA3740"/>
    <w:rsid w:val="00EA3E5A"/>
    <w:rsid w:val="00EA66E0"/>
    <w:rsid w:val="00EA6E0C"/>
    <w:rsid w:val="00EB0169"/>
    <w:rsid w:val="00EB10FF"/>
    <w:rsid w:val="00EB15CF"/>
    <w:rsid w:val="00EB18BF"/>
    <w:rsid w:val="00EB247B"/>
    <w:rsid w:val="00EB24CC"/>
    <w:rsid w:val="00EB3C44"/>
    <w:rsid w:val="00EB5FD0"/>
    <w:rsid w:val="00EB6985"/>
    <w:rsid w:val="00EB6D6B"/>
    <w:rsid w:val="00EB7C39"/>
    <w:rsid w:val="00EC016B"/>
    <w:rsid w:val="00EC0B1F"/>
    <w:rsid w:val="00EC0E37"/>
    <w:rsid w:val="00EC15A0"/>
    <w:rsid w:val="00EC6667"/>
    <w:rsid w:val="00EC6839"/>
    <w:rsid w:val="00EC7534"/>
    <w:rsid w:val="00EC7C3A"/>
    <w:rsid w:val="00ED10D5"/>
    <w:rsid w:val="00ED120D"/>
    <w:rsid w:val="00ED32AA"/>
    <w:rsid w:val="00ED59F7"/>
    <w:rsid w:val="00ED5E7A"/>
    <w:rsid w:val="00ED679E"/>
    <w:rsid w:val="00EE094D"/>
    <w:rsid w:val="00EE0B59"/>
    <w:rsid w:val="00EE181A"/>
    <w:rsid w:val="00EE2544"/>
    <w:rsid w:val="00EE2552"/>
    <w:rsid w:val="00EE2B81"/>
    <w:rsid w:val="00EE2DB8"/>
    <w:rsid w:val="00EE2DD6"/>
    <w:rsid w:val="00EE59FF"/>
    <w:rsid w:val="00EE6265"/>
    <w:rsid w:val="00EE64CC"/>
    <w:rsid w:val="00EE662A"/>
    <w:rsid w:val="00EE6704"/>
    <w:rsid w:val="00EE6A9A"/>
    <w:rsid w:val="00EE6C35"/>
    <w:rsid w:val="00EE70D1"/>
    <w:rsid w:val="00EF127E"/>
    <w:rsid w:val="00EF28A2"/>
    <w:rsid w:val="00EF2EA2"/>
    <w:rsid w:val="00EF41D4"/>
    <w:rsid w:val="00EF58A9"/>
    <w:rsid w:val="00EF6A2F"/>
    <w:rsid w:val="00F0042A"/>
    <w:rsid w:val="00F014D0"/>
    <w:rsid w:val="00F017E0"/>
    <w:rsid w:val="00F0216B"/>
    <w:rsid w:val="00F0229B"/>
    <w:rsid w:val="00F03DA9"/>
    <w:rsid w:val="00F04605"/>
    <w:rsid w:val="00F04BBF"/>
    <w:rsid w:val="00F06865"/>
    <w:rsid w:val="00F06D64"/>
    <w:rsid w:val="00F071EB"/>
    <w:rsid w:val="00F0749F"/>
    <w:rsid w:val="00F10CB6"/>
    <w:rsid w:val="00F11B3B"/>
    <w:rsid w:val="00F16508"/>
    <w:rsid w:val="00F173D4"/>
    <w:rsid w:val="00F175E5"/>
    <w:rsid w:val="00F17669"/>
    <w:rsid w:val="00F17DAF"/>
    <w:rsid w:val="00F20411"/>
    <w:rsid w:val="00F20685"/>
    <w:rsid w:val="00F21369"/>
    <w:rsid w:val="00F213F5"/>
    <w:rsid w:val="00F21E47"/>
    <w:rsid w:val="00F23AD9"/>
    <w:rsid w:val="00F2475D"/>
    <w:rsid w:val="00F24766"/>
    <w:rsid w:val="00F26016"/>
    <w:rsid w:val="00F2686B"/>
    <w:rsid w:val="00F26B0F"/>
    <w:rsid w:val="00F3066B"/>
    <w:rsid w:val="00F30AB1"/>
    <w:rsid w:val="00F31563"/>
    <w:rsid w:val="00F3164E"/>
    <w:rsid w:val="00F34D0B"/>
    <w:rsid w:val="00F350FE"/>
    <w:rsid w:val="00F35B56"/>
    <w:rsid w:val="00F3652B"/>
    <w:rsid w:val="00F368F1"/>
    <w:rsid w:val="00F3695C"/>
    <w:rsid w:val="00F42AA4"/>
    <w:rsid w:val="00F45574"/>
    <w:rsid w:val="00F45E01"/>
    <w:rsid w:val="00F4680C"/>
    <w:rsid w:val="00F475A2"/>
    <w:rsid w:val="00F4760C"/>
    <w:rsid w:val="00F50002"/>
    <w:rsid w:val="00F50796"/>
    <w:rsid w:val="00F51079"/>
    <w:rsid w:val="00F52BD8"/>
    <w:rsid w:val="00F52EF8"/>
    <w:rsid w:val="00F53201"/>
    <w:rsid w:val="00F53653"/>
    <w:rsid w:val="00F54E47"/>
    <w:rsid w:val="00F55EBE"/>
    <w:rsid w:val="00F55ED7"/>
    <w:rsid w:val="00F56AB8"/>
    <w:rsid w:val="00F57933"/>
    <w:rsid w:val="00F57E9E"/>
    <w:rsid w:val="00F603BB"/>
    <w:rsid w:val="00F60BB1"/>
    <w:rsid w:val="00F61935"/>
    <w:rsid w:val="00F61EC9"/>
    <w:rsid w:val="00F61FBC"/>
    <w:rsid w:val="00F62706"/>
    <w:rsid w:val="00F63FE0"/>
    <w:rsid w:val="00F63FFE"/>
    <w:rsid w:val="00F64762"/>
    <w:rsid w:val="00F700FF"/>
    <w:rsid w:val="00F70D23"/>
    <w:rsid w:val="00F715FC"/>
    <w:rsid w:val="00F727DC"/>
    <w:rsid w:val="00F72A1E"/>
    <w:rsid w:val="00F72E27"/>
    <w:rsid w:val="00F7365D"/>
    <w:rsid w:val="00F7426D"/>
    <w:rsid w:val="00F76891"/>
    <w:rsid w:val="00F858E3"/>
    <w:rsid w:val="00F868A3"/>
    <w:rsid w:val="00F86DC6"/>
    <w:rsid w:val="00F8744E"/>
    <w:rsid w:val="00F87C9A"/>
    <w:rsid w:val="00F90121"/>
    <w:rsid w:val="00F9032F"/>
    <w:rsid w:val="00F913E4"/>
    <w:rsid w:val="00F919A6"/>
    <w:rsid w:val="00F93299"/>
    <w:rsid w:val="00F94B95"/>
    <w:rsid w:val="00F95818"/>
    <w:rsid w:val="00F95BFA"/>
    <w:rsid w:val="00F9622E"/>
    <w:rsid w:val="00F96948"/>
    <w:rsid w:val="00F97824"/>
    <w:rsid w:val="00F97A00"/>
    <w:rsid w:val="00F97A84"/>
    <w:rsid w:val="00F97ED9"/>
    <w:rsid w:val="00FA074C"/>
    <w:rsid w:val="00FA08B5"/>
    <w:rsid w:val="00FA0DE5"/>
    <w:rsid w:val="00FA0DE8"/>
    <w:rsid w:val="00FA181D"/>
    <w:rsid w:val="00FA1A3D"/>
    <w:rsid w:val="00FA2B77"/>
    <w:rsid w:val="00FA33CC"/>
    <w:rsid w:val="00FA378D"/>
    <w:rsid w:val="00FA379E"/>
    <w:rsid w:val="00FA516E"/>
    <w:rsid w:val="00FA5184"/>
    <w:rsid w:val="00FA5774"/>
    <w:rsid w:val="00FA5F22"/>
    <w:rsid w:val="00FA7ACE"/>
    <w:rsid w:val="00FB07D0"/>
    <w:rsid w:val="00FB0D3C"/>
    <w:rsid w:val="00FB14AA"/>
    <w:rsid w:val="00FB2CBD"/>
    <w:rsid w:val="00FB3045"/>
    <w:rsid w:val="00FB333A"/>
    <w:rsid w:val="00FB3993"/>
    <w:rsid w:val="00FB3ED4"/>
    <w:rsid w:val="00FB4065"/>
    <w:rsid w:val="00FB43FD"/>
    <w:rsid w:val="00FB5B95"/>
    <w:rsid w:val="00FB5F2C"/>
    <w:rsid w:val="00FB6A5F"/>
    <w:rsid w:val="00FB741D"/>
    <w:rsid w:val="00FC1573"/>
    <w:rsid w:val="00FC2FBE"/>
    <w:rsid w:val="00FC53D1"/>
    <w:rsid w:val="00FC58AA"/>
    <w:rsid w:val="00FC5A44"/>
    <w:rsid w:val="00FC65DA"/>
    <w:rsid w:val="00FC6A3C"/>
    <w:rsid w:val="00FC6EDC"/>
    <w:rsid w:val="00FC7AC7"/>
    <w:rsid w:val="00FC7D41"/>
    <w:rsid w:val="00FD033E"/>
    <w:rsid w:val="00FD12A2"/>
    <w:rsid w:val="00FD1E26"/>
    <w:rsid w:val="00FD3007"/>
    <w:rsid w:val="00FD4BD3"/>
    <w:rsid w:val="00FD56E7"/>
    <w:rsid w:val="00FD63A7"/>
    <w:rsid w:val="00FD725C"/>
    <w:rsid w:val="00FE01C9"/>
    <w:rsid w:val="00FE0628"/>
    <w:rsid w:val="00FE0C04"/>
    <w:rsid w:val="00FE10BB"/>
    <w:rsid w:val="00FE125A"/>
    <w:rsid w:val="00FE2A51"/>
    <w:rsid w:val="00FE2BC0"/>
    <w:rsid w:val="00FE30A0"/>
    <w:rsid w:val="00FE4B1B"/>
    <w:rsid w:val="00FE4F4C"/>
    <w:rsid w:val="00FE51D4"/>
    <w:rsid w:val="00FE6168"/>
    <w:rsid w:val="00FE69E2"/>
    <w:rsid w:val="00FE7C3C"/>
    <w:rsid w:val="00FE7D28"/>
    <w:rsid w:val="00FF0C2E"/>
    <w:rsid w:val="00FF26CD"/>
    <w:rsid w:val="00FF2748"/>
    <w:rsid w:val="00FF331C"/>
    <w:rsid w:val="00FF33ED"/>
    <w:rsid w:val="00FF34C7"/>
    <w:rsid w:val="00FF4447"/>
    <w:rsid w:val="00FF6407"/>
    <w:rsid w:val="00FF6837"/>
  </w:rsids>
  <m:mathPr>
    <m:mathFont m:val="Cambria Math"/>
    <m:brkBin m:val="before"/>
    <m:brkBinSub m:val="--"/>
    <m:smallFrac m:val="0"/>
    <m:dispDef/>
    <m:lMargin m:val="0"/>
    <m:rMargin m:val="0"/>
    <m:defJc m:val="centerGroup"/>
    <m:wrapIndent m:val="1440"/>
    <m:intLim m:val="subSup"/>
    <m:naryLim m:val="undOvr"/>
  </m:mathPr>
  <w:themeFontLang w:val="sq-AL" w:eastAsia="zh-TW"/>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244142B"/>
  <w15:chartTrackingRefBased/>
  <w15:docId w15:val="{988EE07E-E5E5-4F0B-956A-2B04F9B11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D6BFB"/>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2">
    <w:name w:val="heading 2"/>
    <w:basedOn w:val="Normal"/>
    <w:next w:val="Normal"/>
    <w:link w:val="Heading2Char"/>
    <w:uiPriority w:val="9"/>
    <w:semiHidden/>
    <w:unhideWhenUsed/>
    <w:qFormat/>
    <w:rsid w:val="00052D3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1,Footnote Text Char1 Char Char Char,Footnote Text Char Char Char Char Char,Car, Char1,single space,footnote text,fn,FOOTNOTES,Footnote Text Char2 Char,Footnote Text Char1 Char Char,Footnotes,ft,ADB,pod carou,f,Char Char,Char"/>
    <w:basedOn w:val="Normal"/>
    <w:link w:val="FootnoteTextChar"/>
    <w:uiPriority w:val="99"/>
    <w:unhideWhenUsed/>
    <w:qFormat/>
    <w:rsid w:val="008960DF"/>
    <w:rPr>
      <w:sz w:val="20"/>
    </w:rPr>
  </w:style>
  <w:style w:type="character" w:customStyle="1" w:styleId="FootnoteTextChar">
    <w:name w:val="Footnote Text Char"/>
    <w:aliases w:val="Char1 Char,Footnote Text Char1 Char Char Char Char,Footnote Text Char Char Char Char Char Char,Car Char, Char1 Char,single space Char,footnote text Char,fn Char,FOOTNOTES Char,Footnote Text Char2 Char Char,Footnotes Char,ft Char"/>
    <w:basedOn w:val="DefaultParagraphFont"/>
    <w:link w:val="FootnoteText"/>
    <w:uiPriority w:val="99"/>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odyTextIndent3">
    <w:name w:val="Body Text Indent 3"/>
    <w:basedOn w:val="Normal"/>
    <w:link w:val="BodyTextIndent3Char"/>
    <w:uiPriority w:val="99"/>
    <w:unhideWhenUsed/>
    <w:rsid w:val="009D6BFB"/>
    <w:pPr>
      <w:ind w:left="2880"/>
      <w:jc w:val="both"/>
    </w:pPr>
    <w:rPr>
      <w:b/>
    </w:rPr>
  </w:style>
  <w:style w:type="character" w:customStyle="1" w:styleId="BodyTextIndent3Char">
    <w:name w:val="Body Text Indent 3 Char"/>
    <w:basedOn w:val="DefaultParagraphFont"/>
    <w:link w:val="BodyTextIndent3"/>
    <w:uiPriority w:val="99"/>
    <w:rsid w:val="009D6BFB"/>
    <w:rPr>
      <w:b/>
    </w:rPr>
  </w:style>
  <w:style w:type="paragraph" w:styleId="BalloonText">
    <w:name w:val="Balloon Text"/>
    <w:basedOn w:val="Normal"/>
    <w:link w:val="BalloonTextChar"/>
    <w:uiPriority w:val="99"/>
    <w:semiHidden/>
    <w:unhideWhenUsed/>
    <w:rsid w:val="00B14A3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14A32"/>
    <w:rPr>
      <w:rFonts w:ascii="Segoe UI" w:hAnsi="Segoe UI" w:cs="Segoe UI"/>
      <w:sz w:val="18"/>
      <w:szCs w:val="18"/>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CA3A5B"/>
    <w:pPr>
      <w:spacing w:after="160" w:line="240" w:lineRule="exact"/>
    </w:pPr>
    <w:rPr>
      <w:sz w:val="20"/>
      <w:vertAlign w:val="superscript"/>
    </w:rPr>
  </w:style>
  <w:style w:type="character" w:customStyle="1" w:styleId="Heading2Char">
    <w:name w:val="Heading 2 Char"/>
    <w:basedOn w:val="DefaultParagraphFont"/>
    <w:link w:val="Heading2"/>
    <w:uiPriority w:val="9"/>
    <w:semiHidden/>
    <w:rsid w:val="00052D30"/>
    <w:rPr>
      <w:rFonts w:asciiTheme="majorHAnsi" w:eastAsiaTheme="majorEastAsia" w:hAnsiTheme="majorHAnsi" w:cstheme="majorBidi"/>
      <w:color w:val="2F5496" w:themeColor="accent1" w:themeShade="BF"/>
      <w:sz w:val="26"/>
      <w:szCs w:val="26"/>
    </w:rPr>
  </w:style>
  <w:style w:type="paragraph" w:styleId="NoSpacing">
    <w:name w:val="No Spacing"/>
    <w:aliases w:val="B"/>
    <w:link w:val="NoSpacingChar"/>
    <w:uiPriority w:val="1"/>
    <w:qFormat/>
    <w:rsid w:val="004027FC"/>
    <w:pPr>
      <w:spacing w:line="240" w:lineRule="auto"/>
    </w:pPr>
  </w:style>
  <w:style w:type="character" w:customStyle="1" w:styleId="NoSpacingChar">
    <w:name w:val="No Spacing Char"/>
    <w:aliases w:val="B Char"/>
    <w:link w:val="NoSpacing"/>
    <w:uiPriority w:val="1"/>
    <w:qFormat/>
    <w:locked/>
    <w:rsid w:val="00005E0A"/>
  </w:style>
  <w:style w:type="paragraph" w:styleId="PlainText">
    <w:name w:val="Plain Text"/>
    <w:basedOn w:val="Normal"/>
    <w:link w:val="PlainTextChar"/>
    <w:uiPriority w:val="99"/>
    <w:semiHidden/>
    <w:unhideWhenUsed/>
    <w:rsid w:val="00850460"/>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850460"/>
    <w:rPr>
      <w:rFonts w:ascii="Consolas" w:hAnsi="Consolas"/>
      <w:sz w:val="21"/>
      <w:szCs w:val="21"/>
    </w:rPr>
  </w:style>
  <w:style w:type="character" w:styleId="CommentReference">
    <w:name w:val="annotation reference"/>
    <w:basedOn w:val="DefaultParagraphFont"/>
    <w:uiPriority w:val="99"/>
    <w:semiHidden/>
    <w:unhideWhenUsed/>
    <w:rsid w:val="00B05A2C"/>
    <w:rPr>
      <w:sz w:val="16"/>
      <w:szCs w:val="16"/>
    </w:rPr>
  </w:style>
  <w:style w:type="paragraph" w:styleId="CommentText">
    <w:name w:val="annotation text"/>
    <w:basedOn w:val="Normal"/>
    <w:link w:val="CommentTextChar"/>
    <w:uiPriority w:val="99"/>
    <w:semiHidden/>
    <w:unhideWhenUsed/>
    <w:rsid w:val="00B05A2C"/>
    <w:pPr>
      <w:spacing w:line="240" w:lineRule="auto"/>
    </w:pPr>
    <w:rPr>
      <w:sz w:val="20"/>
      <w:szCs w:val="20"/>
    </w:rPr>
  </w:style>
  <w:style w:type="character" w:customStyle="1" w:styleId="CommentTextChar">
    <w:name w:val="Comment Text Char"/>
    <w:basedOn w:val="DefaultParagraphFont"/>
    <w:link w:val="CommentText"/>
    <w:uiPriority w:val="99"/>
    <w:semiHidden/>
    <w:rsid w:val="00B05A2C"/>
    <w:rPr>
      <w:sz w:val="20"/>
      <w:szCs w:val="20"/>
    </w:rPr>
  </w:style>
  <w:style w:type="paragraph" w:styleId="CommentSubject">
    <w:name w:val="annotation subject"/>
    <w:basedOn w:val="CommentText"/>
    <w:next w:val="CommentText"/>
    <w:link w:val="CommentSubjectChar"/>
    <w:uiPriority w:val="99"/>
    <w:semiHidden/>
    <w:unhideWhenUsed/>
    <w:rsid w:val="00B05A2C"/>
    <w:rPr>
      <w:b/>
      <w:bCs/>
    </w:rPr>
  </w:style>
  <w:style w:type="character" w:customStyle="1" w:styleId="CommentSubjectChar">
    <w:name w:val="Comment Subject Char"/>
    <w:basedOn w:val="CommentTextChar"/>
    <w:link w:val="CommentSubject"/>
    <w:uiPriority w:val="99"/>
    <w:semiHidden/>
    <w:rsid w:val="00B05A2C"/>
    <w:rPr>
      <w:b/>
      <w:bCs/>
      <w:sz w:val="20"/>
      <w:szCs w:val="20"/>
    </w:rPr>
  </w:style>
  <w:style w:type="character" w:customStyle="1" w:styleId="contentpasted0">
    <w:name w:val="contentpasted0"/>
    <w:rsid w:val="002165F9"/>
  </w:style>
  <w:style w:type="paragraph" w:customStyle="1" w:styleId="JuPara">
    <w:name w:val="Ju_Para"/>
    <w:aliases w:val="_Para"/>
    <w:basedOn w:val="Normal"/>
    <w:link w:val="JuParaChar"/>
    <w:uiPriority w:val="4"/>
    <w:qFormat/>
    <w:rsid w:val="005A01DC"/>
    <w:pPr>
      <w:spacing w:line="240" w:lineRule="auto"/>
      <w:ind w:firstLine="284"/>
      <w:jc w:val="both"/>
    </w:pPr>
    <w:rPr>
      <w:rFonts w:asciiTheme="minorHAnsi" w:hAnsiTheme="minorHAnsi" w:cstheme="minorBidi"/>
      <w:lang w:val="en-GB"/>
    </w:rPr>
  </w:style>
  <w:style w:type="character" w:customStyle="1" w:styleId="JuParaChar">
    <w:name w:val="Ju_Para Char"/>
    <w:aliases w:val="_Para Char"/>
    <w:link w:val="JuPara"/>
    <w:uiPriority w:val="4"/>
    <w:rsid w:val="005A01DC"/>
    <w:rPr>
      <w:rFonts w:asciiTheme="minorHAnsi" w:hAnsiTheme="minorHAnsi" w:cstheme="minorBidi"/>
      <w:lang w:val="en-GB"/>
    </w:rPr>
  </w:style>
  <w:style w:type="table" w:styleId="TableGrid">
    <w:name w:val="Table Grid"/>
    <w:basedOn w:val="TableNormal"/>
    <w:uiPriority w:val="39"/>
    <w:rsid w:val="000B2E2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1966482">
      <w:bodyDiv w:val="1"/>
      <w:marLeft w:val="0"/>
      <w:marRight w:val="0"/>
      <w:marTop w:val="0"/>
      <w:marBottom w:val="0"/>
      <w:divBdr>
        <w:top w:val="none" w:sz="0" w:space="0" w:color="auto"/>
        <w:left w:val="none" w:sz="0" w:space="0" w:color="auto"/>
        <w:bottom w:val="none" w:sz="0" w:space="0" w:color="auto"/>
        <w:right w:val="none" w:sz="0" w:space="0" w:color="auto"/>
      </w:divBdr>
      <w:divsChild>
        <w:div w:id="466777335">
          <w:marLeft w:val="0"/>
          <w:marRight w:val="0"/>
          <w:marTop w:val="0"/>
          <w:marBottom w:val="0"/>
          <w:divBdr>
            <w:top w:val="none" w:sz="0" w:space="0" w:color="auto"/>
            <w:left w:val="none" w:sz="0" w:space="0" w:color="auto"/>
            <w:bottom w:val="none" w:sz="0" w:space="0" w:color="auto"/>
            <w:right w:val="none" w:sz="0" w:space="0" w:color="auto"/>
          </w:divBdr>
        </w:div>
        <w:div w:id="1260603518">
          <w:marLeft w:val="0"/>
          <w:marRight w:val="0"/>
          <w:marTop w:val="0"/>
          <w:marBottom w:val="0"/>
          <w:divBdr>
            <w:top w:val="none" w:sz="0" w:space="0" w:color="auto"/>
            <w:left w:val="none" w:sz="0" w:space="0" w:color="auto"/>
            <w:bottom w:val="none" w:sz="0" w:space="0" w:color="auto"/>
            <w:right w:val="none" w:sz="0" w:space="0" w:color="auto"/>
          </w:divBdr>
        </w:div>
        <w:div w:id="1279752176">
          <w:marLeft w:val="0"/>
          <w:marRight w:val="0"/>
          <w:marTop w:val="0"/>
          <w:marBottom w:val="0"/>
          <w:divBdr>
            <w:top w:val="none" w:sz="0" w:space="0" w:color="auto"/>
            <w:left w:val="none" w:sz="0" w:space="0" w:color="auto"/>
            <w:bottom w:val="none" w:sz="0" w:space="0" w:color="auto"/>
            <w:right w:val="none" w:sz="0" w:space="0" w:color="auto"/>
          </w:divBdr>
        </w:div>
        <w:div w:id="1393507915">
          <w:marLeft w:val="0"/>
          <w:marRight w:val="0"/>
          <w:marTop w:val="0"/>
          <w:marBottom w:val="0"/>
          <w:divBdr>
            <w:top w:val="none" w:sz="0" w:space="0" w:color="auto"/>
            <w:left w:val="none" w:sz="0" w:space="0" w:color="auto"/>
            <w:bottom w:val="none" w:sz="0" w:space="0" w:color="auto"/>
            <w:right w:val="none" w:sz="0" w:space="0" w:color="auto"/>
          </w:divBdr>
        </w:div>
      </w:divsChild>
    </w:div>
    <w:div w:id="1221791847">
      <w:bodyDiv w:val="1"/>
      <w:marLeft w:val="0"/>
      <w:marRight w:val="0"/>
      <w:marTop w:val="0"/>
      <w:marBottom w:val="0"/>
      <w:divBdr>
        <w:top w:val="none" w:sz="0" w:space="0" w:color="auto"/>
        <w:left w:val="none" w:sz="0" w:space="0" w:color="auto"/>
        <w:bottom w:val="none" w:sz="0" w:space="0" w:color="auto"/>
        <w:right w:val="none" w:sz="0" w:space="0" w:color="auto"/>
      </w:divBdr>
      <w:divsChild>
        <w:div w:id="1577741018">
          <w:marLeft w:val="0"/>
          <w:marRight w:val="0"/>
          <w:marTop w:val="0"/>
          <w:marBottom w:val="0"/>
          <w:divBdr>
            <w:top w:val="none" w:sz="0" w:space="0" w:color="auto"/>
            <w:left w:val="none" w:sz="0" w:space="0" w:color="auto"/>
            <w:bottom w:val="none" w:sz="0" w:space="0" w:color="auto"/>
            <w:right w:val="none" w:sz="0" w:space="0" w:color="auto"/>
          </w:divBdr>
        </w:div>
      </w:divsChild>
    </w:div>
    <w:div w:id="1435782765">
      <w:bodyDiv w:val="1"/>
      <w:marLeft w:val="0"/>
      <w:marRight w:val="0"/>
      <w:marTop w:val="0"/>
      <w:marBottom w:val="0"/>
      <w:divBdr>
        <w:top w:val="none" w:sz="0" w:space="0" w:color="auto"/>
        <w:left w:val="none" w:sz="0" w:space="0" w:color="auto"/>
        <w:bottom w:val="none" w:sz="0" w:space="0" w:color="auto"/>
        <w:right w:val="none" w:sz="0" w:space="0" w:color="auto"/>
      </w:divBdr>
      <w:divsChild>
        <w:div w:id="1025711558">
          <w:marLeft w:val="0"/>
          <w:marRight w:val="0"/>
          <w:marTop w:val="0"/>
          <w:marBottom w:val="0"/>
          <w:divBdr>
            <w:top w:val="none" w:sz="0" w:space="0" w:color="auto"/>
            <w:left w:val="none" w:sz="0" w:space="0" w:color="auto"/>
            <w:bottom w:val="none" w:sz="0" w:space="0" w:color="auto"/>
            <w:right w:val="none" w:sz="0" w:space="0" w:color="auto"/>
          </w:divBdr>
        </w:div>
        <w:div w:id="1221671264">
          <w:marLeft w:val="0"/>
          <w:marRight w:val="0"/>
          <w:marTop w:val="0"/>
          <w:marBottom w:val="0"/>
          <w:divBdr>
            <w:top w:val="none" w:sz="0" w:space="0" w:color="auto"/>
            <w:left w:val="none" w:sz="0" w:space="0" w:color="auto"/>
            <w:bottom w:val="none" w:sz="0" w:space="0" w:color="auto"/>
            <w:right w:val="none" w:sz="0" w:space="0" w:color="auto"/>
          </w:divBdr>
        </w:div>
        <w:div w:id="1681154680">
          <w:marLeft w:val="0"/>
          <w:marRight w:val="0"/>
          <w:marTop w:val="0"/>
          <w:marBottom w:val="0"/>
          <w:divBdr>
            <w:top w:val="none" w:sz="0" w:space="0" w:color="auto"/>
            <w:left w:val="none" w:sz="0" w:space="0" w:color="auto"/>
            <w:bottom w:val="none" w:sz="0" w:space="0" w:color="auto"/>
            <w:right w:val="none" w:sz="0" w:space="0" w:color="auto"/>
          </w:divBdr>
        </w:div>
      </w:divsChild>
    </w:div>
    <w:div w:id="1508591736">
      <w:bodyDiv w:val="1"/>
      <w:marLeft w:val="0"/>
      <w:marRight w:val="0"/>
      <w:marTop w:val="0"/>
      <w:marBottom w:val="0"/>
      <w:divBdr>
        <w:top w:val="none" w:sz="0" w:space="0" w:color="auto"/>
        <w:left w:val="none" w:sz="0" w:space="0" w:color="auto"/>
        <w:bottom w:val="none" w:sz="0" w:space="0" w:color="auto"/>
        <w:right w:val="none" w:sz="0" w:space="0" w:color="auto"/>
      </w:divBdr>
    </w:div>
    <w:div w:id="1555118532">
      <w:bodyDiv w:val="1"/>
      <w:marLeft w:val="0"/>
      <w:marRight w:val="0"/>
      <w:marTop w:val="0"/>
      <w:marBottom w:val="0"/>
      <w:divBdr>
        <w:top w:val="none" w:sz="0" w:space="0" w:color="auto"/>
        <w:left w:val="none" w:sz="0" w:space="0" w:color="auto"/>
        <w:bottom w:val="none" w:sz="0" w:space="0" w:color="auto"/>
        <w:right w:val="none" w:sz="0" w:space="0" w:color="auto"/>
      </w:divBdr>
      <w:divsChild>
        <w:div w:id="535392671">
          <w:marLeft w:val="0"/>
          <w:marRight w:val="0"/>
          <w:marTop w:val="0"/>
          <w:marBottom w:val="0"/>
          <w:divBdr>
            <w:top w:val="none" w:sz="0" w:space="0" w:color="auto"/>
            <w:left w:val="none" w:sz="0" w:space="0" w:color="auto"/>
            <w:bottom w:val="none" w:sz="0" w:space="0" w:color="auto"/>
            <w:right w:val="none" w:sz="0" w:space="0" w:color="auto"/>
          </w:divBdr>
        </w:div>
        <w:div w:id="1068112193">
          <w:marLeft w:val="0"/>
          <w:marRight w:val="0"/>
          <w:marTop w:val="0"/>
          <w:marBottom w:val="0"/>
          <w:divBdr>
            <w:top w:val="none" w:sz="0" w:space="0" w:color="auto"/>
            <w:left w:val="none" w:sz="0" w:space="0" w:color="auto"/>
            <w:bottom w:val="none" w:sz="0" w:space="0" w:color="auto"/>
            <w:right w:val="none" w:sz="0" w:space="0" w:color="auto"/>
          </w:divBdr>
        </w:div>
        <w:div w:id="1420559077">
          <w:marLeft w:val="0"/>
          <w:marRight w:val="0"/>
          <w:marTop w:val="0"/>
          <w:marBottom w:val="0"/>
          <w:divBdr>
            <w:top w:val="none" w:sz="0" w:space="0" w:color="auto"/>
            <w:left w:val="none" w:sz="0" w:space="0" w:color="auto"/>
            <w:bottom w:val="none" w:sz="0" w:space="0" w:color="auto"/>
            <w:right w:val="none" w:sz="0" w:space="0" w:color="auto"/>
          </w:divBdr>
        </w:div>
        <w:div w:id="2067557703">
          <w:marLeft w:val="0"/>
          <w:marRight w:val="0"/>
          <w:marTop w:val="0"/>
          <w:marBottom w:val="0"/>
          <w:divBdr>
            <w:top w:val="none" w:sz="0" w:space="0" w:color="auto"/>
            <w:left w:val="none" w:sz="0" w:space="0" w:color="auto"/>
            <w:bottom w:val="none" w:sz="0" w:space="0" w:color="auto"/>
            <w:right w:val="none" w:sz="0" w:space="0" w:color="auto"/>
          </w:divBdr>
        </w:div>
      </w:divsChild>
    </w:div>
    <w:div w:id="1720860305">
      <w:bodyDiv w:val="1"/>
      <w:marLeft w:val="0"/>
      <w:marRight w:val="0"/>
      <w:marTop w:val="0"/>
      <w:marBottom w:val="0"/>
      <w:divBdr>
        <w:top w:val="none" w:sz="0" w:space="0" w:color="auto"/>
        <w:left w:val="none" w:sz="0" w:space="0" w:color="auto"/>
        <w:bottom w:val="none" w:sz="0" w:space="0" w:color="auto"/>
        <w:right w:val="none" w:sz="0" w:space="0" w:color="auto"/>
      </w:divBdr>
      <w:divsChild>
        <w:div w:id="138151792">
          <w:marLeft w:val="0"/>
          <w:marRight w:val="0"/>
          <w:marTop w:val="0"/>
          <w:marBottom w:val="0"/>
          <w:divBdr>
            <w:top w:val="none" w:sz="0" w:space="0" w:color="auto"/>
            <w:left w:val="none" w:sz="0" w:space="0" w:color="auto"/>
            <w:bottom w:val="none" w:sz="0" w:space="0" w:color="auto"/>
            <w:right w:val="none" w:sz="0" w:space="0" w:color="auto"/>
          </w:divBdr>
        </w:div>
        <w:div w:id="270860744">
          <w:marLeft w:val="0"/>
          <w:marRight w:val="0"/>
          <w:marTop w:val="0"/>
          <w:marBottom w:val="0"/>
          <w:divBdr>
            <w:top w:val="none" w:sz="0" w:space="0" w:color="auto"/>
            <w:left w:val="none" w:sz="0" w:space="0" w:color="auto"/>
            <w:bottom w:val="none" w:sz="0" w:space="0" w:color="auto"/>
            <w:right w:val="none" w:sz="0" w:space="0" w:color="auto"/>
          </w:divBdr>
        </w:div>
        <w:div w:id="271323247">
          <w:marLeft w:val="0"/>
          <w:marRight w:val="0"/>
          <w:marTop w:val="0"/>
          <w:marBottom w:val="0"/>
          <w:divBdr>
            <w:top w:val="none" w:sz="0" w:space="0" w:color="auto"/>
            <w:left w:val="none" w:sz="0" w:space="0" w:color="auto"/>
            <w:bottom w:val="none" w:sz="0" w:space="0" w:color="auto"/>
            <w:right w:val="none" w:sz="0" w:space="0" w:color="auto"/>
          </w:divBdr>
        </w:div>
        <w:div w:id="479813320">
          <w:marLeft w:val="0"/>
          <w:marRight w:val="0"/>
          <w:marTop w:val="0"/>
          <w:marBottom w:val="0"/>
          <w:divBdr>
            <w:top w:val="none" w:sz="0" w:space="0" w:color="auto"/>
            <w:left w:val="none" w:sz="0" w:space="0" w:color="auto"/>
            <w:bottom w:val="none" w:sz="0" w:space="0" w:color="auto"/>
            <w:right w:val="none" w:sz="0" w:space="0" w:color="auto"/>
          </w:divBdr>
        </w:div>
        <w:div w:id="876964103">
          <w:marLeft w:val="0"/>
          <w:marRight w:val="0"/>
          <w:marTop w:val="0"/>
          <w:marBottom w:val="0"/>
          <w:divBdr>
            <w:top w:val="none" w:sz="0" w:space="0" w:color="auto"/>
            <w:left w:val="none" w:sz="0" w:space="0" w:color="auto"/>
            <w:bottom w:val="none" w:sz="0" w:space="0" w:color="auto"/>
            <w:right w:val="none" w:sz="0" w:space="0" w:color="auto"/>
          </w:divBdr>
        </w:div>
        <w:div w:id="1305886691">
          <w:marLeft w:val="0"/>
          <w:marRight w:val="0"/>
          <w:marTop w:val="0"/>
          <w:marBottom w:val="0"/>
          <w:divBdr>
            <w:top w:val="none" w:sz="0" w:space="0" w:color="auto"/>
            <w:left w:val="none" w:sz="0" w:space="0" w:color="auto"/>
            <w:bottom w:val="none" w:sz="0" w:space="0" w:color="auto"/>
            <w:right w:val="none" w:sz="0" w:space="0" w:color="auto"/>
          </w:divBdr>
        </w:div>
        <w:div w:id="1572934107">
          <w:marLeft w:val="0"/>
          <w:marRight w:val="0"/>
          <w:marTop w:val="0"/>
          <w:marBottom w:val="0"/>
          <w:divBdr>
            <w:top w:val="none" w:sz="0" w:space="0" w:color="auto"/>
            <w:left w:val="none" w:sz="0" w:space="0" w:color="auto"/>
            <w:bottom w:val="none" w:sz="0" w:space="0" w:color="auto"/>
            <w:right w:val="none" w:sz="0" w:space="0" w:color="auto"/>
          </w:divBdr>
        </w:div>
        <w:div w:id="1590306338">
          <w:marLeft w:val="0"/>
          <w:marRight w:val="0"/>
          <w:marTop w:val="0"/>
          <w:marBottom w:val="0"/>
          <w:divBdr>
            <w:top w:val="none" w:sz="0" w:space="0" w:color="auto"/>
            <w:left w:val="none" w:sz="0" w:space="0" w:color="auto"/>
            <w:bottom w:val="none" w:sz="0" w:space="0" w:color="auto"/>
            <w:right w:val="none" w:sz="0" w:space="0" w:color="auto"/>
          </w:divBdr>
        </w:div>
        <w:div w:id="1669551789">
          <w:marLeft w:val="0"/>
          <w:marRight w:val="0"/>
          <w:marTop w:val="0"/>
          <w:marBottom w:val="0"/>
          <w:divBdr>
            <w:top w:val="none" w:sz="0" w:space="0" w:color="auto"/>
            <w:left w:val="none" w:sz="0" w:space="0" w:color="auto"/>
            <w:bottom w:val="none" w:sz="0" w:space="0" w:color="auto"/>
            <w:right w:val="none" w:sz="0" w:space="0" w:color="auto"/>
          </w:divBdr>
        </w:div>
        <w:div w:id="2059548076">
          <w:marLeft w:val="0"/>
          <w:marRight w:val="0"/>
          <w:marTop w:val="0"/>
          <w:marBottom w:val="0"/>
          <w:divBdr>
            <w:top w:val="none" w:sz="0" w:space="0" w:color="auto"/>
            <w:left w:val="none" w:sz="0" w:space="0" w:color="auto"/>
            <w:bottom w:val="none" w:sz="0" w:space="0" w:color="auto"/>
            <w:right w:val="none" w:sz="0" w:space="0" w:color="auto"/>
          </w:divBdr>
        </w:div>
      </w:divsChild>
    </w:div>
    <w:div w:id="1723401455">
      <w:bodyDiv w:val="1"/>
      <w:marLeft w:val="0"/>
      <w:marRight w:val="0"/>
      <w:marTop w:val="0"/>
      <w:marBottom w:val="0"/>
      <w:divBdr>
        <w:top w:val="none" w:sz="0" w:space="0" w:color="auto"/>
        <w:left w:val="none" w:sz="0" w:space="0" w:color="auto"/>
        <w:bottom w:val="none" w:sz="0" w:space="0" w:color="auto"/>
        <w:right w:val="none" w:sz="0" w:space="0" w:color="auto"/>
      </w:divBdr>
      <w:divsChild>
        <w:div w:id="209196019">
          <w:marLeft w:val="0"/>
          <w:marRight w:val="0"/>
          <w:marTop w:val="0"/>
          <w:marBottom w:val="0"/>
          <w:divBdr>
            <w:top w:val="none" w:sz="0" w:space="0" w:color="auto"/>
            <w:left w:val="none" w:sz="0" w:space="0" w:color="auto"/>
            <w:bottom w:val="none" w:sz="0" w:space="0" w:color="auto"/>
            <w:right w:val="none" w:sz="0" w:space="0" w:color="auto"/>
          </w:divBdr>
        </w:div>
        <w:div w:id="350377757">
          <w:marLeft w:val="0"/>
          <w:marRight w:val="0"/>
          <w:marTop w:val="0"/>
          <w:marBottom w:val="0"/>
          <w:divBdr>
            <w:top w:val="none" w:sz="0" w:space="0" w:color="auto"/>
            <w:left w:val="none" w:sz="0" w:space="0" w:color="auto"/>
            <w:bottom w:val="none" w:sz="0" w:space="0" w:color="auto"/>
            <w:right w:val="none" w:sz="0" w:space="0" w:color="auto"/>
          </w:divBdr>
        </w:div>
        <w:div w:id="1607882869">
          <w:marLeft w:val="0"/>
          <w:marRight w:val="0"/>
          <w:marTop w:val="0"/>
          <w:marBottom w:val="0"/>
          <w:divBdr>
            <w:top w:val="none" w:sz="0" w:space="0" w:color="auto"/>
            <w:left w:val="none" w:sz="0" w:space="0" w:color="auto"/>
            <w:bottom w:val="none" w:sz="0" w:space="0" w:color="auto"/>
            <w:right w:val="none" w:sz="0" w:space="0" w:color="auto"/>
          </w:divBdr>
        </w:div>
      </w:divsChild>
    </w:div>
    <w:div w:id="1976138445">
      <w:bodyDiv w:val="1"/>
      <w:marLeft w:val="0"/>
      <w:marRight w:val="0"/>
      <w:marTop w:val="0"/>
      <w:marBottom w:val="0"/>
      <w:divBdr>
        <w:top w:val="none" w:sz="0" w:space="0" w:color="auto"/>
        <w:left w:val="none" w:sz="0" w:space="0" w:color="auto"/>
        <w:bottom w:val="none" w:sz="0" w:space="0" w:color="auto"/>
        <w:right w:val="none" w:sz="0" w:space="0" w:color="auto"/>
      </w:divBdr>
    </w:div>
    <w:div w:id="2037461291">
      <w:bodyDiv w:val="1"/>
      <w:marLeft w:val="0"/>
      <w:marRight w:val="0"/>
      <w:marTop w:val="0"/>
      <w:marBottom w:val="0"/>
      <w:divBdr>
        <w:top w:val="none" w:sz="0" w:space="0" w:color="auto"/>
        <w:left w:val="none" w:sz="0" w:space="0" w:color="auto"/>
        <w:bottom w:val="none" w:sz="0" w:space="0" w:color="auto"/>
        <w:right w:val="none" w:sz="0" w:space="0" w:color="auto"/>
      </w:divBdr>
    </w:div>
    <w:div w:id="2090349399">
      <w:bodyDiv w:val="1"/>
      <w:marLeft w:val="0"/>
      <w:marRight w:val="0"/>
      <w:marTop w:val="0"/>
      <w:marBottom w:val="0"/>
      <w:divBdr>
        <w:top w:val="none" w:sz="0" w:space="0" w:color="auto"/>
        <w:left w:val="none" w:sz="0" w:space="0" w:color="auto"/>
        <w:bottom w:val="none" w:sz="0" w:space="0" w:color="auto"/>
        <w:right w:val="none" w:sz="0" w:space="0" w:color="auto"/>
      </w:divBdr>
      <w:divsChild>
        <w:div w:id="46028054">
          <w:marLeft w:val="0"/>
          <w:marRight w:val="0"/>
          <w:marTop w:val="0"/>
          <w:marBottom w:val="0"/>
          <w:divBdr>
            <w:top w:val="none" w:sz="0" w:space="0" w:color="auto"/>
            <w:left w:val="none" w:sz="0" w:space="0" w:color="auto"/>
            <w:bottom w:val="none" w:sz="0" w:space="0" w:color="auto"/>
            <w:right w:val="none" w:sz="0" w:space="0" w:color="auto"/>
          </w:divBdr>
        </w:div>
        <w:div w:id="487551704">
          <w:marLeft w:val="0"/>
          <w:marRight w:val="0"/>
          <w:marTop w:val="0"/>
          <w:marBottom w:val="0"/>
          <w:divBdr>
            <w:top w:val="none" w:sz="0" w:space="0" w:color="auto"/>
            <w:left w:val="none" w:sz="0" w:space="0" w:color="auto"/>
            <w:bottom w:val="none" w:sz="0" w:space="0" w:color="auto"/>
            <w:right w:val="none" w:sz="0" w:space="0" w:color="auto"/>
          </w:divBdr>
        </w:div>
        <w:div w:id="535047811">
          <w:marLeft w:val="0"/>
          <w:marRight w:val="0"/>
          <w:marTop w:val="0"/>
          <w:marBottom w:val="0"/>
          <w:divBdr>
            <w:top w:val="none" w:sz="0" w:space="0" w:color="auto"/>
            <w:left w:val="none" w:sz="0" w:space="0" w:color="auto"/>
            <w:bottom w:val="none" w:sz="0" w:space="0" w:color="auto"/>
            <w:right w:val="none" w:sz="0" w:space="0" w:color="auto"/>
          </w:divBdr>
        </w:div>
        <w:div w:id="1314068632">
          <w:marLeft w:val="0"/>
          <w:marRight w:val="0"/>
          <w:marTop w:val="0"/>
          <w:marBottom w:val="0"/>
          <w:divBdr>
            <w:top w:val="none" w:sz="0" w:space="0" w:color="auto"/>
            <w:left w:val="none" w:sz="0" w:space="0" w:color="auto"/>
            <w:bottom w:val="none" w:sz="0" w:space="0" w:color="auto"/>
            <w:right w:val="none" w:sz="0" w:space="0" w:color="auto"/>
          </w:divBdr>
        </w:div>
        <w:div w:id="1348406289">
          <w:marLeft w:val="0"/>
          <w:marRight w:val="0"/>
          <w:marTop w:val="0"/>
          <w:marBottom w:val="0"/>
          <w:divBdr>
            <w:top w:val="none" w:sz="0" w:space="0" w:color="auto"/>
            <w:left w:val="none" w:sz="0" w:space="0" w:color="auto"/>
            <w:bottom w:val="none" w:sz="0" w:space="0" w:color="auto"/>
            <w:right w:val="none" w:sz="0" w:space="0" w:color="auto"/>
          </w:divBdr>
        </w:div>
        <w:div w:id="1371884182">
          <w:marLeft w:val="0"/>
          <w:marRight w:val="0"/>
          <w:marTop w:val="0"/>
          <w:marBottom w:val="0"/>
          <w:divBdr>
            <w:top w:val="none" w:sz="0" w:space="0" w:color="auto"/>
            <w:left w:val="none" w:sz="0" w:space="0" w:color="auto"/>
            <w:bottom w:val="none" w:sz="0" w:space="0" w:color="auto"/>
            <w:right w:val="none" w:sz="0" w:space="0" w:color="auto"/>
          </w:divBdr>
        </w:div>
        <w:div w:id="1508254496">
          <w:marLeft w:val="0"/>
          <w:marRight w:val="0"/>
          <w:marTop w:val="0"/>
          <w:marBottom w:val="0"/>
          <w:divBdr>
            <w:top w:val="none" w:sz="0" w:space="0" w:color="auto"/>
            <w:left w:val="none" w:sz="0" w:space="0" w:color="auto"/>
            <w:bottom w:val="none" w:sz="0" w:space="0" w:color="auto"/>
            <w:right w:val="none" w:sz="0" w:space="0" w:color="auto"/>
          </w:divBdr>
        </w:div>
        <w:div w:id="1672682136">
          <w:marLeft w:val="0"/>
          <w:marRight w:val="0"/>
          <w:marTop w:val="0"/>
          <w:marBottom w:val="0"/>
          <w:divBdr>
            <w:top w:val="none" w:sz="0" w:space="0" w:color="auto"/>
            <w:left w:val="none" w:sz="0" w:space="0" w:color="auto"/>
            <w:bottom w:val="none" w:sz="0" w:space="0" w:color="auto"/>
            <w:right w:val="none" w:sz="0" w:space="0" w:color="auto"/>
          </w:divBdr>
        </w:div>
        <w:div w:id="1711421683">
          <w:marLeft w:val="0"/>
          <w:marRight w:val="0"/>
          <w:marTop w:val="0"/>
          <w:marBottom w:val="0"/>
          <w:divBdr>
            <w:top w:val="none" w:sz="0" w:space="0" w:color="auto"/>
            <w:left w:val="none" w:sz="0" w:space="0" w:color="auto"/>
            <w:bottom w:val="none" w:sz="0" w:space="0" w:color="auto"/>
            <w:right w:val="none" w:sz="0" w:space="0" w:color="auto"/>
          </w:divBdr>
        </w:div>
        <w:div w:id="19695551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Nr_x002e__x0020_akti>
    <Data_x0020_e_x0020_Krijimit xmlns="0e656187-b300-4fb0-8bf4-3a50f872073c">2026-03-12T12:17:59Z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__.12.2025</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2026-03-11T00:00:00Z</Date_x0020_protokolli>
    <Titulli xmlns="0e656187-b300-4fb0-8bf4-3a50f872073c">Me objekt shfuqizimi i vendimit nr. 00-2025-13, datë 14.1.2025 të Kolegjit Administrativ të Gjykatës së Lartë, si i papajtueshëm me Kushtetutën e Republikës së Shqipërisë. Dërgimin e çështjes për shqyrtim në Gjykatën e Lartë.</Titulli>
    <Modifikuesi xmlns="0e656187-b300-4fb0-8bf4-3a50f872073c">ermira.bukaci</Modifikuesi>
    <Nr_x002e__x0020_prot_x0020_QBZ xmlns="0e656187-b300-4fb0-8bf4-3a50f872073c">490/1</Nr_x002e__x0020_prot_x0020_QBZ>
    <Data_x0020_e_x0020_Modifikimit xmlns="0e656187-b300-4fb0-8bf4-3a50f872073c">2026-03-12T14:52:54Z</Data_x0020_e_x0020_Modifikimit>
    <Dekretuar xmlns="0e656187-b300-4fb0-8bf4-3a50f872073c">false</Dekretuar>
    <Data xmlns="0e656187-b300-4fb0-8bf4-3a50f872073c">2026-02-17T00:00:00Z</Data>
    <Nr_x002e__x0020_protokolli_x0020_i_x0020_aktit xmlns="0e656187-b300-4fb0-8bf4-3a50f872073c">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8494009D0A9D46C590C20156BF8B54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8494009D0A9D46C590C20156BF8B54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ACE490-8A0A-4DC4-9F18-6FEC8F68ECD2}">
  <ds:schemaRefs>
    <ds:schemaRef ds:uri="http://purl.org/dc/dcmitype/"/>
    <ds:schemaRef ds:uri="http://purl.org/dc/terms/"/>
    <ds:schemaRef ds:uri="0e656187-b300-4fb0-8bf4-3a50f872073c"/>
    <ds:schemaRef ds:uri="http://www.w3.org/XML/1998/namespace"/>
    <ds:schemaRef ds:uri="http://purl.org/dc/elements/1.1/"/>
    <ds:schemaRef ds:uri="http://schemas.microsoft.com/office/2006/documentManagement/types"/>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D2B6F8A2-5E58-41C3-A8E8-85A707CCFCDA}">
  <ds:schemaRefs>
    <ds:schemaRef ds:uri="http://schemas.microsoft.com/sharepoint/v3/contenttype/forms"/>
  </ds:schemaRefs>
</ds:datastoreItem>
</file>

<file path=customXml/itemProps3.xml><?xml version="1.0" encoding="utf-8"?>
<ds:datastoreItem xmlns:ds="http://schemas.openxmlformats.org/officeDocument/2006/customXml" ds:itemID="{E3F04FC6-43F8-4117-8D72-064DF3EE8A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7C051455-18A9-4874-A70D-001D0A9ADADD}">
  <ds:schemaRefs>
    <ds:schemaRef ds:uri="http://schemas.microsoft.com/sharepoint/v3/contenttype/forms"/>
  </ds:schemaRefs>
</ds:datastoreItem>
</file>

<file path=customXml/itemProps5.xml><?xml version="1.0" encoding="utf-8"?>
<ds:datastoreItem xmlns:ds="http://schemas.openxmlformats.org/officeDocument/2006/customXml" ds:itemID="{F43FC691-636D-416C-A410-B2087AB399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B7505B86-25F2-49A5-B2C9-969D78E899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7</Pages>
  <Words>4056</Words>
  <Characters>23122</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Me objekt shfuqizimi i vendimit nr. 00-2025-13, datë 14.1.2025 të Kolegjit Administrativ të Gjykatës së Lartë, si i papajtueshëm me Kushtetutën e Republikës së Shqipërisë. Dërgimin e çështjes për shqyrtim në Gjykatën e Lartë.</vt:lpstr>
    </vt:vector>
  </TitlesOfParts>
  <Company>User</Company>
  <LinksUpToDate>false</LinksUpToDate>
  <CharactersWithSpaces>27124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 i vendimit nr. 00-2025-13, datë 14.1.2025 të Kolegjit Administrativ të Gjykatës së Lartë, si i papajtueshëm me Kushtetutën e Republikës së Shqipërisë. Dërgimin e çështjes për shqyrtim në Gjykatën e Lartë.</dc:title>
  <dc:subject>Dt. __.12.2025</dc:subject>
  <dc:creator>Drita Shkurti</dc:creator>
  <cp:keywords>Brunilda BARA</cp:keywords>
  <cp:lastModifiedBy>Valeta Kaftalli</cp:lastModifiedBy>
  <cp:revision>10</cp:revision>
  <cp:lastPrinted>2026-03-12T08:36:00Z</cp:lastPrinted>
  <dcterms:created xsi:type="dcterms:W3CDTF">2026-03-12T11:25:00Z</dcterms:created>
  <dcterms:modified xsi:type="dcterms:W3CDTF">2026-03-13T10:07:00Z</dcterms:modified>
  <cp:category>Penale</cp:category>
</cp:coreProperties>
</file>